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charts/chart18.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2E1E29" w14:textId="77777777" w:rsidR="000A687F" w:rsidRDefault="000A687F" w:rsidP="005E55A2">
      <w:pPr>
        <w:pStyle w:val="TitlePageSubtitle"/>
        <w:spacing w:before="0" w:line="240" w:lineRule="auto"/>
      </w:pPr>
      <w:r>
        <w:t>Institute for Social Science Research</w:t>
      </w:r>
    </w:p>
    <w:p w14:paraId="0F3A29BF" w14:textId="1855BF37" w:rsidR="000A687F" w:rsidRDefault="000A687F" w:rsidP="005E55A2">
      <w:pPr>
        <w:pStyle w:val="TitlePageSubtitle"/>
        <w:spacing w:before="0" w:line="240" w:lineRule="auto"/>
      </w:pPr>
      <w:r>
        <w:t>31 January 2022</w:t>
      </w:r>
    </w:p>
    <w:p w14:paraId="2C9571FB" w14:textId="7C426B38" w:rsidR="000A687F" w:rsidRPr="000A687F" w:rsidRDefault="000A687F" w:rsidP="000A687F">
      <w:pPr>
        <w:jc w:val="right"/>
      </w:pPr>
      <w:r>
        <w:rPr>
          <w:noProof/>
        </w:rPr>
        <w:drawing>
          <wp:inline distT="0" distB="0" distL="0" distR="0" wp14:anchorId="1B1836A9" wp14:editId="0B8B6F23">
            <wp:extent cx="1836000" cy="759600"/>
            <wp:effectExtent l="0" t="0" r="0" b="2540"/>
            <wp:docPr id="224" name="Picture 224" descr="Logo. The University of Queensland Austral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Logo. The University of Queensland Australia">
                      <a:extLst>
                        <a:ext uri="{C183D7F6-B498-43B3-948B-1728B52AA6E4}">
                          <adec:decorative xmlns:adec="http://schemas.microsoft.com/office/drawing/2017/decorative" val="0"/>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36000" cy="759600"/>
                    </a:xfrm>
                    <a:prstGeom prst="rect">
                      <a:avLst/>
                    </a:prstGeom>
                  </pic:spPr>
                </pic:pic>
              </a:graphicData>
            </a:graphic>
          </wp:inline>
        </w:drawing>
      </w:r>
    </w:p>
    <w:p w14:paraId="2B979B9C" w14:textId="510F2956" w:rsidR="000A687F" w:rsidRDefault="000A687F" w:rsidP="000A687F">
      <w:pPr>
        <w:pStyle w:val="Title"/>
        <w:rPr>
          <w:sz w:val="56"/>
        </w:rPr>
      </w:pPr>
      <w:r w:rsidRPr="009B34CB">
        <w:rPr>
          <w:sz w:val="56"/>
        </w:rPr>
        <w:t>Evaluation of the Pharmaceutical Benefits Scheme Subsidised Take Home Naloxone Pilot</w:t>
      </w:r>
    </w:p>
    <w:p w14:paraId="4DB1A65A" w14:textId="61F6EC5D" w:rsidR="009D10AE" w:rsidRPr="009D10AE" w:rsidRDefault="009D10AE" w:rsidP="009D10AE">
      <w:pPr>
        <w:pStyle w:val="TitlePageSubtitle"/>
      </w:pPr>
      <w:r>
        <w:t>Final Report</w:t>
      </w:r>
    </w:p>
    <w:p w14:paraId="2E3C38A9" w14:textId="6289C9E7" w:rsidR="00CA5EEA" w:rsidRPr="00866910" w:rsidRDefault="00866910" w:rsidP="009D10AE">
      <w:pPr>
        <w:pStyle w:val="BodyText"/>
      </w:pPr>
      <w:r>
        <w:rPr>
          <w:noProof/>
        </w:rPr>
        <w:drawing>
          <wp:inline distT="0" distB="0" distL="0" distR="0" wp14:anchorId="28753AE3" wp14:editId="23629C69">
            <wp:extent cx="5958760" cy="6238875"/>
            <wp:effectExtent l="0" t="0" r="4445"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94663" cy="6276466"/>
                    </a:xfrm>
                    <a:prstGeom prst="rect">
                      <a:avLst/>
                    </a:prstGeom>
                    <a:noFill/>
                  </pic:spPr>
                </pic:pic>
              </a:graphicData>
            </a:graphic>
          </wp:inline>
        </w:drawing>
      </w:r>
    </w:p>
    <w:p w14:paraId="575676EC" w14:textId="15A87D83" w:rsidR="00CA5EEA" w:rsidRDefault="00CA5EEA" w:rsidP="003D0F16">
      <w:pPr>
        <w:sectPr w:rsidR="00CA5EEA" w:rsidSect="005E55A2">
          <w:footerReference w:type="default" r:id="rId14"/>
          <w:footnotePr>
            <w:numFmt w:val="lowerLetter"/>
          </w:footnotePr>
          <w:pgSz w:w="11906" w:h="16838" w:code="9"/>
          <w:pgMar w:top="426" w:right="1134" w:bottom="1134" w:left="1134" w:header="567" w:footer="567" w:gutter="0"/>
          <w:cols w:space="708"/>
          <w:noEndnote/>
          <w:titlePg/>
          <w:docGrid w:linePitch="360"/>
        </w:sectPr>
      </w:pPr>
    </w:p>
    <w:p w14:paraId="1F297F81" w14:textId="09F36D5D" w:rsidR="005E55A2" w:rsidRDefault="009D10AE" w:rsidP="009D10AE">
      <w:r>
        <w:rPr>
          <w:noProof/>
        </w:rPr>
        <w:lastRenderedPageBreak/>
        <w:drawing>
          <wp:inline distT="0" distB="0" distL="0" distR="0" wp14:anchorId="07F6434A" wp14:editId="435129EC">
            <wp:extent cx="5913755" cy="8535035"/>
            <wp:effectExtent l="0" t="0" r="0" b="0"/>
            <wp:docPr id="4" name="Picture 4" descr="Image showing the PBS subsidised Take Home Naloxone Pilot. Quote text &#10;“Well it felt good for me … saving somebody’s life. …Overdoses shouldn’t happen because it’s preventable.”&#10;Summary of the program&#10;From December 2019, the Australian Government funded a Take Home Naloxone (THN) Pilot subsidised through the Pharmaceutical Benefits Scheme (PBS). This allowed people at risk of experiencing or witnessing an opioid overdose or adverse reaction to access naloxone without cost, without a prescription and from a variety of settings in NSW, SA, and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showing the PBS subsidised Take Home Naloxone Pilot. Quote text &#10;“Well it felt good for me … saving somebody’s life. …Overdoses shouldn’t happen because it’s preventable.”&#10;Summary of the program&#10;From December 2019, the Australian Government funded a Take Home Naloxone (THN) Pilot subsidised through the Pharmaceutical Benefits Scheme (PBS). This allowed people at risk of experiencing or witnessing an opioid overdose or adverse reaction to access naloxone without cost, without a prescription and from a variety of settings in NSW, SA, and W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13755" cy="8535035"/>
                    </a:xfrm>
                    <a:prstGeom prst="rect">
                      <a:avLst/>
                    </a:prstGeom>
                    <a:noFill/>
                  </pic:spPr>
                </pic:pic>
              </a:graphicData>
            </a:graphic>
          </wp:inline>
        </w:drawing>
      </w:r>
      <w:r w:rsidR="00150A05">
        <w:br w:type="page"/>
      </w:r>
    </w:p>
    <w:sdt>
      <w:sdtPr>
        <w:rPr>
          <w:color w:val="auto"/>
          <w:sz w:val="22"/>
        </w:rPr>
        <w:id w:val="-423497312"/>
        <w:docPartObj>
          <w:docPartGallery w:val="Table of Contents"/>
          <w:docPartUnique/>
        </w:docPartObj>
      </w:sdtPr>
      <w:sdtEndPr>
        <w:rPr>
          <w:b/>
          <w:bCs/>
          <w:noProof/>
        </w:rPr>
      </w:sdtEndPr>
      <w:sdtContent>
        <w:p w14:paraId="160D3229" w14:textId="69977B48" w:rsidR="005E55A2" w:rsidRDefault="005E55A2">
          <w:pPr>
            <w:pStyle w:val="TOCHeading"/>
          </w:pPr>
          <w:r>
            <w:t>Contents</w:t>
          </w:r>
        </w:p>
        <w:p w14:paraId="661F3C09" w14:textId="1FCC60D5" w:rsidR="005E55A2" w:rsidRDefault="005E55A2">
          <w:pPr>
            <w:pStyle w:val="TOC1"/>
            <w:rPr>
              <w:rFonts w:eastAsiaTheme="minorEastAsia"/>
              <w:b w:val="0"/>
              <w:noProof/>
              <w:lang w:eastAsia="en-AU"/>
            </w:rPr>
          </w:pPr>
          <w:r>
            <w:fldChar w:fldCharType="begin"/>
          </w:r>
          <w:r>
            <w:instrText xml:space="preserve"> TOC \o "1-3" \h \z \u </w:instrText>
          </w:r>
          <w:r>
            <w:fldChar w:fldCharType="separate"/>
          </w:r>
          <w:hyperlink w:anchor="_Toc94794200" w:history="1">
            <w:r w:rsidRPr="00113BDC">
              <w:rPr>
                <w:rStyle w:val="Hyperlink"/>
                <w:noProof/>
                <w:lang w:eastAsia="en-AU"/>
              </w:rPr>
              <w:t>Acknowledgements</w:t>
            </w:r>
            <w:r>
              <w:rPr>
                <w:noProof/>
                <w:webHidden/>
              </w:rPr>
              <w:tab/>
            </w:r>
            <w:r>
              <w:rPr>
                <w:noProof/>
                <w:webHidden/>
              </w:rPr>
              <w:fldChar w:fldCharType="begin"/>
            </w:r>
            <w:r>
              <w:rPr>
                <w:noProof/>
                <w:webHidden/>
              </w:rPr>
              <w:instrText xml:space="preserve"> PAGEREF _Toc94794200 \h </w:instrText>
            </w:r>
            <w:r>
              <w:rPr>
                <w:noProof/>
                <w:webHidden/>
              </w:rPr>
            </w:r>
            <w:r>
              <w:rPr>
                <w:noProof/>
                <w:webHidden/>
              </w:rPr>
              <w:fldChar w:fldCharType="separate"/>
            </w:r>
            <w:r w:rsidR="009E3F96">
              <w:rPr>
                <w:noProof/>
                <w:webHidden/>
              </w:rPr>
              <w:t>viii</w:t>
            </w:r>
            <w:r>
              <w:rPr>
                <w:noProof/>
                <w:webHidden/>
              </w:rPr>
              <w:fldChar w:fldCharType="end"/>
            </w:r>
          </w:hyperlink>
        </w:p>
        <w:p w14:paraId="574F20D3" w14:textId="319E366C" w:rsidR="005E55A2" w:rsidRDefault="009E3F96">
          <w:pPr>
            <w:pStyle w:val="TOC2"/>
            <w:rPr>
              <w:rFonts w:eastAsiaTheme="minorEastAsia"/>
              <w:noProof/>
              <w:lang w:eastAsia="en-AU"/>
            </w:rPr>
          </w:pPr>
          <w:hyperlink w:anchor="_Toc94794201" w:history="1">
            <w:r w:rsidR="005E55A2" w:rsidRPr="00113BDC">
              <w:rPr>
                <w:rStyle w:val="Hyperlink"/>
                <w:noProof/>
                <w:lang w:eastAsia="en-AU"/>
              </w:rPr>
              <w:t xml:space="preserve">Core </w:t>
            </w:r>
            <w:r w:rsidR="005E55A2" w:rsidRPr="00113BDC">
              <w:rPr>
                <w:rStyle w:val="Hyperlink"/>
                <w:noProof/>
              </w:rPr>
              <w:t>Evaluation</w:t>
            </w:r>
            <w:r w:rsidR="005E55A2" w:rsidRPr="00113BDC">
              <w:rPr>
                <w:rStyle w:val="Hyperlink"/>
                <w:noProof/>
                <w:lang w:eastAsia="en-AU"/>
              </w:rPr>
              <w:t xml:space="preserve"> Team</w:t>
            </w:r>
            <w:r w:rsidR="005E55A2">
              <w:rPr>
                <w:noProof/>
                <w:webHidden/>
              </w:rPr>
              <w:tab/>
            </w:r>
            <w:r w:rsidR="005E55A2">
              <w:rPr>
                <w:noProof/>
                <w:webHidden/>
              </w:rPr>
              <w:fldChar w:fldCharType="begin"/>
            </w:r>
            <w:r w:rsidR="005E55A2">
              <w:rPr>
                <w:noProof/>
                <w:webHidden/>
              </w:rPr>
              <w:instrText xml:space="preserve"> PAGEREF _Toc94794201 \h </w:instrText>
            </w:r>
            <w:r w:rsidR="005E55A2">
              <w:rPr>
                <w:noProof/>
                <w:webHidden/>
              </w:rPr>
            </w:r>
            <w:r w:rsidR="005E55A2">
              <w:rPr>
                <w:noProof/>
                <w:webHidden/>
              </w:rPr>
              <w:fldChar w:fldCharType="separate"/>
            </w:r>
            <w:r>
              <w:rPr>
                <w:noProof/>
                <w:webHidden/>
              </w:rPr>
              <w:t>viii</w:t>
            </w:r>
            <w:r w:rsidR="005E55A2">
              <w:rPr>
                <w:noProof/>
                <w:webHidden/>
              </w:rPr>
              <w:fldChar w:fldCharType="end"/>
            </w:r>
          </w:hyperlink>
        </w:p>
        <w:p w14:paraId="11AB2CA6" w14:textId="4F826F27" w:rsidR="005E55A2" w:rsidRDefault="009E3F96">
          <w:pPr>
            <w:pStyle w:val="TOC2"/>
            <w:rPr>
              <w:rFonts w:eastAsiaTheme="minorEastAsia"/>
              <w:noProof/>
              <w:lang w:eastAsia="en-AU"/>
            </w:rPr>
          </w:pPr>
          <w:hyperlink w:anchor="_Toc94794202" w:history="1">
            <w:r w:rsidR="005E55A2" w:rsidRPr="00113BDC">
              <w:rPr>
                <w:rStyle w:val="Hyperlink"/>
                <w:noProof/>
                <w:lang w:eastAsia="en-AU"/>
              </w:rPr>
              <w:t>External Collaborators</w:t>
            </w:r>
            <w:r w:rsidR="005E55A2">
              <w:rPr>
                <w:noProof/>
                <w:webHidden/>
              </w:rPr>
              <w:tab/>
            </w:r>
            <w:r w:rsidR="005E55A2">
              <w:rPr>
                <w:noProof/>
                <w:webHidden/>
              </w:rPr>
              <w:fldChar w:fldCharType="begin"/>
            </w:r>
            <w:r w:rsidR="005E55A2">
              <w:rPr>
                <w:noProof/>
                <w:webHidden/>
              </w:rPr>
              <w:instrText xml:space="preserve"> PAGEREF _Toc94794202 \h </w:instrText>
            </w:r>
            <w:r w:rsidR="005E55A2">
              <w:rPr>
                <w:noProof/>
                <w:webHidden/>
              </w:rPr>
            </w:r>
            <w:r w:rsidR="005E55A2">
              <w:rPr>
                <w:noProof/>
                <w:webHidden/>
              </w:rPr>
              <w:fldChar w:fldCharType="separate"/>
            </w:r>
            <w:r>
              <w:rPr>
                <w:noProof/>
                <w:webHidden/>
              </w:rPr>
              <w:t>viii</w:t>
            </w:r>
            <w:r w:rsidR="005E55A2">
              <w:rPr>
                <w:noProof/>
                <w:webHidden/>
              </w:rPr>
              <w:fldChar w:fldCharType="end"/>
            </w:r>
          </w:hyperlink>
        </w:p>
        <w:p w14:paraId="6EDCA8A7" w14:textId="11B33B35" w:rsidR="005E55A2" w:rsidRDefault="009E3F96">
          <w:pPr>
            <w:pStyle w:val="TOC2"/>
            <w:rPr>
              <w:rFonts w:eastAsiaTheme="minorEastAsia"/>
              <w:noProof/>
              <w:lang w:eastAsia="en-AU"/>
            </w:rPr>
          </w:pPr>
          <w:hyperlink w:anchor="_Toc94794203" w:history="1">
            <w:r w:rsidR="005E55A2" w:rsidRPr="00113BDC">
              <w:rPr>
                <w:rStyle w:val="Hyperlink"/>
                <w:noProof/>
                <w:lang w:eastAsia="en-AU"/>
              </w:rPr>
              <w:t>Participants</w:t>
            </w:r>
            <w:r w:rsidR="005E55A2">
              <w:rPr>
                <w:noProof/>
                <w:webHidden/>
              </w:rPr>
              <w:tab/>
            </w:r>
            <w:r w:rsidR="005E55A2">
              <w:rPr>
                <w:noProof/>
                <w:webHidden/>
              </w:rPr>
              <w:fldChar w:fldCharType="begin"/>
            </w:r>
            <w:r w:rsidR="005E55A2">
              <w:rPr>
                <w:noProof/>
                <w:webHidden/>
              </w:rPr>
              <w:instrText xml:space="preserve"> PAGEREF _Toc94794203 \h </w:instrText>
            </w:r>
            <w:r w:rsidR="005E55A2">
              <w:rPr>
                <w:noProof/>
                <w:webHidden/>
              </w:rPr>
            </w:r>
            <w:r w:rsidR="005E55A2">
              <w:rPr>
                <w:noProof/>
                <w:webHidden/>
              </w:rPr>
              <w:fldChar w:fldCharType="separate"/>
            </w:r>
            <w:r>
              <w:rPr>
                <w:noProof/>
                <w:webHidden/>
              </w:rPr>
              <w:t>viii</w:t>
            </w:r>
            <w:r w:rsidR="005E55A2">
              <w:rPr>
                <w:noProof/>
                <w:webHidden/>
              </w:rPr>
              <w:fldChar w:fldCharType="end"/>
            </w:r>
          </w:hyperlink>
        </w:p>
        <w:p w14:paraId="223F1265" w14:textId="708BC966" w:rsidR="005E55A2" w:rsidRDefault="009E3F96">
          <w:pPr>
            <w:pStyle w:val="TOC2"/>
            <w:rPr>
              <w:rFonts w:eastAsiaTheme="minorEastAsia"/>
              <w:noProof/>
              <w:lang w:eastAsia="en-AU"/>
            </w:rPr>
          </w:pPr>
          <w:hyperlink w:anchor="_Toc94794204" w:history="1">
            <w:r w:rsidR="005E55A2" w:rsidRPr="00113BDC">
              <w:rPr>
                <w:rStyle w:val="Hyperlink"/>
                <w:noProof/>
                <w:lang w:eastAsia="en-AU"/>
              </w:rPr>
              <w:t>Acknowledgement of Country</w:t>
            </w:r>
            <w:r w:rsidR="005E55A2">
              <w:rPr>
                <w:noProof/>
                <w:webHidden/>
              </w:rPr>
              <w:tab/>
            </w:r>
            <w:r w:rsidR="005E55A2">
              <w:rPr>
                <w:noProof/>
                <w:webHidden/>
              </w:rPr>
              <w:fldChar w:fldCharType="begin"/>
            </w:r>
            <w:r w:rsidR="005E55A2">
              <w:rPr>
                <w:noProof/>
                <w:webHidden/>
              </w:rPr>
              <w:instrText xml:space="preserve"> PAGEREF _Toc94794204 \h </w:instrText>
            </w:r>
            <w:r w:rsidR="005E55A2">
              <w:rPr>
                <w:noProof/>
                <w:webHidden/>
              </w:rPr>
            </w:r>
            <w:r w:rsidR="005E55A2">
              <w:rPr>
                <w:noProof/>
                <w:webHidden/>
              </w:rPr>
              <w:fldChar w:fldCharType="separate"/>
            </w:r>
            <w:r>
              <w:rPr>
                <w:noProof/>
                <w:webHidden/>
              </w:rPr>
              <w:t>viii</w:t>
            </w:r>
            <w:r w:rsidR="005E55A2">
              <w:rPr>
                <w:noProof/>
                <w:webHidden/>
              </w:rPr>
              <w:fldChar w:fldCharType="end"/>
            </w:r>
          </w:hyperlink>
        </w:p>
        <w:p w14:paraId="68B16CC1" w14:textId="7C62EA07" w:rsidR="005E55A2" w:rsidRDefault="009E3F96">
          <w:pPr>
            <w:pStyle w:val="TOC2"/>
            <w:rPr>
              <w:rFonts w:eastAsiaTheme="minorEastAsia"/>
              <w:noProof/>
              <w:lang w:eastAsia="en-AU"/>
            </w:rPr>
          </w:pPr>
          <w:hyperlink w:anchor="_Toc94794205" w:history="1">
            <w:r w:rsidR="005E55A2" w:rsidRPr="00113BDC">
              <w:rPr>
                <w:rStyle w:val="Hyperlink"/>
                <w:noProof/>
              </w:rPr>
              <w:t>Suggested citation:</w:t>
            </w:r>
            <w:r w:rsidR="005E55A2">
              <w:rPr>
                <w:noProof/>
                <w:webHidden/>
              </w:rPr>
              <w:tab/>
            </w:r>
            <w:r w:rsidR="005E55A2">
              <w:rPr>
                <w:noProof/>
                <w:webHidden/>
              </w:rPr>
              <w:fldChar w:fldCharType="begin"/>
            </w:r>
            <w:r w:rsidR="005E55A2">
              <w:rPr>
                <w:noProof/>
                <w:webHidden/>
              </w:rPr>
              <w:instrText xml:space="preserve"> PAGEREF _Toc94794205 \h </w:instrText>
            </w:r>
            <w:r w:rsidR="005E55A2">
              <w:rPr>
                <w:noProof/>
                <w:webHidden/>
              </w:rPr>
            </w:r>
            <w:r w:rsidR="005E55A2">
              <w:rPr>
                <w:noProof/>
                <w:webHidden/>
              </w:rPr>
              <w:fldChar w:fldCharType="separate"/>
            </w:r>
            <w:r>
              <w:rPr>
                <w:noProof/>
                <w:webHidden/>
              </w:rPr>
              <w:t>viii</w:t>
            </w:r>
            <w:r w:rsidR="005E55A2">
              <w:rPr>
                <w:noProof/>
                <w:webHidden/>
              </w:rPr>
              <w:fldChar w:fldCharType="end"/>
            </w:r>
          </w:hyperlink>
        </w:p>
        <w:p w14:paraId="79A60D90" w14:textId="29D5861A" w:rsidR="005E55A2" w:rsidRDefault="009E3F96">
          <w:pPr>
            <w:pStyle w:val="TOC1"/>
            <w:rPr>
              <w:rFonts w:eastAsiaTheme="minorEastAsia"/>
              <w:b w:val="0"/>
              <w:noProof/>
              <w:lang w:eastAsia="en-AU"/>
            </w:rPr>
          </w:pPr>
          <w:hyperlink w:anchor="_Toc94794206" w:history="1">
            <w:r w:rsidR="005E55A2" w:rsidRPr="00113BDC">
              <w:rPr>
                <w:rStyle w:val="Hyperlink"/>
                <w:noProof/>
                <w:lang w:eastAsia="en-AU"/>
              </w:rPr>
              <w:t>Document Management</w:t>
            </w:r>
            <w:r w:rsidR="005E55A2">
              <w:rPr>
                <w:noProof/>
                <w:webHidden/>
              </w:rPr>
              <w:tab/>
            </w:r>
            <w:r w:rsidR="005E55A2">
              <w:rPr>
                <w:noProof/>
                <w:webHidden/>
              </w:rPr>
              <w:fldChar w:fldCharType="begin"/>
            </w:r>
            <w:r w:rsidR="005E55A2">
              <w:rPr>
                <w:noProof/>
                <w:webHidden/>
              </w:rPr>
              <w:instrText xml:space="preserve"> PAGEREF _Toc94794206 \h </w:instrText>
            </w:r>
            <w:r w:rsidR="005E55A2">
              <w:rPr>
                <w:noProof/>
                <w:webHidden/>
              </w:rPr>
            </w:r>
            <w:r w:rsidR="005E55A2">
              <w:rPr>
                <w:noProof/>
                <w:webHidden/>
              </w:rPr>
              <w:fldChar w:fldCharType="separate"/>
            </w:r>
            <w:r>
              <w:rPr>
                <w:noProof/>
                <w:webHidden/>
              </w:rPr>
              <w:t>ix</w:t>
            </w:r>
            <w:r w:rsidR="005E55A2">
              <w:rPr>
                <w:noProof/>
                <w:webHidden/>
              </w:rPr>
              <w:fldChar w:fldCharType="end"/>
            </w:r>
          </w:hyperlink>
        </w:p>
        <w:p w14:paraId="72634B44" w14:textId="38079E9C" w:rsidR="005E55A2" w:rsidRDefault="009E3F96">
          <w:pPr>
            <w:pStyle w:val="TOC1"/>
            <w:rPr>
              <w:rFonts w:eastAsiaTheme="minorEastAsia"/>
              <w:b w:val="0"/>
              <w:noProof/>
              <w:lang w:eastAsia="en-AU"/>
            </w:rPr>
          </w:pPr>
          <w:hyperlink w:anchor="_Toc94794207" w:history="1">
            <w:r w:rsidR="005E55A2" w:rsidRPr="00113BDC">
              <w:rPr>
                <w:rStyle w:val="Hyperlink"/>
                <w:noProof/>
                <w:lang w:eastAsia="en-AU"/>
              </w:rPr>
              <w:t>Acronyms</w:t>
            </w:r>
            <w:r w:rsidR="005E55A2">
              <w:rPr>
                <w:noProof/>
                <w:webHidden/>
              </w:rPr>
              <w:tab/>
            </w:r>
            <w:r w:rsidR="005E55A2">
              <w:rPr>
                <w:noProof/>
                <w:webHidden/>
              </w:rPr>
              <w:fldChar w:fldCharType="begin"/>
            </w:r>
            <w:r w:rsidR="005E55A2">
              <w:rPr>
                <w:noProof/>
                <w:webHidden/>
              </w:rPr>
              <w:instrText xml:space="preserve"> PAGEREF _Toc94794207 \h </w:instrText>
            </w:r>
            <w:r w:rsidR="005E55A2">
              <w:rPr>
                <w:noProof/>
                <w:webHidden/>
              </w:rPr>
            </w:r>
            <w:r w:rsidR="005E55A2">
              <w:rPr>
                <w:noProof/>
                <w:webHidden/>
              </w:rPr>
              <w:fldChar w:fldCharType="separate"/>
            </w:r>
            <w:r>
              <w:rPr>
                <w:noProof/>
                <w:webHidden/>
              </w:rPr>
              <w:t>x</w:t>
            </w:r>
            <w:r w:rsidR="005E55A2">
              <w:rPr>
                <w:noProof/>
                <w:webHidden/>
              </w:rPr>
              <w:fldChar w:fldCharType="end"/>
            </w:r>
          </w:hyperlink>
        </w:p>
        <w:p w14:paraId="664B5694" w14:textId="1D949D51" w:rsidR="005E55A2" w:rsidRDefault="009E3F96">
          <w:pPr>
            <w:pStyle w:val="TOC1"/>
            <w:rPr>
              <w:rFonts w:eastAsiaTheme="minorEastAsia"/>
              <w:b w:val="0"/>
              <w:noProof/>
              <w:lang w:eastAsia="en-AU"/>
            </w:rPr>
          </w:pPr>
          <w:hyperlink w:anchor="_Toc94794208" w:history="1">
            <w:r w:rsidR="005E55A2" w:rsidRPr="00113BDC">
              <w:rPr>
                <w:rStyle w:val="Hyperlink"/>
                <w:noProof/>
                <w:lang w:eastAsia="en-AU"/>
              </w:rPr>
              <w:t>Glossary</w:t>
            </w:r>
            <w:r w:rsidR="005E55A2">
              <w:rPr>
                <w:noProof/>
                <w:webHidden/>
              </w:rPr>
              <w:tab/>
            </w:r>
            <w:r w:rsidR="005E55A2">
              <w:rPr>
                <w:noProof/>
                <w:webHidden/>
              </w:rPr>
              <w:fldChar w:fldCharType="begin"/>
            </w:r>
            <w:r w:rsidR="005E55A2">
              <w:rPr>
                <w:noProof/>
                <w:webHidden/>
              </w:rPr>
              <w:instrText xml:space="preserve"> PAGEREF _Toc94794208 \h </w:instrText>
            </w:r>
            <w:r w:rsidR="005E55A2">
              <w:rPr>
                <w:noProof/>
                <w:webHidden/>
              </w:rPr>
            </w:r>
            <w:r w:rsidR="005E55A2">
              <w:rPr>
                <w:noProof/>
                <w:webHidden/>
              </w:rPr>
              <w:fldChar w:fldCharType="separate"/>
            </w:r>
            <w:r>
              <w:rPr>
                <w:noProof/>
                <w:webHidden/>
              </w:rPr>
              <w:t>xiii</w:t>
            </w:r>
            <w:r w:rsidR="005E55A2">
              <w:rPr>
                <w:noProof/>
                <w:webHidden/>
              </w:rPr>
              <w:fldChar w:fldCharType="end"/>
            </w:r>
          </w:hyperlink>
        </w:p>
        <w:p w14:paraId="734554BD" w14:textId="40599C17" w:rsidR="005E55A2" w:rsidRDefault="009E3F96">
          <w:pPr>
            <w:pStyle w:val="TOC1"/>
            <w:rPr>
              <w:rFonts w:eastAsiaTheme="minorEastAsia"/>
              <w:b w:val="0"/>
              <w:noProof/>
              <w:lang w:eastAsia="en-AU"/>
            </w:rPr>
          </w:pPr>
          <w:hyperlink w:anchor="_Toc94794209" w:history="1">
            <w:r w:rsidR="005E55A2" w:rsidRPr="00113BDC">
              <w:rPr>
                <w:rStyle w:val="Hyperlink"/>
                <w:noProof/>
              </w:rPr>
              <w:t>Executive Summary</w:t>
            </w:r>
            <w:r w:rsidR="005E55A2">
              <w:rPr>
                <w:noProof/>
                <w:webHidden/>
              </w:rPr>
              <w:tab/>
            </w:r>
            <w:r w:rsidR="005E55A2">
              <w:rPr>
                <w:noProof/>
                <w:webHidden/>
              </w:rPr>
              <w:fldChar w:fldCharType="begin"/>
            </w:r>
            <w:r w:rsidR="005E55A2">
              <w:rPr>
                <w:noProof/>
                <w:webHidden/>
              </w:rPr>
              <w:instrText xml:space="preserve"> PAGEREF _Toc94794209 \h </w:instrText>
            </w:r>
            <w:r w:rsidR="005E55A2">
              <w:rPr>
                <w:noProof/>
                <w:webHidden/>
              </w:rPr>
            </w:r>
            <w:r w:rsidR="005E55A2">
              <w:rPr>
                <w:noProof/>
                <w:webHidden/>
              </w:rPr>
              <w:fldChar w:fldCharType="separate"/>
            </w:r>
            <w:r>
              <w:rPr>
                <w:noProof/>
                <w:webHidden/>
              </w:rPr>
              <w:t>xv</w:t>
            </w:r>
            <w:r w:rsidR="005E55A2">
              <w:rPr>
                <w:noProof/>
                <w:webHidden/>
              </w:rPr>
              <w:fldChar w:fldCharType="end"/>
            </w:r>
          </w:hyperlink>
        </w:p>
        <w:p w14:paraId="45D0C2DB" w14:textId="5C6FD04E" w:rsidR="005E55A2" w:rsidRDefault="009E3F96">
          <w:pPr>
            <w:pStyle w:val="TOC2"/>
            <w:rPr>
              <w:rFonts w:eastAsiaTheme="minorEastAsia"/>
              <w:noProof/>
              <w:lang w:eastAsia="en-AU"/>
            </w:rPr>
          </w:pPr>
          <w:hyperlink w:anchor="_Toc94794210" w:history="1">
            <w:r w:rsidR="005E55A2" w:rsidRPr="00113BDC">
              <w:rPr>
                <w:rStyle w:val="Hyperlink"/>
                <w:noProof/>
              </w:rPr>
              <w:t>Background</w:t>
            </w:r>
            <w:r w:rsidR="005E55A2">
              <w:rPr>
                <w:noProof/>
                <w:webHidden/>
              </w:rPr>
              <w:tab/>
            </w:r>
            <w:r w:rsidR="005E55A2">
              <w:rPr>
                <w:noProof/>
                <w:webHidden/>
              </w:rPr>
              <w:fldChar w:fldCharType="begin"/>
            </w:r>
            <w:r w:rsidR="005E55A2">
              <w:rPr>
                <w:noProof/>
                <w:webHidden/>
              </w:rPr>
              <w:instrText xml:space="preserve"> PAGEREF _Toc94794210 \h </w:instrText>
            </w:r>
            <w:r w:rsidR="005E55A2">
              <w:rPr>
                <w:noProof/>
                <w:webHidden/>
              </w:rPr>
            </w:r>
            <w:r w:rsidR="005E55A2">
              <w:rPr>
                <w:noProof/>
                <w:webHidden/>
              </w:rPr>
              <w:fldChar w:fldCharType="separate"/>
            </w:r>
            <w:r>
              <w:rPr>
                <w:noProof/>
                <w:webHidden/>
              </w:rPr>
              <w:t>xv</w:t>
            </w:r>
            <w:r w:rsidR="005E55A2">
              <w:rPr>
                <w:noProof/>
                <w:webHidden/>
              </w:rPr>
              <w:fldChar w:fldCharType="end"/>
            </w:r>
          </w:hyperlink>
        </w:p>
        <w:p w14:paraId="74D0307C" w14:textId="68DE9904" w:rsidR="005E55A2" w:rsidRDefault="009E3F96">
          <w:pPr>
            <w:pStyle w:val="TOC2"/>
            <w:rPr>
              <w:rFonts w:eastAsiaTheme="minorEastAsia"/>
              <w:noProof/>
              <w:lang w:eastAsia="en-AU"/>
            </w:rPr>
          </w:pPr>
          <w:hyperlink w:anchor="_Toc94794211" w:history="1">
            <w:r w:rsidR="005E55A2" w:rsidRPr="00113BDC">
              <w:rPr>
                <w:rStyle w:val="Hyperlink"/>
                <w:noProof/>
              </w:rPr>
              <w:t>Scope</w:t>
            </w:r>
            <w:r w:rsidR="005E55A2">
              <w:rPr>
                <w:noProof/>
                <w:webHidden/>
              </w:rPr>
              <w:tab/>
            </w:r>
            <w:r w:rsidR="005E55A2">
              <w:rPr>
                <w:noProof/>
                <w:webHidden/>
              </w:rPr>
              <w:fldChar w:fldCharType="begin"/>
            </w:r>
            <w:r w:rsidR="005E55A2">
              <w:rPr>
                <w:noProof/>
                <w:webHidden/>
              </w:rPr>
              <w:instrText xml:space="preserve"> PAGEREF _Toc94794211 \h </w:instrText>
            </w:r>
            <w:r w:rsidR="005E55A2">
              <w:rPr>
                <w:noProof/>
                <w:webHidden/>
              </w:rPr>
            </w:r>
            <w:r w:rsidR="005E55A2">
              <w:rPr>
                <w:noProof/>
                <w:webHidden/>
              </w:rPr>
              <w:fldChar w:fldCharType="separate"/>
            </w:r>
            <w:r>
              <w:rPr>
                <w:noProof/>
                <w:webHidden/>
              </w:rPr>
              <w:t>xv</w:t>
            </w:r>
            <w:r w:rsidR="005E55A2">
              <w:rPr>
                <w:noProof/>
                <w:webHidden/>
              </w:rPr>
              <w:fldChar w:fldCharType="end"/>
            </w:r>
          </w:hyperlink>
        </w:p>
        <w:p w14:paraId="71E0F895" w14:textId="680B76CB" w:rsidR="005E55A2" w:rsidRDefault="009E3F96">
          <w:pPr>
            <w:pStyle w:val="TOC2"/>
            <w:rPr>
              <w:rFonts w:eastAsiaTheme="minorEastAsia"/>
              <w:noProof/>
              <w:lang w:eastAsia="en-AU"/>
            </w:rPr>
          </w:pPr>
          <w:hyperlink w:anchor="_Toc94794212" w:history="1">
            <w:r w:rsidR="005E55A2" w:rsidRPr="00113BDC">
              <w:rPr>
                <w:rStyle w:val="Hyperlink"/>
                <w:noProof/>
              </w:rPr>
              <w:t>Evaluation Approach</w:t>
            </w:r>
            <w:r w:rsidR="005E55A2">
              <w:rPr>
                <w:noProof/>
                <w:webHidden/>
              </w:rPr>
              <w:tab/>
            </w:r>
            <w:r w:rsidR="005E55A2">
              <w:rPr>
                <w:noProof/>
                <w:webHidden/>
              </w:rPr>
              <w:fldChar w:fldCharType="begin"/>
            </w:r>
            <w:r w:rsidR="005E55A2">
              <w:rPr>
                <w:noProof/>
                <w:webHidden/>
              </w:rPr>
              <w:instrText xml:space="preserve"> PAGEREF _Toc94794212 \h </w:instrText>
            </w:r>
            <w:r w:rsidR="005E55A2">
              <w:rPr>
                <w:noProof/>
                <w:webHidden/>
              </w:rPr>
            </w:r>
            <w:r w:rsidR="005E55A2">
              <w:rPr>
                <w:noProof/>
                <w:webHidden/>
              </w:rPr>
              <w:fldChar w:fldCharType="separate"/>
            </w:r>
            <w:r>
              <w:rPr>
                <w:noProof/>
                <w:webHidden/>
              </w:rPr>
              <w:t>xv</w:t>
            </w:r>
            <w:r w:rsidR="005E55A2">
              <w:rPr>
                <w:noProof/>
                <w:webHidden/>
              </w:rPr>
              <w:fldChar w:fldCharType="end"/>
            </w:r>
          </w:hyperlink>
        </w:p>
        <w:p w14:paraId="5EAD6FED" w14:textId="070F26AF" w:rsidR="005E55A2" w:rsidRDefault="009E3F96">
          <w:pPr>
            <w:pStyle w:val="TOC1"/>
            <w:rPr>
              <w:rFonts w:eastAsiaTheme="minorEastAsia"/>
              <w:b w:val="0"/>
              <w:noProof/>
              <w:lang w:eastAsia="en-AU"/>
            </w:rPr>
          </w:pPr>
          <w:hyperlink w:anchor="_Toc94794213" w:history="1">
            <w:r w:rsidR="005E55A2" w:rsidRPr="00113BDC">
              <w:rPr>
                <w:rStyle w:val="Hyperlink"/>
                <w:noProof/>
              </w:rPr>
              <w:t>Key findings</w:t>
            </w:r>
            <w:r w:rsidR="005E55A2">
              <w:rPr>
                <w:noProof/>
                <w:webHidden/>
              </w:rPr>
              <w:tab/>
            </w:r>
            <w:r w:rsidR="005E55A2">
              <w:rPr>
                <w:noProof/>
                <w:webHidden/>
              </w:rPr>
              <w:fldChar w:fldCharType="begin"/>
            </w:r>
            <w:r w:rsidR="005E55A2">
              <w:rPr>
                <w:noProof/>
                <w:webHidden/>
              </w:rPr>
              <w:instrText xml:space="preserve"> PAGEREF _Toc94794213 \h </w:instrText>
            </w:r>
            <w:r w:rsidR="005E55A2">
              <w:rPr>
                <w:noProof/>
                <w:webHidden/>
              </w:rPr>
            </w:r>
            <w:r w:rsidR="005E55A2">
              <w:rPr>
                <w:noProof/>
                <w:webHidden/>
              </w:rPr>
              <w:fldChar w:fldCharType="separate"/>
            </w:r>
            <w:r>
              <w:rPr>
                <w:noProof/>
                <w:webHidden/>
              </w:rPr>
              <w:t>xv</w:t>
            </w:r>
            <w:r w:rsidR="005E55A2">
              <w:rPr>
                <w:noProof/>
                <w:webHidden/>
              </w:rPr>
              <w:fldChar w:fldCharType="end"/>
            </w:r>
          </w:hyperlink>
        </w:p>
        <w:p w14:paraId="3EABC46B" w14:textId="25397D47" w:rsidR="005E55A2" w:rsidRDefault="009E3F96">
          <w:pPr>
            <w:pStyle w:val="TOC2"/>
            <w:rPr>
              <w:rFonts w:eastAsiaTheme="minorEastAsia"/>
              <w:noProof/>
              <w:lang w:eastAsia="en-AU"/>
            </w:rPr>
          </w:pPr>
          <w:hyperlink w:anchor="_Toc94794214" w:history="1">
            <w:r w:rsidR="005E55A2" w:rsidRPr="00113BDC">
              <w:rPr>
                <w:rStyle w:val="Hyperlink"/>
                <w:noProof/>
              </w:rPr>
              <w:t>Was the THN pilot implemented as planned?</w:t>
            </w:r>
            <w:r w:rsidR="005E55A2">
              <w:rPr>
                <w:noProof/>
                <w:webHidden/>
              </w:rPr>
              <w:tab/>
            </w:r>
            <w:r w:rsidR="005E55A2">
              <w:rPr>
                <w:noProof/>
                <w:webHidden/>
              </w:rPr>
              <w:fldChar w:fldCharType="begin"/>
            </w:r>
            <w:r w:rsidR="005E55A2">
              <w:rPr>
                <w:noProof/>
                <w:webHidden/>
              </w:rPr>
              <w:instrText xml:space="preserve"> PAGEREF _Toc94794214 \h </w:instrText>
            </w:r>
            <w:r w:rsidR="005E55A2">
              <w:rPr>
                <w:noProof/>
                <w:webHidden/>
              </w:rPr>
            </w:r>
            <w:r w:rsidR="005E55A2">
              <w:rPr>
                <w:noProof/>
                <w:webHidden/>
              </w:rPr>
              <w:fldChar w:fldCharType="separate"/>
            </w:r>
            <w:r>
              <w:rPr>
                <w:noProof/>
                <w:webHidden/>
              </w:rPr>
              <w:t>xv</w:t>
            </w:r>
            <w:r w:rsidR="005E55A2">
              <w:rPr>
                <w:noProof/>
                <w:webHidden/>
              </w:rPr>
              <w:fldChar w:fldCharType="end"/>
            </w:r>
          </w:hyperlink>
        </w:p>
        <w:p w14:paraId="5E9B173C" w14:textId="60D4A162" w:rsidR="005E55A2" w:rsidRDefault="009E3F96">
          <w:pPr>
            <w:pStyle w:val="TOC2"/>
            <w:rPr>
              <w:rFonts w:eastAsiaTheme="minorEastAsia"/>
              <w:noProof/>
              <w:lang w:eastAsia="en-AU"/>
            </w:rPr>
          </w:pPr>
          <w:hyperlink w:anchor="_Toc94794215" w:history="1">
            <w:r w:rsidR="005E55A2" w:rsidRPr="00113BDC">
              <w:rPr>
                <w:rStyle w:val="Hyperlink"/>
                <w:noProof/>
              </w:rPr>
              <w:t>Did the THN Pilot achieve improved access?</w:t>
            </w:r>
            <w:r w:rsidR="005E55A2">
              <w:rPr>
                <w:noProof/>
                <w:webHidden/>
              </w:rPr>
              <w:tab/>
            </w:r>
            <w:r w:rsidR="005E55A2">
              <w:rPr>
                <w:noProof/>
                <w:webHidden/>
              </w:rPr>
              <w:fldChar w:fldCharType="begin"/>
            </w:r>
            <w:r w:rsidR="005E55A2">
              <w:rPr>
                <w:noProof/>
                <w:webHidden/>
              </w:rPr>
              <w:instrText xml:space="preserve"> PAGEREF _Toc94794215 \h </w:instrText>
            </w:r>
            <w:r w:rsidR="005E55A2">
              <w:rPr>
                <w:noProof/>
                <w:webHidden/>
              </w:rPr>
            </w:r>
            <w:r w:rsidR="005E55A2">
              <w:rPr>
                <w:noProof/>
                <w:webHidden/>
              </w:rPr>
              <w:fldChar w:fldCharType="separate"/>
            </w:r>
            <w:r>
              <w:rPr>
                <w:noProof/>
                <w:webHidden/>
              </w:rPr>
              <w:t>xvi</w:t>
            </w:r>
            <w:r w:rsidR="005E55A2">
              <w:rPr>
                <w:noProof/>
                <w:webHidden/>
              </w:rPr>
              <w:fldChar w:fldCharType="end"/>
            </w:r>
          </w:hyperlink>
        </w:p>
        <w:p w14:paraId="7ED734E1" w14:textId="28A10634" w:rsidR="005E55A2" w:rsidRDefault="009E3F96">
          <w:pPr>
            <w:pStyle w:val="TOC2"/>
            <w:rPr>
              <w:rFonts w:eastAsiaTheme="minorEastAsia"/>
              <w:noProof/>
              <w:lang w:eastAsia="en-AU"/>
            </w:rPr>
          </w:pPr>
          <w:hyperlink w:anchor="_Toc94794216" w:history="1">
            <w:r w:rsidR="005E55A2" w:rsidRPr="00113BDC">
              <w:rPr>
                <w:rStyle w:val="Hyperlink"/>
                <w:noProof/>
              </w:rPr>
              <w:t>What impact did increasing access have on the uptake and use of THN?</w:t>
            </w:r>
            <w:r w:rsidR="005E55A2">
              <w:rPr>
                <w:noProof/>
                <w:webHidden/>
              </w:rPr>
              <w:tab/>
            </w:r>
            <w:r w:rsidR="005E55A2">
              <w:rPr>
                <w:noProof/>
                <w:webHidden/>
              </w:rPr>
              <w:fldChar w:fldCharType="begin"/>
            </w:r>
            <w:r w:rsidR="005E55A2">
              <w:rPr>
                <w:noProof/>
                <w:webHidden/>
              </w:rPr>
              <w:instrText xml:space="preserve"> PAGEREF _Toc94794216 \h </w:instrText>
            </w:r>
            <w:r w:rsidR="005E55A2">
              <w:rPr>
                <w:noProof/>
                <w:webHidden/>
              </w:rPr>
            </w:r>
            <w:r w:rsidR="005E55A2">
              <w:rPr>
                <w:noProof/>
                <w:webHidden/>
              </w:rPr>
              <w:fldChar w:fldCharType="separate"/>
            </w:r>
            <w:r>
              <w:rPr>
                <w:noProof/>
                <w:webHidden/>
              </w:rPr>
              <w:t>xvi</w:t>
            </w:r>
            <w:r w:rsidR="005E55A2">
              <w:rPr>
                <w:noProof/>
                <w:webHidden/>
              </w:rPr>
              <w:fldChar w:fldCharType="end"/>
            </w:r>
          </w:hyperlink>
        </w:p>
        <w:p w14:paraId="2114A502" w14:textId="46378F9C" w:rsidR="005E55A2" w:rsidRDefault="009E3F96">
          <w:pPr>
            <w:pStyle w:val="TOC2"/>
            <w:rPr>
              <w:rFonts w:eastAsiaTheme="minorEastAsia"/>
              <w:noProof/>
              <w:lang w:eastAsia="en-AU"/>
            </w:rPr>
          </w:pPr>
          <w:hyperlink w:anchor="_Toc94794217" w:history="1">
            <w:r w:rsidR="005E55A2" w:rsidRPr="00113BDC">
              <w:rPr>
                <w:rStyle w:val="Hyperlink"/>
                <w:noProof/>
              </w:rPr>
              <w:t>What was the impact on access sites participating in the pilot?</w:t>
            </w:r>
            <w:r w:rsidR="005E55A2">
              <w:rPr>
                <w:noProof/>
                <w:webHidden/>
              </w:rPr>
              <w:tab/>
            </w:r>
            <w:r w:rsidR="005E55A2">
              <w:rPr>
                <w:noProof/>
                <w:webHidden/>
              </w:rPr>
              <w:fldChar w:fldCharType="begin"/>
            </w:r>
            <w:r w:rsidR="005E55A2">
              <w:rPr>
                <w:noProof/>
                <w:webHidden/>
              </w:rPr>
              <w:instrText xml:space="preserve"> PAGEREF _Toc94794217 \h </w:instrText>
            </w:r>
            <w:r w:rsidR="005E55A2">
              <w:rPr>
                <w:noProof/>
                <w:webHidden/>
              </w:rPr>
            </w:r>
            <w:r w:rsidR="005E55A2">
              <w:rPr>
                <w:noProof/>
                <w:webHidden/>
              </w:rPr>
              <w:fldChar w:fldCharType="separate"/>
            </w:r>
            <w:r>
              <w:rPr>
                <w:noProof/>
                <w:webHidden/>
              </w:rPr>
              <w:t>xvi</w:t>
            </w:r>
            <w:r w:rsidR="005E55A2">
              <w:rPr>
                <w:noProof/>
                <w:webHidden/>
              </w:rPr>
              <w:fldChar w:fldCharType="end"/>
            </w:r>
          </w:hyperlink>
        </w:p>
        <w:p w14:paraId="300B0E93" w14:textId="54E8B549" w:rsidR="005E55A2" w:rsidRDefault="009E3F96">
          <w:pPr>
            <w:pStyle w:val="TOC2"/>
            <w:rPr>
              <w:rFonts w:eastAsiaTheme="minorEastAsia"/>
              <w:noProof/>
              <w:lang w:eastAsia="en-AU"/>
            </w:rPr>
          </w:pPr>
          <w:hyperlink w:anchor="_Toc94794218" w:history="1">
            <w:r w:rsidR="005E55A2" w:rsidRPr="00113BDC">
              <w:rPr>
                <w:rStyle w:val="Hyperlink"/>
                <w:noProof/>
              </w:rPr>
              <w:t>Were there any barriers to increasing access and/or uptake of THN? How could these barriers be overcome?</w:t>
            </w:r>
            <w:r w:rsidR="005E55A2">
              <w:rPr>
                <w:noProof/>
                <w:webHidden/>
              </w:rPr>
              <w:tab/>
            </w:r>
            <w:r w:rsidR="005E55A2">
              <w:rPr>
                <w:noProof/>
                <w:webHidden/>
              </w:rPr>
              <w:fldChar w:fldCharType="begin"/>
            </w:r>
            <w:r w:rsidR="005E55A2">
              <w:rPr>
                <w:noProof/>
                <w:webHidden/>
              </w:rPr>
              <w:instrText xml:space="preserve"> PAGEREF _Toc94794218 \h </w:instrText>
            </w:r>
            <w:r w:rsidR="005E55A2">
              <w:rPr>
                <w:noProof/>
                <w:webHidden/>
              </w:rPr>
            </w:r>
            <w:r w:rsidR="005E55A2">
              <w:rPr>
                <w:noProof/>
                <w:webHidden/>
              </w:rPr>
              <w:fldChar w:fldCharType="separate"/>
            </w:r>
            <w:r>
              <w:rPr>
                <w:noProof/>
                <w:webHidden/>
              </w:rPr>
              <w:t>xvii</w:t>
            </w:r>
            <w:r w:rsidR="005E55A2">
              <w:rPr>
                <w:noProof/>
                <w:webHidden/>
              </w:rPr>
              <w:fldChar w:fldCharType="end"/>
            </w:r>
          </w:hyperlink>
        </w:p>
        <w:p w14:paraId="333AF6DE" w14:textId="59FCE2F5" w:rsidR="005E55A2" w:rsidRDefault="009E3F96">
          <w:pPr>
            <w:pStyle w:val="TOC2"/>
            <w:rPr>
              <w:rFonts w:eastAsiaTheme="minorEastAsia"/>
              <w:noProof/>
              <w:lang w:eastAsia="en-AU"/>
            </w:rPr>
          </w:pPr>
          <w:hyperlink w:anchor="_Toc94794219" w:history="1">
            <w:r w:rsidR="005E55A2" w:rsidRPr="00113BDC">
              <w:rPr>
                <w:rStyle w:val="Hyperlink"/>
                <w:noProof/>
              </w:rPr>
              <w:t>Were there any unintended consequences of increasing access to naloxone?</w:t>
            </w:r>
            <w:r w:rsidR="005E55A2">
              <w:rPr>
                <w:noProof/>
                <w:webHidden/>
              </w:rPr>
              <w:tab/>
            </w:r>
            <w:r w:rsidR="005E55A2">
              <w:rPr>
                <w:noProof/>
                <w:webHidden/>
              </w:rPr>
              <w:fldChar w:fldCharType="begin"/>
            </w:r>
            <w:r w:rsidR="005E55A2">
              <w:rPr>
                <w:noProof/>
                <w:webHidden/>
              </w:rPr>
              <w:instrText xml:space="preserve"> PAGEREF _Toc94794219 \h </w:instrText>
            </w:r>
            <w:r w:rsidR="005E55A2">
              <w:rPr>
                <w:noProof/>
                <w:webHidden/>
              </w:rPr>
            </w:r>
            <w:r w:rsidR="005E55A2">
              <w:rPr>
                <w:noProof/>
                <w:webHidden/>
              </w:rPr>
              <w:fldChar w:fldCharType="separate"/>
            </w:r>
            <w:r>
              <w:rPr>
                <w:noProof/>
                <w:webHidden/>
              </w:rPr>
              <w:t>xvii</w:t>
            </w:r>
            <w:r w:rsidR="005E55A2">
              <w:rPr>
                <w:noProof/>
                <w:webHidden/>
              </w:rPr>
              <w:fldChar w:fldCharType="end"/>
            </w:r>
          </w:hyperlink>
        </w:p>
        <w:p w14:paraId="781D77D7" w14:textId="28CAB94C" w:rsidR="005E55A2" w:rsidRDefault="009E3F96">
          <w:pPr>
            <w:pStyle w:val="TOC2"/>
            <w:rPr>
              <w:rFonts w:eastAsiaTheme="minorEastAsia"/>
              <w:noProof/>
              <w:lang w:eastAsia="en-AU"/>
            </w:rPr>
          </w:pPr>
          <w:hyperlink w:anchor="_Toc94794220" w:history="1">
            <w:r w:rsidR="005E55A2" w:rsidRPr="00113BDC">
              <w:rPr>
                <w:rStyle w:val="Hyperlink"/>
                <w:noProof/>
              </w:rPr>
              <w:t>What needs to be considered in relation to a national roll-out?</w:t>
            </w:r>
            <w:r w:rsidR="005E55A2">
              <w:rPr>
                <w:noProof/>
                <w:webHidden/>
              </w:rPr>
              <w:tab/>
            </w:r>
            <w:r w:rsidR="005E55A2">
              <w:rPr>
                <w:noProof/>
                <w:webHidden/>
              </w:rPr>
              <w:fldChar w:fldCharType="begin"/>
            </w:r>
            <w:r w:rsidR="005E55A2">
              <w:rPr>
                <w:noProof/>
                <w:webHidden/>
              </w:rPr>
              <w:instrText xml:space="preserve"> PAGEREF _Toc94794220 \h </w:instrText>
            </w:r>
            <w:r w:rsidR="005E55A2">
              <w:rPr>
                <w:noProof/>
                <w:webHidden/>
              </w:rPr>
            </w:r>
            <w:r w:rsidR="005E55A2">
              <w:rPr>
                <w:noProof/>
                <w:webHidden/>
              </w:rPr>
              <w:fldChar w:fldCharType="separate"/>
            </w:r>
            <w:r>
              <w:rPr>
                <w:noProof/>
                <w:webHidden/>
              </w:rPr>
              <w:t>xviii</w:t>
            </w:r>
            <w:r w:rsidR="005E55A2">
              <w:rPr>
                <w:noProof/>
                <w:webHidden/>
              </w:rPr>
              <w:fldChar w:fldCharType="end"/>
            </w:r>
          </w:hyperlink>
        </w:p>
        <w:p w14:paraId="1D8B611A" w14:textId="5464048E" w:rsidR="005E55A2" w:rsidRDefault="009E3F96">
          <w:pPr>
            <w:pStyle w:val="TOC2"/>
            <w:rPr>
              <w:rFonts w:eastAsiaTheme="minorEastAsia"/>
              <w:noProof/>
              <w:lang w:eastAsia="en-AU"/>
            </w:rPr>
          </w:pPr>
          <w:hyperlink w:anchor="_Toc94794221" w:history="1">
            <w:r w:rsidR="005E55A2" w:rsidRPr="00113BDC">
              <w:rPr>
                <w:rStyle w:val="Hyperlink"/>
                <w:noProof/>
                <w:lang w:eastAsia="en-AU"/>
              </w:rPr>
              <w:t>Conclusions</w:t>
            </w:r>
            <w:r w:rsidR="005E55A2">
              <w:rPr>
                <w:noProof/>
                <w:webHidden/>
              </w:rPr>
              <w:tab/>
            </w:r>
            <w:r w:rsidR="005E55A2">
              <w:rPr>
                <w:noProof/>
                <w:webHidden/>
              </w:rPr>
              <w:fldChar w:fldCharType="begin"/>
            </w:r>
            <w:r w:rsidR="005E55A2">
              <w:rPr>
                <w:noProof/>
                <w:webHidden/>
              </w:rPr>
              <w:instrText xml:space="preserve"> PAGEREF _Toc94794221 \h </w:instrText>
            </w:r>
            <w:r w:rsidR="005E55A2">
              <w:rPr>
                <w:noProof/>
                <w:webHidden/>
              </w:rPr>
            </w:r>
            <w:r w:rsidR="005E55A2">
              <w:rPr>
                <w:noProof/>
                <w:webHidden/>
              </w:rPr>
              <w:fldChar w:fldCharType="separate"/>
            </w:r>
            <w:r>
              <w:rPr>
                <w:noProof/>
                <w:webHidden/>
              </w:rPr>
              <w:t>xix</w:t>
            </w:r>
            <w:r w:rsidR="005E55A2">
              <w:rPr>
                <w:noProof/>
                <w:webHidden/>
              </w:rPr>
              <w:fldChar w:fldCharType="end"/>
            </w:r>
          </w:hyperlink>
        </w:p>
        <w:p w14:paraId="0718EECD" w14:textId="2840895C" w:rsidR="005E55A2" w:rsidRDefault="009E3F96">
          <w:pPr>
            <w:pStyle w:val="TOC1"/>
            <w:tabs>
              <w:tab w:val="left" w:pos="851"/>
            </w:tabs>
            <w:rPr>
              <w:rFonts w:eastAsiaTheme="minorEastAsia"/>
              <w:b w:val="0"/>
              <w:noProof/>
              <w:lang w:eastAsia="en-AU"/>
            </w:rPr>
          </w:pPr>
          <w:hyperlink w:anchor="_Toc94794222" w:history="1">
            <w:r w:rsidR="005E55A2" w:rsidRPr="00113BDC">
              <w:rPr>
                <w:rStyle w:val="Hyperlink"/>
                <w:noProof/>
              </w:rPr>
              <w:t>1.</w:t>
            </w:r>
            <w:r w:rsidR="005E55A2">
              <w:rPr>
                <w:rFonts w:eastAsiaTheme="minorEastAsia"/>
                <w:b w:val="0"/>
                <w:noProof/>
                <w:lang w:eastAsia="en-AU"/>
              </w:rPr>
              <w:tab/>
            </w:r>
            <w:r w:rsidR="005E55A2" w:rsidRPr="00113BDC">
              <w:rPr>
                <w:rStyle w:val="Hyperlink"/>
                <w:noProof/>
              </w:rPr>
              <w:t>Introduction</w:t>
            </w:r>
            <w:r w:rsidR="005E55A2">
              <w:rPr>
                <w:noProof/>
                <w:webHidden/>
              </w:rPr>
              <w:tab/>
            </w:r>
            <w:r w:rsidR="005E55A2">
              <w:rPr>
                <w:noProof/>
                <w:webHidden/>
              </w:rPr>
              <w:fldChar w:fldCharType="begin"/>
            </w:r>
            <w:r w:rsidR="005E55A2">
              <w:rPr>
                <w:noProof/>
                <w:webHidden/>
              </w:rPr>
              <w:instrText xml:space="preserve"> PAGEREF _Toc94794222 \h </w:instrText>
            </w:r>
            <w:r w:rsidR="005E55A2">
              <w:rPr>
                <w:noProof/>
                <w:webHidden/>
              </w:rPr>
            </w:r>
            <w:r w:rsidR="005E55A2">
              <w:rPr>
                <w:noProof/>
                <w:webHidden/>
              </w:rPr>
              <w:fldChar w:fldCharType="separate"/>
            </w:r>
            <w:r>
              <w:rPr>
                <w:noProof/>
                <w:webHidden/>
              </w:rPr>
              <w:t>1</w:t>
            </w:r>
            <w:r w:rsidR="005E55A2">
              <w:rPr>
                <w:noProof/>
                <w:webHidden/>
              </w:rPr>
              <w:fldChar w:fldCharType="end"/>
            </w:r>
          </w:hyperlink>
        </w:p>
        <w:p w14:paraId="628DE578" w14:textId="27787FF5" w:rsidR="005E55A2" w:rsidRDefault="009E3F96">
          <w:pPr>
            <w:pStyle w:val="TOC2"/>
            <w:tabs>
              <w:tab w:val="left" w:pos="851"/>
            </w:tabs>
            <w:rPr>
              <w:rFonts w:eastAsiaTheme="minorEastAsia"/>
              <w:noProof/>
              <w:lang w:eastAsia="en-AU"/>
            </w:rPr>
          </w:pPr>
          <w:hyperlink w:anchor="_Toc94794223" w:history="1">
            <w:r w:rsidR="005E55A2" w:rsidRPr="00113BDC">
              <w:rPr>
                <w:rStyle w:val="Hyperlink"/>
                <w:noProof/>
              </w:rPr>
              <w:t>1.1</w:t>
            </w:r>
            <w:r w:rsidR="005E55A2">
              <w:rPr>
                <w:rFonts w:eastAsiaTheme="minorEastAsia"/>
                <w:noProof/>
                <w:lang w:eastAsia="en-AU"/>
              </w:rPr>
              <w:tab/>
            </w:r>
            <w:r w:rsidR="005E55A2" w:rsidRPr="00113BDC">
              <w:rPr>
                <w:rStyle w:val="Hyperlink"/>
                <w:noProof/>
              </w:rPr>
              <w:t>Background</w:t>
            </w:r>
            <w:r w:rsidR="005E55A2">
              <w:rPr>
                <w:noProof/>
                <w:webHidden/>
              </w:rPr>
              <w:tab/>
            </w:r>
            <w:r w:rsidR="005E55A2">
              <w:rPr>
                <w:noProof/>
                <w:webHidden/>
              </w:rPr>
              <w:fldChar w:fldCharType="begin"/>
            </w:r>
            <w:r w:rsidR="005E55A2">
              <w:rPr>
                <w:noProof/>
                <w:webHidden/>
              </w:rPr>
              <w:instrText xml:space="preserve"> PAGEREF _Toc94794223 \h </w:instrText>
            </w:r>
            <w:r w:rsidR="005E55A2">
              <w:rPr>
                <w:noProof/>
                <w:webHidden/>
              </w:rPr>
            </w:r>
            <w:r w:rsidR="005E55A2">
              <w:rPr>
                <w:noProof/>
                <w:webHidden/>
              </w:rPr>
              <w:fldChar w:fldCharType="separate"/>
            </w:r>
            <w:r>
              <w:rPr>
                <w:noProof/>
                <w:webHidden/>
              </w:rPr>
              <w:t>1</w:t>
            </w:r>
            <w:r w:rsidR="005E55A2">
              <w:rPr>
                <w:noProof/>
                <w:webHidden/>
              </w:rPr>
              <w:fldChar w:fldCharType="end"/>
            </w:r>
          </w:hyperlink>
        </w:p>
        <w:p w14:paraId="78A912DE" w14:textId="24FEC9D5" w:rsidR="005E55A2" w:rsidRDefault="009E3F96">
          <w:pPr>
            <w:pStyle w:val="TOC3"/>
            <w:tabs>
              <w:tab w:val="left" w:pos="851"/>
            </w:tabs>
            <w:rPr>
              <w:rFonts w:eastAsiaTheme="minorEastAsia"/>
              <w:noProof/>
              <w:lang w:eastAsia="en-AU"/>
            </w:rPr>
          </w:pPr>
          <w:hyperlink w:anchor="_Toc94794224" w:history="1">
            <w:r w:rsidR="005E55A2" w:rsidRPr="00113BDC">
              <w:rPr>
                <w:rStyle w:val="Hyperlink"/>
                <w:noProof/>
              </w:rPr>
              <w:t>1.1.1</w:t>
            </w:r>
            <w:r w:rsidR="005E55A2">
              <w:rPr>
                <w:rFonts w:eastAsiaTheme="minorEastAsia"/>
                <w:noProof/>
                <w:lang w:eastAsia="en-AU"/>
              </w:rPr>
              <w:tab/>
            </w:r>
            <w:r w:rsidR="005E55A2" w:rsidRPr="00113BDC">
              <w:rPr>
                <w:rStyle w:val="Hyperlink"/>
                <w:noProof/>
              </w:rPr>
              <w:t>Ongoing risks and costs of opioid overdose in Australia</w:t>
            </w:r>
            <w:r w:rsidR="005E55A2">
              <w:rPr>
                <w:noProof/>
                <w:webHidden/>
              </w:rPr>
              <w:tab/>
            </w:r>
            <w:r w:rsidR="005E55A2">
              <w:rPr>
                <w:noProof/>
                <w:webHidden/>
              </w:rPr>
              <w:fldChar w:fldCharType="begin"/>
            </w:r>
            <w:r w:rsidR="005E55A2">
              <w:rPr>
                <w:noProof/>
                <w:webHidden/>
              </w:rPr>
              <w:instrText xml:space="preserve"> PAGEREF _Toc94794224 \h </w:instrText>
            </w:r>
            <w:r w:rsidR="005E55A2">
              <w:rPr>
                <w:noProof/>
                <w:webHidden/>
              </w:rPr>
            </w:r>
            <w:r w:rsidR="005E55A2">
              <w:rPr>
                <w:noProof/>
                <w:webHidden/>
              </w:rPr>
              <w:fldChar w:fldCharType="separate"/>
            </w:r>
            <w:r>
              <w:rPr>
                <w:noProof/>
                <w:webHidden/>
              </w:rPr>
              <w:t>2</w:t>
            </w:r>
            <w:r w:rsidR="005E55A2">
              <w:rPr>
                <w:noProof/>
                <w:webHidden/>
              </w:rPr>
              <w:fldChar w:fldCharType="end"/>
            </w:r>
          </w:hyperlink>
        </w:p>
        <w:p w14:paraId="0945CC88" w14:textId="4224B7AB" w:rsidR="005E55A2" w:rsidRDefault="009E3F96">
          <w:pPr>
            <w:pStyle w:val="TOC3"/>
            <w:tabs>
              <w:tab w:val="left" w:pos="851"/>
            </w:tabs>
            <w:rPr>
              <w:rFonts w:eastAsiaTheme="minorEastAsia"/>
              <w:noProof/>
              <w:lang w:eastAsia="en-AU"/>
            </w:rPr>
          </w:pPr>
          <w:hyperlink w:anchor="_Toc94794225" w:history="1">
            <w:r w:rsidR="005E55A2" w:rsidRPr="00113BDC">
              <w:rPr>
                <w:rStyle w:val="Hyperlink"/>
                <w:noProof/>
              </w:rPr>
              <w:t>1.1.2</w:t>
            </w:r>
            <w:r w:rsidR="005E55A2">
              <w:rPr>
                <w:rFonts w:eastAsiaTheme="minorEastAsia"/>
                <w:noProof/>
                <w:lang w:eastAsia="en-AU"/>
              </w:rPr>
              <w:tab/>
            </w:r>
            <w:r w:rsidR="005E55A2" w:rsidRPr="00113BDC">
              <w:rPr>
                <w:rStyle w:val="Hyperlink"/>
                <w:noProof/>
              </w:rPr>
              <w:t>Naloxone programs to address opioid overdose in community settings</w:t>
            </w:r>
            <w:r w:rsidR="005E55A2">
              <w:rPr>
                <w:noProof/>
                <w:webHidden/>
              </w:rPr>
              <w:tab/>
            </w:r>
            <w:r w:rsidR="005E55A2">
              <w:rPr>
                <w:noProof/>
                <w:webHidden/>
              </w:rPr>
              <w:fldChar w:fldCharType="begin"/>
            </w:r>
            <w:r w:rsidR="005E55A2">
              <w:rPr>
                <w:noProof/>
                <w:webHidden/>
              </w:rPr>
              <w:instrText xml:space="preserve"> PAGEREF _Toc94794225 \h </w:instrText>
            </w:r>
            <w:r w:rsidR="005E55A2">
              <w:rPr>
                <w:noProof/>
                <w:webHidden/>
              </w:rPr>
            </w:r>
            <w:r w:rsidR="005E55A2">
              <w:rPr>
                <w:noProof/>
                <w:webHidden/>
              </w:rPr>
              <w:fldChar w:fldCharType="separate"/>
            </w:r>
            <w:r>
              <w:rPr>
                <w:noProof/>
                <w:webHidden/>
              </w:rPr>
              <w:t>4</w:t>
            </w:r>
            <w:r w:rsidR="005E55A2">
              <w:rPr>
                <w:noProof/>
                <w:webHidden/>
              </w:rPr>
              <w:fldChar w:fldCharType="end"/>
            </w:r>
          </w:hyperlink>
        </w:p>
        <w:p w14:paraId="55C436E0" w14:textId="38596B1D" w:rsidR="005E55A2" w:rsidRDefault="009E3F96">
          <w:pPr>
            <w:pStyle w:val="TOC2"/>
            <w:tabs>
              <w:tab w:val="left" w:pos="851"/>
            </w:tabs>
            <w:rPr>
              <w:rFonts w:eastAsiaTheme="minorEastAsia"/>
              <w:noProof/>
              <w:lang w:eastAsia="en-AU"/>
            </w:rPr>
          </w:pPr>
          <w:hyperlink w:anchor="_Toc94794226" w:history="1">
            <w:r w:rsidR="005E55A2" w:rsidRPr="00113BDC">
              <w:rPr>
                <w:rStyle w:val="Hyperlink"/>
                <w:noProof/>
              </w:rPr>
              <w:t>1.2</w:t>
            </w:r>
            <w:r w:rsidR="005E55A2">
              <w:rPr>
                <w:rFonts w:eastAsiaTheme="minorEastAsia"/>
                <w:noProof/>
                <w:lang w:eastAsia="en-AU"/>
              </w:rPr>
              <w:tab/>
            </w:r>
            <w:r w:rsidR="005E55A2" w:rsidRPr="00113BDC">
              <w:rPr>
                <w:rStyle w:val="Hyperlink"/>
                <w:noProof/>
              </w:rPr>
              <w:t>Establishment of the PBS-Subsidised Take Home Naloxone Pilot</w:t>
            </w:r>
            <w:r w:rsidR="005E55A2">
              <w:rPr>
                <w:noProof/>
                <w:webHidden/>
              </w:rPr>
              <w:tab/>
            </w:r>
            <w:r w:rsidR="005E55A2">
              <w:rPr>
                <w:noProof/>
                <w:webHidden/>
              </w:rPr>
              <w:fldChar w:fldCharType="begin"/>
            </w:r>
            <w:r w:rsidR="005E55A2">
              <w:rPr>
                <w:noProof/>
                <w:webHidden/>
              </w:rPr>
              <w:instrText xml:space="preserve"> PAGEREF _Toc94794226 \h </w:instrText>
            </w:r>
            <w:r w:rsidR="005E55A2">
              <w:rPr>
                <w:noProof/>
                <w:webHidden/>
              </w:rPr>
            </w:r>
            <w:r w:rsidR="005E55A2">
              <w:rPr>
                <w:noProof/>
                <w:webHidden/>
              </w:rPr>
              <w:fldChar w:fldCharType="separate"/>
            </w:r>
            <w:r>
              <w:rPr>
                <w:noProof/>
                <w:webHidden/>
              </w:rPr>
              <w:t>7</w:t>
            </w:r>
            <w:r w:rsidR="005E55A2">
              <w:rPr>
                <w:noProof/>
                <w:webHidden/>
              </w:rPr>
              <w:fldChar w:fldCharType="end"/>
            </w:r>
          </w:hyperlink>
        </w:p>
        <w:p w14:paraId="637A156D" w14:textId="72E553A8" w:rsidR="005E55A2" w:rsidRDefault="009E3F96">
          <w:pPr>
            <w:pStyle w:val="TOC2"/>
            <w:tabs>
              <w:tab w:val="left" w:pos="851"/>
            </w:tabs>
            <w:rPr>
              <w:rFonts w:eastAsiaTheme="minorEastAsia"/>
              <w:noProof/>
              <w:lang w:eastAsia="en-AU"/>
            </w:rPr>
          </w:pPr>
          <w:hyperlink w:anchor="_Toc94794227" w:history="1">
            <w:r w:rsidR="005E55A2" w:rsidRPr="00113BDC">
              <w:rPr>
                <w:rStyle w:val="Hyperlink"/>
                <w:noProof/>
              </w:rPr>
              <w:t>1.3</w:t>
            </w:r>
            <w:r w:rsidR="005E55A2">
              <w:rPr>
                <w:rFonts w:eastAsiaTheme="minorEastAsia"/>
                <w:noProof/>
                <w:lang w:eastAsia="en-AU"/>
              </w:rPr>
              <w:tab/>
            </w:r>
            <w:r w:rsidR="005E55A2" w:rsidRPr="00113BDC">
              <w:rPr>
                <w:rStyle w:val="Hyperlink"/>
                <w:noProof/>
              </w:rPr>
              <w:t>Key evaluation questions and report structure</w:t>
            </w:r>
            <w:r w:rsidR="005E55A2">
              <w:rPr>
                <w:noProof/>
                <w:webHidden/>
              </w:rPr>
              <w:tab/>
            </w:r>
            <w:r w:rsidR="005E55A2">
              <w:rPr>
                <w:noProof/>
                <w:webHidden/>
              </w:rPr>
              <w:fldChar w:fldCharType="begin"/>
            </w:r>
            <w:r w:rsidR="005E55A2">
              <w:rPr>
                <w:noProof/>
                <w:webHidden/>
              </w:rPr>
              <w:instrText xml:space="preserve"> PAGEREF _Toc94794227 \h </w:instrText>
            </w:r>
            <w:r w:rsidR="005E55A2">
              <w:rPr>
                <w:noProof/>
                <w:webHidden/>
              </w:rPr>
            </w:r>
            <w:r w:rsidR="005E55A2">
              <w:rPr>
                <w:noProof/>
                <w:webHidden/>
              </w:rPr>
              <w:fldChar w:fldCharType="separate"/>
            </w:r>
            <w:r>
              <w:rPr>
                <w:noProof/>
                <w:webHidden/>
              </w:rPr>
              <w:t>8</w:t>
            </w:r>
            <w:r w:rsidR="005E55A2">
              <w:rPr>
                <w:noProof/>
                <w:webHidden/>
              </w:rPr>
              <w:fldChar w:fldCharType="end"/>
            </w:r>
          </w:hyperlink>
        </w:p>
        <w:p w14:paraId="5D94DF92" w14:textId="3C2F62E8" w:rsidR="005E55A2" w:rsidRDefault="009E3F96">
          <w:pPr>
            <w:pStyle w:val="TOC1"/>
            <w:tabs>
              <w:tab w:val="left" w:pos="851"/>
            </w:tabs>
            <w:rPr>
              <w:rFonts w:eastAsiaTheme="minorEastAsia"/>
              <w:b w:val="0"/>
              <w:noProof/>
              <w:lang w:eastAsia="en-AU"/>
            </w:rPr>
          </w:pPr>
          <w:hyperlink w:anchor="_Toc94794228" w:history="1">
            <w:r w:rsidR="005E55A2" w:rsidRPr="00113BDC">
              <w:rPr>
                <w:rStyle w:val="Hyperlink"/>
                <w:noProof/>
              </w:rPr>
              <w:t>2.</w:t>
            </w:r>
            <w:r w:rsidR="005E55A2">
              <w:rPr>
                <w:rFonts w:eastAsiaTheme="minorEastAsia"/>
                <w:b w:val="0"/>
                <w:noProof/>
                <w:lang w:eastAsia="en-AU"/>
              </w:rPr>
              <w:tab/>
            </w:r>
            <w:r w:rsidR="005E55A2" w:rsidRPr="00113BDC">
              <w:rPr>
                <w:rStyle w:val="Hyperlink"/>
                <w:noProof/>
              </w:rPr>
              <w:t>Overarching Evaluation Approach</w:t>
            </w:r>
            <w:r w:rsidR="005E55A2">
              <w:rPr>
                <w:noProof/>
                <w:webHidden/>
              </w:rPr>
              <w:tab/>
            </w:r>
            <w:r w:rsidR="005E55A2">
              <w:rPr>
                <w:noProof/>
                <w:webHidden/>
              </w:rPr>
              <w:fldChar w:fldCharType="begin"/>
            </w:r>
            <w:r w:rsidR="005E55A2">
              <w:rPr>
                <w:noProof/>
                <w:webHidden/>
              </w:rPr>
              <w:instrText xml:space="preserve"> PAGEREF _Toc94794228 \h </w:instrText>
            </w:r>
            <w:r w:rsidR="005E55A2">
              <w:rPr>
                <w:noProof/>
                <w:webHidden/>
              </w:rPr>
            </w:r>
            <w:r w:rsidR="005E55A2">
              <w:rPr>
                <w:noProof/>
                <w:webHidden/>
              </w:rPr>
              <w:fldChar w:fldCharType="separate"/>
            </w:r>
            <w:r>
              <w:rPr>
                <w:noProof/>
                <w:webHidden/>
              </w:rPr>
              <w:t>9</w:t>
            </w:r>
            <w:r w:rsidR="005E55A2">
              <w:rPr>
                <w:noProof/>
                <w:webHidden/>
              </w:rPr>
              <w:fldChar w:fldCharType="end"/>
            </w:r>
          </w:hyperlink>
        </w:p>
        <w:p w14:paraId="3351D03D" w14:textId="63B79E7E" w:rsidR="005E55A2" w:rsidRDefault="009E3F96">
          <w:pPr>
            <w:pStyle w:val="TOC2"/>
            <w:rPr>
              <w:rFonts w:eastAsiaTheme="minorEastAsia"/>
              <w:noProof/>
              <w:lang w:eastAsia="en-AU"/>
            </w:rPr>
          </w:pPr>
          <w:hyperlink w:anchor="_Toc94794229" w:history="1">
            <w:r w:rsidR="005E55A2" w:rsidRPr="00113BDC">
              <w:rPr>
                <w:rStyle w:val="Hyperlink"/>
                <w:noProof/>
              </w:rPr>
              <w:t>Key points</w:t>
            </w:r>
            <w:r w:rsidR="005E55A2">
              <w:rPr>
                <w:noProof/>
                <w:webHidden/>
              </w:rPr>
              <w:tab/>
            </w:r>
            <w:r w:rsidR="005E55A2">
              <w:rPr>
                <w:noProof/>
                <w:webHidden/>
              </w:rPr>
              <w:fldChar w:fldCharType="begin"/>
            </w:r>
            <w:r w:rsidR="005E55A2">
              <w:rPr>
                <w:noProof/>
                <w:webHidden/>
              </w:rPr>
              <w:instrText xml:space="preserve"> PAGEREF _Toc94794229 \h </w:instrText>
            </w:r>
            <w:r w:rsidR="005E55A2">
              <w:rPr>
                <w:noProof/>
                <w:webHidden/>
              </w:rPr>
            </w:r>
            <w:r w:rsidR="005E55A2">
              <w:rPr>
                <w:noProof/>
                <w:webHidden/>
              </w:rPr>
              <w:fldChar w:fldCharType="separate"/>
            </w:r>
            <w:r>
              <w:rPr>
                <w:noProof/>
                <w:webHidden/>
              </w:rPr>
              <w:t>9</w:t>
            </w:r>
            <w:r w:rsidR="005E55A2">
              <w:rPr>
                <w:noProof/>
                <w:webHidden/>
              </w:rPr>
              <w:fldChar w:fldCharType="end"/>
            </w:r>
          </w:hyperlink>
        </w:p>
        <w:p w14:paraId="64AE72B9" w14:textId="756B65C4" w:rsidR="005E55A2" w:rsidRDefault="009E3F96">
          <w:pPr>
            <w:pStyle w:val="TOC2"/>
            <w:tabs>
              <w:tab w:val="left" w:pos="851"/>
            </w:tabs>
            <w:rPr>
              <w:rFonts w:eastAsiaTheme="minorEastAsia"/>
              <w:noProof/>
              <w:lang w:eastAsia="en-AU"/>
            </w:rPr>
          </w:pPr>
          <w:hyperlink w:anchor="_Toc94794230" w:history="1">
            <w:r w:rsidR="005E55A2" w:rsidRPr="00113BDC">
              <w:rPr>
                <w:rStyle w:val="Hyperlink"/>
                <w:noProof/>
              </w:rPr>
              <w:t>2.1</w:t>
            </w:r>
            <w:r w:rsidR="005E55A2">
              <w:rPr>
                <w:rFonts w:eastAsiaTheme="minorEastAsia"/>
                <w:noProof/>
                <w:lang w:eastAsia="en-AU"/>
              </w:rPr>
              <w:tab/>
            </w:r>
            <w:r w:rsidR="005E55A2" w:rsidRPr="00113BDC">
              <w:rPr>
                <w:rStyle w:val="Hyperlink"/>
                <w:noProof/>
              </w:rPr>
              <w:t>Evaluation approach</w:t>
            </w:r>
            <w:r w:rsidR="005E55A2">
              <w:rPr>
                <w:noProof/>
                <w:webHidden/>
              </w:rPr>
              <w:tab/>
            </w:r>
            <w:r w:rsidR="005E55A2">
              <w:rPr>
                <w:noProof/>
                <w:webHidden/>
              </w:rPr>
              <w:fldChar w:fldCharType="begin"/>
            </w:r>
            <w:r w:rsidR="005E55A2">
              <w:rPr>
                <w:noProof/>
                <w:webHidden/>
              </w:rPr>
              <w:instrText xml:space="preserve"> PAGEREF _Toc94794230 \h </w:instrText>
            </w:r>
            <w:r w:rsidR="005E55A2">
              <w:rPr>
                <w:noProof/>
                <w:webHidden/>
              </w:rPr>
            </w:r>
            <w:r w:rsidR="005E55A2">
              <w:rPr>
                <w:noProof/>
                <w:webHidden/>
              </w:rPr>
              <w:fldChar w:fldCharType="separate"/>
            </w:r>
            <w:r>
              <w:rPr>
                <w:noProof/>
                <w:webHidden/>
              </w:rPr>
              <w:t>10</w:t>
            </w:r>
            <w:r w:rsidR="005E55A2">
              <w:rPr>
                <w:noProof/>
                <w:webHidden/>
              </w:rPr>
              <w:fldChar w:fldCharType="end"/>
            </w:r>
          </w:hyperlink>
        </w:p>
        <w:p w14:paraId="137416C0" w14:textId="7C82D39B" w:rsidR="005E55A2" w:rsidRDefault="009E3F96">
          <w:pPr>
            <w:pStyle w:val="TOC3"/>
            <w:tabs>
              <w:tab w:val="left" w:pos="851"/>
            </w:tabs>
            <w:rPr>
              <w:rFonts w:eastAsiaTheme="minorEastAsia"/>
              <w:noProof/>
              <w:lang w:eastAsia="en-AU"/>
            </w:rPr>
          </w:pPr>
          <w:hyperlink w:anchor="_Toc94794231" w:history="1">
            <w:r w:rsidR="005E55A2" w:rsidRPr="00113BDC">
              <w:rPr>
                <w:rStyle w:val="Hyperlink"/>
                <w:noProof/>
              </w:rPr>
              <w:t>2.1.1</w:t>
            </w:r>
            <w:r w:rsidR="005E55A2">
              <w:rPr>
                <w:rFonts w:eastAsiaTheme="minorEastAsia"/>
                <w:noProof/>
                <w:lang w:eastAsia="en-AU"/>
              </w:rPr>
              <w:tab/>
            </w:r>
            <w:r w:rsidR="005E55A2" w:rsidRPr="00113BDC">
              <w:rPr>
                <w:rStyle w:val="Hyperlink"/>
                <w:noProof/>
              </w:rPr>
              <w:t>Program Logic and Theory of Change</w:t>
            </w:r>
            <w:r w:rsidR="005E55A2">
              <w:rPr>
                <w:noProof/>
                <w:webHidden/>
              </w:rPr>
              <w:tab/>
            </w:r>
            <w:r w:rsidR="005E55A2">
              <w:rPr>
                <w:noProof/>
                <w:webHidden/>
              </w:rPr>
              <w:fldChar w:fldCharType="begin"/>
            </w:r>
            <w:r w:rsidR="005E55A2">
              <w:rPr>
                <w:noProof/>
                <w:webHidden/>
              </w:rPr>
              <w:instrText xml:space="preserve"> PAGEREF _Toc94794231 \h </w:instrText>
            </w:r>
            <w:r w:rsidR="005E55A2">
              <w:rPr>
                <w:noProof/>
                <w:webHidden/>
              </w:rPr>
            </w:r>
            <w:r w:rsidR="005E55A2">
              <w:rPr>
                <w:noProof/>
                <w:webHidden/>
              </w:rPr>
              <w:fldChar w:fldCharType="separate"/>
            </w:r>
            <w:r>
              <w:rPr>
                <w:noProof/>
                <w:webHidden/>
              </w:rPr>
              <w:t>10</w:t>
            </w:r>
            <w:r w:rsidR="005E55A2">
              <w:rPr>
                <w:noProof/>
                <w:webHidden/>
              </w:rPr>
              <w:fldChar w:fldCharType="end"/>
            </w:r>
          </w:hyperlink>
        </w:p>
        <w:p w14:paraId="67997AAC" w14:textId="4EE027F2" w:rsidR="005E55A2" w:rsidRDefault="009E3F96">
          <w:pPr>
            <w:pStyle w:val="TOC3"/>
            <w:tabs>
              <w:tab w:val="left" w:pos="851"/>
            </w:tabs>
            <w:rPr>
              <w:rFonts w:eastAsiaTheme="minorEastAsia"/>
              <w:noProof/>
              <w:lang w:eastAsia="en-AU"/>
            </w:rPr>
          </w:pPr>
          <w:hyperlink w:anchor="_Toc94794232" w:history="1">
            <w:r w:rsidR="005E55A2" w:rsidRPr="00113BDC">
              <w:rPr>
                <w:rStyle w:val="Hyperlink"/>
                <w:noProof/>
              </w:rPr>
              <w:t>2.1.2</w:t>
            </w:r>
            <w:r w:rsidR="005E55A2">
              <w:rPr>
                <w:rFonts w:eastAsiaTheme="minorEastAsia"/>
                <w:noProof/>
                <w:lang w:eastAsia="en-AU"/>
              </w:rPr>
              <w:tab/>
            </w:r>
            <w:r w:rsidR="005E55A2" w:rsidRPr="00113BDC">
              <w:rPr>
                <w:rStyle w:val="Hyperlink"/>
                <w:noProof/>
              </w:rPr>
              <w:t>Ethics</w:t>
            </w:r>
            <w:r w:rsidR="005E55A2">
              <w:rPr>
                <w:noProof/>
                <w:webHidden/>
              </w:rPr>
              <w:tab/>
            </w:r>
            <w:r w:rsidR="005E55A2">
              <w:rPr>
                <w:noProof/>
                <w:webHidden/>
              </w:rPr>
              <w:fldChar w:fldCharType="begin"/>
            </w:r>
            <w:r w:rsidR="005E55A2">
              <w:rPr>
                <w:noProof/>
                <w:webHidden/>
              </w:rPr>
              <w:instrText xml:space="preserve"> PAGEREF _Toc94794232 \h </w:instrText>
            </w:r>
            <w:r w:rsidR="005E55A2">
              <w:rPr>
                <w:noProof/>
                <w:webHidden/>
              </w:rPr>
            </w:r>
            <w:r w:rsidR="005E55A2">
              <w:rPr>
                <w:noProof/>
                <w:webHidden/>
              </w:rPr>
              <w:fldChar w:fldCharType="separate"/>
            </w:r>
            <w:r>
              <w:rPr>
                <w:noProof/>
                <w:webHidden/>
              </w:rPr>
              <w:t>13</w:t>
            </w:r>
            <w:r w:rsidR="005E55A2">
              <w:rPr>
                <w:noProof/>
                <w:webHidden/>
              </w:rPr>
              <w:fldChar w:fldCharType="end"/>
            </w:r>
          </w:hyperlink>
        </w:p>
        <w:p w14:paraId="0603F7CC" w14:textId="06B6121B" w:rsidR="005E55A2" w:rsidRDefault="009E3F96">
          <w:pPr>
            <w:pStyle w:val="TOC2"/>
            <w:tabs>
              <w:tab w:val="left" w:pos="851"/>
            </w:tabs>
            <w:rPr>
              <w:rFonts w:eastAsiaTheme="minorEastAsia"/>
              <w:noProof/>
              <w:lang w:eastAsia="en-AU"/>
            </w:rPr>
          </w:pPr>
          <w:hyperlink w:anchor="_Toc94794233" w:history="1">
            <w:r w:rsidR="005E55A2" w:rsidRPr="00113BDC">
              <w:rPr>
                <w:rStyle w:val="Hyperlink"/>
                <w:noProof/>
              </w:rPr>
              <w:t>2.2</w:t>
            </w:r>
            <w:r w:rsidR="005E55A2">
              <w:rPr>
                <w:rFonts w:eastAsiaTheme="minorEastAsia"/>
                <w:noProof/>
                <w:lang w:eastAsia="en-AU"/>
              </w:rPr>
              <w:tab/>
            </w:r>
            <w:r w:rsidR="005E55A2" w:rsidRPr="00113BDC">
              <w:rPr>
                <w:rStyle w:val="Hyperlink"/>
                <w:noProof/>
              </w:rPr>
              <w:t>Key evaluation activities</w:t>
            </w:r>
            <w:r w:rsidR="005E55A2">
              <w:rPr>
                <w:noProof/>
                <w:webHidden/>
              </w:rPr>
              <w:tab/>
            </w:r>
            <w:r w:rsidR="005E55A2">
              <w:rPr>
                <w:noProof/>
                <w:webHidden/>
              </w:rPr>
              <w:fldChar w:fldCharType="begin"/>
            </w:r>
            <w:r w:rsidR="005E55A2">
              <w:rPr>
                <w:noProof/>
                <w:webHidden/>
              </w:rPr>
              <w:instrText xml:space="preserve"> PAGEREF _Toc94794233 \h </w:instrText>
            </w:r>
            <w:r w:rsidR="005E55A2">
              <w:rPr>
                <w:noProof/>
                <w:webHidden/>
              </w:rPr>
            </w:r>
            <w:r w:rsidR="005E55A2">
              <w:rPr>
                <w:noProof/>
                <w:webHidden/>
              </w:rPr>
              <w:fldChar w:fldCharType="separate"/>
            </w:r>
            <w:r>
              <w:rPr>
                <w:noProof/>
                <w:webHidden/>
              </w:rPr>
              <w:t>13</w:t>
            </w:r>
            <w:r w:rsidR="005E55A2">
              <w:rPr>
                <w:noProof/>
                <w:webHidden/>
              </w:rPr>
              <w:fldChar w:fldCharType="end"/>
            </w:r>
          </w:hyperlink>
        </w:p>
        <w:p w14:paraId="61460262" w14:textId="045CA296" w:rsidR="005E55A2" w:rsidRDefault="009E3F96">
          <w:pPr>
            <w:pStyle w:val="TOC3"/>
            <w:tabs>
              <w:tab w:val="left" w:pos="851"/>
            </w:tabs>
            <w:rPr>
              <w:rFonts w:eastAsiaTheme="minorEastAsia"/>
              <w:noProof/>
              <w:lang w:eastAsia="en-AU"/>
            </w:rPr>
          </w:pPr>
          <w:hyperlink w:anchor="_Toc94794234" w:history="1">
            <w:r w:rsidR="005E55A2" w:rsidRPr="00113BDC">
              <w:rPr>
                <w:rStyle w:val="Hyperlink"/>
                <w:noProof/>
              </w:rPr>
              <w:t>2.2.1</w:t>
            </w:r>
            <w:r w:rsidR="005E55A2">
              <w:rPr>
                <w:rFonts w:eastAsiaTheme="minorEastAsia"/>
                <w:noProof/>
                <w:lang w:eastAsia="en-AU"/>
              </w:rPr>
              <w:tab/>
            </w:r>
            <w:r w:rsidR="005E55A2" w:rsidRPr="00113BDC">
              <w:rPr>
                <w:rStyle w:val="Hyperlink"/>
                <w:noProof/>
              </w:rPr>
              <w:t>Primary data collection</w:t>
            </w:r>
            <w:r w:rsidR="005E55A2">
              <w:rPr>
                <w:noProof/>
                <w:webHidden/>
              </w:rPr>
              <w:tab/>
            </w:r>
            <w:r w:rsidR="005E55A2">
              <w:rPr>
                <w:noProof/>
                <w:webHidden/>
              </w:rPr>
              <w:fldChar w:fldCharType="begin"/>
            </w:r>
            <w:r w:rsidR="005E55A2">
              <w:rPr>
                <w:noProof/>
                <w:webHidden/>
              </w:rPr>
              <w:instrText xml:space="preserve"> PAGEREF _Toc94794234 \h </w:instrText>
            </w:r>
            <w:r w:rsidR="005E55A2">
              <w:rPr>
                <w:noProof/>
                <w:webHidden/>
              </w:rPr>
            </w:r>
            <w:r w:rsidR="005E55A2">
              <w:rPr>
                <w:noProof/>
                <w:webHidden/>
              </w:rPr>
              <w:fldChar w:fldCharType="separate"/>
            </w:r>
            <w:r>
              <w:rPr>
                <w:noProof/>
                <w:webHidden/>
              </w:rPr>
              <w:t>13</w:t>
            </w:r>
            <w:r w:rsidR="005E55A2">
              <w:rPr>
                <w:noProof/>
                <w:webHidden/>
              </w:rPr>
              <w:fldChar w:fldCharType="end"/>
            </w:r>
          </w:hyperlink>
        </w:p>
        <w:p w14:paraId="55D6490F" w14:textId="0A8B0981" w:rsidR="005E55A2" w:rsidRDefault="009E3F96">
          <w:pPr>
            <w:pStyle w:val="TOC3"/>
            <w:tabs>
              <w:tab w:val="left" w:pos="851"/>
            </w:tabs>
            <w:rPr>
              <w:rFonts w:eastAsiaTheme="minorEastAsia"/>
              <w:noProof/>
              <w:lang w:eastAsia="en-AU"/>
            </w:rPr>
          </w:pPr>
          <w:hyperlink w:anchor="_Toc94794235" w:history="1">
            <w:r w:rsidR="005E55A2" w:rsidRPr="00113BDC">
              <w:rPr>
                <w:rStyle w:val="Hyperlink"/>
                <w:noProof/>
              </w:rPr>
              <w:t>2.2.2</w:t>
            </w:r>
            <w:r w:rsidR="005E55A2">
              <w:rPr>
                <w:rFonts w:eastAsiaTheme="minorEastAsia"/>
                <w:noProof/>
                <w:lang w:eastAsia="en-AU"/>
              </w:rPr>
              <w:tab/>
            </w:r>
            <w:r w:rsidR="005E55A2" w:rsidRPr="00113BDC">
              <w:rPr>
                <w:rStyle w:val="Hyperlink"/>
                <w:noProof/>
              </w:rPr>
              <w:t>Point of supply data</w:t>
            </w:r>
            <w:r w:rsidR="005E55A2">
              <w:rPr>
                <w:noProof/>
                <w:webHidden/>
              </w:rPr>
              <w:tab/>
            </w:r>
            <w:r w:rsidR="005E55A2">
              <w:rPr>
                <w:noProof/>
                <w:webHidden/>
              </w:rPr>
              <w:fldChar w:fldCharType="begin"/>
            </w:r>
            <w:r w:rsidR="005E55A2">
              <w:rPr>
                <w:noProof/>
                <w:webHidden/>
              </w:rPr>
              <w:instrText xml:space="preserve"> PAGEREF _Toc94794235 \h </w:instrText>
            </w:r>
            <w:r w:rsidR="005E55A2">
              <w:rPr>
                <w:noProof/>
                <w:webHidden/>
              </w:rPr>
            </w:r>
            <w:r w:rsidR="005E55A2">
              <w:rPr>
                <w:noProof/>
                <w:webHidden/>
              </w:rPr>
              <w:fldChar w:fldCharType="separate"/>
            </w:r>
            <w:r>
              <w:rPr>
                <w:noProof/>
                <w:webHidden/>
              </w:rPr>
              <w:t>15</w:t>
            </w:r>
            <w:r w:rsidR="005E55A2">
              <w:rPr>
                <w:noProof/>
                <w:webHidden/>
              </w:rPr>
              <w:fldChar w:fldCharType="end"/>
            </w:r>
          </w:hyperlink>
        </w:p>
        <w:p w14:paraId="18BDAE07" w14:textId="37EA12AA" w:rsidR="005E55A2" w:rsidRDefault="009E3F96">
          <w:pPr>
            <w:pStyle w:val="TOC3"/>
            <w:tabs>
              <w:tab w:val="left" w:pos="851"/>
            </w:tabs>
            <w:rPr>
              <w:rFonts w:eastAsiaTheme="minorEastAsia"/>
              <w:noProof/>
              <w:lang w:eastAsia="en-AU"/>
            </w:rPr>
          </w:pPr>
          <w:hyperlink w:anchor="_Toc94794236" w:history="1">
            <w:r w:rsidR="005E55A2" w:rsidRPr="00113BDC">
              <w:rPr>
                <w:rStyle w:val="Hyperlink"/>
                <w:noProof/>
              </w:rPr>
              <w:t>2.2.3</w:t>
            </w:r>
            <w:r w:rsidR="005E55A2">
              <w:rPr>
                <w:rFonts w:eastAsiaTheme="minorEastAsia"/>
                <w:noProof/>
                <w:lang w:eastAsia="en-AU"/>
              </w:rPr>
              <w:tab/>
            </w:r>
            <w:r w:rsidR="005E55A2" w:rsidRPr="00113BDC">
              <w:rPr>
                <w:rStyle w:val="Hyperlink"/>
                <w:noProof/>
              </w:rPr>
              <w:t>Consultations</w:t>
            </w:r>
            <w:r w:rsidR="005E55A2">
              <w:rPr>
                <w:noProof/>
                <w:webHidden/>
              </w:rPr>
              <w:tab/>
            </w:r>
            <w:r w:rsidR="005E55A2">
              <w:rPr>
                <w:noProof/>
                <w:webHidden/>
              </w:rPr>
              <w:fldChar w:fldCharType="begin"/>
            </w:r>
            <w:r w:rsidR="005E55A2">
              <w:rPr>
                <w:noProof/>
                <w:webHidden/>
              </w:rPr>
              <w:instrText xml:space="preserve"> PAGEREF _Toc94794236 \h </w:instrText>
            </w:r>
            <w:r w:rsidR="005E55A2">
              <w:rPr>
                <w:noProof/>
                <w:webHidden/>
              </w:rPr>
            </w:r>
            <w:r w:rsidR="005E55A2">
              <w:rPr>
                <w:noProof/>
                <w:webHidden/>
              </w:rPr>
              <w:fldChar w:fldCharType="separate"/>
            </w:r>
            <w:r>
              <w:rPr>
                <w:noProof/>
                <w:webHidden/>
              </w:rPr>
              <w:t>15</w:t>
            </w:r>
            <w:r w:rsidR="005E55A2">
              <w:rPr>
                <w:noProof/>
                <w:webHidden/>
              </w:rPr>
              <w:fldChar w:fldCharType="end"/>
            </w:r>
          </w:hyperlink>
        </w:p>
        <w:p w14:paraId="3FC9F366" w14:textId="3C38015F" w:rsidR="005E55A2" w:rsidRDefault="009E3F96">
          <w:pPr>
            <w:pStyle w:val="TOC3"/>
            <w:tabs>
              <w:tab w:val="left" w:pos="851"/>
            </w:tabs>
            <w:rPr>
              <w:rFonts w:eastAsiaTheme="minorEastAsia"/>
              <w:noProof/>
              <w:lang w:eastAsia="en-AU"/>
            </w:rPr>
          </w:pPr>
          <w:hyperlink w:anchor="_Toc94794237" w:history="1">
            <w:r w:rsidR="005E55A2" w:rsidRPr="00113BDC">
              <w:rPr>
                <w:rStyle w:val="Hyperlink"/>
                <w:noProof/>
              </w:rPr>
              <w:t>2.2.4</w:t>
            </w:r>
            <w:r w:rsidR="005E55A2">
              <w:rPr>
                <w:rFonts w:eastAsiaTheme="minorEastAsia"/>
                <w:noProof/>
                <w:lang w:eastAsia="en-AU"/>
              </w:rPr>
              <w:tab/>
            </w:r>
            <w:r w:rsidR="005E55A2" w:rsidRPr="00113BDC">
              <w:rPr>
                <w:rStyle w:val="Hyperlink"/>
                <w:noProof/>
              </w:rPr>
              <w:t>Analysis of research and administrative data</w:t>
            </w:r>
            <w:r w:rsidR="005E55A2">
              <w:rPr>
                <w:noProof/>
                <w:webHidden/>
              </w:rPr>
              <w:tab/>
            </w:r>
            <w:r w:rsidR="005E55A2">
              <w:rPr>
                <w:noProof/>
                <w:webHidden/>
              </w:rPr>
              <w:fldChar w:fldCharType="begin"/>
            </w:r>
            <w:r w:rsidR="005E55A2">
              <w:rPr>
                <w:noProof/>
                <w:webHidden/>
              </w:rPr>
              <w:instrText xml:space="preserve"> PAGEREF _Toc94794237 \h </w:instrText>
            </w:r>
            <w:r w:rsidR="005E55A2">
              <w:rPr>
                <w:noProof/>
                <w:webHidden/>
              </w:rPr>
            </w:r>
            <w:r w:rsidR="005E55A2">
              <w:rPr>
                <w:noProof/>
                <w:webHidden/>
              </w:rPr>
              <w:fldChar w:fldCharType="separate"/>
            </w:r>
            <w:r>
              <w:rPr>
                <w:noProof/>
                <w:webHidden/>
              </w:rPr>
              <w:t>15</w:t>
            </w:r>
            <w:r w:rsidR="005E55A2">
              <w:rPr>
                <w:noProof/>
                <w:webHidden/>
              </w:rPr>
              <w:fldChar w:fldCharType="end"/>
            </w:r>
          </w:hyperlink>
        </w:p>
        <w:p w14:paraId="418B5404" w14:textId="4B998F5E" w:rsidR="005E55A2" w:rsidRDefault="009E3F96">
          <w:pPr>
            <w:pStyle w:val="TOC3"/>
            <w:tabs>
              <w:tab w:val="left" w:pos="851"/>
            </w:tabs>
            <w:rPr>
              <w:rFonts w:eastAsiaTheme="minorEastAsia"/>
              <w:noProof/>
              <w:lang w:eastAsia="en-AU"/>
            </w:rPr>
          </w:pPr>
          <w:hyperlink w:anchor="_Toc94794238" w:history="1">
            <w:r w:rsidR="005E55A2" w:rsidRPr="00113BDC">
              <w:rPr>
                <w:rStyle w:val="Hyperlink"/>
                <w:noProof/>
              </w:rPr>
              <w:t>2.2.5</w:t>
            </w:r>
            <w:r w:rsidR="005E55A2">
              <w:rPr>
                <w:rFonts w:eastAsiaTheme="minorEastAsia"/>
                <w:noProof/>
                <w:lang w:eastAsia="en-AU"/>
              </w:rPr>
              <w:tab/>
            </w:r>
            <w:r w:rsidR="005E55A2" w:rsidRPr="00113BDC">
              <w:rPr>
                <w:rStyle w:val="Hyperlink"/>
                <w:noProof/>
              </w:rPr>
              <w:t>Environmental scanning</w:t>
            </w:r>
            <w:r w:rsidR="005E55A2">
              <w:rPr>
                <w:noProof/>
                <w:webHidden/>
              </w:rPr>
              <w:tab/>
            </w:r>
            <w:r w:rsidR="005E55A2">
              <w:rPr>
                <w:noProof/>
                <w:webHidden/>
              </w:rPr>
              <w:fldChar w:fldCharType="begin"/>
            </w:r>
            <w:r w:rsidR="005E55A2">
              <w:rPr>
                <w:noProof/>
                <w:webHidden/>
              </w:rPr>
              <w:instrText xml:space="preserve"> PAGEREF _Toc94794238 \h </w:instrText>
            </w:r>
            <w:r w:rsidR="005E55A2">
              <w:rPr>
                <w:noProof/>
                <w:webHidden/>
              </w:rPr>
            </w:r>
            <w:r w:rsidR="005E55A2">
              <w:rPr>
                <w:noProof/>
                <w:webHidden/>
              </w:rPr>
              <w:fldChar w:fldCharType="separate"/>
            </w:r>
            <w:r>
              <w:rPr>
                <w:noProof/>
                <w:webHidden/>
              </w:rPr>
              <w:t>16</w:t>
            </w:r>
            <w:r w:rsidR="005E55A2">
              <w:rPr>
                <w:noProof/>
                <w:webHidden/>
              </w:rPr>
              <w:fldChar w:fldCharType="end"/>
            </w:r>
          </w:hyperlink>
        </w:p>
        <w:p w14:paraId="1922EDA1" w14:textId="7FE36B9C" w:rsidR="005E55A2" w:rsidRDefault="009E3F96">
          <w:pPr>
            <w:pStyle w:val="TOC3"/>
            <w:tabs>
              <w:tab w:val="left" w:pos="851"/>
            </w:tabs>
            <w:rPr>
              <w:rFonts w:eastAsiaTheme="minorEastAsia"/>
              <w:noProof/>
              <w:lang w:eastAsia="en-AU"/>
            </w:rPr>
          </w:pPr>
          <w:hyperlink w:anchor="_Toc94794239" w:history="1">
            <w:r w:rsidR="005E55A2" w:rsidRPr="00113BDC">
              <w:rPr>
                <w:rStyle w:val="Hyperlink"/>
                <w:noProof/>
              </w:rPr>
              <w:t>2.2.6</w:t>
            </w:r>
            <w:r w:rsidR="005E55A2">
              <w:rPr>
                <w:rFonts w:eastAsiaTheme="minorEastAsia"/>
                <w:noProof/>
                <w:lang w:eastAsia="en-AU"/>
              </w:rPr>
              <w:tab/>
            </w:r>
            <w:r w:rsidR="005E55A2" w:rsidRPr="00113BDC">
              <w:rPr>
                <w:rStyle w:val="Hyperlink"/>
                <w:noProof/>
              </w:rPr>
              <w:t>Review of indicator matrix</w:t>
            </w:r>
            <w:r w:rsidR="005E55A2">
              <w:rPr>
                <w:noProof/>
                <w:webHidden/>
              </w:rPr>
              <w:tab/>
            </w:r>
            <w:r w:rsidR="005E55A2">
              <w:rPr>
                <w:noProof/>
                <w:webHidden/>
              </w:rPr>
              <w:fldChar w:fldCharType="begin"/>
            </w:r>
            <w:r w:rsidR="005E55A2">
              <w:rPr>
                <w:noProof/>
                <w:webHidden/>
              </w:rPr>
              <w:instrText xml:space="preserve"> PAGEREF _Toc94794239 \h </w:instrText>
            </w:r>
            <w:r w:rsidR="005E55A2">
              <w:rPr>
                <w:noProof/>
                <w:webHidden/>
              </w:rPr>
            </w:r>
            <w:r w:rsidR="005E55A2">
              <w:rPr>
                <w:noProof/>
                <w:webHidden/>
              </w:rPr>
              <w:fldChar w:fldCharType="separate"/>
            </w:r>
            <w:r>
              <w:rPr>
                <w:noProof/>
                <w:webHidden/>
              </w:rPr>
              <w:t>16</w:t>
            </w:r>
            <w:r w:rsidR="005E55A2">
              <w:rPr>
                <w:noProof/>
                <w:webHidden/>
              </w:rPr>
              <w:fldChar w:fldCharType="end"/>
            </w:r>
          </w:hyperlink>
        </w:p>
        <w:p w14:paraId="6C02FA99" w14:textId="35B607E8" w:rsidR="005E55A2" w:rsidRDefault="009E3F96">
          <w:pPr>
            <w:pStyle w:val="TOC2"/>
            <w:rPr>
              <w:rFonts w:eastAsiaTheme="minorEastAsia"/>
              <w:noProof/>
              <w:lang w:eastAsia="en-AU"/>
            </w:rPr>
          </w:pPr>
          <w:hyperlink w:anchor="_Toc94794240" w:history="1">
            <w:r w:rsidR="005E55A2" w:rsidRPr="00113BDC">
              <w:rPr>
                <w:rStyle w:val="Hyperlink"/>
                <w:noProof/>
              </w:rPr>
              <w:t>Impacts of COVID-19 on evaluation activities</w:t>
            </w:r>
            <w:r w:rsidR="005E55A2">
              <w:rPr>
                <w:noProof/>
                <w:webHidden/>
              </w:rPr>
              <w:tab/>
            </w:r>
            <w:r w:rsidR="005E55A2">
              <w:rPr>
                <w:noProof/>
                <w:webHidden/>
              </w:rPr>
              <w:fldChar w:fldCharType="begin"/>
            </w:r>
            <w:r w:rsidR="005E55A2">
              <w:rPr>
                <w:noProof/>
                <w:webHidden/>
              </w:rPr>
              <w:instrText xml:space="preserve"> PAGEREF _Toc94794240 \h </w:instrText>
            </w:r>
            <w:r w:rsidR="005E55A2">
              <w:rPr>
                <w:noProof/>
                <w:webHidden/>
              </w:rPr>
            </w:r>
            <w:r w:rsidR="005E55A2">
              <w:rPr>
                <w:noProof/>
                <w:webHidden/>
              </w:rPr>
              <w:fldChar w:fldCharType="separate"/>
            </w:r>
            <w:r>
              <w:rPr>
                <w:noProof/>
                <w:webHidden/>
              </w:rPr>
              <w:t>17</w:t>
            </w:r>
            <w:r w:rsidR="005E55A2">
              <w:rPr>
                <w:noProof/>
                <w:webHidden/>
              </w:rPr>
              <w:fldChar w:fldCharType="end"/>
            </w:r>
          </w:hyperlink>
        </w:p>
        <w:p w14:paraId="4954B9DD" w14:textId="387E8614" w:rsidR="005E55A2" w:rsidRDefault="009E3F96">
          <w:pPr>
            <w:pStyle w:val="TOC1"/>
            <w:tabs>
              <w:tab w:val="left" w:pos="851"/>
            </w:tabs>
            <w:rPr>
              <w:rFonts w:eastAsiaTheme="minorEastAsia"/>
              <w:b w:val="0"/>
              <w:noProof/>
              <w:lang w:eastAsia="en-AU"/>
            </w:rPr>
          </w:pPr>
          <w:hyperlink w:anchor="_Toc94794241" w:history="1">
            <w:r w:rsidR="005E55A2" w:rsidRPr="00113BDC">
              <w:rPr>
                <w:rStyle w:val="Hyperlink"/>
                <w:noProof/>
              </w:rPr>
              <w:t>3.</w:t>
            </w:r>
            <w:r w:rsidR="005E55A2">
              <w:rPr>
                <w:rFonts w:eastAsiaTheme="minorEastAsia"/>
                <w:b w:val="0"/>
                <w:noProof/>
                <w:lang w:eastAsia="en-AU"/>
              </w:rPr>
              <w:tab/>
            </w:r>
            <w:r w:rsidR="005E55A2" w:rsidRPr="00113BDC">
              <w:rPr>
                <w:rStyle w:val="Hyperlink"/>
                <w:noProof/>
              </w:rPr>
              <w:t>Was the THN Pilot implemented as planned?</w:t>
            </w:r>
            <w:r w:rsidR="005E55A2">
              <w:rPr>
                <w:noProof/>
                <w:webHidden/>
              </w:rPr>
              <w:tab/>
            </w:r>
            <w:r w:rsidR="005E55A2">
              <w:rPr>
                <w:noProof/>
                <w:webHidden/>
              </w:rPr>
              <w:fldChar w:fldCharType="begin"/>
            </w:r>
            <w:r w:rsidR="005E55A2">
              <w:rPr>
                <w:noProof/>
                <w:webHidden/>
              </w:rPr>
              <w:instrText xml:space="preserve"> PAGEREF _Toc94794241 \h </w:instrText>
            </w:r>
            <w:r w:rsidR="005E55A2">
              <w:rPr>
                <w:noProof/>
                <w:webHidden/>
              </w:rPr>
            </w:r>
            <w:r w:rsidR="005E55A2">
              <w:rPr>
                <w:noProof/>
                <w:webHidden/>
              </w:rPr>
              <w:fldChar w:fldCharType="separate"/>
            </w:r>
            <w:r>
              <w:rPr>
                <w:noProof/>
                <w:webHidden/>
              </w:rPr>
              <w:t>18</w:t>
            </w:r>
            <w:r w:rsidR="005E55A2">
              <w:rPr>
                <w:noProof/>
                <w:webHidden/>
              </w:rPr>
              <w:fldChar w:fldCharType="end"/>
            </w:r>
          </w:hyperlink>
        </w:p>
        <w:p w14:paraId="526B3DE8" w14:textId="76A3CB67" w:rsidR="005E55A2" w:rsidRDefault="009E3F96">
          <w:pPr>
            <w:pStyle w:val="TOC2"/>
            <w:rPr>
              <w:rFonts w:eastAsiaTheme="minorEastAsia"/>
              <w:noProof/>
              <w:lang w:eastAsia="en-AU"/>
            </w:rPr>
          </w:pPr>
          <w:hyperlink w:anchor="_Toc94794242" w:history="1">
            <w:r w:rsidR="005E55A2" w:rsidRPr="00113BDC">
              <w:rPr>
                <w:rStyle w:val="Hyperlink"/>
                <w:noProof/>
                <w:lang w:eastAsia="en-AU"/>
              </w:rPr>
              <w:t>Key points</w:t>
            </w:r>
            <w:r w:rsidR="005E55A2">
              <w:rPr>
                <w:noProof/>
                <w:webHidden/>
              </w:rPr>
              <w:tab/>
            </w:r>
            <w:r w:rsidR="005E55A2">
              <w:rPr>
                <w:noProof/>
                <w:webHidden/>
              </w:rPr>
              <w:fldChar w:fldCharType="begin"/>
            </w:r>
            <w:r w:rsidR="005E55A2">
              <w:rPr>
                <w:noProof/>
                <w:webHidden/>
              </w:rPr>
              <w:instrText xml:space="preserve"> PAGEREF _Toc94794242 \h </w:instrText>
            </w:r>
            <w:r w:rsidR="005E55A2">
              <w:rPr>
                <w:noProof/>
                <w:webHidden/>
              </w:rPr>
            </w:r>
            <w:r w:rsidR="005E55A2">
              <w:rPr>
                <w:noProof/>
                <w:webHidden/>
              </w:rPr>
              <w:fldChar w:fldCharType="separate"/>
            </w:r>
            <w:r>
              <w:rPr>
                <w:noProof/>
                <w:webHidden/>
              </w:rPr>
              <w:t>18</w:t>
            </w:r>
            <w:r w:rsidR="005E55A2">
              <w:rPr>
                <w:noProof/>
                <w:webHidden/>
              </w:rPr>
              <w:fldChar w:fldCharType="end"/>
            </w:r>
          </w:hyperlink>
        </w:p>
        <w:p w14:paraId="7732D953" w14:textId="296DAE2A" w:rsidR="005E55A2" w:rsidRDefault="009E3F96">
          <w:pPr>
            <w:pStyle w:val="TOC3"/>
            <w:tabs>
              <w:tab w:val="left" w:pos="851"/>
            </w:tabs>
            <w:rPr>
              <w:rFonts w:eastAsiaTheme="minorEastAsia"/>
              <w:noProof/>
              <w:lang w:eastAsia="en-AU"/>
            </w:rPr>
          </w:pPr>
          <w:hyperlink w:anchor="_Toc94794243" w:history="1">
            <w:r w:rsidR="005E55A2" w:rsidRPr="00113BDC">
              <w:rPr>
                <w:rStyle w:val="Hyperlink"/>
                <w:noProof/>
              </w:rPr>
              <w:t>3.1.1</w:t>
            </w:r>
            <w:r w:rsidR="005E55A2">
              <w:rPr>
                <w:rFonts w:eastAsiaTheme="minorEastAsia"/>
                <w:noProof/>
                <w:lang w:eastAsia="en-AU"/>
              </w:rPr>
              <w:tab/>
            </w:r>
            <w:r w:rsidR="005E55A2" w:rsidRPr="00113BDC">
              <w:rPr>
                <w:rStyle w:val="Hyperlink"/>
                <w:noProof/>
              </w:rPr>
              <w:t>Funding and legislation</w:t>
            </w:r>
            <w:r w:rsidR="005E55A2">
              <w:rPr>
                <w:noProof/>
                <w:webHidden/>
              </w:rPr>
              <w:tab/>
            </w:r>
            <w:r w:rsidR="005E55A2">
              <w:rPr>
                <w:noProof/>
                <w:webHidden/>
              </w:rPr>
              <w:fldChar w:fldCharType="begin"/>
            </w:r>
            <w:r w:rsidR="005E55A2">
              <w:rPr>
                <w:noProof/>
                <w:webHidden/>
              </w:rPr>
              <w:instrText xml:space="preserve"> PAGEREF _Toc94794243 \h </w:instrText>
            </w:r>
            <w:r w:rsidR="005E55A2">
              <w:rPr>
                <w:noProof/>
                <w:webHidden/>
              </w:rPr>
            </w:r>
            <w:r w:rsidR="005E55A2">
              <w:rPr>
                <w:noProof/>
                <w:webHidden/>
              </w:rPr>
              <w:fldChar w:fldCharType="separate"/>
            </w:r>
            <w:r>
              <w:rPr>
                <w:noProof/>
                <w:webHidden/>
              </w:rPr>
              <w:t>19</w:t>
            </w:r>
            <w:r w:rsidR="005E55A2">
              <w:rPr>
                <w:noProof/>
                <w:webHidden/>
              </w:rPr>
              <w:fldChar w:fldCharType="end"/>
            </w:r>
          </w:hyperlink>
        </w:p>
        <w:p w14:paraId="74C84281" w14:textId="5DAF1D97" w:rsidR="005E55A2" w:rsidRDefault="009E3F96">
          <w:pPr>
            <w:pStyle w:val="TOC3"/>
            <w:tabs>
              <w:tab w:val="left" w:pos="851"/>
            </w:tabs>
            <w:rPr>
              <w:rFonts w:eastAsiaTheme="minorEastAsia"/>
              <w:noProof/>
              <w:lang w:eastAsia="en-AU"/>
            </w:rPr>
          </w:pPr>
          <w:hyperlink w:anchor="_Toc94794244" w:history="1">
            <w:r w:rsidR="005E55A2" w:rsidRPr="00113BDC">
              <w:rPr>
                <w:rStyle w:val="Hyperlink"/>
                <w:noProof/>
              </w:rPr>
              <w:t>3.1.2</w:t>
            </w:r>
            <w:r w:rsidR="005E55A2">
              <w:rPr>
                <w:rFonts w:eastAsiaTheme="minorEastAsia"/>
                <w:noProof/>
                <w:lang w:eastAsia="en-AU"/>
              </w:rPr>
              <w:tab/>
            </w:r>
            <w:r w:rsidR="005E55A2" w:rsidRPr="00113BDC">
              <w:rPr>
                <w:rStyle w:val="Hyperlink"/>
                <w:noProof/>
              </w:rPr>
              <w:t>Key stakeholder establishment</w:t>
            </w:r>
            <w:r w:rsidR="005E55A2">
              <w:rPr>
                <w:noProof/>
                <w:webHidden/>
              </w:rPr>
              <w:tab/>
            </w:r>
            <w:r w:rsidR="005E55A2">
              <w:rPr>
                <w:noProof/>
                <w:webHidden/>
              </w:rPr>
              <w:fldChar w:fldCharType="begin"/>
            </w:r>
            <w:r w:rsidR="005E55A2">
              <w:rPr>
                <w:noProof/>
                <w:webHidden/>
              </w:rPr>
              <w:instrText xml:space="preserve"> PAGEREF _Toc94794244 \h </w:instrText>
            </w:r>
            <w:r w:rsidR="005E55A2">
              <w:rPr>
                <w:noProof/>
                <w:webHidden/>
              </w:rPr>
            </w:r>
            <w:r w:rsidR="005E55A2">
              <w:rPr>
                <w:noProof/>
                <w:webHidden/>
              </w:rPr>
              <w:fldChar w:fldCharType="separate"/>
            </w:r>
            <w:r>
              <w:rPr>
                <w:noProof/>
                <w:webHidden/>
              </w:rPr>
              <w:t>21</w:t>
            </w:r>
            <w:r w:rsidR="005E55A2">
              <w:rPr>
                <w:noProof/>
                <w:webHidden/>
              </w:rPr>
              <w:fldChar w:fldCharType="end"/>
            </w:r>
          </w:hyperlink>
        </w:p>
        <w:p w14:paraId="41AC4AB8" w14:textId="0E2F98F0" w:rsidR="005E55A2" w:rsidRDefault="009E3F96">
          <w:pPr>
            <w:pStyle w:val="TOC3"/>
            <w:tabs>
              <w:tab w:val="left" w:pos="851"/>
            </w:tabs>
            <w:rPr>
              <w:rFonts w:eastAsiaTheme="minorEastAsia"/>
              <w:noProof/>
              <w:lang w:eastAsia="en-AU"/>
            </w:rPr>
          </w:pPr>
          <w:hyperlink w:anchor="_Toc94794245" w:history="1">
            <w:r w:rsidR="005E55A2" w:rsidRPr="00113BDC">
              <w:rPr>
                <w:rStyle w:val="Hyperlink"/>
                <w:noProof/>
              </w:rPr>
              <w:t>3.1.3</w:t>
            </w:r>
            <w:r w:rsidR="005E55A2">
              <w:rPr>
                <w:rFonts w:eastAsiaTheme="minorEastAsia"/>
                <w:noProof/>
                <w:lang w:eastAsia="en-AU"/>
              </w:rPr>
              <w:tab/>
            </w:r>
            <w:r w:rsidR="005E55A2" w:rsidRPr="00113BDC">
              <w:rPr>
                <w:rStyle w:val="Hyperlink"/>
                <w:noProof/>
              </w:rPr>
              <w:t>Communications processes</w:t>
            </w:r>
            <w:r w:rsidR="005E55A2">
              <w:rPr>
                <w:noProof/>
                <w:webHidden/>
              </w:rPr>
              <w:tab/>
            </w:r>
            <w:r w:rsidR="005E55A2">
              <w:rPr>
                <w:noProof/>
                <w:webHidden/>
              </w:rPr>
              <w:fldChar w:fldCharType="begin"/>
            </w:r>
            <w:r w:rsidR="005E55A2">
              <w:rPr>
                <w:noProof/>
                <w:webHidden/>
              </w:rPr>
              <w:instrText xml:space="preserve"> PAGEREF _Toc94794245 \h </w:instrText>
            </w:r>
            <w:r w:rsidR="005E55A2">
              <w:rPr>
                <w:noProof/>
                <w:webHidden/>
              </w:rPr>
            </w:r>
            <w:r w:rsidR="005E55A2">
              <w:rPr>
                <w:noProof/>
                <w:webHidden/>
              </w:rPr>
              <w:fldChar w:fldCharType="separate"/>
            </w:r>
            <w:r>
              <w:rPr>
                <w:noProof/>
                <w:webHidden/>
              </w:rPr>
              <w:t>21</w:t>
            </w:r>
            <w:r w:rsidR="005E55A2">
              <w:rPr>
                <w:noProof/>
                <w:webHidden/>
              </w:rPr>
              <w:fldChar w:fldCharType="end"/>
            </w:r>
          </w:hyperlink>
        </w:p>
        <w:p w14:paraId="09BB586D" w14:textId="7D43C9CB" w:rsidR="005E55A2" w:rsidRDefault="009E3F96">
          <w:pPr>
            <w:pStyle w:val="TOC3"/>
            <w:tabs>
              <w:tab w:val="left" w:pos="851"/>
            </w:tabs>
            <w:rPr>
              <w:rFonts w:eastAsiaTheme="minorEastAsia"/>
              <w:noProof/>
              <w:lang w:eastAsia="en-AU"/>
            </w:rPr>
          </w:pPr>
          <w:hyperlink w:anchor="_Toc94794246" w:history="1">
            <w:r w:rsidR="005E55A2" w:rsidRPr="00113BDC">
              <w:rPr>
                <w:rStyle w:val="Hyperlink"/>
                <w:noProof/>
              </w:rPr>
              <w:t>3.1.4</w:t>
            </w:r>
            <w:r w:rsidR="005E55A2">
              <w:rPr>
                <w:rFonts w:eastAsiaTheme="minorEastAsia"/>
                <w:noProof/>
                <w:lang w:eastAsia="en-AU"/>
              </w:rPr>
              <w:tab/>
            </w:r>
            <w:r w:rsidR="005E55A2" w:rsidRPr="00113BDC">
              <w:rPr>
                <w:rStyle w:val="Hyperlink"/>
                <w:noProof/>
              </w:rPr>
              <w:t>Leverage of existing programs</w:t>
            </w:r>
            <w:r w:rsidR="005E55A2">
              <w:rPr>
                <w:noProof/>
                <w:webHidden/>
              </w:rPr>
              <w:tab/>
            </w:r>
            <w:r w:rsidR="005E55A2">
              <w:rPr>
                <w:noProof/>
                <w:webHidden/>
              </w:rPr>
              <w:fldChar w:fldCharType="begin"/>
            </w:r>
            <w:r w:rsidR="005E55A2">
              <w:rPr>
                <w:noProof/>
                <w:webHidden/>
              </w:rPr>
              <w:instrText xml:space="preserve"> PAGEREF _Toc94794246 \h </w:instrText>
            </w:r>
            <w:r w:rsidR="005E55A2">
              <w:rPr>
                <w:noProof/>
                <w:webHidden/>
              </w:rPr>
            </w:r>
            <w:r w:rsidR="005E55A2">
              <w:rPr>
                <w:noProof/>
                <w:webHidden/>
              </w:rPr>
              <w:fldChar w:fldCharType="separate"/>
            </w:r>
            <w:r>
              <w:rPr>
                <w:noProof/>
                <w:webHidden/>
              </w:rPr>
              <w:t>21</w:t>
            </w:r>
            <w:r w:rsidR="005E55A2">
              <w:rPr>
                <w:noProof/>
                <w:webHidden/>
              </w:rPr>
              <w:fldChar w:fldCharType="end"/>
            </w:r>
          </w:hyperlink>
        </w:p>
        <w:p w14:paraId="733C106E" w14:textId="2189C6CD" w:rsidR="005E55A2" w:rsidRDefault="009E3F96">
          <w:pPr>
            <w:pStyle w:val="TOC3"/>
            <w:tabs>
              <w:tab w:val="left" w:pos="851"/>
            </w:tabs>
            <w:rPr>
              <w:rFonts w:eastAsiaTheme="minorEastAsia"/>
              <w:noProof/>
              <w:lang w:eastAsia="en-AU"/>
            </w:rPr>
          </w:pPr>
          <w:hyperlink w:anchor="_Toc94794247" w:history="1">
            <w:r w:rsidR="005E55A2" w:rsidRPr="00113BDC">
              <w:rPr>
                <w:rStyle w:val="Hyperlink"/>
                <w:noProof/>
              </w:rPr>
              <w:t>3.1.5</w:t>
            </w:r>
            <w:r w:rsidR="005E55A2">
              <w:rPr>
                <w:rFonts w:eastAsiaTheme="minorEastAsia"/>
                <w:noProof/>
                <w:lang w:eastAsia="en-AU"/>
              </w:rPr>
              <w:tab/>
            </w:r>
            <w:r w:rsidR="005E55A2" w:rsidRPr="00113BDC">
              <w:rPr>
                <w:rStyle w:val="Hyperlink"/>
                <w:noProof/>
              </w:rPr>
              <w:t>Recruitment of access sites, stakeholders, and partners</w:t>
            </w:r>
            <w:r w:rsidR="005E55A2">
              <w:rPr>
                <w:noProof/>
                <w:webHidden/>
              </w:rPr>
              <w:tab/>
            </w:r>
            <w:r w:rsidR="005E55A2">
              <w:rPr>
                <w:noProof/>
                <w:webHidden/>
              </w:rPr>
              <w:fldChar w:fldCharType="begin"/>
            </w:r>
            <w:r w:rsidR="005E55A2">
              <w:rPr>
                <w:noProof/>
                <w:webHidden/>
              </w:rPr>
              <w:instrText xml:space="preserve"> PAGEREF _Toc94794247 \h </w:instrText>
            </w:r>
            <w:r w:rsidR="005E55A2">
              <w:rPr>
                <w:noProof/>
                <w:webHidden/>
              </w:rPr>
            </w:r>
            <w:r w:rsidR="005E55A2">
              <w:rPr>
                <w:noProof/>
                <w:webHidden/>
              </w:rPr>
              <w:fldChar w:fldCharType="separate"/>
            </w:r>
            <w:r>
              <w:rPr>
                <w:noProof/>
                <w:webHidden/>
              </w:rPr>
              <w:t>21</w:t>
            </w:r>
            <w:r w:rsidR="005E55A2">
              <w:rPr>
                <w:noProof/>
                <w:webHidden/>
              </w:rPr>
              <w:fldChar w:fldCharType="end"/>
            </w:r>
          </w:hyperlink>
        </w:p>
        <w:p w14:paraId="624F4D10" w14:textId="1E758355" w:rsidR="005E55A2" w:rsidRDefault="009E3F96">
          <w:pPr>
            <w:pStyle w:val="TOC3"/>
            <w:tabs>
              <w:tab w:val="left" w:pos="851"/>
            </w:tabs>
            <w:rPr>
              <w:rFonts w:eastAsiaTheme="minorEastAsia"/>
              <w:noProof/>
              <w:lang w:eastAsia="en-AU"/>
            </w:rPr>
          </w:pPr>
          <w:hyperlink w:anchor="_Toc94794248" w:history="1">
            <w:r w:rsidR="005E55A2" w:rsidRPr="00113BDC">
              <w:rPr>
                <w:rStyle w:val="Hyperlink"/>
                <w:noProof/>
              </w:rPr>
              <w:t>3.1.6</w:t>
            </w:r>
            <w:r w:rsidR="005E55A2">
              <w:rPr>
                <w:rFonts w:eastAsiaTheme="minorEastAsia"/>
                <w:noProof/>
                <w:lang w:eastAsia="en-AU"/>
              </w:rPr>
              <w:tab/>
            </w:r>
            <w:r w:rsidR="005E55A2" w:rsidRPr="00113BDC">
              <w:rPr>
                <w:rStyle w:val="Hyperlink"/>
                <w:noProof/>
              </w:rPr>
              <w:t>Credentialling &amp; training processes</w:t>
            </w:r>
            <w:r w:rsidR="005E55A2">
              <w:rPr>
                <w:noProof/>
                <w:webHidden/>
              </w:rPr>
              <w:tab/>
            </w:r>
            <w:r w:rsidR="005E55A2">
              <w:rPr>
                <w:noProof/>
                <w:webHidden/>
              </w:rPr>
              <w:fldChar w:fldCharType="begin"/>
            </w:r>
            <w:r w:rsidR="005E55A2">
              <w:rPr>
                <w:noProof/>
                <w:webHidden/>
              </w:rPr>
              <w:instrText xml:space="preserve"> PAGEREF _Toc94794248 \h </w:instrText>
            </w:r>
            <w:r w:rsidR="005E55A2">
              <w:rPr>
                <w:noProof/>
                <w:webHidden/>
              </w:rPr>
            </w:r>
            <w:r w:rsidR="005E55A2">
              <w:rPr>
                <w:noProof/>
                <w:webHidden/>
              </w:rPr>
              <w:fldChar w:fldCharType="separate"/>
            </w:r>
            <w:r>
              <w:rPr>
                <w:noProof/>
                <w:webHidden/>
              </w:rPr>
              <w:t>22</w:t>
            </w:r>
            <w:r w:rsidR="005E55A2">
              <w:rPr>
                <w:noProof/>
                <w:webHidden/>
              </w:rPr>
              <w:fldChar w:fldCharType="end"/>
            </w:r>
          </w:hyperlink>
        </w:p>
        <w:p w14:paraId="174C3775" w14:textId="29A04B92" w:rsidR="005E55A2" w:rsidRDefault="009E3F96">
          <w:pPr>
            <w:pStyle w:val="TOC3"/>
            <w:tabs>
              <w:tab w:val="left" w:pos="851"/>
            </w:tabs>
            <w:rPr>
              <w:rFonts w:eastAsiaTheme="minorEastAsia"/>
              <w:noProof/>
              <w:lang w:eastAsia="en-AU"/>
            </w:rPr>
          </w:pPr>
          <w:hyperlink w:anchor="_Toc94794249" w:history="1">
            <w:r w:rsidR="005E55A2" w:rsidRPr="00113BDC">
              <w:rPr>
                <w:rStyle w:val="Hyperlink"/>
                <w:noProof/>
              </w:rPr>
              <w:t>3.1.7</w:t>
            </w:r>
            <w:r w:rsidR="005E55A2">
              <w:rPr>
                <w:rFonts w:eastAsiaTheme="minorEastAsia"/>
                <w:noProof/>
                <w:lang w:eastAsia="en-AU"/>
              </w:rPr>
              <w:tab/>
            </w:r>
            <w:r w:rsidR="005E55A2" w:rsidRPr="00113BDC">
              <w:rPr>
                <w:rStyle w:val="Hyperlink"/>
                <w:noProof/>
              </w:rPr>
              <w:t>Promotion of THN pilot</w:t>
            </w:r>
            <w:r w:rsidR="005E55A2">
              <w:rPr>
                <w:noProof/>
                <w:webHidden/>
              </w:rPr>
              <w:tab/>
            </w:r>
            <w:r w:rsidR="005E55A2">
              <w:rPr>
                <w:noProof/>
                <w:webHidden/>
              </w:rPr>
              <w:fldChar w:fldCharType="begin"/>
            </w:r>
            <w:r w:rsidR="005E55A2">
              <w:rPr>
                <w:noProof/>
                <w:webHidden/>
              </w:rPr>
              <w:instrText xml:space="preserve"> PAGEREF _Toc94794249 \h </w:instrText>
            </w:r>
            <w:r w:rsidR="005E55A2">
              <w:rPr>
                <w:noProof/>
                <w:webHidden/>
              </w:rPr>
            </w:r>
            <w:r w:rsidR="005E55A2">
              <w:rPr>
                <w:noProof/>
                <w:webHidden/>
              </w:rPr>
              <w:fldChar w:fldCharType="separate"/>
            </w:r>
            <w:r>
              <w:rPr>
                <w:noProof/>
                <w:webHidden/>
              </w:rPr>
              <w:t>22</w:t>
            </w:r>
            <w:r w:rsidR="005E55A2">
              <w:rPr>
                <w:noProof/>
                <w:webHidden/>
              </w:rPr>
              <w:fldChar w:fldCharType="end"/>
            </w:r>
          </w:hyperlink>
        </w:p>
        <w:p w14:paraId="61F83268" w14:textId="7F3E54A4" w:rsidR="005E55A2" w:rsidRDefault="009E3F96">
          <w:pPr>
            <w:pStyle w:val="TOC3"/>
            <w:tabs>
              <w:tab w:val="left" w:pos="851"/>
            </w:tabs>
            <w:rPr>
              <w:rFonts w:eastAsiaTheme="minorEastAsia"/>
              <w:noProof/>
              <w:lang w:eastAsia="en-AU"/>
            </w:rPr>
          </w:pPr>
          <w:hyperlink w:anchor="_Toc94794250" w:history="1">
            <w:r w:rsidR="005E55A2" w:rsidRPr="00113BDC">
              <w:rPr>
                <w:rStyle w:val="Hyperlink"/>
                <w:noProof/>
              </w:rPr>
              <w:t>3.1.8</w:t>
            </w:r>
            <w:r w:rsidR="005E55A2">
              <w:rPr>
                <w:rFonts w:eastAsiaTheme="minorEastAsia"/>
                <w:noProof/>
                <w:lang w:eastAsia="en-AU"/>
              </w:rPr>
              <w:tab/>
            </w:r>
            <w:r w:rsidR="005E55A2" w:rsidRPr="00113BDC">
              <w:rPr>
                <w:rStyle w:val="Hyperlink"/>
                <w:noProof/>
              </w:rPr>
              <w:t>THN supply chain</w:t>
            </w:r>
            <w:r w:rsidR="005E55A2">
              <w:rPr>
                <w:noProof/>
                <w:webHidden/>
              </w:rPr>
              <w:tab/>
            </w:r>
            <w:r w:rsidR="005E55A2">
              <w:rPr>
                <w:noProof/>
                <w:webHidden/>
              </w:rPr>
              <w:fldChar w:fldCharType="begin"/>
            </w:r>
            <w:r w:rsidR="005E55A2">
              <w:rPr>
                <w:noProof/>
                <w:webHidden/>
              </w:rPr>
              <w:instrText xml:space="preserve"> PAGEREF _Toc94794250 \h </w:instrText>
            </w:r>
            <w:r w:rsidR="005E55A2">
              <w:rPr>
                <w:noProof/>
                <w:webHidden/>
              </w:rPr>
            </w:r>
            <w:r w:rsidR="005E55A2">
              <w:rPr>
                <w:noProof/>
                <w:webHidden/>
              </w:rPr>
              <w:fldChar w:fldCharType="separate"/>
            </w:r>
            <w:r>
              <w:rPr>
                <w:noProof/>
                <w:webHidden/>
              </w:rPr>
              <w:t>22</w:t>
            </w:r>
            <w:r w:rsidR="005E55A2">
              <w:rPr>
                <w:noProof/>
                <w:webHidden/>
              </w:rPr>
              <w:fldChar w:fldCharType="end"/>
            </w:r>
          </w:hyperlink>
        </w:p>
        <w:p w14:paraId="09B2B4BF" w14:textId="1213417D" w:rsidR="005E55A2" w:rsidRDefault="009E3F96">
          <w:pPr>
            <w:pStyle w:val="TOC2"/>
            <w:rPr>
              <w:rFonts w:eastAsiaTheme="minorEastAsia"/>
              <w:noProof/>
              <w:lang w:eastAsia="en-AU"/>
            </w:rPr>
          </w:pPr>
          <w:hyperlink w:anchor="_Toc94794251" w:history="1">
            <w:r w:rsidR="005E55A2" w:rsidRPr="00113BDC">
              <w:rPr>
                <w:rStyle w:val="Hyperlink"/>
                <w:noProof/>
              </w:rPr>
              <w:t>Impact of COVID-19 on Pilot activities</w:t>
            </w:r>
            <w:r w:rsidR="005E55A2">
              <w:rPr>
                <w:noProof/>
                <w:webHidden/>
              </w:rPr>
              <w:tab/>
            </w:r>
            <w:r w:rsidR="005E55A2">
              <w:rPr>
                <w:noProof/>
                <w:webHidden/>
              </w:rPr>
              <w:fldChar w:fldCharType="begin"/>
            </w:r>
            <w:r w:rsidR="005E55A2">
              <w:rPr>
                <w:noProof/>
                <w:webHidden/>
              </w:rPr>
              <w:instrText xml:space="preserve"> PAGEREF _Toc94794251 \h </w:instrText>
            </w:r>
            <w:r w:rsidR="005E55A2">
              <w:rPr>
                <w:noProof/>
                <w:webHidden/>
              </w:rPr>
            </w:r>
            <w:r w:rsidR="005E55A2">
              <w:rPr>
                <w:noProof/>
                <w:webHidden/>
              </w:rPr>
              <w:fldChar w:fldCharType="separate"/>
            </w:r>
            <w:r>
              <w:rPr>
                <w:noProof/>
                <w:webHidden/>
              </w:rPr>
              <w:t>23</w:t>
            </w:r>
            <w:r w:rsidR="005E55A2">
              <w:rPr>
                <w:noProof/>
                <w:webHidden/>
              </w:rPr>
              <w:fldChar w:fldCharType="end"/>
            </w:r>
          </w:hyperlink>
        </w:p>
        <w:p w14:paraId="27CCCB9F" w14:textId="34243EF2" w:rsidR="005E55A2" w:rsidRDefault="009E3F96">
          <w:pPr>
            <w:pStyle w:val="TOC3"/>
            <w:tabs>
              <w:tab w:val="left" w:pos="851"/>
            </w:tabs>
            <w:rPr>
              <w:rFonts w:eastAsiaTheme="minorEastAsia"/>
              <w:noProof/>
              <w:lang w:eastAsia="en-AU"/>
            </w:rPr>
          </w:pPr>
          <w:hyperlink w:anchor="_Toc94794252" w:history="1">
            <w:r w:rsidR="005E55A2" w:rsidRPr="00113BDC">
              <w:rPr>
                <w:rStyle w:val="Hyperlink"/>
                <w:noProof/>
              </w:rPr>
              <w:t>3.1.9</w:t>
            </w:r>
            <w:r w:rsidR="005E55A2">
              <w:rPr>
                <w:rFonts w:eastAsiaTheme="minorEastAsia"/>
                <w:noProof/>
                <w:lang w:eastAsia="en-AU"/>
              </w:rPr>
              <w:tab/>
            </w:r>
            <w:r w:rsidR="005E55A2" w:rsidRPr="00113BDC">
              <w:rPr>
                <w:rStyle w:val="Hyperlink"/>
                <w:noProof/>
              </w:rPr>
              <w:t>Examining key assumptions and external factors</w:t>
            </w:r>
            <w:r w:rsidR="005E55A2">
              <w:rPr>
                <w:noProof/>
                <w:webHidden/>
              </w:rPr>
              <w:tab/>
            </w:r>
            <w:r w:rsidR="005E55A2">
              <w:rPr>
                <w:noProof/>
                <w:webHidden/>
              </w:rPr>
              <w:fldChar w:fldCharType="begin"/>
            </w:r>
            <w:r w:rsidR="005E55A2">
              <w:rPr>
                <w:noProof/>
                <w:webHidden/>
              </w:rPr>
              <w:instrText xml:space="preserve"> PAGEREF _Toc94794252 \h </w:instrText>
            </w:r>
            <w:r w:rsidR="005E55A2">
              <w:rPr>
                <w:noProof/>
                <w:webHidden/>
              </w:rPr>
            </w:r>
            <w:r w:rsidR="005E55A2">
              <w:rPr>
                <w:noProof/>
                <w:webHidden/>
              </w:rPr>
              <w:fldChar w:fldCharType="separate"/>
            </w:r>
            <w:r>
              <w:rPr>
                <w:noProof/>
                <w:webHidden/>
              </w:rPr>
              <w:t>24</w:t>
            </w:r>
            <w:r w:rsidR="005E55A2">
              <w:rPr>
                <w:noProof/>
                <w:webHidden/>
              </w:rPr>
              <w:fldChar w:fldCharType="end"/>
            </w:r>
          </w:hyperlink>
        </w:p>
        <w:p w14:paraId="76AC4A21" w14:textId="49EC24A7" w:rsidR="005E55A2" w:rsidRDefault="009E3F96">
          <w:pPr>
            <w:pStyle w:val="TOC2"/>
            <w:tabs>
              <w:tab w:val="left" w:pos="851"/>
            </w:tabs>
            <w:rPr>
              <w:rFonts w:eastAsiaTheme="minorEastAsia"/>
              <w:noProof/>
              <w:lang w:eastAsia="en-AU"/>
            </w:rPr>
          </w:pPr>
          <w:hyperlink w:anchor="_Toc94794253" w:history="1">
            <w:r w:rsidR="005E55A2" w:rsidRPr="00113BDC">
              <w:rPr>
                <w:rStyle w:val="Hyperlink"/>
                <w:noProof/>
              </w:rPr>
              <w:t>3.2</w:t>
            </w:r>
            <w:r w:rsidR="005E55A2">
              <w:rPr>
                <w:rFonts w:eastAsiaTheme="minorEastAsia"/>
                <w:noProof/>
                <w:lang w:eastAsia="en-AU"/>
              </w:rPr>
              <w:tab/>
            </w:r>
            <w:r w:rsidR="005E55A2" w:rsidRPr="00113BDC">
              <w:rPr>
                <w:rStyle w:val="Hyperlink"/>
                <w:noProof/>
              </w:rPr>
              <w:t>Were sufficient resources available to assist with implementation of the THN pilot?</w:t>
            </w:r>
            <w:r w:rsidR="005E55A2">
              <w:rPr>
                <w:noProof/>
                <w:webHidden/>
              </w:rPr>
              <w:tab/>
            </w:r>
            <w:r w:rsidR="005E55A2">
              <w:rPr>
                <w:noProof/>
                <w:webHidden/>
              </w:rPr>
              <w:fldChar w:fldCharType="begin"/>
            </w:r>
            <w:r w:rsidR="005E55A2">
              <w:rPr>
                <w:noProof/>
                <w:webHidden/>
              </w:rPr>
              <w:instrText xml:space="preserve"> PAGEREF _Toc94794253 \h </w:instrText>
            </w:r>
            <w:r w:rsidR="005E55A2">
              <w:rPr>
                <w:noProof/>
                <w:webHidden/>
              </w:rPr>
            </w:r>
            <w:r w:rsidR="005E55A2">
              <w:rPr>
                <w:noProof/>
                <w:webHidden/>
              </w:rPr>
              <w:fldChar w:fldCharType="separate"/>
            </w:r>
            <w:r>
              <w:rPr>
                <w:noProof/>
                <w:webHidden/>
              </w:rPr>
              <w:t>26</w:t>
            </w:r>
            <w:r w:rsidR="005E55A2">
              <w:rPr>
                <w:noProof/>
                <w:webHidden/>
              </w:rPr>
              <w:fldChar w:fldCharType="end"/>
            </w:r>
          </w:hyperlink>
        </w:p>
        <w:p w14:paraId="4AA4DD1B" w14:textId="4BEC4C96" w:rsidR="005E55A2" w:rsidRDefault="009E3F96">
          <w:pPr>
            <w:pStyle w:val="TOC3"/>
            <w:tabs>
              <w:tab w:val="left" w:pos="851"/>
            </w:tabs>
            <w:rPr>
              <w:rFonts w:eastAsiaTheme="minorEastAsia"/>
              <w:noProof/>
              <w:lang w:eastAsia="en-AU"/>
            </w:rPr>
          </w:pPr>
          <w:hyperlink w:anchor="_Toc94794254" w:history="1">
            <w:r w:rsidR="005E55A2" w:rsidRPr="00113BDC">
              <w:rPr>
                <w:rStyle w:val="Hyperlink"/>
                <w:noProof/>
              </w:rPr>
              <w:t>3.2.1</w:t>
            </w:r>
            <w:r w:rsidR="005E55A2">
              <w:rPr>
                <w:rFonts w:eastAsiaTheme="minorEastAsia"/>
                <w:noProof/>
                <w:lang w:eastAsia="en-AU"/>
              </w:rPr>
              <w:tab/>
            </w:r>
            <w:r w:rsidR="005E55A2" w:rsidRPr="00113BDC">
              <w:rPr>
                <w:rStyle w:val="Hyperlink"/>
                <w:noProof/>
              </w:rPr>
              <w:t>Were the existing workforce and infrastructures adequate to support the Pilot implementation?</w:t>
            </w:r>
            <w:r w:rsidR="005E55A2">
              <w:rPr>
                <w:noProof/>
                <w:webHidden/>
              </w:rPr>
              <w:tab/>
            </w:r>
            <w:r w:rsidR="005E55A2">
              <w:rPr>
                <w:noProof/>
                <w:webHidden/>
              </w:rPr>
              <w:fldChar w:fldCharType="begin"/>
            </w:r>
            <w:r w:rsidR="005E55A2">
              <w:rPr>
                <w:noProof/>
                <w:webHidden/>
              </w:rPr>
              <w:instrText xml:space="preserve"> PAGEREF _Toc94794254 \h </w:instrText>
            </w:r>
            <w:r w:rsidR="005E55A2">
              <w:rPr>
                <w:noProof/>
                <w:webHidden/>
              </w:rPr>
            </w:r>
            <w:r w:rsidR="005E55A2">
              <w:rPr>
                <w:noProof/>
                <w:webHidden/>
              </w:rPr>
              <w:fldChar w:fldCharType="separate"/>
            </w:r>
            <w:r>
              <w:rPr>
                <w:noProof/>
                <w:webHidden/>
              </w:rPr>
              <w:t>26</w:t>
            </w:r>
            <w:r w:rsidR="005E55A2">
              <w:rPr>
                <w:noProof/>
                <w:webHidden/>
              </w:rPr>
              <w:fldChar w:fldCharType="end"/>
            </w:r>
          </w:hyperlink>
        </w:p>
        <w:p w14:paraId="31C33E3C" w14:textId="346ADA32" w:rsidR="005E55A2" w:rsidRDefault="009E3F96">
          <w:pPr>
            <w:pStyle w:val="TOC3"/>
            <w:tabs>
              <w:tab w:val="left" w:pos="851"/>
            </w:tabs>
            <w:rPr>
              <w:rFonts w:eastAsiaTheme="minorEastAsia"/>
              <w:noProof/>
              <w:lang w:eastAsia="en-AU"/>
            </w:rPr>
          </w:pPr>
          <w:hyperlink w:anchor="_Toc94794255" w:history="1">
            <w:r w:rsidR="005E55A2" w:rsidRPr="00113BDC">
              <w:rPr>
                <w:rStyle w:val="Hyperlink"/>
                <w:noProof/>
              </w:rPr>
              <w:t>3.2.2</w:t>
            </w:r>
            <w:r w:rsidR="005E55A2">
              <w:rPr>
                <w:rFonts w:eastAsiaTheme="minorEastAsia"/>
                <w:noProof/>
                <w:lang w:eastAsia="en-AU"/>
              </w:rPr>
              <w:tab/>
            </w:r>
            <w:r w:rsidR="005E55A2" w:rsidRPr="00113BDC">
              <w:rPr>
                <w:rStyle w:val="Hyperlink"/>
                <w:noProof/>
              </w:rPr>
              <w:t>Was the Pilot sufficiently promoted to generate demand and allow implementation to work as envisaged?</w:t>
            </w:r>
            <w:r w:rsidR="005E55A2">
              <w:rPr>
                <w:noProof/>
                <w:webHidden/>
              </w:rPr>
              <w:tab/>
            </w:r>
            <w:r w:rsidR="005E55A2">
              <w:rPr>
                <w:noProof/>
                <w:webHidden/>
              </w:rPr>
              <w:fldChar w:fldCharType="begin"/>
            </w:r>
            <w:r w:rsidR="005E55A2">
              <w:rPr>
                <w:noProof/>
                <w:webHidden/>
              </w:rPr>
              <w:instrText xml:space="preserve"> PAGEREF _Toc94794255 \h </w:instrText>
            </w:r>
            <w:r w:rsidR="005E55A2">
              <w:rPr>
                <w:noProof/>
                <w:webHidden/>
              </w:rPr>
            </w:r>
            <w:r w:rsidR="005E55A2">
              <w:rPr>
                <w:noProof/>
                <w:webHidden/>
              </w:rPr>
              <w:fldChar w:fldCharType="separate"/>
            </w:r>
            <w:r>
              <w:rPr>
                <w:noProof/>
                <w:webHidden/>
              </w:rPr>
              <w:t>27</w:t>
            </w:r>
            <w:r w:rsidR="005E55A2">
              <w:rPr>
                <w:noProof/>
                <w:webHidden/>
              </w:rPr>
              <w:fldChar w:fldCharType="end"/>
            </w:r>
          </w:hyperlink>
        </w:p>
        <w:p w14:paraId="2A374D14" w14:textId="5CE7D346" w:rsidR="005E55A2" w:rsidRDefault="009E3F96">
          <w:pPr>
            <w:pStyle w:val="TOC2"/>
            <w:tabs>
              <w:tab w:val="left" w:pos="851"/>
            </w:tabs>
            <w:rPr>
              <w:rFonts w:eastAsiaTheme="minorEastAsia"/>
              <w:noProof/>
              <w:lang w:eastAsia="en-AU"/>
            </w:rPr>
          </w:pPr>
          <w:hyperlink w:anchor="_Toc94794256" w:history="1">
            <w:r w:rsidR="005E55A2" w:rsidRPr="00113BDC">
              <w:rPr>
                <w:rStyle w:val="Hyperlink"/>
                <w:noProof/>
              </w:rPr>
              <w:t>3.3</w:t>
            </w:r>
            <w:r w:rsidR="005E55A2">
              <w:rPr>
                <w:rFonts w:eastAsiaTheme="minorEastAsia"/>
                <w:noProof/>
                <w:lang w:eastAsia="en-AU"/>
              </w:rPr>
              <w:tab/>
            </w:r>
            <w:r w:rsidR="005E55A2" w:rsidRPr="00113BDC">
              <w:rPr>
                <w:rStyle w:val="Hyperlink"/>
                <w:noProof/>
              </w:rPr>
              <w:t>What effect did the supply/distribution mechanisms have on the uptake of THN?</w:t>
            </w:r>
            <w:r w:rsidR="005E55A2">
              <w:rPr>
                <w:noProof/>
                <w:webHidden/>
              </w:rPr>
              <w:tab/>
            </w:r>
            <w:r w:rsidR="005E55A2">
              <w:rPr>
                <w:noProof/>
                <w:webHidden/>
              </w:rPr>
              <w:fldChar w:fldCharType="begin"/>
            </w:r>
            <w:r w:rsidR="005E55A2">
              <w:rPr>
                <w:noProof/>
                <w:webHidden/>
              </w:rPr>
              <w:instrText xml:space="preserve"> PAGEREF _Toc94794256 \h </w:instrText>
            </w:r>
            <w:r w:rsidR="005E55A2">
              <w:rPr>
                <w:noProof/>
                <w:webHidden/>
              </w:rPr>
            </w:r>
            <w:r w:rsidR="005E55A2">
              <w:rPr>
                <w:noProof/>
                <w:webHidden/>
              </w:rPr>
              <w:fldChar w:fldCharType="separate"/>
            </w:r>
            <w:r>
              <w:rPr>
                <w:noProof/>
                <w:webHidden/>
              </w:rPr>
              <w:t>29</w:t>
            </w:r>
            <w:r w:rsidR="005E55A2">
              <w:rPr>
                <w:noProof/>
                <w:webHidden/>
              </w:rPr>
              <w:fldChar w:fldCharType="end"/>
            </w:r>
          </w:hyperlink>
        </w:p>
        <w:p w14:paraId="2694C478" w14:textId="31A74290" w:rsidR="005E55A2" w:rsidRDefault="009E3F96">
          <w:pPr>
            <w:pStyle w:val="TOC3"/>
            <w:tabs>
              <w:tab w:val="left" w:pos="851"/>
            </w:tabs>
            <w:rPr>
              <w:rFonts w:eastAsiaTheme="minorEastAsia"/>
              <w:noProof/>
              <w:lang w:eastAsia="en-AU"/>
            </w:rPr>
          </w:pPr>
          <w:hyperlink w:anchor="_Toc94794257" w:history="1">
            <w:r w:rsidR="005E55A2" w:rsidRPr="00113BDC">
              <w:rPr>
                <w:rStyle w:val="Hyperlink"/>
                <w:noProof/>
              </w:rPr>
              <w:t>3.3.1</w:t>
            </w:r>
            <w:r w:rsidR="005E55A2">
              <w:rPr>
                <w:rFonts w:eastAsiaTheme="minorEastAsia"/>
                <w:noProof/>
                <w:lang w:eastAsia="en-AU"/>
              </w:rPr>
              <w:tab/>
            </w:r>
            <w:r w:rsidR="005E55A2" w:rsidRPr="00113BDC">
              <w:rPr>
                <w:rStyle w:val="Hyperlink"/>
                <w:noProof/>
              </w:rPr>
              <w:t>Delivery</w:t>
            </w:r>
            <w:r w:rsidR="005E55A2">
              <w:rPr>
                <w:noProof/>
                <w:webHidden/>
              </w:rPr>
              <w:tab/>
            </w:r>
            <w:r w:rsidR="005E55A2">
              <w:rPr>
                <w:noProof/>
                <w:webHidden/>
              </w:rPr>
              <w:fldChar w:fldCharType="begin"/>
            </w:r>
            <w:r w:rsidR="005E55A2">
              <w:rPr>
                <w:noProof/>
                <w:webHidden/>
              </w:rPr>
              <w:instrText xml:space="preserve"> PAGEREF _Toc94794257 \h </w:instrText>
            </w:r>
            <w:r w:rsidR="005E55A2">
              <w:rPr>
                <w:noProof/>
                <w:webHidden/>
              </w:rPr>
            </w:r>
            <w:r w:rsidR="005E55A2">
              <w:rPr>
                <w:noProof/>
                <w:webHidden/>
              </w:rPr>
              <w:fldChar w:fldCharType="separate"/>
            </w:r>
            <w:r>
              <w:rPr>
                <w:noProof/>
                <w:webHidden/>
              </w:rPr>
              <w:t>29</w:t>
            </w:r>
            <w:r w:rsidR="005E55A2">
              <w:rPr>
                <w:noProof/>
                <w:webHidden/>
              </w:rPr>
              <w:fldChar w:fldCharType="end"/>
            </w:r>
          </w:hyperlink>
        </w:p>
        <w:p w14:paraId="3441FF05" w14:textId="5A59B5D4" w:rsidR="005E55A2" w:rsidRDefault="009E3F96">
          <w:pPr>
            <w:pStyle w:val="TOC3"/>
            <w:tabs>
              <w:tab w:val="left" w:pos="851"/>
            </w:tabs>
            <w:rPr>
              <w:rFonts w:eastAsiaTheme="minorEastAsia"/>
              <w:noProof/>
              <w:lang w:eastAsia="en-AU"/>
            </w:rPr>
          </w:pPr>
          <w:hyperlink w:anchor="_Toc94794258" w:history="1">
            <w:r w:rsidR="005E55A2" w:rsidRPr="00113BDC">
              <w:rPr>
                <w:rStyle w:val="Hyperlink"/>
                <w:noProof/>
              </w:rPr>
              <w:t>3.3.2</w:t>
            </w:r>
            <w:r w:rsidR="005E55A2">
              <w:rPr>
                <w:rFonts w:eastAsiaTheme="minorEastAsia"/>
                <w:noProof/>
                <w:lang w:eastAsia="en-AU"/>
              </w:rPr>
              <w:tab/>
            </w:r>
            <w:r w:rsidR="005E55A2" w:rsidRPr="00113BDC">
              <w:rPr>
                <w:rStyle w:val="Hyperlink"/>
                <w:noProof/>
              </w:rPr>
              <w:t>Adequate stock</w:t>
            </w:r>
            <w:r w:rsidR="005E55A2">
              <w:rPr>
                <w:noProof/>
                <w:webHidden/>
              </w:rPr>
              <w:tab/>
            </w:r>
            <w:r w:rsidR="005E55A2">
              <w:rPr>
                <w:noProof/>
                <w:webHidden/>
              </w:rPr>
              <w:fldChar w:fldCharType="begin"/>
            </w:r>
            <w:r w:rsidR="005E55A2">
              <w:rPr>
                <w:noProof/>
                <w:webHidden/>
              </w:rPr>
              <w:instrText xml:space="preserve"> PAGEREF _Toc94794258 \h </w:instrText>
            </w:r>
            <w:r w:rsidR="005E55A2">
              <w:rPr>
                <w:noProof/>
                <w:webHidden/>
              </w:rPr>
            </w:r>
            <w:r w:rsidR="005E55A2">
              <w:rPr>
                <w:noProof/>
                <w:webHidden/>
              </w:rPr>
              <w:fldChar w:fldCharType="separate"/>
            </w:r>
            <w:r>
              <w:rPr>
                <w:noProof/>
                <w:webHidden/>
              </w:rPr>
              <w:t>30</w:t>
            </w:r>
            <w:r w:rsidR="005E55A2">
              <w:rPr>
                <w:noProof/>
                <w:webHidden/>
              </w:rPr>
              <w:fldChar w:fldCharType="end"/>
            </w:r>
          </w:hyperlink>
        </w:p>
        <w:p w14:paraId="62E12AF8" w14:textId="5FBAAE80" w:rsidR="005E55A2" w:rsidRDefault="009E3F96">
          <w:pPr>
            <w:pStyle w:val="TOC3"/>
            <w:tabs>
              <w:tab w:val="left" w:pos="851"/>
            </w:tabs>
            <w:rPr>
              <w:rFonts w:eastAsiaTheme="minorEastAsia"/>
              <w:noProof/>
              <w:lang w:eastAsia="en-AU"/>
            </w:rPr>
          </w:pPr>
          <w:hyperlink w:anchor="_Toc94794259" w:history="1">
            <w:r w:rsidR="005E55A2" w:rsidRPr="00113BDC">
              <w:rPr>
                <w:rStyle w:val="Hyperlink"/>
                <w:noProof/>
              </w:rPr>
              <w:t>3.3.3</w:t>
            </w:r>
            <w:r w:rsidR="005E55A2">
              <w:rPr>
                <w:rFonts w:eastAsiaTheme="minorEastAsia"/>
                <w:noProof/>
                <w:lang w:eastAsia="en-AU"/>
              </w:rPr>
              <w:tab/>
            </w:r>
            <w:r w:rsidR="005E55A2" w:rsidRPr="00113BDC">
              <w:rPr>
                <w:rStyle w:val="Hyperlink"/>
                <w:noProof/>
              </w:rPr>
              <w:t>Reimbursement processes</w:t>
            </w:r>
            <w:r w:rsidR="005E55A2">
              <w:rPr>
                <w:noProof/>
                <w:webHidden/>
              </w:rPr>
              <w:tab/>
            </w:r>
            <w:r w:rsidR="005E55A2">
              <w:rPr>
                <w:noProof/>
                <w:webHidden/>
              </w:rPr>
              <w:fldChar w:fldCharType="begin"/>
            </w:r>
            <w:r w:rsidR="005E55A2">
              <w:rPr>
                <w:noProof/>
                <w:webHidden/>
              </w:rPr>
              <w:instrText xml:space="preserve"> PAGEREF _Toc94794259 \h </w:instrText>
            </w:r>
            <w:r w:rsidR="005E55A2">
              <w:rPr>
                <w:noProof/>
                <w:webHidden/>
              </w:rPr>
            </w:r>
            <w:r w:rsidR="005E55A2">
              <w:rPr>
                <w:noProof/>
                <w:webHidden/>
              </w:rPr>
              <w:fldChar w:fldCharType="separate"/>
            </w:r>
            <w:r>
              <w:rPr>
                <w:noProof/>
                <w:webHidden/>
              </w:rPr>
              <w:t>31</w:t>
            </w:r>
            <w:r w:rsidR="005E55A2">
              <w:rPr>
                <w:noProof/>
                <w:webHidden/>
              </w:rPr>
              <w:fldChar w:fldCharType="end"/>
            </w:r>
          </w:hyperlink>
        </w:p>
        <w:p w14:paraId="733A6939" w14:textId="2954C37F" w:rsidR="005E55A2" w:rsidRDefault="009E3F96">
          <w:pPr>
            <w:pStyle w:val="TOC2"/>
            <w:rPr>
              <w:rFonts w:eastAsiaTheme="minorEastAsia"/>
              <w:noProof/>
              <w:lang w:eastAsia="en-AU"/>
            </w:rPr>
          </w:pPr>
          <w:hyperlink w:anchor="_Toc94794260" w:history="1">
            <w:r w:rsidR="005E55A2" w:rsidRPr="00113BDC">
              <w:rPr>
                <w:rStyle w:val="Hyperlink"/>
                <w:noProof/>
              </w:rPr>
              <w:t>Implications</w:t>
            </w:r>
            <w:r w:rsidR="005E55A2">
              <w:rPr>
                <w:noProof/>
                <w:webHidden/>
              </w:rPr>
              <w:tab/>
            </w:r>
            <w:r w:rsidR="005E55A2">
              <w:rPr>
                <w:noProof/>
                <w:webHidden/>
              </w:rPr>
              <w:fldChar w:fldCharType="begin"/>
            </w:r>
            <w:r w:rsidR="005E55A2">
              <w:rPr>
                <w:noProof/>
                <w:webHidden/>
              </w:rPr>
              <w:instrText xml:space="preserve"> PAGEREF _Toc94794260 \h </w:instrText>
            </w:r>
            <w:r w:rsidR="005E55A2">
              <w:rPr>
                <w:noProof/>
                <w:webHidden/>
              </w:rPr>
            </w:r>
            <w:r w:rsidR="005E55A2">
              <w:rPr>
                <w:noProof/>
                <w:webHidden/>
              </w:rPr>
              <w:fldChar w:fldCharType="separate"/>
            </w:r>
            <w:r>
              <w:rPr>
                <w:noProof/>
                <w:webHidden/>
              </w:rPr>
              <w:t>31</w:t>
            </w:r>
            <w:r w:rsidR="005E55A2">
              <w:rPr>
                <w:noProof/>
                <w:webHidden/>
              </w:rPr>
              <w:fldChar w:fldCharType="end"/>
            </w:r>
          </w:hyperlink>
        </w:p>
        <w:p w14:paraId="22E39696" w14:textId="4A156CAC" w:rsidR="005E55A2" w:rsidRDefault="009E3F96">
          <w:pPr>
            <w:pStyle w:val="TOC1"/>
            <w:tabs>
              <w:tab w:val="left" w:pos="851"/>
            </w:tabs>
            <w:rPr>
              <w:rFonts w:eastAsiaTheme="minorEastAsia"/>
              <w:b w:val="0"/>
              <w:noProof/>
              <w:lang w:eastAsia="en-AU"/>
            </w:rPr>
          </w:pPr>
          <w:hyperlink w:anchor="_Toc94794261" w:history="1">
            <w:r w:rsidR="005E55A2" w:rsidRPr="00113BDC">
              <w:rPr>
                <w:rStyle w:val="Hyperlink"/>
                <w:noProof/>
              </w:rPr>
              <w:t>4.</w:t>
            </w:r>
            <w:r w:rsidR="005E55A2">
              <w:rPr>
                <w:rFonts w:eastAsiaTheme="minorEastAsia"/>
                <w:b w:val="0"/>
                <w:noProof/>
                <w:lang w:eastAsia="en-AU"/>
              </w:rPr>
              <w:tab/>
            </w:r>
            <w:r w:rsidR="005E55A2" w:rsidRPr="00113BDC">
              <w:rPr>
                <w:rStyle w:val="Hyperlink"/>
                <w:noProof/>
              </w:rPr>
              <w:t>Did the THN Pilot achieve improved access?</w:t>
            </w:r>
            <w:r w:rsidR="005E55A2">
              <w:rPr>
                <w:noProof/>
                <w:webHidden/>
              </w:rPr>
              <w:tab/>
            </w:r>
            <w:r w:rsidR="005E55A2">
              <w:rPr>
                <w:noProof/>
                <w:webHidden/>
              </w:rPr>
              <w:fldChar w:fldCharType="begin"/>
            </w:r>
            <w:r w:rsidR="005E55A2">
              <w:rPr>
                <w:noProof/>
                <w:webHidden/>
              </w:rPr>
              <w:instrText xml:space="preserve"> PAGEREF _Toc94794261 \h </w:instrText>
            </w:r>
            <w:r w:rsidR="005E55A2">
              <w:rPr>
                <w:noProof/>
                <w:webHidden/>
              </w:rPr>
            </w:r>
            <w:r w:rsidR="005E55A2">
              <w:rPr>
                <w:noProof/>
                <w:webHidden/>
              </w:rPr>
              <w:fldChar w:fldCharType="separate"/>
            </w:r>
            <w:r>
              <w:rPr>
                <w:noProof/>
                <w:webHidden/>
              </w:rPr>
              <w:t>32</w:t>
            </w:r>
            <w:r w:rsidR="005E55A2">
              <w:rPr>
                <w:noProof/>
                <w:webHidden/>
              </w:rPr>
              <w:fldChar w:fldCharType="end"/>
            </w:r>
          </w:hyperlink>
        </w:p>
        <w:p w14:paraId="1014BB1B" w14:textId="5E949B90" w:rsidR="005E55A2" w:rsidRDefault="009E3F96">
          <w:pPr>
            <w:pStyle w:val="TOC2"/>
            <w:rPr>
              <w:rFonts w:eastAsiaTheme="minorEastAsia"/>
              <w:noProof/>
              <w:lang w:eastAsia="en-AU"/>
            </w:rPr>
          </w:pPr>
          <w:hyperlink w:anchor="_Toc94794262" w:history="1">
            <w:r w:rsidR="005E55A2" w:rsidRPr="00113BDC">
              <w:rPr>
                <w:rStyle w:val="Hyperlink"/>
                <w:noProof/>
                <w:lang w:eastAsia="en-AU"/>
              </w:rPr>
              <w:t>Key points</w:t>
            </w:r>
            <w:r w:rsidR="005E55A2">
              <w:rPr>
                <w:noProof/>
                <w:webHidden/>
              </w:rPr>
              <w:tab/>
            </w:r>
            <w:r w:rsidR="005E55A2">
              <w:rPr>
                <w:noProof/>
                <w:webHidden/>
              </w:rPr>
              <w:fldChar w:fldCharType="begin"/>
            </w:r>
            <w:r w:rsidR="005E55A2">
              <w:rPr>
                <w:noProof/>
                <w:webHidden/>
              </w:rPr>
              <w:instrText xml:space="preserve"> PAGEREF _Toc94794262 \h </w:instrText>
            </w:r>
            <w:r w:rsidR="005E55A2">
              <w:rPr>
                <w:noProof/>
                <w:webHidden/>
              </w:rPr>
            </w:r>
            <w:r w:rsidR="005E55A2">
              <w:rPr>
                <w:noProof/>
                <w:webHidden/>
              </w:rPr>
              <w:fldChar w:fldCharType="separate"/>
            </w:r>
            <w:r>
              <w:rPr>
                <w:noProof/>
                <w:webHidden/>
              </w:rPr>
              <w:t>32</w:t>
            </w:r>
            <w:r w:rsidR="005E55A2">
              <w:rPr>
                <w:noProof/>
                <w:webHidden/>
              </w:rPr>
              <w:fldChar w:fldCharType="end"/>
            </w:r>
          </w:hyperlink>
        </w:p>
        <w:p w14:paraId="065AC0A5" w14:textId="66D30B1E" w:rsidR="005E55A2" w:rsidRDefault="009E3F96">
          <w:pPr>
            <w:pStyle w:val="TOC2"/>
            <w:tabs>
              <w:tab w:val="left" w:pos="851"/>
            </w:tabs>
            <w:rPr>
              <w:rFonts w:eastAsiaTheme="minorEastAsia"/>
              <w:noProof/>
              <w:lang w:eastAsia="en-AU"/>
            </w:rPr>
          </w:pPr>
          <w:hyperlink w:anchor="_Toc94794263" w:history="1">
            <w:r w:rsidR="005E55A2" w:rsidRPr="00113BDC">
              <w:rPr>
                <w:rStyle w:val="Hyperlink"/>
                <w:noProof/>
              </w:rPr>
              <w:t>4.1</w:t>
            </w:r>
            <w:r w:rsidR="005E55A2">
              <w:rPr>
                <w:rFonts w:eastAsiaTheme="minorEastAsia"/>
                <w:noProof/>
                <w:lang w:eastAsia="en-AU"/>
              </w:rPr>
              <w:tab/>
            </w:r>
            <w:r w:rsidR="005E55A2" w:rsidRPr="00113BDC">
              <w:rPr>
                <w:rStyle w:val="Hyperlink"/>
                <w:noProof/>
              </w:rPr>
              <w:t>Did access to naloxone increase during the Pilot?</w:t>
            </w:r>
            <w:r w:rsidR="005E55A2">
              <w:rPr>
                <w:noProof/>
                <w:webHidden/>
              </w:rPr>
              <w:tab/>
            </w:r>
            <w:r w:rsidR="005E55A2">
              <w:rPr>
                <w:noProof/>
                <w:webHidden/>
              </w:rPr>
              <w:fldChar w:fldCharType="begin"/>
            </w:r>
            <w:r w:rsidR="005E55A2">
              <w:rPr>
                <w:noProof/>
                <w:webHidden/>
              </w:rPr>
              <w:instrText xml:space="preserve"> PAGEREF _Toc94794263 \h </w:instrText>
            </w:r>
            <w:r w:rsidR="005E55A2">
              <w:rPr>
                <w:noProof/>
                <w:webHidden/>
              </w:rPr>
            </w:r>
            <w:r w:rsidR="005E55A2">
              <w:rPr>
                <w:noProof/>
                <w:webHidden/>
              </w:rPr>
              <w:fldChar w:fldCharType="separate"/>
            </w:r>
            <w:r>
              <w:rPr>
                <w:noProof/>
                <w:webHidden/>
              </w:rPr>
              <w:t>33</w:t>
            </w:r>
            <w:r w:rsidR="005E55A2">
              <w:rPr>
                <w:noProof/>
                <w:webHidden/>
              </w:rPr>
              <w:fldChar w:fldCharType="end"/>
            </w:r>
          </w:hyperlink>
        </w:p>
        <w:p w14:paraId="629D3881" w14:textId="504B7245" w:rsidR="005E55A2" w:rsidRDefault="009E3F96">
          <w:pPr>
            <w:pStyle w:val="TOC2"/>
            <w:tabs>
              <w:tab w:val="left" w:pos="851"/>
            </w:tabs>
            <w:rPr>
              <w:rFonts w:eastAsiaTheme="minorEastAsia"/>
              <w:noProof/>
              <w:lang w:eastAsia="en-AU"/>
            </w:rPr>
          </w:pPr>
          <w:hyperlink w:anchor="_Toc94794264" w:history="1">
            <w:r w:rsidR="005E55A2" w:rsidRPr="00113BDC">
              <w:rPr>
                <w:rStyle w:val="Hyperlink"/>
                <w:noProof/>
              </w:rPr>
              <w:t>4.2</w:t>
            </w:r>
            <w:r w:rsidR="005E55A2">
              <w:rPr>
                <w:rFonts w:eastAsiaTheme="minorEastAsia"/>
                <w:noProof/>
                <w:lang w:eastAsia="en-AU"/>
              </w:rPr>
              <w:tab/>
            </w:r>
            <w:r w:rsidR="005E55A2" w:rsidRPr="00113BDC">
              <w:rPr>
                <w:rStyle w:val="Hyperlink"/>
                <w:noProof/>
              </w:rPr>
              <w:t>Which aspects of access changed?</w:t>
            </w:r>
            <w:r w:rsidR="005E55A2">
              <w:rPr>
                <w:noProof/>
                <w:webHidden/>
              </w:rPr>
              <w:tab/>
            </w:r>
            <w:r w:rsidR="005E55A2">
              <w:rPr>
                <w:noProof/>
                <w:webHidden/>
              </w:rPr>
              <w:fldChar w:fldCharType="begin"/>
            </w:r>
            <w:r w:rsidR="005E55A2">
              <w:rPr>
                <w:noProof/>
                <w:webHidden/>
              </w:rPr>
              <w:instrText xml:space="preserve"> PAGEREF _Toc94794264 \h </w:instrText>
            </w:r>
            <w:r w:rsidR="005E55A2">
              <w:rPr>
                <w:noProof/>
                <w:webHidden/>
              </w:rPr>
            </w:r>
            <w:r w:rsidR="005E55A2">
              <w:rPr>
                <w:noProof/>
                <w:webHidden/>
              </w:rPr>
              <w:fldChar w:fldCharType="separate"/>
            </w:r>
            <w:r>
              <w:rPr>
                <w:noProof/>
                <w:webHidden/>
              </w:rPr>
              <w:t>34</w:t>
            </w:r>
            <w:r w:rsidR="005E55A2">
              <w:rPr>
                <w:noProof/>
                <w:webHidden/>
              </w:rPr>
              <w:fldChar w:fldCharType="end"/>
            </w:r>
          </w:hyperlink>
        </w:p>
        <w:p w14:paraId="448DA067" w14:textId="4B28B510" w:rsidR="005E55A2" w:rsidRDefault="009E3F96">
          <w:pPr>
            <w:pStyle w:val="TOC3"/>
            <w:tabs>
              <w:tab w:val="left" w:pos="851"/>
            </w:tabs>
            <w:rPr>
              <w:rFonts w:eastAsiaTheme="minorEastAsia"/>
              <w:noProof/>
              <w:lang w:eastAsia="en-AU"/>
            </w:rPr>
          </w:pPr>
          <w:hyperlink w:anchor="_Toc94794265" w:history="1">
            <w:r w:rsidR="005E55A2" w:rsidRPr="00113BDC">
              <w:rPr>
                <w:rStyle w:val="Hyperlink"/>
                <w:noProof/>
              </w:rPr>
              <w:t>4.2.1</w:t>
            </w:r>
            <w:r w:rsidR="005E55A2">
              <w:rPr>
                <w:rFonts w:eastAsiaTheme="minorEastAsia"/>
                <w:noProof/>
                <w:lang w:eastAsia="en-AU"/>
              </w:rPr>
              <w:tab/>
            </w:r>
            <w:r w:rsidR="005E55A2" w:rsidRPr="00113BDC">
              <w:rPr>
                <w:rStyle w:val="Hyperlink"/>
                <w:noProof/>
              </w:rPr>
              <w:t>Was naloxone available in more locations?</w:t>
            </w:r>
            <w:r w:rsidR="005E55A2">
              <w:rPr>
                <w:noProof/>
                <w:webHidden/>
              </w:rPr>
              <w:tab/>
            </w:r>
            <w:r w:rsidR="005E55A2">
              <w:rPr>
                <w:noProof/>
                <w:webHidden/>
              </w:rPr>
              <w:fldChar w:fldCharType="begin"/>
            </w:r>
            <w:r w:rsidR="005E55A2">
              <w:rPr>
                <w:noProof/>
                <w:webHidden/>
              </w:rPr>
              <w:instrText xml:space="preserve"> PAGEREF _Toc94794265 \h </w:instrText>
            </w:r>
            <w:r w:rsidR="005E55A2">
              <w:rPr>
                <w:noProof/>
                <w:webHidden/>
              </w:rPr>
            </w:r>
            <w:r w:rsidR="005E55A2">
              <w:rPr>
                <w:noProof/>
                <w:webHidden/>
              </w:rPr>
              <w:fldChar w:fldCharType="separate"/>
            </w:r>
            <w:r>
              <w:rPr>
                <w:noProof/>
                <w:webHidden/>
              </w:rPr>
              <w:t>34</w:t>
            </w:r>
            <w:r w:rsidR="005E55A2">
              <w:rPr>
                <w:noProof/>
                <w:webHidden/>
              </w:rPr>
              <w:fldChar w:fldCharType="end"/>
            </w:r>
          </w:hyperlink>
        </w:p>
        <w:p w14:paraId="084F6CB5" w14:textId="2AA22DA1" w:rsidR="005E55A2" w:rsidRDefault="009E3F96">
          <w:pPr>
            <w:pStyle w:val="TOC3"/>
            <w:tabs>
              <w:tab w:val="left" w:pos="851"/>
            </w:tabs>
            <w:rPr>
              <w:rFonts w:eastAsiaTheme="minorEastAsia"/>
              <w:noProof/>
              <w:lang w:eastAsia="en-AU"/>
            </w:rPr>
          </w:pPr>
          <w:hyperlink w:anchor="_Toc94794266" w:history="1">
            <w:r w:rsidR="005E55A2" w:rsidRPr="00113BDC">
              <w:rPr>
                <w:rStyle w:val="Hyperlink"/>
                <w:noProof/>
              </w:rPr>
              <w:t>4.2.2</w:t>
            </w:r>
            <w:r w:rsidR="005E55A2">
              <w:rPr>
                <w:rFonts w:eastAsiaTheme="minorEastAsia"/>
                <w:noProof/>
                <w:lang w:eastAsia="en-AU"/>
              </w:rPr>
              <w:tab/>
            </w:r>
            <w:r w:rsidR="005E55A2" w:rsidRPr="00113BDC">
              <w:rPr>
                <w:rStyle w:val="Hyperlink"/>
                <w:noProof/>
              </w:rPr>
              <w:t>Was naloxone available in more settings?</w:t>
            </w:r>
            <w:r w:rsidR="005E55A2">
              <w:rPr>
                <w:noProof/>
                <w:webHidden/>
              </w:rPr>
              <w:tab/>
            </w:r>
            <w:r w:rsidR="005E55A2">
              <w:rPr>
                <w:noProof/>
                <w:webHidden/>
              </w:rPr>
              <w:fldChar w:fldCharType="begin"/>
            </w:r>
            <w:r w:rsidR="005E55A2">
              <w:rPr>
                <w:noProof/>
                <w:webHidden/>
              </w:rPr>
              <w:instrText xml:space="preserve"> PAGEREF _Toc94794266 \h </w:instrText>
            </w:r>
            <w:r w:rsidR="005E55A2">
              <w:rPr>
                <w:noProof/>
                <w:webHidden/>
              </w:rPr>
            </w:r>
            <w:r w:rsidR="005E55A2">
              <w:rPr>
                <w:noProof/>
                <w:webHidden/>
              </w:rPr>
              <w:fldChar w:fldCharType="separate"/>
            </w:r>
            <w:r>
              <w:rPr>
                <w:noProof/>
                <w:webHidden/>
              </w:rPr>
              <w:t>34</w:t>
            </w:r>
            <w:r w:rsidR="005E55A2">
              <w:rPr>
                <w:noProof/>
                <w:webHidden/>
              </w:rPr>
              <w:fldChar w:fldCharType="end"/>
            </w:r>
          </w:hyperlink>
        </w:p>
        <w:p w14:paraId="6A0A14B2" w14:textId="3A541D55" w:rsidR="005E55A2" w:rsidRDefault="009E3F96">
          <w:pPr>
            <w:pStyle w:val="TOC2"/>
            <w:tabs>
              <w:tab w:val="left" w:pos="851"/>
            </w:tabs>
            <w:rPr>
              <w:rFonts w:eastAsiaTheme="minorEastAsia"/>
              <w:noProof/>
              <w:lang w:eastAsia="en-AU"/>
            </w:rPr>
          </w:pPr>
          <w:hyperlink w:anchor="_Toc94794267" w:history="1">
            <w:r w:rsidR="005E55A2" w:rsidRPr="00113BDC">
              <w:rPr>
                <w:rStyle w:val="Hyperlink"/>
                <w:noProof/>
              </w:rPr>
              <w:t>4.3</w:t>
            </w:r>
            <w:r w:rsidR="005E55A2">
              <w:rPr>
                <w:rFonts w:eastAsiaTheme="minorEastAsia"/>
                <w:noProof/>
                <w:lang w:eastAsia="en-AU"/>
              </w:rPr>
              <w:tab/>
            </w:r>
            <w:r w:rsidR="005E55A2" w:rsidRPr="00113BDC">
              <w:rPr>
                <w:rStyle w:val="Hyperlink"/>
                <w:noProof/>
              </w:rPr>
              <w:t>Did the Pilot reach the intended target groups?</w:t>
            </w:r>
            <w:r w:rsidR="005E55A2">
              <w:rPr>
                <w:noProof/>
                <w:webHidden/>
              </w:rPr>
              <w:tab/>
            </w:r>
            <w:r w:rsidR="005E55A2">
              <w:rPr>
                <w:noProof/>
                <w:webHidden/>
              </w:rPr>
              <w:fldChar w:fldCharType="begin"/>
            </w:r>
            <w:r w:rsidR="005E55A2">
              <w:rPr>
                <w:noProof/>
                <w:webHidden/>
              </w:rPr>
              <w:instrText xml:space="preserve"> PAGEREF _Toc94794267 \h </w:instrText>
            </w:r>
            <w:r w:rsidR="005E55A2">
              <w:rPr>
                <w:noProof/>
                <w:webHidden/>
              </w:rPr>
            </w:r>
            <w:r w:rsidR="005E55A2">
              <w:rPr>
                <w:noProof/>
                <w:webHidden/>
              </w:rPr>
              <w:fldChar w:fldCharType="separate"/>
            </w:r>
            <w:r>
              <w:rPr>
                <w:noProof/>
                <w:webHidden/>
              </w:rPr>
              <w:t>39</w:t>
            </w:r>
            <w:r w:rsidR="005E55A2">
              <w:rPr>
                <w:noProof/>
                <w:webHidden/>
              </w:rPr>
              <w:fldChar w:fldCharType="end"/>
            </w:r>
          </w:hyperlink>
        </w:p>
        <w:p w14:paraId="1FC8F2AB" w14:textId="6DE824DC" w:rsidR="005E55A2" w:rsidRDefault="009E3F96">
          <w:pPr>
            <w:pStyle w:val="TOC3"/>
            <w:tabs>
              <w:tab w:val="left" w:pos="851"/>
            </w:tabs>
            <w:rPr>
              <w:rFonts w:eastAsiaTheme="minorEastAsia"/>
              <w:noProof/>
              <w:lang w:eastAsia="en-AU"/>
            </w:rPr>
          </w:pPr>
          <w:hyperlink w:anchor="_Toc94794268" w:history="1">
            <w:r w:rsidR="005E55A2" w:rsidRPr="00113BDC">
              <w:rPr>
                <w:rStyle w:val="Hyperlink"/>
                <w:noProof/>
              </w:rPr>
              <w:t>4.3.1</w:t>
            </w:r>
            <w:r w:rsidR="005E55A2">
              <w:rPr>
                <w:rFonts w:eastAsiaTheme="minorEastAsia"/>
                <w:noProof/>
                <w:lang w:eastAsia="en-AU"/>
              </w:rPr>
              <w:tab/>
            </w:r>
            <w:r w:rsidR="005E55A2" w:rsidRPr="00113BDC">
              <w:rPr>
                <w:rStyle w:val="Hyperlink"/>
                <w:noProof/>
              </w:rPr>
              <w:t>People at risk of experiencing overdose</w:t>
            </w:r>
            <w:r w:rsidR="005E55A2">
              <w:rPr>
                <w:noProof/>
                <w:webHidden/>
              </w:rPr>
              <w:tab/>
            </w:r>
            <w:r w:rsidR="005E55A2">
              <w:rPr>
                <w:noProof/>
                <w:webHidden/>
              </w:rPr>
              <w:fldChar w:fldCharType="begin"/>
            </w:r>
            <w:r w:rsidR="005E55A2">
              <w:rPr>
                <w:noProof/>
                <w:webHidden/>
              </w:rPr>
              <w:instrText xml:space="preserve"> PAGEREF _Toc94794268 \h </w:instrText>
            </w:r>
            <w:r w:rsidR="005E55A2">
              <w:rPr>
                <w:noProof/>
                <w:webHidden/>
              </w:rPr>
            </w:r>
            <w:r w:rsidR="005E55A2">
              <w:rPr>
                <w:noProof/>
                <w:webHidden/>
              </w:rPr>
              <w:fldChar w:fldCharType="separate"/>
            </w:r>
            <w:r>
              <w:rPr>
                <w:noProof/>
                <w:webHidden/>
              </w:rPr>
              <w:t>41</w:t>
            </w:r>
            <w:r w:rsidR="005E55A2">
              <w:rPr>
                <w:noProof/>
                <w:webHidden/>
              </w:rPr>
              <w:fldChar w:fldCharType="end"/>
            </w:r>
          </w:hyperlink>
        </w:p>
        <w:p w14:paraId="7B124337" w14:textId="0D2CE76B" w:rsidR="005E55A2" w:rsidRDefault="009E3F96">
          <w:pPr>
            <w:pStyle w:val="TOC3"/>
            <w:tabs>
              <w:tab w:val="left" w:pos="851"/>
            </w:tabs>
            <w:rPr>
              <w:rFonts w:eastAsiaTheme="minorEastAsia"/>
              <w:noProof/>
              <w:lang w:eastAsia="en-AU"/>
            </w:rPr>
          </w:pPr>
          <w:hyperlink w:anchor="_Toc94794269" w:history="1">
            <w:r w:rsidR="005E55A2" w:rsidRPr="00113BDC">
              <w:rPr>
                <w:rStyle w:val="Hyperlink"/>
                <w:noProof/>
              </w:rPr>
              <w:t>4.3.2</w:t>
            </w:r>
            <w:r w:rsidR="005E55A2">
              <w:rPr>
                <w:rFonts w:eastAsiaTheme="minorEastAsia"/>
                <w:noProof/>
                <w:lang w:eastAsia="en-AU"/>
              </w:rPr>
              <w:tab/>
            </w:r>
            <w:r w:rsidR="005E55A2" w:rsidRPr="00113BDC">
              <w:rPr>
                <w:rStyle w:val="Hyperlink"/>
                <w:noProof/>
              </w:rPr>
              <w:t>People likely to witness an overdose</w:t>
            </w:r>
            <w:r w:rsidR="005E55A2">
              <w:rPr>
                <w:noProof/>
                <w:webHidden/>
              </w:rPr>
              <w:tab/>
            </w:r>
            <w:r w:rsidR="005E55A2">
              <w:rPr>
                <w:noProof/>
                <w:webHidden/>
              </w:rPr>
              <w:fldChar w:fldCharType="begin"/>
            </w:r>
            <w:r w:rsidR="005E55A2">
              <w:rPr>
                <w:noProof/>
                <w:webHidden/>
              </w:rPr>
              <w:instrText xml:space="preserve"> PAGEREF _Toc94794269 \h </w:instrText>
            </w:r>
            <w:r w:rsidR="005E55A2">
              <w:rPr>
                <w:noProof/>
                <w:webHidden/>
              </w:rPr>
            </w:r>
            <w:r w:rsidR="005E55A2">
              <w:rPr>
                <w:noProof/>
                <w:webHidden/>
              </w:rPr>
              <w:fldChar w:fldCharType="separate"/>
            </w:r>
            <w:r>
              <w:rPr>
                <w:noProof/>
                <w:webHidden/>
              </w:rPr>
              <w:t>45</w:t>
            </w:r>
            <w:r w:rsidR="005E55A2">
              <w:rPr>
                <w:noProof/>
                <w:webHidden/>
              </w:rPr>
              <w:fldChar w:fldCharType="end"/>
            </w:r>
          </w:hyperlink>
        </w:p>
        <w:p w14:paraId="06A97E8F" w14:textId="70EA259B" w:rsidR="005E55A2" w:rsidRDefault="009E3F96">
          <w:pPr>
            <w:pStyle w:val="TOC2"/>
            <w:rPr>
              <w:rFonts w:eastAsiaTheme="minorEastAsia"/>
              <w:noProof/>
              <w:lang w:eastAsia="en-AU"/>
            </w:rPr>
          </w:pPr>
          <w:hyperlink w:anchor="_Toc94794270" w:history="1">
            <w:r w:rsidR="005E55A2" w:rsidRPr="00113BDC">
              <w:rPr>
                <w:rStyle w:val="Hyperlink"/>
                <w:noProof/>
              </w:rPr>
              <w:t>Implications</w:t>
            </w:r>
            <w:r w:rsidR="005E55A2">
              <w:rPr>
                <w:noProof/>
                <w:webHidden/>
              </w:rPr>
              <w:tab/>
            </w:r>
            <w:r w:rsidR="005E55A2">
              <w:rPr>
                <w:noProof/>
                <w:webHidden/>
              </w:rPr>
              <w:fldChar w:fldCharType="begin"/>
            </w:r>
            <w:r w:rsidR="005E55A2">
              <w:rPr>
                <w:noProof/>
                <w:webHidden/>
              </w:rPr>
              <w:instrText xml:space="preserve"> PAGEREF _Toc94794270 \h </w:instrText>
            </w:r>
            <w:r w:rsidR="005E55A2">
              <w:rPr>
                <w:noProof/>
                <w:webHidden/>
              </w:rPr>
            </w:r>
            <w:r w:rsidR="005E55A2">
              <w:rPr>
                <w:noProof/>
                <w:webHidden/>
              </w:rPr>
              <w:fldChar w:fldCharType="separate"/>
            </w:r>
            <w:r>
              <w:rPr>
                <w:noProof/>
                <w:webHidden/>
              </w:rPr>
              <w:t>46</w:t>
            </w:r>
            <w:r w:rsidR="005E55A2">
              <w:rPr>
                <w:noProof/>
                <w:webHidden/>
              </w:rPr>
              <w:fldChar w:fldCharType="end"/>
            </w:r>
          </w:hyperlink>
        </w:p>
        <w:p w14:paraId="2F68E4E1" w14:textId="0E7FF2DA" w:rsidR="005E55A2" w:rsidRDefault="009E3F96">
          <w:pPr>
            <w:pStyle w:val="TOC1"/>
            <w:tabs>
              <w:tab w:val="left" w:pos="851"/>
            </w:tabs>
            <w:rPr>
              <w:rFonts w:eastAsiaTheme="minorEastAsia"/>
              <w:b w:val="0"/>
              <w:noProof/>
              <w:lang w:eastAsia="en-AU"/>
            </w:rPr>
          </w:pPr>
          <w:hyperlink w:anchor="_Toc94794271" w:history="1">
            <w:r w:rsidR="005E55A2" w:rsidRPr="00113BDC">
              <w:rPr>
                <w:rStyle w:val="Hyperlink"/>
                <w:noProof/>
              </w:rPr>
              <w:t>5.</w:t>
            </w:r>
            <w:r w:rsidR="005E55A2">
              <w:rPr>
                <w:rFonts w:eastAsiaTheme="minorEastAsia"/>
                <w:b w:val="0"/>
                <w:noProof/>
                <w:lang w:eastAsia="en-AU"/>
              </w:rPr>
              <w:tab/>
            </w:r>
            <w:r w:rsidR="005E55A2" w:rsidRPr="00113BDC">
              <w:rPr>
                <w:rStyle w:val="Hyperlink"/>
                <w:noProof/>
              </w:rPr>
              <w:t>What impact did increasing access have on the uptake and use of THN?</w:t>
            </w:r>
            <w:r w:rsidR="005E55A2">
              <w:rPr>
                <w:noProof/>
                <w:webHidden/>
              </w:rPr>
              <w:tab/>
            </w:r>
            <w:r w:rsidR="005E55A2">
              <w:rPr>
                <w:noProof/>
                <w:webHidden/>
              </w:rPr>
              <w:fldChar w:fldCharType="begin"/>
            </w:r>
            <w:r w:rsidR="005E55A2">
              <w:rPr>
                <w:noProof/>
                <w:webHidden/>
              </w:rPr>
              <w:instrText xml:space="preserve"> PAGEREF _Toc94794271 \h </w:instrText>
            </w:r>
            <w:r w:rsidR="005E55A2">
              <w:rPr>
                <w:noProof/>
                <w:webHidden/>
              </w:rPr>
            </w:r>
            <w:r w:rsidR="005E55A2">
              <w:rPr>
                <w:noProof/>
                <w:webHidden/>
              </w:rPr>
              <w:fldChar w:fldCharType="separate"/>
            </w:r>
            <w:r>
              <w:rPr>
                <w:noProof/>
                <w:webHidden/>
              </w:rPr>
              <w:t>47</w:t>
            </w:r>
            <w:r w:rsidR="005E55A2">
              <w:rPr>
                <w:noProof/>
                <w:webHidden/>
              </w:rPr>
              <w:fldChar w:fldCharType="end"/>
            </w:r>
          </w:hyperlink>
        </w:p>
        <w:p w14:paraId="662156AA" w14:textId="6ED710EC" w:rsidR="005E55A2" w:rsidRDefault="009E3F96">
          <w:pPr>
            <w:pStyle w:val="TOC2"/>
            <w:rPr>
              <w:rFonts w:eastAsiaTheme="minorEastAsia"/>
              <w:noProof/>
              <w:lang w:eastAsia="en-AU"/>
            </w:rPr>
          </w:pPr>
          <w:hyperlink w:anchor="_Toc94794272" w:history="1">
            <w:r w:rsidR="005E55A2" w:rsidRPr="00113BDC">
              <w:rPr>
                <w:rStyle w:val="Hyperlink"/>
                <w:noProof/>
              </w:rPr>
              <w:t>Key points</w:t>
            </w:r>
            <w:r w:rsidR="005E55A2">
              <w:rPr>
                <w:noProof/>
                <w:webHidden/>
              </w:rPr>
              <w:tab/>
            </w:r>
            <w:r w:rsidR="005E55A2">
              <w:rPr>
                <w:noProof/>
                <w:webHidden/>
              </w:rPr>
              <w:fldChar w:fldCharType="begin"/>
            </w:r>
            <w:r w:rsidR="005E55A2">
              <w:rPr>
                <w:noProof/>
                <w:webHidden/>
              </w:rPr>
              <w:instrText xml:space="preserve"> PAGEREF _Toc94794272 \h </w:instrText>
            </w:r>
            <w:r w:rsidR="005E55A2">
              <w:rPr>
                <w:noProof/>
                <w:webHidden/>
              </w:rPr>
            </w:r>
            <w:r w:rsidR="005E55A2">
              <w:rPr>
                <w:noProof/>
                <w:webHidden/>
              </w:rPr>
              <w:fldChar w:fldCharType="separate"/>
            </w:r>
            <w:r>
              <w:rPr>
                <w:noProof/>
                <w:webHidden/>
              </w:rPr>
              <w:t>47</w:t>
            </w:r>
            <w:r w:rsidR="005E55A2">
              <w:rPr>
                <w:noProof/>
                <w:webHidden/>
              </w:rPr>
              <w:fldChar w:fldCharType="end"/>
            </w:r>
          </w:hyperlink>
        </w:p>
        <w:p w14:paraId="2806AA2D" w14:textId="0F7A4641" w:rsidR="005E55A2" w:rsidRDefault="009E3F96">
          <w:pPr>
            <w:pStyle w:val="TOC2"/>
            <w:tabs>
              <w:tab w:val="left" w:pos="851"/>
            </w:tabs>
            <w:rPr>
              <w:rFonts w:eastAsiaTheme="minorEastAsia"/>
              <w:noProof/>
              <w:lang w:eastAsia="en-AU"/>
            </w:rPr>
          </w:pPr>
          <w:hyperlink w:anchor="_Toc94794273" w:history="1">
            <w:r w:rsidR="005E55A2" w:rsidRPr="00113BDC">
              <w:rPr>
                <w:rStyle w:val="Hyperlink"/>
                <w:noProof/>
              </w:rPr>
              <w:t>5.1</w:t>
            </w:r>
            <w:r w:rsidR="005E55A2">
              <w:rPr>
                <w:rFonts w:eastAsiaTheme="minorEastAsia"/>
                <w:noProof/>
                <w:lang w:eastAsia="en-AU"/>
              </w:rPr>
              <w:tab/>
            </w:r>
            <w:r w:rsidR="005E55A2" w:rsidRPr="00113BDC">
              <w:rPr>
                <w:rStyle w:val="Hyperlink"/>
                <w:noProof/>
              </w:rPr>
              <w:t>Did increasing the range of site types make it more likely that consumers found a site with which they were comfortable?</w:t>
            </w:r>
            <w:r w:rsidR="005E55A2">
              <w:rPr>
                <w:noProof/>
                <w:webHidden/>
              </w:rPr>
              <w:tab/>
            </w:r>
            <w:r w:rsidR="005E55A2">
              <w:rPr>
                <w:noProof/>
                <w:webHidden/>
              </w:rPr>
              <w:fldChar w:fldCharType="begin"/>
            </w:r>
            <w:r w:rsidR="005E55A2">
              <w:rPr>
                <w:noProof/>
                <w:webHidden/>
              </w:rPr>
              <w:instrText xml:space="preserve"> PAGEREF _Toc94794273 \h </w:instrText>
            </w:r>
            <w:r w:rsidR="005E55A2">
              <w:rPr>
                <w:noProof/>
                <w:webHidden/>
              </w:rPr>
            </w:r>
            <w:r w:rsidR="005E55A2">
              <w:rPr>
                <w:noProof/>
                <w:webHidden/>
              </w:rPr>
              <w:fldChar w:fldCharType="separate"/>
            </w:r>
            <w:r>
              <w:rPr>
                <w:noProof/>
                <w:webHidden/>
              </w:rPr>
              <w:t>48</w:t>
            </w:r>
            <w:r w:rsidR="005E55A2">
              <w:rPr>
                <w:noProof/>
                <w:webHidden/>
              </w:rPr>
              <w:fldChar w:fldCharType="end"/>
            </w:r>
          </w:hyperlink>
        </w:p>
        <w:p w14:paraId="22BB41D6" w14:textId="14A30BA9" w:rsidR="005E55A2" w:rsidRDefault="009E3F96">
          <w:pPr>
            <w:pStyle w:val="TOC2"/>
            <w:tabs>
              <w:tab w:val="left" w:pos="851"/>
            </w:tabs>
            <w:rPr>
              <w:rFonts w:eastAsiaTheme="minorEastAsia"/>
              <w:noProof/>
              <w:lang w:eastAsia="en-AU"/>
            </w:rPr>
          </w:pPr>
          <w:hyperlink w:anchor="_Toc94794274" w:history="1">
            <w:r w:rsidR="005E55A2" w:rsidRPr="00113BDC">
              <w:rPr>
                <w:rStyle w:val="Hyperlink"/>
                <w:noProof/>
              </w:rPr>
              <w:t>5.2</w:t>
            </w:r>
            <w:r w:rsidR="005E55A2">
              <w:rPr>
                <w:rFonts w:eastAsiaTheme="minorEastAsia"/>
                <w:noProof/>
                <w:lang w:eastAsia="en-AU"/>
              </w:rPr>
              <w:tab/>
            </w:r>
            <w:r w:rsidR="005E55A2" w:rsidRPr="00113BDC">
              <w:rPr>
                <w:rStyle w:val="Hyperlink"/>
                <w:noProof/>
              </w:rPr>
              <w:t>Did the availability of different naloxone formulations affect uptake and use?</w:t>
            </w:r>
            <w:r w:rsidR="005E55A2">
              <w:rPr>
                <w:noProof/>
                <w:webHidden/>
              </w:rPr>
              <w:tab/>
            </w:r>
            <w:r w:rsidR="005E55A2">
              <w:rPr>
                <w:noProof/>
                <w:webHidden/>
              </w:rPr>
              <w:fldChar w:fldCharType="begin"/>
            </w:r>
            <w:r w:rsidR="005E55A2">
              <w:rPr>
                <w:noProof/>
                <w:webHidden/>
              </w:rPr>
              <w:instrText xml:space="preserve"> PAGEREF _Toc94794274 \h </w:instrText>
            </w:r>
            <w:r w:rsidR="005E55A2">
              <w:rPr>
                <w:noProof/>
                <w:webHidden/>
              </w:rPr>
            </w:r>
            <w:r w:rsidR="005E55A2">
              <w:rPr>
                <w:noProof/>
                <w:webHidden/>
              </w:rPr>
              <w:fldChar w:fldCharType="separate"/>
            </w:r>
            <w:r>
              <w:rPr>
                <w:noProof/>
                <w:webHidden/>
              </w:rPr>
              <w:t>49</w:t>
            </w:r>
            <w:r w:rsidR="005E55A2">
              <w:rPr>
                <w:noProof/>
                <w:webHidden/>
              </w:rPr>
              <w:fldChar w:fldCharType="end"/>
            </w:r>
          </w:hyperlink>
        </w:p>
        <w:p w14:paraId="04D97F25" w14:textId="78061667" w:rsidR="005E55A2" w:rsidRDefault="009E3F96">
          <w:pPr>
            <w:pStyle w:val="TOC2"/>
            <w:tabs>
              <w:tab w:val="left" w:pos="851"/>
            </w:tabs>
            <w:rPr>
              <w:rFonts w:eastAsiaTheme="minorEastAsia"/>
              <w:noProof/>
              <w:lang w:eastAsia="en-AU"/>
            </w:rPr>
          </w:pPr>
          <w:hyperlink w:anchor="_Toc94794275" w:history="1">
            <w:r w:rsidR="005E55A2" w:rsidRPr="00113BDC">
              <w:rPr>
                <w:rStyle w:val="Hyperlink"/>
                <w:noProof/>
              </w:rPr>
              <w:t>5.3</w:t>
            </w:r>
            <w:r w:rsidR="005E55A2">
              <w:rPr>
                <w:rFonts w:eastAsiaTheme="minorEastAsia"/>
                <w:noProof/>
                <w:lang w:eastAsia="en-AU"/>
              </w:rPr>
              <w:tab/>
            </w:r>
            <w:r w:rsidR="005E55A2" w:rsidRPr="00113BDC">
              <w:rPr>
                <w:rStyle w:val="Hyperlink"/>
                <w:noProof/>
              </w:rPr>
              <w:t>Repeat access to THN</w:t>
            </w:r>
            <w:r w:rsidR="005E55A2">
              <w:rPr>
                <w:noProof/>
                <w:webHidden/>
              </w:rPr>
              <w:tab/>
            </w:r>
            <w:r w:rsidR="005E55A2">
              <w:rPr>
                <w:noProof/>
                <w:webHidden/>
              </w:rPr>
              <w:fldChar w:fldCharType="begin"/>
            </w:r>
            <w:r w:rsidR="005E55A2">
              <w:rPr>
                <w:noProof/>
                <w:webHidden/>
              </w:rPr>
              <w:instrText xml:space="preserve"> PAGEREF _Toc94794275 \h </w:instrText>
            </w:r>
            <w:r w:rsidR="005E55A2">
              <w:rPr>
                <w:noProof/>
                <w:webHidden/>
              </w:rPr>
            </w:r>
            <w:r w:rsidR="005E55A2">
              <w:rPr>
                <w:noProof/>
                <w:webHidden/>
              </w:rPr>
              <w:fldChar w:fldCharType="separate"/>
            </w:r>
            <w:r>
              <w:rPr>
                <w:noProof/>
                <w:webHidden/>
              </w:rPr>
              <w:t>53</w:t>
            </w:r>
            <w:r w:rsidR="005E55A2">
              <w:rPr>
                <w:noProof/>
                <w:webHidden/>
              </w:rPr>
              <w:fldChar w:fldCharType="end"/>
            </w:r>
          </w:hyperlink>
        </w:p>
        <w:p w14:paraId="26EF5E19" w14:textId="7C9290D9" w:rsidR="005E55A2" w:rsidRDefault="009E3F96">
          <w:pPr>
            <w:pStyle w:val="TOC2"/>
            <w:tabs>
              <w:tab w:val="left" w:pos="851"/>
            </w:tabs>
            <w:rPr>
              <w:rFonts w:eastAsiaTheme="minorEastAsia"/>
              <w:noProof/>
              <w:lang w:eastAsia="en-AU"/>
            </w:rPr>
          </w:pPr>
          <w:hyperlink w:anchor="_Toc94794276" w:history="1">
            <w:r w:rsidR="005E55A2" w:rsidRPr="00113BDC">
              <w:rPr>
                <w:rStyle w:val="Hyperlink"/>
                <w:noProof/>
              </w:rPr>
              <w:t>5.4</w:t>
            </w:r>
            <w:r w:rsidR="005E55A2">
              <w:rPr>
                <w:rFonts w:eastAsiaTheme="minorEastAsia"/>
                <w:noProof/>
                <w:lang w:eastAsia="en-AU"/>
              </w:rPr>
              <w:tab/>
            </w:r>
            <w:r w:rsidR="005E55A2" w:rsidRPr="00113BDC">
              <w:rPr>
                <w:rStyle w:val="Hyperlink"/>
                <w:noProof/>
              </w:rPr>
              <w:t>Use of THN for overdose reversal</w:t>
            </w:r>
            <w:r w:rsidR="005E55A2">
              <w:rPr>
                <w:noProof/>
                <w:webHidden/>
              </w:rPr>
              <w:tab/>
            </w:r>
            <w:r w:rsidR="005E55A2">
              <w:rPr>
                <w:noProof/>
                <w:webHidden/>
              </w:rPr>
              <w:fldChar w:fldCharType="begin"/>
            </w:r>
            <w:r w:rsidR="005E55A2">
              <w:rPr>
                <w:noProof/>
                <w:webHidden/>
              </w:rPr>
              <w:instrText xml:space="preserve"> PAGEREF _Toc94794276 \h </w:instrText>
            </w:r>
            <w:r w:rsidR="005E55A2">
              <w:rPr>
                <w:noProof/>
                <w:webHidden/>
              </w:rPr>
            </w:r>
            <w:r w:rsidR="005E55A2">
              <w:rPr>
                <w:noProof/>
                <w:webHidden/>
              </w:rPr>
              <w:fldChar w:fldCharType="separate"/>
            </w:r>
            <w:r>
              <w:rPr>
                <w:noProof/>
                <w:webHidden/>
              </w:rPr>
              <w:t>55</w:t>
            </w:r>
            <w:r w:rsidR="005E55A2">
              <w:rPr>
                <w:noProof/>
                <w:webHidden/>
              </w:rPr>
              <w:fldChar w:fldCharType="end"/>
            </w:r>
          </w:hyperlink>
        </w:p>
        <w:p w14:paraId="47F9ACA3" w14:textId="636ECC78" w:rsidR="005E55A2" w:rsidRDefault="009E3F96">
          <w:pPr>
            <w:pStyle w:val="TOC2"/>
            <w:tabs>
              <w:tab w:val="left" w:pos="851"/>
            </w:tabs>
            <w:rPr>
              <w:rFonts w:eastAsiaTheme="minorEastAsia"/>
              <w:noProof/>
              <w:lang w:eastAsia="en-AU"/>
            </w:rPr>
          </w:pPr>
          <w:hyperlink w:anchor="_Toc94794277" w:history="1">
            <w:r w:rsidR="005E55A2" w:rsidRPr="00113BDC">
              <w:rPr>
                <w:rStyle w:val="Hyperlink"/>
                <w:noProof/>
              </w:rPr>
              <w:t>5.5</w:t>
            </w:r>
            <w:r w:rsidR="005E55A2">
              <w:rPr>
                <w:rFonts w:eastAsiaTheme="minorEastAsia"/>
                <w:noProof/>
                <w:lang w:eastAsia="en-AU"/>
              </w:rPr>
              <w:tab/>
            </w:r>
            <w:r w:rsidR="005E55A2" w:rsidRPr="00113BDC">
              <w:rPr>
                <w:rStyle w:val="Hyperlink"/>
                <w:noProof/>
              </w:rPr>
              <w:t>Stories of overdose reversals from THN Consumers</w:t>
            </w:r>
            <w:r w:rsidR="005E55A2">
              <w:rPr>
                <w:noProof/>
                <w:webHidden/>
              </w:rPr>
              <w:tab/>
            </w:r>
            <w:r w:rsidR="005E55A2">
              <w:rPr>
                <w:noProof/>
                <w:webHidden/>
              </w:rPr>
              <w:fldChar w:fldCharType="begin"/>
            </w:r>
            <w:r w:rsidR="005E55A2">
              <w:rPr>
                <w:noProof/>
                <w:webHidden/>
              </w:rPr>
              <w:instrText xml:space="preserve"> PAGEREF _Toc94794277 \h </w:instrText>
            </w:r>
            <w:r w:rsidR="005E55A2">
              <w:rPr>
                <w:noProof/>
                <w:webHidden/>
              </w:rPr>
            </w:r>
            <w:r w:rsidR="005E55A2">
              <w:rPr>
                <w:noProof/>
                <w:webHidden/>
              </w:rPr>
              <w:fldChar w:fldCharType="separate"/>
            </w:r>
            <w:r>
              <w:rPr>
                <w:noProof/>
                <w:webHidden/>
              </w:rPr>
              <w:t>57</w:t>
            </w:r>
            <w:r w:rsidR="005E55A2">
              <w:rPr>
                <w:noProof/>
                <w:webHidden/>
              </w:rPr>
              <w:fldChar w:fldCharType="end"/>
            </w:r>
          </w:hyperlink>
        </w:p>
        <w:p w14:paraId="5060D4F6" w14:textId="3FFD844B" w:rsidR="005E55A2" w:rsidRDefault="009E3F96">
          <w:pPr>
            <w:pStyle w:val="TOC2"/>
            <w:rPr>
              <w:rFonts w:eastAsiaTheme="minorEastAsia"/>
              <w:noProof/>
              <w:lang w:eastAsia="en-AU"/>
            </w:rPr>
          </w:pPr>
          <w:hyperlink w:anchor="_Toc94794278" w:history="1">
            <w:r w:rsidR="005E55A2" w:rsidRPr="00113BDC">
              <w:rPr>
                <w:rStyle w:val="Hyperlink"/>
                <w:noProof/>
              </w:rPr>
              <w:t>Implications</w:t>
            </w:r>
            <w:r w:rsidR="005E55A2">
              <w:rPr>
                <w:noProof/>
                <w:webHidden/>
              </w:rPr>
              <w:tab/>
            </w:r>
            <w:r w:rsidR="005E55A2">
              <w:rPr>
                <w:noProof/>
                <w:webHidden/>
              </w:rPr>
              <w:fldChar w:fldCharType="begin"/>
            </w:r>
            <w:r w:rsidR="005E55A2">
              <w:rPr>
                <w:noProof/>
                <w:webHidden/>
              </w:rPr>
              <w:instrText xml:space="preserve"> PAGEREF _Toc94794278 \h </w:instrText>
            </w:r>
            <w:r w:rsidR="005E55A2">
              <w:rPr>
                <w:noProof/>
                <w:webHidden/>
              </w:rPr>
            </w:r>
            <w:r w:rsidR="005E55A2">
              <w:rPr>
                <w:noProof/>
                <w:webHidden/>
              </w:rPr>
              <w:fldChar w:fldCharType="separate"/>
            </w:r>
            <w:r>
              <w:rPr>
                <w:noProof/>
                <w:webHidden/>
              </w:rPr>
              <w:t>59</w:t>
            </w:r>
            <w:r w:rsidR="005E55A2">
              <w:rPr>
                <w:noProof/>
                <w:webHidden/>
              </w:rPr>
              <w:fldChar w:fldCharType="end"/>
            </w:r>
          </w:hyperlink>
        </w:p>
        <w:p w14:paraId="2DD6C2DA" w14:textId="3571876B" w:rsidR="005E55A2" w:rsidRDefault="009E3F96">
          <w:pPr>
            <w:pStyle w:val="TOC1"/>
            <w:tabs>
              <w:tab w:val="left" w:pos="851"/>
            </w:tabs>
            <w:rPr>
              <w:rFonts w:eastAsiaTheme="minorEastAsia"/>
              <w:b w:val="0"/>
              <w:noProof/>
              <w:lang w:eastAsia="en-AU"/>
            </w:rPr>
          </w:pPr>
          <w:hyperlink w:anchor="_Toc94794279" w:history="1">
            <w:r w:rsidR="005E55A2" w:rsidRPr="00113BDC">
              <w:rPr>
                <w:rStyle w:val="Hyperlink"/>
                <w:noProof/>
              </w:rPr>
              <w:t>6.</w:t>
            </w:r>
            <w:r w:rsidR="005E55A2">
              <w:rPr>
                <w:rFonts w:eastAsiaTheme="minorEastAsia"/>
                <w:b w:val="0"/>
                <w:noProof/>
                <w:lang w:eastAsia="en-AU"/>
              </w:rPr>
              <w:tab/>
            </w:r>
            <w:r w:rsidR="005E55A2" w:rsidRPr="00113BDC">
              <w:rPr>
                <w:rStyle w:val="Hyperlink"/>
                <w:noProof/>
              </w:rPr>
              <w:t>What was the impact on access sites participating in the pilot?</w:t>
            </w:r>
            <w:r w:rsidR="005E55A2">
              <w:rPr>
                <w:noProof/>
                <w:webHidden/>
              </w:rPr>
              <w:tab/>
            </w:r>
            <w:r w:rsidR="005E55A2">
              <w:rPr>
                <w:noProof/>
                <w:webHidden/>
              </w:rPr>
              <w:fldChar w:fldCharType="begin"/>
            </w:r>
            <w:r w:rsidR="005E55A2">
              <w:rPr>
                <w:noProof/>
                <w:webHidden/>
              </w:rPr>
              <w:instrText xml:space="preserve"> PAGEREF _Toc94794279 \h </w:instrText>
            </w:r>
            <w:r w:rsidR="005E55A2">
              <w:rPr>
                <w:noProof/>
                <w:webHidden/>
              </w:rPr>
            </w:r>
            <w:r w:rsidR="005E55A2">
              <w:rPr>
                <w:noProof/>
                <w:webHidden/>
              </w:rPr>
              <w:fldChar w:fldCharType="separate"/>
            </w:r>
            <w:r>
              <w:rPr>
                <w:noProof/>
                <w:webHidden/>
              </w:rPr>
              <w:t>60</w:t>
            </w:r>
            <w:r w:rsidR="005E55A2">
              <w:rPr>
                <w:noProof/>
                <w:webHidden/>
              </w:rPr>
              <w:fldChar w:fldCharType="end"/>
            </w:r>
          </w:hyperlink>
        </w:p>
        <w:p w14:paraId="22FDE4BD" w14:textId="53C8A291" w:rsidR="005E55A2" w:rsidRDefault="009E3F96">
          <w:pPr>
            <w:pStyle w:val="TOC2"/>
            <w:rPr>
              <w:rFonts w:eastAsiaTheme="minorEastAsia"/>
              <w:noProof/>
              <w:lang w:eastAsia="en-AU"/>
            </w:rPr>
          </w:pPr>
          <w:hyperlink w:anchor="_Toc94794280" w:history="1">
            <w:r w:rsidR="005E55A2" w:rsidRPr="00113BDC">
              <w:rPr>
                <w:rStyle w:val="Hyperlink"/>
                <w:noProof/>
                <w:lang w:eastAsia="en-AU"/>
              </w:rPr>
              <w:t>Key points</w:t>
            </w:r>
            <w:r w:rsidR="005E55A2">
              <w:rPr>
                <w:noProof/>
                <w:webHidden/>
              </w:rPr>
              <w:tab/>
            </w:r>
            <w:r w:rsidR="005E55A2">
              <w:rPr>
                <w:noProof/>
                <w:webHidden/>
              </w:rPr>
              <w:fldChar w:fldCharType="begin"/>
            </w:r>
            <w:r w:rsidR="005E55A2">
              <w:rPr>
                <w:noProof/>
                <w:webHidden/>
              </w:rPr>
              <w:instrText xml:space="preserve"> PAGEREF _Toc94794280 \h </w:instrText>
            </w:r>
            <w:r w:rsidR="005E55A2">
              <w:rPr>
                <w:noProof/>
                <w:webHidden/>
              </w:rPr>
            </w:r>
            <w:r w:rsidR="005E55A2">
              <w:rPr>
                <w:noProof/>
                <w:webHidden/>
              </w:rPr>
              <w:fldChar w:fldCharType="separate"/>
            </w:r>
            <w:r>
              <w:rPr>
                <w:noProof/>
                <w:webHidden/>
              </w:rPr>
              <w:t>60</w:t>
            </w:r>
            <w:r w:rsidR="005E55A2">
              <w:rPr>
                <w:noProof/>
                <w:webHidden/>
              </w:rPr>
              <w:fldChar w:fldCharType="end"/>
            </w:r>
          </w:hyperlink>
        </w:p>
        <w:p w14:paraId="013CDB57" w14:textId="16E5D475" w:rsidR="005E55A2" w:rsidRDefault="009E3F96">
          <w:pPr>
            <w:pStyle w:val="TOC2"/>
            <w:tabs>
              <w:tab w:val="left" w:pos="851"/>
            </w:tabs>
            <w:rPr>
              <w:rFonts w:eastAsiaTheme="minorEastAsia"/>
              <w:noProof/>
              <w:lang w:eastAsia="en-AU"/>
            </w:rPr>
          </w:pPr>
          <w:hyperlink w:anchor="_Toc94794281" w:history="1">
            <w:r w:rsidR="005E55A2" w:rsidRPr="00113BDC">
              <w:rPr>
                <w:rStyle w:val="Hyperlink"/>
                <w:noProof/>
              </w:rPr>
              <w:t>6.1</w:t>
            </w:r>
            <w:r w:rsidR="005E55A2">
              <w:rPr>
                <w:rFonts w:eastAsiaTheme="minorEastAsia"/>
                <w:noProof/>
                <w:lang w:eastAsia="en-AU"/>
              </w:rPr>
              <w:tab/>
            </w:r>
            <w:r w:rsidR="005E55A2" w:rsidRPr="00113BDC">
              <w:rPr>
                <w:rStyle w:val="Hyperlink"/>
                <w:noProof/>
              </w:rPr>
              <w:t>Regulatory environment</w:t>
            </w:r>
            <w:r w:rsidR="005E55A2">
              <w:rPr>
                <w:noProof/>
                <w:webHidden/>
              </w:rPr>
              <w:tab/>
            </w:r>
            <w:r w:rsidR="005E55A2">
              <w:rPr>
                <w:noProof/>
                <w:webHidden/>
              </w:rPr>
              <w:fldChar w:fldCharType="begin"/>
            </w:r>
            <w:r w:rsidR="005E55A2">
              <w:rPr>
                <w:noProof/>
                <w:webHidden/>
              </w:rPr>
              <w:instrText xml:space="preserve"> PAGEREF _Toc94794281 \h </w:instrText>
            </w:r>
            <w:r w:rsidR="005E55A2">
              <w:rPr>
                <w:noProof/>
                <w:webHidden/>
              </w:rPr>
            </w:r>
            <w:r w:rsidR="005E55A2">
              <w:rPr>
                <w:noProof/>
                <w:webHidden/>
              </w:rPr>
              <w:fldChar w:fldCharType="separate"/>
            </w:r>
            <w:r>
              <w:rPr>
                <w:noProof/>
                <w:webHidden/>
              </w:rPr>
              <w:t>61</w:t>
            </w:r>
            <w:r w:rsidR="005E55A2">
              <w:rPr>
                <w:noProof/>
                <w:webHidden/>
              </w:rPr>
              <w:fldChar w:fldCharType="end"/>
            </w:r>
          </w:hyperlink>
        </w:p>
        <w:p w14:paraId="16B74052" w14:textId="3820409A" w:rsidR="005E55A2" w:rsidRDefault="009E3F96">
          <w:pPr>
            <w:pStyle w:val="TOC2"/>
            <w:tabs>
              <w:tab w:val="left" w:pos="851"/>
            </w:tabs>
            <w:rPr>
              <w:rFonts w:eastAsiaTheme="minorEastAsia"/>
              <w:noProof/>
              <w:lang w:eastAsia="en-AU"/>
            </w:rPr>
          </w:pPr>
          <w:hyperlink w:anchor="_Toc94794282" w:history="1">
            <w:r w:rsidR="005E55A2" w:rsidRPr="00113BDC">
              <w:rPr>
                <w:rStyle w:val="Hyperlink"/>
                <w:noProof/>
              </w:rPr>
              <w:t>6.2</w:t>
            </w:r>
            <w:r w:rsidR="005E55A2">
              <w:rPr>
                <w:rFonts w:eastAsiaTheme="minorEastAsia"/>
                <w:noProof/>
                <w:lang w:eastAsia="en-AU"/>
              </w:rPr>
              <w:tab/>
            </w:r>
            <w:r w:rsidR="005E55A2" w:rsidRPr="00113BDC">
              <w:rPr>
                <w:rStyle w:val="Hyperlink"/>
                <w:noProof/>
              </w:rPr>
              <w:t>Organisational policies and procedures</w:t>
            </w:r>
            <w:r w:rsidR="005E55A2">
              <w:rPr>
                <w:noProof/>
                <w:webHidden/>
              </w:rPr>
              <w:tab/>
            </w:r>
            <w:r w:rsidR="005E55A2">
              <w:rPr>
                <w:noProof/>
                <w:webHidden/>
              </w:rPr>
              <w:fldChar w:fldCharType="begin"/>
            </w:r>
            <w:r w:rsidR="005E55A2">
              <w:rPr>
                <w:noProof/>
                <w:webHidden/>
              </w:rPr>
              <w:instrText xml:space="preserve"> PAGEREF _Toc94794282 \h </w:instrText>
            </w:r>
            <w:r w:rsidR="005E55A2">
              <w:rPr>
                <w:noProof/>
                <w:webHidden/>
              </w:rPr>
            </w:r>
            <w:r w:rsidR="005E55A2">
              <w:rPr>
                <w:noProof/>
                <w:webHidden/>
              </w:rPr>
              <w:fldChar w:fldCharType="separate"/>
            </w:r>
            <w:r>
              <w:rPr>
                <w:noProof/>
                <w:webHidden/>
              </w:rPr>
              <w:t>61</w:t>
            </w:r>
            <w:r w:rsidR="005E55A2">
              <w:rPr>
                <w:noProof/>
                <w:webHidden/>
              </w:rPr>
              <w:fldChar w:fldCharType="end"/>
            </w:r>
          </w:hyperlink>
        </w:p>
        <w:p w14:paraId="0F2B479C" w14:textId="0A873AD8" w:rsidR="005E55A2" w:rsidRDefault="009E3F96">
          <w:pPr>
            <w:pStyle w:val="TOC2"/>
            <w:tabs>
              <w:tab w:val="left" w:pos="851"/>
            </w:tabs>
            <w:rPr>
              <w:rFonts w:eastAsiaTheme="minorEastAsia"/>
              <w:noProof/>
              <w:lang w:eastAsia="en-AU"/>
            </w:rPr>
          </w:pPr>
          <w:hyperlink w:anchor="_Toc94794283" w:history="1">
            <w:r w:rsidR="005E55A2" w:rsidRPr="00113BDC">
              <w:rPr>
                <w:rStyle w:val="Hyperlink"/>
                <w:noProof/>
              </w:rPr>
              <w:t>6.3</w:t>
            </w:r>
            <w:r w:rsidR="005E55A2">
              <w:rPr>
                <w:rFonts w:eastAsiaTheme="minorEastAsia"/>
                <w:noProof/>
                <w:lang w:eastAsia="en-AU"/>
              </w:rPr>
              <w:tab/>
            </w:r>
            <w:r w:rsidR="005E55A2" w:rsidRPr="00113BDC">
              <w:rPr>
                <w:rStyle w:val="Hyperlink"/>
                <w:noProof/>
              </w:rPr>
              <w:t>Workforce and impact on workload</w:t>
            </w:r>
            <w:r w:rsidR="005E55A2">
              <w:rPr>
                <w:noProof/>
                <w:webHidden/>
              </w:rPr>
              <w:tab/>
            </w:r>
            <w:r w:rsidR="005E55A2">
              <w:rPr>
                <w:noProof/>
                <w:webHidden/>
              </w:rPr>
              <w:fldChar w:fldCharType="begin"/>
            </w:r>
            <w:r w:rsidR="005E55A2">
              <w:rPr>
                <w:noProof/>
                <w:webHidden/>
              </w:rPr>
              <w:instrText xml:space="preserve"> PAGEREF _Toc94794283 \h </w:instrText>
            </w:r>
            <w:r w:rsidR="005E55A2">
              <w:rPr>
                <w:noProof/>
                <w:webHidden/>
              </w:rPr>
            </w:r>
            <w:r w:rsidR="005E55A2">
              <w:rPr>
                <w:noProof/>
                <w:webHidden/>
              </w:rPr>
              <w:fldChar w:fldCharType="separate"/>
            </w:r>
            <w:r>
              <w:rPr>
                <w:noProof/>
                <w:webHidden/>
              </w:rPr>
              <w:t>62</w:t>
            </w:r>
            <w:r w:rsidR="005E55A2">
              <w:rPr>
                <w:noProof/>
                <w:webHidden/>
              </w:rPr>
              <w:fldChar w:fldCharType="end"/>
            </w:r>
          </w:hyperlink>
        </w:p>
        <w:p w14:paraId="0A66E508" w14:textId="72F9FB82" w:rsidR="005E55A2" w:rsidRDefault="009E3F96">
          <w:pPr>
            <w:pStyle w:val="TOC2"/>
            <w:tabs>
              <w:tab w:val="left" w:pos="851"/>
            </w:tabs>
            <w:rPr>
              <w:rFonts w:eastAsiaTheme="minorEastAsia"/>
              <w:noProof/>
              <w:lang w:eastAsia="en-AU"/>
            </w:rPr>
          </w:pPr>
          <w:hyperlink w:anchor="_Toc94794284" w:history="1">
            <w:r w:rsidR="005E55A2" w:rsidRPr="00113BDC">
              <w:rPr>
                <w:rStyle w:val="Hyperlink"/>
                <w:noProof/>
              </w:rPr>
              <w:t>6.4</w:t>
            </w:r>
            <w:r w:rsidR="005E55A2">
              <w:rPr>
                <w:rFonts w:eastAsiaTheme="minorEastAsia"/>
                <w:noProof/>
                <w:lang w:eastAsia="en-AU"/>
              </w:rPr>
              <w:tab/>
            </w:r>
            <w:r w:rsidR="005E55A2" w:rsidRPr="00113BDC">
              <w:rPr>
                <w:rStyle w:val="Hyperlink"/>
                <w:noProof/>
              </w:rPr>
              <w:t>Site credentialling and staff training</w:t>
            </w:r>
            <w:r w:rsidR="005E55A2">
              <w:rPr>
                <w:noProof/>
                <w:webHidden/>
              </w:rPr>
              <w:tab/>
            </w:r>
            <w:r w:rsidR="005E55A2">
              <w:rPr>
                <w:noProof/>
                <w:webHidden/>
              </w:rPr>
              <w:fldChar w:fldCharType="begin"/>
            </w:r>
            <w:r w:rsidR="005E55A2">
              <w:rPr>
                <w:noProof/>
                <w:webHidden/>
              </w:rPr>
              <w:instrText xml:space="preserve"> PAGEREF _Toc94794284 \h </w:instrText>
            </w:r>
            <w:r w:rsidR="005E55A2">
              <w:rPr>
                <w:noProof/>
                <w:webHidden/>
              </w:rPr>
            </w:r>
            <w:r w:rsidR="005E55A2">
              <w:rPr>
                <w:noProof/>
                <w:webHidden/>
              </w:rPr>
              <w:fldChar w:fldCharType="separate"/>
            </w:r>
            <w:r>
              <w:rPr>
                <w:noProof/>
                <w:webHidden/>
              </w:rPr>
              <w:t>63</w:t>
            </w:r>
            <w:r w:rsidR="005E55A2">
              <w:rPr>
                <w:noProof/>
                <w:webHidden/>
              </w:rPr>
              <w:fldChar w:fldCharType="end"/>
            </w:r>
          </w:hyperlink>
        </w:p>
        <w:p w14:paraId="286D2C54" w14:textId="3B485687" w:rsidR="005E55A2" w:rsidRDefault="009E3F96">
          <w:pPr>
            <w:pStyle w:val="TOC2"/>
            <w:tabs>
              <w:tab w:val="left" w:pos="851"/>
            </w:tabs>
            <w:rPr>
              <w:rFonts w:eastAsiaTheme="minorEastAsia"/>
              <w:noProof/>
              <w:lang w:eastAsia="en-AU"/>
            </w:rPr>
          </w:pPr>
          <w:hyperlink w:anchor="_Toc94794285" w:history="1">
            <w:r w:rsidR="005E55A2" w:rsidRPr="00113BDC">
              <w:rPr>
                <w:rStyle w:val="Hyperlink"/>
                <w:noProof/>
              </w:rPr>
              <w:t>6.5</w:t>
            </w:r>
            <w:r w:rsidR="005E55A2">
              <w:rPr>
                <w:rFonts w:eastAsiaTheme="minorEastAsia"/>
                <w:noProof/>
                <w:lang w:eastAsia="en-AU"/>
              </w:rPr>
              <w:tab/>
            </w:r>
            <w:r w:rsidR="005E55A2" w:rsidRPr="00113BDC">
              <w:rPr>
                <w:rStyle w:val="Hyperlink"/>
                <w:noProof/>
              </w:rPr>
              <w:t>Impact on select access site types</w:t>
            </w:r>
            <w:r w:rsidR="005E55A2">
              <w:rPr>
                <w:noProof/>
                <w:webHidden/>
              </w:rPr>
              <w:tab/>
            </w:r>
            <w:r w:rsidR="005E55A2">
              <w:rPr>
                <w:noProof/>
                <w:webHidden/>
              </w:rPr>
              <w:fldChar w:fldCharType="begin"/>
            </w:r>
            <w:r w:rsidR="005E55A2">
              <w:rPr>
                <w:noProof/>
                <w:webHidden/>
              </w:rPr>
              <w:instrText xml:space="preserve"> PAGEREF _Toc94794285 \h </w:instrText>
            </w:r>
            <w:r w:rsidR="005E55A2">
              <w:rPr>
                <w:noProof/>
                <w:webHidden/>
              </w:rPr>
            </w:r>
            <w:r w:rsidR="005E55A2">
              <w:rPr>
                <w:noProof/>
                <w:webHidden/>
              </w:rPr>
              <w:fldChar w:fldCharType="separate"/>
            </w:r>
            <w:r>
              <w:rPr>
                <w:noProof/>
                <w:webHidden/>
              </w:rPr>
              <w:t>64</w:t>
            </w:r>
            <w:r w:rsidR="005E55A2">
              <w:rPr>
                <w:noProof/>
                <w:webHidden/>
              </w:rPr>
              <w:fldChar w:fldCharType="end"/>
            </w:r>
          </w:hyperlink>
        </w:p>
        <w:p w14:paraId="7F4A4820" w14:textId="4292518F" w:rsidR="005E55A2" w:rsidRDefault="009E3F96">
          <w:pPr>
            <w:pStyle w:val="TOC3"/>
            <w:tabs>
              <w:tab w:val="left" w:pos="851"/>
            </w:tabs>
            <w:rPr>
              <w:rFonts w:eastAsiaTheme="minorEastAsia"/>
              <w:noProof/>
              <w:lang w:eastAsia="en-AU"/>
            </w:rPr>
          </w:pPr>
          <w:hyperlink w:anchor="_Toc94794286" w:history="1">
            <w:r w:rsidR="005E55A2" w:rsidRPr="00113BDC">
              <w:rPr>
                <w:rStyle w:val="Hyperlink"/>
                <w:noProof/>
              </w:rPr>
              <w:t>6.5.1</w:t>
            </w:r>
            <w:r w:rsidR="005E55A2">
              <w:rPr>
                <w:rFonts w:eastAsiaTheme="minorEastAsia"/>
                <w:noProof/>
                <w:lang w:eastAsia="en-AU"/>
              </w:rPr>
              <w:tab/>
            </w:r>
            <w:r w:rsidR="005E55A2" w:rsidRPr="00113BDC">
              <w:rPr>
                <w:rStyle w:val="Hyperlink"/>
                <w:noProof/>
              </w:rPr>
              <w:t>Community Pharmacies</w:t>
            </w:r>
            <w:r w:rsidR="005E55A2">
              <w:rPr>
                <w:noProof/>
                <w:webHidden/>
              </w:rPr>
              <w:tab/>
            </w:r>
            <w:r w:rsidR="005E55A2">
              <w:rPr>
                <w:noProof/>
                <w:webHidden/>
              </w:rPr>
              <w:fldChar w:fldCharType="begin"/>
            </w:r>
            <w:r w:rsidR="005E55A2">
              <w:rPr>
                <w:noProof/>
                <w:webHidden/>
              </w:rPr>
              <w:instrText xml:space="preserve"> PAGEREF _Toc94794286 \h </w:instrText>
            </w:r>
            <w:r w:rsidR="005E55A2">
              <w:rPr>
                <w:noProof/>
                <w:webHidden/>
              </w:rPr>
            </w:r>
            <w:r w:rsidR="005E55A2">
              <w:rPr>
                <w:noProof/>
                <w:webHidden/>
              </w:rPr>
              <w:fldChar w:fldCharType="separate"/>
            </w:r>
            <w:r>
              <w:rPr>
                <w:noProof/>
                <w:webHidden/>
              </w:rPr>
              <w:t>64</w:t>
            </w:r>
            <w:r w:rsidR="005E55A2">
              <w:rPr>
                <w:noProof/>
                <w:webHidden/>
              </w:rPr>
              <w:fldChar w:fldCharType="end"/>
            </w:r>
          </w:hyperlink>
        </w:p>
        <w:p w14:paraId="5FBDDF42" w14:textId="45CBF09A" w:rsidR="005E55A2" w:rsidRDefault="009E3F96">
          <w:pPr>
            <w:pStyle w:val="TOC3"/>
            <w:tabs>
              <w:tab w:val="left" w:pos="851"/>
            </w:tabs>
            <w:rPr>
              <w:rFonts w:eastAsiaTheme="minorEastAsia"/>
              <w:noProof/>
              <w:lang w:eastAsia="en-AU"/>
            </w:rPr>
          </w:pPr>
          <w:hyperlink w:anchor="_Toc94794287" w:history="1">
            <w:r w:rsidR="005E55A2" w:rsidRPr="00113BDC">
              <w:rPr>
                <w:rStyle w:val="Hyperlink"/>
                <w:noProof/>
              </w:rPr>
              <w:t>6.5.2</w:t>
            </w:r>
            <w:r w:rsidR="005E55A2">
              <w:rPr>
                <w:rFonts w:eastAsiaTheme="minorEastAsia"/>
                <w:noProof/>
                <w:lang w:eastAsia="en-AU"/>
              </w:rPr>
              <w:tab/>
            </w:r>
            <w:r w:rsidR="005E55A2" w:rsidRPr="00113BDC">
              <w:rPr>
                <w:rStyle w:val="Hyperlink"/>
                <w:noProof/>
              </w:rPr>
              <w:t>AOD Services</w:t>
            </w:r>
            <w:r w:rsidR="005E55A2">
              <w:rPr>
                <w:noProof/>
                <w:webHidden/>
              </w:rPr>
              <w:tab/>
            </w:r>
            <w:r w:rsidR="005E55A2">
              <w:rPr>
                <w:noProof/>
                <w:webHidden/>
              </w:rPr>
              <w:fldChar w:fldCharType="begin"/>
            </w:r>
            <w:r w:rsidR="005E55A2">
              <w:rPr>
                <w:noProof/>
                <w:webHidden/>
              </w:rPr>
              <w:instrText xml:space="preserve"> PAGEREF _Toc94794287 \h </w:instrText>
            </w:r>
            <w:r w:rsidR="005E55A2">
              <w:rPr>
                <w:noProof/>
                <w:webHidden/>
              </w:rPr>
            </w:r>
            <w:r w:rsidR="005E55A2">
              <w:rPr>
                <w:noProof/>
                <w:webHidden/>
              </w:rPr>
              <w:fldChar w:fldCharType="separate"/>
            </w:r>
            <w:r>
              <w:rPr>
                <w:noProof/>
                <w:webHidden/>
              </w:rPr>
              <w:t>67</w:t>
            </w:r>
            <w:r w:rsidR="005E55A2">
              <w:rPr>
                <w:noProof/>
                <w:webHidden/>
              </w:rPr>
              <w:fldChar w:fldCharType="end"/>
            </w:r>
          </w:hyperlink>
        </w:p>
        <w:p w14:paraId="122AD14E" w14:textId="36D9BFB3" w:rsidR="005E55A2" w:rsidRDefault="009E3F96">
          <w:pPr>
            <w:pStyle w:val="TOC3"/>
            <w:tabs>
              <w:tab w:val="left" w:pos="851"/>
            </w:tabs>
            <w:rPr>
              <w:rFonts w:eastAsiaTheme="minorEastAsia"/>
              <w:noProof/>
              <w:lang w:eastAsia="en-AU"/>
            </w:rPr>
          </w:pPr>
          <w:hyperlink w:anchor="_Toc94794288" w:history="1">
            <w:r w:rsidR="005E55A2" w:rsidRPr="00113BDC">
              <w:rPr>
                <w:rStyle w:val="Hyperlink"/>
                <w:noProof/>
              </w:rPr>
              <w:t>6.5.3</w:t>
            </w:r>
            <w:r w:rsidR="005E55A2">
              <w:rPr>
                <w:rFonts w:eastAsiaTheme="minorEastAsia"/>
                <w:noProof/>
                <w:lang w:eastAsia="en-AU"/>
              </w:rPr>
              <w:tab/>
            </w:r>
            <w:r w:rsidR="005E55A2" w:rsidRPr="00113BDC">
              <w:rPr>
                <w:rStyle w:val="Hyperlink"/>
                <w:noProof/>
              </w:rPr>
              <w:t>NSPs</w:t>
            </w:r>
            <w:r w:rsidR="005E55A2">
              <w:rPr>
                <w:noProof/>
                <w:webHidden/>
              </w:rPr>
              <w:tab/>
            </w:r>
            <w:r w:rsidR="005E55A2">
              <w:rPr>
                <w:noProof/>
                <w:webHidden/>
              </w:rPr>
              <w:fldChar w:fldCharType="begin"/>
            </w:r>
            <w:r w:rsidR="005E55A2">
              <w:rPr>
                <w:noProof/>
                <w:webHidden/>
              </w:rPr>
              <w:instrText xml:space="preserve"> PAGEREF _Toc94794288 \h </w:instrText>
            </w:r>
            <w:r w:rsidR="005E55A2">
              <w:rPr>
                <w:noProof/>
                <w:webHidden/>
              </w:rPr>
            </w:r>
            <w:r w:rsidR="005E55A2">
              <w:rPr>
                <w:noProof/>
                <w:webHidden/>
              </w:rPr>
              <w:fldChar w:fldCharType="separate"/>
            </w:r>
            <w:r>
              <w:rPr>
                <w:noProof/>
                <w:webHidden/>
              </w:rPr>
              <w:t>67</w:t>
            </w:r>
            <w:r w:rsidR="005E55A2">
              <w:rPr>
                <w:noProof/>
                <w:webHidden/>
              </w:rPr>
              <w:fldChar w:fldCharType="end"/>
            </w:r>
          </w:hyperlink>
        </w:p>
        <w:p w14:paraId="0FAC4726" w14:textId="08795221" w:rsidR="005E55A2" w:rsidRDefault="009E3F96">
          <w:pPr>
            <w:pStyle w:val="TOC3"/>
            <w:tabs>
              <w:tab w:val="left" w:pos="851"/>
            </w:tabs>
            <w:rPr>
              <w:rFonts w:eastAsiaTheme="minorEastAsia"/>
              <w:noProof/>
              <w:lang w:eastAsia="en-AU"/>
            </w:rPr>
          </w:pPr>
          <w:hyperlink w:anchor="_Toc94794289" w:history="1">
            <w:r w:rsidR="005E55A2" w:rsidRPr="00113BDC">
              <w:rPr>
                <w:rStyle w:val="Hyperlink"/>
                <w:noProof/>
              </w:rPr>
              <w:t>6.5.4</w:t>
            </w:r>
            <w:r w:rsidR="005E55A2">
              <w:rPr>
                <w:rFonts w:eastAsiaTheme="minorEastAsia"/>
                <w:noProof/>
                <w:lang w:eastAsia="en-AU"/>
              </w:rPr>
              <w:tab/>
            </w:r>
            <w:r w:rsidR="005E55A2" w:rsidRPr="00113BDC">
              <w:rPr>
                <w:rStyle w:val="Hyperlink"/>
                <w:noProof/>
              </w:rPr>
              <w:t>NGOs</w:t>
            </w:r>
            <w:r w:rsidR="005E55A2">
              <w:rPr>
                <w:noProof/>
                <w:webHidden/>
              </w:rPr>
              <w:tab/>
            </w:r>
            <w:r w:rsidR="005E55A2">
              <w:rPr>
                <w:noProof/>
                <w:webHidden/>
              </w:rPr>
              <w:fldChar w:fldCharType="begin"/>
            </w:r>
            <w:r w:rsidR="005E55A2">
              <w:rPr>
                <w:noProof/>
                <w:webHidden/>
              </w:rPr>
              <w:instrText xml:space="preserve"> PAGEREF _Toc94794289 \h </w:instrText>
            </w:r>
            <w:r w:rsidR="005E55A2">
              <w:rPr>
                <w:noProof/>
                <w:webHidden/>
              </w:rPr>
            </w:r>
            <w:r w:rsidR="005E55A2">
              <w:rPr>
                <w:noProof/>
                <w:webHidden/>
              </w:rPr>
              <w:fldChar w:fldCharType="separate"/>
            </w:r>
            <w:r>
              <w:rPr>
                <w:noProof/>
                <w:webHidden/>
              </w:rPr>
              <w:t>69</w:t>
            </w:r>
            <w:r w:rsidR="005E55A2">
              <w:rPr>
                <w:noProof/>
                <w:webHidden/>
              </w:rPr>
              <w:fldChar w:fldCharType="end"/>
            </w:r>
          </w:hyperlink>
        </w:p>
        <w:p w14:paraId="5F323DEA" w14:textId="12E67105" w:rsidR="005E55A2" w:rsidRDefault="009E3F96">
          <w:pPr>
            <w:pStyle w:val="TOC3"/>
            <w:tabs>
              <w:tab w:val="left" w:pos="851"/>
            </w:tabs>
            <w:rPr>
              <w:rFonts w:eastAsiaTheme="minorEastAsia"/>
              <w:noProof/>
              <w:lang w:eastAsia="en-AU"/>
            </w:rPr>
          </w:pPr>
          <w:hyperlink w:anchor="_Toc94794290" w:history="1">
            <w:r w:rsidR="005E55A2" w:rsidRPr="00113BDC">
              <w:rPr>
                <w:rStyle w:val="Hyperlink"/>
                <w:noProof/>
              </w:rPr>
              <w:t>6.5.5</w:t>
            </w:r>
            <w:r w:rsidR="005E55A2">
              <w:rPr>
                <w:rFonts w:eastAsiaTheme="minorEastAsia"/>
                <w:noProof/>
                <w:lang w:eastAsia="en-AU"/>
              </w:rPr>
              <w:tab/>
            </w:r>
            <w:r w:rsidR="005E55A2" w:rsidRPr="00113BDC">
              <w:rPr>
                <w:rStyle w:val="Hyperlink"/>
                <w:noProof/>
              </w:rPr>
              <w:t>Corrective Services Health Settings</w:t>
            </w:r>
            <w:r w:rsidR="005E55A2">
              <w:rPr>
                <w:noProof/>
                <w:webHidden/>
              </w:rPr>
              <w:tab/>
            </w:r>
            <w:r w:rsidR="005E55A2">
              <w:rPr>
                <w:noProof/>
                <w:webHidden/>
              </w:rPr>
              <w:fldChar w:fldCharType="begin"/>
            </w:r>
            <w:r w:rsidR="005E55A2">
              <w:rPr>
                <w:noProof/>
                <w:webHidden/>
              </w:rPr>
              <w:instrText xml:space="preserve"> PAGEREF _Toc94794290 \h </w:instrText>
            </w:r>
            <w:r w:rsidR="005E55A2">
              <w:rPr>
                <w:noProof/>
                <w:webHidden/>
              </w:rPr>
            </w:r>
            <w:r w:rsidR="005E55A2">
              <w:rPr>
                <w:noProof/>
                <w:webHidden/>
              </w:rPr>
              <w:fldChar w:fldCharType="separate"/>
            </w:r>
            <w:r>
              <w:rPr>
                <w:noProof/>
                <w:webHidden/>
              </w:rPr>
              <w:t>71</w:t>
            </w:r>
            <w:r w:rsidR="005E55A2">
              <w:rPr>
                <w:noProof/>
                <w:webHidden/>
              </w:rPr>
              <w:fldChar w:fldCharType="end"/>
            </w:r>
          </w:hyperlink>
        </w:p>
        <w:p w14:paraId="257E344B" w14:textId="148FE336" w:rsidR="005E55A2" w:rsidRDefault="009E3F96">
          <w:pPr>
            <w:pStyle w:val="TOC3"/>
            <w:tabs>
              <w:tab w:val="left" w:pos="851"/>
            </w:tabs>
            <w:rPr>
              <w:rFonts w:eastAsiaTheme="minorEastAsia"/>
              <w:noProof/>
              <w:lang w:eastAsia="en-AU"/>
            </w:rPr>
          </w:pPr>
          <w:hyperlink w:anchor="_Toc94794291" w:history="1">
            <w:r w:rsidR="005E55A2" w:rsidRPr="00113BDC">
              <w:rPr>
                <w:rStyle w:val="Hyperlink"/>
                <w:noProof/>
              </w:rPr>
              <w:t>6.5.6</w:t>
            </w:r>
            <w:r w:rsidR="005E55A2">
              <w:rPr>
                <w:rFonts w:eastAsiaTheme="minorEastAsia"/>
                <w:noProof/>
                <w:lang w:eastAsia="en-AU"/>
              </w:rPr>
              <w:tab/>
            </w:r>
            <w:r w:rsidR="005E55A2" w:rsidRPr="00113BDC">
              <w:rPr>
                <w:rStyle w:val="Hyperlink"/>
                <w:noProof/>
              </w:rPr>
              <w:t>Police</w:t>
            </w:r>
            <w:r w:rsidR="005E55A2">
              <w:rPr>
                <w:noProof/>
                <w:webHidden/>
              </w:rPr>
              <w:tab/>
            </w:r>
            <w:r w:rsidR="005E55A2">
              <w:rPr>
                <w:noProof/>
                <w:webHidden/>
              </w:rPr>
              <w:fldChar w:fldCharType="begin"/>
            </w:r>
            <w:r w:rsidR="005E55A2">
              <w:rPr>
                <w:noProof/>
                <w:webHidden/>
              </w:rPr>
              <w:instrText xml:space="preserve"> PAGEREF _Toc94794291 \h </w:instrText>
            </w:r>
            <w:r w:rsidR="005E55A2">
              <w:rPr>
                <w:noProof/>
                <w:webHidden/>
              </w:rPr>
            </w:r>
            <w:r w:rsidR="005E55A2">
              <w:rPr>
                <w:noProof/>
                <w:webHidden/>
              </w:rPr>
              <w:fldChar w:fldCharType="separate"/>
            </w:r>
            <w:r>
              <w:rPr>
                <w:noProof/>
                <w:webHidden/>
              </w:rPr>
              <w:t>72</w:t>
            </w:r>
            <w:r w:rsidR="005E55A2">
              <w:rPr>
                <w:noProof/>
                <w:webHidden/>
              </w:rPr>
              <w:fldChar w:fldCharType="end"/>
            </w:r>
          </w:hyperlink>
        </w:p>
        <w:p w14:paraId="75A8E581" w14:textId="3F6FAAF0" w:rsidR="005E55A2" w:rsidRDefault="009E3F96">
          <w:pPr>
            <w:pStyle w:val="TOC2"/>
            <w:tabs>
              <w:tab w:val="left" w:pos="851"/>
            </w:tabs>
            <w:rPr>
              <w:rFonts w:eastAsiaTheme="minorEastAsia"/>
              <w:noProof/>
              <w:lang w:eastAsia="en-AU"/>
            </w:rPr>
          </w:pPr>
          <w:hyperlink w:anchor="_Toc94794292" w:history="1">
            <w:r w:rsidR="005E55A2" w:rsidRPr="00113BDC">
              <w:rPr>
                <w:rStyle w:val="Hyperlink"/>
                <w:noProof/>
              </w:rPr>
              <w:t>6.6</w:t>
            </w:r>
            <w:r w:rsidR="005E55A2">
              <w:rPr>
                <w:rFonts w:eastAsiaTheme="minorEastAsia"/>
                <w:noProof/>
                <w:lang w:eastAsia="en-AU"/>
              </w:rPr>
              <w:tab/>
            </w:r>
            <w:r w:rsidR="005E55A2" w:rsidRPr="00113BDC">
              <w:rPr>
                <w:rStyle w:val="Hyperlink"/>
                <w:noProof/>
              </w:rPr>
              <w:t>What factors prevented participation by some site types?</w:t>
            </w:r>
            <w:r w:rsidR="005E55A2">
              <w:rPr>
                <w:noProof/>
                <w:webHidden/>
              </w:rPr>
              <w:tab/>
            </w:r>
            <w:r w:rsidR="005E55A2">
              <w:rPr>
                <w:noProof/>
                <w:webHidden/>
              </w:rPr>
              <w:fldChar w:fldCharType="begin"/>
            </w:r>
            <w:r w:rsidR="005E55A2">
              <w:rPr>
                <w:noProof/>
                <w:webHidden/>
              </w:rPr>
              <w:instrText xml:space="preserve"> PAGEREF _Toc94794292 \h </w:instrText>
            </w:r>
            <w:r w:rsidR="005E55A2">
              <w:rPr>
                <w:noProof/>
                <w:webHidden/>
              </w:rPr>
            </w:r>
            <w:r w:rsidR="005E55A2">
              <w:rPr>
                <w:noProof/>
                <w:webHidden/>
              </w:rPr>
              <w:fldChar w:fldCharType="separate"/>
            </w:r>
            <w:r>
              <w:rPr>
                <w:noProof/>
                <w:webHidden/>
              </w:rPr>
              <w:t>73</w:t>
            </w:r>
            <w:r w:rsidR="005E55A2">
              <w:rPr>
                <w:noProof/>
                <w:webHidden/>
              </w:rPr>
              <w:fldChar w:fldCharType="end"/>
            </w:r>
          </w:hyperlink>
        </w:p>
        <w:p w14:paraId="6B7971E8" w14:textId="1C3640DA" w:rsidR="005E55A2" w:rsidRDefault="009E3F96">
          <w:pPr>
            <w:pStyle w:val="TOC3"/>
            <w:tabs>
              <w:tab w:val="left" w:pos="851"/>
            </w:tabs>
            <w:rPr>
              <w:rFonts w:eastAsiaTheme="minorEastAsia"/>
              <w:noProof/>
              <w:lang w:eastAsia="en-AU"/>
            </w:rPr>
          </w:pPr>
          <w:hyperlink w:anchor="_Toc94794293" w:history="1">
            <w:r w:rsidR="005E55A2" w:rsidRPr="00113BDC">
              <w:rPr>
                <w:rStyle w:val="Hyperlink"/>
                <w:noProof/>
              </w:rPr>
              <w:t>6.6.1</w:t>
            </w:r>
            <w:r w:rsidR="005E55A2">
              <w:rPr>
                <w:rFonts w:eastAsiaTheme="minorEastAsia"/>
                <w:noProof/>
                <w:lang w:eastAsia="en-AU"/>
              </w:rPr>
              <w:tab/>
            </w:r>
            <w:r w:rsidR="005E55A2" w:rsidRPr="00113BDC">
              <w:rPr>
                <w:rStyle w:val="Hyperlink"/>
                <w:noProof/>
              </w:rPr>
              <w:t>Hospital pharmacies and emergency departments</w:t>
            </w:r>
            <w:r w:rsidR="005E55A2">
              <w:rPr>
                <w:noProof/>
                <w:webHidden/>
              </w:rPr>
              <w:tab/>
            </w:r>
            <w:r w:rsidR="005E55A2">
              <w:rPr>
                <w:noProof/>
                <w:webHidden/>
              </w:rPr>
              <w:fldChar w:fldCharType="begin"/>
            </w:r>
            <w:r w:rsidR="005E55A2">
              <w:rPr>
                <w:noProof/>
                <w:webHidden/>
              </w:rPr>
              <w:instrText xml:space="preserve"> PAGEREF _Toc94794293 \h </w:instrText>
            </w:r>
            <w:r w:rsidR="005E55A2">
              <w:rPr>
                <w:noProof/>
                <w:webHidden/>
              </w:rPr>
            </w:r>
            <w:r w:rsidR="005E55A2">
              <w:rPr>
                <w:noProof/>
                <w:webHidden/>
              </w:rPr>
              <w:fldChar w:fldCharType="separate"/>
            </w:r>
            <w:r>
              <w:rPr>
                <w:noProof/>
                <w:webHidden/>
              </w:rPr>
              <w:t>73</w:t>
            </w:r>
            <w:r w:rsidR="005E55A2">
              <w:rPr>
                <w:noProof/>
                <w:webHidden/>
              </w:rPr>
              <w:fldChar w:fldCharType="end"/>
            </w:r>
          </w:hyperlink>
        </w:p>
        <w:p w14:paraId="2D13CECA" w14:textId="2F560B4C" w:rsidR="005E55A2" w:rsidRDefault="009E3F96">
          <w:pPr>
            <w:pStyle w:val="TOC3"/>
            <w:tabs>
              <w:tab w:val="left" w:pos="851"/>
            </w:tabs>
            <w:rPr>
              <w:rFonts w:eastAsiaTheme="minorEastAsia"/>
              <w:noProof/>
              <w:lang w:eastAsia="en-AU"/>
            </w:rPr>
          </w:pPr>
          <w:hyperlink w:anchor="_Toc94794294" w:history="1">
            <w:r w:rsidR="005E55A2" w:rsidRPr="00113BDC">
              <w:rPr>
                <w:rStyle w:val="Hyperlink"/>
                <w:noProof/>
              </w:rPr>
              <w:t>6.6.2</w:t>
            </w:r>
            <w:r w:rsidR="005E55A2">
              <w:rPr>
                <w:rFonts w:eastAsiaTheme="minorEastAsia"/>
                <w:noProof/>
                <w:lang w:eastAsia="en-AU"/>
              </w:rPr>
              <w:tab/>
            </w:r>
            <w:r w:rsidR="005E55A2" w:rsidRPr="00113BDC">
              <w:rPr>
                <w:rStyle w:val="Hyperlink"/>
                <w:noProof/>
              </w:rPr>
              <w:t>Pain clinics</w:t>
            </w:r>
            <w:r w:rsidR="005E55A2">
              <w:rPr>
                <w:noProof/>
                <w:webHidden/>
              </w:rPr>
              <w:tab/>
            </w:r>
            <w:r w:rsidR="005E55A2">
              <w:rPr>
                <w:noProof/>
                <w:webHidden/>
              </w:rPr>
              <w:fldChar w:fldCharType="begin"/>
            </w:r>
            <w:r w:rsidR="005E55A2">
              <w:rPr>
                <w:noProof/>
                <w:webHidden/>
              </w:rPr>
              <w:instrText xml:space="preserve"> PAGEREF _Toc94794294 \h </w:instrText>
            </w:r>
            <w:r w:rsidR="005E55A2">
              <w:rPr>
                <w:noProof/>
                <w:webHidden/>
              </w:rPr>
            </w:r>
            <w:r w:rsidR="005E55A2">
              <w:rPr>
                <w:noProof/>
                <w:webHidden/>
              </w:rPr>
              <w:fldChar w:fldCharType="separate"/>
            </w:r>
            <w:r>
              <w:rPr>
                <w:noProof/>
                <w:webHidden/>
              </w:rPr>
              <w:t>74</w:t>
            </w:r>
            <w:r w:rsidR="005E55A2">
              <w:rPr>
                <w:noProof/>
                <w:webHidden/>
              </w:rPr>
              <w:fldChar w:fldCharType="end"/>
            </w:r>
          </w:hyperlink>
        </w:p>
        <w:p w14:paraId="6BF0D872" w14:textId="3BAD6FFF" w:rsidR="005E55A2" w:rsidRDefault="009E3F96">
          <w:pPr>
            <w:pStyle w:val="TOC3"/>
            <w:tabs>
              <w:tab w:val="left" w:pos="851"/>
            </w:tabs>
            <w:rPr>
              <w:rFonts w:eastAsiaTheme="minorEastAsia"/>
              <w:noProof/>
              <w:lang w:eastAsia="en-AU"/>
            </w:rPr>
          </w:pPr>
          <w:hyperlink w:anchor="_Toc94794295" w:history="1">
            <w:r w:rsidR="005E55A2" w:rsidRPr="00113BDC">
              <w:rPr>
                <w:rStyle w:val="Hyperlink"/>
                <w:noProof/>
              </w:rPr>
              <w:t>6.6.3</w:t>
            </w:r>
            <w:r w:rsidR="005E55A2">
              <w:rPr>
                <w:rFonts w:eastAsiaTheme="minorEastAsia"/>
                <w:noProof/>
                <w:lang w:eastAsia="en-AU"/>
              </w:rPr>
              <w:tab/>
            </w:r>
            <w:r w:rsidR="005E55A2" w:rsidRPr="00113BDC">
              <w:rPr>
                <w:rStyle w:val="Hyperlink"/>
                <w:noProof/>
              </w:rPr>
              <w:t>Primary care</w:t>
            </w:r>
            <w:r w:rsidR="005E55A2">
              <w:rPr>
                <w:noProof/>
                <w:webHidden/>
              </w:rPr>
              <w:tab/>
            </w:r>
            <w:r w:rsidR="005E55A2">
              <w:rPr>
                <w:noProof/>
                <w:webHidden/>
              </w:rPr>
              <w:fldChar w:fldCharType="begin"/>
            </w:r>
            <w:r w:rsidR="005E55A2">
              <w:rPr>
                <w:noProof/>
                <w:webHidden/>
              </w:rPr>
              <w:instrText xml:space="preserve"> PAGEREF _Toc94794295 \h </w:instrText>
            </w:r>
            <w:r w:rsidR="005E55A2">
              <w:rPr>
                <w:noProof/>
                <w:webHidden/>
              </w:rPr>
            </w:r>
            <w:r w:rsidR="005E55A2">
              <w:rPr>
                <w:noProof/>
                <w:webHidden/>
              </w:rPr>
              <w:fldChar w:fldCharType="separate"/>
            </w:r>
            <w:r>
              <w:rPr>
                <w:noProof/>
                <w:webHidden/>
              </w:rPr>
              <w:t>74</w:t>
            </w:r>
            <w:r w:rsidR="005E55A2">
              <w:rPr>
                <w:noProof/>
                <w:webHidden/>
              </w:rPr>
              <w:fldChar w:fldCharType="end"/>
            </w:r>
          </w:hyperlink>
        </w:p>
        <w:p w14:paraId="11AC8F0B" w14:textId="6D000D86" w:rsidR="005E55A2" w:rsidRDefault="009E3F96">
          <w:pPr>
            <w:pStyle w:val="TOC3"/>
            <w:tabs>
              <w:tab w:val="left" w:pos="851"/>
            </w:tabs>
            <w:rPr>
              <w:rFonts w:eastAsiaTheme="minorEastAsia"/>
              <w:noProof/>
              <w:lang w:eastAsia="en-AU"/>
            </w:rPr>
          </w:pPr>
          <w:hyperlink w:anchor="_Toc94794296" w:history="1">
            <w:r w:rsidR="005E55A2" w:rsidRPr="00113BDC">
              <w:rPr>
                <w:rStyle w:val="Hyperlink"/>
                <w:noProof/>
              </w:rPr>
              <w:t>6.6.4</w:t>
            </w:r>
            <w:r w:rsidR="005E55A2">
              <w:rPr>
                <w:rFonts w:eastAsiaTheme="minorEastAsia"/>
                <w:noProof/>
                <w:lang w:eastAsia="en-AU"/>
              </w:rPr>
              <w:tab/>
            </w:r>
            <w:r w:rsidR="005E55A2" w:rsidRPr="00113BDC">
              <w:rPr>
                <w:rStyle w:val="Hyperlink"/>
                <w:noProof/>
              </w:rPr>
              <w:t>Mental health settings</w:t>
            </w:r>
            <w:r w:rsidR="005E55A2">
              <w:rPr>
                <w:noProof/>
                <w:webHidden/>
              </w:rPr>
              <w:tab/>
            </w:r>
            <w:r w:rsidR="005E55A2">
              <w:rPr>
                <w:noProof/>
                <w:webHidden/>
              </w:rPr>
              <w:fldChar w:fldCharType="begin"/>
            </w:r>
            <w:r w:rsidR="005E55A2">
              <w:rPr>
                <w:noProof/>
                <w:webHidden/>
              </w:rPr>
              <w:instrText xml:space="preserve"> PAGEREF _Toc94794296 \h </w:instrText>
            </w:r>
            <w:r w:rsidR="005E55A2">
              <w:rPr>
                <w:noProof/>
                <w:webHidden/>
              </w:rPr>
            </w:r>
            <w:r w:rsidR="005E55A2">
              <w:rPr>
                <w:noProof/>
                <w:webHidden/>
              </w:rPr>
              <w:fldChar w:fldCharType="separate"/>
            </w:r>
            <w:r>
              <w:rPr>
                <w:noProof/>
                <w:webHidden/>
              </w:rPr>
              <w:t>74</w:t>
            </w:r>
            <w:r w:rsidR="005E55A2">
              <w:rPr>
                <w:noProof/>
                <w:webHidden/>
              </w:rPr>
              <w:fldChar w:fldCharType="end"/>
            </w:r>
          </w:hyperlink>
        </w:p>
        <w:p w14:paraId="23F855C4" w14:textId="5EC1EBA3" w:rsidR="005E55A2" w:rsidRDefault="009E3F96">
          <w:pPr>
            <w:pStyle w:val="TOC2"/>
            <w:rPr>
              <w:rFonts w:eastAsiaTheme="minorEastAsia"/>
              <w:noProof/>
              <w:lang w:eastAsia="en-AU"/>
            </w:rPr>
          </w:pPr>
          <w:hyperlink w:anchor="_Toc94794297" w:history="1">
            <w:r w:rsidR="005E55A2" w:rsidRPr="00113BDC">
              <w:rPr>
                <w:rStyle w:val="Hyperlink"/>
                <w:noProof/>
              </w:rPr>
              <w:t>Implications</w:t>
            </w:r>
            <w:r w:rsidR="005E55A2">
              <w:rPr>
                <w:noProof/>
                <w:webHidden/>
              </w:rPr>
              <w:tab/>
            </w:r>
            <w:r w:rsidR="005E55A2">
              <w:rPr>
                <w:noProof/>
                <w:webHidden/>
              </w:rPr>
              <w:fldChar w:fldCharType="begin"/>
            </w:r>
            <w:r w:rsidR="005E55A2">
              <w:rPr>
                <w:noProof/>
                <w:webHidden/>
              </w:rPr>
              <w:instrText xml:space="preserve"> PAGEREF _Toc94794297 \h </w:instrText>
            </w:r>
            <w:r w:rsidR="005E55A2">
              <w:rPr>
                <w:noProof/>
                <w:webHidden/>
              </w:rPr>
            </w:r>
            <w:r w:rsidR="005E55A2">
              <w:rPr>
                <w:noProof/>
                <w:webHidden/>
              </w:rPr>
              <w:fldChar w:fldCharType="separate"/>
            </w:r>
            <w:r>
              <w:rPr>
                <w:noProof/>
                <w:webHidden/>
              </w:rPr>
              <w:t>75</w:t>
            </w:r>
            <w:r w:rsidR="005E55A2">
              <w:rPr>
                <w:noProof/>
                <w:webHidden/>
              </w:rPr>
              <w:fldChar w:fldCharType="end"/>
            </w:r>
          </w:hyperlink>
        </w:p>
        <w:p w14:paraId="08FEFF99" w14:textId="0B09D677" w:rsidR="005E55A2" w:rsidRDefault="009E3F96">
          <w:pPr>
            <w:pStyle w:val="TOC1"/>
            <w:tabs>
              <w:tab w:val="left" w:pos="851"/>
            </w:tabs>
            <w:rPr>
              <w:rFonts w:eastAsiaTheme="minorEastAsia"/>
              <w:b w:val="0"/>
              <w:noProof/>
              <w:lang w:eastAsia="en-AU"/>
            </w:rPr>
          </w:pPr>
          <w:hyperlink w:anchor="_Toc94794298" w:history="1">
            <w:r w:rsidR="005E55A2" w:rsidRPr="00113BDC">
              <w:rPr>
                <w:rStyle w:val="Hyperlink"/>
                <w:noProof/>
              </w:rPr>
              <w:t>7.</w:t>
            </w:r>
            <w:r w:rsidR="005E55A2">
              <w:rPr>
                <w:rFonts w:eastAsiaTheme="minorEastAsia"/>
                <w:b w:val="0"/>
                <w:noProof/>
                <w:lang w:eastAsia="en-AU"/>
              </w:rPr>
              <w:tab/>
            </w:r>
            <w:r w:rsidR="005E55A2" w:rsidRPr="00113BDC">
              <w:rPr>
                <w:rStyle w:val="Hyperlink"/>
                <w:noProof/>
              </w:rPr>
              <w:t>Were there any barriers to increasing access and/or uptake of THN? How could these barriers be overcome?</w:t>
            </w:r>
            <w:r w:rsidR="005E55A2">
              <w:rPr>
                <w:noProof/>
                <w:webHidden/>
              </w:rPr>
              <w:tab/>
            </w:r>
            <w:r w:rsidR="005E55A2">
              <w:rPr>
                <w:noProof/>
                <w:webHidden/>
              </w:rPr>
              <w:fldChar w:fldCharType="begin"/>
            </w:r>
            <w:r w:rsidR="005E55A2">
              <w:rPr>
                <w:noProof/>
                <w:webHidden/>
              </w:rPr>
              <w:instrText xml:space="preserve"> PAGEREF _Toc94794298 \h </w:instrText>
            </w:r>
            <w:r w:rsidR="005E55A2">
              <w:rPr>
                <w:noProof/>
                <w:webHidden/>
              </w:rPr>
            </w:r>
            <w:r w:rsidR="005E55A2">
              <w:rPr>
                <w:noProof/>
                <w:webHidden/>
              </w:rPr>
              <w:fldChar w:fldCharType="separate"/>
            </w:r>
            <w:r>
              <w:rPr>
                <w:noProof/>
                <w:webHidden/>
              </w:rPr>
              <w:t>76</w:t>
            </w:r>
            <w:r w:rsidR="005E55A2">
              <w:rPr>
                <w:noProof/>
                <w:webHidden/>
              </w:rPr>
              <w:fldChar w:fldCharType="end"/>
            </w:r>
          </w:hyperlink>
        </w:p>
        <w:p w14:paraId="39A03752" w14:textId="71CB71EB" w:rsidR="005E55A2" w:rsidRDefault="009E3F96">
          <w:pPr>
            <w:pStyle w:val="TOC2"/>
            <w:rPr>
              <w:rFonts w:eastAsiaTheme="minorEastAsia"/>
              <w:noProof/>
              <w:lang w:eastAsia="en-AU"/>
            </w:rPr>
          </w:pPr>
          <w:hyperlink w:anchor="_Toc94794299" w:history="1">
            <w:r w:rsidR="005E55A2" w:rsidRPr="00113BDC">
              <w:rPr>
                <w:rStyle w:val="Hyperlink"/>
                <w:noProof/>
              </w:rPr>
              <w:t>Key points</w:t>
            </w:r>
            <w:r w:rsidR="005E55A2">
              <w:rPr>
                <w:noProof/>
                <w:webHidden/>
              </w:rPr>
              <w:tab/>
            </w:r>
            <w:r w:rsidR="005E55A2">
              <w:rPr>
                <w:noProof/>
                <w:webHidden/>
              </w:rPr>
              <w:fldChar w:fldCharType="begin"/>
            </w:r>
            <w:r w:rsidR="005E55A2">
              <w:rPr>
                <w:noProof/>
                <w:webHidden/>
              </w:rPr>
              <w:instrText xml:space="preserve"> PAGEREF _Toc94794299 \h </w:instrText>
            </w:r>
            <w:r w:rsidR="005E55A2">
              <w:rPr>
                <w:noProof/>
                <w:webHidden/>
              </w:rPr>
            </w:r>
            <w:r w:rsidR="005E55A2">
              <w:rPr>
                <w:noProof/>
                <w:webHidden/>
              </w:rPr>
              <w:fldChar w:fldCharType="separate"/>
            </w:r>
            <w:r>
              <w:rPr>
                <w:noProof/>
                <w:webHidden/>
              </w:rPr>
              <w:t>76</w:t>
            </w:r>
            <w:r w:rsidR="005E55A2">
              <w:rPr>
                <w:noProof/>
                <w:webHidden/>
              </w:rPr>
              <w:fldChar w:fldCharType="end"/>
            </w:r>
          </w:hyperlink>
        </w:p>
        <w:p w14:paraId="52771B1B" w14:textId="4ABE15B6" w:rsidR="005E55A2" w:rsidRDefault="009E3F96">
          <w:pPr>
            <w:pStyle w:val="TOC2"/>
            <w:tabs>
              <w:tab w:val="left" w:pos="851"/>
            </w:tabs>
            <w:rPr>
              <w:rFonts w:eastAsiaTheme="minorEastAsia"/>
              <w:noProof/>
              <w:lang w:eastAsia="en-AU"/>
            </w:rPr>
          </w:pPr>
          <w:hyperlink w:anchor="_Toc94794300" w:history="1">
            <w:r w:rsidR="005E55A2" w:rsidRPr="00113BDC">
              <w:rPr>
                <w:rStyle w:val="Hyperlink"/>
                <w:noProof/>
              </w:rPr>
              <w:t>7.1</w:t>
            </w:r>
            <w:r w:rsidR="005E55A2">
              <w:rPr>
                <w:rFonts w:eastAsiaTheme="minorEastAsia"/>
                <w:noProof/>
                <w:lang w:eastAsia="en-AU"/>
              </w:rPr>
              <w:tab/>
            </w:r>
            <w:r w:rsidR="005E55A2" w:rsidRPr="00113BDC">
              <w:rPr>
                <w:rStyle w:val="Hyperlink"/>
                <w:noProof/>
              </w:rPr>
              <w:t>To what extent were these challenges resolved during the THN Pilot?</w:t>
            </w:r>
            <w:r w:rsidR="005E55A2">
              <w:rPr>
                <w:noProof/>
                <w:webHidden/>
              </w:rPr>
              <w:tab/>
            </w:r>
            <w:r w:rsidR="005E55A2">
              <w:rPr>
                <w:noProof/>
                <w:webHidden/>
              </w:rPr>
              <w:fldChar w:fldCharType="begin"/>
            </w:r>
            <w:r w:rsidR="005E55A2">
              <w:rPr>
                <w:noProof/>
                <w:webHidden/>
              </w:rPr>
              <w:instrText xml:space="preserve"> PAGEREF _Toc94794300 \h </w:instrText>
            </w:r>
            <w:r w:rsidR="005E55A2">
              <w:rPr>
                <w:noProof/>
                <w:webHidden/>
              </w:rPr>
            </w:r>
            <w:r w:rsidR="005E55A2">
              <w:rPr>
                <w:noProof/>
                <w:webHidden/>
              </w:rPr>
              <w:fldChar w:fldCharType="separate"/>
            </w:r>
            <w:r>
              <w:rPr>
                <w:noProof/>
                <w:webHidden/>
              </w:rPr>
              <w:t>78</w:t>
            </w:r>
            <w:r w:rsidR="005E55A2">
              <w:rPr>
                <w:noProof/>
                <w:webHidden/>
              </w:rPr>
              <w:fldChar w:fldCharType="end"/>
            </w:r>
          </w:hyperlink>
        </w:p>
        <w:p w14:paraId="3E57BE3D" w14:textId="2D5A79F6" w:rsidR="005E55A2" w:rsidRDefault="009E3F96">
          <w:pPr>
            <w:pStyle w:val="TOC3"/>
            <w:tabs>
              <w:tab w:val="left" w:pos="851"/>
            </w:tabs>
            <w:rPr>
              <w:rFonts w:eastAsiaTheme="minorEastAsia"/>
              <w:noProof/>
              <w:lang w:eastAsia="en-AU"/>
            </w:rPr>
          </w:pPr>
          <w:hyperlink w:anchor="_Toc94794301" w:history="1">
            <w:r w:rsidR="005E55A2" w:rsidRPr="00113BDC">
              <w:rPr>
                <w:rStyle w:val="Hyperlink"/>
                <w:noProof/>
              </w:rPr>
              <w:t>7.1.1</w:t>
            </w:r>
            <w:r w:rsidR="005E55A2">
              <w:rPr>
                <w:rFonts w:eastAsiaTheme="minorEastAsia"/>
                <w:noProof/>
                <w:lang w:eastAsia="en-AU"/>
              </w:rPr>
              <w:tab/>
            </w:r>
            <w:r w:rsidR="005E55A2" w:rsidRPr="00113BDC">
              <w:rPr>
                <w:rStyle w:val="Hyperlink"/>
                <w:noProof/>
              </w:rPr>
              <w:t>Barriers addressed by the Pilot</w:t>
            </w:r>
            <w:r w:rsidR="005E55A2">
              <w:rPr>
                <w:noProof/>
                <w:webHidden/>
              </w:rPr>
              <w:tab/>
            </w:r>
            <w:r w:rsidR="005E55A2">
              <w:rPr>
                <w:noProof/>
                <w:webHidden/>
              </w:rPr>
              <w:fldChar w:fldCharType="begin"/>
            </w:r>
            <w:r w:rsidR="005E55A2">
              <w:rPr>
                <w:noProof/>
                <w:webHidden/>
              </w:rPr>
              <w:instrText xml:space="preserve"> PAGEREF _Toc94794301 \h </w:instrText>
            </w:r>
            <w:r w:rsidR="005E55A2">
              <w:rPr>
                <w:noProof/>
                <w:webHidden/>
              </w:rPr>
            </w:r>
            <w:r w:rsidR="005E55A2">
              <w:rPr>
                <w:noProof/>
                <w:webHidden/>
              </w:rPr>
              <w:fldChar w:fldCharType="separate"/>
            </w:r>
            <w:r>
              <w:rPr>
                <w:noProof/>
                <w:webHidden/>
              </w:rPr>
              <w:t>78</w:t>
            </w:r>
            <w:r w:rsidR="005E55A2">
              <w:rPr>
                <w:noProof/>
                <w:webHidden/>
              </w:rPr>
              <w:fldChar w:fldCharType="end"/>
            </w:r>
          </w:hyperlink>
        </w:p>
        <w:p w14:paraId="472A056C" w14:textId="1B9417E8" w:rsidR="005E55A2" w:rsidRDefault="009E3F96">
          <w:pPr>
            <w:pStyle w:val="TOC3"/>
            <w:tabs>
              <w:tab w:val="left" w:pos="851"/>
            </w:tabs>
            <w:rPr>
              <w:rFonts w:eastAsiaTheme="minorEastAsia"/>
              <w:noProof/>
              <w:lang w:eastAsia="en-AU"/>
            </w:rPr>
          </w:pPr>
          <w:hyperlink w:anchor="_Toc94794302" w:history="1">
            <w:r w:rsidR="005E55A2" w:rsidRPr="00113BDC">
              <w:rPr>
                <w:rStyle w:val="Hyperlink"/>
                <w:noProof/>
              </w:rPr>
              <w:t>7.1.2</w:t>
            </w:r>
            <w:r w:rsidR="005E55A2">
              <w:rPr>
                <w:rFonts w:eastAsiaTheme="minorEastAsia"/>
                <w:noProof/>
                <w:lang w:eastAsia="en-AU"/>
              </w:rPr>
              <w:tab/>
            </w:r>
            <w:r w:rsidR="005E55A2" w:rsidRPr="00113BDC">
              <w:rPr>
                <w:rStyle w:val="Hyperlink"/>
                <w:noProof/>
              </w:rPr>
              <w:t>Barriers that need more work to address</w:t>
            </w:r>
            <w:r w:rsidR="005E55A2">
              <w:rPr>
                <w:noProof/>
                <w:webHidden/>
              </w:rPr>
              <w:tab/>
            </w:r>
            <w:r w:rsidR="005E55A2">
              <w:rPr>
                <w:noProof/>
                <w:webHidden/>
              </w:rPr>
              <w:fldChar w:fldCharType="begin"/>
            </w:r>
            <w:r w:rsidR="005E55A2">
              <w:rPr>
                <w:noProof/>
                <w:webHidden/>
              </w:rPr>
              <w:instrText xml:space="preserve"> PAGEREF _Toc94794302 \h </w:instrText>
            </w:r>
            <w:r w:rsidR="005E55A2">
              <w:rPr>
                <w:noProof/>
                <w:webHidden/>
              </w:rPr>
            </w:r>
            <w:r w:rsidR="005E55A2">
              <w:rPr>
                <w:noProof/>
                <w:webHidden/>
              </w:rPr>
              <w:fldChar w:fldCharType="separate"/>
            </w:r>
            <w:r>
              <w:rPr>
                <w:noProof/>
                <w:webHidden/>
              </w:rPr>
              <w:t>81</w:t>
            </w:r>
            <w:r w:rsidR="005E55A2">
              <w:rPr>
                <w:noProof/>
                <w:webHidden/>
              </w:rPr>
              <w:fldChar w:fldCharType="end"/>
            </w:r>
          </w:hyperlink>
        </w:p>
        <w:p w14:paraId="321EE337" w14:textId="0BDE456F" w:rsidR="005E55A2" w:rsidRDefault="009E3F96">
          <w:pPr>
            <w:pStyle w:val="TOC2"/>
            <w:tabs>
              <w:tab w:val="left" w:pos="851"/>
            </w:tabs>
            <w:rPr>
              <w:rFonts w:eastAsiaTheme="minorEastAsia"/>
              <w:noProof/>
              <w:lang w:eastAsia="en-AU"/>
            </w:rPr>
          </w:pPr>
          <w:hyperlink w:anchor="_Toc94794303" w:history="1">
            <w:r w:rsidR="005E55A2" w:rsidRPr="00113BDC">
              <w:rPr>
                <w:rStyle w:val="Hyperlink"/>
                <w:noProof/>
              </w:rPr>
              <w:t>7.2</w:t>
            </w:r>
            <w:r w:rsidR="005E55A2">
              <w:rPr>
                <w:rFonts w:eastAsiaTheme="minorEastAsia"/>
                <w:noProof/>
                <w:lang w:eastAsia="en-AU"/>
              </w:rPr>
              <w:tab/>
            </w:r>
            <w:r w:rsidR="005E55A2" w:rsidRPr="00113BDC">
              <w:rPr>
                <w:rStyle w:val="Hyperlink"/>
                <w:noProof/>
              </w:rPr>
              <w:t>What mechanisms should be established to mitigate the effect of these barriers?</w:t>
            </w:r>
            <w:r w:rsidR="005E55A2">
              <w:rPr>
                <w:noProof/>
                <w:webHidden/>
              </w:rPr>
              <w:tab/>
            </w:r>
            <w:r w:rsidR="005E55A2">
              <w:rPr>
                <w:noProof/>
                <w:webHidden/>
              </w:rPr>
              <w:fldChar w:fldCharType="begin"/>
            </w:r>
            <w:r w:rsidR="005E55A2">
              <w:rPr>
                <w:noProof/>
                <w:webHidden/>
              </w:rPr>
              <w:instrText xml:space="preserve"> PAGEREF _Toc94794303 \h </w:instrText>
            </w:r>
            <w:r w:rsidR="005E55A2">
              <w:rPr>
                <w:noProof/>
                <w:webHidden/>
              </w:rPr>
            </w:r>
            <w:r w:rsidR="005E55A2">
              <w:rPr>
                <w:noProof/>
                <w:webHidden/>
              </w:rPr>
              <w:fldChar w:fldCharType="separate"/>
            </w:r>
            <w:r>
              <w:rPr>
                <w:noProof/>
                <w:webHidden/>
              </w:rPr>
              <w:t>86</w:t>
            </w:r>
            <w:r w:rsidR="005E55A2">
              <w:rPr>
                <w:noProof/>
                <w:webHidden/>
              </w:rPr>
              <w:fldChar w:fldCharType="end"/>
            </w:r>
          </w:hyperlink>
        </w:p>
        <w:p w14:paraId="65FF8CCB" w14:textId="6F5B5412" w:rsidR="005E55A2" w:rsidRDefault="009E3F96">
          <w:pPr>
            <w:pStyle w:val="TOC3"/>
            <w:tabs>
              <w:tab w:val="left" w:pos="851"/>
            </w:tabs>
            <w:rPr>
              <w:rFonts w:eastAsiaTheme="minorEastAsia"/>
              <w:noProof/>
              <w:lang w:eastAsia="en-AU"/>
            </w:rPr>
          </w:pPr>
          <w:hyperlink w:anchor="_Toc94794304" w:history="1">
            <w:r w:rsidR="005E55A2" w:rsidRPr="00113BDC">
              <w:rPr>
                <w:rStyle w:val="Hyperlink"/>
                <w:noProof/>
              </w:rPr>
              <w:t>7.2.1</w:t>
            </w:r>
            <w:r w:rsidR="005E55A2">
              <w:rPr>
                <w:rFonts w:eastAsiaTheme="minorEastAsia"/>
                <w:noProof/>
                <w:lang w:eastAsia="en-AU"/>
              </w:rPr>
              <w:tab/>
            </w:r>
            <w:r w:rsidR="005E55A2" w:rsidRPr="00113BDC">
              <w:rPr>
                <w:rStyle w:val="Hyperlink"/>
                <w:noProof/>
              </w:rPr>
              <w:t>Suggestions from interview participants</w:t>
            </w:r>
            <w:r w:rsidR="005E55A2">
              <w:rPr>
                <w:noProof/>
                <w:webHidden/>
              </w:rPr>
              <w:tab/>
            </w:r>
            <w:r w:rsidR="005E55A2">
              <w:rPr>
                <w:noProof/>
                <w:webHidden/>
              </w:rPr>
              <w:fldChar w:fldCharType="begin"/>
            </w:r>
            <w:r w:rsidR="005E55A2">
              <w:rPr>
                <w:noProof/>
                <w:webHidden/>
              </w:rPr>
              <w:instrText xml:space="preserve"> PAGEREF _Toc94794304 \h </w:instrText>
            </w:r>
            <w:r w:rsidR="005E55A2">
              <w:rPr>
                <w:noProof/>
                <w:webHidden/>
              </w:rPr>
            </w:r>
            <w:r w:rsidR="005E55A2">
              <w:rPr>
                <w:noProof/>
                <w:webHidden/>
              </w:rPr>
              <w:fldChar w:fldCharType="separate"/>
            </w:r>
            <w:r>
              <w:rPr>
                <w:noProof/>
                <w:webHidden/>
              </w:rPr>
              <w:t>86</w:t>
            </w:r>
            <w:r w:rsidR="005E55A2">
              <w:rPr>
                <w:noProof/>
                <w:webHidden/>
              </w:rPr>
              <w:fldChar w:fldCharType="end"/>
            </w:r>
          </w:hyperlink>
        </w:p>
        <w:p w14:paraId="17C94375" w14:textId="4D24ECC4" w:rsidR="005E55A2" w:rsidRDefault="009E3F96">
          <w:pPr>
            <w:pStyle w:val="TOC3"/>
            <w:tabs>
              <w:tab w:val="left" w:pos="851"/>
            </w:tabs>
            <w:rPr>
              <w:rFonts w:eastAsiaTheme="minorEastAsia"/>
              <w:noProof/>
              <w:lang w:eastAsia="en-AU"/>
            </w:rPr>
          </w:pPr>
          <w:hyperlink w:anchor="_Toc94794305" w:history="1">
            <w:r w:rsidR="005E55A2" w:rsidRPr="00113BDC">
              <w:rPr>
                <w:rStyle w:val="Hyperlink"/>
                <w:noProof/>
              </w:rPr>
              <w:t>7.2.2</w:t>
            </w:r>
            <w:r w:rsidR="005E55A2">
              <w:rPr>
                <w:rFonts w:eastAsiaTheme="minorEastAsia"/>
                <w:noProof/>
                <w:lang w:eastAsia="en-AU"/>
              </w:rPr>
              <w:tab/>
            </w:r>
            <w:r w:rsidR="005E55A2" w:rsidRPr="00113BDC">
              <w:rPr>
                <w:rStyle w:val="Hyperlink"/>
                <w:noProof/>
              </w:rPr>
              <w:t>What were the key facilitators of success in the Pilot?</w:t>
            </w:r>
            <w:r w:rsidR="005E55A2">
              <w:rPr>
                <w:noProof/>
                <w:webHidden/>
              </w:rPr>
              <w:tab/>
            </w:r>
            <w:r w:rsidR="005E55A2">
              <w:rPr>
                <w:noProof/>
                <w:webHidden/>
              </w:rPr>
              <w:fldChar w:fldCharType="begin"/>
            </w:r>
            <w:r w:rsidR="005E55A2">
              <w:rPr>
                <w:noProof/>
                <w:webHidden/>
              </w:rPr>
              <w:instrText xml:space="preserve"> PAGEREF _Toc94794305 \h </w:instrText>
            </w:r>
            <w:r w:rsidR="005E55A2">
              <w:rPr>
                <w:noProof/>
                <w:webHidden/>
              </w:rPr>
            </w:r>
            <w:r w:rsidR="005E55A2">
              <w:rPr>
                <w:noProof/>
                <w:webHidden/>
              </w:rPr>
              <w:fldChar w:fldCharType="separate"/>
            </w:r>
            <w:r>
              <w:rPr>
                <w:noProof/>
                <w:webHidden/>
              </w:rPr>
              <w:t>90</w:t>
            </w:r>
            <w:r w:rsidR="005E55A2">
              <w:rPr>
                <w:noProof/>
                <w:webHidden/>
              </w:rPr>
              <w:fldChar w:fldCharType="end"/>
            </w:r>
          </w:hyperlink>
        </w:p>
        <w:p w14:paraId="1F2D8EB6" w14:textId="11B536B5" w:rsidR="005E55A2" w:rsidRDefault="009E3F96">
          <w:pPr>
            <w:pStyle w:val="TOC2"/>
            <w:rPr>
              <w:rFonts w:eastAsiaTheme="minorEastAsia"/>
              <w:noProof/>
              <w:lang w:eastAsia="en-AU"/>
            </w:rPr>
          </w:pPr>
          <w:hyperlink w:anchor="_Toc94794306" w:history="1">
            <w:r w:rsidR="005E55A2" w:rsidRPr="00113BDC">
              <w:rPr>
                <w:rStyle w:val="Hyperlink"/>
                <w:noProof/>
              </w:rPr>
              <w:t>Implications</w:t>
            </w:r>
            <w:r w:rsidR="005E55A2">
              <w:rPr>
                <w:noProof/>
                <w:webHidden/>
              </w:rPr>
              <w:tab/>
            </w:r>
            <w:r w:rsidR="005E55A2">
              <w:rPr>
                <w:noProof/>
                <w:webHidden/>
              </w:rPr>
              <w:fldChar w:fldCharType="begin"/>
            </w:r>
            <w:r w:rsidR="005E55A2">
              <w:rPr>
                <w:noProof/>
                <w:webHidden/>
              </w:rPr>
              <w:instrText xml:space="preserve"> PAGEREF _Toc94794306 \h </w:instrText>
            </w:r>
            <w:r w:rsidR="005E55A2">
              <w:rPr>
                <w:noProof/>
                <w:webHidden/>
              </w:rPr>
            </w:r>
            <w:r w:rsidR="005E55A2">
              <w:rPr>
                <w:noProof/>
                <w:webHidden/>
              </w:rPr>
              <w:fldChar w:fldCharType="separate"/>
            </w:r>
            <w:r>
              <w:rPr>
                <w:noProof/>
                <w:webHidden/>
              </w:rPr>
              <w:t>95</w:t>
            </w:r>
            <w:r w:rsidR="005E55A2">
              <w:rPr>
                <w:noProof/>
                <w:webHidden/>
              </w:rPr>
              <w:fldChar w:fldCharType="end"/>
            </w:r>
          </w:hyperlink>
        </w:p>
        <w:p w14:paraId="31C8A03A" w14:textId="5EE0D82B" w:rsidR="005E55A2" w:rsidRDefault="009E3F96">
          <w:pPr>
            <w:pStyle w:val="TOC1"/>
            <w:tabs>
              <w:tab w:val="left" w:pos="851"/>
            </w:tabs>
            <w:rPr>
              <w:rFonts w:eastAsiaTheme="minorEastAsia"/>
              <w:b w:val="0"/>
              <w:noProof/>
              <w:lang w:eastAsia="en-AU"/>
            </w:rPr>
          </w:pPr>
          <w:hyperlink w:anchor="_Toc94794307" w:history="1">
            <w:r w:rsidR="005E55A2" w:rsidRPr="00113BDC">
              <w:rPr>
                <w:rStyle w:val="Hyperlink"/>
                <w:noProof/>
              </w:rPr>
              <w:t>8.</w:t>
            </w:r>
            <w:r w:rsidR="005E55A2">
              <w:rPr>
                <w:rFonts w:eastAsiaTheme="minorEastAsia"/>
                <w:b w:val="0"/>
                <w:noProof/>
                <w:lang w:eastAsia="en-AU"/>
              </w:rPr>
              <w:tab/>
            </w:r>
            <w:r w:rsidR="005E55A2" w:rsidRPr="00113BDC">
              <w:rPr>
                <w:rStyle w:val="Hyperlink"/>
                <w:noProof/>
              </w:rPr>
              <w:t>Were there any unintended consequences of increasing access to naloxone?</w:t>
            </w:r>
            <w:r w:rsidR="005E55A2">
              <w:rPr>
                <w:noProof/>
                <w:webHidden/>
              </w:rPr>
              <w:tab/>
            </w:r>
            <w:r w:rsidR="005E55A2">
              <w:rPr>
                <w:noProof/>
                <w:webHidden/>
              </w:rPr>
              <w:fldChar w:fldCharType="begin"/>
            </w:r>
            <w:r w:rsidR="005E55A2">
              <w:rPr>
                <w:noProof/>
                <w:webHidden/>
              </w:rPr>
              <w:instrText xml:space="preserve"> PAGEREF _Toc94794307 \h </w:instrText>
            </w:r>
            <w:r w:rsidR="005E55A2">
              <w:rPr>
                <w:noProof/>
                <w:webHidden/>
              </w:rPr>
            </w:r>
            <w:r w:rsidR="005E55A2">
              <w:rPr>
                <w:noProof/>
                <w:webHidden/>
              </w:rPr>
              <w:fldChar w:fldCharType="separate"/>
            </w:r>
            <w:r>
              <w:rPr>
                <w:noProof/>
                <w:webHidden/>
              </w:rPr>
              <w:t>96</w:t>
            </w:r>
            <w:r w:rsidR="005E55A2">
              <w:rPr>
                <w:noProof/>
                <w:webHidden/>
              </w:rPr>
              <w:fldChar w:fldCharType="end"/>
            </w:r>
          </w:hyperlink>
        </w:p>
        <w:p w14:paraId="78B7AF2D" w14:textId="6A6ADDD8" w:rsidR="005E55A2" w:rsidRDefault="009E3F96">
          <w:pPr>
            <w:pStyle w:val="TOC1"/>
            <w:tabs>
              <w:tab w:val="left" w:pos="851"/>
            </w:tabs>
            <w:rPr>
              <w:rFonts w:eastAsiaTheme="minorEastAsia"/>
              <w:b w:val="0"/>
              <w:noProof/>
              <w:lang w:eastAsia="en-AU"/>
            </w:rPr>
          </w:pPr>
          <w:hyperlink w:anchor="_Toc94794308" w:history="1">
            <w:r w:rsidR="005E55A2" w:rsidRPr="00113BDC">
              <w:rPr>
                <w:rStyle w:val="Hyperlink"/>
                <w:noProof/>
              </w:rPr>
              <w:t>9.</w:t>
            </w:r>
            <w:r w:rsidR="005E55A2">
              <w:rPr>
                <w:rFonts w:eastAsiaTheme="minorEastAsia"/>
                <w:b w:val="0"/>
                <w:noProof/>
                <w:lang w:eastAsia="en-AU"/>
              </w:rPr>
              <w:tab/>
            </w:r>
            <w:r w:rsidR="005E55A2" w:rsidRPr="00113BDC">
              <w:rPr>
                <w:rStyle w:val="Hyperlink"/>
                <w:noProof/>
              </w:rPr>
              <w:t>What needs to be considered in relation to a national roll-out?</w:t>
            </w:r>
            <w:r w:rsidR="005E55A2">
              <w:rPr>
                <w:noProof/>
                <w:webHidden/>
              </w:rPr>
              <w:tab/>
            </w:r>
            <w:r w:rsidR="005E55A2">
              <w:rPr>
                <w:noProof/>
                <w:webHidden/>
              </w:rPr>
              <w:fldChar w:fldCharType="begin"/>
            </w:r>
            <w:r w:rsidR="005E55A2">
              <w:rPr>
                <w:noProof/>
                <w:webHidden/>
              </w:rPr>
              <w:instrText xml:space="preserve"> PAGEREF _Toc94794308 \h </w:instrText>
            </w:r>
            <w:r w:rsidR="005E55A2">
              <w:rPr>
                <w:noProof/>
                <w:webHidden/>
              </w:rPr>
            </w:r>
            <w:r w:rsidR="005E55A2">
              <w:rPr>
                <w:noProof/>
                <w:webHidden/>
              </w:rPr>
              <w:fldChar w:fldCharType="separate"/>
            </w:r>
            <w:r>
              <w:rPr>
                <w:noProof/>
                <w:webHidden/>
              </w:rPr>
              <w:t>97</w:t>
            </w:r>
            <w:r w:rsidR="005E55A2">
              <w:rPr>
                <w:noProof/>
                <w:webHidden/>
              </w:rPr>
              <w:fldChar w:fldCharType="end"/>
            </w:r>
          </w:hyperlink>
        </w:p>
        <w:p w14:paraId="39C856F2" w14:textId="0B0F7BC3" w:rsidR="005E55A2" w:rsidRDefault="009E3F96">
          <w:pPr>
            <w:pStyle w:val="TOC2"/>
            <w:tabs>
              <w:tab w:val="left" w:pos="851"/>
            </w:tabs>
            <w:rPr>
              <w:rFonts w:eastAsiaTheme="minorEastAsia"/>
              <w:noProof/>
              <w:lang w:eastAsia="en-AU"/>
            </w:rPr>
          </w:pPr>
          <w:hyperlink w:anchor="_Toc94794309" w:history="1">
            <w:r w:rsidR="005E55A2" w:rsidRPr="00113BDC">
              <w:rPr>
                <w:rStyle w:val="Hyperlink"/>
                <w:noProof/>
              </w:rPr>
              <w:t>9.1</w:t>
            </w:r>
            <w:r w:rsidR="005E55A2">
              <w:rPr>
                <w:rFonts w:eastAsiaTheme="minorEastAsia"/>
                <w:noProof/>
                <w:lang w:eastAsia="en-AU"/>
              </w:rPr>
              <w:tab/>
            </w:r>
            <w:r w:rsidR="005E55A2" w:rsidRPr="00113BDC">
              <w:rPr>
                <w:rStyle w:val="Hyperlink"/>
                <w:noProof/>
              </w:rPr>
              <w:t>Core elements of a national roll-out</w:t>
            </w:r>
            <w:r w:rsidR="005E55A2">
              <w:rPr>
                <w:noProof/>
                <w:webHidden/>
              </w:rPr>
              <w:tab/>
            </w:r>
            <w:r w:rsidR="005E55A2">
              <w:rPr>
                <w:noProof/>
                <w:webHidden/>
              </w:rPr>
              <w:fldChar w:fldCharType="begin"/>
            </w:r>
            <w:r w:rsidR="005E55A2">
              <w:rPr>
                <w:noProof/>
                <w:webHidden/>
              </w:rPr>
              <w:instrText xml:space="preserve"> PAGEREF _Toc94794309 \h </w:instrText>
            </w:r>
            <w:r w:rsidR="005E55A2">
              <w:rPr>
                <w:noProof/>
                <w:webHidden/>
              </w:rPr>
            </w:r>
            <w:r w:rsidR="005E55A2">
              <w:rPr>
                <w:noProof/>
                <w:webHidden/>
              </w:rPr>
              <w:fldChar w:fldCharType="separate"/>
            </w:r>
            <w:r>
              <w:rPr>
                <w:noProof/>
                <w:webHidden/>
              </w:rPr>
              <w:t>99</w:t>
            </w:r>
            <w:r w:rsidR="005E55A2">
              <w:rPr>
                <w:noProof/>
                <w:webHidden/>
              </w:rPr>
              <w:fldChar w:fldCharType="end"/>
            </w:r>
          </w:hyperlink>
        </w:p>
        <w:p w14:paraId="55BC56A8" w14:textId="58463FB9" w:rsidR="005E55A2" w:rsidRDefault="009E3F96">
          <w:pPr>
            <w:pStyle w:val="TOC3"/>
            <w:tabs>
              <w:tab w:val="left" w:pos="851"/>
            </w:tabs>
            <w:rPr>
              <w:rFonts w:eastAsiaTheme="minorEastAsia"/>
              <w:noProof/>
              <w:lang w:eastAsia="en-AU"/>
            </w:rPr>
          </w:pPr>
          <w:hyperlink w:anchor="_Toc94794310" w:history="1">
            <w:r w:rsidR="005E55A2" w:rsidRPr="00113BDC">
              <w:rPr>
                <w:rStyle w:val="Hyperlink"/>
                <w:noProof/>
              </w:rPr>
              <w:t>9.1.1</w:t>
            </w:r>
            <w:r w:rsidR="005E55A2">
              <w:rPr>
                <w:rFonts w:eastAsiaTheme="minorEastAsia"/>
                <w:noProof/>
                <w:lang w:eastAsia="en-AU"/>
              </w:rPr>
              <w:tab/>
            </w:r>
            <w:r w:rsidR="005E55A2" w:rsidRPr="00113BDC">
              <w:rPr>
                <w:rStyle w:val="Hyperlink"/>
                <w:noProof/>
              </w:rPr>
              <w:t>Ensure continuity: Commit to implementing the national roll-out of take home naloxone on a permanent basis rather than as a Pilot</w:t>
            </w:r>
            <w:r w:rsidR="005E55A2">
              <w:rPr>
                <w:noProof/>
                <w:webHidden/>
              </w:rPr>
              <w:tab/>
            </w:r>
            <w:r w:rsidR="005E55A2">
              <w:rPr>
                <w:noProof/>
                <w:webHidden/>
              </w:rPr>
              <w:fldChar w:fldCharType="begin"/>
            </w:r>
            <w:r w:rsidR="005E55A2">
              <w:rPr>
                <w:noProof/>
                <w:webHidden/>
              </w:rPr>
              <w:instrText xml:space="preserve"> PAGEREF _Toc94794310 \h </w:instrText>
            </w:r>
            <w:r w:rsidR="005E55A2">
              <w:rPr>
                <w:noProof/>
                <w:webHidden/>
              </w:rPr>
            </w:r>
            <w:r w:rsidR="005E55A2">
              <w:rPr>
                <w:noProof/>
                <w:webHidden/>
              </w:rPr>
              <w:fldChar w:fldCharType="separate"/>
            </w:r>
            <w:r>
              <w:rPr>
                <w:noProof/>
                <w:webHidden/>
              </w:rPr>
              <w:t>99</w:t>
            </w:r>
            <w:r w:rsidR="005E55A2">
              <w:rPr>
                <w:noProof/>
                <w:webHidden/>
              </w:rPr>
              <w:fldChar w:fldCharType="end"/>
            </w:r>
          </w:hyperlink>
        </w:p>
        <w:p w14:paraId="35555595" w14:textId="0F106AF0" w:rsidR="005E55A2" w:rsidRDefault="009E3F96">
          <w:pPr>
            <w:pStyle w:val="TOC3"/>
            <w:tabs>
              <w:tab w:val="left" w:pos="851"/>
            </w:tabs>
            <w:rPr>
              <w:rFonts w:eastAsiaTheme="minorEastAsia"/>
              <w:noProof/>
              <w:lang w:eastAsia="en-AU"/>
            </w:rPr>
          </w:pPr>
          <w:hyperlink w:anchor="_Toc94794311" w:history="1">
            <w:r w:rsidR="005E55A2" w:rsidRPr="00113BDC">
              <w:rPr>
                <w:rStyle w:val="Hyperlink"/>
                <w:noProof/>
              </w:rPr>
              <w:t>9.1.2</w:t>
            </w:r>
            <w:r w:rsidR="005E55A2">
              <w:rPr>
                <w:rFonts w:eastAsiaTheme="minorEastAsia"/>
                <w:noProof/>
                <w:lang w:eastAsia="en-AU"/>
              </w:rPr>
              <w:tab/>
            </w:r>
            <w:r w:rsidR="005E55A2" w:rsidRPr="00113BDC">
              <w:rPr>
                <w:rStyle w:val="Hyperlink"/>
                <w:noProof/>
              </w:rPr>
              <w:t>Ensure free access: Retain the ability for naloxone to be fully subsidised on the PBS schedule</w:t>
            </w:r>
            <w:r w:rsidR="005E55A2">
              <w:rPr>
                <w:noProof/>
                <w:webHidden/>
              </w:rPr>
              <w:tab/>
            </w:r>
            <w:r w:rsidR="005E55A2">
              <w:rPr>
                <w:noProof/>
                <w:webHidden/>
              </w:rPr>
              <w:fldChar w:fldCharType="begin"/>
            </w:r>
            <w:r w:rsidR="005E55A2">
              <w:rPr>
                <w:noProof/>
                <w:webHidden/>
              </w:rPr>
              <w:instrText xml:space="preserve"> PAGEREF _Toc94794311 \h </w:instrText>
            </w:r>
            <w:r w:rsidR="005E55A2">
              <w:rPr>
                <w:noProof/>
                <w:webHidden/>
              </w:rPr>
            </w:r>
            <w:r w:rsidR="005E55A2">
              <w:rPr>
                <w:noProof/>
                <w:webHidden/>
              </w:rPr>
              <w:fldChar w:fldCharType="separate"/>
            </w:r>
            <w:r>
              <w:rPr>
                <w:noProof/>
                <w:webHidden/>
              </w:rPr>
              <w:t>100</w:t>
            </w:r>
            <w:r w:rsidR="005E55A2">
              <w:rPr>
                <w:noProof/>
                <w:webHidden/>
              </w:rPr>
              <w:fldChar w:fldCharType="end"/>
            </w:r>
          </w:hyperlink>
        </w:p>
        <w:p w14:paraId="25C0F3D9" w14:textId="618E6881" w:rsidR="005E55A2" w:rsidRDefault="009E3F96">
          <w:pPr>
            <w:pStyle w:val="TOC3"/>
            <w:tabs>
              <w:tab w:val="left" w:pos="851"/>
            </w:tabs>
            <w:rPr>
              <w:rFonts w:eastAsiaTheme="minorEastAsia"/>
              <w:noProof/>
              <w:lang w:eastAsia="en-AU"/>
            </w:rPr>
          </w:pPr>
          <w:hyperlink w:anchor="_Toc94794312" w:history="1">
            <w:r w:rsidR="005E55A2" w:rsidRPr="00113BDC">
              <w:rPr>
                <w:rStyle w:val="Hyperlink"/>
                <w:noProof/>
              </w:rPr>
              <w:t>9.1.3</w:t>
            </w:r>
            <w:r w:rsidR="005E55A2">
              <w:rPr>
                <w:rFonts w:eastAsiaTheme="minorEastAsia"/>
                <w:noProof/>
                <w:lang w:eastAsia="en-AU"/>
              </w:rPr>
              <w:tab/>
            </w:r>
            <w:r w:rsidR="005E55A2" w:rsidRPr="00113BDC">
              <w:rPr>
                <w:rStyle w:val="Hyperlink"/>
                <w:noProof/>
              </w:rPr>
              <w:t>Ensure access without a prescription: Retain the ability for naloxone to be provided without a prescription and without a PBS co-payment</w:t>
            </w:r>
            <w:r w:rsidR="005E55A2">
              <w:rPr>
                <w:noProof/>
                <w:webHidden/>
              </w:rPr>
              <w:tab/>
            </w:r>
            <w:r w:rsidR="005E55A2">
              <w:rPr>
                <w:noProof/>
                <w:webHidden/>
              </w:rPr>
              <w:fldChar w:fldCharType="begin"/>
            </w:r>
            <w:r w:rsidR="005E55A2">
              <w:rPr>
                <w:noProof/>
                <w:webHidden/>
              </w:rPr>
              <w:instrText xml:space="preserve"> PAGEREF _Toc94794312 \h </w:instrText>
            </w:r>
            <w:r w:rsidR="005E55A2">
              <w:rPr>
                <w:noProof/>
                <w:webHidden/>
              </w:rPr>
            </w:r>
            <w:r w:rsidR="005E55A2">
              <w:rPr>
                <w:noProof/>
                <w:webHidden/>
              </w:rPr>
              <w:fldChar w:fldCharType="separate"/>
            </w:r>
            <w:r>
              <w:rPr>
                <w:noProof/>
                <w:webHidden/>
              </w:rPr>
              <w:t>100</w:t>
            </w:r>
            <w:r w:rsidR="005E55A2">
              <w:rPr>
                <w:noProof/>
                <w:webHidden/>
              </w:rPr>
              <w:fldChar w:fldCharType="end"/>
            </w:r>
          </w:hyperlink>
        </w:p>
        <w:p w14:paraId="76578094" w14:textId="11D737F2" w:rsidR="005E55A2" w:rsidRDefault="009E3F96">
          <w:pPr>
            <w:pStyle w:val="TOC3"/>
            <w:tabs>
              <w:tab w:val="left" w:pos="851"/>
            </w:tabs>
            <w:rPr>
              <w:rFonts w:eastAsiaTheme="minorEastAsia"/>
              <w:noProof/>
              <w:lang w:eastAsia="en-AU"/>
            </w:rPr>
          </w:pPr>
          <w:hyperlink w:anchor="_Toc94794313" w:history="1">
            <w:r w:rsidR="005E55A2" w:rsidRPr="00113BDC">
              <w:rPr>
                <w:rStyle w:val="Hyperlink"/>
                <w:noProof/>
              </w:rPr>
              <w:t>9.1.4</w:t>
            </w:r>
            <w:r w:rsidR="005E55A2">
              <w:rPr>
                <w:rFonts w:eastAsiaTheme="minorEastAsia"/>
                <w:noProof/>
                <w:lang w:eastAsia="en-AU"/>
              </w:rPr>
              <w:tab/>
            </w:r>
            <w:r w:rsidR="005E55A2" w:rsidRPr="00113BDC">
              <w:rPr>
                <w:rStyle w:val="Hyperlink"/>
                <w:noProof/>
              </w:rPr>
              <w:t>Ensure broad availability: Continue and expand availability through a range of access sites</w:t>
            </w:r>
            <w:r w:rsidR="005E55A2">
              <w:rPr>
                <w:noProof/>
                <w:webHidden/>
              </w:rPr>
              <w:tab/>
            </w:r>
            <w:r w:rsidR="005E55A2">
              <w:rPr>
                <w:noProof/>
                <w:webHidden/>
              </w:rPr>
              <w:fldChar w:fldCharType="begin"/>
            </w:r>
            <w:r w:rsidR="005E55A2">
              <w:rPr>
                <w:noProof/>
                <w:webHidden/>
              </w:rPr>
              <w:instrText xml:space="preserve"> PAGEREF _Toc94794313 \h </w:instrText>
            </w:r>
            <w:r w:rsidR="005E55A2">
              <w:rPr>
                <w:noProof/>
                <w:webHidden/>
              </w:rPr>
            </w:r>
            <w:r w:rsidR="005E55A2">
              <w:rPr>
                <w:noProof/>
                <w:webHidden/>
              </w:rPr>
              <w:fldChar w:fldCharType="separate"/>
            </w:r>
            <w:r>
              <w:rPr>
                <w:noProof/>
                <w:webHidden/>
              </w:rPr>
              <w:t>100</w:t>
            </w:r>
            <w:r w:rsidR="005E55A2">
              <w:rPr>
                <w:noProof/>
                <w:webHidden/>
              </w:rPr>
              <w:fldChar w:fldCharType="end"/>
            </w:r>
          </w:hyperlink>
        </w:p>
        <w:p w14:paraId="15ECA92D" w14:textId="0CE92F06" w:rsidR="005E55A2" w:rsidRDefault="009E3F96">
          <w:pPr>
            <w:pStyle w:val="TOC3"/>
            <w:tabs>
              <w:tab w:val="left" w:pos="851"/>
            </w:tabs>
            <w:rPr>
              <w:rFonts w:eastAsiaTheme="minorEastAsia"/>
              <w:noProof/>
              <w:lang w:eastAsia="en-AU"/>
            </w:rPr>
          </w:pPr>
          <w:hyperlink w:anchor="_Toc94794314" w:history="1">
            <w:r w:rsidR="005E55A2" w:rsidRPr="00113BDC">
              <w:rPr>
                <w:rStyle w:val="Hyperlink"/>
                <w:noProof/>
              </w:rPr>
              <w:t>9.1.5</w:t>
            </w:r>
            <w:r w:rsidR="005E55A2">
              <w:rPr>
                <w:rFonts w:eastAsiaTheme="minorEastAsia"/>
                <w:noProof/>
                <w:lang w:eastAsia="en-AU"/>
              </w:rPr>
              <w:tab/>
            </w:r>
            <w:r w:rsidR="005E55A2" w:rsidRPr="00113BDC">
              <w:rPr>
                <w:rStyle w:val="Hyperlink"/>
                <w:noProof/>
              </w:rPr>
              <w:t>Ensure coordination: Joint working between the Australian Government and state and territory governments</w:t>
            </w:r>
            <w:r w:rsidR="005E55A2">
              <w:rPr>
                <w:noProof/>
                <w:webHidden/>
              </w:rPr>
              <w:tab/>
            </w:r>
            <w:r w:rsidR="005E55A2">
              <w:rPr>
                <w:noProof/>
                <w:webHidden/>
              </w:rPr>
              <w:fldChar w:fldCharType="begin"/>
            </w:r>
            <w:r w:rsidR="005E55A2">
              <w:rPr>
                <w:noProof/>
                <w:webHidden/>
              </w:rPr>
              <w:instrText xml:space="preserve"> PAGEREF _Toc94794314 \h </w:instrText>
            </w:r>
            <w:r w:rsidR="005E55A2">
              <w:rPr>
                <w:noProof/>
                <w:webHidden/>
              </w:rPr>
            </w:r>
            <w:r w:rsidR="005E55A2">
              <w:rPr>
                <w:noProof/>
                <w:webHidden/>
              </w:rPr>
              <w:fldChar w:fldCharType="separate"/>
            </w:r>
            <w:r>
              <w:rPr>
                <w:noProof/>
                <w:webHidden/>
              </w:rPr>
              <w:t>101</w:t>
            </w:r>
            <w:r w:rsidR="005E55A2">
              <w:rPr>
                <w:noProof/>
                <w:webHidden/>
              </w:rPr>
              <w:fldChar w:fldCharType="end"/>
            </w:r>
          </w:hyperlink>
        </w:p>
        <w:p w14:paraId="3322DD1E" w14:textId="3A26B3DE" w:rsidR="005E55A2" w:rsidRDefault="009E3F96">
          <w:pPr>
            <w:pStyle w:val="TOC2"/>
            <w:tabs>
              <w:tab w:val="left" w:pos="851"/>
            </w:tabs>
            <w:rPr>
              <w:rFonts w:eastAsiaTheme="minorEastAsia"/>
              <w:noProof/>
              <w:lang w:eastAsia="en-AU"/>
            </w:rPr>
          </w:pPr>
          <w:hyperlink w:anchor="_Toc94794315" w:history="1">
            <w:r w:rsidR="005E55A2" w:rsidRPr="00113BDC">
              <w:rPr>
                <w:rStyle w:val="Hyperlink"/>
                <w:noProof/>
              </w:rPr>
              <w:t>9.2</w:t>
            </w:r>
            <w:r w:rsidR="005E55A2">
              <w:rPr>
                <w:rFonts w:eastAsiaTheme="minorEastAsia"/>
                <w:noProof/>
                <w:lang w:eastAsia="en-AU"/>
              </w:rPr>
              <w:tab/>
            </w:r>
            <w:r w:rsidR="005E55A2" w:rsidRPr="00113BDC">
              <w:rPr>
                <w:rStyle w:val="Hyperlink"/>
                <w:noProof/>
              </w:rPr>
              <w:t>Elements to support a national roll-out</w:t>
            </w:r>
            <w:r w:rsidR="005E55A2">
              <w:rPr>
                <w:noProof/>
                <w:webHidden/>
              </w:rPr>
              <w:tab/>
            </w:r>
            <w:r w:rsidR="005E55A2">
              <w:rPr>
                <w:noProof/>
                <w:webHidden/>
              </w:rPr>
              <w:fldChar w:fldCharType="begin"/>
            </w:r>
            <w:r w:rsidR="005E55A2">
              <w:rPr>
                <w:noProof/>
                <w:webHidden/>
              </w:rPr>
              <w:instrText xml:space="preserve"> PAGEREF _Toc94794315 \h </w:instrText>
            </w:r>
            <w:r w:rsidR="005E55A2">
              <w:rPr>
                <w:noProof/>
                <w:webHidden/>
              </w:rPr>
            </w:r>
            <w:r w:rsidR="005E55A2">
              <w:rPr>
                <w:noProof/>
                <w:webHidden/>
              </w:rPr>
              <w:fldChar w:fldCharType="separate"/>
            </w:r>
            <w:r>
              <w:rPr>
                <w:noProof/>
                <w:webHidden/>
              </w:rPr>
              <w:t>102</w:t>
            </w:r>
            <w:r w:rsidR="005E55A2">
              <w:rPr>
                <w:noProof/>
                <w:webHidden/>
              </w:rPr>
              <w:fldChar w:fldCharType="end"/>
            </w:r>
          </w:hyperlink>
        </w:p>
        <w:p w14:paraId="5B89A376" w14:textId="0F0B635A" w:rsidR="005E55A2" w:rsidRDefault="009E3F96">
          <w:pPr>
            <w:pStyle w:val="TOC3"/>
            <w:tabs>
              <w:tab w:val="left" w:pos="851"/>
            </w:tabs>
            <w:rPr>
              <w:rFonts w:eastAsiaTheme="minorEastAsia"/>
              <w:noProof/>
              <w:lang w:eastAsia="en-AU"/>
            </w:rPr>
          </w:pPr>
          <w:hyperlink w:anchor="_Toc94794316" w:history="1">
            <w:r w:rsidR="005E55A2" w:rsidRPr="00113BDC">
              <w:rPr>
                <w:rStyle w:val="Hyperlink"/>
                <w:noProof/>
              </w:rPr>
              <w:t>9.2.1</w:t>
            </w:r>
            <w:r w:rsidR="005E55A2">
              <w:rPr>
                <w:rFonts w:eastAsiaTheme="minorEastAsia"/>
                <w:noProof/>
                <w:lang w:eastAsia="en-AU"/>
              </w:rPr>
              <w:tab/>
            </w:r>
            <w:r w:rsidR="005E55A2" w:rsidRPr="00113BDC">
              <w:rPr>
                <w:rStyle w:val="Hyperlink"/>
                <w:noProof/>
              </w:rPr>
              <w:t>Awareness and perceptions of THN</w:t>
            </w:r>
            <w:r w:rsidR="005E55A2">
              <w:rPr>
                <w:noProof/>
                <w:webHidden/>
              </w:rPr>
              <w:tab/>
            </w:r>
            <w:r w:rsidR="005E55A2">
              <w:rPr>
                <w:noProof/>
                <w:webHidden/>
              </w:rPr>
              <w:fldChar w:fldCharType="begin"/>
            </w:r>
            <w:r w:rsidR="005E55A2">
              <w:rPr>
                <w:noProof/>
                <w:webHidden/>
              </w:rPr>
              <w:instrText xml:space="preserve"> PAGEREF _Toc94794316 \h </w:instrText>
            </w:r>
            <w:r w:rsidR="005E55A2">
              <w:rPr>
                <w:noProof/>
                <w:webHidden/>
              </w:rPr>
            </w:r>
            <w:r w:rsidR="005E55A2">
              <w:rPr>
                <w:noProof/>
                <w:webHidden/>
              </w:rPr>
              <w:fldChar w:fldCharType="separate"/>
            </w:r>
            <w:r>
              <w:rPr>
                <w:noProof/>
                <w:webHidden/>
              </w:rPr>
              <w:t>102</w:t>
            </w:r>
            <w:r w:rsidR="005E55A2">
              <w:rPr>
                <w:noProof/>
                <w:webHidden/>
              </w:rPr>
              <w:fldChar w:fldCharType="end"/>
            </w:r>
          </w:hyperlink>
        </w:p>
        <w:p w14:paraId="4A50BE5B" w14:textId="2C31651B" w:rsidR="005E55A2" w:rsidRDefault="009E3F96">
          <w:pPr>
            <w:pStyle w:val="TOC3"/>
            <w:tabs>
              <w:tab w:val="left" w:pos="851"/>
            </w:tabs>
            <w:rPr>
              <w:rFonts w:eastAsiaTheme="minorEastAsia"/>
              <w:noProof/>
              <w:lang w:eastAsia="en-AU"/>
            </w:rPr>
          </w:pPr>
          <w:hyperlink w:anchor="_Toc94794317" w:history="1">
            <w:r w:rsidR="005E55A2" w:rsidRPr="00113BDC">
              <w:rPr>
                <w:rStyle w:val="Hyperlink"/>
                <w:noProof/>
              </w:rPr>
              <w:t>9.2.2</w:t>
            </w:r>
            <w:r w:rsidR="005E55A2">
              <w:rPr>
                <w:rFonts w:eastAsiaTheme="minorEastAsia"/>
                <w:noProof/>
                <w:lang w:eastAsia="en-AU"/>
              </w:rPr>
              <w:tab/>
            </w:r>
            <w:r w:rsidR="005E55A2" w:rsidRPr="00113BDC">
              <w:rPr>
                <w:rStyle w:val="Hyperlink"/>
                <w:noProof/>
              </w:rPr>
              <w:t>Engagement and communication</w:t>
            </w:r>
            <w:r w:rsidR="005E55A2">
              <w:rPr>
                <w:noProof/>
                <w:webHidden/>
              </w:rPr>
              <w:tab/>
            </w:r>
            <w:r w:rsidR="005E55A2">
              <w:rPr>
                <w:noProof/>
                <w:webHidden/>
              </w:rPr>
              <w:fldChar w:fldCharType="begin"/>
            </w:r>
            <w:r w:rsidR="005E55A2">
              <w:rPr>
                <w:noProof/>
                <w:webHidden/>
              </w:rPr>
              <w:instrText xml:space="preserve"> PAGEREF _Toc94794317 \h </w:instrText>
            </w:r>
            <w:r w:rsidR="005E55A2">
              <w:rPr>
                <w:noProof/>
                <w:webHidden/>
              </w:rPr>
            </w:r>
            <w:r w:rsidR="005E55A2">
              <w:rPr>
                <w:noProof/>
                <w:webHidden/>
              </w:rPr>
              <w:fldChar w:fldCharType="separate"/>
            </w:r>
            <w:r>
              <w:rPr>
                <w:noProof/>
                <w:webHidden/>
              </w:rPr>
              <w:t>103</w:t>
            </w:r>
            <w:r w:rsidR="005E55A2">
              <w:rPr>
                <w:noProof/>
                <w:webHidden/>
              </w:rPr>
              <w:fldChar w:fldCharType="end"/>
            </w:r>
          </w:hyperlink>
        </w:p>
        <w:p w14:paraId="16A396C2" w14:textId="1A75F3AC" w:rsidR="005E55A2" w:rsidRDefault="009E3F96">
          <w:pPr>
            <w:pStyle w:val="TOC3"/>
            <w:tabs>
              <w:tab w:val="left" w:pos="851"/>
            </w:tabs>
            <w:rPr>
              <w:rFonts w:eastAsiaTheme="minorEastAsia"/>
              <w:noProof/>
              <w:lang w:eastAsia="en-AU"/>
            </w:rPr>
          </w:pPr>
          <w:hyperlink w:anchor="_Toc94794318" w:history="1">
            <w:r w:rsidR="005E55A2" w:rsidRPr="00113BDC">
              <w:rPr>
                <w:rStyle w:val="Hyperlink"/>
                <w:noProof/>
              </w:rPr>
              <w:t>9.2.3</w:t>
            </w:r>
            <w:r w:rsidR="005E55A2">
              <w:rPr>
                <w:rFonts w:eastAsiaTheme="minorEastAsia"/>
                <w:noProof/>
                <w:lang w:eastAsia="en-AU"/>
              </w:rPr>
              <w:tab/>
            </w:r>
            <w:r w:rsidR="005E55A2" w:rsidRPr="00113BDC">
              <w:rPr>
                <w:rStyle w:val="Hyperlink"/>
                <w:noProof/>
              </w:rPr>
              <w:t>Funding and resources</w:t>
            </w:r>
            <w:r w:rsidR="005E55A2">
              <w:rPr>
                <w:noProof/>
                <w:webHidden/>
              </w:rPr>
              <w:tab/>
            </w:r>
            <w:r w:rsidR="005E55A2">
              <w:rPr>
                <w:noProof/>
                <w:webHidden/>
              </w:rPr>
              <w:fldChar w:fldCharType="begin"/>
            </w:r>
            <w:r w:rsidR="005E55A2">
              <w:rPr>
                <w:noProof/>
                <w:webHidden/>
              </w:rPr>
              <w:instrText xml:space="preserve"> PAGEREF _Toc94794318 \h </w:instrText>
            </w:r>
            <w:r w:rsidR="005E55A2">
              <w:rPr>
                <w:noProof/>
                <w:webHidden/>
              </w:rPr>
            </w:r>
            <w:r w:rsidR="005E55A2">
              <w:rPr>
                <w:noProof/>
                <w:webHidden/>
              </w:rPr>
              <w:fldChar w:fldCharType="separate"/>
            </w:r>
            <w:r>
              <w:rPr>
                <w:noProof/>
                <w:webHidden/>
              </w:rPr>
              <w:t>104</w:t>
            </w:r>
            <w:r w:rsidR="005E55A2">
              <w:rPr>
                <w:noProof/>
                <w:webHidden/>
              </w:rPr>
              <w:fldChar w:fldCharType="end"/>
            </w:r>
          </w:hyperlink>
        </w:p>
        <w:p w14:paraId="1CDB40F5" w14:textId="73E08217" w:rsidR="005E55A2" w:rsidRDefault="009E3F96">
          <w:pPr>
            <w:pStyle w:val="TOC3"/>
            <w:tabs>
              <w:tab w:val="left" w:pos="851"/>
            </w:tabs>
            <w:rPr>
              <w:rFonts w:eastAsiaTheme="minorEastAsia"/>
              <w:noProof/>
              <w:lang w:eastAsia="en-AU"/>
            </w:rPr>
          </w:pPr>
          <w:hyperlink w:anchor="_Toc94794319" w:history="1">
            <w:r w:rsidR="005E55A2" w:rsidRPr="00113BDC">
              <w:rPr>
                <w:rStyle w:val="Hyperlink"/>
                <w:noProof/>
              </w:rPr>
              <w:t>9.2.4</w:t>
            </w:r>
            <w:r w:rsidR="005E55A2">
              <w:rPr>
                <w:rFonts w:eastAsiaTheme="minorEastAsia"/>
                <w:noProof/>
                <w:lang w:eastAsia="en-AU"/>
              </w:rPr>
              <w:tab/>
            </w:r>
            <w:r w:rsidR="005E55A2" w:rsidRPr="00113BDC">
              <w:rPr>
                <w:rStyle w:val="Hyperlink"/>
                <w:noProof/>
              </w:rPr>
              <w:t>Training and education</w:t>
            </w:r>
            <w:r w:rsidR="005E55A2">
              <w:rPr>
                <w:noProof/>
                <w:webHidden/>
              </w:rPr>
              <w:tab/>
            </w:r>
            <w:r w:rsidR="005E55A2">
              <w:rPr>
                <w:noProof/>
                <w:webHidden/>
              </w:rPr>
              <w:fldChar w:fldCharType="begin"/>
            </w:r>
            <w:r w:rsidR="005E55A2">
              <w:rPr>
                <w:noProof/>
                <w:webHidden/>
              </w:rPr>
              <w:instrText xml:space="preserve"> PAGEREF _Toc94794319 \h </w:instrText>
            </w:r>
            <w:r w:rsidR="005E55A2">
              <w:rPr>
                <w:noProof/>
                <w:webHidden/>
              </w:rPr>
            </w:r>
            <w:r w:rsidR="005E55A2">
              <w:rPr>
                <w:noProof/>
                <w:webHidden/>
              </w:rPr>
              <w:fldChar w:fldCharType="separate"/>
            </w:r>
            <w:r>
              <w:rPr>
                <w:noProof/>
                <w:webHidden/>
              </w:rPr>
              <w:t>105</w:t>
            </w:r>
            <w:r w:rsidR="005E55A2">
              <w:rPr>
                <w:noProof/>
                <w:webHidden/>
              </w:rPr>
              <w:fldChar w:fldCharType="end"/>
            </w:r>
          </w:hyperlink>
        </w:p>
        <w:p w14:paraId="2257BE7D" w14:textId="28371D68" w:rsidR="005E55A2" w:rsidRDefault="009E3F96">
          <w:pPr>
            <w:pStyle w:val="TOC3"/>
            <w:tabs>
              <w:tab w:val="left" w:pos="851"/>
            </w:tabs>
            <w:rPr>
              <w:rFonts w:eastAsiaTheme="minorEastAsia"/>
              <w:noProof/>
              <w:lang w:eastAsia="en-AU"/>
            </w:rPr>
          </w:pPr>
          <w:hyperlink w:anchor="_Toc94794320" w:history="1">
            <w:r w:rsidR="005E55A2" w:rsidRPr="00113BDC">
              <w:rPr>
                <w:rStyle w:val="Hyperlink"/>
                <w:noProof/>
              </w:rPr>
              <w:t>9.2.5</w:t>
            </w:r>
            <w:r w:rsidR="005E55A2">
              <w:rPr>
                <w:rFonts w:eastAsiaTheme="minorEastAsia"/>
                <w:noProof/>
                <w:lang w:eastAsia="en-AU"/>
              </w:rPr>
              <w:tab/>
            </w:r>
            <w:r w:rsidR="005E55A2" w:rsidRPr="00113BDC">
              <w:rPr>
                <w:rStyle w:val="Hyperlink"/>
                <w:noProof/>
              </w:rPr>
              <w:t>Program monitoring and data collection</w:t>
            </w:r>
            <w:r w:rsidR="005E55A2">
              <w:rPr>
                <w:noProof/>
                <w:webHidden/>
              </w:rPr>
              <w:tab/>
            </w:r>
            <w:r w:rsidR="005E55A2">
              <w:rPr>
                <w:noProof/>
                <w:webHidden/>
              </w:rPr>
              <w:fldChar w:fldCharType="begin"/>
            </w:r>
            <w:r w:rsidR="005E55A2">
              <w:rPr>
                <w:noProof/>
                <w:webHidden/>
              </w:rPr>
              <w:instrText xml:space="preserve"> PAGEREF _Toc94794320 \h </w:instrText>
            </w:r>
            <w:r w:rsidR="005E55A2">
              <w:rPr>
                <w:noProof/>
                <w:webHidden/>
              </w:rPr>
            </w:r>
            <w:r w:rsidR="005E55A2">
              <w:rPr>
                <w:noProof/>
                <w:webHidden/>
              </w:rPr>
              <w:fldChar w:fldCharType="separate"/>
            </w:r>
            <w:r>
              <w:rPr>
                <w:noProof/>
                <w:webHidden/>
              </w:rPr>
              <w:t>106</w:t>
            </w:r>
            <w:r w:rsidR="005E55A2">
              <w:rPr>
                <w:noProof/>
                <w:webHidden/>
              </w:rPr>
              <w:fldChar w:fldCharType="end"/>
            </w:r>
          </w:hyperlink>
        </w:p>
        <w:p w14:paraId="1B337FD4" w14:textId="690DE5FA" w:rsidR="005E55A2" w:rsidRDefault="009E3F96">
          <w:pPr>
            <w:pStyle w:val="TOC2"/>
            <w:tabs>
              <w:tab w:val="left" w:pos="851"/>
            </w:tabs>
            <w:rPr>
              <w:rFonts w:eastAsiaTheme="minorEastAsia"/>
              <w:noProof/>
              <w:lang w:eastAsia="en-AU"/>
            </w:rPr>
          </w:pPr>
          <w:hyperlink w:anchor="_Toc94794321" w:history="1">
            <w:r w:rsidR="005E55A2" w:rsidRPr="00113BDC">
              <w:rPr>
                <w:rStyle w:val="Hyperlink"/>
                <w:noProof/>
              </w:rPr>
              <w:t>9.3</w:t>
            </w:r>
            <w:r w:rsidR="005E55A2">
              <w:rPr>
                <w:rFonts w:eastAsiaTheme="minorEastAsia"/>
                <w:noProof/>
                <w:lang w:eastAsia="en-AU"/>
              </w:rPr>
              <w:tab/>
            </w:r>
            <w:r w:rsidR="005E55A2" w:rsidRPr="00113BDC">
              <w:rPr>
                <w:rStyle w:val="Hyperlink"/>
                <w:noProof/>
              </w:rPr>
              <w:t>Limitations</w:t>
            </w:r>
            <w:r w:rsidR="005E55A2">
              <w:rPr>
                <w:noProof/>
                <w:webHidden/>
              </w:rPr>
              <w:tab/>
            </w:r>
            <w:r w:rsidR="005E55A2">
              <w:rPr>
                <w:noProof/>
                <w:webHidden/>
              </w:rPr>
              <w:fldChar w:fldCharType="begin"/>
            </w:r>
            <w:r w:rsidR="005E55A2">
              <w:rPr>
                <w:noProof/>
                <w:webHidden/>
              </w:rPr>
              <w:instrText xml:space="preserve"> PAGEREF _Toc94794321 \h </w:instrText>
            </w:r>
            <w:r w:rsidR="005E55A2">
              <w:rPr>
                <w:noProof/>
                <w:webHidden/>
              </w:rPr>
            </w:r>
            <w:r w:rsidR="005E55A2">
              <w:rPr>
                <w:noProof/>
                <w:webHidden/>
              </w:rPr>
              <w:fldChar w:fldCharType="separate"/>
            </w:r>
            <w:r>
              <w:rPr>
                <w:noProof/>
                <w:webHidden/>
              </w:rPr>
              <w:t>108</w:t>
            </w:r>
            <w:r w:rsidR="005E55A2">
              <w:rPr>
                <w:noProof/>
                <w:webHidden/>
              </w:rPr>
              <w:fldChar w:fldCharType="end"/>
            </w:r>
          </w:hyperlink>
        </w:p>
        <w:p w14:paraId="21BBA742" w14:textId="464BB0F0" w:rsidR="005E55A2" w:rsidRDefault="009E3F96">
          <w:pPr>
            <w:pStyle w:val="TOC1"/>
            <w:tabs>
              <w:tab w:val="left" w:pos="851"/>
            </w:tabs>
            <w:rPr>
              <w:rFonts w:eastAsiaTheme="minorEastAsia"/>
              <w:b w:val="0"/>
              <w:noProof/>
              <w:lang w:eastAsia="en-AU"/>
            </w:rPr>
          </w:pPr>
          <w:hyperlink w:anchor="_Toc94794322" w:history="1">
            <w:r w:rsidR="005E55A2" w:rsidRPr="00113BDC">
              <w:rPr>
                <w:rStyle w:val="Hyperlink"/>
                <w:noProof/>
              </w:rPr>
              <w:t>10.</w:t>
            </w:r>
            <w:r w:rsidR="005E55A2">
              <w:rPr>
                <w:rFonts w:eastAsiaTheme="minorEastAsia"/>
                <w:b w:val="0"/>
                <w:noProof/>
                <w:lang w:eastAsia="en-AU"/>
              </w:rPr>
              <w:tab/>
            </w:r>
            <w:r w:rsidR="005E55A2" w:rsidRPr="00113BDC">
              <w:rPr>
                <w:rStyle w:val="Hyperlink"/>
                <w:noProof/>
              </w:rPr>
              <w:t>Conclusions</w:t>
            </w:r>
            <w:r w:rsidR="005E55A2">
              <w:rPr>
                <w:noProof/>
                <w:webHidden/>
              </w:rPr>
              <w:tab/>
            </w:r>
            <w:r w:rsidR="005E55A2">
              <w:rPr>
                <w:noProof/>
                <w:webHidden/>
              </w:rPr>
              <w:fldChar w:fldCharType="begin"/>
            </w:r>
            <w:r w:rsidR="005E55A2">
              <w:rPr>
                <w:noProof/>
                <w:webHidden/>
              </w:rPr>
              <w:instrText xml:space="preserve"> PAGEREF _Toc94794322 \h </w:instrText>
            </w:r>
            <w:r w:rsidR="005E55A2">
              <w:rPr>
                <w:noProof/>
                <w:webHidden/>
              </w:rPr>
            </w:r>
            <w:r w:rsidR="005E55A2">
              <w:rPr>
                <w:noProof/>
                <w:webHidden/>
              </w:rPr>
              <w:fldChar w:fldCharType="separate"/>
            </w:r>
            <w:r>
              <w:rPr>
                <w:noProof/>
                <w:webHidden/>
              </w:rPr>
              <w:t>109</w:t>
            </w:r>
            <w:r w:rsidR="005E55A2">
              <w:rPr>
                <w:noProof/>
                <w:webHidden/>
              </w:rPr>
              <w:fldChar w:fldCharType="end"/>
            </w:r>
          </w:hyperlink>
        </w:p>
        <w:p w14:paraId="370C4E24" w14:textId="7D47A81E" w:rsidR="005E55A2" w:rsidRDefault="009E3F96">
          <w:pPr>
            <w:pStyle w:val="TOC1"/>
            <w:tabs>
              <w:tab w:val="left" w:pos="851"/>
            </w:tabs>
            <w:rPr>
              <w:rFonts w:eastAsiaTheme="minorEastAsia"/>
              <w:b w:val="0"/>
              <w:noProof/>
              <w:lang w:eastAsia="en-AU"/>
            </w:rPr>
          </w:pPr>
          <w:hyperlink w:anchor="_Toc94794323" w:history="1">
            <w:r w:rsidR="005E55A2" w:rsidRPr="00113BDC">
              <w:rPr>
                <w:rStyle w:val="Hyperlink"/>
                <w:noProof/>
              </w:rPr>
              <w:t>11.</w:t>
            </w:r>
            <w:r w:rsidR="005E55A2">
              <w:rPr>
                <w:rFonts w:eastAsiaTheme="minorEastAsia"/>
                <w:b w:val="0"/>
                <w:noProof/>
                <w:lang w:eastAsia="en-AU"/>
              </w:rPr>
              <w:tab/>
            </w:r>
            <w:r w:rsidR="005E55A2" w:rsidRPr="00113BDC">
              <w:rPr>
                <w:rStyle w:val="Hyperlink"/>
                <w:noProof/>
              </w:rPr>
              <w:t>References</w:t>
            </w:r>
            <w:r w:rsidR="005E55A2">
              <w:rPr>
                <w:noProof/>
                <w:webHidden/>
              </w:rPr>
              <w:tab/>
            </w:r>
            <w:r w:rsidR="005E55A2">
              <w:rPr>
                <w:noProof/>
                <w:webHidden/>
              </w:rPr>
              <w:fldChar w:fldCharType="begin"/>
            </w:r>
            <w:r w:rsidR="005E55A2">
              <w:rPr>
                <w:noProof/>
                <w:webHidden/>
              </w:rPr>
              <w:instrText xml:space="preserve"> PAGEREF _Toc94794323 \h </w:instrText>
            </w:r>
            <w:r w:rsidR="005E55A2">
              <w:rPr>
                <w:noProof/>
                <w:webHidden/>
              </w:rPr>
            </w:r>
            <w:r w:rsidR="005E55A2">
              <w:rPr>
                <w:noProof/>
                <w:webHidden/>
              </w:rPr>
              <w:fldChar w:fldCharType="separate"/>
            </w:r>
            <w:r>
              <w:rPr>
                <w:noProof/>
                <w:webHidden/>
              </w:rPr>
              <w:t>110</w:t>
            </w:r>
            <w:r w:rsidR="005E55A2">
              <w:rPr>
                <w:noProof/>
                <w:webHidden/>
              </w:rPr>
              <w:fldChar w:fldCharType="end"/>
            </w:r>
          </w:hyperlink>
        </w:p>
        <w:p w14:paraId="6E1E99A3" w14:textId="02D09DFC" w:rsidR="005E55A2" w:rsidRDefault="009E3F96">
          <w:pPr>
            <w:pStyle w:val="TOC1"/>
            <w:tabs>
              <w:tab w:val="left" w:pos="851"/>
            </w:tabs>
            <w:rPr>
              <w:rFonts w:eastAsiaTheme="minorEastAsia"/>
              <w:b w:val="0"/>
              <w:noProof/>
              <w:lang w:eastAsia="en-AU"/>
            </w:rPr>
          </w:pPr>
          <w:hyperlink w:anchor="_Toc94794324" w:history="1">
            <w:r w:rsidR="005E55A2" w:rsidRPr="00113BDC">
              <w:rPr>
                <w:rStyle w:val="Hyperlink"/>
                <w:noProof/>
              </w:rPr>
              <w:t>12.</w:t>
            </w:r>
            <w:r w:rsidR="005E55A2">
              <w:rPr>
                <w:rFonts w:eastAsiaTheme="minorEastAsia"/>
                <w:b w:val="0"/>
                <w:noProof/>
                <w:lang w:eastAsia="en-AU"/>
              </w:rPr>
              <w:tab/>
            </w:r>
            <w:r w:rsidR="005E55A2" w:rsidRPr="00113BDC">
              <w:rPr>
                <w:rStyle w:val="Hyperlink"/>
                <w:noProof/>
              </w:rPr>
              <w:t>Appendices</w:t>
            </w:r>
            <w:r w:rsidR="005E55A2">
              <w:rPr>
                <w:noProof/>
                <w:webHidden/>
              </w:rPr>
              <w:tab/>
            </w:r>
            <w:r w:rsidR="005E55A2">
              <w:rPr>
                <w:noProof/>
                <w:webHidden/>
              </w:rPr>
              <w:fldChar w:fldCharType="begin"/>
            </w:r>
            <w:r w:rsidR="005E55A2">
              <w:rPr>
                <w:noProof/>
                <w:webHidden/>
              </w:rPr>
              <w:instrText xml:space="preserve"> PAGEREF _Toc94794324 \h </w:instrText>
            </w:r>
            <w:r w:rsidR="005E55A2">
              <w:rPr>
                <w:noProof/>
                <w:webHidden/>
              </w:rPr>
            </w:r>
            <w:r w:rsidR="005E55A2">
              <w:rPr>
                <w:noProof/>
                <w:webHidden/>
              </w:rPr>
              <w:fldChar w:fldCharType="separate"/>
            </w:r>
            <w:r>
              <w:rPr>
                <w:noProof/>
                <w:webHidden/>
              </w:rPr>
              <w:t>114</w:t>
            </w:r>
            <w:r w:rsidR="005E55A2">
              <w:rPr>
                <w:noProof/>
                <w:webHidden/>
              </w:rPr>
              <w:fldChar w:fldCharType="end"/>
            </w:r>
          </w:hyperlink>
        </w:p>
        <w:p w14:paraId="26F8E4E6" w14:textId="0A31CC11" w:rsidR="005E55A2" w:rsidRDefault="009E3F96">
          <w:pPr>
            <w:pStyle w:val="TOC2"/>
            <w:rPr>
              <w:rFonts w:eastAsiaTheme="minorEastAsia"/>
              <w:noProof/>
              <w:lang w:eastAsia="en-AU"/>
            </w:rPr>
          </w:pPr>
          <w:hyperlink w:anchor="_Toc94794325" w:history="1">
            <w:r w:rsidR="005E55A2" w:rsidRPr="00113BDC">
              <w:rPr>
                <w:rStyle w:val="Hyperlink"/>
                <w:noProof/>
                <w:lang w:eastAsia="en-AU"/>
              </w:rPr>
              <w:t>List of appendices</w:t>
            </w:r>
            <w:r w:rsidR="005E55A2">
              <w:rPr>
                <w:noProof/>
                <w:webHidden/>
              </w:rPr>
              <w:tab/>
            </w:r>
            <w:r w:rsidR="005E55A2">
              <w:rPr>
                <w:noProof/>
                <w:webHidden/>
              </w:rPr>
              <w:fldChar w:fldCharType="begin"/>
            </w:r>
            <w:r w:rsidR="005E55A2">
              <w:rPr>
                <w:noProof/>
                <w:webHidden/>
              </w:rPr>
              <w:instrText xml:space="preserve"> PAGEREF _Toc94794325 \h </w:instrText>
            </w:r>
            <w:r w:rsidR="005E55A2">
              <w:rPr>
                <w:noProof/>
                <w:webHidden/>
              </w:rPr>
            </w:r>
            <w:r w:rsidR="005E55A2">
              <w:rPr>
                <w:noProof/>
                <w:webHidden/>
              </w:rPr>
              <w:fldChar w:fldCharType="separate"/>
            </w:r>
            <w:r>
              <w:rPr>
                <w:noProof/>
                <w:webHidden/>
              </w:rPr>
              <w:t>114</w:t>
            </w:r>
            <w:r w:rsidR="005E55A2">
              <w:rPr>
                <w:noProof/>
                <w:webHidden/>
              </w:rPr>
              <w:fldChar w:fldCharType="end"/>
            </w:r>
          </w:hyperlink>
        </w:p>
        <w:p w14:paraId="35720793" w14:textId="144DE78A" w:rsidR="005E55A2" w:rsidRDefault="009E3F96">
          <w:pPr>
            <w:pStyle w:val="TOC3"/>
            <w:rPr>
              <w:rFonts w:eastAsiaTheme="minorEastAsia"/>
              <w:noProof/>
              <w:lang w:eastAsia="en-AU"/>
            </w:rPr>
          </w:pPr>
          <w:hyperlink w:anchor="_Toc94794326" w:history="1">
            <w:r w:rsidR="005E55A2" w:rsidRPr="00113BDC">
              <w:rPr>
                <w:rStyle w:val="Hyperlink"/>
                <w:noProof/>
              </w:rPr>
              <w:t>Appendix A: International Naloxone Programs evaluated prior to 2021</w:t>
            </w:r>
            <w:r w:rsidR="005E55A2">
              <w:rPr>
                <w:noProof/>
                <w:webHidden/>
              </w:rPr>
              <w:tab/>
            </w:r>
            <w:r w:rsidR="005E55A2">
              <w:rPr>
                <w:noProof/>
                <w:webHidden/>
              </w:rPr>
              <w:fldChar w:fldCharType="begin"/>
            </w:r>
            <w:r w:rsidR="005E55A2">
              <w:rPr>
                <w:noProof/>
                <w:webHidden/>
              </w:rPr>
              <w:instrText xml:space="preserve"> PAGEREF _Toc94794326 \h </w:instrText>
            </w:r>
            <w:r w:rsidR="005E55A2">
              <w:rPr>
                <w:noProof/>
                <w:webHidden/>
              </w:rPr>
            </w:r>
            <w:r w:rsidR="005E55A2">
              <w:rPr>
                <w:noProof/>
                <w:webHidden/>
              </w:rPr>
              <w:fldChar w:fldCharType="separate"/>
            </w:r>
            <w:r>
              <w:rPr>
                <w:noProof/>
                <w:webHidden/>
              </w:rPr>
              <w:t>115</w:t>
            </w:r>
            <w:r w:rsidR="005E55A2">
              <w:rPr>
                <w:noProof/>
                <w:webHidden/>
              </w:rPr>
              <w:fldChar w:fldCharType="end"/>
            </w:r>
          </w:hyperlink>
        </w:p>
        <w:p w14:paraId="729958D5" w14:textId="2902B1F8" w:rsidR="005E55A2" w:rsidRDefault="009E3F96">
          <w:pPr>
            <w:pStyle w:val="TOC3"/>
            <w:rPr>
              <w:rFonts w:eastAsiaTheme="minorEastAsia"/>
              <w:noProof/>
              <w:lang w:eastAsia="en-AU"/>
            </w:rPr>
          </w:pPr>
          <w:hyperlink w:anchor="_Toc94794327" w:history="1">
            <w:r w:rsidR="005E55A2" w:rsidRPr="00113BDC">
              <w:rPr>
                <w:rStyle w:val="Hyperlink"/>
                <w:noProof/>
              </w:rPr>
              <w:t>Appendix B: Australian Naloxone Programs other than PBS Subsidised THN Pilot</w:t>
            </w:r>
            <w:r w:rsidR="005E55A2">
              <w:rPr>
                <w:noProof/>
                <w:webHidden/>
              </w:rPr>
              <w:tab/>
            </w:r>
            <w:r w:rsidR="005E55A2">
              <w:rPr>
                <w:noProof/>
                <w:webHidden/>
              </w:rPr>
              <w:fldChar w:fldCharType="begin"/>
            </w:r>
            <w:r w:rsidR="005E55A2">
              <w:rPr>
                <w:noProof/>
                <w:webHidden/>
              </w:rPr>
              <w:instrText xml:space="preserve"> PAGEREF _Toc94794327 \h </w:instrText>
            </w:r>
            <w:r w:rsidR="005E55A2">
              <w:rPr>
                <w:noProof/>
                <w:webHidden/>
              </w:rPr>
            </w:r>
            <w:r w:rsidR="005E55A2">
              <w:rPr>
                <w:noProof/>
                <w:webHidden/>
              </w:rPr>
              <w:fldChar w:fldCharType="separate"/>
            </w:r>
            <w:r>
              <w:rPr>
                <w:noProof/>
                <w:webHidden/>
              </w:rPr>
              <w:t>117</w:t>
            </w:r>
            <w:r w:rsidR="005E55A2">
              <w:rPr>
                <w:noProof/>
                <w:webHidden/>
              </w:rPr>
              <w:fldChar w:fldCharType="end"/>
            </w:r>
          </w:hyperlink>
        </w:p>
        <w:p w14:paraId="7FF1D9B0" w14:textId="01A78B88" w:rsidR="005E55A2" w:rsidRDefault="009E3F96">
          <w:pPr>
            <w:pStyle w:val="TOC3"/>
            <w:rPr>
              <w:rFonts w:eastAsiaTheme="minorEastAsia"/>
              <w:noProof/>
              <w:lang w:eastAsia="en-AU"/>
            </w:rPr>
          </w:pPr>
          <w:hyperlink w:anchor="_Toc94794328" w:history="1">
            <w:r w:rsidR="005E55A2" w:rsidRPr="00113BDC">
              <w:rPr>
                <w:rStyle w:val="Hyperlink"/>
                <w:noProof/>
              </w:rPr>
              <w:t>Appendix C: Indicator Matrix for Evaluation of the PBS-Subsidised THN Pilot</w:t>
            </w:r>
            <w:r w:rsidR="005E55A2">
              <w:rPr>
                <w:noProof/>
                <w:webHidden/>
              </w:rPr>
              <w:tab/>
            </w:r>
            <w:r w:rsidR="005E55A2">
              <w:rPr>
                <w:noProof/>
                <w:webHidden/>
              </w:rPr>
              <w:fldChar w:fldCharType="begin"/>
            </w:r>
            <w:r w:rsidR="005E55A2">
              <w:rPr>
                <w:noProof/>
                <w:webHidden/>
              </w:rPr>
              <w:instrText xml:space="preserve"> PAGEREF _Toc94794328 \h </w:instrText>
            </w:r>
            <w:r w:rsidR="005E55A2">
              <w:rPr>
                <w:noProof/>
                <w:webHidden/>
              </w:rPr>
            </w:r>
            <w:r w:rsidR="005E55A2">
              <w:rPr>
                <w:noProof/>
                <w:webHidden/>
              </w:rPr>
              <w:fldChar w:fldCharType="separate"/>
            </w:r>
            <w:r>
              <w:rPr>
                <w:noProof/>
                <w:webHidden/>
              </w:rPr>
              <w:t>119</w:t>
            </w:r>
            <w:r w:rsidR="005E55A2">
              <w:rPr>
                <w:noProof/>
                <w:webHidden/>
              </w:rPr>
              <w:fldChar w:fldCharType="end"/>
            </w:r>
          </w:hyperlink>
        </w:p>
        <w:p w14:paraId="7C392DF1" w14:textId="471271C5" w:rsidR="005E55A2" w:rsidRDefault="009E3F96">
          <w:pPr>
            <w:pStyle w:val="TOC3"/>
            <w:rPr>
              <w:rFonts w:eastAsiaTheme="minorEastAsia"/>
              <w:noProof/>
              <w:lang w:eastAsia="en-AU"/>
            </w:rPr>
          </w:pPr>
          <w:hyperlink w:anchor="_Toc94794329" w:history="1">
            <w:r w:rsidR="005E55A2" w:rsidRPr="00113BDC">
              <w:rPr>
                <w:rStyle w:val="Hyperlink"/>
                <w:noProof/>
              </w:rPr>
              <w:t>Appendix D: Comparative provision of medicines prior to and during the Pilot</w:t>
            </w:r>
            <w:r w:rsidR="005E55A2">
              <w:rPr>
                <w:noProof/>
                <w:webHidden/>
              </w:rPr>
              <w:tab/>
            </w:r>
            <w:r w:rsidR="005E55A2">
              <w:rPr>
                <w:noProof/>
                <w:webHidden/>
              </w:rPr>
              <w:fldChar w:fldCharType="begin"/>
            </w:r>
            <w:r w:rsidR="005E55A2">
              <w:rPr>
                <w:noProof/>
                <w:webHidden/>
              </w:rPr>
              <w:instrText xml:space="preserve"> PAGEREF _Toc94794329 \h </w:instrText>
            </w:r>
            <w:r w:rsidR="005E55A2">
              <w:rPr>
                <w:noProof/>
                <w:webHidden/>
              </w:rPr>
            </w:r>
            <w:r w:rsidR="005E55A2">
              <w:rPr>
                <w:noProof/>
                <w:webHidden/>
              </w:rPr>
              <w:fldChar w:fldCharType="separate"/>
            </w:r>
            <w:r>
              <w:rPr>
                <w:noProof/>
                <w:webHidden/>
              </w:rPr>
              <w:t>126</w:t>
            </w:r>
            <w:r w:rsidR="005E55A2">
              <w:rPr>
                <w:noProof/>
                <w:webHidden/>
              </w:rPr>
              <w:fldChar w:fldCharType="end"/>
            </w:r>
          </w:hyperlink>
        </w:p>
        <w:p w14:paraId="38A4843E" w14:textId="3F93D9CB" w:rsidR="005E55A2" w:rsidRDefault="009E3F96">
          <w:pPr>
            <w:pStyle w:val="TOC3"/>
            <w:rPr>
              <w:rFonts w:eastAsiaTheme="minorEastAsia"/>
              <w:noProof/>
              <w:lang w:eastAsia="en-AU"/>
            </w:rPr>
          </w:pPr>
          <w:hyperlink w:anchor="_Toc94794330" w:history="1">
            <w:r w:rsidR="005E55A2" w:rsidRPr="00113BDC">
              <w:rPr>
                <w:rStyle w:val="Hyperlink"/>
                <w:noProof/>
              </w:rPr>
              <w:t>Appendix E: Stories from consumers about the use of THN for overdose reversals</w:t>
            </w:r>
            <w:r w:rsidR="005E55A2">
              <w:rPr>
                <w:noProof/>
                <w:webHidden/>
              </w:rPr>
              <w:tab/>
            </w:r>
            <w:r w:rsidR="005E55A2">
              <w:rPr>
                <w:noProof/>
                <w:webHidden/>
              </w:rPr>
              <w:fldChar w:fldCharType="begin"/>
            </w:r>
            <w:r w:rsidR="005E55A2">
              <w:rPr>
                <w:noProof/>
                <w:webHidden/>
              </w:rPr>
              <w:instrText xml:space="preserve"> PAGEREF _Toc94794330 \h </w:instrText>
            </w:r>
            <w:r w:rsidR="005E55A2">
              <w:rPr>
                <w:noProof/>
                <w:webHidden/>
              </w:rPr>
            </w:r>
            <w:r w:rsidR="005E55A2">
              <w:rPr>
                <w:noProof/>
                <w:webHidden/>
              </w:rPr>
              <w:fldChar w:fldCharType="separate"/>
            </w:r>
            <w:r>
              <w:rPr>
                <w:noProof/>
                <w:webHidden/>
              </w:rPr>
              <w:t>127</w:t>
            </w:r>
            <w:r w:rsidR="005E55A2">
              <w:rPr>
                <w:noProof/>
                <w:webHidden/>
              </w:rPr>
              <w:fldChar w:fldCharType="end"/>
            </w:r>
          </w:hyperlink>
        </w:p>
        <w:p w14:paraId="134A0E83" w14:textId="2B1BEE73" w:rsidR="005E55A2" w:rsidRDefault="005E55A2">
          <w:r>
            <w:rPr>
              <w:b/>
              <w:bCs/>
              <w:noProof/>
            </w:rPr>
            <w:fldChar w:fldCharType="end"/>
          </w:r>
        </w:p>
      </w:sdtContent>
    </w:sdt>
    <w:p w14:paraId="403A6A02" w14:textId="6E39E8E0" w:rsidR="00CA5EEA" w:rsidRDefault="00CA5EEA" w:rsidP="00DC0A5A">
      <w:pPr>
        <w:pStyle w:val="TOCHeading"/>
      </w:pPr>
      <w:r>
        <w:fldChar w:fldCharType="begin"/>
      </w:r>
      <w:r>
        <w:instrText xml:space="preserve"> TOC \h \z \t "Heading 1,1,Heading 2,2,Heading 3,3,Nbr Heading 1,4,Nbr Heading 2,5,Nbr Heading 3,6" </w:instrText>
      </w:r>
      <w:r>
        <w:fldChar w:fldCharType="end"/>
      </w:r>
      <w:r w:rsidR="00150A05">
        <w:br w:type="page"/>
      </w:r>
      <w:r>
        <w:lastRenderedPageBreak/>
        <w:t>Tables</w:t>
      </w:r>
    </w:p>
    <w:p w14:paraId="1AB7D7B4" w14:textId="082167C4" w:rsidR="00DC0A5A" w:rsidRDefault="00CA5EEA">
      <w:pPr>
        <w:pStyle w:val="TableofFigures"/>
        <w:rPr>
          <w:rFonts w:eastAsiaTheme="minorEastAsia"/>
          <w:noProof/>
          <w:lang w:eastAsia="en-AU"/>
        </w:rPr>
      </w:pPr>
      <w:r>
        <w:fldChar w:fldCharType="begin"/>
      </w:r>
      <w:r>
        <w:instrText xml:space="preserve"> TOC \h \z \t "Table Caption,1" \c "Table" </w:instrText>
      </w:r>
      <w:r>
        <w:fldChar w:fldCharType="separate"/>
      </w:r>
      <w:hyperlink w:anchor="_Toc94794331" w:history="1">
        <w:r w:rsidR="00DC0A5A" w:rsidRPr="00B674FE">
          <w:rPr>
            <w:rStyle w:val="Hyperlink"/>
            <w:noProof/>
          </w:rPr>
          <w:t>Table 1: Primary data collection completed for the Pilot evaluation</w:t>
        </w:r>
        <w:r w:rsidR="00DC0A5A">
          <w:rPr>
            <w:noProof/>
            <w:webHidden/>
          </w:rPr>
          <w:tab/>
        </w:r>
        <w:r w:rsidR="00DC0A5A">
          <w:rPr>
            <w:noProof/>
            <w:webHidden/>
          </w:rPr>
          <w:fldChar w:fldCharType="begin"/>
        </w:r>
        <w:r w:rsidR="00DC0A5A">
          <w:rPr>
            <w:noProof/>
            <w:webHidden/>
          </w:rPr>
          <w:instrText xml:space="preserve"> PAGEREF _Toc94794331 \h </w:instrText>
        </w:r>
        <w:r w:rsidR="00DC0A5A">
          <w:rPr>
            <w:noProof/>
            <w:webHidden/>
          </w:rPr>
        </w:r>
        <w:r w:rsidR="00DC0A5A">
          <w:rPr>
            <w:noProof/>
            <w:webHidden/>
          </w:rPr>
          <w:fldChar w:fldCharType="separate"/>
        </w:r>
        <w:r w:rsidR="00DC0A5A">
          <w:rPr>
            <w:noProof/>
            <w:webHidden/>
          </w:rPr>
          <w:t>14</w:t>
        </w:r>
        <w:r w:rsidR="00DC0A5A">
          <w:rPr>
            <w:noProof/>
            <w:webHidden/>
          </w:rPr>
          <w:fldChar w:fldCharType="end"/>
        </w:r>
      </w:hyperlink>
    </w:p>
    <w:p w14:paraId="19DADAFA" w14:textId="0CDA596F" w:rsidR="00DC0A5A" w:rsidRDefault="009E3F96">
      <w:pPr>
        <w:pStyle w:val="TableofFigures"/>
        <w:rPr>
          <w:rFonts w:eastAsiaTheme="minorEastAsia"/>
          <w:noProof/>
          <w:lang w:eastAsia="en-AU"/>
        </w:rPr>
      </w:pPr>
      <w:hyperlink w:anchor="_Toc94794332" w:history="1">
        <w:r w:rsidR="00DC0A5A" w:rsidRPr="00B674FE">
          <w:rPr>
            <w:rStyle w:val="Hyperlink"/>
            <w:noProof/>
          </w:rPr>
          <w:t>Table 2. Evidence synthesis</w:t>
        </w:r>
        <w:r w:rsidR="00DC0A5A">
          <w:rPr>
            <w:noProof/>
            <w:webHidden/>
          </w:rPr>
          <w:tab/>
        </w:r>
        <w:r w:rsidR="00DC0A5A">
          <w:rPr>
            <w:noProof/>
            <w:webHidden/>
          </w:rPr>
          <w:fldChar w:fldCharType="begin"/>
        </w:r>
        <w:r w:rsidR="00DC0A5A">
          <w:rPr>
            <w:noProof/>
            <w:webHidden/>
          </w:rPr>
          <w:instrText xml:space="preserve"> PAGEREF _Toc94794332 \h </w:instrText>
        </w:r>
        <w:r w:rsidR="00DC0A5A">
          <w:rPr>
            <w:noProof/>
            <w:webHidden/>
          </w:rPr>
        </w:r>
        <w:r w:rsidR="00DC0A5A">
          <w:rPr>
            <w:noProof/>
            <w:webHidden/>
          </w:rPr>
          <w:fldChar w:fldCharType="separate"/>
        </w:r>
        <w:r w:rsidR="00DC0A5A">
          <w:rPr>
            <w:noProof/>
            <w:webHidden/>
          </w:rPr>
          <w:t>16</w:t>
        </w:r>
        <w:r w:rsidR="00DC0A5A">
          <w:rPr>
            <w:noProof/>
            <w:webHidden/>
          </w:rPr>
          <w:fldChar w:fldCharType="end"/>
        </w:r>
      </w:hyperlink>
    </w:p>
    <w:p w14:paraId="7C0F6057" w14:textId="6A78D25B" w:rsidR="00DC0A5A" w:rsidRDefault="009E3F96">
      <w:pPr>
        <w:pStyle w:val="TableofFigures"/>
        <w:rPr>
          <w:rFonts w:eastAsiaTheme="minorEastAsia"/>
          <w:noProof/>
          <w:lang w:eastAsia="en-AU"/>
        </w:rPr>
      </w:pPr>
      <w:hyperlink w:anchor="_Toc94794333" w:history="1">
        <w:r w:rsidR="00DC0A5A" w:rsidRPr="00B674FE">
          <w:rPr>
            <w:rStyle w:val="Hyperlink"/>
            <w:noProof/>
          </w:rPr>
          <w:t>Table 3. Assumptions for the Theory of Change</w:t>
        </w:r>
        <w:r w:rsidR="00DC0A5A">
          <w:rPr>
            <w:noProof/>
            <w:webHidden/>
          </w:rPr>
          <w:tab/>
        </w:r>
        <w:r w:rsidR="00DC0A5A">
          <w:rPr>
            <w:noProof/>
            <w:webHidden/>
          </w:rPr>
          <w:fldChar w:fldCharType="begin"/>
        </w:r>
        <w:r w:rsidR="00DC0A5A">
          <w:rPr>
            <w:noProof/>
            <w:webHidden/>
          </w:rPr>
          <w:instrText xml:space="preserve"> PAGEREF _Toc94794333 \h </w:instrText>
        </w:r>
        <w:r w:rsidR="00DC0A5A">
          <w:rPr>
            <w:noProof/>
            <w:webHidden/>
          </w:rPr>
        </w:r>
        <w:r w:rsidR="00DC0A5A">
          <w:rPr>
            <w:noProof/>
            <w:webHidden/>
          </w:rPr>
          <w:fldChar w:fldCharType="separate"/>
        </w:r>
        <w:r w:rsidR="00DC0A5A">
          <w:rPr>
            <w:noProof/>
            <w:webHidden/>
          </w:rPr>
          <w:t>24</w:t>
        </w:r>
        <w:r w:rsidR="00DC0A5A">
          <w:rPr>
            <w:noProof/>
            <w:webHidden/>
          </w:rPr>
          <w:fldChar w:fldCharType="end"/>
        </w:r>
      </w:hyperlink>
    </w:p>
    <w:p w14:paraId="74EFDA4B" w14:textId="4AC2BDD3" w:rsidR="00DC0A5A" w:rsidRDefault="009E3F96">
      <w:pPr>
        <w:pStyle w:val="TableofFigures"/>
        <w:rPr>
          <w:rFonts w:eastAsiaTheme="minorEastAsia"/>
          <w:noProof/>
          <w:lang w:eastAsia="en-AU"/>
        </w:rPr>
      </w:pPr>
      <w:hyperlink w:anchor="_Toc94794334" w:history="1">
        <w:r w:rsidR="00DC0A5A" w:rsidRPr="00B674FE">
          <w:rPr>
            <w:rStyle w:val="Hyperlink"/>
            <w:noProof/>
          </w:rPr>
          <w:t>Table 4. Potential external factors and observed effect on the THN Pilot</w:t>
        </w:r>
        <w:r w:rsidR="00DC0A5A">
          <w:rPr>
            <w:noProof/>
            <w:webHidden/>
          </w:rPr>
          <w:tab/>
        </w:r>
        <w:r w:rsidR="00DC0A5A">
          <w:rPr>
            <w:noProof/>
            <w:webHidden/>
          </w:rPr>
          <w:fldChar w:fldCharType="begin"/>
        </w:r>
        <w:r w:rsidR="00DC0A5A">
          <w:rPr>
            <w:noProof/>
            <w:webHidden/>
          </w:rPr>
          <w:instrText xml:space="preserve"> PAGEREF _Toc94794334 \h </w:instrText>
        </w:r>
        <w:r w:rsidR="00DC0A5A">
          <w:rPr>
            <w:noProof/>
            <w:webHidden/>
          </w:rPr>
        </w:r>
        <w:r w:rsidR="00DC0A5A">
          <w:rPr>
            <w:noProof/>
            <w:webHidden/>
          </w:rPr>
          <w:fldChar w:fldCharType="separate"/>
        </w:r>
        <w:r w:rsidR="00DC0A5A">
          <w:rPr>
            <w:noProof/>
            <w:webHidden/>
          </w:rPr>
          <w:t>25</w:t>
        </w:r>
        <w:r w:rsidR="00DC0A5A">
          <w:rPr>
            <w:noProof/>
            <w:webHidden/>
          </w:rPr>
          <w:fldChar w:fldCharType="end"/>
        </w:r>
      </w:hyperlink>
    </w:p>
    <w:p w14:paraId="309676A5" w14:textId="23D42F32" w:rsidR="00DC0A5A" w:rsidRDefault="009E3F96">
      <w:pPr>
        <w:pStyle w:val="TableofFigures"/>
        <w:rPr>
          <w:rFonts w:eastAsiaTheme="minorEastAsia"/>
          <w:noProof/>
          <w:lang w:eastAsia="en-AU"/>
        </w:rPr>
      </w:pPr>
      <w:hyperlink w:anchor="_Toc94794335" w:history="1">
        <w:r w:rsidR="00DC0A5A" w:rsidRPr="00B674FE">
          <w:rPr>
            <w:rStyle w:val="Hyperlink"/>
            <w:noProof/>
          </w:rPr>
          <w:t xml:space="preserve">Table 5. </w:t>
        </w:r>
        <w:r w:rsidR="00DC0A5A" w:rsidRPr="00B674FE">
          <w:rPr>
            <w:rStyle w:val="Hyperlink"/>
            <w:i/>
            <w:noProof/>
          </w:rPr>
          <w:t>Participants’ suggestions for overcoming barriers to THN</w:t>
        </w:r>
        <w:r w:rsidR="00DC0A5A">
          <w:rPr>
            <w:noProof/>
            <w:webHidden/>
          </w:rPr>
          <w:tab/>
        </w:r>
        <w:r w:rsidR="00DC0A5A">
          <w:rPr>
            <w:noProof/>
            <w:webHidden/>
          </w:rPr>
          <w:fldChar w:fldCharType="begin"/>
        </w:r>
        <w:r w:rsidR="00DC0A5A">
          <w:rPr>
            <w:noProof/>
            <w:webHidden/>
          </w:rPr>
          <w:instrText xml:space="preserve"> PAGEREF _Toc94794335 \h </w:instrText>
        </w:r>
        <w:r w:rsidR="00DC0A5A">
          <w:rPr>
            <w:noProof/>
            <w:webHidden/>
          </w:rPr>
        </w:r>
        <w:r w:rsidR="00DC0A5A">
          <w:rPr>
            <w:noProof/>
            <w:webHidden/>
          </w:rPr>
          <w:fldChar w:fldCharType="separate"/>
        </w:r>
        <w:r w:rsidR="00DC0A5A">
          <w:rPr>
            <w:noProof/>
            <w:webHidden/>
          </w:rPr>
          <w:t>86</w:t>
        </w:r>
        <w:r w:rsidR="00DC0A5A">
          <w:rPr>
            <w:noProof/>
            <w:webHidden/>
          </w:rPr>
          <w:fldChar w:fldCharType="end"/>
        </w:r>
      </w:hyperlink>
    </w:p>
    <w:p w14:paraId="1752541D" w14:textId="60C72D30" w:rsidR="00DC0A5A" w:rsidRDefault="009E3F96">
      <w:pPr>
        <w:pStyle w:val="TableofFigures"/>
        <w:rPr>
          <w:rFonts w:eastAsiaTheme="minorEastAsia"/>
          <w:noProof/>
          <w:lang w:eastAsia="en-AU"/>
        </w:rPr>
      </w:pPr>
      <w:hyperlink w:anchor="_Toc94794336" w:history="1">
        <w:r w:rsidR="00DC0A5A" w:rsidRPr="00B674FE">
          <w:rPr>
            <w:rStyle w:val="Hyperlink"/>
            <w:noProof/>
          </w:rPr>
          <w:t>Table 6. Key facilitators of success in the Pilot</w:t>
        </w:r>
        <w:r w:rsidR="00DC0A5A">
          <w:rPr>
            <w:noProof/>
            <w:webHidden/>
          </w:rPr>
          <w:tab/>
        </w:r>
        <w:r w:rsidR="00DC0A5A">
          <w:rPr>
            <w:noProof/>
            <w:webHidden/>
          </w:rPr>
          <w:fldChar w:fldCharType="begin"/>
        </w:r>
        <w:r w:rsidR="00DC0A5A">
          <w:rPr>
            <w:noProof/>
            <w:webHidden/>
          </w:rPr>
          <w:instrText xml:space="preserve"> PAGEREF _Toc94794336 \h </w:instrText>
        </w:r>
        <w:r w:rsidR="00DC0A5A">
          <w:rPr>
            <w:noProof/>
            <w:webHidden/>
          </w:rPr>
        </w:r>
        <w:r w:rsidR="00DC0A5A">
          <w:rPr>
            <w:noProof/>
            <w:webHidden/>
          </w:rPr>
          <w:fldChar w:fldCharType="separate"/>
        </w:r>
        <w:r w:rsidR="00DC0A5A">
          <w:rPr>
            <w:noProof/>
            <w:webHidden/>
          </w:rPr>
          <w:t>91</w:t>
        </w:r>
        <w:r w:rsidR="00DC0A5A">
          <w:rPr>
            <w:noProof/>
            <w:webHidden/>
          </w:rPr>
          <w:fldChar w:fldCharType="end"/>
        </w:r>
      </w:hyperlink>
    </w:p>
    <w:p w14:paraId="1ABF5B85" w14:textId="4C718A8A" w:rsidR="00CA5EEA" w:rsidRDefault="00CA5EEA" w:rsidP="003D0F16">
      <w:pPr>
        <w:pStyle w:val="TOCHeading"/>
      </w:pPr>
      <w:r>
        <w:fldChar w:fldCharType="end"/>
      </w:r>
      <w:r>
        <w:t>Figures</w:t>
      </w:r>
    </w:p>
    <w:p w14:paraId="3B824728" w14:textId="30371DAB" w:rsidR="00DC0A5A" w:rsidRDefault="00CE6573">
      <w:pPr>
        <w:pStyle w:val="TableofFigures"/>
        <w:rPr>
          <w:rFonts w:eastAsiaTheme="minorEastAsia"/>
          <w:noProof/>
          <w:lang w:eastAsia="en-AU"/>
        </w:rPr>
      </w:pPr>
      <w:r>
        <w:fldChar w:fldCharType="begin"/>
      </w:r>
      <w:r>
        <w:instrText xml:space="preserve"> TOC \h \z \c "Figure" </w:instrText>
      </w:r>
      <w:r>
        <w:fldChar w:fldCharType="separate"/>
      </w:r>
      <w:hyperlink w:anchor="_Toc94794337" w:history="1">
        <w:r w:rsidR="00DC0A5A" w:rsidRPr="005B6FD2">
          <w:rPr>
            <w:rStyle w:val="Hyperlink"/>
            <w:noProof/>
          </w:rPr>
          <w:t>Figure 1. Opioid-induced deaths in Australia, 2010 – 2019</w:t>
        </w:r>
        <w:r w:rsidR="00DC0A5A">
          <w:rPr>
            <w:noProof/>
            <w:webHidden/>
          </w:rPr>
          <w:tab/>
        </w:r>
        <w:r w:rsidR="00DC0A5A">
          <w:rPr>
            <w:noProof/>
            <w:webHidden/>
          </w:rPr>
          <w:fldChar w:fldCharType="begin"/>
        </w:r>
        <w:r w:rsidR="00DC0A5A">
          <w:rPr>
            <w:noProof/>
            <w:webHidden/>
          </w:rPr>
          <w:instrText xml:space="preserve"> PAGEREF _Toc94794337 \h </w:instrText>
        </w:r>
        <w:r w:rsidR="00DC0A5A">
          <w:rPr>
            <w:noProof/>
            <w:webHidden/>
          </w:rPr>
        </w:r>
        <w:r w:rsidR="00DC0A5A">
          <w:rPr>
            <w:noProof/>
            <w:webHidden/>
          </w:rPr>
          <w:fldChar w:fldCharType="separate"/>
        </w:r>
        <w:r w:rsidR="00DC0A5A">
          <w:rPr>
            <w:noProof/>
            <w:webHidden/>
          </w:rPr>
          <w:t>2</w:t>
        </w:r>
        <w:r w:rsidR="00DC0A5A">
          <w:rPr>
            <w:noProof/>
            <w:webHidden/>
          </w:rPr>
          <w:fldChar w:fldCharType="end"/>
        </w:r>
      </w:hyperlink>
    </w:p>
    <w:p w14:paraId="0FF08E18" w14:textId="54A004CB" w:rsidR="00DC0A5A" w:rsidRDefault="009E3F96">
      <w:pPr>
        <w:pStyle w:val="TableofFigures"/>
        <w:rPr>
          <w:rFonts w:eastAsiaTheme="minorEastAsia"/>
          <w:noProof/>
          <w:lang w:eastAsia="en-AU"/>
        </w:rPr>
      </w:pPr>
      <w:hyperlink w:anchor="_Toc94794338" w:history="1">
        <w:r w:rsidR="00DC0A5A" w:rsidRPr="005B6FD2">
          <w:rPr>
            <w:rStyle w:val="Hyperlink"/>
            <w:noProof/>
          </w:rPr>
          <w:t>Figure 2. Opioid-related hospitalisations in Australia, 2009/10 – 2018/19</w:t>
        </w:r>
        <w:r w:rsidR="00DC0A5A">
          <w:rPr>
            <w:noProof/>
            <w:webHidden/>
          </w:rPr>
          <w:tab/>
        </w:r>
        <w:r w:rsidR="00DC0A5A">
          <w:rPr>
            <w:noProof/>
            <w:webHidden/>
          </w:rPr>
          <w:fldChar w:fldCharType="begin"/>
        </w:r>
        <w:r w:rsidR="00DC0A5A">
          <w:rPr>
            <w:noProof/>
            <w:webHidden/>
          </w:rPr>
          <w:instrText xml:space="preserve"> PAGEREF _Toc94794338 \h </w:instrText>
        </w:r>
        <w:r w:rsidR="00DC0A5A">
          <w:rPr>
            <w:noProof/>
            <w:webHidden/>
          </w:rPr>
        </w:r>
        <w:r w:rsidR="00DC0A5A">
          <w:rPr>
            <w:noProof/>
            <w:webHidden/>
          </w:rPr>
          <w:fldChar w:fldCharType="separate"/>
        </w:r>
        <w:r w:rsidR="00DC0A5A">
          <w:rPr>
            <w:noProof/>
            <w:webHidden/>
          </w:rPr>
          <w:t>3</w:t>
        </w:r>
        <w:r w:rsidR="00DC0A5A">
          <w:rPr>
            <w:noProof/>
            <w:webHidden/>
          </w:rPr>
          <w:fldChar w:fldCharType="end"/>
        </w:r>
      </w:hyperlink>
    </w:p>
    <w:p w14:paraId="1A87E9EA" w14:textId="4BD3FD95" w:rsidR="00DC0A5A" w:rsidRDefault="009E3F96">
      <w:pPr>
        <w:pStyle w:val="TableofFigures"/>
        <w:rPr>
          <w:rFonts w:eastAsiaTheme="minorEastAsia"/>
          <w:noProof/>
          <w:lang w:eastAsia="en-AU"/>
        </w:rPr>
      </w:pPr>
      <w:hyperlink w:anchor="_Toc94794339" w:history="1">
        <w:r w:rsidR="00DC0A5A" w:rsidRPr="005B6FD2">
          <w:rPr>
            <w:rStyle w:val="Hyperlink"/>
            <w:noProof/>
          </w:rPr>
          <w:t>Figure 3. Program Logic for the PBS Subsidised THN Pilot</w:t>
        </w:r>
        <w:r w:rsidR="00DC0A5A">
          <w:rPr>
            <w:noProof/>
            <w:webHidden/>
          </w:rPr>
          <w:tab/>
        </w:r>
        <w:r w:rsidR="00DC0A5A">
          <w:rPr>
            <w:noProof/>
            <w:webHidden/>
          </w:rPr>
          <w:fldChar w:fldCharType="begin"/>
        </w:r>
        <w:r w:rsidR="00DC0A5A">
          <w:rPr>
            <w:noProof/>
            <w:webHidden/>
          </w:rPr>
          <w:instrText xml:space="preserve"> PAGEREF _Toc94794339 \h </w:instrText>
        </w:r>
        <w:r w:rsidR="00DC0A5A">
          <w:rPr>
            <w:noProof/>
            <w:webHidden/>
          </w:rPr>
        </w:r>
        <w:r w:rsidR="00DC0A5A">
          <w:rPr>
            <w:noProof/>
            <w:webHidden/>
          </w:rPr>
          <w:fldChar w:fldCharType="separate"/>
        </w:r>
        <w:r w:rsidR="00DC0A5A">
          <w:rPr>
            <w:noProof/>
            <w:webHidden/>
          </w:rPr>
          <w:t>12</w:t>
        </w:r>
        <w:r w:rsidR="00DC0A5A">
          <w:rPr>
            <w:noProof/>
            <w:webHidden/>
          </w:rPr>
          <w:fldChar w:fldCharType="end"/>
        </w:r>
      </w:hyperlink>
    </w:p>
    <w:p w14:paraId="6B257C83" w14:textId="477C1A8A" w:rsidR="00DC0A5A" w:rsidRDefault="009E3F96">
      <w:pPr>
        <w:pStyle w:val="TableofFigures"/>
        <w:rPr>
          <w:rFonts w:eastAsiaTheme="minorEastAsia"/>
          <w:noProof/>
          <w:lang w:eastAsia="en-AU"/>
        </w:rPr>
      </w:pPr>
      <w:hyperlink w:anchor="_Toc94794340" w:history="1">
        <w:r w:rsidR="00DC0A5A" w:rsidRPr="005B6FD2">
          <w:rPr>
            <w:rStyle w:val="Hyperlink"/>
            <w:noProof/>
          </w:rPr>
          <w:t>Figure 4. Key Milestones of the PBS-Subsidised Take Home Naloxone (THN) Pilot</w:t>
        </w:r>
        <w:r w:rsidR="00DC0A5A">
          <w:rPr>
            <w:noProof/>
            <w:webHidden/>
          </w:rPr>
          <w:tab/>
        </w:r>
        <w:r w:rsidR="00DC0A5A">
          <w:rPr>
            <w:noProof/>
            <w:webHidden/>
          </w:rPr>
          <w:fldChar w:fldCharType="begin"/>
        </w:r>
        <w:r w:rsidR="00DC0A5A">
          <w:rPr>
            <w:noProof/>
            <w:webHidden/>
          </w:rPr>
          <w:instrText xml:space="preserve"> PAGEREF _Toc94794340 \h </w:instrText>
        </w:r>
        <w:r w:rsidR="00DC0A5A">
          <w:rPr>
            <w:noProof/>
            <w:webHidden/>
          </w:rPr>
        </w:r>
        <w:r w:rsidR="00DC0A5A">
          <w:rPr>
            <w:noProof/>
            <w:webHidden/>
          </w:rPr>
          <w:fldChar w:fldCharType="separate"/>
        </w:r>
        <w:r w:rsidR="00DC0A5A">
          <w:rPr>
            <w:noProof/>
            <w:webHidden/>
          </w:rPr>
          <w:t>20</w:t>
        </w:r>
        <w:r w:rsidR="00DC0A5A">
          <w:rPr>
            <w:noProof/>
            <w:webHidden/>
          </w:rPr>
          <w:fldChar w:fldCharType="end"/>
        </w:r>
      </w:hyperlink>
    </w:p>
    <w:p w14:paraId="1826AADF" w14:textId="2CB040AD" w:rsidR="00DC0A5A" w:rsidRDefault="009E3F96">
      <w:pPr>
        <w:pStyle w:val="TableofFigures"/>
        <w:rPr>
          <w:rFonts w:eastAsiaTheme="minorEastAsia"/>
          <w:noProof/>
          <w:lang w:eastAsia="en-AU"/>
        </w:rPr>
      </w:pPr>
      <w:hyperlink w:anchor="_Toc94794341" w:history="1">
        <w:r w:rsidR="00DC0A5A" w:rsidRPr="005B6FD2">
          <w:rPr>
            <w:rStyle w:val="Hyperlink"/>
            <w:noProof/>
          </w:rPr>
          <w:t>Figure 5. Comparison of naloxone supplies under the THN Pilot with PBS-based supply</w:t>
        </w:r>
        <w:r w:rsidR="00DC0A5A">
          <w:rPr>
            <w:noProof/>
            <w:webHidden/>
          </w:rPr>
          <w:tab/>
        </w:r>
        <w:r w:rsidR="00DC0A5A">
          <w:rPr>
            <w:noProof/>
            <w:webHidden/>
          </w:rPr>
          <w:fldChar w:fldCharType="begin"/>
        </w:r>
        <w:r w:rsidR="00DC0A5A">
          <w:rPr>
            <w:noProof/>
            <w:webHidden/>
          </w:rPr>
          <w:instrText xml:space="preserve"> PAGEREF _Toc94794341 \h </w:instrText>
        </w:r>
        <w:r w:rsidR="00DC0A5A">
          <w:rPr>
            <w:noProof/>
            <w:webHidden/>
          </w:rPr>
        </w:r>
        <w:r w:rsidR="00DC0A5A">
          <w:rPr>
            <w:noProof/>
            <w:webHidden/>
          </w:rPr>
          <w:fldChar w:fldCharType="separate"/>
        </w:r>
        <w:r w:rsidR="00DC0A5A">
          <w:rPr>
            <w:noProof/>
            <w:webHidden/>
          </w:rPr>
          <w:t>33</w:t>
        </w:r>
        <w:r w:rsidR="00DC0A5A">
          <w:rPr>
            <w:noProof/>
            <w:webHidden/>
          </w:rPr>
          <w:fldChar w:fldCharType="end"/>
        </w:r>
      </w:hyperlink>
    </w:p>
    <w:p w14:paraId="1E75FB77" w14:textId="09B545E9" w:rsidR="00DC0A5A" w:rsidRDefault="009E3F96">
      <w:pPr>
        <w:pStyle w:val="TableofFigures"/>
        <w:rPr>
          <w:rFonts w:eastAsiaTheme="minorEastAsia"/>
          <w:noProof/>
          <w:lang w:eastAsia="en-AU"/>
        </w:rPr>
      </w:pPr>
      <w:hyperlink w:anchor="_Toc94794342" w:history="1">
        <w:r w:rsidR="00DC0A5A" w:rsidRPr="005B6FD2">
          <w:rPr>
            <w:rStyle w:val="Hyperlink"/>
            <w:noProof/>
          </w:rPr>
          <w:t>Figure 6. Distribution of participating access sites by remoteness</w:t>
        </w:r>
        <w:r w:rsidR="00DC0A5A">
          <w:rPr>
            <w:noProof/>
            <w:webHidden/>
          </w:rPr>
          <w:tab/>
        </w:r>
        <w:r w:rsidR="00DC0A5A">
          <w:rPr>
            <w:noProof/>
            <w:webHidden/>
          </w:rPr>
          <w:fldChar w:fldCharType="begin"/>
        </w:r>
        <w:r w:rsidR="00DC0A5A">
          <w:rPr>
            <w:noProof/>
            <w:webHidden/>
          </w:rPr>
          <w:instrText xml:space="preserve"> PAGEREF _Toc94794342 \h </w:instrText>
        </w:r>
        <w:r w:rsidR="00DC0A5A">
          <w:rPr>
            <w:noProof/>
            <w:webHidden/>
          </w:rPr>
        </w:r>
        <w:r w:rsidR="00DC0A5A">
          <w:rPr>
            <w:noProof/>
            <w:webHidden/>
          </w:rPr>
          <w:fldChar w:fldCharType="separate"/>
        </w:r>
        <w:r w:rsidR="00DC0A5A">
          <w:rPr>
            <w:noProof/>
            <w:webHidden/>
          </w:rPr>
          <w:t>34</w:t>
        </w:r>
        <w:r w:rsidR="00DC0A5A">
          <w:rPr>
            <w:noProof/>
            <w:webHidden/>
          </w:rPr>
          <w:fldChar w:fldCharType="end"/>
        </w:r>
      </w:hyperlink>
    </w:p>
    <w:p w14:paraId="2F3CBE87" w14:textId="14EF3273" w:rsidR="00DC0A5A" w:rsidRDefault="009E3F96">
      <w:pPr>
        <w:pStyle w:val="TableofFigures"/>
        <w:rPr>
          <w:rFonts w:eastAsiaTheme="minorEastAsia"/>
          <w:noProof/>
          <w:lang w:eastAsia="en-AU"/>
        </w:rPr>
      </w:pPr>
      <w:hyperlink w:anchor="_Toc94794343" w:history="1">
        <w:r w:rsidR="00DC0A5A" w:rsidRPr="005B6FD2">
          <w:rPr>
            <w:rStyle w:val="Hyperlink"/>
            <w:noProof/>
          </w:rPr>
          <w:t>Figure 7. THN supplies December 2019 to June 2021, by access site type and remoteness</w:t>
        </w:r>
        <w:r w:rsidR="00DC0A5A">
          <w:rPr>
            <w:noProof/>
            <w:webHidden/>
          </w:rPr>
          <w:tab/>
        </w:r>
        <w:r w:rsidR="00DC0A5A">
          <w:rPr>
            <w:noProof/>
            <w:webHidden/>
          </w:rPr>
          <w:fldChar w:fldCharType="begin"/>
        </w:r>
        <w:r w:rsidR="00DC0A5A">
          <w:rPr>
            <w:noProof/>
            <w:webHidden/>
          </w:rPr>
          <w:instrText xml:space="preserve"> PAGEREF _Toc94794343 \h </w:instrText>
        </w:r>
        <w:r w:rsidR="00DC0A5A">
          <w:rPr>
            <w:noProof/>
            <w:webHidden/>
          </w:rPr>
        </w:r>
        <w:r w:rsidR="00DC0A5A">
          <w:rPr>
            <w:noProof/>
            <w:webHidden/>
          </w:rPr>
          <w:fldChar w:fldCharType="separate"/>
        </w:r>
        <w:r w:rsidR="00DC0A5A">
          <w:rPr>
            <w:noProof/>
            <w:webHidden/>
          </w:rPr>
          <w:t>36</w:t>
        </w:r>
        <w:r w:rsidR="00DC0A5A">
          <w:rPr>
            <w:noProof/>
            <w:webHidden/>
          </w:rPr>
          <w:fldChar w:fldCharType="end"/>
        </w:r>
      </w:hyperlink>
    </w:p>
    <w:p w14:paraId="486600A8" w14:textId="18948133" w:rsidR="00DC0A5A" w:rsidRDefault="009E3F96">
      <w:pPr>
        <w:pStyle w:val="TableofFigures"/>
        <w:rPr>
          <w:rFonts w:eastAsiaTheme="minorEastAsia"/>
          <w:noProof/>
          <w:lang w:eastAsia="en-AU"/>
        </w:rPr>
      </w:pPr>
      <w:hyperlink w:anchor="_Toc94794344" w:history="1">
        <w:r w:rsidR="00DC0A5A" w:rsidRPr="005B6FD2">
          <w:rPr>
            <w:rStyle w:val="Hyperlink"/>
            <w:noProof/>
          </w:rPr>
          <w:t>Figure 8. Pharmacies dispensing naloxone and opioids in NSW, SA and WA, December 2019-June 2021</w:t>
        </w:r>
        <w:r w:rsidR="00DC0A5A">
          <w:rPr>
            <w:noProof/>
            <w:webHidden/>
          </w:rPr>
          <w:tab/>
        </w:r>
        <w:r w:rsidR="00DC0A5A">
          <w:rPr>
            <w:noProof/>
            <w:webHidden/>
          </w:rPr>
          <w:fldChar w:fldCharType="begin"/>
        </w:r>
        <w:r w:rsidR="00DC0A5A">
          <w:rPr>
            <w:noProof/>
            <w:webHidden/>
          </w:rPr>
          <w:instrText xml:space="preserve"> PAGEREF _Toc94794344 \h </w:instrText>
        </w:r>
        <w:r w:rsidR="00DC0A5A">
          <w:rPr>
            <w:noProof/>
            <w:webHidden/>
          </w:rPr>
        </w:r>
        <w:r w:rsidR="00DC0A5A">
          <w:rPr>
            <w:noProof/>
            <w:webHidden/>
          </w:rPr>
          <w:fldChar w:fldCharType="separate"/>
        </w:r>
        <w:r w:rsidR="00DC0A5A">
          <w:rPr>
            <w:noProof/>
            <w:webHidden/>
          </w:rPr>
          <w:t>37</w:t>
        </w:r>
        <w:r w:rsidR="00DC0A5A">
          <w:rPr>
            <w:noProof/>
            <w:webHidden/>
          </w:rPr>
          <w:fldChar w:fldCharType="end"/>
        </w:r>
      </w:hyperlink>
    </w:p>
    <w:p w14:paraId="0C340F0A" w14:textId="2015BF30" w:rsidR="00DC0A5A" w:rsidRDefault="009E3F96">
      <w:pPr>
        <w:pStyle w:val="TableofFigures"/>
        <w:rPr>
          <w:rFonts w:eastAsiaTheme="minorEastAsia"/>
          <w:noProof/>
          <w:lang w:eastAsia="en-AU"/>
        </w:rPr>
      </w:pPr>
      <w:hyperlink w:anchor="_Toc94794345" w:history="1">
        <w:r w:rsidR="00DC0A5A" w:rsidRPr="005B6FD2">
          <w:rPr>
            <w:rStyle w:val="Hyperlink"/>
            <w:noProof/>
          </w:rPr>
          <w:t xml:space="preserve">Figure </w:t>
        </w:r>
        <w:r w:rsidR="00DC0A5A" w:rsidRPr="005B6FD2">
          <w:rPr>
            <w:rStyle w:val="Hyperlink"/>
            <w:i/>
            <w:noProof/>
          </w:rPr>
          <w:t>9</w:t>
        </w:r>
        <w:r w:rsidR="00DC0A5A" w:rsidRPr="005B6FD2">
          <w:rPr>
            <w:rStyle w:val="Hyperlink"/>
            <w:noProof/>
          </w:rPr>
          <w:t>. Active participation in the Pilot by community pharmacies</w:t>
        </w:r>
        <w:r w:rsidR="00DC0A5A">
          <w:rPr>
            <w:noProof/>
            <w:webHidden/>
          </w:rPr>
          <w:tab/>
        </w:r>
        <w:r w:rsidR="00DC0A5A">
          <w:rPr>
            <w:noProof/>
            <w:webHidden/>
          </w:rPr>
          <w:fldChar w:fldCharType="begin"/>
        </w:r>
        <w:r w:rsidR="00DC0A5A">
          <w:rPr>
            <w:noProof/>
            <w:webHidden/>
          </w:rPr>
          <w:instrText xml:space="preserve"> PAGEREF _Toc94794345 \h </w:instrText>
        </w:r>
        <w:r w:rsidR="00DC0A5A">
          <w:rPr>
            <w:noProof/>
            <w:webHidden/>
          </w:rPr>
        </w:r>
        <w:r w:rsidR="00DC0A5A">
          <w:rPr>
            <w:noProof/>
            <w:webHidden/>
          </w:rPr>
          <w:fldChar w:fldCharType="separate"/>
        </w:r>
        <w:r w:rsidR="00DC0A5A">
          <w:rPr>
            <w:noProof/>
            <w:webHidden/>
          </w:rPr>
          <w:t>38</w:t>
        </w:r>
        <w:r w:rsidR="00DC0A5A">
          <w:rPr>
            <w:noProof/>
            <w:webHidden/>
          </w:rPr>
          <w:fldChar w:fldCharType="end"/>
        </w:r>
      </w:hyperlink>
    </w:p>
    <w:p w14:paraId="4431BC96" w14:textId="65F8CDC1" w:rsidR="00DC0A5A" w:rsidRDefault="009E3F96">
      <w:pPr>
        <w:pStyle w:val="TableofFigures"/>
        <w:rPr>
          <w:rFonts w:eastAsiaTheme="minorEastAsia"/>
          <w:noProof/>
          <w:lang w:eastAsia="en-AU"/>
        </w:rPr>
      </w:pPr>
      <w:hyperlink w:anchor="_Toc94794346" w:history="1">
        <w:r w:rsidR="00DC0A5A" w:rsidRPr="005B6FD2">
          <w:rPr>
            <w:rStyle w:val="Hyperlink"/>
            <w:noProof/>
          </w:rPr>
          <w:t>Figure 10. Participating Authorised Alternative Supply sites in NSW and WA, by setting type</w:t>
        </w:r>
        <w:r w:rsidR="00DC0A5A">
          <w:rPr>
            <w:noProof/>
            <w:webHidden/>
          </w:rPr>
          <w:tab/>
        </w:r>
        <w:r w:rsidR="00DC0A5A">
          <w:rPr>
            <w:noProof/>
            <w:webHidden/>
          </w:rPr>
          <w:fldChar w:fldCharType="begin"/>
        </w:r>
        <w:r w:rsidR="00DC0A5A">
          <w:rPr>
            <w:noProof/>
            <w:webHidden/>
          </w:rPr>
          <w:instrText xml:space="preserve"> PAGEREF _Toc94794346 \h </w:instrText>
        </w:r>
        <w:r w:rsidR="00DC0A5A">
          <w:rPr>
            <w:noProof/>
            <w:webHidden/>
          </w:rPr>
        </w:r>
        <w:r w:rsidR="00DC0A5A">
          <w:rPr>
            <w:noProof/>
            <w:webHidden/>
          </w:rPr>
          <w:fldChar w:fldCharType="separate"/>
        </w:r>
        <w:r w:rsidR="00DC0A5A">
          <w:rPr>
            <w:noProof/>
            <w:webHidden/>
          </w:rPr>
          <w:t>39</w:t>
        </w:r>
        <w:r w:rsidR="00DC0A5A">
          <w:rPr>
            <w:noProof/>
            <w:webHidden/>
          </w:rPr>
          <w:fldChar w:fldCharType="end"/>
        </w:r>
      </w:hyperlink>
    </w:p>
    <w:p w14:paraId="431CAB0C" w14:textId="28E6AB4E" w:rsidR="00DC0A5A" w:rsidRDefault="009E3F96">
      <w:pPr>
        <w:pStyle w:val="TableofFigures"/>
        <w:rPr>
          <w:rFonts w:eastAsiaTheme="minorEastAsia"/>
          <w:noProof/>
          <w:lang w:eastAsia="en-AU"/>
        </w:rPr>
      </w:pPr>
      <w:hyperlink w:anchor="_Toc94794347" w:history="1">
        <w:r w:rsidR="00DC0A5A" w:rsidRPr="005B6FD2">
          <w:rPr>
            <w:rStyle w:val="Hyperlink"/>
            <w:noProof/>
          </w:rPr>
          <w:t>Figure 11. Opioid use nominated by participants at point of THN access</w:t>
        </w:r>
        <w:r w:rsidR="00DC0A5A">
          <w:rPr>
            <w:noProof/>
            <w:webHidden/>
          </w:rPr>
          <w:tab/>
        </w:r>
        <w:r w:rsidR="00DC0A5A">
          <w:rPr>
            <w:noProof/>
            <w:webHidden/>
          </w:rPr>
          <w:fldChar w:fldCharType="begin"/>
        </w:r>
        <w:r w:rsidR="00DC0A5A">
          <w:rPr>
            <w:noProof/>
            <w:webHidden/>
          </w:rPr>
          <w:instrText xml:space="preserve"> PAGEREF _Toc94794347 \h </w:instrText>
        </w:r>
        <w:r w:rsidR="00DC0A5A">
          <w:rPr>
            <w:noProof/>
            <w:webHidden/>
          </w:rPr>
        </w:r>
        <w:r w:rsidR="00DC0A5A">
          <w:rPr>
            <w:noProof/>
            <w:webHidden/>
          </w:rPr>
          <w:fldChar w:fldCharType="separate"/>
        </w:r>
        <w:r w:rsidR="00DC0A5A">
          <w:rPr>
            <w:noProof/>
            <w:webHidden/>
          </w:rPr>
          <w:t>41</w:t>
        </w:r>
        <w:r w:rsidR="00DC0A5A">
          <w:rPr>
            <w:noProof/>
            <w:webHidden/>
          </w:rPr>
          <w:fldChar w:fldCharType="end"/>
        </w:r>
      </w:hyperlink>
    </w:p>
    <w:p w14:paraId="3DDABC0F" w14:textId="60F84563" w:rsidR="00DC0A5A" w:rsidRDefault="009E3F96">
      <w:pPr>
        <w:pStyle w:val="TableofFigures"/>
        <w:rPr>
          <w:rFonts w:eastAsiaTheme="minorEastAsia"/>
          <w:noProof/>
          <w:lang w:eastAsia="en-AU"/>
        </w:rPr>
      </w:pPr>
      <w:hyperlink w:anchor="_Toc94794348" w:history="1">
        <w:r w:rsidR="00DC0A5A" w:rsidRPr="005B6FD2">
          <w:rPr>
            <w:rStyle w:val="Hyperlink"/>
            <w:noProof/>
          </w:rPr>
          <w:t>Figure 12. People at risk of opioid overdose in Australia, 2015-2020</w:t>
        </w:r>
        <w:r w:rsidR="00DC0A5A">
          <w:rPr>
            <w:noProof/>
            <w:webHidden/>
          </w:rPr>
          <w:tab/>
        </w:r>
        <w:r w:rsidR="00DC0A5A">
          <w:rPr>
            <w:noProof/>
            <w:webHidden/>
          </w:rPr>
          <w:fldChar w:fldCharType="begin"/>
        </w:r>
        <w:r w:rsidR="00DC0A5A">
          <w:rPr>
            <w:noProof/>
            <w:webHidden/>
          </w:rPr>
          <w:instrText xml:space="preserve"> PAGEREF _Toc94794348 \h </w:instrText>
        </w:r>
        <w:r w:rsidR="00DC0A5A">
          <w:rPr>
            <w:noProof/>
            <w:webHidden/>
          </w:rPr>
        </w:r>
        <w:r w:rsidR="00DC0A5A">
          <w:rPr>
            <w:noProof/>
            <w:webHidden/>
          </w:rPr>
          <w:fldChar w:fldCharType="separate"/>
        </w:r>
        <w:r w:rsidR="00DC0A5A">
          <w:rPr>
            <w:noProof/>
            <w:webHidden/>
          </w:rPr>
          <w:t>42</w:t>
        </w:r>
        <w:r w:rsidR="00DC0A5A">
          <w:rPr>
            <w:noProof/>
            <w:webHidden/>
          </w:rPr>
          <w:fldChar w:fldCharType="end"/>
        </w:r>
      </w:hyperlink>
    </w:p>
    <w:p w14:paraId="0B6D56FB" w14:textId="7DF4767C" w:rsidR="00DC0A5A" w:rsidRDefault="009E3F96">
      <w:pPr>
        <w:pStyle w:val="TableofFigures"/>
        <w:rPr>
          <w:rFonts w:eastAsiaTheme="minorEastAsia"/>
          <w:noProof/>
          <w:lang w:eastAsia="en-AU"/>
        </w:rPr>
      </w:pPr>
      <w:hyperlink w:anchor="_Toc94794349" w:history="1">
        <w:r w:rsidR="00DC0A5A" w:rsidRPr="005B6FD2">
          <w:rPr>
            <w:rStyle w:val="Hyperlink"/>
            <w:noProof/>
          </w:rPr>
          <w:t>Figure 13. Changes in the naloxone access rate for individuals at risk of prescription opioid overdose in Australia during the THN Pilot</w:t>
        </w:r>
        <w:r w:rsidR="00DC0A5A">
          <w:rPr>
            <w:noProof/>
            <w:webHidden/>
          </w:rPr>
          <w:tab/>
        </w:r>
        <w:r w:rsidR="00DC0A5A">
          <w:rPr>
            <w:noProof/>
            <w:webHidden/>
          </w:rPr>
          <w:fldChar w:fldCharType="begin"/>
        </w:r>
        <w:r w:rsidR="00DC0A5A">
          <w:rPr>
            <w:noProof/>
            <w:webHidden/>
          </w:rPr>
          <w:instrText xml:space="preserve"> PAGEREF _Toc94794349 \h </w:instrText>
        </w:r>
        <w:r w:rsidR="00DC0A5A">
          <w:rPr>
            <w:noProof/>
            <w:webHidden/>
          </w:rPr>
        </w:r>
        <w:r w:rsidR="00DC0A5A">
          <w:rPr>
            <w:noProof/>
            <w:webHidden/>
          </w:rPr>
          <w:fldChar w:fldCharType="separate"/>
        </w:r>
        <w:r w:rsidR="00DC0A5A">
          <w:rPr>
            <w:noProof/>
            <w:webHidden/>
          </w:rPr>
          <w:t>44</w:t>
        </w:r>
        <w:r w:rsidR="00DC0A5A">
          <w:rPr>
            <w:noProof/>
            <w:webHidden/>
          </w:rPr>
          <w:fldChar w:fldCharType="end"/>
        </w:r>
      </w:hyperlink>
    </w:p>
    <w:p w14:paraId="7CAE9241" w14:textId="7607444E" w:rsidR="00DC0A5A" w:rsidRDefault="009E3F96">
      <w:pPr>
        <w:pStyle w:val="TableofFigures"/>
        <w:rPr>
          <w:rFonts w:eastAsiaTheme="minorEastAsia"/>
          <w:noProof/>
          <w:lang w:eastAsia="en-AU"/>
        </w:rPr>
      </w:pPr>
      <w:hyperlink w:anchor="_Toc94794350" w:history="1">
        <w:r w:rsidR="00DC0A5A" w:rsidRPr="005B6FD2">
          <w:rPr>
            <w:rStyle w:val="Hyperlink"/>
            <w:noProof/>
          </w:rPr>
          <w:t>Figure 14. Proportion of naloxone units supplied by formulation during the Pilot</w:t>
        </w:r>
        <w:r w:rsidR="00DC0A5A">
          <w:rPr>
            <w:noProof/>
            <w:webHidden/>
          </w:rPr>
          <w:tab/>
        </w:r>
        <w:r w:rsidR="00DC0A5A">
          <w:rPr>
            <w:noProof/>
            <w:webHidden/>
          </w:rPr>
          <w:fldChar w:fldCharType="begin"/>
        </w:r>
        <w:r w:rsidR="00DC0A5A">
          <w:rPr>
            <w:noProof/>
            <w:webHidden/>
          </w:rPr>
          <w:instrText xml:space="preserve"> PAGEREF _Toc94794350 \h </w:instrText>
        </w:r>
        <w:r w:rsidR="00DC0A5A">
          <w:rPr>
            <w:noProof/>
            <w:webHidden/>
          </w:rPr>
        </w:r>
        <w:r w:rsidR="00DC0A5A">
          <w:rPr>
            <w:noProof/>
            <w:webHidden/>
          </w:rPr>
          <w:fldChar w:fldCharType="separate"/>
        </w:r>
        <w:r w:rsidR="00DC0A5A">
          <w:rPr>
            <w:noProof/>
            <w:webHidden/>
          </w:rPr>
          <w:t>50</w:t>
        </w:r>
        <w:r w:rsidR="00DC0A5A">
          <w:rPr>
            <w:noProof/>
            <w:webHidden/>
          </w:rPr>
          <w:fldChar w:fldCharType="end"/>
        </w:r>
      </w:hyperlink>
    </w:p>
    <w:p w14:paraId="502DB4DC" w14:textId="7EDF5DB6" w:rsidR="00DC0A5A" w:rsidRDefault="009E3F96">
      <w:pPr>
        <w:pStyle w:val="TableofFigures"/>
        <w:rPr>
          <w:rFonts w:eastAsiaTheme="minorEastAsia"/>
          <w:noProof/>
          <w:lang w:eastAsia="en-AU"/>
        </w:rPr>
      </w:pPr>
      <w:hyperlink w:anchor="_Toc94794351" w:history="1">
        <w:r w:rsidR="00DC0A5A" w:rsidRPr="005B6FD2">
          <w:rPr>
            <w:rStyle w:val="Hyperlink"/>
            <w:noProof/>
          </w:rPr>
          <w:t>Figure 15. Naloxone units supplied in participating states, before and during the Pilot, by access site type and formulation</w:t>
        </w:r>
        <w:r w:rsidR="00DC0A5A">
          <w:rPr>
            <w:noProof/>
            <w:webHidden/>
          </w:rPr>
          <w:tab/>
        </w:r>
        <w:r w:rsidR="00DC0A5A">
          <w:rPr>
            <w:noProof/>
            <w:webHidden/>
          </w:rPr>
          <w:fldChar w:fldCharType="begin"/>
        </w:r>
        <w:r w:rsidR="00DC0A5A">
          <w:rPr>
            <w:noProof/>
            <w:webHidden/>
          </w:rPr>
          <w:instrText xml:space="preserve"> PAGEREF _Toc94794351 \h </w:instrText>
        </w:r>
        <w:r w:rsidR="00DC0A5A">
          <w:rPr>
            <w:noProof/>
            <w:webHidden/>
          </w:rPr>
        </w:r>
        <w:r w:rsidR="00DC0A5A">
          <w:rPr>
            <w:noProof/>
            <w:webHidden/>
          </w:rPr>
          <w:fldChar w:fldCharType="separate"/>
        </w:r>
        <w:r w:rsidR="00DC0A5A">
          <w:rPr>
            <w:noProof/>
            <w:webHidden/>
          </w:rPr>
          <w:t>51</w:t>
        </w:r>
        <w:r w:rsidR="00DC0A5A">
          <w:rPr>
            <w:noProof/>
            <w:webHidden/>
          </w:rPr>
          <w:fldChar w:fldCharType="end"/>
        </w:r>
      </w:hyperlink>
    </w:p>
    <w:p w14:paraId="04802F79" w14:textId="72E24EB6" w:rsidR="00DC0A5A" w:rsidRDefault="009E3F96">
      <w:pPr>
        <w:pStyle w:val="TableofFigures"/>
        <w:rPr>
          <w:rFonts w:eastAsiaTheme="minorEastAsia"/>
          <w:noProof/>
          <w:lang w:eastAsia="en-AU"/>
        </w:rPr>
      </w:pPr>
      <w:hyperlink w:anchor="_Toc94794352" w:history="1">
        <w:r w:rsidR="00DC0A5A" w:rsidRPr="005B6FD2">
          <w:rPr>
            <w:rStyle w:val="Hyperlink"/>
            <w:noProof/>
          </w:rPr>
          <w:t>Figure 16. Preferred naloxone formulation, by type of opioid use (n=213)</w:t>
        </w:r>
        <w:r w:rsidR="00DC0A5A">
          <w:rPr>
            <w:noProof/>
            <w:webHidden/>
          </w:rPr>
          <w:tab/>
        </w:r>
        <w:r w:rsidR="00DC0A5A">
          <w:rPr>
            <w:noProof/>
            <w:webHidden/>
          </w:rPr>
          <w:fldChar w:fldCharType="begin"/>
        </w:r>
        <w:r w:rsidR="00DC0A5A">
          <w:rPr>
            <w:noProof/>
            <w:webHidden/>
          </w:rPr>
          <w:instrText xml:space="preserve"> PAGEREF _Toc94794352 \h </w:instrText>
        </w:r>
        <w:r w:rsidR="00DC0A5A">
          <w:rPr>
            <w:noProof/>
            <w:webHidden/>
          </w:rPr>
        </w:r>
        <w:r w:rsidR="00DC0A5A">
          <w:rPr>
            <w:noProof/>
            <w:webHidden/>
          </w:rPr>
          <w:fldChar w:fldCharType="separate"/>
        </w:r>
        <w:r w:rsidR="00DC0A5A">
          <w:rPr>
            <w:noProof/>
            <w:webHidden/>
          </w:rPr>
          <w:t>51</w:t>
        </w:r>
        <w:r w:rsidR="00DC0A5A">
          <w:rPr>
            <w:noProof/>
            <w:webHidden/>
          </w:rPr>
          <w:fldChar w:fldCharType="end"/>
        </w:r>
      </w:hyperlink>
    </w:p>
    <w:p w14:paraId="44A9D660" w14:textId="40A3E315" w:rsidR="00DC0A5A" w:rsidRDefault="009E3F96">
      <w:pPr>
        <w:pStyle w:val="TableofFigures"/>
        <w:rPr>
          <w:rFonts w:eastAsiaTheme="minorEastAsia"/>
          <w:noProof/>
          <w:lang w:eastAsia="en-AU"/>
        </w:rPr>
      </w:pPr>
      <w:hyperlink w:anchor="_Toc94794353" w:history="1">
        <w:r w:rsidR="00DC0A5A" w:rsidRPr="005B6FD2">
          <w:rPr>
            <w:rStyle w:val="Hyperlink"/>
            <w:noProof/>
          </w:rPr>
          <w:t>Figure 17. Frequency of carrying nasal spray THN by age group (n=213)</w:t>
        </w:r>
        <w:r w:rsidR="00DC0A5A">
          <w:rPr>
            <w:noProof/>
            <w:webHidden/>
          </w:rPr>
          <w:tab/>
        </w:r>
        <w:r w:rsidR="00DC0A5A">
          <w:rPr>
            <w:noProof/>
            <w:webHidden/>
          </w:rPr>
          <w:fldChar w:fldCharType="begin"/>
        </w:r>
        <w:r w:rsidR="00DC0A5A">
          <w:rPr>
            <w:noProof/>
            <w:webHidden/>
          </w:rPr>
          <w:instrText xml:space="preserve"> PAGEREF _Toc94794353 \h </w:instrText>
        </w:r>
        <w:r w:rsidR="00DC0A5A">
          <w:rPr>
            <w:noProof/>
            <w:webHidden/>
          </w:rPr>
        </w:r>
        <w:r w:rsidR="00DC0A5A">
          <w:rPr>
            <w:noProof/>
            <w:webHidden/>
          </w:rPr>
          <w:fldChar w:fldCharType="separate"/>
        </w:r>
        <w:r w:rsidR="00DC0A5A">
          <w:rPr>
            <w:noProof/>
            <w:webHidden/>
          </w:rPr>
          <w:t>52</w:t>
        </w:r>
        <w:r w:rsidR="00DC0A5A">
          <w:rPr>
            <w:noProof/>
            <w:webHidden/>
          </w:rPr>
          <w:fldChar w:fldCharType="end"/>
        </w:r>
      </w:hyperlink>
    </w:p>
    <w:p w14:paraId="4291FB2A" w14:textId="0C5EBD5E" w:rsidR="00DC0A5A" w:rsidRDefault="009E3F96">
      <w:pPr>
        <w:pStyle w:val="TableofFigures"/>
        <w:rPr>
          <w:rFonts w:eastAsiaTheme="minorEastAsia"/>
          <w:noProof/>
          <w:lang w:eastAsia="en-AU"/>
        </w:rPr>
      </w:pPr>
      <w:hyperlink w:anchor="_Toc94794354" w:history="1">
        <w:r w:rsidR="00DC0A5A" w:rsidRPr="005B6FD2">
          <w:rPr>
            <w:rStyle w:val="Hyperlink"/>
            <w:noProof/>
          </w:rPr>
          <w:t>Figure 18. Number of initial and refill supply occasions, December 2019 – June 2021</w:t>
        </w:r>
        <w:r w:rsidR="00DC0A5A">
          <w:rPr>
            <w:noProof/>
            <w:webHidden/>
          </w:rPr>
          <w:tab/>
        </w:r>
        <w:r w:rsidR="00DC0A5A">
          <w:rPr>
            <w:noProof/>
            <w:webHidden/>
          </w:rPr>
          <w:fldChar w:fldCharType="begin"/>
        </w:r>
        <w:r w:rsidR="00DC0A5A">
          <w:rPr>
            <w:noProof/>
            <w:webHidden/>
          </w:rPr>
          <w:instrText xml:space="preserve"> PAGEREF _Toc94794354 \h </w:instrText>
        </w:r>
        <w:r w:rsidR="00DC0A5A">
          <w:rPr>
            <w:noProof/>
            <w:webHidden/>
          </w:rPr>
        </w:r>
        <w:r w:rsidR="00DC0A5A">
          <w:rPr>
            <w:noProof/>
            <w:webHidden/>
          </w:rPr>
          <w:fldChar w:fldCharType="separate"/>
        </w:r>
        <w:r w:rsidR="00DC0A5A">
          <w:rPr>
            <w:noProof/>
            <w:webHidden/>
          </w:rPr>
          <w:t>53</w:t>
        </w:r>
        <w:r w:rsidR="00DC0A5A">
          <w:rPr>
            <w:noProof/>
            <w:webHidden/>
          </w:rPr>
          <w:fldChar w:fldCharType="end"/>
        </w:r>
      </w:hyperlink>
    </w:p>
    <w:p w14:paraId="755D4F60" w14:textId="19C42ECA" w:rsidR="00DC0A5A" w:rsidRDefault="009E3F96">
      <w:pPr>
        <w:pStyle w:val="TableofFigures"/>
        <w:rPr>
          <w:rFonts w:eastAsiaTheme="minorEastAsia"/>
          <w:noProof/>
          <w:lang w:eastAsia="en-AU"/>
        </w:rPr>
      </w:pPr>
      <w:hyperlink w:anchor="_Toc94794355" w:history="1">
        <w:r w:rsidR="00DC0A5A" w:rsidRPr="005B6FD2">
          <w:rPr>
            <w:rStyle w:val="Hyperlink"/>
            <w:noProof/>
          </w:rPr>
          <w:t>Figure 19. THN formulation supplied as initial supply and refill</w:t>
        </w:r>
        <w:r w:rsidR="00DC0A5A">
          <w:rPr>
            <w:noProof/>
            <w:webHidden/>
          </w:rPr>
          <w:tab/>
        </w:r>
        <w:r w:rsidR="00DC0A5A">
          <w:rPr>
            <w:noProof/>
            <w:webHidden/>
          </w:rPr>
          <w:fldChar w:fldCharType="begin"/>
        </w:r>
        <w:r w:rsidR="00DC0A5A">
          <w:rPr>
            <w:noProof/>
            <w:webHidden/>
          </w:rPr>
          <w:instrText xml:space="preserve"> PAGEREF _Toc94794355 \h </w:instrText>
        </w:r>
        <w:r w:rsidR="00DC0A5A">
          <w:rPr>
            <w:noProof/>
            <w:webHidden/>
          </w:rPr>
        </w:r>
        <w:r w:rsidR="00DC0A5A">
          <w:rPr>
            <w:noProof/>
            <w:webHidden/>
          </w:rPr>
          <w:fldChar w:fldCharType="separate"/>
        </w:r>
        <w:r w:rsidR="00DC0A5A">
          <w:rPr>
            <w:noProof/>
            <w:webHidden/>
          </w:rPr>
          <w:t>54</w:t>
        </w:r>
        <w:r w:rsidR="00DC0A5A">
          <w:rPr>
            <w:noProof/>
            <w:webHidden/>
          </w:rPr>
          <w:fldChar w:fldCharType="end"/>
        </w:r>
      </w:hyperlink>
    </w:p>
    <w:p w14:paraId="17BAFCE7" w14:textId="7223BDEC" w:rsidR="00DC0A5A" w:rsidRDefault="009E3F96">
      <w:pPr>
        <w:pStyle w:val="TableofFigures"/>
        <w:rPr>
          <w:rFonts w:eastAsiaTheme="minorEastAsia"/>
          <w:noProof/>
          <w:lang w:eastAsia="en-AU"/>
        </w:rPr>
      </w:pPr>
      <w:hyperlink w:anchor="_Toc94794356" w:history="1">
        <w:r w:rsidR="00DC0A5A" w:rsidRPr="005B6FD2">
          <w:rPr>
            <w:rStyle w:val="Hyperlink"/>
            <w:noProof/>
          </w:rPr>
          <w:t>Figure 20. Estimated interval between THN supply (refills) using interview data (n=52)</w:t>
        </w:r>
        <w:r w:rsidR="00DC0A5A">
          <w:rPr>
            <w:noProof/>
            <w:webHidden/>
          </w:rPr>
          <w:tab/>
        </w:r>
        <w:r w:rsidR="00DC0A5A">
          <w:rPr>
            <w:noProof/>
            <w:webHidden/>
          </w:rPr>
          <w:fldChar w:fldCharType="begin"/>
        </w:r>
        <w:r w:rsidR="00DC0A5A">
          <w:rPr>
            <w:noProof/>
            <w:webHidden/>
          </w:rPr>
          <w:instrText xml:space="preserve"> PAGEREF _Toc94794356 \h </w:instrText>
        </w:r>
        <w:r w:rsidR="00DC0A5A">
          <w:rPr>
            <w:noProof/>
            <w:webHidden/>
          </w:rPr>
        </w:r>
        <w:r w:rsidR="00DC0A5A">
          <w:rPr>
            <w:noProof/>
            <w:webHidden/>
          </w:rPr>
          <w:fldChar w:fldCharType="separate"/>
        </w:r>
        <w:r w:rsidR="00DC0A5A">
          <w:rPr>
            <w:noProof/>
            <w:webHidden/>
          </w:rPr>
          <w:t>54</w:t>
        </w:r>
        <w:r w:rsidR="00DC0A5A">
          <w:rPr>
            <w:noProof/>
            <w:webHidden/>
          </w:rPr>
          <w:fldChar w:fldCharType="end"/>
        </w:r>
      </w:hyperlink>
    </w:p>
    <w:p w14:paraId="7B84FA76" w14:textId="0D3F21A2" w:rsidR="00DC0A5A" w:rsidRDefault="009E3F96">
      <w:pPr>
        <w:pStyle w:val="TableofFigures"/>
        <w:rPr>
          <w:rFonts w:eastAsiaTheme="minorEastAsia"/>
          <w:noProof/>
          <w:lang w:eastAsia="en-AU"/>
        </w:rPr>
      </w:pPr>
      <w:hyperlink w:anchor="_Toc94794357" w:history="1">
        <w:r w:rsidR="00DC0A5A" w:rsidRPr="005B6FD2">
          <w:rPr>
            <w:rStyle w:val="Hyperlink"/>
            <w:noProof/>
          </w:rPr>
          <w:t>Figure 21. Use of naloxone during the Pilot</w:t>
        </w:r>
        <w:r w:rsidR="00DC0A5A">
          <w:rPr>
            <w:noProof/>
            <w:webHidden/>
          </w:rPr>
          <w:tab/>
        </w:r>
        <w:r w:rsidR="00DC0A5A">
          <w:rPr>
            <w:noProof/>
            <w:webHidden/>
          </w:rPr>
          <w:fldChar w:fldCharType="begin"/>
        </w:r>
        <w:r w:rsidR="00DC0A5A">
          <w:rPr>
            <w:noProof/>
            <w:webHidden/>
          </w:rPr>
          <w:instrText xml:space="preserve"> PAGEREF _Toc94794357 \h </w:instrText>
        </w:r>
        <w:r w:rsidR="00DC0A5A">
          <w:rPr>
            <w:noProof/>
            <w:webHidden/>
          </w:rPr>
        </w:r>
        <w:r w:rsidR="00DC0A5A">
          <w:rPr>
            <w:noProof/>
            <w:webHidden/>
          </w:rPr>
          <w:fldChar w:fldCharType="separate"/>
        </w:r>
        <w:r w:rsidR="00DC0A5A">
          <w:rPr>
            <w:noProof/>
            <w:webHidden/>
          </w:rPr>
          <w:t>55</w:t>
        </w:r>
        <w:r w:rsidR="00DC0A5A">
          <w:rPr>
            <w:noProof/>
            <w:webHidden/>
          </w:rPr>
          <w:fldChar w:fldCharType="end"/>
        </w:r>
      </w:hyperlink>
    </w:p>
    <w:p w14:paraId="37898B30" w14:textId="0BF93AE1" w:rsidR="00DC0A5A" w:rsidRDefault="009E3F96">
      <w:pPr>
        <w:pStyle w:val="TableofFigures"/>
        <w:rPr>
          <w:rFonts w:eastAsiaTheme="minorEastAsia"/>
          <w:noProof/>
          <w:lang w:eastAsia="en-AU"/>
        </w:rPr>
      </w:pPr>
      <w:hyperlink w:anchor="_Toc94794358" w:history="1">
        <w:r w:rsidR="00DC0A5A" w:rsidRPr="005B6FD2">
          <w:rPr>
            <w:rStyle w:val="Hyperlink"/>
            <w:noProof/>
          </w:rPr>
          <w:t>Figure 22. Trends in dispensing of naloxone, opioids and statins, NSW, SA and WA, 2017-2021</w:t>
        </w:r>
        <w:r w:rsidR="00DC0A5A">
          <w:rPr>
            <w:noProof/>
            <w:webHidden/>
          </w:rPr>
          <w:tab/>
        </w:r>
        <w:r w:rsidR="00DC0A5A">
          <w:rPr>
            <w:noProof/>
            <w:webHidden/>
          </w:rPr>
          <w:fldChar w:fldCharType="begin"/>
        </w:r>
        <w:r w:rsidR="00DC0A5A">
          <w:rPr>
            <w:noProof/>
            <w:webHidden/>
          </w:rPr>
          <w:instrText xml:space="preserve"> PAGEREF _Toc94794358 \h </w:instrText>
        </w:r>
        <w:r w:rsidR="00DC0A5A">
          <w:rPr>
            <w:noProof/>
            <w:webHidden/>
          </w:rPr>
        </w:r>
        <w:r w:rsidR="00DC0A5A">
          <w:rPr>
            <w:noProof/>
            <w:webHidden/>
          </w:rPr>
          <w:fldChar w:fldCharType="separate"/>
        </w:r>
        <w:r w:rsidR="00DC0A5A">
          <w:rPr>
            <w:noProof/>
            <w:webHidden/>
          </w:rPr>
          <w:t>127</w:t>
        </w:r>
        <w:r w:rsidR="00DC0A5A">
          <w:rPr>
            <w:noProof/>
            <w:webHidden/>
          </w:rPr>
          <w:fldChar w:fldCharType="end"/>
        </w:r>
      </w:hyperlink>
    </w:p>
    <w:p w14:paraId="793F36BE" w14:textId="6EDACCBA" w:rsidR="00CA5EEA" w:rsidRPr="00FC0BC3" w:rsidRDefault="00CE6573" w:rsidP="00DC0A5A">
      <w:pPr>
        <w:pStyle w:val="TOCHeading"/>
      </w:pPr>
      <w:r>
        <w:fldChar w:fldCharType="end"/>
      </w:r>
      <w:r w:rsidR="00CA5EEA">
        <w:t>Appendices</w:t>
      </w:r>
    </w:p>
    <w:p w14:paraId="1BCE1A55" w14:textId="47CC7B23" w:rsidR="00FE74AF" w:rsidRDefault="00CA5EEA">
      <w:pPr>
        <w:pStyle w:val="TOC8"/>
        <w:rPr>
          <w:rFonts w:eastAsiaTheme="minorEastAsia"/>
          <w:noProof/>
          <w:lang w:eastAsia="en-AU"/>
        </w:rPr>
      </w:pPr>
      <w:r>
        <w:rPr>
          <w:noProof/>
          <w:lang w:val="en-US"/>
        </w:rPr>
        <w:fldChar w:fldCharType="begin"/>
      </w:r>
      <w:r>
        <w:rPr>
          <w:noProof/>
          <w:lang w:val="en-US"/>
        </w:rPr>
        <w:instrText xml:space="preserve"> TOC \n \h \z \t "Heading 9,8" </w:instrText>
      </w:r>
      <w:r>
        <w:rPr>
          <w:noProof/>
          <w:lang w:val="en-US"/>
        </w:rPr>
        <w:fldChar w:fldCharType="separate"/>
      </w:r>
      <w:hyperlink w:anchor="_Toc85456060" w:history="1">
        <w:r w:rsidR="00FE74AF" w:rsidRPr="000C4F96">
          <w:rPr>
            <w:rStyle w:val="Hyperlink"/>
            <w:noProof/>
          </w:rPr>
          <w:t>Appendix A: International Naloxone Programs evaluated prior to 2021</w:t>
        </w:r>
      </w:hyperlink>
    </w:p>
    <w:p w14:paraId="4CD4F5C3" w14:textId="3B89654B" w:rsidR="00FE74AF" w:rsidRDefault="009E3F96">
      <w:pPr>
        <w:pStyle w:val="TOC8"/>
        <w:rPr>
          <w:rFonts w:eastAsiaTheme="minorEastAsia"/>
          <w:noProof/>
          <w:lang w:eastAsia="en-AU"/>
        </w:rPr>
      </w:pPr>
      <w:hyperlink w:anchor="_Toc85456061" w:history="1">
        <w:r w:rsidR="00FE74AF" w:rsidRPr="000C4F96">
          <w:rPr>
            <w:rStyle w:val="Hyperlink"/>
            <w:noProof/>
          </w:rPr>
          <w:t>Appendix B: Australian Naloxone Programs other than PBS Subsidised THN Pilot</w:t>
        </w:r>
      </w:hyperlink>
    </w:p>
    <w:p w14:paraId="20E50D3D" w14:textId="0ECB8FC1" w:rsidR="00FE74AF" w:rsidRDefault="009E3F96">
      <w:pPr>
        <w:pStyle w:val="TOC8"/>
        <w:rPr>
          <w:rFonts w:eastAsiaTheme="minorEastAsia"/>
          <w:noProof/>
          <w:lang w:eastAsia="en-AU"/>
        </w:rPr>
      </w:pPr>
      <w:hyperlink w:anchor="_Toc85456062" w:history="1">
        <w:r w:rsidR="00FE74AF" w:rsidRPr="000C4F96">
          <w:rPr>
            <w:rStyle w:val="Hyperlink"/>
            <w:noProof/>
          </w:rPr>
          <w:t>Appendix C: Indicator Matrix for Evaluation of the PBS-Subsidised THN Pilot</w:t>
        </w:r>
      </w:hyperlink>
    </w:p>
    <w:p w14:paraId="0E399702" w14:textId="405EE437" w:rsidR="00FE74AF" w:rsidRDefault="009E3F96">
      <w:pPr>
        <w:pStyle w:val="TOC8"/>
        <w:rPr>
          <w:rFonts w:eastAsiaTheme="minorEastAsia"/>
          <w:noProof/>
          <w:lang w:eastAsia="en-AU"/>
        </w:rPr>
      </w:pPr>
      <w:hyperlink w:anchor="_Toc85456063" w:history="1">
        <w:r w:rsidR="00FE74AF" w:rsidRPr="000C4F96">
          <w:rPr>
            <w:rStyle w:val="Hyperlink"/>
            <w:noProof/>
          </w:rPr>
          <w:t>Appendix D: Comparative provision of medicines prior to and during the Pilot</w:t>
        </w:r>
      </w:hyperlink>
    </w:p>
    <w:p w14:paraId="5262E3E5" w14:textId="46E3F6AB" w:rsidR="00FE74AF" w:rsidRDefault="009E3F96">
      <w:pPr>
        <w:pStyle w:val="TOC8"/>
        <w:rPr>
          <w:rFonts w:eastAsiaTheme="minorEastAsia"/>
          <w:noProof/>
          <w:lang w:eastAsia="en-AU"/>
        </w:rPr>
      </w:pPr>
      <w:hyperlink w:anchor="_Toc85456064" w:history="1">
        <w:r w:rsidR="00FE74AF" w:rsidRPr="000C4F96">
          <w:rPr>
            <w:rStyle w:val="Hyperlink"/>
            <w:noProof/>
          </w:rPr>
          <w:t>Appendix E: Stories from consumers about the use of THN for overdose reversals</w:t>
        </w:r>
      </w:hyperlink>
    </w:p>
    <w:p w14:paraId="24F98A21" w14:textId="31F659BC" w:rsidR="00CA5EEA" w:rsidRDefault="00CA5EEA" w:rsidP="00DC0A5A">
      <w:pPr>
        <w:pStyle w:val="Heading1"/>
        <w:rPr>
          <w:lang w:eastAsia="en-AU"/>
        </w:rPr>
      </w:pPr>
      <w:r>
        <w:rPr>
          <w:noProof/>
          <w:lang w:val="en-US"/>
        </w:rPr>
        <w:lastRenderedPageBreak/>
        <w:fldChar w:fldCharType="end"/>
      </w:r>
      <w:bookmarkStart w:id="0" w:name="_Toc94794069"/>
      <w:bookmarkStart w:id="1" w:name="_Toc94794200"/>
      <w:r>
        <w:rPr>
          <w:lang w:eastAsia="en-AU"/>
        </w:rPr>
        <w:t>Acknowledgements</w:t>
      </w:r>
      <w:bookmarkEnd w:id="0"/>
      <w:bookmarkEnd w:id="1"/>
    </w:p>
    <w:p w14:paraId="1434EA15" w14:textId="77777777" w:rsidR="00CA5EEA" w:rsidRDefault="00CA5EEA" w:rsidP="009D10AE">
      <w:pPr>
        <w:pStyle w:val="Heading2"/>
        <w:rPr>
          <w:lang w:eastAsia="en-AU"/>
        </w:rPr>
      </w:pPr>
      <w:bookmarkStart w:id="2" w:name="_Toc80187807"/>
      <w:bookmarkStart w:id="3" w:name="_Toc94794070"/>
      <w:bookmarkStart w:id="4" w:name="_Toc94794201"/>
      <w:r>
        <w:rPr>
          <w:lang w:eastAsia="en-AU"/>
        </w:rPr>
        <w:t xml:space="preserve">Core </w:t>
      </w:r>
      <w:r w:rsidRPr="00150A05">
        <w:t>Evaluation</w:t>
      </w:r>
      <w:r>
        <w:rPr>
          <w:lang w:eastAsia="en-AU"/>
        </w:rPr>
        <w:t xml:space="preserve"> Team</w:t>
      </w:r>
      <w:bookmarkEnd w:id="2"/>
      <w:bookmarkEnd w:id="3"/>
      <w:bookmarkEnd w:id="4"/>
    </w:p>
    <w:p w14:paraId="4D04F627" w14:textId="0253B18D" w:rsidR="00CA5EEA" w:rsidRDefault="00CA5EEA" w:rsidP="003D0F16">
      <w:pPr>
        <w:rPr>
          <w:lang w:eastAsia="en-AU"/>
        </w:rPr>
      </w:pPr>
      <w:r>
        <w:rPr>
          <w:lang w:eastAsia="en-AU"/>
        </w:rPr>
        <w:t xml:space="preserve">This </w:t>
      </w:r>
      <w:r w:rsidR="00286ACF">
        <w:rPr>
          <w:lang w:eastAsia="en-AU"/>
        </w:rPr>
        <w:t xml:space="preserve">evaluation was </w:t>
      </w:r>
      <w:proofErr w:type="gramStart"/>
      <w:r w:rsidR="00286ACF">
        <w:rPr>
          <w:lang w:eastAsia="en-AU"/>
        </w:rPr>
        <w:t>undertaken</w:t>
      </w:r>
      <w:proofErr w:type="gramEnd"/>
      <w:r w:rsidR="00286ACF">
        <w:rPr>
          <w:lang w:eastAsia="en-AU"/>
        </w:rPr>
        <w:t xml:space="preserve"> and this</w:t>
      </w:r>
      <w:r>
        <w:rPr>
          <w:lang w:eastAsia="en-AU"/>
        </w:rPr>
        <w:t xml:space="preserve"> report prepared by Dr Caroline </w:t>
      </w:r>
      <w:proofErr w:type="spellStart"/>
      <w:r>
        <w:rPr>
          <w:lang w:eastAsia="en-AU"/>
        </w:rPr>
        <w:t>Salom</w:t>
      </w:r>
      <w:proofErr w:type="spellEnd"/>
      <w:r>
        <w:rPr>
          <w:lang w:eastAsia="en-AU"/>
        </w:rPr>
        <w:t xml:space="preserve">, Dr </w:t>
      </w:r>
      <w:proofErr w:type="spellStart"/>
      <w:r>
        <w:rPr>
          <w:lang w:eastAsia="en-AU"/>
        </w:rPr>
        <w:t>Joemer</w:t>
      </w:r>
      <w:proofErr w:type="spellEnd"/>
      <w:r>
        <w:rPr>
          <w:lang w:eastAsia="en-AU"/>
        </w:rPr>
        <w:t xml:space="preserve"> </w:t>
      </w:r>
      <w:proofErr w:type="spellStart"/>
      <w:r>
        <w:rPr>
          <w:lang w:eastAsia="en-AU"/>
        </w:rPr>
        <w:t>Maravilla</w:t>
      </w:r>
      <w:proofErr w:type="spellEnd"/>
      <w:r w:rsidR="00836CAB">
        <w:rPr>
          <w:lang w:eastAsia="en-AU"/>
        </w:rPr>
        <w:t>*</w:t>
      </w:r>
      <w:r>
        <w:rPr>
          <w:lang w:eastAsia="en-AU"/>
        </w:rPr>
        <w:t>, Dr Natalie Thomas</w:t>
      </w:r>
      <w:r w:rsidR="00836CAB">
        <w:rPr>
          <w:lang w:eastAsia="en-AU"/>
        </w:rPr>
        <w:t>*</w:t>
      </w:r>
      <w:r>
        <w:rPr>
          <w:lang w:eastAsia="en-AU"/>
        </w:rPr>
        <w:t xml:space="preserve">, Dr Jennifer </w:t>
      </w:r>
      <w:proofErr w:type="spellStart"/>
      <w:r>
        <w:rPr>
          <w:lang w:eastAsia="en-AU"/>
        </w:rPr>
        <w:t>Juckel</w:t>
      </w:r>
      <w:proofErr w:type="spellEnd"/>
      <w:r>
        <w:rPr>
          <w:lang w:eastAsia="en-AU"/>
        </w:rPr>
        <w:t xml:space="preserve">, and Ms Catherine Daly from the Institute for Social Science Research </w:t>
      </w:r>
      <w:r w:rsidR="00FD5981">
        <w:rPr>
          <w:lang w:eastAsia="en-AU"/>
        </w:rPr>
        <w:t>(ISSR)</w:t>
      </w:r>
      <w:r>
        <w:rPr>
          <w:lang w:eastAsia="en-AU"/>
        </w:rPr>
        <w:t xml:space="preserve"> at The University of Queensland with support from Dr </w:t>
      </w:r>
      <w:proofErr w:type="spellStart"/>
      <w:r>
        <w:rPr>
          <w:lang w:eastAsia="en-AU"/>
        </w:rPr>
        <w:t>Natasa</w:t>
      </w:r>
      <w:proofErr w:type="spellEnd"/>
      <w:r>
        <w:rPr>
          <w:lang w:eastAsia="en-AU"/>
        </w:rPr>
        <w:t xml:space="preserve"> </w:t>
      </w:r>
      <w:proofErr w:type="spellStart"/>
      <w:r>
        <w:rPr>
          <w:lang w:eastAsia="en-AU"/>
        </w:rPr>
        <w:t>Gisev</w:t>
      </w:r>
      <w:proofErr w:type="spellEnd"/>
      <w:r>
        <w:rPr>
          <w:lang w:eastAsia="en-AU"/>
        </w:rPr>
        <w:t xml:space="preserve"> and Dr Amy Peacock from the National Drug and Alcohol Research Centre </w:t>
      </w:r>
      <w:r w:rsidR="00FD5981">
        <w:rPr>
          <w:lang w:eastAsia="en-AU"/>
        </w:rPr>
        <w:t xml:space="preserve">(NDARC) </w:t>
      </w:r>
      <w:r>
        <w:rPr>
          <w:lang w:eastAsia="en-AU"/>
        </w:rPr>
        <w:t xml:space="preserve">at UNSW Sydney.  </w:t>
      </w:r>
      <w:r w:rsidR="00836CAB">
        <w:rPr>
          <w:lang w:eastAsia="en-AU"/>
        </w:rPr>
        <w:t xml:space="preserve">*We note joint </w:t>
      </w:r>
      <w:proofErr w:type="gramStart"/>
      <w:r w:rsidR="00836CAB">
        <w:rPr>
          <w:lang w:eastAsia="en-AU"/>
        </w:rPr>
        <w:t>second-authorship</w:t>
      </w:r>
      <w:proofErr w:type="gramEnd"/>
      <w:r w:rsidR="00836CAB">
        <w:rPr>
          <w:lang w:eastAsia="en-AU"/>
        </w:rPr>
        <w:t xml:space="preserve"> for Dr Thomas and Dr </w:t>
      </w:r>
      <w:proofErr w:type="spellStart"/>
      <w:r w:rsidR="00836CAB">
        <w:rPr>
          <w:lang w:eastAsia="en-AU"/>
        </w:rPr>
        <w:t>Maravilla</w:t>
      </w:r>
      <w:proofErr w:type="spellEnd"/>
      <w:r w:rsidR="00836CAB">
        <w:rPr>
          <w:lang w:eastAsia="en-AU"/>
        </w:rPr>
        <w:t xml:space="preserve"> in recognition of their leading contributions. </w:t>
      </w:r>
      <w:r>
        <w:rPr>
          <w:lang w:eastAsia="en-AU"/>
        </w:rPr>
        <w:t>Professors Lisa McDaid</w:t>
      </w:r>
      <w:r w:rsidR="00FD5981">
        <w:rPr>
          <w:lang w:eastAsia="en-AU"/>
        </w:rPr>
        <w:t xml:space="preserve"> (ISSR)</w:t>
      </w:r>
      <w:r>
        <w:rPr>
          <w:lang w:eastAsia="en-AU"/>
        </w:rPr>
        <w:t xml:space="preserve">, Michael Farrell </w:t>
      </w:r>
      <w:r w:rsidR="00FD5981">
        <w:rPr>
          <w:lang w:eastAsia="en-AU"/>
        </w:rPr>
        <w:t xml:space="preserve">(NDARC) </w:t>
      </w:r>
      <w:r>
        <w:rPr>
          <w:lang w:eastAsia="en-AU"/>
        </w:rPr>
        <w:t xml:space="preserve">and Raimondo Bruno </w:t>
      </w:r>
      <w:r w:rsidR="00FD5981">
        <w:rPr>
          <w:lang w:eastAsia="en-AU"/>
        </w:rPr>
        <w:t xml:space="preserve">(University of Tasmania) </w:t>
      </w:r>
      <w:r>
        <w:rPr>
          <w:lang w:eastAsia="en-AU"/>
        </w:rPr>
        <w:t xml:space="preserve">provided expert advice and Mr Tom Murphy </w:t>
      </w:r>
      <w:r w:rsidR="00FD5981">
        <w:rPr>
          <w:lang w:eastAsia="en-AU"/>
        </w:rPr>
        <w:t xml:space="preserve">(NDARC) </w:t>
      </w:r>
      <w:r>
        <w:rPr>
          <w:lang w:eastAsia="en-AU"/>
        </w:rPr>
        <w:t xml:space="preserve">provided expert statistical support. </w:t>
      </w:r>
    </w:p>
    <w:p w14:paraId="52641DCB" w14:textId="6AE5C735" w:rsidR="00CA5EEA" w:rsidRDefault="00CA5EEA" w:rsidP="003D0F16">
      <w:pPr>
        <w:rPr>
          <w:lang w:eastAsia="en-AU"/>
        </w:rPr>
      </w:pPr>
      <w:r>
        <w:rPr>
          <w:lang w:eastAsia="en-AU"/>
        </w:rPr>
        <w:t xml:space="preserve">We also acknowledge the enormous contributions of our State Liaison Officers and research </w:t>
      </w:r>
      <w:r w:rsidR="002B5653">
        <w:rPr>
          <w:lang w:eastAsia="en-AU"/>
        </w:rPr>
        <w:t>team</w:t>
      </w:r>
      <w:r w:rsidR="008F6B88">
        <w:rPr>
          <w:lang w:eastAsia="en-AU"/>
        </w:rPr>
        <w:t xml:space="preserve"> </w:t>
      </w:r>
      <w:r>
        <w:rPr>
          <w:lang w:eastAsia="en-AU"/>
        </w:rPr>
        <w:t>in coordinating and interviewing the many evaluation participants</w:t>
      </w:r>
      <w:r w:rsidR="00DC4259">
        <w:rPr>
          <w:lang w:eastAsia="en-AU"/>
        </w:rPr>
        <w:t xml:space="preserve"> and </w:t>
      </w:r>
      <w:r w:rsidR="0015571C">
        <w:rPr>
          <w:lang w:eastAsia="en-AU"/>
        </w:rPr>
        <w:t>analysing the findings</w:t>
      </w:r>
      <w:r>
        <w:rPr>
          <w:lang w:eastAsia="en-AU"/>
        </w:rPr>
        <w:t xml:space="preserve">: Dr Adeleke </w:t>
      </w:r>
      <w:proofErr w:type="spellStart"/>
      <w:r>
        <w:rPr>
          <w:lang w:eastAsia="en-AU"/>
        </w:rPr>
        <w:t>Adewumi</w:t>
      </w:r>
      <w:proofErr w:type="spellEnd"/>
      <w:r>
        <w:rPr>
          <w:lang w:eastAsia="en-AU"/>
        </w:rPr>
        <w:t xml:space="preserve">, Dr </w:t>
      </w:r>
      <w:proofErr w:type="spellStart"/>
      <w:r>
        <w:rPr>
          <w:lang w:eastAsia="en-AU"/>
        </w:rPr>
        <w:t>Seraina</w:t>
      </w:r>
      <w:proofErr w:type="spellEnd"/>
      <w:r>
        <w:rPr>
          <w:lang w:eastAsia="en-AU"/>
        </w:rPr>
        <w:t xml:space="preserve"> </w:t>
      </w:r>
      <w:proofErr w:type="spellStart"/>
      <w:r>
        <w:rPr>
          <w:lang w:eastAsia="en-AU"/>
        </w:rPr>
        <w:t>Agramunt</w:t>
      </w:r>
      <w:proofErr w:type="spellEnd"/>
      <w:r>
        <w:rPr>
          <w:lang w:eastAsia="en-AU"/>
        </w:rPr>
        <w:t xml:space="preserve">, </w:t>
      </w:r>
      <w:proofErr w:type="spellStart"/>
      <w:r>
        <w:rPr>
          <w:lang w:eastAsia="en-AU"/>
        </w:rPr>
        <w:t>Tayla</w:t>
      </w:r>
      <w:proofErr w:type="spellEnd"/>
      <w:r>
        <w:rPr>
          <w:lang w:eastAsia="en-AU"/>
        </w:rPr>
        <w:t xml:space="preserve"> Barber, Sophie </w:t>
      </w:r>
      <w:proofErr w:type="spellStart"/>
      <w:r>
        <w:rPr>
          <w:lang w:eastAsia="en-AU"/>
        </w:rPr>
        <w:t>Dahlenburg</w:t>
      </w:r>
      <w:proofErr w:type="spellEnd"/>
      <w:r>
        <w:rPr>
          <w:lang w:eastAsia="en-AU"/>
        </w:rPr>
        <w:t xml:space="preserve">, Clara De Torres, </w:t>
      </w:r>
      <w:r w:rsidR="004A5C9D">
        <w:rPr>
          <w:lang w:eastAsia="en-AU"/>
        </w:rPr>
        <w:t xml:space="preserve">Dr Shannon </w:t>
      </w:r>
      <w:proofErr w:type="spellStart"/>
      <w:r w:rsidR="004A5C9D">
        <w:rPr>
          <w:lang w:eastAsia="en-AU"/>
        </w:rPr>
        <w:t>Edmed</w:t>
      </w:r>
      <w:proofErr w:type="spellEnd"/>
      <w:r w:rsidR="004A5C9D">
        <w:rPr>
          <w:lang w:eastAsia="en-AU"/>
        </w:rPr>
        <w:t xml:space="preserve">, </w:t>
      </w:r>
      <w:r>
        <w:rPr>
          <w:lang w:eastAsia="en-AU"/>
        </w:rPr>
        <w:t xml:space="preserve">Liam Engel, Zoe Hodson, Lara </w:t>
      </w:r>
      <w:proofErr w:type="spellStart"/>
      <w:r>
        <w:rPr>
          <w:lang w:eastAsia="en-AU"/>
        </w:rPr>
        <w:t>Kireta</w:t>
      </w:r>
      <w:proofErr w:type="spellEnd"/>
      <w:r>
        <w:rPr>
          <w:lang w:eastAsia="en-AU"/>
        </w:rPr>
        <w:t xml:space="preserve">, Eleanor </w:t>
      </w:r>
      <w:proofErr w:type="spellStart"/>
      <w:r>
        <w:rPr>
          <w:lang w:eastAsia="en-AU"/>
        </w:rPr>
        <w:t>Lontos</w:t>
      </w:r>
      <w:proofErr w:type="spellEnd"/>
      <w:r>
        <w:rPr>
          <w:lang w:eastAsia="en-AU"/>
        </w:rPr>
        <w:t xml:space="preserve">, Luke Macauley, Dr Fiona McGregor, Sara Mejia Munoz, Dr Richard Mellor, James Mulholland, Sascha </w:t>
      </w:r>
      <w:proofErr w:type="spellStart"/>
      <w:r>
        <w:rPr>
          <w:lang w:eastAsia="en-AU"/>
        </w:rPr>
        <w:t>Orlievsky</w:t>
      </w:r>
      <w:proofErr w:type="spellEnd"/>
      <w:r>
        <w:rPr>
          <w:lang w:eastAsia="en-AU"/>
        </w:rPr>
        <w:t xml:space="preserve">, Kavita Raj, Lawrence Rivera, </w:t>
      </w:r>
      <w:proofErr w:type="spellStart"/>
      <w:r>
        <w:rPr>
          <w:lang w:eastAsia="en-AU"/>
        </w:rPr>
        <w:t>Dipanshu</w:t>
      </w:r>
      <w:proofErr w:type="spellEnd"/>
      <w:r>
        <w:rPr>
          <w:lang w:eastAsia="en-AU"/>
        </w:rPr>
        <w:t xml:space="preserve"> Sharma and Li Xuan Tan.</w:t>
      </w:r>
    </w:p>
    <w:p w14:paraId="2450B454" w14:textId="4A14E882" w:rsidR="00CA5EEA" w:rsidRDefault="00CA5EEA" w:rsidP="009D10AE">
      <w:pPr>
        <w:pStyle w:val="Heading2"/>
        <w:rPr>
          <w:lang w:eastAsia="en-AU"/>
        </w:rPr>
      </w:pPr>
      <w:bookmarkStart w:id="5" w:name="_Toc80187808"/>
      <w:bookmarkStart w:id="6" w:name="_Toc94794071"/>
      <w:bookmarkStart w:id="7" w:name="_Toc94794202"/>
      <w:r>
        <w:rPr>
          <w:lang w:eastAsia="en-AU"/>
        </w:rPr>
        <w:t>External Collaborators</w:t>
      </w:r>
      <w:bookmarkEnd w:id="5"/>
      <w:bookmarkEnd w:id="6"/>
      <w:bookmarkEnd w:id="7"/>
    </w:p>
    <w:p w14:paraId="4722C0F3" w14:textId="39CEDACE" w:rsidR="00CA5EEA" w:rsidRDefault="00CA5EEA" w:rsidP="003D0F16">
      <w:pPr>
        <w:rPr>
          <w:lang w:eastAsia="en-AU"/>
        </w:rPr>
      </w:pPr>
      <w:r>
        <w:rPr>
          <w:lang w:eastAsia="en-AU"/>
        </w:rPr>
        <w:t xml:space="preserve">We acknowledge the ongoing collaboration and generosity of the State </w:t>
      </w:r>
      <w:r w:rsidR="00286ACF">
        <w:rPr>
          <w:lang w:eastAsia="en-AU"/>
        </w:rPr>
        <w:t>implementation</w:t>
      </w:r>
      <w:r>
        <w:rPr>
          <w:lang w:eastAsia="en-AU"/>
        </w:rPr>
        <w:t xml:space="preserve"> leaders at NSW Health, SA Health and the WA Mental Health Commission. </w:t>
      </w:r>
    </w:p>
    <w:p w14:paraId="1B50FA3A" w14:textId="77777777" w:rsidR="00CA5EEA" w:rsidRDefault="00CA5EEA" w:rsidP="003D0F16">
      <w:pPr>
        <w:rPr>
          <w:lang w:eastAsia="en-AU"/>
        </w:rPr>
      </w:pPr>
      <w:r>
        <w:rPr>
          <w:lang w:eastAsia="en-AU"/>
        </w:rPr>
        <w:t>We thank the team at Australian Healthcare Associates for collecting and sharing naloxone distribution data.</w:t>
      </w:r>
    </w:p>
    <w:p w14:paraId="0C9C55A5" w14:textId="272D1A4F" w:rsidR="00CA5EEA" w:rsidRDefault="00CA5EEA" w:rsidP="003D0F16">
      <w:pPr>
        <w:rPr>
          <w:lang w:eastAsia="en-AU"/>
        </w:rPr>
      </w:pPr>
      <w:r>
        <w:rPr>
          <w:lang w:eastAsia="en-AU"/>
        </w:rPr>
        <w:t xml:space="preserve">We acknowledge the broader Drug Trends team at NDARC for sharing data from the Illicit Drugs Reporting System </w:t>
      </w:r>
      <w:r w:rsidR="005D516A">
        <w:rPr>
          <w:lang w:eastAsia="en-AU"/>
        </w:rPr>
        <w:t>(IDRS)</w:t>
      </w:r>
      <w:r>
        <w:rPr>
          <w:lang w:eastAsia="en-AU"/>
        </w:rPr>
        <w:t xml:space="preserve"> and their broader research program.  </w:t>
      </w:r>
    </w:p>
    <w:p w14:paraId="7DF1B07B" w14:textId="77777777" w:rsidR="00CA5EEA" w:rsidRDefault="00CA5EEA" w:rsidP="009D10AE">
      <w:pPr>
        <w:pStyle w:val="Heading2"/>
        <w:rPr>
          <w:lang w:eastAsia="en-AU"/>
        </w:rPr>
      </w:pPr>
      <w:bookmarkStart w:id="8" w:name="_Toc80187809"/>
      <w:bookmarkStart w:id="9" w:name="_Toc94794072"/>
      <w:bookmarkStart w:id="10" w:name="_Toc94794203"/>
      <w:r>
        <w:rPr>
          <w:lang w:eastAsia="en-AU"/>
        </w:rPr>
        <w:t>Participants</w:t>
      </w:r>
      <w:bookmarkEnd w:id="8"/>
      <w:bookmarkEnd w:id="9"/>
      <w:bookmarkEnd w:id="10"/>
    </w:p>
    <w:p w14:paraId="3EF7BAF0" w14:textId="46F6E1E7" w:rsidR="00CA5EEA" w:rsidRDefault="00CA5EEA" w:rsidP="003D0F16">
      <w:pPr>
        <w:rPr>
          <w:lang w:eastAsia="en-AU"/>
        </w:rPr>
      </w:pPr>
      <w:r>
        <w:rPr>
          <w:lang w:eastAsia="en-AU"/>
        </w:rPr>
        <w:t>Very importantly, we thank the participants who gave their time and shared their experiences</w:t>
      </w:r>
      <w:r w:rsidR="00895F47">
        <w:rPr>
          <w:lang w:eastAsia="en-AU"/>
        </w:rPr>
        <w:t xml:space="preserve">, </w:t>
      </w:r>
      <w:r>
        <w:rPr>
          <w:lang w:eastAsia="en-AU"/>
        </w:rPr>
        <w:t xml:space="preserve">the organisations implementing Take Home Naloxone within their operations, and the people who obtained naloxone with the aim of preventing overdose deaths. </w:t>
      </w:r>
    </w:p>
    <w:p w14:paraId="40CB5BC2" w14:textId="77777777" w:rsidR="00CA5EEA" w:rsidRDefault="00CA5EEA" w:rsidP="009D10AE">
      <w:pPr>
        <w:pStyle w:val="Heading2"/>
        <w:rPr>
          <w:lang w:eastAsia="en-AU"/>
        </w:rPr>
      </w:pPr>
      <w:bookmarkStart w:id="11" w:name="_Toc80187810"/>
      <w:bookmarkStart w:id="12" w:name="_Toc94794073"/>
      <w:bookmarkStart w:id="13" w:name="_Toc94794204"/>
      <w:r>
        <w:rPr>
          <w:lang w:eastAsia="en-AU"/>
        </w:rPr>
        <w:t>Acknowledgement of Country</w:t>
      </w:r>
      <w:bookmarkEnd w:id="11"/>
      <w:bookmarkEnd w:id="12"/>
      <w:bookmarkEnd w:id="13"/>
    </w:p>
    <w:p w14:paraId="1A2C58FA" w14:textId="08453B34" w:rsidR="00CA5EEA" w:rsidRDefault="00CA5EEA" w:rsidP="003D0F16">
      <w:r>
        <w:t xml:space="preserve">We acknowledge the Traditional Owners and their custodianship of the lands on which The University of Queensland and all our collaborators </w:t>
      </w:r>
      <w:r w:rsidR="00C50D35">
        <w:t>and participants live and work</w:t>
      </w:r>
      <w:r>
        <w:t xml:space="preserve">. We pay our respects to their Ancestors and their descendants, who continue cultural and spiritual connections to Country. We recognise their </w:t>
      </w:r>
      <w:r w:rsidR="00C50D35">
        <w:t xml:space="preserve">ongoing </w:t>
      </w:r>
      <w:r>
        <w:t>valuable contributions to Australian and global society.</w:t>
      </w:r>
    </w:p>
    <w:p w14:paraId="325E3F12" w14:textId="2032906B" w:rsidR="00CA5EEA" w:rsidRDefault="00CA5EEA" w:rsidP="009D10AE">
      <w:pPr>
        <w:pStyle w:val="Heading2"/>
      </w:pPr>
      <w:bookmarkStart w:id="14" w:name="_Toc80187811"/>
      <w:bookmarkStart w:id="15" w:name="_Toc94794074"/>
      <w:bookmarkStart w:id="16" w:name="_Toc94794205"/>
      <w:r>
        <w:t>Suggested citation:</w:t>
      </w:r>
      <w:bookmarkEnd w:id="14"/>
      <w:bookmarkEnd w:id="15"/>
      <w:bookmarkEnd w:id="16"/>
    </w:p>
    <w:p w14:paraId="64A65D9E" w14:textId="0F64E3BE" w:rsidR="00CA5EEA" w:rsidRPr="00DC0A5A" w:rsidRDefault="009F1FE1" w:rsidP="003D0F16">
      <w:proofErr w:type="spellStart"/>
      <w:r>
        <w:rPr>
          <w:lang w:eastAsia="en-AU"/>
        </w:rPr>
        <w:t>Salom</w:t>
      </w:r>
      <w:proofErr w:type="spellEnd"/>
      <w:r>
        <w:rPr>
          <w:lang w:eastAsia="en-AU"/>
        </w:rPr>
        <w:t xml:space="preserve">, Caroline L, </w:t>
      </w:r>
      <w:proofErr w:type="spellStart"/>
      <w:r>
        <w:rPr>
          <w:lang w:eastAsia="en-AU"/>
        </w:rPr>
        <w:t>Maravilla</w:t>
      </w:r>
      <w:proofErr w:type="spellEnd"/>
      <w:r>
        <w:rPr>
          <w:lang w:eastAsia="en-AU"/>
        </w:rPr>
        <w:t xml:space="preserve">, </w:t>
      </w:r>
      <w:proofErr w:type="spellStart"/>
      <w:r>
        <w:rPr>
          <w:lang w:eastAsia="en-AU"/>
        </w:rPr>
        <w:t>Joemer</w:t>
      </w:r>
      <w:proofErr w:type="spellEnd"/>
      <w:r>
        <w:rPr>
          <w:lang w:eastAsia="en-AU"/>
        </w:rPr>
        <w:t xml:space="preserve"> C</w:t>
      </w:r>
      <w:r w:rsidR="00836CAB">
        <w:rPr>
          <w:lang w:eastAsia="en-AU"/>
        </w:rPr>
        <w:t>*</w:t>
      </w:r>
      <w:r>
        <w:rPr>
          <w:lang w:eastAsia="en-AU"/>
        </w:rPr>
        <w:t>, Thomas, Natalie</w:t>
      </w:r>
      <w:r w:rsidR="00836CAB">
        <w:rPr>
          <w:lang w:eastAsia="en-AU"/>
        </w:rPr>
        <w:t>*</w:t>
      </w:r>
      <w:r>
        <w:rPr>
          <w:lang w:eastAsia="en-AU"/>
        </w:rPr>
        <w:t xml:space="preserve">, </w:t>
      </w:r>
      <w:proofErr w:type="spellStart"/>
      <w:r w:rsidR="00FA6C7E">
        <w:rPr>
          <w:lang w:eastAsia="en-AU"/>
        </w:rPr>
        <w:t>Juckel</w:t>
      </w:r>
      <w:proofErr w:type="spellEnd"/>
      <w:r w:rsidR="00FA6C7E">
        <w:rPr>
          <w:lang w:eastAsia="en-AU"/>
        </w:rPr>
        <w:t xml:space="preserve">, Jennifer, Daly, Catherine, </w:t>
      </w:r>
      <w:r w:rsidR="002B6208">
        <w:rPr>
          <w:lang w:eastAsia="en-AU"/>
        </w:rPr>
        <w:t xml:space="preserve">Peacock, Amy and </w:t>
      </w:r>
      <w:proofErr w:type="spellStart"/>
      <w:r w:rsidR="002B6208">
        <w:rPr>
          <w:lang w:eastAsia="en-AU"/>
        </w:rPr>
        <w:t>Gisev</w:t>
      </w:r>
      <w:proofErr w:type="spellEnd"/>
      <w:r w:rsidR="002B6208">
        <w:rPr>
          <w:lang w:eastAsia="en-AU"/>
        </w:rPr>
        <w:t xml:space="preserve">, </w:t>
      </w:r>
      <w:proofErr w:type="spellStart"/>
      <w:r w:rsidR="002B6208">
        <w:rPr>
          <w:lang w:eastAsia="en-AU"/>
        </w:rPr>
        <w:t>Natasa</w:t>
      </w:r>
      <w:proofErr w:type="spellEnd"/>
      <w:r w:rsidR="002B6208">
        <w:rPr>
          <w:lang w:eastAsia="en-AU"/>
        </w:rPr>
        <w:t xml:space="preserve"> (2021). Evaluation of the Pharmaceutical Benefits Sche</w:t>
      </w:r>
      <w:r w:rsidR="001C3D62">
        <w:rPr>
          <w:lang w:eastAsia="en-AU"/>
        </w:rPr>
        <w:t>me</w:t>
      </w:r>
      <w:r w:rsidR="002B6208">
        <w:rPr>
          <w:lang w:eastAsia="en-AU"/>
        </w:rPr>
        <w:t xml:space="preserve"> Sub</w:t>
      </w:r>
      <w:r w:rsidR="001C3D62">
        <w:rPr>
          <w:lang w:eastAsia="en-AU"/>
        </w:rPr>
        <w:t>sidised Take Home Naloxone Pilot</w:t>
      </w:r>
      <w:r w:rsidR="00E92CF6">
        <w:rPr>
          <w:lang w:eastAsia="en-AU"/>
        </w:rPr>
        <w:t>. Institute for Social Science Research, The University of Queensland, Brisbane Australia.</w:t>
      </w:r>
      <w:r w:rsidR="00836CAB">
        <w:rPr>
          <w:lang w:eastAsia="en-AU"/>
        </w:rPr>
        <w:t xml:space="preserve"> </w:t>
      </w:r>
      <w:r w:rsidR="00836CAB" w:rsidRPr="00836CAB">
        <w:rPr>
          <w:i/>
          <w:iCs/>
          <w:lang w:eastAsia="en-AU"/>
        </w:rPr>
        <w:t>(*</w:t>
      </w:r>
      <w:proofErr w:type="gramStart"/>
      <w:r w:rsidR="00836CAB" w:rsidRPr="00836CAB">
        <w:rPr>
          <w:i/>
          <w:iCs/>
          <w:lang w:eastAsia="en-AU"/>
        </w:rPr>
        <w:t>note:</w:t>
      </w:r>
      <w:proofErr w:type="gramEnd"/>
      <w:r w:rsidR="00836CAB" w:rsidRPr="00836CAB">
        <w:rPr>
          <w:i/>
          <w:iCs/>
          <w:lang w:eastAsia="en-AU"/>
        </w:rPr>
        <w:t xml:space="preserve"> joint second-authorship)</w:t>
      </w:r>
      <w:r w:rsidR="00CA5EEA">
        <w:rPr>
          <w:lang w:eastAsia="en-AU"/>
        </w:rPr>
        <w:br w:type="page"/>
      </w:r>
    </w:p>
    <w:p w14:paraId="5D626C8F" w14:textId="77777777" w:rsidR="00CA5EEA" w:rsidRPr="00DC0A5A" w:rsidRDefault="00CA5EEA" w:rsidP="00DC0A5A">
      <w:pPr>
        <w:pStyle w:val="Heading1"/>
      </w:pPr>
      <w:bookmarkStart w:id="17" w:name="_Toc94794075"/>
      <w:bookmarkStart w:id="18" w:name="_Toc94794206"/>
      <w:r>
        <w:rPr>
          <w:lang w:eastAsia="en-AU"/>
        </w:rPr>
        <w:lastRenderedPageBreak/>
        <w:t>Document Management</w:t>
      </w:r>
      <w:bookmarkEnd w:id="17"/>
      <w:bookmarkEnd w:id="18"/>
    </w:p>
    <w:tbl>
      <w:tblPr>
        <w:tblStyle w:val="TableUQLined"/>
        <w:tblW w:w="0" w:type="auto"/>
        <w:tblCellMar>
          <w:left w:w="57" w:type="dxa"/>
          <w:right w:w="57" w:type="dxa"/>
        </w:tblCellMar>
        <w:tblLook w:val="04A0" w:firstRow="1" w:lastRow="0" w:firstColumn="1" w:lastColumn="0" w:noHBand="0" w:noVBand="1"/>
        <w:tblDescription w:val="This table list the document management."/>
      </w:tblPr>
      <w:tblGrid>
        <w:gridCol w:w="2410"/>
        <w:gridCol w:w="4111"/>
        <w:gridCol w:w="2825"/>
      </w:tblGrid>
      <w:tr w:rsidR="00CA5EEA" w14:paraId="137E5CFB" w14:textId="77777777" w:rsidTr="00DC0A5A">
        <w:trPr>
          <w:cnfStyle w:val="100000000000" w:firstRow="1" w:lastRow="0" w:firstColumn="0" w:lastColumn="0" w:oddVBand="0" w:evenVBand="0" w:oddHBand="0" w:evenHBand="0" w:firstRowFirstColumn="0" w:firstRowLastColumn="0" w:lastRowFirstColumn="0" w:lastRowLastColumn="0"/>
          <w:tblHeader/>
        </w:trPr>
        <w:tc>
          <w:tcPr>
            <w:tcW w:w="2410" w:type="dxa"/>
            <w:vAlign w:val="center"/>
          </w:tcPr>
          <w:p w14:paraId="23EB94F3" w14:textId="77777777" w:rsidR="00CA5EEA" w:rsidRDefault="00CA5EEA" w:rsidP="003D0F16">
            <w:pPr>
              <w:rPr>
                <w:lang w:eastAsia="en-AU"/>
              </w:rPr>
            </w:pPr>
            <w:r>
              <w:rPr>
                <w:lang w:eastAsia="en-AU"/>
              </w:rPr>
              <w:t>Version/date</w:t>
            </w:r>
          </w:p>
        </w:tc>
        <w:tc>
          <w:tcPr>
            <w:tcW w:w="4111" w:type="dxa"/>
            <w:vAlign w:val="center"/>
          </w:tcPr>
          <w:p w14:paraId="1FBDF071" w14:textId="77777777" w:rsidR="00CA5EEA" w:rsidRDefault="00CA5EEA" w:rsidP="003D0F16">
            <w:pPr>
              <w:rPr>
                <w:lang w:eastAsia="en-AU"/>
              </w:rPr>
            </w:pPr>
            <w:r>
              <w:rPr>
                <w:lang w:eastAsia="en-AU"/>
              </w:rPr>
              <w:t>Input</w:t>
            </w:r>
          </w:p>
        </w:tc>
        <w:tc>
          <w:tcPr>
            <w:tcW w:w="2825" w:type="dxa"/>
            <w:vAlign w:val="center"/>
          </w:tcPr>
          <w:p w14:paraId="54BDE170" w14:textId="77777777" w:rsidR="00CA5EEA" w:rsidRDefault="00CA5EEA" w:rsidP="003D0F16">
            <w:pPr>
              <w:rPr>
                <w:lang w:eastAsia="en-AU"/>
              </w:rPr>
            </w:pPr>
            <w:r>
              <w:rPr>
                <w:lang w:eastAsia="en-AU"/>
              </w:rPr>
              <w:t>Response</w:t>
            </w:r>
          </w:p>
        </w:tc>
      </w:tr>
      <w:tr w:rsidR="00CA5EEA" w14:paraId="5DF5E23C" w14:textId="77777777" w:rsidTr="003D0F16">
        <w:tc>
          <w:tcPr>
            <w:tcW w:w="2410" w:type="dxa"/>
            <w:vAlign w:val="center"/>
          </w:tcPr>
          <w:p w14:paraId="71C1D41C" w14:textId="11D62AC3" w:rsidR="00CA5EEA" w:rsidRDefault="00CA5EEA" w:rsidP="003D0F16">
            <w:pPr>
              <w:rPr>
                <w:lang w:eastAsia="en-AU"/>
              </w:rPr>
            </w:pPr>
            <w:r>
              <w:rPr>
                <w:lang w:eastAsia="en-AU"/>
              </w:rPr>
              <w:t>Draft V 1.1 04/08/2021</w:t>
            </w:r>
          </w:p>
        </w:tc>
        <w:tc>
          <w:tcPr>
            <w:tcW w:w="4111" w:type="dxa"/>
            <w:vAlign w:val="center"/>
          </w:tcPr>
          <w:p w14:paraId="33F32897" w14:textId="77777777" w:rsidR="00CA5EEA" w:rsidRDefault="00CA5EEA" w:rsidP="003D0F16">
            <w:pPr>
              <w:rPr>
                <w:lang w:eastAsia="en-AU"/>
              </w:rPr>
            </w:pPr>
            <w:r>
              <w:rPr>
                <w:lang w:eastAsia="en-AU"/>
              </w:rPr>
              <w:t xml:space="preserve">Review: McDaid, Bruno, </w:t>
            </w:r>
            <w:proofErr w:type="spellStart"/>
            <w:r>
              <w:rPr>
                <w:lang w:eastAsia="en-AU"/>
              </w:rPr>
              <w:t>Gisev</w:t>
            </w:r>
            <w:proofErr w:type="spellEnd"/>
            <w:r>
              <w:rPr>
                <w:lang w:eastAsia="en-AU"/>
              </w:rPr>
              <w:t>, Peacock</w:t>
            </w:r>
          </w:p>
        </w:tc>
        <w:tc>
          <w:tcPr>
            <w:tcW w:w="2825" w:type="dxa"/>
            <w:vAlign w:val="center"/>
          </w:tcPr>
          <w:p w14:paraId="1268EA6C" w14:textId="77777777" w:rsidR="00CA5EEA" w:rsidRDefault="00CA5EEA" w:rsidP="003D0F16">
            <w:pPr>
              <w:rPr>
                <w:lang w:eastAsia="en-AU"/>
              </w:rPr>
            </w:pPr>
            <w:r>
              <w:rPr>
                <w:lang w:eastAsia="en-AU"/>
              </w:rPr>
              <w:t>Feedback incorporated</w:t>
            </w:r>
          </w:p>
        </w:tc>
      </w:tr>
      <w:tr w:rsidR="00CA5EEA" w14:paraId="6C1D7E1B" w14:textId="77777777" w:rsidTr="003D0F16">
        <w:trPr>
          <w:cnfStyle w:val="000000010000" w:firstRow="0" w:lastRow="0" w:firstColumn="0" w:lastColumn="0" w:oddVBand="0" w:evenVBand="0" w:oddHBand="0" w:evenHBand="1" w:firstRowFirstColumn="0" w:firstRowLastColumn="0" w:lastRowFirstColumn="0" w:lastRowLastColumn="0"/>
        </w:trPr>
        <w:tc>
          <w:tcPr>
            <w:tcW w:w="2410" w:type="dxa"/>
            <w:vAlign w:val="center"/>
          </w:tcPr>
          <w:p w14:paraId="3CF5100F" w14:textId="77777777" w:rsidR="00CA5EEA" w:rsidRDefault="00CA5EEA" w:rsidP="003D0F16">
            <w:pPr>
              <w:rPr>
                <w:lang w:eastAsia="en-AU"/>
              </w:rPr>
            </w:pPr>
            <w:r>
              <w:rPr>
                <w:lang w:eastAsia="en-AU"/>
              </w:rPr>
              <w:t>Draft V 2.2 18/08/2021</w:t>
            </w:r>
          </w:p>
        </w:tc>
        <w:tc>
          <w:tcPr>
            <w:tcW w:w="4111" w:type="dxa"/>
            <w:vAlign w:val="center"/>
          </w:tcPr>
          <w:p w14:paraId="2075D762" w14:textId="77777777" w:rsidR="00CA5EEA" w:rsidRDefault="00CA5EEA" w:rsidP="003D0F16">
            <w:pPr>
              <w:rPr>
                <w:lang w:eastAsia="en-AU"/>
              </w:rPr>
            </w:pPr>
            <w:r>
              <w:rPr>
                <w:lang w:eastAsia="en-AU"/>
              </w:rPr>
              <w:t xml:space="preserve">Review: McDaid, Bruno, </w:t>
            </w:r>
            <w:proofErr w:type="spellStart"/>
            <w:r>
              <w:rPr>
                <w:lang w:eastAsia="en-AU"/>
              </w:rPr>
              <w:t>Gisev</w:t>
            </w:r>
            <w:proofErr w:type="spellEnd"/>
            <w:r>
              <w:rPr>
                <w:lang w:eastAsia="en-AU"/>
              </w:rPr>
              <w:t>, Peacock</w:t>
            </w:r>
          </w:p>
        </w:tc>
        <w:tc>
          <w:tcPr>
            <w:tcW w:w="2825" w:type="dxa"/>
            <w:vAlign w:val="center"/>
          </w:tcPr>
          <w:p w14:paraId="63D48C76" w14:textId="77777777" w:rsidR="00CA5EEA" w:rsidRDefault="00CA5EEA" w:rsidP="003D0F16">
            <w:pPr>
              <w:rPr>
                <w:lang w:eastAsia="en-AU"/>
              </w:rPr>
            </w:pPr>
            <w:r>
              <w:rPr>
                <w:lang w:eastAsia="en-AU"/>
              </w:rPr>
              <w:t>Feedback incorporated</w:t>
            </w:r>
          </w:p>
        </w:tc>
      </w:tr>
      <w:tr w:rsidR="00CA5EEA" w14:paraId="563BF572" w14:textId="77777777" w:rsidTr="003D0F16">
        <w:tc>
          <w:tcPr>
            <w:tcW w:w="2410" w:type="dxa"/>
            <w:vAlign w:val="center"/>
          </w:tcPr>
          <w:p w14:paraId="427BB996" w14:textId="77777777" w:rsidR="00CA5EEA" w:rsidRDefault="00CA5EEA" w:rsidP="003D0F16">
            <w:pPr>
              <w:rPr>
                <w:lang w:eastAsia="en-AU"/>
              </w:rPr>
            </w:pPr>
            <w:r>
              <w:rPr>
                <w:lang w:eastAsia="en-AU"/>
              </w:rPr>
              <w:t>Draft V 2.3 18/08/2021</w:t>
            </w:r>
          </w:p>
        </w:tc>
        <w:tc>
          <w:tcPr>
            <w:tcW w:w="4111" w:type="dxa"/>
            <w:vAlign w:val="center"/>
          </w:tcPr>
          <w:p w14:paraId="1F8B7900" w14:textId="77777777" w:rsidR="00CA5EEA" w:rsidRDefault="00CA5EEA" w:rsidP="003D0F16">
            <w:pPr>
              <w:rPr>
                <w:lang w:eastAsia="en-AU"/>
              </w:rPr>
            </w:pPr>
            <w:r>
              <w:rPr>
                <w:lang w:eastAsia="en-AU"/>
              </w:rPr>
              <w:t>Formatting review: Suleman</w:t>
            </w:r>
          </w:p>
        </w:tc>
        <w:tc>
          <w:tcPr>
            <w:tcW w:w="2825" w:type="dxa"/>
            <w:vAlign w:val="center"/>
          </w:tcPr>
          <w:p w14:paraId="44ADAFBE" w14:textId="77777777" w:rsidR="00CA5EEA" w:rsidRDefault="00CA5EEA" w:rsidP="003D0F16">
            <w:pPr>
              <w:rPr>
                <w:lang w:eastAsia="en-AU"/>
              </w:rPr>
            </w:pPr>
            <w:r>
              <w:rPr>
                <w:lang w:eastAsia="en-AU"/>
              </w:rPr>
              <w:t>Feedback incorporated</w:t>
            </w:r>
          </w:p>
        </w:tc>
      </w:tr>
      <w:tr w:rsidR="00CA5EEA" w14:paraId="6585DFDF" w14:textId="77777777" w:rsidTr="003D0F16">
        <w:trPr>
          <w:cnfStyle w:val="000000010000" w:firstRow="0" w:lastRow="0" w:firstColumn="0" w:lastColumn="0" w:oddVBand="0" w:evenVBand="0" w:oddHBand="0" w:evenHBand="1" w:firstRowFirstColumn="0" w:firstRowLastColumn="0" w:lastRowFirstColumn="0" w:lastRowLastColumn="0"/>
        </w:trPr>
        <w:tc>
          <w:tcPr>
            <w:tcW w:w="2410" w:type="dxa"/>
            <w:vAlign w:val="center"/>
          </w:tcPr>
          <w:p w14:paraId="5544060E" w14:textId="77777777" w:rsidR="00CA5EEA" w:rsidRDefault="00CA5EEA" w:rsidP="003D0F16">
            <w:pPr>
              <w:rPr>
                <w:lang w:eastAsia="en-AU"/>
              </w:rPr>
            </w:pPr>
            <w:r>
              <w:rPr>
                <w:lang w:eastAsia="en-AU"/>
              </w:rPr>
              <w:t>Draft V 2.5 19/08/2021</w:t>
            </w:r>
          </w:p>
        </w:tc>
        <w:tc>
          <w:tcPr>
            <w:tcW w:w="4111" w:type="dxa"/>
            <w:vAlign w:val="center"/>
          </w:tcPr>
          <w:p w14:paraId="2DA939A7" w14:textId="77777777" w:rsidR="00CA5EEA" w:rsidRDefault="00CA5EEA" w:rsidP="003D0F16">
            <w:pPr>
              <w:rPr>
                <w:lang w:eastAsia="en-AU"/>
              </w:rPr>
            </w:pPr>
            <w:r>
              <w:rPr>
                <w:lang w:eastAsia="en-AU"/>
              </w:rPr>
              <w:t xml:space="preserve">Formatting review: </w:t>
            </w:r>
            <w:proofErr w:type="spellStart"/>
            <w:r>
              <w:rPr>
                <w:lang w:eastAsia="en-AU"/>
              </w:rPr>
              <w:t>Brangwin</w:t>
            </w:r>
            <w:proofErr w:type="spellEnd"/>
          </w:p>
        </w:tc>
        <w:tc>
          <w:tcPr>
            <w:tcW w:w="2825" w:type="dxa"/>
            <w:vAlign w:val="center"/>
          </w:tcPr>
          <w:p w14:paraId="50158B17" w14:textId="77777777" w:rsidR="00CA5EEA" w:rsidRDefault="00CA5EEA" w:rsidP="003D0F16">
            <w:pPr>
              <w:rPr>
                <w:lang w:eastAsia="en-AU"/>
              </w:rPr>
            </w:pPr>
            <w:r>
              <w:rPr>
                <w:lang w:eastAsia="en-AU"/>
              </w:rPr>
              <w:t>Feedback incorporated</w:t>
            </w:r>
          </w:p>
        </w:tc>
      </w:tr>
      <w:tr w:rsidR="00CA5EEA" w14:paraId="2BF8825D" w14:textId="77777777" w:rsidTr="003D0F16">
        <w:tc>
          <w:tcPr>
            <w:tcW w:w="2410" w:type="dxa"/>
            <w:vAlign w:val="center"/>
          </w:tcPr>
          <w:p w14:paraId="5BEA6B24" w14:textId="77777777" w:rsidR="00CA5EEA" w:rsidRDefault="00CA5EEA" w:rsidP="003D0F16">
            <w:pPr>
              <w:rPr>
                <w:lang w:eastAsia="en-AU"/>
              </w:rPr>
            </w:pPr>
            <w:r>
              <w:rPr>
                <w:lang w:eastAsia="en-AU"/>
              </w:rPr>
              <w:t>Draft V 3.0 20/08/2021</w:t>
            </w:r>
          </w:p>
        </w:tc>
        <w:tc>
          <w:tcPr>
            <w:tcW w:w="4111" w:type="dxa"/>
            <w:vAlign w:val="center"/>
          </w:tcPr>
          <w:p w14:paraId="4B1D2AF4" w14:textId="77777777" w:rsidR="00CA5EEA" w:rsidRDefault="00CA5EEA" w:rsidP="003D0F16">
            <w:pPr>
              <w:rPr>
                <w:lang w:eastAsia="en-AU"/>
              </w:rPr>
            </w:pPr>
            <w:r>
              <w:rPr>
                <w:lang w:eastAsia="en-AU"/>
              </w:rPr>
              <w:t>Submitted to Department of Health</w:t>
            </w:r>
          </w:p>
        </w:tc>
        <w:tc>
          <w:tcPr>
            <w:tcW w:w="2825" w:type="dxa"/>
            <w:vAlign w:val="center"/>
          </w:tcPr>
          <w:p w14:paraId="3905BB8A" w14:textId="77777777" w:rsidR="00CA5EEA" w:rsidRDefault="00CA5EEA" w:rsidP="003D0F16">
            <w:pPr>
              <w:rPr>
                <w:lang w:eastAsia="en-AU"/>
              </w:rPr>
            </w:pPr>
            <w:r>
              <w:rPr>
                <w:lang w:eastAsia="en-AU"/>
              </w:rPr>
              <w:t>Feedback rec 25082021</w:t>
            </w:r>
          </w:p>
        </w:tc>
      </w:tr>
      <w:tr w:rsidR="00CA5EEA" w14:paraId="212E5EF1" w14:textId="77777777" w:rsidTr="003D0F16">
        <w:trPr>
          <w:cnfStyle w:val="000000010000" w:firstRow="0" w:lastRow="0" w:firstColumn="0" w:lastColumn="0" w:oddVBand="0" w:evenVBand="0" w:oddHBand="0" w:evenHBand="1" w:firstRowFirstColumn="0" w:firstRowLastColumn="0" w:lastRowFirstColumn="0" w:lastRowLastColumn="0"/>
        </w:trPr>
        <w:tc>
          <w:tcPr>
            <w:tcW w:w="2410" w:type="dxa"/>
            <w:vAlign w:val="center"/>
          </w:tcPr>
          <w:p w14:paraId="77ADEC78" w14:textId="77777777" w:rsidR="00CA5EEA" w:rsidRDefault="00CA5EEA" w:rsidP="003D0F16">
            <w:pPr>
              <w:rPr>
                <w:lang w:eastAsia="en-AU"/>
              </w:rPr>
            </w:pPr>
            <w:r>
              <w:rPr>
                <w:lang w:eastAsia="en-AU"/>
              </w:rPr>
              <w:t>Draft V 3.1 26/08/2021</w:t>
            </w:r>
          </w:p>
        </w:tc>
        <w:tc>
          <w:tcPr>
            <w:tcW w:w="4111" w:type="dxa"/>
            <w:vAlign w:val="center"/>
          </w:tcPr>
          <w:p w14:paraId="6655AAC2" w14:textId="77777777" w:rsidR="00CA5EEA" w:rsidRDefault="00CA5EEA" w:rsidP="003D0F16">
            <w:pPr>
              <w:rPr>
                <w:lang w:eastAsia="en-AU"/>
              </w:rPr>
            </w:pPr>
            <w:r>
              <w:rPr>
                <w:lang w:eastAsia="en-AU"/>
              </w:rPr>
              <w:t>Addressing Dept Health feedback</w:t>
            </w:r>
          </w:p>
        </w:tc>
        <w:tc>
          <w:tcPr>
            <w:tcW w:w="2825" w:type="dxa"/>
            <w:vAlign w:val="center"/>
          </w:tcPr>
          <w:p w14:paraId="7F84B55B" w14:textId="67AB2B41" w:rsidR="00CA5EEA" w:rsidRDefault="00770241" w:rsidP="003D0F16">
            <w:pPr>
              <w:rPr>
                <w:lang w:eastAsia="en-AU"/>
              </w:rPr>
            </w:pPr>
            <w:r>
              <w:rPr>
                <w:lang w:eastAsia="en-AU"/>
              </w:rPr>
              <w:t>Feedback incorporated</w:t>
            </w:r>
          </w:p>
        </w:tc>
      </w:tr>
      <w:tr w:rsidR="00770241" w14:paraId="4220D1A2" w14:textId="77777777" w:rsidTr="003D0F16">
        <w:tc>
          <w:tcPr>
            <w:tcW w:w="2410" w:type="dxa"/>
            <w:vAlign w:val="center"/>
          </w:tcPr>
          <w:p w14:paraId="2083C35C" w14:textId="30F6E1C7" w:rsidR="00770241" w:rsidRDefault="00770241" w:rsidP="003D0F16">
            <w:pPr>
              <w:rPr>
                <w:lang w:eastAsia="en-AU"/>
              </w:rPr>
            </w:pPr>
            <w:r>
              <w:rPr>
                <w:lang w:eastAsia="en-AU"/>
              </w:rPr>
              <w:t>Final version 8/09/2021</w:t>
            </w:r>
          </w:p>
        </w:tc>
        <w:tc>
          <w:tcPr>
            <w:tcW w:w="4111" w:type="dxa"/>
            <w:vAlign w:val="center"/>
          </w:tcPr>
          <w:p w14:paraId="79EA729D" w14:textId="387390D3" w:rsidR="00770241" w:rsidRDefault="00770241" w:rsidP="003D0F16">
            <w:pPr>
              <w:rPr>
                <w:lang w:eastAsia="en-AU"/>
              </w:rPr>
            </w:pPr>
            <w:r>
              <w:rPr>
                <w:lang w:eastAsia="en-AU"/>
              </w:rPr>
              <w:t>Submitted to Department of Health</w:t>
            </w:r>
          </w:p>
        </w:tc>
        <w:tc>
          <w:tcPr>
            <w:tcW w:w="2825" w:type="dxa"/>
            <w:vAlign w:val="center"/>
          </w:tcPr>
          <w:p w14:paraId="37840464" w14:textId="77777777" w:rsidR="00770241" w:rsidRDefault="00D238BE" w:rsidP="003D0F16">
            <w:pPr>
              <w:rPr>
                <w:lang w:eastAsia="en-AU"/>
              </w:rPr>
            </w:pPr>
            <w:r>
              <w:rPr>
                <w:lang w:eastAsia="en-AU"/>
              </w:rPr>
              <w:t>Submitted 8/09/2021</w:t>
            </w:r>
          </w:p>
          <w:p w14:paraId="323BFB34" w14:textId="3818C7FB" w:rsidR="00C65F5C" w:rsidRDefault="00C65F5C" w:rsidP="003D0F16">
            <w:pPr>
              <w:rPr>
                <w:lang w:eastAsia="en-AU"/>
              </w:rPr>
            </w:pPr>
            <w:r>
              <w:rPr>
                <w:lang w:eastAsia="en-AU"/>
              </w:rPr>
              <w:t>Feedback received 13/10/2021</w:t>
            </w:r>
          </w:p>
        </w:tc>
      </w:tr>
      <w:tr w:rsidR="009375F2" w14:paraId="1FDE199B" w14:textId="77777777" w:rsidTr="003D0F16">
        <w:trPr>
          <w:cnfStyle w:val="000000010000" w:firstRow="0" w:lastRow="0" w:firstColumn="0" w:lastColumn="0" w:oddVBand="0" w:evenVBand="0" w:oddHBand="0" w:evenHBand="1" w:firstRowFirstColumn="0" w:firstRowLastColumn="0" w:lastRowFirstColumn="0" w:lastRowLastColumn="0"/>
        </w:trPr>
        <w:tc>
          <w:tcPr>
            <w:tcW w:w="2410" w:type="dxa"/>
            <w:vAlign w:val="center"/>
          </w:tcPr>
          <w:p w14:paraId="09E68DD7" w14:textId="0F3A4209" w:rsidR="009375F2" w:rsidRDefault="009375F2" w:rsidP="003D0F16">
            <w:pPr>
              <w:rPr>
                <w:lang w:eastAsia="en-AU"/>
              </w:rPr>
            </w:pPr>
            <w:r>
              <w:rPr>
                <w:lang w:eastAsia="en-AU"/>
              </w:rPr>
              <w:t>Final report 1</w:t>
            </w:r>
            <w:r w:rsidR="00BD71AE">
              <w:rPr>
                <w:lang w:eastAsia="en-AU"/>
              </w:rPr>
              <w:t>8</w:t>
            </w:r>
            <w:r>
              <w:rPr>
                <w:lang w:eastAsia="en-AU"/>
              </w:rPr>
              <w:t>/10/2021</w:t>
            </w:r>
          </w:p>
        </w:tc>
        <w:tc>
          <w:tcPr>
            <w:tcW w:w="4111" w:type="dxa"/>
            <w:vAlign w:val="center"/>
          </w:tcPr>
          <w:p w14:paraId="6CDC166B" w14:textId="383CFF83" w:rsidR="009375F2" w:rsidRDefault="009375F2" w:rsidP="003D0F16">
            <w:pPr>
              <w:rPr>
                <w:lang w:eastAsia="en-AU"/>
              </w:rPr>
            </w:pPr>
            <w:r>
              <w:rPr>
                <w:lang w:eastAsia="en-AU"/>
              </w:rPr>
              <w:t xml:space="preserve">Submitted to Department of </w:t>
            </w:r>
            <w:r w:rsidR="0008246F">
              <w:rPr>
                <w:lang w:eastAsia="en-AU"/>
              </w:rPr>
              <w:t>H</w:t>
            </w:r>
            <w:r>
              <w:rPr>
                <w:lang w:eastAsia="en-AU"/>
              </w:rPr>
              <w:t>ealth</w:t>
            </w:r>
          </w:p>
        </w:tc>
        <w:tc>
          <w:tcPr>
            <w:tcW w:w="2825" w:type="dxa"/>
            <w:vAlign w:val="center"/>
          </w:tcPr>
          <w:p w14:paraId="5254F23E" w14:textId="03B54FC9" w:rsidR="009375F2" w:rsidRDefault="009375F2" w:rsidP="003D0F16">
            <w:pPr>
              <w:rPr>
                <w:lang w:eastAsia="en-AU"/>
              </w:rPr>
            </w:pPr>
            <w:r>
              <w:rPr>
                <w:lang w:eastAsia="en-AU"/>
              </w:rPr>
              <w:t>Incorporating feedback received 13/10/2021</w:t>
            </w:r>
          </w:p>
        </w:tc>
      </w:tr>
      <w:tr w:rsidR="00B45551" w14:paraId="5D57B206" w14:textId="77777777" w:rsidTr="003D0F16">
        <w:tc>
          <w:tcPr>
            <w:tcW w:w="2410" w:type="dxa"/>
            <w:vAlign w:val="center"/>
          </w:tcPr>
          <w:p w14:paraId="2AE275D4" w14:textId="1A175F8A" w:rsidR="00B45551" w:rsidRDefault="00B45551" w:rsidP="003D0F16">
            <w:pPr>
              <w:rPr>
                <w:lang w:eastAsia="en-AU"/>
              </w:rPr>
            </w:pPr>
            <w:r>
              <w:rPr>
                <w:lang w:eastAsia="en-AU"/>
              </w:rPr>
              <w:t>Final report 18/10/2021</w:t>
            </w:r>
          </w:p>
        </w:tc>
        <w:tc>
          <w:tcPr>
            <w:tcW w:w="4111" w:type="dxa"/>
            <w:vAlign w:val="center"/>
          </w:tcPr>
          <w:p w14:paraId="4CCF1F08" w14:textId="054A3C73" w:rsidR="00B45551" w:rsidRDefault="00B45551" w:rsidP="003D0F16">
            <w:pPr>
              <w:rPr>
                <w:lang w:eastAsia="en-AU"/>
              </w:rPr>
            </w:pPr>
            <w:r>
              <w:rPr>
                <w:lang w:eastAsia="en-AU"/>
              </w:rPr>
              <w:t>Accepted by Department of Health</w:t>
            </w:r>
          </w:p>
        </w:tc>
        <w:tc>
          <w:tcPr>
            <w:tcW w:w="2825" w:type="dxa"/>
            <w:vAlign w:val="center"/>
          </w:tcPr>
          <w:p w14:paraId="40E647A7" w14:textId="38E7B321" w:rsidR="00B45551" w:rsidRDefault="00F61F1E" w:rsidP="003D0F16">
            <w:pPr>
              <w:rPr>
                <w:lang w:eastAsia="en-AU"/>
              </w:rPr>
            </w:pPr>
            <w:r>
              <w:rPr>
                <w:lang w:eastAsia="en-AU"/>
              </w:rPr>
              <w:t>18/10/2021</w:t>
            </w:r>
          </w:p>
        </w:tc>
      </w:tr>
      <w:tr w:rsidR="00621938" w14:paraId="090C9028" w14:textId="77777777" w:rsidTr="003D0F16">
        <w:trPr>
          <w:cnfStyle w:val="000000010000" w:firstRow="0" w:lastRow="0" w:firstColumn="0" w:lastColumn="0" w:oddVBand="0" w:evenVBand="0" w:oddHBand="0" w:evenHBand="1" w:firstRowFirstColumn="0" w:firstRowLastColumn="0" w:lastRowFirstColumn="0" w:lastRowLastColumn="0"/>
        </w:trPr>
        <w:tc>
          <w:tcPr>
            <w:tcW w:w="2410" w:type="dxa"/>
            <w:vAlign w:val="center"/>
          </w:tcPr>
          <w:p w14:paraId="00E2CD4C" w14:textId="518559BD" w:rsidR="00621938" w:rsidRDefault="00621938" w:rsidP="003D0F16">
            <w:pPr>
              <w:rPr>
                <w:lang w:eastAsia="en-AU"/>
              </w:rPr>
            </w:pPr>
            <w:r>
              <w:rPr>
                <w:lang w:eastAsia="en-AU"/>
              </w:rPr>
              <w:t>Update 31012022</w:t>
            </w:r>
          </w:p>
        </w:tc>
        <w:tc>
          <w:tcPr>
            <w:tcW w:w="4111" w:type="dxa"/>
            <w:vAlign w:val="center"/>
          </w:tcPr>
          <w:p w14:paraId="17EA7B2F" w14:textId="59689782" w:rsidR="00621938" w:rsidRDefault="00621938" w:rsidP="003D0F16">
            <w:pPr>
              <w:rPr>
                <w:lang w:eastAsia="en-AU"/>
              </w:rPr>
            </w:pPr>
            <w:r>
              <w:rPr>
                <w:lang w:eastAsia="en-AU"/>
              </w:rPr>
              <w:t>Update of infographic to ensure readability compliance</w:t>
            </w:r>
          </w:p>
        </w:tc>
        <w:tc>
          <w:tcPr>
            <w:tcW w:w="2825" w:type="dxa"/>
            <w:vAlign w:val="center"/>
          </w:tcPr>
          <w:p w14:paraId="198471C0" w14:textId="2B196D32" w:rsidR="00621938" w:rsidRDefault="00621938" w:rsidP="003D0F16">
            <w:pPr>
              <w:rPr>
                <w:lang w:eastAsia="en-AU"/>
              </w:rPr>
            </w:pPr>
            <w:r>
              <w:rPr>
                <w:lang w:eastAsia="en-AU"/>
              </w:rPr>
              <w:t>31012022</w:t>
            </w:r>
          </w:p>
        </w:tc>
      </w:tr>
    </w:tbl>
    <w:p w14:paraId="0AFD1933" w14:textId="77777777" w:rsidR="00CA5EEA" w:rsidRPr="000A687F" w:rsidRDefault="00CA5EEA" w:rsidP="000A687F">
      <w:r>
        <w:rPr>
          <w:lang w:eastAsia="en-AU"/>
        </w:rPr>
        <w:br w:type="page"/>
      </w:r>
    </w:p>
    <w:p w14:paraId="2ABC5E3E" w14:textId="77777777" w:rsidR="00CA5EEA" w:rsidRDefault="00CA5EEA" w:rsidP="009D10AE">
      <w:pPr>
        <w:pStyle w:val="Heading1"/>
        <w:rPr>
          <w:lang w:eastAsia="en-AU"/>
        </w:rPr>
      </w:pPr>
      <w:bookmarkStart w:id="19" w:name="_Toc94794076"/>
      <w:bookmarkStart w:id="20" w:name="_Toc94794207"/>
      <w:r>
        <w:rPr>
          <w:lang w:eastAsia="en-AU"/>
        </w:rPr>
        <w:lastRenderedPageBreak/>
        <w:t>Acronyms</w:t>
      </w:r>
      <w:bookmarkEnd w:id="19"/>
      <w:bookmarkEnd w:id="20"/>
    </w:p>
    <w:tbl>
      <w:tblPr>
        <w:tblStyle w:val="TableUQ"/>
        <w:tblW w:w="4937" w:type="pct"/>
        <w:tblInd w:w="-10" w:type="dxa"/>
        <w:tblLook w:val="0620" w:firstRow="1" w:lastRow="0" w:firstColumn="0" w:lastColumn="0" w:noHBand="1" w:noVBand="1"/>
        <w:tblDescription w:val="Acronyms list "/>
      </w:tblPr>
      <w:tblGrid>
        <w:gridCol w:w="3030"/>
        <w:gridCol w:w="6198"/>
      </w:tblGrid>
      <w:tr w:rsidR="00CA5EEA" w:rsidRPr="005953B3" w14:paraId="3B1D6CAD" w14:textId="77777777" w:rsidTr="00A61A05">
        <w:trPr>
          <w:cnfStyle w:val="100000000000" w:firstRow="1" w:lastRow="0" w:firstColumn="0" w:lastColumn="0" w:oddVBand="0" w:evenVBand="0" w:oddHBand="0" w:evenHBand="0" w:firstRowFirstColumn="0" w:firstRowLastColumn="0" w:lastRowFirstColumn="0" w:lastRowLastColumn="0"/>
          <w:tblHeader/>
        </w:trPr>
        <w:tc>
          <w:tcPr>
            <w:tcW w:w="1642" w:type="pct"/>
          </w:tcPr>
          <w:p w14:paraId="17784A84" w14:textId="77777777" w:rsidR="00CA5EEA" w:rsidRPr="007B4F78" w:rsidRDefault="00CA5EEA" w:rsidP="003D0F16">
            <w:pPr>
              <w:pStyle w:val="TableHeading"/>
              <w:rPr>
                <w:lang w:val="en-US"/>
              </w:rPr>
            </w:pPr>
            <w:r w:rsidRPr="007B4F78">
              <w:rPr>
                <w:lang w:val="en-US"/>
              </w:rPr>
              <w:t>Acronym</w:t>
            </w:r>
          </w:p>
        </w:tc>
        <w:tc>
          <w:tcPr>
            <w:tcW w:w="3358" w:type="pct"/>
          </w:tcPr>
          <w:p w14:paraId="7CCF6332" w14:textId="77777777" w:rsidR="00CA5EEA" w:rsidRPr="007B4F78" w:rsidRDefault="00CA5EEA" w:rsidP="003D0F16">
            <w:pPr>
              <w:pStyle w:val="TableHeading"/>
              <w:rPr>
                <w:lang w:val="en-US"/>
              </w:rPr>
            </w:pPr>
            <w:r w:rsidRPr="007B4F78">
              <w:rPr>
                <w:lang w:val="en-US"/>
              </w:rPr>
              <w:t>Full name</w:t>
            </w:r>
          </w:p>
        </w:tc>
      </w:tr>
      <w:tr w:rsidR="00CA5EEA" w:rsidRPr="005953B3" w14:paraId="159E08F5" w14:textId="77777777" w:rsidTr="003D0F16">
        <w:tc>
          <w:tcPr>
            <w:tcW w:w="1642" w:type="pct"/>
          </w:tcPr>
          <w:p w14:paraId="72DEF7E5" w14:textId="77777777" w:rsidR="00CA5EEA" w:rsidRDefault="00CA5EEA" w:rsidP="003D0F16">
            <w:pPr>
              <w:pStyle w:val="TableText"/>
              <w:rPr>
                <w:lang w:val="en-US"/>
              </w:rPr>
            </w:pPr>
            <w:r>
              <w:rPr>
                <w:lang w:val="en-US"/>
              </w:rPr>
              <w:t>AAS</w:t>
            </w:r>
          </w:p>
        </w:tc>
        <w:tc>
          <w:tcPr>
            <w:tcW w:w="3358" w:type="pct"/>
          </w:tcPr>
          <w:p w14:paraId="6ED8FE3B" w14:textId="77777777" w:rsidR="00CA5EEA" w:rsidRDefault="00CA5EEA" w:rsidP="003D0F16">
            <w:pPr>
              <w:pStyle w:val="TableText"/>
              <w:rPr>
                <w:lang w:val="en-US"/>
              </w:rPr>
            </w:pPr>
            <w:proofErr w:type="spellStart"/>
            <w:r w:rsidRPr="00DE784D">
              <w:rPr>
                <w:lang w:val="en-US"/>
              </w:rPr>
              <w:t>Authorised</w:t>
            </w:r>
            <w:proofErr w:type="spellEnd"/>
            <w:r w:rsidRPr="00DE784D">
              <w:rPr>
                <w:lang w:val="en-US"/>
              </w:rPr>
              <w:t xml:space="preserve"> Alternative Suppliers</w:t>
            </w:r>
            <w:r>
              <w:rPr>
                <w:lang w:val="en-US"/>
              </w:rPr>
              <w:t xml:space="preserve"> </w:t>
            </w:r>
          </w:p>
        </w:tc>
      </w:tr>
      <w:tr w:rsidR="00CA5EEA" w:rsidRPr="005953B3" w14:paraId="3AC419DD" w14:textId="77777777" w:rsidTr="003D0F16">
        <w:tc>
          <w:tcPr>
            <w:tcW w:w="1642" w:type="pct"/>
          </w:tcPr>
          <w:p w14:paraId="6ACA6BA7" w14:textId="77777777" w:rsidR="00CA5EEA" w:rsidRDefault="00CA5EEA" w:rsidP="003D0F16">
            <w:pPr>
              <w:pStyle w:val="TableText"/>
              <w:rPr>
                <w:lang w:val="en-US"/>
              </w:rPr>
            </w:pPr>
            <w:r>
              <w:rPr>
                <w:lang w:val="en-US"/>
              </w:rPr>
              <w:t>ABS</w:t>
            </w:r>
          </w:p>
        </w:tc>
        <w:tc>
          <w:tcPr>
            <w:tcW w:w="3358" w:type="pct"/>
          </w:tcPr>
          <w:p w14:paraId="7290DEE6" w14:textId="77777777" w:rsidR="00CA5EEA" w:rsidRDefault="00CA5EEA" w:rsidP="003D0F16">
            <w:pPr>
              <w:pStyle w:val="TableText"/>
              <w:rPr>
                <w:lang w:val="en-US"/>
              </w:rPr>
            </w:pPr>
            <w:r>
              <w:rPr>
                <w:lang w:val="en-US"/>
              </w:rPr>
              <w:t>Australian Bureau of Statistics</w:t>
            </w:r>
          </w:p>
        </w:tc>
      </w:tr>
      <w:tr w:rsidR="00CA5EEA" w:rsidRPr="005953B3" w14:paraId="14ED7FBD" w14:textId="77777777" w:rsidTr="003D0F16">
        <w:tc>
          <w:tcPr>
            <w:tcW w:w="1642" w:type="pct"/>
          </w:tcPr>
          <w:p w14:paraId="1020F3F4" w14:textId="77777777" w:rsidR="00CA5EEA" w:rsidRDefault="00CA5EEA" w:rsidP="003D0F16">
            <w:pPr>
              <w:pStyle w:val="TableText"/>
              <w:rPr>
                <w:lang w:val="en-US"/>
              </w:rPr>
            </w:pPr>
            <w:r>
              <w:rPr>
                <w:lang w:val="en-US"/>
              </w:rPr>
              <w:t>AHA</w:t>
            </w:r>
          </w:p>
        </w:tc>
        <w:tc>
          <w:tcPr>
            <w:tcW w:w="3358" w:type="pct"/>
          </w:tcPr>
          <w:p w14:paraId="5B3B81C0" w14:textId="77777777" w:rsidR="00CA5EEA" w:rsidRDefault="00CA5EEA" w:rsidP="003D0F16">
            <w:pPr>
              <w:pStyle w:val="TableText"/>
              <w:rPr>
                <w:lang w:val="en-US"/>
              </w:rPr>
            </w:pPr>
            <w:r>
              <w:rPr>
                <w:lang w:val="en-US"/>
              </w:rPr>
              <w:t>Australian Healthcare Associates (the Pilot administrator)</w:t>
            </w:r>
          </w:p>
        </w:tc>
      </w:tr>
      <w:tr w:rsidR="00CA5EEA" w:rsidRPr="005953B3" w14:paraId="1720CB25" w14:textId="77777777" w:rsidTr="003D0F16">
        <w:tc>
          <w:tcPr>
            <w:tcW w:w="1642" w:type="pct"/>
          </w:tcPr>
          <w:p w14:paraId="764A3918" w14:textId="77777777" w:rsidR="00CA5EEA" w:rsidRPr="00622E6B" w:rsidRDefault="00CA5EEA" w:rsidP="003D0F16">
            <w:pPr>
              <w:pStyle w:val="TableText"/>
              <w:rPr>
                <w:lang w:val="en-US"/>
              </w:rPr>
            </w:pPr>
            <w:r>
              <w:rPr>
                <w:lang w:val="en-US"/>
              </w:rPr>
              <w:t>AIVL</w:t>
            </w:r>
          </w:p>
        </w:tc>
        <w:tc>
          <w:tcPr>
            <w:tcW w:w="3358" w:type="pct"/>
          </w:tcPr>
          <w:p w14:paraId="187D39D8" w14:textId="77777777" w:rsidR="00CA5EEA" w:rsidRPr="00323916" w:rsidRDefault="00CA5EEA" w:rsidP="003D0F16">
            <w:pPr>
              <w:pStyle w:val="TableText"/>
              <w:rPr>
                <w:lang w:val="en-US"/>
              </w:rPr>
            </w:pPr>
            <w:r>
              <w:rPr>
                <w:lang w:val="en-US"/>
              </w:rPr>
              <w:t>Australian Injecting and Illicit Drug Users League</w:t>
            </w:r>
          </w:p>
        </w:tc>
      </w:tr>
      <w:tr w:rsidR="00CA5EEA" w:rsidRPr="005953B3" w14:paraId="6F65B9AE" w14:textId="77777777" w:rsidTr="003D0F16">
        <w:tc>
          <w:tcPr>
            <w:tcW w:w="1642" w:type="pct"/>
          </w:tcPr>
          <w:p w14:paraId="601DFC58" w14:textId="77777777" w:rsidR="00CA5EEA" w:rsidRPr="00323916" w:rsidRDefault="00CA5EEA" w:rsidP="003D0F16">
            <w:pPr>
              <w:pStyle w:val="TableText"/>
              <w:rPr>
                <w:lang w:val="en-US"/>
              </w:rPr>
            </w:pPr>
            <w:r>
              <w:rPr>
                <w:lang w:val="en-US"/>
              </w:rPr>
              <w:t>AIHW</w:t>
            </w:r>
          </w:p>
        </w:tc>
        <w:tc>
          <w:tcPr>
            <w:tcW w:w="3358" w:type="pct"/>
          </w:tcPr>
          <w:p w14:paraId="796694C1" w14:textId="77777777" w:rsidR="00CA5EEA" w:rsidRPr="00323916" w:rsidRDefault="00CA5EEA" w:rsidP="003D0F16">
            <w:pPr>
              <w:pStyle w:val="TableText"/>
              <w:rPr>
                <w:lang w:val="en-US"/>
              </w:rPr>
            </w:pPr>
            <w:r>
              <w:rPr>
                <w:lang w:val="en-US"/>
              </w:rPr>
              <w:t xml:space="preserve">Australian Institute for Health and Welfare </w:t>
            </w:r>
          </w:p>
        </w:tc>
      </w:tr>
      <w:tr w:rsidR="00CA5EEA" w:rsidRPr="005953B3" w14:paraId="2FF1FE66" w14:textId="77777777" w:rsidTr="003D0F16">
        <w:tc>
          <w:tcPr>
            <w:tcW w:w="1642" w:type="pct"/>
          </w:tcPr>
          <w:p w14:paraId="2C9134EF" w14:textId="77777777" w:rsidR="00CA5EEA" w:rsidRPr="00323916" w:rsidRDefault="00CA5EEA" w:rsidP="003D0F16">
            <w:pPr>
              <w:pStyle w:val="TableText"/>
              <w:rPr>
                <w:lang w:val="en-US"/>
              </w:rPr>
            </w:pPr>
            <w:r>
              <w:rPr>
                <w:lang w:val="en-US"/>
              </w:rPr>
              <w:t>AMA</w:t>
            </w:r>
          </w:p>
        </w:tc>
        <w:tc>
          <w:tcPr>
            <w:tcW w:w="3358" w:type="pct"/>
          </w:tcPr>
          <w:p w14:paraId="59A87DE1" w14:textId="77777777" w:rsidR="00CA5EEA" w:rsidRPr="00323916" w:rsidRDefault="00CA5EEA" w:rsidP="003D0F16">
            <w:pPr>
              <w:pStyle w:val="TableText"/>
              <w:rPr>
                <w:lang w:val="en-US"/>
              </w:rPr>
            </w:pPr>
            <w:r>
              <w:rPr>
                <w:lang w:val="en-US"/>
              </w:rPr>
              <w:t>Australian Medical Association</w:t>
            </w:r>
          </w:p>
        </w:tc>
      </w:tr>
      <w:tr w:rsidR="00CA5EEA" w:rsidRPr="005953B3" w14:paraId="71DABAD4" w14:textId="77777777" w:rsidTr="003D0F16">
        <w:tc>
          <w:tcPr>
            <w:tcW w:w="1642" w:type="pct"/>
          </w:tcPr>
          <w:p w14:paraId="71B96AD7" w14:textId="77777777" w:rsidR="00CA5EEA" w:rsidRDefault="00CA5EEA" w:rsidP="003D0F16">
            <w:pPr>
              <w:pStyle w:val="TableText"/>
              <w:rPr>
                <w:lang w:val="en-US"/>
              </w:rPr>
            </w:pPr>
            <w:r>
              <w:rPr>
                <w:lang w:val="en-US"/>
              </w:rPr>
              <w:t>AOD</w:t>
            </w:r>
          </w:p>
        </w:tc>
        <w:tc>
          <w:tcPr>
            <w:tcW w:w="3358" w:type="pct"/>
          </w:tcPr>
          <w:p w14:paraId="7144A780" w14:textId="77777777" w:rsidR="00CA5EEA" w:rsidRDefault="00CA5EEA" w:rsidP="003D0F16">
            <w:pPr>
              <w:pStyle w:val="TableText"/>
              <w:rPr>
                <w:lang w:val="en-US"/>
              </w:rPr>
            </w:pPr>
            <w:r>
              <w:rPr>
                <w:lang w:val="en-US"/>
              </w:rPr>
              <w:t>Alcohol and other drugs</w:t>
            </w:r>
          </w:p>
        </w:tc>
      </w:tr>
      <w:tr w:rsidR="00CA5EEA" w14:paraId="085C526A" w14:textId="77777777" w:rsidTr="003D0F16">
        <w:tc>
          <w:tcPr>
            <w:tcW w:w="1642" w:type="pct"/>
          </w:tcPr>
          <w:p w14:paraId="6F3E556B" w14:textId="77777777" w:rsidR="00CA5EEA" w:rsidRDefault="00CA5EEA" w:rsidP="003D0F16">
            <w:pPr>
              <w:pStyle w:val="TableText"/>
              <w:rPr>
                <w:lang w:val="en-US"/>
              </w:rPr>
            </w:pPr>
            <w:r w:rsidRPr="245447E6">
              <w:rPr>
                <w:lang w:val="en-US"/>
              </w:rPr>
              <w:t>ASS</w:t>
            </w:r>
          </w:p>
        </w:tc>
        <w:tc>
          <w:tcPr>
            <w:tcW w:w="3358" w:type="pct"/>
          </w:tcPr>
          <w:p w14:paraId="455FD432" w14:textId="77777777" w:rsidR="00CA5EEA" w:rsidRDefault="00CA5EEA" w:rsidP="003D0F16">
            <w:pPr>
              <w:pStyle w:val="TableText"/>
              <w:rPr>
                <w:lang w:val="en-US"/>
              </w:rPr>
            </w:pPr>
            <w:r w:rsidRPr="245447E6">
              <w:rPr>
                <w:lang w:val="en-US"/>
              </w:rPr>
              <w:t>Access site staff</w:t>
            </w:r>
          </w:p>
        </w:tc>
      </w:tr>
      <w:tr w:rsidR="00010BAF" w14:paraId="48E2B3B2" w14:textId="77777777" w:rsidTr="003D0F16">
        <w:tc>
          <w:tcPr>
            <w:tcW w:w="1642" w:type="pct"/>
          </w:tcPr>
          <w:p w14:paraId="3BBF8B82" w14:textId="704C3F1B" w:rsidR="00010BAF" w:rsidRDefault="00010BAF" w:rsidP="003D0F16">
            <w:pPr>
              <w:pStyle w:val="TableText"/>
              <w:rPr>
                <w:lang w:val="en-US"/>
              </w:rPr>
            </w:pPr>
            <w:r>
              <w:rPr>
                <w:lang w:val="en-US"/>
              </w:rPr>
              <w:t>CAHMA</w:t>
            </w:r>
          </w:p>
        </w:tc>
        <w:tc>
          <w:tcPr>
            <w:tcW w:w="3358" w:type="pct"/>
          </w:tcPr>
          <w:p w14:paraId="3E57C9BA" w14:textId="3C14864F" w:rsidR="00010BAF" w:rsidRDefault="00010BAF" w:rsidP="003D0F16">
            <w:pPr>
              <w:pStyle w:val="TableText"/>
              <w:rPr>
                <w:lang w:val="en-US"/>
              </w:rPr>
            </w:pPr>
            <w:r>
              <w:t>Canberra Alliance for Harm Minimisation and Advocacy</w:t>
            </w:r>
          </w:p>
        </w:tc>
      </w:tr>
      <w:tr w:rsidR="00CA5EEA" w:rsidRPr="005953B3" w14:paraId="6286B5AA" w14:textId="77777777" w:rsidTr="003D0F16">
        <w:tc>
          <w:tcPr>
            <w:tcW w:w="1642" w:type="pct"/>
          </w:tcPr>
          <w:p w14:paraId="58D27496" w14:textId="77777777" w:rsidR="00CA5EEA" w:rsidRDefault="00CA5EEA" w:rsidP="003D0F16">
            <w:pPr>
              <w:pStyle w:val="TableText"/>
              <w:rPr>
                <w:lang w:val="en-US"/>
              </w:rPr>
            </w:pPr>
            <w:r>
              <w:rPr>
                <w:lang w:val="en-US"/>
              </w:rPr>
              <w:t>CNP</w:t>
            </w:r>
          </w:p>
        </w:tc>
        <w:tc>
          <w:tcPr>
            <w:tcW w:w="3358" w:type="pct"/>
          </w:tcPr>
          <w:p w14:paraId="1CCF94A8" w14:textId="0307284E" w:rsidR="00CA5EEA" w:rsidRDefault="00CA5EEA" w:rsidP="003D0F16">
            <w:pPr>
              <w:pStyle w:val="TableText"/>
              <w:rPr>
                <w:lang w:val="en-US"/>
              </w:rPr>
            </w:pPr>
            <w:r>
              <w:rPr>
                <w:lang w:val="en-US"/>
              </w:rPr>
              <w:t xml:space="preserve">Clean </w:t>
            </w:r>
            <w:r w:rsidR="00E6101D">
              <w:rPr>
                <w:lang w:val="en-US"/>
              </w:rPr>
              <w:t xml:space="preserve">Needle Program </w:t>
            </w:r>
            <w:r>
              <w:rPr>
                <w:lang w:val="en-US"/>
              </w:rPr>
              <w:t>(South Australia)</w:t>
            </w:r>
            <w:r w:rsidR="002849CC">
              <w:rPr>
                <w:lang w:val="en-US"/>
              </w:rPr>
              <w:t>; referred to as NSP in NSW and WA</w:t>
            </w:r>
          </w:p>
        </w:tc>
      </w:tr>
      <w:tr w:rsidR="008D38B5" w:rsidRPr="005953B3" w14:paraId="4355766F" w14:textId="77777777" w:rsidTr="003D0F16">
        <w:tc>
          <w:tcPr>
            <w:tcW w:w="1642" w:type="pct"/>
          </w:tcPr>
          <w:p w14:paraId="25FCE6EC" w14:textId="01BC9B0A" w:rsidR="008D38B5" w:rsidRDefault="008D38B5" w:rsidP="003D0F16">
            <w:pPr>
              <w:pStyle w:val="TableText"/>
              <w:rPr>
                <w:lang w:val="en-US"/>
              </w:rPr>
            </w:pPr>
            <w:r>
              <w:rPr>
                <w:lang w:val="en-US"/>
              </w:rPr>
              <w:t>CPD</w:t>
            </w:r>
          </w:p>
        </w:tc>
        <w:tc>
          <w:tcPr>
            <w:tcW w:w="3358" w:type="pct"/>
          </w:tcPr>
          <w:p w14:paraId="7233ABDF" w14:textId="1A9B587B" w:rsidR="008D38B5" w:rsidRDefault="008D38B5" w:rsidP="003D0F16">
            <w:pPr>
              <w:pStyle w:val="TableText"/>
              <w:rPr>
                <w:lang w:val="en-US"/>
              </w:rPr>
            </w:pPr>
            <w:r>
              <w:rPr>
                <w:lang w:val="en-US"/>
              </w:rPr>
              <w:t>Continuing Professional Development</w:t>
            </w:r>
          </w:p>
        </w:tc>
      </w:tr>
      <w:tr w:rsidR="00E6782E" w:rsidRPr="005953B3" w14:paraId="33B053D9" w14:textId="77777777" w:rsidTr="003D0F16">
        <w:tc>
          <w:tcPr>
            <w:tcW w:w="1642" w:type="pct"/>
          </w:tcPr>
          <w:p w14:paraId="7B521200" w14:textId="4BAAF0E6" w:rsidR="00E6782E" w:rsidRDefault="00E6782E" w:rsidP="003D0F16">
            <w:pPr>
              <w:pStyle w:val="TableText"/>
              <w:rPr>
                <w:lang w:val="en-US"/>
              </w:rPr>
            </w:pPr>
            <w:r>
              <w:rPr>
                <w:lang w:val="en-US"/>
              </w:rPr>
              <w:t>CPR</w:t>
            </w:r>
          </w:p>
        </w:tc>
        <w:tc>
          <w:tcPr>
            <w:tcW w:w="3358" w:type="pct"/>
          </w:tcPr>
          <w:p w14:paraId="16897DEB" w14:textId="1D636026" w:rsidR="00E6782E" w:rsidRDefault="006D2645" w:rsidP="003D0F16">
            <w:pPr>
              <w:pStyle w:val="TableText"/>
              <w:rPr>
                <w:lang w:val="en-US"/>
              </w:rPr>
            </w:pPr>
            <w:r>
              <w:rPr>
                <w:lang w:val="en-US"/>
              </w:rPr>
              <w:t>Cardiopulmonary resuscitation</w:t>
            </w:r>
          </w:p>
        </w:tc>
      </w:tr>
      <w:tr w:rsidR="00CA5EEA" w:rsidRPr="005953B3" w14:paraId="15BDC093" w14:textId="77777777" w:rsidTr="003D0F16">
        <w:tc>
          <w:tcPr>
            <w:tcW w:w="1642" w:type="pct"/>
          </w:tcPr>
          <w:p w14:paraId="64F42348" w14:textId="77777777" w:rsidR="00CA5EEA" w:rsidRDefault="00CA5EEA" w:rsidP="003D0F16">
            <w:pPr>
              <w:pStyle w:val="TableText"/>
              <w:rPr>
                <w:lang w:val="en-US"/>
              </w:rPr>
            </w:pPr>
            <w:r>
              <w:rPr>
                <w:lang w:val="en-US"/>
              </w:rPr>
              <w:t>DASSA</w:t>
            </w:r>
          </w:p>
        </w:tc>
        <w:tc>
          <w:tcPr>
            <w:tcW w:w="3358" w:type="pct"/>
          </w:tcPr>
          <w:p w14:paraId="04FA69E9" w14:textId="77777777" w:rsidR="00CA5EEA" w:rsidRPr="00323916" w:rsidRDefault="00CA5EEA" w:rsidP="003D0F16">
            <w:pPr>
              <w:pStyle w:val="TableText"/>
              <w:rPr>
                <w:lang w:val="en-US"/>
              </w:rPr>
            </w:pPr>
            <w:r>
              <w:rPr>
                <w:lang w:val="en-US"/>
              </w:rPr>
              <w:t>Drug and Alcohol Services South Australia</w:t>
            </w:r>
          </w:p>
        </w:tc>
      </w:tr>
      <w:tr w:rsidR="00C774BC" w:rsidRPr="005953B3" w14:paraId="0F366D2A" w14:textId="77777777" w:rsidTr="003D0F16">
        <w:tc>
          <w:tcPr>
            <w:tcW w:w="1642" w:type="pct"/>
          </w:tcPr>
          <w:p w14:paraId="6F0D18AF" w14:textId="35AA3C76" w:rsidR="00C774BC" w:rsidRDefault="00C774BC" w:rsidP="003D0F16">
            <w:pPr>
              <w:pStyle w:val="TableText"/>
              <w:rPr>
                <w:lang w:val="en-US"/>
              </w:rPr>
            </w:pPr>
            <w:r>
              <w:rPr>
                <w:lang w:val="en-US"/>
              </w:rPr>
              <w:t>ED</w:t>
            </w:r>
          </w:p>
        </w:tc>
        <w:tc>
          <w:tcPr>
            <w:tcW w:w="3358" w:type="pct"/>
          </w:tcPr>
          <w:p w14:paraId="6478F406" w14:textId="00B4FCEB" w:rsidR="00C774BC" w:rsidRDefault="00C774BC" w:rsidP="003D0F16">
            <w:pPr>
              <w:pStyle w:val="TableText"/>
              <w:rPr>
                <w:lang w:val="en-US"/>
              </w:rPr>
            </w:pPr>
            <w:r>
              <w:rPr>
                <w:lang w:val="en-US"/>
              </w:rPr>
              <w:t>Emergency Department</w:t>
            </w:r>
          </w:p>
        </w:tc>
      </w:tr>
      <w:tr w:rsidR="00CA5EEA" w14:paraId="343DC106" w14:textId="77777777" w:rsidTr="003D0F16">
        <w:tc>
          <w:tcPr>
            <w:tcW w:w="1642" w:type="pct"/>
          </w:tcPr>
          <w:p w14:paraId="33C57976" w14:textId="77777777" w:rsidR="00CA5EEA" w:rsidRDefault="00CA5EEA" w:rsidP="003D0F16">
            <w:pPr>
              <w:pStyle w:val="TableText"/>
              <w:rPr>
                <w:lang w:val="en-US"/>
              </w:rPr>
            </w:pPr>
            <w:r w:rsidRPr="64E69185">
              <w:rPr>
                <w:lang w:val="en-US"/>
              </w:rPr>
              <w:t>ETHOS</w:t>
            </w:r>
          </w:p>
        </w:tc>
        <w:tc>
          <w:tcPr>
            <w:tcW w:w="3358" w:type="pct"/>
          </w:tcPr>
          <w:p w14:paraId="39D179E3" w14:textId="77777777" w:rsidR="00CA5EEA" w:rsidRDefault="00CA5EEA" w:rsidP="003D0F16">
            <w:pPr>
              <w:pStyle w:val="TableText"/>
              <w:rPr>
                <w:lang w:val="en-US"/>
              </w:rPr>
            </w:pPr>
            <w:r w:rsidRPr="5E913E9E">
              <w:rPr>
                <w:lang w:val="en-US"/>
              </w:rPr>
              <w:t>Enhancing Treatment of Hepatitis C in Opioid Substitution Settings Study</w:t>
            </w:r>
          </w:p>
        </w:tc>
      </w:tr>
      <w:tr w:rsidR="00C774BC" w14:paraId="5A005016" w14:textId="77777777" w:rsidTr="003D0F16">
        <w:tc>
          <w:tcPr>
            <w:tcW w:w="1642" w:type="pct"/>
          </w:tcPr>
          <w:p w14:paraId="70AE0794" w14:textId="23731617" w:rsidR="00C774BC" w:rsidRPr="64E69185" w:rsidRDefault="00C774BC" w:rsidP="003D0F16">
            <w:pPr>
              <w:pStyle w:val="TableText"/>
              <w:rPr>
                <w:lang w:val="en-US"/>
              </w:rPr>
            </w:pPr>
            <w:r>
              <w:rPr>
                <w:lang w:val="en-US"/>
              </w:rPr>
              <w:t>GP</w:t>
            </w:r>
          </w:p>
        </w:tc>
        <w:tc>
          <w:tcPr>
            <w:tcW w:w="3358" w:type="pct"/>
          </w:tcPr>
          <w:p w14:paraId="5F65A88F" w14:textId="459BDB35" w:rsidR="00C774BC" w:rsidRPr="5E913E9E" w:rsidRDefault="00C774BC" w:rsidP="003D0F16">
            <w:pPr>
              <w:pStyle w:val="TableText"/>
              <w:rPr>
                <w:lang w:val="en-US"/>
              </w:rPr>
            </w:pPr>
            <w:r>
              <w:rPr>
                <w:lang w:val="en-US"/>
              </w:rPr>
              <w:t>General Practitioner</w:t>
            </w:r>
          </w:p>
        </w:tc>
      </w:tr>
      <w:tr w:rsidR="00CA5EEA" w:rsidRPr="005953B3" w14:paraId="5504DAA6" w14:textId="77777777" w:rsidTr="003D0F16">
        <w:tc>
          <w:tcPr>
            <w:tcW w:w="1642" w:type="pct"/>
          </w:tcPr>
          <w:p w14:paraId="4022C890" w14:textId="77777777" w:rsidR="00CA5EEA" w:rsidRPr="00323916" w:rsidRDefault="00CA5EEA" w:rsidP="003D0F16">
            <w:pPr>
              <w:pStyle w:val="TableText"/>
              <w:rPr>
                <w:lang w:val="en-US"/>
              </w:rPr>
            </w:pPr>
            <w:r w:rsidRPr="00323916">
              <w:rPr>
                <w:lang w:val="en-US"/>
              </w:rPr>
              <w:t>HREC</w:t>
            </w:r>
          </w:p>
        </w:tc>
        <w:tc>
          <w:tcPr>
            <w:tcW w:w="3358" w:type="pct"/>
          </w:tcPr>
          <w:p w14:paraId="11751DCC" w14:textId="77777777" w:rsidR="00CA5EEA" w:rsidRPr="00323916" w:rsidRDefault="00CA5EEA" w:rsidP="003D0F16">
            <w:pPr>
              <w:pStyle w:val="TableText"/>
              <w:rPr>
                <w:lang w:val="en-US"/>
              </w:rPr>
            </w:pPr>
            <w:r w:rsidRPr="00323916">
              <w:rPr>
                <w:lang w:val="en-US"/>
              </w:rPr>
              <w:t>Human Research Ethics Committee</w:t>
            </w:r>
          </w:p>
        </w:tc>
      </w:tr>
      <w:tr w:rsidR="00C774BC" w:rsidRPr="005953B3" w14:paraId="79132FC7" w14:textId="77777777" w:rsidTr="003D0F16">
        <w:tc>
          <w:tcPr>
            <w:tcW w:w="1642" w:type="pct"/>
          </w:tcPr>
          <w:p w14:paraId="07E6DEC3" w14:textId="5EF9D34D" w:rsidR="00C774BC" w:rsidRPr="00323916" w:rsidRDefault="00C774BC" w:rsidP="003D0F16">
            <w:pPr>
              <w:pStyle w:val="TableText"/>
              <w:rPr>
                <w:lang w:val="en-US"/>
              </w:rPr>
            </w:pPr>
            <w:r>
              <w:rPr>
                <w:lang w:val="en-US"/>
              </w:rPr>
              <w:t>HSP</w:t>
            </w:r>
          </w:p>
        </w:tc>
        <w:tc>
          <w:tcPr>
            <w:tcW w:w="3358" w:type="pct"/>
          </w:tcPr>
          <w:p w14:paraId="3EFC88A6" w14:textId="5798D104" w:rsidR="00C774BC" w:rsidRPr="00323916" w:rsidRDefault="00BC5A17" w:rsidP="003D0F16">
            <w:pPr>
              <w:pStyle w:val="TableText"/>
              <w:rPr>
                <w:lang w:val="en-US"/>
              </w:rPr>
            </w:pPr>
            <w:r>
              <w:rPr>
                <w:lang w:val="en-US"/>
              </w:rPr>
              <w:t>Health Service Providers (WA)</w:t>
            </w:r>
          </w:p>
        </w:tc>
      </w:tr>
      <w:tr w:rsidR="00CA5EEA" w14:paraId="214AE52D" w14:textId="77777777" w:rsidTr="003D0F16">
        <w:tc>
          <w:tcPr>
            <w:tcW w:w="1642" w:type="pct"/>
          </w:tcPr>
          <w:p w14:paraId="3644ED58" w14:textId="77777777" w:rsidR="00CA5EEA" w:rsidRDefault="00CA5EEA" w:rsidP="003D0F16">
            <w:pPr>
              <w:pStyle w:val="TableText"/>
              <w:rPr>
                <w:lang w:val="en-US"/>
              </w:rPr>
            </w:pPr>
            <w:r w:rsidRPr="64E69185">
              <w:rPr>
                <w:lang w:val="en-US"/>
              </w:rPr>
              <w:t>IDRS</w:t>
            </w:r>
          </w:p>
        </w:tc>
        <w:tc>
          <w:tcPr>
            <w:tcW w:w="3358" w:type="pct"/>
          </w:tcPr>
          <w:p w14:paraId="0D52170C" w14:textId="77777777" w:rsidR="00CA5EEA" w:rsidRDefault="00CA5EEA" w:rsidP="003D0F16">
            <w:pPr>
              <w:pStyle w:val="TableText"/>
              <w:rPr>
                <w:lang w:val="en-US"/>
              </w:rPr>
            </w:pPr>
            <w:r w:rsidRPr="64E69185">
              <w:rPr>
                <w:lang w:val="en-US"/>
              </w:rPr>
              <w:t>Illicit Drugs Reporting System</w:t>
            </w:r>
          </w:p>
        </w:tc>
      </w:tr>
      <w:tr w:rsidR="00CA5EEA" w:rsidRPr="005953B3" w14:paraId="251FEDC3" w14:textId="77777777" w:rsidTr="003D0F16">
        <w:tc>
          <w:tcPr>
            <w:tcW w:w="1642" w:type="pct"/>
          </w:tcPr>
          <w:p w14:paraId="5146C391" w14:textId="77777777" w:rsidR="00CA5EEA" w:rsidRPr="00323916" w:rsidRDefault="00CA5EEA" w:rsidP="003D0F16">
            <w:pPr>
              <w:pStyle w:val="TableText"/>
              <w:rPr>
                <w:lang w:val="en-US"/>
              </w:rPr>
            </w:pPr>
            <w:r w:rsidRPr="00323916">
              <w:rPr>
                <w:lang w:val="en-US"/>
              </w:rPr>
              <w:t>ISSR</w:t>
            </w:r>
          </w:p>
        </w:tc>
        <w:tc>
          <w:tcPr>
            <w:tcW w:w="3358" w:type="pct"/>
          </w:tcPr>
          <w:p w14:paraId="22C971D0" w14:textId="77777777" w:rsidR="00CA5EEA" w:rsidRPr="00323916" w:rsidRDefault="00CA5EEA" w:rsidP="003D0F16">
            <w:pPr>
              <w:pStyle w:val="TableText"/>
              <w:rPr>
                <w:lang w:val="en-US"/>
              </w:rPr>
            </w:pPr>
            <w:r w:rsidRPr="00323916">
              <w:rPr>
                <w:lang w:val="en-US"/>
              </w:rPr>
              <w:t>Institute for Social Science Research</w:t>
            </w:r>
          </w:p>
        </w:tc>
      </w:tr>
      <w:tr w:rsidR="00CA5EEA" w:rsidRPr="005953B3" w14:paraId="504DDC75" w14:textId="77777777" w:rsidTr="003D0F16">
        <w:tc>
          <w:tcPr>
            <w:tcW w:w="1642" w:type="pct"/>
          </w:tcPr>
          <w:p w14:paraId="54F12A54" w14:textId="77777777" w:rsidR="00CA5EEA" w:rsidRPr="00323916" w:rsidRDefault="00CA5EEA" w:rsidP="003D0F16">
            <w:pPr>
              <w:pStyle w:val="TableText"/>
              <w:rPr>
                <w:lang w:val="en-US"/>
              </w:rPr>
            </w:pPr>
            <w:r>
              <w:rPr>
                <w:lang w:val="en-US"/>
              </w:rPr>
              <w:t>LHD</w:t>
            </w:r>
          </w:p>
        </w:tc>
        <w:tc>
          <w:tcPr>
            <w:tcW w:w="3358" w:type="pct"/>
          </w:tcPr>
          <w:p w14:paraId="42F1C636" w14:textId="77777777" w:rsidR="00CA5EEA" w:rsidRPr="00323916" w:rsidRDefault="00CA5EEA" w:rsidP="003D0F16">
            <w:pPr>
              <w:pStyle w:val="TableText"/>
              <w:rPr>
                <w:lang w:val="en-US"/>
              </w:rPr>
            </w:pPr>
            <w:r>
              <w:rPr>
                <w:lang w:val="en-US"/>
              </w:rPr>
              <w:t>Local Health District (NSW)</w:t>
            </w:r>
          </w:p>
        </w:tc>
      </w:tr>
      <w:tr w:rsidR="00376BD3" w:rsidRPr="005953B3" w14:paraId="67524FBD" w14:textId="77777777" w:rsidTr="003D0F16">
        <w:tc>
          <w:tcPr>
            <w:tcW w:w="1642" w:type="pct"/>
          </w:tcPr>
          <w:p w14:paraId="715C3398" w14:textId="0B567397" w:rsidR="00376BD3" w:rsidRDefault="00376BD3" w:rsidP="003D0F16">
            <w:pPr>
              <w:pStyle w:val="TableText"/>
              <w:rPr>
                <w:lang w:val="en-US"/>
              </w:rPr>
            </w:pPr>
            <w:r>
              <w:rPr>
                <w:lang w:val="en-US"/>
              </w:rPr>
              <w:t>LHN</w:t>
            </w:r>
          </w:p>
        </w:tc>
        <w:tc>
          <w:tcPr>
            <w:tcW w:w="3358" w:type="pct"/>
          </w:tcPr>
          <w:p w14:paraId="7934529D" w14:textId="12F44B6F" w:rsidR="00376BD3" w:rsidRDefault="00376BD3" w:rsidP="003D0F16">
            <w:pPr>
              <w:pStyle w:val="TableText"/>
              <w:rPr>
                <w:lang w:val="en-US"/>
              </w:rPr>
            </w:pPr>
            <w:r>
              <w:rPr>
                <w:lang w:val="en-US"/>
              </w:rPr>
              <w:t>Local Health Network (</w:t>
            </w:r>
            <w:r w:rsidR="00BC5A17">
              <w:rPr>
                <w:lang w:val="en-US"/>
              </w:rPr>
              <w:t>SA</w:t>
            </w:r>
            <w:r>
              <w:rPr>
                <w:lang w:val="en-US"/>
              </w:rPr>
              <w:t>)</w:t>
            </w:r>
          </w:p>
        </w:tc>
      </w:tr>
      <w:tr w:rsidR="00CA5EEA" w:rsidRPr="005953B3" w14:paraId="63C878C6" w14:textId="77777777" w:rsidTr="003D0F16">
        <w:tc>
          <w:tcPr>
            <w:tcW w:w="1642" w:type="pct"/>
          </w:tcPr>
          <w:p w14:paraId="560F6259" w14:textId="77777777" w:rsidR="00CA5EEA" w:rsidRPr="00323916" w:rsidRDefault="00CA5EEA" w:rsidP="003D0F16">
            <w:pPr>
              <w:pStyle w:val="TableText"/>
              <w:rPr>
                <w:lang w:val="en-US"/>
              </w:rPr>
            </w:pPr>
            <w:r w:rsidRPr="00323916">
              <w:rPr>
                <w:lang w:val="en-US"/>
              </w:rPr>
              <w:t>MH</w:t>
            </w:r>
          </w:p>
        </w:tc>
        <w:tc>
          <w:tcPr>
            <w:tcW w:w="3358" w:type="pct"/>
          </w:tcPr>
          <w:p w14:paraId="273CD51D" w14:textId="77777777" w:rsidR="00CA5EEA" w:rsidRPr="00323916" w:rsidRDefault="00CA5EEA" w:rsidP="003D0F16">
            <w:pPr>
              <w:pStyle w:val="TableText"/>
              <w:rPr>
                <w:lang w:val="en-US"/>
              </w:rPr>
            </w:pPr>
            <w:r w:rsidRPr="00323916">
              <w:rPr>
                <w:lang w:val="en-US"/>
              </w:rPr>
              <w:t>Mental Health</w:t>
            </w:r>
          </w:p>
        </w:tc>
      </w:tr>
      <w:tr w:rsidR="00CA5EEA" w14:paraId="6187E47E" w14:textId="77777777" w:rsidTr="003D0F16">
        <w:tc>
          <w:tcPr>
            <w:tcW w:w="1642" w:type="pct"/>
          </w:tcPr>
          <w:p w14:paraId="1CCE2976" w14:textId="77777777" w:rsidR="00CA5EEA" w:rsidRPr="64E69185" w:rsidRDefault="00CA5EEA" w:rsidP="003D0F16">
            <w:pPr>
              <w:pStyle w:val="TableText"/>
              <w:rPr>
                <w:lang w:val="en-US"/>
              </w:rPr>
            </w:pPr>
            <w:r>
              <w:rPr>
                <w:lang w:val="en-US"/>
              </w:rPr>
              <w:t>MME</w:t>
            </w:r>
          </w:p>
        </w:tc>
        <w:tc>
          <w:tcPr>
            <w:tcW w:w="3358" w:type="pct"/>
          </w:tcPr>
          <w:p w14:paraId="2C194C11" w14:textId="77777777" w:rsidR="00CA5EEA" w:rsidRPr="64E69185" w:rsidRDefault="00CA5EEA" w:rsidP="003D0F16">
            <w:pPr>
              <w:pStyle w:val="TableText"/>
              <w:rPr>
                <w:lang w:val="en-US"/>
              </w:rPr>
            </w:pPr>
            <w:r>
              <w:t>M</w:t>
            </w:r>
            <w:r w:rsidRPr="00081530">
              <w:t>orphine milligram equivalents</w:t>
            </w:r>
          </w:p>
        </w:tc>
      </w:tr>
      <w:tr w:rsidR="00CA5EEA" w14:paraId="4540F5CA" w14:textId="77777777" w:rsidTr="003D0F16">
        <w:tc>
          <w:tcPr>
            <w:tcW w:w="1642" w:type="pct"/>
          </w:tcPr>
          <w:p w14:paraId="35559815" w14:textId="77777777" w:rsidR="00CA5EEA" w:rsidRDefault="00CA5EEA" w:rsidP="003D0F16">
            <w:pPr>
              <w:pStyle w:val="TableText"/>
              <w:rPr>
                <w:lang w:val="en-US"/>
              </w:rPr>
            </w:pPr>
            <w:r w:rsidRPr="64E69185">
              <w:rPr>
                <w:lang w:val="en-US"/>
              </w:rPr>
              <w:t>MSIC</w:t>
            </w:r>
          </w:p>
        </w:tc>
        <w:tc>
          <w:tcPr>
            <w:tcW w:w="3358" w:type="pct"/>
          </w:tcPr>
          <w:p w14:paraId="2FB81D18" w14:textId="77777777" w:rsidR="00CA5EEA" w:rsidRDefault="00CA5EEA" w:rsidP="003D0F16">
            <w:pPr>
              <w:pStyle w:val="TableText"/>
              <w:rPr>
                <w:lang w:val="en-US"/>
              </w:rPr>
            </w:pPr>
            <w:r w:rsidRPr="64E69185">
              <w:rPr>
                <w:lang w:val="en-US"/>
              </w:rPr>
              <w:t>Medically Supervised Injection Centre</w:t>
            </w:r>
          </w:p>
        </w:tc>
      </w:tr>
      <w:tr w:rsidR="00CA5EEA" w:rsidRPr="005953B3" w14:paraId="01E2BDC9" w14:textId="77777777" w:rsidTr="003D0F16">
        <w:tc>
          <w:tcPr>
            <w:tcW w:w="1642" w:type="pct"/>
          </w:tcPr>
          <w:p w14:paraId="68221894" w14:textId="77777777" w:rsidR="00CA5EEA" w:rsidRPr="00323916" w:rsidRDefault="00CA5EEA" w:rsidP="003D0F16">
            <w:pPr>
              <w:pStyle w:val="TableText"/>
              <w:rPr>
                <w:lang w:val="en-US"/>
              </w:rPr>
            </w:pPr>
            <w:r>
              <w:rPr>
                <w:lang w:val="en-US"/>
              </w:rPr>
              <w:t>NADA</w:t>
            </w:r>
          </w:p>
        </w:tc>
        <w:tc>
          <w:tcPr>
            <w:tcW w:w="3358" w:type="pct"/>
          </w:tcPr>
          <w:p w14:paraId="7F15C991" w14:textId="77777777" w:rsidR="00CA5EEA" w:rsidRPr="00323916" w:rsidRDefault="00CA5EEA" w:rsidP="003D0F16">
            <w:pPr>
              <w:pStyle w:val="TableText"/>
              <w:rPr>
                <w:lang w:val="en-US"/>
              </w:rPr>
            </w:pPr>
            <w:r w:rsidRPr="5E913E9E">
              <w:rPr>
                <w:lang w:val="en-US"/>
              </w:rPr>
              <w:t>NSW Network of Alcohol and other Drugs Agencies</w:t>
            </w:r>
          </w:p>
        </w:tc>
      </w:tr>
      <w:tr w:rsidR="00CA5EEA" w:rsidRPr="005953B3" w14:paraId="49E37E49" w14:textId="77777777" w:rsidTr="003D0F16">
        <w:tc>
          <w:tcPr>
            <w:tcW w:w="1642" w:type="pct"/>
          </w:tcPr>
          <w:p w14:paraId="7297701A" w14:textId="77777777" w:rsidR="00CA5EEA" w:rsidRDefault="00CA5EEA" w:rsidP="003D0F16">
            <w:pPr>
              <w:pStyle w:val="TableText"/>
              <w:rPr>
                <w:lang w:val="en-US"/>
              </w:rPr>
            </w:pPr>
            <w:r>
              <w:rPr>
                <w:lang w:val="en-US"/>
              </w:rPr>
              <w:t>NDARC</w:t>
            </w:r>
          </w:p>
        </w:tc>
        <w:tc>
          <w:tcPr>
            <w:tcW w:w="3358" w:type="pct"/>
          </w:tcPr>
          <w:p w14:paraId="36B49C78" w14:textId="77777777" w:rsidR="00CA5EEA" w:rsidRDefault="00CA5EEA" w:rsidP="003D0F16">
            <w:pPr>
              <w:pStyle w:val="TableText"/>
              <w:rPr>
                <w:lang w:val="en-US"/>
              </w:rPr>
            </w:pPr>
            <w:r>
              <w:rPr>
                <w:lang w:val="en-US"/>
              </w:rPr>
              <w:t>National Drug &amp; Alcohol Research Centre</w:t>
            </w:r>
          </w:p>
        </w:tc>
      </w:tr>
      <w:tr w:rsidR="00CA5EEA" w:rsidRPr="005953B3" w14:paraId="5CB55240" w14:textId="77777777" w:rsidTr="003D0F16">
        <w:tc>
          <w:tcPr>
            <w:tcW w:w="1642" w:type="pct"/>
          </w:tcPr>
          <w:p w14:paraId="3770966E" w14:textId="77777777" w:rsidR="00CA5EEA" w:rsidRDefault="00CA5EEA" w:rsidP="003D0F16">
            <w:pPr>
              <w:pStyle w:val="TableText"/>
              <w:rPr>
                <w:lang w:val="en-US"/>
              </w:rPr>
            </w:pPr>
            <w:r>
              <w:rPr>
                <w:lang w:val="en-US"/>
              </w:rPr>
              <w:t>NDRI</w:t>
            </w:r>
          </w:p>
        </w:tc>
        <w:tc>
          <w:tcPr>
            <w:tcW w:w="3358" w:type="pct"/>
          </w:tcPr>
          <w:p w14:paraId="7547C09E" w14:textId="77777777" w:rsidR="00CA5EEA" w:rsidRDefault="00CA5EEA" w:rsidP="003D0F16">
            <w:pPr>
              <w:pStyle w:val="TableText"/>
              <w:rPr>
                <w:lang w:val="en-US"/>
              </w:rPr>
            </w:pPr>
            <w:r>
              <w:rPr>
                <w:lang w:val="en-US"/>
              </w:rPr>
              <w:t>National Drug Research Institute</w:t>
            </w:r>
          </w:p>
        </w:tc>
      </w:tr>
      <w:tr w:rsidR="00CA5EEA" w:rsidRPr="005953B3" w14:paraId="1A052962" w14:textId="77777777" w:rsidTr="003D0F16">
        <w:tc>
          <w:tcPr>
            <w:tcW w:w="1642" w:type="pct"/>
          </w:tcPr>
          <w:p w14:paraId="33214DF9" w14:textId="77777777" w:rsidR="00CA5EEA" w:rsidRDefault="00CA5EEA" w:rsidP="003D0F16">
            <w:pPr>
              <w:pStyle w:val="TableText"/>
              <w:rPr>
                <w:lang w:val="en-US"/>
              </w:rPr>
            </w:pPr>
            <w:r>
              <w:rPr>
                <w:lang w:val="en-US"/>
              </w:rPr>
              <w:t>NDSC</w:t>
            </w:r>
          </w:p>
        </w:tc>
        <w:tc>
          <w:tcPr>
            <w:tcW w:w="3358" w:type="pct"/>
          </w:tcPr>
          <w:p w14:paraId="1FB91271" w14:textId="77777777" w:rsidR="00CA5EEA" w:rsidRDefault="00CA5EEA" w:rsidP="003D0F16">
            <w:pPr>
              <w:pStyle w:val="TableText"/>
              <w:rPr>
                <w:lang w:val="en-US"/>
              </w:rPr>
            </w:pPr>
            <w:r>
              <w:rPr>
                <w:lang w:val="en-US"/>
              </w:rPr>
              <w:t>National Drug Strategy Committee</w:t>
            </w:r>
          </w:p>
        </w:tc>
      </w:tr>
      <w:tr w:rsidR="00CA5EEA" w:rsidRPr="005953B3" w14:paraId="5FD069B8" w14:textId="77777777" w:rsidTr="003D0F16">
        <w:tc>
          <w:tcPr>
            <w:tcW w:w="1642" w:type="pct"/>
          </w:tcPr>
          <w:p w14:paraId="53114E25" w14:textId="77777777" w:rsidR="00CA5EEA" w:rsidRDefault="00CA5EEA" w:rsidP="003D0F16">
            <w:pPr>
              <w:pStyle w:val="TableText"/>
              <w:rPr>
                <w:lang w:val="en-US"/>
              </w:rPr>
            </w:pPr>
            <w:r>
              <w:rPr>
                <w:lang w:val="en-US"/>
              </w:rPr>
              <w:t>NGO</w:t>
            </w:r>
          </w:p>
        </w:tc>
        <w:tc>
          <w:tcPr>
            <w:tcW w:w="3358" w:type="pct"/>
          </w:tcPr>
          <w:p w14:paraId="59EFCE76" w14:textId="77777777" w:rsidR="00CA5EEA" w:rsidRDefault="00CA5EEA" w:rsidP="003D0F16">
            <w:pPr>
              <w:pStyle w:val="TableText"/>
              <w:rPr>
                <w:lang w:val="en-US"/>
              </w:rPr>
            </w:pPr>
            <w:r>
              <w:rPr>
                <w:lang w:val="en-US"/>
              </w:rPr>
              <w:t xml:space="preserve">Non-government </w:t>
            </w:r>
            <w:proofErr w:type="spellStart"/>
            <w:r>
              <w:rPr>
                <w:lang w:val="en-US"/>
              </w:rPr>
              <w:t>organisation</w:t>
            </w:r>
            <w:proofErr w:type="spellEnd"/>
          </w:p>
        </w:tc>
      </w:tr>
      <w:tr w:rsidR="00CA5EEA" w:rsidRPr="005953B3" w14:paraId="6F3D8AF0" w14:textId="77777777" w:rsidTr="003D0F16">
        <w:tc>
          <w:tcPr>
            <w:tcW w:w="1642" w:type="pct"/>
          </w:tcPr>
          <w:p w14:paraId="5974A46A" w14:textId="77777777" w:rsidR="00CA5EEA" w:rsidRDefault="00CA5EEA" w:rsidP="003D0F16">
            <w:pPr>
              <w:pStyle w:val="TableText"/>
              <w:rPr>
                <w:lang w:val="en-US"/>
              </w:rPr>
            </w:pPr>
            <w:r>
              <w:rPr>
                <w:lang w:val="en-US"/>
              </w:rPr>
              <w:t>NNRG</w:t>
            </w:r>
          </w:p>
        </w:tc>
        <w:tc>
          <w:tcPr>
            <w:tcW w:w="3358" w:type="pct"/>
          </w:tcPr>
          <w:p w14:paraId="6AD457EA" w14:textId="77777777" w:rsidR="00CA5EEA" w:rsidRDefault="00CA5EEA" w:rsidP="003D0F16">
            <w:pPr>
              <w:pStyle w:val="TableText"/>
              <w:rPr>
                <w:lang w:val="en-US"/>
              </w:rPr>
            </w:pPr>
            <w:r>
              <w:rPr>
                <w:lang w:val="en-US"/>
              </w:rPr>
              <w:t>National Naloxone Reference Group</w:t>
            </w:r>
          </w:p>
        </w:tc>
      </w:tr>
      <w:tr w:rsidR="00CA5EEA" w:rsidRPr="005953B3" w14:paraId="5F5BF863" w14:textId="77777777" w:rsidTr="003D0F16">
        <w:tc>
          <w:tcPr>
            <w:tcW w:w="1642" w:type="pct"/>
          </w:tcPr>
          <w:p w14:paraId="27081EC9" w14:textId="77777777" w:rsidR="00CA5EEA" w:rsidRDefault="00CA5EEA" w:rsidP="003D0F16">
            <w:pPr>
              <w:pStyle w:val="TableText"/>
              <w:rPr>
                <w:lang w:val="en-US"/>
              </w:rPr>
            </w:pPr>
            <w:r>
              <w:rPr>
                <w:lang w:val="en-US"/>
              </w:rPr>
              <w:t>NOPSAD</w:t>
            </w:r>
          </w:p>
        </w:tc>
        <w:tc>
          <w:tcPr>
            <w:tcW w:w="3358" w:type="pct"/>
          </w:tcPr>
          <w:p w14:paraId="7D91D9C3" w14:textId="77777777" w:rsidR="00CA5EEA" w:rsidRDefault="00CA5EEA" w:rsidP="003D0F16">
            <w:pPr>
              <w:pStyle w:val="TableText"/>
              <w:rPr>
                <w:lang w:val="en-US"/>
              </w:rPr>
            </w:pPr>
            <w:r>
              <w:rPr>
                <w:lang w:val="en-US"/>
              </w:rPr>
              <w:t>National Opioid Pharmacotherapy Statistics</w:t>
            </w:r>
          </w:p>
        </w:tc>
      </w:tr>
      <w:tr w:rsidR="00CA5EEA" w:rsidRPr="005953B3" w14:paraId="586962FF" w14:textId="77777777" w:rsidTr="003D0F16">
        <w:tc>
          <w:tcPr>
            <w:tcW w:w="1642" w:type="pct"/>
          </w:tcPr>
          <w:p w14:paraId="6654D331" w14:textId="77777777" w:rsidR="00CA5EEA" w:rsidRDefault="00CA5EEA" w:rsidP="003D0F16">
            <w:pPr>
              <w:pStyle w:val="TableText"/>
              <w:rPr>
                <w:lang w:val="en-US"/>
              </w:rPr>
            </w:pPr>
            <w:r>
              <w:rPr>
                <w:lang w:val="en-US"/>
              </w:rPr>
              <w:t>NSP</w:t>
            </w:r>
          </w:p>
        </w:tc>
        <w:tc>
          <w:tcPr>
            <w:tcW w:w="3358" w:type="pct"/>
          </w:tcPr>
          <w:p w14:paraId="5F36E7D9" w14:textId="2D402F44" w:rsidR="00CA5EEA" w:rsidRDefault="00CA5EEA" w:rsidP="003D0F16">
            <w:pPr>
              <w:pStyle w:val="TableText"/>
              <w:rPr>
                <w:lang w:val="en-US"/>
              </w:rPr>
            </w:pPr>
            <w:r>
              <w:rPr>
                <w:lang w:val="en-US"/>
              </w:rPr>
              <w:t xml:space="preserve">Needle and </w:t>
            </w:r>
            <w:r w:rsidR="00E6101D">
              <w:rPr>
                <w:lang w:val="en-US"/>
              </w:rPr>
              <w:t>Syringe Program</w:t>
            </w:r>
            <w:r w:rsidR="002849CC">
              <w:rPr>
                <w:lang w:val="en-US"/>
              </w:rPr>
              <w:t>; referred to as CNP in SA</w:t>
            </w:r>
          </w:p>
        </w:tc>
      </w:tr>
      <w:tr w:rsidR="00CA5EEA" w:rsidRPr="005953B3" w14:paraId="754FF07E" w14:textId="77777777" w:rsidTr="003D0F16">
        <w:tc>
          <w:tcPr>
            <w:tcW w:w="1642" w:type="pct"/>
          </w:tcPr>
          <w:p w14:paraId="5E07B171" w14:textId="77777777" w:rsidR="00CA5EEA" w:rsidRDefault="00CA5EEA" w:rsidP="003D0F16">
            <w:pPr>
              <w:pStyle w:val="TableText"/>
              <w:rPr>
                <w:lang w:val="en-US"/>
              </w:rPr>
            </w:pPr>
            <w:r>
              <w:rPr>
                <w:lang w:val="en-US"/>
              </w:rPr>
              <w:lastRenderedPageBreak/>
              <w:t>NSW Health</w:t>
            </w:r>
          </w:p>
        </w:tc>
        <w:tc>
          <w:tcPr>
            <w:tcW w:w="3358" w:type="pct"/>
          </w:tcPr>
          <w:p w14:paraId="682F2FF6" w14:textId="77777777" w:rsidR="00CA5EEA" w:rsidRDefault="00CA5EEA" w:rsidP="003D0F16">
            <w:pPr>
              <w:pStyle w:val="TableText"/>
              <w:rPr>
                <w:lang w:val="en-US"/>
              </w:rPr>
            </w:pPr>
            <w:r>
              <w:rPr>
                <w:lang w:val="en-US"/>
              </w:rPr>
              <w:t>New South Wales Ministry of Health</w:t>
            </w:r>
          </w:p>
        </w:tc>
      </w:tr>
      <w:tr w:rsidR="00CA5EEA" w14:paraId="31BB8E1F" w14:textId="77777777" w:rsidTr="003D0F16">
        <w:tc>
          <w:tcPr>
            <w:tcW w:w="1642" w:type="pct"/>
          </w:tcPr>
          <w:p w14:paraId="16CA02D8" w14:textId="77777777" w:rsidR="00CA5EEA" w:rsidRDefault="00CA5EEA" w:rsidP="003D0F16">
            <w:pPr>
              <w:pStyle w:val="TableText"/>
              <w:rPr>
                <w:lang w:val="en-US"/>
              </w:rPr>
            </w:pPr>
            <w:r w:rsidRPr="245447E6">
              <w:rPr>
                <w:lang w:val="en-US"/>
              </w:rPr>
              <w:t>NUAA</w:t>
            </w:r>
          </w:p>
        </w:tc>
        <w:tc>
          <w:tcPr>
            <w:tcW w:w="3358" w:type="pct"/>
          </w:tcPr>
          <w:p w14:paraId="5EDBCFB0" w14:textId="77777777" w:rsidR="00CA5EEA" w:rsidRDefault="00CA5EEA" w:rsidP="003D0F16">
            <w:pPr>
              <w:pStyle w:val="TableText"/>
              <w:rPr>
                <w:lang w:val="en-US"/>
              </w:rPr>
            </w:pPr>
            <w:r w:rsidRPr="245447E6">
              <w:rPr>
                <w:lang w:val="en-US"/>
              </w:rPr>
              <w:t>NSW Users and AIDS Association</w:t>
            </w:r>
          </w:p>
        </w:tc>
      </w:tr>
      <w:tr w:rsidR="00CA5EEA" w:rsidRPr="005953B3" w14:paraId="737E3DB8" w14:textId="77777777" w:rsidTr="003D0F16">
        <w:tc>
          <w:tcPr>
            <w:tcW w:w="1642" w:type="pct"/>
          </w:tcPr>
          <w:p w14:paraId="0348066B" w14:textId="77777777" w:rsidR="00CA5EEA" w:rsidRDefault="00CA5EEA" w:rsidP="003D0F16">
            <w:pPr>
              <w:pStyle w:val="TableText"/>
              <w:rPr>
                <w:lang w:val="en-US"/>
              </w:rPr>
            </w:pPr>
            <w:r>
              <w:rPr>
                <w:lang w:val="en-US"/>
              </w:rPr>
              <w:t>OAT</w:t>
            </w:r>
          </w:p>
        </w:tc>
        <w:tc>
          <w:tcPr>
            <w:tcW w:w="3358" w:type="pct"/>
          </w:tcPr>
          <w:p w14:paraId="7D2AF176" w14:textId="567403C9" w:rsidR="00CA5EEA" w:rsidRDefault="00CA5EEA" w:rsidP="003D0F16">
            <w:pPr>
              <w:pStyle w:val="TableText"/>
              <w:rPr>
                <w:lang w:val="en-US"/>
              </w:rPr>
            </w:pPr>
            <w:r w:rsidRPr="5E913E9E">
              <w:rPr>
                <w:lang w:val="en-US"/>
              </w:rPr>
              <w:t>Opioid Agonist Treatment (sometimes called opioid substitution therapy</w:t>
            </w:r>
            <w:r w:rsidR="00D14A1D">
              <w:rPr>
                <w:lang w:val="en-US"/>
              </w:rPr>
              <w:t xml:space="preserve"> OST</w:t>
            </w:r>
            <w:r w:rsidRPr="5E913E9E">
              <w:rPr>
                <w:lang w:val="en-US"/>
              </w:rPr>
              <w:t>)</w:t>
            </w:r>
          </w:p>
        </w:tc>
      </w:tr>
      <w:tr w:rsidR="002205F1" w:rsidRPr="005953B3" w14:paraId="4F73864B" w14:textId="77777777" w:rsidTr="003D0F16">
        <w:tc>
          <w:tcPr>
            <w:tcW w:w="1642" w:type="pct"/>
          </w:tcPr>
          <w:p w14:paraId="311AF937" w14:textId="2AF6B903" w:rsidR="002205F1" w:rsidRDefault="002205F1" w:rsidP="003D0F16">
            <w:pPr>
              <w:pStyle w:val="TableText"/>
              <w:rPr>
                <w:lang w:val="en-US"/>
              </w:rPr>
            </w:pPr>
            <w:r>
              <w:rPr>
                <w:lang w:val="en-US"/>
              </w:rPr>
              <w:t>OD</w:t>
            </w:r>
          </w:p>
        </w:tc>
        <w:tc>
          <w:tcPr>
            <w:tcW w:w="3358" w:type="pct"/>
          </w:tcPr>
          <w:p w14:paraId="72D77A16" w14:textId="2812F243" w:rsidR="002205F1" w:rsidRPr="5E913E9E" w:rsidRDefault="00BC5A17" w:rsidP="003D0F16">
            <w:pPr>
              <w:pStyle w:val="TableText"/>
              <w:rPr>
                <w:lang w:val="en-US"/>
              </w:rPr>
            </w:pPr>
            <w:r>
              <w:t xml:space="preserve">Overdose </w:t>
            </w:r>
          </w:p>
        </w:tc>
      </w:tr>
      <w:tr w:rsidR="000A4F4A" w:rsidRPr="005953B3" w14:paraId="59F97BF5" w14:textId="77777777" w:rsidTr="003D0F16">
        <w:tc>
          <w:tcPr>
            <w:tcW w:w="1642" w:type="pct"/>
          </w:tcPr>
          <w:p w14:paraId="4F9A1D8A" w14:textId="2D61D4B2" w:rsidR="000A4F4A" w:rsidRDefault="000A4F4A" w:rsidP="003D0F16">
            <w:pPr>
              <w:pStyle w:val="TableText"/>
              <w:rPr>
                <w:lang w:val="en-US"/>
              </w:rPr>
            </w:pPr>
            <w:r>
              <w:rPr>
                <w:lang w:val="en-US"/>
              </w:rPr>
              <w:t>ORTHN</w:t>
            </w:r>
          </w:p>
        </w:tc>
        <w:tc>
          <w:tcPr>
            <w:tcW w:w="3358" w:type="pct"/>
          </w:tcPr>
          <w:p w14:paraId="666C0B46" w14:textId="03216A11" w:rsidR="000A4F4A" w:rsidRDefault="00BC5A17" w:rsidP="003D0F16">
            <w:pPr>
              <w:pStyle w:val="TableText"/>
              <w:rPr>
                <w:lang w:val="en-US"/>
              </w:rPr>
            </w:pPr>
            <w:r>
              <w:rPr>
                <w:lang w:val="en-US"/>
              </w:rPr>
              <w:t>Overdo</w:t>
            </w:r>
            <w:r w:rsidR="00047F19">
              <w:rPr>
                <w:lang w:val="en-US"/>
              </w:rPr>
              <w:t xml:space="preserve">se </w:t>
            </w:r>
            <w:r w:rsidR="00047F19">
              <w:t>Response with Take Home Naloxone</w:t>
            </w:r>
          </w:p>
        </w:tc>
      </w:tr>
      <w:tr w:rsidR="006D2645" w:rsidRPr="005953B3" w14:paraId="70F62080" w14:textId="77777777" w:rsidTr="003D0F16">
        <w:tc>
          <w:tcPr>
            <w:tcW w:w="1642" w:type="pct"/>
          </w:tcPr>
          <w:p w14:paraId="66982BCD" w14:textId="18FCEFE2" w:rsidR="006D2645" w:rsidRDefault="006D2645" w:rsidP="003D0F16">
            <w:pPr>
              <w:pStyle w:val="TableText"/>
              <w:rPr>
                <w:lang w:val="en-US"/>
              </w:rPr>
            </w:pPr>
            <w:r>
              <w:rPr>
                <w:lang w:val="en-US"/>
              </w:rPr>
              <w:t>OTC</w:t>
            </w:r>
          </w:p>
        </w:tc>
        <w:tc>
          <w:tcPr>
            <w:tcW w:w="3358" w:type="pct"/>
          </w:tcPr>
          <w:p w14:paraId="76D553A0" w14:textId="2B61CB4A" w:rsidR="006D2645" w:rsidRDefault="006D2645" w:rsidP="003D0F16">
            <w:pPr>
              <w:pStyle w:val="TableText"/>
              <w:rPr>
                <w:lang w:val="en-US"/>
              </w:rPr>
            </w:pPr>
            <w:r>
              <w:rPr>
                <w:lang w:val="en-US"/>
              </w:rPr>
              <w:t>Over the Counter</w:t>
            </w:r>
          </w:p>
        </w:tc>
      </w:tr>
      <w:tr w:rsidR="00CA5EEA" w:rsidRPr="005953B3" w14:paraId="186B38B8" w14:textId="77777777" w:rsidTr="003D0F16">
        <w:tc>
          <w:tcPr>
            <w:tcW w:w="1642" w:type="pct"/>
          </w:tcPr>
          <w:p w14:paraId="4D12A45E" w14:textId="77777777" w:rsidR="00CA5EEA" w:rsidRDefault="00CA5EEA" w:rsidP="003D0F16">
            <w:pPr>
              <w:pStyle w:val="TableText"/>
              <w:rPr>
                <w:lang w:val="en-US"/>
              </w:rPr>
            </w:pPr>
            <w:r>
              <w:rPr>
                <w:lang w:val="en-US"/>
              </w:rPr>
              <w:t>OWG</w:t>
            </w:r>
          </w:p>
        </w:tc>
        <w:tc>
          <w:tcPr>
            <w:tcW w:w="3358" w:type="pct"/>
          </w:tcPr>
          <w:p w14:paraId="5F3892F9" w14:textId="77777777" w:rsidR="00CA5EEA" w:rsidRDefault="00CA5EEA" w:rsidP="003D0F16">
            <w:pPr>
              <w:pStyle w:val="TableText"/>
              <w:rPr>
                <w:lang w:val="en-US"/>
              </w:rPr>
            </w:pPr>
            <w:r>
              <w:rPr>
                <w:lang w:val="en-US"/>
              </w:rPr>
              <w:t>Opioid Working Group</w:t>
            </w:r>
          </w:p>
        </w:tc>
      </w:tr>
      <w:tr w:rsidR="00CA5EEA" w:rsidRPr="005953B3" w14:paraId="7E5B1D0B" w14:textId="77777777" w:rsidTr="003D0F16">
        <w:tc>
          <w:tcPr>
            <w:tcW w:w="1642" w:type="pct"/>
          </w:tcPr>
          <w:p w14:paraId="646BB1A6" w14:textId="77777777" w:rsidR="00CA5EEA" w:rsidRPr="00323916" w:rsidRDefault="00CA5EEA" w:rsidP="003D0F16">
            <w:pPr>
              <w:pStyle w:val="TableText"/>
              <w:rPr>
                <w:lang w:val="en-US"/>
              </w:rPr>
            </w:pPr>
            <w:r>
              <w:rPr>
                <w:lang w:val="en-US"/>
              </w:rPr>
              <w:t>PIS</w:t>
            </w:r>
          </w:p>
        </w:tc>
        <w:tc>
          <w:tcPr>
            <w:tcW w:w="3358" w:type="pct"/>
          </w:tcPr>
          <w:p w14:paraId="128B2019" w14:textId="77777777" w:rsidR="00CA5EEA" w:rsidRPr="00323916" w:rsidRDefault="00CA5EEA" w:rsidP="003D0F16">
            <w:pPr>
              <w:pStyle w:val="TableText"/>
              <w:rPr>
                <w:lang w:val="en-US"/>
              </w:rPr>
            </w:pPr>
            <w:r>
              <w:rPr>
                <w:lang w:val="en-US"/>
              </w:rPr>
              <w:t>Participant Information Sheet</w:t>
            </w:r>
          </w:p>
        </w:tc>
      </w:tr>
      <w:tr w:rsidR="00CA5EEA" w:rsidRPr="005953B3" w14:paraId="4212EC86" w14:textId="77777777" w:rsidTr="003D0F16">
        <w:tc>
          <w:tcPr>
            <w:tcW w:w="1642" w:type="pct"/>
          </w:tcPr>
          <w:p w14:paraId="08763785" w14:textId="77777777" w:rsidR="00CA5EEA" w:rsidRDefault="00CA5EEA" w:rsidP="003D0F16">
            <w:pPr>
              <w:pStyle w:val="TableText"/>
              <w:rPr>
                <w:lang w:val="en-US"/>
              </w:rPr>
            </w:pPr>
            <w:r>
              <w:rPr>
                <w:lang w:val="en-US"/>
              </w:rPr>
              <w:t>PBAC</w:t>
            </w:r>
          </w:p>
        </w:tc>
        <w:tc>
          <w:tcPr>
            <w:tcW w:w="3358" w:type="pct"/>
          </w:tcPr>
          <w:p w14:paraId="3A3C9AFF" w14:textId="77777777" w:rsidR="00CA5EEA" w:rsidRDefault="00CA5EEA" w:rsidP="003D0F16">
            <w:pPr>
              <w:pStyle w:val="TableText"/>
              <w:rPr>
                <w:lang w:val="en-US"/>
              </w:rPr>
            </w:pPr>
            <w:r>
              <w:t>Pharmaceutical Benefits Advisory Committee</w:t>
            </w:r>
          </w:p>
        </w:tc>
      </w:tr>
      <w:tr w:rsidR="00CA5EEA" w:rsidRPr="005953B3" w14:paraId="76B1CC92" w14:textId="77777777" w:rsidTr="003D0F16">
        <w:tc>
          <w:tcPr>
            <w:tcW w:w="1642" w:type="pct"/>
          </w:tcPr>
          <w:p w14:paraId="6B0899E2" w14:textId="77777777" w:rsidR="00CA5EEA" w:rsidRDefault="00CA5EEA" w:rsidP="003D0F16">
            <w:pPr>
              <w:pStyle w:val="TableText"/>
              <w:rPr>
                <w:lang w:val="en-US"/>
              </w:rPr>
            </w:pPr>
            <w:r>
              <w:rPr>
                <w:lang w:val="en-US"/>
              </w:rPr>
              <w:t>PBS</w:t>
            </w:r>
          </w:p>
        </w:tc>
        <w:tc>
          <w:tcPr>
            <w:tcW w:w="3358" w:type="pct"/>
          </w:tcPr>
          <w:p w14:paraId="44045EB3" w14:textId="77777777" w:rsidR="00CA5EEA" w:rsidRDefault="00CA5EEA" w:rsidP="003D0F16">
            <w:pPr>
              <w:pStyle w:val="TableText"/>
              <w:rPr>
                <w:lang w:val="en-US"/>
              </w:rPr>
            </w:pPr>
            <w:r>
              <w:rPr>
                <w:lang w:val="en-US"/>
              </w:rPr>
              <w:t>Pharmaceutical Benefits Scheme</w:t>
            </w:r>
          </w:p>
        </w:tc>
      </w:tr>
      <w:tr w:rsidR="00CA5EEA" w:rsidRPr="005953B3" w14:paraId="345938A5" w14:textId="77777777" w:rsidTr="003D0F16">
        <w:tc>
          <w:tcPr>
            <w:tcW w:w="1642" w:type="pct"/>
          </w:tcPr>
          <w:p w14:paraId="1E01EB30" w14:textId="77777777" w:rsidR="00CA5EEA" w:rsidRDefault="00CA5EEA" w:rsidP="003D0F16">
            <w:pPr>
              <w:pStyle w:val="TableText"/>
              <w:rPr>
                <w:lang w:val="en-US"/>
              </w:rPr>
            </w:pPr>
            <w:r>
              <w:rPr>
                <w:lang w:val="en-US"/>
              </w:rPr>
              <w:t>PHN</w:t>
            </w:r>
          </w:p>
        </w:tc>
        <w:tc>
          <w:tcPr>
            <w:tcW w:w="3358" w:type="pct"/>
          </w:tcPr>
          <w:p w14:paraId="4AA84483" w14:textId="77777777" w:rsidR="00CA5EEA" w:rsidRDefault="00CA5EEA" w:rsidP="003D0F16">
            <w:pPr>
              <w:pStyle w:val="TableText"/>
              <w:rPr>
                <w:lang w:val="en-US"/>
              </w:rPr>
            </w:pPr>
            <w:r>
              <w:rPr>
                <w:lang w:val="en-US"/>
              </w:rPr>
              <w:t>Primary Health Network</w:t>
            </w:r>
          </w:p>
        </w:tc>
      </w:tr>
      <w:tr w:rsidR="00CA5EEA" w:rsidRPr="005953B3" w14:paraId="5E4DA1B0" w14:textId="77777777" w:rsidTr="003D0F16">
        <w:tc>
          <w:tcPr>
            <w:tcW w:w="1642" w:type="pct"/>
          </w:tcPr>
          <w:p w14:paraId="5DDEF0B9" w14:textId="77777777" w:rsidR="00CA5EEA" w:rsidRDefault="00CA5EEA" w:rsidP="003D0F16">
            <w:pPr>
              <w:pStyle w:val="TableText"/>
              <w:rPr>
                <w:lang w:val="en-US"/>
              </w:rPr>
            </w:pPr>
            <w:r>
              <w:rPr>
                <w:lang w:val="en-US"/>
              </w:rPr>
              <w:t>PPA</w:t>
            </w:r>
          </w:p>
        </w:tc>
        <w:tc>
          <w:tcPr>
            <w:tcW w:w="3358" w:type="pct"/>
          </w:tcPr>
          <w:p w14:paraId="4CC5E0CB" w14:textId="77777777" w:rsidR="00CA5EEA" w:rsidRDefault="00CA5EEA" w:rsidP="003D0F16">
            <w:pPr>
              <w:pStyle w:val="TableText"/>
              <w:rPr>
                <w:lang w:val="en-US"/>
              </w:rPr>
            </w:pPr>
            <w:r>
              <w:rPr>
                <w:lang w:val="en-US"/>
              </w:rPr>
              <w:t>Pharmacy Programs Administrator – trading name for Australian Healthcare Associates</w:t>
            </w:r>
          </w:p>
        </w:tc>
      </w:tr>
      <w:tr w:rsidR="00CA5EEA" w:rsidRPr="005953B3" w14:paraId="2E305CFD" w14:textId="77777777" w:rsidTr="003D0F16">
        <w:tc>
          <w:tcPr>
            <w:tcW w:w="1642" w:type="pct"/>
          </w:tcPr>
          <w:p w14:paraId="6340C3E3" w14:textId="77777777" w:rsidR="00CA5EEA" w:rsidRDefault="00CA5EEA" w:rsidP="003D0F16">
            <w:pPr>
              <w:pStyle w:val="TableText"/>
              <w:rPr>
                <w:lang w:val="en-US"/>
              </w:rPr>
            </w:pPr>
            <w:r>
              <w:rPr>
                <w:lang w:val="en-US"/>
              </w:rPr>
              <w:t>PSA</w:t>
            </w:r>
          </w:p>
        </w:tc>
        <w:tc>
          <w:tcPr>
            <w:tcW w:w="3358" w:type="pct"/>
          </w:tcPr>
          <w:p w14:paraId="46A7CB55" w14:textId="77777777" w:rsidR="00CA5EEA" w:rsidRPr="126F4E1F" w:rsidRDefault="00CA5EEA" w:rsidP="003D0F16">
            <w:pPr>
              <w:pStyle w:val="TableText"/>
              <w:rPr>
                <w:lang w:val="en-US"/>
              </w:rPr>
            </w:pPr>
            <w:r>
              <w:rPr>
                <w:lang w:val="en-US"/>
              </w:rPr>
              <w:t>Pharmaceutical Society of Australia</w:t>
            </w:r>
          </w:p>
        </w:tc>
      </w:tr>
      <w:tr w:rsidR="00CA5EEA" w:rsidRPr="005953B3" w14:paraId="06A90BDE" w14:textId="77777777" w:rsidTr="003D0F16">
        <w:tc>
          <w:tcPr>
            <w:tcW w:w="1642" w:type="pct"/>
          </w:tcPr>
          <w:p w14:paraId="106C18F9" w14:textId="77777777" w:rsidR="00CA5EEA" w:rsidRDefault="00CA5EEA" w:rsidP="003D0F16">
            <w:pPr>
              <w:pStyle w:val="TableText"/>
              <w:rPr>
                <w:lang w:val="en-US"/>
              </w:rPr>
            </w:pPr>
            <w:r>
              <w:rPr>
                <w:lang w:val="en-US"/>
              </w:rPr>
              <w:t>PUPO</w:t>
            </w:r>
          </w:p>
        </w:tc>
        <w:tc>
          <w:tcPr>
            <w:tcW w:w="3358" w:type="pct"/>
          </w:tcPr>
          <w:p w14:paraId="1E06D1BD" w14:textId="77777777" w:rsidR="00CA5EEA" w:rsidRDefault="00CA5EEA" w:rsidP="003D0F16">
            <w:pPr>
              <w:pStyle w:val="TableText"/>
              <w:rPr>
                <w:lang w:val="en-US"/>
              </w:rPr>
            </w:pPr>
            <w:r w:rsidRPr="126F4E1F">
              <w:rPr>
                <w:lang w:val="en-US"/>
              </w:rPr>
              <w:t xml:space="preserve">People </w:t>
            </w:r>
            <w:r>
              <w:rPr>
                <w:lang w:val="en-US"/>
              </w:rPr>
              <w:t xml:space="preserve">who </w:t>
            </w:r>
            <w:r w:rsidRPr="126F4E1F">
              <w:rPr>
                <w:lang w:val="en-US"/>
              </w:rPr>
              <w:t>us</w:t>
            </w:r>
            <w:r>
              <w:rPr>
                <w:lang w:val="en-US"/>
              </w:rPr>
              <w:t>e</w:t>
            </w:r>
            <w:r w:rsidRPr="126F4E1F">
              <w:rPr>
                <w:lang w:val="en-US"/>
              </w:rPr>
              <w:t xml:space="preserve"> prescribed opioids</w:t>
            </w:r>
          </w:p>
        </w:tc>
      </w:tr>
      <w:tr w:rsidR="00CA5EEA" w:rsidRPr="005953B3" w14:paraId="3FA5B632" w14:textId="77777777" w:rsidTr="003D0F16">
        <w:tc>
          <w:tcPr>
            <w:tcW w:w="1642" w:type="pct"/>
          </w:tcPr>
          <w:p w14:paraId="1E38ECB6" w14:textId="61C09BA4" w:rsidR="00CA5EEA" w:rsidRDefault="00CA5EEA" w:rsidP="003D0F16">
            <w:pPr>
              <w:pStyle w:val="TableText"/>
              <w:rPr>
                <w:lang w:val="en-US"/>
              </w:rPr>
            </w:pPr>
            <w:r>
              <w:rPr>
                <w:lang w:val="en-US"/>
              </w:rPr>
              <w:t>PUI</w:t>
            </w:r>
            <w:r w:rsidR="0058359A">
              <w:rPr>
                <w:lang w:val="en-US"/>
              </w:rPr>
              <w:t>O</w:t>
            </w:r>
          </w:p>
        </w:tc>
        <w:tc>
          <w:tcPr>
            <w:tcW w:w="3358" w:type="pct"/>
          </w:tcPr>
          <w:p w14:paraId="08DDCA47" w14:textId="351FC08A" w:rsidR="00CA5EEA" w:rsidRDefault="00CA5EEA" w:rsidP="003D0F16">
            <w:pPr>
              <w:pStyle w:val="TableText"/>
              <w:rPr>
                <w:lang w:val="en-US"/>
              </w:rPr>
            </w:pPr>
            <w:r>
              <w:rPr>
                <w:lang w:val="en-US"/>
              </w:rPr>
              <w:t xml:space="preserve">People who use illicit/non-prescribed </w:t>
            </w:r>
            <w:r w:rsidR="0058359A">
              <w:rPr>
                <w:lang w:val="en-US"/>
              </w:rPr>
              <w:t>opioids</w:t>
            </w:r>
          </w:p>
        </w:tc>
      </w:tr>
      <w:tr w:rsidR="00CA5EEA" w:rsidRPr="005953B3" w14:paraId="75CDE9A2" w14:textId="77777777" w:rsidTr="003D0F16">
        <w:tc>
          <w:tcPr>
            <w:tcW w:w="1642" w:type="pct"/>
          </w:tcPr>
          <w:p w14:paraId="534B830A" w14:textId="77777777" w:rsidR="00CA5EEA" w:rsidRDefault="00CA5EEA" w:rsidP="003D0F16">
            <w:pPr>
              <w:pStyle w:val="TableText"/>
              <w:rPr>
                <w:lang w:val="en-US"/>
              </w:rPr>
            </w:pPr>
            <w:r>
              <w:rPr>
                <w:lang w:val="en-US"/>
              </w:rPr>
              <w:t>PWID</w:t>
            </w:r>
          </w:p>
        </w:tc>
        <w:tc>
          <w:tcPr>
            <w:tcW w:w="3358" w:type="pct"/>
          </w:tcPr>
          <w:p w14:paraId="12EEFF89" w14:textId="77777777" w:rsidR="00CA5EEA" w:rsidRDefault="00CA5EEA" w:rsidP="003D0F16">
            <w:pPr>
              <w:pStyle w:val="TableText"/>
              <w:rPr>
                <w:lang w:val="en-US"/>
              </w:rPr>
            </w:pPr>
            <w:r>
              <w:rPr>
                <w:lang w:val="en-US"/>
              </w:rPr>
              <w:t>People who inject drugs</w:t>
            </w:r>
          </w:p>
        </w:tc>
      </w:tr>
      <w:tr w:rsidR="00CA5EEA" w:rsidRPr="005953B3" w14:paraId="10162978" w14:textId="77777777" w:rsidTr="003D0F16">
        <w:tc>
          <w:tcPr>
            <w:tcW w:w="1642" w:type="pct"/>
          </w:tcPr>
          <w:p w14:paraId="7788D4E6" w14:textId="77777777" w:rsidR="00CA5EEA" w:rsidRPr="00323916" w:rsidRDefault="00CA5EEA" w:rsidP="003D0F16">
            <w:pPr>
              <w:pStyle w:val="TableText"/>
              <w:rPr>
                <w:lang w:val="en-US"/>
              </w:rPr>
            </w:pPr>
            <w:r>
              <w:rPr>
                <w:lang w:val="en-US"/>
              </w:rPr>
              <w:t>RACGP</w:t>
            </w:r>
          </w:p>
        </w:tc>
        <w:tc>
          <w:tcPr>
            <w:tcW w:w="3358" w:type="pct"/>
          </w:tcPr>
          <w:p w14:paraId="575C6EDE" w14:textId="77777777" w:rsidR="00CA5EEA" w:rsidRPr="00323916" w:rsidRDefault="00CA5EEA" w:rsidP="003D0F16">
            <w:pPr>
              <w:pStyle w:val="TableText"/>
              <w:rPr>
                <w:lang w:val="en-US"/>
              </w:rPr>
            </w:pPr>
            <w:r>
              <w:rPr>
                <w:lang w:val="en-US"/>
              </w:rPr>
              <w:t>Royal Australian College of General Practitioners</w:t>
            </w:r>
          </w:p>
        </w:tc>
      </w:tr>
      <w:tr w:rsidR="00CA5EEA" w:rsidRPr="005953B3" w14:paraId="411C02D1" w14:textId="77777777" w:rsidTr="003D0F16">
        <w:tc>
          <w:tcPr>
            <w:tcW w:w="1642" w:type="pct"/>
            <w:vAlign w:val="center"/>
          </w:tcPr>
          <w:p w14:paraId="3D41ACDF" w14:textId="77777777" w:rsidR="00CA5EEA" w:rsidRDefault="00CA5EEA" w:rsidP="003D0F16">
            <w:pPr>
              <w:pStyle w:val="TableText"/>
              <w:rPr>
                <w:lang w:val="en-US"/>
              </w:rPr>
            </w:pPr>
            <w:r>
              <w:rPr>
                <w:lang w:val="en-US"/>
              </w:rPr>
              <w:t>s90</w:t>
            </w:r>
          </w:p>
        </w:tc>
        <w:tc>
          <w:tcPr>
            <w:tcW w:w="3358" w:type="pct"/>
            <w:vAlign w:val="center"/>
          </w:tcPr>
          <w:p w14:paraId="1B91BD68" w14:textId="77777777" w:rsidR="00CA5EEA" w:rsidRDefault="00CA5EEA" w:rsidP="003D0F16">
            <w:pPr>
              <w:pStyle w:val="TableText"/>
            </w:pPr>
            <w:r>
              <w:rPr>
                <w:lang w:val="en-US"/>
              </w:rPr>
              <w:t xml:space="preserve">Refers to community-based pharmacists approved to supply PBS medicines from specific pharmacy premises (approved premises). Approval is provided under section 90 of the </w:t>
            </w:r>
            <w:r w:rsidRPr="008E1AD5">
              <w:rPr>
                <w:i/>
                <w:iCs/>
                <w:lang w:val="en-US"/>
              </w:rPr>
              <w:t>National Health Act 1953</w:t>
            </w:r>
          </w:p>
        </w:tc>
      </w:tr>
      <w:tr w:rsidR="00CA5EEA" w:rsidRPr="005953B3" w14:paraId="0E43C3B4" w14:textId="77777777" w:rsidTr="003D0F16">
        <w:tc>
          <w:tcPr>
            <w:tcW w:w="1642" w:type="pct"/>
            <w:vAlign w:val="center"/>
          </w:tcPr>
          <w:p w14:paraId="6AA4E311" w14:textId="77777777" w:rsidR="00CA5EEA" w:rsidRDefault="00CA5EEA" w:rsidP="003D0F16">
            <w:pPr>
              <w:pStyle w:val="TableText"/>
              <w:rPr>
                <w:lang w:val="en-US"/>
              </w:rPr>
            </w:pPr>
            <w:r>
              <w:rPr>
                <w:lang w:val="en-US"/>
              </w:rPr>
              <w:t>s92</w:t>
            </w:r>
          </w:p>
        </w:tc>
        <w:tc>
          <w:tcPr>
            <w:tcW w:w="3358" w:type="pct"/>
            <w:vAlign w:val="center"/>
          </w:tcPr>
          <w:p w14:paraId="52A7E688" w14:textId="77777777" w:rsidR="00CA5EEA" w:rsidRDefault="00CA5EEA" w:rsidP="003D0F16">
            <w:pPr>
              <w:pStyle w:val="TableText"/>
            </w:pPr>
            <w:r>
              <w:rPr>
                <w:lang w:val="en-US"/>
              </w:rPr>
              <w:t xml:space="preserve">Refers to a medical practitioner approved to supply PBS medicines in a particular rural/remote area, where the </w:t>
            </w:r>
            <w:r>
              <w:t xml:space="preserve">community does not have convenient and efficient access to these medicines from a PBS approved pharmacy. This approval is provided </w:t>
            </w:r>
            <w:r>
              <w:rPr>
                <w:lang w:val="en-US"/>
              </w:rPr>
              <w:t xml:space="preserve">under section 92 of the </w:t>
            </w:r>
            <w:r w:rsidRPr="008E1AD5">
              <w:rPr>
                <w:i/>
                <w:iCs/>
                <w:lang w:val="en-US"/>
              </w:rPr>
              <w:t>National Health Act 1953</w:t>
            </w:r>
          </w:p>
        </w:tc>
      </w:tr>
      <w:tr w:rsidR="00CA5EEA" w:rsidRPr="005953B3" w14:paraId="719732D3" w14:textId="77777777" w:rsidTr="003D0F16">
        <w:tc>
          <w:tcPr>
            <w:tcW w:w="1642" w:type="pct"/>
            <w:vAlign w:val="center"/>
          </w:tcPr>
          <w:p w14:paraId="58B79121" w14:textId="77777777" w:rsidR="00CA5EEA" w:rsidRDefault="00CA5EEA" w:rsidP="003D0F16">
            <w:pPr>
              <w:pStyle w:val="TableText"/>
              <w:rPr>
                <w:lang w:val="en-US"/>
              </w:rPr>
            </w:pPr>
            <w:r>
              <w:rPr>
                <w:lang w:val="en-US"/>
              </w:rPr>
              <w:t>s94</w:t>
            </w:r>
          </w:p>
        </w:tc>
        <w:tc>
          <w:tcPr>
            <w:tcW w:w="3358" w:type="pct"/>
            <w:vAlign w:val="center"/>
          </w:tcPr>
          <w:p w14:paraId="1547766F" w14:textId="77777777" w:rsidR="00CA5EEA" w:rsidRDefault="00CA5EEA" w:rsidP="003D0F16">
            <w:pPr>
              <w:pStyle w:val="TableText"/>
            </w:pPr>
            <w:r>
              <w:rPr>
                <w:lang w:val="en-US"/>
              </w:rPr>
              <w:t xml:space="preserve">Refers to hospital authorities approved to supply PBS medicines under section 94 of the </w:t>
            </w:r>
            <w:r w:rsidRPr="00FC60CE">
              <w:rPr>
                <w:i/>
                <w:iCs/>
                <w:lang w:val="en-US"/>
              </w:rPr>
              <w:t>National Health Act 1953</w:t>
            </w:r>
          </w:p>
        </w:tc>
      </w:tr>
      <w:tr w:rsidR="00CA5EEA" w:rsidRPr="005953B3" w14:paraId="51B333D7" w14:textId="77777777" w:rsidTr="003D0F16">
        <w:tc>
          <w:tcPr>
            <w:tcW w:w="1642" w:type="pct"/>
          </w:tcPr>
          <w:p w14:paraId="5085B2D3" w14:textId="77777777" w:rsidR="00CA5EEA" w:rsidRPr="00323916" w:rsidRDefault="00CA5EEA" w:rsidP="003D0F16">
            <w:pPr>
              <w:pStyle w:val="TableText"/>
              <w:rPr>
                <w:lang w:val="en-US"/>
              </w:rPr>
            </w:pPr>
            <w:r>
              <w:rPr>
                <w:lang w:val="en-US"/>
              </w:rPr>
              <w:t>s100</w:t>
            </w:r>
          </w:p>
        </w:tc>
        <w:tc>
          <w:tcPr>
            <w:tcW w:w="3358" w:type="pct"/>
          </w:tcPr>
          <w:p w14:paraId="342A3154" w14:textId="77777777" w:rsidR="00CA5EEA" w:rsidRPr="00323916" w:rsidRDefault="00CA5EEA" w:rsidP="003D0F16">
            <w:pPr>
              <w:pStyle w:val="TableText"/>
            </w:pPr>
            <w:r>
              <w:t xml:space="preserve">Refers to section 100 of the </w:t>
            </w:r>
            <w:r w:rsidRPr="00FC60CE">
              <w:rPr>
                <w:i/>
                <w:iCs/>
              </w:rPr>
              <w:t>National Health Act 1953</w:t>
            </w:r>
            <w:r>
              <w:t xml:space="preserve"> which provides for alternative supply arrangements for specified PBS </w:t>
            </w:r>
            <w:r>
              <w:rPr>
                <w:lang w:val="en-US"/>
              </w:rPr>
              <w:t>medicines</w:t>
            </w:r>
          </w:p>
        </w:tc>
      </w:tr>
      <w:tr w:rsidR="00CA5EEA" w:rsidRPr="005953B3" w14:paraId="29C1BCA1" w14:textId="77777777" w:rsidTr="003D0F16">
        <w:tc>
          <w:tcPr>
            <w:tcW w:w="1642" w:type="pct"/>
          </w:tcPr>
          <w:p w14:paraId="62D88E27" w14:textId="77777777" w:rsidR="00CA5EEA" w:rsidRDefault="00CA5EEA" w:rsidP="003D0F16">
            <w:pPr>
              <w:pStyle w:val="TableText"/>
              <w:rPr>
                <w:lang w:val="en-US"/>
              </w:rPr>
            </w:pPr>
            <w:r>
              <w:rPr>
                <w:lang w:val="en-US"/>
              </w:rPr>
              <w:t>SA Health</w:t>
            </w:r>
          </w:p>
        </w:tc>
        <w:tc>
          <w:tcPr>
            <w:tcW w:w="3358" w:type="pct"/>
          </w:tcPr>
          <w:p w14:paraId="28D26036" w14:textId="77777777" w:rsidR="00CA5EEA" w:rsidRDefault="00CA5EEA" w:rsidP="003D0F16">
            <w:pPr>
              <w:pStyle w:val="TableText"/>
              <w:rPr>
                <w:lang w:val="en-US"/>
              </w:rPr>
            </w:pPr>
            <w:r>
              <w:rPr>
                <w:lang w:val="en-US"/>
              </w:rPr>
              <w:t>South Australia Health</w:t>
            </w:r>
          </w:p>
        </w:tc>
      </w:tr>
      <w:tr w:rsidR="00CA5EEA" w:rsidRPr="005953B3" w14:paraId="1D29A285" w14:textId="77777777" w:rsidTr="003D0F16">
        <w:tc>
          <w:tcPr>
            <w:tcW w:w="1642" w:type="pct"/>
          </w:tcPr>
          <w:p w14:paraId="086E2B22" w14:textId="77777777" w:rsidR="00CA5EEA" w:rsidRDefault="00CA5EEA" w:rsidP="003D0F16">
            <w:pPr>
              <w:pStyle w:val="TableText"/>
              <w:rPr>
                <w:lang w:val="en-US"/>
              </w:rPr>
            </w:pPr>
            <w:r>
              <w:rPr>
                <w:lang w:val="en-US"/>
              </w:rPr>
              <w:t>SANDAS</w:t>
            </w:r>
          </w:p>
        </w:tc>
        <w:tc>
          <w:tcPr>
            <w:tcW w:w="3358" w:type="pct"/>
          </w:tcPr>
          <w:p w14:paraId="05796523" w14:textId="77777777" w:rsidR="00CA5EEA" w:rsidRDefault="00CA5EEA" w:rsidP="003D0F16">
            <w:pPr>
              <w:pStyle w:val="TableText"/>
              <w:rPr>
                <w:lang w:val="en-US"/>
              </w:rPr>
            </w:pPr>
            <w:r>
              <w:rPr>
                <w:lang w:val="en-US"/>
              </w:rPr>
              <w:t xml:space="preserve">South Australian Network of Drug &amp; Alcohol Services </w:t>
            </w:r>
          </w:p>
        </w:tc>
      </w:tr>
      <w:tr w:rsidR="00CA5EEA" w14:paraId="1F2FE1BC" w14:textId="77777777" w:rsidTr="003D0F16">
        <w:tc>
          <w:tcPr>
            <w:tcW w:w="1642" w:type="pct"/>
          </w:tcPr>
          <w:p w14:paraId="614C81A3" w14:textId="77777777" w:rsidR="00CA5EEA" w:rsidRPr="245447E6" w:rsidRDefault="00CA5EEA" w:rsidP="003D0F16">
            <w:pPr>
              <w:pStyle w:val="TableText"/>
              <w:rPr>
                <w:lang w:val="en-US"/>
              </w:rPr>
            </w:pPr>
            <w:r>
              <w:rPr>
                <w:lang w:val="en-US"/>
              </w:rPr>
              <w:t>SHPA</w:t>
            </w:r>
          </w:p>
        </w:tc>
        <w:tc>
          <w:tcPr>
            <w:tcW w:w="3358" w:type="pct"/>
          </w:tcPr>
          <w:p w14:paraId="4F162254" w14:textId="77777777" w:rsidR="00CA5EEA" w:rsidRDefault="00CA5EEA" w:rsidP="003D0F16">
            <w:pPr>
              <w:pStyle w:val="TableText"/>
            </w:pPr>
            <w:r>
              <w:t>Society of Hospital Pharmacists of Australia</w:t>
            </w:r>
          </w:p>
        </w:tc>
      </w:tr>
      <w:tr w:rsidR="00CA5EEA" w14:paraId="5A3606A4" w14:textId="77777777" w:rsidTr="003D0F16">
        <w:tc>
          <w:tcPr>
            <w:tcW w:w="1642" w:type="pct"/>
          </w:tcPr>
          <w:p w14:paraId="0AF3AE62" w14:textId="77777777" w:rsidR="00CA5EEA" w:rsidRDefault="00CA5EEA" w:rsidP="003D0F16">
            <w:pPr>
              <w:pStyle w:val="TableText"/>
              <w:rPr>
                <w:lang w:val="en-US"/>
              </w:rPr>
            </w:pPr>
            <w:r w:rsidRPr="245447E6">
              <w:rPr>
                <w:lang w:val="en-US"/>
              </w:rPr>
              <w:t>SSA</w:t>
            </w:r>
          </w:p>
        </w:tc>
        <w:tc>
          <w:tcPr>
            <w:tcW w:w="3358" w:type="pct"/>
          </w:tcPr>
          <w:p w14:paraId="4175AB36" w14:textId="77777777" w:rsidR="00CA5EEA" w:rsidRDefault="00CA5EEA" w:rsidP="003D0F16">
            <w:pPr>
              <w:pStyle w:val="TableText"/>
            </w:pPr>
            <w:r>
              <w:t>Site-specific authorisation (or governance approval)</w:t>
            </w:r>
          </w:p>
        </w:tc>
      </w:tr>
      <w:tr w:rsidR="00CA5EEA" w:rsidRPr="005953B3" w14:paraId="3278EB53" w14:textId="77777777" w:rsidTr="003D0F16">
        <w:tc>
          <w:tcPr>
            <w:tcW w:w="1642" w:type="pct"/>
          </w:tcPr>
          <w:p w14:paraId="65A99B1E" w14:textId="77777777" w:rsidR="00CA5EEA" w:rsidRDefault="00CA5EEA" w:rsidP="003D0F16">
            <w:pPr>
              <w:pStyle w:val="TableText"/>
              <w:rPr>
                <w:lang w:val="en-US"/>
              </w:rPr>
            </w:pPr>
            <w:r>
              <w:rPr>
                <w:lang w:val="en-US"/>
              </w:rPr>
              <w:t>TGA</w:t>
            </w:r>
          </w:p>
        </w:tc>
        <w:tc>
          <w:tcPr>
            <w:tcW w:w="3358" w:type="pct"/>
          </w:tcPr>
          <w:p w14:paraId="36B0AA10" w14:textId="77777777" w:rsidR="00CA5EEA" w:rsidRDefault="00CA5EEA" w:rsidP="003D0F16">
            <w:pPr>
              <w:pStyle w:val="TableText"/>
            </w:pPr>
            <w:r>
              <w:t>Therapeutic Goods Administration</w:t>
            </w:r>
          </w:p>
        </w:tc>
      </w:tr>
      <w:tr w:rsidR="00CA5EEA" w:rsidRPr="005953B3" w14:paraId="35A45F70" w14:textId="77777777" w:rsidTr="003D0F16">
        <w:tc>
          <w:tcPr>
            <w:tcW w:w="1642" w:type="pct"/>
          </w:tcPr>
          <w:p w14:paraId="63E89BE1" w14:textId="77777777" w:rsidR="00CA5EEA" w:rsidRPr="00323916" w:rsidRDefault="00CA5EEA" w:rsidP="003D0F16">
            <w:pPr>
              <w:pStyle w:val="TableText"/>
              <w:rPr>
                <w:lang w:val="en-US"/>
              </w:rPr>
            </w:pPr>
            <w:r>
              <w:rPr>
                <w:lang w:val="en-US"/>
              </w:rPr>
              <w:t>THN</w:t>
            </w:r>
          </w:p>
        </w:tc>
        <w:tc>
          <w:tcPr>
            <w:tcW w:w="3358" w:type="pct"/>
          </w:tcPr>
          <w:p w14:paraId="6DB0E093" w14:textId="77777777" w:rsidR="00CA5EEA" w:rsidRPr="00323916" w:rsidRDefault="00CA5EEA" w:rsidP="003D0F16">
            <w:pPr>
              <w:pStyle w:val="TableText"/>
            </w:pPr>
            <w:r>
              <w:t>Take Home Naloxone</w:t>
            </w:r>
          </w:p>
        </w:tc>
      </w:tr>
      <w:tr w:rsidR="00CA5EEA" w:rsidRPr="005953B3" w14:paraId="71240774" w14:textId="77777777" w:rsidTr="003D0F16">
        <w:tc>
          <w:tcPr>
            <w:tcW w:w="1642" w:type="pct"/>
          </w:tcPr>
          <w:p w14:paraId="7DEE2539" w14:textId="77777777" w:rsidR="00CA5EEA" w:rsidRPr="00323916" w:rsidRDefault="00CA5EEA" w:rsidP="003D0F16">
            <w:pPr>
              <w:pStyle w:val="TableText"/>
              <w:rPr>
                <w:lang w:val="en-US"/>
              </w:rPr>
            </w:pPr>
            <w:r>
              <w:rPr>
                <w:lang w:val="en-US"/>
              </w:rPr>
              <w:lastRenderedPageBreak/>
              <w:t>UNSW</w:t>
            </w:r>
          </w:p>
        </w:tc>
        <w:tc>
          <w:tcPr>
            <w:tcW w:w="3358" w:type="pct"/>
          </w:tcPr>
          <w:p w14:paraId="3416FE3C" w14:textId="77777777" w:rsidR="00CA5EEA" w:rsidRPr="00323916" w:rsidRDefault="00CA5EEA" w:rsidP="003D0F16">
            <w:pPr>
              <w:pStyle w:val="TableText"/>
            </w:pPr>
            <w:r>
              <w:t>The University of New South Wales</w:t>
            </w:r>
          </w:p>
        </w:tc>
      </w:tr>
      <w:tr w:rsidR="00CA5EEA" w:rsidRPr="005953B3" w14:paraId="042B2B83" w14:textId="77777777" w:rsidTr="003D0F16">
        <w:tc>
          <w:tcPr>
            <w:tcW w:w="1642" w:type="pct"/>
          </w:tcPr>
          <w:p w14:paraId="0E3EEE2C" w14:textId="77777777" w:rsidR="00CA5EEA" w:rsidRPr="00323916" w:rsidRDefault="00CA5EEA" w:rsidP="003D0F16">
            <w:pPr>
              <w:pStyle w:val="TableText"/>
              <w:rPr>
                <w:lang w:val="en-US"/>
              </w:rPr>
            </w:pPr>
            <w:r w:rsidRPr="00323916">
              <w:rPr>
                <w:lang w:val="en-US"/>
              </w:rPr>
              <w:t>UQ</w:t>
            </w:r>
          </w:p>
        </w:tc>
        <w:tc>
          <w:tcPr>
            <w:tcW w:w="3358" w:type="pct"/>
          </w:tcPr>
          <w:p w14:paraId="1F43B95F" w14:textId="77777777" w:rsidR="00CA5EEA" w:rsidRPr="00323916" w:rsidRDefault="00CA5EEA" w:rsidP="003D0F16">
            <w:pPr>
              <w:pStyle w:val="TableText"/>
            </w:pPr>
            <w:r w:rsidRPr="00323916">
              <w:rPr>
                <w:lang w:val="en-US"/>
              </w:rPr>
              <w:t>The University of Queensland</w:t>
            </w:r>
          </w:p>
        </w:tc>
      </w:tr>
      <w:tr w:rsidR="00CA5EEA" w:rsidRPr="005953B3" w14:paraId="1760DE2F" w14:textId="77777777" w:rsidTr="003D0F16">
        <w:tc>
          <w:tcPr>
            <w:tcW w:w="1642" w:type="pct"/>
          </w:tcPr>
          <w:p w14:paraId="0730E456" w14:textId="77777777" w:rsidR="00CA5EEA" w:rsidRPr="00323916" w:rsidRDefault="00CA5EEA" w:rsidP="003D0F16">
            <w:pPr>
              <w:pStyle w:val="TableText"/>
              <w:rPr>
                <w:lang w:val="en-US"/>
              </w:rPr>
            </w:pPr>
            <w:r>
              <w:rPr>
                <w:lang w:val="en-US"/>
              </w:rPr>
              <w:t>WAMHC</w:t>
            </w:r>
          </w:p>
        </w:tc>
        <w:tc>
          <w:tcPr>
            <w:tcW w:w="3358" w:type="pct"/>
          </w:tcPr>
          <w:p w14:paraId="79B45D01" w14:textId="77777777" w:rsidR="00CA5EEA" w:rsidRPr="00323916" w:rsidRDefault="00CA5EEA" w:rsidP="003D0F16">
            <w:pPr>
              <w:pStyle w:val="TableText"/>
            </w:pPr>
            <w:r>
              <w:t>Western Australia Mental Health Commission</w:t>
            </w:r>
          </w:p>
        </w:tc>
      </w:tr>
      <w:tr w:rsidR="00CA5EEA" w:rsidRPr="005953B3" w14:paraId="37DBEC6F" w14:textId="77777777" w:rsidTr="003D0F16">
        <w:tc>
          <w:tcPr>
            <w:tcW w:w="1642" w:type="pct"/>
          </w:tcPr>
          <w:p w14:paraId="7A387D6C" w14:textId="77777777" w:rsidR="00CA5EEA" w:rsidRDefault="00CA5EEA" w:rsidP="003D0F16">
            <w:pPr>
              <w:pStyle w:val="TableText"/>
              <w:rPr>
                <w:lang w:val="en-US"/>
              </w:rPr>
            </w:pPr>
            <w:r>
              <w:rPr>
                <w:lang w:val="en-US"/>
              </w:rPr>
              <w:t>WANADA</w:t>
            </w:r>
          </w:p>
        </w:tc>
        <w:tc>
          <w:tcPr>
            <w:tcW w:w="3358" w:type="pct"/>
          </w:tcPr>
          <w:p w14:paraId="64309BF5" w14:textId="77777777" w:rsidR="00CA5EEA" w:rsidRDefault="00CA5EEA" w:rsidP="003D0F16">
            <w:pPr>
              <w:pStyle w:val="TableText"/>
            </w:pPr>
            <w:r>
              <w:t>Western Australia Network of Alcohol &amp; Other Drug Agencies</w:t>
            </w:r>
          </w:p>
        </w:tc>
      </w:tr>
      <w:tr w:rsidR="000A4F4A" w:rsidRPr="005953B3" w14:paraId="7DBBCE61" w14:textId="77777777" w:rsidTr="003D0F16">
        <w:tc>
          <w:tcPr>
            <w:tcW w:w="1642" w:type="pct"/>
          </w:tcPr>
          <w:p w14:paraId="22C9997F" w14:textId="7032B54A" w:rsidR="000A4F4A" w:rsidRDefault="000A4F4A" w:rsidP="003D0F16">
            <w:pPr>
              <w:pStyle w:val="TableText"/>
              <w:rPr>
                <w:lang w:val="en-US"/>
              </w:rPr>
            </w:pPr>
            <w:r>
              <w:rPr>
                <w:lang w:val="en-US"/>
              </w:rPr>
              <w:t>WHO</w:t>
            </w:r>
          </w:p>
        </w:tc>
        <w:tc>
          <w:tcPr>
            <w:tcW w:w="3358" w:type="pct"/>
          </w:tcPr>
          <w:p w14:paraId="2B127268" w14:textId="7F89F227" w:rsidR="000A4F4A" w:rsidRDefault="000A4F4A" w:rsidP="003D0F16">
            <w:pPr>
              <w:pStyle w:val="TableText"/>
            </w:pPr>
            <w:r>
              <w:t>World Health Organi</w:t>
            </w:r>
            <w:r w:rsidR="00A56473">
              <w:t>z</w:t>
            </w:r>
            <w:r>
              <w:t>ation</w:t>
            </w:r>
          </w:p>
        </w:tc>
      </w:tr>
    </w:tbl>
    <w:p w14:paraId="0B0A1D6B" w14:textId="5290C08C" w:rsidR="00CA5EEA" w:rsidRPr="009D10AE" w:rsidRDefault="00CA5EEA" w:rsidP="009D10AE">
      <w:r>
        <w:rPr>
          <w:lang w:eastAsia="en-AU"/>
        </w:rPr>
        <w:br w:type="page"/>
      </w:r>
    </w:p>
    <w:p w14:paraId="1E17431A" w14:textId="66AE1BB5" w:rsidR="00CA5EEA" w:rsidRDefault="00CA5EEA" w:rsidP="009D10AE">
      <w:pPr>
        <w:pStyle w:val="Heading1"/>
        <w:rPr>
          <w:lang w:eastAsia="en-AU"/>
        </w:rPr>
      </w:pPr>
      <w:bookmarkStart w:id="21" w:name="_Toc94794077"/>
      <w:bookmarkStart w:id="22" w:name="_Toc94794208"/>
      <w:r>
        <w:rPr>
          <w:lang w:eastAsia="en-AU"/>
        </w:rPr>
        <w:lastRenderedPageBreak/>
        <w:t>Glossary</w:t>
      </w:r>
      <w:bookmarkEnd w:id="21"/>
      <w:bookmarkEnd w:id="22"/>
    </w:p>
    <w:tbl>
      <w:tblPr>
        <w:tblStyle w:val="TableUQ"/>
        <w:tblW w:w="4990" w:type="pct"/>
        <w:tblLook w:val="0620" w:firstRow="1" w:lastRow="0" w:firstColumn="0" w:lastColumn="0" w:noHBand="1" w:noVBand="1"/>
        <w:tblDescription w:val="List of glossary terms in this publication"/>
      </w:tblPr>
      <w:tblGrid>
        <w:gridCol w:w="4373"/>
        <w:gridCol w:w="4954"/>
      </w:tblGrid>
      <w:tr w:rsidR="00CA5EEA" w:rsidRPr="00A32179" w14:paraId="0C38B855" w14:textId="77777777" w:rsidTr="003D0F16">
        <w:trPr>
          <w:cnfStyle w:val="100000000000" w:firstRow="1" w:lastRow="0" w:firstColumn="0" w:lastColumn="0" w:oddVBand="0" w:evenVBand="0" w:oddHBand="0" w:evenHBand="0" w:firstRowFirstColumn="0" w:firstRowLastColumn="0" w:lastRowFirstColumn="0" w:lastRowLastColumn="0"/>
          <w:tblHeader/>
        </w:trPr>
        <w:tc>
          <w:tcPr>
            <w:tcW w:w="4378" w:type="dxa"/>
          </w:tcPr>
          <w:p w14:paraId="7D75FCE1" w14:textId="77777777" w:rsidR="00CA5EEA" w:rsidRPr="007B4F78" w:rsidRDefault="00CA5EEA" w:rsidP="003D0F16">
            <w:pPr>
              <w:pStyle w:val="TableText"/>
              <w:rPr>
                <w:lang w:val="en-US"/>
              </w:rPr>
            </w:pPr>
            <w:r w:rsidRPr="007B4F78">
              <w:rPr>
                <w:lang w:val="en-US"/>
              </w:rPr>
              <w:t>Term</w:t>
            </w:r>
          </w:p>
        </w:tc>
        <w:tc>
          <w:tcPr>
            <w:tcW w:w="4959" w:type="dxa"/>
          </w:tcPr>
          <w:p w14:paraId="32734C09" w14:textId="77777777" w:rsidR="00CA5EEA" w:rsidRPr="007B4F78" w:rsidRDefault="00CA5EEA" w:rsidP="003D0F16">
            <w:pPr>
              <w:pStyle w:val="TableText"/>
              <w:rPr>
                <w:lang w:val="en-US"/>
              </w:rPr>
            </w:pPr>
            <w:r w:rsidRPr="007B4F78">
              <w:rPr>
                <w:lang w:val="en-US"/>
              </w:rPr>
              <w:t>Definition</w:t>
            </w:r>
          </w:p>
        </w:tc>
      </w:tr>
      <w:tr w:rsidR="00CA5EEA" w:rsidRPr="005953B3" w14:paraId="0E8BE996" w14:textId="77777777" w:rsidTr="003D0F16">
        <w:tc>
          <w:tcPr>
            <w:tcW w:w="4378" w:type="dxa"/>
          </w:tcPr>
          <w:p w14:paraId="77045E28" w14:textId="77777777" w:rsidR="00CA5EEA" w:rsidRPr="00323916" w:rsidRDefault="00CA5EEA" w:rsidP="003D0F16">
            <w:pPr>
              <w:pStyle w:val="TableText"/>
            </w:pPr>
            <w:r w:rsidRPr="0029539E">
              <w:t>Access Site</w:t>
            </w:r>
          </w:p>
        </w:tc>
        <w:tc>
          <w:tcPr>
            <w:tcW w:w="4959" w:type="dxa"/>
          </w:tcPr>
          <w:p w14:paraId="7D9D1718" w14:textId="2BCFBFB9" w:rsidR="00CA5EEA" w:rsidRDefault="00CA5EEA" w:rsidP="003D0F16">
            <w:pPr>
              <w:pStyle w:val="TableText"/>
            </w:pPr>
            <w:r w:rsidRPr="0029539E">
              <w:t xml:space="preserve">A site (pharmacy or </w:t>
            </w:r>
            <w:r w:rsidR="790C4BBB" w:rsidRPr="00630BCC">
              <w:t>Authorised Alternative Supplier</w:t>
            </w:r>
            <w:r w:rsidRPr="0029539E">
              <w:t>) at which consumers/witnesses can obtain THN under the Pilot</w:t>
            </w:r>
          </w:p>
        </w:tc>
      </w:tr>
      <w:tr w:rsidR="00CA5EEA" w:rsidRPr="005953B3" w14:paraId="38208D1F" w14:textId="77777777" w:rsidTr="003D0F16">
        <w:tc>
          <w:tcPr>
            <w:tcW w:w="4378" w:type="dxa"/>
          </w:tcPr>
          <w:p w14:paraId="288CC854" w14:textId="2A1A21A9" w:rsidR="00CA5EEA" w:rsidRPr="00323916" w:rsidRDefault="1E127F2F" w:rsidP="003D0F16">
            <w:pPr>
              <w:pStyle w:val="TableText"/>
            </w:pPr>
            <w:r>
              <w:t>Participating</w:t>
            </w:r>
            <w:r w:rsidR="00CA5EEA" w:rsidRPr="0029539E">
              <w:t xml:space="preserve"> access site</w:t>
            </w:r>
          </w:p>
        </w:tc>
        <w:tc>
          <w:tcPr>
            <w:tcW w:w="4959" w:type="dxa"/>
          </w:tcPr>
          <w:p w14:paraId="3BEE1821" w14:textId="77777777" w:rsidR="00CA5EEA" w:rsidRPr="00323916" w:rsidRDefault="00CA5EEA" w:rsidP="003D0F16">
            <w:pPr>
              <w:pStyle w:val="TableText"/>
            </w:pPr>
            <w:r w:rsidRPr="0029539E">
              <w:t>An access site which has provided THN to a consumer or witness on at least one occasion as part of the Pilot</w:t>
            </w:r>
          </w:p>
        </w:tc>
      </w:tr>
      <w:tr w:rsidR="00CA5EEA" w:rsidRPr="005953B3" w14:paraId="068047E3" w14:textId="77777777" w:rsidTr="003D0F16">
        <w:tc>
          <w:tcPr>
            <w:tcW w:w="4378" w:type="dxa"/>
          </w:tcPr>
          <w:p w14:paraId="53D29DA6" w14:textId="77777777" w:rsidR="00CA5EEA" w:rsidRPr="00323916" w:rsidRDefault="00CA5EEA" w:rsidP="003D0F16">
            <w:pPr>
              <w:pStyle w:val="TableText"/>
            </w:pPr>
            <w:r w:rsidRPr="0029539E">
              <w:t>Authorised Alternative Supplier</w:t>
            </w:r>
          </w:p>
        </w:tc>
        <w:tc>
          <w:tcPr>
            <w:tcW w:w="4959" w:type="dxa"/>
          </w:tcPr>
          <w:p w14:paraId="51F6DCC5" w14:textId="77777777" w:rsidR="00CA5EEA" w:rsidRPr="00323916" w:rsidRDefault="00CA5EEA" w:rsidP="003D0F16">
            <w:pPr>
              <w:pStyle w:val="TableText"/>
            </w:pPr>
            <w:r w:rsidRPr="0029539E">
              <w:t>A site which is not a community or hospital pharmacy, but which has been credentialled to provide THN under the Pilot e.g., a NSP or health service</w:t>
            </w:r>
          </w:p>
        </w:tc>
      </w:tr>
      <w:tr w:rsidR="00CA5EEA" w:rsidRPr="005953B3" w14:paraId="1D4D3B1B" w14:textId="77777777" w:rsidTr="003D0F16">
        <w:tc>
          <w:tcPr>
            <w:tcW w:w="4378" w:type="dxa"/>
          </w:tcPr>
          <w:p w14:paraId="02528C89" w14:textId="77777777" w:rsidR="00CA5EEA" w:rsidRPr="00323916" w:rsidRDefault="00CA5EEA" w:rsidP="003D0F16">
            <w:pPr>
              <w:pStyle w:val="TableText"/>
            </w:pPr>
            <w:r w:rsidRPr="0029539E">
              <w:t>Community pharmacy</w:t>
            </w:r>
          </w:p>
        </w:tc>
        <w:tc>
          <w:tcPr>
            <w:tcW w:w="4959" w:type="dxa"/>
          </w:tcPr>
          <w:p w14:paraId="33E618AC" w14:textId="77777777" w:rsidR="00CA5EEA" w:rsidRDefault="00CA5EEA" w:rsidP="003D0F16">
            <w:pPr>
              <w:pStyle w:val="TableText"/>
            </w:pPr>
            <w:r w:rsidRPr="0029539E">
              <w:t>A non-hospital (s90) pharmacy</w:t>
            </w:r>
          </w:p>
        </w:tc>
      </w:tr>
      <w:tr w:rsidR="00CA5EEA" w:rsidRPr="005953B3" w14:paraId="3E489A94" w14:textId="77777777" w:rsidTr="003D0F16">
        <w:tc>
          <w:tcPr>
            <w:tcW w:w="4378" w:type="dxa"/>
          </w:tcPr>
          <w:p w14:paraId="36E14344" w14:textId="77777777" w:rsidR="00CA5EEA" w:rsidRPr="00323916" w:rsidRDefault="00CA5EEA" w:rsidP="003D0F16">
            <w:pPr>
              <w:pStyle w:val="TableText"/>
            </w:pPr>
            <w:r w:rsidRPr="0029539E">
              <w:t>Consumer</w:t>
            </w:r>
          </w:p>
        </w:tc>
        <w:tc>
          <w:tcPr>
            <w:tcW w:w="4959" w:type="dxa"/>
          </w:tcPr>
          <w:p w14:paraId="7ADE53FA" w14:textId="77777777" w:rsidR="00CA5EEA" w:rsidRDefault="00CA5EEA" w:rsidP="003D0F16">
            <w:pPr>
              <w:pStyle w:val="TableText"/>
            </w:pPr>
            <w:r w:rsidRPr="0029539E">
              <w:t>A person who uses opioids, whether prescribed or illicit, and is thus at risk of experiencing an opioid overdose</w:t>
            </w:r>
          </w:p>
        </w:tc>
      </w:tr>
      <w:tr w:rsidR="00CA5EEA" w:rsidRPr="005953B3" w14:paraId="268F0249" w14:textId="77777777" w:rsidTr="003D0F16">
        <w:tc>
          <w:tcPr>
            <w:tcW w:w="4378" w:type="dxa"/>
          </w:tcPr>
          <w:p w14:paraId="025EE3E1" w14:textId="77777777" w:rsidR="00CA5EEA" w:rsidRPr="00323916" w:rsidRDefault="00CA5EEA" w:rsidP="003D0F16">
            <w:pPr>
              <w:pStyle w:val="TableText"/>
            </w:pPr>
            <w:r w:rsidRPr="0029539E">
              <w:t>External initiatives</w:t>
            </w:r>
          </w:p>
        </w:tc>
        <w:tc>
          <w:tcPr>
            <w:tcW w:w="4959" w:type="dxa"/>
          </w:tcPr>
          <w:p w14:paraId="0D58E67D" w14:textId="77777777" w:rsidR="00CA5EEA" w:rsidRDefault="00CA5EEA" w:rsidP="003D0F16">
            <w:pPr>
              <w:pStyle w:val="TableText"/>
            </w:pPr>
            <w:r w:rsidRPr="0029539E">
              <w:t>Initiatives which may be aligned with, but are not part of, the THN Pilot (e.g., initiatives in non-participating jurisdictions)</w:t>
            </w:r>
          </w:p>
        </w:tc>
      </w:tr>
      <w:tr w:rsidR="00CA5EEA" w:rsidRPr="005953B3" w14:paraId="0B8A0F12" w14:textId="77777777" w:rsidTr="003D0F16">
        <w:tc>
          <w:tcPr>
            <w:tcW w:w="4378" w:type="dxa"/>
          </w:tcPr>
          <w:p w14:paraId="57576FD4" w14:textId="77777777" w:rsidR="00CA5EEA" w:rsidRPr="00323916" w:rsidRDefault="00CA5EEA" w:rsidP="003D0F16">
            <w:pPr>
              <w:pStyle w:val="TableText"/>
            </w:pPr>
            <w:r w:rsidRPr="0029539E">
              <w:t>Goal</w:t>
            </w:r>
          </w:p>
        </w:tc>
        <w:tc>
          <w:tcPr>
            <w:tcW w:w="4959" w:type="dxa"/>
          </w:tcPr>
          <w:p w14:paraId="5069F287" w14:textId="77777777" w:rsidR="00CA5EEA" w:rsidRDefault="00CA5EEA" w:rsidP="003D0F16">
            <w:pPr>
              <w:pStyle w:val="TableText"/>
            </w:pPr>
            <w:r w:rsidRPr="0029539E">
              <w:t>The higher order program or sector objective/s that the Pilot is intended to achieve</w:t>
            </w:r>
          </w:p>
        </w:tc>
      </w:tr>
      <w:tr w:rsidR="00642733" w:rsidRPr="005953B3" w14:paraId="118F76AA" w14:textId="77777777" w:rsidTr="003D0F16">
        <w:tc>
          <w:tcPr>
            <w:tcW w:w="4378" w:type="dxa"/>
          </w:tcPr>
          <w:p w14:paraId="77732BD6" w14:textId="405083CE" w:rsidR="00642733" w:rsidRPr="0029539E" w:rsidRDefault="00642733" w:rsidP="003D0F16">
            <w:pPr>
              <w:pStyle w:val="TableText"/>
            </w:pPr>
            <w:r>
              <w:t>Illicit opioid</w:t>
            </w:r>
            <w:r w:rsidR="00BB0C05">
              <w:t>s</w:t>
            </w:r>
          </w:p>
        </w:tc>
        <w:tc>
          <w:tcPr>
            <w:tcW w:w="4959" w:type="dxa"/>
          </w:tcPr>
          <w:p w14:paraId="1865B9A4" w14:textId="4991DD16" w:rsidR="00642733" w:rsidRPr="0029539E" w:rsidRDefault="004C4D80" w:rsidP="003D0F16">
            <w:pPr>
              <w:pStyle w:val="TableText"/>
            </w:pPr>
            <w:r>
              <w:t>Opioid drugs (e.g., heroin, opium) that are prohibited by law</w:t>
            </w:r>
          </w:p>
        </w:tc>
      </w:tr>
      <w:tr w:rsidR="00CA5EEA" w:rsidRPr="005953B3" w14:paraId="53A971D0" w14:textId="77777777" w:rsidTr="003D0F16">
        <w:tc>
          <w:tcPr>
            <w:tcW w:w="4378" w:type="dxa"/>
          </w:tcPr>
          <w:p w14:paraId="4A70D9D7" w14:textId="77777777" w:rsidR="00CA5EEA" w:rsidRPr="00323916" w:rsidRDefault="00CA5EEA" w:rsidP="003D0F16">
            <w:pPr>
              <w:pStyle w:val="TableText"/>
            </w:pPr>
            <w:r w:rsidRPr="0029539E">
              <w:t>Impact</w:t>
            </w:r>
          </w:p>
        </w:tc>
        <w:tc>
          <w:tcPr>
            <w:tcW w:w="4959" w:type="dxa"/>
          </w:tcPr>
          <w:p w14:paraId="6661DEB3" w14:textId="77777777" w:rsidR="00CA5EEA" w:rsidRDefault="00CA5EEA" w:rsidP="003D0F16">
            <w:pPr>
              <w:pStyle w:val="TableText"/>
            </w:pPr>
            <w:r w:rsidRPr="0029539E">
              <w:t xml:space="preserve">Change in broader context </w:t>
            </w:r>
            <w:proofErr w:type="gramStart"/>
            <w:r w:rsidRPr="0029539E">
              <w:t>as a result of</w:t>
            </w:r>
            <w:proofErr w:type="gramEnd"/>
            <w:r w:rsidRPr="0029539E">
              <w:t xml:space="preserve"> interventions, events or trends; often much longer term</w:t>
            </w:r>
          </w:p>
        </w:tc>
      </w:tr>
      <w:tr w:rsidR="00CA5EEA" w:rsidRPr="005953B3" w14:paraId="4850ADAE" w14:textId="77777777" w:rsidTr="003D0F16">
        <w:tc>
          <w:tcPr>
            <w:tcW w:w="4378" w:type="dxa"/>
          </w:tcPr>
          <w:p w14:paraId="26800AE9" w14:textId="77777777" w:rsidR="00CA5EEA" w:rsidRDefault="00CA5EEA" w:rsidP="003D0F16">
            <w:pPr>
              <w:pStyle w:val="TableText"/>
            </w:pPr>
            <w:r w:rsidRPr="0029539E">
              <w:t>Initiatives</w:t>
            </w:r>
          </w:p>
        </w:tc>
        <w:tc>
          <w:tcPr>
            <w:tcW w:w="4959" w:type="dxa"/>
          </w:tcPr>
          <w:p w14:paraId="192F5806" w14:textId="77777777" w:rsidR="00CA5EEA" w:rsidRDefault="00CA5EEA" w:rsidP="003D0F16">
            <w:pPr>
              <w:pStyle w:val="TableText"/>
            </w:pPr>
            <w:r w:rsidRPr="0029539E">
              <w:t>Defined activities undertaken as part of the THN Pilot</w:t>
            </w:r>
          </w:p>
        </w:tc>
      </w:tr>
      <w:tr w:rsidR="004C03C9" w:rsidRPr="005953B3" w14:paraId="4E61755C" w14:textId="77777777" w:rsidTr="003D0F16">
        <w:tc>
          <w:tcPr>
            <w:tcW w:w="4378" w:type="dxa"/>
          </w:tcPr>
          <w:p w14:paraId="67E7A4B2" w14:textId="28746E27" w:rsidR="004C03C9" w:rsidRPr="0029539E" w:rsidRDefault="004C03C9" w:rsidP="003D0F16">
            <w:pPr>
              <w:pStyle w:val="TableText"/>
            </w:pPr>
            <w:r>
              <w:t>Non-prescribed</w:t>
            </w:r>
          </w:p>
        </w:tc>
        <w:tc>
          <w:tcPr>
            <w:tcW w:w="4959" w:type="dxa"/>
          </w:tcPr>
          <w:p w14:paraId="3CA62EE2" w14:textId="6A627D5F" w:rsidR="004C03C9" w:rsidRPr="0029539E" w:rsidRDefault="004C03C9" w:rsidP="003D0F16">
            <w:pPr>
              <w:pStyle w:val="TableText"/>
            </w:pPr>
            <w:r>
              <w:t>Describes use of a drug or medication that is not in accordance with the prescription, w</w:t>
            </w:r>
            <w:r w:rsidR="001B3F51">
              <w:t xml:space="preserve">hether in method or amount of use, or </w:t>
            </w:r>
            <w:r w:rsidR="00C7331C">
              <w:t>by a person not named in the prescription</w:t>
            </w:r>
          </w:p>
        </w:tc>
      </w:tr>
      <w:tr w:rsidR="002559EF" w:rsidRPr="005953B3" w14:paraId="2E2D22D4" w14:textId="77777777" w:rsidTr="003D0F16">
        <w:tc>
          <w:tcPr>
            <w:tcW w:w="4378" w:type="dxa"/>
          </w:tcPr>
          <w:p w14:paraId="3272C5C9" w14:textId="05A6DB1B" w:rsidR="002559EF" w:rsidRPr="0029539E" w:rsidRDefault="002559EF" w:rsidP="003D0F16">
            <w:pPr>
              <w:pStyle w:val="TableText"/>
            </w:pPr>
            <w:r>
              <w:t>Opioid</w:t>
            </w:r>
          </w:p>
        </w:tc>
        <w:tc>
          <w:tcPr>
            <w:tcW w:w="4959" w:type="dxa"/>
          </w:tcPr>
          <w:p w14:paraId="781A90AD" w14:textId="4AE44E1B" w:rsidR="002559EF" w:rsidRPr="0029539E" w:rsidRDefault="007C3E08" w:rsidP="003D0F16">
            <w:pPr>
              <w:pStyle w:val="TableText"/>
            </w:pPr>
            <w:r>
              <w:t xml:space="preserve">A class of drugs which </w:t>
            </w:r>
            <w:r w:rsidR="00B32A22">
              <w:t>a</w:t>
            </w:r>
            <w:r w:rsidR="00C202CD">
              <w:t>c</w:t>
            </w:r>
            <w:r w:rsidR="00B32A22">
              <w:t>t on opioid receptors in the brain; include</w:t>
            </w:r>
            <w:r w:rsidR="006B5891">
              <w:t>s</w:t>
            </w:r>
            <w:r w:rsidR="00B32A22">
              <w:t xml:space="preserve"> </w:t>
            </w:r>
            <w:r w:rsidR="00F13AF0">
              <w:t xml:space="preserve">illicit drugs such as heroin, </w:t>
            </w:r>
            <w:r w:rsidR="005C2451">
              <w:t xml:space="preserve">pharmaceutical drugs such as oxycodone and </w:t>
            </w:r>
            <w:r w:rsidR="00C202CD">
              <w:t>morphine) and synthetic drugs such as fentanyl.</w:t>
            </w:r>
            <w:r>
              <w:t xml:space="preserve"> </w:t>
            </w:r>
          </w:p>
        </w:tc>
      </w:tr>
      <w:tr w:rsidR="00CA5EEA" w:rsidRPr="005953B3" w14:paraId="70807FB7" w14:textId="77777777" w:rsidTr="003D0F16">
        <w:tc>
          <w:tcPr>
            <w:tcW w:w="4378" w:type="dxa"/>
          </w:tcPr>
          <w:p w14:paraId="5A23BB55" w14:textId="77777777" w:rsidR="00CA5EEA" w:rsidRPr="00323916" w:rsidRDefault="00CA5EEA" w:rsidP="003D0F16">
            <w:pPr>
              <w:pStyle w:val="TableText"/>
              <w:rPr>
                <w:lang w:val="en-US"/>
              </w:rPr>
            </w:pPr>
            <w:r w:rsidRPr="0029539E">
              <w:t>Outcomes</w:t>
            </w:r>
          </w:p>
        </w:tc>
        <w:tc>
          <w:tcPr>
            <w:tcW w:w="4959" w:type="dxa"/>
          </w:tcPr>
          <w:p w14:paraId="27D6A4E4" w14:textId="77777777" w:rsidR="00CA5EEA" w:rsidRPr="00323916" w:rsidRDefault="00CA5EEA" w:rsidP="003D0F16">
            <w:pPr>
              <w:pStyle w:val="TableText"/>
            </w:pPr>
            <w:r w:rsidRPr="0029539E">
              <w:t xml:space="preserve">Changes expected to occur after the delivery of an output or several outputs; broken down into immediate, intermediate, or long term, with timeframes defined for the Pilot </w:t>
            </w:r>
          </w:p>
        </w:tc>
      </w:tr>
      <w:tr w:rsidR="00CA5EEA" w:rsidRPr="005953B3" w14:paraId="0EA55B4B" w14:textId="77777777" w:rsidTr="003D0F16">
        <w:tc>
          <w:tcPr>
            <w:tcW w:w="4378" w:type="dxa"/>
          </w:tcPr>
          <w:p w14:paraId="0CB074DD" w14:textId="77777777" w:rsidR="00CA5EEA" w:rsidRPr="00323916" w:rsidRDefault="00CA5EEA" w:rsidP="003D0F16">
            <w:pPr>
              <w:pStyle w:val="TableText"/>
            </w:pPr>
            <w:r w:rsidRPr="0029539E">
              <w:t>Output</w:t>
            </w:r>
          </w:p>
        </w:tc>
        <w:tc>
          <w:tcPr>
            <w:tcW w:w="4959" w:type="dxa"/>
          </w:tcPr>
          <w:p w14:paraId="687FEC9E" w14:textId="77777777" w:rsidR="00CA5EEA" w:rsidRDefault="00CA5EEA" w:rsidP="003D0F16">
            <w:pPr>
              <w:pStyle w:val="TableText"/>
            </w:pPr>
            <w:r w:rsidRPr="0029539E">
              <w:t>A defined quantity of events or services provided by the Pilot</w:t>
            </w:r>
          </w:p>
        </w:tc>
      </w:tr>
      <w:tr w:rsidR="00614E0E" w:rsidRPr="005953B3" w14:paraId="63D8BF29" w14:textId="77777777" w:rsidTr="003D0F16">
        <w:tc>
          <w:tcPr>
            <w:tcW w:w="4378" w:type="dxa"/>
          </w:tcPr>
          <w:p w14:paraId="37951FA4" w14:textId="5D579DAF" w:rsidR="00614E0E" w:rsidRPr="0029539E" w:rsidRDefault="00614E0E" w:rsidP="003D0F16">
            <w:pPr>
              <w:pStyle w:val="TableText"/>
            </w:pPr>
            <w:r>
              <w:t>O</w:t>
            </w:r>
            <w:r w:rsidR="00E55DEE">
              <w:t>pioid o</w:t>
            </w:r>
            <w:r>
              <w:t>verdose</w:t>
            </w:r>
          </w:p>
        </w:tc>
        <w:tc>
          <w:tcPr>
            <w:tcW w:w="4959" w:type="dxa"/>
          </w:tcPr>
          <w:p w14:paraId="6EEBB702" w14:textId="6E375C8B" w:rsidR="00614E0E" w:rsidRPr="0029539E" w:rsidRDefault="0079665F" w:rsidP="003D0F16">
            <w:pPr>
              <w:pStyle w:val="TableText"/>
            </w:pPr>
            <w:r>
              <w:t xml:space="preserve">An occasion on which a person ingests a quantity of </w:t>
            </w:r>
            <w:r w:rsidR="00E55DEE">
              <w:t>opioid that causes an adverse reaction, including respiratory depression</w:t>
            </w:r>
            <w:r w:rsidR="00892BDD">
              <w:t>, loss of consciousness</w:t>
            </w:r>
            <w:r w:rsidR="009115BD">
              <w:t>,</w:t>
            </w:r>
            <w:r w:rsidR="00766262">
              <w:t xml:space="preserve"> vomiting</w:t>
            </w:r>
            <w:r w:rsidR="009115BD">
              <w:t xml:space="preserve"> and/or death</w:t>
            </w:r>
          </w:p>
        </w:tc>
      </w:tr>
      <w:tr w:rsidR="00CA5EEA" w:rsidRPr="005953B3" w14:paraId="25E6C508" w14:textId="77777777" w:rsidTr="003D0F16">
        <w:tc>
          <w:tcPr>
            <w:tcW w:w="4378" w:type="dxa"/>
          </w:tcPr>
          <w:p w14:paraId="78AC0351" w14:textId="77777777" w:rsidR="00CA5EEA" w:rsidRPr="00323916" w:rsidRDefault="00CA5EEA" w:rsidP="003D0F16">
            <w:pPr>
              <w:pStyle w:val="TableText"/>
            </w:pPr>
            <w:r w:rsidRPr="0029539E">
              <w:lastRenderedPageBreak/>
              <w:t>Pilot Administrator</w:t>
            </w:r>
          </w:p>
        </w:tc>
        <w:tc>
          <w:tcPr>
            <w:tcW w:w="4959" w:type="dxa"/>
          </w:tcPr>
          <w:p w14:paraId="7A0827AB" w14:textId="355D52FC" w:rsidR="00CA5EEA" w:rsidRDefault="00CA5EEA" w:rsidP="003D0F16">
            <w:pPr>
              <w:pStyle w:val="TableText"/>
            </w:pPr>
            <w:r w:rsidRPr="0029539E">
              <w:t xml:space="preserve">Australian Healthcare Associates, contracted by </w:t>
            </w:r>
            <w:r w:rsidR="6D4D7C86">
              <w:t>the Department</w:t>
            </w:r>
            <w:r w:rsidRPr="0029539E">
              <w:t xml:space="preserve"> to administer the THN Pilot</w:t>
            </w:r>
          </w:p>
        </w:tc>
      </w:tr>
      <w:tr w:rsidR="00CA5EEA" w:rsidRPr="005953B3" w14:paraId="352D2515" w14:textId="77777777" w:rsidTr="003D0F16">
        <w:tc>
          <w:tcPr>
            <w:tcW w:w="4378" w:type="dxa"/>
          </w:tcPr>
          <w:p w14:paraId="21218BC4" w14:textId="77777777" w:rsidR="00CA5EEA" w:rsidRPr="00323916" w:rsidRDefault="00CA5EEA" w:rsidP="003D0F16">
            <w:pPr>
              <w:pStyle w:val="TableText"/>
            </w:pPr>
            <w:r w:rsidRPr="0029539E">
              <w:t>Portal</w:t>
            </w:r>
          </w:p>
        </w:tc>
        <w:tc>
          <w:tcPr>
            <w:tcW w:w="4959" w:type="dxa"/>
          </w:tcPr>
          <w:p w14:paraId="1EFB9919" w14:textId="77777777" w:rsidR="00CA5EEA" w:rsidRPr="00323916" w:rsidRDefault="00CA5EEA" w:rsidP="003D0F16">
            <w:pPr>
              <w:pStyle w:val="TableText"/>
            </w:pPr>
            <w:r w:rsidRPr="0029539E">
              <w:t xml:space="preserve">The electronic portal established by the Pilot Administrator; through which suppliers report supply of naloxone for data collection and </w:t>
            </w:r>
            <w:r>
              <w:t xml:space="preserve">receive </w:t>
            </w:r>
            <w:r w:rsidRPr="0029539E">
              <w:t>reimbursement</w:t>
            </w:r>
          </w:p>
        </w:tc>
      </w:tr>
      <w:tr w:rsidR="00DC4A48" w:rsidRPr="005953B3" w14:paraId="20B82F72" w14:textId="77777777" w:rsidTr="003D0F16">
        <w:tc>
          <w:tcPr>
            <w:tcW w:w="4378" w:type="dxa"/>
          </w:tcPr>
          <w:p w14:paraId="01923504" w14:textId="2445B9BB" w:rsidR="00DC4A48" w:rsidRDefault="00DC4A48" w:rsidP="003D0F16">
            <w:pPr>
              <w:pStyle w:val="TableText"/>
            </w:pPr>
            <w:r>
              <w:t>P</w:t>
            </w:r>
            <w:r w:rsidR="00023EE5">
              <w:t xml:space="preserve">BS </w:t>
            </w:r>
            <w:r>
              <w:t>Prescriber Bag</w:t>
            </w:r>
          </w:p>
        </w:tc>
        <w:tc>
          <w:tcPr>
            <w:tcW w:w="4959" w:type="dxa"/>
          </w:tcPr>
          <w:p w14:paraId="61089139" w14:textId="2C67E82A" w:rsidR="00DC4A48" w:rsidRDefault="5EBCD10A" w:rsidP="003D0F16">
            <w:pPr>
              <w:pStyle w:val="TableText"/>
            </w:pPr>
            <w:r>
              <w:t>Medicines subsidised on the Pharmaceutical Benefits Scheme</w:t>
            </w:r>
            <w:r w:rsidR="00023EE5">
              <w:t xml:space="preserve"> that are available without charge to prescribers </w:t>
            </w:r>
            <w:r w:rsidR="7E1A8015">
              <w:t>for</w:t>
            </w:r>
            <w:r w:rsidR="00023EE5">
              <w:t xml:space="preserve"> supply to </w:t>
            </w:r>
            <w:r w:rsidR="0046492F">
              <w:t>patients for emergency use</w:t>
            </w:r>
          </w:p>
        </w:tc>
      </w:tr>
      <w:tr w:rsidR="008E29EC" w:rsidRPr="005953B3" w14:paraId="64CA45B8" w14:textId="77777777" w:rsidTr="003D0F16">
        <w:tc>
          <w:tcPr>
            <w:tcW w:w="4378" w:type="dxa"/>
          </w:tcPr>
          <w:p w14:paraId="1808D8F6" w14:textId="72AC3E69" w:rsidR="008E29EC" w:rsidRPr="0029539E" w:rsidRDefault="008E29EC" w:rsidP="003D0F16">
            <w:pPr>
              <w:pStyle w:val="TableText"/>
            </w:pPr>
            <w:r>
              <w:t>Prescribed opioid</w:t>
            </w:r>
          </w:p>
        </w:tc>
        <w:tc>
          <w:tcPr>
            <w:tcW w:w="4959" w:type="dxa"/>
          </w:tcPr>
          <w:p w14:paraId="267800FA" w14:textId="5ECC5F6E" w:rsidR="008E29EC" w:rsidRPr="0029539E" w:rsidRDefault="00BD6F4B" w:rsidP="003D0F16">
            <w:pPr>
              <w:pStyle w:val="TableText"/>
            </w:pPr>
            <w:r>
              <w:t>An opioid medicine which is prescribed by an approved practitioner</w:t>
            </w:r>
            <w:r w:rsidR="00B041A8">
              <w:t xml:space="preserve"> </w:t>
            </w:r>
          </w:p>
        </w:tc>
      </w:tr>
      <w:tr w:rsidR="00CA5EEA" w:rsidRPr="005953B3" w14:paraId="10468949" w14:textId="77777777" w:rsidTr="003D0F16">
        <w:tc>
          <w:tcPr>
            <w:tcW w:w="4378" w:type="dxa"/>
          </w:tcPr>
          <w:p w14:paraId="1FF457AB" w14:textId="77777777" w:rsidR="00CA5EEA" w:rsidRPr="00323916" w:rsidRDefault="00CA5EEA" w:rsidP="003D0F16">
            <w:pPr>
              <w:pStyle w:val="TableText"/>
            </w:pPr>
            <w:r w:rsidRPr="0029539E">
              <w:t>Problem statement</w:t>
            </w:r>
          </w:p>
        </w:tc>
        <w:tc>
          <w:tcPr>
            <w:tcW w:w="4959" w:type="dxa"/>
          </w:tcPr>
          <w:p w14:paraId="7BD40812" w14:textId="77777777" w:rsidR="00CA5EEA" w:rsidRPr="00323916" w:rsidRDefault="00CA5EEA" w:rsidP="003D0F16">
            <w:pPr>
              <w:pStyle w:val="TableText"/>
            </w:pPr>
            <w:r w:rsidRPr="0029539E">
              <w:t>Describes the nature and extent of the problem that needs to be addressed by the Pilot</w:t>
            </w:r>
          </w:p>
        </w:tc>
      </w:tr>
      <w:tr w:rsidR="00CA5EEA" w:rsidRPr="005953B3" w14:paraId="1F248600" w14:textId="77777777" w:rsidTr="003D0F16">
        <w:tc>
          <w:tcPr>
            <w:tcW w:w="4378" w:type="dxa"/>
          </w:tcPr>
          <w:p w14:paraId="7D0D7AFA" w14:textId="77777777" w:rsidR="00CA5EEA" w:rsidRPr="00323916" w:rsidRDefault="00CA5EEA" w:rsidP="003D0F16">
            <w:pPr>
              <w:pStyle w:val="TableText"/>
              <w:rPr>
                <w:iCs/>
              </w:rPr>
            </w:pPr>
            <w:r w:rsidRPr="0029539E">
              <w:t>Program services</w:t>
            </w:r>
          </w:p>
        </w:tc>
        <w:tc>
          <w:tcPr>
            <w:tcW w:w="4959" w:type="dxa"/>
          </w:tcPr>
          <w:p w14:paraId="0933B146" w14:textId="77777777" w:rsidR="00CA5EEA" w:rsidRPr="00323916" w:rsidRDefault="00CA5EEA" w:rsidP="003D0F16">
            <w:pPr>
              <w:pStyle w:val="TableText"/>
            </w:pPr>
            <w:r w:rsidRPr="0029539E">
              <w:t>Any services provided as part of the THN Pilot</w:t>
            </w:r>
          </w:p>
        </w:tc>
      </w:tr>
      <w:tr w:rsidR="00CA5EEA" w:rsidRPr="005953B3" w14:paraId="7EAAC707" w14:textId="77777777" w:rsidTr="003D0F16">
        <w:tc>
          <w:tcPr>
            <w:tcW w:w="4378" w:type="dxa"/>
          </w:tcPr>
          <w:p w14:paraId="573570FC" w14:textId="77777777" w:rsidR="00CA5EEA" w:rsidRPr="00323916" w:rsidRDefault="00CA5EEA" w:rsidP="003D0F16">
            <w:pPr>
              <w:pStyle w:val="TableText"/>
              <w:rPr>
                <w:lang w:val="en-US"/>
              </w:rPr>
            </w:pPr>
            <w:r w:rsidRPr="0029539E">
              <w:t>Provision events</w:t>
            </w:r>
          </w:p>
        </w:tc>
        <w:tc>
          <w:tcPr>
            <w:tcW w:w="4959" w:type="dxa"/>
          </w:tcPr>
          <w:p w14:paraId="383C5C39" w14:textId="2375D911" w:rsidR="00CA5EEA" w:rsidRPr="00323916" w:rsidRDefault="00CA5EEA" w:rsidP="003D0F16">
            <w:pPr>
              <w:pStyle w:val="TableText"/>
              <w:rPr>
                <w:lang w:val="en-US"/>
              </w:rPr>
            </w:pPr>
            <w:r w:rsidRPr="0029539E">
              <w:t>Occasions where take</w:t>
            </w:r>
            <w:r w:rsidR="002105F3">
              <w:t xml:space="preserve"> </w:t>
            </w:r>
            <w:r w:rsidRPr="0029539E">
              <w:t>home-naloxone is provided to a consumer or witness at an access site as part of the Pilot</w:t>
            </w:r>
          </w:p>
        </w:tc>
      </w:tr>
      <w:tr w:rsidR="00CA5EEA" w:rsidRPr="005953B3" w14:paraId="12FBC488" w14:textId="77777777" w:rsidTr="003D0F16">
        <w:tc>
          <w:tcPr>
            <w:tcW w:w="4378" w:type="dxa"/>
          </w:tcPr>
          <w:p w14:paraId="78A24CF4" w14:textId="77777777" w:rsidR="00CA5EEA" w:rsidRPr="00323916" w:rsidRDefault="00CA5EEA" w:rsidP="003D0F16">
            <w:pPr>
              <w:pStyle w:val="TableText"/>
              <w:rPr>
                <w:lang w:val="en-US"/>
              </w:rPr>
            </w:pPr>
            <w:r w:rsidRPr="0029539E">
              <w:t>The Pilot</w:t>
            </w:r>
          </w:p>
        </w:tc>
        <w:tc>
          <w:tcPr>
            <w:tcW w:w="4959" w:type="dxa"/>
          </w:tcPr>
          <w:p w14:paraId="056F1EC3" w14:textId="77777777" w:rsidR="00CA5EEA" w:rsidRPr="00323916" w:rsidRDefault="00CA5EEA" w:rsidP="003D0F16">
            <w:pPr>
              <w:pStyle w:val="TableText"/>
              <w:rPr>
                <w:lang w:val="en-US"/>
              </w:rPr>
            </w:pPr>
            <w:r w:rsidRPr="0029539E">
              <w:t>The Pharmaceutical Benefits Scheme Subsidised Take Home Naloxone Pilot (the Pilot)</w:t>
            </w:r>
          </w:p>
        </w:tc>
      </w:tr>
      <w:tr w:rsidR="00CA5EEA" w:rsidRPr="005953B3" w14:paraId="3750F9E0" w14:textId="77777777" w:rsidTr="003D0F16">
        <w:tc>
          <w:tcPr>
            <w:tcW w:w="4378" w:type="dxa"/>
          </w:tcPr>
          <w:p w14:paraId="5FAF56E4" w14:textId="77777777" w:rsidR="00CA5EEA" w:rsidRPr="0029539E" w:rsidRDefault="00CA5EEA" w:rsidP="003D0F16">
            <w:pPr>
              <w:pStyle w:val="TableText"/>
            </w:pPr>
            <w:r>
              <w:t>The Department</w:t>
            </w:r>
          </w:p>
        </w:tc>
        <w:tc>
          <w:tcPr>
            <w:tcW w:w="4959" w:type="dxa"/>
          </w:tcPr>
          <w:p w14:paraId="64A55F96" w14:textId="45BB4CC8" w:rsidR="00CA5EEA" w:rsidRPr="0029539E" w:rsidRDefault="00CA5EEA" w:rsidP="003D0F16">
            <w:pPr>
              <w:pStyle w:val="TableText"/>
            </w:pPr>
            <w:r>
              <w:t>Australian Government Department of Health</w:t>
            </w:r>
          </w:p>
        </w:tc>
      </w:tr>
      <w:tr w:rsidR="00CA5EEA" w:rsidRPr="005953B3" w14:paraId="7A7745BB" w14:textId="77777777" w:rsidTr="003D0F16">
        <w:tc>
          <w:tcPr>
            <w:tcW w:w="4378" w:type="dxa"/>
          </w:tcPr>
          <w:p w14:paraId="388ECDEF" w14:textId="77777777" w:rsidR="00CA5EEA" w:rsidRPr="00323916" w:rsidRDefault="00CA5EEA" w:rsidP="003D0F16">
            <w:pPr>
              <w:pStyle w:val="TableText"/>
              <w:rPr>
                <w:lang w:val="en-US"/>
              </w:rPr>
            </w:pPr>
            <w:r w:rsidRPr="0029539E">
              <w:t>Witness</w:t>
            </w:r>
          </w:p>
        </w:tc>
        <w:tc>
          <w:tcPr>
            <w:tcW w:w="4959" w:type="dxa"/>
          </w:tcPr>
          <w:p w14:paraId="597F0F35" w14:textId="77777777" w:rsidR="00CA5EEA" w:rsidRPr="00323916" w:rsidRDefault="00CA5EEA" w:rsidP="003D0F16">
            <w:pPr>
              <w:pStyle w:val="TableText"/>
              <w:rPr>
                <w:lang w:val="en-US"/>
              </w:rPr>
            </w:pPr>
            <w:r w:rsidRPr="0029539E">
              <w:t>A person who is likely to observe or witness an opioid overdose, whether they consume opioids or not</w:t>
            </w:r>
          </w:p>
        </w:tc>
      </w:tr>
    </w:tbl>
    <w:p w14:paraId="4CBB2333" w14:textId="77777777" w:rsidR="00CA5EEA" w:rsidRDefault="00CA5EEA" w:rsidP="003D0F16"/>
    <w:tbl>
      <w:tblPr>
        <w:tblStyle w:val="TableUQ"/>
        <w:tblW w:w="4990" w:type="pct"/>
        <w:tblInd w:w="10" w:type="dxa"/>
        <w:tblLook w:val="0620" w:firstRow="1" w:lastRow="0" w:firstColumn="0" w:lastColumn="0" w:noHBand="1" w:noVBand="1"/>
      </w:tblPr>
      <w:tblGrid>
        <w:gridCol w:w="3551"/>
        <w:gridCol w:w="5776"/>
      </w:tblGrid>
      <w:tr w:rsidR="00CA5EEA" w:rsidRPr="005953B3" w14:paraId="013426C1" w14:textId="77777777" w:rsidTr="009D10AE">
        <w:trPr>
          <w:cnfStyle w:val="100000000000" w:firstRow="1" w:lastRow="0" w:firstColumn="0" w:lastColumn="0" w:oddVBand="0" w:evenVBand="0" w:oddHBand="0" w:evenHBand="0" w:firstRowFirstColumn="0" w:firstRowLastColumn="0" w:lastRowFirstColumn="0" w:lastRowLastColumn="0"/>
          <w:tblHeader/>
        </w:trPr>
        <w:tc>
          <w:tcPr>
            <w:tcW w:w="0" w:type="dxa"/>
            <w:gridSpan w:val="2"/>
            <w:vAlign w:val="center"/>
          </w:tcPr>
          <w:p w14:paraId="42423691" w14:textId="77777777" w:rsidR="00CA5EEA" w:rsidRPr="0029539E" w:rsidRDefault="00CA5EEA" w:rsidP="003D0F16">
            <w:pPr>
              <w:pStyle w:val="TableText"/>
            </w:pPr>
            <w:r w:rsidRPr="00522D53">
              <w:rPr>
                <w:color w:val="auto"/>
                <w:lang w:val="en-US"/>
              </w:rPr>
              <w:t>Naloxone formulations available through the Pilot (supplier)</w:t>
            </w:r>
          </w:p>
        </w:tc>
      </w:tr>
      <w:tr w:rsidR="00CA5EEA" w:rsidRPr="005953B3" w14:paraId="70A833CE" w14:textId="77777777" w:rsidTr="003D0F16">
        <w:tc>
          <w:tcPr>
            <w:tcW w:w="0" w:type="dxa"/>
            <w:vAlign w:val="center"/>
          </w:tcPr>
          <w:p w14:paraId="48BF77EE" w14:textId="77777777" w:rsidR="00CA5EEA" w:rsidRPr="00522D53" w:rsidRDefault="00CA5EEA" w:rsidP="003D0F16">
            <w:pPr>
              <w:pStyle w:val="TableText"/>
              <w:rPr>
                <w:lang w:val="en-US"/>
              </w:rPr>
            </w:pPr>
            <w:proofErr w:type="spellStart"/>
            <w:r>
              <w:rPr>
                <w:lang w:val="en-US"/>
              </w:rPr>
              <w:t>Junalox</w:t>
            </w:r>
            <w:proofErr w:type="spellEnd"/>
            <w:r>
              <w:rPr>
                <w:rFonts w:cstheme="minorHAnsi"/>
              </w:rPr>
              <w:t>®</w:t>
            </w:r>
            <w:r>
              <w:rPr>
                <w:lang w:val="en-US"/>
              </w:rPr>
              <w:t xml:space="preserve"> (Juno)</w:t>
            </w:r>
          </w:p>
        </w:tc>
        <w:tc>
          <w:tcPr>
            <w:tcW w:w="0" w:type="dxa"/>
            <w:vAlign w:val="center"/>
          </w:tcPr>
          <w:p w14:paraId="7468B9AE" w14:textId="1BB721BF" w:rsidR="00CA5EEA" w:rsidRPr="0029539E" w:rsidRDefault="00CA5EEA" w:rsidP="003D0F16">
            <w:pPr>
              <w:pStyle w:val="TableText"/>
            </w:pPr>
            <w:r>
              <w:rPr>
                <w:lang w:val="en-US"/>
              </w:rPr>
              <w:t xml:space="preserve">Ampoules; 400 micrograms in 1ml for intramuscular injection; </w:t>
            </w:r>
            <w:r w:rsidR="006613C0">
              <w:rPr>
                <w:lang w:val="en-US"/>
              </w:rPr>
              <w:t>un</w:t>
            </w:r>
            <w:r w:rsidR="000A7EC0">
              <w:rPr>
                <w:lang w:val="en-US"/>
              </w:rPr>
              <w:t xml:space="preserve">it = </w:t>
            </w:r>
            <w:r>
              <w:rPr>
                <w:lang w:val="en-US"/>
              </w:rPr>
              <w:t>pack of 5 ampoules</w:t>
            </w:r>
          </w:p>
        </w:tc>
      </w:tr>
      <w:tr w:rsidR="00CA5EEA" w:rsidRPr="005953B3" w14:paraId="1E702DDC" w14:textId="77777777" w:rsidTr="003D0F16">
        <w:tc>
          <w:tcPr>
            <w:tcW w:w="0" w:type="dxa"/>
            <w:vAlign w:val="center"/>
          </w:tcPr>
          <w:p w14:paraId="7FD85FBE" w14:textId="64FD8A1F" w:rsidR="00CA5EEA" w:rsidRDefault="626B12F7" w:rsidP="003D0F16">
            <w:pPr>
              <w:pStyle w:val="TableText"/>
              <w:rPr>
                <w:lang w:val="en-US"/>
              </w:rPr>
            </w:pPr>
            <w:r w:rsidRPr="50AFEB60">
              <w:rPr>
                <w:lang w:val="en-US"/>
              </w:rPr>
              <w:t>DBL</w:t>
            </w:r>
            <w:r w:rsidRPr="50AFEB60">
              <w:t>®</w:t>
            </w:r>
            <w:r w:rsidRPr="50AFEB60">
              <w:rPr>
                <w:lang w:val="en-US"/>
              </w:rPr>
              <w:t xml:space="preserve"> </w:t>
            </w:r>
            <w:r w:rsidR="00CA5EEA">
              <w:rPr>
                <w:lang w:val="en-US"/>
              </w:rPr>
              <w:t>Naloxone hydrochloride (DBL)</w:t>
            </w:r>
          </w:p>
        </w:tc>
        <w:tc>
          <w:tcPr>
            <w:tcW w:w="0" w:type="dxa"/>
            <w:vAlign w:val="center"/>
          </w:tcPr>
          <w:p w14:paraId="2ADDEA3F" w14:textId="0E359F1E" w:rsidR="00CA5EEA" w:rsidRDefault="00CA5EEA" w:rsidP="003D0F16">
            <w:pPr>
              <w:pStyle w:val="TableText"/>
              <w:rPr>
                <w:lang w:val="en-US"/>
              </w:rPr>
            </w:pPr>
            <w:r>
              <w:rPr>
                <w:lang w:val="en-US"/>
              </w:rPr>
              <w:t xml:space="preserve">Ampoules; 400 micrograms in 1mL for intravenous injection; </w:t>
            </w:r>
            <w:r w:rsidR="000A7EC0">
              <w:rPr>
                <w:lang w:val="en-US"/>
              </w:rPr>
              <w:t xml:space="preserve">unit = </w:t>
            </w:r>
            <w:r>
              <w:rPr>
                <w:lang w:val="en-US"/>
              </w:rPr>
              <w:t>pack of 5 ampoules; early formulation</w:t>
            </w:r>
          </w:p>
        </w:tc>
      </w:tr>
      <w:tr w:rsidR="00CA5EEA" w:rsidRPr="005953B3" w14:paraId="50CCF7B1" w14:textId="77777777" w:rsidTr="003D0F16">
        <w:tc>
          <w:tcPr>
            <w:tcW w:w="0" w:type="dxa"/>
            <w:vAlign w:val="center"/>
          </w:tcPr>
          <w:p w14:paraId="509C0286" w14:textId="77777777" w:rsidR="00CA5EEA" w:rsidRDefault="00CA5EEA" w:rsidP="003D0F16">
            <w:pPr>
              <w:pStyle w:val="TableText"/>
              <w:rPr>
                <w:lang w:val="en-US"/>
              </w:rPr>
            </w:pPr>
            <w:r>
              <w:rPr>
                <w:lang w:val="en-US"/>
              </w:rPr>
              <w:t>Naloxone Juno</w:t>
            </w:r>
            <w:r>
              <w:rPr>
                <w:rFonts w:cstheme="minorHAnsi"/>
              </w:rPr>
              <w:t>®</w:t>
            </w:r>
            <w:r>
              <w:rPr>
                <w:lang w:val="en-US"/>
              </w:rPr>
              <w:t xml:space="preserve"> (Juno)</w:t>
            </w:r>
          </w:p>
        </w:tc>
        <w:tc>
          <w:tcPr>
            <w:tcW w:w="0" w:type="dxa"/>
            <w:vAlign w:val="center"/>
          </w:tcPr>
          <w:p w14:paraId="0C19B1F7" w14:textId="3771D96F" w:rsidR="00CA5EEA" w:rsidRDefault="00CA5EEA" w:rsidP="003D0F16">
            <w:pPr>
              <w:pStyle w:val="TableText"/>
              <w:rPr>
                <w:lang w:val="en-US"/>
              </w:rPr>
            </w:pPr>
            <w:r>
              <w:rPr>
                <w:lang w:val="en-US"/>
              </w:rPr>
              <w:t xml:space="preserve">Ampoules; 400 micrograms in 1mL for intramuscular/ subcutaneous/intravenous injection; </w:t>
            </w:r>
            <w:r w:rsidR="000A7EC0">
              <w:rPr>
                <w:lang w:val="en-US"/>
              </w:rPr>
              <w:t xml:space="preserve">unit = </w:t>
            </w:r>
            <w:r>
              <w:rPr>
                <w:lang w:val="en-US"/>
              </w:rPr>
              <w:t>pack of 5 ampoules</w:t>
            </w:r>
          </w:p>
        </w:tc>
      </w:tr>
      <w:tr w:rsidR="00CA5EEA" w:rsidRPr="005953B3" w14:paraId="625E66C6" w14:textId="77777777" w:rsidTr="003D0F16">
        <w:tc>
          <w:tcPr>
            <w:tcW w:w="0" w:type="dxa"/>
            <w:vAlign w:val="center"/>
          </w:tcPr>
          <w:p w14:paraId="62472C85" w14:textId="77777777" w:rsidR="00CA5EEA" w:rsidRDefault="00CA5EEA" w:rsidP="003D0F16">
            <w:pPr>
              <w:pStyle w:val="TableText"/>
              <w:rPr>
                <w:lang w:val="en-US"/>
              </w:rPr>
            </w:pPr>
            <w:proofErr w:type="spellStart"/>
            <w:r>
              <w:t>Nyxoid</w:t>
            </w:r>
            <w:proofErr w:type="spellEnd"/>
            <w:r>
              <w:rPr>
                <w:rFonts w:cstheme="minorHAnsi"/>
              </w:rPr>
              <w:t>®</w:t>
            </w:r>
            <w:r w:rsidDel="004707F1">
              <w:rPr>
                <w:lang w:val="en-US"/>
              </w:rPr>
              <w:t xml:space="preserve"> </w:t>
            </w:r>
            <w:r>
              <w:rPr>
                <w:lang w:val="en-US"/>
              </w:rPr>
              <w:t>(</w:t>
            </w:r>
            <w:proofErr w:type="spellStart"/>
            <w:r>
              <w:rPr>
                <w:lang w:val="en-US"/>
              </w:rPr>
              <w:t>Mundipharma</w:t>
            </w:r>
            <w:proofErr w:type="spellEnd"/>
            <w:r>
              <w:rPr>
                <w:lang w:val="en-US"/>
              </w:rPr>
              <w:t>)</w:t>
            </w:r>
          </w:p>
        </w:tc>
        <w:tc>
          <w:tcPr>
            <w:tcW w:w="0" w:type="dxa"/>
            <w:vAlign w:val="center"/>
          </w:tcPr>
          <w:p w14:paraId="5F83E7BF" w14:textId="6145C58B" w:rsidR="00CA5EEA" w:rsidRDefault="00CA5EEA" w:rsidP="003D0F16">
            <w:pPr>
              <w:pStyle w:val="TableText"/>
              <w:rPr>
                <w:lang w:val="en-US"/>
              </w:rPr>
            </w:pPr>
            <w:r>
              <w:rPr>
                <w:lang w:val="en-US"/>
              </w:rPr>
              <w:t xml:space="preserve">Intranasal spray; 1.8mg in 0.1ml, </w:t>
            </w:r>
            <w:r w:rsidR="000A7EC0">
              <w:rPr>
                <w:lang w:val="en-US"/>
              </w:rPr>
              <w:t xml:space="preserve">unit - </w:t>
            </w:r>
            <w:r>
              <w:rPr>
                <w:lang w:val="en-US"/>
              </w:rPr>
              <w:t xml:space="preserve">pack of 2 spray </w:t>
            </w:r>
            <w:r w:rsidR="00B72484">
              <w:rPr>
                <w:lang w:val="en-US"/>
              </w:rPr>
              <w:t>actuations</w:t>
            </w:r>
          </w:p>
        </w:tc>
      </w:tr>
      <w:tr w:rsidR="00CA5EEA" w:rsidRPr="005953B3" w14:paraId="444327A1" w14:textId="77777777" w:rsidTr="003D0F16">
        <w:tc>
          <w:tcPr>
            <w:tcW w:w="0" w:type="dxa"/>
            <w:vAlign w:val="center"/>
          </w:tcPr>
          <w:p w14:paraId="5A999258" w14:textId="77777777" w:rsidR="00CA5EEA" w:rsidRDefault="00CA5EEA" w:rsidP="003D0F16">
            <w:pPr>
              <w:pStyle w:val="TableText"/>
            </w:pPr>
            <w:proofErr w:type="spellStart"/>
            <w:r>
              <w:rPr>
                <w:lang w:val="en-US"/>
              </w:rPr>
              <w:t>Prenoxad</w:t>
            </w:r>
            <w:proofErr w:type="spellEnd"/>
            <w:r>
              <w:rPr>
                <w:rFonts w:cstheme="minorHAnsi"/>
              </w:rPr>
              <w:t>®</w:t>
            </w:r>
            <w:r>
              <w:rPr>
                <w:lang w:val="en-US"/>
              </w:rPr>
              <w:t xml:space="preserve"> (</w:t>
            </w:r>
            <w:proofErr w:type="spellStart"/>
            <w:r>
              <w:rPr>
                <w:lang w:val="en-US"/>
              </w:rPr>
              <w:t>Phebra</w:t>
            </w:r>
            <w:proofErr w:type="spellEnd"/>
            <w:r>
              <w:rPr>
                <w:lang w:val="en-US"/>
              </w:rPr>
              <w:t>)</w:t>
            </w:r>
          </w:p>
        </w:tc>
        <w:tc>
          <w:tcPr>
            <w:tcW w:w="0" w:type="dxa"/>
            <w:vAlign w:val="center"/>
          </w:tcPr>
          <w:p w14:paraId="509020B2" w14:textId="5E258AAC" w:rsidR="00CA5EEA" w:rsidRDefault="00CA5EEA" w:rsidP="003D0F16">
            <w:pPr>
              <w:pStyle w:val="TableText"/>
              <w:rPr>
                <w:lang w:val="en-US"/>
              </w:rPr>
            </w:pPr>
            <w:r>
              <w:rPr>
                <w:lang w:val="en-US"/>
              </w:rPr>
              <w:t xml:space="preserve">Pre-filled syringes; 1mg/mL in 2mL for intramuscular injection; </w:t>
            </w:r>
            <w:r w:rsidR="00B72484">
              <w:rPr>
                <w:lang w:val="en-US"/>
              </w:rPr>
              <w:t xml:space="preserve">unit = </w:t>
            </w:r>
            <w:r>
              <w:rPr>
                <w:lang w:val="en-US"/>
              </w:rPr>
              <w:t>pack of 1 syringe</w:t>
            </w:r>
          </w:p>
        </w:tc>
      </w:tr>
    </w:tbl>
    <w:p w14:paraId="375A3985" w14:textId="1B19A162" w:rsidR="00CA5EEA" w:rsidRDefault="001E440B">
      <w:pPr>
        <w:spacing w:after="160" w:line="259" w:lineRule="auto"/>
      </w:pPr>
      <w:r>
        <w:br w:type="page"/>
      </w:r>
    </w:p>
    <w:p w14:paraId="6BB1438C" w14:textId="6509FFFA" w:rsidR="00CA5EEA" w:rsidRDefault="00CA5EEA" w:rsidP="009D10AE">
      <w:pPr>
        <w:pStyle w:val="Heading1"/>
        <w:rPr>
          <w:lang w:eastAsia="en-AU"/>
        </w:rPr>
      </w:pPr>
      <w:bookmarkStart w:id="23" w:name="_Toc94794078"/>
      <w:bookmarkStart w:id="24" w:name="_Toc94794209"/>
      <w:r>
        <w:lastRenderedPageBreak/>
        <w:t>Executive Summary</w:t>
      </w:r>
      <w:bookmarkEnd w:id="23"/>
      <w:bookmarkEnd w:id="24"/>
      <w:r>
        <w:t xml:space="preserve"> </w:t>
      </w:r>
    </w:p>
    <w:p w14:paraId="0A794208" w14:textId="77777777" w:rsidR="00CA5EEA" w:rsidRPr="00AC3B7F" w:rsidRDefault="00CA5EEA" w:rsidP="009D10AE">
      <w:pPr>
        <w:pStyle w:val="Heading2"/>
      </w:pPr>
      <w:bookmarkStart w:id="25" w:name="_Toc80187817"/>
      <w:bookmarkStart w:id="26" w:name="_Toc82011737"/>
      <w:bookmarkStart w:id="27" w:name="_Toc94794079"/>
      <w:bookmarkStart w:id="28" w:name="_Toc94794210"/>
      <w:r w:rsidRPr="00AC3B7F">
        <w:t>Background</w:t>
      </w:r>
      <w:bookmarkEnd w:id="25"/>
      <w:bookmarkEnd w:id="26"/>
      <w:bookmarkEnd w:id="27"/>
      <w:bookmarkEnd w:id="28"/>
    </w:p>
    <w:p w14:paraId="68E6DD3C" w14:textId="7B153624" w:rsidR="00CA5EEA" w:rsidRDefault="00CA5EEA" w:rsidP="009D10AE">
      <w:r>
        <w:t>The Australian Government funded a Take</w:t>
      </w:r>
      <w:r w:rsidR="002105F3">
        <w:t xml:space="preserve"> </w:t>
      </w:r>
      <w:r>
        <w:t xml:space="preserve">Home Naloxone (THN) Pilot as part of the Pharmaceutical Benefits Scheme (PBS), allowing people at risk of experiencing or </w:t>
      </w:r>
      <w:r w:rsidR="00AD15D6">
        <w:t xml:space="preserve">likely to </w:t>
      </w:r>
      <w:r>
        <w:t xml:space="preserve">witness an opioid overdose to access </w:t>
      </w:r>
      <w:r w:rsidR="00F32871">
        <w:t>naloxone</w:t>
      </w:r>
      <w:r>
        <w:t xml:space="preserve"> without a prescription, at no cost to themselves, </w:t>
      </w:r>
      <w:r w:rsidR="002F3E2B">
        <w:t xml:space="preserve">and </w:t>
      </w:r>
      <w:r>
        <w:t xml:space="preserve">from </w:t>
      </w:r>
      <w:r w:rsidR="002F3E2B">
        <w:t xml:space="preserve">a range of </w:t>
      </w:r>
      <w:r>
        <w:t xml:space="preserve">pharmacies and other approved sites in New South Wales, South </w:t>
      </w:r>
      <w:proofErr w:type="gramStart"/>
      <w:r>
        <w:t>Australia</w:t>
      </w:r>
      <w:proofErr w:type="gramEnd"/>
      <w:r>
        <w:t xml:space="preserve"> and Western Australia.</w:t>
      </w:r>
    </w:p>
    <w:p w14:paraId="7BC226B4" w14:textId="0A1DE8EA" w:rsidR="00CA5EEA" w:rsidRDefault="00CA5EEA" w:rsidP="009D10AE">
      <w:r>
        <w:t xml:space="preserve">In September 2019, </w:t>
      </w:r>
      <w:r w:rsidRPr="00A874CE">
        <w:t>the Institute for Social Science Research (ISSR) at The University of Queensland (UQ),</w:t>
      </w:r>
      <w:r>
        <w:t xml:space="preserve"> was engaged by the Australian Government Department of Health (the Department) to conduct an evaluation of the PBS-Subsidised THN Pilot (the Pilot) to inform policy and practice in preparation for a potential national roll-out of THN. </w:t>
      </w:r>
    </w:p>
    <w:p w14:paraId="6253B469" w14:textId="5B11BF42" w:rsidR="00CA5EEA" w:rsidRPr="000B5C11" w:rsidRDefault="00CA5EEA" w:rsidP="009D10AE">
      <w:pPr>
        <w:rPr>
          <w:lang w:eastAsia="en-AU"/>
        </w:rPr>
      </w:pPr>
      <w:r>
        <w:t xml:space="preserve">This report presents the final Evaluation findings, </w:t>
      </w:r>
      <w:r w:rsidRPr="00030410">
        <w:t>cover</w:t>
      </w:r>
      <w:r w:rsidR="00E12A5B" w:rsidRPr="00030410">
        <w:t>ing</w:t>
      </w:r>
      <w:r w:rsidRPr="00030410">
        <w:t xml:space="preserve"> the </w:t>
      </w:r>
      <w:r w:rsidR="00E12A5B" w:rsidRPr="00030410">
        <w:t xml:space="preserve">implementation </w:t>
      </w:r>
      <w:r w:rsidR="009D59CE" w:rsidRPr="00030410">
        <w:t>of</w:t>
      </w:r>
      <w:r w:rsidRPr="00030410">
        <w:t xml:space="preserve"> the Pilot from commencement on 1 December 2019 up until 30 June 2021</w:t>
      </w:r>
      <w:r w:rsidR="0093313D" w:rsidRPr="00030410">
        <w:t xml:space="preserve">, noting that the Pilot is </w:t>
      </w:r>
      <w:r w:rsidR="0097137C" w:rsidRPr="00030410">
        <w:t>intended to continue until 30 June 2022</w:t>
      </w:r>
      <w:r w:rsidRPr="00030410">
        <w:t>.</w:t>
      </w:r>
    </w:p>
    <w:p w14:paraId="403D0513" w14:textId="77777777" w:rsidR="00CA5EEA" w:rsidRPr="00AC3B7F" w:rsidRDefault="00CA5EEA" w:rsidP="009D10AE">
      <w:pPr>
        <w:pStyle w:val="Heading2"/>
      </w:pPr>
      <w:bookmarkStart w:id="29" w:name="_Toc80187818"/>
      <w:bookmarkStart w:id="30" w:name="_Toc82011738"/>
      <w:bookmarkStart w:id="31" w:name="_Toc94794080"/>
      <w:bookmarkStart w:id="32" w:name="_Toc94794211"/>
      <w:r w:rsidRPr="00AC3B7F">
        <w:t>Scope</w:t>
      </w:r>
      <w:bookmarkEnd w:id="29"/>
      <w:bookmarkEnd w:id="30"/>
      <w:bookmarkEnd w:id="31"/>
      <w:bookmarkEnd w:id="32"/>
    </w:p>
    <w:p w14:paraId="7FF87713" w14:textId="77777777" w:rsidR="00CA5EEA" w:rsidRPr="000F1A83" w:rsidRDefault="00CA5EEA" w:rsidP="009D10AE">
      <w:r>
        <w:t xml:space="preserve">This evaluation aimed to: </w:t>
      </w:r>
    </w:p>
    <w:p w14:paraId="79FD178C" w14:textId="77777777" w:rsidR="00CA5EEA" w:rsidRDefault="00CA5EEA" w:rsidP="009D10AE">
      <w:pPr>
        <w:pStyle w:val="ListParagraph"/>
        <w:numPr>
          <w:ilvl w:val="0"/>
          <w:numId w:val="54"/>
        </w:numPr>
        <w:spacing w:before="0" w:after="160" w:line="259" w:lineRule="auto"/>
        <w:contextualSpacing/>
      </w:pPr>
      <w:r>
        <w:t>assess the effectiveness of the Pilot as a mechanism for improving uptake and use of THN</w:t>
      </w:r>
    </w:p>
    <w:p w14:paraId="7D7D5B9A" w14:textId="7E38970E" w:rsidR="00CA5EEA" w:rsidRDefault="00CA5EEA" w:rsidP="009D10AE">
      <w:pPr>
        <w:pStyle w:val="ListParagraph"/>
        <w:numPr>
          <w:ilvl w:val="0"/>
          <w:numId w:val="54"/>
        </w:numPr>
        <w:spacing w:before="0" w:after="160" w:line="259" w:lineRule="auto"/>
        <w:contextualSpacing/>
      </w:pPr>
      <w:r>
        <w:t xml:space="preserve">assess the appropriateness of the Pilot in reducing </w:t>
      </w:r>
      <w:r w:rsidR="00BF38DB">
        <w:t xml:space="preserve">unintentional </w:t>
      </w:r>
      <w:r>
        <w:t xml:space="preserve">opioid overdose deaths, and </w:t>
      </w:r>
    </w:p>
    <w:p w14:paraId="4D302BFD" w14:textId="77777777" w:rsidR="00CA5EEA" w:rsidRDefault="00CA5EEA" w:rsidP="009D10AE">
      <w:pPr>
        <w:pStyle w:val="ListParagraph"/>
        <w:numPr>
          <w:ilvl w:val="0"/>
          <w:numId w:val="54"/>
        </w:numPr>
        <w:spacing w:before="0" w:after="160" w:line="259" w:lineRule="auto"/>
        <w:contextualSpacing/>
      </w:pPr>
      <w:r>
        <w:t xml:space="preserve">identify opportunities to strengthen the Pilot for future national roll-out. </w:t>
      </w:r>
    </w:p>
    <w:p w14:paraId="4C146B4A" w14:textId="77777777" w:rsidR="00CA5EEA" w:rsidRPr="00AC3B7F" w:rsidRDefault="00CA5EEA" w:rsidP="009D10AE">
      <w:pPr>
        <w:pStyle w:val="Heading2"/>
      </w:pPr>
      <w:bookmarkStart w:id="33" w:name="_Toc82011739"/>
      <w:bookmarkStart w:id="34" w:name="_Toc94794081"/>
      <w:bookmarkStart w:id="35" w:name="_Toc94794212"/>
      <w:r>
        <w:t>Evaluation Approach</w:t>
      </w:r>
      <w:bookmarkEnd w:id="33"/>
      <w:bookmarkEnd w:id="34"/>
      <w:bookmarkEnd w:id="35"/>
      <w:r>
        <w:t xml:space="preserve"> </w:t>
      </w:r>
    </w:p>
    <w:p w14:paraId="4664E2AE" w14:textId="02E9FDF6" w:rsidR="00CA5EEA" w:rsidRDefault="00CA5EEA" w:rsidP="003D0F16">
      <w:r w:rsidRPr="007B51CC">
        <w:t>Th</w:t>
      </w:r>
      <w:r w:rsidR="00065B88">
        <w:t>e</w:t>
      </w:r>
      <w:r>
        <w:t xml:space="preserve"> Evaluation used a</w:t>
      </w:r>
      <w:r w:rsidDel="0007056C">
        <w:t xml:space="preserve"> </w:t>
      </w:r>
      <w:r>
        <w:t xml:space="preserve">mix of primary data collection activities to address the key evaluation questions. Both quantitative and qualitative data were collected from people who participated in the Pilot as consumers (recipients of THN) and </w:t>
      </w:r>
      <w:r w:rsidR="00F515BC">
        <w:t xml:space="preserve">front-line </w:t>
      </w:r>
      <w:r>
        <w:t>staff of sites where naloxone was provided (</w:t>
      </w:r>
      <w:r w:rsidR="00417526">
        <w:t>a</w:t>
      </w:r>
      <w:r>
        <w:t xml:space="preserve">ccess </w:t>
      </w:r>
      <w:r w:rsidR="00417526">
        <w:t>s</w:t>
      </w:r>
      <w:r>
        <w:t xml:space="preserve">ite staff). </w:t>
      </w:r>
      <w:r w:rsidR="009C7D2C">
        <w:t>S</w:t>
      </w:r>
      <w:r>
        <w:t>tructured consultations with sector representatives and systematic analys</w:t>
      </w:r>
      <w:r w:rsidR="00BD2C8E">
        <w:t>e</w:t>
      </w:r>
      <w:r>
        <w:t>s of Pilot documentation</w:t>
      </w:r>
      <w:r w:rsidR="00BD2C8E">
        <w:t xml:space="preserve"> were also undertaken</w:t>
      </w:r>
      <w:r>
        <w:t xml:space="preserve">. Analyses of administrative and research data relating to </w:t>
      </w:r>
      <w:r w:rsidR="00A012F7">
        <w:t xml:space="preserve">the </w:t>
      </w:r>
      <w:r>
        <w:t xml:space="preserve">supply and use of opioids and naloxone were also conducted. </w:t>
      </w:r>
    </w:p>
    <w:p w14:paraId="2758FD29" w14:textId="77777777" w:rsidR="00CA5EEA" w:rsidRPr="00AC3B7F" w:rsidRDefault="00CA5EEA" w:rsidP="009D10AE">
      <w:pPr>
        <w:pStyle w:val="Heading1"/>
      </w:pPr>
      <w:bookmarkStart w:id="36" w:name="_Toc80187820"/>
      <w:bookmarkStart w:id="37" w:name="_Toc82011740"/>
      <w:bookmarkStart w:id="38" w:name="_Toc94794082"/>
      <w:bookmarkStart w:id="39" w:name="_Toc94794213"/>
      <w:r w:rsidRPr="00AC3B7F">
        <w:t>Key findings</w:t>
      </w:r>
      <w:bookmarkEnd w:id="36"/>
      <w:bookmarkEnd w:id="37"/>
      <w:bookmarkEnd w:id="38"/>
      <w:bookmarkEnd w:id="39"/>
    </w:p>
    <w:p w14:paraId="1BF4E078" w14:textId="4B6DF4E0" w:rsidR="00CA5EEA" w:rsidRDefault="00CA5EEA" w:rsidP="009D10AE">
      <w:pPr>
        <w:rPr>
          <w:lang w:eastAsia="en-AU"/>
        </w:rPr>
      </w:pPr>
      <w:r>
        <w:rPr>
          <w:lang w:eastAsia="en-AU"/>
        </w:rPr>
        <w:t xml:space="preserve">The key findings of the evaluation are </w:t>
      </w:r>
      <w:r w:rsidR="006F6C1C">
        <w:rPr>
          <w:lang w:eastAsia="en-AU"/>
        </w:rPr>
        <w:t xml:space="preserve">described below </w:t>
      </w:r>
      <w:r>
        <w:rPr>
          <w:lang w:eastAsia="en-AU"/>
        </w:rPr>
        <w:t xml:space="preserve">under </w:t>
      </w:r>
      <w:r w:rsidR="006F6C1C">
        <w:rPr>
          <w:lang w:eastAsia="en-AU"/>
        </w:rPr>
        <w:t xml:space="preserve">each of </w:t>
      </w:r>
      <w:r>
        <w:rPr>
          <w:lang w:eastAsia="en-AU"/>
        </w:rPr>
        <w:t>the overarching evaluation questions.</w:t>
      </w:r>
      <w:r w:rsidR="006F6C1C">
        <w:rPr>
          <w:lang w:eastAsia="en-AU"/>
        </w:rPr>
        <w:t xml:space="preserve"> These findings were used to inform </w:t>
      </w:r>
      <w:r w:rsidR="00F52760">
        <w:rPr>
          <w:lang w:eastAsia="en-AU"/>
        </w:rPr>
        <w:t>recommendations as to</w:t>
      </w:r>
      <w:r w:rsidR="00A72278">
        <w:rPr>
          <w:lang w:eastAsia="en-AU"/>
        </w:rPr>
        <w:t xml:space="preserve"> </w:t>
      </w:r>
      <w:r w:rsidR="00E535A3">
        <w:rPr>
          <w:lang w:eastAsia="en-AU"/>
        </w:rPr>
        <w:t>core elements</w:t>
      </w:r>
      <w:r w:rsidR="00A72278">
        <w:rPr>
          <w:lang w:eastAsia="en-AU"/>
        </w:rPr>
        <w:t xml:space="preserve"> </w:t>
      </w:r>
      <w:r w:rsidR="008F1889">
        <w:rPr>
          <w:lang w:eastAsia="en-AU"/>
        </w:rPr>
        <w:t>for a future national roll-out</w:t>
      </w:r>
      <w:r w:rsidR="00F52760">
        <w:rPr>
          <w:lang w:eastAsia="en-AU"/>
        </w:rPr>
        <w:t xml:space="preserve"> and strategies to support these</w:t>
      </w:r>
      <w:r w:rsidR="008F1889">
        <w:rPr>
          <w:lang w:eastAsia="en-AU"/>
        </w:rPr>
        <w:t xml:space="preserve">. </w:t>
      </w:r>
      <w:r w:rsidR="00267580">
        <w:rPr>
          <w:lang w:eastAsia="en-AU"/>
        </w:rPr>
        <w:t xml:space="preserve"> </w:t>
      </w:r>
    </w:p>
    <w:p w14:paraId="1C541584" w14:textId="77777777" w:rsidR="00CA5EEA" w:rsidRPr="00DD3BAC" w:rsidRDefault="00CA5EEA" w:rsidP="009D10AE">
      <w:pPr>
        <w:pStyle w:val="Heading2"/>
      </w:pPr>
      <w:bookmarkStart w:id="40" w:name="_Toc80187821"/>
      <w:bookmarkStart w:id="41" w:name="_Toc82011741"/>
      <w:bookmarkStart w:id="42" w:name="_Toc94794083"/>
      <w:bookmarkStart w:id="43" w:name="_Toc94794214"/>
      <w:r w:rsidRPr="00DD3BAC">
        <w:t>Was the THN pilot implemented as planned?</w:t>
      </w:r>
      <w:bookmarkEnd w:id="40"/>
      <w:bookmarkEnd w:id="41"/>
      <w:bookmarkEnd w:id="42"/>
      <w:bookmarkEnd w:id="43"/>
    </w:p>
    <w:p w14:paraId="6770CA5C" w14:textId="77777777" w:rsidR="00AE615B" w:rsidRDefault="00AE615B" w:rsidP="009D10AE">
      <w:pPr>
        <w:pStyle w:val="ListParagraph"/>
        <w:numPr>
          <w:ilvl w:val="0"/>
          <w:numId w:val="27"/>
        </w:numPr>
        <w:spacing w:before="76" w:after="76"/>
        <w:ind w:left="460" w:hanging="230"/>
      </w:pPr>
      <w:r>
        <w:t>Most key Pilot activities were implemented as planned, including the establishment of policy and systems infrastructures, legislation and supply/distribution mechanisms, and the recruitment, credentialling and training of access sites and staff.</w:t>
      </w:r>
    </w:p>
    <w:p w14:paraId="5537C52C" w14:textId="77777777" w:rsidR="00F224E2" w:rsidRDefault="00F224E2" w:rsidP="009D10AE">
      <w:pPr>
        <w:pStyle w:val="ListParagraph"/>
        <w:numPr>
          <w:ilvl w:val="0"/>
          <w:numId w:val="27"/>
        </w:numPr>
        <w:spacing w:before="76" w:after="76"/>
        <w:ind w:left="460" w:hanging="230"/>
      </w:pPr>
      <w:r>
        <w:t>Implementation varied considerably between participating states; it was constrained by jurisdictional policy structures governing supply arrangements but supported by the maturity of existing naloxone programs.</w:t>
      </w:r>
    </w:p>
    <w:p w14:paraId="57940B70" w14:textId="77777777" w:rsidR="00F224E2" w:rsidRDefault="00F224E2" w:rsidP="009D10AE">
      <w:pPr>
        <w:pStyle w:val="ListParagraph"/>
        <w:numPr>
          <w:ilvl w:val="0"/>
          <w:numId w:val="27"/>
        </w:numPr>
        <w:spacing w:before="76" w:after="76"/>
        <w:ind w:left="460" w:hanging="230"/>
      </w:pPr>
      <w:r>
        <w:t>Key organisations were advised about the Pilot early in its implementation, but no public launch or awareness campaign took place to promote THN to the wider public.</w:t>
      </w:r>
    </w:p>
    <w:p w14:paraId="6587BB73" w14:textId="77777777" w:rsidR="00F224E2" w:rsidRDefault="00F224E2" w:rsidP="009D10AE">
      <w:pPr>
        <w:pStyle w:val="ListParagraph"/>
        <w:numPr>
          <w:ilvl w:val="0"/>
          <w:numId w:val="27"/>
        </w:numPr>
        <w:spacing w:before="76" w:after="76"/>
        <w:ind w:left="460" w:hanging="230"/>
      </w:pPr>
      <w:r>
        <w:t>The primary focus of the Pilot remained on people who use illicit opioids.</w:t>
      </w:r>
    </w:p>
    <w:p w14:paraId="232F1CF8" w14:textId="0DBCC4AB" w:rsidR="00F224E2" w:rsidRDefault="00F224E2" w:rsidP="009D10AE">
      <w:pPr>
        <w:pStyle w:val="ListParagraph"/>
        <w:numPr>
          <w:ilvl w:val="0"/>
          <w:numId w:val="27"/>
        </w:numPr>
        <w:spacing w:before="76" w:after="76"/>
        <w:ind w:left="460" w:hanging="230"/>
      </w:pPr>
      <w:r>
        <w:t xml:space="preserve">The number of site registrations increased steadily to a </w:t>
      </w:r>
      <w:r w:rsidRPr="00920AAF">
        <w:t>total of 1,</w:t>
      </w:r>
      <w:r w:rsidR="00920AAF" w:rsidRPr="00920AAF">
        <w:t>480</w:t>
      </w:r>
      <w:r w:rsidRPr="00920AAF">
        <w:t xml:space="preserve"> by 30 June 2021; </w:t>
      </w:r>
      <w:r w:rsidR="00920AAF" w:rsidRPr="00920AAF">
        <w:t>57</w:t>
      </w:r>
      <w:r w:rsidRPr="00920AAF">
        <w:t>% of these sites (n=846) provided THN on at least one</w:t>
      </w:r>
      <w:r>
        <w:t xml:space="preserve"> occasion during this period.</w:t>
      </w:r>
    </w:p>
    <w:p w14:paraId="6177290A" w14:textId="77777777" w:rsidR="00F224E2" w:rsidRDefault="00F224E2" w:rsidP="009D10AE">
      <w:pPr>
        <w:pStyle w:val="ListParagraph"/>
        <w:numPr>
          <w:ilvl w:val="0"/>
          <w:numId w:val="27"/>
        </w:numPr>
        <w:spacing w:before="76" w:after="76"/>
        <w:ind w:left="460" w:hanging="230"/>
      </w:pPr>
      <w:r>
        <w:lastRenderedPageBreak/>
        <w:t xml:space="preserve">Coordination between state implementing agencies and the Department was evident but demonstrated the importance of state-level support mechanisms for implementation. </w:t>
      </w:r>
    </w:p>
    <w:p w14:paraId="336E4165" w14:textId="77777777" w:rsidR="00F224E2" w:rsidRDefault="00F224E2" w:rsidP="009D10AE">
      <w:pPr>
        <w:pStyle w:val="ListParagraph"/>
        <w:numPr>
          <w:ilvl w:val="0"/>
          <w:numId w:val="27"/>
        </w:numPr>
        <w:spacing w:before="76" w:after="76"/>
        <w:ind w:left="460" w:hanging="230"/>
      </w:pPr>
      <w:r>
        <w:t>Point of supply promotional materials were provided but supplementary activities were needed to raise awareness of the Pilot across agencies and in the community.</w:t>
      </w:r>
    </w:p>
    <w:p w14:paraId="27CF9496" w14:textId="77777777" w:rsidR="00F224E2" w:rsidRPr="00A87F3B" w:rsidRDefault="00F224E2" w:rsidP="009D10AE">
      <w:pPr>
        <w:pStyle w:val="ListParagraph"/>
        <w:numPr>
          <w:ilvl w:val="0"/>
          <w:numId w:val="27"/>
        </w:numPr>
        <w:spacing w:before="81" w:after="81"/>
        <w:ind w:left="489" w:hanging="244"/>
      </w:pPr>
      <w:r w:rsidRPr="00A87F3B">
        <w:t xml:space="preserve">Key assumptions on which the Program Logic </w:t>
      </w:r>
      <w:r>
        <w:t xml:space="preserve">and Theory of Change </w:t>
      </w:r>
      <w:r w:rsidRPr="00A87F3B">
        <w:t>were based held for the Pilot’s implementation, apart from a limited focus on providing THN beyond the AOD sector</w:t>
      </w:r>
      <w:r>
        <w:t>.</w:t>
      </w:r>
    </w:p>
    <w:p w14:paraId="60CA2C16" w14:textId="30DBE601" w:rsidR="00CA5EEA" w:rsidRDefault="00F224E2" w:rsidP="009D10AE">
      <w:pPr>
        <w:pStyle w:val="ListParagraph"/>
        <w:numPr>
          <w:ilvl w:val="0"/>
          <w:numId w:val="27"/>
        </w:numPr>
        <w:spacing w:before="76" w:after="76"/>
        <w:ind w:left="460" w:hanging="230"/>
      </w:pPr>
      <w:r>
        <w:t>Unexpected external factors such as COVID-19 restrictions on product imports reducing naloxone stocks in March 2020 and a challenge to the THN legislation in May 2020 caused significant but temporary interruptions to Pilot activities and supply chains.</w:t>
      </w:r>
    </w:p>
    <w:p w14:paraId="470A3E9B" w14:textId="77777777" w:rsidR="00CA5EEA" w:rsidRPr="00AC3B7F" w:rsidRDefault="00CA5EEA" w:rsidP="009D10AE">
      <w:pPr>
        <w:pStyle w:val="Heading2"/>
      </w:pPr>
      <w:bookmarkStart w:id="44" w:name="_Toc80187822"/>
      <w:bookmarkStart w:id="45" w:name="_Toc82011742"/>
      <w:bookmarkStart w:id="46" w:name="_Toc94794084"/>
      <w:bookmarkStart w:id="47" w:name="_Toc94794215"/>
      <w:r w:rsidRPr="00AC3B7F">
        <w:t>Did the THN Pilot achieve improved access?</w:t>
      </w:r>
      <w:bookmarkEnd w:id="44"/>
      <w:bookmarkEnd w:id="45"/>
      <w:bookmarkEnd w:id="46"/>
      <w:bookmarkEnd w:id="47"/>
    </w:p>
    <w:p w14:paraId="504E633C" w14:textId="77777777" w:rsidR="00F224E2" w:rsidRPr="00595F28" w:rsidRDefault="00F224E2" w:rsidP="009D10AE">
      <w:pPr>
        <w:pStyle w:val="ListParagraph"/>
        <w:numPr>
          <w:ilvl w:val="0"/>
          <w:numId w:val="60"/>
        </w:numPr>
        <w:spacing w:before="81" w:after="81"/>
      </w:pPr>
      <w:r w:rsidRPr="00595F28">
        <w:t xml:space="preserve">More </w:t>
      </w:r>
      <w:r>
        <w:t xml:space="preserve">occasions of </w:t>
      </w:r>
      <w:r w:rsidRPr="00595F28">
        <w:t xml:space="preserve">naloxone </w:t>
      </w:r>
      <w:r>
        <w:t xml:space="preserve">supply were recorded:  </w:t>
      </w:r>
      <w:r w:rsidRPr="00595F28">
        <w:t>27,955 suppl</w:t>
      </w:r>
      <w:r>
        <w:t>ies over 18 months of the Pilot compared to 3,579</w:t>
      </w:r>
      <w:r w:rsidRPr="00595F28">
        <w:t xml:space="preserve"> supplies through the PBS</w:t>
      </w:r>
      <w:r w:rsidRPr="00595F28" w:rsidDel="005E483C">
        <w:t xml:space="preserve"> </w:t>
      </w:r>
      <w:r>
        <w:t>in the previous 2 years.</w:t>
      </w:r>
    </w:p>
    <w:p w14:paraId="6A41D23B" w14:textId="1BE8FA48" w:rsidR="00F224E2" w:rsidRDefault="00F224E2" w:rsidP="009D10AE">
      <w:pPr>
        <w:pStyle w:val="ListParagraph"/>
        <w:numPr>
          <w:ilvl w:val="0"/>
          <w:numId w:val="60"/>
        </w:numPr>
        <w:spacing w:before="81" w:after="81"/>
      </w:pPr>
      <w:r>
        <w:t xml:space="preserve">1480 sites registered for the Pilot but only 846 (57%) provided THN during the </w:t>
      </w:r>
      <w:r w:rsidR="009853AA">
        <w:t>evaluation period</w:t>
      </w:r>
      <w:r>
        <w:t xml:space="preserve">; </w:t>
      </w:r>
      <w:r w:rsidR="009853AA">
        <w:t xml:space="preserve">the </w:t>
      </w:r>
      <w:r>
        <w:t xml:space="preserve">active participation rate for AAS was higher (82.5%) than that of community pharmacies (52%). </w:t>
      </w:r>
    </w:p>
    <w:p w14:paraId="7A2B0EAD" w14:textId="77777777" w:rsidR="00F224E2" w:rsidRPr="00595F28" w:rsidRDefault="00F224E2" w:rsidP="009D10AE">
      <w:pPr>
        <w:pStyle w:val="ListParagraph"/>
        <w:numPr>
          <w:ilvl w:val="0"/>
          <w:numId w:val="60"/>
        </w:numPr>
        <w:spacing w:before="81" w:after="81"/>
      </w:pPr>
      <w:r w:rsidRPr="00595F28">
        <w:t>More settings provid</w:t>
      </w:r>
      <w:r>
        <w:t>ed THN; pharmacies, specialist alcohol and other drug (AOD) services,</w:t>
      </w:r>
      <w:r w:rsidRPr="00595F28" w:rsidDel="000449EF">
        <w:t xml:space="preserve"> </w:t>
      </w:r>
      <w:r w:rsidRPr="00595F28">
        <w:t>justice and correction settings,</w:t>
      </w:r>
      <w:r>
        <w:t xml:space="preserve"> </w:t>
      </w:r>
      <w:r w:rsidRPr="00595F28">
        <w:t>and general health services</w:t>
      </w:r>
      <w:r>
        <w:t xml:space="preserve"> such as hospitals. </w:t>
      </w:r>
    </w:p>
    <w:p w14:paraId="60DEFC9B" w14:textId="77777777" w:rsidR="00F224E2" w:rsidRDefault="00F224E2" w:rsidP="009D10AE">
      <w:pPr>
        <w:pStyle w:val="ListParagraph"/>
        <w:numPr>
          <w:ilvl w:val="0"/>
          <w:numId w:val="60"/>
        </w:numPr>
        <w:spacing w:before="81" w:after="81"/>
      </w:pPr>
      <w:proofErr w:type="gramStart"/>
      <w:r w:rsidRPr="00277AFA">
        <w:t>The majority of</w:t>
      </w:r>
      <w:proofErr w:type="gramEnd"/>
      <w:r w:rsidRPr="00277AFA">
        <w:t xml:space="preserve"> non-pha</w:t>
      </w:r>
      <w:r>
        <w:t>rmacy THN sites were providers of AOD services; specialist pain clinics did not engage with the Pilot.</w:t>
      </w:r>
    </w:p>
    <w:p w14:paraId="658DA697" w14:textId="77777777" w:rsidR="00F224E2" w:rsidRDefault="00BC306A" w:rsidP="009D10AE">
      <w:pPr>
        <w:pStyle w:val="ListParagraph"/>
        <w:numPr>
          <w:ilvl w:val="0"/>
          <w:numId w:val="60"/>
        </w:numPr>
        <w:spacing w:before="81" w:after="81"/>
      </w:pPr>
      <w:r w:rsidRPr="00595F28">
        <w:t>More people received naloxone during the Pilot</w:t>
      </w:r>
      <w:r>
        <w:t>, both</w:t>
      </w:r>
      <w:r w:rsidRPr="00595F28">
        <w:t xml:space="preserve"> at risk of experiencing opioid overdose and people who may witness an overdose.</w:t>
      </w:r>
      <w:r>
        <w:t xml:space="preserve">  </w:t>
      </w:r>
      <w:r w:rsidR="00F224E2">
        <w:t>Most identified as using prescribed opioids.</w:t>
      </w:r>
    </w:p>
    <w:p w14:paraId="063CD85C" w14:textId="77777777" w:rsidR="00F224E2" w:rsidRPr="00595F28" w:rsidRDefault="00F224E2" w:rsidP="009D10AE">
      <w:pPr>
        <w:pStyle w:val="ListParagraph"/>
        <w:numPr>
          <w:ilvl w:val="0"/>
          <w:numId w:val="60"/>
        </w:numPr>
        <w:spacing w:before="81" w:after="81"/>
      </w:pPr>
      <w:r>
        <w:t>The proportion of people at risk from pharmaceutical opioids who received naloxone increased from 0.15% to 1.63%.</w:t>
      </w:r>
    </w:p>
    <w:p w14:paraId="6F108863" w14:textId="23B09F04" w:rsidR="00CA5EEA" w:rsidRDefault="00F224E2" w:rsidP="009D10AE">
      <w:pPr>
        <w:pStyle w:val="ListParagraph"/>
        <w:numPr>
          <w:ilvl w:val="0"/>
          <w:numId w:val="60"/>
        </w:numPr>
        <w:spacing w:before="81" w:after="81"/>
      </w:pPr>
      <w:r w:rsidRPr="00595F28">
        <w:t xml:space="preserve">Consumers accessed </w:t>
      </w:r>
      <w:r w:rsidRPr="004C5B1C">
        <w:t>naloxone close to home, 55% within their home postcode, and THN was available in city, regional and very remote areas.</w:t>
      </w:r>
    </w:p>
    <w:p w14:paraId="469E66AD" w14:textId="622AB909" w:rsidR="00F3128D" w:rsidRPr="00AA7EB1" w:rsidRDefault="00F3128D" w:rsidP="009D10AE">
      <w:pPr>
        <w:pStyle w:val="Heading2"/>
      </w:pPr>
      <w:bookmarkStart w:id="48" w:name="_Toc82011743"/>
      <w:bookmarkStart w:id="49" w:name="_Toc94794085"/>
      <w:bookmarkStart w:id="50" w:name="_Toc94794216"/>
      <w:bookmarkStart w:id="51" w:name="_Toc80187823"/>
      <w:r w:rsidRPr="00AA7EB1">
        <w:t xml:space="preserve">What impact did </w:t>
      </w:r>
      <w:proofErr w:type="gramStart"/>
      <w:r w:rsidRPr="00AA7EB1">
        <w:t>increasing</w:t>
      </w:r>
      <w:proofErr w:type="gramEnd"/>
      <w:r w:rsidRPr="00AA7EB1">
        <w:t xml:space="preserve"> access have on the uptake </w:t>
      </w:r>
      <w:r>
        <w:t xml:space="preserve">and use </w:t>
      </w:r>
      <w:r w:rsidRPr="00AA7EB1">
        <w:t>of THN?</w:t>
      </w:r>
      <w:bookmarkEnd w:id="48"/>
      <w:bookmarkEnd w:id="49"/>
      <w:bookmarkEnd w:id="50"/>
    </w:p>
    <w:bookmarkEnd w:id="51"/>
    <w:p w14:paraId="140E1F7A" w14:textId="77777777" w:rsidR="008062BC" w:rsidRDefault="008062BC" w:rsidP="009D10AE">
      <w:pPr>
        <w:pStyle w:val="ListParagraph"/>
        <w:numPr>
          <w:ilvl w:val="0"/>
          <w:numId w:val="60"/>
        </w:numPr>
      </w:pPr>
      <w:r>
        <w:t xml:space="preserve">More naloxone was provided to individuals: 43,212 units of THN were supplied in NSW, </w:t>
      </w:r>
      <w:proofErr w:type="gramStart"/>
      <w:r>
        <w:t>SA</w:t>
      </w:r>
      <w:proofErr w:type="gramEnd"/>
      <w:r>
        <w:t xml:space="preserve"> and WA during the Pilot, compared to 4,495 across Australia over the preceding 4 years</w:t>
      </w:r>
    </w:p>
    <w:p w14:paraId="7CDA5545" w14:textId="77777777" w:rsidR="008062BC" w:rsidRDefault="008062BC" w:rsidP="009D10AE">
      <w:pPr>
        <w:pStyle w:val="ListParagraph"/>
        <w:numPr>
          <w:ilvl w:val="0"/>
          <w:numId w:val="60"/>
        </w:numPr>
      </w:pPr>
      <w:r>
        <w:t>Nasal spray comprised 84% of THN supplied and was the preferred formulation, but pre-filled syringes remained in demand, particularly for refills.</w:t>
      </w:r>
    </w:p>
    <w:p w14:paraId="5F0642FB" w14:textId="77777777" w:rsidR="008062BC" w:rsidRDefault="008062BC" w:rsidP="009D10AE">
      <w:pPr>
        <w:pStyle w:val="ListParagraph"/>
        <w:numPr>
          <w:ilvl w:val="0"/>
          <w:numId w:val="60"/>
        </w:numPr>
      </w:pPr>
      <w:r>
        <w:t xml:space="preserve">Having naloxone accessible at services outside the AOD sector (e.g., community pharmacies) provided opportunities to raise awareness of overdose risk among people who did not use illicit opioids but were themselves at risk or likely to witness another person’s overdose. </w:t>
      </w:r>
    </w:p>
    <w:p w14:paraId="0E448E66" w14:textId="77777777" w:rsidR="008062BC" w:rsidRDefault="008062BC" w:rsidP="009D10AE">
      <w:pPr>
        <w:pStyle w:val="ListParagraph"/>
        <w:numPr>
          <w:ilvl w:val="0"/>
          <w:numId w:val="60"/>
        </w:numPr>
      </w:pPr>
      <w:r>
        <w:t>One in five people who received THN refilled their supply at least twice in a year; 65% of refills were due to use to reverse an overdose.</w:t>
      </w:r>
    </w:p>
    <w:p w14:paraId="74D59AB2" w14:textId="5F9B4BAE" w:rsidR="00CA5EEA" w:rsidRPr="00045EE4" w:rsidRDefault="008062BC" w:rsidP="009D10AE">
      <w:pPr>
        <w:pStyle w:val="ListParagraph"/>
        <w:numPr>
          <w:ilvl w:val="0"/>
          <w:numId w:val="60"/>
        </w:numPr>
      </w:pPr>
      <w:r w:rsidDel="00A024E8">
        <w:t xml:space="preserve">The </w:t>
      </w:r>
      <w:r>
        <w:t>Pilot has enabled at least 1,649 overdose reversals, the equivalent of 3 reversals per day.</w:t>
      </w:r>
    </w:p>
    <w:p w14:paraId="419C8E28" w14:textId="1C098BC7" w:rsidR="00CA5EEA" w:rsidRPr="00AC3B7F" w:rsidRDefault="00CA5EEA" w:rsidP="009D10AE">
      <w:pPr>
        <w:pStyle w:val="Heading2"/>
      </w:pPr>
      <w:bookmarkStart w:id="52" w:name="_Toc80187824"/>
      <w:bookmarkStart w:id="53" w:name="_Toc82011744"/>
      <w:bookmarkStart w:id="54" w:name="_Toc94794086"/>
      <w:bookmarkStart w:id="55" w:name="_Toc94794217"/>
      <w:r w:rsidRPr="00AC3B7F">
        <w:t>What was the impact on access sites participating in the pilot?</w:t>
      </w:r>
      <w:bookmarkEnd w:id="52"/>
      <w:bookmarkEnd w:id="53"/>
      <w:bookmarkEnd w:id="54"/>
      <w:bookmarkEnd w:id="55"/>
    </w:p>
    <w:p w14:paraId="05639A0B" w14:textId="77777777" w:rsidR="00782B20" w:rsidRDefault="00782B20" w:rsidP="009D10AE">
      <w:pPr>
        <w:pStyle w:val="BodyText"/>
        <w:numPr>
          <w:ilvl w:val="0"/>
          <w:numId w:val="49"/>
        </w:numPr>
        <w:spacing w:before="75" w:after="75"/>
        <w:ind w:left="453" w:hanging="226"/>
      </w:pPr>
      <w:r>
        <w:t>Most staff interviewed were very positive about the THN Pilot, noting</w:t>
      </w:r>
      <w:r w:rsidDel="00980AFE">
        <w:t xml:space="preserve"> </w:t>
      </w:r>
      <w:r>
        <w:t>the positive effects it had on their organisation’s ability to provide THN.</w:t>
      </w:r>
    </w:p>
    <w:p w14:paraId="5919525D" w14:textId="77777777" w:rsidR="00782B20" w:rsidRDefault="00782B20" w:rsidP="009D10AE">
      <w:pPr>
        <w:pStyle w:val="BodyText"/>
        <w:numPr>
          <w:ilvl w:val="0"/>
          <w:numId w:val="49"/>
        </w:numPr>
        <w:spacing w:before="75" w:after="75"/>
        <w:ind w:left="453" w:hanging="226"/>
      </w:pPr>
      <w:r>
        <w:t>Most pharmacy staff found the THN Pilot’s impact on their workload was minimal, and successfully incorporated it into existing workflows and processes.</w:t>
      </w:r>
    </w:p>
    <w:p w14:paraId="3B79A6BB" w14:textId="77777777" w:rsidR="00782B20" w:rsidRDefault="00782B20" w:rsidP="009D10AE">
      <w:pPr>
        <w:pStyle w:val="BodyText"/>
        <w:numPr>
          <w:ilvl w:val="0"/>
          <w:numId w:val="49"/>
        </w:numPr>
        <w:spacing w:before="75" w:after="75"/>
        <w:ind w:left="453" w:hanging="226"/>
      </w:pPr>
      <w:r>
        <w:lastRenderedPageBreak/>
        <w:t>Most staff believed the training and credentialing systems equipped them with knowledge and skills to distribute naloxone to clients. Many expressed a preference for online training, or a choice of online or face-to-face where possible.</w:t>
      </w:r>
    </w:p>
    <w:p w14:paraId="44FE31D2" w14:textId="77777777" w:rsidR="00782B20" w:rsidRDefault="00782B20" w:rsidP="009D10AE">
      <w:pPr>
        <w:pStyle w:val="BodyText"/>
        <w:numPr>
          <w:ilvl w:val="0"/>
          <w:numId w:val="49"/>
        </w:numPr>
        <w:spacing w:before="75" w:after="75"/>
        <w:ind w:left="453" w:hanging="226"/>
      </w:pPr>
      <w:r>
        <w:t>Staff in AOD services and community pharmacies considered providing THN to be part of their core role, but organisations new to THN commented on the lack of funding to assist implementation.</w:t>
      </w:r>
    </w:p>
    <w:p w14:paraId="66CA0F9E" w14:textId="77777777" w:rsidR="00782B20" w:rsidRDefault="00782B20" w:rsidP="009D10AE">
      <w:pPr>
        <w:pStyle w:val="BodyText"/>
        <w:numPr>
          <w:ilvl w:val="0"/>
          <w:numId w:val="49"/>
        </w:numPr>
        <w:spacing w:before="75" w:after="75"/>
        <w:ind w:left="453" w:hanging="226"/>
      </w:pPr>
      <w:r>
        <w:t>The impact on access sites differed by state, and by the different types of access sites that were engaged and credentialed as part of the Pilot.</w:t>
      </w:r>
    </w:p>
    <w:p w14:paraId="6E0B92CD" w14:textId="7CF8DDC8" w:rsidR="00F97F86" w:rsidRPr="00351D4F" w:rsidRDefault="00782B20" w:rsidP="009D10AE">
      <w:pPr>
        <w:pStyle w:val="BodyText"/>
        <w:numPr>
          <w:ilvl w:val="0"/>
          <w:numId w:val="49"/>
        </w:numPr>
        <w:spacing w:before="75" w:after="75"/>
        <w:ind w:left="453" w:hanging="226"/>
      </w:pPr>
      <w:r>
        <w:t>There was limited engagement by hospital pharmacies in some jurisdictions, due to barriers to implementation in these settings. There was also limited engagement by pain clinics, primary care, and mental health settings.</w:t>
      </w:r>
    </w:p>
    <w:p w14:paraId="4962F18F" w14:textId="35440E49" w:rsidR="00CA5EEA" w:rsidRPr="00AC3B7F" w:rsidRDefault="00CA5EEA" w:rsidP="009D10AE">
      <w:pPr>
        <w:pStyle w:val="Heading2"/>
      </w:pPr>
      <w:bookmarkStart w:id="56" w:name="_Toc80187825"/>
      <w:bookmarkStart w:id="57" w:name="_Toc82011745"/>
      <w:bookmarkStart w:id="58" w:name="_Toc94794087"/>
      <w:bookmarkStart w:id="59" w:name="_Toc94794218"/>
      <w:r w:rsidRPr="00AC3B7F">
        <w:t>Were there any barriers to increasing access and/or uptake of THN? How could these barriers be overcome?</w:t>
      </w:r>
      <w:bookmarkEnd w:id="56"/>
      <w:bookmarkEnd w:id="57"/>
      <w:bookmarkEnd w:id="58"/>
      <w:bookmarkEnd w:id="59"/>
      <w:r w:rsidRPr="00AC3B7F">
        <w:t xml:space="preserve"> </w:t>
      </w:r>
    </w:p>
    <w:p w14:paraId="066A2837" w14:textId="77777777" w:rsidR="00782B20" w:rsidRDefault="00782B20" w:rsidP="009D10AE">
      <w:pPr>
        <w:pStyle w:val="ListParagraph"/>
        <w:numPr>
          <w:ilvl w:val="0"/>
          <w:numId w:val="152"/>
        </w:numPr>
      </w:pPr>
      <w:r>
        <w:t xml:space="preserve">The Pilot addressed or partially addressed a number of barriers to access and/or uptake of THN, </w:t>
      </w:r>
      <w:proofErr w:type="gramStart"/>
      <w:r>
        <w:t>including:</w:t>
      </w:r>
      <w:proofErr w:type="gramEnd"/>
      <w:r>
        <w:t xml:space="preserve"> </w:t>
      </w:r>
      <w:r w:rsidRPr="0018148A">
        <w:t>cost, availability in a range of settings, access to naloxone through a range of sites, consumer knowledge of how to use naloxone,</w:t>
      </w:r>
      <w:r>
        <w:t xml:space="preserve"> and staff knowledge of THN. </w:t>
      </w:r>
    </w:p>
    <w:p w14:paraId="319589DE" w14:textId="77777777" w:rsidR="00782B20" w:rsidRDefault="00782B20" w:rsidP="009D10AE">
      <w:pPr>
        <w:pStyle w:val="ListParagraph"/>
        <w:numPr>
          <w:ilvl w:val="0"/>
          <w:numId w:val="152"/>
        </w:numPr>
      </w:pPr>
      <w:r>
        <w:t xml:space="preserve">Barriers that still need work to address </w:t>
      </w:r>
      <w:proofErr w:type="gramStart"/>
      <w:r>
        <w:t>include:</w:t>
      </w:r>
      <w:proofErr w:type="gramEnd"/>
      <w:r>
        <w:t xml:space="preserve"> stigma about people who use opioids, consumer and community awareness of THN, awareness of overdose risk, availability of THN at desired locations for access, and other barriers to carriage of naloxone such as fear of police response to naloxone, and negative perceptions about naloxone.</w:t>
      </w:r>
    </w:p>
    <w:p w14:paraId="50D6D2DA" w14:textId="77777777" w:rsidR="00782B20" w:rsidRDefault="00782B20" w:rsidP="009D10AE">
      <w:pPr>
        <w:pStyle w:val="ListParagraph"/>
        <w:numPr>
          <w:ilvl w:val="0"/>
          <w:numId w:val="152"/>
        </w:numPr>
      </w:pPr>
      <w:r>
        <w:t xml:space="preserve">Recommendations from consumers and access site staff to overcome barriers included public awareness campaigns and advertisement, </w:t>
      </w:r>
      <w:proofErr w:type="gramStart"/>
      <w:r>
        <w:t>maintaining</w:t>
      </w:r>
      <w:proofErr w:type="gramEnd"/>
      <w:r>
        <w:t xml:space="preserve"> and expanding access sites and modes of access of THN, and use of peer networks.</w:t>
      </w:r>
    </w:p>
    <w:p w14:paraId="73D9E8B7" w14:textId="7B31B691" w:rsidR="00CA5EEA" w:rsidRDefault="00782B20" w:rsidP="009D10AE">
      <w:pPr>
        <w:pStyle w:val="ListParagraph"/>
        <w:numPr>
          <w:ilvl w:val="0"/>
          <w:numId w:val="152"/>
        </w:numPr>
      </w:pPr>
      <w:r>
        <w:t xml:space="preserve">Key facilitators of success of the Pilot included: the removal of cost as a barrier to naloxone; the broad appeal of </w:t>
      </w:r>
      <w:proofErr w:type="spellStart"/>
      <w:r>
        <w:t>Nyxoid</w:t>
      </w:r>
      <w:proofErr w:type="spellEnd"/>
      <w:r>
        <w:t>® nasal spray formulation enhancing uptake; the activities of local and state level champions for the Pilot and local health promotion networks in promoting the Pilot; cross-sectoral collaboration to engage with potential THN consumers; increased staff knowledge and ability to provide THN; and the increased range of settings for access of THN introduced through the Pilot. Additionally, effective engagement of the AOD sector and acceptance of naloxone within the sector; and the effective work of peer organisations, networks and word of mouth</w:t>
      </w:r>
      <w:r w:rsidDel="00723D81">
        <w:t xml:space="preserve"> </w:t>
      </w:r>
      <w:r>
        <w:t>helped engagement with the Pilot.</w:t>
      </w:r>
    </w:p>
    <w:p w14:paraId="09C1B8A8" w14:textId="0EE4DAD1" w:rsidR="00CA5EEA" w:rsidRDefault="00CA5EEA" w:rsidP="009D10AE">
      <w:pPr>
        <w:pStyle w:val="Heading2"/>
      </w:pPr>
      <w:bookmarkStart w:id="60" w:name="_Toc80187826"/>
      <w:bookmarkStart w:id="61" w:name="_Toc82011746"/>
      <w:bookmarkStart w:id="62" w:name="_Toc94794088"/>
      <w:bookmarkStart w:id="63" w:name="_Toc94794219"/>
      <w:r w:rsidRPr="00AC3B7F">
        <w:t>Were there any unintended consequences of increasing access to naloxone?</w:t>
      </w:r>
      <w:bookmarkEnd w:id="60"/>
      <w:bookmarkEnd w:id="61"/>
      <w:bookmarkEnd w:id="62"/>
      <w:bookmarkEnd w:id="63"/>
    </w:p>
    <w:p w14:paraId="565EDD26" w14:textId="77777777" w:rsidR="00782E2F" w:rsidRDefault="00782E2F" w:rsidP="009D10AE">
      <w:r>
        <w:t>These risks were considered in the evaluation of the PBS-Subsidised THN Pilot. We found:</w:t>
      </w:r>
    </w:p>
    <w:p w14:paraId="1056CF54" w14:textId="1899F11C" w:rsidR="00782E2F" w:rsidRDefault="00782E2F" w:rsidP="009D10AE">
      <w:pPr>
        <w:pStyle w:val="ListParagraph"/>
        <w:numPr>
          <w:ilvl w:val="0"/>
          <w:numId w:val="58"/>
        </w:numPr>
      </w:pPr>
      <w:r>
        <w:t xml:space="preserve">No evidence of supply when not necessary.  There were instances, particularly early in some pharmacies’ involvement in the Pilot, where staff recommended naloxone to all clients who received prescribed opioid medicines, resulting in dispensing of large amounts of naloxone. This would not be considered ‘unnecessary supply’, because these were individuals at potential risk of overdose, albeit some may not have been deemed at ‘high risk’. </w:t>
      </w:r>
    </w:p>
    <w:p w14:paraId="6D5C78CB" w14:textId="20CB48ED" w:rsidR="00782E2F" w:rsidRDefault="00782E2F" w:rsidP="009D10AE">
      <w:pPr>
        <w:pStyle w:val="ListParagraph"/>
        <w:numPr>
          <w:ilvl w:val="0"/>
          <w:numId w:val="58"/>
        </w:numPr>
      </w:pPr>
      <w:r>
        <w:t>No evidence that people used opioids in a riskier manner knowing that naloxone was available. Our interviews, those of the IDRS, and of previous evaluations (e.g.</w:t>
      </w:r>
      <w:r w:rsidR="00C8511B">
        <w:t>, the</w:t>
      </w:r>
      <w:r>
        <w:t xml:space="preserve"> ORTHN</w:t>
      </w:r>
      <w:r w:rsidR="00C8511B">
        <w:t xml:space="preserve"> trial</w:t>
      </w:r>
      <w:r>
        <w:t>) did not find any increase in use related to naloxone availability</w:t>
      </w:r>
      <w:r w:rsidR="00E925BF">
        <w:t>.</w:t>
      </w:r>
    </w:p>
    <w:p w14:paraId="0F92F531" w14:textId="15FDC875" w:rsidR="00782E2F" w:rsidRDefault="00782E2F" w:rsidP="009D10AE">
      <w:pPr>
        <w:pStyle w:val="ListParagraph"/>
        <w:numPr>
          <w:ilvl w:val="0"/>
          <w:numId w:val="58"/>
        </w:numPr>
      </w:pPr>
      <w:r>
        <w:t>No evidence that bystanders were less likely to call an ambulance.  Our interview data indicates that 65% of participants who witnessed an overdose called an ambulance as part of overdose responses. Findings of the ORTHN trial evaluation were noted no change to calling of ambulance</w:t>
      </w:r>
      <w:r w:rsidR="00E925BF">
        <w:t>.</w:t>
      </w:r>
    </w:p>
    <w:p w14:paraId="67D5C864" w14:textId="13402ABC" w:rsidR="00CA5EEA" w:rsidRPr="00273AFF" w:rsidRDefault="00782E2F" w:rsidP="009D10AE">
      <w:pPr>
        <w:pStyle w:val="ListParagraph"/>
        <w:numPr>
          <w:ilvl w:val="0"/>
          <w:numId w:val="58"/>
        </w:numPr>
      </w:pPr>
      <w:r>
        <w:t xml:space="preserve">No evidence of unsafe administration. Our interview data did not note any adverse situations.  The inclusion of the nasal spray formulation in the Pilot and its widespread </w:t>
      </w:r>
      <w:r>
        <w:lastRenderedPageBreak/>
        <w:t>uptake is likely to have reduced any potential risk associated with administration by injection.</w:t>
      </w:r>
    </w:p>
    <w:p w14:paraId="0F75897C" w14:textId="633BB2F0" w:rsidR="00CA5EEA" w:rsidRPr="00361034" w:rsidRDefault="00CA5EEA" w:rsidP="009D10AE">
      <w:pPr>
        <w:pStyle w:val="Heading2"/>
      </w:pPr>
      <w:bookmarkStart w:id="64" w:name="_Toc82011747"/>
      <w:bookmarkStart w:id="65" w:name="_Toc94794089"/>
      <w:bookmarkStart w:id="66" w:name="_Toc94794220"/>
      <w:r>
        <w:t>What needs to be considered in relation to a national roll</w:t>
      </w:r>
      <w:r w:rsidR="00E91A44">
        <w:t>-</w:t>
      </w:r>
      <w:r>
        <w:t>out?</w:t>
      </w:r>
      <w:bookmarkEnd w:id="64"/>
      <w:bookmarkEnd w:id="65"/>
      <w:bookmarkEnd w:id="66"/>
    </w:p>
    <w:p w14:paraId="0DCD6FFF" w14:textId="7404ECFB" w:rsidR="00484D19" w:rsidRPr="00614D6F" w:rsidRDefault="007E08B7" w:rsidP="00122779">
      <w:pPr>
        <w:pStyle w:val="BodyText"/>
        <w:rPr>
          <w:b/>
          <w:sz w:val="20"/>
          <w:szCs w:val="20"/>
        </w:rPr>
      </w:pPr>
      <w:bookmarkStart w:id="67" w:name="_Toc81402153"/>
      <w:r>
        <w:t xml:space="preserve">A future national roll out of </w:t>
      </w:r>
      <w:proofErr w:type="gramStart"/>
      <w:r>
        <w:t>Take Home</w:t>
      </w:r>
      <w:proofErr w:type="gramEnd"/>
      <w:r>
        <w:t xml:space="preserve"> Naloxone should include the following core </w:t>
      </w:r>
      <w:r w:rsidR="00484D19" w:rsidRPr="00614D6F">
        <w:t>elements</w:t>
      </w:r>
      <w:bookmarkEnd w:id="67"/>
      <w:r w:rsidR="00CE103E">
        <w:t>:</w:t>
      </w:r>
    </w:p>
    <w:p w14:paraId="5DFE4E08" w14:textId="56F1B740" w:rsidR="00484D19" w:rsidRPr="00250406" w:rsidRDefault="00484D19" w:rsidP="00122779">
      <w:pPr>
        <w:pStyle w:val="BodyText"/>
        <w:numPr>
          <w:ilvl w:val="0"/>
          <w:numId w:val="260"/>
        </w:numPr>
      </w:pPr>
      <w:bookmarkStart w:id="68" w:name="_Toc81402154"/>
      <w:r w:rsidRPr="00250406">
        <w:t>Ensure continuity</w:t>
      </w:r>
      <w:r w:rsidR="006357C7" w:rsidRPr="00250406">
        <w:t xml:space="preserve">: </w:t>
      </w:r>
      <w:r w:rsidRPr="00250406">
        <w:t xml:space="preserve">Commit to implementing the national roll-out of </w:t>
      </w:r>
      <w:r w:rsidR="00347001" w:rsidRPr="00250406">
        <w:t>THN</w:t>
      </w:r>
      <w:r w:rsidRPr="00250406">
        <w:t xml:space="preserve"> on a permanent basis rather than as a Pilot</w:t>
      </w:r>
      <w:bookmarkEnd w:id="68"/>
      <w:r w:rsidRPr="00250406">
        <w:t xml:space="preserve"> and ensure continuity between the Pilot and national roll-out of THN. </w:t>
      </w:r>
    </w:p>
    <w:p w14:paraId="47469D47" w14:textId="5EF5494F" w:rsidR="00484D19" w:rsidRPr="00250406" w:rsidRDefault="00484D19" w:rsidP="00122779">
      <w:pPr>
        <w:pStyle w:val="BodyText"/>
        <w:numPr>
          <w:ilvl w:val="0"/>
          <w:numId w:val="260"/>
        </w:numPr>
      </w:pPr>
      <w:bookmarkStart w:id="69" w:name="_Toc81402155"/>
      <w:r w:rsidRPr="00250406">
        <w:t>Ensure free access to THN</w:t>
      </w:r>
      <w:r w:rsidR="006357C7" w:rsidRPr="00250406">
        <w:t xml:space="preserve">: </w:t>
      </w:r>
      <w:r w:rsidRPr="00250406">
        <w:t>Retain the ability for naloxone to be fully subsidised</w:t>
      </w:r>
      <w:bookmarkEnd w:id="69"/>
      <w:r w:rsidRPr="00250406">
        <w:t xml:space="preserve"> on the PBS.</w:t>
      </w:r>
    </w:p>
    <w:p w14:paraId="2A5C56F9" w14:textId="66B8786C" w:rsidR="00484D19" w:rsidRPr="00250406" w:rsidRDefault="00484D19" w:rsidP="00122779">
      <w:pPr>
        <w:pStyle w:val="BodyText"/>
        <w:numPr>
          <w:ilvl w:val="0"/>
          <w:numId w:val="260"/>
        </w:numPr>
      </w:pPr>
      <w:bookmarkStart w:id="70" w:name="_Toc81402156"/>
      <w:r w:rsidRPr="00250406">
        <w:t>Ensure access without a prescription</w:t>
      </w:r>
      <w:r w:rsidR="006357C7" w:rsidRPr="00250406">
        <w:t xml:space="preserve">: </w:t>
      </w:r>
      <w:r w:rsidRPr="00250406">
        <w:t>Retain the ability for naloxone to be provided without a prescription and without a PBS co-payment</w:t>
      </w:r>
      <w:bookmarkEnd w:id="70"/>
      <w:r w:rsidRPr="00250406">
        <w:t>.</w:t>
      </w:r>
    </w:p>
    <w:p w14:paraId="050F8E5B" w14:textId="3D721212" w:rsidR="00484D19" w:rsidRPr="00250406" w:rsidRDefault="00484D19" w:rsidP="00122779">
      <w:pPr>
        <w:pStyle w:val="BodyText"/>
        <w:numPr>
          <w:ilvl w:val="0"/>
          <w:numId w:val="260"/>
        </w:numPr>
      </w:pPr>
      <w:r w:rsidRPr="00250406">
        <w:t>Ensure broad availability</w:t>
      </w:r>
      <w:r w:rsidR="006357C7" w:rsidRPr="00250406">
        <w:t xml:space="preserve">: </w:t>
      </w:r>
      <w:r w:rsidRPr="00250406">
        <w:t>Retain and further expand the ability to access THN from a range of sites, including community pharmacies, NSPs and other AOD services, on exit from correctional settings, and further settings.</w:t>
      </w:r>
    </w:p>
    <w:p w14:paraId="2282AB84" w14:textId="18745CF5" w:rsidR="006E54D4" w:rsidRDefault="00484D19" w:rsidP="00122779">
      <w:pPr>
        <w:pStyle w:val="BodyText"/>
        <w:numPr>
          <w:ilvl w:val="0"/>
          <w:numId w:val="260"/>
        </w:numPr>
        <w:ind w:left="357" w:hanging="357"/>
      </w:pPr>
      <w:bookmarkStart w:id="71" w:name="_Toc81402158"/>
      <w:r w:rsidRPr="00250406">
        <w:t>Ensure coordination</w:t>
      </w:r>
      <w:r w:rsidR="006357C7" w:rsidRPr="00250406">
        <w:t xml:space="preserve">: </w:t>
      </w:r>
      <w:r w:rsidRPr="00250406">
        <w:t>Joint working between the Australian Government and state and territory governments</w:t>
      </w:r>
      <w:bookmarkEnd w:id="71"/>
      <w:r w:rsidRPr="00250406">
        <w:t>.</w:t>
      </w:r>
    </w:p>
    <w:p w14:paraId="2B2815C4" w14:textId="4B8E9B5D" w:rsidR="00CA5EEA" w:rsidRDefault="006E54D4" w:rsidP="00122779">
      <w:pPr>
        <w:pStyle w:val="BodyText"/>
        <w:rPr>
          <w:lang w:eastAsia="en-AU"/>
        </w:rPr>
      </w:pPr>
      <w:r>
        <w:rPr>
          <w:lang w:eastAsia="en-AU"/>
        </w:rPr>
        <w:t xml:space="preserve">Supporting elements </w:t>
      </w:r>
      <w:r w:rsidR="00432455">
        <w:rPr>
          <w:lang w:eastAsia="en-AU"/>
        </w:rPr>
        <w:t xml:space="preserve">that are important </w:t>
      </w:r>
      <w:r w:rsidR="005475F9">
        <w:rPr>
          <w:lang w:eastAsia="en-AU"/>
        </w:rPr>
        <w:t>to facilitate</w:t>
      </w:r>
      <w:r>
        <w:rPr>
          <w:lang w:eastAsia="en-AU"/>
        </w:rPr>
        <w:t xml:space="preserve"> a national roll-out include:</w:t>
      </w:r>
    </w:p>
    <w:p w14:paraId="2DE46E12" w14:textId="77777777" w:rsidR="005561FB" w:rsidRPr="00250406" w:rsidRDefault="005561FB" w:rsidP="00122779">
      <w:pPr>
        <w:pStyle w:val="ListParagraph"/>
        <w:numPr>
          <w:ilvl w:val="0"/>
          <w:numId w:val="229"/>
        </w:numPr>
        <w:spacing w:before="0" w:after="160" w:line="259" w:lineRule="auto"/>
        <w:ind w:left="360"/>
      </w:pPr>
      <w:r w:rsidRPr="00250406">
        <w:t>Awareness and perceptions of THN</w:t>
      </w:r>
    </w:p>
    <w:p w14:paraId="2F5F6DC6" w14:textId="77777777" w:rsidR="005561FB" w:rsidRPr="00250406" w:rsidRDefault="005561FB" w:rsidP="00122779">
      <w:pPr>
        <w:pStyle w:val="ListParagraph"/>
        <w:numPr>
          <w:ilvl w:val="0"/>
          <w:numId w:val="262"/>
        </w:numPr>
        <w:spacing w:after="160" w:line="259" w:lineRule="auto"/>
      </w:pPr>
      <w:r w:rsidRPr="00250406">
        <w:t>Build awareness and reduce stigma through public awareness campaigns and targeted promotion</w:t>
      </w:r>
    </w:p>
    <w:p w14:paraId="7B031879" w14:textId="77777777" w:rsidR="005561FB" w:rsidRPr="00250406" w:rsidRDefault="005561FB" w:rsidP="00122779">
      <w:pPr>
        <w:pStyle w:val="ListParagraph"/>
        <w:numPr>
          <w:ilvl w:val="0"/>
          <w:numId w:val="262"/>
        </w:numPr>
        <w:spacing w:after="160" w:line="259" w:lineRule="auto"/>
      </w:pPr>
      <w:r w:rsidRPr="00250406">
        <w:t>Build awareness amongst professionals within and beyond AOD sector</w:t>
      </w:r>
    </w:p>
    <w:p w14:paraId="40CEC81A" w14:textId="77777777" w:rsidR="005561FB" w:rsidRPr="00250406" w:rsidRDefault="005561FB" w:rsidP="00122779">
      <w:pPr>
        <w:pStyle w:val="ListParagraph"/>
        <w:numPr>
          <w:ilvl w:val="0"/>
          <w:numId w:val="229"/>
        </w:numPr>
        <w:spacing w:before="0" w:after="160" w:line="259" w:lineRule="auto"/>
        <w:ind w:left="360"/>
        <w:rPr>
          <w:lang w:eastAsia="en-AU"/>
        </w:rPr>
      </w:pPr>
      <w:r w:rsidRPr="00250406">
        <w:t>Engagement and communication</w:t>
      </w:r>
    </w:p>
    <w:p w14:paraId="57DF67E2" w14:textId="602F65E0" w:rsidR="00692BFC" w:rsidRPr="00250406" w:rsidRDefault="005561FB" w:rsidP="00122779">
      <w:pPr>
        <w:pStyle w:val="ListParagraph"/>
        <w:numPr>
          <w:ilvl w:val="0"/>
          <w:numId w:val="263"/>
        </w:numPr>
        <w:spacing w:after="160" w:line="259" w:lineRule="auto"/>
      </w:pPr>
      <w:r w:rsidRPr="00250406">
        <w:t>Identify and engage with professional groups to encourage participation within and beyond the AOD secto</w:t>
      </w:r>
      <w:r w:rsidR="00345C65">
        <w:t>r</w:t>
      </w:r>
    </w:p>
    <w:p w14:paraId="30A12C28" w14:textId="77777777" w:rsidR="005561FB" w:rsidRPr="00250406" w:rsidRDefault="005561FB" w:rsidP="00122779">
      <w:pPr>
        <w:pStyle w:val="ListParagraph"/>
        <w:numPr>
          <w:ilvl w:val="0"/>
          <w:numId w:val="263"/>
        </w:numPr>
        <w:spacing w:after="160" w:line="259" w:lineRule="auto"/>
        <w:ind w:hanging="357"/>
      </w:pPr>
      <w:r w:rsidRPr="00250406">
        <w:t>Consult across a wide range of sectors and encourage partnerships</w:t>
      </w:r>
    </w:p>
    <w:p w14:paraId="3227D951" w14:textId="77777777" w:rsidR="005561FB" w:rsidRPr="00250406" w:rsidRDefault="005561FB" w:rsidP="00122779">
      <w:pPr>
        <w:pStyle w:val="ListParagraph"/>
        <w:numPr>
          <w:ilvl w:val="0"/>
          <w:numId w:val="263"/>
        </w:numPr>
        <w:spacing w:after="160" w:line="259" w:lineRule="auto"/>
        <w:ind w:hanging="357"/>
      </w:pPr>
      <w:r w:rsidRPr="00250406">
        <w:t>Identify and support local champions for THN</w:t>
      </w:r>
    </w:p>
    <w:p w14:paraId="3DC8C9A6" w14:textId="77777777" w:rsidR="005561FB" w:rsidRPr="00250406" w:rsidRDefault="005561FB" w:rsidP="00122779">
      <w:pPr>
        <w:pStyle w:val="ListParagraph"/>
        <w:numPr>
          <w:ilvl w:val="0"/>
          <w:numId w:val="263"/>
        </w:numPr>
        <w:spacing w:after="160" w:line="259" w:lineRule="auto"/>
        <w:ind w:hanging="357"/>
      </w:pPr>
      <w:r w:rsidRPr="00250406">
        <w:t>Build further capacity for peer organisations and networks</w:t>
      </w:r>
    </w:p>
    <w:p w14:paraId="5AECBB3F" w14:textId="77777777" w:rsidR="005561FB" w:rsidRPr="00250406" w:rsidRDefault="005561FB" w:rsidP="00122779">
      <w:pPr>
        <w:pStyle w:val="ListParagraph"/>
        <w:numPr>
          <w:ilvl w:val="0"/>
          <w:numId w:val="229"/>
        </w:numPr>
        <w:spacing w:before="0" w:after="160" w:line="259" w:lineRule="auto"/>
        <w:ind w:left="360" w:hanging="357"/>
      </w:pPr>
      <w:r w:rsidRPr="00250406">
        <w:t>Funding and resources</w:t>
      </w:r>
    </w:p>
    <w:p w14:paraId="46D846D7" w14:textId="77777777" w:rsidR="005561FB" w:rsidRPr="00250406" w:rsidRDefault="005561FB" w:rsidP="00122779">
      <w:pPr>
        <w:pStyle w:val="ListParagraph"/>
        <w:numPr>
          <w:ilvl w:val="0"/>
          <w:numId w:val="264"/>
        </w:numPr>
        <w:spacing w:after="160" w:line="259" w:lineRule="auto"/>
        <w:ind w:hanging="357"/>
      </w:pPr>
      <w:r w:rsidRPr="00250406">
        <w:t xml:space="preserve">Funding for a national coordinator position </w:t>
      </w:r>
    </w:p>
    <w:p w14:paraId="72226F9B" w14:textId="77777777" w:rsidR="005561FB" w:rsidRPr="00250406" w:rsidRDefault="005561FB" w:rsidP="00122779">
      <w:pPr>
        <w:pStyle w:val="ListParagraph"/>
        <w:numPr>
          <w:ilvl w:val="0"/>
          <w:numId w:val="264"/>
        </w:numPr>
        <w:spacing w:after="160" w:line="259" w:lineRule="auto"/>
        <w:ind w:hanging="357"/>
      </w:pPr>
      <w:r w:rsidRPr="00250406">
        <w:t>Resource implementation at state/territory level</w:t>
      </w:r>
    </w:p>
    <w:p w14:paraId="2E2094C8" w14:textId="77777777" w:rsidR="005561FB" w:rsidRPr="00250406" w:rsidRDefault="005561FB" w:rsidP="00122779">
      <w:pPr>
        <w:pStyle w:val="ListParagraph"/>
        <w:numPr>
          <w:ilvl w:val="0"/>
          <w:numId w:val="264"/>
        </w:numPr>
        <w:spacing w:after="160" w:line="259" w:lineRule="auto"/>
        <w:ind w:hanging="357"/>
      </w:pPr>
      <w:r w:rsidRPr="00250406">
        <w:t>Establish formal communication mechanism and/or national working group</w:t>
      </w:r>
    </w:p>
    <w:p w14:paraId="32F87FB8" w14:textId="77777777" w:rsidR="005561FB" w:rsidRPr="00250406" w:rsidRDefault="005561FB" w:rsidP="00122779">
      <w:pPr>
        <w:pStyle w:val="ListParagraph"/>
        <w:numPr>
          <w:ilvl w:val="0"/>
          <w:numId w:val="264"/>
        </w:numPr>
        <w:spacing w:after="160" w:line="259" w:lineRule="auto"/>
        <w:ind w:hanging="357"/>
      </w:pPr>
      <w:r w:rsidRPr="00250406">
        <w:t>Develop national resources to guide implementation</w:t>
      </w:r>
    </w:p>
    <w:p w14:paraId="02487F21" w14:textId="77777777" w:rsidR="005561FB" w:rsidRPr="00250406" w:rsidRDefault="005561FB" w:rsidP="00122779">
      <w:pPr>
        <w:pStyle w:val="ListParagraph"/>
        <w:numPr>
          <w:ilvl w:val="0"/>
          <w:numId w:val="229"/>
        </w:numPr>
        <w:spacing w:before="0" w:after="160" w:line="259" w:lineRule="auto"/>
        <w:ind w:left="360" w:hanging="357"/>
      </w:pPr>
      <w:r w:rsidRPr="00250406">
        <w:t>Training and education</w:t>
      </w:r>
    </w:p>
    <w:p w14:paraId="3241BAD4" w14:textId="77777777" w:rsidR="005561FB" w:rsidRPr="00250406" w:rsidRDefault="005561FB" w:rsidP="00122779">
      <w:pPr>
        <w:pStyle w:val="ListParagraph"/>
        <w:numPr>
          <w:ilvl w:val="0"/>
          <w:numId w:val="265"/>
        </w:numPr>
        <w:spacing w:after="160" w:line="259" w:lineRule="auto"/>
        <w:ind w:hanging="357"/>
      </w:pPr>
      <w:r w:rsidRPr="00250406">
        <w:t>Standardise training for THN providers, and offer online/on-demand</w:t>
      </w:r>
    </w:p>
    <w:p w14:paraId="1EA92672" w14:textId="77777777" w:rsidR="005561FB" w:rsidRPr="00250406" w:rsidRDefault="005561FB" w:rsidP="00122779">
      <w:pPr>
        <w:pStyle w:val="ListParagraph"/>
        <w:numPr>
          <w:ilvl w:val="0"/>
          <w:numId w:val="265"/>
        </w:numPr>
        <w:spacing w:after="160" w:line="259" w:lineRule="auto"/>
        <w:ind w:hanging="357"/>
      </w:pPr>
      <w:r w:rsidRPr="00250406">
        <w:t>Include naloxone in professional competencies/CPD</w:t>
      </w:r>
    </w:p>
    <w:p w14:paraId="5A349C35" w14:textId="77777777" w:rsidR="005561FB" w:rsidRPr="00250406" w:rsidRDefault="005561FB" w:rsidP="00122779">
      <w:pPr>
        <w:pStyle w:val="ListParagraph"/>
        <w:numPr>
          <w:ilvl w:val="0"/>
          <w:numId w:val="265"/>
        </w:numPr>
        <w:spacing w:after="160" w:line="259" w:lineRule="auto"/>
        <w:ind w:hanging="357"/>
      </w:pPr>
      <w:r w:rsidRPr="00250406">
        <w:t>Standardise brief education materials for consumers and include information to address consumer concerns around ambulance and police attendance</w:t>
      </w:r>
    </w:p>
    <w:p w14:paraId="2F599152" w14:textId="77777777" w:rsidR="005561FB" w:rsidRPr="00250406" w:rsidRDefault="005561FB" w:rsidP="00122779">
      <w:pPr>
        <w:pStyle w:val="ListParagraph"/>
        <w:numPr>
          <w:ilvl w:val="0"/>
          <w:numId w:val="229"/>
        </w:numPr>
        <w:spacing w:before="0" w:after="160" w:line="259" w:lineRule="auto"/>
        <w:ind w:left="360" w:hanging="357"/>
      </w:pPr>
      <w:r w:rsidRPr="00250406">
        <w:t>Program monitoring and data collection</w:t>
      </w:r>
    </w:p>
    <w:p w14:paraId="1A28B821" w14:textId="77777777" w:rsidR="005561FB" w:rsidRPr="00250406" w:rsidRDefault="005561FB" w:rsidP="00122779">
      <w:pPr>
        <w:pStyle w:val="ListParagraph"/>
        <w:numPr>
          <w:ilvl w:val="0"/>
          <w:numId w:val="266"/>
        </w:numPr>
        <w:spacing w:after="160" w:line="259" w:lineRule="auto"/>
        <w:ind w:hanging="357"/>
        <w:rPr>
          <w:lang w:eastAsia="en-AU"/>
        </w:rPr>
      </w:pPr>
      <w:r w:rsidRPr="00250406">
        <w:t>Decide on minimum data for reporting on THN supply</w:t>
      </w:r>
    </w:p>
    <w:p w14:paraId="720ED0CA" w14:textId="515CCF81" w:rsidR="00813459" w:rsidRDefault="005561FB" w:rsidP="00813459">
      <w:pPr>
        <w:pStyle w:val="ListParagraph"/>
        <w:numPr>
          <w:ilvl w:val="0"/>
          <w:numId w:val="266"/>
        </w:numPr>
        <w:spacing w:after="160" w:line="259" w:lineRule="auto"/>
        <w:ind w:hanging="357"/>
        <w:rPr>
          <w:lang w:eastAsia="en-AU"/>
        </w:rPr>
      </w:pPr>
      <w:r w:rsidRPr="00250406">
        <w:lastRenderedPageBreak/>
        <w:t>Leverage existing data collection and funding arrangements to facilitate data collection</w:t>
      </w:r>
      <w:bookmarkStart w:id="72" w:name="_Toc82011748"/>
    </w:p>
    <w:p w14:paraId="3BD7D120" w14:textId="674C380A" w:rsidR="00CA5EEA" w:rsidRDefault="00CA5EEA" w:rsidP="00F3128D">
      <w:pPr>
        <w:pStyle w:val="Heading2"/>
        <w:rPr>
          <w:lang w:eastAsia="en-AU"/>
        </w:rPr>
      </w:pPr>
      <w:bookmarkStart w:id="73" w:name="_Toc94794090"/>
      <w:bookmarkStart w:id="74" w:name="_Toc94794221"/>
      <w:r>
        <w:rPr>
          <w:lang w:eastAsia="en-AU"/>
        </w:rPr>
        <w:t>Conclusions</w:t>
      </w:r>
      <w:bookmarkEnd w:id="72"/>
      <w:bookmarkEnd w:id="73"/>
      <w:bookmarkEnd w:id="74"/>
    </w:p>
    <w:p w14:paraId="4E800CD7" w14:textId="77777777" w:rsidR="007141E0" w:rsidRDefault="007141E0" w:rsidP="007141E0">
      <w:pPr>
        <w:rPr>
          <w:lang w:eastAsia="en-AU"/>
        </w:rPr>
      </w:pPr>
      <w:r>
        <w:rPr>
          <w:lang w:eastAsia="en-AU"/>
        </w:rPr>
        <w:t xml:space="preserve">In summary, most of the key THN Pilot activities were implemented as planned. The Pilot improved access to take home naloxone among </w:t>
      </w:r>
      <w:proofErr w:type="gramStart"/>
      <w:r>
        <w:rPr>
          <w:lang w:eastAsia="en-AU"/>
        </w:rPr>
        <w:t>a large number of</w:t>
      </w:r>
      <w:proofErr w:type="gramEnd"/>
      <w:r>
        <w:rPr>
          <w:lang w:eastAsia="en-AU"/>
        </w:rPr>
        <w:t xml:space="preserve"> people, who represented each of the intended target populations. The evaluation recorded 27,955 occasions of naloxone supply over 18 months of the Pilot, compared to 3,579 supplies through the PBS in the previous 2 years. Removal of cost and prescription barriers, availability through a broad range of access site types of different naloxone formulations were key to the Pilot’s success. Naloxone was</w:t>
      </w:r>
      <w:r w:rsidRPr="20EC43FC">
        <w:rPr>
          <w:lang w:eastAsia="en-AU"/>
        </w:rPr>
        <w:t xml:space="preserve"> successfully</w:t>
      </w:r>
      <w:r>
        <w:rPr>
          <w:lang w:eastAsia="en-AU"/>
        </w:rPr>
        <w:t xml:space="preserve"> used to resuscitate people in opioid overdose situations. The pilot enabled at least 1,649 overdose reversals, saving an estimated three lives each day over the duration of the Pilot to date.</w:t>
      </w:r>
    </w:p>
    <w:p w14:paraId="21798433" w14:textId="77777777" w:rsidR="007141E0" w:rsidRDefault="007141E0" w:rsidP="007141E0">
      <w:pPr>
        <w:rPr>
          <w:lang w:eastAsia="en-AU"/>
        </w:rPr>
      </w:pPr>
      <w:r>
        <w:rPr>
          <w:lang w:eastAsia="en-AU"/>
        </w:rPr>
        <w:t>In some areas, the Pilot did not fully achieve all its original intentions, due in part to the challenges of rapidly scaling up existing operations with limited resources</w:t>
      </w:r>
      <w:r w:rsidRPr="20EC43FC">
        <w:rPr>
          <w:lang w:eastAsia="en-AU"/>
        </w:rPr>
        <w:t>,</w:t>
      </w:r>
      <w:r>
        <w:rPr>
          <w:lang w:eastAsia="en-AU"/>
        </w:rPr>
        <w:t xml:space="preserve"> and an initial focus solely on the alcohol and other drug sector. There were also significant challenges in attempting to implement a major new health initiative in the competing environment of the COVID-19 pandemic.</w:t>
      </w:r>
    </w:p>
    <w:p w14:paraId="4DD1682D" w14:textId="77777777" w:rsidR="007141E0" w:rsidRDefault="007141E0" w:rsidP="007141E0">
      <w:pPr>
        <w:rPr>
          <w:lang w:eastAsia="en-AU"/>
        </w:rPr>
      </w:pPr>
      <w:r>
        <w:rPr>
          <w:lang w:eastAsia="en-AU"/>
        </w:rPr>
        <w:t xml:space="preserve">It is very strongly recommended that Take Home Naloxone be expanded and extended into an ongoing national program that forms an integral part of opioid safety stewardship. There is an established need to address the significant and ongoing risks of opioid overdose, opportunity to include an evidence based effective intervention, and strong impetus among the health sector to implement such a program. </w:t>
      </w:r>
    </w:p>
    <w:p w14:paraId="75966368" w14:textId="77777777" w:rsidR="007141E0" w:rsidRDefault="007141E0" w:rsidP="007141E0">
      <w:pPr>
        <w:rPr>
          <w:lang w:eastAsia="en-AU"/>
        </w:rPr>
      </w:pPr>
      <w:r>
        <w:rPr>
          <w:lang w:eastAsia="en-AU"/>
        </w:rPr>
        <w:t>The significant learnings from this Pilot should be taken forward, and the opportunity to continue learning from program operations ensured.</w:t>
      </w:r>
    </w:p>
    <w:p w14:paraId="1D947C9F" w14:textId="77777777" w:rsidR="006856DA" w:rsidRDefault="006856DA" w:rsidP="003D0F16">
      <w:pPr>
        <w:rPr>
          <w:lang w:eastAsia="en-AU"/>
        </w:rPr>
        <w:sectPr w:rsidR="006856DA" w:rsidSect="00DC0A5A">
          <w:footnotePr>
            <w:numFmt w:val="lowerLetter"/>
          </w:footnotePr>
          <w:pgSz w:w="11906" w:h="16838" w:code="9"/>
          <w:pgMar w:top="993" w:right="1416" w:bottom="1134" w:left="1134" w:header="567" w:footer="510" w:gutter="0"/>
          <w:pgNumType w:fmt="lowerRoman"/>
          <w:cols w:space="708"/>
          <w:titlePg/>
          <w:docGrid w:linePitch="360"/>
        </w:sectPr>
      </w:pPr>
    </w:p>
    <w:p w14:paraId="5654CDAF" w14:textId="01979BF1" w:rsidR="00CA5EEA" w:rsidRPr="00AC2523" w:rsidRDefault="00CA5EEA" w:rsidP="009301AF">
      <w:pPr>
        <w:pStyle w:val="NbrHeading1"/>
      </w:pPr>
      <w:bookmarkStart w:id="75" w:name="_Toc94794091"/>
      <w:bookmarkStart w:id="76" w:name="_Toc94794222"/>
      <w:r w:rsidRPr="00AC3B7F">
        <w:lastRenderedPageBreak/>
        <w:t>Introduction</w:t>
      </w:r>
      <w:bookmarkEnd w:id="75"/>
      <w:bookmarkEnd w:id="76"/>
    </w:p>
    <w:p w14:paraId="0E63A1C5" w14:textId="77777777" w:rsidR="00CA5EEA" w:rsidRPr="00AC3B7F" w:rsidRDefault="00CA5EEA" w:rsidP="00A0570E">
      <w:pPr>
        <w:pStyle w:val="NbrHeading2"/>
      </w:pPr>
      <w:bookmarkStart w:id="77" w:name="_Toc94794092"/>
      <w:bookmarkStart w:id="78" w:name="_Toc94794223"/>
      <w:r w:rsidRPr="00AC3B7F">
        <w:t>Background</w:t>
      </w:r>
      <w:bookmarkEnd w:id="77"/>
      <w:bookmarkEnd w:id="78"/>
    </w:p>
    <w:p w14:paraId="1F41CB53" w14:textId="5D082540" w:rsidR="00CA5EEA" w:rsidRDefault="00CA5EEA" w:rsidP="005307A9">
      <w:pPr>
        <w:pStyle w:val="BodyText"/>
      </w:pPr>
      <w:r>
        <w:t>In response to rising concern over the rate of opioid overdose deaths in Australia, the Australian Government funded a Pilot program to provide Take</w:t>
      </w:r>
      <w:r w:rsidR="003F3118">
        <w:t xml:space="preserve"> </w:t>
      </w:r>
      <w:r>
        <w:t xml:space="preserve">Home Naloxone (THN) subsidised through the Pharmaceutical Benefits Scheme (PBS). This </w:t>
      </w:r>
      <w:r w:rsidR="00C467EB">
        <w:t>P</w:t>
      </w:r>
      <w:r w:rsidR="00A83D0B">
        <w:t>ilot</w:t>
      </w:r>
      <w:r>
        <w:t xml:space="preserve"> allowed people at risk of experiencing or </w:t>
      </w:r>
      <w:r w:rsidR="001247F1">
        <w:t xml:space="preserve">likely to </w:t>
      </w:r>
      <w:r>
        <w:t>witness an opioid overdose or adverse reaction</w:t>
      </w:r>
      <w:r w:rsidR="00BE1206">
        <w:t xml:space="preserve"> </w:t>
      </w:r>
      <w:r>
        <w:t>to access naloxone without cost</w:t>
      </w:r>
      <w:r w:rsidR="00FE7C92">
        <w:t>, and without a prescription,</w:t>
      </w:r>
      <w:r>
        <w:t xml:space="preserve"> from a variety of settings, including pharmacies and other authorised alternative sites in New South Wales (NSW), South Australia (SA) and Western Australia (WA).</w:t>
      </w:r>
    </w:p>
    <w:p w14:paraId="3A21F0F1" w14:textId="77777777" w:rsidR="00CA5EEA" w:rsidRDefault="00CA5EEA" w:rsidP="005307A9">
      <w:pPr>
        <w:pStyle w:val="BodyText"/>
      </w:pPr>
      <w:r>
        <w:t>T</w:t>
      </w:r>
      <w:r w:rsidRPr="00A874CE">
        <w:t>he Institute for Social Science Research (ISSR) at The University of Queensland (UQ)</w:t>
      </w:r>
      <w:r>
        <w:t xml:space="preserve"> was contracted by the</w:t>
      </w:r>
      <w:r w:rsidDel="00E11ACC">
        <w:t xml:space="preserve"> </w:t>
      </w:r>
      <w:r>
        <w:t xml:space="preserve">Australian Government Department of Health (the Department) to conduct an evaluation of this Pharmaceutical Benefits Scheme Subsidised Take Home Naloxone Pilot (the Pilot). This work included developing an Evaluation Framework and analysing the extent to which the activities of the Pilot contributed to achieving its aim and objectives. The forward purpose of the Evaluation is to inform policy and practice in preparation for a national roll-out of THN. </w:t>
      </w:r>
    </w:p>
    <w:p w14:paraId="43251376" w14:textId="640B1BFA" w:rsidR="00CA5EEA" w:rsidRDefault="00CA5EEA" w:rsidP="005307A9">
      <w:pPr>
        <w:pStyle w:val="BodyText"/>
      </w:pPr>
      <w:r>
        <w:t>This report presents the Evaluation findings, covering the period from the Pilot’s commencement on 1 December 2019 until 30 June 2021</w:t>
      </w:r>
      <w:r w:rsidR="00384AFD">
        <w:t>, noting that the Pilot will continue until 30 June 2022</w:t>
      </w:r>
      <w:r>
        <w:t xml:space="preserve">. </w:t>
      </w:r>
    </w:p>
    <w:p w14:paraId="00685B68" w14:textId="0590EF21" w:rsidR="00CA5EEA" w:rsidRPr="00775569" w:rsidRDefault="00CA5EEA" w:rsidP="005307A9">
      <w:pPr>
        <w:pStyle w:val="BodyText"/>
      </w:pPr>
      <w:r>
        <w:t xml:space="preserve">It provides </w:t>
      </w:r>
      <w:r w:rsidDel="00F85514">
        <w:t xml:space="preserve">the </w:t>
      </w:r>
      <w:r>
        <w:t xml:space="preserve">background of the </w:t>
      </w:r>
      <w:r w:rsidR="00EF00B3">
        <w:t xml:space="preserve">Evaluation </w:t>
      </w:r>
      <w:r>
        <w:t>(Chapter 1) and an overview of the evaluation approach, including the Program Logic and Theory of Change, key evaluation activities and the impact of COVID-19 on evaluation activities (Chapter 2). Chapters 3-8 present the findings of the key evaluation questions. Finally, the overall considerations for development of a national take home naloxone program (THN) are provided in Chapter 9</w:t>
      </w:r>
      <w:r w:rsidR="00D77623">
        <w:t xml:space="preserve">, which also </w:t>
      </w:r>
      <w:r w:rsidR="00BC42C6">
        <w:t>note</w:t>
      </w:r>
      <w:r w:rsidR="00D77623">
        <w:t>s</w:t>
      </w:r>
      <w:r w:rsidR="00BC42C6">
        <w:t xml:space="preserve"> the limitations of the </w:t>
      </w:r>
      <w:r w:rsidR="00AB1500">
        <w:t>E</w:t>
      </w:r>
      <w:r w:rsidR="00BC42C6">
        <w:t>valuation</w:t>
      </w:r>
      <w:r>
        <w:t xml:space="preserve">. </w:t>
      </w:r>
      <w:r w:rsidR="000A2BFA">
        <w:t xml:space="preserve">Chapter </w:t>
      </w:r>
      <w:r w:rsidR="000F739A">
        <w:t>10 provides concluding remarks.</w:t>
      </w:r>
    </w:p>
    <w:p w14:paraId="66CDCA9E" w14:textId="34817C93" w:rsidR="00CA5EEA" w:rsidRDefault="00CA5EEA" w:rsidP="003D0F16">
      <w:r>
        <w:t>The following supplementary information is provided as appendices, including:</w:t>
      </w:r>
    </w:p>
    <w:p w14:paraId="7FE2F991" w14:textId="2084FCFB" w:rsidR="00CA5EEA" w:rsidRDefault="00CA5EEA" w:rsidP="003D0F16">
      <w:pPr>
        <w:pStyle w:val="ListParagraph"/>
        <w:numPr>
          <w:ilvl w:val="0"/>
          <w:numId w:val="168"/>
        </w:numPr>
      </w:pPr>
      <w:r>
        <w:t>Summary of current Australian THN programs</w:t>
      </w:r>
      <w:r w:rsidR="00325A6B">
        <w:t xml:space="preserve"> (apart from the Pilot)</w:t>
      </w:r>
    </w:p>
    <w:p w14:paraId="418D3EA4" w14:textId="77777777" w:rsidR="00CA5EEA" w:rsidRDefault="00CA5EEA" w:rsidP="003D0F16">
      <w:pPr>
        <w:pStyle w:val="ListParagraph"/>
        <w:numPr>
          <w:ilvl w:val="0"/>
          <w:numId w:val="168"/>
        </w:numPr>
      </w:pPr>
      <w:r>
        <w:t>Summary of international publicly funded THN programs</w:t>
      </w:r>
    </w:p>
    <w:p w14:paraId="62A8E2EE" w14:textId="77777777" w:rsidR="00CA5EEA" w:rsidRDefault="00CA5EEA" w:rsidP="003D0F16">
      <w:pPr>
        <w:pStyle w:val="ListParagraph"/>
        <w:numPr>
          <w:ilvl w:val="0"/>
          <w:numId w:val="168"/>
        </w:numPr>
      </w:pPr>
      <w:r>
        <w:t>Indicator matrix developed for the Evaluation</w:t>
      </w:r>
    </w:p>
    <w:p w14:paraId="0416BE00" w14:textId="77777777" w:rsidR="00CA5EEA" w:rsidRDefault="00CA5EEA" w:rsidP="003D0F16">
      <w:pPr>
        <w:pStyle w:val="ListParagraph"/>
        <w:numPr>
          <w:ilvl w:val="0"/>
          <w:numId w:val="168"/>
        </w:numPr>
      </w:pPr>
      <w:r>
        <w:t>Comparative prescribing of medications prior to and during the Pilot</w:t>
      </w:r>
    </w:p>
    <w:p w14:paraId="7783AAF0" w14:textId="44BF8397" w:rsidR="00CA5EEA" w:rsidRDefault="008C7BEE" w:rsidP="003D0F16">
      <w:pPr>
        <w:pStyle w:val="ListParagraph"/>
        <w:numPr>
          <w:ilvl w:val="0"/>
          <w:numId w:val="168"/>
        </w:numPr>
      </w:pPr>
      <w:r>
        <w:t>Stories from consumers about the use of THN for overdose reversals</w:t>
      </w:r>
    </w:p>
    <w:p w14:paraId="1EDA00E0" w14:textId="022810F3" w:rsidR="00CA5EEA" w:rsidRDefault="00CA5EEA" w:rsidP="006601C3">
      <w:pPr>
        <w:pStyle w:val="NbrHeading3"/>
      </w:pPr>
      <w:r>
        <w:br w:type="page"/>
      </w:r>
      <w:bookmarkStart w:id="79" w:name="_Toc94794093"/>
      <w:bookmarkStart w:id="80" w:name="_Toc94794224"/>
      <w:r>
        <w:lastRenderedPageBreak/>
        <w:t>Ongoing risks and costs of opioid overdose in Australia</w:t>
      </w:r>
      <w:bookmarkEnd w:id="79"/>
      <w:bookmarkEnd w:id="80"/>
    </w:p>
    <w:p w14:paraId="52544655" w14:textId="20BBD854" w:rsidR="00723E2D" w:rsidRPr="00D60583" w:rsidRDefault="001F7ED0" w:rsidP="005307A9">
      <w:pPr>
        <w:pStyle w:val="BodyText"/>
      </w:pPr>
      <w:r>
        <w:t>Preliminary</w:t>
      </w:r>
      <w:r w:rsidR="00CA5EEA" w:rsidRPr="00CD6F8C">
        <w:t xml:space="preserve"> estimates indicate there were </w:t>
      </w:r>
      <w:r w:rsidR="00CA5EEA" w:rsidRPr="006C56E3">
        <w:rPr>
          <w:shd w:val="clear" w:color="auto" w:fill="FFFFFF"/>
        </w:rPr>
        <w:t>1,</w:t>
      </w:r>
      <w:r w:rsidR="00CA5EEA" w:rsidRPr="006F7AAD">
        <w:t>865 drug-induced deaths</w:t>
      </w:r>
      <w:r w:rsidR="00CA5EEA" w:rsidRPr="006C56E3">
        <w:rPr>
          <w:shd w:val="clear" w:color="auto" w:fill="FFFFFF"/>
        </w:rPr>
        <w:t> </w:t>
      </w:r>
      <w:r w:rsidR="00473F0D">
        <w:rPr>
          <w:shd w:val="clear" w:color="auto" w:fill="FFFFFF"/>
        </w:rPr>
        <w:t xml:space="preserve">of any intent </w:t>
      </w:r>
      <w:r w:rsidR="00CA5EEA" w:rsidRPr="006C56E3">
        <w:rPr>
          <w:shd w:val="clear" w:color="auto" w:fill="FFFFFF"/>
        </w:rPr>
        <w:t>among Australians in 2019</w:t>
      </w:r>
      <w:r w:rsidR="00CC0940">
        <w:rPr>
          <w:rStyle w:val="FootnoteReference"/>
          <w:rFonts w:ascii="Arial" w:hAnsi="Arial" w:cs="Arial"/>
          <w:shd w:val="clear" w:color="auto" w:fill="FFFFFF"/>
        </w:rPr>
        <w:footnoteReference w:id="2"/>
      </w:r>
      <w:r w:rsidR="00CA5EEA" w:rsidRPr="006C56E3">
        <w:rPr>
          <w:shd w:val="clear" w:color="auto" w:fill="FFFFFF"/>
        </w:rPr>
        <w:t>, with opioids listed as the underlying cause in 1</w:t>
      </w:r>
      <w:r w:rsidR="00CA5EEA">
        <w:rPr>
          <w:shd w:val="clear" w:color="auto" w:fill="FFFFFF"/>
        </w:rPr>
        <w:t>,</w:t>
      </w:r>
      <w:r w:rsidR="00F35830" w:rsidRPr="004669A7">
        <w:rPr>
          <w:shd w:val="clear" w:color="auto" w:fill="FFFFFF"/>
        </w:rPr>
        <w:t>1</w:t>
      </w:r>
      <w:r w:rsidR="00F35830">
        <w:rPr>
          <w:shd w:val="clear" w:color="auto" w:fill="FFFFFF"/>
        </w:rPr>
        <w:t>29</w:t>
      </w:r>
      <w:r w:rsidR="00CA5EEA" w:rsidRPr="004669A7">
        <w:rPr>
          <w:shd w:val="clear" w:color="auto" w:fill="FFFFFF"/>
        </w:rPr>
        <w:t xml:space="preserve"> (</w:t>
      </w:r>
      <w:r w:rsidR="004010BB" w:rsidRPr="004669A7">
        <w:rPr>
          <w:shd w:val="clear" w:color="auto" w:fill="FFFFFF"/>
        </w:rPr>
        <w:t>6</w:t>
      </w:r>
      <w:r w:rsidR="004010BB">
        <w:rPr>
          <w:shd w:val="clear" w:color="auto" w:fill="FFFFFF"/>
        </w:rPr>
        <w:t>0</w:t>
      </w:r>
      <w:r w:rsidR="00CA5EEA" w:rsidRPr="004669A7">
        <w:rPr>
          <w:shd w:val="clear" w:color="auto" w:fill="FFFFFF"/>
        </w:rPr>
        <w:t xml:space="preserve">%) of these, equivalent to </w:t>
      </w:r>
      <w:r w:rsidR="002D4848">
        <w:rPr>
          <w:shd w:val="clear" w:color="auto" w:fill="FFFFFF"/>
        </w:rPr>
        <w:t xml:space="preserve">approximately </w:t>
      </w:r>
      <w:r w:rsidR="002E79D4">
        <w:rPr>
          <w:shd w:val="clear" w:color="auto" w:fill="FFFFFF"/>
        </w:rPr>
        <w:t>three</w:t>
      </w:r>
      <w:r w:rsidR="00CA5EEA" w:rsidRPr="004669A7">
        <w:rPr>
          <w:shd w:val="clear" w:color="auto" w:fill="FFFFFF"/>
        </w:rPr>
        <w:t xml:space="preserve"> opioid-involved deaths per day</w:t>
      </w:r>
      <w:r w:rsidR="006C574B">
        <w:rPr>
          <w:shd w:val="clear" w:color="auto" w:fill="FFFFFF"/>
        </w:rPr>
        <w:t xml:space="preserve"> </w:t>
      </w:r>
      <w:r w:rsidR="00FC2A47">
        <w:rPr>
          <w:shd w:val="clear" w:color="auto" w:fill="FFFFFF"/>
        </w:rPr>
        <w:fldChar w:fldCharType="begin"/>
      </w:r>
      <w:r w:rsidR="00EF7C97">
        <w:rPr>
          <w:shd w:val="clear" w:color="auto" w:fill="FFFFFF"/>
        </w:rPr>
        <w:instrText xml:space="preserve"> ADDIN EN.CITE &lt;EndNote&gt;&lt;Cite&gt;&lt;Author&gt;Chrzanowska&lt;/Author&gt;&lt;Year&gt;2021&lt;/Year&gt;&lt;RecNum&gt;118&lt;/RecNum&gt;&lt;DisplayText&gt;(1)&lt;/DisplayText&gt;&lt;record&gt;&lt;rec-number&gt;118&lt;/rec-number&gt;&lt;foreign-keys&gt;&lt;key app="EN" db-id="p00v9zw27zzswpe25phxpead0asdt50td92p" timestamp="1629697548"&gt;118&lt;/key&gt;&lt;/foreign-keys&gt;&lt;ref-type name="Journal Article"&gt;17&lt;/ref-type&gt;&lt;contributors&gt;&lt;authors&gt;&lt;author&gt;Chrzanowska, A&lt;/author&gt;&lt;author&gt;Man, N&lt;/author&gt;&lt;author&gt;Sutherland, R&lt;/author&gt;&lt;author&gt;Degenhardt, L&lt;/author&gt;&lt;author&gt;Peacock, A&lt;/author&gt;&lt;/authors&gt;&lt;/contributors&gt;&lt;titles&gt;&lt;title&gt;Trends in drug-induced deaths in Australia, 1997-2019&lt;/title&gt;&lt;secondary-title&gt;Drug Trends Bulletin Series. Sydney: National Drug and Alcohol Research Centre, UNSW Sydney&lt;/secondary-title&gt;&lt;/titles&gt;&lt;periodical&gt;&lt;full-title&gt;Drug trends bulletin series. Sydney: National Drug and Alcohol Research Centre, UNSW Sydney&lt;/full-title&gt;&lt;/periodical&gt;&lt;dates&gt;&lt;year&gt;2021&lt;/year&gt;&lt;/dates&gt;&lt;urls&gt;&lt;/urls&gt;&lt;/record&gt;&lt;/Cite&gt;&lt;/EndNote&gt;</w:instrText>
      </w:r>
      <w:r w:rsidR="00FC2A47">
        <w:rPr>
          <w:shd w:val="clear" w:color="auto" w:fill="FFFFFF"/>
        </w:rPr>
        <w:fldChar w:fldCharType="separate"/>
      </w:r>
      <w:r w:rsidR="00EF7C97">
        <w:rPr>
          <w:noProof/>
          <w:shd w:val="clear" w:color="auto" w:fill="FFFFFF"/>
        </w:rPr>
        <w:t>(1)</w:t>
      </w:r>
      <w:r w:rsidR="00FC2A47">
        <w:rPr>
          <w:shd w:val="clear" w:color="auto" w:fill="FFFFFF"/>
        </w:rPr>
        <w:fldChar w:fldCharType="end"/>
      </w:r>
      <w:r w:rsidR="006C574B">
        <w:rPr>
          <w:shd w:val="clear" w:color="auto" w:fill="FFFFFF"/>
        </w:rPr>
        <w:t>.</w:t>
      </w:r>
      <w:r w:rsidR="00CA5EEA" w:rsidRPr="006C56E3">
        <w:rPr>
          <w:shd w:val="clear" w:color="auto" w:fill="FFFFFF"/>
        </w:rPr>
        <w:t xml:space="preserve"> </w:t>
      </w:r>
      <w:r w:rsidR="00723E2D" w:rsidRPr="00D60583">
        <w:t>In 2019, 56% of opioid-induced deaths were attributed to pharmaceutical opioids only (e.g., oxycodone, morphine), 32% to illicit opioids (i.e., heroin) only, and 11% to both. The majority (78%) of opioid-induced deaths were considered unintentional.</w:t>
      </w:r>
    </w:p>
    <w:p w14:paraId="2E51222B" w14:textId="0028C367" w:rsidR="003B0874" w:rsidRPr="003B0874" w:rsidRDefault="00B26612" w:rsidP="005307A9">
      <w:pPr>
        <w:pStyle w:val="BodyText"/>
        <w:rPr>
          <w:bdr w:val="none" w:sz="0" w:space="0" w:color="auto" w:frame="1"/>
          <w:shd w:val="clear" w:color="auto" w:fill="FFFFFF"/>
          <w:lang w:eastAsia="en-AU"/>
        </w:rPr>
      </w:pPr>
      <w:r w:rsidRPr="00B26612">
        <w:rPr>
          <w:bdr w:val="none" w:sz="0" w:space="0" w:color="auto" w:frame="1"/>
          <w:shd w:val="clear" w:color="auto" w:fill="FFFFFF"/>
          <w:lang w:eastAsia="en-AU"/>
        </w:rPr>
        <w:t xml:space="preserve">Concerningly, the rate of unintentional opioid-induced deaths has been trending upwards since 2006, from an age-standardised rate of 1.6 deaths per 100,000 people in 2006 to 4.3 deaths per 100,000 people in 2016 (the most recent year with finalised data; preliminary estimate of 3.6 deaths per 100,000 in 2019). </w:t>
      </w:r>
      <w:r w:rsidR="00887364">
        <w:rPr>
          <w:bdr w:val="none" w:sz="0" w:space="0" w:color="auto" w:frame="1"/>
          <w:shd w:val="clear" w:color="auto" w:fill="FFFFFF"/>
          <w:lang w:eastAsia="en-AU"/>
        </w:rPr>
        <w:t xml:space="preserve">Pharmaceutical opioids are </w:t>
      </w:r>
      <w:r w:rsidR="002620DA">
        <w:rPr>
          <w:bdr w:val="none" w:sz="0" w:space="0" w:color="auto" w:frame="1"/>
          <w:shd w:val="clear" w:color="auto" w:fill="FFFFFF"/>
          <w:lang w:eastAsia="en-AU"/>
        </w:rPr>
        <w:t xml:space="preserve">involved in </w:t>
      </w:r>
      <w:proofErr w:type="gramStart"/>
      <w:r w:rsidR="002620DA">
        <w:rPr>
          <w:bdr w:val="none" w:sz="0" w:space="0" w:color="auto" w:frame="1"/>
          <w:shd w:val="clear" w:color="auto" w:fill="FFFFFF"/>
          <w:lang w:eastAsia="en-AU"/>
        </w:rPr>
        <w:t>the majority of</w:t>
      </w:r>
      <w:proofErr w:type="gramEnd"/>
      <w:r w:rsidR="002620DA">
        <w:rPr>
          <w:bdr w:val="none" w:sz="0" w:space="0" w:color="auto" w:frame="1"/>
          <w:shd w:val="clear" w:color="auto" w:fill="FFFFFF"/>
          <w:lang w:eastAsia="en-AU"/>
        </w:rPr>
        <w:t xml:space="preserve"> these deaths (refer to </w:t>
      </w:r>
      <w:r w:rsidR="00F574FD">
        <w:rPr>
          <w:bdr w:val="none" w:sz="0" w:space="0" w:color="auto" w:frame="1"/>
          <w:shd w:val="clear" w:color="auto" w:fill="FFFFFF"/>
          <w:lang w:eastAsia="en-AU"/>
        </w:rPr>
        <w:fldChar w:fldCharType="begin"/>
      </w:r>
      <w:r w:rsidR="00F574FD">
        <w:rPr>
          <w:bdr w:val="none" w:sz="0" w:space="0" w:color="auto" w:frame="1"/>
          <w:shd w:val="clear" w:color="auto" w:fill="FFFFFF"/>
          <w:lang w:eastAsia="en-AU"/>
        </w:rPr>
        <w:instrText xml:space="preserve"> REF _Ref82011324 \h </w:instrText>
      </w:r>
      <w:r w:rsidR="005307A9">
        <w:rPr>
          <w:bdr w:val="none" w:sz="0" w:space="0" w:color="auto" w:frame="1"/>
          <w:shd w:val="clear" w:color="auto" w:fill="FFFFFF"/>
          <w:lang w:eastAsia="en-AU"/>
        </w:rPr>
        <w:instrText xml:space="preserve"> \* MERGEFORMAT </w:instrText>
      </w:r>
      <w:r w:rsidR="00F574FD">
        <w:rPr>
          <w:bdr w:val="none" w:sz="0" w:space="0" w:color="auto" w:frame="1"/>
          <w:shd w:val="clear" w:color="auto" w:fill="FFFFFF"/>
          <w:lang w:eastAsia="en-AU"/>
        </w:rPr>
      </w:r>
      <w:r w:rsidR="00F574FD">
        <w:rPr>
          <w:bdr w:val="none" w:sz="0" w:space="0" w:color="auto" w:frame="1"/>
          <w:shd w:val="clear" w:color="auto" w:fill="FFFFFF"/>
          <w:lang w:eastAsia="en-AU"/>
        </w:rPr>
        <w:fldChar w:fldCharType="separate"/>
      </w:r>
      <w:r w:rsidR="00EE19AD">
        <w:t xml:space="preserve">Figure </w:t>
      </w:r>
      <w:r w:rsidR="00EE19AD">
        <w:rPr>
          <w:noProof/>
        </w:rPr>
        <w:t>1</w:t>
      </w:r>
      <w:r w:rsidR="00F574FD">
        <w:rPr>
          <w:bdr w:val="none" w:sz="0" w:space="0" w:color="auto" w:frame="1"/>
          <w:shd w:val="clear" w:color="auto" w:fill="FFFFFF"/>
          <w:lang w:eastAsia="en-AU"/>
        </w:rPr>
        <w:fldChar w:fldCharType="end"/>
      </w:r>
      <w:r w:rsidR="002620DA">
        <w:rPr>
          <w:bdr w:val="none" w:sz="0" w:space="0" w:color="auto" w:frame="1"/>
          <w:shd w:val="clear" w:color="auto" w:fill="FFFFFF"/>
          <w:lang w:eastAsia="en-AU"/>
        </w:rPr>
        <w:t xml:space="preserve"> below).</w:t>
      </w:r>
    </w:p>
    <w:p w14:paraId="60615CB2" w14:textId="77777777" w:rsidR="000C0B13" w:rsidRDefault="002621FF" w:rsidP="00014D01">
      <w:pPr>
        <w:pStyle w:val="Caption"/>
      </w:pPr>
      <w:bookmarkStart w:id="81" w:name="_Ref82011324"/>
      <w:bookmarkStart w:id="82" w:name="_Toc94794337"/>
      <w:r>
        <w:t xml:space="preserve">Figure </w:t>
      </w:r>
      <w:r>
        <w:fldChar w:fldCharType="begin"/>
      </w:r>
      <w:r>
        <w:instrText>SEQ Figure \* ARABIC</w:instrText>
      </w:r>
      <w:r>
        <w:fldChar w:fldCharType="separate"/>
      </w:r>
      <w:r w:rsidR="00EE19AD">
        <w:rPr>
          <w:noProof/>
        </w:rPr>
        <w:t>1</w:t>
      </w:r>
      <w:r>
        <w:fldChar w:fldCharType="end"/>
      </w:r>
      <w:bookmarkEnd w:id="81"/>
      <w:r>
        <w:t xml:space="preserve">. </w:t>
      </w:r>
      <w:r w:rsidR="00014D01" w:rsidRPr="0036572D">
        <w:t>Opioid-</w:t>
      </w:r>
      <w:r w:rsidR="0038529D">
        <w:t>induced deaths</w:t>
      </w:r>
      <w:r w:rsidR="00014D01" w:rsidRPr="0036572D">
        <w:t xml:space="preserve"> in Australia</w:t>
      </w:r>
      <w:r w:rsidR="00014D01">
        <w:t>, 2010 – 2019</w:t>
      </w:r>
      <w:bookmarkEnd w:id="82"/>
    </w:p>
    <w:p w14:paraId="40725290" w14:textId="1280559E" w:rsidR="00014D01" w:rsidRDefault="000C0B13" w:rsidP="00014D01">
      <w:pPr>
        <w:pStyle w:val="Caption"/>
      </w:pPr>
      <w:r>
        <w:rPr>
          <w:noProof/>
        </w:rPr>
        <w:drawing>
          <wp:inline distT="0" distB="0" distL="0" distR="0" wp14:anchorId="08ACB99D" wp14:editId="30477F98">
            <wp:extent cx="5941060" cy="3095625"/>
            <wp:effectExtent l="0" t="0" r="2540" b="0"/>
            <wp:docPr id="6" name="Chart 6" descr="Figure 1 is a stacked bar graph showing the trends of Opioid-induced deaths in Australia, 2010 – 2019. ">
              <a:extLst xmlns:a="http://schemas.openxmlformats.org/drawingml/2006/main">
                <a:ext uri="{FF2B5EF4-FFF2-40B4-BE49-F238E27FC236}">
                  <a16:creationId xmlns:a16="http://schemas.microsoft.com/office/drawing/2014/main" id="{BE5D1F7A-6857-4FCB-A632-FAA933686D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F19245B" w14:textId="00D6BD31" w:rsidR="00AF2F83" w:rsidRPr="003C35B2" w:rsidRDefault="00AF2F83" w:rsidP="000C0B13">
      <w:pPr>
        <w:spacing w:after="0" w:line="240" w:lineRule="auto"/>
        <w:rPr>
          <w:i/>
          <w:iCs/>
          <w:sz w:val="18"/>
          <w:szCs w:val="18"/>
        </w:rPr>
      </w:pPr>
      <w:r w:rsidRPr="003C35B2">
        <w:rPr>
          <w:i/>
          <w:iCs/>
          <w:sz w:val="18"/>
          <w:szCs w:val="18"/>
        </w:rPr>
        <w:t xml:space="preserve">Source: NDARC </w:t>
      </w:r>
      <w:r w:rsidR="00887364">
        <w:rPr>
          <w:i/>
          <w:iCs/>
          <w:sz w:val="18"/>
          <w:szCs w:val="18"/>
        </w:rPr>
        <w:t xml:space="preserve">Bulletin: </w:t>
      </w:r>
      <w:r w:rsidRPr="003C35B2">
        <w:rPr>
          <w:i/>
          <w:iCs/>
          <w:sz w:val="18"/>
          <w:szCs w:val="18"/>
        </w:rPr>
        <w:t xml:space="preserve">Trends in </w:t>
      </w:r>
      <w:r>
        <w:rPr>
          <w:i/>
          <w:iCs/>
          <w:sz w:val="18"/>
          <w:szCs w:val="18"/>
        </w:rPr>
        <w:t>drug-induced deaths 1997</w:t>
      </w:r>
      <w:r w:rsidRPr="003C35B2">
        <w:rPr>
          <w:i/>
          <w:iCs/>
          <w:sz w:val="18"/>
          <w:szCs w:val="18"/>
        </w:rPr>
        <w:t>-2019</w:t>
      </w:r>
      <w:r w:rsidR="00887364">
        <w:rPr>
          <w:i/>
          <w:iCs/>
          <w:sz w:val="18"/>
          <w:szCs w:val="18"/>
        </w:rPr>
        <w:t xml:space="preserve"> </w:t>
      </w:r>
      <w:r w:rsidR="00887364">
        <w:rPr>
          <w:rFonts w:ascii="Arial" w:hAnsi="Arial" w:cs="Arial"/>
          <w:shd w:val="clear" w:color="auto" w:fill="FFFFFF"/>
        </w:rPr>
        <w:fldChar w:fldCharType="begin"/>
      </w:r>
      <w:r w:rsidR="00EF7C97">
        <w:rPr>
          <w:rFonts w:ascii="Arial" w:hAnsi="Arial" w:cs="Arial"/>
          <w:shd w:val="clear" w:color="auto" w:fill="FFFFFF"/>
        </w:rPr>
        <w:instrText xml:space="preserve"> ADDIN EN.CITE &lt;EndNote&gt;&lt;Cite&gt;&lt;Author&gt;Chrzanowska&lt;/Author&gt;&lt;Year&gt;2021&lt;/Year&gt;&lt;RecNum&gt;118&lt;/RecNum&gt;&lt;DisplayText&gt;(1)&lt;/DisplayText&gt;&lt;record&gt;&lt;rec-number&gt;118&lt;/rec-number&gt;&lt;foreign-keys&gt;&lt;key app="EN" db-id="p00v9zw27zzswpe25phxpead0asdt50td92p" timestamp="1629697548"&gt;118&lt;/key&gt;&lt;/foreign-keys&gt;&lt;ref-type name="Journal Article"&gt;17&lt;/ref-type&gt;&lt;contributors&gt;&lt;authors&gt;&lt;author&gt;Chrzanowska, A&lt;/author&gt;&lt;author&gt;Man, N&lt;/author&gt;&lt;author&gt;Sutherland, R&lt;/author&gt;&lt;author&gt;Degenhardt, L&lt;/author&gt;&lt;author&gt;Peacock, A&lt;/author&gt;&lt;/authors&gt;&lt;/contributors&gt;&lt;titles&gt;&lt;title&gt;Trends in drug-induced deaths in Australia, 1997-2019&lt;/title&gt;&lt;secondary-title&gt;Drug Trends Bulletin Series. Sydney: National Drug and Alcohol Research Centre, UNSW Sydney&lt;/secondary-title&gt;&lt;/titles&gt;&lt;periodical&gt;&lt;full-title&gt;Drug trends bulletin series. Sydney: National Drug and Alcohol Research Centre, UNSW Sydney&lt;/full-title&gt;&lt;/periodical&gt;&lt;dates&gt;&lt;year&gt;2021&lt;/year&gt;&lt;/dates&gt;&lt;urls&gt;&lt;/urls&gt;&lt;/record&gt;&lt;/Cite&gt;&lt;/EndNote&gt;</w:instrText>
      </w:r>
      <w:r w:rsidR="00887364">
        <w:rPr>
          <w:rFonts w:ascii="Arial" w:hAnsi="Arial" w:cs="Arial"/>
          <w:shd w:val="clear" w:color="auto" w:fill="FFFFFF"/>
        </w:rPr>
        <w:fldChar w:fldCharType="separate"/>
      </w:r>
      <w:r w:rsidR="00EF7C97">
        <w:rPr>
          <w:rFonts w:ascii="Arial" w:hAnsi="Arial" w:cs="Arial"/>
          <w:noProof/>
          <w:shd w:val="clear" w:color="auto" w:fill="FFFFFF"/>
        </w:rPr>
        <w:t>(1)</w:t>
      </w:r>
      <w:r w:rsidR="00887364">
        <w:rPr>
          <w:rFonts w:ascii="Arial" w:hAnsi="Arial" w:cs="Arial"/>
          <w:shd w:val="clear" w:color="auto" w:fill="FFFFFF"/>
        </w:rPr>
        <w:fldChar w:fldCharType="end"/>
      </w:r>
    </w:p>
    <w:p w14:paraId="3F40A064" w14:textId="1210374C" w:rsidR="00014D01" w:rsidRDefault="00AF2F83" w:rsidP="005307A9">
      <w:pPr>
        <w:pStyle w:val="BodyText"/>
        <w:rPr>
          <w:bdr w:val="none" w:sz="0" w:space="0" w:color="auto" w:frame="1"/>
          <w:shd w:val="clear" w:color="auto" w:fill="FFFFFF"/>
          <w:lang w:eastAsia="en-AU"/>
        </w:rPr>
      </w:pPr>
      <w:r>
        <w:rPr>
          <w:bdr w:val="none" w:sz="0" w:space="0" w:color="auto" w:frame="1"/>
          <w:shd w:val="clear" w:color="auto" w:fill="FFFFFF"/>
          <w:lang w:eastAsia="en-AU"/>
        </w:rPr>
        <w:t>H</w:t>
      </w:r>
      <w:r w:rsidRPr="00B26612">
        <w:rPr>
          <w:bdr w:val="none" w:sz="0" w:space="0" w:color="auto" w:frame="1"/>
          <w:shd w:val="clear" w:color="auto" w:fill="FFFFFF"/>
          <w:lang w:eastAsia="en-AU"/>
        </w:rPr>
        <w:t>ospitalisations in Australia due to opioid poisoning also show a steady increase, peaking at an age-standardised rate of 17.6 hospitalisations per 100,000 people in 2017</w:t>
      </w:r>
      <w:r w:rsidR="00C530BC">
        <w:rPr>
          <w:bdr w:val="none" w:sz="0" w:space="0" w:color="auto" w:frame="1"/>
          <w:shd w:val="clear" w:color="auto" w:fill="FFFFFF"/>
          <w:lang w:eastAsia="en-AU"/>
        </w:rPr>
        <w:t xml:space="preserve"> (see </w:t>
      </w:r>
      <w:r w:rsidR="00C530BC">
        <w:rPr>
          <w:bdr w:val="none" w:sz="0" w:space="0" w:color="auto" w:frame="1"/>
          <w:shd w:val="clear" w:color="auto" w:fill="FFFFFF"/>
          <w:lang w:eastAsia="en-AU"/>
        </w:rPr>
        <w:fldChar w:fldCharType="begin"/>
      </w:r>
      <w:r w:rsidR="00C530BC">
        <w:rPr>
          <w:bdr w:val="none" w:sz="0" w:space="0" w:color="auto" w:frame="1"/>
          <w:shd w:val="clear" w:color="auto" w:fill="FFFFFF"/>
          <w:lang w:eastAsia="en-AU"/>
        </w:rPr>
        <w:instrText xml:space="preserve"> REF _Ref82011364 \h </w:instrText>
      </w:r>
      <w:r w:rsidR="005307A9">
        <w:rPr>
          <w:bdr w:val="none" w:sz="0" w:space="0" w:color="auto" w:frame="1"/>
          <w:shd w:val="clear" w:color="auto" w:fill="FFFFFF"/>
          <w:lang w:eastAsia="en-AU"/>
        </w:rPr>
        <w:instrText xml:space="preserve"> \* MERGEFORMAT </w:instrText>
      </w:r>
      <w:r w:rsidR="00C530BC">
        <w:rPr>
          <w:bdr w:val="none" w:sz="0" w:space="0" w:color="auto" w:frame="1"/>
          <w:shd w:val="clear" w:color="auto" w:fill="FFFFFF"/>
          <w:lang w:eastAsia="en-AU"/>
        </w:rPr>
      </w:r>
      <w:r w:rsidR="00C530BC">
        <w:rPr>
          <w:bdr w:val="none" w:sz="0" w:space="0" w:color="auto" w:frame="1"/>
          <w:shd w:val="clear" w:color="auto" w:fill="FFFFFF"/>
          <w:lang w:eastAsia="en-AU"/>
        </w:rPr>
        <w:fldChar w:fldCharType="separate"/>
      </w:r>
      <w:r w:rsidR="00EE19AD">
        <w:t xml:space="preserve">Figure </w:t>
      </w:r>
      <w:r w:rsidR="00EE19AD">
        <w:rPr>
          <w:noProof/>
        </w:rPr>
        <w:t>2</w:t>
      </w:r>
      <w:r w:rsidR="00C530BC">
        <w:rPr>
          <w:bdr w:val="none" w:sz="0" w:space="0" w:color="auto" w:frame="1"/>
          <w:shd w:val="clear" w:color="auto" w:fill="FFFFFF"/>
          <w:lang w:eastAsia="en-AU"/>
        </w:rPr>
        <w:fldChar w:fldCharType="end"/>
      </w:r>
      <w:r w:rsidR="00C530BC">
        <w:rPr>
          <w:bdr w:val="none" w:sz="0" w:space="0" w:color="auto" w:frame="1"/>
          <w:shd w:val="clear" w:color="auto" w:fill="FFFFFF"/>
          <w:lang w:eastAsia="en-AU"/>
        </w:rPr>
        <w:t>)</w:t>
      </w:r>
      <w:r w:rsidRPr="00B26612">
        <w:rPr>
          <w:bdr w:val="none" w:sz="0" w:space="0" w:color="auto" w:frame="1"/>
          <w:shd w:val="clear" w:color="auto" w:fill="FFFFFF"/>
          <w:lang w:eastAsia="en-AU"/>
        </w:rPr>
        <w:t xml:space="preserve">, </w:t>
      </w:r>
      <w:r w:rsidR="00C530BC">
        <w:rPr>
          <w:bdr w:val="none" w:sz="0" w:space="0" w:color="auto" w:frame="1"/>
          <w:shd w:val="clear" w:color="auto" w:fill="FFFFFF"/>
          <w:lang w:eastAsia="en-AU"/>
        </w:rPr>
        <w:t>b</w:t>
      </w:r>
      <w:r w:rsidRPr="00B26612">
        <w:rPr>
          <w:bdr w:val="none" w:sz="0" w:space="0" w:color="auto" w:frame="1"/>
          <w:shd w:val="clear" w:color="auto" w:fill="FFFFFF"/>
          <w:lang w:eastAsia="en-AU"/>
        </w:rPr>
        <w:t>efore decreasing slightly to 15.7 hospitalisations per 100,000 people in 2019</w:t>
      </w:r>
      <w:r>
        <w:rPr>
          <w:bdr w:val="none" w:sz="0" w:space="0" w:color="auto" w:frame="1"/>
          <w:shd w:val="clear" w:color="auto" w:fill="FFFFFF"/>
          <w:lang w:eastAsia="en-AU"/>
        </w:rPr>
        <w:t xml:space="preserve"> </w:t>
      </w:r>
      <w:r>
        <w:rPr>
          <w:rFonts w:ascii="Arial" w:hAnsi="Arial" w:cs="Arial"/>
          <w:shd w:val="clear" w:color="auto" w:fill="FFFFFF"/>
        </w:rPr>
        <w:fldChar w:fldCharType="begin"/>
      </w:r>
      <w:r w:rsidR="00EF7C97">
        <w:rPr>
          <w:rFonts w:ascii="Arial" w:hAnsi="Arial" w:cs="Arial"/>
          <w:shd w:val="clear" w:color="auto" w:fill="FFFFFF"/>
        </w:rPr>
        <w:instrText xml:space="preserve"> ADDIN EN.CITE &lt;EndNote&gt;&lt;Cite&gt;&lt;Author&gt;Man&lt;/Author&gt;&lt;Year&gt;2021&lt;/Year&gt;&lt;RecNum&gt;124&lt;/RecNum&gt;&lt;DisplayText&gt;(2)&lt;/DisplayText&gt;&lt;record&gt;&lt;rec-number&gt;124&lt;/rec-number&gt;&lt;foreign-keys&gt;&lt;key app="EN" db-id="p00v9zw27zzswpe25phxpead0asdt50td92p" timestamp="1629772731"&gt;124&lt;/key&gt;&lt;/foreign-keys&gt;&lt;ref-type name="Journal Article"&gt;17&lt;/ref-type&gt;&lt;contributors&gt;&lt;authors&gt;&lt;author&gt;Man, N&lt;/author&gt;&lt;author&gt;Chrzanowska, A&lt;/author&gt;&lt;author&gt;Sutherland, R&lt;/author&gt;&lt;author&gt;Degenhardt, L&lt;/author&gt;&lt;author&gt;Peacock, A&lt;/author&gt;&lt;/authors&gt;&lt;/contributors&gt;&lt;titles&gt;&lt;title&gt;Trends in drug-related hospitalisations in Australia, 1999-2019&lt;/title&gt;&lt;secondary-title&gt;Drug Trends Bulletin Series. Sydney: National Drug and Alcohol Research Centre, UNSW Sydney&lt;/secondary-title&gt;&lt;/titles&gt;&lt;periodical&gt;&lt;full-title&gt;Drug trends bulletin series. Sydney: National Drug and Alcohol Research Centre, UNSW Sydney&lt;/full-title&gt;&lt;/periodical&gt;&lt;dates&gt;&lt;year&gt;2021&lt;/year&gt;&lt;/dates&gt;&lt;urls&gt;&lt;related-urls&gt;&lt;url&gt;https://ndarc.med.unsw.edu.au/resource-analytics/trends-drug-related-hospitalisations-australia-1999-2019&lt;/url&gt;&lt;/related-urls&gt;&lt;/urls&gt;&lt;/record&gt;&lt;/Cite&gt;&lt;/EndNote&gt;</w:instrText>
      </w:r>
      <w:r>
        <w:rPr>
          <w:rFonts w:ascii="Arial" w:hAnsi="Arial" w:cs="Arial"/>
          <w:shd w:val="clear" w:color="auto" w:fill="FFFFFF"/>
        </w:rPr>
        <w:fldChar w:fldCharType="separate"/>
      </w:r>
      <w:r w:rsidR="00EF7C97">
        <w:rPr>
          <w:rFonts w:ascii="Arial" w:hAnsi="Arial" w:cs="Arial"/>
          <w:noProof/>
          <w:shd w:val="clear" w:color="auto" w:fill="FFFFFF"/>
        </w:rPr>
        <w:t>(2)</w:t>
      </w:r>
      <w:r>
        <w:rPr>
          <w:rFonts w:ascii="Arial" w:hAnsi="Arial" w:cs="Arial"/>
          <w:shd w:val="clear" w:color="auto" w:fill="FFFFFF"/>
        </w:rPr>
        <w:fldChar w:fldCharType="end"/>
      </w:r>
      <w:r w:rsidRPr="00B26612">
        <w:rPr>
          <w:bdr w:val="none" w:sz="0" w:space="0" w:color="auto" w:frame="1"/>
          <w:shd w:val="clear" w:color="auto" w:fill="FFFFFF"/>
          <w:lang w:eastAsia="en-AU"/>
        </w:rPr>
        <w:t>.</w:t>
      </w:r>
    </w:p>
    <w:p w14:paraId="481CC4F8" w14:textId="0FCA5BFC" w:rsidR="002621FF" w:rsidRDefault="002621FF" w:rsidP="002621FF">
      <w:pPr>
        <w:pStyle w:val="Caption"/>
      </w:pPr>
      <w:bookmarkStart w:id="83" w:name="_Ref82011364"/>
      <w:bookmarkStart w:id="84" w:name="_Toc94794338"/>
      <w:r>
        <w:lastRenderedPageBreak/>
        <w:t xml:space="preserve">Figure </w:t>
      </w:r>
      <w:r>
        <w:fldChar w:fldCharType="begin"/>
      </w:r>
      <w:r>
        <w:instrText>SEQ Figure \* ARABIC</w:instrText>
      </w:r>
      <w:r>
        <w:fldChar w:fldCharType="separate"/>
      </w:r>
      <w:r w:rsidR="00EE19AD">
        <w:rPr>
          <w:noProof/>
        </w:rPr>
        <w:t>2</w:t>
      </w:r>
      <w:r>
        <w:fldChar w:fldCharType="end"/>
      </w:r>
      <w:bookmarkEnd w:id="83"/>
      <w:r>
        <w:t xml:space="preserve">. </w:t>
      </w:r>
      <w:r w:rsidRPr="0036572D">
        <w:t>Opioid-</w:t>
      </w:r>
      <w:r>
        <w:t>r</w:t>
      </w:r>
      <w:r w:rsidRPr="0036572D">
        <w:t xml:space="preserve">elated </w:t>
      </w:r>
      <w:r>
        <w:t>h</w:t>
      </w:r>
      <w:r w:rsidRPr="0036572D">
        <w:t>ospitalisations in Australia</w:t>
      </w:r>
      <w:r>
        <w:t>, 2009/10</w:t>
      </w:r>
      <w:r w:rsidR="00E75859">
        <w:t xml:space="preserve"> – </w:t>
      </w:r>
      <w:r>
        <w:t>2018/19</w:t>
      </w:r>
      <w:bookmarkEnd w:id="84"/>
    </w:p>
    <w:p w14:paraId="12BD4A85" w14:textId="060D5638" w:rsidR="002621FF" w:rsidRDefault="00AF2F83" w:rsidP="002621FF">
      <w:pPr>
        <w:spacing w:after="0" w:line="240" w:lineRule="auto"/>
      </w:pPr>
      <w:r>
        <w:rPr>
          <w:noProof/>
        </w:rPr>
        <w:drawing>
          <wp:inline distT="0" distB="0" distL="0" distR="0" wp14:anchorId="241361E9" wp14:editId="1344466A">
            <wp:extent cx="5314950" cy="2730500"/>
            <wp:effectExtent l="0" t="0" r="0" b="0"/>
            <wp:docPr id="49" name="Chart 49" descr="Bar graph. Compares age and Opioid-related hospitalisations in Australia.">
              <a:extLst xmlns:a="http://schemas.openxmlformats.org/drawingml/2006/main">
                <a:ext uri="{FF2B5EF4-FFF2-40B4-BE49-F238E27FC236}">
                  <a16:creationId xmlns:a16="http://schemas.microsoft.com/office/drawing/2014/main" id="{9F2810B8-3872-425E-8986-8873391256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B912324" w14:textId="0585E969" w:rsidR="005D0A04" w:rsidRPr="006601C3" w:rsidRDefault="002621FF" w:rsidP="006601C3">
      <w:pPr>
        <w:spacing w:after="0" w:line="240" w:lineRule="auto"/>
        <w:ind w:firstLine="720"/>
        <w:rPr>
          <w:i/>
          <w:iCs/>
          <w:sz w:val="18"/>
          <w:szCs w:val="18"/>
        </w:rPr>
      </w:pPr>
      <w:r w:rsidRPr="003C35B2">
        <w:rPr>
          <w:i/>
          <w:iCs/>
          <w:sz w:val="18"/>
          <w:szCs w:val="18"/>
        </w:rPr>
        <w:t xml:space="preserve">Source: NDARC </w:t>
      </w:r>
      <w:r w:rsidR="00887364">
        <w:rPr>
          <w:i/>
          <w:iCs/>
          <w:sz w:val="18"/>
          <w:szCs w:val="18"/>
        </w:rPr>
        <w:t xml:space="preserve">Bulletin: </w:t>
      </w:r>
      <w:r w:rsidRPr="003C35B2">
        <w:rPr>
          <w:i/>
          <w:iCs/>
          <w:sz w:val="18"/>
          <w:szCs w:val="18"/>
        </w:rPr>
        <w:t xml:space="preserve">Trends in </w:t>
      </w:r>
      <w:r w:rsidR="00887364">
        <w:rPr>
          <w:i/>
          <w:iCs/>
          <w:sz w:val="18"/>
          <w:szCs w:val="18"/>
        </w:rPr>
        <w:t>d</w:t>
      </w:r>
      <w:r w:rsidR="00887364" w:rsidRPr="003C35B2">
        <w:rPr>
          <w:i/>
          <w:iCs/>
          <w:sz w:val="18"/>
          <w:szCs w:val="18"/>
        </w:rPr>
        <w:t>rug</w:t>
      </w:r>
      <w:r w:rsidR="00887364">
        <w:rPr>
          <w:i/>
          <w:iCs/>
          <w:sz w:val="18"/>
          <w:szCs w:val="18"/>
        </w:rPr>
        <w:t>-r</w:t>
      </w:r>
      <w:r w:rsidRPr="003C35B2">
        <w:rPr>
          <w:i/>
          <w:iCs/>
          <w:sz w:val="18"/>
          <w:szCs w:val="18"/>
        </w:rPr>
        <w:t xml:space="preserve">elated </w:t>
      </w:r>
      <w:r w:rsidR="00887364">
        <w:rPr>
          <w:i/>
          <w:iCs/>
          <w:sz w:val="18"/>
          <w:szCs w:val="18"/>
        </w:rPr>
        <w:t>h</w:t>
      </w:r>
      <w:r w:rsidR="00887364" w:rsidRPr="003C35B2">
        <w:rPr>
          <w:i/>
          <w:iCs/>
          <w:sz w:val="18"/>
          <w:szCs w:val="18"/>
        </w:rPr>
        <w:t>ospitalisations</w:t>
      </w:r>
      <w:r w:rsidR="00887364">
        <w:rPr>
          <w:i/>
          <w:iCs/>
          <w:sz w:val="18"/>
          <w:szCs w:val="18"/>
        </w:rPr>
        <w:t xml:space="preserve"> in Australia</w:t>
      </w:r>
      <w:r w:rsidR="00887364" w:rsidRPr="003C35B2">
        <w:rPr>
          <w:i/>
          <w:iCs/>
          <w:sz w:val="18"/>
          <w:szCs w:val="18"/>
        </w:rPr>
        <w:t xml:space="preserve"> </w:t>
      </w:r>
      <w:r w:rsidR="00887364">
        <w:rPr>
          <w:i/>
          <w:iCs/>
          <w:sz w:val="18"/>
          <w:szCs w:val="18"/>
        </w:rPr>
        <w:t>1999</w:t>
      </w:r>
      <w:r w:rsidRPr="003C35B2">
        <w:rPr>
          <w:i/>
          <w:iCs/>
          <w:sz w:val="18"/>
          <w:szCs w:val="18"/>
        </w:rPr>
        <w:t>-2019</w:t>
      </w:r>
      <w:r w:rsidR="00887364">
        <w:rPr>
          <w:i/>
          <w:iCs/>
          <w:sz w:val="18"/>
          <w:szCs w:val="18"/>
        </w:rPr>
        <w:t xml:space="preserve"> </w:t>
      </w:r>
      <w:r w:rsidR="00887364" w:rsidRPr="00EB5D89">
        <w:rPr>
          <w:rFonts w:ascii="Arial" w:hAnsi="Arial" w:cs="Arial"/>
          <w:sz w:val="18"/>
          <w:szCs w:val="18"/>
          <w:shd w:val="clear" w:color="auto" w:fill="FFFFFF"/>
        </w:rPr>
        <w:fldChar w:fldCharType="begin"/>
      </w:r>
      <w:r w:rsidR="00EF7C97">
        <w:rPr>
          <w:rFonts w:ascii="Arial" w:hAnsi="Arial" w:cs="Arial"/>
          <w:sz w:val="18"/>
          <w:szCs w:val="18"/>
          <w:shd w:val="clear" w:color="auto" w:fill="FFFFFF"/>
        </w:rPr>
        <w:instrText xml:space="preserve"> ADDIN EN.CITE &lt;EndNote&gt;&lt;Cite&gt;&lt;Author&gt;Man&lt;/Author&gt;&lt;Year&gt;2021&lt;/Year&gt;&lt;RecNum&gt;124&lt;/RecNum&gt;&lt;DisplayText&gt;(2)&lt;/DisplayText&gt;&lt;record&gt;&lt;rec-number&gt;124&lt;/rec-number&gt;&lt;foreign-keys&gt;&lt;key app="EN" db-id="p00v9zw27zzswpe25phxpead0asdt50td92p" timestamp="1629772731"&gt;124&lt;/key&gt;&lt;/foreign-keys&gt;&lt;ref-type name="Journal Article"&gt;17&lt;/ref-type&gt;&lt;contributors&gt;&lt;authors&gt;&lt;author&gt;Man, N&lt;/author&gt;&lt;author&gt;Chrzanowska, A&lt;/author&gt;&lt;author&gt;Sutherland, R&lt;/author&gt;&lt;author&gt;Degenhardt, L&lt;/author&gt;&lt;author&gt;Peacock, A&lt;/author&gt;&lt;/authors&gt;&lt;/contributors&gt;&lt;titles&gt;&lt;title&gt;Trends in drug-related hospitalisations in Australia, 1999-2019&lt;/title&gt;&lt;secondary-title&gt;Drug Trends Bulletin Series. Sydney: National Drug and Alcohol Research Centre, UNSW Sydney&lt;/secondary-title&gt;&lt;/titles&gt;&lt;periodical&gt;&lt;full-title&gt;Drug trends bulletin series. Sydney: National Drug and Alcohol Research Centre, UNSW Sydney&lt;/full-title&gt;&lt;/periodical&gt;&lt;dates&gt;&lt;year&gt;2021&lt;/year&gt;&lt;/dates&gt;&lt;urls&gt;&lt;related-urls&gt;&lt;url&gt;https://ndarc.med.unsw.edu.au/resource-analytics/trends-drug-related-hospitalisations-australia-1999-2019&lt;/url&gt;&lt;/related-urls&gt;&lt;/urls&gt;&lt;/record&gt;&lt;/Cite&gt;&lt;/EndNote&gt;</w:instrText>
      </w:r>
      <w:r w:rsidR="00887364" w:rsidRPr="00EB5D89">
        <w:rPr>
          <w:rFonts w:ascii="Arial" w:hAnsi="Arial" w:cs="Arial"/>
          <w:sz w:val="18"/>
          <w:szCs w:val="18"/>
          <w:shd w:val="clear" w:color="auto" w:fill="FFFFFF"/>
        </w:rPr>
        <w:fldChar w:fldCharType="separate"/>
      </w:r>
      <w:r w:rsidR="00EF7C97">
        <w:rPr>
          <w:rFonts w:ascii="Arial" w:hAnsi="Arial" w:cs="Arial"/>
          <w:noProof/>
          <w:sz w:val="18"/>
          <w:szCs w:val="18"/>
          <w:shd w:val="clear" w:color="auto" w:fill="FFFFFF"/>
        </w:rPr>
        <w:t>(2)</w:t>
      </w:r>
      <w:r w:rsidR="00887364" w:rsidRPr="00EB5D89">
        <w:rPr>
          <w:rFonts w:ascii="Arial" w:hAnsi="Arial" w:cs="Arial"/>
          <w:sz w:val="18"/>
          <w:szCs w:val="18"/>
          <w:shd w:val="clear" w:color="auto" w:fill="FFFFFF"/>
        </w:rPr>
        <w:fldChar w:fldCharType="end"/>
      </w:r>
    </w:p>
    <w:p w14:paraId="08DB9BB8" w14:textId="5B5209C5" w:rsidR="00CA5EEA" w:rsidRDefault="00160A84" w:rsidP="006601C3">
      <w:pPr>
        <w:pStyle w:val="BodyText"/>
      </w:pPr>
      <w:bookmarkStart w:id="85" w:name="_Hlk84583091"/>
      <w:r>
        <w:t>In addition to the health burden, o</w:t>
      </w:r>
      <w:r w:rsidR="00CA5EEA">
        <w:t xml:space="preserve">pioid-related hospitalisations and deaths in Australia incur significant costs each year. </w:t>
      </w:r>
      <w:r w:rsidR="004F4297">
        <w:t>Estimation of the social costs placed</w:t>
      </w:r>
      <w:r w:rsidR="00CA5EEA">
        <w:t xml:space="preserve"> the net tangible cost of the 2,203 opioid-related deaths for 2015-2016 at $2.49 billion dollars, and a cost of $249.3 million for nearly 32,000 hospital separations</w:t>
      </w:r>
      <w:r w:rsidR="000A4E2E">
        <w:t xml:space="preserve"> </w:t>
      </w:r>
      <w:r w:rsidR="00B86EB1">
        <w:fldChar w:fldCharType="begin"/>
      </w:r>
      <w:r w:rsidR="00EF7C97">
        <w:instrText xml:space="preserve"> ADDIN EN.CITE &lt;EndNote&gt;&lt;Cite&gt;&lt;Author&gt;Makate&lt;/Author&gt;&lt;Year&gt;2020&lt;/Year&gt;&lt;RecNum&gt;119&lt;/RecNum&gt;&lt;DisplayText&gt;(3)&lt;/DisplayText&gt;&lt;record&gt;&lt;rec-number&gt;119&lt;/rec-number&gt;&lt;foreign-keys&gt;&lt;key app="EN" db-id="p00v9zw27zzswpe25phxpead0asdt50td92p" timestamp="1629697598"&gt;119&lt;/key&gt;&lt;/foreign-keys&gt;&lt;ref-type name="Report"&gt;27&lt;/ref-type&gt;&lt;contributors&gt;&lt;authors&gt;&lt;author&gt;Makate, Marshall&lt;/author&gt;&lt;author&gt;Whetton, Steve&lt;/author&gt;&lt;author&gt;Tait, Robert&lt;/author&gt;&lt;author&gt;Chrzanowska, Agata&lt;/author&gt;&lt;author&gt;Donnelly, Neil&lt;/author&gt;&lt;author&gt;McEntee, Alice&lt;/author&gt;&lt;author&gt;Muhktar, Aqif&lt;/author&gt;&lt;author&gt;Zahra, Emma&lt;/author&gt;&lt;author&gt;Campbell, Gabrielle&lt;/author&gt;&lt;author&gt;Degenhardt, Louisa&lt;/author&gt;&lt;/authors&gt;&lt;secondary-authors&gt;&lt;author&gt;Tait, Robert&lt;/author&gt;&lt;author&gt;Allsop, S&lt;/author&gt;&lt;/secondary-authors&gt;&lt;/contributors&gt;&lt;titles&gt;&lt;title&gt;Quantifying the Social Costs of Pharmaceutical Opioid Misuse &amp;amp; Illicit Opioid Use to Australia in 2015/16&lt;/title&gt;&lt;/titles&gt;&lt;dates&gt;&lt;year&gt;2020&lt;/year&gt;&lt;/dates&gt;&lt;pub-location&gt;Perth, WA&lt;/pub-location&gt;&lt;publisher&gt;National Drug Research Institute, Curtin University&lt;/publisher&gt;&lt;isbn&gt;978-0-6487367-0-7&lt;/isbn&gt;&lt;urls&gt;&lt;related-urls&gt;&lt;url&gt;https://apo.org.au/node/303888&lt;/url&gt;&lt;/related-urls&gt;&lt;/urls&gt;&lt;/record&gt;&lt;/Cite&gt;&lt;/EndNote&gt;</w:instrText>
      </w:r>
      <w:r w:rsidR="00B86EB1">
        <w:fldChar w:fldCharType="separate"/>
      </w:r>
      <w:r w:rsidR="00EF7C97">
        <w:rPr>
          <w:noProof/>
        </w:rPr>
        <w:t>(3)</w:t>
      </w:r>
      <w:r w:rsidR="00B86EB1">
        <w:fldChar w:fldCharType="end"/>
      </w:r>
      <w:r w:rsidR="000A4E2E">
        <w:t>.</w:t>
      </w:r>
      <w:r w:rsidR="00CA5EEA">
        <w:t xml:space="preserve"> </w:t>
      </w:r>
      <w:bookmarkEnd w:id="85"/>
      <w:r w:rsidR="00CA5EEA">
        <w:t>Reduction of such presentations will incur a major cost saving to the health system</w:t>
      </w:r>
      <w:r w:rsidR="00192085">
        <w:t xml:space="preserve"> as well as </w:t>
      </w:r>
      <w:r w:rsidR="000D38A4">
        <w:t>reducing the human cost</w:t>
      </w:r>
      <w:r w:rsidR="00CA5EEA">
        <w:t>, and there is an obvious imperative to seek prevention of these deaths.</w:t>
      </w:r>
    </w:p>
    <w:p w14:paraId="2D0BA732" w14:textId="215AEA95" w:rsidR="00CA5EEA" w:rsidRDefault="00CA5EEA" w:rsidP="006601C3">
      <w:pPr>
        <w:pStyle w:val="BodyText"/>
      </w:pPr>
      <w:r>
        <w:t>Prescribed use of opioid medic</w:t>
      </w:r>
      <w:r w:rsidR="48EB418B">
        <w:t>ines</w:t>
      </w:r>
      <w:r>
        <w:t xml:space="preserve"> continues to be </w:t>
      </w:r>
      <w:r w:rsidR="00C20153">
        <w:t>widespread</w:t>
      </w:r>
      <w:r>
        <w:t xml:space="preserve">. Since 2013, approximately </w:t>
      </w:r>
      <w:r w:rsidR="00EB6428">
        <w:t>three</w:t>
      </w:r>
      <w:r>
        <w:t xml:space="preserve"> </w:t>
      </w:r>
      <w:r w:rsidRPr="006601C3">
        <w:t>million</w:t>
      </w:r>
      <w:r>
        <w:t xml:space="preserve"> Australians have been dispensed prescription opioids each year</w:t>
      </w:r>
      <w:r w:rsidDel="001F1E27">
        <w:t xml:space="preserve"> </w:t>
      </w:r>
      <w:r w:rsidR="001F1E27">
        <w:fldChar w:fldCharType="begin">
          <w:fldData xml:space="preserve">PEVuZE5vdGU+PENpdGU+PEF1dGhvcj5MYWxpYzwvQXV0aG9yPjxZZWFyPjIwMTk8L1llYXI+PFJl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==
</w:fldData>
        </w:fldChar>
      </w:r>
      <w:r w:rsidR="00EF7C97">
        <w:instrText xml:space="preserve"> ADDIN EN.CITE </w:instrText>
      </w:r>
      <w:r w:rsidR="00EF7C97">
        <w:fldChar w:fldCharType="begin">
          <w:fldData xml:space="preserve">PEVuZE5vdGU+PENpdGU+PEF1dGhvcj5MYWxpYzwvQXV0aG9yPjxZZWFyPjIwMTk8L1llYXI+PFJl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==
</w:fldData>
        </w:fldChar>
      </w:r>
      <w:r w:rsidR="00EF7C97">
        <w:instrText xml:space="preserve"> ADDIN EN.CITE.DATA </w:instrText>
      </w:r>
      <w:r w:rsidR="00EF7C97">
        <w:fldChar w:fldCharType="end"/>
      </w:r>
      <w:r w:rsidR="001F1E27">
        <w:fldChar w:fldCharType="separate"/>
      </w:r>
      <w:r w:rsidR="00EF7C97">
        <w:rPr>
          <w:noProof/>
        </w:rPr>
        <w:t>(4)</w:t>
      </w:r>
      <w:r w:rsidR="001F1E27">
        <w:fldChar w:fldCharType="end"/>
      </w:r>
      <w:r w:rsidR="000A4E2E">
        <w:t>.</w:t>
      </w:r>
      <w:r>
        <w:t xml:space="preserve"> A recent review estimated that opioid doses of over 50 </w:t>
      </w:r>
      <w:r w:rsidRPr="00081530">
        <w:t xml:space="preserve">morphine milligram equivalents (MME) per day increase the risk of </w:t>
      </w:r>
      <w:r w:rsidR="004F6FB7">
        <w:t>unintentional</w:t>
      </w:r>
      <w:r w:rsidR="00502C46">
        <w:t xml:space="preserve"> </w:t>
      </w:r>
      <w:r w:rsidR="005F597C">
        <w:t xml:space="preserve">opioid </w:t>
      </w:r>
      <w:r w:rsidRPr="00081530">
        <w:t>overdose by a factor of 3.87, and doses over 100 MME/day by 4.27</w:t>
      </w:r>
      <w:r w:rsidR="001F1E27">
        <w:t xml:space="preserve"> </w:t>
      </w:r>
      <w:r w:rsidR="001F1E27">
        <w:fldChar w:fldCharType="begin"/>
      </w:r>
      <w:r w:rsidR="00EF7C97">
        <w:instrText xml:space="preserve"> ADDIN EN.CITE &lt;EndNote&gt;&lt;Cite&gt;&lt;Author&gt;Adewumi&lt;/Author&gt;&lt;Year&gt;2018&lt;/Year&gt;&lt;RecNum&gt;110&lt;/RecNum&gt;&lt;DisplayText&gt;(5)&lt;/DisplayText&gt;&lt;record&gt;&lt;rec-number&gt;110&lt;/rec-number&gt;&lt;foreign-keys&gt;&lt;key app="EN" db-id="p00v9zw27zzswpe25phxpead0asdt50td92p" timestamp="1629690838"&gt;110&lt;/key&gt;&lt;/foreign-keys&gt;&lt;ref-type name="Journal Article"&gt;17&lt;/ref-type&gt;&lt;contributors&gt;&lt;authors&gt;&lt;author&gt;Adewumi, Adeleke D.&lt;/author&gt;&lt;author&gt;Hollingworth, Samantha A.&lt;/author&gt;&lt;author&gt;Maravilla, Joemer C.&lt;/author&gt;&lt;author&gt;Connor, Jason P.&lt;/author&gt;&lt;author&gt;Alati, Rosa&lt;/author&gt;&lt;/authors&gt;&lt;/contributors&gt;&lt;titles&gt;&lt;title&gt;Prescribed Dose of Opioids and Overdose: A Systematic Review and Meta-Analysis of Unintentional Prescription Opioid Overdose&lt;/title&gt;&lt;secondary-title&gt;CNS Drugs&lt;/secondary-title&gt;&lt;/titles&gt;&lt;periodical&gt;&lt;full-title&gt;CNS Drugs&lt;/full-title&gt;&lt;/periodical&gt;&lt;pages&gt;101-116&lt;/pages&gt;&lt;volume&gt;32&lt;/volume&gt;&lt;number&gt;2&lt;/number&gt;&lt;dates&gt;&lt;year&gt;2018&lt;/year&gt;&lt;pub-dates&gt;&lt;date&gt;2018/02/01&lt;/date&gt;&lt;/pub-dates&gt;&lt;/dates&gt;&lt;isbn&gt;1179-1934&lt;/isbn&gt;&lt;urls&gt;&lt;related-urls&gt;&lt;url&gt;https://doi.org/10.1007/s40263-018-0499-3&lt;/url&gt;&lt;/related-urls&gt;&lt;/urls&gt;&lt;electronic-resource-num&gt;10.1007/s40263-018-0499-3&lt;/electronic-resource-num&gt;&lt;/record&gt;&lt;/Cite&gt;&lt;/EndNote&gt;</w:instrText>
      </w:r>
      <w:r w:rsidR="001F1E27">
        <w:fldChar w:fldCharType="separate"/>
      </w:r>
      <w:r w:rsidR="00EF7C97">
        <w:rPr>
          <w:noProof/>
        </w:rPr>
        <w:t>(5)</w:t>
      </w:r>
      <w:r w:rsidR="001F1E27">
        <w:fldChar w:fldCharType="end"/>
      </w:r>
      <w:r w:rsidR="000A4E2E">
        <w:t>.</w:t>
      </w:r>
      <w:r w:rsidDel="001F1E27">
        <w:t xml:space="preserve"> </w:t>
      </w:r>
      <w:r>
        <w:t xml:space="preserve">The </w:t>
      </w:r>
      <w:proofErr w:type="spellStart"/>
      <w:r>
        <w:t>Centers</w:t>
      </w:r>
      <w:proofErr w:type="spellEnd"/>
      <w:r>
        <w:t xml:space="preserve"> for Disease Control and Prevention (CDC) recommends that </w:t>
      </w:r>
      <w:r w:rsidR="007B71E0">
        <w:t>the</w:t>
      </w:r>
      <w:r>
        <w:t xml:space="preserve"> risks of doses ≥50MME/day be considered and doses ≥90MME/day be avoided where possible</w:t>
      </w:r>
      <w:r w:rsidR="000A4E2E">
        <w:t xml:space="preserve"> </w:t>
      </w:r>
      <w:r w:rsidR="002012E5">
        <w:fldChar w:fldCharType="begin">
          <w:fldData xml:space="preserve">PEVuZE5vdGU+PENpdGU+PEF1dGhvcj5Eb3dlbGw8L0F1dGhvcj48WWVhcj4yMDE2PC9ZZWFyPjxS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</w:fldData>
        </w:fldChar>
      </w:r>
      <w:r w:rsidR="00EF7C97">
        <w:instrText xml:space="preserve"> ADDIN EN.CITE </w:instrText>
      </w:r>
      <w:r w:rsidR="00EF7C97">
        <w:fldChar w:fldCharType="begin">
          <w:fldData xml:space="preserve">PEVuZE5vdGU+PENpdGU+PEF1dGhvcj5Eb3dlbGw8L0F1dGhvcj48WWVhcj4yMDE2PC9ZZWFyPjxS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</w:fldData>
        </w:fldChar>
      </w:r>
      <w:r w:rsidR="00EF7C97">
        <w:instrText xml:space="preserve"> ADDIN EN.CITE.DATA </w:instrText>
      </w:r>
      <w:r w:rsidR="00EF7C97">
        <w:fldChar w:fldCharType="end"/>
      </w:r>
      <w:r w:rsidR="002012E5">
        <w:fldChar w:fldCharType="separate"/>
      </w:r>
      <w:r w:rsidR="00EF7C97">
        <w:rPr>
          <w:noProof/>
        </w:rPr>
        <w:t>(6)</w:t>
      </w:r>
      <w:r w:rsidR="002012E5">
        <w:fldChar w:fldCharType="end"/>
      </w:r>
      <w:r w:rsidR="000A4E2E">
        <w:t>.</w:t>
      </w:r>
      <w:r w:rsidDel="002012E5">
        <w:t xml:space="preserve"> </w:t>
      </w:r>
      <w:r w:rsidR="00541EAC" w:rsidRPr="00EF7A8D">
        <w:t xml:space="preserve">This </w:t>
      </w:r>
      <w:r w:rsidR="00420415">
        <w:t>50MME</w:t>
      </w:r>
      <w:r w:rsidR="5ADB5B15">
        <w:t>/day</w:t>
      </w:r>
      <w:r w:rsidR="00541EAC" w:rsidRPr="00EF7A8D">
        <w:t xml:space="preserve"> </w:t>
      </w:r>
      <w:r w:rsidR="001544A2" w:rsidRPr="00032E13">
        <w:t>threshold</w:t>
      </w:r>
      <w:r w:rsidR="00541EAC" w:rsidRPr="00EF7A8D">
        <w:t xml:space="preserve"> places </w:t>
      </w:r>
      <w:r w:rsidR="78EFA2CC" w:rsidRPr="00EF7A8D">
        <w:t xml:space="preserve">an estimated </w:t>
      </w:r>
      <w:r w:rsidRPr="00EF7A8D">
        <w:t xml:space="preserve">22% </w:t>
      </w:r>
      <w:r w:rsidR="00541EAC" w:rsidRPr="00EF7A8D">
        <w:t xml:space="preserve">of all </w:t>
      </w:r>
      <w:r w:rsidR="0061359D" w:rsidRPr="00032E13">
        <w:t>Australians</w:t>
      </w:r>
      <w:r w:rsidRPr="00EF7A8D">
        <w:t xml:space="preserve"> </w:t>
      </w:r>
      <w:r w:rsidR="00541EAC" w:rsidRPr="00EF7A8D">
        <w:t>receiving</w:t>
      </w:r>
      <w:r w:rsidRPr="00EF7A8D">
        <w:t xml:space="preserve"> prescription opioids </w:t>
      </w:r>
      <w:r w:rsidR="00541EAC" w:rsidRPr="00EF7A8D">
        <w:t xml:space="preserve">at risk of </w:t>
      </w:r>
      <w:r w:rsidR="4B9A81DA" w:rsidRPr="00EF7A8D">
        <w:t xml:space="preserve">potential </w:t>
      </w:r>
      <w:r w:rsidR="00541EAC" w:rsidRPr="00EF7A8D">
        <w:t>overdose</w:t>
      </w:r>
      <w:r w:rsidR="0061359D" w:rsidRPr="00032E13">
        <w:t xml:space="preserve"> </w:t>
      </w:r>
      <w:r w:rsidR="0061359D" w:rsidRPr="002061A7">
        <w:fldChar w:fldCharType="begin">
          <w:fldData xml:space="preserve">PEVuZE5vdGU+PENpdGU+PEF1dGhvcj5MYWxpYzwvQXV0aG9yPjxZZWFyPjIwMTk8L1llYXI+PFJl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==
</w:fldData>
        </w:fldChar>
      </w:r>
      <w:r w:rsidR="00EF7C97">
        <w:instrText xml:space="preserve"> ADDIN EN.CITE </w:instrText>
      </w:r>
      <w:r w:rsidR="00EF7C97">
        <w:fldChar w:fldCharType="begin">
          <w:fldData xml:space="preserve">PEVuZE5vdGU+PENpdGU+PEF1dGhvcj5MYWxpYzwvQXV0aG9yPjxZZWFyPjIwMTk8L1llYXI+PFJl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==
</w:fldData>
        </w:fldChar>
      </w:r>
      <w:r w:rsidR="00EF7C97">
        <w:instrText xml:space="preserve"> ADDIN EN.CITE.DATA </w:instrText>
      </w:r>
      <w:r w:rsidR="00EF7C97">
        <w:fldChar w:fldCharType="end"/>
      </w:r>
      <w:r w:rsidR="0061359D" w:rsidRPr="002061A7">
        <w:fldChar w:fldCharType="separate"/>
      </w:r>
      <w:r w:rsidR="00EF7C97">
        <w:rPr>
          <w:noProof/>
        </w:rPr>
        <w:t>(4)</w:t>
      </w:r>
      <w:r w:rsidR="0061359D" w:rsidRPr="002061A7">
        <w:fldChar w:fldCharType="end"/>
      </w:r>
      <w:r w:rsidR="00541EAC" w:rsidRPr="00EF7A8D">
        <w:t>.</w:t>
      </w:r>
      <w:r w:rsidRPr="00081530">
        <w:t xml:space="preserve"> </w:t>
      </w:r>
    </w:p>
    <w:p w14:paraId="3D88B966" w14:textId="7612AE0F" w:rsidR="003A51E0" w:rsidRDefault="007A5CEC" w:rsidP="005307A9">
      <w:pPr>
        <w:pStyle w:val="BodyText"/>
      </w:pPr>
      <w:r>
        <w:t xml:space="preserve">People who regularly use illicit opioids are also at risk of overdose.  </w:t>
      </w:r>
      <w:r w:rsidR="000A22EF">
        <w:t xml:space="preserve">It is difficult to estimate the </w:t>
      </w:r>
      <w:r w:rsidR="009E735A">
        <w:t xml:space="preserve">size of this population. </w:t>
      </w:r>
      <w:r w:rsidR="00F1041E">
        <w:t>The 2019</w:t>
      </w:r>
      <w:r w:rsidR="00A51D2A">
        <w:t xml:space="preserve"> </w:t>
      </w:r>
      <w:r w:rsidR="00F1041E">
        <w:t>National Drug St</w:t>
      </w:r>
      <w:r w:rsidR="00590660">
        <w:t>rateg</w:t>
      </w:r>
      <w:r w:rsidR="00F1041E">
        <w:t xml:space="preserve">y Household Survey </w:t>
      </w:r>
      <w:r w:rsidR="00A51D2A">
        <w:t>records 2.</w:t>
      </w:r>
      <w:r w:rsidR="005B61EA">
        <w:t>8</w:t>
      </w:r>
      <w:r w:rsidR="00A51D2A">
        <w:t>% of the Australian</w:t>
      </w:r>
      <w:r w:rsidR="009E735A">
        <w:t xml:space="preserve"> population reporting </w:t>
      </w:r>
      <w:r w:rsidR="00266E59">
        <w:t xml:space="preserve">recent </w:t>
      </w:r>
      <w:r w:rsidR="005B61EA">
        <w:t>illicit use of opioids (including extra-medical use of pharmaceutical opioids)</w:t>
      </w:r>
      <w:r w:rsidR="00D80AC8">
        <w:t>, and 0.1%, recent use of heroin</w:t>
      </w:r>
      <w:r w:rsidR="00E925BF">
        <w:t xml:space="preserve"> </w:t>
      </w:r>
      <w:r w:rsidR="00A85B5C">
        <w:fldChar w:fldCharType="begin"/>
      </w:r>
      <w:r w:rsidR="00EF7C97">
        <w:instrText xml:space="preserve"> ADDIN EN.CITE &lt;EndNote&gt;&lt;Cite&gt;&lt;Author&gt;Australian Institute of Health and Welfare&lt;/Author&gt;&lt;Year&gt;2020&lt;/Year&gt;&lt;RecNum&gt;142&lt;/RecNum&gt;&lt;DisplayText&gt;(7)&lt;/DisplayText&gt;&lt;record&gt;&lt;rec-number&gt;142&lt;/rec-number&gt;&lt;foreign-keys&gt;&lt;key app="EN" db-id="p00v9zw27zzswpe25phxpead0asdt50td92p" timestamp="1630906004"&gt;142&lt;/key&gt;&lt;/foreign-keys&gt;&lt;ref-type name="Report"&gt;27&lt;/ref-type&gt;&lt;contributors&gt;&lt;authors&gt;&lt;author&gt;Australian Institute of Health and Welfare,&lt;/author&gt;&lt;/authors&gt;&lt;/contributors&gt;&lt;titles&gt;&lt;title&gt;National Drug Strategy Household Survey 2019&lt;/title&gt;&lt;/titles&gt;&lt;dates&gt;&lt;year&gt;2020&lt;/year&gt;&lt;/dates&gt;&lt;publisher&gt;Australian Institute of Health and Welfare&lt;/publisher&gt;&lt;urls&gt;&lt;related-urls&gt;&lt;url&gt;https://www.aihw.gov.au/reports/illicit-use-of-drugs/national-drug-strategy-household-survey-2019/contents/summary&lt;/url&gt;&lt;/related-urls&gt;&lt;/urls&gt;&lt;electronic-resource-num&gt;10.25816/e42p-a447&lt;/electronic-resource-num&gt;&lt;/record&gt;&lt;/Cite&gt;&lt;/EndNote&gt;</w:instrText>
      </w:r>
      <w:r w:rsidR="00A85B5C">
        <w:fldChar w:fldCharType="separate"/>
      </w:r>
      <w:r w:rsidR="00EF7C97">
        <w:rPr>
          <w:noProof/>
        </w:rPr>
        <w:t>(7)</w:t>
      </w:r>
      <w:r w:rsidR="00A85B5C">
        <w:fldChar w:fldCharType="end"/>
      </w:r>
      <w:r w:rsidR="00E925BF">
        <w:t>.</w:t>
      </w:r>
      <w:r w:rsidR="001E1AD0">
        <w:t xml:space="preserve"> T</w:t>
      </w:r>
      <w:r w:rsidR="00407E31">
        <w:t xml:space="preserve">his is </w:t>
      </w:r>
      <w:r w:rsidR="00A175AB">
        <w:t xml:space="preserve">however </w:t>
      </w:r>
      <w:r w:rsidR="00407E31">
        <w:t xml:space="preserve">widely acknowledged as a significant underestimate, due to under-reporting by participants, and under-representation </w:t>
      </w:r>
      <w:r w:rsidR="00A175AB">
        <w:t xml:space="preserve">in survey participants </w:t>
      </w:r>
      <w:r w:rsidR="00407E31">
        <w:t>of people who use illicit drugs</w:t>
      </w:r>
      <w:r w:rsidR="00A175AB" w:rsidDel="00E925BF">
        <w:t>.</w:t>
      </w:r>
      <w:r w:rsidR="00E925BF">
        <w:t xml:space="preserve"> </w:t>
      </w:r>
      <w:r w:rsidR="00244EDF">
        <w:fldChar w:fldCharType="begin"/>
      </w:r>
      <w:r w:rsidR="00EF7C97">
        <w:instrText xml:space="preserve"> ADDIN EN.CITE &lt;EndNote&gt;&lt;Cite&gt;&lt;Author&gt;Larney&lt;/Author&gt;&lt;Year&gt;2015&lt;/Year&gt;&lt;RecNum&gt;143&lt;/RecNum&gt;&lt;DisplayText&gt;(8, 9)&lt;/DisplayText&gt;&lt;record&gt;&lt;rec-number&gt;143&lt;/rec-number&gt;&lt;foreign-keys&gt;&lt;key app="EN" db-id="p00v9zw27zzswpe25phxpead0asdt50td92p" timestamp="1630906574"&gt;143&lt;/key&gt;&lt;/foreign-keys&gt;&lt;ref-type name="Journal Article"&gt;17&lt;/ref-type&gt;&lt;contributors&gt;&lt;authors&gt;&lt;author&gt;Larney, Sarah&lt;/author&gt;&lt;author&gt;Grebely, Jason&lt;/author&gt;&lt;author&gt;Hickman, Matthew&lt;/author&gt;&lt;author&gt;De Angelis, Daniela&lt;/author&gt;&lt;author&gt;Dore, Gregory J&lt;/author&gt;&lt;author&gt;Degenhardt, Louisa&lt;/author&gt;&lt;/authors&gt;&lt;/contributors&gt;&lt;titles&gt;&lt;title&gt;Defining populations and injecting parameters among people who inject drugs: Implications for the assessment of hepatitis C treatment programs&lt;/title&gt;&lt;secondary-title&gt;International Journal of Drug Policy&lt;/secondary-title&gt;&lt;/titles&gt;&lt;periodical&gt;&lt;full-title&gt;International Journal of Drug Policy&lt;/full-title&gt;&lt;/periodical&gt;&lt;pages&gt;950-957&lt;/pages&gt;&lt;volume&gt;26&lt;/volume&gt;&lt;number&gt;10&lt;/number&gt;&lt;dates&gt;&lt;year&gt;2015&lt;/year&gt;&lt;/dates&gt;&lt;isbn&gt;0955-3959&lt;/isbn&gt;&lt;urls&gt;&lt;/urls&gt;&lt;/record&gt;&lt;/Cite&gt;&lt;Cite&gt;&lt;Author&gt;Chalmers&lt;/Author&gt;&lt;Year&gt;2016&lt;/Year&gt;&lt;RecNum&gt;144&lt;/RecNum&gt;&lt;record&gt;&lt;rec-number&gt;144&lt;/rec-number&gt;&lt;foreign-keys&gt;&lt;key app="EN" db-id="p00v9zw27zzswpe25phxpead0asdt50td92p" timestamp="1630906651"&gt;144&lt;/key&gt;&lt;/foreign-keys&gt;&lt;ref-type name="Journal Article"&gt;17&lt;/ref-type&gt;&lt;contributors&gt;&lt;authors&gt;&lt;author&gt;Chalmers, Jenny&lt;/author&gt;&lt;author&gt;Lancaster, Kari&lt;/author&gt;&lt;author&gt;Hughes, Caitlin&lt;/author&gt;&lt;/authors&gt;&lt;/contributors&gt;&lt;titles&gt;&lt;title&gt;The stigmatisation of ‘ice’ and under-reporting of meth/amphetamine use in general population surveys: A case study from Australia&lt;/title&gt;&lt;secondary-title&gt;International Journal of Drug Policy&lt;/secondary-title&gt;&lt;/titles&gt;&lt;periodical&gt;&lt;full-title&gt;International Journal of Drug Policy&lt;/full-title&gt;&lt;/periodical&gt;&lt;pages&gt;15-24&lt;/pages&gt;&lt;volume&gt;36&lt;/volume&gt;&lt;dates&gt;&lt;year&gt;2016&lt;/year&gt;&lt;/dates&gt;&lt;isbn&gt;0955-3959&lt;/isbn&gt;&lt;urls&gt;&lt;/urls&gt;&lt;/record&gt;&lt;/Cite&gt;&lt;/EndNote&gt;</w:instrText>
      </w:r>
      <w:r w:rsidR="00244EDF">
        <w:fldChar w:fldCharType="separate"/>
      </w:r>
      <w:r w:rsidR="00EF7C97">
        <w:rPr>
          <w:noProof/>
        </w:rPr>
        <w:t>(8, 9)</w:t>
      </w:r>
      <w:r w:rsidR="00244EDF">
        <w:fldChar w:fldCharType="end"/>
      </w:r>
      <w:r w:rsidR="00E925BF">
        <w:t>.</w:t>
      </w:r>
      <w:r w:rsidR="005B61EA">
        <w:t xml:space="preserve"> </w:t>
      </w:r>
      <w:r>
        <w:t xml:space="preserve">A recent study estimated that people who injected opioids </w:t>
      </w:r>
      <w:r w:rsidR="00481B18">
        <w:t xml:space="preserve">daily </w:t>
      </w:r>
      <w:r>
        <w:t>were at two-fold higher risk of overdose than those who did not in</w:t>
      </w:r>
      <w:r w:rsidR="003A51E0">
        <w:t>ject</w:t>
      </w:r>
      <w:r w:rsidR="00230F5B">
        <w:t xml:space="preserve"> </w:t>
      </w:r>
      <w:r w:rsidR="004515D7">
        <w:fldChar w:fldCharType="begin"/>
      </w:r>
      <w:r w:rsidR="00EF7C97">
        <w:instrText xml:space="preserve"> ADDIN EN.CITE &lt;EndNote&gt;&lt;Cite&gt;&lt;Author&gt;Conway&lt;/Author&gt;&lt;Year&gt;2021&lt;/Year&gt;&lt;RecNum&gt;125&lt;/RecNum&gt;&lt;DisplayText&gt;(10)&lt;/DisplayText&gt;&lt;record&gt;&lt;rec-number&gt;125&lt;/rec-number&gt;&lt;foreign-keys&gt;&lt;key app="EN" db-id="p00v9zw27zzswpe25phxpead0asdt50td92p" timestamp="1630282935"&gt;125&lt;/key&gt;&lt;/foreign-keys&gt;&lt;ref-type name="Journal Article"&gt;17&lt;/ref-type&gt;&lt;contributors&gt;&lt;authors&gt;&lt;author&gt;Conway, A.&lt;/author&gt;&lt;author&gt;Valerio, H.&lt;/author&gt;&lt;author&gt;Peacock, A.&lt;/author&gt;&lt;author&gt;Degenhardt, L.&lt;/author&gt;&lt;author&gt;Hayllar, J.&lt;/author&gt;&lt;author&gt;Harrod, M. E.&lt;/author&gt;&lt;author&gt;Henderson, C.&lt;/author&gt;&lt;author&gt;Read, P.&lt;/author&gt;&lt;author&gt;Gilliver, R.&lt;/author&gt;&lt;author&gt;Christmass, M.&lt;/author&gt;&lt;author&gt;Dunlop, A.&lt;/author&gt;&lt;author&gt;Montebello, M.&lt;/author&gt;&lt;author&gt;Whitton, G.&lt;/author&gt;&lt;author&gt;Reid, D.&lt;/author&gt;&lt;author&gt;Lam, T.&lt;/author&gt;&lt;author&gt;Alavi, M.&lt;/author&gt;&lt;author&gt;Silk, D.&lt;/author&gt;&lt;author&gt;Marshall, A. D.&lt;/author&gt;&lt;author&gt;Treloar, C.&lt;/author&gt;&lt;author&gt;Dore, G. J.&lt;/author&gt;&lt;author&gt;Grebely, J.&lt;/author&gt;&lt;/authors&gt;&lt;/contributors&gt;&lt;titles&gt;&lt;title&gt;Non-fatal opioid overdose, naloxone access, and naloxone training among people who recently used opioids or received opioid agonist treatment in Australia: The ETHOS Engage study&lt;/title&gt;&lt;secondary-title&gt;International Journal of Drug Policy&lt;/secondary-title&gt;&lt;/titles&gt;&lt;periodical&gt;&lt;full-title&gt;International Journal of Drug Policy&lt;/full-title&gt;&lt;/periodical&gt;&lt;pages&gt;103421&lt;/pages&gt;&lt;keywords&gt;&lt;keyword&gt;Opioids&lt;/keyword&gt;&lt;keyword&gt;Overdose&lt;/keyword&gt;&lt;keyword&gt;Naloxone&lt;/keyword&gt;&lt;keyword&gt;Australia&lt;/keyword&gt;&lt;/keywords&gt;&lt;dates&gt;&lt;year&gt;2021&lt;/year&gt;&lt;pub-dates&gt;&lt;date&gt;2021/08/25/&lt;/date&gt;&lt;/pub-dates&gt;&lt;/dates&gt;&lt;isbn&gt;0955-3959&lt;/isbn&gt;&lt;urls&gt;&lt;related-urls&gt;&lt;url&gt;https://www.sciencedirect.com/science/article/pii/S0955395921003261&lt;/url&gt;&lt;/related-urls&gt;&lt;/urls&gt;&lt;electronic-resource-num&gt;https://doi.org/10.1016/j.drugpo.2021.103421&lt;/electronic-resource-num&gt;&lt;/record&gt;&lt;/Cite&gt;&lt;/EndNote&gt;</w:instrText>
      </w:r>
      <w:r w:rsidR="004515D7">
        <w:fldChar w:fldCharType="separate"/>
      </w:r>
      <w:r w:rsidR="00EF7C97">
        <w:rPr>
          <w:noProof/>
        </w:rPr>
        <w:t>(10)</w:t>
      </w:r>
      <w:r w:rsidR="004515D7">
        <w:fldChar w:fldCharType="end"/>
      </w:r>
      <w:r w:rsidR="002214EC">
        <w:t>.</w:t>
      </w:r>
      <w:r w:rsidR="00481B18">
        <w:t xml:space="preserve"> People on longer-term</w:t>
      </w:r>
      <w:r w:rsidR="00FA0185">
        <w:t xml:space="preserve"> opioid agonist treatment (OAT)</w:t>
      </w:r>
      <w:r w:rsidR="7AFCD9CE">
        <w:t>,</w:t>
      </w:r>
      <w:r w:rsidR="00FA0185">
        <w:t xml:space="preserve"> however</w:t>
      </w:r>
      <w:r w:rsidR="1D4DE712">
        <w:t>,</w:t>
      </w:r>
      <w:r w:rsidR="00FA0185">
        <w:t xml:space="preserve"> were found to be significantly </w:t>
      </w:r>
      <w:r w:rsidR="6FF3D4C6">
        <w:t xml:space="preserve">at </w:t>
      </w:r>
      <w:r w:rsidR="00FA0185">
        <w:t>lower risk</w:t>
      </w:r>
      <w:r w:rsidR="009F21E2">
        <w:t xml:space="preserve">, although diversion of </w:t>
      </w:r>
      <w:r w:rsidR="381FF1B0">
        <w:t>OAT</w:t>
      </w:r>
      <w:r w:rsidR="009F21E2">
        <w:t xml:space="preserve"> creates a separate overdose risk.</w:t>
      </w:r>
      <w:r w:rsidR="003A51E0">
        <w:t xml:space="preserve"> </w:t>
      </w:r>
    </w:p>
    <w:p w14:paraId="7F26ED6B" w14:textId="5910593C" w:rsidR="00CA5EEA" w:rsidRDefault="007C14BC" w:rsidP="005307A9">
      <w:pPr>
        <w:pStyle w:val="BodyText"/>
      </w:pPr>
      <w:r>
        <w:t>Importantly, these</w:t>
      </w:r>
      <w:r w:rsidR="00153FEC">
        <w:t xml:space="preserve"> </w:t>
      </w:r>
      <w:r w:rsidR="009F21E2">
        <w:t>risk</w:t>
      </w:r>
      <w:r w:rsidR="00211433">
        <w:t>s</w:t>
      </w:r>
      <w:r w:rsidR="002C3491">
        <w:t>, which may relate to either prescribed or illicit consumption,</w:t>
      </w:r>
      <w:r w:rsidR="00CA5EEA">
        <w:t xml:space="preserve"> extend beyond major cities into Australia’s regional areas. Analyses of drug metabolites in wastewater</w:t>
      </w:r>
      <w:r w:rsidR="00893518">
        <w:t xml:space="preserve"> between December 2020 and February 2021</w:t>
      </w:r>
      <w:r w:rsidR="00CA5EEA">
        <w:t xml:space="preserve"> </w:t>
      </w:r>
      <w:r w:rsidR="002C737D">
        <w:t>confirm</w:t>
      </w:r>
      <w:r w:rsidR="00CA5EEA">
        <w:t xml:space="preserve"> that heroin use is higher in cities (approximately 7 doses/1000 people/day</w:t>
      </w:r>
      <w:r w:rsidR="00F8449F">
        <w:t xml:space="preserve"> were detected</w:t>
      </w:r>
      <w:r w:rsidR="00CA5EEA">
        <w:t>, compared to 2.75 doses/1000/day in regional areas)</w:t>
      </w:r>
      <w:r w:rsidR="006B1E57">
        <w:fldChar w:fldCharType="begin"/>
      </w:r>
      <w:r w:rsidR="00EF7C97">
        <w:instrText xml:space="preserve"> ADDIN EN.CITE &lt;EndNote&gt;&lt;Cite&gt;&lt;Author&gt;Australian Criminal Intelligence Commission&lt;/Author&gt;&lt;Year&gt;2021&lt;/Year&gt;&lt;RecNum&gt;130&lt;/RecNum&gt;&lt;DisplayText&gt;(11)&lt;/DisplayText&gt;&lt;record&gt;&lt;rec-number&gt;130&lt;/rec-number&gt;&lt;foreign-keys&gt;&lt;key app="EN" db-id="p00v9zw27zzswpe25phxpead0asdt50td92p" timestamp="1630298351"&gt;130&lt;/key&gt;&lt;/foreign-keys&gt;&lt;ref-type name="Report"&gt;27&lt;/ref-type&gt;&lt;contributors&gt;&lt;authors&gt;&lt;author&gt;Australian Criminal Intelligence Commission,&lt;/author&gt;&lt;/authors&gt;&lt;/contributors&gt;&lt;titles&gt;&lt;title&gt;National Wastewater Drug Monitoring Program: Report 13, June 2021&lt;/title&gt;&lt;/titles&gt;&lt;dates&gt;&lt;year&gt;2021&lt;/year&gt;&lt;/dates&gt;&lt;urls&gt;&lt;related-urls&gt;&lt;url&gt;https://www.acic.gov.au/publications/national-wastewater-drug-monitoring-program-reports/report-13-national-wastewater-drug-monitoring-program&lt;/url&gt;&lt;/related-urls&gt;&lt;/urls&gt;&lt;/record&gt;&lt;/Cite&gt;&lt;/EndNote&gt;</w:instrText>
      </w:r>
      <w:r w:rsidR="006B1E57">
        <w:fldChar w:fldCharType="separate"/>
      </w:r>
      <w:r w:rsidR="00EF7C97">
        <w:rPr>
          <w:noProof/>
        </w:rPr>
        <w:t>(11)</w:t>
      </w:r>
      <w:r w:rsidR="006B1E57">
        <w:fldChar w:fldCharType="end"/>
      </w:r>
      <w:r w:rsidR="002214EC">
        <w:t>.</w:t>
      </w:r>
      <w:r w:rsidR="00CA5EEA">
        <w:t xml:space="preserve"> However, similar analyses of oxycodone and fentanyl metabolites (which do not distinguish between </w:t>
      </w:r>
      <w:r w:rsidR="005727E4">
        <w:t xml:space="preserve">prescribed </w:t>
      </w:r>
      <w:r w:rsidR="00CA5EEA">
        <w:t xml:space="preserve">and </w:t>
      </w:r>
      <w:r w:rsidR="005727E4">
        <w:t xml:space="preserve">non-prescribed </w:t>
      </w:r>
      <w:r w:rsidR="00CA5EEA">
        <w:t xml:space="preserve">use) show higher use in regional areas of NSW, </w:t>
      </w:r>
      <w:proofErr w:type="gramStart"/>
      <w:r w:rsidR="00CA5EEA">
        <w:t>SA</w:t>
      </w:r>
      <w:proofErr w:type="gramEnd"/>
      <w:r w:rsidR="00CA5EEA">
        <w:t xml:space="preserve"> and WA (approximately 8.25 doses/1000 people/day compared to 4.5 doses/1000 </w:t>
      </w:r>
      <w:r w:rsidR="00CA5EEA">
        <w:lastRenderedPageBreak/>
        <w:t xml:space="preserve">per day in capital cities for each). Coupled with the lower availability of tertiary health services in regional and remote areas, the risk of opioid overdose in these areas </w:t>
      </w:r>
      <w:r w:rsidR="00E20F8F">
        <w:t xml:space="preserve">thus </w:t>
      </w:r>
      <w:r w:rsidR="003E2F7E">
        <w:t>requires significant attention</w:t>
      </w:r>
      <w:r w:rsidR="00CA5EEA">
        <w:t xml:space="preserve">. </w:t>
      </w:r>
    </w:p>
    <w:p w14:paraId="6375773C" w14:textId="77777777" w:rsidR="00CA5EEA" w:rsidRDefault="00CA5EEA" w:rsidP="003D0F16">
      <w:pPr>
        <w:pStyle w:val="NbrHeading3"/>
      </w:pPr>
      <w:bookmarkStart w:id="86" w:name="_Toc94794094"/>
      <w:bookmarkStart w:id="87" w:name="_Toc94794225"/>
      <w:r>
        <w:t>Naloxone programs to address opioid overdose in community settings</w:t>
      </w:r>
      <w:bookmarkEnd w:id="86"/>
      <w:bookmarkEnd w:id="87"/>
    </w:p>
    <w:p w14:paraId="2C6C1928" w14:textId="5A05A9C8" w:rsidR="00CA5EEA" w:rsidRDefault="00CA5EEA" w:rsidP="005307A9">
      <w:pPr>
        <w:pStyle w:val="BodyText"/>
      </w:pPr>
      <w:bookmarkStart w:id="88" w:name="_Hlk84583209"/>
      <w:r>
        <w:t xml:space="preserve">Naloxone </w:t>
      </w:r>
      <w:r w:rsidR="00841EC3">
        <w:t>is a competitive opioid receptor antagonist that</w:t>
      </w:r>
      <w:r>
        <w:t xml:space="preserve"> has been successfully used to counter the effects of opioid overdoses</w:t>
      </w:r>
      <w:r w:rsidRPr="0043123C">
        <w:t xml:space="preserve"> </w:t>
      </w:r>
      <w:r>
        <w:t>for decades, typically in emergency and first-response settings. Programs making naloxone more broadly available, such as THN programs, have shown promise in increasing access and use of this life-saving medic</w:t>
      </w:r>
      <w:r w:rsidR="2A8E34B2">
        <w:t>ine</w:t>
      </w:r>
      <w:r>
        <w:t>. The following section provides a</w:t>
      </w:r>
      <w:r w:rsidR="00FE43A2">
        <w:t xml:space="preserve"> brief</w:t>
      </w:r>
      <w:r>
        <w:t xml:space="preserve"> overview of learnings from evaluations of international and Australian THN programs that may be relevant for consideration.</w:t>
      </w:r>
    </w:p>
    <w:p w14:paraId="10FC8258" w14:textId="77777777" w:rsidR="00CA5EEA" w:rsidRDefault="00CA5EEA" w:rsidP="00985584">
      <w:pPr>
        <w:pStyle w:val="NbrHeading4"/>
      </w:pPr>
      <w:bookmarkStart w:id="89" w:name="_Toc80187729"/>
      <w:bookmarkStart w:id="90" w:name="_Toc80187831"/>
      <w:bookmarkEnd w:id="88"/>
      <w:bookmarkEnd w:id="89"/>
      <w:bookmarkEnd w:id="90"/>
      <w:r>
        <w:t>International programs</w:t>
      </w:r>
    </w:p>
    <w:p w14:paraId="4221326D" w14:textId="4355579A" w:rsidR="00CA5EEA" w:rsidRPr="000F5CDD" w:rsidRDefault="00CA5EEA" w:rsidP="005307A9">
      <w:pPr>
        <w:pStyle w:val="BodyText"/>
      </w:pPr>
      <w:bookmarkStart w:id="91" w:name="_Hlk84583309"/>
      <w:r w:rsidRPr="006000B1">
        <w:t xml:space="preserve">The World Health </w:t>
      </w:r>
      <w:r w:rsidR="00FE43A2" w:rsidRPr="006000B1">
        <w:t>Organi</w:t>
      </w:r>
      <w:r w:rsidR="00FE43A2">
        <w:t>z</w:t>
      </w:r>
      <w:r w:rsidR="00FE43A2" w:rsidRPr="006000B1">
        <w:t xml:space="preserve">ation </w:t>
      </w:r>
      <w:r w:rsidRPr="006000B1">
        <w:t xml:space="preserve">(WHO) recommends that </w:t>
      </w:r>
      <w:r w:rsidRPr="005A60DE">
        <w:t>“</w:t>
      </w:r>
      <w:r w:rsidR="00FD52AE">
        <w:t>p</w:t>
      </w:r>
      <w:r w:rsidRPr="001F57FA">
        <w:t>eople likely to witnes</w:t>
      </w:r>
      <w:r w:rsidRPr="00FB620E">
        <w:t>s an opioid overdose should have access to naloxone and be instructed in its administration to enable them to use it for the emergency management of suspected opioid overdose</w:t>
      </w:r>
      <w:r w:rsidRPr="006000B1">
        <w:t>”</w:t>
      </w:r>
      <w:r w:rsidR="000049F2">
        <w:t xml:space="preserve"> </w:t>
      </w:r>
      <w:r w:rsidR="00154DC1" w:rsidRPr="00985584">
        <w:fldChar w:fldCharType="begin"/>
      </w:r>
      <w:r w:rsidR="00EF7C97">
        <w:instrText xml:space="preserve"> ADDIN EN.CITE &lt;EndNote&gt;&lt;Cite&gt;&lt;Author&gt;World Health Organization&lt;/Author&gt;&lt;Year&gt;2021&lt;/Year&gt;&lt;RecNum&gt;120&lt;/RecNum&gt;&lt;DisplayText&gt;(12)&lt;/DisplayText&gt;&lt;record&gt;&lt;rec-number&gt;120&lt;/rec-number&gt;&lt;foreign-keys&gt;&lt;key app="EN" db-id="p00v9zw27zzswpe25phxpead0asdt50td92p" timestamp="1629697626"&gt;120&lt;/key&gt;&lt;/foreign-keys&gt;&lt;ref-type name="Report"&gt;27&lt;/ref-type&gt;&lt;contributors&gt;&lt;authors&gt;&lt;author&gt;World Health Organization,&lt;/author&gt;&lt;/authors&gt;&lt;/contributors&gt;&lt;titles&gt;&lt;title&gt;UNODC-WHO Stop-Overdose-Safely (SOS) project implementation in Kazakhstan, Kyrgyzstan, Tajikistan and Ukraine: summary report&lt;/title&gt;&lt;/titles&gt;&lt;dates&gt;&lt;year&gt;2021&lt;/year&gt;&lt;/dates&gt;&lt;publisher&gt;World Health Organization&lt;/publisher&gt;&lt;isbn&gt;9240022457&lt;/isbn&gt;&lt;urls&gt;&lt;related-urls&gt;&lt;url&gt;https://apps.who.int/iris/handle/10665/340497&lt;/url&gt;&lt;/related-urls&gt;&lt;/urls&gt;&lt;/record&gt;&lt;/Cite&gt;&lt;/EndNote&gt;</w:instrText>
      </w:r>
      <w:r w:rsidR="00154DC1" w:rsidRPr="00985584">
        <w:fldChar w:fldCharType="separate"/>
      </w:r>
      <w:r w:rsidR="00EF7C97">
        <w:rPr>
          <w:noProof/>
        </w:rPr>
        <w:t>(12)</w:t>
      </w:r>
      <w:r w:rsidR="00154DC1" w:rsidRPr="00985584">
        <w:fldChar w:fldCharType="end"/>
      </w:r>
      <w:r w:rsidR="000049F2">
        <w:t>.</w:t>
      </w:r>
      <w:r w:rsidRPr="00697E97">
        <w:t xml:space="preserve"> </w:t>
      </w:r>
      <w:r w:rsidRPr="006000B1">
        <w:t>Internationally</w:t>
      </w:r>
      <w:bookmarkEnd w:id="91"/>
      <w:r w:rsidRPr="006000B1">
        <w:t>,</w:t>
      </w:r>
      <w:r w:rsidRPr="005A60DE">
        <w:t xml:space="preserve"> naloxone is available in </w:t>
      </w:r>
      <w:r w:rsidRPr="001F57FA">
        <w:t>many countries</w:t>
      </w:r>
      <w:r w:rsidRPr="00FB620E">
        <w:t xml:space="preserve">: </w:t>
      </w:r>
      <w:r w:rsidRPr="009371A4">
        <w:t>peer distribution of naloxone is available in 15 countries, with variable funding sources including local non-government organisations and international donors</w:t>
      </w:r>
      <w:r w:rsidR="00101912">
        <w:t xml:space="preserve"> </w:t>
      </w:r>
      <w:r w:rsidR="00697E97">
        <w:fldChar w:fldCharType="begin"/>
      </w:r>
      <w:r w:rsidR="00EF7C97">
        <w:instrText xml:space="preserve"> ADDIN EN.CITE &lt;EndNote&gt;&lt;Cite&gt;&lt;Author&gt;Harm Reduction International&lt;/Author&gt;&lt;Year&gt;2021&lt;/Year&gt;&lt;RecNum&gt;121&lt;/RecNum&gt;&lt;DisplayText&gt;(13)&lt;/DisplayText&gt;&lt;record&gt;&lt;rec-number&gt;121&lt;/rec-number&gt;&lt;foreign-keys&gt;&lt;key app="EN" db-id="p00v9zw27zzswpe25phxpead0asdt50td92p" timestamp="1629766134"&gt;121&lt;/key&gt;&lt;/foreign-keys&gt;&lt;ref-type name="Report"&gt;27&lt;/ref-type&gt;&lt;contributors&gt;&lt;authors&gt;&lt;author&gt;Harm Reduction International,&lt;/author&gt;&lt;/authors&gt;&lt;/contributors&gt;&lt;titles&gt;&lt;title&gt;The Global State of Harm Reduction 2020&lt;/title&gt;&lt;/titles&gt;&lt;volume&gt;2021&lt;/volume&gt;&lt;edition&gt;7th&lt;/edition&gt;&lt;dates&gt;&lt;year&gt;2021&lt;/year&gt;&lt;/dates&gt;&lt;publisher&gt;Harm Reduction International&lt;/publisher&gt;&lt;urls&gt;&lt;related-urls&gt;&lt;url&gt;https://www.hri.global/global-state-of-harm-reduction-2020&lt;/url&gt;&lt;/related-urls&gt;&lt;/urls&gt;&lt;/record&gt;&lt;/Cite&gt;&lt;/EndNote&gt;</w:instrText>
      </w:r>
      <w:r w:rsidR="00697E97">
        <w:fldChar w:fldCharType="separate"/>
      </w:r>
      <w:r w:rsidR="00EF7C97">
        <w:rPr>
          <w:noProof/>
        </w:rPr>
        <w:t>(13)</w:t>
      </w:r>
      <w:r w:rsidR="00697E97">
        <w:fldChar w:fldCharType="end"/>
      </w:r>
      <w:r w:rsidR="00101912">
        <w:t>.</w:t>
      </w:r>
      <w:r w:rsidRPr="006000B1">
        <w:t xml:space="preserve"> </w:t>
      </w:r>
      <w:r w:rsidR="00A211BC">
        <w:t xml:space="preserve">The </w:t>
      </w:r>
      <w:r w:rsidRPr="006000B1">
        <w:t xml:space="preserve">WHO is currently funding, </w:t>
      </w:r>
      <w:proofErr w:type="gramStart"/>
      <w:r w:rsidRPr="006000B1">
        <w:t>implementing</w:t>
      </w:r>
      <w:proofErr w:type="gramEnd"/>
      <w:r w:rsidRPr="006000B1">
        <w:t xml:space="preserve"> and evaluating take home naloxone initiatives in </w:t>
      </w:r>
      <w:r w:rsidRPr="005A60DE">
        <w:t>Kazakhstan, Kyrgyzstan, Tajikistan, and Ukraine.</w:t>
      </w:r>
      <w:r w:rsidRPr="006000B1">
        <w:t xml:space="preserve"> In the US</w:t>
      </w:r>
      <w:r w:rsidRPr="005A60DE">
        <w:t xml:space="preserve">, naloxone is available through </w:t>
      </w:r>
      <w:r w:rsidRPr="001F57FA">
        <w:t xml:space="preserve">a range of </w:t>
      </w:r>
      <w:r w:rsidRPr="00FB620E">
        <w:t xml:space="preserve">prescription and community-based programs, </w:t>
      </w:r>
      <w:r w:rsidRPr="009371A4">
        <w:t>but</w:t>
      </w:r>
      <w:r w:rsidRPr="00676829">
        <w:t xml:space="preserve"> there is currently no national </w:t>
      </w:r>
      <w:r w:rsidRPr="00137C00">
        <w:t>publicly funded system for THN</w:t>
      </w:r>
      <w:r w:rsidR="000049F2">
        <w:t xml:space="preserve"> </w:t>
      </w:r>
      <w:r w:rsidR="00373E5F">
        <w:fldChar w:fldCharType="begin"/>
      </w:r>
      <w:r w:rsidR="00EF7C97">
        <w:instrText xml:space="preserve"> ADDIN EN.CITE &lt;EndNote&gt;&lt;Cite&gt;&lt;Author&gt;Kim&lt;/Author&gt;&lt;Year&gt;2021&lt;/Year&gt;&lt;RecNum&gt;82&lt;/RecNum&gt;&lt;DisplayText&gt;(14, 15)&lt;/DisplayText&gt;&lt;record&gt;&lt;rec-number&gt;82&lt;/rec-number&gt;&lt;foreign-keys&gt;&lt;key app="EN" db-id="p00v9zw27zzswpe25phxpead0asdt50td92p" timestamp="1626672389"&gt;82&lt;/key&gt;&lt;/foreign-keys&gt;&lt;ref-type name="Electronic Article"&gt;43&lt;/ref-type&gt;&lt;contributors&gt;&lt;authors&gt;&lt;author&gt;Kim, Howard S&lt;/author&gt;&lt;author&gt;Aks, Steven E&lt;/author&gt;&lt;/authors&gt;&lt;/contributors&gt;&lt;titles&gt;&lt;title&gt;Take-Home Naloxone and the Need for a Publicly Funded Naloxone Supply&lt;/title&gt;&lt;secondary-title&gt;Journal of Addiction Medicine&lt;/secondary-title&gt;&lt;/titles&gt;&lt;periodical&gt;&lt;full-title&gt;Journal of Addiction Medicine&lt;/full-title&gt;&lt;/periodical&gt;&lt;edition&gt;Feb 1&lt;/edition&gt;&lt;dates&gt;&lt;year&gt;2021&lt;/year&gt;&lt;pub-dates&gt;&lt;date&gt;Feb&lt;/date&gt;&lt;/pub-dates&gt;&lt;/dates&gt;&lt;isbn&gt;1932-0620&lt;/isbn&gt;&lt;urls&gt;&lt;/urls&gt;&lt;electronic-resource-num&gt;10.1097/ADM.0000000000000821&lt;/electronic-resource-num&gt;&lt;/record&gt;&lt;/Cite&gt;&lt;Cite&gt;&lt;Author&gt;Weiner&lt;/Author&gt;&lt;Year&gt;2019&lt;/Year&gt;&lt;RecNum&gt;83&lt;/RecNum&gt;&lt;record&gt;&lt;rec-number&gt;83&lt;/rec-number&gt;&lt;foreign-keys&gt;&lt;key app="EN" db-id="p00v9zw27zzswpe25phxpead0asdt50td92p" timestamp="1626674577"&gt;83&lt;/key&gt;&lt;/foreign-keys&gt;&lt;ref-type name="Report"&gt;27&lt;/ref-type&gt;&lt;contributors&gt;&lt;authors&gt;&lt;author&gt;Weiner, Janet&lt;/author&gt;&lt;author&gt;Murphy, Sean M&lt;/author&gt;&lt;author&gt;Behrends, Czarina&lt;/author&gt;&lt;/authors&gt;&lt;/contributors&gt;&lt;titles&gt;&lt;title&gt;Expanding access to naloxone: A review of distribution strategies&lt;/title&gt;&lt;/titles&gt;&lt;dates&gt;&lt;year&gt;2019&lt;/year&gt;&lt;/dates&gt;&lt;publisher&gt;LDI/CHERISH Issue Brief&lt;/publisher&gt;&lt;urls&gt;&lt;related-urls&gt;&lt;url&gt;https://ldi.upenn.edu/our-work/research-updates/expanding-access-to-naloxone-a-review-of-distribution-strategies/&lt;/url&gt;&lt;/related-urls&gt;&lt;/urls&gt;&lt;/record&gt;&lt;/Cite&gt;&lt;/EndNote&gt;</w:instrText>
      </w:r>
      <w:r w:rsidR="00373E5F">
        <w:fldChar w:fldCharType="separate"/>
      </w:r>
      <w:r w:rsidR="00EF7C97">
        <w:rPr>
          <w:noProof/>
        </w:rPr>
        <w:t>(14, 15)</w:t>
      </w:r>
      <w:r w:rsidR="00373E5F">
        <w:fldChar w:fldCharType="end"/>
      </w:r>
      <w:r w:rsidR="000049F2">
        <w:t>.</w:t>
      </w:r>
      <w:r w:rsidRPr="006000B1">
        <w:t xml:space="preserve">The World Health </w:t>
      </w:r>
      <w:r w:rsidR="00FE43A2" w:rsidRPr="006000B1">
        <w:t>Organi</w:t>
      </w:r>
      <w:r w:rsidR="00FE43A2">
        <w:t>z</w:t>
      </w:r>
      <w:r w:rsidR="00FE43A2" w:rsidRPr="006000B1">
        <w:t xml:space="preserve">ation </w:t>
      </w:r>
      <w:r w:rsidRPr="006000B1">
        <w:t xml:space="preserve">(WHO) recommends that </w:t>
      </w:r>
      <w:r w:rsidRPr="005A60DE">
        <w:t>“</w:t>
      </w:r>
      <w:r w:rsidRPr="001F57FA">
        <w:t>People likely to witnes</w:t>
      </w:r>
      <w:r w:rsidRPr="00FB620E">
        <w:t>s an opioid overdose should have access to naloxone and be instructed in its administration to enable them to use it for the emergency management of suspected opioid overdose</w:t>
      </w:r>
      <w:r w:rsidRPr="006000B1">
        <w:t>”</w:t>
      </w:r>
      <w:r w:rsidR="000049F2">
        <w:t xml:space="preserve"> </w:t>
      </w:r>
      <w:r w:rsidR="00154DC1" w:rsidRPr="00985584">
        <w:fldChar w:fldCharType="begin"/>
      </w:r>
      <w:r w:rsidR="00EF7C97">
        <w:instrText xml:space="preserve"> ADDIN EN.CITE &lt;EndNote&gt;&lt;Cite&gt;&lt;Author&gt;World Health Organization&lt;/Author&gt;&lt;Year&gt;2021&lt;/Year&gt;&lt;RecNum&gt;120&lt;/RecNum&gt;&lt;DisplayText&gt;(12)&lt;/DisplayText&gt;&lt;record&gt;&lt;rec-number&gt;120&lt;/rec-number&gt;&lt;foreign-keys&gt;&lt;key app="EN" db-id="p00v9zw27zzswpe25phxpead0asdt50td92p" timestamp="1629697626"&gt;120&lt;/key&gt;&lt;/foreign-keys&gt;&lt;ref-type name="Report"&gt;27&lt;/ref-type&gt;&lt;contributors&gt;&lt;authors&gt;&lt;author&gt;World Health Organization,&lt;/author&gt;&lt;/authors&gt;&lt;/contributors&gt;&lt;titles&gt;&lt;title&gt;UNODC-WHO Stop-Overdose-Safely (SOS) project implementation in Kazakhstan, Kyrgyzstan, Tajikistan and Ukraine: summary report&lt;/title&gt;&lt;/titles&gt;&lt;dates&gt;&lt;year&gt;2021&lt;/year&gt;&lt;/dates&gt;&lt;publisher&gt;World Health Organization&lt;/publisher&gt;&lt;isbn&gt;9240022457&lt;/isbn&gt;&lt;urls&gt;&lt;related-urls&gt;&lt;url&gt;https://apps.who.int/iris/handle/10665/340497&lt;/url&gt;&lt;/related-urls&gt;&lt;/urls&gt;&lt;/record&gt;&lt;/Cite&gt;&lt;/EndNote&gt;</w:instrText>
      </w:r>
      <w:r w:rsidR="00154DC1" w:rsidRPr="00985584">
        <w:fldChar w:fldCharType="separate"/>
      </w:r>
      <w:r w:rsidR="00EF7C97">
        <w:rPr>
          <w:noProof/>
        </w:rPr>
        <w:t>(12)</w:t>
      </w:r>
      <w:r w:rsidR="00154DC1" w:rsidRPr="00985584">
        <w:fldChar w:fldCharType="end"/>
      </w:r>
      <w:r w:rsidR="000049F2">
        <w:t>.</w:t>
      </w:r>
      <w:r w:rsidRPr="00697E97">
        <w:t xml:space="preserve"> </w:t>
      </w:r>
      <w:r w:rsidRPr="006000B1">
        <w:t>Internationally,</w:t>
      </w:r>
      <w:r w:rsidRPr="005A60DE">
        <w:t xml:space="preserve"> naloxone is available in </w:t>
      </w:r>
      <w:r w:rsidRPr="001F57FA">
        <w:t>many countries</w:t>
      </w:r>
      <w:r w:rsidRPr="00FB620E">
        <w:t xml:space="preserve">: </w:t>
      </w:r>
      <w:r w:rsidRPr="009371A4">
        <w:t>peer distribution of naloxone is available in 15 countries, with variable funding sources including local non-government organisations and international donors</w:t>
      </w:r>
      <w:r w:rsidR="00A6360C">
        <w:t xml:space="preserve"> </w:t>
      </w:r>
      <w:r w:rsidR="00697E97">
        <w:fldChar w:fldCharType="begin"/>
      </w:r>
      <w:r w:rsidR="00EF7C97">
        <w:instrText xml:space="preserve"> ADDIN EN.CITE &lt;EndNote&gt;&lt;Cite&gt;&lt;Author&gt;Harm Reduction International&lt;/Author&gt;&lt;Year&gt;2021&lt;/Year&gt;&lt;RecNum&gt;121&lt;/RecNum&gt;&lt;DisplayText&gt;(13)&lt;/DisplayText&gt;&lt;record&gt;&lt;rec-number&gt;121&lt;/rec-number&gt;&lt;foreign-keys&gt;&lt;key app="EN" db-id="p00v9zw27zzswpe25phxpead0asdt50td92p" timestamp="1629766134"&gt;121&lt;/key&gt;&lt;/foreign-keys&gt;&lt;ref-type name="Report"&gt;27&lt;/ref-type&gt;&lt;contributors&gt;&lt;authors&gt;&lt;author&gt;Harm Reduction International,&lt;/author&gt;&lt;/authors&gt;&lt;/contributors&gt;&lt;titles&gt;&lt;title&gt;The Global State of Harm Reduction 2020&lt;/title&gt;&lt;/titles&gt;&lt;volume&gt;2021&lt;/volume&gt;&lt;edition&gt;7th&lt;/edition&gt;&lt;dates&gt;&lt;year&gt;2021&lt;/year&gt;&lt;/dates&gt;&lt;publisher&gt;Harm Reduction International&lt;/publisher&gt;&lt;urls&gt;&lt;related-urls&gt;&lt;url&gt;https://www.hri.global/global-state-of-harm-reduction-2020&lt;/url&gt;&lt;/related-urls&gt;&lt;/urls&gt;&lt;/record&gt;&lt;/Cite&gt;&lt;/EndNote&gt;</w:instrText>
      </w:r>
      <w:r w:rsidR="00697E97">
        <w:fldChar w:fldCharType="separate"/>
      </w:r>
      <w:r w:rsidR="00EF7C97">
        <w:rPr>
          <w:noProof/>
        </w:rPr>
        <w:t>(13)</w:t>
      </w:r>
      <w:r w:rsidR="00697E97">
        <w:fldChar w:fldCharType="end"/>
      </w:r>
      <w:r w:rsidR="00A6360C">
        <w:t>.</w:t>
      </w:r>
      <w:r w:rsidRPr="006000B1">
        <w:t xml:space="preserve"> </w:t>
      </w:r>
      <w:r w:rsidR="00A211BC">
        <w:t xml:space="preserve">The </w:t>
      </w:r>
      <w:r w:rsidRPr="006000B1">
        <w:t xml:space="preserve">WHO is currently funding, </w:t>
      </w:r>
      <w:proofErr w:type="gramStart"/>
      <w:r w:rsidRPr="006000B1">
        <w:t>implementing</w:t>
      </w:r>
      <w:proofErr w:type="gramEnd"/>
      <w:r w:rsidRPr="006000B1">
        <w:t xml:space="preserve"> and evaluating take home naloxone initiatives in </w:t>
      </w:r>
      <w:r w:rsidRPr="005A60DE">
        <w:t>Kazakhstan, Kyrgyzstan, Tajikistan, and Ukraine.</w:t>
      </w:r>
      <w:r w:rsidRPr="006000B1">
        <w:t xml:space="preserve"> In the US</w:t>
      </w:r>
      <w:r w:rsidRPr="005A60DE">
        <w:t xml:space="preserve">, naloxone is available through </w:t>
      </w:r>
      <w:r w:rsidRPr="001F57FA">
        <w:t xml:space="preserve">a range of </w:t>
      </w:r>
      <w:r w:rsidRPr="00FB620E">
        <w:t xml:space="preserve">prescription and community-based programs, </w:t>
      </w:r>
      <w:r w:rsidRPr="009371A4">
        <w:t>but</w:t>
      </w:r>
      <w:r w:rsidRPr="00676829">
        <w:t xml:space="preserve"> there is currently no national </w:t>
      </w:r>
      <w:r w:rsidRPr="00137C00">
        <w:t>publicly funded system for THN</w:t>
      </w:r>
      <w:r w:rsidR="000049F2">
        <w:t xml:space="preserve"> </w:t>
      </w:r>
      <w:r w:rsidR="00373E5F">
        <w:fldChar w:fldCharType="begin"/>
      </w:r>
      <w:r w:rsidR="00EF7C97">
        <w:instrText xml:space="preserve"> ADDIN EN.CITE &lt;EndNote&gt;&lt;Cite&gt;&lt;Author&gt;Kim&lt;/Author&gt;&lt;Year&gt;2021&lt;/Year&gt;&lt;RecNum&gt;82&lt;/RecNum&gt;&lt;DisplayText&gt;(14, 15)&lt;/DisplayText&gt;&lt;record&gt;&lt;rec-number&gt;82&lt;/rec-number&gt;&lt;foreign-keys&gt;&lt;key app="EN" db-id="p00v9zw27zzswpe25phxpead0asdt50td92p" timestamp="1626672389"&gt;82&lt;/key&gt;&lt;/foreign-keys&gt;&lt;ref-type name="Electronic Article"&gt;43&lt;/ref-type&gt;&lt;contributors&gt;&lt;authors&gt;&lt;author&gt;Kim, Howard S&lt;/author&gt;&lt;author&gt;Aks, Steven E&lt;/author&gt;&lt;/authors&gt;&lt;/contributors&gt;&lt;titles&gt;&lt;title&gt;Take-Home Naloxone and the Need for a Publicly Funded Naloxone Supply&lt;/title&gt;&lt;secondary-title&gt;Journal of Addiction Medicine&lt;/secondary-title&gt;&lt;/titles&gt;&lt;periodical&gt;&lt;full-title&gt;Journal of Addiction Medicine&lt;/full-title&gt;&lt;/periodical&gt;&lt;edition&gt;Feb 1&lt;/edition&gt;&lt;dates&gt;&lt;year&gt;2021&lt;/year&gt;&lt;pub-dates&gt;&lt;date&gt;Feb&lt;/date&gt;&lt;/pub-dates&gt;&lt;/dates&gt;&lt;isbn&gt;1932-0620&lt;/isbn&gt;&lt;urls&gt;&lt;/urls&gt;&lt;electronic-resource-num&gt;10.1097/ADM.0000000000000821&lt;/electronic-resource-num&gt;&lt;/record&gt;&lt;/Cite&gt;&lt;Cite&gt;&lt;Author&gt;Weiner&lt;/Author&gt;&lt;Year&gt;2019&lt;/Year&gt;&lt;RecNum&gt;83&lt;/RecNum&gt;&lt;record&gt;&lt;rec-number&gt;83&lt;/rec-number&gt;&lt;foreign-keys&gt;&lt;key app="EN" db-id="p00v9zw27zzswpe25phxpead0asdt50td92p" timestamp="1626674577"&gt;83&lt;/key&gt;&lt;/foreign-keys&gt;&lt;ref-type name="Report"&gt;27&lt;/ref-type&gt;&lt;contributors&gt;&lt;authors&gt;&lt;author&gt;Weiner, Janet&lt;/author&gt;&lt;author&gt;Murphy, Sean M&lt;/author&gt;&lt;author&gt;Behrends, Czarina&lt;/author&gt;&lt;/authors&gt;&lt;/contributors&gt;&lt;titles&gt;&lt;title&gt;Expanding access to naloxone: A review of distribution strategies&lt;/title&gt;&lt;/titles&gt;&lt;dates&gt;&lt;year&gt;2019&lt;/year&gt;&lt;/dates&gt;&lt;publisher&gt;LDI/CHERISH Issue Brief&lt;/publisher&gt;&lt;urls&gt;&lt;related-urls&gt;&lt;url&gt;https://ldi.upenn.edu/our-work/research-updates/expanding-access-to-naloxone-a-review-of-distribution-strategies/&lt;/url&gt;&lt;/related-urls&gt;&lt;/urls&gt;&lt;/record&gt;&lt;/Cite&gt;&lt;/EndNote&gt;</w:instrText>
      </w:r>
      <w:r w:rsidR="00373E5F">
        <w:fldChar w:fldCharType="separate"/>
      </w:r>
      <w:r w:rsidR="00EF7C97">
        <w:rPr>
          <w:noProof/>
        </w:rPr>
        <w:t>(14, 15)</w:t>
      </w:r>
      <w:r w:rsidR="00373E5F">
        <w:fldChar w:fldCharType="end"/>
      </w:r>
      <w:r w:rsidR="000049F2">
        <w:t>.</w:t>
      </w:r>
    </w:p>
    <w:p w14:paraId="03A3A6C5" w14:textId="495D56BE" w:rsidR="00CA5EEA" w:rsidRPr="00B226A0" w:rsidRDefault="00C52C84" w:rsidP="005307A9">
      <w:pPr>
        <w:pStyle w:val="BodyText"/>
      </w:pPr>
      <w:r>
        <w:t xml:space="preserve">Despite the </w:t>
      </w:r>
      <w:r w:rsidR="004B6212">
        <w:t xml:space="preserve">increasing availability of </w:t>
      </w:r>
      <w:r w:rsidR="00C73D73">
        <w:t>naloxone programs</w:t>
      </w:r>
      <w:r w:rsidR="00CA5EEA">
        <w:t xml:space="preserve">, there are fewer examples of large-scale </w:t>
      </w:r>
      <w:r w:rsidR="007334F6" w:rsidDel="0077598B">
        <w:t>publicly</w:t>
      </w:r>
      <w:r w:rsidR="007334F6">
        <w:t xml:space="preserve"> funded</w:t>
      </w:r>
      <w:r w:rsidR="00CA5EEA">
        <w:t xml:space="preserve"> provision of naloxone</w:t>
      </w:r>
      <w:r w:rsidR="0075344A">
        <w:t xml:space="preserve"> that have been evaluated</w:t>
      </w:r>
      <w:r w:rsidR="00CA5EEA">
        <w:t>.</w:t>
      </w:r>
      <w:r w:rsidR="00CA5EEA" w:rsidDel="00CF34B2">
        <w:t xml:space="preserve"> </w:t>
      </w:r>
      <w:r w:rsidR="00CA5EEA">
        <w:t xml:space="preserve">Those examples that do exist can provide important lessons for the Australian public provision of THN. </w:t>
      </w:r>
      <w:r w:rsidR="00CA5EEA" w:rsidRPr="00B226A0">
        <w:t xml:space="preserve">National THN programs are publicly funded in Canada, Italy, Northern Ireland, </w:t>
      </w:r>
      <w:proofErr w:type="gramStart"/>
      <w:r w:rsidR="00CA5EEA" w:rsidRPr="00B226A0">
        <w:t>Scotland</w:t>
      </w:r>
      <w:proofErr w:type="gramEnd"/>
      <w:r w:rsidR="00CA5EEA" w:rsidRPr="00B226A0">
        <w:t xml:space="preserve"> and Wales</w:t>
      </w:r>
      <w:r w:rsidR="000049F2">
        <w:t xml:space="preserve"> </w:t>
      </w:r>
      <w:r w:rsidR="009E6514">
        <w:fldChar w:fldCharType="begin">
          <w:fldData xml:space="preserve">PEVuZE5vdGU+PENpdGU+PEF1dGhvcj5DYW5hZGlhbiBSZXNlYXJjaCBJbml0aWF0aXZlIGluIFN1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</w:fldData>
        </w:fldChar>
      </w:r>
      <w:r w:rsidR="00EF7C97">
        <w:instrText xml:space="preserve"> ADDIN EN.CITE </w:instrText>
      </w:r>
      <w:r w:rsidR="00EF7C97">
        <w:fldChar w:fldCharType="begin">
          <w:fldData xml:space="preserve">PEVuZE5vdGU+PENpdGU+PEF1dGhvcj5DYW5hZGlhbiBSZXNlYXJjaCBJbml0aWF0aXZlIGluIFN1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</w:fldData>
        </w:fldChar>
      </w:r>
      <w:r w:rsidR="00EF7C97">
        <w:instrText xml:space="preserve"> ADDIN EN.CITE.DATA </w:instrText>
      </w:r>
      <w:r w:rsidR="00EF7C97">
        <w:fldChar w:fldCharType="end"/>
      </w:r>
      <w:r w:rsidR="009E6514">
        <w:fldChar w:fldCharType="separate"/>
      </w:r>
      <w:r w:rsidR="00EF7C97">
        <w:rPr>
          <w:noProof/>
        </w:rPr>
        <w:t>(16-19)</w:t>
      </w:r>
      <w:r w:rsidR="009E6514">
        <w:fldChar w:fldCharType="end"/>
      </w:r>
      <w:r w:rsidR="00CA5EEA" w:rsidRPr="00B226A0">
        <w:t xml:space="preserve"> </w:t>
      </w:r>
      <w:r w:rsidR="00CA5EEA" w:rsidRPr="00B226A0" w:rsidDel="00C464E9">
        <w:t>All</w:t>
      </w:r>
      <w:r w:rsidR="00CA5EEA" w:rsidRPr="00B226A0">
        <w:t xml:space="preserve"> these jurisdictions provide THN for free from community organisations, harm reduction and addiction services, </w:t>
      </w:r>
      <w:r w:rsidR="00CA5EEA" w:rsidRPr="00B226A0" w:rsidDel="00C464E9">
        <w:t>outreach</w:t>
      </w:r>
      <w:r w:rsidR="00CA5EEA" w:rsidRPr="00B226A0">
        <w:t>, and other relevant services</w:t>
      </w:r>
      <w:r w:rsidR="00367250">
        <w:t>, within health systems that are broadly comparable to Australia</w:t>
      </w:r>
      <w:r w:rsidR="00CA5EEA" w:rsidRPr="00B226A0">
        <w:t xml:space="preserve">. </w:t>
      </w:r>
      <w:r w:rsidR="00367250">
        <w:t>A very recent report on the WHO</w:t>
      </w:r>
      <w:r w:rsidR="00262A29">
        <w:t xml:space="preserve"> naloxone program</w:t>
      </w:r>
      <w:r w:rsidR="00367250">
        <w:t xml:space="preserve"> demonstrates successful implementation</w:t>
      </w:r>
      <w:r w:rsidR="002B44A4">
        <w:t>,</w:t>
      </w:r>
      <w:r w:rsidR="00367250">
        <w:t xml:space="preserve"> in line with WHO recommendations</w:t>
      </w:r>
      <w:r w:rsidR="002B44A4">
        <w:t>,</w:t>
      </w:r>
      <w:r w:rsidR="000F74EC" w:rsidRPr="000F74EC">
        <w:t xml:space="preserve"> </w:t>
      </w:r>
      <w:r w:rsidR="000F74EC">
        <w:t>of community-managed naloxone in low- and middle-income countries</w:t>
      </w:r>
      <w:r w:rsidR="000049F2">
        <w:t xml:space="preserve"> </w:t>
      </w:r>
      <w:r w:rsidR="00D97D79">
        <w:fldChar w:fldCharType="begin"/>
      </w:r>
      <w:r w:rsidR="00EF7C97">
        <w:instrText xml:space="preserve"> ADDIN EN.CITE &lt;EndNote&gt;&lt;Cite&gt;&lt;Author&gt;World Health Organization&lt;/Author&gt;&lt;Year&gt;2021&lt;/Year&gt;&lt;RecNum&gt;120&lt;/RecNum&gt;&lt;DisplayText&gt;(12)&lt;/DisplayText&gt;&lt;record&gt;&lt;rec-number&gt;120&lt;/rec-number&gt;&lt;foreign-keys&gt;&lt;key app="EN" db-id="p00v9zw27zzswpe25phxpead0asdt50td92p" timestamp="1629697626"&gt;120&lt;/key&gt;&lt;/foreign-keys&gt;&lt;ref-type name="Report"&gt;27&lt;/ref-type&gt;&lt;contributors&gt;&lt;authors&gt;&lt;author&gt;World Health Organization,&lt;/author&gt;&lt;/authors&gt;&lt;/contributors&gt;&lt;titles&gt;&lt;title&gt;UNODC-WHO Stop-Overdose-Safely (SOS) project implementation in Kazakhstan, Kyrgyzstan, Tajikistan and Ukraine: summary report&lt;/title&gt;&lt;/titles&gt;&lt;dates&gt;&lt;year&gt;2021&lt;/year&gt;&lt;/dates&gt;&lt;publisher&gt;World Health Organization&lt;/publisher&gt;&lt;isbn&gt;9240022457&lt;/isbn&gt;&lt;urls&gt;&lt;related-urls&gt;&lt;url&gt;https://apps.who.int/iris/handle/10665/340497&lt;/url&gt;&lt;/related-urls&gt;&lt;/urls&gt;&lt;/record&gt;&lt;/Cite&gt;&lt;/EndNote&gt;</w:instrText>
      </w:r>
      <w:r w:rsidR="00D97D79">
        <w:fldChar w:fldCharType="separate"/>
      </w:r>
      <w:r w:rsidR="00EF7C97">
        <w:rPr>
          <w:noProof/>
        </w:rPr>
        <w:t>(12)</w:t>
      </w:r>
      <w:r w:rsidR="00D97D79">
        <w:fldChar w:fldCharType="end"/>
      </w:r>
      <w:r w:rsidR="000049F2">
        <w:t>.</w:t>
      </w:r>
      <w:r w:rsidR="00CB6085">
        <w:t xml:space="preserve"> </w:t>
      </w:r>
      <w:r w:rsidR="007D6C52">
        <w:t xml:space="preserve">See Appendix </w:t>
      </w:r>
      <w:r w:rsidR="007C6825">
        <w:t>A</w:t>
      </w:r>
      <w:r w:rsidR="007D6C52">
        <w:t xml:space="preserve"> for a summary of international THN programs. </w:t>
      </w:r>
      <w:r w:rsidR="00CA5EEA">
        <w:t xml:space="preserve">Evaluations of these programs have highlighted </w:t>
      </w:r>
      <w:proofErr w:type="gramStart"/>
      <w:r w:rsidR="00AB12E1">
        <w:t>a number of</w:t>
      </w:r>
      <w:proofErr w:type="gramEnd"/>
      <w:r w:rsidR="00AB12E1">
        <w:t xml:space="preserve"> key features for success in these programs</w:t>
      </w:r>
      <w:r w:rsidR="00AF3585">
        <w:t>, discussed below.</w:t>
      </w:r>
    </w:p>
    <w:p w14:paraId="3841979A" w14:textId="39BFD026" w:rsidR="00CA5EEA" w:rsidRPr="00B226A0" w:rsidRDefault="00CA5EEA" w:rsidP="00985584">
      <w:pPr>
        <w:pStyle w:val="NbrHeading5"/>
      </w:pPr>
      <w:r w:rsidRPr="00B226A0">
        <w:t xml:space="preserve">Need for strong guidance from government or guiding agency </w:t>
      </w:r>
    </w:p>
    <w:p w14:paraId="4761C616" w14:textId="3A8BFCE2" w:rsidR="00CA5EEA" w:rsidRPr="00B226A0" w:rsidRDefault="00CA5EEA" w:rsidP="00E30F22">
      <w:pPr>
        <w:spacing w:before="120" w:line="260" w:lineRule="exact"/>
      </w:pPr>
      <w:r w:rsidRPr="005307A9">
        <w:rPr>
          <w:rStyle w:val="BodyTextChar"/>
        </w:rPr>
        <w:t>International THN programs identify a need for strong guidance from governments and/or guiding agencies, as well as clear and thorough procedures which enable program success. An evaluation of Italy’s THN model recommends that governments give clear operative guidelines to agencies that include THN, in order to stabilise criteria, guarantee availability nationally and enforce the importance of counselling and education</w:t>
      </w:r>
      <w:r w:rsidR="000049F2" w:rsidRPr="005307A9">
        <w:rPr>
          <w:rStyle w:val="BodyTextChar"/>
        </w:rPr>
        <w:t xml:space="preserve"> </w:t>
      </w:r>
      <w:r w:rsidR="00614632" w:rsidRPr="005307A9">
        <w:rPr>
          <w:rStyle w:val="BodyTextChar"/>
        </w:rPr>
        <w:fldChar w:fldCharType="begin"/>
      </w:r>
      <w:r w:rsidR="00EF7C97">
        <w:rPr>
          <w:rStyle w:val="BodyTextChar"/>
        </w:rPr>
        <w:instrText xml:space="preserve"> ADDIN EN.CITE &lt;EndNote&gt;&lt;Cite&gt;&lt;Author&gt;Ronconi&lt;/Author&gt;&lt;Year&gt;2017&lt;/Year&gt;&lt;RecNum&gt;31&lt;/RecNum&gt;&lt;DisplayText&gt;(19)&lt;/DisplayText&gt;&lt;record&gt;&lt;rec-number&gt;31&lt;/rec-number&gt;&lt;foreign-keys&gt;&lt;key app="EN" db-id="p00v9zw27zzswpe25phxpead0asdt50td92p" timestamp="1625195281"&gt;31&lt;/key&gt;&lt;/foreign-keys&gt;&lt;ref-type name="Report"&gt;27&lt;/ref-type&gt;&lt;contributors&gt;&lt;authors&gt;&lt;author&gt;Ronconi, S., Beccaria, F., Camposeragna, A., Rolando, S., Nencini, P. and&lt;/author&gt;&lt;author&gt;Jarre, P.&lt;/author&gt;&lt;/authors&gt;&lt;tertiary-authors&gt;&lt;author&gt;Forum Droghe&lt;/author&gt;&lt;/tertiary-authors&gt;&lt;/contributors&gt;&lt;titles&gt;&lt;title&gt;Preventing opioid deaths. A research on the Italian naloxone destribution model - 2016&lt;/title&gt;&lt;/titles&gt;&lt;dates&gt;&lt;year&gt;2017&lt;/year&gt;&lt;/dates&gt;&lt;urls&gt;&lt;related-urls&gt;&lt;url&gt;http://idpc.net/publications/2017/02/preventing-opioid-overdose-deaths-research-on-the-italian-naloxone-distribution-model&lt;/url&gt;&lt;/related-urls&gt;&lt;/urls&gt;&lt;/record&gt;&lt;/Cite&gt;&lt;/EndNote&gt;</w:instrText>
      </w:r>
      <w:r w:rsidR="00614632" w:rsidRPr="005307A9">
        <w:rPr>
          <w:rStyle w:val="BodyTextChar"/>
        </w:rPr>
        <w:fldChar w:fldCharType="separate"/>
      </w:r>
      <w:r w:rsidR="00EF7C97">
        <w:rPr>
          <w:rStyle w:val="BodyTextChar"/>
          <w:noProof/>
        </w:rPr>
        <w:t>(19)</w:t>
      </w:r>
      <w:r w:rsidR="00614632" w:rsidRPr="005307A9">
        <w:rPr>
          <w:rStyle w:val="BodyTextChar"/>
        </w:rPr>
        <w:fldChar w:fldCharType="end"/>
      </w:r>
      <w:r w:rsidR="000049F2" w:rsidRPr="005307A9">
        <w:rPr>
          <w:rStyle w:val="BodyTextChar"/>
        </w:rPr>
        <w:t>.</w:t>
      </w:r>
      <w:r w:rsidRPr="005307A9">
        <w:rPr>
          <w:rStyle w:val="BodyTextChar"/>
        </w:rPr>
        <w:t xml:space="preserve"> A Scottish evaluation identified that having a steering group guiding the program was helpful at the strategic local level</w:t>
      </w:r>
      <w:r w:rsidR="00A6360C" w:rsidRPr="005307A9">
        <w:rPr>
          <w:rStyle w:val="BodyTextChar"/>
        </w:rPr>
        <w:t xml:space="preserve"> </w:t>
      </w:r>
      <w:r w:rsidR="00614632" w:rsidRPr="005307A9">
        <w:rPr>
          <w:rStyle w:val="BodyTextChar"/>
        </w:rPr>
        <w:fldChar w:fldCharType="begin"/>
      </w:r>
      <w:r w:rsidR="00EF7C97">
        <w:rPr>
          <w:rStyle w:val="BodyTextChar"/>
        </w:rPr>
        <w:instrText xml:space="preserve"> ADDIN EN.CITE &lt;EndNote&gt;&lt;Cite&gt;&lt;Author&gt;Watt&lt;/Author&gt;&lt;Year&gt;2014&lt;/Year&gt;&lt;RecNum&gt;23&lt;/RecNum&gt;&lt;DisplayText&gt;(20)&lt;/DisplayText&gt;&lt;record&gt;&lt;rec-number&gt;23&lt;/rec-number&gt;&lt;foreign-keys&gt;&lt;key app="EN" db-id="p00v9zw27zzswpe25phxpead0asdt50td92p" timestamp="1624930680"&gt;23&lt;/key&gt;&lt;/foreign-keys&gt;&lt;ref-type name="Report"&gt;27&lt;/ref-type&gt;&lt;contributors&gt;&lt;authors&gt;&lt;author&gt;Watt, Glenys&lt;/author&gt;&lt;author&gt;Jaquet, Simon&lt;/author&gt;&lt;author&gt;Ellison, Sophie&lt;/author&gt;&lt;author&gt;Christie, Ian&lt;/author&gt;&lt;author&gt;Nicholson, Joy&lt;/author&gt;&lt;author&gt;Stevenson, B&lt;/author&gt;&lt;/authors&gt;&lt;/contributors&gt;&lt;titles&gt;&lt;title&gt;Service evaluation of Scotland&amp;apos;s national take-home naloxone programme&lt;/title&gt;&lt;/titles&gt;&lt;dates&gt;&lt;year&gt;2014&lt;/year&gt;&lt;/dates&gt;&lt;publisher&gt;Scottish Government Social Research&lt;/publisher&gt;&lt;isbn&gt;1784124788&lt;/isbn&gt;&lt;urls&gt;&lt;related-urls&gt;&lt;url&gt;https://www.gov.scot/publications/service-evaluation-scotlands-take-home-naloxone-programme/documents/&lt;/url&gt;&lt;/related-urls&gt;&lt;/urls&gt;&lt;/record&gt;&lt;/Cite&gt;&lt;/EndNote&gt;</w:instrText>
      </w:r>
      <w:r w:rsidR="00614632" w:rsidRPr="005307A9">
        <w:rPr>
          <w:rStyle w:val="BodyTextChar"/>
        </w:rPr>
        <w:fldChar w:fldCharType="separate"/>
      </w:r>
      <w:r w:rsidR="00EF7C97">
        <w:rPr>
          <w:rStyle w:val="BodyTextChar"/>
          <w:noProof/>
        </w:rPr>
        <w:t>(20)</w:t>
      </w:r>
      <w:r w:rsidR="00614632" w:rsidRPr="005307A9">
        <w:rPr>
          <w:rStyle w:val="BodyTextChar"/>
        </w:rPr>
        <w:fldChar w:fldCharType="end"/>
      </w:r>
      <w:r w:rsidR="00A6360C" w:rsidRPr="005307A9">
        <w:rPr>
          <w:rStyle w:val="BodyTextChar"/>
        </w:rPr>
        <w:t>.</w:t>
      </w:r>
      <w:r w:rsidRPr="005307A9">
        <w:rPr>
          <w:rStyle w:val="BodyTextChar"/>
        </w:rPr>
        <w:t xml:space="preserve"> In Wales, it was recommended that strong guidance be given at implementation through official </w:t>
      </w:r>
      <w:r w:rsidRPr="005307A9">
        <w:rPr>
          <w:rStyle w:val="BodyTextChar"/>
        </w:rPr>
        <w:lastRenderedPageBreak/>
        <w:t>detailed documentation, with procedures established to</w:t>
      </w:r>
      <w:r w:rsidRPr="005307A9" w:rsidDel="00C124A8">
        <w:rPr>
          <w:rStyle w:val="BodyTextChar"/>
        </w:rPr>
        <w:t xml:space="preserve"> </w:t>
      </w:r>
      <w:r w:rsidRPr="005307A9">
        <w:rPr>
          <w:rStyle w:val="BodyTextChar"/>
        </w:rPr>
        <w:t>enable program success independent of specific individuals involved</w:t>
      </w:r>
      <w:r w:rsidR="000049F2" w:rsidRPr="005307A9">
        <w:rPr>
          <w:rStyle w:val="BodyTextChar"/>
        </w:rPr>
        <w:t xml:space="preserve"> </w:t>
      </w:r>
      <w:r w:rsidR="00614632" w:rsidRPr="005307A9">
        <w:rPr>
          <w:rStyle w:val="BodyTextChar"/>
        </w:rPr>
        <w:fldChar w:fldCharType="begin"/>
      </w:r>
      <w:r w:rsidR="00EF7C97">
        <w:rPr>
          <w:rStyle w:val="BodyTextChar"/>
        </w:rPr>
        <w:instrText xml:space="preserve"> ADDIN EN.CITE &lt;EndNote&gt;&lt;Cite&gt;&lt;Author&gt;Bennett&lt;/Author&gt;&lt;Year&gt;2011&lt;/Year&gt;&lt;RecNum&gt;22&lt;/RecNum&gt;&lt;DisplayText&gt;(21)&lt;/DisplayText&gt;&lt;record&gt;&lt;rec-number&gt;22&lt;/rec-number&gt;&lt;foreign-keys&gt;&lt;key app="EN" db-id="p00v9zw27zzswpe25phxpead0asdt50td92p" timestamp="1624929019"&gt;22&lt;/key&gt;&lt;/foreign-keys&gt;&lt;ref-type name="Report"&gt;27&lt;/ref-type&gt;&lt;contributors&gt;&lt;authors&gt;&lt;author&gt;Bennett, Trevor&lt;/author&gt;&lt;author&gt;Holloway, K&lt;/author&gt;&lt;/authors&gt;&lt;/contributors&gt;&lt;titles&gt;&lt;title&gt;Evaluation of the take home naloxone demonstration project&lt;/title&gt;&lt;secondary-title&gt;Welsh Assembly Government Social Research&lt;/secondary-title&gt;&lt;/titles&gt;&lt;periodical&gt;&lt;full-title&gt;Welsh Assembly Government Social Research&lt;/full-title&gt;&lt;/periodical&gt;&lt;pages&gt;2011&lt;/pages&gt;&lt;volume&gt;13&lt;/volume&gt;&lt;dates&gt;&lt;year&gt;2011&lt;/year&gt;&lt;/dates&gt;&lt;urls&gt;&lt;related-urls&gt;&lt;url&gt;https://gov.wales/evaluation-take-home-naloxone-demonstration-project-0&lt;/url&gt;&lt;/related-urls&gt;&lt;/urls&gt;&lt;/record&gt;&lt;/Cite&gt;&lt;/EndNote&gt;</w:instrText>
      </w:r>
      <w:r w:rsidR="00614632" w:rsidRPr="005307A9">
        <w:rPr>
          <w:rStyle w:val="BodyTextChar"/>
        </w:rPr>
        <w:fldChar w:fldCharType="separate"/>
      </w:r>
      <w:r w:rsidR="00EF7C97">
        <w:rPr>
          <w:rStyle w:val="BodyTextChar"/>
          <w:noProof/>
        </w:rPr>
        <w:t>(21)</w:t>
      </w:r>
      <w:r w:rsidR="00614632" w:rsidRPr="005307A9">
        <w:rPr>
          <w:rStyle w:val="BodyTextChar"/>
        </w:rPr>
        <w:fldChar w:fldCharType="end"/>
      </w:r>
      <w:r w:rsidR="000049F2" w:rsidRPr="005307A9">
        <w:rPr>
          <w:rStyle w:val="BodyTextChar"/>
        </w:rPr>
        <w:t>.</w:t>
      </w:r>
      <w:r w:rsidRPr="005307A9">
        <w:rPr>
          <w:rStyle w:val="BodyTextChar"/>
        </w:rPr>
        <w:t xml:space="preserve"> Research from Canada also identified a lack of guidelines for Canadian pharmacists to assist with identifying appropriate clients for THN distribution and</w:t>
      </w:r>
      <w:r w:rsidRPr="00B226A0">
        <w:t xml:space="preserve"> education</w:t>
      </w:r>
      <w:r w:rsidR="000049F2">
        <w:t xml:space="preserve"> </w:t>
      </w:r>
      <w:r w:rsidR="00614632">
        <w:fldChar w:fldCharType="begin"/>
      </w:r>
      <w:r w:rsidR="00EF7C97">
        <w:instrText xml:space="preserve"> ADDIN EN.CITE &lt;EndNote&gt;&lt;Cite&gt;&lt;Author&gt;Tsuyuki&lt;/Author&gt;&lt;Year&gt;2020&lt;/Year&gt;&lt;RecNum&gt;1&lt;/RecNum&gt;&lt;DisplayText&gt;(22)&lt;/DisplayText&gt;&lt;record&gt;&lt;rec-number&gt;1&lt;/rec-number&gt;&lt;foreign-keys&gt;&lt;key app="EN" db-id="p00v9zw27zzswpe25phxpead0asdt50td92p" timestamp="1624594321"&gt;1&lt;/key&gt;&lt;/foreign-keys&gt;&lt;ref-type name="Journal Article"&gt;17&lt;/ref-type&gt;&lt;contributors&gt;&lt;authors&gt;&lt;author&gt;Tsuyuki, Ross T.&lt;/author&gt;&lt;author&gt;Arora, Vinita&lt;/author&gt;&lt;author&gt;Barnes, Mark&lt;/author&gt;&lt;author&gt;Beazely, Michael A.&lt;/author&gt;&lt;author&gt;Boivin, Michael&lt;/author&gt;&lt;author&gt;Christofides, Anna&lt;/author&gt;&lt;author&gt;Patel, Harsit&lt;/author&gt;&lt;author&gt;Laroche, Julie&lt;/author&gt;&lt;author&gt;Sihota, Aaron&lt;/author&gt;&lt;author&gt;So, Randy&lt;/author&gt;&lt;/authors&gt;&lt;/contributors&gt;&lt;titles&gt;&lt;title&gt;Canadian national consensus guidelines for naloxone prescribing by pharmacists&lt;/title&gt;&lt;secondary-title&gt;Canadian Pharmacists Journal&lt;/secondary-title&gt;&lt;/titles&gt;&lt;periodical&gt;&lt;full-title&gt;Canadian pharmacists journal&lt;/full-title&gt;&lt;/periodical&gt;&lt;pages&gt;347-351&lt;/pages&gt;&lt;volume&gt;153&lt;/volume&gt;&lt;number&gt;6&lt;/number&gt;&lt;dates&gt;&lt;year&gt;2020&lt;/year&gt;&lt;/dates&gt;&lt;pub-location&gt;Los Angeles, CA&lt;/pub-location&gt;&lt;publisher&gt;SAGE Publications&lt;/publisher&gt;&lt;isbn&gt;1715-1635&lt;/isbn&gt;&lt;urls&gt;&lt;/urls&gt;&lt;electronic-resource-num&gt;10.1177/1715163520949973&lt;/electronic-resource-num&gt;&lt;/record&gt;&lt;/Cite&gt;&lt;/EndNote&gt;</w:instrText>
      </w:r>
      <w:r w:rsidR="00614632">
        <w:fldChar w:fldCharType="separate"/>
      </w:r>
      <w:r w:rsidR="00EF7C97">
        <w:rPr>
          <w:noProof/>
        </w:rPr>
        <w:t>(22)</w:t>
      </w:r>
      <w:r w:rsidR="00614632">
        <w:fldChar w:fldCharType="end"/>
      </w:r>
      <w:r w:rsidR="000049F2">
        <w:t>.</w:t>
      </w:r>
      <w:r w:rsidRPr="00B226A0">
        <w:t xml:space="preserve"> </w:t>
      </w:r>
    </w:p>
    <w:p w14:paraId="0CF91D5A" w14:textId="77777777" w:rsidR="00CA5EEA" w:rsidRPr="00B226A0" w:rsidRDefault="00CA5EEA" w:rsidP="00985584">
      <w:pPr>
        <w:pStyle w:val="NbrHeading5"/>
      </w:pPr>
      <w:proofErr w:type="spellStart"/>
      <w:r w:rsidRPr="00B226A0">
        <w:t>Opt</w:t>
      </w:r>
      <w:proofErr w:type="spellEnd"/>
      <w:r w:rsidRPr="00B226A0">
        <w:t xml:space="preserve"> out and follow up systems</w:t>
      </w:r>
    </w:p>
    <w:p w14:paraId="4BE7B3A0" w14:textId="449DB740" w:rsidR="00CA5EEA" w:rsidRPr="00B226A0" w:rsidRDefault="00CA5EEA" w:rsidP="005307A9">
      <w:pPr>
        <w:pStyle w:val="BodyText"/>
      </w:pPr>
      <w:r w:rsidRPr="00B226A0">
        <w:t xml:space="preserve">Research from Canada, where </w:t>
      </w:r>
      <w:r>
        <w:t xml:space="preserve">numbers of </w:t>
      </w:r>
      <w:r w:rsidRPr="00B226A0">
        <w:t>prescription opioid-related deaths are high, recommends that all patients taking opioid medications should be provided with THN and counselled by a pharmacist through an opt out system</w:t>
      </w:r>
      <w:r w:rsidR="00F359CF">
        <w:t xml:space="preserve"> </w:t>
      </w:r>
      <w:r w:rsidR="00614632">
        <w:fldChar w:fldCharType="begin"/>
      </w:r>
      <w:r w:rsidR="00EF7C97">
        <w:instrText xml:space="preserve"> ADDIN EN.CITE &lt;EndNote&gt;&lt;Cite&gt;&lt;Author&gt;Tsuyuki&lt;/Author&gt;&lt;Year&gt;2020&lt;/Year&gt;&lt;RecNum&gt;1&lt;/RecNum&gt;&lt;DisplayText&gt;(22)&lt;/DisplayText&gt;&lt;record&gt;&lt;rec-number&gt;1&lt;/rec-number&gt;&lt;foreign-keys&gt;&lt;key app="EN" db-id="p00v9zw27zzswpe25phxpead0asdt50td92p" timestamp="1624594321"&gt;1&lt;/key&gt;&lt;/foreign-keys&gt;&lt;ref-type name="Journal Article"&gt;17&lt;/ref-type&gt;&lt;contributors&gt;&lt;authors&gt;&lt;author&gt;Tsuyuki, Ross T.&lt;/author&gt;&lt;author&gt;Arora, Vinita&lt;/author&gt;&lt;author&gt;Barnes, Mark&lt;/author&gt;&lt;author&gt;Beazely, Michael A.&lt;/author&gt;&lt;author&gt;Boivin, Michael&lt;/author&gt;&lt;author&gt;Christofides, Anna&lt;/author&gt;&lt;author&gt;Patel, Harsit&lt;/author&gt;&lt;author&gt;Laroche, Julie&lt;/author&gt;&lt;author&gt;Sihota, Aaron&lt;/author&gt;&lt;author&gt;So, Randy&lt;/author&gt;&lt;/authors&gt;&lt;/contributors&gt;&lt;titles&gt;&lt;title&gt;Canadian national consensus guidelines for naloxone prescribing by pharmacists&lt;/title&gt;&lt;secondary-title&gt;Canadian Pharmacists Journal&lt;/secondary-title&gt;&lt;/titles&gt;&lt;periodical&gt;&lt;full-title&gt;Canadian pharmacists journal&lt;/full-title&gt;&lt;/periodical&gt;&lt;pages&gt;347-351&lt;/pages&gt;&lt;volume&gt;153&lt;/volume&gt;&lt;number&gt;6&lt;/number&gt;&lt;dates&gt;&lt;year&gt;2020&lt;/year&gt;&lt;/dates&gt;&lt;pub-location&gt;Los Angeles, CA&lt;/pub-location&gt;&lt;publisher&gt;SAGE Publications&lt;/publisher&gt;&lt;isbn&gt;1715-1635&lt;/isbn&gt;&lt;urls&gt;&lt;/urls&gt;&lt;electronic-resource-num&gt;10.1177/1715163520949973&lt;/electronic-resource-num&gt;&lt;/record&gt;&lt;/Cite&gt;&lt;/EndNote&gt;</w:instrText>
      </w:r>
      <w:r w:rsidR="00614632">
        <w:fldChar w:fldCharType="separate"/>
      </w:r>
      <w:r w:rsidR="00EF7C97">
        <w:rPr>
          <w:noProof/>
        </w:rPr>
        <w:t>(22)</w:t>
      </w:r>
      <w:r w:rsidR="00614632">
        <w:fldChar w:fldCharType="end"/>
      </w:r>
      <w:r w:rsidR="00F359CF">
        <w:t>.</w:t>
      </w:r>
      <w:r w:rsidRPr="00B226A0" w:rsidDel="00614632">
        <w:t xml:space="preserve"> </w:t>
      </w:r>
      <w:r>
        <w:t>Under such a</w:t>
      </w:r>
      <w:r w:rsidRPr="00B226A0">
        <w:t xml:space="preserve"> system</w:t>
      </w:r>
      <w:r>
        <w:t xml:space="preserve">, all opioid prescriptions above a defined threshold trigger automatic provision of naloxone; the pharmacist must opt out to not supply. This </w:t>
      </w:r>
      <w:r w:rsidRPr="00B226A0">
        <w:t>automatic dispe</w:t>
      </w:r>
      <w:r>
        <w:t>nsing imperative</w:t>
      </w:r>
      <w:r w:rsidRPr="00B226A0">
        <w:t xml:space="preserve"> </w:t>
      </w:r>
      <w:r w:rsidR="001F0657">
        <w:t>removes</w:t>
      </w:r>
      <w:r w:rsidR="001F0657" w:rsidRPr="00B226A0">
        <w:t xml:space="preserve"> </w:t>
      </w:r>
      <w:r w:rsidRPr="00B226A0">
        <w:t>the need for pharmacists to undertake a risk assessment in order to dispe</w:t>
      </w:r>
      <w:r>
        <w:t>n</w:t>
      </w:r>
      <w:r w:rsidRPr="00B226A0">
        <w:t>se THN</w:t>
      </w:r>
      <w:r w:rsidR="001A6BB2">
        <w:t xml:space="preserve"> </w:t>
      </w:r>
      <w:r w:rsidR="00614632">
        <w:fldChar w:fldCharType="begin"/>
      </w:r>
      <w:r w:rsidR="00EF7C97">
        <w:instrText xml:space="preserve"> ADDIN EN.CITE &lt;EndNote&gt;&lt;Cite&gt;&lt;Author&gt;Tsuyuki&lt;/Author&gt;&lt;Year&gt;2020&lt;/Year&gt;&lt;RecNum&gt;1&lt;/RecNum&gt;&lt;DisplayText&gt;(22)&lt;/DisplayText&gt;&lt;record&gt;&lt;rec-number&gt;1&lt;/rec-number&gt;&lt;foreign-keys&gt;&lt;key app="EN" db-id="p00v9zw27zzswpe25phxpead0asdt50td92p" timestamp="1624594321"&gt;1&lt;/key&gt;&lt;/foreign-keys&gt;&lt;ref-type name="Journal Article"&gt;17&lt;/ref-type&gt;&lt;contributors&gt;&lt;authors&gt;&lt;author&gt;Tsuyuki, Ross T.&lt;/author&gt;&lt;author&gt;Arora, Vinita&lt;/author&gt;&lt;author&gt;Barnes, Mark&lt;/author&gt;&lt;author&gt;Beazely, Michael A.&lt;/author&gt;&lt;author&gt;Boivin, Michael&lt;/author&gt;&lt;author&gt;Christofides, Anna&lt;/author&gt;&lt;author&gt;Patel, Harsit&lt;/author&gt;&lt;author&gt;Laroche, Julie&lt;/author&gt;&lt;author&gt;Sihota, Aaron&lt;/author&gt;&lt;author&gt;So, Randy&lt;/author&gt;&lt;/authors&gt;&lt;/contributors&gt;&lt;titles&gt;&lt;title&gt;Canadian national consensus guidelines for naloxone prescribing by pharmacists&lt;/title&gt;&lt;secondary-title&gt;Canadian Pharmacists Journal&lt;/secondary-title&gt;&lt;/titles&gt;&lt;periodical&gt;&lt;full-title&gt;Canadian pharmacists journal&lt;/full-title&gt;&lt;/periodical&gt;&lt;pages&gt;347-351&lt;/pages&gt;&lt;volume&gt;153&lt;/volume&gt;&lt;number&gt;6&lt;/number&gt;&lt;dates&gt;&lt;year&gt;2020&lt;/year&gt;&lt;/dates&gt;&lt;pub-location&gt;Los Angeles, CA&lt;/pub-location&gt;&lt;publisher&gt;SAGE Publications&lt;/publisher&gt;&lt;isbn&gt;1715-1635&lt;/isbn&gt;&lt;urls&gt;&lt;/urls&gt;&lt;electronic-resource-num&gt;10.1177/1715163520949973&lt;/electronic-resource-num&gt;&lt;/record&gt;&lt;/Cite&gt;&lt;/EndNote&gt;</w:instrText>
      </w:r>
      <w:r w:rsidR="00614632">
        <w:fldChar w:fldCharType="separate"/>
      </w:r>
      <w:r w:rsidR="00EF7C97">
        <w:rPr>
          <w:noProof/>
        </w:rPr>
        <w:t>(22)</w:t>
      </w:r>
      <w:r w:rsidR="00614632">
        <w:fldChar w:fldCharType="end"/>
      </w:r>
      <w:r w:rsidR="001A6BB2">
        <w:t>.</w:t>
      </w:r>
      <w:r w:rsidRPr="00B226A0">
        <w:t xml:space="preserve"> An opt out system </w:t>
      </w:r>
      <w:r>
        <w:t>was</w:t>
      </w:r>
      <w:r w:rsidRPr="00B226A0">
        <w:t xml:space="preserve"> also recommended by Public Health Wales (2020) </w:t>
      </w:r>
      <w:r>
        <w:t xml:space="preserve">for THN provided </w:t>
      </w:r>
      <w:r w:rsidRPr="00B226A0">
        <w:t>through community pharmacy NSP services</w:t>
      </w:r>
      <w:r w:rsidR="000049F2">
        <w:t xml:space="preserve"> </w:t>
      </w:r>
      <w:r w:rsidR="00441C1C">
        <w:fldChar w:fldCharType="begin"/>
      </w:r>
      <w:r w:rsidR="00EF7C97">
        <w:instrText xml:space="preserve"> ADDIN EN.CITE &lt;EndNote&gt;&lt;Cite&gt;&lt;Author&gt;Public Health Wales&lt;/Author&gt;&lt;Year&gt;2020&lt;/Year&gt;&lt;RecNum&gt;26&lt;/RecNum&gt;&lt;DisplayText&gt;(23)&lt;/DisplayText&gt;&lt;record&gt;&lt;rec-number&gt;26&lt;/rec-number&gt;&lt;foreign-keys&gt;&lt;key app="EN" db-id="p00v9zw27zzswpe25phxpead0asdt50td92p" timestamp="1625102012"&gt;26&lt;/key&gt;&lt;/foreign-keys&gt;&lt;ref-type name="Report"&gt;27&lt;/ref-type&gt;&lt;contributors&gt;&lt;authors&gt;&lt;author&gt;Public Health Wales,&lt;/author&gt;&lt;/authors&gt;&lt;/contributors&gt;&lt;titles&gt;&lt;title&gt;Harm Reduction Database Wales: Drug related mortality&amp;#xD;Annual Report 2019-20&lt;/title&gt;&lt;/titles&gt;&lt;dates&gt;&lt;year&gt;2020&lt;/year&gt;&lt;/dates&gt;&lt;urls&gt;&lt;related-urls&gt;&lt;url&gt;https://phw.nhs.wales/publications/publications1/harm-reduction-database-wales-drug-related-mortality-report-2019-20/&lt;/url&gt;&lt;/related-urls&gt;&lt;/urls&gt;&lt;/record&gt;&lt;/Cite&gt;&lt;/EndNote&gt;</w:instrText>
      </w:r>
      <w:r w:rsidR="00441C1C">
        <w:fldChar w:fldCharType="separate"/>
      </w:r>
      <w:r w:rsidR="00EF7C97">
        <w:rPr>
          <w:noProof/>
        </w:rPr>
        <w:t>(23)</w:t>
      </w:r>
      <w:r w:rsidR="00441C1C">
        <w:fldChar w:fldCharType="end"/>
      </w:r>
      <w:r w:rsidR="000049F2">
        <w:t>.</w:t>
      </w:r>
    </w:p>
    <w:p w14:paraId="12E2E83B" w14:textId="1629E2BD" w:rsidR="00CA5EEA" w:rsidRPr="000A687F" w:rsidRDefault="00CA5EEA" w:rsidP="005307A9">
      <w:pPr>
        <w:pStyle w:val="BodyText"/>
      </w:pPr>
      <w:r w:rsidRPr="00B226A0">
        <w:t xml:space="preserve">Research from Northern Ireland and Canada </w:t>
      </w:r>
      <w:r>
        <w:t xml:space="preserve">also </w:t>
      </w:r>
      <w:r w:rsidRPr="00B226A0">
        <w:t>recommend</w:t>
      </w:r>
      <w:r>
        <w:t>ed</w:t>
      </w:r>
      <w:r w:rsidRPr="00B226A0">
        <w:t xml:space="preserve"> that THN providers develop a follow up system so that patients are contacted about resupply</w:t>
      </w:r>
      <w:r>
        <w:t xml:space="preserve"> and</w:t>
      </w:r>
      <w:r w:rsidRPr="00B226A0">
        <w:t xml:space="preserve"> kit expiry and have education reinforced</w:t>
      </w:r>
      <w:r w:rsidR="000049F2">
        <w:t xml:space="preserve"> </w:t>
      </w:r>
      <w:r w:rsidR="00614632">
        <w:fldChar w:fldCharType="begin"/>
      </w:r>
      <w:r w:rsidR="00EF7C97">
        <w:instrText xml:space="preserve"> ADDIN EN.CITE &lt;EndNote&gt;&lt;Cite&gt;&lt;Author&gt;Tsuyuki&lt;/Author&gt;&lt;Year&gt;2020&lt;/Year&gt;&lt;RecNum&gt;1&lt;/RecNum&gt;&lt;DisplayText&gt;(22, 24)&lt;/DisplayText&gt;&lt;record&gt;&lt;rec-number&gt;1&lt;/rec-number&gt;&lt;foreign-keys&gt;&lt;key app="EN" db-id="p00v9zw27zzswpe25phxpead0asdt50td92p" timestamp="1624594321"&gt;1&lt;/key&gt;&lt;/foreign-keys&gt;&lt;ref-type name="Journal Article"&gt;17&lt;/ref-type&gt;&lt;contributors&gt;&lt;authors&gt;&lt;author&gt;Tsuyuki, Ross T.&lt;/author&gt;&lt;author&gt;Arora, Vinita&lt;/author&gt;&lt;author&gt;Barnes, Mark&lt;/author&gt;&lt;author&gt;Beazely, Michael A.&lt;/author&gt;&lt;author&gt;Boivin, Michael&lt;/author&gt;&lt;author&gt;Christofides, Anna&lt;/author&gt;&lt;author&gt;Patel, Harsit&lt;/author&gt;&lt;author&gt;Laroche, Julie&lt;/author&gt;&lt;author&gt;Sihota, Aaron&lt;/author&gt;&lt;author&gt;So, Randy&lt;/author&gt;&lt;/authors&gt;&lt;/contributors&gt;&lt;titles&gt;&lt;title&gt;Canadian national consensus guidelines for naloxone prescribing by pharmacists&lt;/title&gt;&lt;secondary-title&gt;Canadian Pharmacists Journal&lt;/secondary-title&gt;&lt;/titles&gt;&lt;periodical&gt;&lt;full-title&gt;Canadian pharmacists journal&lt;/full-title&gt;&lt;/periodical&gt;&lt;pages&gt;347-351&lt;/pages&gt;&lt;volume&gt;153&lt;/volume&gt;&lt;number&gt;6&lt;/number&gt;&lt;dates&gt;&lt;year&gt;2020&lt;/year&gt;&lt;/dates&gt;&lt;pub-location&gt;Los Angeles, CA&lt;/pub-location&gt;&lt;publisher&gt;SAGE Publications&lt;/publisher&gt;&lt;isbn&gt;1715-1635&lt;/isbn&gt;&lt;urls&gt;&lt;/urls&gt;&lt;electronic-resource-num&gt;10.1177/1715163520949973&lt;/electronic-resource-num&gt;&lt;/record&gt;&lt;/Cite&gt;&lt;Cite&gt;&lt;Author&gt;Shorter&lt;/Author&gt;&lt;Year&gt;2016&lt;/Year&gt;&lt;RecNum&gt;68&lt;/RecNum&gt;&lt;record&gt;&lt;rec-number&gt;68&lt;/rec-number&gt;&lt;foreign-keys&gt;&lt;key app="EN" db-id="p00v9zw27zzswpe25phxpead0asdt50td92p" timestamp="1625462035"&gt;68&lt;/key&gt;&lt;/foreign-keys&gt;&lt;ref-type name="Report"&gt;27&lt;/ref-type&gt;&lt;contributors&gt;&lt;authors&gt;&lt;author&gt;Shorter, Gillian W&lt;/author&gt;&lt;author&gt;Bingham, T&lt;/author&gt;&lt;/authors&gt;&lt;/contributors&gt;&lt;titles&gt;&lt;title&gt;An evaluation of the Take Home Naloxone programme in Northern Ireland: Consultation with service users and service providers&lt;/title&gt;&lt;/titles&gt;&lt;dates&gt;&lt;year&gt;2016&lt;/year&gt;&lt;/dates&gt;&lt;pub-location&gt;Belfast&lt;/pub-location&gt;&lt;publisher&gt;Public Health Agency&lt;/publisher&gt;&lt;urls&gt;&lt;related-urls&gt;&lt;url&gt;https://pure.ulster.ac.uk/ws/portalfiles/portal/11609673/Naloxone+service+evaluation+final+report+Feb+2016.pdf&lt;/url&gt;&lt;/related-urls&gt;&lt;/urls&gt;&lt;/record&gt;&lt;/Cite&gt;&lt;/EndNote&gt;</w:instrText>
      </w:r>
      <w:r w:rsidR="00614632">
        <w:fldChar w:fldCharType="separate"/>
      </w:r>
      <w:r w:rsidR="00EF7C97">
        <w:rPr>
          <w:noProof/>
        </w:rPr>
        <w:t>(22, 24)</w:t>
      </w:r>
      <w:r w:rsidR="00614632">
        <w:fldChar w:fldCharType="end"/>
      </w:r>
      <w:r w:rsidR="000049F2">
        <w:t>.</w:t>
      </w:r>
      <w:r w:rsidRPr="00B226A0">
        <w:t xml:space="preserve"> </w:t>
      </w:r>
      <w:r w:rsidR="00765208">
        <w:t>Canadian</w:t>
      </w:r>
      <w:r w:rsidRPr="00B226A0">
        <w:t xml:space="preserve"> recommend</w:t>
      </w:r>
      <w:r w:rsidR="00765208">
        <w:t>ations suggest</w:t>
      </w:r>
      <w:r w:rsidRPr="00B226A0">
        <w:t xml:space="preserve"> that pharmacies dispe</w:t>
      </w:r>
      <w:r>
        <w:t>n</w:t>
      </w:r>
      <w:r w:rsidRPr="00B226A0">
        <w:t>sing naloxone follow-up patients at 3 months and 1 year after THN dispe</w:t>
      </w:r>
      <w:r>
        <w:t>nsing</w:t>
      </w:r>
      <w:r w:rsidRPr="00B226A0">
        <w:t xml:space="preserve"> through an alert system </w:t>
      </w:r>
      <w:r w:rsidR="00765208">
        <w:fldChar w:fldCharType="begin"/>
      </w:r>
      <w:r w:rsidR="00EF7C97">
        <w:instrText xml:space="preserve"> ADDIN EN.CITE &lt;EndNote&gt;&lt;Cite&gt;&lt;Author&gt;Tsuyuki&lt;/Author&gt;&lt;Year&gt;2020&lt;/Year&gt;&lt;RecNum&gt;1&lt;/RecNum&gt;&lt;DisplayText&gt;(22)&lt;/DisplayText&gt;&lt;record&gt;&lt;rec-number&gt;1&lt;/rec-number&gt;&lt;foreign-keys&gt;&lt;key app="EN" db-id="p00v9zw27zzswpe25phxpead0asdt50td92p" timestamp="1624594321"&gt;1&lt;/key&gt;&lt;/foreign-keys&gt;&lt;ref-type name="Journal Article"&gt;17&lt;/ref-type&gt;&lt;contributors&gt;&lt;authors&gt;&lt;author&gt;Tsuyuki, Ross T.&lt;/author&gt;&lt;author&gt;Arora, Vinita&lt;/author&gt;&lt;author&gt;Barnes, Mark&lt;/author&gt;&lt;author&gt;Beazely, Michael A.&lt;/author&gt;&lt;author&gt;Boivin, Michael&lt;/author&gt;&lt;author&gt;Christofides, Anna&lt;/author&gt;&lt;author&gt;Patel, Harsit&lt;/author&gt;&lt;author&gt;Laroche, Julie&lt;/author&gt;&lt;author&gt;Sihota, Aaron&lt;/author&gt;&lt;author&gt;So, Randy&lt;/author&gt;&lt;/authors&gt;&lt;/contributors&gt;&lt;titles&gt;&lt;title&gt;Canadian national consensus guidelines for naloxone prescribing by pharmacists&lt;/title&gt;&lt;secondary-title&gt;Canadian Pharmacists Journal&lt;/secondary-title&gt;&lt;/titles&gt;&lt;periodical&gt;&lt;full-title&gt;Canadian pharmacists journal&lt;/full-title&gt;&lt;/periodical&gt;&lt;pages&gt;347-351&lt;/pages&gt;&lt;volume&gt;153&lt;/volume&gt;&lt;number&gt;6&lt;/number&gt;&lt;dates&gt;&lt;year&gt;2020&lt;/year&gt;&lt;/dates&gt;&lt;pub-location&gt;Los Angeles, CA&lt;/pub-location&gt;&lt;publisher&gt;SAGE Publications&lt;/publisher&gt;&lt;isbn&gt;1715-1635&lt;/isbn&gt;&lt;urls&gt;&lt;/urls&gt;&lt;electronic-resource-num&gt;10.1177/1715163520949973&lt;/electronic-resource-num&gt;&lt;/record&gt;&lt;/Cite&gt;&lt;/EndNote&gt;</w:instrText>
      </w:r>
      <w:r w:rsidR="00765208">
        <w:fldChar w:fldCharType="separate"/>
      </w:r>
      <w:r w:rsidR="00EF7C97">
        <w:rPr>
          <w:noProof/>
        </w:rPr>
        <w:t>(22)</w:t>
      </w:r>
      <w:r w:rsidR="00765208">
        <w:fldChar w:fldCharType="end"/>
      </w:r>
      <w:r w:rsidR="000049F2">
        <w:t>.</w:t>
      </w:r>
      <w:r w:rsidRPr="00B226A0">
        <w:t xml:space="preserve"> </w:t>
      </w:r>
    </w:p>
    <w:p w14:paraId="25F3D083" w14:textId="77777777" w:rsidR="00CA5EEA" w:rsidRPr="00B226A0" w:rsidRDefault="00CA5EEA" w:rsidP="00985584">
      <w:pPr>
        <w:pStyle w:val="NbrHeading5"/>
      </w:pPr>
      <w:r w:rsidRPr="00B226A0">
        <w:t>Training and education</w:t>
      </w:r>
    </w:p>
    <w:p w14:paraId="15930A75" w14:textId="61246B6F" w:rsidR="00CA5EEA" w:rsidRPr="00B226A0" w:rsidRDefault="00CA5EEA" w:rsidP="005307A9">
      <w:pPr>
        <w:pStyle w:val="BodyText"/>
      </w:pPr>
      <w:r w:rsidRPr="00B226A0">
        <w:t xml:space="preserve">THN provision generally occurs alongside training and education on its use. A Scottish evaluation recommended that a brief 1:1 intervention approach be </w:t>
      </w:r>
      <w:r w:rsidR="00121DA4">
        <w:t xml:space="preserve">expanded in </w:t>
      </w:r>
      <w:r w:rsidR="007D4612">
        <w:t>sc</w:t>
      </w:r>
      <w:r w:rsidR="00187E3D">
        <w:t>op</w:t>
      </w:r>
      <w:r w:rsidR="007D4612">
        <w:t>e</w:t>
      </w:r>
      <w:r w:rsidRPr="00B226A0">
        <w:t xml:space="preserve"> to reach more of the target population</w:t>
      </w:r>
      <w:r w:rsidR="004C3837">
        <w:t>,</w:t>
      </w:r>
      <w:r w:rsidR="0090423D">
        <w:t xml:space="preserve"> shortening the length of training from 1.5 hours to 15 – 20 minutes</w:t>
      </w:r>
      <w:r w:rsidR="003B16C5">
        <w:t xml:space="preserve"> </w:t>
      </w:r>
      <w:r w:rsidR="00CD2B8D">
        <w:fldChar w:fldCharType="begin"/>
      </w:r>
      <w:r w:rsidR="00EF7C97">
        <w:instrText xml:space="preserve"> ADDIN EN.CITE &lt;EndNote&gt;&lt;Cite&gt;&lt;Author&gt;Watt&lt;/Author&gt;&lt;Year&gt;2014&lt;/Year&gt;&lt;RecNum&gt;23&lt;/RecNum&gt;&lt;DisplayText&gt;(20)&lt;/DisplayText&gt;&lt;record&gt;&lt;rec-number&gt;23&lt;/rec-number&gt;&lt;foreign-keys&gt;&lt;key app="EN" db-id="p00v9zw27zzswpe25phxpead0asdt50td92p" timestamp="1624930680"&gt;23&lt;/key&gt;&lt;/foreign-keys&gt;&lt;ref-type name="Report"&gt;27&lt;/ref-type&gt;&lt;contributors&gt;&lt;authors&gt;&lt;author&gt;Watt, Glenys&lt;/author&gt;&lt;author&gt;Jaquet, Simon&lt;/author&gt;&lt;author&gt;Ellison, Sophie&lt;/author&gt;&lt;author&gt;Christie, Ian&lt;/author&gt;&lt;author&gt;Nicholson, Joy&lt;/author&gt;&lt;author&gt;Stevenson, B&lt;/author&gt;&lt;/authors&gt;&lt;/contributors&gt;&lt;titles&gt;&lt;title&gt;Service evaluation of Scotland&amp;apos;s national take-home naloxone programme&lt;/title&gt;&lt;/titles&gt;&lt;dates&gt;&lt;year&gt;2014&lt;/year&gt;&lt;/dates&gt;&lt;publisher&gt;Scottish Government Social Research&lt;/publisher&gt;&lt;isbn&gt;1784124788&lt;/isbn&gt;&lt;urls&gt;&lt;related-urls&gt;&lt;url&gt;https://www.gov.scot/publications/service-evaluation-scotlands-take-home-naloxone-programme/documents/&lt;/url&gt;&lt;/related-urls&gt;&lt;/urls&gt;&lt;/record&gt;&lt;/Cite&gt;&lt;/EndNote&gt;</w:instrText>
      </w:r>
      <w:r w:rsidR="00CD2B8D">
        <w:fldChar w:fldCharType="separate"/>
      </w:r>
      <w:r w:rsidR="00EF7C97">
        <w:rPr>
          <w:noProof/>
        </w:rPr>
        <w:t>(20)</w:t>
      </w:r>
      <w:r w:rsidR="00CD2B8D">
        <w:fldChar w:fldCharType="end"/>
      </w:r>
      <w:r w:rsidR="003B16C5">
        <w:t>.</w:t>
      </w:r>
      <w:r w:rsidRPr="00B226A0">
        <w:t xml:space="preserve"> </w:t>
      </w:r>
      <w:r w:rsidR="007F72D5">
        <w:t xml:space="preserve">Likewise, </w:t>
      </w:r>
      <w:r w:rsidR="00F37EEA">
        <w:t>the</w:t>
      </w:r>
      <w:r w:rsidRPr="00B226A0">
        <w:t xml:space="preserve"> evaluation </w:t>
      </w:r>
      <w:r w:rsidR="00F37EEA">
        <w:t>in Wales</w:t>
      </w:r>
      <w:r w:rsidRPr="00B226A0">
        <w:t xml:space="preserve"> also recommended that 1:1 and ad hoc training be used more widely, and that training should be kept short</w:t>
      </w:r>
      <w:r>
        <w:t>,</w:t>
      </w:r>
      <w:r w:rsidRPr="00B226A0">
        <w:t xml:space="preserve"> as lengthy training sessions may act as a deterrent</w:t>
      </w:r>
      <w:r w:rsidR="003B16C5">
        <w:t xml:space="preserve"> </w:t>
      </w:r>
      <w:r w:rsidR="00CD2B8D">
        <w:fldChar w:fldCharType="begin"/>
      </w:r>
      <w:r w:rsidR="00EF7C97">
        <w:instrText xml:space="preserve"> ADDIN EN.CITE &lt;EndNote&gt;&lt;Cite&gt;&lt;Author&gt;Bennett&lt;/Author&gt;&lt;Year&gt;2011&lt;/Year&gt;&lt;RecNum&gt;22&lt;/RecNum&gt;&lt;DisplayText&gt;(21)&lt;/DisplayText&gt;&lt;record&gt;&lt;rec-number&gt;22&lt;/rec-number&gt;&lt;foreign-keys&gt;&lt;key app="EN" db-id="p00v9zw27zzswpe25phxpead0asdt50td92p" timestamp="1624929019"&gt;22&lt;/key&gt;&lt;/foreign-keys&gt;&lt;ref-type name="Report"&gt;27&lt;/ref-type&gt;&lt;contributors&gt;&lt;authors&gt;&lt;author&gt;Bennett, Trevor&lt;/author&gt;&lt;author&gt;Holloway, K&lt;/author&gt;&lt;/authors&gt;&lt;/contributors&gt;&lt;titles&gt;&lt;title&gt;Evaluation of the take home naloxone demonstration project&lt;/title&gt;&lt;secondary-title&gt;Welsh Assembly Government Social Research&lt;/secondary-title&gt;&lt;/titles&gt;&lt;periodical&gt;&lt;full-title&gt;Welsh Assembly Government Social Research&lt;/full-title&gt;&lt;/periodical&gt;&lt;pages&gt;2011&lt;/pages&gt;&lt;volume&gt;13&lt;/volume&gt;&lt;dates&gt;&lt;year&gt;2011&lt;/year&gt;&lt;/dates&gt;&lt;urls&gt;&lt;related-urls&gt;&lt;url&gt;https://gov.wales/evaluation-take-home-naloxone-demonstration-project-0&lt;/url&gt;&lt;/related-urls&gt;&lt;/urls&gt;&lt;/record&gt;&lt;/Cite&gt;&lt;/EndNote&gt;</w:instrText>
      </w:r>
      <w:r w:rsidR="00CD2B8D">
        <w:fldChar w:fldCharType="separate"/>
      </w:r>
      <w:r w:rsidR="00EF7C97">
        <w:rPr>
          <w:noProof/>
        </w:rPr>
        <w:t>(21)</w:t>
      </w:r>
      <w:r w:rsidR="00CD2B8D">
        <w:fldChar w:fldCharType="end"/>
      </w:r>
      <w:r w:rsidR="003B16C5">
        <w:t>.</w:t>
      </w:r>
      <w:r w:rsidRPr="00B226A0">
        <w:t xml:space="preserve"> </w:t>
      </w:r>
      <w:r w:rsidR="00BF3299">
        <w:t xml:space="preserve">Both of these studies </w:t>
      </w:r>
      <w:r w:rsidR="001F6318">
        <w:t>involved use of injectable naloxone</w:t>
      </w:r>
      <w:r w:rsidR="00F212CE">
        <w:t xml:space="preserve">, </w:t>
      </w:r>
      <w:r w:rsidR="00F84425">
        <w:t xml:space="preserve">which has been found to require </w:t>
      </w:r>
      <w:r w:rsidR="00091F5A">
        <w:t xml:space="preserve">more </w:t>
      </w:r>
      <w:r w:rsidR="004040AF">
        <w:t>training time tha</w:t>
      </w:r>
      <w:r w:rsidR="00AE1646">
        <w:t>n</w:t>
      </w:r>
      <w:r w:rsidR="004040AF">
        <w:t xml:space="preserve"> intranasal naloxone</w:t>
      </w:r>
      <w:r w:rsidR="00F359CF">
        <w:t xml:space="preserve"> </w:t>
      </w:r>
      <w:r w:rsidR="00825B46">
        <w:fldChar w:fldCharType="begin"/>
      </w:r>
      <w:r w:rsidR="00EF7C97">
        <w:instrText xml:space="preserve"> ADDIN EN.CITE &lt;EndNote&gt;&lt;Cite&gt;&lt;Author&gt;Clark&lt;/Author&gt;&lt;Year&gt;2014&lt;/Year&gt;&lt;RecNum&gt;139&lt;/RecNum&gt;&lt;DisplayText&gt;(25)&lt;/DisplayText&gt;&lt;record&gt;&lt;rec-number&gt;139&lt;/rec-number&gt;&lt;foreign-keys&gt;&lt;key app="EN" db-id="p00v9zw27zzswpe25phxpead0asdt50td92p" timestamp="1630467019"&gt;139&lt;/key&gt;&lt;/foreign-keys&gt;&lt;ref-type name="Journal Article"&gt;17&lt;/ref-type&gt;&lt;contributors&gt;&lt;authors&gt;&lt;author&gt;Clark, A. K.&lt;/author&gt;&lt;author&gt;Wilder, C. M.&lt;/author&gt;&lt;author&gt;Winstanley, E. L.&lt;/author&gt;&lt;/authors&gt;&lt;/contributors&gt;&lt;auth-address&gt;From the College of Nursing (AKC), University of Cincinnati, and Department of Psychiatry and Behavioral Neuroscience (CMW, ELW), University of Cincinnati College of Medicine, Cincinnati, OH.&lt;/auth-address&gt;&lt;titles&gt;&lt;title&gt;A systematic review of community opioid overdose prevention and naloxone distribution programs&lt;/title&gt;&lt;secondary-title&gt;Journal of Addiction Medicine&lt;/secondary-title&gt;&lt;/titles&gt;&lt;periodical&gt;&lt;full-title&gt;Journal of Addiction Medicine&lt;/full-title&gt;&lt;/periodical&gt;&lt;pages&gt;153-63&lt;/pages&gt;&lt;volume&gt;8&lt;/volume&gt;&lt;number&gt;3&lt;/number&gt;&lt;edition&gt;2014/05/31&lt;/edition&gt;&lt;keywords&gt;&lt;keyword&gt;*Community Mental Health Services/methods/organization &amp;amp; administration&lt;/keyword&gt;&lt;keyword&gt;Drug Overdose/drug therapy/mortality/*prevention &amp;amp; control&lt;/keyword&gt;&lt;keyword&gt;Humans&lt;/keyword&gt;&lt;keyword&gt;Naloxone/*supply &amp;amp; distribution/therapeutic use&lt;/keyword&gt;&lt;keyword&gt;Narcotic Antagonists/*supply &amp;amp; distribution/therapeutic use&lt;/keyword&gt;&lt;keyword&gt;Narcotics/adverse effects&lt;/keyword&gt;&lt;keyword&gt;Opioid-Related Disorders/*complications&lt;/keyword&gt;&lt;keyword&gt;Program Evaluation&lt;/keyword&gt;&lt;/keywords&gt;&lt;dates&gt;&lt;year&gt;2014&lt;/year&gt;&lt;pub-dates&gt;&lt;date&gt;May-Jun&lt;/date&gt;&lt;/pub-dates&gt;&lt;/dates&gt;&lt;isbn&gt;1932-0620&lt;/isbn&gt;&lt;accession-num&gt;24874759&lt;/accession-num&gt;&lt;urls&gt;&lt;/urls&gt;&lt;electronic-resource-num&gt;10.1097/adm.0000000000000034&lt;/electronic-resource-num&gt;&lt;remote-database-provider&gt;NLM&lt;/remote-database-provider&gt;&lt;language&gt;eng&lt;/language&gt;&lt;/record&gt;&lt;/Cite&gt;&lt;/EndNote&gt;</w:instrText>
      </w:r>
      <w:r w:rsidR="00825B46">
        <w:fldChar w:fldCharType="separate"/>
      </w:r>
      <w:r w:rsidR="00EF7C97">
        <w:rPr>
          <w:noProof/>
        </w:rPr>
        <w:t>(25)</w:t>
      </w:r>
      <w:r w:rsidR="00825B46">
        <w:fldChar w:fldCharType="end"/>
      </w:r>
      <w:r w:rsidR="00F359CF">
        <w:t>.</w:t>
      </w:r>
      <w:r w:rsidR="004040AF">
        <w:t xml:space="preserve"> </w:t>
      </w:r>
      <w:r w:rsidR="00332CA7">
        <w:t>Evaluation of the WHO naloxone programs demonstrated the utility of a cascading train-the-trainer model</w:t>
      </w:r>
      <w:r w:rsidR="00312754">
        <w:t xml:space="preserve"> to </w:t>
      </w:r>
      <w:r w:rsidR="003F1FFA">
        <w:t>enable greater</w:t>
      </w:r>
      <w:r w:rsidR="00312754">
        <w:t xml:space="preserve"> reach into </w:t>
      </w:r>
      <w:r w:rsidR="00C546E8">
        <w:t>the target populations</w:t>
      </w:r>
      <w:r w:rsidR="003B16C5">
        <w:t xml:space="preserve"> </w:t>
      </w:r>
      <w:r w:rsidR="00D97D79">
        <w:fldChar w:fldCharType="begin"/>
      </w:r>
      <w:r w:rsidR="00EF7C97">
        <w:instrText xml:space="preserve"> ADDIN EN.CITE &lt;EndNote&gt;&lt;Cite&gt;&lt;Author&gt;World Health Organization&lt;/Author&gt;&lt;Year&gt;2021&lt;/Year&gt;&lt;RecNum&gt;120&lt;/RecNum&gt;&lt;DisplayText&gt;(12)&lt;/DisplayText&gt;&lt;record&gt;&lt;rec-number&gt;120&lt;/rec-number&gt;&lt;foreign-keys&gt;&lt;key app="EN" db-id="p00v9zw27zzswpe25phxpead0asdt50td92p" timestamp="1629697626"&gt;120&lt;/key&gt;&lt;/foreign-keys&gt;&lt;ref-type name="Report"&gt;27&lt;/ref-type&gt;&lt;contributors&gt;&lt;authors&gt;&lt;author&gt;World Health Organization,&lt;/author&gt;&lt;/authors&gt;&lt;/contributors&gt;&lt;titles&gt;&lt;title&gt;UNODC-WHO Stop-Overdose-Safely (SOS) project implementation in Kazakhstan, Kyrgyzstan, Tajikistan and Ukraine: summary report&lt;/title&gt;&lt;/titles&gt;&lt;dates&gt;&lt;year&gt;2021&lt;/year&gt;&lt;/dates&gt;&lt;publisher&gt;World Health Organization&lt;/publisher&gt;&lt;isbn&gt;9240022457&lt;/isbn&gt;&lt;urls&gt;&lt;related-urls&gt;&lt;url&gt;https://apps.who.int/iris/handle/10665/340497&lt;/url&gt;&lt;/related-urls&gt;&lt;/urls&gt;&lt;/record&gt;&lt;/Cite&gt;&lt;/EndNote&gt;</w:instrText>
      </w:r>
      <w:r w:rsidR="00D97D79">
        <w:fldChar w:fldCharType="separate"/>
      </w:r>
      <w:r w:rsidR="00EF7C97">
        <w:rPr>
          <w:noProof/>
        </w:rPr>
        <w:t>(12)</w:t>
      </w:r>
      <w:r w:rsidR="00D97D79">
        <w:fldChar w:fldCharType="end"/>
      </w:r>
      <w:r w:rsidR="003B16C5">
        <w:t>.</w:t>
      </w:r>
    </w:p>
    <w:p w14:paraId="4504EE50" w14:textId="3F69D510" w:rsidR="00CA5EEA" w:rsidRPr="00B226A0" w:rsidRDefault="00CA5EEA" w:rsidP="005307A9">
      <w:pPr>
        <w:pStyle w:val="BodyText"/>
      </w:pPr>
      <w:r w:rsidRPr="00B226A0">
        <w:t xml:space="preserve">Training and promotion of THN which addresses the myths of legal consequences was recommended in Northern Ireland, where fear of reprisals, searches and social services involvement for </w:t>
      </w:r>
      <w:r>
        <w:t>THN consumers</w:t>
      </w:r>
      <w:r w:rsidRPr="00B226A0">
        <w:t xml:space="preserve"> with children was identified as a barrier to uptake and use of THN</w:t>
      </w:r>
      <w:r w:rsidR="00F00350">
        <w:t xml:space="preserve"> </w:t>
      </w:r>
      <w:r w:rsidR="00CD2B8D">
        <w:fldChar w:fldCharType="begin"/>
      </w:r>
      <w:r w:rsidR="00EF7C97">
        <w:instrText xml:space="preserve"> ADDIN EN.CITE &lt;EndNote&gt;&lt;Cite&gt;&lt;Author&gt;Shorter&lt;/Author&gt;&lt;Year&gt;2016&lt;/Year&gt;&lt;RecNum&gt;68&lt;/RecNum&gt;&lt;DisplayText&gt;(24)&lt;/DisplayText&gt;&lt;record&gt;&lt;rec-number&gt;68&lt;/rec-number&gt;&lt;foreign-keys&gt;&lt;key app="EN" db-id="p00v9zw27zzswpe25phxpead0asdt50td92p" timestamp="1625462035"&gt;68&lt;/key&gt;&lt;/foreign-keys&gt;&lt;ref-type name="Report"&gt;27&lt;/ref-type&gt;&lt;contributors&gt;&lt;authors&gt;&lt;author&gt;Shorter, Gillian W&lt;/author&gt;&lt;author&gt;Bingham, T&lt;/author&gt;&lt;/authors&gt;&lt;/contributors&gt;&lt;titles&gt;&lt;title&gt;An evaluation of the Take Home Naloxone programme in Northern Ireland: Consultation with service users and service providers&lt;/title&gt;&lt;/titles&gt;&lt;dates&gt;&lt;year&gt;2016&lt;/year&gt;&lt;/dates&gt;&lt;pub-location&gt;Belfast&lt;/pub-location&gt;&lt;publisher&gt;Public Health Agency&lt;/publisher&gt;&lt;urls&gt;&lt;related-urls&gt;&lt;url&gt;https://pure.ulster.ac.uk/ws/portalfiles/portal/11609673/Naloxone+service+evaluation+final+report+Feb+2016.pdf&lt;/url&gt;&lt;/related-urls&gt;&lt;/urls&gt;&lt;/record&gt;&lt;/Cite&gt;&lt;/EndNote&gt;</w:instrText>
      </w:r>
      <w:r w:rsidR="00CD2B8D">
        <w:fldChar w:fldCharType="separate"/>
      </w:r>
      <w:r w:rsidR="00EF7C97">
        <w:rPr>
          <w:noProof/>
        </w:rPr>
        <w:t>(24)</w:t>
      </w:r>
      <w:r w:rsidR="00CD2B8D">
        <w:fldChar w:fldCharType="end"/>
      </w:r>
      <w:r w:rsidR="00F00350">
        <w:t>.</w:t>
      </w:r>
    </w:p>
    <w:p w14:paraId="69375BA9" w14:textId="77777777" w:rsidR="00CA5EEA" w:rsidRPr="00B226A0" w:rsidRDefault="00CA5EEA" w:rsidP="00985584">
      <w:pPr>
        <w:pStyle w:val="NbrHeading5"/>
      </w:pPr>
      <w:r w:rsidRPr="00B226A0">
        <w:t>Promot</w:t>
      </w:r>
      <w:r>
        <w:t>ion of</w:t>
      </w:r>
      <w:r w:rsidRPr="00B226A0">
        <w:t xml:space="preserve"> THN through media, social </w:t>
      </w:r>
      <w:proofErr w:type="gramStart"/>
      <w:r w:rsidRPr="00B226A0">
        <w:t>media</w:t>
      </w:r>
      <w:proofErr w:type="gramEnd"/>
      <w:r w:rsidRPr="00B226A0">
        <w:t xml:space="preserve"> and advertising</w:t>
      </w:r>
    </w:p>
    <w:p w14:paraId="0BC4521E" w14:textId="04CE1754" w:rsidR="00CA5EEA" w:rsidRDefault="00CA5EEA" w:rsidP="00E30F22">
      <w:pPr>
        <w:pStyle w:val="BodyText"/>
        <w:spacing w:line="260" w:lineRule="exact"/>
      </w:pPr>
      <w:r>
        <w:t>In Italy, lack of public awareness was reported as an impediment to widespread uptake of THN</w:t>
      </w:r>
      <w:r w:rsidR="002E7ECF">
        <w:t xml:space="preserve">, despite </w:t>
      </w:r>
      <w:r w:rsidR="00FE65D0">
        <w:t xml:space="preserve">it </w:t>
      </w:r>
      <w:r w:rsidR="002E7ECF">
        <w:t>being broadly availab</w:t>
      </w:r>
      <w:r w:rsidR="00D77E3E">
        <w:t>le</w:t>
      </w:r>
      <w:r w:rsidR="002E7ECF">
        <w:t xml:space="preserve"> at no cost</w:t>
      </w:r>
      <w:r w:rsidR="007F7E42">
        <w:t xml:space="preserve"> to recipients</w:t>
      </w:r>
      <w:r>
        <w:t>.  Media and social media campaigns were identified as an opportunity for public education on naloxone, with the aim of making it an everyday word and reducing associated stigma</w:t>
      </w:r>
      <w:r w:rsidR="0022116A">
        <w:t xml:space="preserve"> </w:t>
      </w:r>
      <w:r w:rsidR="00CD2B8D">
        <w:fldChar w:fldCharType="begin"/>
      </w:r>
      <w:r w:rsidR="00EF7C97">
        <w:instrText xml:space="preserve"> ADDIN EN.CITE &lt;EndNote&gt;&lt;Cite&gt;&lt;Author&gt;Ronconi&lt;/Author&gt;&lt;Year&gt;2017&lt;/Year&gt;&lt;RecNum&gt;31&lt;/RecNum&gt;&lt;DisplayText&gt;(19)&lt;/DisplayText&gt;&lt;record&gt;&lt;rec-number&gt;31&lt;/rec-number&gt;&lt;foreign-keys&gt;&lt;key app="EN" db-id="p00v9zw27zzswpe25phxpead0asdt50td92p" timestamp="1625195281"&gt;31&lt;/key&gt;&lt;/foreign-keys&gt;&lt;ref-type name="Report"&gt;27&lt;/ref-type&gt;&lt;contributors&gt;&lt;authors&gt;&lt;author&gt;Ronconi, S., Beccaria, F., Camposeragna, A., Rolando, S., Nencini, P. and&lt;/author&gt;&lt;author&gt;Jarre, P.&lt;/author&gt;&lt;/authors&gt;&lt;tertiary-authors&gt;&lt;author&gt;Forum Droghe&lt;/author&gt;&lt;/tertiary-authors&gt;&lt;/contributors&gt;&lt;titles&gt;&lt;title&gt;Preventing opioid deaths. A research on the Italian naloxone destribution model - 2016&lt;/title&gt;&lt;/titles&gt;&lt;dates&gt;&lt;year&gt;2017&lt;/year&gt;&lt;/dates&gt;&lt;urls&gt;&lt;related-urls&gt;&lt;url&gt;http://idpc.net/publications/2017/02/preventing-opioid-overdose-deaths-research-on-the-italian-naloxone-distribution-model&lt;/url&gt;&lt;/related-urls&gt;&lt;/urls&gt;&lt;/record&gt;&lt;/Cite&gt;&lt;/EndNote&gt;</w:instrText>
      </w:r>
      <w:r w:rsidR="00CD2B8D">
        <w:fldChar w:fldCharType="separate"/>
      </w:r>
      <w:r w:rsidR="00EF7C97">
        <w:rPr>
          <w:noProof/>
        </w:rPr>
        <w:t>(19)</w:t>
      </w:r>
      <w:r w:rsidR="00CD2B8D">
        <w:fldChar w:fldCharType="end"/>
      </w:r>
      <w:r w:rsidR="0022116A">
        <w:t>.</w:t>
      </w:r>
      <w:r w:rsidR="00CD2B8D">
        <w:t xml:space="preserve"> </w:t>
      </w:r>
      <w:r>
        <w:t>In Northern Ireland, advertising through GP surgeries, pharmacies, hostels and prisons was recommended to improve public education and awareness</w:t>
      </w:r>
      <w:r w:rsidR="00F40C96">
        <w:t xml:space="preserve"> </w:t>
      </w:r>
      <w:r w:rsidR="00CD2B8D">
        <w:fldChar w:fldCharType="begin"/>
      </w:r>
      <w:r w:rsidR="00EF7C97">
        <w:instrText xml:space="preserve"> ADDIN EN.CITE &lt;EndNote&gt;&lt;Cite&gt;&lt;Author&gt;Shorter&lt;/Author&gt;&lt;Year&gt;2016&lt;/Year&gt;&lt;RecNum&gt;68&lt;/RecNum&gt;&lt;DisplayText&gt;(19, 24)&lt;/DisplayText&gt;&lt;record&gt;&lt;rec-number&gt;68&lt;/rec-number&gt;&lt;foreign-keys&gt;&lt;key app="EN" db-id="p00v9zw27zzswpe25phxpead0asdt50td92p" timestamp="1625462035"&gt;68&lt;/key&gt;&lt;/foreign-keys&gt;&lt;ref-type name="Report"&gt;27&lt;/ref-type&gt;&lt;contributors&gt;&lt;authors&gt;&lt;author&gt;Shorter, Gillian W&lt;/author&gt;&lt;author&gt;Bingham, T&lt;/author&gt;&lt;/authors&gt;&lt;/contributors&gt;&lt;titles&gt;&lt;title&gt;An evaluation of the Take Home Naloxone programme in Northern Ireland: Consultation with service users and service providers&lt;/title&gt;&lt;/titles&gt;&lt;dates&gt;&lt;year&gt;2016&lt;/year&gt;&lt;/dates&gt;&lt;pub-location&gt;Belfast&lt;/pub-location&gt;&lt;publisher&gt;Public Health Agency&lt;/publisher&gt;&lt;urls&gt;&lt;related-urls&gt;&lt;url&gt;https://pure.ulster.ac.uk/ws/portalfiles/portal/11609673/Naloxone+service+evaluation+final+report+Feb+2016.pdf&lt;/url&gt;&lt;/related-urls&gt;&lt;/urls&gt;&lt;/record&gt;&lt;/Cite&gt;&lt;Cite&gt;&lt;Author&gt;Ronconi&lt;/Author&gt;&lt;Year&gt;2017&lt;/Year&gt;&lt;RecNum&gt;31&lt;/RecNum&gt;&lt;record&gt;&lt;rec-number&gt;31&lt;/rec-number&gt;&lt;foreign-keys&gt;&lt;key app="EN" db-id="p00v9zw27zzswpe25phxpead0asdt50td92p" timestamp="1625195281"&gt;31&lt;/key&gt;&lt;/foreign-keys&gt;&lt;ref-type name="Report"&gt;27&lt;/ref-type&gt;&lt;contributors&gt;&lt;authors&gt;&lt;author&gt;Ronconi, S., Beccaria, F., Camposeragna, A., Rolando, S., Nencini, P. and&lt;/author&gt;&lt;author&gt;Jarre, P.&lt;/author&gt;&lt;/authors&gt;&lt;tertiary-authors&gt;&lt;author&gt;Forum Droghe&lt;/author&gt;&lt;/tertiary-authors&gt;&lt;/contributors&gt;&lt;titles&gt;&lt;title&gt;Preventing opioid deaths. A research on the Italian naloxone destribution model - 2016&lt;/title&gt;&lt;/titles&gt;&lt;dates&gt;&lt;year&gt;2017&lt;/year&gt;&lt;/dates&gt;&lt;urls&gt;&lt;related-urls&gt;&lt;url&gt;http://idpc.net/publications/2017/02/preventing-opioid-overdose-deaths-research-on-the-italian-naloxone-distribution-model&lt;/url&gt;&lt;/related-urls&gt;&lt;/urls&gt;&lt;/record&gt;&lt;/Cite&gt;&lt;/EndNote&gt;</w:instrText>
      </w:r>
      <w:r w:rsidR="00CD2B8D">
        <w:fldChar w:fldCharType="separate"/>
      </w:r>
      <w:r w:rsidR="00EF7C97">
        <w:rPr>
          <w:noProof/>
        </w:rPr>
        <w:t>(19, 24)</w:t>
      </w:r>
      <w:r w:rsidR="00CD2B8D">
        <w:fldChar w:fldCharType="end"/>
      </w:r>
      <w:r w:rsidR="00F40C96">
        <w:t>.</w:t>
      </w:r>
      <w:r w:rsidR="00CD2B8D">
        <w:t xml:space="preserve"> </w:t>
      </w:r>
      <w:r>
        <w:t xml:space="preserve">In Northern Ireland, advertising through GP surgeries, pharmacies, hostels and prisons was recommended to improve public education and awareness </w:t>
      </w:r>
      <w:r w:rsidR="00CD2B8D">
        <w:fldChar w:fldCharType="begin"/>
      </w:r>
      <w:r w:rsidR="00EF7C97">
        <w:instrText xml:space="preserve"> ADDIN EN.CITE &lt;EndNote&gt;&lt;Cite&gt;&lt;Author&gt;Shorter&lt;/Author&gt;&lt;Year&gt;2016&lt;/Year&gt;&lt;RecNum&gt;68&lt;/RecNum&gt;&lt;DisplayText&gt;(24)&lt;/DisplayText&gt;&lt;record&gt;&lt;rec-number&gt;68&lt;/rec-number&gt;&lt;foreign-keys&gt;&lt;key app="EN" db-id="p00v9zw27zzswpe25phxpead0asdt50td92p" timestamp="1625462035"&gt;68&lt;/key&gt;&lt;/foreign-keys&gt;&lt;ref-type name="Report"&gt;27&lt;/ref-type&gt;&lt;contributors&gt;&lt;authors&gt;&lt;author&gt;Shorter, Gillian W&lt;/author&gt;&lt;author&gt;Bingham, T&lt;/author&gt;&lt;/authors&gt;&lt;/contributors&gt;&lt;titles&gt;&lt;title&gt;An evaluation of the Take Home Naloxone programme in Northern Ireland: Consultation with service users and service providers&lt;/title&gt;&lt;/titles&gt;&lt;dates&gt;&lt;year&gt;2016&lt;/year&gt;&lt;/dates&gt;&lt;pub-location&gt;Belfast&lt;/pub-location&gt;&lt;publisher&gt;Public Health Agency&lt;/publisher&gt;&lt;urls&gt;&lt;related-urls&gt;&lt;url&gt;https://pure.ulster.ac.uk/ws/portalfiles/portal/11609673/Naloxone+service+evaluation+final+report+Feb+2016.pdf&lt;/url&gt;&lt;/related-urls&gt;&lt;/urls&gt;&lt;/record&gt;&lt;/Cite&gt;&lt;/EndNote&gt;</w:instrText>
      </w:r>
      <w:r w:rsidR="00CD2B8D">
        <w:fldChar w:fldCharType="separate"/>
      </w:r>
      <w:r w:rsidR="00EF7C97">
        <w:rPr>
          <w:noProof/>
        </w:rPr>
        <w:t>(24)</w:t>
      </w:r>
      <w:r w:rsidR="00CD2B8D">
        <w:fldChar w:fldCharType="end"/>
      </w:r>
      <w:r w:rsidR="00F40C96">
        <w:t>.</w:t>
      </w:r>
    </w:p>
    <w:p w14:paraId="058EF5B6" w14:textId="6823CB78" w:rsidR="00CA5EEA" w:rsidRDefault="00CA5EEA" w:rsidP="00985584">
      <w:pPr>
        <w:pStyle w:val="NbrHeading4"/>
      </w:pPr>
      <w:r>
        <w:t>Australian THN programs prior to the PBS-Subsidised THN Pilot</w:t>
      </w:r>
    </w:p>
    <w:p w14:paraId="5874EC0E" w14:textId="39BAF9BF" w:rsidR="00CA5EEA" w:rsidRDefault="00CA5EEA" w:rsidP="00E30F22">
      <w:pPr>
        <w:pStyle w:val="BodyText"/>
        <w:spacing w:line="260" w:lineRule="exact"/>
      </w:pPr>
      <w:r>
        <w:t xml:space="preserve">The first Australian THN program was introduced in the ACT in 2011. Since then, programs varying in scope, duration and focus have been established in each State and Territory. </w:t>
      </w:r>
      <w:r w:rsidRPr="008F1462">
        <w:t>A summary of THN programs in Australia</w:t>
      </w:r>
      <w:r w:rsidR="006E030C">
        <w:t>, outside of the THN Pilot,</w:t>
      </w:r>
      <w:r w:rsidRPr="008F1462">
        <w:t xml:space="preserve"> can be found in Appendix </w:t>
      </w:r>
      <w:r w:rsidR="007C6825">
        <w:t>B</w:t>
      </w:r>
      <w:r w:rsidRPr="008F1462">
        <w:t>.</w:t>
      </w:r>
    </w:p>
    <w:p w14:paraId="1890C3FC" w14:textId="142B3958" w:rsidR="00CA5EEA" w:rsidRDefault="00FA08B9" w:rsidP="00E30F22">
      <w:pPr>
        <w:pStyle w:val="BodyText"/>
        <w:spacing w:line="260" w:lineRule="exact"/>
      </w:pPr>
      <w:r>
        <w:lastRenderedPageBreak/>
        <w:t>A review of</w:t>
      </w:r>
      <w:r w:rsidR="00CA5EEA">
        <w:t xml:space="preserve"> evaluations of Australian THN programs prior to the </w:t>
      </w:r>
      <w:r w:rsidR="00C17721">
        <w:t xml:space="preserve">2019 </w:t>
      </w:r>
      <w:r w:rsidR="00CA5EEA">
        <w:t>PBS-subsidised THN Pilot show</w:t>
      </w:r>
      <w:r>
        <w:t>s</w:t>
      </w:r>
      <w:r w:rsidR="00CA5EEA">
        <w:t xml:space="preserve"> that THN programs were effective in increasing appropriate responses to opioid overdoses</w:t>
      </w:r>
      <w:r w:rsidR="00F359CF">
        <w:t xml:space="preserve"> </w:t>
      </w:r>
      <w:r w:rsidR="00CD2B8D">
        <w:fldChar w:fldCharType="begin"/>
      </w:r>
      <w:r w:rsidR="00EF7C97">
        <w:instrText xml:space="preserve"> ADDIN EN.CITE &lt;EndNote&gt;&lt;Cite&gt;&lt;Author&gt;Dietze&lt;/Author&gt;&lt;Year&gt;2018&lt;/Year&gt;&lt;RecNum&gt;43&lt;/RecNum&gt;&lt;DisplayText&gt;(26)&lt;/DisplayText&gt;&lt;record&gt;&lt;rec-number&gt;43&lt;/rec-number&gt;&lt;foreign-keys&gt;&lt;key app="EN" db-id="p00v9zw27zzswpe25phxpead0asdt50td92p" timestamp="1625447436"&gt;43&lt;/key&gt;&lt;/foreign-keys&gt;&lt;ref-type name="Journal Article"&gt;17&lt;/ref-type&gt;&lt;contributors&gt;&lt;authors&gt;&lt;author&gt;Dietze, Paul M&lt;/author&gt;&lt;author&gt;Draper, Bridget&lt;/author&gt;&lt;author&gt;Olsen, Anna&lt;/author&gt;&lt;author&gt;Chronister, Karen J&lt;/author&gt;&lt;author&gt;van Beek, Ingrid&lt;/author&gt;&lt;author&gt;Lintzeris, Nicholas&lt;/author&gt;&lt;author&gt;Dwyer, Robyn&lt;/author&gt;&lt;author&gt;Nelson, Marina&lt;/author&gt;&lt;author&gt;Lenton, Simon&lt;/author&gt;&lt;/authors&gt;&lt;/contributors&gt;&lt;titles&gt;&lt;title&gt;Does training people to administer take</w:instrText>
      </w:r>
      <w:r w:rsidR="00EF7C97">
        <w:rPr>
          <w:rFonts w:ascii="Cambria Math" w:hAnsi="Cambria Math" w:cs="Cambria Math"/>
        </w:rPr>
        <w:instrText>‐</w:instrText>
      </w:r>
      <w:r w:rsidR="00EF7C97">
        <w:instrText>home naloxone increase their knowledge? Evidence from Australian programs&lt;/title&gt;&lt;secondary-title&gt;Drug and Alcohol Review&lt;/secondary-title&gt;&lt;/titles&gt;&lt;periodical&gt;&lt;full-title&gt;Drug and alcohol review&lt;/full-title&gt;&lt;/periodical&gt;&lt;pages&gt;472-479&lt;/pages&gt;&lt;volume&gt;37&lt;/volume&gt;&lt;number&gt;4&lt;/number&gt;&lt;dates&gt;&lt;year&gt;2018&lt;/year&gt;&lt;/dates&gt;&lt;isbn&gt;0959-5236&lt;/isbn&gt;&lt;urls&gt;&lt;/urls&gt;&lt;/record&gt;&lt;/Cite&gt;&lt;/EndNote&gt;</w:instrText>
      </w:r>
      <w:r w:rsidR="00CD2B8D">
        <w:fldChar w:fldCharType="separate"/>
      </w:r>
      <w:r w:rsidR="00EF7C97">
        <w:rPr>
          <w:noProof/>
        </w:rPr>
        <w:t>(26)</w:t>
      </w:r>
      <w:r w:rsidR="00CD2B8D">
        <w:fldChar w:fldCharType="end"/>
      </w:r>
      <w:r w:rsidR="00F359CF">
        <w:t>.</w:t>
      </w:r>
      <w:r w:rsidR="00CA5EEA">
        <w:t xml:space="preserve"> We identified </w:t>
      </w:r>
      <w:proofErr w:type="gramStart"/>
      <w:r w:rsidR="00CA5EEA">
        <w:t>a number of</w:t>
      </w:r>
      <w:proofErr w:type="gramEnd"/>
      <w:r w:rsidR="00CA5EEA">
        <w:t xml:space="preserve"> themes across evaluations of those programs</w:t>
      </w:r>
      <w:r w:rsidR="007F7E42">
        <w:t xml:space="preserve"> that may be considered for this evaluation</w:t>
      </w:r>
      <w:r w:rsidR="00D971B1">
        <w:t>, discussed below</w:t>
      </w:r>
      <w:r w:rsidR="00CA5EEA">
        <w:t>.</w:t>
      </w:r>
    </w:p>
    <w:p w14:paraId="04BB476F" w14:textId="77777777" w:rsidR="00CA5EEA" w:rsidRPr="00B776F4" w:rsidRDefault="00CA5EEA" w:rsidP="00985584">
      <w:pPr>
        <w:pStyle w:val="NbrHeading5"/>
      </w:pPr>
      <w:r>
        <w:t>Multiple s</w:t>
      </w:r>
      <w:r w:rsidRPr="00B776F4">
        <w:t>ettings</w:t>
      </w:r>
      <w:r>
        <w:t xml:space="preserve"> are viable</w:t>
      </w:r>
    </w:p>
    <w:p w14:paraId="1FB0193C" w14:textId="6238B339" w:rsidR="00CA5EEA" w:rsidRDefault="00CA5EEA" w:rsidP="00E30F22">
      <w:pPr>
        <w:pStyle w:val="BodyText"/>
        <w:spacing w:line="260" w:lineRule="exact"/>
      </w:pPr>
      <w:r>
        <w:t xml:space="preserve">Evaluations of THN programs in the ACT, NSW, </w:t>
      </w:r>
      <w:proofErr w:type="gramStart"/>
      <w:r>
        <w:t>Victoria</w:t>
      </w:r>
      <w:proofErr w:type="gramEnd"/>
      <w:r>
        <w:t xml:space="preserve"> and WA have found that naloxone can be safely and appropriately distributed in both medical and non-medical (including justice) settings within an Australian context</w:t>
      </w:r>
      <w:r w:rsidR="00F359CF">
        <w:t xml:space="preserve"> </w:t>
      </w:r>
      <w:r w:rsidR="00203FFF">
        <w:fldChar w:fldCharType="begin">
          <w:fldData xml:space="preserve">PEVuZE5vdGU+PENpdGU+PEF1dGhvcj5DaHJvbmlzdGVyPC9BdXRob3I+PFllYXI+MjAxODwvWWVh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</w:fldData>
        </w:fldChar>
      </w:r>
      <w:r w:rsidR="00EF7C97">
        <w:instrText xml:space="preserve"> ADDIN EN.CITE </w:instrText>
      </w:r>
      <w:r w:rsidR="00EF7C97">
        <w:fldChar w:fldCharType="begin">
          <w:fldData xml:space="preserve">PEVuZE5vdGU+PENpdGU+PEF1dGhvcj5DaHJvbmlzdGVyPC9BdXRob3I+PFllYXI+MjAxODwvWWVh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</w:fldData>
        </w:fldChar>
      </w:r>
      <w:r w:rsidR="00EF7C97">
        <w:instrText xml:space="preserve"> ADDIN EN.CITE.DATA </w:instrText>
      </w:r>
      <w:r w:rsidR="00EF7C97">
        <w:fldChar w:fldCharType="end"/>
      </w:r>
      <w:r w:rsidR="00203FFF">
        <w:fldChar w:fldCharType="separate"/>
      </w:r>
      <w:r w:rsidR="00EF7C97">
        <w:rPr>
          <w:noProof/>
        </w:rPr>
        <w:t>(26-31)</w:t>
      </w:r>
      <w:r w:rsidR="00203FFF">
        <w:fldChar w:fldCharType="end"/>
      </w:r>
      <w:r w:rsidR="00F359CF">
        <w:t xml:space="preserve">. </w:t>
      </w:r>
    </w:p>
    <w:p w14:paraId="41C4D735" w14:textId="1F71507F" w:rsidR="00CA5EEA" w:rsidRDefault="00CA5EEA" w:rsidP="00E30F22">
      <w:pPr>
        <w:pStyle w:val="BodyText"/>
        <w:spacing w:line="260" w:lineRule="exact"/>
      </w:pPr>
      <w:r>
        <w:t xml:space="preserve">THN programs across Australia have also looked to innovative methods of distributing naloxone, with the WA Peer Naloxone Education Project </w:t>
      </w:r>
      <w:r w:rsidR="00414517">
        <w:t>(2013-2015</w:t>
      </w:r>
      <w:r>
        <w:t xml:space="preserve">) offering brief </w:t>
      </w:r>
      <w:r w:rsidR="00181F0E">
        <w:t>intervention/</w:t>
      </w:r>
      <w:r>
        <w:t xml:space="preserve">education and postal THN supply, and the </w:t>
      </w:r>
      <w:r w:rsidR="00DF62B5">
        <w:t xml:space="preserve">long-standing </w:t>
      </w:r>
      <w:r w:rsidR="00A426D6">
        <w:t xml:space="preserve">program </w:t>
      </w:r>
      <w:r w:rsidR="00B47A83">
        <w:t xml:space="preserve">run in the ACT by the </w:t>
      </w:r>
      <w:r>
        <w:t xml:space="preserve">Canberra Alliance for Harm Minimisation and Advocacy (CAHMA) </w:t>
      </w:r>
      <w:r w:rsidR="00B47A83">
        <w:t>now</w:t>
      </w:r>
      <w:r>
        <w:t xml:space="preserve"> (2021) offering THN delivery and brief intervention at the client’s home or another location</w:t>
      </w:r>
      <w:r w:rsidR="00F359CF">
        <w:t xml:space="preserve"> </w:t>
      </w:r>
      <w:r w:rsidR="009614C1">
        <w:fldChar w:fldCharType="begin"/>
      </w:r>
      <w:r w:rsidR="00441C1C">
        <w:instrText xml:space="preserve"> ADDIN EN.CITE &lt;EndNote&gt;&lt;Cite&gt;&lt;Author&gt;Canberra Alliance for Harm Minimisation and Advocacy [CAHMA]&lt;/Author&gt;&lt;Year&gt;n.d.&lt;/Year&gt;&lt;RecNum&gt;71&lt;/RecNum&gt;&lt;DisplayText&gt;(32, 33)&lt;/DisplayText&gt;&lt;record&gt;&lt;rec-number&gt;71&lt;/rec-number&gt;&lt;foreign-keys&gt;&lt;key app="EN" db-id="p00v9zw27zzswpe25phxpead0asdt50td92p" timestamp="1625715403"&gt;71&lt;/key&gt;&lt;/foreign-keys&gt;&lt;ref-type name="Report"&gt;27&lt;/ref-type&gt;&lt;contributors&gt;&lt;authors&gt;&lt;author&gt;Canberra Alliance for Harm Minimisation and Advocacy [CAHMA],&lt;/author&gt;&lt;/authors&gt;&lt;/contributors&gt;&lt;titles&gt;&lt;title&gt;NALOXONE CAHMA&amp;apos;s Opioid Overdose Prevention and Management Program&lt;/title&gt;&lt;/titles&gt;&lt;dates&gt;&lt;year&gt;n.d.&lt;/year&gt;&lt;/dates&gt;&lt;urls&gt;&lt;related-urls&gt;&lt;url&gt;https://cahma.org.au/Naloxone.html&lt;/url&gt;&lt;/related-urls&gt;&lt;/urls&gt;&lt;/record&gt;&lt;/Cite&gt;&lt;Cite&gt;&lt;Author&gt;Nelson&lt;/Author&gt;&lt;Year&gt;2016&lt;/Year&gt;&lt;RecNum&gt;75&lt;/RecNum&gt;&lt;record&gt;&lt;rec-number&gt;75&lt;/rec-number&gt;&lt;foreign-keys&gt;&lt;key app="EN" db-id="p00v9zw27zzswpe25phxpead0asdt50td92p" timestamp="1625730669"&gt;75&lt;/key&gt;&lt;/foreign-keys&gt;&lt;ref-type name="Report"&gt;27&lt;/ref-type&gt;&lt;contributors&gt;&lt;authors&gt;&lt;author&gt;Nelson, Marina&lt;/author&gt;&lt;author&gt;Lenton, Simon&lt;/author&gt;&lt;author&gt;Dietze, Paul&lt;/author&gt;&lt;author&gt;Olsen, Anna&lt;/author&gt;&lt;author&gt;Agramunt, Seraina&lt;/author&gt;&lt;/authors&gt;&lt;/contributors&gt;&lt;titles&gt;&lt;title&gt;Evaluation of the WA peer naloxone project–final report&lt;/title&gt;&lt;/titles&gt;&lt;dates&gt;&lt;year&gt;2016&lt;/year&gt;&lt;/dates&gt;&lt;pub-location&gt;Perth, Western Australia&lt;/pub-location&gt;&lt;publisher&gt;National Drug Research Institute, Curtin University&lt;/publisher&gt;&lt;urls&gt;&lt;related-urls&gt;&lt;url&gt;https://ndri.curtin.edu.au/ndri/media/documents/publications/T249.pdf&lt;/url&gt;&lt;/related-urls&gt;&lt;/urls&gt;&lt;/record&gt;&lt;/Cite&gt;&lt;/EndNote&gt;</w:instrText>
      </w:r>
      <w:r w:rsidR="009614C1">
        <w:fldChar w:fldCharType="separate"/>
      </w:r>
      <w:r w:rsidR="00441C1C">
        <w:rPr>
          <w:noProof/>
        </w:rPr>
        <w:t>(32, 33)</w:t>
      </w:r>
      <w:r w:rsidR="009614C1">
        <w:fldChar w:fldCharType="end"/>
      </w:r>
      <w:r w:rsidR="00F359CF">
        <w:t>.</w:t>
      </w:r>
    </w:p>
    <w:p w14:paraId="3780DFE0" w14:textId="77777777" w:rsidR="00CA5EEA" w:rsidRPr="00B776F4" w:rsidRDefault="00CA5EEA" w:rsidP="00985584">
      <w:pPr>
        <w:pStyle w:val="NbrHeading5"/>
      </w:pPr>
      <w:r w:rsidRPr="00B776F4">
        <w:t>Funding challenges</w:t>
      </w:r>
    </w:p>
    <w:p w14:paraId="6619631F" w14:textId="535834E3" w:rsidR="00CA5EEA" w:rsidRDefault="00CA5EEA" w:rsidP="00E30F22">
      <w:pPr>
        <w:pStyle w:val="BodyText"/>
      </w:pPr>
      <w:r>
        <w:t>While some state programs have since secured ongoing funding from their respective governments (e.g., ACT and Victoria), many THN access sites received no additional funding for supplying THN, instead using existing resources and redirecting resources from existing budgets</w:t>
      </w:r>
      <w:r w:rsidR="00F34C6B">
        <w:t xml:space="preserve">. </w:t>
      </w:r>
      <w:r w:rsidR="008F7353">
        <w:t>The evaluation of the ACT program noted that purchase of naloxone accounted for less than one-fifth of the program delivery costs, with personnel costs playing a significant role</w:t>
      </w:r>
      <w:r w:rsidR="00F359CF">
        <w:t xml:space="preserve"> </w:t>
      </w:r>
      <w:r w:rsidR="00B4094D">
        <w:fldChar w:fldCharType="begin"/>
      </w:r>
      <w:r w:rsidR="00EF7C97">
        <w:instrText xml:space="preserve"> ADDIN EN.CITE &lt;EndNote&gt;&lt;Cite&gt;&lt;Author&gt;Dwyer&lt;/Author&gt;&lt;Year&gt;2018&lt;/Year&gt;&lt;RecNum&gt;36&lt;/RecNum&gt;&lt;DisplayText&gt;(28, 34)&lt;/DisplayText&gt;&lt;record&gt;&lt;rec-number&gt;36&lt;/rec-number&gt;&lt;foreign-keys&gt;&lt;key app="EN" db-id="p00v9zw27zzswpe25phxpead0asdt50td92p" timestamp="1625446824"&gt;36&lt;/key&gt;&lt;/foreign-keys&gt;&lt;ref-type name="Journal Article"&gt;17&lt;/ref-type&gt;&lt;contributors&gt;&lt;authors&gt;&lt;author&gt;Dwyer, Robyn&lt;/author&gt;&lt;author&gt;Olsen, Anna&lt;/author&gt;&lt;author&gt;Fowlie, Carrie&lt;/author&gt;&lt;author&gt;Gough, Chris&lt;/author&gt;&lt;author&gt;van Beek, Ingrid&lt;/author&gt;&lt;author&gt;Jauncey, Marianne&lt;/author&gt;&lt;author&gt;Lintzeris, Nicholas&lt;/author&gt;&lt;author&gt;Oh, Grace&lt;/author&gt;&lt;author&gt;Dicka, Jane&lt;/author&gt;&lt;author&gt;Fry, Craig L&lt;/author&gt;&lt;/authors&gt;&lt;/contributors&gt;&lt;titles&gt;&lt;title&gt;An overview of take</w:instrText>
      </w:r>
      <w:r w:rsidR="00EF7C97">
        <w:rPr>
          <w:rFonts w:ascii="Cambria Math" w:hAnsi="Cambria Math" w:cs="Cambria Math"/>
        </w:rPr>
        <w:instrText>‐</w:instrText>
      </w:r>
      <w:r w:rsidR="00EF7C97">
        <w:instrText>home naloxone programs in Australia&lt;/title&gt;&lt;secondary-title&gt;Drug and Alcohol Review&lt;/secondary-title&gt;&lt;/titles&gt;&lt;periodical&gt;&lt;full-title&gt;Drug and alcohol review&lt;/full-title&gt;&lt;/periodical&gt;&lt;pages&gt;440-449&lt;/pages&gt;&lt;volume&gt;37&lt;/volume&gt;&lt;number&gt;4&lt;/number&gt;&lt;dates&gt;&lt;year&gt;2018&lt;/year&gt;&lt;/dates&gt;&lt;isbn&gt;0959-5236&lt;/isbn&gt;&lt;urls&gt;&lt;/urls&gt;&lt;/record&gt;&lt;/Cite&gt;&lt;Cite&gt;&lt;Author&gt;Olsen&lt;/Author&gt;&lt;Year&gt;2015&lt;/Year&gt;&lt;RecNum&gt;70&lt;/RecNum&gt;&lt;record&gt;&lt;rec-number&gt;70&lt;/rec-number&gt;&lt;foreign-keys&gt;&lt;key app="EN" db-id="p00v9zw27zzswpe25phxpead0asdt50td92p" timestamp="1625710868"&gt;70&lt;/key&gt;&lt;/foreign-keys&gt;&lt;ref-type name="Journal Article"&gt;17&lt;/ref-type&gt;&lt;contributors&gt;&lt;authors&gt;&lt;author&gt;Olsen, A&lt;/author&gt;&lt;author&gt;McDonald, D&lt;/author&gt;&lt;author&gt;Lenton, Simon&lt;/author&gt;&lt;author&gt;Dietze, P&lt;/author&gt;&lt;/authors&gt;&lt;/contributors&gt;&lt;titles&gt;&lt;title&gt;Independent evaluation of the&amp;apos;Implementing Expanded Naloxone Availability in the ACT (I-ENAACT) Program, 2011-2014&lt;/title&gt;&lt;/titles&gt;&lt;dates&gt;&lt;year&gt;2015&lt;/year&gt;&lt;/dates&gt;&lt;urls&gt;&lt;/urls&gt;&lt;/record&gt;&lt;/Cite&gt;&lt;/EndNote&gt;</w:instrText>
      </w:r>
      <w:r w:rsidR="00B4094D">
        <w:fldChar w:fldCharType="separate"/>
      </w:r>
      <w:r w:rsidR="00EF7C97">
        <w:rPr>
          <w:noProof/>
        </w:rPr>
        <w:t>(28, 34)</w:t>
      </w:r>
      <w:r w:rsidR="00B4094D">
        <w:fldChar w:fldCharType="end"/>
      </w:r>
      <w:r w:rsidR="00F359CF">
        <w:t>.</w:t>
      </w:r>
      <w:r>
        <w:t xml:space="preserve"> </w:t>
      </w:r>
    </w:p>
    <w:p w14:paraId="76FC98CA" w14:textId="77777777" w:rsidR="00CA5EEA" w:rsidRPr="00B776F4" w:rsidRDefault="00CA5EEA" w:rsidP="00985584">
      <w:pPr>
        <w:pStyle w:val="NbrHeading5"/>
      </w:pPr>
      <w:r w:rsidRPr="00B776F4">
        <w:t>Training and education for naloxone recipients</w:t>
      </w:r>
    </w:p>
    <w:p w14:paraId="537E793D" w14:textId="57A96BBD" w:rsidR="00CA5EEA" w:rsidRDefault="00CA5EEA" w:rsidP="00E30F22">
      <w:pPr>
        <w:pStyle w:val="BodyText"/>
      </w:pPr>
      <w:r>
        <w:t>Across the ACT, NSW</w:t>
      </w:r>
      <w:r w:rsidR="00047165">
        <w:t xml:space="preserve"> (prior to the Pilot)</w:t>
      </w:r>
      <w:r>
        <w:t>, Victoria and QLD, training which lasted between 30 minutes and 2 hours depending on jurisdiction was deemed too lengthy, with a brief intervention model of between 10 and 20 minutes recommended and implemented in many jurisdictions</w:t>
      </w:r>
      <w:r w:rsidR="00F359CF">
        <w:t xml:space="preserve"> </w:t>
      </w:r>
      <w:r w:rsidR="00B4094D">
        <w:fldChar w:fldCharType="begin"/>
      </w:r>
      <w:r w:rsidR="00EF7C97">
        <w:instrText xml:space="preserve"> ADDIN EN.CITE &lt;EndNote&gt;&lt;Cite&gt;&lt;Author&gt;Dwyer&lt;/Author&gt;&lt;Year&gt;2018&lt;/Year&gt;&lt;RecNum&gt;36&lt;/RecNum&gt;&lt;DisplayText&gt;(28, 34)&lt;/DisplayText&gt;&lt;record&gt;&lt;rec-number&gt;36&lt;/rec-number&gt;&lt;foreign-keys&gt;&lt;key app="EN" db-id="p00v9zw27zzswpe25phxpead0asdt50td92p" timestamp="1625446824"&gt;36&lt;/key&gt;&lt;/foreign-keys&gt;&lt;ref-type name="Journal Article"&gt;17&lt;/ref-type&gt;&lt;contributors&gt;&lt;authors&gt;&lt;author&gt;Dwyer, Robyn&lt;/author&gt;&lt;author&gt;Olsen, Anna&lt;/author&gt;&lt;author&gt;Fowlie, Carrie&lt;/author&gt;&lt;author&gt;Gough, Chris&lt;/author&gt;&lt;author&gt;van Beek, Ingrid&lt;/author&gt;&lt;author&gt;Jauncey, Marianne&lt;/author&gt;&lt;author&gt;Lintzeris, Nicholas&lt;/author&gt;&lt;author&gt;Oh, Grace&lt;/author&gt;&lt;author&gt;Dicka, Jane&lt;/author&gt;&lt;author&gt;Fry, Craig L&lt;/author&gt;&lt;/authors&gt;&lt;/contributors&gt;&lt;titles&gt;&lt;title&gt;An overview of take</w:instrText>
      </w:r>
      <w:r w:rsidR="00EF7C97">
        <w:rPr>
          <w:rFonts w:ascii="Cambria Math" w:hAnsi="Cambria Math" w:cs="Cambria Math"/>
        </w:rPr>
        <w:instrText>‐</w:instrText>
      </w:r>
      <w:r w:rsidR="00EF7C97">
        <w:instrText>home naloxone programs in Australia&lt;/title&gt;&lt;secondary-title&gt;Drug and Alcohol Review&lt;/secondary-title&gt;&lt;/titles&gt;&lt;periodical&gt;&lt;full-title&gt;Drug and alcohol review&lt;/full-title&gt;&lt;/periodical&gt;&lt;pages&gt;440-449&lt;/pages&gt;&lt;volume&gt;37&lt;/volume&gt;&lt;number&gt;4&lt;/number&gt;&lt;dates&gt;&lt;year&gt;2018&lt;/year&gt;&lt;/dates&gt;&lt;isbn&gt;0959-5236&lt;/isbn&gt;&lt;urls&gt;&lt;/urls&gt;&lt;/record&gt;&lt;/Cite&gt;&lt;Cite&gt;&lt;Author&gt;Olsen&lt;/Author&gt;&lt;Year&gt;2015&lt;/Year&gt;&lt;RecNum&gt;70&lt;/RecNum&gt;&lt;record&gt;&lt;rec-number&gt;70&lt;/rec-number&gt;&lt;foreign-keys&gt;&lt;key app="EN" db-id="p00v9zw27zzswpe25phxpead0asdt50td92p" timestamp="1625710868"&gt;70&lt;/key&gt;&lt;/foreign-keys&gt;&lt;ref-type name="Journal Article"&gt;17&lt;/ref-type&gt;&lt;contributors&gt;&lt;authors&gt;&lt;author&gt;Olsen, A&lt;/author&gt;&lt;author&gt;McDonald, D&lt;/author&gt;&lt;author&gt;Lenton, Simon&lt;/author&gt;&lt;author&gt;Dietze, P&lt;/author&gt;&lt;/authors&gt;&lt;/contributors&gt;&lt;titles&gt;&lt;title&gt;Independent evaluation of the&amp;apos;Implementing Expanded Naloxone Availability in the ACT (I-ENAACT) Program, 2011-2014&lt;/title&gt;&lt;/titles&gt;&lt;dates&gt;&lt;year&gt;2015&lt;/year&gt;&lt;/dates&gt;&lt;urls&gt;&lt;/urls&gt;&lt;/record&gt;&lt;/Cite&gt;&lt;/EndNote&gt;</w:instrText>
      </w:r>
      <w:r w:rsidR="00B4094D">
        <w:fldChar w:fldCharType="separate"/>
      </w:r>
      <w:r w:rsidR="00EF7C97">
        <w:rPr>
          <w:noProof/>
        </w:rPr>
        <w:t>(28, 34)</w:t>
      </w:r>
      <w:r w:rsidR="00B4094D">
        <w:fldChar w:fldCharType="end"/>
      </w:r>
      <w:r w:rsidR="00F359CF">
        <w:t>.</w:t>
      </w:r>
      <w:r>
        <w:t xml:space="preserve"> </w:t>
      </w:r>
      <w:r w:rsidR="00CB1856">
        <w:t xml:space="preserve">This </w:t>
      </w:r>
      <w:r w:rsidR="00824805">
        <w:t xml:space="preserve">applied </w:t>
      </w:r>
      <w:r w:rsidR="00CB1856">
        <w:t xml:space="preserve">for both the injectable and intranasal formulations, with research on the latter showing that </w:t>
      </w:r>
      <w:r w:rsidR="00E0241A">
        <w:t xml:space="preserve">less than </w:t>
      </w:r>
      <w:r w:rsidR="00CB1856">
        <w:t xml:space="preserve">10 minutes training </w:t>
      </w:r>
      <w:r w:rsidR="00824805">
        <w:t xml:space="preserve">could </w:t>
      </w:r>
      <w:r w:rsidR="00CB1856">
        <w:t>be sufficient for successful overdose reversa</w:t>
      </w:r>
      <w:r w:rsidR="00E0241A">
        <w:t>l</w:t>
      </w:r>
      <w:r w:rsidR="00F359CF">
        <w:t xml:space="preserve"> </w:t>
      </w:r>
      <w:r w:rsidR="00F939C2">
        <w:fldChar w:fldCharType="begin">
          <w:fldData xml:space="preserve">PEVuZE5vdGU+PENpdGU+PEF1dGhvcj5Ed3llcjwvQXV0aG9yPjxZZWFyPjIwMTg8L1llYXI+PFJl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</w:fldData>
        </w:fldChar>
      </w:r>
      <w:r w:rsidR="00EF7C97">
        <w:instrText xml:space="preserve"> ADDIN EN.CITE </w:instrText>
      </w:r>
      <w:r w:rsidR="00EF7C97">
        <w:fldChar w:fldCharType="begin">
          <w:fldData xml:space="preserve">PEVuZE5vdGU+PENpdGU+PEF1dGhvcj5Ed3llcjwvQXV0aG9yPjxZZWFyPjIwMTg8L1llYXI+PFJl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</w:fldData>
        </w:fldChar>
      </w:r>
      <w:r w:rsidR="00EF7C97">
        <w:instrText xml:space="preserve"> ADDIN EN.CITE.DATA </w:instrText>
      </w:r>
      <w:r w:rsidR="00EF7C97">
        <w:fldChar w:fldCharType="end"/>
      </w:r>
      <w:r w:rsidR="00F939C2">
        <w:fldChar w:fldCharType="separate"/>
      </w:r>
      <w:r w:rsidR="00EF7C97">
        <w:rPr>
          <w:noProof/>
        </w:rPr>
        <w:t>(25, 34)</w:t>
      </w:r>
      <w:r w:rsidR="00F939C2">
        <w:fldChar w:fldCharType="end"/>
      </w:r>
      <w:r w:rsidR="00F359CF">
        <w:t>.</w:t>
      </w:r>
      <w:r w:rsidR="001D4F3E">
        <w:t xml:space="preserve"> </w:t>
      </w:r>
      <w:r w:rsidR="00C70BB9">
        <w:t xml:space="preserve"> </w:t>
      </w:r>
      <w:r w:rsidR="001411D4">
        <w:t xml:space="preserve">Evaluations from these jurisdictions </w:t>
      </w:r>
      <w:r>
        <w:t>also recommend</w:t>
      </w:r>
      <w:r w:rsidR="00824805">
        <w:t>ed</w:t>
      </w:r>
      <w:r>
        <w:t xml:space="preserve"> that naloxone training and provision should occur across a wide range of formal, informal and opportunistic settings</w:t>
      </w:r>
      <w:r w:rsidR="00F359CF">
        <w:t xml:space="preserve"> </w:t>
      </w:r>
      <w:r w:rsidR="004B0317">
        <w:fldChar w:fldCharType="begin"/>
      </w:r>
      <w:r w:rsidR="00EF7C97">
        <w:instrText xml:space="preserve"> ADDIN EN.CITE &lt;EndNote&gt;&lt;Cite&gt;&lt;Author&gt;Dwyer&lt;/Author&gt;&lt;Year&gt;2018&lt;/Year&gt;&lt;RecNum&gt;36&lt;/RecNum&gt;&lt;DisplayText&gt;(28, 34)&lt;/DisplayText&gt;&lt;record&gt;&lt;rec-number&gt;36&lt;/rec-number&gt;&lt;foreign-keys&gt;&lt;key app="EN" db-id="p00v9zw27zzswpe25phxpead0asdt50td92p" timestamp="1625446824"&gt;36&lt;/key&gt;&lt;/foreign-keys&gt;&lt;ref-type name="Journal Article"&gt;17&lt;/ref-type&gt;&lt;contributors&gt;&lt;authors&gt;&lt;author&gt;Dwyer, Robyn&lt;/author&gt;&lt;author&gt;Olsen, Anna&lt;/author&gt;&lt;author&gt;Fowlie, Carrie&lt;/author&gt;&lt;author&gt;Gough, Chris&lt;/author&gt;&lt;author&gt;van Beek, Ingrid&lt;/author&gt;&lt;author&gt;Jauncey, Marianne&lt;/author&gt;&lt;author&gt;Lintzeris, Nicholas&lt;/author&gt;&lt;author&gt;Oh, Grace&lt;/author&gt;&lt;author&gt;Dicka, Jane&lt;/author&gt;&lt;author&gt;Fry, Craig L&lt;/author&gt;&lt;/authors&gt;&lt;/contributors&gt;&lt;titles&gt;&lt;title&gt;An overview of take</w:instrText>
      </w:r>
      <w:r w:rsidR="00EF7C97">
        <w:rPr>
          <w:rFonts w:ascii="Cambria Math" w:hAnsi="Cambria Math" w:cs="Cambria Math"/>
        </w:rPr>
        <w:instrText>‐</w:instrText>
      </w:r>
      <w:r w:rsidR="00EF7C97">
        <w:instrText>home naloxone programs in Australia&lt;/title&gt;&lt;secondary-title&gt;Drug and Alcohol Review&lt;/secondary-title&gt;&lt;/titles&gt;&lt;periodical&gt;&lt;full-title&gt;Drug and alcohol review&lt;/full-title&gt;&lt;/periodical&gt;&lt;pages&gt;440-449&lt;/pages&gt;&lt;volume&gt;37&lt;/volume&gt;&lt;number&gt;4&lt;/number&gt;&lt;dates&gt;&lt;year&gt;2018&lt;/year&gt;&lt;/dates&gt;&lt;isbn&gt;0959-5236&lt;/isbn&gt;&lt;urls&gt;&lt;/urls&gt;&lt;/record&gt;&lt;/Cite&gt;&lt;Cite&gt;&lt;Author&gt;Olsen&lt;/Author&gt;&lt;Year&gt;2015&lt;/Year&gt;&lt;RecNum&gt;70&lt;/RecNum&gt;&lt;record&gt;&lt;rec-number&gt;70&lt;/rec-number&gt;&lt;foreign-keys&gt;&lt;key app="EN" db-id="p00v9zw27zzswpe25phxpead0asdt50td92p" timestamp="1625710868"&gt;70&lt;/key&gt;&lt;/foreign-keys&gt;&lt;ref-type name="Journal Article"&gt;17&lt;/ref-type&gt;&lt;contributors&gt;&lt;authors&gt;&lt;author&gt;Olsen, A&lt;/author&gt;&lt;author&gt;McDonald, D&lt;/author&gt;&lt;author&gt;Lenton, Simon&lt;/author&gt;&lt;author&gt;Dietze, P&lt;/author&gt;&lt;/authors&gt;&lt;/contributors&gt;&lt;titles&gt;&lt;title&gt;Independent evaluation of the&amp;apos;Implementing Expanded Naloxone Availability in the ACT (I-ENAACT) Program, 2011-2014&lt;/title&gt;&lt;/titles&gt;&lt;dates&gt;&lt;year&gt;2015&lt;/year&gt;&lt;/dates&gt;&lt;urls&gt;&lt;/urls&gt;&lt;/record&gt;&lt;/Cite&gt;&lt;/EndNote&gt;</w:instrText>
      </w:r>
      <w:r w:rsidR="004B0317">
        <w:fldChar w:fldCharType="separate"/>
      </w:r>
      <w:r w:rsidR="00EF7C97">
        <w:rPr>
          <w:noProof/>
        </w:rPr>
        <w:t>(28, 34)</w:t>
      </w:r>
      <w:r w:rsidR="004B0317">
        <w:fldChar w:fldCharType="end"/>
      </w:r>
      <w:r w:rsidR="00F359CF">
        <w:t>.</w:t>
      </w:r>
      <w:r w:rsidDel="004B0317">
        <w:t xml:space="preserve"> </w:t>
      </w:r>
      <w:r>
        <w:t>Refresher or follow-up training was recommended to reinforce the education provided, as some knowledge was not retained by participants in the months following</w:t>
      </w:r>
      <w:r w:rsidR="00F359CF">
        <w:t xml:space="preserve"> </w:t>
      </w:r>
      <w:r w:rsidR="004B0317">
        <w:fldChar w:fldCharType="begin">
          <w:fldData xml:space="preserve">PEVuZE5vdGU+PENpdGU+PEF1dGhvcj5DaHJvbmlzdGVyPC9BdXRob3I+PFllYXI+MjAxODwvWWVh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</w:fldData>
        </w:fldChar>
      </w:r>
      <w:r w:rsidR="00EF7C97">
        <w:instrText xml:space="preserve"> ADDIN EN.CITE </w:instrText>
      </w:r>
      <w:r w:rsidR="00EF7C97">
        <w:fldChar w:fldCharType="begin">
          <w:fldData xml:space="preserve">PEVuZE5vdGU+PENpdGU+PEF1dGhvcj5DaHJvbmlzdGVyPC9BdXRob3I+PFllYXI+MjAxODwvWWVh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</w:fldData>
        </w:fldChar>
      </w:r>
      <w:r w:rsidR="00EF7C97">
        <w:instrText xml:space="preserve"> ADDIN EN.CITE.DATA </w:instrText>
      </w:r>
      <w:r w:rsidR="00EF7C97">
        <w:fldChar w:fldCharType="end"/>
      </w:r>
      <w:r w:rsidR="004B0317">
        <w:fldChar w:fldCharType="separate"/>
      </w:r>
      <w:r w:rsidR="00EF7C97">
        <w:rPr>
          <w:noProof/>
        </w:rPr>
        <w:t>(27, 28, 33)</w:t>
      </w:r>
      <w:r w:rsidR="004B0317">
        <w:fldChar w:fldCharType="end"/>
      </w:r>
      <w:r w:rsidR="00F359CF">
        <w:t>.</w:t>
      </w:r>
      <w:r>
        <w:t xml:space="preserve"> </w:t>
      </w:r>
    </w:p>
    <w:p w14:paraId="35FDFCBE" w14:textId="77777777" w:rsidR="00CA5EEA" w:rsidRPr="00B776F4" w:rsidRDefault="00CA5EEA" w:rsidP="00985584">
      <w:pPr>
        <w:pStyle w:val="NbrHeading5"/>
      </w:pPr>
      <w:r w:rsidRPr="00B776F4">
        <w:t>Reinforcement of emergency care as part of overdose responses</w:t>
      </w:r>
    </w:p>
    <w:p w14:paraId="6BD5C7DB" w14:textId="224D3883" w:rsidR="00CA5EEA" w:rsidRDefault="00CA5EEA" w:rsidP="00E30F22">
      <w:pPr>
        <w:pStyle w:val="BodyText"/>
      </w:pPr>
      <w:r>
        <w:t xml:space="preserve">Reluctance to call an ambulance during an overdose event was recorded in evaluations across the ACT, </w:t>
      </w:r>
      <w:proofErr w:type="gramStart"/>
      <w:r>
        <w:t>NSW</w:t>
      </w:r>
      <w:proofErr w:type="gramEnd"/>
      <w:r>
        <w:t xml:space="preserve"> and WA, with concerns including police involvement, drawing attention to </w:t>
      </w:r>
      <w:r w:rsidR="00824805">
        <w:t xml:space="preserve">(illicit) </w:t>
      </w:r>
      <w:r>
        <w:t>drug use or involvement in overdose situation, cost of the ambulance and the witness judging that the individual who had overdosed had recovered</w:t>
      </w:r>
      <w:r w:rsidR="00F359CF">
        <w:t xml:space="preserve"> </w:t>
      </w:r>
      <w:r w:rsidR="007455FE">
        <w:fldChar w:fldCharType="begin">
          <w:fldData xml:space="preserve">PEVuZE5vdGU+PENpdGU+PEF1dGhvcj5PbHNlbjwvQXV0aG9yPjxZZWFyPjIwMTU8L1llYXI+PFJl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</w:fldData>
        </w:fldChar>
      </w:r>
      <w:r w:rsidR="00EF7C97">
        <w:instrText xml:space="preserve"> ADDIN EN.CITE </w:instrText>
      </w:r>
      <w:r w:rsidR="00EF7C97">
        <w:fldChar w:fldCharType="begin">
          <w:fldData xml:space="preserve">PEVuZE5vdGU+PENpdGU+PEF1dGhvcj5PbHNlbjwvQXV0aG9yPjxZZWFyPjIwMTU8L1llYXI+PFJl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</w:fldData>
        </w:fldChar>
      </w:r>
      <w:r w:rsidR="00EF7C97">
        <w:instrText xml:space="preserve"> ADDIN EN.CITE.DATA </w:instrText>
      </w:r>
      <w:r w:rsidR="00EF7C97">
        <w:fldChar w:fldCharType="end"/>
      </w:r>
      <w:r w:rsidR="007455FE">
        <w:fldChar w:fldCharType="separate"/>
      </w:r>
      <w:r w:rsidR="00EF7C97">
        <w:rPr>
          <w:noProof/>
        </w:rPr>
        <w:t>(27, 28, 33)</w:t>
      </w:r>
      <w:r w:rsidR="007455FE">
        <w:fldChar w:fldCharType="end"/>
      </w:r>
      <w:r w:rsidR="00F359CF">
        <w:t>.</w:t>
      </w:r>
      <w:r>
        <w:t xml:space="preserve"> </w:t>
      </w:r>
      <w:bookmarkStart w:id="92" w:name="_Hlk84583541"/>
      <w:r>
        <w:t xml:space="preserve">Training which reinforces the importance of calling an ambulance was identified as a manner to address </w:t>
      </w:r>
      <w:r w:rsidR="00424D5B">
        <w:t>these barriers</w:t>
      </w:r>
      <w:r>
        <w:t xml:space="preserve">, with further </w:t>
      </w:r>
      <w:r w:rsidR="00525D43">
        <w:t>education explicitly addressing</w:t>
      </w:r>
      <w:r>
        <w:t xml:space="preserve"> these concerns also recommended</w:t>
      </w:r>
      <w:r w:rsidR="00F359CF">
        <w:t xml:space="preserve"> </w:t>
      </w:r>
      <w:r w:rsidR="007455FE">
        <w:fldChar w:fldCharType="begin"/>
      </w:r>
      <w:r w:rsidR="00EF7C97">
        <w:instrText xml:space="preserve"> ADDIN EN.CITE &lt;EndNote&gt;&lt;Cite&gt;&lt;Author&gt;Chronister&lt;/Author&gt;&lt;Year&gt;2018&lt;/Year&gt;&lt;RecNum&gt;73&lt;/RecNum&gt;&lt;DisplayText&gt;(27, 28)&lt;/DisplayText&gt;&lt;record&gt;&lt;rec-number&gt;73&lt;/rec-number&gt;&lt;foreign-keys&gt;&lt;key app="EN" db-id="p00v9zw27zzswpe25phxpead0asdt50td92p" timestamp="1625715977"&gt;73&lt;/key&gt;&lt;/foreign-keys&gt;&lt;ref-type name="Journal Article"&gt;17&lt;/ref-type&gt;&lt;contributors&gt;&lt;authors&gt;&lt;author&gt;Chronister, Karen J&lt;/author&gt;&lt;author&gt;Lintzeris, Nicholas&lt;/author&gt;&lt;author&gt;Jackson, Anthony&lt;/author&gt;&lt;author&gt;Ivan, Mihaela&lt;/author&gt;&lt;author&gt;Dietze, Paul M&lt;/author&gt;&lt;author&gt;Lenton, Simon&lt;/author&gt;&lt;author&gt;Kearley, John&lt;/author&gt;&lt;author&gt;van Beek, Ingrid&lt;/author&gt;&lt;/authors&gt;&lt;/contributors&gt;&lt;titles&gt;&lt;title&gt;Findings and lessons learnt from implementing Australia&amp;apos;s first health service based take</w:instrText>
      </w:r>
      <w:r w:rsidR="00EF7C97">
        <w:rPr>
          <w:rFonts w:ascii="Cambria Math" w:hAnsi="Cambria Math" w:cs="Cambria Math"/>
        </w:rPr>
        <w:instrText>‐</w:instrText>
      </w:r>
      <w:r w:rsidR="00EF7C97">
        <w:instrText>home naloxone program&lt;/title&gt;&lt;secondary-title&gt;Drug and Alcohol Review &lt;/secondary-title&gt;&lt;/titles&gt;&lt;pages&gt;464-471&lt;/pages&gt;&lt;volume&gt;37&lt;/volume&gt;&lt;number&gt;4&lt;/number&gt;&lt;dates&gt;&lt;year&gt;2018&lt;/year&gt;&lt;/dates&gt;&lt;isbn&gt;0959-5236&lt;/isbn&gt;&lt;urls&gt;&lt;/urls&gt;&lt;/record&gt;&lt;/Cite&gt;&lt;Cite&gt;&lt;Author&gt;Olsen&lt;/Author&gt;&lt;Year&gt;2015&lt;/Year&gt;&lt;RecNum&gt;70&lt;/RecNum&gt;&lt;record&gt;&lt;rec-number&gt;70&lt;/rec-number&gt;&lt;foreign-keys&gt;&lt;key app="EN" db-id="p00v9zw27zzswpe25phxpead0asdt50td92p" timestamp="1625710868"&gt;70&lt;/key&gt;&lt;/foreign-keys&gt;&lt;ref-type name="Journal Article"&gt;17&lt;/ref-type&gt;&lt;contributors&gt;&lt;authors&gt;&lt;author&gt;Olsen, A&lt;/author&gt;&lt;author&gt;McDonald, D&lt;/author&gt;&lt;author&gt;Lenton, Simon&lt;/author&gt;&lt;author&gt;Dietze, P&lt;/author&gt;&lt;/authors&gt;&lt;/contributors&gt;&lt;titles&gt;&lt;title&gt;Independent evaluation of the&amp;apos;Implementing Expanded Naloxone Availability in the ACT (I-ENAACT) Program, 2011-2014&lt;/title&gt;&lt;/titles&gt;&lt;dates&gt;&lt;year&gt;2015&lt;/year&gt;&lt;/dates&gt;&lt;urls&gt;&lt;/urls&gt;&lt;/record&gt;&lt;/Cite&gt;&lt;/EndNote&gt;</w:instrText>
      </w:r>
      <w:r w:rsidR="007455FE">
        <w:fldChar w:fldCharType="separate"/>
      </w:r>
      <w:r w:rsidR="00EF7C97">
        <w:rPr>
          <w:noProof/>
        </w:rPr>
        <w:t>(27, 28)</w:t>
      </w:r>
      <w:r w:rsidR="007455FE">
        <w:fldChar w:fldCharType="end"/>
      </w:r>
      <w:r w:rsidR="00F359CF">
        <w:t>.</w:t>
      </w:r>
      <w:bookmarkEnd w:id="92"/>
    </w:p>
    <w:p w14:paraId="16385CD5" w14:textId="77777777" w:rsidR="0041690C" w:rsidRPr="000A687F" w:rsidRDefault="0041690C" w:rsidP="000A687F">
      <w:r>
        <w:br w:type="page"/>
      </w:r>
    </w:p>
    <w:p w14:paraId="3FBBB509" w14:textId="46751F23" w:rsidR="00CA5EEA" w:rsidRPr="000E45D7" w:rsidRDefault="00CA5EEA" w:rsidP="00A0570E">
      <w:pPr>
        <w:pStyle w:val="NbrHeading2"/>
      </w:pPr>
      <w:bookmarkStart w:id="93" w:name="_Toc94794095"/>
      <w:bookmarkStart w:id="94" w:name="_Toc94794226"/>
      <w:r w:rsidRPr="000E45D7">
        <w:lastRenderedPageBreak/>
        <w:t>Establishment of the PBS-Subsidised Take Home Naloxone Pilot</w:t>
      </w:r>
      <w:bookmarkEnd w:id="93"/>
      <w:bookmarkEnd w:id="94"/>
    </w:p>
    <w:p w14:paraId="1F1CEF8A" w14:textId="79AA1608" w:rsidR="00CA5EEA" w:rsidRPr="001F03F1" w:rsidRDefault="00CA5EEA" w:rsidP="005307A9">
      <w:pPr>
        <w:pStyle w:val="BodyText"/>
        <w:rPr>
          <w:color w:val="201F1E"/>
          <w:lang w:eastAsia="en-AU"/>
        </w:rPr>
      </w:pPr>
      <w:r w:rsidRPr="001F03F1">
        <w:rPr>
          <w:bdr w:val="none" w:sz="0" w:space="0" w:color="auto" w:frame="1"/>
          <w:lang w:eastAsia="en-AU"/>
        </w:rPr>
        <w:t xml:space="preserve">Prior to the commencement of the THN Pilot on 1 December 2019, naloxone was (and continues to be) available from community pharmacies in all states and territories subsidised under the Pharmaceutical Benefits Scheme (PBS). Naloxone ampoules (sponsored by Juno Pharmaceuticals and Pfizer Australia), pre-filled syringes (sponsored by </w:t>
      </w:r>
      <w:proofErr w:type="spellStart"/>
      <w:r w:rsidRPr="001F03F1">
        <w:rPr>
          <w:bdr w:val="none" w:sz="0" w:space="0" w:color="auto" w:frame="1"/>
          <w:lang w:eastAsia="en-AU"/>
        </w:rPr>
        <w:t>Phebra</w:t>
      </w:r>
      <w:proofErr w:type="spellEnd"/>
      <w:r w:rsidRPr="001F03F1">
        <w:rPr>
          <w:bdr w:val="none" w:sz="0" w:space="0" w:color="auto" w:frame="1"/>
          <w:lang w:eastAsia="en-AU"/>
        </w:rPr>
        <w:t>) and nasal spray</w:t>
      </w:r>
      <w:r w:rsidR="003510BE">
        <w:rPr>
          <w:bdr w:val="none" w:sz="0" w:space="0" w:color="auto" w:frame="1"/>
          <w:lang w:eastAsia="en-AU"/>
        </w:rPr>
        <w:t>s</w:t>
      </w:r>
      <w:r w:rsidRPr="001F03F1">
        <w:rPr>
          <w:bdr w:val="none" w:sz="0" w:space="0" w:color="auto" w:frame="1"/>
          <w:lang w:eastAsia="en-AU"/>
        </w:rPr>
        <w:t xml:space="preserve"> (sponsored by </w:t>
      </w:r>
      <w:proofErr w:type="spellStart"/>
      <w:r w:rsidRPr="001F03F1">
        <w:rPr>
          <w:bdr w:val="none" w:sz="0" w:space="0" w:color="auto" w:frame="1"/>
          <w:lang w:eastAsia="en-AU"/>
        </w:rPr>
        <w:t>Mundipharma</w:t>
      </w:r>
      <w:proofErr w:type="spellEnd"/>
      <w:r w:rsidRPr="001F03F1">
        <w:rPr>
          <w:bdr w:val="none" w:sz="0" w:space="0" w:color="auto" w:frame="1"/>
          <w:lang w:eastAsia="en-AU"/>
        </w:rPr>
        <w:t xml:space="preserve">) are available on the PBS as an unrestricted benefit when prescribed by a medical practitioner or a nurse practitioner. This listing means </w:t>
      </w:r>
      <w:r>
        <w:rPr>
          <w:bdr w:val="none" w:sz="0" w:space="0" w:color="auto" w:frame="1"/>
          <w:lang w:eastAsia="en-AU"/>
        </w:rPr>
        <w:t xml:space="preserve">that </w:t>
      </w:r>
      <w:r w:rsidRPr="001F03F1">
        <w:rPr>
          <w:bdr w:val="none" w:sz="0" w:space="0" w:color="auto" w:frame="1"/>
          <w:lang w:eastAsia="en-AU"/>
        </w:rPr>
        <w:t>in 2021</w:t>
      </w:r>
      <w:r>
        <w:rPr>
          <w:bdr w:val="none" w:sz="0" w:space="0" w:color="auto" w:frame="1"/>
          <w:lang w:eastAsia="en-AU"/>
        </w:rPr>
        <w:t>,</w:t>
      </w:r>
      <w:r w:rsidRPr="001F03F1">
        <w:rPr>
          <w:bdr w:val="none" w:sz="0" w:space="0" w:color="auto" w:frame="1"/>
          <w:lang w:eastAsia="en-AU"/>
        </w:rPr>
        <w:t xml:space="preserve"> patients with a PBS prescription for naloxone pay a maximum co-payment of $41.30 per script (providing five ampoules, or one pre-filled syringe or two nasal sprays), with concessional patients paying $6.60.</w:t>
      </w:r>
      <w:r>
        <w:rPr>
          <w:bdr w:val="none" w:sz="0" w:space="0" w:color="auto" w:frame="1"/>
          <w:lang w:eastAsia="en-AU"/>
        </w:rPr>
        <w:t xml:space="preserve"> </w:t>
      </w:r>
      <w:r w:rsidRPr="001F03F1">
        <w:rPr>
          <w:bdr w:val="none" w:sz="0" w:space="0" w:color="auto" w:frame="1"/>
          <w:lang w:eastAsia="en-AU"/>
        </w:rPr>
        <w:t xml:space="preserve">As naloxone is a Schedule 3 </w:t>
      </w:r>
      <w:r w:rsidR="1D2267F4" w:rsidRPr="001F03F1">
        <w:rPr>
          <w:bdr w:val="none" w:sz="0" w:space="0" w:color="auto" w:frame="1"/>
          <w:lang w:eastAsia="en-AU"/>
        </w:rPr>
        <w:t>‘P</w:t>
      </w:r>
      <w:r w:rsidRPr="001F03F1">
        <w:rPr>
          <w:bdr w:val="none" w:sz="0" w:space="0" w:color="auto" w:frame="1"/>
          <w:lang w:eastAsia="en-AU"/>
        </w:rPr>
        <w:t>harmacist</w:t>
      </w:r>
      <w:r w:rsidR="15CA9F87" w:rsidRPr="001F03F1">
        <w:rPr>
          <w:bdr w:val="none" w:sz="0" w:space="0" w:color="auto" w:frame="1"/>
          <w:lang w:eastAsia="en-AU"/>
        </w:rPr>
        <w:t xml:space="preserve"> O</w:t>
      </w:r>
      <w:r w:rsidRPr="001F03F1">
        <w:rPr>
          <w:bdr w:val="none" w:sz="0" w:space="0" w:color="auto" w:frame="1"/>
          <w:lang w:eastAsia="en-AU"/>
        </w:rPr>
        <w:t>nly</w:t>
      </w:r>
      <w:r w:rsidR="497E9EF0" w:rsidRPr="001F03F1">
        <w:rPr>
          <w:bdr w:val="none" w:sz="0" w:space="0" w:color="auto" w:frame="1"/>
          <w:lang w:eastAsia="en-AU"/>
        </w:rPr>
        <w:t>’</w:t>
      </w:r>
      <w:r w:rsidRPr="001F03F1">
        <w:rPr>
          <w:bdr w:val="none" w:sz="0" w:space="0" w:color="auto" w:frame="1"/>
          <w:lang w:eastAsia="en-AU"/>
        </w:rPr>
        <w:t xml:space="preserve"> medicine</w:t>
      </w:r>
      <w:r w:rsidRPr="001F03F1">
        <w:rPr>
          <w:color w:val="201F1E"/>
          <w:lang w:eastAsia="en-AU"/>
        </w:rPr>
        <w:t xml:space="preserve">, </w:t>
      </w:r>
      <w:r w:rsidR="00DA0743">
        <w:rPr>
          <w:color w:val="201F1E"/>
          <w:lang w:eastAsia="en-AU"/>
        </w:rPr>
        <w:t>it has</w:t>
      </w:r>
      <w:r w:rsidRPr="001F03F1">
        <w:rPr>
          <w:color w:val="201F1E"/>
          <w:lang w:eastAsia="en-AU"/>
        </w:rPr>
        <w:t xml:space="preserve"> also be</w:t>
      </w:r>
      <w:r w:rsidR="00615172">
        <w:rPr>
          <w:color w:val="201F1E"/>
          <w:lang w:eastAsia="en-AU"/>
        </w:rPr>
        <w:t>en available</w:t>
      </w:r>
      <w:r w:rsidR="00D95281">
        <w:rPr>
          <w:color w:val="201F1E"/>
          <w:lang w:eastAsia="en-AU"/>
        </w:rPr>
        <w:t xml:space="preserve"> since 2016</w:t>
      </w:r>
      <w:r w:rsidRPr="001F03F1">
        <w:rPr>
          <w:color w:val="201F1E"/>
          <w:lang w:eastAsia="en-AU"/>
        </w:rPr>
        <w:t xml:space="preserve"> in all states and territories </w:t>
      </w:r>
      <w:r w:rsidRPr="001F03F1">
        <w:rPr>
          <w:i/>
          <w:iCs/>
          <w:color w:val="201F1E"/>
          <w:lang w:eastAsia="en-AU"/>
        </w:rPr>
        <w:t>without a prescription</w:t>
      </w:r>
      <w:r w:rsidRPr="001F03F1">
        <w:rPr>
          <w:color w:val="201F1E"/>
          <w:lang w:eastAsia="en-AU"/>
        </w:rPr>
        <w:t xml:space="preserve"> over the counter </w:t>
      </w:r>
      <w:r w:rsidR="0062289D">
        <w:rPr>
          <w:color w:val="201F1E"/>
          <w:lang w:eastAsia="en-AU"/>
        </w:rPr>
        <w:t>(OTC)</w:t>
      </w:r>
      <w:r w:rsidRPr="001F03F1">
        <w:rPr>
          <w:color w:val="201F1E"/>
          <w:lang w:eastAsia="en-AU"/>
        </w:rPr>
        <w:t xml:space="preserve"> from pharmac</w:t>
      </w:r>
      <w:r w:rsidR="0062289D">
        <w:rPr>
          <w:color w:val="201F1E"/>
          <w:lang w:eastAsia="en-AU"/>
        </w:rPr>
        <w:t>ies</w:t>
      </w:r>
      <w:r w:rsidR="001E175A">
        <w:rPr>
          <w:color w:val="201F1E"/>
          <w:lang w:eastAsia="en-AU"/>
        </w:rPr>
        <w:t>, but</w:t>
      </w:r>
      <w:r w:rsidRPr="001F03F1">
        <w:rPr>
          <w:color w:val="201F1E"/>
          <w:lang w:eastAsia="en-AU"/>
        </w:rPr>
        <w:t xml:space="preserve"> </w:t>
      </w:r>
      <w:r w:rsidR="0049088B">
        <w:rPr>
          <w:color w:val="201F1E"/>
          <w:lang w:eastAsia="en-AU"/>
        </w:rPr>
        <w:t>at</w:t>
      </w:r>
      <w:r w:rsidRPr="001F03F1">
        <w:rPr>
          <w:color w:val="201F1E"/>
          <w:lang w:eastAsia="en-AU"/>
        </w:rPr>
        <w:t xml:space="preserve"> </w:t>
      </w:r>
      <w:r w:rsidR="404B9EF0">
        <w:rPr>
          <w:color w:val="201F1E"/>
          <w:lang w:eastAsia="en-AU"/>
        </w:rPr>
        <w:t>varying</w:t>
      </w:r>
      <w:r w:rsidR="0049088B">
        <w:rPr>
          <w:color w:val="201F1E"/>
          <w:lang w:eastAsia="en-AU"/>
        </w:rPr>
        <w:t xml:space="preserve"> cost</w:t>
      </w:r>
      <w:r w:rsidR="007A2A55">
        <w:rPr>
          <w:color w:val="201F1E"/>
          <w:lang w:eastAsia="en-AU"/>
        </w:rPr>
        <w:t>, and uptake of OTC</w:t>
      </w:r>
      <w:r w:rsidR="00A053EF">
        <w:rPr>
          <w:color w:val="201F1E"/>
          <w:lang w:eastAsia="en-AU"/>
        </w:rPr>
        <w:t xml:space="preserve"> naloxone under these conditions was low</w:t>
      </w:r>
      <w:r w:rsidR="00F359CF">
        <w:rPr>
          <w:color w:val="201F1E"/>
          <w:lang w:eastAsia="en-AU"/>
        </w:rPr>
        <w:t xml:space="preserve"> </w:t>
      </w:r>
      <w:r w:rsidR="00006ADB">
        <w:rPr>
          <w:color w:val="201F1E"/>
          <w:lang w:eastAsia="en-AU"/>
        </w:rPr>
        <w:fldChar w:fldCharType="begin"/>
      </w:r>
      <w:r w:rsidR="00441C1C">
        <w:rPr>
          <w:color w:val="201F1E"/>
          <w:lang w:eastAsia="en-AU"/>
        </w:rPr>
        <w:instrText xml:space="preserve"> ADDIN EN.CITE &lt;EndNote&gt;&lt;Cite&gt;&lt;Author&gt;Tse&lt;/Author&gt;&lt;Year&gt;2020&lt;/Year&gt;&lt;RecNum&gt;147&lt;/RecNum&gt;&lt;DisplayText&gt;(35)&lt;/DisplayText&gt;&lt;record&gt;&lt;rec-number&gt;147&lt;/rec-number&gt;&lt;foreign-keys&gt;&lt;key app="EN" db-id="p00v9zw27zzswpe25phxpead0asdt50td92p" timestamp="1631057674"&gt;147&lt;/key&gt;&lt;/foreign-keys&gt;&lt;ref-type name="Journal Article"&gt;17&lt;/ref-type&gt;&lt;contributors&gt;&lt;authors&gt;&lt;author&gt;Tse, Wai Chung&lt;/author&gt;&lt;author&gt;Sanfilippo, Paul&lt;/author&gt;&lt;author&gt;Lam, Tina&lt;/author&gt;&lt;author&gt;Dietze, Paul&lt;/author&gt;&lt;author&gt;Nielsen, Suzanne&lt;/author&gt;&lt;/authors&gt;&lt;/contributors&gt;&lt;titles&gt;&lt;title&gt;Community pharmacy naloxone supply, before and after rescheduling as an over-the-counter drug: Sales and prescriptions data, 2014–2018&lt;/title&gt;&lt;secondary-title&gt;Medical Journal of Australia&lt;/secondary-title&gt;&lt;/titles&gt;&lt;periodical&gt;&lt;full-title&gt;Medical Journal of Australia&lt;/full-title&gt;&lt;/periodical&gt;&lt;pages&gt;314-320&lt;/pages&gt;&lt;volume&gt;212&lt;/volume&gt;&lt;number&gt;7&lt;/number&gt;&lt;dates&gt;&lt;year&gt;2020&lt;/year&gt;&lt;/dates&gt;&lt;isbn&gt;0025-729X&lt;/isbn&gt;&lt;urls&gt;&lt;related-urls&gt;&lt;url&gt;https://onlinelibrary.wiley.com/doi/abs/10.5694/mja2.50524&lt;/url&gt;&lt;/related-urls&gt;&lt;/urls&gt;&lt;electronic-resource-num&gt;https://doi.org/10.5694/mja2.50524&lt;/electronic-resource-num&gt;&lt;/record&gt;&lt;/Cite&gt;&lt;/EndNote&gt;</w:instrText>
      </w:r>
      <w:r w:rsidR="00006ADB">
        <w:rPr>
          <w:color w:val="201F1E"/>
          <w:lang w:eastAsia="en-AU"/>
        </w:rPr>
        <w:fldChar w:fldCharType="separate"/>
      </w:r>
      <w:r w:rsidR="00441C1C">
        <w:rPr>
          <w:noProof/>
          <w:color w:val="201F1E"/>
          <w:lang w:eastAsia="en-AU"/>
        </w:rPr>
        <w:t>(35)</w:t>
      </w:r>
      <w:r w:rsidR="00006ADB">
        <w:rPr>
          <w:color w:val="201F1E"/>
          <w:lang w:eastAsia="en-AU"/>
        </w:rPr>
        <w:fldChar w:fldCharType="end"/>
      </w:r>
      <w:r w:rsidR="00F359CF">
        <w:rPr>
          <w:color w:val="201F1E"/>
          <w:lang w:eastAsia="en-AU"/>
        </w:rPr>
        <w:t>.</w:t>
      </w:r>
      <w:r w:rsidR="00135894">
        <w:rPr>
          <w:color w:val="201F1E"/>
          <w:lang w:eastAsia="en-AU"/>
        </w:rPr>
        <w:t xml:space="preserve"> </w:t>
      </w:r>
      <w:r>
        <w:rPr>
          <w:color w:val="201F1E"/>
          <w:lang w:eastAsia="en-AU"/>
        </w:rPr>
        <w:t xml:space="preserve"> </w:t>
      </w:r>
      <w:r w:rsidRPr="001F03F1">
        <w:rPr>
          <w:color w:val="201F1E"/>
          <w:lang w:eastAsia="en-AU"/>
        </w:rPr>
        <w:t xml:space="preserve">Naloxone is also PBS listed through the ‘prescriber bag’. This means that the medicine can be provided without charge to </w:t>
      </w:r>
      <w:r w:rsidR="00774363">
        <w:rPr>
          <w:rFonts w:ascii="Arial" w:hAnsi="Arial" w:cs="Arial"/>
          <w:color w:val="000000"/>
        </w:rPr>
        <w:t>eligible prescribers for immediate administration or emergency use</w:t>
      </w:r>
      <w:r w:rsidRPr="001F03F1">
        <w:rPr>
          <w:color w:val="201F1E"/>
          <w:lang w:eastAsia="en-AU"/>
        </w:rPr>
        <w:t>.</w:t>
      </w:r>
      <w:r w:rsidR="00D26F54">
        <w:rPr>
          <w:color w:val="201F1E"/>
          <w:lang w:eastAsia="en-AU"/>
        </w:rPr>
        <w:t xml:space="preserve"> Requirements for a prescription, or the </w:t>
      </w:r>
      <w:r w:rsidR="002E604D">
        <w:rPr>
          <w:color w:val="201F1E"/>
          <w:lang w:eastAsia="en-AU"/>
        </w:rPr>
        <w:t>c</w:t>
      </w:r>
      <w:r w:rsidR="00D26F54">
        <w:rPr>
          <w:color w:val="201F1E"/>
          <w:lang w:eastAsia="en-AU"/>
        </w:rPr>
        <w:t xml:space="preserve">ost without a prescription, have been </w:t>
      </w:r>
      <w:r w:rsidR="00F066B0">
        <w:rPr>
          <w:color w:val="201F1E"/>
          <w:lang w:eastAsia="en-AU"/>
        </w:rPr>
        <w:t>identified in earlier evaluations</w:t>
      </w:r>
      <w:r w:rsidR="00D26F54">
        <w:rPr>
          <w:color w:val="201F1E"/>
          <w:lang w:eastAsia="en-AU"/>
        </w:rPr>
        <w:t xml:space="preserve"> as significant barriers</w:t>
      </w:r>
      <w:r w:rsidR="002E604D">
        <w:rPr>
          <w:color w:val="201F1E"/>
          <w:lang w:eastAsia="en-AU"/>
        </w:rPr>
        <w:t xml:space="preserve"> to widespread uptake of naloxone</w:t>
      </w:r>
      <w:r w:rsidR="00F359CF">
        <w:rPr>
          <w:color w:val="201F1E"/>
          <w:lang w:eastAsia="en-AU"/>
        </w:rPr>
        <w:t xml:space="preserve"> </w:t>
      </w:r>
      <w:r w:rsidR="00140C0E">
        <w:rPr>
          <w:color w:val="201F1E"/>
          <w:lang w:eastAsia="en-AU"/>
        </w:rPr>
        <w:fldChar w:fldCharType="begin"/>
      </w:r>
      <w:r w:rsidR="00441C1C">
        <w:rPr>
          <w:color w:val="201F1E"/>
          <w:lang w:eastAsia="en-AU"/>
        </w:rPr>
        <w:instrText xml:space="preserve"> ADDIN EN.CITE &lt;EndNote&gt;&lt;Cite&gt;&lt;Author&gt;Dwyer&lt;/Author&gt;&lt;Year&gt;2016&lt;/Year&gt;&lt;RecNum&gt;37&lt;/RecNum&gt;&lt;DisplayText&gt;(36)&lt;/DisplayText&gt;&lt;record&gt;&lt;rec-number&gt;37&lt;/rec-number&gt;&lt;foreign-keys&gt;&lt;key app="EN" db-id="p00v9zw27zzswpe25phxpead0asdt50td92p" timestamp="1625446873"&gt;37&lt;/key&gt;&lt;/foreign-keys&gt;&lt;ref-type name="Journal Article"&gt;17&lt;/ref-type&gt;&lt;contributors&gt;&lt;authors&gt;&lt;author&gt;Dwyer, Robyn&lt;/author&gt;&lt;author&gt;Fraser, Suzanne&lt;/author&gt;&lt;author&gt;Dietze, Paul&lt;/author&gt;&lt;/authors&gt;&lt;/contributors&gt;&lt;titles&gt;&lt;title&gt;Benefits and barriers to expanding the availability of take-home naloxone in Australia: A qualitative interview study with service providers&lt;/title&gt;&lt;secondary-title&gt;Drugs: Education, Prevention and Policy&lt;/secondary-title&gt;&lt;/titles&gt;&lt;periodical&gt;&lt;full-title&gt;Drugs: Education, Prevention and Policy&lt;/full-title&gt;&lt;/periodical&gt;&lt;pages&gt;388-396&lt;/pages&gt;&lt;volume&gt;23&lt;/volume&gt;&lt;number&gt;5&lt;/number&gt;&lt;dates&gt;&lt;year&gt;2016&lt;/year&gt;&lt;/dates&gt;&lt;isbn&gt;0968-7637&lt;/isbn&gt;&lt;urls&gt;&lt;/urls&gt;&lt;electronic-resource-num&gt;10.3109/09687637.2016.1150964&lt;/electronic-resource-num&gt;&lt;/record&gt;&lt;/Cite&gt;&lt;/EndNote&gt;</w:instrText>
      </w:r>
      <w:r w:rsidR="00140C0E">
        <w:rPr>
          <w:color w:val="201F1E"/>
          <w:lang w:eastAsia="en-AU"/>
        </w:rPr>
        <w:fldChar w:fldCharType="separate"/>
      </w:r>
      <w:r w:rsidR="00441C1C">
        <w:rPr>
          <w:noProof/>
          <w:color w:val="201F1E"/>
          <w:lang w:eastAsia="en-AU"/>
        </w:rPr>
        <w:t>(36)</w:t>
      </w:r>
      <w:r w:rsidR="00140C0E">
        <w:rPr>
          <w:color w:val="201F1E"/>
          <w:lang w:eastAsia="en-AU"/>
        </w:rPr>
        <w:fldChar w:fldCharType="end"/>
      </w:r>
      <w:r w:rsidR="00F359CF">
        <w:rPr>
          <w:color w:val="201F1E"/>
          <w:lang w:eastAsia="en-AU"/>
        </w:rPr>
        <w:t>.</w:t>
      </w:r>
    </w:p>
    <w:p w14:paraId="341E4FBC" w14:textId="6A3C778B" w:rsidR="00CA5EEA" w:rsidRDefault="00CA5EEA" w:rsidP="005307A9">
      <w:pPr>
        <w:pStyle w:val="BodyText"/>
      </w:pPr>
      <w:r>
        <w:t xml:space="preserve">In </w:t>
      </w:r>
      <w:r w:rsidR="00F066B0">
        <w:t>February</w:t>
      </w:r>
      <w:r>
        <w:t xml:space="preserve"> 2019, the Australian Government announced funding of $10 million for a pilot to increase the access </w:t>
      </w:r>
      <w:r w:rsidR="003E665D">
        <w:t xml:space="preserve">to </w:t>
      </w:r>
      <w:r>
        <w:t xml:space="preserve">and availability of naloxone for people at risk of experiencing or witnessing an opioid overdose. </w:t>
      </w:r>
      <w:r w:rsidRPr="003D795D">
        <w:t xml:space="preserve">In this Pilot, </w:t>
      </w:r>
      <w:r w:rsidR="00F066B0">
        <w:t>which commenced on 1 December 2019</w:t>
      </w:r>
      <w:r w:rsidRPr="003D795D">
        <w:t xml:space="preserve">, the </w:t>
      </w:r>
      <w:r>
        <w:t>Australian</w:t>
      </w:r>
      <w:r w:rsidRPr="003D795D">
        <w:t xml:space="preserve"> Government </w:t>
      </w:r>
      <w:r>
        <w:t xml:space="preserve">made </w:t>
      </w:r>
      <w:r w:rsidRPr="009A477A">
        <w:t xml:space="preserve">naloxone available </w:t>
      </w:r>
      <w:r>
        <w:t xml:space="preserve">for </w:t>
      </w:r>
      <w:r w:rsidRPr="009A477A">
        <w:t>free</w:t>
      </w:r>
      <w:r>
        <w:t>, without a prescription,</w:t>
      </w:r>
      <w:r>
        <w:rPr>
          <w:rFonts w:ascii="Segoe UI" w:hAnsi="Segoe UI" w:cs="Segoe UI"/>
          <w:color w:val="313131"/>
          <w:shd w:val="clear" w:color="auto" w:fill="FFFFFF"/>
        </w:rPr>
        <w:t xml:space="preserve"> </w:t>
      </w:r>
      <w:r w:rsidRPr="003D795D">
        <w:t xml:space="preserve">from pharmacies and other approved sites in </w:t>
      </w:r>
      <w:r>
        <w:t>NSW</w:t>
      </w:r>
      <w:r w:rsidRPr="003D795D">
        <w:t xml:space="preserve">, </w:t>
      </w:r>
      <w:proofErr w:type="gramStart"/>
      <w:r>
        <w:t>SA</w:t>
      </w:r>
      <w:proofErr w:type="gramEnd"/>
      <w:r w:rsidRPr="003D795D">
        <w:t xml:space="preserve"> and </w:t>
      </w:r>
      <w:r>
        <w:t>WA</w:t>
      </w:r>
      <w:r w:rsidRPr="003D795D">
        <w:t>.</w:t>
      </w:r>
      <w:r>
        <w:t xml:space="preserve"> </w:t>
      </w:r>
    </w:p>
    <w:p w14:paraId="09E5A788" w14:textId="2CC2EFDB" w:rsidR="00CA5EEA" w:rsidRDefault="00CA5EEA" w:rsidP="005307A9">
      <w:pPr>
        <w:pStyle w:val="BodyText"/>
      </w:pPr>
      <w:r>
        <w:rPr>
          <w:bdr w:val="none" w:sz="0" w:space="0" w:color="auto" w:frame="1"/>
          <w:shd w:val="clear" w:color="auto" w:fill="FFFFFF"/>
        </w:rPr>
        <w:t xml:space="preserve">The legislation that supports the THN Pilot, </w:t>
      </w:r>
      <w:r w:rsidR="00780A57">
        <w:rPr>
          <w:bdr w:val="none" w:sz="0" w:space="0" w:color="auto" w:frame="1"/>
          <w:shd w:val="clear" w:color="auto" w:fill="FFFFFF"/>
        </w:rPr>
        <w:t xml:space="preserve">the </w:t>
      </w:r>
      <w:r>
        <w:rPr>
          <w:i/>
          <w:iCs/>
          <w:color w:val="201F1E"/>
          <w:shd w:val="clear" w:color="auto" w:fill="FFFFFF"/>
        </w:rPr>
        <w:t xml:space="preserve">National Health (Take Home Naloxone Pilot) Special Arrangement </w:t>
      </w:r>
      <w:r w:rsidR="00AB71A7">
        <w:rPr>
          <w:i/>
          <w:iCs/>
          <w:color w:val="201F1E"/>
          <w:shd w:val="clear" w:color="auto" w:fill="FFFFFF"/>
        </w:rPr>
        <w:t>2019</w:t>
      </w:r>
      <w:r w:rsidR="00AB71A7">
        <w:rPr>
          <w:color w:val="201F1E"/>
          <w:shd w:val="clear" w:color="auto" w:fill="FFFFFF"/>
        </w:rPr>
        <w:t xml:space="preserve"> </w:t>
      </w:r>
      <w:r>
        <w:rPr>
          <w:color w:val="201F1E"/>
          <w:shd w:val="clear" w:color="auto" w:fill="FFFFFF"/>
        </w:rPr>
        <w:t xml:space="preserve">(the </w:t>
      </w:r>
      <w:r w:rsidR="00AB71A7">
        <w:rPr>
          <w:color w:val="201F1E"/>
          <w:shd w:val="clear" w:color="auto" w:fill="FFFFFF"/>
        </w:rPr>
        <w:t xml:space="preserve">Special </w:t>
      </w:r>
      <w:r>
        <w:rPr>
          <w:color w:val="201F1E"/>
          <w:shd w:val="clear" w:color="auto" w:fill="FFFFFF"/>
        </w:rPr>
        <w:t>Arrangement</w:t>
      </w:r>
      <w:r w:rsidR="00AB71A7">
        <w:rPr>
          <w:color w:val="201F1E"/>
          <w:shd w:val="clear" w:color="auto" w:fill="FFFFFF"/>
        </w:rPr>
        <w:t xml:space="preserve">) </w:t>
      </w:r>
      <w:r>
        <w:rPr>
          <w:bdr w:val="none" w:sz="0" w:space="0" w:color="auto" w:frame="1"/>
          <w:shd w:val="clear" w:color="auto" w:fill="FFFFFF"/>
        </w:rPr>
        <w:t xml:space="preserve">allows for naloxone to be supplied outside of the usual PBS supply arrangements described above in </w:t>
      </w:r>
      <w:r w:rsidR="00DB41AE">
        <w:rPr>
          <w:bdr w:val="none" w:sz="0" w:space="0" w:color="auto" w:frame="1"/>
          <w:shd w:val="clear" w:color="auto" w:fill="FFFFFF"/>
        </w:rPr>
        <w:t>NSW</w:t>
      </w:r>
      <w:r>
        <w:rPr>
          <w:bdr w:val="none" w:sz="0" w:space="0" w:color="auto" w:frame="1"/>
          <w:shd w:val="clear" w:color="auto" w:fill="FFFFFF"/>
        </w:rPr>
        <w:t xml:space="preserve">, </w:t>
      </w:r>
      <w:proofErr w:type="gramStart"/>
      <w:r w:rsidR="00DB41AE">
        <w:rPr>
          <w:bdr w:val="none" w:sz="0" w:space="0" w:color="auto" w:frame="1"/>
          <w:shd w:val="clear" w:color="auto" w:fill="FFFFFF"/>
        </w:rPr>
        <w:t>SA</w:t>
      </w:r>
      <w:proofErr w:type="gramEnd"/>
      <w:r>
        <w:rPr>
          <w:bdr w:val="none" w:sz="0" w:space="0" w:color="auto" w:frame="1"/>
          <w:shd w:val="clear" w:color="auto" w:fill="FFFFFF"/>
        </w:rPr>
        <w:t xml:space="preserve"> and </w:t>
      </w:r>
      <w:r w:rsidR="00DB41AE">
        <w:rPr>
          <w:bdr w:val="none" w:sz="0" w:space="0" w:color="auto" w:frame="1"/>
          <w:shd w:val="clear" w:color="auto" w:fill="FFFFFF"/>
        </w:rPr>
        <w:t>WA</w:t>
      </w:r>
      <w:r>
        <w:rPr>
          <w:bdr w:val="none" w:sz="0" w:space="0" w:color="auto" w:frame="1"/>
          <w:shd w:val="clear" w:color="auto" w:fill="FFFFFF"/>
        </w:rPr>
        <w:t xml:space="preserve">. </w:t>
      </w:r>
      <w:r w:rsidR="009B68BD">
        <w:rPr>
          <w:bdr w:val="none" w:sz="0" w:space="0" w:color="auto" w:frame="1"/>
          <w:shd w:val="clear" w:color="auto" w:fill="FFFFFF"/>
        </w:rPr>
        <w:t>U</w:t>
      </w:r>
      <w:r>
        <w:rPr>
          <w:bdr w:val="none" w:sz="0" w:space="0" w:color="auto" w:frame="1"/>
          <w:shd w:val="clear" w:color="auto" w:fill="FFFFFF"/>
        </w:rPr>
        <w:t>nder the THN Pilot arrangements</w:t>
      </w:r>
      <w:r w:rsidR="00906CB0">
        <w:rPr>
          <w:bdr w:val="none" w:sz="0" w:space="0" w:color="auto" w:frame="1"/>
          <w:shd w:val="clear" w:color="auto" w:fill="FFFFFF"/>
        </w:rPr>
        <w:t>,</w:t>
      </w:r>
      <w:r>
        <w:rPr>
          <w:bdr w:val="none" w:sz="0" w:space="0" w:color="auto" w:frame="1"/>
          <w:shd w:val="clear" w:color="auto" w:fill="FFFFFF"/>
        </w:rPr>
        <w:t xml:space="preserve"> individuals are not charged a co-payment for naloxone (i.e., it is supplied free of charge), and they do not need to visit a medical or nurse practitioner to get a prescription. </w:t>
      </w:r>
      <w:r w:rsidR="00FA0AC2">
        <w:rPr>
          <w:bdr w:val="none" w:sz="0" w:space="0" w:color="auto" w:frame="1"/>
          <w:shd w:val="clear" w:color="auto" w:fill="FFFFFF"/>
        </w:rPr>
        <w:t>A patient cannot be charged</w:t>
      </w:r>
      <w:r w:rsidR="00AB71A7">
        <w:rPr>
          <w:bdr w:val="none" w:sz="0" w:space="0" w:color="auto" w:frame="1"/>
          <w:shd w:val="clear" w:color="auto" w:fill="FFFFFF"/>
        </w:rPr>
        <w:t xml:space="preserve"> </w:t>
      </w:r>
      <w:r w:rsidR="00FA0AC2">
        <w:rPr>
          <w:color w:val="201F1E"/>
          <w:shd w:val="clear" w:color="auto" w:fill="FFFFFF"/>
        </w:rPr>
        <w:t>any additional private fees for naloxone supplied under the Pilot.</w:t>
      </w:r>
      <w:r w:rsidR="00D81D07">
        <w:rPr>
          <w:bdr w:val="none" w:sz="0" w:space="0" w:color="auto" w:frame="1"/>
          <w:shd w:val="clear" w:color="auto" w:fill="FFFFFF"/>
        </w:rPr>
        <w:t xml:space="preserve"> </w:t>
      </w:r>
      <w:r w:rsidR="008362F2">
        <w:rPr>
          <w:bdr w:val="none" w:sz="0" w:space="0" w:color="auto" w:frame="1"/>
          <w:shd w:val="clear" w:color="auto" w:fill="FFFFFF"/>
        </w:rPr>
        <w:t>Also specific to</w:t>
      </w:r>
      <w:r>
        <w:rPr>
          <w:bdr w:val="none" w:sz="0" w:space="0" w:color="auto" w:frame="1"/>
          <w:shd w:val="clear" w:color="auto" w:fill="FFFFFF"/>
        </w:rPr>
        <w:t xml:space="preserve"> the Pilot is that in addition to availability through pharmacies, the PBS listed naloxone can be accessed from a broader range of settings </w:t>
      </w:r>
      <w:r w:rsidR="00861926">
        <w:rPr>
          <w:bdr w:val="none" w:sz="0" w:space="0" w:color="auto" w:frame="1"/>
          <w:shd w:val="clear" w:color="auto" w:fill="FFFFFF"/>
        </w:rPr>
        <w:t xml:space="preserve">(Authorised </w:t>
      </w:r>
      <w:r w:rsidR="00404D2C">
        <w:rPr>
          <w:bdr w:val="none" w:sz="0" w:space="0" w:color="auto" w:frame="1"/>
          <w:shd w:val="clear" w:color="auto" w:fill="FFFFFF"/>
        </w:rPr>
        <w:t>Alternative</w:t>
      </w:r>
      <w:r w:rsidR="00861926">
        <w:rPr>
          <w:bdr w:val="none" w:sz="0" w:space="0" w:color="auto" w:frame="1"/>
          <w:shd w:val="clear" w:color="auto" w:fill="FFFFFF"/>
        </w:rPr>
        <w:t xml:space="preserve"> S</w:t>
      </w:r>
      <w:r w:rsidR="00404D2C">
        <w:rPr>
          <w:bdr w:val="none" w:sz="0" w:space="0" w:color="auto" w:frame="1"/>
          <w:shd w:val="clear" w:color="auto" w:fill="FFFFFF"/>
        </w:rPr>
        <w:t>upplier</w:t>
      </w:r>
      <w:r w:rsidR="00861926">
        <w:rPr>
          <w:bdr w:val="none" w:sz="0" w:space="0" w:color="auto" w:frame="1"/>
          <w:shd w:val="clear" w:color="auto" w:fill="FFFFFF"/>
        </w:rPr>
        <w:t xml:space="preserve">s, or AAS) </w:t>
      </w:r>
      <w:r>
        <w:rPr>
          <w:bdr w:val="none" w:sz="0" w:space="0" w:color="auto" w:frame="1"/>
          <w:shd w:val="clear" w:color="auto" w:fill="FFFFFF"/>
        </w:rPr>
        <w:t xml:space="preserve">such as hospitals and other authorised persons or organisations such as needle and syringe programs, alcohol </w:t>
      </w:r>
      <w:r w:rsidR="001A423C">
        <w:rPr>
          <w:bdr w:val="none" w:sz="0" w:space="0" w:color="auto" w:frame="1"/>
          <w:shd w:val="clear" w:color="auto" w:fill="FFFFFF"/>
        </w:rPr>
        <w:t>and other</w:t>
      </w:r>
      <w:r>
        <w:rPr>
          <w:bdr w:val="none" w:sz="0" w:space="0" w:color="auto" w:frame="1"/>
          <w:shd w:val="clear" w:color="auto" w:fill="FFFFFF"/>
        </w:rPr>
        <w:t xml:space="preserve"> drug treatment centres or correctional release programs.</w:t>
      </w:r>
    </w:p>
    <w:p w14:paraId="4A58C3C7" w14:textId="31DD4DAC" w:rsidR="00CA5EEA" w:rsidRDefault="00CA5EEA" w:rsidP="005307A9">
      <w:pPr>
        <w:pStyle w:val="BodyText"/>
      </w:pPr>
      <w:r w:rsidRPr="003D795D">
        <w:t xml:space="preserve">The Pilot targets a broad range of potential THN </w:t>
      </w:r>
      <w:r>
        <w:t>consumers</w:t>
      </w:r>
      <w:r w:rsidRPr="003D795D">
        <w:t xml:space="preserve">. In addition to people who use illicit opioids such as heroin, priority beneficiaries of the Pilot include individuals who </w:t>
      </w:r>
      <w:r>
        <w:t>are taking</w:t>
      </w:r>
      <w:r w:rsidRPr="003D795D">
        <w:t xml:space="preserve"> prescription opioids to manage chronic pain. </w:t>
      </w:r>
      <w:r>
        <w:t>P</w:t>
      </w:r>
      <w:r w:rsidRPr="003D795D">
        <w:t xml:space="preserve">eople who may witness </w:t>
      </w:r>
      <w:r w:rsidR="00B7403D">
        <w:t xml:space="preserve">an </w:t>
      </w:r>
      <w:r w:rsidRPr="003D795D">
        <w:t xml:space="preserve">opioid overdose </w:t>
      </w:r>
      <w:r w:rsidR="00B03D5C">
        <w:t xml:space="preserve">are another priority population who can access </w:t>
      </w:r>
      <w:r w:rsidRPr="003D795D">
        <w:t xml:space="preserve">naloxone </w:t>
      </w:r>
      <w:r w:rsidR="00B03D5C">
        <w:t>for free</w:t>
      </w:r>
      <w:r w:rsidR="00101402">
        <w:t xml:space="preserve"> and without a prescription</w:t>
      </w:r>
      <w:r w:rsidR="00B03D5C">
        <w:t xml:space="preserve"> as part of the Pilot. This group may</w:t>
      </w:r>
      <w:r w:rsidRPr="003D795D">
        <w:t xml:space="preserve"> include peers, </w:t>
      </w:r>
      <w:proofErr w:type="gramStart"/>
      <w:r w:rsidRPr="003D795D">
        <w:t>family</w:t>
      </w:r>
      <w:proofErr w:type="gramEnd"/>
      <w:r w:rsidRPr="003D795D">
        <w:t xml:space="preserve"> and community members, </w:t>
      </w:r>
      <w:r w:rsidR="005846C7">
        <w:t>as well as</w:t>
      </w:r>
      <w:r w:rsidRPr="003D795D">
        <w:t xml:space="preserve"> in-home healthcare and support staff, treatment providers, custodial release program officers and first responders.</w:t>
      </w:r>
    </w:p>
    <w:p w14:paraId="4A5B8C0C" w14:textId="58C15D88" w:rsidR="00CA5EEA" w:rsidRDefault="00CA5EEA" w:rsidP="005307A9">
      <w:pPr>
        <w:pStyle w:val="BodyText"/>
      </w:pPr>
      <w:r>
        <w:t xml:space="preserve">This Pilot was implemented in NSW, </w:t>
      </w:r>
      <w:proofErr w:type="gramStart"/>
      <w:r>
        <w:t>SA</w:t>
      </w:r>
      <w:proofErr w:type="gramEnd"/>
      <w:r>
        <w:t xml:space="preserve"> and WA, complementing existing </w:t>
      </w:r>
      <w:r w:rsidDel="000F5CDD">
        <w:t>state</w:t>
      </w:r>
      <w:r>
        <w:t>-based programs and infrastructure</w:t>
      </w:r>
      <w:r w:rsidR="00972E9F">
        <w:t>s</w:t>
      </w:r>
      <w:r>
        <w:t xml:space="preserve"> and in partnership with the NSW Ministry of Health (NSW Health), Drug and Alcohol Services South Australia (DASSA) and the Western Australia Mental Health Commission (WAMHC), respectively. Australian Healthcare Associates (AHA) was contracted as the administrator for the Pilot to manage a range of administrative functions including registration of participating sites, claiming and reimbursement arrangements. </w:t>
      </w:r>
    </w:p>
    <w:p w14:paraId="0A97D590" w14:textId="284205FA" w:rsidR="00CA5EEA" w:rsidRPr="003E5149" w:rsidRDefault="00CA5EEA" w:rsidP="00A0570E">
      <w:pPr>
        <w:pStyle w:val="NbrHeading2"/>
      </w:pPr>
      <w:bookmarkStart w:id="95" w:name="_Toc94794096"/>
      <w:bookmarkStart w:id="96" w:name="_Toc94794227"/>
      <w:r w:rsidRPr="003E5149">
        <w:lastRenderedPageBreak/>
        <w:t>Key evaluation questions</w:t>
      </w:r>
      <w:r w:rsidR="00644441">
        <w:t xml:space="preserve"> and report structure</w:t>
      </w:r>
      <w:bookmarkEnd w:id="95"/>
      <w:bookmarkEnd w:id="96"/>
    </w:p>
    <w:p w14:paraId="7DE8A364" w14:textId="1E1F24DC" w:rsidR="00CA5EEA" w:rsidRDefault="00CA5EEA" w:rsidP="003D0F16">
      <w:r>
        <w:t xml:space="preserve">The Evaluation of the Pilot </w:t>
      </w:r>
      <w:r w:rsidR="00667006">
        <w:t>was designed by ISSR</w:t>
      </w:r>
      <w:r w:rsidR="00457F91">
        <w:t xml:space="preserve"> in collaboration with the Department</w:t>
      </w:r>
      <w:r w:rsidR="00690AF9">
        <w:t xml:space="preserve">, and </w:t>
      </w:r>
      <w:r>
        <w:t xml:space="preserve">is structured around the following </w:t>
      </w:r>
      <w:r w:rsidR="0024151C">
        <w:t xml:space="preserve">agreed </w:t>
      </w:r>
      <w:r>
        <w:t>key evaluation questions:</w:t>
      </w:r>
    </w:p>
    <w:p w14:paraId="73C2292B" w14:textId="7A5D3D24" w:rsidR="0016421A" w:rsidRPr="0016421A" w:rsidRDefault="00460DF4" w:rsidP="005B2BD6">
      <w:pPr>
        <w:pStyle w:val="ListParagraph"/>
        <w:numPr>
          <w:ilvl w:val="0"/>
          <w:numId w:val="215"/>
        </w:numPr>
      </w:pPr>
      <w:r>
        <w:t>Was the THN Pilot implemented as planned?</w:t>
      </w:r>
    </w:p>
    <w:p w14:paraId="15D4A1EC" w14:textId="20D7B323" w:rsidR="001F6947" w:rsidRPr="001F6947" w:rsidRDefault="00FE7072" w:rsidP="005B2BD6">
      <w:pPr>
        <w:pStyle w:val="ListParagraph"/>
        <w:numPr>
          <w:ilvl w:val="0"/>
          <w:numId w:val="215"/>
        </w:numPr>
      </w:pPr>
      <w:r>
        <w:t>Did the THN Pilot achieve improved access?</w:t>
      </w:r>
    </w:p>
    <w:p w14:paraId="32A29C5C" w14:textId="77777777" w:rsidR="006A6552" w:rsidRPr="00AA7EB1" w:rsidRDefault="006A6552" w:rsidP="005B2BD6">
      <w:pPr>
        <w:pStyle w:val="ListParagraph"/>
        <w:numPr>
          <w:ilvl w:val="0"/>
          <w:numId w:val="215"/>
        </w:numPr>
      </w:pPr>
      <w:r w:rsidRPr="00AA7EB1">
        <w:t xml:space="preserve">What impact did </w:t>
      </w:r>
      <w:proofErr w:type="gramStart"/>
      <w:r w:rsidRPr="00AA7EB1">
        <w:t>increasing</w:t>
      </w:r>
      <w:proofErr w:type="gramEnd"/>
      <w:r w:rsidRPr="00AA7EB1">
        <w:t xml:space="preserve"> access have on the uptake </w:t>
      </w:r>
      <w:r>
        <w:t xml:space="preserve">and use </w:t>
      </w:r>
      <w:r w:rsidRPr="00AA7EB1">
        <w:t>of THN?</w:t>
      </w:r>
    </w:p>
    <w:p w14:paraId="17F369E4" w14:textId="76A6505D" w:rsidR="004A5B44" w:rsidRPr="004A5B44" w:rsidRDefault="007A0B3D" w:rsidP="005B2BD6">
      <w:pPr>
        <w:pStyle w:val="ListParagraph"/>
        <w:numPr>
          <w:ilvl w:val="0"/>
          <w:numId w:val="215"/>
        </w:numPr>
      </w:pPr>
      <w:r>
        <w:t>What was the impact on access sites participating in the Pilot?</w:t>
      </w:r>
    </w:p>
    <w:p w14:paraId="118567D7" w14:textId="7C07368D" w:rsidR="000A2673" w:rsidRPr="000A2673" w:rsidRDefault="007A0B3D" w:rsidP="005B2BD6">
      <w:pPr>
        <w:pStyle w:val="ListParagraph"/>
        <w:numPr>
          <w:ilvl w:val="0"/>
          <w:numId w:val="215"/>
        </w:numPr>
      </w:pPr>
      <w:r>
        <w:t>Were there barriers to increasing access</w:t>
      </w:r>
      <w:r w:rsidR="006A6552">
        <w:t xml:space="preserve"> </w:t>
      </w:r>
      <w:r>
        <w:t>and/or uptake of THN?</w:t>
      </w:r>
      <w:r w:rsidR="00433980">
        <w:t xml:space="preserve"> How could these be overcome?</w:t>
      </w:r>
    </w:p>
    <w:p w14:paraId="000512CF" w14:textId="3CFDFEDE" w:rsidR="00433980" w:rsidRDefault="00433980" w:rsidP="005B2BD6">
      <w:pPr>
        <w:pStyle w:val="ListParagraph"/>
        <w:numPr>
          <w:ilvl w:val="0"/>
          <w:numId w:val="215"/>
        </w:numPr>
      </w:pPr>
      <w:r>
        <w:t>Were there any unintended consequences of increasing access to naloxone?</w:t>
      </w:r>
    </w:p>
    <w:p w14:paraId="3BDE2147" w14:textId="245CF1AB" w:rsidR="00433980" w:rsidRDefault="00433980" w:rsidP="005B2BD6">
      <w:pPr>
        <w:pStyle w:val="ListParagraph"/>
        <w:numPr>
          <w:ilvl w:val="0"/>
          <w:numId w:val="215"/>
        </w:numPr>
      </w:pPr>
      <w:r>
        <w:t>What needs to be considered in relation to a potential national roll out?</w:t>
      </w:r>
    </w:p>
    <w:p w14:paraId="5190CD55" w14:textId="721B2D65" w:rsidR="009919FD" w:rsidRDefault="004503F6" w:rsidP="00E30F22">
      <w:pPr>
        <w:spacing w:before="120" w:line="260" w:lineRule="exact"/>
      </w:pPr>
      <w:r>
        <w:t>These questions were used to inform the evaluation approach, as described in Chapter 2.</w:t>
      </w:r>
      <w:r w:rsidR="009919FD">
        <w:t xml:space="preserve"> </w:t>
      </w:r>
      <w:r>
        <w:t xml:space="preserve">In the following Chapters (3-8), we </w:t>
      </w:r>
      <w:r w:rsidR="009919FD">
        <w:t xml:space="preserve">report on </w:t>
      </w:r>
      <w:r>
        <w:t>the evaluation findings against these key questions</w:t>
      </w:r>
      <w:r w:rsidR="009919FD">
        <w:t xml:space="preserve">. These findings </w:t>
      </w:r>
      <w:r w:rsidR="005B2BD6" w:rsidRPr="005B2BD6">
        <w:t xml:space="preserve">are </w:t>
      </w:r>
      <w:r w:rsidR="009919FD">
        <w:t xml:space="preserve">then </w:t>
      </w:r>
      <w:r w:rsidR="005B2BD6" w:rsidRPr="005B2BD6">
        <w:t>synthesised</w:t>
      </w:r>
      <w:r w:rsidRPr="005B2BD6">
        <w:t xml:space="preserve"> to </w:t>
      </w:r>
      <w:r w:rsidR="005B2BD6" w:rsidRPr="005B2BD6">
        <w:t>inform our recommendations</w:t>
      </w:r>
      <w:r w:rsidRPr="005B2BD6">
        <w:t xml:space="preserve"> </w:t>
      </w:r>
      <w:r w:rsidR="005B2BD6" w:rsidRPr="005B2BD6">
        <w:t>for</w:t>
      </w:r>
      <w:r w:rsidRPr="005B2BD6">
        <w:t xml:space="preserve"> considerations for a potential national roll out,</w:t>
      </w:r>
      <w:r>
        <w:t xml:space="preserve"> which is discussed in Chapter 9.</w:t>
      </w:r>
    </w:p>
    <w:p w14:paraId="26080A6B" w14:textId="0A3A654D" w:rsidR="00CA5EEA" w:rsidRPr="00FB7900" w:rsidRDefault="00EF7A8D" w:rsidP="00B00052">
      <w:pPr>
        <w:pStyle w:val="NbrHeading1"/>
      </w:pPr>
      <w:r>
        <w:br w:type="page"/>
      </w:r>
      <w:bookmarkStart w:id="97" w:name="_Toc94794097"/>
      <w:bookmarkStart w:id="98" w:name="_Toc94794228"/>
      <w:r w:rsidR="00CA5EEA" w:rsidRPr="00FB7900">
        <w:lastRenderedPageBreak/>
        <w:t>Overarching Evaluation Approach</w:t>
      </w:r>
      <w:bookmarkEnd w:id="97"/>
      <w:bookmarkEnd w:id="98"/>
    </w:p>
    <w:p w14:paraId="1D846DA2" w14:textId="023A4616" w:rsidR="00CA5EEA" w:rsidRDefault="000A687F" w:rsidP="000A687F">
      <w:pPr>
        <w:pStyle w:val="Style3-keypoints-h2"/>
        <w:spacing w:line="480" w:lineRule="auto"/>
      </w:pPr>
      <w:bookmarkStart w:id="99" w:name="_Toc94794229"/>
      <w:r w:rsidRPr="000A687F">
        <w:t>Key points</w:t>
      </w:r>
      <w:bookmarkEnd w:id="99"/>
    </w:p>
    <w:p w14:paraId="7343CDEB" w14:textId="77777777" w:rsidR="000A687F" w:rsidRDefault="000A687F" w:rsidP="000A687F">
      <w:pPr>
        <w:pStyle w:val="ListParagraph"/>
        <w:numPr>
          <w:ilvl w:val="0"/>
          <w:numId w:val="27"/>
        </w:numPr>
        <w:spacing w:before="81" w:after="81"/>
        <w:ind w:left="489" w:hanging="244"/>
      </w:pPr>
      <w:r>
        <w:t>This Evaluation used a multi-disciplinary approach to address the key evaluation questions, and was designed to build on, rather than duplicate, previous evaluations.</w:t>
      </w:r>
    </w:p>
    <w:p w14:paraId="0B3F983A" w14:textId="77777777" w:rsidR="000A687F" w:rsidRDefault="000A687F" w:rsidP="000A687F">
      <w:pPr>
        <w:pStyle w:val="ListParagraph"/>
        <w:numPr>
          <w:ilvl w:val="0"/>
          <w:numId w:val="27"/>
        </w:numPr>
        <w:spacing w:before="81" w:after="81"/>
        <w:ind w:left="489" w:hanging="244"/>
      </w:pPr>
      <w:r>
        <w:t>The Program Logic and Theory of Change informed the design of the Evaluation.</w:t>
      </w:r>
    </w:p>
    <w:p w14:paraId="21BF9342" w14:textId="6996A066" w:rsidR="000A687F" w:rsidRDefault="000A687F" w:rsidP="000A687F">
      <w:pPr>
        <w:pStyle w:val="ListParagraph"/>
        <w:numPr>
          <w:ilvl w:val="0"/>
          <w:numId w:val="27"/>
        </w:numPr>
        <w:spacing w:before="81" w:after="81"/>
        <w:ind w:left="489" w:hanging="244"/>
      </w:pPr>
      <w:r>
        <w:t>Multiple primary data sources inform the findings presented throughout this report: 320 consumer interviews, 66 frontline staff interviews, 24 mystery shopping events and 25 roundtable consultations of senior sector representatives, in addition to point-of-supply data. Research and administrative data were also examined.</w:t>
      </w:r>
    </w:p>
    <w:p w14:paraId="3F726434" w14:textId="7BCC9A3A" w:rsidR="00CA5EEA" w:rsidRDefault="0019500C" w:rsidP="003D0F16">
      <w:pPr>
        <w:spacing w:after="160" w:line="259" w:lineRule="auto"/>
        <w:rPr>
          <w:rFonts w:asciiTheme="majorHAnsi" w:eastAsiaTheme="majorEastAsia" w:hAnsiTheme="majorHAnsi" w:cstheme="majorBidi"/>
          <w:b/>
          <w:color w:val="51247A" w:themeColor="accent1"/>
          <w:sz w:val="28"/>
          <w:szCs w:val="28"/>
        </w:rPr>
      </w:pPr>
      <w:r>
        <w:rPr>
          <w:noProof/>
        </w:rPr>
        <w:drawing>
          <wp:inline distT="0" distB="0" distL="0" distR="0" wp14:anchorId="103AC0D1" wp14:editId="3D4DFE4A">
            <wp:extent cx="5748528" cy="4730496"/>
            <wp:effectExtent l="0" t="0" r="5080" b="0"/>
            <wp:docPr id="22" name="Picture 22" descr="Diagram&#10;&#10;This evaluation used data from; surveys, environmental scans, PBS, pilot supply, the Illicit Drug Reporting System, the Australian Institute of Health and Welfare, mystery shopping, roundtable discussions and qualitative intervi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valuationDataSources_Infographic_v3-0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48528" cy="4730496"/>
                    </a:xfrm>
                    <a:prstGeom prst="rect">
                      <a:avLst/>
                    </a:prstGeom>
                  </pic:spPr>
                </pic:pic>
              </a:graphicData>
            </a:graphic>
          </wp:inline>
        </w:drawing>
      </w:r>
      <w:r w:rsidR="00CA5EEA">
        <w:br w:type="page"/>
      </w:r>
    </w:p>
    <w:p w14:paraId="227AFEA7" w14:textId="04EDDA8F" w:rsidR="00CA5EEA" w:rsidRPr="009F3669" w:rsidRDefault="002C10FD" w:rsidP="00A0570E">
      <w:pPr>
        <w:pStyle w:val="NbrHeading2"/>
      </w:pPr>
      <w:bookmarkStart w:id="100" w:name="_Toc94794098"/>
      <w:bookmarkStart w:id="101" w:name="_Toc94794230"/>
      <w:r>
        <w:lastRenderedPageBreak/>
        <w:t>Evaluation a</w:t>
      </w:r>
      <w:r w:rsidR="00CA5EEA" w:rsidRPr="009F3669">
        <w:t>pproach</w:t>
      </w:r>
      <w:bookmarkEnd w:id="100"/>
      <w:bookmarkEnd w:id="101"/>
    </w:p>
    <w:p w14:paraId="63880563" w14:textId="3B54B835" w:rsidR="00CA5EEA" w:rsidRDefault="00CA5EEA" w:rsidP="005307A9">
      <w:pPr>
        <w:pStyle w:val="BodyText"/>
      </w:pPr>
      <w:r w:rsidRPr="0095091A">
        <w:t>The Pilot was designed to address the needs of multiple stakeholders</w:t>
      </w:r>
      <w:r>
        <w:t xml:space="preserve">: people who use illicit drugs and/or prescribed opioid </w:t>
      </w:r>
      <w:r w:rsidR="00B74AD8">
        <w:t>medicines</w:t>
      </w:r>
      <w:r>
        <w:t xml:space="preserve">; their families, </w:t>
      </w:r>
      <w:proofErr w:type="gramStart"/>
      <w:r>
        <w:t>friends</w:t>
      </w:r>
      <w:proofErr w:type="gramEnd"/>
      <w:r>
        <w:t xml:space="preserve"> and carers; organisations that support them; emergency and other healthcare organisations and governments. </w:t>
      </w:r>
      <w:r w:rsidR="00135C5E">
        <w:t>The Pilot’s</w:t>
      </w:r>
      <w:r w:rsidRPr="0095091A">
        <w:t xml:space="preserve"> evaluation, therefore, require</w:t>
      </w:r>
      <w:r>
        <w:t>d</w:t>
      </w:r>
      <w:r w:rsidRPr="0095091A">
        <w:t xml:space="preserve"> a balanced multidisciplinary approach</w:t>
      </w:r>
      <w:r>
        <w:t xml:space="preserve"> to incorporate findings relevant to </w:t>
      </w:r>
      <w:r w:rsidR="00A8200E">
        <w:t>all</w:t>
      </w:r>
      <w:r>
        <w:t xml:space="preserve"> these stakeholders</w:t>
      </w:r>
      <w:r w:rsidRPr="0095091A">
        <w:t xml:space="preserve">. The evaluation team worked with stakeholders while conducting monitoring activities to incorporate implementation variabilities between the states and changes across the duration of the Pilot. </w:t>
      </w:r>
      <w:r>
        <w:t>We undertook the following as part of the evaluation:</w:t>
      </w:r>
    </w:p>
    <w:p w14:paraId="7443940F" w14:textId="77777777" w:rsidR="00CA5EEA" w:rsidRPr="008B0FC8" w:rsidRDefault="00CA5EEA" w:rsidP="003D0F16">
      <w:pPr>
        <w:pStyle w:val="ListParagraph"/>
        <w:numPr>
          <w:ilvl w:val="0"/>
          <w:numId w:val="23"/>
        </w:numPr>
        <w:rPr>
          <w:lang w:eastAsia="zh-CN" w:bidi="th-TH"/>
        </w:rPr>
      </w:pPr>
      <w:r w:rsidRPr="0095091A">
        <w:rPr>
          <w:lang w:eastAsia="zh-CN" w:bidi="th-TH"/>
        </w:rPr>
        <w:t xml:space="preserve">Analysis of the </w:t>
      </w:r>
      <w:r w:rsidRPr="008B0FC8">
        <w:rPr>
          <w:lang w:eastAsia="zh-CN" w:bidi="th-TH"/>
        </w:rPr>
        <w:t>effectiveness of the Pilot</w:t>
      </w:r>
    </w:p>
    <w:p w14:paraId="5F93EF45" w14:textId="77777777" w:rsidR="00CA5EEA" w:rsidRPr="008B0FC8" w:rsidRDefault="00CA5EEA" w:rsidP="003D0F16">
      <w:pPr>
        <w:pStyle w:val="ListParagraph"/>
        <w:numPr>
          <w:ilvl w:val="0"/>
          <w:numId w:val="23"/>
        </w:numPr>
      </w:pPr>
      <w:r w:rsidRPr="0095091A">
        <w:t>Analysis and consolidation of findings from the individual state operations during the Pilot (</w:t>
      </w:r>
      <w:r w:rsidRPr="008B0FC8">
        <w:rPr>
          <w:lang w:eastAsia="zh-CN" w:bidi="th-TH"/>
        </w:rPr>
        <w:t xml:space="preserve">the evaluation was designed to build on, but not duplicate, the results of </w:t>
      </w:r>
      <w:r w:rsidRPr="008B0FC8">
        <w:t>previous</w:t>
      </w:r>
      <w:r w:rsidRPr="008B0FC8">
        <w:rPr>
          <w:lang w:eastAsia="zh-CN" w:bidi="th-TH"/>
        </w:rPr>
        <w:t xml:space="preserve"> evaluations</w:t>
      </w:r>
      <w:r>
        <w:rPr>
          <w:lang w:eastAsia="zh-CN" w:bidi="th-TH"/>
        </w:rPr>
        <w:t xml:space="preserve"> of other take home naloxone programs</w:t>
      </w:r>
      <w:r w:rsidRPr="008B0FC8">
        <w:rPr>
          <w:lang w:eastAsia="zh-CN" w:bidi="th-TH"/>
        </w:rPr>
        <w:t>)</w:t>
      </w:r>
    </w:p>
    <w:p w14:paraId="494F1297" w14:textId="77777777" w:rsidR="00CA5EEA" w:rsidRPr="008B0FC8" w:rsidRDefault="00CA5EEA" w:rsidP="003D0F16">
      <w:pPr>
        <w:pStyle w:val="ListParagraph"/>
        <w:numPr>
          <w:ilvl w:val="0"/>
          <w:numId w:val="23"/>
        </w:numPr>
      </w:pPr>
      <w:r w:rsidRPr="0095091A">
        <w:t>Consideration of other relevant programs or services as they relate to the Pilot (e.g.</w:t>
      </w:r>
      <w:r>
        <w:t>,</w:t>
      </w:r>
      <w:r w:rsidRPr="0095091A">
        <w:t xml:space="preserve"> referral pathways, shared care approaches etc</w:t>
      </w:r>
      <w:r w:rsidRPr="008B0FC8">
        <w:t>.)</w:t>
      </w:r>
      <w:r w:rsidRPr="0095091A">
        <w:t xml:space="preserve"> </w:t>
      </w:r>
    </w:p>
    <w:p w14:paraId="7989139A" w14:textId="0A97332A" w:rsidR="00CA5EEA" w:rsidRPr="008B0FC8" w:rsidRDefault="00CA5EEA" w:rsidP="003D0F16">
      <w:pPr>
        <w:pStyle w:val="ListParagraph"/>
        <w:numPr>
          <w:ilvl w:val="0"/>
          <w:numId w:val="23"/>
        </w:numPr>
      </w:pPr>
      <w:r w:rsidRPr="0095091A">
        <w:t xml:space="preserve">Consultation with key stakeholders regarding the optimal </w:t>
      </w:r>
      <w:r w:rsidR="00A352F2">
        <w:t>components</w:t>
      </w:r>
      <w:r w:rsidR="00A352F2" w:rsidRPr="0095091A">
        <w:t xml:space="preserve"> </w:t>
      </w:r>
      <w:r w:rsidRPr="0095091A">
        <w:t>of a national roll-out of THN, and how this could be monitored.</w:t>
      </w:r>
    </w:p>
    <w:p w14:paraId="1AC1F89A" w14:textId="2BA23686" w:rsidR="00CA5EEA" w:rsidRDefault="00394D47" w:rsidP="004A520E">
      <w:pPr>
        <w:spacing w:before="120" w:line="260" w:lineRule="exact"/>
      </w:pPr>
      <w:r>
        <w:t>To address</w:t>
      </w:r>
      <w:r w:rsidR="00CA5EEA">
        <w:t xml:space="preserve"> the key evaluation questions agreed </w:t>
      </w:r>
      <w:r w:rsidR="00F04F98">
        <w:t xml:space="preserve">upon </w:t>
      </w:r>
      <w:r w:rsidR="00CA5EEA">
        <w:t>during the design phase of the evaluation</w:t>
      </w:r>
      <w:r>
        <w:t>,</w:t>
      </w:r>
      <w:r w:rsidRPr="00394D47">
        <w:t xml:space="preserve"> </w:t>
      </w:r>
      <w:r>
        <w:t xml:space="preserve">we triangulated data from </w:t>
      </w:r>
      <w:proofErr w:type="gramStart"/>
      <w:r>
        <w:t>a number of</w:t>
      </w:r>
      <w:proofErr w:type="gramEnd"/>
      <w:r>
        <w:t xml:space="preserve"> sources and perspectives</w:t>
      </w:r>
      <w:r w:rsidR="00CA5EEA">
        <w:t>.</w:t>
      </w:r>
    </w:p>
    <w:p w14:paraId="1E6AF6F3" w14:textId="77777777" w:rsidR="00CA5EEA" w:rsidRPr="008B0FC8" w:rsidRDefault="00CA5EEA" w:rsidP="004A520E">
      <w:pPr>
        <w:spacing w:before="120" w:line="260" w:lineRule="exact"/>
      </w:pPr>
      <w:r w:rsidRPr="0095091A">
        <w:t>Th</w:t>
      </w:r>
      <w:r>
        <w:t>e</w:t>
      </w:r>
      <w:r w:rsidRPr="0095091A">
        <w:t xml:space="preserve"> evaluation </w:t>
      </w:r>
      <w:r>
        <w:t xml:space="preserve">scope was </w:t>
      </w:r>
      <w:r w:rsidRPr="0095091A">
        <w:t>limit</w:t>
      </w:r>
      <w:r w:rsidRPr="008B0FC8">
        <w:t xml:space="preserve">ed </w:t>
      </w:r>
      <w:r>
        <w:t>(</w:t>
      </w:r>
      <w:r w:rsidRPr="008B0FC8">
        <w:t xml:space="preserve">as agreed </w:t>
      </w:r>
      <w:r>
        <w:t>with the Department) to</w:t>
      </w:r>
      <w:r w:rsidRPr="008B0FC8">
        <w:t xml:space="preserve"> exclude exploration of:</w:t>
      </w:r>
    </w:p>
    <w:p w14:paraId="08909B4D" w14:textId="77777777" w:rsidR="00CA5EEA" w:rsidRPr="008B0FC8" w:rsidRDefault="00CA5EEA" w:rsidP="003D0F16">
      <w:pPr>
        <w:pStyle w:val="ListParagraph"/>
        <w:numPr>
          <w:ilvl w:val="0"/>
          <w:numId w:val="22"/>
        </w:numPr>
      </w:pPr>
      <w:r w:rsidRPr="0095091A">
        <w:t>The clinical effectiveness of naloxone in reversing opioid overdoses (or relative efficacy of various formulations of naloxone</w:t>
      </w:r>
      <w:r w:rsidRPr="008B0FC8">
        <w:t>)</w:t>
      </w:r>
      <w:r>
        <w:t>, as this was well established in the literature</w:t>
      </w:r>
    </w:p>
    <w:p w14:paraId="2EA29657" w14:textId="44491B72" w:rsidR="00CA5EEA" w:rsidRPr="008B0FC8" w:rsidRDefault="00CA5EEA" w:rsidP="003D0F16">
      <w:pPr>
        <w:pStyle w:val="ListParagraph"/>
        <w:numPr>
          <w:ilvl w:val="0"/>
          <w:numId w:val="22"/>
        </w:numPr>
      </w:pPr>
      <w:r w:rsidRPr="0095091A">
        <w:t>The content of training provided to access sites and the content of the Brief Intervention/Education/training provided at access sites to participants</w:t>
      </w:r>
      <w:r>
        <w:t>, as this had been examined in previous evaluations in Australia and continued to be a state</w:t>
      </w:r>
      <w:r w:rsidR="009434F6">
        <w:t>-</w:t>
      </w:r>
      <w:r>
        <w:t>based responsibility</w:t>
      </w:r>
    </w:p>
    <w:p w14:paraId="2E6E5861" w14:textId="77777777" w:rsidR="00CA5EEA" w:rsidRPr="008B0FC8" w:rsidRDefault="00CA5EEA" w:rsidP="003D0F16">
      <w:pPr>
        <w:pStyle w:val="ListParagraph"/>
        <w:numPr>
          <w:ilvl w:val="0"/>
          <w:numId w:val="22"/>
        </w:numPr>
      </w:pPr>
      <w:r w:rsidRPr="0095091A">
        <w:t>Analysis of the cost-benefits or value-for-money of the Pilot</w:t>
      </w:r>
    </w:p>
    <w:p w14:paraId="5A4153BC" w14:textId="77777777" w:rsidR="00CA5EEA" w:rsidRPr="008B0FC8" w:rsidRDefault="00CA5EEA" w:rsidP="003D0F16">
      <w:pPr>
        <w:pStyle w:val="ListParagraph"/>
        <w:numPr>
          <w:ilvl w:val="0"/>
          <w:numId w:val="22"/>
        </w:numPr>
      </w:pPr>
      <w:r w:rsidRPr="0095091A">
        <w:t xml:space="preserve">Analysis of change in the rates of drug-related deaths that could be attributed to the Pilot, as the required data (drug-related deaths) </w:t>
      </w:r>
      <w:r w:rsidRPr="008B0FC8">
        <w:t>were not available prior to the end of the evaluation period</w:t>
      </w:r>
    </w:p>
    <w:p w14:paraId="17362C9D" w14:textId="77777777" w:rsidR="00CA5EEA" w:rsidRPr="008B0FC8" w:rsidRDefault="00CA5EEA" w:rsidP="003D0F16">
      <w:pPr>
        <w:pStyle w:val="ListParagraph"/>
        <w:numPr>
          <w:ilvl w:val="0"/>
          <w:numId w:val="22"/>
        </w:numPr>
      </w:pPr>
      <w:r w:rsidRPr="0095091A">
        <w:t xml:space="preserve">Examination of naloxone-related activities that </w:t>
      </w:r>
      <w:r w:rsidRPr="008B0FC8">
        <w:t xml:space="preserve">were not part of this Pilot  </w:t>
      </w:r>
    </w:p>
    <w:p w14:paraId="66E0EF1E" w14:textId="252B83A8" w:rsidR="00CA5EEA" w:rsidRDefault="00CA5EEA" w:rsidP="003D0F16">
      <w:pPr>
        <w:pStyle w:val="ListParagraph"/>
        <w:numPr>
          <w:ilvl w:val="0"/>
          <w:numId w:val="22"/>
        </w:numPr>
      </w:pPr>
      <w:r w:rsidRPr="0095091A">
        <w:t>Analysis of the legislative environments and requirements that enable</w:t>
      </w:r>
      <w:r w:rsidRPr="008B0FC8">
        <w:t>d the Pilot in each state, these having been covered in a report commissioned by the Department from the Burnet Institute</w:t>
      </w:r>
      <w:r>
        <w:t xml:space="preserve"> in mid-2019</w:t>
      </w:r>
      <w:r w:rsidR="00F359CF">
        <w:t xml:space="preserve"> </w:t>
      </w:r>
      <w:r w:rsidR="00C85DD1">
        <w:fldChar w:fldCharType="begin"/>
      </w:r>
      <w:r w:rsidR="00441C1C">
        <w:instrText xml:space="preserve"> ADDIN EN.CITE &lt;EndNote&gt;&lt;Cite&gt;&lt;Author&gt;Dietze&lt;/Author&gt;&lt;Year&gt;2019&lt;/Year&gt;&lt;RecNum&gt;131&lt;/RecNum&gt;&lt;DisplayText&gt;(37)&lt;/DisplayText&gt;&lt;record&gt;&lt;rec-number&gt;131&lt;/rec-number&gt;&lt;foreign-keys&gt;&lt;key app="EN" db-id="p00v9zw27zzswpe25phxpead0asdt50td92p" timestamp="1630301310"&gt;131&lt;/key&gt;&lt;/foreign-keys&gt;&lt;ref-type name="Report"&gt;27&lt;/ref-type&gt;&lt;contributors&gt;&lt;authors&gt;&lt;author&gt;Dietze, P&lt;/author&gt;&lt;author&gt;Nielsen, Suzanne&lt;/author&gt;&lt;author&gt;Djordjevic, F&lt;/author&gt;&lt;author&gt;Lenton, Simon&lt;/author&gt;&lt;/authors&gt;&lt;/contributors&gt;&lt;titles&gt;&lt;title&gt;Roundtable report: Pharmaceutical Benefits Scheme (PBS) Subsidised Take Home Naloxone (THN) Pilot&lt;/title&gt;&lt;/titles&gt;&lt;dates&gt;&lt;year&gt;2019&lt;/year&gt;&lt;/dates&gt;&lt;urls&gt;&lt;/urls&gt;&lt;/record&gt;&lt;/Cite&gt;&lt;/EndNote&gt;</w:instrText>
      </w:r>
      <w:r w:rsidR="00C85DD1">
        <w:fldChar w:fldCharType="separate"/>
      </w:r>
      <w:r w:rsidR="00441C1C">
        <w:rPr>
          <w:noProof/>
        </w:rPr>
        <w:t>(37)</w:t>
      </w:r>
      <w:r w:rsidR="00C85DD1">
        <w:fldChar w:fldCharType="end"/>
      </w:r>
      <w:r w:rsidR="00F359CF">
        <w:t>.</w:t>
      </w:r>
    </w:p>
    <w:p w14:paraId="5E4243DD" w14:textId="230786CD" w:rsidR="00CA5EEA" w:rsidRPr="005A78A7" w:rsidRDefault="00CA5EEA" w:rsidP="001A33CA">
      <w:pPr>
        <w:pStyle w:val="NbrHeading3"/>
      </w:pPr>
      <w:bookmarkStart w:id="102" w:name="_Toc94794099"/>
      <w:bookmarkStart w:id="103" w:name="_Toc94794231"/>
      <w:r w:rsidRPr="005A78A7">
        <w:t>Program Logic and Theory of Change</w:t>
      </w:r>
      <w:bookmarkEnd w:id="102"/>
      <w:bookmarkEnd w:id="103"/>
    </w:p>
    <w:p w14:paraId="2F3259B1" w14:textId="77777777" w:rsidR="00CA5EEA" w:rsidRDefault="00CA5EEA" w:rsidP="004A520E">
      <w:pPr>
        <w:pStyle w:val="BodyText"/>
      </w:pPr>
      <w:r>
        <w:t>The evaluation is based on a formal Program</w:t>
      </w:r>
      <w:r w:rsidRPr="00544516">
        <w:t xml:space="preserve"> Logic and Theory of Change</w:t>
      </w:r>
      <w:r>
        <w:t xml:space="preserve">, which </w:t>
      </w:r>
      <w:r w:rsidRPr="00544516">
        <w:t xml:space="preserve">were developed for the Pilot </w:t>
      </w:r>
      <w:r>
        <w:t xml:space="preserve">by the Evaluation Team </w:t>
      </w:r>
      <w:r w:rsidRPr="00544516">
        <w:t xml:space="preserve">in conjunction with the Department </w:t>
      </w:r>
      <w:r>
        <w:t xml:space="preserve">and core stakeholder group </w:t>
      </w:r>
      <w:r w:rsidRPr="00544516">
        <w:t xml:space="preserve">and agreed as the basis for the Evaluation Plan. </w:t>
      </w:r>
      <w:r>
        <w:t>The principal elements are outlined below.</w:t>
      </w:r>
    </w:p>
    <w:p w14:paraId="39A79E10" w14:textId="0B63F9B1" w:rsidR="00CA5EEA" w:rsidRDefault="00CA5EEA" w:rsidP="000F71C5">
      <w:pPr>
        <w:pStyle w:val="BodyText"/>
      </w:pPr>
      <w:r>
        <w:t xml:space="preserve">The agreed </w:t>
      </w:r>
      <w:r w:rsidRPr="00BF63E8">
        <w:rPr>
          <w:b/>
          <w:bCs/>
        </w:rPr>
        <w:t xml:space="preserve">Goal </w:t>
      </w:r>
      <w:r>
        <w:t xml:space="preserve">of the Pilot is to improve the access to and uptake of naloxone by a range of end-users by addressing these barriers. The </w:t>
      </w:r>
      <w:r w:rsidRPr="00BF63E8">
        <w:rPr>
          <w:b/>
          <w:bCs/>
        </w:rPr>
        <w:t>Theory of Change</w:t>
      </w:r>
      <w:r>
        <w:t xml:space="preserve"> for the Pilot suggests that:</w:t>
      </w:r>
    </w:p>
    <w:p w14:paraId="6E679F94" w14:textId="716492A7" w:rsidR="00CA5EEA" w:rsidRPr="00992E17" w:rsidRDefault="00CA5EEA" w:rsidP="003D0F16">
      <w:pPr>
        <w:pStyle w:val="ListParagraph"/>
        <w:numPr>
          <w:ilvl w:val="0"/>
          <w:numId w:val="20"/>
        </w:numPr>
        <w:rPr>
          <w:lang w:val="en-US"/>
        </w:rPr>
      </w:pPr>
      <w:r w:rsidRPr="00992E17">
        <w:rPr>
          <w:lang w:val="en-US"/>
        </w:rPr>
        <w:lastRenderedPageBreak/>
        <w:t>Promoting the importance of naloxone to people who use prescription and</w:t>
      </w:r>
      <w:r w:rsidR="004E43BC">
        <w:rPr>
          <w:lang w:val="en-US"/>
        </w:rPr>
        <w:t>/or</w:t>
      </w:r>
      <w:r w:rsidRPr="00992E17">
        <w:rPr>
          <w:lang w:val="en-US"/>
        </w:rPr>
        <w:t xml:space="preserve"> illicit opioids will increase community awareness of naloxone as a medication to counteract opioid overdose and increase the number of people who wish to access naloxone</w:t>
      </w:r>
    </w:p>
    <w:p w14:paraId="1861F3D1" w14:textId="77777777" w:rsidR="00CA5EEA" w:rsidRPr="00992E17" w:rsidRDefault="00CA5EEA" w:rsidP="003D0F16">
      <w:pPr>
        <w:pStyle w:val="ListParagraph"/>
        <w:numPr>
          <w:ilvl w:val="0"/>
          <w:numId w:val="20"/>
        </w:numPr>
        <w:rPr>
          <w:lang w:val="en-US"/>
        </w:rPr>
      </w:pPr>
      <w:r w:rsidRPr="00992E17">
        <w:rPr>
          <w:lang w:val="en-US"/>
        </w:rPr>
        <w:t xml:space="preserve">Removing the cost of naloxone and increasing the number </w:t>
      </w:r>
      <w:r>
        <w:rPr>
          <w:lang w:val="en-US"/>
        </w:rPr>
        <w:t xml:space="preserve">and type </w:t>
      </w:r>
      <w:r w:rsidRPr="00992E17">
        <w:rPr>
          <w:lang w:val="en-US"/>
        </w:rPr>
        <w:t>of access sites will increase the number of people who are able to access naloxone</w:t>
      </w:r>
    </w:p>
    <w:p w14:paraId="00D366EE" w14:textId="3A5B0E2C" w:rsidR="00CA5EEA" w:rsidRDefault="00CA5EEA" w:rsidP="003D0F16">
      <w:pPr>
        <w:pStyle w:val="ListParagraph"/>
        <w:numPr>
          <w:ilvl w:val="0"/>
          <w:numId w:val="20"/>
        </w:numPr>
        <w:rPr>
          <w:lang w:val="en-US"/>
        </w:rPr>
      </w:pPr>
      <w:r w:rsidRPr="00992E17">
        <w:rPr>
          <w:lang w:val="en-US"/>
        </w:rPr>
        <w:t xml:space="preserve">Increasing the number of people (both consumers and witnesses) who access naloxone and are comfortable using it to counteract opioid overdoses will contribute to the lowering of </w:t>
      </w:r>
      <w:r w:rsidR="000068C5">
        <w:t>unintentional</w:t>
      </w:r>
      <w:r w:rsidR="000068C5" w:rsidRPr="00992E17" w:rsidDel="000068C5">
        <w:rPr>
          <w:lang w:val="en-US"/>
        </w:rPr>
        <w:t xml:space="preserve"> </w:t>
      </w:r>
      <w:r w:rsidRPr="00992E17">
        <w:rPr>
          <w:lang w:val="en-US"/>
        </w:rPr>
        <w:t>opioid overdose deaths</w:t>
      </w:r>
      <w:r>
        <w:rPr>
          <w:lang w:val="en-US"/>
        </w:rPr>
        <w:t>.</w:t>
      </w:r>
    </w:p>
    <w:p w14:paraId="49206F4F" w14:textId="0E9064AD" w:rsidR="00CA5EEA" w:rsidRDefault="00CA5EEA" w:rsidP="000F71C5">
      <w:pPr>
        <w:pStyle w:val="BodyText"/>
      </w:pPr>
      <w:r>
        <w:t xml:space="preserve">The </w:t>
      </w:r>
      <w:r w:rsidRPr="00E47BA4">
        <w:rPr>
          <w:b/>
          <w:bCs/>
        </w:rPr>
        <w:t>Program Logic</w:t>
      </w:r>
      <w:r>
        <w:t xml:space="preserve"> (Figure 3) represents the expected activities (outputs), </w:t>
      </w:r>
      <w:r w:rsidR="00816372">
        <w:t xml:space="preserve">the </w:t>
      </w:r>
      <w:r w:rsidR="00DB7C22">
        <w:t xml:space="preserve">anticipated </w:t>
      </w:r>
      <w:r>
        <w:t xml:space="preserve">outcomes </w:t>
      </w:r>
      <w:r w:rsidR="0095448F">
        <w:t>of these</w:t>
      </w:r>
      <w:r w:rsidR="00B42E51">
        <w:t xml:space="preserve">, </w:t>
      </w:r>
      <w:r>
        <w:t xml:space="preserve">and </w:t>
      </w:r>
      <w:r w:rsidR="0095448F">
        <w:t xml:space="preserve">desired </w:t>
      </w:r>
      <w:r>
        <w:t xml:space="preserve">impact of the THN Pilot. It specifies assumptions on which this </w:t>
      </w:r>
      <w:r w:rsidR="00707CF6">
        <w:t xml:space="preserve">Logic </w:t>
      </w:r>
      <w:r>
        <w:t xml:space="preserve">is </w:t>
      </w:r>
      <w:proofErr w:type="gramStart"/>
      <w:r>
        <w:t>based, and</w:t>
      </w:r>
      <w:proofErr w:type="gramEnd"/>
      <w:r>
        <w:t xml:space="preserve"> accepts that a range of external factors beyond the control of the Pilot may also influence events, processes and outcomes described. </w:t>
      </w:r>
    </w:p>
    <w:p w14:paraId="7C5B020A" w14:textId="77777777" w:rsidR="00CA5EEA" w:rsidRPr="00590322" w:rsidRDefault="00CA5EEA" w:rsidP="000F71C5">
      <w:pPr>
        <w:pStyle w:val="BodyText"/>
      </w:pPr>
      <w:r w:rsidRPr="00590322">
        <w:t xml:space="preserve">The following terms are used to describe the components of </w:t>
      </w:r>
      <w:r>
        <w:t>the</w:t>
      </w:r>
      <w:r w:rsidRPr="00590322">
        <w:t xml:space="preserve"> Program Logic:</w:t>
      </w:r>
    </w:p>
    <w:p w14:paraId="4A6A24DB" w14:textId="77777777" w:rsidR="00CA5EEA" w:rsidRPr="00590322" w:rsidRDefault="00CA5EEA" w:rsidP="003D0F16">
      <w:pPr>
        <w:pStyle w:val="ListParagraph"/>
        <w:numPr>
          <w:ilvl w:val="0"/>
          <w:numId w:val="75"/>
        </w:numPr>
      </w:pPr>
      <w:r w:rsidRPr="00A23A39">
        <w:rPr>
          <w:b/>
        </w:rPr>
        <w:t>Problem statement</w:t>
      </w:r>
      <w:r w:rsidRPr="00590322">
        <w:t xml:space="preserve">: describes the nature and extent of the problem that needs to be addressed by the </w:t>
      </w:r>
      <w:r>
        <w:t>Pilot</w:t>
      </w:r>
    </w:p>
    <w:p w14:paraId="6514BCB3" w14:textId="77777777" w:rsidR="00CA5EEA" w:rsidRPr="00590322" w:rsidRDefault="00CA5EEA" w:rsidP="003D0F16">
      <w:pPr>
        <w:pStyle w:val="ListParagraph"/>
        <w:numPr>
          <w:ilvl w:val="0"/>
          <w:numId w:val="75"/>
        </w:numPr>
      </w:pPr>
      <w:r w:rsidRPr="00A23A39">
        <w:rPr>
          <w:b/>
        </w:rPr>
        <w:t>Inputs</w:t>
      </w:r>
      <w:r w:rsidRPr="00590322">
        <w:t>: Financial</w:t>
      </w:r>
      <w:r>
        <w:t>,</w:t>
      </w:r>
      <w:r w:rsidRPr="00590322">
        <w:t xml:space="preserve"> </w:t>
      </w:r>
      <w:proofErr w:type="gramStart"/>
      <w:r w:rsidRPr="00590322">
        <w:t>human</w:t>
      </w:r>
      <w:proofErr w:type="gramEnd"/>
      <w:r w:rsidRPr="00590322">
        <w:t xml:space="preserve"> and other resources used to undertake activities which are expected to produce outputs</w:t>
      </w:r>
    </w:p>
    <w:p w14:paraId="67980261" w14:textId="77777777" w:rsidR="00CA5EEA" w:rsidRPr="00590322" w:rsidRDefault="00CA5EEA" w:rsidP="003D0F16">
      <w:pPr>
        <w:pStyle w:val="ListParagraph"/>
        <w:numPr>
          <w:ilvl w:val="0"/>
          <w:numId w:val="75"/>
        </w:numPr>
      </w:pPr>
      <w:r w:rsidRPr="00A23A39">
        <w:rPr>
          <w:b/>
        </w:rPr>
        <w:t>Output</w:t>
      </w:r>
      <w:r w:rsidRPr="00590322">
        <w:t xml:space="preserve">: A defined quantity of </w:t>
      </w:r>
      <w:r>
        <w:t>items</w:t>
      </w:r>
      <w:r w:rsidRPr="00590322">
        <w:t xml:space="preserve">, events and services provided by the </w:t>
      </w:r>
      <w:r>
        <w:t>Pilot</w:t>
      </w:r>
    </w:p>
    <w:p w14:paraId="4DA03DE5" w14:textId="77777777" w:rsidR="00CA5EEA" w:rsidRPr="00590322" w:rsidRDefault="00CA5EEA" w:rsidP="003D0F16">
      <w:pPr>
        <w:pStyle w:val="ListParagraph"/>
        <w:numPr>
          <w:ilvl w:val="0"/>
          <w:numId w:val="75"/>
        </w:numPr>
      </w:pPr>
      <w:r w:rsidRPr="00A23A39">
        <w:rPr>
          <w:b/>
        </w:rPr>
        <w:t>Outcomes</w:t>
      </w:r>
      <w:r w:rsidRPr="00590322">
        <w:t xml:space="preserve">: Changes that are expected to occur after the delivery of an output or several outputs; outcomes are broken down into early, intermediate, and long term, with timeframes defined for the </w:t>
      </w:r>
      <w:r>
        <w:t>Pilot</w:t>
      </w:r>
      <w:r w:rsidRPr="004922F2">
        <w:t xml:space="preserve"> </w:t>
      </w:r>
    </w:p>
    <w:p w14:paraId="1773614C" w14:textId="0DDF3161" w:rsidR="00CA5EEA" w:rsidRDefault="00CA5EEA" w:rsidP="003D0F16">
      <w:pPr>
        <w:pStyle w:val="ListParagraph"/>
        <w:numPr>
          <w:ilvl w:val="0"/>
          <w:numId w:val="75"/>
        </w:numPr>
      </w:pPr>
      <w:r w:rsidRPr="00A23A39">
        <w:rPr>
          <w:b/>
        </w:rPr>
        <w:t>Impact</w:t>
      </w:r>
      <w:r w:rsidRPr="00590322">
        <w:t xml:space="preserve">: Change in context </w:t>
      </w:r>
      <w:proofErr w:type="gramStart"/>
      <w:r w:rsidRPr="00590322">
        <w:t>as a result of</w:t>
      </w:r>
      <w:proofErr w:type="gramEnd"/>
      <w:r w:rsidRPr="00590322">
        <w:t xml:space="preserve"> interventions, events or trends; often much longer term</w:t>
      </w:r>
      <w:r w:rsidR="00121692">
        <w:t xml:space="preserve"> (3-5 years</w:t>
      </w:r>
      <w:r w:rsidR="00B30072">
        <w:t xml:space="preserve"> post-intervention</w:t>
      </w:r>
      <w:r w:rsidR="00121692">
        <w:t>)</w:t>
      </w:r>
      <w:r>
        <w:t>, and may not be expected to be observed within the timeframe of the Pilot</w:t>
      </w:r>
    </w:p>
    <w:p w14:paraId="75C76B88" w14:textId="0781EE8B" w:rsidR="00935A6B" w:rsidRDefault="002E3009" w:rsidP="000F71C5">
      <w:pPr>
        <w:pStyle w:val="BodyText"/>
      </w:pPr>
      <w:r>
        <w:t>Our evaluation</w:t>
      </w:r>
      <w:r w:rsidR="00935A6B">
        <w:t xml:space="preserve"> examined whether </w:t>
      </w:r>
      <w:r w:rsidR="0012537B">
        <w:t xml:space="preserve">the </w:t>
      </w:r>
      <w:r w:rsidR="008D0349">
        <w:t>expected activities took place</w:t>
      </w:r>
      <w:r w:rsidR="0027723D">
        <w:t xml:space="preserve"> and</w:t>
      </w:r>
      <w:r w:rsidR="008D0349">
        <w:t xml:space="preserve"> </w:t>
      </w:r>
      <w:r w:rsidR="00A23E1F">
        <w:t>the expected outcomes</w:t>
      </w:r>
      <w:r>
        <w:t xml:space="preserve"> occurred. We </w:t>
      </w:r>
      <w:r w:rsidR="00AF1847">
        <w:t>assessed whether</w:t>
      </w:r>
      <w:r w:rsidR="00A23E1F">
        <w:t xml:space="preserve"> </w:t>
      </w:r>
      <w:r w:rsidR="00935A6B">
        <w:t xml:space="preserve">the assumptions articulated for the Program Logic held over the course of the Pilot, and whether the specified external factors did affect its implementation (see Section 3.2). </w:t>
      </w:r>
    </w:p>
    <w:p w14:paraId="406851B0" w14:textId="6F4A88F2" w:rsidR="00CA5EEA" w:rsidRDefault="00CF3796" w:rsidP="000F71C5">
      <w:pPr>
        <w:pStyle w:val="BodyText"/>
      </w:pPr>
      <w:r>
        <w:t xml:space="preserve">Noting the above definition, we would </w:t>
      </w:r>
      <w:r w:rsidR="00A36DFD">
        <w:t xml:space="preserve">not </w:t>
      </w:r>
      <w:r>
        <w:t xml:space="preserve">expect </w:t>
      </w:r>
      <w:r w:rsidR="00A36DFD">
        <w:t>to see the impacts for this Pilot (</w:t>
      </w:r>
      <w:r w:rsidR="008E5BBB" w:rsidRPr="00A10E3C">
        <w:rPr>
          <w:i/>
        </w:rPr>
        <w:t>reduction of opioid overdose deaths</w:t>
      </w:r>
      <w:r w:rsidR="008E5BBB">
        <w:t xml:space="preserve"> and </w:t>
      </w:r>
      <w:r w:rsidR="008E5BBB" w:rsidRPr="00A10E3C">
        <w:rPr>
          <w:i/>
        </w:rPr>
        <w:t>change</w:t>
      </w:r>
      <w:r w:rsidR="00A36DFD" w:rsidRPr="00A10E3C">
        <w:rPr>
          <w:i/>
        </w:rPr>
        <w:t xml:space="preserve"> in patterns of opioid use</w:t>
      </w:r>
      <w:r w:rsidR="008E5BBB">
        <w:t xml:space="preserve">; refer to Figure </w:t>
      </w:r>
      <w:r w:rsidR="007D7302">
        <w:t>3</w:t>
      </w:r>
      <w:r w:rsidR="008E5BBB">
        <w:t>)</w:t>
      </w:r>
      <w:r w:rsidR="00A36DFD">
        <w:t xml:space="preserve"> during the timeframe of th</w:t>
      </w:r>
      <w:r w:rsidR="00A10E3C">
        <w:t>is</w:t>
      </w:r>
      <w:r w:rsidR="00A36DFD">
        <w:t xml:space="preserve"> Pilot.</w:t>
      </w:r>
      <w:r>
        <w:t xml:space="preserve"> </w:t>
      </w:r>
      <w:r w:rsidR="00A10E3C">
        <w:t>In addition to this</w:t>
      </w:r>
      <w:r w:rsidR="00240DF1">
        <w:t xml:space="preserve"> expectation</w:t>
      </w:r>
      <w:r w:rsidR="00A10E3C">
        <w:t>,</w:t>
      </w:r>
      <w:r w:rsidR="00440B76">
        <w:t xml:space="preserve"> there is typically a lag of 2-3 years in receiving final estimates of drug-induced deaths</w:t>
      </w:r>
      <w:r w:rsidR="00121692">
        <w:rPr>
          <w:rStyle w:val="FootnoteReference"/>
        </w:rPr>
        <w:footnoteReference w:id="3"/>
      </w:r>
      <w:r w:rsidR="00A10E3C">
        <w:t>, meaning that evidence of any such changes will not be available for several years after that time.</w:t>
      </w:r>
    </w:p>
    <w:p w14:paraId="4F6F93A5" w14:textId="4F719AED" w:rsidR="00CA5EEA" w:rsidRDefault="00CA5EEA" w:rsidP="00BD649F">
      <w:pPr>
        <w:pStyle w:val="BodyText"/>
        <w:rPr>
          <w:i/>
          <w:iCs/>
          <w:color w:val="44546A" w:themeColor="text2"/>
          <w:szCs w:val="18"/>
        </w:rPr>
      </w:pPr>
      <w:r>
        <w:t>An extensive Indicator Matrix (matrix) was constructed to allow us to monitor the occurrence of the expected outputs and assess whether anticipated outcomes took place. This matrix specified assessment methods and data sources for each indicator and was agreed with the Department as part of the approved Evaluation Plan. An abbreviated version is included as Appendix C. Evaluation activities were designed to address this matrix. The activities included collection and analysis of primary data, analysis of administrative data, stakeholder consultations and analyses of program documentation. These are described briefly in the following section (Section 2.</w:t>
      </w:r>
      <w:r w:rsidR="00E87A4D">
        <w:t>2</w:t>
      </w:r>
      <w:r>
        <w:t>: Key evaluation activities).</w:t>
      </w:r>
      <w:r w:rsidR="00136962">
        <w:t xml:space="preserve"> </w:t>
      </w:r>
      <w:r>
        <w:br w:type="page"/>
      </w:r>
    </w:p>
    <w:p w14:paraId="0680099F" w14:textId="4192219D" w:rsidR="00CA5EEA" w:rsidRPr="00DA361A" w:rsidRDefault="00CA5EEA" w:rsidP="003D0F16">
      <w:pPr>
        <w:pStyle w:val="Caption"/>
      </w:pPr>
      <w:bookmarkStart w:id="104" w:name="_Toc81401852"/>
      <w:bookmarkStart w:id="105" w:name="_Toc94794339"/>
      <w:r>
        <w:lastRenderedPageBreak/>
        <w:t xml:space="preserve">Figure </w:t>
      </w:r>
      <w:r w:rsidR="005C211A">
        <w:fldChar w:fldCharType="begin"/>
      </w:r>
      <w:r w:rsidR="005C211A">
        <w:instrText xml:space="preserve"> SEQ Figure \* ARABIC </w:instrText>
      </w:r>
      <w:r w:rsidR="005C211A">
        <w:fldChar w:fldCharType="separate"/>
      </w:r>
      <w:r w:rsidR="00EE19AD">
        <w:rPr>
          <w:noProof/>
        </w:rPr>
        <w:t>3</w:t>
      </w:r>
      <w:r w:rsidR="005C211A">
        <w:rPr>
          <w:noProof/>
        </w:rPr>
        <w:fldChar w:fldCharType="end"/>
      </w:r>
      <w:r w:rsidR="008F7784">
        <w:t>.</w:t>
      </w:r>
      <w:r>
        <w:t xml:space="preserve"> Program Logic for the PBS Subsidised THN Pilot</w:t>
      </w:r>
      <w:bookmarkEnd w:id="104"/>
      <w:bookmarkEnd w:id="105"/>
    </w:p>
    <w:p w14:paraId="78FDC2B8" w14:textId="77777777" w:rsidR="00CA5EEA" w:rsidRPr="00902578" w:rsidRDefault="00CA5EEA" w:rsidP="003D0F16">
      <w:pPr>
        <w:ind w:left="426"/>
        <w:rPr>
          <w:b/>
          <w:bCs/>
          <w:iCs/>
        </w:rPr>
      </w:pPr>
      <w:r w:rsidRPr="00902578">
        <w:rPr>
          <w:b/>
          <w:bCs/>
          <w:iCs/>
        </w:rPr>
        <w:t>Problem Statement:</w:t>
      </w:r>
    </w:p>
    <w:p w14:paraId="127769BB" w14:textId="54801AC1" w:rsidR="00CA5EEA" w:rsidRDefault="00CA5EEA" w:rsidP="000C0B13">
      <w:pPr>
        <w:ind w:left="425"/>
        <w:rPr>
          <w:sz w:val="20"/>
          <w:szCs w:val="20"/>
        </w:rPr>
      </w:pPr>
      <w:r w:rsidRPr="00662FB7">
        <w:rPr>
          <w:sz w:val="20"/>
          <w:szCs w:val="20"/>
        </w:rPr>
        <w:t xml:space="preserve">Limited access to naloxone is a barrier to addressing the increased rate of opioid overdose-related deaths in Australia. Factors thought to be among the key barriers to uptake and use of naloxone </w:t>
      </w:r>
      <w:proofErr w:type="gramStart"/>
      <w:r w:rsidRPr="00662FB7">
        <w:rPr>
          <w:sz w:val="20"/>
          <w:szCs w:val="20"/>
        </w:rPr>
        <w:t>are:</w:t>
      </w:r>
      <w:proofErr w:type="gramEnd"/>
      <w:r w:rsidRPr="00662FB7">
        <w:rPr>
          <w:sz w:val="20"/>
          <w:szCs w:val="20"/>
        </w:rPr>
        <w:t xml:space="preserve"> low awareness of naloxone among individuals who use illicit and/or prescription opioids (consumers); low awareness among families and community members who are likely to witness an overdose (witnesses); the cost of purchasing naloxone: and the lack of naloxone availability in community settings, especially in regional areas.</w:t>
      </w:r>
    </w:p>
    <w:p w14:paraId="518F5074" w14:textId="1F01388D" w:rsidR="006601C3" w:rsidRDefault="006601C3" w:rsidP="000C0B13">
      <w:pPr>
        <w:ind w:left="425"/>
        <w:rPr>
          <w:lang w:eastAsia="en-AU"/>
        </w:rPr>
      </w:pPr>
      <w:r w:rsidRPr="006601C3">
        <w:rPr>
          <w:noProof/>
        </w:rPr>
        <w:drawing>
          <wp:inline distT="0" distB="0" distL="0" distR="0" wp14:anchorId="4ECBE2BC" wp14:editId="474A4135">
            <wp:extent cx="5600700" cy="7005526"/>
            <wp:effectExtent l="0" t="0" r="0" b="0"/>
            <wp:docPr id="7" name="Picture 7" descr="Figure 3 is a flowchart of the Program Logic for the PBS Subsidised THN Pilot.  This is explain within thi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3 is a flowchart of the Program Logic for the PBS Subsidised THN Pilot.  This is explain within this documen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01799" cy="7006901"/>
                    </a:xfrm>
                    <a:prstGeom prst="rect">
                      <a:avLst/>
                    </a:prstGeom>
                    <a:noFill/>
                    <a:ln>
                      <a:noFill/>
                    </a:ln>
                  </pic:spPr>
                </pic:pic>
              </a:graphicData>
            </a:graphic>
          </wp:inline>
        </w:drawing>
      </w:r>
    </w:p>
    <w:p w14:paraId="07502988" w14:textId="42B24E69" w:rsidR="00CA5EEA" w:rsidRDefault="00CA5EEA" w:rsidP="00122779">
      <w:pPr>
        <w:pStyle w:val="NbrHeading3"/>
      </w:pPr>
      <w:r>
        <w:br w:type="page"/>
      </w:r>
      <w:bookmarkStart w:id="106" w:name="_Toc94794100"/>
      <w:bookmarkStart w:id="107" w:name="_Toc94794232"/>
      <w:r>
        <w:lastRenderedPageBreak/>
        <w:t>Ethics</w:t>
      </w:r>
      <w:bookmarkEnd w:id="106"/>
      <w:bookmarkEnd w:id="107"/>
    </w:p>
    <w:p w14:paraId="2955F490" w14:textId="22034798" w:rsidR="00CA5EEA" w:rsidRPr="00711606" w:rsidRDefault="00CA5EEA" w:rsidP="000F71C5">
      <w:pPr>
        <w:pStyle w:val="BodyText"/>
      </w:pPr>
      <w:r>
        <w:t xml:space="preserve">Ethics approvals for all evaluation activities were obtained from The University of Queensland Human Research Ethics Committee </w:t>
      </w:r>
      <w:r w:rsidRPr="003F720D">
        <w:t>(</w:t>
      </w:r>
      <w:r w:rsidR="00705E6D">
        <w:t xml:space="preserve">HREC </w:t>
      </w:r>
      <w:r w:rsidRPr="003F720D">
        <w:t xml:space="preserve">approval # 2019002505) </w:t>
      </w:r>
      <w:r>
        <w:t>and from St Vincent’s Hospital Sydney under the National Mutual Acceptance Scheme</w:t>
      </w:r>
      <w:r w:rsidRPr="003F720D">
        <w:t xml:space="preserve"> (approval # 2020/ETH00376),</w:t>
      </w:r>
      <w:r>
        <w:t xml:space="preserve"> which provided reciprocal approval with public health government HRECs in NSW, </w:t>
      </w:r>
      <w:proofErr w:type="gramStart"/>
      <w:r>
        <w:t>SA</w:t>
      </w:r>
      <w:proofErr w:type="gramEnd"/>
      <w:r>
        <w:t xml:space="preserve"> and WA. Site-specific approvals and additional clearances were obtained through local governance arrangements where required. All participants provided informed consent prior to engagement with the evaluation.</w:t>
      </w:r>
    </w:p>
    <w:p w14:paraId="1081616E" w14:textId="0B54218B" w:rsidR="00CA5EEA" w:rsidRPr="00A422CA" w:rsidRDefault="00CA5EEA" w:rsidP="00A0570E">
      <w:pPr>
        <w:pStyle w:val="NbrHeading2"/>
      </w:pPr>
      <w:bookmarkStart w:id="108" w:name="_Toc94794101"/>
      <w:bookmarkStart w:id="109" w:name="_Toc94794233"/>
      <w:r w:rsidRPr="00A422CA">
        <w:t>Key evaluation activities</w:t>
      </w:r>
      <w:bookmarkEnd w:id="108"/>
      <w:bookmarkEnd w:id="109"/>
    </w:p>
    <w:p w14:paraId="4E837CFF" w14:textId="77777777" w:rsidR="00CA5EEA" w:rsidRDefault="00CA5EEA" w:rsidP="003D0F16">
      <w:pPr>
        <w:pStyle w:val="NbrHeading3"/>
      </w:pPr>
      <w:bookmarkStart w:id="110" w:name="_Toc78970173"/>
      <w:bookmarkStart w:id="111" w:name="_Toc94794102"/>
      <w:bookmarkStart w:id="112" w:name="_Toc94794234"/>
      <w:r>
        <w:t>Primary data collection</w:t>
      </w:r>
      <w:bookmarkEnd w:id="110"/>
      <w:bookmarkEnd w:id="111"/>
      <w:bookmarkEnd w:id="112"/>
    </w:p>
    <w:p w14:paraId="255F19C8" w14:textId="3D658536" w:rsidR="00CA5EEA" w:rsidRDefault="00CA5EEA" w:rsidP="000F71C5">
      <w:pPr>
        <w:pStyle w:val="BodyText"/>
      </w:pPr>
      <w:r>
        <w:t xml:space="preserve">We undertook a suite of primary data collection activities that gathered quantitative and qualitative data from people who participated in the Pilot as consumers (recipients of THN) and </w:t>
      </w:r>
      <w:r w:rsidR="00896F78">
        <w:t xml:space="preserve">front-line </w:t>
      </w:r>
      <w:r>
        <w:t xml:space="preserve">staff of sites where naloxone was provided (Access Site staff). These included interviews of consumers and staff, and direct observation of practice (mystery shopping). We did not seek a representative </w:t>
      </w:r>
      <w:proofErr w:type="gramStart"/>
      <w:r>
        <w:t>sample, but</w:t>
      </w:r>
      <w:proofErr w:type="gramEnd"/>
      <w:r>
        <w:t xml:space="preserve"> aimed for inclusion of a range of perspectives and settings, particularly those not examined in previous evaluations. Where possible we conducted repeat interviews across the period of the Pilot to assess </w:t>
      </w:r>
      <w:r w:rsidR="00896F78">
        <w:t xml:space="preserve">any potential </w:t>
      </w:r>
      <w:r>
        <w:t>change</w:t>
      </w:r>
      <w:r w:rsidR="00896F78">
        <w:t xml:space="preserve"> during maturation of the Pilot implementation</w:t>
      </w:r>
      <w:r>
        <w:t xml:space="preserve">. </w:t>
      </w:r>
    </w:p>
    <w:p w14:paraId="4796717B" w14:textId="4BA6D718" w:rsidR="00896F78" w:rsidRDefault="00CA5EEA" w:rsidP="000F71C5">
      <w:pPr>
        <w:pStyle w:val="BodyText"/>
      </w:pPr>
      <w:r>
        <w:t xml:space="preserve">Consumers were recruited through pharmacies and other Authorised Alternative Suppliers (AAS). We conducted 320 consumer interviews of 213 individuals; </w:t>
      </w:r>
      <w:r w:rsidR="003F688A">
        <w:t xml:space="preserve">131 </w:t>
      </w:r>
      <w:r>
        <w:t xml:space="preserve">were interviewed once, 60 twice and 23 on three occasions. Repeat interviews were conducted at least four months apart, depending on the time of </w:t>
      </w:r>
      <w:r w:rsidR="00F94027">
        <w:t xml:space="preserve">initial </w:t>
      </w:r>
      <w:r>
        <w:t xml:space="preserve">recruitment. </w:t>
      </w:r>
      <w:r w:rsidR="00896F78">
        <w:t xml:space="preserve">Consumer interviews were semi-structured, conducted primarily over the phone, and participants were reimbursed for their participation. </w:t>
      </w:r>
    </w:p>
    <w:p w14:paraId="200A53EB" w14:textId="1BF33402" w:rsidR="00896F78" w:rsidRDefault="00896F78" w:rsidP="000F71C5">
      <w:pPr>
        <w:pStyle w:val="BodyText"/>
      </w:pPr>
      <w:r>
        <w:t xml:space="preserve">Access site staff interviews </w:t>
      </w:r>
      <w:r w:rsidR="00667B40">
        <w:t xml:space="preserve">(n=66) </w:t>
      </w:r>
      <w:r>
        <w:t>were also semi-structured and conducted over the phone, but participants were not reimbursed. Consumer interviews covered experience of receiving THN, personal circumstances and use of THN. Staff interviews discussed experience of and confidence in providing THN, and procedural and workload changes needed</w:t>
      </w:r>
      <w:r w:rsidR="00724915">
        <w:t xml:space="preserve"> to provide THN under the Pilot</w:t>
      </w:r>
      <w:r>
        <w:t>.</w:t>
      </w:r>
      <w:r w:rsidR="00834A09">
        <w:t xml:space="preserve"> Follow up interviews </w:t>
      </w:r>
      <w:r w:rsidR="00F4289D">
        <w:t>(n=15)</w:t>
      </w:r>
      <w:r w:rsidR="004353C5">
        <w:t xml:space="preserve"> were conducted over the phone to </w:t>
      </w:r>
      <w:r w:rsidR="00D94DE4">
        <w:t xml:space="preserve">discuss changes in </w:t>
      </w:r>
      <w:r w:rsidR="000A6019">
        <w:t>practice over ti</w:t>
      </w:r>
      <w:r w:rsidR="002D6DFE">
        <w:t>me as the Pilot progressed.</w:t>
      </w:r>
    </w:p>
    <w:p w14:paraId="3558CE0F" w14:textId="2769E9DF" w:rsidR="002B6619" w:rsidRDefault="002B6619" w:rsidP="000F71C5">
      <w:pPr>
        <w:pStyle w:val="BodyText"/>
      </w:pPr>
      <w:r>
        <w:t>Mystery shopping</w:t>
      </w:r>
      <w:r w:rsidR="00036837">
        <w:t xml:space="preserve"> visits </w:t>
      </w:r>
      <w:r w:rsidR="00667B40">
        <w:t xml:space="preserve">(n=24) </w:t>
      </w:r>
      <w:r w:rsidR="00036837">
        <w:t xml:space="preserve">were undertaken to directly observe the settings and practices of THN provision. </w:t>
      </w:r>
      <w:r w:rsidR="00873D18">
        <w:t>Sites were selected using</w:t>
      </w:r>
      <w:r w:rsidR="007E7609">
        <w:t xml:space="preserve"> information on </w:t>
      </w:r>
      <w:r w:rsidR="00A13613">
        <w:t xml:space="preserve">the </w:t>
      </w:r>
      <w:r w:rsidR="00A975AB">
        <w:t xml:space="preserve">recorded </w:t>
      </w:r>
      <w:r w:rsidR="00A13613">
        <w:t xml:space="preserve">frequency of THN provision </w:t>
      </w:r>
      <w:r w:rsidR="00A975AB">
        <w:t>(high</w:t>
      </w:r>
      <w:r w:rsidR="00FE0EB8">
        <w:t xml:space="preserve">, </w:t>
      </w:r>
      <w:r w:rsidR="00A975AB">
        <w:t>low</w:t>
      </w:r>
      <w:r w:rsidR="00D9689B">
        <w:t>, or sudden changes</w:t>
      </w:r>
      <w:r w:rsidR="00A975AB">
        <w:t>)</w:t>
      </w:r>
      <w:r w:rsidR="00BD739B">
        <w:t xml:space="preserve"> </w:t>
      </w:r>
      <w:r w:rsidR="00554681">
        <w:t>or to repre</w:t>
      </w:r>
      <w:r w:rsidR="009262E1">
        <w:t>se</w:t>
      </w:r>
      <w:r w:rsidR="00554681">
        <w:t>nt a key location</w:t>
      </w:r>
      <w:r w:rsidR="009262E1">
        <w:t>/service type.</w:t>
      </w:r>
      <w:r w:rsidR="007E6982">
        <w:t xml:space="preserve"> Mystery</w:t>
      </w:r>
      <w:r w:rsidR="007E6982" w:rsidDel="00CD1F97">
        <w:t xml:space="preserve"> </w:t>
      </w:r>
      <w:r w:rsidR="00CD1F97">
        <w:t>shopping</w:t>
      </w:r>
      <w:r w:rsidR="00893CA1">
        <w:t xml:space="preserve"> </w:t>
      </w:r>
      <w:r w:rsidR="00CF3543">
        <w:t>visit</w:t>
      </w:r>
      <w:r w:rsidR="00780289">
        <w:t>or</w:t>
      </w:r>
      <w:r w:rsidR="00CF3543">
        <w:t>s</w:t>
      </w:r>
      <w:r w:rsidR="007E6982">
        <w:t xml:space="preserve"> observed the setting</w:t>
      </w:r>
      <w:r w:rsidR="007E7B58">
        <w:t xml:space="preserve">, requested naloxone, and recorded their experience according to a checklist </w:t>
      </w:r>
      <w:r w:rsidR="0079202D">
        <w:t>immediately post-visit.</w:t>
      </w:r>
      <w:r w:rsidR="00A13613">
        <w:t xml:space="preserve"> </w:t>
      </w:r>
    </w:p>
    <w:p w14:paraId="4C6CCAA6" w14:textId="5C1EE89F" w:rsidR="00CA5EEA" w:rsidRDefault="00CA5EEA" w:rsidP="000F71C5">
      <w:pPr>
        <w:pStyle w:val="BodyText"/>
      </w:pPr>
      <w:r>
        <w:t xml:space="preserve">Table 1 below shows the distribution of these </w:t>
      </w:r>
      <w:r w:rsidR="00896F78">
        <w:t xml:space="preserve">interviews </w:t>
      </w:r>
      <w:r>
        <w:t>across the Pilot states</w:t>
      </w:r>
      <w:r w:rsidR="00A5519B">
        <w:t>,</w:t>
      </w:r>
      <w:r>
        <w:t xml:space="preserve"> types of consumers (as self-identified</w:t>
      </w:r>
      <w:r w:rsidR="00A5519B">
        <w:t xml:space="preserve"> to the research coordinator</w:t>
      </w:r>
      <w:r>
        <w:t>)</w:t>
      </w:r>
      <w:r w:rsidR="00A5519B">
        <w:t xml:space="preserve"> and</w:t>
      </w:r>
      <w:r w:rsidR="00896F78">
        <w:t xml:space="preserve"> access site</w:t>
      </w:r>
      <w:r w:rsidR="00A5519B">
        <w:t xml:space="preserve"> type</w:t>
      </w:r>
      <w:r w:rsidR="00896F78">
        <w:t>s</w:t>
      </w:r>
      <w:r>
        <w:t>.</w:t>
      </w:r>
      <w:r w:rsidR="00A5519B">
        <w:t xml:space="preserve"> Note that consumers who self-identified as using prescribed opioids may also have used illicit and/or diverted prescription opioids. “Potential witnesses” were people who declared no opioid use, and “other people” was a proxy option to include people who identified as primarily using illicit and/or diverted prescription opioids.</w:t>
      </w:r>
    </w:p>
    <w:p w14:paraId="35115B04" w14:textId="1DEEDD80" w:rsidR="00CA5EEA" w:rsidRDefault="00CA5EEA" w:rsidP="006601C3">
      <w:pPr>
        <w:pStyle w:val="Caption"/>
        <w:pageBreakBefore/>
        <w:rPr>
          <w:lang w:eastAsia="en-AU"/>
        </w:rPr>
      </w:pPr>
      <w:bookmarkStart w:id="113" w:name="_Toc80187919"/>
      <w:bookmarkStart w:id="114" w:name="_Toc81401853"/>
      <w:bookmarkStart w:id="115" w:name="_Toc94794331"/>
      <w:r>
        <w:lastRenderedPageBreak/>
        <w:t xml:space="preserve">Table </w:t>
      </w:r>
      <w:r>
        <w:fldChar w:fldCharType="begin"/>
      </w:r>
      <w:r>
        <w:instrText>SEQ Table \* ARABIC</w:instrText>
      </w:r>
      <w:r>
        <w:fldChar w:fldCharType="separate"/>
      </w:r>
      <w:r w:rsidR="00EE19AD">
        <w:rPr>
          <w:noProof/>
        </w:rPr>
        <w:t>1</w:t>
      </w:r>
      <w:r>
        <w:fldChar w:fldCharType="end"/>
      </w:r>
      <w:r>
        <w:t>: Primary data collection completed for the Pilot evaluation</w:t>
      </w:r>
      <w:bookmarkEnd w:id="113"/>
      <w:bookmarkEnd w:id="114"/>
      <w:bookmarkEnd w:id="115"/>
    </w:p>
    <w:tbl>
      <w:tblPr>
        <w:tblStyle w:val="TableUQLined"/>
        <w:tblW w:w="8285" w:type="dxa"/>
        <w:tblCellMar>
          <w:top w:w="57" w:type="dxa"/>
          <w:left w:w="57" w:type="dxa"/>
          <w:bottom w:w="57" w:type="dxa"/>
          <w:right w:w="57" w:type="dxa"/>
        </w:tblCellMar>
        <w:tblLook w:val="04A0" w:firstRow="1" w:lastRow="0" w:firstColumn="1" w:lastColumn="0" w:noHBand="0" w:noVBand="1"/>
      </w:tblPr>
      <w:tblGrid>
        <w:gridCol w:w="5624"/>
        <w:gridCol w:w="768"/>
        <w:gridCol w:w="518"/>
        <w:gridCol w:w="592"/>
        <w:gridCol w:w="783"/>
      </w:tblGrid>
      <w:tr w:rsidR="00CA5EEA" w:rsidRPr="00B432D7" w14:paraId="173192EF" w14:textId="77777777" w:rsidTr="00A5519B">
        <w:trPr>
          <w:cnfStyle w:val="100000000000" w:firstRow="1" w:lastRow="0" w:firstColumn="0" w:lastColumn="0" w:oddVBand="0" w:evenVBand="0" w:oddHBand="0" w:evenHBand="0" w:firstRowFirstColumn="0" w:firstRowLastColumn="0" w:lastRowFirstColumn="0" w:lastRowLastColumn="0"/>
          <w:trHeight w:val="290"/>
          <w:tblHeader/>
        </w:trPr>
        <w:tc>
          <w:tcPr>
            <w:tcW w:w="5624" w:type="dxa"/>
            <w:noWrap/>
          </w:tcPr>
          <w:p w14:paraId="75DD8151" w14:textId="77777777" w:rsidR="00CA5EEA" w:rsidRPr="00A95A98" w:rsidRDefault="00CA5EEA" w:rsidP="003D0F16">
            <w:pPr>
              <w:rPr>
                <w:rFonts w:cstheme="minorHAnsi"/>
                <w:b/>
                <w:sz w:val="20"/>
                <w:szCs w:val="20"/>
                <w:lang w:eastAsia="en-AU"/>
              </w:rPr>
            </w:pPr>
            <w:r>
              <w:rPr>
                <w:rFonts w:cstheme="minorHAnsi"/>
                <w:b/>
                <w:sz w:val="20"/>
                <w:szCs w:val="20"/>
                <w:lang w:eastAsia="en-AU"/>
              </w:rPr>
              <w:t>Participants</w:t>
            </w:r>
            <w:r w:rsidRPr="00A95A98">
              <w:rPr>
                <w:rFonts w:cstheme="minorHAnsi"/>
                <w:b/>
                <w:sz w:val="20"/>
                <w:szCs w:val="20"/>
                <w:lang w:eastAsia="en-AU"/>
              </w:rPr>
              <w:t>/</w:t>
            </w:r>
            <w:r>
              <w:rPr>
                <w:rFonts w:cstheme="minorHAnsi"/>
                <w:b/>
                <w:sz w:val="20"/>
                <w:szCs w:val="20"/>
                <w:lang w:eastAsia="en-AU"/>
              </w:rPr>
              <w:t>S</w:t>
            </w:r>
            <w:r w:rsidRPr="00A95A98">
              <w:rPr>
                <w:rFonts w:cstheme="minorHAnsi"/>
                <w:b/>
                <w:sz w:val="20"/>
                <w:szCs w:val="20"/>
                <w:lang w:eastAsia="en-AU"/>
              </w:rPr>
              <w:t>etting</w:t>
            </w:r>
          </w:p>
        </w:tc>
        <w:tc>
          <w:tcPr>
            <w:tcW w:w="768" w:type="dxa"/>
            <w:noWrap/>
          </w:tcPr>
          <w:p w14:paraId="4DB6EA99" w14:textId="77777777" w:rsidR="00CA5EEA" w:rsidRPr="00A95A98" w:rsidRDefault="00CA5EEA" w:rsidP="003D0F16">
            <w:pPr>
              <w:rPr>
                <w:rFonts w:cstheme="minorHAnsi"/>
                <w:b/>
                <w:sz w:val="20"/>
                <w:szCs w:val="20"/>
                <w:lang w:eastAsia="en-AU"/>
              </w:rPr>
            </w:pPr>
            <w:r w:rsidRPr="00A95A98">
              <w:rPr>
                <w:rFonts w:cstheme="minorHAnsi"/>
                <w:b/>
                <w:sz w:val="20"/>
                <w:szCs w:val="20"/>
                <w:lang w:eastAsia="en-AU"/>
              </w:rPr>
              <w:t>NSW</w:t>
            </w:r>
          </w:p>
        </w:tc>
        <w:tc>
          <w:tcPr>
            <w:tcW w:w="518" w:type="dxa"/>
            <w:noWrap/>
          </w:tcPr>
          <w:p w14:paraId="7D52D841" w14:textId="77777777" w:rsidR="00CA5EEA" w:rsidRPr="00A95A98" w:rsidRDefault="00CA5EEA" w:rsidP="003D0F16">
            <w:pPr>
              <w:rPr>
                <w:rFonts w:cstheme="minorHAnsi"/>
                <w:b/>
                <w:sz w:val="20"/>
                <w:szCs w:val="20"/>
                <w:lang w:eastAsia="en-AU"/>
              </w:rPr>
            </w:pPr>
            <w:r w:rsidRPr="00A95A98">
              <w:rPr>
                <w:rFonts w:cstheme="minorHAnsi"/>
                <w:b/>
                <w:sz w:val="20"/>
                <w:szCs w:val="20"/>
                <w:lang w:eastAsia="en-AU"/>
              </w:rPr>
              <w:t>SA</w:t>
            </w:r>
          </w:p>
        </w:tc>
        <w:tc>
          <w:tcPr>
            <w:tcW w:w="592" w:type="dxa"/>
            <w:noWrap/>
          </w:tcPr>
          <w:p w14:paraId="6E3F2C4C" w14:textId="77777777" w:rsidR="00CA5EEA" w:rsidRPr="00A95A98" w:rsidRDefault="00CA5EEA" w:rsidP="003D0F16">
            <w:pPr>
              <w:rPr>
                <w:rFonts w:cstheme="minorHAnsi"/>
                <w:b/>
                <w:sz w:val="20"/>
                <w:szCs w:val="20"/>
                <w:lang w:eastAsia="en-AU"/>
              </w:rPr>
            </w:pPr>
            <w:r w:rsidRPr="00A95A98">
              <w:rPr>
                <w:rFonts w:cstheme="minorHAnsi"/>
                <w:b/>
                <w:sz w:val="20"/>
                <w:szCs w:val="20"/>
                <w:lang w:eastAsia="en-AU"/>
              </w:rPr>
              <w:t>WA</w:t>
            </w:r>
          </w:p>
        </w:tc>
        <w:tc>
          <w:tcPr>
            <w:tcW w:w="783" w:type="dxa"/>
            <w:noWrap/>
          </w:tcPr>
          <w:p w14:paraId="08935507" w14:textId="77777777" w:rsidR="00CA5EEA" w:rsidRPr="00A95A98" w:rsidRDefault="00CA5EEA" w:rsidP="003D0F16">
            <w:pPr>
              <w:rPr>
                <w:rFonts w:cstheme="minorHAnsi"/>
                <w:b/>
                <w:sz w:val="20"/>
                <w:szCs w:val="20"/>
                <w:lang w:eastAsia="en-AU"/>
              </w:rPr>
            </w:pPr>
            <w:r>
              <w:rPr>
                <w:rFonts w:cstheme="minorHAnsi"/>
                <w:b/>
                <w:sz w:val="20"/>
                <w:szCs w:val="20"/>
                <w:lang w:eastAsia="en-AU"/>
              </w:rPr>
              <w:t>T</w:t>
            </w:r>
            <w:r w:rsidRPr="00A95A98">
              <w:rPr>
                <w:rFonts w:cstheme="minorHAnsi"/>
                <w:b/>
                <w:sz w:val="20"/>
                <w:szCs w:val="20"/>
                <w:lang w:eastAsia="en-AU"/>
              </w:rPr>
              <w:t>otal</w:t>
            </w:r>
          </w:p>
        </w:tc>
      </w:tr>
      <w:tr w:rsidR="00CA5EEA" w:rsidRPr="00B432D7" w14:paraId="02DBB4B3" w14:textId="77777777" w:rsidTr="00A5519B">
        <w:trPr>
          <w:trHeight w:val="290"/>
        </w:trPr>
        <w:tc>
          <w:tcPr>
            <w:tcW w:w="5624" w:type="dxa"/>
            <w:noWrap/>
            <w:hideMark/>
          </w:tcPr>
          <w:p w14:paraId="63DEA6CD" w14:textId="77777777" w:rsidR="00CA5EEA" w:rsidRPr="00A95A98" w:rsidRDefault="00CA5EEA" w:rsidP="003D0F16">
            <w:pPr>
              <w:rPr>
                <w:rFonts w:cstheme="minorHAnsi"/>
                <w:b/>
                <w:sz w:val="20"/>
                <w:szCs w:val="20"/>
                <w:lang w:eastAsia="en-AU"/>
              </w:rPr>
            </w:pPr>
            <w:r>
              <w:rPr>
                <w:rFonts w:cstheme="minorHAnsi"/>
                <w:b/>
                <w:sz w:val="20"/>
                <w:szCs w:val="20"/>
                <w:lang w:eastAsia="en-AU"/>
              </w:rPr>
              <w:t>Interviews with c</w:t>
            </w:r>
            <w:r w:rsidRPr="00A95A98">
              <w:rPr>
                <w:rFonts w:cstheme="minorHAnsi"/>
                <w:b/>
                <w:sz w:val="20"/>
                <w:szCs w:val="20"/>
                <w:lang w:eastAsia="en-AU"/>
              </w:rPr>
              <w:t>onsumer</w:t>
            </w:r>
            <w:r>
              <w:rPr>
                <w:rFonts w:cstheme="minorHAnsi"/>
                <w:b/>
                <w:sz w:val="20"/>
                <w:szCs w:val="20"/>
                <w:lang w:eastAsia="en-AU"/>
              </w:rPr>
              <w:t xml:space="preserve">s </w:t>
            </w:r>
          </w:p>
        </w:tc>
        <w:tc>
          <w:tcPr>
            <w:tcW w:w="768" w:type="dxa"/>
            <w:noWrap/>
            <w:hideMark/>
          </w:tcPr>
          <w:p w14:paraId="6FB1E75A" w14:textId="77777777" w:rsidR="00CA5EEA" w:rsidRPr="00A95A98" w:rsidRDefault="00CA5EEA" w:rsidP="003D0F16">
            <w:pPr>
              <w:rPr>
                <w:rFonts w:cstheme="minorHAnsi"/>
                <w:b/>
                <w:sz w:val="20"/>
                <w:szCs w:val="20"/>
                <w:lang w:eastAsia="en-AU"/>
              </w:rPr>
            </w:pPr>
            <w:r w:rsidRPr="00A95A98">
              <w:rPr>
                <w:rFonts w:cstheme="minorHAnsi"/>
                <w:b/>
                <w:sz w:val="20"/>
                <w:szCs w:val="20"/>
                <w:lang w:eastAsia="en-AU"/>
              </w:rPr>
              <w:t>11</w:t>
            </w:r>
            <w:r>
              <w:rPr>
                <w:rFonts w:cstheme="minorHAnsi"/>
                <w:b/>
                <w:sz w:val="20"/>
                <w:szCs w:val="20"/>
                <w:lang w:eastAsia="en-AU"/>
              </w:rPr>
              <w:t>0</w:t>
            </w:r>
          </w:p>
        </w:tc>
        <w:tc>
          <w:tcPr>
            <w:tcW w:w="518" w:type="dxa"/>
            <w:noWrap/>
            <w:hideMark/>
          </w:tcPr>
          <w:p w14:paraId="17056295" w14:textId="77777777" w:rsidR="00CA5EEA" w:rsidRPr="00A95A98" w:rsidRDefault="00CA5EEA" w:rsidP="003D0F16">
            <w:pPr>
              <w:rPr>
                <w:rFonts w:cstheme="minorHAnsi"/>
                <w:b/>
                <w:sz w:val="20"/>
                <w:szCs w:val="20"/>
                <w:lang w:eastAsia="en-AU"/>
              </w:rPr>
            </w:pPr>
            <w:r w:rsidRPr="00A95A98">
              <w:rPr>
                <w:rFonts w:cstheme="minorHAnsi"/>
                <w:b/>
                <w:sz w:val="20"/>
                <w:szCs w:val="20"/>
                <w:lang w:eastAsia="en-AU"/>
              </w:rPr>
              <w:t>8</w:t>
            </w:r>
            <w:r>
              <w:rPr>
                <w:rFonts w:cstheme="minorHAnsi"/>
                <w:b/>
                <w:sz w:val="20"/>
                <w:szCs w:val="20"/>
                <w:lang w:eastAsia="en-AU"/>
              </w:rPr>
              <w:t>8</w:t>
            </w:r>
          </w:p>
        </w:tc>
        <w:tc>
          <w:tcPr>
            <w:tcW w:w="592" w:type="dxa"/>
            <w:noWrap/>
            <w:hideMark/>
          </w:tcPr>
          <w:p w14:paraId="44A39D69" w14:textId="77777777" w:rsidR="00CA5EEA" w:rsidRPr="00A95A98" w:rsidRDefault="00CA5EEA" w:rsidP="003D0F16">
            <w:pPr>
              <w:rPr>
                <w:rFonts w:cstheme="minorHAnsi"/>
                <w:b/>
                <w:sz w:val="20"/>
                <w:szCs w:val="20"/>
                <w:lang w:eastAsia="en-AU"/>
              </w:rPr>
            </w:pPr>
            <w:r w:rsidRPr="00A95A98">
              <w:rPr>
                <w:rFonts w:cstheme="minorHAnsi"/>
                <w:b/>
                <w:sz w:val="20"/>
                <w:szCs w:val="20"/>
                <w:lang w:eastAsia="en-AU"/>
              </w:rPr>
              <w:t>122</w:t>
            </w:r>
          </w:p>
        </w:tc>
        <w:tc>
          <w:tcPr>
            <w:tcW w:w="783" w:type="dxa"/>
            <w:noWrap/>
            <w:hideMark/>
          </w:tcPr>
          <w:p w14:paraId="53DA9039" w14:textId="77777777" w:rsidR="00CA5EEA" w:rsidRPr="00A95A98" w:rsidRDefault="00CA5EEA" w:rsidP="003D0F16">
            <w:pPr>
              <w:rPr>
                <w:b/>
                <w:sz w:val="20"/>
                <w:szCs w:val="20"/>
                <w:lang w:eastAsia="en-AU"/>
              </w:rPr>
            </w:pPr>
            <w:r w:rsidRPr="19947BEA">
              <w:rPr>
                <w:b/>
                <w:sz w:val="20"/>
                <w:szCs w:val="20"/>
                <w:lang w:eastAsia="en-AU"/>
              </w:rPr>
              <w:t>320</w:t>
            </w:r>
          </w:p>
        </w:tc>
      </w:tr>
      <w:tr w:rsidR="00A5519B" w:rsidRPr="00E2331C" w14:paraId="4746071F" w14:textId="77777777" w:rsidTr="00A5519B">
        <w:trPr>
          <w:cnfStyle w:val="000000010000" w:firstRow="0" w:lastRow="0" w:firstColumn="0" w:lastColumn="0" w:oddVBand="0" w:evenVBand="0" w:oddHBand="0" w:evenHBand="1" w:firstRowFirstColumn="0" w:firstRowLastColumn="0" w:lastRowFirstColumn="0" w:lastRowLastColumn="0"/>
          <w:trHeight w:val="227"/>
        </w:trPr>
        <w:tc>
          <w:tcPr>
            <w:tcW w:w="5624" w:type="dxa"/>
            <w:noWrap/>
          </w:tcPr>
          <w:p w14:paraId="52ADF67C" w14:textId="66A1B19C" w:rsidR="00A5519B" w:rsidRDefault="00A5519B" w:rsidP="00A5519B">
            <w:pPr>
              <w:spacing w:before="60" w:after="60"/>
              <w:rPr>
                <w:rFonts w:cstheme="minorHAnsi"/>
                <w:i/>
                <w:iCs/>
                <w:sz w:val="20"/>
                <w:szCs w:val="20"/>
                <w:lang w:eastAsia="en-AU"/>
              </w:rPr>
            </w:pPr>
            <w:r w:rsidRPr="007918FD">
              <w:rPr>
                <w:rFonts w:cstheme="minorHAnsi"/>
                <w:i/>
                <w:iCs/>
                <w:sz w:val="20"/>
                <w:szCs w:val="20"/>
                <w:lang w:eastAsia="en-AU"/>
              </w:rPr>
              <w:t xml:space="preserve">People who use prescribed opioids </w:t>
            </w:r>
          </w:p>
        </w:tc>
        <w:tc>
          <w:tcPr>
            <w:tcW w:w="768" w:type="dxa"/>
            <w:noWrap/>
          </w:tcPr>
          <w:p w14:paraId="76D5E7EF" w14:textId="6427A3C2" w:rsidR="00A5519B" w:rsidRPr="00A95A98" w:rsidRDefault="00A5519B" w:rsidP="00A5519B">
            <w:pPr>
              <w:spacing w:before="60" w:after="60"/>
              <w:rPr>
                <w:rFonts w:cstheme="minorHAnsi"/>
                <w:sz w:val="20"/>
                <w:szCs w:val="20"/>
                <w:lang w:eastAsia="en-AU"/>
              </w:rPr>
            </w:pPr>
            <w:r w:rsidRPr="00A95A98">
              <w:rPr>
                <w:rFonts w:cstheme="minorHAnsi"/>
                <w:sz w:val="20"/>
                <w:szCs w:val="20"/>
                <w:lang w:eastAsia="en-AU"/>
              </w:rPr>
              <w:t>2</w:t>
            </w:r>
            <w:r>
              <w:rPr>
                <w:rFonts w:cstheme="minorHAnsi"/>
                <w:sz w:val="20"/>
                <w:szCs w:val="20"/>
                <w:lang w:eastAsia="en-AU"/>
              </w:rPr>
              <w:t>5</w:t>
            </w:r>
          </w:p>
        </w:tc>
        <w:tc>
          <w:tcPr>
            <w:tcW w:w="518" w:type="dxa"/>
            <w:noWrap/>
          </w:tcPr>
          <w:p w14:paraId="072FA374" w14:textId="5FC22D81" w:rsidR="00A5519B" w:rsidRPr="00A95A98" w:rsidRDefault="00A5519B" w:rsidP="00A5519B">
            <w:pPr>
              <w:spacing w:before="60" w:after="60"/>
              <w:rPr>
                <w:rFonts w:cstheme="minorHAnsi"/>
                <w:sz w:val="20"/>
                <w:szCs w:val="20"/>
                <w:lang w:eastAsia="en-AU"/>
              </w:rPr>
            </w:pPr>
            <w:r w:rsidRPr="00A95A98">
              <w:rPr>
                <w:rFonts w:cstheme="minorHAnsi"/>
                <w:sz w:val="20"/>
                <w:szCs w:val="20"/>
                <w:lang w:eastAsia="en-AU"/>
              </w:rPr>
              <w:t>38</w:t>
            </w:r>
          </w:p>
        </w:tc>
        <w:tc>
          <w:tcPr>
            <w:tcW w:w="592" w:type="dxa"/>
            <w:noWrap/>
          </w:tcPr>
          <w:p w14:paraId="499E54B5" w14:textId="37589A83" w:rsidR="00A5519B" w:rsidRPr="00A95A98" w:rsidRDefault="00A5519B" w:rsidP="00A5519B">
            <w:pPr>
              <w:spacing w:before="60" w:after="60"/>
              <w:rPr>
                <w:rFonts w:cstheme="minorHAnsi"/>
                <w:sz w:val="20"/>
                <w:szCs w:val="20"/>
                <w:lang w:eastAsia="en-AU"/>
              </w:rPr>
            </w:pPr>
            <w:r w:rsidRPr="00A95A98">
              <w:rPr>
                <w:rFonts w:cstheme="minorHAnsi"/>
                <w:sz w:val="20"/>
                <w:szCs w:val="20"/>
                <w:lang w:eastAsia="en-AU"/>
              </w:rPr>
              <w:t>17</w:t>
            </w:r>
          </w:p>
        </w:tc>
        <w:tc>
          <w:tcPr>
            <w:tcW w:w="783" w:type="dxa"/>
            <w:noWrap/>
          </w:tcPr>
          <w:p w14:paraId="5A248D1A" w14:textId="5D2C559A" w:rsidR="00A5519B" w:rsidRPr="19947BEA" w:rsidRDefault="00A5519B" w:rsidP="00A5519B">
            <w:pPr>
              <w:spacing w:before="60" w:after="60"/>
              <w:rPr>
                <w:sz w:val="20"/>
                <w:szCs w:val="20"/>
                <w:lang w:eastAsia="en-AU"/>
              </w:rPr>
            </w:pPr>
            <w:r w:rsidRPr="00A95A98">
              <w:rPr>
                <w:rFonts w:cstheme="minorHAnsi"/>
                <w:sz w:val="20"/>
                <w:szCs w:val="20"/>
                <w:lang w:eastAsia="en-AU"/>
              </w:rPr>
              <w:t>8</w:t>
            </w:r>
            <w:r>
              <w:rPr>
                <w:rFonts w:cstheme="minorHAnsi"/>
                <w:sz w:val="20"/>
                <w:szCs w:val="20"/>
                <w:lang w:eastAsia="en-AU"/>
              </w:rPr>
              <w:t>0</w:t>
            </w:r>
          </w:p>
        </w:tc>
      </w:tr>
      <w:tr w:rsidR="00A5519B" w:rsidRPr="00E2331C" w14:paraId="5B9D05FD" w14:textId="77777777" w:rsidTr="00A5519B">
        <w:trPr>
          <w:trHeight w:val="227"/>
        </w:trPr>
        <w:tc>
          <w:tcPr>
            <w:tcW w:w="5624" w:type="dxa"/>
            <w:noWrap/>
          </w:tcPr>
          <w:p w14:paraId="48BD8660" w14:textId="681B597F" w:rsidR="00A5519B" w:rsidRDefault="00A5519B" w:rsidP="00A5519B">
            <w:pPr>
              <w:spacing w:before="60" w:after="60"/>
              <w:rPr>
                <w:rFonts w:cstheme="minorHAnsi"/>
                <w:i/>
                <w:iCs/>
                <w:sz w:val="20"/>
                <w:szCs w:val="20"/>
                <w:lang w:eastAsia="en-AU"/>
              </w:rPr>
            </w:pPr>
            <w:r>
              <w:rPr>
                <w:rFonts w:cstheme="minorHAnsi"/>
                <w:i/>
                <w:sz w:val="20"/>
                <w:szCs w:val="20"/>
                <w:lang w:eastAsia="en-AU"/>
              </w:rPr>
              <w:t>Potential w</w:t>
            </w:r>
            <w:r w:rsidRPr="007918FD">
              <w:rPr>
                <w:rFonts w:cstheme="minorHAnsi"/>
                <w:i/>
                <w:sz w:val="20"/>
                <w:szCs w:val="20"/>
                <w:lang w:eastAsia="en-AU"/>
              </w:rPr>
              <w:t>itnesses</w:t>
            </w:r>
            <w:r>
              <w:rPr>
                <w:rFonts w:cstheme="minorHAnsi"/>
                <w:i/>
                <w:sz w:val="20"/>
                <w:szCs w:val="20"/>
                <w:lang w:eastAsia="en-AU"/>
              </w:rPr>
              <w:t xml:space="preserve"> (no declared opioid use)</w:t>
            </w:r>
          </w:p>
        </w:tc>
        <w:tc>
          <w:tcPr>
            <w:tcW w:w="768" w:type="dxa"/>
            <w:noWrap/>
          </w:tcPr>
          <w:p w14:paraId="29D8FECC" w14:textId="7C454B21" w:rsidR="00A5519B" w:rsidRPr="00A95A98" w:rsidRDefault="00A5519B" w:rsidP="00A5519B">
            <w:pPr>
              <w:spacing w:before="60" w:after="60"/>
              <w:rPr>
                <w:rFonts w:cstheme="minorHAnsi"/>
                <w:sz w:val="20"/>
                <w:szCs w:val="20"/>
                <w:lang w:eastAsia="en-AU"/>
              </w:rPr>
            </w:pPr>
            <w:r w:rsidRPr="00A95A98">
              <w:rPr>
                <w:rFonts w:cstheme="minorHAnsi"/>
                <w:sz w:val="20"/>
                <w:szCs w:val="20"/>
                <w:lang w:eastAsia="en-AU"/>
              </w:rPr>
              <w:t>30</w:t>
            </w:r>
          </w:p>
        </w:tc>
        <w:tc>
          <w:tcPr>
            <w:tcW w:w="518" w:type="dxa"/>
            <w:noWrap/>
          </w:tcPr>
          <w:p w14:paraId="04B39D7F" w14:textId="096023B5" w:rsidR="00A5519B" w:rsidRPr="00A95A98" w:rsidRDefault="00A5519B" w:rsidP="00A5519B">
            <w:pPr>
              <w:spacing w:before="60" w:after="60"/>
              <w:rPr>
                <w:rFonts w:cstheme="minorHAnsi"/>
                <w:sz w:val="20"/>
                <w:szCs w:val="20"/>
                <w:lang w:eastAsia="en-AU"/>
              </w:rPr>
            </w:pPr>
            <w:r w:rsidRPr="00A95A98">
              <w:rPr>
                <w:rFonts w:cstheme="minorHAnsi"/>
                <w:sz w:val="20"/>
                <w:szCs w:val="20"/>
                <w:lang w:eastAsia="en-AU"/>
              </w:rPr>
              <w:t>23</w:t>
            </w:r>
          </w:p>
        </w:tc>
        <w:tc>
          <w:tcPr>
            <w:tcW w:w="592" w:type="dxa"/>
            <w:noWrap/>
          </w:tcPr>
          <w:p w14:paraId="79ADCC40" w14:textId="48468DD3" w:rsidR="00A5519B" w:rsidRPr="00A95A98" w:rsidRDefault="00A5519B" w:rsidP="00A5519B">
            <w:pPr>
              <w:spacing w:before="60" w:after="60"/>
              <w:rPr>
                <w:rFonts w:cstheme="minorHAnsi"/>
                <w:sz w:val="20"/>
                <w:szCs w:val="20"/>
                <w:lang w:eastAsia="en-AU"/>
              </w:rPr>
            </w:pPr>
            <w:r w:rsidRPr="00A95A98">
              <w:rPr>
                <w:rFonts w:cstheme="minorHAnsi"/>
                <w:sz w:val="20"/>
                <w:szCs w:val="20"/>
                <w:lang w:eastAsia="en-AU"/>
              </w:rPr>
              <w:t>26</w:t>
            </w:r>
          </w:p>
        </w:tc>
        <w:tc>
          <w:tcPr>
            <w:tcW w:w="783" w:type="dxa"/>
            <w:noWrap/>
          </w:tcPr>
          <w:p w14:paraId="1B81BF85" w14:textId="55BBC4E6" w:rsidR="00A5519B" w:rsidRPr="19947BEA" w:rsidRDefault="00A5519B" w:rsidP="00A5519B">
            <w:pPr>
              <w:spacing w:before="60" w:after="60"/>
              <w:rPr>
                <w:sz w:val="20"/>
                <w:szCs w:val="20"/>
                <w:lang w:eastAsia="en-AU"/>
              </w:rPr>
            </w:pPr>
            <w:r w:rsidRPr="19947BEA">
              <w:rPr>
                <w:sz w:val="20"/>
                <w:szCs w:val="20"/>
                <w:lang w:eastAsia="en-AU"/>
              </w:rPr>
              <w:t>79</w:t>
            </w:r>
          </w:p>
        </w:tc>
      </w:tr>
      <w:tr w:rsidR="00CA5EEA" w:rsidRPr="00E2331C" w14:paraId="3D63187A" w14:textId="77777777" w:rsidTr="00A5519B">
        <w:trPr>
          <w:cnfStyle w:val="000000010000" w:firstRow="0" w:lastRow="0" w:firstColumn="0" w:lastColumn="0" w:oddVBand="0" w:evenVBand="0" w:oddHBand="0" w:evenHBand="1" w:firstRowFirstColumn="0" w:firstRowLastColumn="0" w:lastRowFirstColumn="0" w:lastRowLastColumn="0"/>
          <w:trHeight w:val="227"/>
        </w:trPr>
        <w:tc>
          <w:tcPr>
            <w:tcW w:w="5624" w:type="dxa"/>
            <w:noWrap/>
            <w:hideMark/>
          </w:tcPr>
          <w:p w14:paraId="41AFF046" w14:textId="210DDA70" w:rsidR="00CA5EEA" w:rsidRPr="007918FD" w:rsidRDefault="00A5519B" w:rsidP="003D0F16">
            <w:pPr>
              <w:spacing w:before="60" w:after="60"/>
              <w:rPr>
                <w:rFonts w:cstheme="minorHAnsi"/>
                <w:i/>
                <w:sz w:val="20"/>
                <w:szCs w:val="20"/>
                <w:lang w:eastAsia="en-AU"/>
              </w:rPr>
            </w:pPr>
            <w:r>
              <w:rPr>
                <w:rFonts w:cstheme="minorHAnsi"/>
                <w:i/>
                <w:iCs/>
                <w:sz w:val="20"/>
                <w:szCs w:val="20"/>
                <w:lang w:eastAsia="en-AU"/>
              </w:rPr>
              <w:t>“Other” p</w:t>
            </w:r>
            <w:r w:rsidRPr="007918FD">
              <w:rPr>
                <w:rFonts w:cstheme="minorHAnsi"/>
                <w:i/>
                <w:iCs/>
                <w:sz w:val="20"/>
                <w:szCs w:val="20"/>
                <w:lang w:eastAsia="en-AU"/>
              </w:rPr>
              <w:t>eople</w:t>
            </w:r>
          </w:p>
        </w:tc>
        <w:tc>
          <w:tcPr>
            <w:tcW w:w="768" w:type="dxa"/>
            <w:noWrap/>
            <w:hideMark/>
          </w:tcPr>
          <w:p w14:paraId="15A17E95"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55</w:t>
            </w:r>
          </w:p>
        </w:tc>
        <w:tc>
          <w:tcPr>
            <w:tcW w:w="518" w:type="dxa"/>
            <w:noWrap/>
            <w:hideMark/>
          </w:tcPr>
          <w:p w14:paraId="6F81D9BE"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2</w:t>
            </w:r>
            <w:r>
              <w:rPr>
                <w:rFonts w:cstheme="minorHAnsi"/>
                <w:sz w:val="20"/>
                <w:szCs w:val="20"/>
                <w:lang w:eastAsia="en-AU"/>
              </w:rPr>
              <w:t>7</w:t>
            </w:r>
          </w:p>
        </w:tc>
        <w:tc>
          <w:tcPr>
            <w:tcW w:w="592" w:type="dxa"/>
            <w:noWrap/>
            <w:hideMark/>
          </w:tcPr>
          <w:p w14:paraId="638B3007"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79</w:t>
            </w:r>
          </w:p>
        </w:tc>
        <w:tc>
          <w:tcPr>
            <w:tcW w:w="783" w:type="dxa"/>
            <w:noWrap/>
            <w:hideMark/>
          </w:tcPr>
          <w:p w14:paraId="6DBE6CDC" w14:textId="77777777" w:rsidR="00CA5EEA" w:rsidRPr="00A95A98" w:rsidRDefault="00CA5EEA" w:rsidP="003D0F16">
            <w:pPr>
              <w:spacing w:before="60" w:after="60"/>
              <w:rPr>
                <w:sz w:val="20"/>
                <w:szCs w:val="20"/>
                <w:lang w:eastAsia="en-AU"/>
              </w:rPr>
            </w:pPr>
            <w:r w:rsidRPr="19947BEA">
              <w:rPr>
                <w:sz w:val="20"/>
                <w:szCs w:val="20"/>
                <w:lang w:eastAsia="en-AU"/>
              </w:rPr>
              <w:t>161</w:t>
            </w:r>
          </w:p>
        </w:tc>
      </w:tr>
      <w:tr w:rsidR="00CA5EEA" w:rsidRPr="00B432D7" w14:paraId="3149717E" w14:textId="77777777" w:rsidTr="00A5519B">
        <w:trPr>
          <w:trHeight w:val="227"/>
        </w:trPr>
        <w:tc>
          <w:tcPr>
            <w:tcW w:w="5624" w:type="dxa"/>
            <w:noWrap/>
            <w:hideMark/>
          </w:tcPr>
          <w:p w14:paraId="480D16A5" w14:textId="77777777" w:rsidR="00CA5EEA" w:rsidRPr="00A95A98" w:rsidRDefault="00CA5EEA" w:rsidP="003D0F16">
            <w:pPr>
              <w:spacing w:before="60" w:after="60"/>
              <w:rPr>
                <w:rFonts w:cstheme="minorHAnsi"/>
                <w:b/>
                <w:sz w:val="20"/>
                <w:szCs w:val="20"/>
                <w:lang w:eastAsia="en-AU"/>
              </w:rPr>
            </w:pPr>
            <w:r>
              <w:rPr>
                <w:rFonts w:cstheme="minorHAnsi"/>
                <w:b/>
                <w:sz w:val="20"/>
                <w:szCs w:val="20"/>
                <w:lang w:eastAsia="en-AU"/>
              </w:rPr>
              <w:t>Interviews with a</w:t>
            </w:r>
            <w:r w:rsidRPr="00A95A98">
              <w:rPr>
                <w:rFonts w:cstheme="minorHAnsi"/>
                <w:b/>
                <w:sz w:val="20"/>
                <w:szCs w:val="20"/>
                <w:lang w:eastAsia="en-AU"/>
              </w:rPr>
              <w:t xml:space="preserve">ccess </w:t>
            </w:r>
            <w:r>
              <w:rPr>
                <w:rFonts w:cstheme="minorHAnsi"/>
                <w:b/>
                <w:sz w:val="20"/>
                <w:szCs w:val="20"/>
                <w:lang w:eastAsia="en-AU"/>
              </w:rPr>
              <w:t>s</w:t>
            </w:r>
            <w:r w:rsidRPr="00A95A98">
              <w:rPr>
                <w:rFonts w:cstheme="minorHAnsi"/>
                <w:b/>
                <w:sz w:val="20"/>
                <w:szCs w:val="20"/>
                <w:lang w:eastAsia="en-AU"/>
              </w:rPr>
              <w:t xml:space="preserve">ite </w:t>
            </w:r>
            <w:r>
              <w:rPr>
                <w:rFonts w:cstheme="minorHAnsi"/>
                <w:b/>
                <w:sz w:val="20"/>
                <w:szCs w:val="20"/>
                <w:lang w:eastAsia="en-AU"/>
              </w:rPr>
              <w:t>s</w:t>
            </w:r>
            <w:r w:rsidRPr="00A95A98">
              <w:rPr>
                <w:rFonts w:cstheme="minorHAnsi"/>
                <w:b/>
                <w:sz w:val="20"/>
                <w:szCs w:val="20"/>
                <w:lang w:eastAsia="en-AU"/>
              </w:rPr>
              <w:t>taff</w:t>
            </w:r>
            <w:r>
              <w:rPr>
                <w:rFonts w:cstheme="minorHAnsi"/>
                <w:b/>
                <w:sz w:val="20"/>
                <w:szCs w:val="20"/>
                <w:lang w:eastAsia="en-AU"/>
              </w:rPr>
              <w:t xml:space="preserve"> </w:t>
            </w:r>
          </w:p>
        </w:tc>
        <w:tc>
          <w:tcPr>
            <w:tcW w:w="768" w:type="dxa"/>
            <w:noWrap/>
            <w:hideMark/>
          </w:tcPr>
          <w:p w14:paraId="392A900F" w14:textId="77777777" w:rsidR="00CA5EEA" w:rsidRPr="00A95A98" w:rsidRDefault="00CA5EEA" w:rsidP="003D0F16">
            <w:pPr>
              <w:spacing w:before="60" w:after="60"/>
              <w:rPr>
                <w:rFonts w:cstheme="minorHAnsi"/>
                <w:b/>
                <w:sz w:val="20"/>
                <w:szCs w:val="20"/>
                <w:lang w:eastAsia="en-AU"/>
              </w:rPr>
            </w:pPr>
            <w:r w:rsidRPr="00A95A98">
              <w:rPr>
                <w:rFonts w:cstheme="minorHAnsi"/>
                <w:b/>
                <w:sz w:val="20"/>
                <w:szCs w:val="20"/>
                <w:lang w:eastAsia="en-AU"/>
              </w:rPr>
              <w:t>2</w:t>
            </w:r>
            <w:r>
              <w:rPr>
                <w:rFonts w:cstheme="minorHAnsi"/>
                <w:b/>
                <w:sz w:val="20"/>
                <w:szCs w:val="20"/>
                <w:lang w:eastAsia="en-AU"/>
              </w:rPr>
              <w:t>7</w:t>
            </w:r>
          </w:p>
        </w:tc>
        <w:tc>
          <w:tcPr>
            <w:tcW w:w="518" w:type="dxa"/>
            <w:noWrap/>
            <w:hideMark/>
          </w:tcPr>
          <w:p w14:paraId="30E55A4E" w14:textId="77777777" w:rsidR="00CA5EEA" w:rsidRPr="00A95A98" w:rsidRDefault="00CA5EEA" w:rsidP="003D0F16">
            <w:pPr>
              <w:spacing w:before="60" w:after="60"/>
              <w:rPr>
                <w:rFonts w:cstheme="minorHAnsi"/>
                <w:b/>
                <w:sz w:val="20"/>
                <w:szCs w:val="20"/>
                <w:lang w:eastAsia="en-AU"/>
              </w:rPr>
            </w:pPr>
            <w:r w:rsidRPr="00A95A98">
              <w:rPr>
                <w:rFonts w:cstheme="minorHAnsi"/>
                <w:b/>
                <w:sz w:val="20"/>
                <w:szCs w:val="20"/>
                <w:lang w:eastAsia="en-AU"/>
              </w:rPr>
              <w:t>20</w:t>
            </w:r>
          </w:p>
        </w:tc>
        <w:tc>
          <w:tcPr>
            <w:tcW w:w="592" w:type="dxa"/>
            <w:noWrap/>
            <w:hideMark/>
          </w:tcPr>
          <w:p w14:paraId="69C6276B" w14:textId="77777777" w:rsidR="00CA5EEA" w:rsidRPr="00A95A98" w:rsidRDefault="00CA5EEA" w:rsidP="003D0F16">
            <w:pPr>
              <w:spacing w:before="60" w:after="60"/>
              <w:rPr>
                <w:rFonts w:cstheme="minorHAnsi"/>
                <w:b/>
                <w:sz w:val="20"/>
                <w:szCs w:val="20"/>
                <w:lang w:eastAsia="en-AU"/>
              </w:rPr>
            </w:pPr>
            <w:r w:rsidRPr="00A95A98">
              <w:rPr>
                <w:rFonts w:cstheme="minorHAnsi"/>
                <w:b/>
                <w:sz w:val="20"/>
                <w:szCs w:val="20"/>
                <w:lang w:eastAsia="en-AU"/>
              </w:rPr>
              <w:t>19</w:t>
            </w:r>
          </w:p>
        </w:tc>
        <w:tc>
          <w:tcPr>
            <w:tcW w:w="783" w:type="dxa"/>
            <w:noWrap/>
            <w:hideMark/>
          </w:tcPr>
          <w:p w14:paraId="71E31FD7" w14:textId="77777777" w:rsidR="00CA5EEA" w:rsidRPr="00A95A98" w:rsidRDefault="00CA5EEA" w:rsidP="003D0F16">
            <w:pPr>
              <w:spacing w:before="60" w:after="60"/>
              <w:rPr>
                <w:rFonts w:cstheme="minorHAnsi"/>
                <w:b/>
                <w:sz w:val="20"/>
                <w:szCs w:val="20"/>
                <w:lang w:eastAsia="en-AU"/>
              </w:rPr>
            </w:pPr>
            <w:r w:rsidRPr="00A95A98">
              <w:rPr>
                <w:rFonts w:cstheme="minorHAnsi"/>
                <w:b/>
                <w:sz w:val="20"/>
                <w:szCs w:val="20"/>
                <w:lang w:eastAsia="en-AU"/>
              </w:rPr>
              <w:t>6</w:t>
            </w:r>
            <w:r>
              <w:rPr>
                <w:rFonts w:cstheme="minorHAnsi"/>
                <w:b/>
                <w:sz w:val="20"/>
                <w:szCs w:val="20"/>
                <w:lang w:eastAsia="en-AU"/>
              </w:rPr>
              <w:t>6</w:t>
            </w:r>
          </w:p>
        </w:tc>
      </w:tr>
      <w:tr w:rsidR="00CA5EEA" w:rsidRPr="00E2331C" w14:paraId="389CEEBB" w14:textId="77777777" w:rsidTr="00A5519B">
        <w:trPr>
          <w:cnfStyle w:val="000000010000" w:firstRow="0" w:lastRow="0" w:firstColumn="0" w:lastColumn="0" w:oddVBand="0" w:evenVBand="0" w:oddHBand="0" w:evenHBand="1" w:firstRowFirstColumn="0" w:firstRowLastColumn="0" w:lastRowFirstColumn="0" w:lastRowLastColumn="0"/>
          <w:trHeight w:val="227"/>
        </w:trPr>
        <w:tc>
          <w:tcPr>
            <w:tcW w:w="5624" w:type="dxa"/>
            <w:noWrap/>
            <w:hideMark/>
          </w:tcPr>
          <w:p w14:paraId="6993C84F" w14:textId="77777777" w:rsidR="00CA5EEA" w:rsidRPr="007918FD" w:rsidRDefault="00CA5EEA" w:rsidP="003D0F16">
            <w:pPr>
              <w:spacing w:before="60" w:after="60"/>
              <w:rPr>
                <w:rFonts w:cstheme="minorHAnsi"/>
                <w:i/>
                <w:sz w:val="20"/>
                <w:szCs w:val="20"/>
                <w:lang w:eastAsia="en-AU"/>
              </w:rPr>
            </w:pPr>
            <w:r w:rsidRPr="007918FD">
              <w:rPr>
                <w:rFonts w:cstheme="minorHAnsi"/>
                <w:i/>
                <w:iCs/>
                <w:sz w:val="20"/>
                <w:szCs w:val="20"/>
                <w:lang w:eastAsia="en-AU"/>
              </w:rPr>
              <w:t>C</w:t>
            </w:r>
            <w:r>
              <w:rPr>
                <w:rFonts w:cstheme="minorHAnsi"/>
                <w:i/>
                <w:iCs/>
                <w:sz w:val="20"/>
                <w:szCs w:val="20"/>
                <w:lang w:eastAsia="en-AU"/>
              </w:rPr>
              <w:t>ommunity pharmacies</w:t>
            </w:r>
          </w:p>
        </w:tc>
        <w:tc>
          <w:tcPr>
            <w:tcW w:w="768" w:type="dxa"/>
            <w:noWrap/>
            <w:hideMark/>
          </w:tcPr>
          <w:p w14:paraId="65788139"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1</w:t>
            </w:r>
            <w:r>
              <w:rPr>
                <w:rFonts w:cstheme="minorHAnsi"/>
                <w:sz w:val="20"/>
                <w:szCs w:val="20"/>
                <w:lang w:eastAsia="en-AU"/>
              </w:rPr>
              <w:t>1</w:t>
            </w:r>
          </w:p>
        </w:tc>
        <w:tc>
          <w:tcPr>
            <w:tcW w:w="518" w:type="dxa"/>
            <w:noWrap/>
            <w:hideMark/>
          </w:tcPr>
          <w:p w14:paraId="5B025194"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15</w:t>
            </w:r>
          </w:p>
        </w:tc>
        <w:tc>
          <w:tcPr>
            <w:tcW w:w="592" w:type="dxa"/>
            <w:noWrap/>
            <w:hideMark/>
          </w:tcPr>
          <w:p w14:paraId="03008DDC"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12</w:t>
            </w:r>
          </w:p>
        </w:tc>
        <w:tc>
          <w:tcPr>
            <w:tcW w:w="783" w:type="dxa"/>
            <w:noWrap/>
            <w:hideMark/>
          </w:tcPr>
          <w:p w14:paraId="474EE466"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3</w:t>
            </w:r>
            <w:r>
              <w:rPr>
                <w:rFonts w:cstheme="minorHAnsi"/>
                <w:sz w:val="20"/>
                <w:szCs w:val="20"/>
                <w:lang w:eastAsia="en-AU"/>
              </w:rPr>
              <w:t>8</w:t>
            </w:r>
          </w:p>
        </w:tc>
      </w:tr>
      <w:tr w:rsidR="00CA5EEA" w:rsidRPr="00E2331C" w14:paraId="6AD2F040" w14:textId="77777777" w:rsidTr="00A5519B">
        <w:trPr>
          <w:trHeight w:val="227"/>
        </w:trPr>
        <w:tc>
          <w:tcPr>
            <w:tcW w:w="5624" w:type="dxa"/>
            <w:noWrap/>
            <w:hideMark/>
          </w:tcPr>
          <w:p w14:paraId="777F45F6" w14:textId="77777777" w:rsidR="00CA5EEA" w:rsidRPr="007918FD" w:rsidRDefault="00CA5EEA" w:rsidP="003D0F16">
            <w:pPr>
              <w:spacing w:before="60" w:after="60"/>
              <w:rPr>
                <w:rFonts w:cstheme="minorHAnsi"/>
                <w:i/>
                <w:sz w:val="20"/>
                <w:szCs w:val="20"/>
                <w:lang w:eastAsia="en-AU"/>
              </w:rPr>
            </w:pPr>
            <w:r>
              <w:rPr>
                <w:rFonts w:cstheme="minorHAnsi"/>
                <w:i/>
                <w:iCs/>
                <w:sz w:val="20"/>
                <w:szCs w:val="20"/>
                <w:lang w:eastAsia="en-AU"/>
              </w:rPr>
              <w:t xml:space="preserve">Government </w:t>
            </w:r>
            <w:r w:rsidRPr="007918FD">
              <w:rPr>
                <w:rFonts w:cstheme="minorHAnsi"/>
                <w:i/>
                <w:iCs/>
                <w:sz w:val="20"/>
                <w:szCs w:val="20"/>
                <w:lang w:eastAsia="en-AU"/>
              </w:rPr>
              <w:t>AOD</w:t>
            </w:r>
            <w:r>
              <w:rPr>
                <w:rFonts w:cstheme="minorHAnsi"/>
                <w:i/>
                <w:iCs/>
                <w:sz w:val="20"/>
                <w:szCs w:val="20"/>
                <w:lang w:eastAsia="en-AU"/>
              </w:rPr>
              <w:t>/health agencies</w:t>
            </w:r>
          </w:p>
        </w:tc>
        <w:tc>
          <w:tcPr>
            <w:tcW w:w="768" w:type="dxa"/>
            <w:noWrap/>
            <w:hideMark/>
          </w:tcPr>
          <w:p w14:paraId="68ABD9E3"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9</w:t>
            </w:r>
          </w:p>
        </w:tc>
        <w:tc>
          <w:tcPr>
            <w:tcW w:w="518" w:type="dxa"/>
            <w:noWrap/>
            <w:hideMark/>
          </w:tcPr>
          <w:p w14:paraId="23D2CC7B" w14:textId="10A18846" w:rsidR="00CA5EEA" w:rsidRPr="00A95A98" w:rsidRDefault="00A21D65" w:rsidP="003D0F16">
            <w:pPr>
              <w:spacing w:before="60" w:after="60"/>
              <w:rPr>
                <w:rFonts w:cstheme="minorHAnsi"/>
                <w:sz w:val="20"/>
                <w:szCs w:val="20"/>
                <w:lang w:eastAsia="en-AU"/>
              </w:rPr>
            </w:pPr>
            <w:r>
              <w:rPr>
                <w:rStyle w:val="FootnoteReference"/>
                <w:rFonts w:cstheme="minorHAnsi"/>
                <w:sz w:val="20"/>
                <w:szCs w:val="20"/>
                <w:lang w:eastAsia="en-AU"/>
              </w:rPr>
              <w:footnoteReference w:id="4"/>
            </w:r>
          </w:p>
        </w:tc>
        <w:tc>
          <w:tcPr>
            <w:tcW w:w="592" w:type="dxa"/>
            <w:noWrap/>
            <w:hideMark/>
          </w:tcPr>
          <w:p w14:paraId="68FB5D8D"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1</w:t>
            </w:r>
          </w:p>
        </w:tc>
        <w:tc>
          <w:tcPr>
            <w:tcW w:w="783" w:type="dxa"/>
            <w:noWrap/>
            <w:hideMark/>
          </w:tcPr>
          <w:p w14:paraId="0E40E662"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10</w:t>
            </w:r>
          </w:p>
        </w:tc>
      </w:tr>
      <w:tr w:rsidR="00CA5EEA" w:rsidRPr="00E2331C" w14:paraId="46FA3CA6" w14:textId="77777777" w:rsidTr="00A5519B">
        <w:trPr>
          <w:cnfStyle w:val="000000010000" w:firstRow="0" w:lastRow="0" w:firstColumn="0" w:lastColumn="0" w:oddVBand="0" w:evenVBand="0" w:oddHBand="0" w:evenHBand="1" w:firstRowFirstColumn="0" w:firstRowLastColumn="0" w:lastRowFirstColumn="0" w:lastRowLastColumn="0"/>
          <w:trHeight w:val="227"/>
        </w:trPr>
        <w:tc>
          <w:tcPr>
            <w:tcW w:w="5624" w:type="dxa"/>
            <w:noWrap/>
            <w:hideMark/>
          </w:tcPr>
          <w:p w14:paraId="3957BF5C" w14:textId="77777777" w:rsidR="00CA5EEA" w:rsidRPr="007918FD" w:rsidRDefault="00CA5EEA" w:rsidP="003D0F16">
            <w:pPr>
              <w:spacing w:before="60" w:after="60"/>
              <w:rPr>
                <w:rFonts w:cstheme="minorHAnsi"/>
                <w:i/>
                <w:sz w:val="20"/>
                <w:szCs w:val="20"/>
                <w:lang w:eastAsia="en-AU"/>
              </w:rPr>
            </w:pPr>
            <w:r w:rsidRPr="007918FD">
              <w:rPr>
                <w:rFonts w:cstheme="minorHAnsi"/>
                <w:i/>
                <w:iCs/>
                <w:sz w:val="20"/>
                <w:szCs w:val="20"/>
                <w:lang w:eastAsia="en-AU"/>
              </w:rPr>
              <w:t>NGO</w:t>
            </w:r>
            <w:r>
              <w:rPr>
                <w:rFonts w:cstheme="minorHAnsi"/>
                <w:i/>
                <w:iCs/>
                <w:sz w:val="20"/>
                <w:szCs w:val="20"/>
                <w:lang w:eastAsia="en-AU"/>
              </w:rPr>
              <w:t>s</w:t>
            </w:r>
          </w:p>
        </w:tc>
        <w:tc>
          <w:tcPr>
            <w:tcW w:w="768" w:type="dxa"/>
            <w:noWrap/>
            <w:hideMark/>
          </w:tcPr>
          <w:p w14:paraId="76550CDA"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4</w:t>
            </w:r>
          </w:p>
        </w:tc>
        <w:tc>
          <w:tcPr>
            <w:tcW w:w="518" w:type="dxa"/>
            <w:noWrap/>
            <w:hideMark/>
          </w:tcPr>
          <w:p w14:paraId="37DAFEA2"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5</w:t>
            </w:r>
          </w:p>
        </w:tc>
        <w:tc>
          <w:tcPr>
            <w:tcW w:w="592" w:type="dxa"/>
            <w:noWrap/>
            <w:hideMark/>
          </w:tcPr>
          <w:p w14:paraId="67675501"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6</w:t>
            </w:r>
          </w:p>
        </w:tc>
        <w:tc>
          <w:tcPr>
            <w:tcW w:w="783" w:type="dxa"/>
            <w:noWrap/>
            <w:hideMark/>
          </w:tcPr>
          <w:p w14:paraId="0235047F"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15</w:t>
            </w:r>
          </w:p>
        </w:tc>
      </w:tr>
      <w:tr w:rsidR="00CA5EEA" w:rsidRPr="00E2331C" w14:paraId="547F1FCF" w14:textId="77777777" w:rsidTr="00A5519B">
        <w:trPr>
          <w:trHeight w:val="227"/>
        </w:trPr>
        <w:tc>
          <w:tcPr>
            <w:tcW w:w="5624" w:type="dxa"/>
            <w:noWrap/>
            <w:hideMark/>
          </w:tcPr>
          <w:p w14:paraId="08F59536" w14:textId="714F77CE" w:rsidR="00CA5EEA" w:rsidRPr="007918FD" w:rsidRDefault="00CA5EEA" w:rsidP="003D0F16">
            <w:pPr>
              <w:spacing w:before="60" w:after="60"/>
              <w:rPr>
                <w:rFonts w:cstheme="minorHAnsi"/>
                <w:i/>
                <w:sz w:val="20"/>
                <w:szCs w:val="20"/>
                <w:lang w:eastAsia="en-AU"/>
              </w:rPr>
            </w:pPr>
            <w:r w:rsidRPr="007918FD">
              <w:rPr>
                <w:rFonts w:cstheme="minorHAnsi"/>
                <w:i/>
                <w:sz w:val="20"/>
                <w:szCs w:val="20"/>
                <w:lang w:eastAsia="en-AU"/>
              </w:rPr>
              <w:t>Justice</w:t>
            </w:r>
            <w:r w:rsidR="00A5519B">
              <w:rPr>
                <w:rFonts w:cstheme="minorHAnsi"/>
                <w:i/>
                <w:sz w:val="20"/>
                <w:szCs w:val="20"/>
                <w:lang w:eastAsia="en-AU"/>
              </w:rPr>
              <w:t>/corrections</w:t>
            </w:r>
            <w:r w:rsidRPr="007918FD">
              <w:rPr>
                <w:rFonts w:cstheme="minorHAnsi"/>
                <w:i/>
                <w:iCs/>
                <w:sz w:val="20"/>
                <w:szCs w:val="20"/>
                <w:lang w:eastAsia="en-AU"/>
              </w:rPr>
              <w:t xml:space="preserve"> </w:t>
            </w:r>
            <w:r>
              <w:rPr>
                <w:rFonts w:cstheme="minorHAnsi"/>
                <w:i/>
                <w:iCs/>
                <w:sz w:val="20"/>
                <w:szCs w:val="20"/>
                <w:lang w:eastAsia="en-AU"/>
              </w:rPr>
              <w:t>agencies</w:t>
            </w:r>
          </w:p>
        </w:tc>
        <w:tc>
          <w:tcPr>
            <w:tcW w:w="768" w:type="dxa"/>
            <w:noWrap/>
            <w:hideMark/>
          </w:tcPr>
          <w:p w14:paraId="5069E81F"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3</w:t>
            </w:r>
          </w:p>
        </w:tc>
        <w:tc>
          <w:tcPr>
            <w:tcW w:w="518" w:type="dxa"/>
            <w:noWrap/>
            <w:hideMark/>
          </w:tcPr>
          <w:p w14:paraId="09FACD40" w14:textId="2B81CC23" w:rsidR="00CA5EEA" w:rsidRPr="00A95A98" w:rsidRDefault="000A6C8A" w:rsidP="003D0F16">
            <w:pPr>
              <w:spacing w:before="60" w:after="60"/>
              <w:rPr>
                <w:rFonts w:cstheme="minorHAnsi"/>
                <w:sz w:val="20"/>
                <w:szCs w:val="20"/>
                <w:lang w:eastAsia="en-AU"/>
              </w:rPr>
            </w:pPr>
            <w:r>
              <w:rPr>
                <w:rStyle w:val="FootnoteReference"/>
              </w:rPr>
              <w:t>c</w:t>
            </w:r>
          </w:p>
        </w:tc>
        <w:tc>
          <w:tcPr>
            <w:tcW w:w="592" w:type="dxa"/>
            <w:noWrap/>
            <w:hideMark/>
          </w:tcPr>
          <w:p w14:paraId="75A0B782" w14:textId="1FF595E9" w:rsidR="00CA5EEA" w:rsidRPr="00A95A98" w:rsidRDefault="000A6C8A" w:rsidP="003D0F16">
            <w:pPr>
              <w:spacing w:before="60" w:after="60"/>
              <w:rPr>
                <w:rFonts w:cstheme="minorHAnsi"/>
                <w:sz w:val="20"/>
                <w:szCs w:val="20"/>
                <w:lang w:eastAsia="en-AU"/>
              </w:rPr>
            </w:pPr>
            <w:r>
              <w:rPr>
                <w:rStyle w:val="FootnoteReference"/>
              </w:rPr>
              <w:t>c</w:t>
            </w:r>
          </w:p>
        </w:tc>
        <w:tc>
          <w:tcPr>
            <w:tcW w:w="783" w:type="dxa"/>
            <w:noWrap/>
            <w:hideMark/>
          </w:tcPr>
          <w:p w14:paraId="31ACFD53"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3</w:t>
            </w:r>
          </w:p>
        </w:tc>
      </w:tr>
      <w:tr w:rsidR="00CA5EEA" w:rsidRPr="00B432D7" w14:paraId="16E61B62" w14:textId="77777777" w:rsidTr="00A5519B">
        <w:trPr>
          <w:cnfStyle w:val="000000010000" w:firstRow="0" w:lastRow="0" w:firstColumn="0" w:lastColumn="0" w:oddVBand="0" w:evenVBand="0" w:oddHBand="0" w:evenHBand="1" w:firstRowFirstColumn="0" w:firstRowLastColumn="0" w:lastRowFirstColumn="0" w:lastRowLastColumn="0"/>
          <w:trHeight w:val="227"/>
        </w:trPr>
        <w:tc>
          <w:tcPr>
            <w:tcW w:w="5624" w:type="dxa"/>
            <w:noWrap/>
            <w:hideMark/>
          </w:tcPr>
          <w:p w14:paraId="2BF42D0E" w14:textId="2D811F33" w:rsidR="00CA5EEA" w:rsidRPr="00A95A98" w:rsidRDefault="00CA5EEA" w:rsidP="003D0F16">
            <w:pPr>
              <w:spacing w:before="60" w:after="60"/>
              <w:rPr>
                <w:rFonts w:cstheme="minorHAnsi"/>
                <w:b/>
                <w:sz w:val="20"/>
                <w:szCs w:val="20"/>
                <w:lang w:eastAsia="en-AU"/>
              </w:rPr>
            </w:pPr>
            <w:r>
              <w:rPr>
                <w:rFonts w:cstheme="minorHAnsi"/>
                <w:b/>
                <w:sz w:val="20"/>
                <w:szCs w:val="20"/>
                <w:lang w:eastAsia="en-AU"/>
              </w:rPr>
              <w:t xml:space="preserve">Observation of </w:t>
            </w:r>
            <w:r w:rsidR="00674FE3">
              <w:rPr>
                <w:rFonts w:cstheme="minorHAnsi"/>
                <w:b/>
                <w:sz w:val="20"/>
                <w:szCs w:val="20"/>
                <w:lang w:eastAsia="en-AU"/>
              </w:rPr>
              <w:t xml:space="preserve">practice </w:t>
            </w:r>
            <w:r>
              <w:rPr>
                <w:rFonts w:cstheme="minorHAnsi"/>
                <w:b/>
                <w:sz w:val="20"/>
                <w:szCs w:val="20"/>
                <w:lang w:eastAsia="en-AU"/>
              </w:rPr>
              <w:t>at access sites (m</w:t>
            </w:r>
            <w:r w:rsidRPr="00A95A98">
              <w:rPr>
                <w:rFonts w:cstheme="minorHAnsi"/>
                <w:b/>
                <w:sz w:val="20"/>
                <w:szCs w:val="20"/>
                <w:lang w:eastAsia="en-AU"/>
              </w:rPr>
              <w:t xml:space="preserve">ystery </w:t>
            </w:r>
            <w:r>
              <w:rPr>
                <w:rFonts w:cstheme="minorHAnsi"/>
                <w:b/>
                <w:bCs/>
                <w:sz w:val="20"/>
                <w:szCs w:val="20"/>
                <w:lang w:eastAsia="en-AU"/>
              </w:rPr>
              <w:t>s</w:t>
            </w:r>
            <w:r w:rsidRPr="00A95A98">
              <w:rPr>
                <w:rFonts w:cstheme="minorHAnsi"/>
                <w:b/>
                <w:bCs/>
                <w:sz w:val="20"/>
                <w:szCs w:val="20"/>
                <w:lang w:eastAsia="en-AU"/>
              </w:rPr>
              <w:t>hop</w:t>
            </w:r>
            <w:r>
              <w:rPr>
                <w:rFonts w:cstheme="minorHAnsi"/>
                <w:b/>
                <w:bCs/>
                <w:sz w:val="20"/>
                <w:szCs w:val="20"/>
                <w:lang w:eastAsia="en-AU"/>
              </w:rPr>
              <w:t>ping)</w:t>
            </w:r>
          </w:p>
        </w:tc>
        <w:tc>
          <w:tcPr>
            <w:tcW w:w="768" w:type="dxa"/>
            <w:noWrap/>
            <w:hideMark/>
          </w:tcPr>
          <w:p w14:paraId="5171384B" w14:textId="77777777" w:rsidR="00CA5EEA" w:rsidRPr="00A95A98" w:rsidRDefault="00CA5EEA" w:rsidP="003D0F16">
            <w:pPr>
              <w:spacing w:before="60" w:after="60"/>
              <w:rPr>
                <w:rFonts w:cstheme="minorHAnsi"/>
                <w:b/>
                <w:sz w:val="20"/>
                <w:szCs w:val="20"/>
                <w:lang w:eastAsia="en-AU"/>
              </w:rPr>
            </w:pPr>
            <w:r w:rsidRPr="00A95A98">
              <w:rPr>
                <w:rFonts w:cstheme="minorHAnsi"/>
                <w:b/>
                <w:sz w:val="20"/>
                <w:szCs w:val="20"/>
                <w:lang w:eastAsia="en-AU"/>
              </w:rPr>
              <w:t>8</w:t>
            </w:r>
          </w:p>
        </w:tc>
        <w:tc>
          <w:tcPr>
            <w:tcW w:w="518" w:type="dxa"/>
            <w:noWrap/>
            <w:hideMark/>
          </w:tcPr>
          <w:p w14:paraId="7F8976A6" w14:textId="77777777" w:rsidR="00CA5EEA" w:rsidRPr="00A95A98" w:rsidRDefault="00CA5EEA" w:rsidP="003D0F16">
            <w:pPr>
              <w:spacing w:before="60" w:after="60"/>
              <w:rPr>
                <w:rFonts w:cstheme="minorHAnsi"/>
                <w:b/>
                <w:sz w:val="20"/>
                <w:szCs w:val="20"/>
                <w:lang w:eastAsia="en-AU"/>
              </w:rPr>
            </w:pPr>
            <w:r w:rsidRPr="00A95A98">
              <w:rPr>
                <w:rFonts w:cstheme="minorHAnsi"/>
                <w:b/>
                <w:sz w:val="20"/>
                <w:szCs w:val="20"/>
                <w:lang w:eastAsia="en-AU"/>
              </w:rPr>
              <w:t>7</w:t>
            </w:r>
          </w:p>
        </w:tc>
        <w:tc>
          <w:tcPr>
            <w:tcW w:w="592" w:type="dxa"/>
            <w:noWrap/>
            <w:hideMark/>
          </w:tcPr>
          <w:p w14:paraId="5799C39A" w14:textId="77777777" w:rsidR="00CA5EEA" w:rsidRPr="00A95A98" w:rsidRDefault="00CA5EEA" w:rsidP="003D0F16">
            <w:pPr>
              <w:spacing w:before="60" w:after="60"/>
              <w:rPr>
                <w:rFonts w:cstheme="minorHAnsi"/>
                <w:b/>
                <w:sz w:val="20"/>
                <w:szCs w:val="20"/>
                <w:lang w:eastAsia="en-AU"/>
              </w:rPr>
            </w:pPr>
            <w:r w:rsidRPr="00A95A98">
              <w:rPr>
                <w:rFonts w:cstheme="minorHAnsi"/>
                <w:b/>
                <w:sz w:val="20"/>
                <w:szCs w:val="20"/>
                <w:lang w:eastAsia="en-AU"/>
              </w:rPr>
              <w:t>9</w:t>
            </w:r>
          </w:p>
        </w:tc>
        <w:tc>
          <w:tcPr>
            <w:tcW w:w="783" w:type="dxa"/>
            <w:noWrap/>
            <w:hideMark/>
          </w:tcPr>
          <w:p w14:paraId="40F1CA2E" w14:textId="77777777" w:rsidR="00CA5EEA" w:rsidRPr="00A95A98" w:rsidRDefault="00CA5EEA" w:rsidP="003D0F16">
            <w:pPr>
              <w:spacing w:before="60" w:after="60"/>
              <w:rPr>
                <w:rFonts w:cstheme="minorHAnsi"/>
                <w:b/>
                <w:sz w:val="20"/>
                <w:szCs w:val="20"/>
                <w:lang w:eastAsia="en-AU"/>
              </w:rPr>
            </w:pPr>
            <w:r w:rsidRPr="00A95A98">
              <w:rPr>
                <w:rFonts w:cstheme="minorHAnsi"/>
                <w:b/>
                <w:sz w:val="20"/>
                <w:szCs w:val="20"/>
                <w:lang w:eastAsia="en-AU"/>
              </w:rPr>
              <w:t>24</w:t>
            </w:r>
          </w:p>
        </w:tc>
      </w:tr>
      <w:tr w:rsidR="00CA5EEA" w:rsidRPr="00E2331C" w14:paraId="7B67FB5B" w14:textId="77777777" w:rsidTr="00A5519B">
        <w:trPr>
          <w:trHeight w:val="227"/>
        </w:trPr>
        <w:tc>
          <w:tcPr>
            <w:tcW w:w="5624" w:type="dxa"/>
            <w:noWrap/>
            <w:hideMark/>
          </w:tcPr>
          <w:p w14:paraId="14B53BD2" w14:textId="77777777" w:rsidR="00CA5EEA" w:rsidRPr="007918FD" w:rsidRDefault="00CA5EEA" w:rsidP="003D0F16">
            <w:pPr>
              <w:spacing w:before="60" w:after="60"/>
              <w:rPr>
                <w:rFonts w:cstheme="minorHAnsi"/>
                <w:i/>
                <w:sz w:val="20"/>
                <w:szCs w:val="20"/>
                <w:lang w:eastAsia="en-AU"/>
              </w:rPr>
            </w:pPr>
            <w:r w:rsidRPr="007918FD">
              <w:rPr>
                <w:rFonts w:cstheme="minorHAnsi"/>
                <w:i/>
                <w:iCs/>
                <w:sz w:val="20"/>
                <w:szCs w:val="20"/>
                <w:lang w:eastAsia="en-AU"/>
              </w:rPr>
              <w:t>C</w:t>
            </w:r>
            <w:r>
              <w:rPr>
                <w:rFonts w:cstheme="minorHAnsi"/>
                <w:i/>
                <w:iCs/>
                <w:sz w:val="20"/>
                <w:szCs w:val="20"/>
                <w:lang w:eastAsia="en-AU"/>
              </w:rPr>
              <w:t>ommunity pharmacies</w:t>
            </w:r>
          </w:p>
        </w:tc>
        <w:tc>
          <w:tcPr>
            <w:tcW w:w="768" w:type="dxa"/>
            <w:noWrap/>
            <w:hideMark/>
          </w:tcPr>
          <w:p w14:paraId="07C4AA21"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7</w:t>
            </w:r>
          </w:p>
        </w:tc>
        <w:tc>
          <w:tcPr>
            <w:tcW w:w="518" w:type="dxa"/>
            <w:noWrap/>
            <w:hideMark/>
          </w:tcPr>
          <w:p w14:paraId="1EBF685E"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6</w:t>
            </w:r>
          </w:p>
        </w:tc>
        <w:tc>
          <w:tcPr>
            <w:tcW w:w="592" w:type="dxa"/>
            <w:noWrap/>
            <w:hideMark/>
          </w:tcPr>
          <w:p w14:paraId="3013905A"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7</w:t>
            </w:r>
          </w:p>
        </w:tc>
        <w:tc>
          <w:tcPr>
            <w:tcW w:w="783" w:type="dxa"/>
            <w:noWrap/>
            <w:hideMark/>
          </w:tcPr>
          <w:p w14:paraId="79959AFE"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20</w:t>
            </w:r>
          </w:p>
        </w:tc>
      </w:tr>
      <w:tr w:rsidR="00CA5EEA" w:rsidRPr="001C1F41" w14:paraId="164DEEDC" w14:textId="77777777" w:rsidTr="00A5519B">
        <w:trPr>
          <w:cnfStyle w:val="000000010000" w:firstRow="0" w:lastRow="0" w:firstColumn="0" w:lastColumn="0" w:oddVBand="0" w:evenVBand="0" w:oddHBand="0" w:evenHBand="1" w:firstRowFirstColumn="0" w:firstRowLastColumn="0" w:lastRowFirstColumn="0" w:lastRowLastColumn="0"/>
          <w:trHeight w:val="227"/>
        </w:trPr>
        <w:tc>
          <w:tcPr>
            <w:tcW w:w="5624" w:type="dxa"/>
            <w:noWrap/>
            <w:hideMark/>
          </w:tcPr>
          <w:p w14:paraId="5F22C047" w14:textId="77777777" w:rsidR="00CA5EEA" w:rsidRPr="007918FD" w:rsidRDefault="00CA5EEA" w:rsidP="003D0F16">
            <w:pPr>
              <w:spacing w:before="60" w:after="60"/>
              <w:rPr>
                <w:rFonts w:cstheme="minorHAnsi"/>
                <w:i/>
                <w:sz w:val="20"/>
                <w:szCs w:val="20"/>
                <w:lang w:eastAsia="en-AU"/>
              </w:rPr>
            </w:pPr>
            <w:r w:rsidRPr="007918FD">
              <w:rPr>
                <w:rFonts w:cstheme="minorHAnsi"/>
                <w:i/>
                <w:sz w:val="20"/>
                <w:szCs w:val="20"/>
                <w:lang w:eastAsia="en-AU"/>
              </w:rPr>
              <w:t xml:space="preserve">Other </w:t>
            </w:r>
            <w:r w:rsidRPr="007918FD">
              <w:rPr>
                <w:rFonts w:cstheme="minorHAnsi"/>
                <w:i/>
                <w:iCs/>
                <w:sz w:val="20"/>
                <w:szCs w:val="20"/>
                <w:lang w:eastAsia="en-AU"/>
              </w:rPr>
              <w:t>service</w:t>
            </w:r>
            <w:r>
              <w:rPr>
                <w:rFonts w:cstheme="minorHAnsi"/>
                <w:i/>
                <w:iCs/>
                <w:sz w:val="20"/>
                <w:szCs w:val="20"/>
                <w:lang w:eastAsia="en-AU"/>
              </w:rPr>
              <w:t>s</w:t>
            </w:r>
            <w:r w:rsidRPr="007918FD">
              <w:rPr>
                <w:rFonts w:cstheme="minorHAnsi"/>
                <w:i/>
                <w:iCs/>
                <w:sz w:val="20"/>
                <w:szCs w:val="20"/>
                <w:lang w:eastAsia="en-AU"/>
              </w:rPr>
              <w:t>*</w:t>
            </w:r>
          </w:p>
        </w:tc>
        <w:tc>
          <w:tcPr>
            <w:tcW w:w="768" w:type="dxa"/>
            <w:noWrap/>
            <w:hideMark/>
          </w:tcPr>
          <w:p w14:paraId="53374520"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1</w:t>
            </w:r>
          </w:p>
        </w:tc>
        <w:tc>
          <w:tcPr>
            <w:tcW w:w="518" w:type="dxa"/>
            <w:noWrap/>
            <w:hideMark/>
          </w:tcPr>
          <w:p w14:paraId="0A63B498"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1</w:t>
            </w:r>
          </w:p>
        </w:tc>
        <w:tc>
          <w:tcPr>
            <w:tcW w:w="592" w:type="dxa"/>
            <w:noWrap/>
            <w:hideMark/>
          </w:tcPr>
          <w:p w14:paraId="2E13E823"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2</w:t>
            </w:r>
          </w:p>
        </w:tc>
        <w:tc>
          <w:tcPr>
            <w:tcW w:w="783" w:type="dxa"/>
            <w:noWrap/>
            <w:hideMark/>
          </w:tcPr>
          <w:p w14:paraId="4CBD540A" w14:textId="77777777" w:rsidR="00CA5EEA" w:rsidRPr="00A95A98" w:rsidRDefault="00CA5EEA" w:rsidP="003D0F16">
            <w:pPr>
              <w:spacing w:before="60" w:after="60"/>
              <w:rPr>
                <w:rFonts w:cstheme="minorHAnsi"/>
                <w:sz w:val="20"/>
                <w:szCs w:val="20"/>
                <w:lang w:eastAsia="en-AU"/>
              </w:rPr>
            </w:pPr>
            <w:r w:rsidRPr="00A95A98">
              <w:rPr>
                <w:rFonts w:cstheme="minorHAnsi"/>
                <w:sz w:val="20"/>
                <w:szCs w:val="20"/>
                <w:lang w:eastAsia="en-AU"/>
              </w:rPr>
              <w:t>4</w:t>
            </w:r>
          </w:p>
        </w:tc>
      </w:tr>
    </w:tbl>
    <w:p w14:paraId="46D11EA0" w14:textId="77777777" w:rsidR="00CA5EEA" w:rsidRDefault="00CA5EEA" w:rsidP="003D0F16">
      <w:pPr>
        <w:spacing w:after="160" w:line="259" w:lineRule="auto"/>
      </w:pPr>
      <w:r>
        <w:rPr>
          <w:sz w:val="18"/>
          <w:szCs w:val="18"/>
          <w:lang w:eastAsia="en-AU"/>
        </w:rPr>
        <w:t xml:space="preserve">NSW=New South Wales; SA=South Australia; WA=Western Australia; </w:t>
      </w:r>
      <w:r w:rsidRPr="00ED24D0">
        <w:rPr>
          <w:sz w:val="18"/>
          <w:szCs w:val="18"/>
          <w:lang w:eastAsia="en-AU"/>
        </w:rPr>
        <w:t>AOD=alcohol &amp; other drug support service; NGO=non-government organisation; * includes non-AOD health services and outreach programs</w:t>
      </w:r>
      <w:r w:rsidRPr="005C4EA3">
        <w:t xml:space="preserve"> </w:t>
      </w:r>
    </w:p>
    <w:p w14:paraId="474F08A8" w14:textId="21A45768" w:rsidR="00225A3B" w:rsidRDefault="00225A3B" w:rsidP="005307A9">
      <w:pPr>
        <w:pStyle w:val="BodyText"/>
      </w:pPr>
      <w:r>
        <w:t xml:space="preserve">The qualitative </w:t>
      </w:r>
      <w:r w:rsidR="00E0285D">
        <w:t xml:space="preserve">sections of </w:t>
      </w:r>
      <w:r>
        <w:t>interview</w:t>
      </w:r>
      <w:r w:rsidR="00E0285D">
        <w:t>s</w:t>
      </w:r>
      <w:r>
        <w:t xml:space="preserve"> with consumers and access site staff were transcribed and subsequently analysed using framework analysis</w:t>
      </w:r>
      <w:r w:rsidR="00DC1EF3">
        <w:t>.</w:t>
      </w:r>
      <w:r w:rsidR="008C735B">
        <w:fldChar w:fldCharType="begin"/>
      </w:r>
      <w:r w:rsidR="00441C1C">
        <w:instrText xml:space="preserve"> ADDIN EN.CITE &lt;EndNote&gt;&lt;Cite&gt;&lt;Author&gt;Gale&lt;/Author&gt;&lt;Year&gt;2013&lt;/Year&gt;&lt;RecNum&gt;137&lt;/RecNum&gt;&lt;DisplayText&gt;(38)&lt;/DisplayText&gt;&lt;record&gt;&lt;rec-number&gt;137&lt;/rec-number&gt;&lt;foreign-keys&gt;&lt;key app="EN" db-id="p00v9zw27zzswpe25phxpead0asdt50td92p" timestamp="1630451535"&gt;137&lt;/key&gt;&lt;/foreign-keys&gt;&lt;ref-type name="Journal Article"&gt;17&lt;/ref-type&gt;&lt;contributors&gt;&lt;authors&gt;&lt;author&gt;Gale, Nicola K.&lt;/author&gt;&lt;author&gt;Heath, Gemma&lt;/author&gt;&lt;author&gt;Cameron, Elaine&lt;/author&gt;&lt;author&gt;Rashid, Sabina&lt;/author&gt;&lt;author&gt;Redwood, Sabi&lt;/author&gt;&lt;/authors&gt;&lt;/contributors&gt;&lt;titles&gt;&lt;title&gt;Using the framework method for the analysis of qualitative data in multi-disciplinary health research&lt;/title&gt;&lt;secondary-title&gt;BMC Medical Research Methodology&lt;/secondary-title&gt;&lt;/titles&gt;&lt;periodical&gt;&lt;full-title&gt;BMC Medical Research Methodology&lt;/full-title&gt;&lt;/periodical&gt;&lt;pages&gt;117&lt;/pages&gt;&lt;volume&gt;13&lt;/volume&gt;&lt;number&gt;1&lt;/number&gt;&lt;dates&gt;&lt;year&gt;2013&lt;/year&gt;&lt;pub-dates&gt;&lt;date&gt;2013/09/18&lt;/date&gt;&lt;/pub-dates&gt;&lt;/dates&gt;&lt;isbn&gt;1471-2288&lt;/isbn&gt;&lt;urls&gt;&lt;related-urls&gt;&lt;url&gt;https://doi.org/10.1186/1471-2288-13-117&lt;/url&gt;&lt;/related-urls&gt;&lt;/urls&gt;&lt;electronic-resource-num&gt;10.1186/1471-2288-13-117&lt;/electronic-resource-num&gt;&lt;/record&gt;&lt;/Cite&gt;&lt;/EndNote&gt;</w:instrText>
      </w:r>
      <w:r w:rsidR="008C735B">
        <w:fldChar w:fldCharType="separate"/>
      </w:r>
      <w:r w:rsidR="00441C1C">
        <w:rPr>
          <w:noProof/>
        </w:rPr>
        <w:t>(38)</w:t>
      </w:r>
      <w:r w:rsidR="008C735B">
        <w:fldChar w:fldCharType="end"/>
      </w:r>
    </w:p>
    <w:p w14:paraId="3E0BF35E" w14:textId="38B9F006" w:rsidR="00225A3B" w:rsidRDefault="00225A3B" w:rsidP="005307A9">
      <w:pPr>
        <w:pStyle w:val="BodyText"/>
      </w:pPr>
      <w:r>
        <w:t xml:space="preserve">After familiarisation, an initial coding framework was developed based on broad categories relevant to the evaluation questions and indicator matrix (Appendix </w:t>
      </w:r>
      <w:r w:rsidR="00E87A4D">
        <w:t>C</w:t>
      </w:r>
      <w:r>
        <w:t xml:space="preserve">). For consumer interviews, the coding framework consisted of the following topics: healthcare, how they were introduced to naloxone, comfort during the supply event, brief intervention experience, barriers to THN, and recommendations for improvement. </w:t>
      </w:r>
      <w:r w:rsidR="00401CA2">
        <w:t>The coding framework</w:t>
      </w:r>
      <w:r w:rsidDel="00401CA2">
        <w:t xml:space="preserve"> </w:t>
      </w:r>
      <w:r w:rsidR="00401CA2">
        <w:t xml:space="preserve">for </w:t>
      </w:r>
      <w:r>
        <w:t xml:space="preserve">access site staff </w:t>
      </w:r>
      <w:r w:rsidR="00401CA2">
        <w:t>interviews</w:t>
      </w:r>
      <w:r w:rsidDel="00401CA2">
        <w:t xml:space="preserve"> </w:t>
      </w:r>
      <w:r>
        <w:t xml:space="preserve">consisted of the following categories: policies and procedures, administration/workload, training, comfort with supplying THN for the staff member, barriers, and recommendations for improvement. </w:t>
      </w:r>
    </w:p>
    <w:p w14:paraId="486F8E67" w14:textId="29EF4294" w:rsidR="00225A3B" w:rsidRDefault="00225A3B" w:rsidP="005307A9">
      <w:pPr>
        <w:pStyle w:val="BodyText"/>
      </w:pPr>
      <w:r>
        <w:t xml:space="preserve">All qualitative interviews were then coded using these frameworks in qualitative data analysis software </w:t>
      </w:r>
      <w:proofErr w:type="spellStart"/>
      <w:r>
        <w:t>Nvivo</w:t>
      </w:r>
      <w:proofErr w:type="spellEnd"/>
      <w:r>
        <w:t xml:space="preserve"> 12.</w:t>
      </w:r>
      <w:r>
        <w:rPr>
          <w:rStyle w:val="FootnoteReference"/>
        </w:rPr>
        <w:footnoteReference w:id="5"/>
      </w:r>
      <w:r>
        <w:t xml:space="preserve"> Three analysts coded the interview transcripts independently, me</w:t>
      </w:r>
      <w:r w:rsidR="00E87A4D">
        <w:t>e</w:t>
      </w:r>
      <w:r>
        <w:t>t</w:t>
      </w:r>
      <w:r w:rsidR="00E87A4D">
        <w:t>ing</w:t>
      </w:r>
      <w:r>
        <w:t xml:space="preserve"> regularly to discuss the coding framework and maintain consistency in coding.   </w:t>
      </w:r>
    </w:p>
    <w:p w14:paraId="62367C90" w14:textId="5AD9E5E1" w:rsidR="00225A3B" w:rsidRDefault="00E87A4D" w:rsidP="005307A9">
      <w:pPr>
        <w:pStyle w:val="BodyText"/>
      </w:pPr>
      <w:r>
        <w:t>Data from the</w:t>
      </w:r>
      <w:r w:rsidR="00225A3B">
        <w:t xml:space="preserve"> quantitative component of the consumer interviews were analysed using STATA 15. </w:t>
      </w:r>
      <w:r w:rsidR="00032E13">
        <w:t>Details of individual analyses are presented separately in each chapter.</w:t>
      </w:r>
    </w:p>
    <w:p w14:paraId="6B40107B" w14:textId="3D658536" w:rsidR="00225A3B" w:rsidRDefault="00225A3B" w:rsidP="00A61A4B">
      <w:pPr>
        <w:spacing w:before="120" w:line="260" w:lineRule="exact"/>
      </w:pPr>
      <w:r>
        <w:lastRenderedPageBreak/>
        <w:t xml:space="preserve">The mystery shopping observations were analysed using quantitative content analysis using a pre-defined template in Excel.  </w:t>
      </w:r>
    </w:p>
    <w:p w14:paraId="1CA84E31" w14:textId="3D658536" w:rsidR="002B6619" w:rsidRDefault="002B6619" w:rsidP="002B6619">
      <w:pPr>
        <w:pStyle w:val="NbrHeading3"/>
        <w:tabs>
          <w:tab w:val="num" w:pos="1134"/>
        </w:tabs>
      </w:pPr>
      <w:bookmarkStart w:id="116" w:name="_Toc94794103"/>
      <w:bookmarkStart w:id="117" w:name="_Toc94794235"/>
      <w:r>
        <w:t>Point of supply data</w:t>
      </w:r>
      <w:bookmarkEnd w:id="116"/>
      <w:bookmarkEnd w:id="117"/>
    </w:p>
    <w:p w14:paraId="5F90BC83" w14:textId="28E82EF0" w:rsidR="00CA5EEA" w:rsidRPr="00040F5A" w:rsidRDefault="00CA5EEA" w:rsidP="00A61A4B">
      <w:pPr>
        <w:spacing w:before="120" w:line="260" w:lineRule="exact"/>
      </w:pPr>
      <w:r>
        <w:t xml:space="preserve">In addition to these interviews, we designed </w:t>
      </w:r>
      <w:r w:rsidR="00892C3A">
        <w:t xml:space="preserve">quantitative </w:t>
      </w:r>
      <w:r>
        <w:t xml:space="preserve">data collection systems to be used at each point of naloxone supply </w:t>
      </w:r>
      <w:r w:rsidR="001528C9">
        <w:t xml:space="preserve">(pharmacies and AAS) </w:t>
      </w:r>
      <w:r>
        <w:t>to gather data about the naloxone distributed and the recipients.</w:t>
      </w:r>
    </w:p>
    <w:p w14:paraId="4E9CC601" w14:textId="5DAA69D4" w:rsidR="00CA5EEA" w:rsidRPr="00ED24D0" w:rsidRDefault="002B6619" w:rsidP="00A61A4B">
      <w:pPr>
        <w:spacing w:before="120" w:line="260" w:lineRule="exact"/>
        <w:rPr>
          <w:sz w:val="18"/>
          <w:szCs w:val="18"/>
          <w:lang w:eastAsia="en-AU"/>
        </w:rPr>
      </w:pPr>
      <w:r w:rsidRPr="15E67C5C">
        <w:rPr>
          <w:lang w:eastAsia="en-AU"/>
        </w:rPr>
        <w:t xml:space="preserve">THN distribution data were collected </w:t>
      </w:r>
      <w:r w:rsidR="00930985" w:rsidRPr="15E67C5C">
        <w:rPr>
          <w:lang w:eastAsia="en-AU"/>
        </w:rPr>
        <w:t>from December 2019 to June 2021</w:t>
      </w:r>
      <w:r w:rsidRPr="15E67C5C">
        <w:rPr>
          <w:lang w:eastAsia="en-AU"/>
        </w:rPr>
        <w:t xml:space="preserve">, </w:t>
      </w:r>
      <w:r w:rsidR="00E616BA">
        <w:rPr>
          <w:lang w:eastAsia="en-AU"/>
        </w:rPr>
        <w:t>using</w:t>
      </w:r>
      <w:r w:rsidRPr="15E67C5C">
        <w:rPr>
          <w:lang w:eastAsia="en-AU"/>
        </w:rPr>
        <w:t xml:space="preserve"> a web portal established by the Program Administrator (the PPA portal) to manage reimbursement claims and manually by AAS in WA. Data on date, quantity</w:t>
      </w:r>
      <w:r w:rsidR="005E2281">
        <w:rPr>
          <w:lang w:eastAsia="en-AU"/>
        </w:rPr>
        <w:t xml:space="preserve"> and </w:t>
      </w:r>
      <w:r w:rsidRPr="15E67C5C">
        <w:rPr>
          <w:lang w:eastAsia="en-AU"/>
        </w:rPr>
        <w:t xml:space="preserve">formulation/s </w:t>
      </w:r>
      <w:r w:rsidR="0028378A">
        <w:rPr>
          <w:lang w:eastAsia="en-AU"/>
        </w:rPr>
        <w:t>provided</w:t>
      </w:r>
      <w:r w:rsidR="005E2281">
        <w:rPr>
          <w:lang w:eastAsia="en-AU"/>
        </w:rPr>
        <w:t xml:space="preserve"> </w:t>
      </w:r>
      <w:r w:rsidRPr="15E67C5C">
        <w:rPr>
          <w:lang w:eastAsia="en-AU"/>
        </w:rPr>
        <w:t xml:space="preserve">and location were recorded for all supply and provided to the evaluation team where site-specific ethics approval had been granted. This comprised information on 94% of </w:t>
      </w:r>
      <w:r w:rsidR="00705E1E">
        <w:rPr>
          <w:lang w:eastAsia="en-AU"/>
        </w:rPr>
        <w:t xml:space="preserve">all </w:t>
      </w:r>
      <w:r w:rsidRPr="15E67C5C">
        <w:rPr>
          <w:lang w:eastAsia="en-AU"/>
        </w:rPr>
        <w:t xml:space="preserve">supply (n=27,955 occasions). Additional information on gender, </w:t>
      </w:r>
      <w:r w:rsidR="00775497">
        <w:rPr>
          <w:lang w:eastAsia="en-AU"/>
        </w:rPr>
        <w:t xml:space="preserve">estimated </w:t>
      </w:r>
      <w:r w:rsidRPr="15E67C5C">
        <w:rPr>
          <w:lang w:eastAsia="en-AU"/>
        </w:rPr>
        <w:t>age</w:t>
      </w:r>
      <w:r w:rsidR="00775497">
        <w:rPr>
          <w:lang w:eastAsia="en-AU"/>
        </w:rPr>
        <w:t xml:space="preserve"> group</w:t>
      </w:r>
      <w:r w:rsidRPr="15E67C5C">
        <w:rPr>
          <w:lang w:eastAsia="en-AU"/>
        </w:rPr>
        <w:t xml:space="preserve">, </w:t>
      </w:r>
      <w:r w:rsidR="00985974">
        <w:rPr>
          <w:lang w:eastAsia="en-AU"/>
        </w:rPr>
        <w:t xml:space="preserve">home postcode, </w:t>
      </w:r>
      <w:r w:rsidRPr="15E67C5C">
        <w:rPr>
          <w:lang w:eastAsia="en-AU"/>
        </w:rPr>
        <w:t>self-identified consumer type, other medications</w:t>
      </w:r>
      <w:r w:rsidR="006C1E09">
        <w:rPr>
          <w:lang w:eastAsia="en-AU"/>
        </w:rPr>
        <w:t xml:space="preserve"> used by the consumer</w:t>
      </w:r>
      <w:r w:rsidR="009D5AB3">
        <w:rPr>
          <w:lang w:eastAsia="en-AU"/>
        </w:rPr>
        <w:t>,</w:t>
      </w:r>
      <w:r w:rsidR="00E07680">
        <w:rPr>
          <w:lang w:eastAsia="en-AU"/>
        </w:rPr>
        <w:t xml:space="preserve"> perceived risk of experiencing or witnessing an overdose</w:t>
      </w:r>
      <w:r w:rsidR="00DB53BD">
        <w:rPr>
          <w:lang w:eastAsia="en-AU"/>
        </w:rPr>
        <w:t>,</w:t>
      </w:r>
      <w:r w:rsidR="001661D9">
        <w:rPr>
          <w:lang w:eastAsia="en-AU"/>
        </w:rPr>
        <w:t xml:space="preserve"> and </w:t>
      </w:r>
      <w:r w:rsidRPr="15E67C5C">
        <w:rPr>
          <w:lang w:eastAsia="en-AU"/>
        </w:rPr>
        <w:t>repeat access to THN was recorded for consenting participants only; these data represented 48% of all supply (n=13,525 occasions).</w:t>
      </w:r>
    </w:p>
    <w:p w14:paraId="6F64FB16" w14:textId="77777777" w:rsidR="00CA5EEA" w:rsidRDefault="00CA5EEA" w:rsidP="003D0F16">
      <w:pPr>
        <w:pStyle w:val="NbrHeading3"/>
      </w:pPr>
      <w:bookmarkStart w:id="118" w:name="_Toc78970174"/>
      <w:bookmarkStart w:id="119" w:name="_Toc94794104"/>
      <w:bookmarkStart w:id="120" w:name="_Toc94794236"/>
      <w:r>
        <w:t>Consultations</w:t>
      </w:r>
      <w:bookmarkEnd w:id="118"/>
      <w:bookmarkEnd w:id="119"/>
      <w:bookmarkEnd w:id="120"/>
    </w:p>
    <w:p w14:paraId="10017C52" w14:textId="77777777" w:rsidR="00CA5EEA" w:rsidRDefault="00CA5EEA" w:rsidP="00B00052">
      <w:pPr>
        <w:pStyle w:val="Heading4"/>
        <w:rPr>
          <w:lang w:eastAsia="en-AU"/>
        </w:rPr>
      </w:pPr>
      <w:r>
        <w:rPr>
          <w:lang w:eastAsia="en-AU"/>
        </w:rPr>
        <w:t>Implementation agencies</w:t>
      </w:r>
    </w:p>
    <w:p w14:paraId="240B1D0C" w14:textId="7893B417" w:rsidR="00CA5EEA" w:rsidRPr="00D64539" w:rsidRDefault="00CA5EEA" w:rsidP="005307A9">
      <w:pPr>
        <w:pStyle w:val="BodyText"/>
        <w:rPr>
          <w:lang w:eastAsia="en-AU"/>
        </w:rPr>
      </w:pPr>
      <w:r>
        <w:rPr>
          <w:lang w:eastAsia="en-AU"/>
        </w:rPr>
        <w:t xml:space="preserve">We conducted quarterly check-in meetings with the state-based implementation </w:t>
      </w:r>
      <w:r w:rsidR="005F68B5">
        <w:rPr>
          <w:lang w:eastAsia="en-AU"/>
        </w:rPr>
        <w:t xml:space="preserve">agencies </w:t>
      </w:r>
      <w:r>
        <w:rPr>
          <w:lang w:eastAsia="en-AU"/>
        </w:rPr>
        <w:t>to understand how Pilot activities were progressing, what hurdles were being experienced and what solutions were proposed and being tested.</w:t>
      </w:r>
      <w:r w:rsidR="00892C3A">
        <w:rPr>
          <w:lang w:eastAsia="en-AU"/>
        </w:rPr>
        <w:t xml:space="preserve"> Key issues, solutions and recommendatio</w:t>
      </w:r>
      <w:r w:rsidR="0048225E">
        <w:rPr>
          <w:lang w:eastAsia="en-AU"/>
        </w:rPr>
        <w:t>ns</w:t>
      </w:r>
      <w:r w:rsidR="00892C3A">
        <w:rPr>
          <w:lang w:eastAsia="en-AU"/>
        </w:rPr>
        <w:t xml:space="preserve"> were noted for these meetings.</w:t>
      </w:r>
    </w:p>
    <w:p w14:paraId="5966253B" w14:textId="027DFD08" w:rsidR="00CA5EEA" w:rsidRDefault="00CA5EEA" w:rsidP="00B00052">
      <w:pPr>
        <w:pStyle w:val="Heading4"/>
        <w:rPr>
          <w:lang w:eastAsia="en-AU"/>
        </w:rPr>
      </w:pPr>
      <w:r>
        <w:rPr>
          <w:lang w:eastAsia="en-AU"/>
        </w:rPr>
        <w:t>Sector representatives</w:t>
      </w:r>
    </w:p>
    <w:p w14:paraId="3EAF3A66" w14:textId="54B61594" w:rsidR="00CA5EEA" w:rsidRDefault="00CA5EEA" w:rsidP="005307A9">
      <w:pPr>
        <w:pStyle w:val="BodyText"/>
        <w:rPr>
          <w:lang w:eastAsia="en-AU"/>
        </w:rPr>
      </w:pPr>
      <w:r>
        <w:rPr>
          <w:lang w:eastAsia="en-AU"/>
        </w:rPr>
        <w:t>We conducted a series of roundtable consultations (n=25) and individual interviews (n=8) with leaders and representatives (n=75) from multiple sectors relevant to the Pilot. These included hospitals, pharmacies, non-government health organisations, professional peak bodies, non-Pilot naloxone programs, researchers, pharmaceutical companies, and Justice/Corrections officials. Some were directly involved in implementation of the Pilot, some had been consulted as part of the pre-implementation roundtables, and others represented key experts in research and practice around overdose responses and implementation settings.</w:t>
      </w:r>
      <w:r w:rsidR="00225A3B">
        <w:rPr>
          <w:lang w:eastAsia="en-AU"/>
        </w:rPr>
        <w:t xml:space="preserve"> These data were analysed qualitatively in </w:t>
      </w:r>
      <w:proofErr w:type="spellStart"/>
      <w:r w:rsidR="00225A3B">
        <w:rPr>
          <w:lang w:eastAsia="en-AU"/>
        </w:rPr>
        <w:t>Nvivo</w:t>
      </w:r>
      <w:proofErr w:type="spellEnd"/>
      <w:r w:rsidR="00225A3B">
        <w:rPr>
          <w:lang w:eastAsia="en-AU"/>
        </w:rPr>
        <w:t xml:space="preserve"> 12 using the evaluation questions as a guide.</w:t>
      </w:r>
    </w:p>
    <w:p w14:paraId="63603F75" w14:textId="6F61652D" w:rsidR="00CA5EEA" w:rsidRDefault="00CA5EEA" w:rsidP="003D0F16">
      <w:pPr>
        <w:pStyle w:val="NbrHeading3"/>
      </w:pPr>
      <w:bookmarkStart w:id="121" w:name="_Toc78970175"/>
      <w:bookmarkStart w:id="122" w:name="_Toc94794105"/>
      <w:bookmarkStart w:id="123" w:name="_Toc94794237"/>
      <w:r>
        <w:t xml:space="preserve">Analysis of </w:t>
      </w:r>
      <w:r w:rsidR="00005C7B">
        <w:t xml:space="preserve">research and </w:t>
      </w:r>
      <w:r>
        <w:t>administrative data</w:t>
      </w:r>
      <w:bookmarkEnd w:id="121"/>
      <w:bookmarkEnd w:id="122"/>
      <w:bookmarkEnd w:id="123"/>
      <w:r>
        <w:t xml:space="preserve"> </w:t>
      </w:r>
    </w:p>
    <w:p w14:paraId="7E6F54A0" w14:textId="60885865" w:rsidR="00CA5EEA" w:rsidRDefault="00CA5EEA" w:rsidP="00A61A4B">
      <w:pPr>
        <w:spacing w:before="120" w:line="260" w:lineRule="exact"/>
        <w:rPr>
          <w:lang w:eastAsia="en-AU"/>
        </w:rPr>
      </w:pPr>
      <w:r>
        <w:rPr>
          <w:lang w:eastAsia="en-AU"/>
        </w:rPr>
        <w:t xml:space="preserve">We analysed </w:t>
      </w:r>
      <w:r w:rsidR="00005C7B">
        <w:rPr>
          <w:lang w:eastAsia="en-AU"/>
        </w:rPr>
        <w:t>research and</w:t>
      </w:r>
      <w:r>
        <w:rPr>
          <w:lang w:eastAsia="en-AU"/>
        </w:rPr>
        <w:t xml:space="preserve"> administrative data to provide information directly relating to Pilot activities, or to provide context about the environment in which the Pilot was delivered. These included:</w:t>
      </w:r>
    </w:p>
    <w:p w14:paraId="162858D1" w14:textId="666C572B" w:rsidR="00CA5EEA" w:rsidRDefault="00CA5EEA" w:rsidP="003D0F16">
      <w:pPr>
        <w:pStyle w:val="ListParagraph"/>
        <w:numPr>
          <w:ilvl w:val="0"/>
          <w:numId w:val="16"/>
        </w:numPr>
        <w:rPr>
          <w:lang w:eastAsia="en-AU"/>
        </w:rPr>
      </w:pPr>
      <w:r>
        <w:rPr>
          <w:lang w:eastAsia="en-AU"/>
        </w:rPr>
        <w:t xml:space="preserve">PBS data on all </w:t>
      </w:r>
      <w:proofErr w:type="spellStart"/>
      <w:r>
        <w:rPr>
          <w:lang w:eastAsia="en-AU"/>
        </w:rPr>
        <w:t>dispensing</w:t>
      </w:r>
      <w:r w:rsidR="55A57BBE">
        <w:rPr>
          <w:lang w:eastAsia="en-AU"/>
        </w:rPr>
        <w:t>s</w:t>
      </w:r>
      <w:proofErr w:type="spellEnd"/>
      <w:r w:rsidR="00CE6095">
        <w:rPr>
          <w:rStyle w:val="FootnoteReference"/>
          <w:lang w:eastAsia="en-AU"/>
        </w:rPr>
        <w:footnoteReference w:id="6"/>
      </w:r>
      <w:r>
        <w:rPr>
          <w:lang w:eastAsia="en-AU"/>
        </w:rPr>
        <w:t xml:space="preserve"> of opioid medic</w:t>
      </w:r>
      <w:r w:rsidR="00507B72">
        <w:rPr>
          <w:lang w:eastAsia="en-AU"/>
        </w:rPr>
        <w:t>ine</w:t>
      </w:r>
      <w:r>
        <w:rPr>
          <w:lang w:eastAsia="en-AU"/>
        </w:rPr>
        <w:t>s</w:t>
      </w:r>
      <w:r w:rsidR="00507B72">
        <w:rPr>
          <w:rStyle w:val="FootnoteReference"/>
          <w:lang w:eastAsia="en-AU"/>
        </w:rPr>
        <w:footnoteReference w:id="7"/>
      </w:r>
      <w:r>
        <w:rPr>
          <w:lang w:eastAsia="en-AU"/>
        </w:rPr>
        <w:t xml:space="preserve"> and naloxone from January 2015 to April 2021 </w:t>
      </w:r>
      <w:r w:rsidR="003272C6">
        <w:rPr>
          <w:lang w:eastAsia="en-AU"/>
        </w:rPr>
        <w:t>were examined</w:t>
      </w:r>
      <w:r>
        <w:rPr>
          <w:lang w:eastAsia="en-AU"/>
        </w:rPr>
        <w:t xml:space="preserve"> to</w:t>
      </w:r>
      <w:r w:rsidR="00BE67BA">
        <w:rPr>
          <w:lang w:eastAsia="en-AU"/>
        </w:rPr>
        <w:t>:</w:t>
      </w:r>
      <w:r>
        <w:rPr>
          <w:lang w:eastAsia="en-AU"/>
        </w:rPr>
        <w:t xml:space="preserve"> </w:t>
      </w:r>
      <w:proofErr w:type="spellStart"/>
      <w:r w:rsidR="00BE67BA">
        <w:rPr>
          <w:lang w:eastAsia="en-AU"/>
        </w:rPr>
        <w:t>i</w:t>
      </w:r>
      <w:proofErr w:type="spellEnd"/>
      <w:r w:rsidR="00BE67BA">
        <w:rPr>
          <w:lang w:eastAsia="en-AU"/>
        </w:rPr>
        <w:t>)</w:t>
      </w:r>
      <w:r>
        <w:rPr>
          <w:lang w:eastAsia="en-AU"/>
        </w:rPr>
        <w:t xml:space="preserve"> assess levels of </w:t>
      </w:r>
      <w:r w:rsidR="6B864517">
        <w:rPr>
          <w:lang w:eastAsia="en-AU"/>
        </w:rPr>
        <w:t>potential overdose</w:t>
      </w:r>
      <w:r>
        <w:rPr>
          <w:lang w:eastAsia="en-AU"/>
        </w:rPr>
        <w:t xml:space="preserve"> risk associated with prescribed opioids</w:t>
      </w:r>
      <w:r w:rsidR="00EB2182">
        <w:rPr>
          <w:lang w:eastAsia="en-AU"/>
        </w:rPr>
        <w:t xml:space="preserve"> according to established </w:t>
      </w:r>
      <w:r w:rsidR="000613FD">
        <w:rPr>
          <w:lang w:eastAsia="en-AU"/>
        </w:rPr>
        <w:t xml:space="preserve">dose </w:t>
      </w:r>
      <w:r w:rsidR="00FD336A">
        <w:rPr>
          <w:lang w:eastAsia="en-AU"/>
        </w:rPr>
        <w:t>thresholds</w:t>
      </w:r>
      <w:r>
        <w:rPr>
          <w:lang w:eastAsia="en-AU"/>
        </w:rPr>
        <w:t xml:space="preserve">, </w:t>
      </w:r>
      <w:r w:rsidR="00BE67BA">
        <w:rPr>
          <w:lang w:eastAsia="en-AU"/>
        </w:rPr>
        <w:t xml:space="preserve">ii) identify </w:t>
      </w:r>
      <w:r w:rsidR="3747B7E5">
        <w:rPr>
          <w:lang w:eastAsia="en-AU"/>
        </w:rPr>
        <w:t xml:space="preserve">any </w:t>
      </w:r>
      <w:r w:rsidR="69D28C5C">
        <w:rPr>
          <w:lang w:eastAsia="en-AU"/>
        </w:rPr>
        <w:t>changes</w:t>
      </w:r>
      <w:r w:rsidR="56FDEA17">
        <w:rPr>
          <w:lang w:eastAsia="en-AU"/>
        </w:rPr>
        <w:t xml:space="preserve"> in general and high-risk use</w:t>
      </w:r>
      <w:r w:rsidR="00043A41">
        <w:rPr>
          <w:lang w:eastAsia="en-AU"/>
        </w:rPr>
        <w:t xml:space="preserve"> o</w:t>
      </w:r>
      <w:r w:rsidR="00E9098E">
        <w:rPr>
          <w:lang w:eastAsia="en-AU"/>
        </w:rPr>
        <w:t>v</w:t>
      </w:r>
      <w:r w:rsidR="00043A41">
        <w:rPr>
          <w:lang w:eastAsia="en-AU"/>
        </w:rPr>
        <w:t>er time</w:t>
      </w:r>
      <w:r w:rsidR="009D2661">
        <w:rPr>
          <w:lang w:eastAsia="en-AU"/>
        </w:rPr>
        <w:t xml:space="preserve"> during the Pilot</w:t>
      </w:r>
      <w:r w:rsidR="00043A41">
        <w:rPr>
          <w:lang w:eastAsia="en-AU"/>
        </w:rPr>
        <w:t xml:space="preserve">, </w:t>
      </w:r>
      <w:r>
        <w:rPr>
          <w:lang w:eastAsia="en-AU"/>
        </w:rPr>
        <w:t xml:space="preserve">and </w:t>
      </w:r>
      <w:r w:rsidR="00BE67BA">
        <w:rPr>
          <w:lang w:eastAsia="en-AU"/>
        </w:rPr>
        <w:t xml:space="preserve">iii) </w:t>
      </w:r>
      <w:r>
        <w:rPr>
          <w:lang w:eastAsia="en-AU"/>
        </w:rPr>
        <w:t>compare naloxone provided during the Pilot with that provided through the PBS prior to the Pilot</w:t>
      </w:r>
      <w:r w:rsidR="0083747F">
        <w:rPr>
          <w:lang w:eastAsia="en-AU"/>
        </w:rPr>
        <w:t>, or in non-Pilot states</w:t>
      </w:r>
      <w:r w:rsidR="00F359CF">
        <w:rPr>
          <w:lang w:eastAsia="en-AU"/>
        </w:rPr>
        <w:t xml:space="preserve"> </w:t>
      </w:r>
      <w:r w:rsidR="00FD1F33">
        <w:rPr>
          <w:lang w:eastAsia="en-AU"/>
        </w:rPr>
        <w:fldChar w:fldCharType="begin">
          <w:fldData xml:space="preserve">PEVuZE5vdGU+PENpdGU+PEF1dGhvcj5MYWxpYzwvQXV0aG9yPjxZZWFyPjIwMTk8L1llYXI+PFJl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==
</w:fldData>
        </w:fldChar>
      </w:r>
      <w:r w:rsidR="00EF7C97">
        <w:rPr>
          <w:lang w:eastAsia="en-AU"/>
        </w:rPr>
        <w:instrText xml:space="preserve"> ADDIN EN.CITE </w:instrText>
      </w:r>
      <w:r w:rsidR="00EF7C97">
        <w:rPr>
          <w:lang w:eastAsia="en-AU"/>
        </w:rPr>
        <w:fldChar w:fldCharType="begin">
          <w:fldData xml:space="preserve">PEVuZE5vdGU+PENpdGU+PEF1dGhvcj5MYWxpYzwvQXV0aG9yPjxZZWFyPjIwMTk8L1llYXI+PFJl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==
</w:fldData>
        </w:fldChar>
      </w:r>
      <w:r w:rsidR="00EF7C97">
        <w:rPr>
          <w:lang w:eastAsia="en-AU"/>
        </w:rPr>
        <w:instrText xml:space="preserve"> ADDIN EN.CITE.DATA </w:instrText>
      </w:r>
      <w:r w:rsidR="00EF7C97">
        <w:rPr>
          <w:lang w:eastAsia="en-AU"/>
        </w:rPr>
      </w:r>
      <w:r w:rsidR="00EF7C97">
        <w:rPr>
          <w:lang w:eastAsia="en-AU"/>
        </w:rPr>
        <w:fldChar w:fldCharType="end"/>
      </w:r>
      <w:r w:rsidR="00FD1F33">
        <w:rPr>
          <w:lang w:eastAsia="en-AU"/>
        </w:rPr>
      </w:r>
      <w:r w:rsidR="00FD1F33">
        <w:rPr>
          <w:lang w:eastAsia="en-AU"/>
        </w:rPr>
        <w:fldChar w:fldCharType="separate"/>
      </w:r>
      <w:r w:rsidR="00EF7C97">
        <w:rPr>
          <w:noProof/>
          <w:lang w:eastAsia="en-AU"/>
        </w:rPr>
        <w:t>(4)</w:t>
      </w:r>
      <w:r w:rsidR="00FD1F33">
        <w:rPr>
          <w:lang w:eastAsia="en-AU"/>
        </w:rPr>
        <w:fldChar w:fldCharType="end"/>
      </w:r>
      <w:r w:rsidR="00F359CF">
        <w:rPr>
          <w:lang w:eastAsia="en-AU"/>
        </w:rPr>
        <w:t>.</w:t>
      </w:r>
      <w:r>
        <w:rPr>
          <w:lang w:eastAsia="en-AU"/>
        </w:rPr>
        <w:t xml:space="preserve">  Naloxone supplied through </w:t>
      </w:r>
      <w:r w:rsidR="3AF6220D">
        <w:rPr>
          <w:lang w:eastAsia="en-AU"/>
        </w:rPr>
        <w:t>PBS</w:t>
      </w:r>
      <w:r>
        <w:rPr>
          <w:lang w:eastAsia="en-AU"/>
        </w:rPr>
        <w:t xml:space="preserve"> </w:t>
      </w:r>
      <w:r w:rsidR="00892C3A">
        <w:rPr>
          <w:lang w:eastAsia="en-AU"/>
        </w:rPr>
        <w:t>Prescriber B</w:t>
      </w:r>
      <w:r>
        <w:rPr>
          <w:lang w:eastAsia="en-AU"/>
        </w:rPr>
        <w:t>ag provisions was excluded</w:t>
      </w:r>
      <w:r w:rsidR="0094712E">
        <w:rPr>
          <w:lang w:eastAsia="en-AU"/>
        </w:rPr>
        <w:t xml:space="preserve"> for </w:t>
      </w:r>
      <w:r w:rsidR="0094712E">
        <w:rPr>
          <w:lang w:eastAsia="en-AU"/>
        </w:rPr>
        <w:lastRenderedPageBreak/>
        <w:t>these analyses</w:t>
      </w:r>
      <w:r>
        <w:rPr>
          <w:lang w:eastAsia="en-AU"/>
        </w:rPr>
        <w:t xml:space="preserve">. Data </w:t>
      </w:r>
      <w:r w:rsidR="003A4677">
        <w:rPr>
          <w:lang w:eastAsia="en-AU"/>
        </w:rPr>
        <w:t>on</w:t>
      </w:r>
      <w:r w:rsidR="003A4677" w:rsidRPr="1788DEBC">
        <w:rPr>
          <w:lang w:eastAsia="en-AU"/>
        </w:rPr>
        <w:t xml:space="preserve"> </w:t>
      </w:r>
      <w:r w:rsidR="00337B8A">
        <w:rPr>
          <w:lang w:eastAsia="en-AU"/>
        </w:rPr>
        <w:t>t</w:t>
      </w:r>
      <w:r w:rsidR="00337B8A" w:rsidRPr="1788DEBC">
        <w:rPr>
          <w:lang w:eastAsia="en-AU"/>
        </w:rPr>
        <w:t xml:space="preserve">rends </w:t>
      </w:r>
      <w:r w:rsidR="344F8193" w:rsidRPr="1788DEBC">
        <w:rPr>
          <w:lang w:eastAsia="en-AU"/>
        </w:rPr>
        <w:t>in</w:t>
      </w:r>
      <w:r w:rsidRPr="1788DEBC">
        <w:rPr>
          <w:lang w:eastAsia="en-AU"/>
        </w:rPr>
        <w:t xml:space="preserve"> </w:t>
      </w:r>
      <w:proofErr w:type="spellStart"/>
      <w:r w:rsidRPr="1788DEBC">
        <w:rPr>
          <w:lang w:eastAsia="en-AU"/>
        </w:rPr>
        <w:t>dispensing</w:t>
      </w:r>
      <w:r w:rsidR="692A2802" w:rsidRPr="1788DEBC">
        <w:rPr>
          <w:lang w:eastAsia="en-AU"/>
        </w:rPr>
        <w:t>s</w:t>
      </w:r>
      <w:proofErr w:type="spellEnd"/>
      <w:r>
        <w:rPr>
          <w:lang w:eastAsia="en-AU"/>
        </w:rPr>
        <w:t xml:space="preserve"> of statin medic</w:t>
      </w:r>
      <w:r w:rsidR="4DFEC9E8">
        <w:rPr>
          <w:lang w:eastAsia="en-AU"/>
        </w:rPr>
        <w:t>ines</w:t>
      </w:r>
      <w:r>
        <w:rPr>
          <w:lang w:eastAsia="en-AU"/>
        </w:rPr>
        <w:t xml:space="preserve"> </w:t>
      </w:r>
      <w:r w:rsidR="00322B4F">
        <w:rPr>
          <w:lang w:eastAsia="en-AU"/>
        </w:rPr>
        <w:t>over this period</w:t>
      </w:r>
      <w:r w:rsidR="00314A0A">
        <w:rPr>
          <w:lang w:eastAsia="en-AU"/>
        </w:rPr>
        <w:t xml:space="preserve"> </w:t>
      </w:r>
      <w:r>
        <w:rPr>
          <w:lang w:eastAsia="en-AU"/>
        </w:rPr>
        <w:t xml:space="preserve">were used </w:t>
      </w:r>
      <w:r w:rsidR="006F34AD">
        <w:rPr>
          <w:lang w:eastAsia="en-AU"/>
        </w:rPr>
        <w:t>as a comparison</w:t>
      </w:r>
      <w:r w:rsidR="00804402">
        <w:rPr>
          <w:lang w:eastAsia="en-AU"/>
        </w:rPr>
        <w:t xml:space="preserve"> because </w:t>
      </w:r>
      <w:r w:rsidR="006355AD">
        <w:rPr>
          <w:lang w:eastAsia="en-AU"/>
        </w:rPr>
        <w:t xml:space="preserve">changes in </w:t>
      </w:r>
      <w:r w:rsidR="00531E63">
        <w:rPr>
          <w:lang w:eastAsia="en-AU"/>
        </w:rPr>
        <w:t xml:space="preserve">general </w:t>
      </w:r>
      <w:r w:rsidR="6F38975E">
        <w:rPr>
          <w:lang w:eastAsia="en-AU"/>
        </w:rPr>
        <w:t>use</w:t>
      </w:r>
      <w:r w:rsidR="00531E63">
        <w:rPr>
          <w:lang w:eastAsia="en-AU"/>
        </w:rPr>
        <w:t xml:space="preserve"> would be expected to show in the statins, whereas changes specific to the Pilot would not. This </w:t>
      </w:r>
      <w:r w:rsidR="00804402">
        <w:rPr>
          <w:lang w:eastAsia="en-AU"/>
        </w:rPr>
        <w:t>approach</w:t>
      </w:r>
      <w:r w:rsidR="00531E63">
        <w:rPr>
          <w:lang w:eastAsia="en-AU"/>
        </w:rPr>
        <w:t xml:space="preserve"> allowed us</w:t>
      </w:r>
      <w:r w:rsidR="006F34AD">
        <w:rPr>
          <w:lang w:eastAsia="en-AU"/>
        </w:rPr>
        <w:t xml:space="preserve"> </w:t>
      </w:r>
      <w:r>
        <w:rPr>
          <w:lang w:eastAsia="en-AU"/>
        </w:rPr>
        <w:t xml:space="preserve">to account for </w:t>
      </w:r>
      <w:r w:rsidR="00531E63">
        <w:rPr>
          <w:lang w:eastAsia="en-AU"/>
        </w:rPr>
        <w:t xml:space="preserve">the effect of </w:t>
      </w:r>
      <w:r>
        <w:rPr>
          <w:lang w:eastAsia="en-AU"/>
        </w:rPr>
        <w:t xml:space="preserve">external factors that may </w:t>
      </w:r>
      <w:r w:rsidR="007B4BBB">
        <w:rPr>
          <w:lang w:eastAsia="en-AU"/>
        </w:rPr>
        <w:t xml:space="preserve">have </w:t>
      </w:r>
      <w:r w:rsidR="00531E63">
        <w:rPr>
          <w:lang w:eastAsia="en-AU"/>
        </w:rPr>
        <w:t xml:space="preserve">impacted </w:t>
      </w:r>
      <w:r>
        <w:rPr>
          <w:lang w:eastAsia="en-AU"/>
        </w:rPr>
        <w:t xml:space="preserve">dispensing patterns in </w:t>
      </w:r>
      <w:r w:rsidR="004E0E61">
        <w:rPr>
          <w:lang w:eastAsia="en-AU"/>
        </w:rPr>
        <w:t xml:space="preserve">the </w:t>
      </w:r>
      <w:r>
        <w:rPr>
          <w:lang w:eastAsia="en-AU"/>
        </w:rPr>
        <w:t xml:space="preserve">Pilot and non-Pilot </w:t>
      </w:r>
      <w:r w:rsidR="008F31D8">
        <w:rPr>
          <w:lang w:eastAsia="en-AU"/>
        </w:rPr>
        <w:t>jurisdictions</w:t>
      </w:r>
      <w:r w:rsidR="60ACEB89">
        <w:rPr>
          <w:lang w:eastAsia="en-AU"/>
        </w:rPr>
        <w:t>.</w:t>
      </w:r>
    </w:p>
    <w:p w14:paraId="18BA8979" w14:textId="77777777" w:rsidR="00CC0DF2" w:rsidRDefault="00CC0DF2" w:rsidP="003D0F16">
      <w:pPr>
        <w:pStyle w:val="ListParagraph"/>
        <w:numPr>
          <w:ilvl w:val="0"/>
          <w:numId w:val="16"/>
        </w:numPr>
        <w:rPr>
          <w:lang w:eastAsia="en-AU"/>
        </w:rPr>
      </w:pPr>
      <w:r>
        <w:t>Relevant data about awareness, uptake and use of naloxone from the annual illicit Drugs Reporting System (IDRS) between 2015-2021 were analysed to provide contextual information about people who regularly inject drugs.</w:t>
      </w:r>
    </w:p>
    <w:p w14:paraId="59CAC699" w14:textId="52476A01" w:rsidR="00CA5EEA" w:rsidRDefault="00CA5EEA" w:rsidP="003D0F16">
      <w:pPr>
        <w:pStyle w:val="ListParagraph"/>
        <w:numPr>
          <w:ilvl w:val="0"/>
          <w:numId w:val="16"/>
        </w:numPr>
        <w:rPr>
          <w:lang w:eastAsia="en-AU"/>
        </w:rPr>
      </w:pPr>
      <w:r>
        <w:rPr>
          <w:lang w:eastAsia="en-AU"/>
        </w:rPr>
        <w:t xml:space="preserve">Australian drug-related hospitalisations data </w:t>
      </w:r>
      <w:r w:rsidR="00EF5ADE">
        <w:rPr>
          <w:lang w:eastAsia="en-AU"/>
        </w:rPr>
        <w:t>from the National Hospital Morbidity</w:t>
      </w:r>
      <w:r w:rsidR="008F78DC">
        <w:rPr>
          <w:lang w:eastAsia="en-AU"/>
        </w:rPr>
        <w:t xml:space="preserve"> Database </w:t>
      </w:r>
      <w:r>
        <w:rPr>
          <w:lang w:eastAsia="en-AU"/>
        </w:rPr>
        <w:t xml:space="preserve">and drug-related deaths data </w:t>
      </w:r>
      <w:r w:rsidR="00F436A7">
        <w:rPr>
          <w:lang w:eastAsia="en-AU"/>
        </w:rPr>
        <w:t>from the Cause of Death Unit Record File</w:t>
      </w:r>
      <w:r w:rsidR="00B34B3D">
        <w:rPr>
          <w:lang w:eastAsia="en-AU"/>
        </w:rPr>
        <w:t xml:space="preserve"> </w:t>
      </w:r>
      <w:r w:rsidR="00DF114F">
        <w:rPr>
          <w:lang w:eastAsia="en-AU"/>
        </w:rPr>
        <w:t xml:space="preserve">between </w:t>
      </w:r>
      <w:r>
        <w:rPr>
          <w:lang w:eastAsia="en-AU"/>
        </w:rPr>
        <w:t xml:space="preserve">2009 </w:t>
      </w:r>
      <w:r w:rsidR="00DF114F">
        <w:rPr>
          <w:lang w:eastAsia="en-AU"/>
        </w:rPr>
        <w:t>and</w:t>
      </w:r>
      <w:r>
        <w:rPr>
          <w:lang w:eastAsia="en-AU"/>
        </w:rPr>
        <w:t xml:space="preserve"> 2019 </w:t>
      </w:r>
      <w:r w:rsidR="00B34B3D">
        <w:rPr>
          <w:lang w:eastAsia="en-AU"/>
        </w:rPr>
        <w:t xml:space="preserve">were </w:t>
      </w:r>
      <w:r>
        <w:rPr>
          <w:lang w:eastAsia="en-AU"/>
        </w:rPr>
        <w:t>accessed through the National Drug and Alcohol Research Centre (NDARC)</w:t>
      </w:r>
      <w:r w:rsidR="00445B82">
        <w:rPr>
          <w:lang w:eastAsia="en-AU"/>
        </w:rPr>
        <w:t xml:space="preserve"> for analysis</w:t>
      </w:r>
      <w:r>
        <w:rPr>
          <w:lang w:eastAsia="en-AU"/>
        </w:rPr>
        <w:t>.</w:t>
      </w:r>
    </w:p>
    <w:p w14:paraId="72B312E0" w14:textId="55729C08" w:rsidR="00C659D6" w:rsidRDefault="00C659D6" w:rsidP="003D0F16">
      <w:pPr>
        <w:pStyle w:val="ListParagraph"/>
        <w:numPr>
          <w:ilvl w:val="0"/>
          <w:numId w:val="16"/>
        </w:numPr>
        <w:rPr>
          <w:lang w:eastAsia="en-AU"/>
        </w:rPr>
      </w:pPr>
      <w:r>
        <w:rPr>
          <w:lang w:eastAsia="en-AU"/>
        </w:rPr>
        <w:t xml:space="preserve">Hospital Emergency Department and Ambulance Service data </w:t>
      </w:r>
      <w:r w:rsidR="007437FA">
        <w:rPr>
          <w:lang w:eastAsia="en-AU"/>
        </w:rPr>
        <w:t xml:space="preserve">covering the period of the Pilot </w:t>
      </w:r>
      <w:r>
        <w:rPr>
          <w:lang w:eastAsia="en-AU"/>
        </w:rPr>
        <w:t>were not available durin</w:t>
      </w:r>
      <w:r w:rsidR="007437FA">
        <w:rPr>
          <w:lang w:eastAsia="en-AU"/>
        </w:rPr>
        <w:t>g the time of the evaluation.</w:t>
      </w:r>
    </w:p>
    <w:p w14:paraId="5331B8CB" w14:textId="77777777" w:rsidR="00CA5EEA" w:rsidRDefault="00CA5EEA" w:rsidP="003D0F16">
      <w:pPr>
        <w:pStyle w:val="NbrHeading3"/>
      </w:pPr>
      <w:bookmarkStart w:id="124" w:name="_Toc94794106"/>
      <w:bookmarkStart w:id="125" w:name="_Toc94794238"/>
      <w:bookmarkStart w:id="126" w:name="_Toc78970176"/>
      <w:r>
        <w:t>Environmental scanning</w:t>
      </w:r>
      <w:bookmarkEnd w:id="124"/>
      <w:bookmarkEnd w:id="125"/>
    </w:p>
    <w:p w14:paraId="34C157C0" w14:textId="4738AA05" w:rsidR="00CA5EEA" w:rsidRDefault="00CA5EEA" w:rsidP="00A61A4B">
      <w:pPr>
        <w:spacing w:before="120" w:line="260" w:lineRule="exact"/>
        <w:rPr>
          <w:lang w:eastAsia="en-AU"/>
        </w:rPr>
      </w:pPr>
      <w:r>
        <w:rPr>
          <w:lang w:eastAsia="en-AU"/>
        </w:rPr>
        <w:t>We examined changes in policy, practice and social landscape using program documentation and other informal data sources. We analysed a range of documents relating to the processes of the Pilot operations</w:t>
      </w:r>
      <w:r w:rsidR="009C3481">
        <w:rPr>
          <w:lang w:eastAsia="en-AU"/>
        </w:rPr>
        <w:t>, including</w:t>
      </w:r>
      <w:r>
        <w:rPr>
          <w:lang w:eastAsia="en-AU"/>
        </w:rPr>
        <w:t>:</w:t>
      </w:r>
    </w:p>
    <w:p w14:paraId="78503FD5" w14:textId="77777777" w:rsidR="00CA5EEA" w:rsidRDefault="00CA5EEA" w:rsidP="003D0F16">
      <w:pPr>
        <w:pStyle w:val="ListParagraph"/>
        <w:numPr>
          <w:ilvl w:val="0"/>
          <w:numId w:val="18"/>
        </w:numPr>
        <w:rPr>
          <w:lang w:eastAsia="en-AU"/>
        </w:rPr>
      </w:pPr>
      <w:r>
        <w:rPr>
          <w:lang w:eastAsia="en-AU"/>
        </w:rPr>
        <w:t>Legislative documents relevant to the enabling and conduct of the Pilot</w:t>
      </w:r>
    </w:p>
    <w:p w14:paraId="39ADBB7A" w14:textId="39E2AA62" w:rsidR="00CA5EEA" w:rsidRDefault="00CA5EEA" w:rsidP="003D0F16">
      <w:pPr>
        <w:pStyle w:val="ListParagraph"/>
        <w:numPr>
          <w:ilvl w:val="0"/>
          <w:numId w:val="18"/>
        </w:numPr>
        <w:rPr>
          <w:lang w:eastAsia="en-AU"/>
        </w:rPr>
      </w:pPr>
      <w:r>
        <w:rPr>
          <w:lang w:eastAsia="en-AU"/>
        </w:rPr>
        <w:t>Policies and guidelines developed and implemented during the Pilot at Australian Government and State level</w:t>
      </w:r>
    </w:p>
    <w:p w14:paraId="58FDFCC7" w14:textId="158A36B4" w:rsidR="00CA5EEA" w:rsidRDefault="00CA5EEA" w:rsidP="003D0F16">
      <w:pPr>
        <w:pStyle w:val="ListParagraph"/>
        <w:numPr>
          <w:ilvl w:val="0"/>
          <w:numId w:val="18"/>
        </w:numPr>
        <w:rPr>
          <w:lang w:eastAsia="en-AU"/>
        </w:rPr>
      </w:pPr>
      <w:r>
        <w:rPr>
          <w:lang w:eastAsia="en-AU"/>
        </w:rPr>
        <w:t xml:space="preserve">Minutes of meetings held between the implementation </w:t>
      </w:r>
      <w:r w:rsidR="00A868D4">
        <w:rPr>
          <w:lang w:eastAsia="en-AU"/>
        </w:rPr>
        <w:t>agencies</w:t>
      </w:r>
    </w:p>
    <w:p w14:paraId="22D746BF" w14:textId="0600B893" w:rsidR="00CA5EEA" w:rsidRDefault="00CA5EEA" w:rsidP="003D0F16">
      <w:pPr>
        <w:pStyle w:val="ListParagraph"/>
        <w:numPr>
          <w:ilvl w:val="0"/>
          <w:numId w:val="18"/>
        </w:numPr>
        <w:rPr>
          <w:lang w:eastAsia="en-AU"/>
        </w:rPr>
      </w:pPr>
      <w:r>
        <w:rPr>
          <w:lang w:eastAsia="en-AU"/>
        </w:rPr>
        <w:t>Logs and content of communications activities undertaken as part of the Pilot</w:t>
      </w:r>
      <w:r w:rsidR="00572408">
        <w:rPr>
          <w:lang w:eastAsia="en-AU"/>
        </w:rPr>
        <w:t>.</w:t>
      </w:r>
    </w:p>
    <w:p w14:paraId="37C1C8CE" w14:textId="28236C8F" w:rsidR="00CA5EEA" w:rsidRDefault="00CA5EEA" w:rsidP="00A61A4B">
      <w:pPr>
        <w:spacing w:before="120" w:line="260" w:lineRule="exact"/>
        <w:rPr>
          <w:lang w:eastAsia="en-AU"/>
        </w:rPr>
      </w:pPr>
      <w:r>
        <w:rPr>
          <w:lang w:eastAsia="en-AU"/>
        </w:rPr>
        <w:t xml:space="preserve">We regularly scanned the media, </w:t>
      </w:r>
      <w:r w:rsidR="00D56AF4">
        <w:rPr>
          <w:lang w:eastAsia="en-AU"/>
        </w:rPr>
        <w:t xml:space="preserve">websites established for the Pilot, </w:t>
      </w:r>
      <w:r>
        <w:rPr>
          <w:lang w:eastAsia="en-AU"/>
        </w:rPr>
        <w:t>professional body information outlets (e.g</w:t>
      </w:r>
      <w:r w:rsidR="00594016">
        <w:rPr>
          <w:lang w:eastAsia="en-AU"/>
        </w:rPr>
        <w:t>.,</w:t>
      </w:r>
      <w:r>
        <w:rPr>
          <w:lang w:eastAsia="en-AU"/>
        </w:rPr>
        <w:t xml:space="preserve"> Pharmaceutical Society of Australia website) and published literature for items relating to the Pilot or to similar programs in other settings, both Australian and international. </w:t>
      </w:r>
    </w:p>
    <w:p w14:paraId="20416240" w14:textId="77777777" w:rsidR="00CA5EEA" w:rsidRDefault="00CA5EEA" w:rsidP="003D0F16">
      <w:pPr>
        <w:pStyle w:val="NbrHeading3"/>
      </w:pPr>
      <w:bookmarkStart w:id="127" w:name="_Toc94794107"/>
      <w:bookmarkStart w:id="128" w:name="_Toc94794239"/>
      <w:bookmarkEnd w:id="126"/>
      <w:r>
        <w:t>Review of indicator matrix</w:t>
      </w:r>
      <w:bookmarkEnd w:id="127"/>
      <w:bookmarkEnd w:id="128"/>
    </w:p>
    <w:p w14:paraId="0762FBCF" w14:textId="34985884" w:rsidR="00CA5EEA" w:rsidRDefault="00CA5EEA" w:rsidP="005307A9">
      <w:pPr>
        <w:pStyle w:val="BodyText"/>
        <w:rPr>
          <w:lang w:eastAsia="en-AU"/>
        </w:rPr>
      </w:pPr>
      <w:r>
        <w:rPr>
          <w:lang w:eastAsia="en-AU"/>
        </w:rPr>
        <w:t>We assessed the available evidence for each key evaluation question and indicator outlined in the indicator matrix. We drew on all available data sources to address each question, rather than presenting individual results from each data source, as outlined in</w:t>
      </w:r>
      <w:r w:rsidDel="0064224D">
        <w:rPr>
          <w:lang w:eastAsia="en-AU"/>
        </w:rPr>
        <w:t xml:space="preserve"> </w:t>
      </w:r>
      <w:r w:rsidR="001A727D">
        <w:rPr>
          <w:lang w:eastAsia="en-AU"/>
        </w:rPr>
        <w:t>Table 2</w:t>
      </w:r>
      <w:r>
        <w:rPr>
          <w:lang w:eastAsia="en-AU"/>
        </w:rPr>
        <w:t xml:space="preserve">. </w:t>
      </w:r>
    </w:p>
    <w:p w14:paraId="453FA804" w14:textId="514D8D9F" w:rsidR="0064224D" w:rsidRDefault="0064224D" w:rsidP="009978F4">
      <w:pPr>
        <w:pStyle w:val="Caption"/>
      </w:pPr>
      <w:bookmarkStart w:id="129" w:name="_Ref81401613"/>
      <w:bookmarkStart w:id="130" w:name="_Toc81401854"/>
      <w:bookmarkStart w:id="131" w:name="_Toc94794332"/>
      <w:r>
        <w:t xml:space="preserve">Table </w:t>
      </w:r>
      <w:r>
        <w:fldChar w:fldCharType="begin"/>
      </w:r>
      <w:r>
        <w:instrText>SEQ Table \* ARABIC</w:instrText>
      </w:r>
      <w:r>
        <w:fldChar w:fldCharType="separate"/>
      </w:r>
      <w:r w:rsidR="00EE19AD">
        <w:rPr>
          <w:noProof/>
        </w:rPr>
        <w:t>2</w:t>
      </w:r>
      <w:r>
        <w:fldChar w:fldCharType="end"/>
      </w:r>
      <w:r>
        <w:t>. Evidence synthesis</w:t>
      </w:r>
      <w:bookmarkEnd w:id="129"/>
      <w:bookmarkEnd w:id="130"/>
      <w:bookmarkEnd w:id="131"/>
    </w:p>
    <w:tbl>
      <w:tblPr>
        <w:tblStyle w:val="TableUQ1"/>
        <w:tblW w:w="0" w:type="auto"/>
        <w:tblInd w:w="-10" w:type="dxa"/>
        <w:tblLook w:val="04A0" w:firstRow="1" w:lastRow="0" w:firstColumn="1" w:lastColumn="0" w:noHBand="0" w:noVBand="1"/>
      </w:tblPr>
      <w:tblGrid>
        <w:gridCol w:w="2754"/>
        <w:gridCol w:w="1794"/>
        <w:gridCol w:w="1488"/>
        <w:gridCol w:w="1628"/>
        <w:gridCol w:w="1692"/>
      </w:tblGrid>
      <w:tr w:rsidR="00B57012" w:rsidRPr="004C40F4" w14:paraId="5D792F72" w14:textId="77777777" w:rsidTr="00B570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349B1CF" w14:textId="77777777" w:rsidR="00F6713B" w:rsidRPr="004C40F4" w:rsidRDefault="00F6713B" w:rsidP="00866910">
            <w:pPr>
              <w:spacing w:before="40" w:after="40" w:line="260" w:lineRule="atLeast"/>
              <w:ind w:left="133" w:right="144"/>
              <w:rPr>
                <w:b/>
                <w:sz w:val="18"/>
                <w:szCs w:val="18"/>
              </w:rPr>
            </w:pPr>
            <w:r>
              <w:rPr>
                <w:b/>
                <w:sz w:val="18"/>
                <w:szCs w:val="18"/>
              </w:rPr>
              <w:t>KEY</w:t>
            </w:r>
            <w:r w:rsidRPr="004C40F4">
              <w:rPr>
                <w:b/>
                <w:sz w:val="18"/>
                <w:szCs w:val="18"/>
              </w:rPr>
              <w:t xml:space="preserve"> EVALUATION QUESTIONS</w:t>
            </w:r>
          </w:p>
        </w:tc>
        <w:tc>
          <w:tcPr>
            <w:tcW w:w="0" w:type="auto"/>
            <w:vAlign w:val="bottom"/>
          </w:tcPr>
          <w:p w14:paraId="2D371842" w14:textId="77777777" w:rsidR="00F6713B" w:rsidRDefault="00F6713B" w:rsidP="00866910">
            <w:pPr>
              <w:spacing w:before="40" w:after="40" w:line="260" w:lineRule="atLeast"/>
              <w:ind w:left="140" w:right="138"/>
              <w:jc w:val="center"/>
              <w:cnfStyle w:val="100000000000" w:firstRow="1" w:lastRow="0" w:firstColumn="0" w:lastColumn="0" w:oddVBand="0" w:evenVBand="0" w:oddHBand="0" w:evenHBand="0" w:firstRowFirstColumn="0" w:firstRowLastColumn="0" w:lastRowFirstColumn="0" w:lastRowLastColumn="0"/>
              <w:rPr>
                <w:b/>
                <w:sz w:val="18"/>
                <w:szCs w:val="18"/>
              </w:rPr>
            </w:pPr>
            <w:r>
              <w:rPr>
                <w:b/>
                <w:sz w:val="18"/>
                <w:szCs w:val="18"/>
              </w:rPr>
              <w:t>Primary Data Collection</w:t>
            </w:r>
          </w:p>
        </w:tc>
        <w:tc>
          <w:tcPr>
            <w:tcW w:w="0" w:type="auto"/>
            <w:vAlign w:val="bottom"/>
          </w:tcPr>
          <w:p w14:paraId="35AA6F73" w14:textId="77777777" w:rsidR="00F6713B" w:rsidRPr="004C40F4" w:rsidRDefault="00F6713B" w:rsidP="00866910">
            <w:pPr>
              <w:spacing w:before="40" w:after="40" w:line="260" w:lineRule="atLeast"/>
              <w:ind w:left="140" w:right="138"/>
              <w:jc w:val="center"/>
              <w:cnfStyle w:val="100000000000" w:firstRow="1" w:lastRow="0" w:firstColumn="0" w:lastColumn="0" w:oddVBand="0" w:evenVBand="0" w:oddHBand="0" w:evenHBand="0" w:firstRowFirstColumn="0" w:firstRowLastColumn="0" w:lastRowFirstColumn="0" w:lastRowLastColumn="0"/>
              <w:rPr>
                <w:b/>
                <w:sz w:val="18"/>
                <w:szCs w:val="18"/>
              </w:rPr>
            </w:pPr>
            <w:r>
              <w:rPr>
                <w:b/>
                <w:sz w:val="18"/>
                <w:szCs w:val="18"/>
              </w:rPr>
              <w:t>Consultations</w:t>
            </w:r>
          </w:p>
        </w:tc>
        <w:tc>
          <w:tcPr>
            <w:tcW w:w="0" w:type="auto"/>
            <w:vAlign w:val="bottom"/>
          </w:tcPr>
          <w:p w14:paraId="66824F97" w14:textId="77777777" w:rsidR="00F6713B" w:rsidRPr="004C40F4" w:rsidRDefault="00F6713B" w:rsidP="00866910">
            <w:pPr>
              <w:spacing w:before="40" w:after="40" w:line="260" w:lineRule="atLeast"/>
              <w:ind w:left="146" w:right="140"/>
              <w:jc w:val="center"/>
              <w:cnfStyle w:val="100000000000" w:firstRow="1" w:lastRow="0" w:firstColumn="0" w:lastColumn="0" w:oddVBand="0" w:evenVBand="0" w:oddHBand="0" w:evenHBand="0" w:firstRowFirstColumn="0" w:firstRowLastColumn="0" w:lastRowFirstColumn="0" w:lastRowLastColumn="0"/>
              <w:rPr>
                <w:b/>
                <w:sz w:val="18"/>
                <w:szCs w:val="18"/>
              </w:rPr>
            </w:pPr>
            <w:r>
              <w:rPr>
                <w:b/>
                <w:sz w:val="18"/>
                <w:szCs w:val="18"/>
              </w:rPr>
              <w:t>Administrative Data</w:t>
            </w:r>
          </w:p>
        </w:tc>
        <w:tc>
          <w:tcPr>
            <w:tcW w:w="0" w:type="auto"/>
            <w:vAlign w:val="bottom"/>
          </w:tcPr>
          <w:p w14:paraId="30343244" w14:textId="77777777" w:rsidR="00F6713B" w:rsidRPr="004C40F4" w:rsidRDefault="00F6713B" w:rsidP="00866910">
            <w:pPr>
              <w:spacing w:before="40" w:after="40" w:line="260" w:lineRule="atLeast"/>
              <w:ind w:left="143" w:right="133"/>
              <w:jc w:val="center"/>
              <w:cnfStyle w:val="100000000000" w:firstRow="1" w:lastRow="0" w:firstColumn="0" w:lastColumn="0" w:oddVBand="0" w:evenVBand="0" w:oddHBand="0" w:evenHBand="0" w:firstRowFirstColumn="0" w:firstRowLastColumn="0" w:lastRowFirstColumn="0" w:lastRowLastColumn="0"/>
              <w:rPr>
                <w:b/>
                <w:sz w:val="18"/>
                <w:szCs w:val="18"/>
              </w:rPr>
            </w:pPr>
            <w:r>
              <w:rPr>
                <w:b/>
                <w:sz w:val="18"/>
                <w:szCs w:val="18"/>
              </w:rPr>
              <w:t>Environmental scanning</w:t>
            </w:r>
          </w:p>
        </w:tc>
      </w:tr>
      <w:tr w:rsidR="00B57012" w:rsidRPr="00C17790" w14:paraId="260E0F52" w14:textId="77777777" w:rsidTr="00B57012">
        <w:tc>
          <w:tcPr>
            <w:cnfStyle w:val="001000000000" w:firstRow="0" w:lastRow="0" w:firstColumn="1" w:lastColumn="0" w:oddVBand="0" w:evenVBand="0" w:oddHBand="0" w:evenHBand="0" w:firstRowFirstColumn="0" w:firstRowLastColumn="0" w:lastRowFirstColumn="0" w:lastRowLastColumn="0"/>
            <w:tcW w:w="0" w:type="auto"/>
            <w:vAlign w:val="center"/>
          </w:tcPr>
          <w:p w14:paraId="0D1E12F7" w14:textId="77777777" w:rsidR="00F6713B" w:rsidRPr="004C40F4" w:rsidRDefault="00F6713B" w:rsidP="00F6713B">
            <w:pPr>
              <w:numPr>
                <w:ilvl w:val="0"/>
                <w:numId w:val="177"/>
              </w:numPr>
              <w:autoSpaceDE w:val="0"/>
              <w:autoSpaceDN w:val="0"/>
              <w:adjustRightInd w:val="0"/>
              <w:spacing w:before="40" w:after="40" w:line="260" w:lineRule="atLeast"/>
              <w:ind w:left="426" w:right="144"/>
              <w:rPr>
                <w:sz w:val="18"/>
                <w:szCs w:val="18"/>
              </w:rPr>
            </w:pPr>
            <w:r w:rsidRPr="004C40F4">
              <w:rPr>
                <w:rFonts w:eastAsia="Times New Roman" w:cs="Calibri"/>
                <w:sz w:val="18"/>
                <w:szCs w:val="18"/>
                <w:lang w:eastAsia="en-AU"/>
              </w:rPr>
              <w:t>Was the THN Pilot Implemented as planned?</w:t>
            </w:r>
          </w:p>
        </w:tc>
        <w:tc>
          <w:tcPr>
            <w:tcW w:w="0" w:type="auto"/>
            <w:vAlign w:val="center"/>
          </w:tcPr>
          <w:p w14:paraId="55CA4C72" w14:textId="5AB29562" w:rsidR="00F6713B" w:rsidRPr="00B57012" w:rsidRDefault="00F6713B" w:rsidP="00B57012">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Quantitative interview</w:t>
            </w:r>
            <w:r w:rsidR="0049102C" w:rsidRPr="00B57012">
              <w:rPr>
                <w:rFonts w:asciiTheme="majorHAnsi" w:eastAsia="Times New Roman" w:hAnsiTheme="majorHAnsi" w:cstheme="majorHAnsi"/>
                <w:sz w:val="18"/>
                <w:szCs w:val="18"/>
                <w:lang w:eastAsia="en-AU"/>
              </w:rPr>
              <w:t>, Qualitative interview, Mystery shop</w:t>
            </w:r>
          </w:p>
        </w:tc>
        <w:tc>
          <w:tcPr>
            <w:tcW w:w="0" w:type="auto"/>
            <w:vAlign w:val="center"/>
          </w:tcPr>
          <w:p w14:paraId="4CE38C87" w14:textId="38104D74" w:rsidR="00F6713B" w:rsidRPr="00B57012" w:rsidRDefault="0049102C" w:rsidP="00B57012">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Round table</w:t>
            </w:r>
          </w:p>
        </w:tc>
        <w:tc>
          <w:tcPr>
            <w:tcW w:w="0" w:type="auto"/>
            <w:vAlign w:val="center"/>
          </w:tcPr>
          <w:p w14:paraId="5092EC16" w14:textId="29C04F22" w:rsidR="00F6713B" w:rsidRPr="00B57012" w:rsidRDefault="0049102C" w:rsidP="00B57012">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THN supply data</w:t>
            </w:r>
          </w:p>
        </w:tc>
        <w:tc>
          <w:tcPr>
            <w:tcW w:w="0" w:type="auto"/>
            <w:vAlign w:val="center"/>
          </w:tcPr>
          <w:p w14:paraId="2F77E80D" w14:textId="291C289E" w:rsidR="00F6713B" w:rsidRPr="00B57012" w:rsidRDefault="0049102C" w:rsidP="00B57012">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Environmental scan</w:t>
            </w:r>
          </w:p>
        </w:tc>
      </w:tr>
      <w:tr w:rsidR="00B57012" w:rsidRPr="00C17790" w14:paraId="1B0B7F80" w14:textId="77777777" w:rsidTr="00B570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46E730B" w14:textId="77777777" w:rsidR="0049102C" w:rsidRPr="004C40F4" w:rsidRDefault="0049102C" w:rsidP="0049102C">
            <w:pPr>
              <w:numPr>
                <w:ilvl w:val="0"/>
                <w:numId w:val="177"/>
              </w:numPr>
              <w:autoSpaceDE w:val="0"/>
              <w:autoSpaceDN w:val="0"/>
              <w:adjustRightInd w:val="0"/>
              <w:spacing w:before="40" w:after="40" w:line="260" w:lineRule="atLeast"/>
              <w:ind w:left="426" w:right="144"/>
              <w:rPr>
                <w:rFonts w:eastAsia="Times New Roman" w:cs="Calibri"/>
                <w:sz w:val="18"/>
                <w:szCs w:val="18"/>
                <w:lang w:eastAsia="en-AU"/>
              </w:rPr>
            </w:pPr>
            <w:r>
              <w:rPr>
                <w:rFonts w:eastAsia="Times New Roman" w:cs="Calibri"/>
                <w:sz w:val="18"/>
                <w:szCs w:val="18"/>
                <w:lang w:eastAsia="en-AU"/>
              </w:rPr>
              <w:t>D</w:t>
            </w:r>
            <w:r w:rsidRPr="004C40F4">
              <w:rPr>
                <w:rFonts w:eastAsia="Times New Roman" w:cs="Calibri"/>
                <w:sz w:val="18"/>
                <w:szCs w:val="18"/>
                <w:lang w:eastAsia="en-AU"/>
              </w:rPr>
              <w:t>id the THN pilot achieve improved access?</w:t>
            </w:r>
          </w:p>
        </w:tc>
        <w:tc>
          <w:tcPr>
            <w:tcW w:w="0" w:type="auto"/>
            <w:vAlign w:val="center"/>
          </w:tcPr>
          <w:p w14:paraId="1C400D98" w14:textId="6ECF7E4E" w:rsidR="0049102C" w:rsidRPr="00B57012" w:rsidRDefault="0049102C" w:rsidP="00B57012">
            <w:pPr>
              <w:spacing w:after="0" w:line="240" w:lineRule="auto"/>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Qualitative interview</w:t>
            </w:r>
          </w:p>
        </w:tc>
        <w:tc>
          <w:tcPr>
            <w:tcW w:w="0" w:type="auto"/>
            <w:vAlign w:val="center"/>
          </w:tcPr>
          <w:p w14:paraId="60563438" w14:textId="653870AD" w:rsidR="0049102C" w:rsidRPr="00B57012" w:rsidRDefault="0049102C" w:rsidP="00B57012">
            <w:pPr>
              <w:spacing w:before="40" w:after="0" w:line="240" w:lineRule="auto"/>
              <w:ind w:left="140" w:right="138"/>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Round table</w:t>
            </w:r>
          </w:p>
        </w:tc>
        <w:tc>
          <w:tcPr>
            <w:tcW w:w="0" w:type="auto"/>
            <w:vAlign w:val="center"/>
          </w:tcPr>
          <w:p w14:paraId="2FF341B2" w14:textId="77777777" w:rsidR="0049102C" w:rsidRPr="00B57012" w:rsidRDefault="0049102C" w:rsidP="00B57012">
            <w:pPr>
              <w:spacing w:before="40" w:after="0" w:line="240" w:lineRule="auto"/>
              <w:ind w:left="146" w:right="140"/>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THN supply data</w:t>
            </w:r>
          </w:p>
          <w:p w14:paraId="661E246E" w14:textId="5151C884" w:rsidR="0049102C" w:rsidRPr="00B57012" w:rsidRDefault="0049102C" w:rsidP="00B57012">
            <w:pPr>
              <w:spacing w:before="40" w:after="0" w:line="240" w:lineRule="auto"/>
              <w:ind w:left="146" w:right="140"/>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PBS data</w:t>
            </w:r>
          </w:p>
        </w:tc>
        <w:tc>
          <w:tcPr>
            <w:tcW w:w="0" w:type="auto"/>
            <w:vAlign w:val="center"/>
          </w:tcPr>
          <w:p w14:paraId="2D6872DE" w14:textId="5DFB95E3" w:rsidR="0049102C" w:rsidRPr="00B57012" w:rsidRDefault="0049102C" w:rsidP="00B57012">
            <w:pPr>
              <w:spacing w:after="0" w:line="240" w:lineRule="auto"/>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Research data</w:t>
            </w:r>
          </w:p>
        </w:tc>
      </w:tr>
      <w:tr w:rsidR="00B57012" w:rsidRPr="00C17790" w14:paraId="020FD9EC" w14:textId="77777777" w:rsidTr="00B57012">
        <w:tc>
          <w:tcPr>
            <w:cnfStyle w:val="001000000000" w:firstRow="0" w:lastRow="0" w:firstColumn="1" w:lastColumn="0" w:oddVBand="0" w:evenVBand="0" w:oddHBand="0" w:evenHBand="0" w:firstRowFirstColumn="0" w:firstRowLastColumn="0" w:lastRowFirstColumn="0" w:lastRowLastColumn="0"/>
            <w:tcW w:w="0" w:type="auto"/>
            <w:vAlign w:val="center"/>
          </w:tcPr>
          <w:p w14:paraId="2327049A" w14:textId="77777777" w:rsidR="0049102C" w:rsidRPr="004C40F4" w:rsidRDefault="0049102C" w:rsidP="0049102C">
            <w:pPr>
              <w:numPr>
                <w:ilvl w:val="0"/>
                <w:numId w:val="177"/>
              </w:numPr>
              <w:autoSpaceDE w:val="0"/>
              <w:autoSpaceDN w:val="0"/>
              <w:adjustRightInd w:val="0"/>
              <w:spacing w:before="40" w:after="40" w:line="260" w:lineRule="atLeast"/>
              <w:ind w:left="426" w:right="144"/>
              <w:rPr>
                <w:rFonts w:eastAsia="Times New Roman" w:cs="Calibri"/>
                <w:sz w:val="18"/>
                <w:szCs w:val="18"/>
                <w:lang w:eastAsia="en-AU"/>
              </w:rPr>
            </w:pPr>
            <w:r w:rsidRPr="004C40F4">
              <w:rPr>
                <w:rFonts w:eastAsia="Times New Roman" w:cs="Calibri"/>
                <w:sz w:val="18"/>
                <w:szCs w:val="18"/>
                <w:lang w:eastAsia="en-AU"/>
              </w:rPr>
              <w:t xml:space="preserve">What was the effect of increasing </w:t>
            </w:r>
            <w:r>
              <w:rPr>
                <w:rFonts w:eastAsia="Times New Roman" w:cs="Calibri"/>
                <w:sz w:val="18"/>
                <w:szCs w:val="18"/>
                <w:lang w:eastAsia="en-AU"/>
              </w:rPr>
              <w:t>the range/number of access sites</w:t>
            </w:r>
            <w:r w:rsidRPr="004C40F4">
              <w:rPr>
                <w:rFonts w:eastAsia="Times New Roman" w:cs="Calibri"/>
                <w:sz w:val="18"/>
                <w:szCs w:val="18"/>
                <w:lang w:eastAsia="en-AU"/>
              </w:rPr>
              <w:t xml:space="preserve"> </w:t>
            </w:r>
            <w:r>
              <w:rPr>
                <w:rFonts w:eastAsia="Times New Roman" w:cs="Calibri"/>
                <w:sz w:val="18"/>
                <w:szCs w:val="18"/>
                <w:lang w:eastAsia="en-AU"/>
              </w:rPr>
              <w:t>on</w:t>
            </w:r>
            <w:r w:rsidRPr="004C40F4">
              <w:rPr>
                <w:rFonts w:eastAsia="Times New Roman" w:cs="Calibri"/>
                <w:sz w:val="18"/>
                <w:szCs w:val="18"/>
                <w:lang w:eastAsia="en-AU"/>
              </w:rPr>
              <w:t xml:space="preserve"> THN </w:t>
            </w:r>
            <w:r>
              <w:rPr>
                <w:rFonts w:eastAsia="Times New Roman" w:cs="Calibri"/>
                <w:sz w:val="18"/>
                <w:szCs w:val="18"/>
                <w:lang w:eastAsia="en-AU"/>
              </w:rPr>
              <w:t>uptake</w:t>
            </w:r>
            <w:r w:rsidRPr="004C40F4">
              <w:rPr>
                <w:rFonts w:eastAsia="Times New Roman" w:cs="Calibri"/>
                <w:sz w:val="18"/>
                <w:szCs w:val="18"/>
                <w:lang w:eastAsia="en-AU"/>
              </w:rPr>
              <w:t xml:space="preserve">?  </w:t>
            </w:r>
          </w:p>
        </w:tc>
        <w:tc>
          <w:tcPr>
            <w:tcW w:w="0" w:type="auto"/>
            <w:vAlign w:val="center"/>
          </w:tcPr>
          <w:p w14:paraId="2AE85D24" w14:textId="47D5900A" w:rsidR="0049102C" w:rsidRPr="00B57012" w:rsidRDefault="0049102C" w:rsidP="00B57012">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Quantitative interview, Qualitative interview</w:t>
            </w:r>
          </w:p>
        </w:tc>
        <w:tc>
          <w:tcPr>
            <w:tcW w:w="0" w:type="auto"/>
            <w:vAlign w:val="center"/>
          </w:tcPr>
          <w:p w14:paraId="2F49F5B6" w14:textId="6F4D67CD" w:rsidR="0049102C" w:rsidRPr="00B57012" w:rsidRDefault="0049102C" w:rsidP="00B57012">
            <w:pPr>
              <w:spacing w:before="40" w:after="0" w:line="240" w:lineRule="auto"/>
              <w:ind w:left="140" w:right="138"/>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Round table</w:t>
            </w:r>
          </w:p>
        </w:tc>
        <w:tc>
          <w:tcPr>
            <w:tcW w:w="0" w:type="auto"/>
            <w:vAlign w:val="center"/>
          </w:tcPr>
          <w:p w14:paraId="55AB2F72" w14:textId="77777777" w:rsidR="0049102C" w:rsidRPr="00B57012" w:rsidRDefault="0049102C" w:rsidP="00B57012">
            <w:pPr>
              <w:spacing w:before="40" w:after="0" w:line="240" w:lineRule="auto"/>
              <w:ind w:left="146" w:right="14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THN supply data</w:t>
            </w:r>
          </w:p>
          <w:p w14:paraId="43641378" w14:textId="23481C08" w:rsidR="0049102C" w:rsidRPr="00B57012" w:rsidRDefault="0049102C" w:rsidP="00B57012">
            <w:pPr>
              <w:spacing w:before="40" w:after="0" w:line="240" w:lineRule="auto"/>
              <w:ind w:left="146" w:right="14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PBS data</w:t>
            </w:r>
          </w:p>
        </w:tc>
        <w:tc>
          <w:tcPr>
            <w:tcW w:w="0" w:type="auto"/>
            <w:vAlign w:val="center"/>
          </w:tcPr>
          <w:p w14:paraId="714BBFF4" w14:textId="0CE5A8CF" w:rsidR="0049102C" w:rsidRPr="00B57012" w:rsidRDefault="0049102C" w:rsidP="00B57012">
            <w:pPr>
              <w:spacing w:before="40" w:after="0" w:line="240" w:lineRule="auto"/>
              <w:ind w:left="143" w:right="133"/>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Research data</w:t>
            </w:r>
          </w:p>
        </w:tc>
      </w:tr>
      <w:tr w:rsidR="00B57012" w:rsidRPr="00C17790" w14:paraId="079AF401" w14:textId="77777777" w:rsidTr="00B570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527E3F7" w14:textId="77777777" w:rsidR="0049102C" w:rsidRPr="004C40F4" w:rsidRDefault="0049102C" w:rsidP="0049102C">
            <w:pPr>
              <w:numPr>
                <w:ilvl w:val="0"/>
                <w:numId w:val="177"/>
              </w:numPr>
              <w:autoSpaceDE w:val="0"/>
              <w:autoSpaceDN w:val="0"/>
              <w:adjustRightInd w:val="0"/>
              <w:spacing w:before="40" w:after="40" w:line="260" w:lineRule="atLeast"/>
              <w:ind w:left="426" w:right="144"/>
              <w:rPr>
                <w:rFonts w:eastAsia="Times New Roman" w:cs="Calibri"/>
                <w:sz w:val="18"/>
                <w:szCs w:val="18"/>
                <w:lang w:eastAsia="en-AU"/>
              </w:rPr>
            </w:pPr>
            <w:r>
              <w:rPr>
                <w:rFonts w:eastAsia="Times New Roman" w:cs="Calibri"/>
                <w:sz w:val="18"/>
                <w:szCs w:val="18"/>
                <w:lang w:eastAsia="en-AU"/>
              </w:rPr>
              <w:lastRenderedPageBreak/>
              <w:t>What was the impact on access sites?</w:t>
            </w:r>
          </w:p>
        </w:tc>
        <w:tc>
          <w:tcPr>
            <w:tcW w:w="0" w:type="auto"/>
            <w:vAlign w:val="center"/>
          </w:tcPr>
          <w:p w14:paraId="56613B2C" w14:textId="5330DE07" w:rsidR="0049102C" w:rsidRPr="00B57012" w:rsidRDefault="0049102C" w:rsidP="00B57012">
            <w:pPr>
              <w:spacing w:after="0" w:line="240" w:lineRule="auto"/>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Qualitative interview, Mystery shop</w:t>
            </w:r>
          </w:p>
        </w:tc>
        <w:tc>
          <w:tcPr>
            <w:tcW w:w="0" w:type="auto"/>
            <w:vAlign w:val="center"/>
          </w:tcPr>
          <w:p w14:paraId="6B27D98E" w14:textId="57DC0498" w:rsidR="0049102C" w:rsidRPr="00B57012" w:rsidRDefault="0049102C" w:rsidP="00B57012">
            <w:pPr>
              <w:spacing w:before="40" w:after="0" w:line="240" w:lineRule="auto"/>
              <w:ind w:left="140" w:right="138"/>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Round table</w:t>
            </w:r>
          </w:p>
        </w:tc>
        <w:tc>
          <w:tcPr>
            <w:tcW w:w="0" w:type="auto"/>
            <w:vAlign w:val="center"/>
          </w:tcPr>
          <w:p w14:paraId="72D1FCDE" w14:textId="77777777" w:rsidR="0049102C" w:rsidRPr="00B57012" w:rsidRDefault="0049102C" w:rsidP="00B57012">
            <w:pPr>
              <w:spacing w:before="40" w:after="0" w:line="240" w:lineRule="auto"/>
              <w:ind w:left="146" w:right="140"/>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p>
        </w:tc>
        <w:tc>
          <w:tcPr>
            <w:tcW w:w="0" w:type="auto"/>
            <w:vAlign w:val="center"/>
          </w:tcPr>
          <w:p w14:paraId="7CDEBA38" w14:textId="2CD6021F" w:rsidR="0049102C" w:rsidRPr="00B57012" w:rsidRDefault="0049102C" w:rsidP="00B57012">
            <w:pPr>
              <w:spacing w:before="40" w:after="0" w:line="240" w:lineRule="auto"/>
              <w:ind w:left="143" w:right="133"/>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Environmental scan</w:t>
            </w:r>
          </w:p>
        </w:tc>
      </w:tr>
      <w:tr w:rsidR="00B57012" w:rsidRPr="00C17790" w14:paraId="68A79992" w14:textId="77777777" w:rsidTr="00B57012">
        <w:tc>
          <w:tcPr>
            <w:cnfStyle w:val="001000000000" w:firstRow="0" w:lastRow="0" w:firstColumn="1" w:lastColumn="0" w:oddVBand="0" w:evenVBand="0" w:oddHBand="0" w:evenHBand="0" w:firstRowFirstColumn="0" w:firstRowLastColumn="0" w:lastRowFirstColumn="0" w:lastRowLastColumn="0"/>
            <w:tcW w:w="0" w:type="auto"/>
            <w:vAlign w:val="center"/>
          </w:tcPr>
          <w:p w14:paraId="5E8F6F00" w14:textId="77777777" w:rsidR="0049102C" w:rsidRPr="004C40F4" w:rsidRDefault="0049102C" w:rsidP="0049102C">
            <w:pPr>
              <w:numPr>
                <w:ilvl w:val="0"/>
                <w:numId w:val="177"/>
              </w:numPr>
              <w:autoSpaceDE w:val="0"/>
              <w:autoSpaceDN w:val="0"/>
              <w:adjustRightInd w:val="0"/>
              <w:spacing w:before="40" w:after="40" w:line="260" w:lineRule="atLeast"/>
              <w:ind w:left="426" w:right="144"/>
              <w:rPr>
                <w:rFonts w:eastAsia="Times New Roman" w:cs="Calibri"/>
                <w:sz w:val="18"/>
                <w:szCs w:val="18"/>
                <w:lang w:eastAsia="en-AU"/>
              </w:rPr>
            </w:pPr>
            <w:r w:rsidRPr="004C40F4">
              <w:rPr>
                <w:rFonts w:eastAsia="Times New Roman" w:cs="Calibri"/>
                <w:sz w:val="18"/>
                <w:szCs w:val="18"/>
                <w:lang w:eastAsia="en-AU"/>
              </w:rPr>
              <w:t>Were there any barriers to increasing access and/or uptake of THN?</w:t>
            </w:r>
          </w:p>
        </w:tc>
        <w:tc>
          <w:tcPr>
            <w:tcW w:w="0" w:type="auto"/>
            <w:vAlign w:val="center"/>
          </w:tcPr>
          <w:p w14:paraId="3FA24C62" w14:textId="0A800F7C" w:rsidR="0049102C" w:rsidRPr="00B57012" w:rsidRDefault="0049102C" w:rsidP="00B57012">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Qualitative interview, Mystery shop</w:t>
            </w:r>
          </w:p>
        </w:tc>
        <w:tc>
          <w:tcPr>
            <w:tcW w:w="0" w:type="auto"/>
            <w:vAlign w:val="center"/>
          </w:tcPr>
          <w:p w14:paraId="50592F55" w14:textId="2B3A285A" w:rsidR="0049102C" w:rsidRPr="00B57012" w:rsidRDefault="0049102C" w:rsidP="00B57012">
            <w:pPr>
              <w:spacing w:before="40" w:after="0" w:line="240" w:lineRule="auto"/>
              <w:ind w:left="140" w:right="138"/>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Round table</w:t>
            </w:r>
          </w:p>
        </w:tc>
        <w:tc>
          <w:tcPr>
            <w:tcW w:w="0" w:type="auto"/>
            <w:vAlign w:val="center"/>
          </w:tcPr>
          <w:p w14:paraId="0879A0A8" w14:textId="77777777" w:rsidR="0049102C" w:rsidRPr="00B57012" w:rsidRDefault="0049102C" w:rsidP="00B57012">
            <w:pPr>
              <w:spacing w:before="40" w:after="0" w:line="240" w:lineRule="auto"/>
              <w:ind w:left="146" w:right="14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p>
        </w:tc>
        <w:tc>
          <w:tcPr>
            <w:tcW w:w="0" w:type="auto"/>
            <w:vAlign w:val="center"/>
          </w:tcPr>
          <w:p w14:paraId="3D14F92A" w14:textId="2D623D4A" w:rsidR="0049102C" w:rsidRPr="00B57012" w:rsidRDefault="0049102C" w:rsidP="00B57012">
            <w:pPr>
              <w:spacing w:before="40" w:after="0" w:line="240" w:lineRule="auto"/>
              <w:ind w:left="143" w:right="133"/>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Environmental scan</w:t>
            </w:r>
          </w:p>
        </w:tc>
      </w:tr>
      <w:tr w:rsidR="00B57012" w:rsidRPr="00C17790" w14:paraId="4E083209" w14:textId="77777777" w:rsidTr="00B5701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0BB63AA" w14:textId="77777777" w:rsidR="0049102C" w:rsidRPr="004C40F4" w:rsidRDefault="0049102C" w:rsidP="0049102C">
            <w:pPr>
              <w:numPr>
                <w:ilvl w:val="0"/>
                <w:numId w:val="177"/>
              </w:numPr>
              <w:autoSpaceDE w:val="0"/>
              <w:autoSpaceDN w:val="0"/>
              <w:adjustRightInd w:val="0"/>
              <w:spacing w:before="40" w:after="40" w:line="260" w:lineRule="atLeast"/>
              <w:ind w:left="426" w:right="144"/>
              <w:rPr>
                <w:rFonts w:eastAsia="Times New Roman" w:cs="Calibri"/>
                <w:sz w:val="18"/>
                <w:szCs w:val="18"/>
                <w:lang w:eastAsia="en-AU"/>
              </w:rPr>
            </w:pPr>
            <w:r w:rsidRPr="004C40F4">
              <w:rPr>
                <w:rFonts w:eastAsia="Times New Roman" w:cs="Calibri"/>
                <w:sz w:val="18"/>
                <w:szCs w:val="18"/>
                <w:lang w:eastAsia="en-AU"/>
              </w:rPr>
              <w:t>Were there any unintended consequences of increasing access to naloxone?</w:t>
            </w:r>
          </w:p>
        </w:tc>
        <w:tc>
          <w:tcPr>
            <w:tcW w:w="0" w:type="auto"/>
            <w:vAlign w:val="center"/>
          </w:tcPr>
          <w:p w14:paraId="2FEB1A45" w14:textId="4DDA629B" w:rsidR="0049102C" w:rsidRPr="00B57012" w:rsidRDefault="0049102C" w:rsidP="00B57012">
            <w:pPr>
              <w:spacing w:after="0" w:line="240" w:lineRule="auto"/>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Qualitative interview</w:t>
            </w:r>
          </w:p>
        </w:tc>
        <w:tc>
          <w:tcPr>
            <w:tcW w:w="0" w:type="auto"/>
            <w:vAlign w:val="center"/>
          </w:tcPr>
          <w:p w14:paraId="695B94AB" w14:textId="10948E64" w:rsidR="0049102C" w:rsidRPr="00B57012" w:rsidRDefault="0049102C" w:rsidP="00B57012">
            <w:pPr>
              <w:spacing w:before="40" w:after="0" w:line="240" w:lineRule="auto"/>
              <w:ind w:left="140" w:right="138"/>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Round table</w:t>
            </w:r>
          </w:p>
        </w:tc>
        <w:tc>
          <w:tcPr>
            <w:tcW w:w="0" w:type="auto"/>
            <w:vAlign w:val="center"/>
          </w:tcPr>
          <w:p w14:paraId="79635406" w14:textId="7F6B0073" w:rsidR="0049102C" w:rsidRPr="00B57012" w:rsidRDefault="0049102C" w:rsidP="00B57012">
            <w:pPr>
              <w:spacing w:before="40" w:after="0" w:line="240" w:lineRule="auto"/>
              <w:ind w:left="146" w:right="140"/>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THN supply data</w:t>
            </w:r>
          </w:p>
        </w:tc>
        <w:tc>
          <w:tcPr>
            <w:tcW w:w="0" w:type="auto"/>
            <w:vAlign w:val="center"/>
          </w:tcPr>
          <w:p w14:paraId="729B61EA" w14:textId="072A1B83" w:rsidR="0049102C" w:rsidRPr="00B57012" w:rsidRDefault="0049102C" w:rsidP="00B57012">
            <w:pPr>
              <w:spacing w:before="40" w:after="0" w:line="240" w:lineRule="auto"/>
              <w:ind w:left="143" w:right="133"/>
              <w:cnfStyle w:val="000000010000" w:firstRow="0" w:lastRow="0" w:firstColumn="0" w:lastColumn="0" w:oddVBand="0" w:evenVBand="0" w:oddHBand="0" w:evenHBand="1"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Research data</w:t>
            </w:r>
          </w:p>
        </w:tc>
      </w:tr>
      <w:tr w:rsidR="00B57012" w14:paraId="3628945A" w14:textId="77777777" w:rsidTr="00B57012">
        <w:tc>
          <w:tcPr>
            <w:cnfStyle w:val="001000000000" w:firstRow="0" w:lastRow="0" w:firstColumn="1" w:lastColumn="0" w:oddVBand="0" w:evenVBand="0" w:oddHBand="0" w:evenHBand="0" w:firstRowFirstColumn="0" w:firstRowLastColumn="0" w:lastRowFirstColumn="0" w:lastRowLastColumn="0"/>
            <w:tcW w:w="0" w:type="auto"/>
            <w:vAlign w:val="center"/>
          </w:tcPr>
          <w:p w14:paraId="2B746FFE" w14:textId="77777777" w:rsidR="0049102C" w:rsidRPr="004C40F4" w:rsidRDefault="0049102C" w:rsidP="0049102C">
            <w:pPr>
              <w:numPr>
                <w:ilvl w:val="0"/>
                <w:numId w:val="177"/>
              </w:numPr>
              <w:autoSpaceDE w:val="0"/>
              <w:autoSpaceDN w:val="0"/>
              <w:adjustRightInd w:val="0"/>
              <w:spacing w:before="40" w:after="40" w:line="260" w:lineRule="atLeast"/>
              <w:ind w:left="426" w:right="144"/>
              <w:rPr>
                <w:rFonts w:eastAsia="Times New Roman" w:cs="Calibri"/>
                <w:sz w:val="18"/>
                <w:szCs w:val="18"/>
                <w:lang w:eastAsia="en-AU"/>
              </w:rPr>
            </w:pPr>
            <w:r w:rsidRPr="004C40F4">
              <w:rPr>
                <w:rFonts w:eastAsia="Times New Roman" w:cs="Calibri"/>
                <w:sz w:val="18"/>
                <w:szCs w:val="18"/>
                <w:lang w:eastAsia="en-AU"/>
              </w:rPr>
              <w:t>What needs to be considered in relation to a national roll out</w:t>
            </w:r>
          </w:p>
        </w:tc>
        <w:tc>
          <w:tcPr>
            <w:tcW w:w="0" w:type="auto"/>
            <w:vAlign w:val="center"/>
          </w:tcPr>
          <w:p w14:paraId="2CF92C41" w14:textId="5B788067" w:rsidR="0049102C" w:rsidRPr="00B57012" w:rsidRDefault="0049102C" w:rsidP="00B57012">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Quantitative interview, Qualitative interview</w:t>
            </w:r>
          </w:p>
        </w:tc>
        <w:tc>
          <w:tcPr>
            <w:tcW w:w="0" w:type="auto"/>
            <w:vAlign w:val="center"/>
          </w:tcPr>
          <w:p w14:paraId="6E23904E" w14:textId="3396C28B" w:rsidR="0049102C" w:rsidRPr="00B57012" w:rsidRDefault="0049102C" w:rsidP="00B57012">
            <w:pPr>
              <w:spacing w:before="40" w:after="0" w:line="240" w:lineRule="auto"/>
              <w:ind w:left="140" w:right="138"/>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Round table</w:t>
            </w:r>
          </w:p>
        </w:tc>
        <w:tc>
          <w:tcPr>
            <w:tcW w:w="0" w:type="auto"/>
            <w:vAlign w:val="center"/>
          </w:tcPr>
          <w:p w14:paraId="6563E03E" w14:textId="7907DA67" w:rsidR="0049102C" w:rsidRPr="00B57012" w:rsidRDefault="0049102C" w:rsidP="00B57012">
            <w:pPr>
              <w:spacing w:before="40" w:after="0" w:line="240" w:lineRule="auto"/>
              <w:ind w:left="146" w:right="14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THN supply data</w:t>
            </w:r>
          </w:p>
        </w:tc>
        <w:tc>
          <w:tcPr>
            <w:tcW w:w="0" w:type="auto"/>
            <w:vAlign w:val="center"/>
          </w:tcPr>
          <w:p w14:paraId="439E978B" w14:textId="27E593C2" w:rsidR="0049102C" w:rsidRPr="00B57012" w:rsidRDefault="0049102C" w:rsidP="00B57012">
            <w:pPr>
              <w:spacing w:before="40" w:after="0" w:line="240" w:lineRule="auto"/>
              <w:ind w:left="143" w:right="133"/>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sz w:val="18"/>
                <w:szCs w:val="18"/>
                <w:lang w:eastAsia="en-AU"/>
              </w:rPr>
            </w:pPr>
            <w:r w:rsidRPr="00B57012">
              <w:rPr>
                <w:rFonts w:asciiTheme="majorHAnsi" w:eastAsia="Times New Roman" w:hAnsiTheme="majorHAnsi" w:cstheme="majorHAnsi"/>
                <w:sz w:val="18"/>
                <w:szCs w:val="18"/>
                <w:lang w:eastAsia="en-AU"/>
              </w:rPr>
              <w:t>Environmental scan</w:t>
            </w:r>
          </w:p>
        </w:tc>
      </w:tr>
    </w:tbl>
    <w:p w14:paraId="7D966659" w14:textId="77A8383A" w:rsidR="00037AD7" w:rsidRPr="00037AD7" w:rsidRDefault="00037AD7" w:rsidP="00037AD7">
      <w:pPr>
        <w:pStyle w:val="Style3-keypoints-h2"/>
      </w:pPr>
      <w:bookmarkStart w:id="132" w:name="_Toc94794240"/>
      <w:r>
        <w:t>Impacts of COVID-19 on evaluation activities</w:t>
      </w:r>
      <w:bookmarkEnd w:id="132"/>
    </w:p>
    <w:p w14:paraId="54757611" w14:textId="77777777" w:rsidR="00037AD7" w:rsidRDefault="00037AD7" w:rsidP="006601C3">
      <w:pPr>
        <w:rPr>
          <w:noProof/>
          <w:lang w:eastAsia="en-AU"/>
        </w:rPr>
      </w:pPr>
      <w:r w:rsidRPr="0062155A">
        <w:rPr>
          <w:noProof/>
          <w:lang w:eastAsia="en-AU"/>
        </w:rPr>
        <w:t xml:space="preserve">The COVID-19 pandemic necessitated a number of changes to the original evaluation </w:t>
      </w:r>
      <w:r>
        <w:rPr>
          <w:noProof/>
          <w:lang w:eastAsia="en-AU"/>
        </w:rPr>
        <w:t>protocols</w:t>
      </w:r>
      <w:r w:rsidRPr="0062155A">
        <w:rPr>
          <w:noProof/>
          <w:lang w:eastAsia="en-AU"/>
        </w:rPr>
        <w:t>.</w:t>
      </w:r>
    </w:p>
    <w:p w14:paraId="393F4D28" w14:textId="77777777" w:rsidR="00037AD7" w:rsidRDefault="00037AD7" w:rsidP="006601C3">
      <w:pPr>
        <w:rPr>
          <w:noProof/>
          <w:lang w:eastAsia="en-AU"/>
        </w:rPr>
      </w:pPr>
      <w:r w:rsidRPr="0062155A">
        <w:rPr>
          <w:noProof/>
          <w:lang w:eastAsia="en-AU"/>
        </w:rPr>
        <w:t>Interviews with consumers and access site staff and roundtable consultations with sector representatives were migrated to remote modes (phone and/or teleconference)</w:t>
      </w:r>
      <w:r>
        <w:rPr>
          <w:noProof/>
          <w:lang w:eastAsia="en-AU"/>
        </w:rPr>
        <w:t xml:space="preserve"> to ensure the health and safety of participants and researchers were protected</w:t>
      </w:r>
      <w:r w:rsidRPr="0062155A">
        <w:rPr>
          <w:noProof/>
          <w:lang w:eastAsia="en-AU"/>
        </w:rPr>
        <w:t xml:space="preserve">.  </w:t>
      </w:r>
    </w:p>
    <w:p w14:paraId="4C7FCF59" w14:textId="77777777" w:rsidR="00037AD7" w:rsidRDefault="00037AD7" w:rsidP="006601C3">
      <w:pPr>
        <w:rPr>
          <w:noProof/>
          <w:lang w:eastAsia="en-AU"/>
        </w:rPr>
      </w:pPr>
      <w:r w:rsidRPr="0062155A">
        <w:rPr>
          <w:noProof/>
          <w:lang w:eastAsia="en-AU"/>
        </w:rPr>
        <w:t>This also necessitated changes in the processes for obtaining informed consent for interview</w:t>
      </w:r>
      <w:r>
        <w:rPr>
          <w:noProof/>
          <w:lang w:eastAsia="en-AU"/>
        </w:rPr>
        <w:t>s</w:t>
      </w:r>
      <w:r w:rsidRPr="0062155A">
        <w:rPr>
          <w:noProof/>
          <w:lang w:eastAsia="en-AU"/>
        </w:rPr>
        <w:t xml:space="preserve"> and consultations.</w:t>
      </w:r>
      <w:r>
        <w:rPr>
          <w:noProof/>
          <w:lang w:eastAsia="en-AU"/>
        </w:rPr>
        <w:t xml:space="preserve"> Consumers provided verbal consent for evaluation data recording at point of supply; consumers and staff provided verbal consent prior to being interviewed. Consultation participants provided consent via email.</w:t>
      </w:r>
    </w:p>
    <w:p w14:paraId="5E425EAD" w14:textId="77777777" w:rsidR="00037AD7" w:rsidRDefault="00037AD7" w:rsidP="006601C3">
      <w:pPr>
        <w:rPr>
          <w:noProof/>
          <w:lang w:eastAsia="en-AU"/>
        </w:rPr>
      </w:pPr>
      <w:r>
        <w:rPr>
          <w:noProof/>
          <w:lang w:eastAsia="en-AU"/>
        </w:rPr>
        <w:t>All such changes</w:t>
      </w:r>
      <w:r w:rsidRPr="0062155A">
        <w:rPr>
          <w:noProof/>
          <w:lang w:eastAsia="en-AU"/>
        </w:rPr>
        <w:t xml:space="preserve"> required further approvals by Ethics bodies, resulting in some delays</w:t>
      </w:r>
      <w:r>
        <w:rPr>
          <w:noProof/>
          <w:lang w:eastAsia="en-AU"/>
        </w:rPr>
        <w:t xml:space="preserve"> to recruitment of participants and collection of data</w:t>
      </w:r>
      <w:r w:rsidRPr="0062155A">
        <w:rPr>
          <w:noProof/>
          <w:lang w:eastAsia="en-AU"/>
        </w:rPr>
        <w:t>.</w:t>
      </w:r>
    </w:p>
    <w:p w14:paraId="3336E86B" w14:textId="77777777" w:rsidR="00037AD7" w:rsidRPr="0062155A" w:rsidRDefault="00037AD7" w:rsidP="006601C3">
      <w:pPr>
        <w:rPr>
          <w:noProof/>
          <w:lang w:eastAsia="en-AU"/>
        </w:rPr>
      </w:pPr>
      <w:r w:rsidRPr="0062155A">
        <w:rPr>
          <w:noProof/>
          <w:lang w:eastAsia="en-AU"/>
        </w:rPr>
        <w:t>Mystery shopping observations were delayed until restrictions lifted sufficiently to allow in-person visits to access sites.</w:t>
      </w:r>
    </w:p>
    <w:p w14:paraId="741379AD" w14:textId="77777777" w:rsidR="00CA5EEA" w:rsidRPr="006601C3" w:rsidRDefault="00CA5EEA" w:rsidP="006601C3"/>
    <w:p w14:paraId="2640EB35" w14:textId="073AC13A" w:rsidR="00037AD7" w:rsidRPr="00037AD7" w:rsidRDefault="00037AD7" w:rsidP="00037AD7">
      <w:pPr>
        <w:pStyle w:val="FigureStyle"/>
        <w:sectPr w:rsidR="00037AD7" w:rsidRPr="00037AD7" w:rsidSect="006856DA">
          <w:headerReference w:type="default" r:id="rId20"/>
          <w:footnotePr>
            <w:numFmt w:val="lowerLetter"/>
          </w:footnotePr>
          <w:pgSz w:w="11906" w:h="16838" w:code="9"/>
          <w:pgMar w:top="2268" w:right="1416" w:bottom="1134" w:left="1134" w:header="567" w:footer="510" w:gutter="0"/>
          <w:pgNumType w:start="1"/>
          <w:cols w:space="708"/>
          <w:docGrid w:linePitch="360"/>
        </w:sectPr>
      </w:pPr>
    </w:p>
    <w:p w14:paraId="4EA8A0E5" w14:textId="2A2FD71D" w:rsidR="00CA5EEA" w:rsidRDefault="00CA5EEA" w:rsidP="005C6E0D">
      <w:pPr>
        <w:pStyle w:val="NbrHeading1"/>
      </w:pPr>
      <w:bookmarkStart w:id="133" w:name="_Toc94794108"/>
      <w:bookmarkStart w:id="134" w:name="_Toc94794241"/>
      <w:r w:rsidRPr="006B0F1C">
        <w:lastRenderedPageBreak/>
        <w:t>Was the THN Pilot implemented as planned?</w:t>
      </w:r>
      <w:bookmarkEnd w:id="133"/>
      <w:bookmarkEnd w:id="134"/>
      <w:r w:rsidRPr="006B0F1C">
        <w:t xml:space="preserve"> </w:t>
      </w:r>
    </w:p>
    <w:p w14:paraId="50FB7F6E" w14:textId="069B13D0" w:rsidR="00037AD7" w:rsidRDefault="00037AD7" w:rsidP="00037AD7">
      <w:pPr>
        <w:pStyle w:val="Style3-keypoints-h2"/>
        <w:rPr>
          <w:lang w:eastAsia="en-AU"/>
        </w:rPr>
      </w:pPr>
      <w:bookmarkStart w:id="135" w:name="_Toc94794242"/>
      <w:r>
        <w:rPr>
          <w:lang w:eastAsia="en-AU"/>
        </w:rPr>
        <w:t>Key points</w:t>
      </w:r>
      <w:bookmarkEnd w:id="135"/>
    </w:p>
    <w:p w14:paraId="58F22782" w14:textId="77777777" w:rsidR="00037AD7" w:rsidRDefault="00037AD7" w:rsidP="00037AD7">
      <w:pPr>
        <w:pStyle w:val="ListParagraph"/>
        <w:numPr>
          <w:ilvl w:val="0"/>
          <w:numId w:val="27"/>
        </w:numPr>
        <w:spacing w:before="76" w:after="76"/>
        <w:ind w:left="460" w:hanging="230"/>
      </w:pPr>
      <w:r>
        <w:t>Most key Pilot activities were implemented as planned, including the establishment of policy and systems infrastructures, legislation and supply/distribution mechanisms, and the recruitment, credentialling and training of access sites and staff.</w:t>
      </w:r>
    </w:p>
    <w:p w14:paraId="5CE2889B" w14:textId="77777777" w:rsidR="00037AD7" w:rsidRDefault="00037AD7" w:rsidP="00037AD7">
      <w:pPr>
        <w:pStyle w:val="ListParagraph"/>
        <w:numPr>
          <w:ilvl w:val="0"/>
          <w:numId w:val="27"/>
        </w:numPr>
        <w:spacing w:before="76" w:after="76"/>
        <w:ind w:left="460" w:hanging="230"/>
      </w:pPr>
      <w:r>
        <w:t>Implementation varied considerably between participating states; it was constrained by jurisdictional policy structures governing supply arrangements but supported by the maturity of existing naloxone programs.</w:t>
      </w:r>
    </w:p>
    <w:p w14:paraId="799F8F1A" w14:textId="77777777" w:rsidR="00037AD7" w:rsidRDefault="00037AD7" w:rsidP="00037AD7">
      <w:pPr>
        <w:pStyle w:val="ListParagraph"/>
        <w:numPr>
          <w:ilvl w:val="0"/>
          <w:numId w:val="27"/>
        </w:numPr>
        <w:spacing w:before="76" w:after="76"/>
        <w:ind w:left="460" w:hanging="230"/>
      </w:pPr>
      <w:r>
        <w:t>Key organisations were advised about the Pilot early in its implementation, but no public launch or awareness campaign took place to promote THN to the wider public.</w:t>
      </w:r>
    </w:p>
    <w:p w14:paraId="7941CEC1" w14:textId="77777777" w:rsidR="00037AD7" w:rsidRDefault="00037AD7" w:rsidP="00037AD7">
      <w:pPr>
        <w:pStyle w:val="ListParagraph"/>
        <w:numPr>
          <w:ilvl w:val="0"/>
          <w:numId w:val="27"/>
        </w:numPr>
        <w:spacing w:before="76" w:after="76"/>
        <w:ind w:left="460" w:hanging="230"/>
      </w:pPr>
      <w:r>
        <w:t>The primary focus of the Pilot remained on people who use illicit opioids.</w:t>
      </w:r>
    </w:p>
    <w:p w14:paraId="6CA5BB1F" w14:textId="77777777" w:rsidR="00037AD7" w:rsidRDefault="00037AD7" w:rsidP="00037AD7">
      <w:pPr>
        <w:pStyle w:val="ListParagraph"/>
        <w:numPr>
          <w:ilvl w:val="0"/>
          <w:numId w:val="27"/>
        </w:numPr>
        <w:spacing w:before="76" w:after="76"/>
        <w:ind w:left="460" w:hanging="230"/>
      </w:pPr>
      <w:r>
        <w:t>The number of site registrations increased steadily to a total of 1,480 by 30 June 2021; 57% of these sites (n=846) provided THN on at least one occasion during this period.</w:t>
      </w:r>
    </w:p>
    <w:p w14:paraId="2D087B97" w14:textId="77777777" w:rsidR="00037AD7" w:rsidRDefault="00037AD7" w:rsidP="00037AD7">
      <w:pPr>
        <w:pStyle w:val="ListParagraph"/>
        <w:numPr>
          <w:ilvl w:val="0"/>
          <w:numId w:val="27"/>
        </w:numPr>
        <w:spacing w:before="76" w:after="76"/>
        <w:ind w:left="460" w:hanging="230"/>
      </w:pPr>
      <w:r>
        <w:t xml:space="preserve">Coordination between state implementing agencies and the Department was evident but demonstrated the importance of state-level support mechanisms for implementation. </w:t>
      </w:r>
    </w:p>
    <w:p w14:paraId="397A15EA" w14:textId="77777777" w:rsidR="00037AD7" w:rsidRDefault="00037AD7" w:rsidP="00037AD7">
      <w:pPr>
        <w:pStyle w:val="ListParagraph"/>
        <w:numPr>
          <w:ilvl w:val="0"/>
          <w:numId w:val="27"/>
        </w:numPr>
        <w:spacing w:before="76" w:after="76"/>
        <w:ind w:left="460" w:hanging="230"/>
      </w:pPr>
      <w:r>
        <w:t>Point of supply promotional materials were provided but supplementary activities were needed to raise awareness of the Pilot across agencies and in the community.</w:t>
      </w:r>
    </w:p>
    <w:p w14:paraId="1BA7857B" w14:textId="77777777" w:rsidR="00037AD7" w:rsidRPr="00A87F3B" w:rsidRDefault="00037AD7" w:rsidP="00037AD7">
      <w:pPr>
        <w:pStyle w:val="ListParagraph"/>
        <w:numPr>
          <w:ilvl w:val="0"/>
          <w:numId w:val="27"/>
        </w:numPr>
        <w:spacing w:before="81" w:after="81"/>
        <w:ind w:left="489" w:hanging="244"/>
      </w:pPr>
      <w:r w:rsidRPr="00A87F3B">
        <w:t xml:space="preserve">Key assumptions on which the Program Logic </w:t>
      </w:r>
      <w:r>
        <w:t xml:space="preserve">and Theory of Change </w:t>
      </w:r>
      <w:r w:rsidRPr="00A87F3B">
        <w:t>were based held for the Pilot’s implementation, apart from a limited focus on providing THN beyond the AOD sector</w:t>
      </w:r>
      <w:r>
        <w:t>.</w:t>
      </w:r>
    </w:p>
    <w:p w14:paraId="3631621C" w14:textId="628CEBD4" w:rsidR="00CA5EEA" w:rsidRDefault="00037AD7" w:rsidP="003D0F16">
      <w:pPr>
        <w:pStyle w:val="ListParagraph"/>
        <w:numPr>
          <w:ilvl w:val="0"/>
          <w:numId w:val="27"/>
        </w:numPr>
        <w:spacing w:before="76" w:after="76"/>
        <w:ind w:left="460" w:hanging="230"/>
      </w:pPr>
      <w:r>
        <w:t xml:space="preserve">Unexpected external factors such as COVID-19 restrictions on product imports reducing naloxone stocks in March 2020 and a challenge to the THN legislation in May 2020 caused significant but temporary interruptions to Pilot activities and supply chains. </w:t>
      </w:r>
    </w:p>
    <w:p w14:paraId="169CC47B" w14:textId="017F3894" w:rsidR="00CA5EEA" w:rsidRPr="007A2FE4" w:rsidRDefault="00CA5EEA" w:rsidP="009E3F96">
      <w:pPr>
        <w:pStyle w:val="NbrHeading2"/>
      </w:pPr>
      <w:r>
        <w:t xml:space="preserve"> </w:t>
      </w:r>
      <w:r w:rsidRPr="007A2FE4">
        <w:t>Did the Pilot proceed as expected?</w:t>
      </w:r>
    </w:p>
    <w:p w14:paraId="172A7136" w14:textId="48D6E52B" w:rsidR="00CA5EEA" w:rsidRDefault="00CA5EEA" w:rsidP="003267B5">
      <w:pPr>
        <w:pStyle w:val="BodyText"/>
      </w:pPr>
      <w:r>
        <w:t xml:space="preserve">This section provides a brief overview of </w:t>
      </w:r>
      <w:r w:rsidR="007827B8">
        <w:t xml:space="preserve">how </w:t>
      </w:r>
      <w:r>
        <w:t xml:space="preserve">the development and implementation of the Pilot </w:t>
      </w:r>
      <w:r w:rsidR="007827B8">
        <w:t>align</w:t>
      </w:r>
      <w:r w:rsidR="00294DC3">
        <w:t>ed</w:t>
      </w:r>
      <w:r w:rsidR="007827B8">
        <w:t xml:space="preserve"> with the</w:t>
      </w:r>
      <w:r>
        <w:t xml:space="preserve"> key expected activities (outputs) described in the Program Logic. </w:t>
      </w:r>
    </w:p>
    <w:p w14:paraId="5245E5E1" w14:textId="28F5884C" w:rsidR="00CA5EEA" w:rsidRDefault="00CA5EEA" w:rsidP="003267B5">
      <w:pPr>
        <w:pStyle w:val="BodyText"/>
      </w:pPr>
      <w:r w:rsidRPr="00C92713">
        <w:t xml:space="preserve">Figure </w:t>
      </w:r>
      <w:r w:rsidR="00E3457B">
        <w:t>4</w:t>
      </w:r>
      <w:r w:rsidRPr="00C92713">
        <w:t xml:space="preserve"> presents a timeline showing the phases of </w:t>
      </w:r>
      <w:r w:rsidR="2EA60866">
        <w:t xml:space="preserve">the </w:t>
      </w:r>
      <w:r w:rsidRPr="00C92713">
        <w:t xml:space="preserve">Pilot with </w:t>
      </w:r>
      <w:r>
        <w:t xml:space="preserve">key </w:t>
      </w:r>
      <w:r w:rsidRPr="00C92713">
        <w:t>events and activities in the different jurisdictions. The timing of key UQ evaluation activities and data reporting periods covered by this evaluation are depicted relative to the Pilot timeframes. These are overlaid with the time during which the Pilot and evaluation were impacted by the (ongoing) COVID-19 pandemic.</w:t>
      </w:r>
    </w:p>
    <w:p w14:paraId="5E90CA98" w14:textId="77777777" w:rsidR="00CA5EEA" w:rsidRDefault="00CA5EEA" w:rsidP="00C426F2">
      <w:pPr>
        <w:pStyle w:val="NbrHeading3"/>
      </w:pPr>
      <w:bookmarkStart w:id="136" w:name="_Toc94794109"/>
      <w:bookmarkStart w:id="137" w:name="_Toc94794243"/>
      <w:r>
        <w:t>Funding and legislation</w:t>
      </w:r>
      <w:bookmarkEnd w:id="136"/>
      <w:bookmarkEnd w:id="137"/>
    </w:p>
    <w:p w14:paraId="73B90B99" w14:textId="7A1F2055" w:rsidR="00CA5EEA" w:rsidRDefault="00CA5EEA" w:rsidP="003267B5">
      <w:pPr>
        <w:pStyle w:val="BodyText"/>
      </w:pPr>
      <w:r>
        <w:t>In February 2019, the Minister for Health announced funding for a pilot of THN. Implementation was originally to take place in NSW and SA; WA was subsequently added to the Pilot sites. The</w:t>
      </w:r>
      <w:r w:rsidDel="001906BA">
        <w:t xml:space="preserve"> </w:t>
      </w:r>
      <w:r>
        <w:t>funding allocation was $10 million.</w:t>
      </w:r>
    </w:p>
    <w:p w14:paraId="459C2C11" w14:textId="7269A6B4" w:rsidR="00E94E2C" w:rsidRPr="00E94E2C" w:rsidRDefault="00CA5EEA" w:rsidP="003267B5">
      <w:pPr>
        <w:pStyle w:val="BodyText"/>
      </w:pPr>
      <w:r>
        <w:t>A new legislative instrument</w:t>
      </w:r>
      <w:r w:rsidRPr="006C48BD">
        <w:t xml:space="preserve"> </w:t>
      </w:r>
      <w:r>
        <w:t>to support the implementation of the PBS Subsidised Take Home Naloxone Pilot, t</w:t>
      </w:r>
      <w:r w:rsidRPr="00D21DA3">
        <w:t>he</w:t>
      </w:r>
      <w:r>
        <w:rPr>
          <w:i/>
          <w:iCs/>
        </w:rPr>
        <w:t xml:space="preserve"> National Health (Take Home Naloxone Pilot) Special Arrangement 2019,</w:t>
      </w:r>
      <w:r>
        <w:rPr>
          <w:i/>
        </w:rPr>
        <w:t xml:space="preserve"> </w:t>
      </w:r>
      <w:r>
        <w:t>was signed off in November 2019</w:t>
      </w:r>
      <w:r w:rsidR="00D022C2" w:rsidRPr="00E94E2C">
        <w:t xml:space="preserve">. </w:t>
      </w:r>
      <w:r w:rsidR="00E94E2C" w:rsidRPr="00E94E2C">
        <w:rPr>
          <w:bdr w:val="none" w:sz="0" w:space="0" w:color="auto" w:frame="1"/>
          <w:shd w:val="clear" w:color="auto" w:fill="FFFFFF"/>
        </w:rPr>
        <w:t xml:space="preserve">The </w:t>
      </w:r>
      <w:r w:rsidR="00E94E2C" w:rsidRPr="00E94E2C">
        <w:rPr>
          <w:color w:val="201F1E"/>
          <w:shd w:val="clear" w:color="auto" w:fill="FFFFFF"/>
        </w:rPr>
        <w:t xml:space="preserve">Special Arrangement </w:t>
      </w:r>
      <w:r w:rsidR="00E94E2C" w:rsidRPr="00E94E2C">
        <w:rPr>
          <w:bdr w:val="none" w:sz="0" w:space="0" w:color="auto" w:frame="1"/>
          <w:shd w:val="clear" w:color="auto" w:fill="FFFFFF"/>
        </w:rPr>
        <w:t xml:space="preserve">allows for naloxone to be supplied outside of the usual PBS supply arrangements in New South Wales, South </w:t>
      </w:r>
      <w:proofErr w:type="gramStart"/>
      <w:r w:rsidR="00E94E2C" w:rsidRPr="00E94E2C">
        <w:rPr>
          <w:bdr w:val="none" w:sz="0" w:space="0" w:color="auto" w:frame="1"/>
          <w:shd w:val="clear" w:color="auto" w:fill="FFFFFF"/>
        </w:rPr>
        <w:t>Australia</w:t>
      </w:r>
      <w:proofErr w:type="gramEnd"/>
      <w:r w:rsidRPr="00E94E2C">
        <w:rPr>
          <w:bdr w:val="none" w:sz="0" w:space="0" w:color="auto" w:frame="1"/>
          <w:shd w:val="clear" w:color="auto" w:fill="FFFFFF"/>
        </w:rPr>
        <w:t xml:space="preserve"> and </w:t>
      </w:r>
      <w:r w:rsidR="00E94E2C" w:rsidRPr="00E94E2C">
        <w:rPr>
          <w:bdr w:val="none" w:sz="0" w:space="0" w:color="auto" w:frame="1"/>
          <w:shd w:val="clear" w:color="auto" w:fill="FFFFFF"/>
        </w:rPr>
        <w:t xml:space="preserve">Western Australia. </w:t>
      </w:r>
      <w:r w:rsidR="00AC3EFB">
        <w:rPr>
          <w:bdr w:val="none" w:sz="0" w:space="0" w:color="auto" w:frame="1"/>
          <w:shd w:val="clear" w:color="auto" w:fill="FFFFFF"/>
        </w:rPr>
        <w:t>This means that</w:t>
      </w:r>
      <w:r w:rsidR="00E94E2C" w:rsidRPr="00E94E2C">
        <w:rPr>
          <w:bdr w:val="none" w:sz="0" w:space="0" w:color="auto" w:frame="1"/>
          <w:shd w:val="clear" w:color="auto" w:fill="FFFFFF"/>
        </w:rPr>
        <w:t xml:space="preserve"> under the THN Pilot arrangements, individuals are not charged a co-payment for naloxone (i.e., it is supplied free of charge), and they do not need to visit a medical or nurse practitioner to get a prescription. The Special Arrangement also means that in addition to availability through pharmacies, the PBS listed naloxone can also be accessed from a broader range of settings such as hospitals and other authorised persons or </w:t>
      </w:r>
      <w:r w:rsidR="00E94E2C" w:rsidRPr="00E94E2C">
        <w:rPr>
          <w:bdr w:val="none" w:sz="0" w:space="0" w:color="auto" w:frame="1"/>
          <w:shd w:val="clear" w:color="auto" w:fill="FFFFFF"/>
        </w:rPr>
        <w:lastRenderedPageBreak/>
        <w:t xml:space="preserve">organisations such as needle and syringe programs, alcohol </w:t>
      </w:r>
      <w:r w:rsidR="000D3AF2">
        <w:rPr>
          <w:bdr w:val="none" w:sz="0" w:space="0" w:color="auto" w:frame="1"/>
          <w:shd w:val="clear" w:color="auto" w:fill="FFFFFF"/>
        </w:rPr>
        <w:t xml:space="preserve">and other </w:t>
      </w:r>
      <w:r w:rsidR="00E94E2C" w:rsidRPr="00E94E2C">
        <w:rPr>
          <w:bdr w:val="none" w:sz="0" w:space="0" w:color="auto" w:frame="1"/>
          <w:shd w:val="clear" w:color="auto" w:fill="FFFFFF"/>
        </w:rPr>
        <w:t>drug treatment centres or correctional release programs.</w:t>
      </w:r>
    </w:p>
    <w:p w14:paraId="1CFED961" w14:textId="5A2D3888" w:rsidR="00CA5EEA" w:rsidRPr="00193A08" w:rsidRDefault="00E94E2C" w:rsidP="003267B5">
      <w:pPr>
        <w:pStyle w:val="BodyText"/>
      </w:pPr>
      <w:r w:rsidRPr="00E94E2C">
        <w:t>T</w:t>
      </w:r>
      <w:r w:rsidR="00CA5EEA" w:rsidRPr="00E94E2C">
        <w:t>he</w:t>
      </w:r>
      <w:r w:rsidR="00CA5EEA">
        <w:t xml:space="preserve"> Pilot commenced activity on 1 December 2019 in NSW, </w:t>
      </w:r>
      <w:proofErr w:type="gramStart"/>
      <w:r w:rsidR="00CA5EEA">
        <w:t>SA</w:t>
      </w:r>
      <w:proofErr w:type="gramEnd"/>
      <w:r w:rsidR="00CA5EEA">
        <w:t xml:space="preserve"> and WA, with the intention to run until the end of February 2021. </w:t>
      </w:r>
    </w:p>
    <w:p w14:paraId="77E62E2F" w14:textId="13DE9E0A" w:rsidR="00CA5EEA" w:rsidRDefault="00CA5EEA" w:rsidP="003267B5">
      <w:pPr>
        <w:pStyle w:val="BodyText"/>
      </w:pPr>
      <w:r>
        <w:t xml:space="preserve">In May 2020, the Senate Standing Committee for the Scrutiny of Delegated Legislation wrote to the Department regarding disallowance of the THN legislation, </w:t>
      </w:r>
      <w:r w:rsidRPr="245447E6">
        <w:rPr>
          <w:rFonts w:ascii="Arial" w:eastAsia="Arial" w:hAnsi="Arial" w:cs="Arial"/>
          <w:color w:val="000000" w:themeColor="text1"/>
        </w:rPr>
        <w:t>expressing concerns about the source for legal authority for section 25 of the Instrument</w:t>
      </w:r>
      <w:r>
        <w:rPr>
          <w:rFonts w:ascii="Arial" w:eastAsia="Arial" w:hAnsi="Arial" w:cs="Arial"/>
          <w:color w:val="000000" w:themeColor="text1"/>
        </w:rPr>
        <w:t>. A</w:t>
      </w:r>
      <w:r w:rsidRPr="245447E6">
        <w:rPr>
          <w:rFonts w:ascii="Arial" w:eastAsia="Arial" w:hAnsi="Arial" w:cs="Arial"/>
          <w:color w:val="000000" w:themeColor="text1"/>
        </w:rPr>
        <w:t xml:space="preserve">mendments </w:t>
      </w:r>
      <w:r>
        <w:rPr>
          <w:rFonts w:ascii="Arial" w:eastAsia="Arial" w:hAnsi="Arial" w:cs="Arial"/>
          <w:color w:val="000000" w:themeColor="text1"/>
        </w:rPr>
        <w:t xml:space="preserve">were made </w:t>
      </w:r>
      <w:r w:rsidRPr="245447E6">
        <w:rPr>
          <w:rFonts w:ascii="Arial" w:eastAsia="Arial" w:hAnsi="Arial" w:cs="Arial"/>
          <w:color w:val="000000" w:themeColor="text1"/>
        </w:rPr>
        <w:t>to section 25 of the Instrument on 26 August 2020, to expressly define the powers and functions which may be authorised for the third-party administrator to perform and to provide for internal review of decisions of the third</w:t>
      </w:r>
      <w:r>
        <w:rPr>
          <w:rFonts w:ascii="Arial" w:eastAsia="Arial" w:hAnsi="Arial" w:cs="Arial"/>
          <w:color w:val="000000" w:themeColor="text1"/>
        </w:rPr>
        <w:t>-</w:t>
      </w:r>
      <w:r w:rsidRPr="245447E6">
        <w:rPr>
          <w:rFonts w:ascii="Arial" w:eastAsia="Arial" w:hAnsi="Arial" w:cs="Arial"/>
          <w:color w:val="000000" w:themeColor="text1"/>
        </w:rPr>
        <w:t>party administrators by the Department</w:t>
      </w:r>
      <w:r>
        <w:rPr>
          <w:rFonts w:ascii="Arial" w:eastAsia="Arial" w:hAnsi="Arial" w:cs="Arial"/>
          <w:color w:val="000000" w:themeColor="text1"/>
        </w:rPr>
        <w:t>. The motion to disallow</w:t>
      </w:r>
      <w:r>
        <w:t xml:space="preserve"> was withdrawn on 27 August 2020 but </w:t>
      </w:r>
      <w:r w:rsidR="005055E8">
        <w:t>was reported by stakeholders as</w:t>
      </w:r>
      <w:r>
        <w:t xml:space="preserve"> </w:t>
      </w:r>
      <w:r w:rsidR="005055E8">
        <w:t xml:space="preserve">creating </w:t>
      </w:r>
      <w:r>
        <w:t xml:space="preserve">uncertainty as to the future of the </w:t>
      </w:r>
      <w:proofErr w:type="gramStart"/>
      <w:r>
        <w:t xml:space="preserve">Pilot, </w:t>
      </w:r>
      <w:r w:rsidR="005055E8">
        <w:t>and</w:t>
      </w:r>
      <w:proofErr w:type="gramEnd"/>
      <w:r w:rsidR="005055E8">
        <w:t xml:space="preserve"> </w:t>
      </w:r>
      <w:r>
        <w:t xml:space="preserve">resulting in </w:t>
      </w:r>
      <w:r w:rsidR="005F4AA3">
        <w:t xml:space="preserve">some </w:t>
      </w:r>
      <w:r>
        <w:t xml:space="preserve">reduced </w:t>
      </w:r>
      <w:r w:rsidR="005F4AA3">
        <w:t>willingness</w:t>
      </w:r>
      <w:r w:rsidR="006559B7">
        <w:t xml:space="preserve"> of the implementation agencies to direct res</w:t>
      </w:r>
      <w:r w:rsidR="006B0DB6">
        <w:t>ources to the Pilot until the challenge was resolved</w:t>
      </w:r>
      <w:r>
        <w:t xml:space="preserve">. </w:t>
      </w:r>
    </w:p>
    <w:p w14:paraId="5486BA02" w14:textId="2E736BC1" w:rsidR="00CA5EEA" w:rsidRDefault="00CA5EEA" w:rsidP="003267B5">
      <w:pPr>
        <w:pStyle w:val="BodyText"/>
      </w:pPr>
      <w:r>
        <w:t>In mid-December 2021, the Australian Government announced an extension of the Pilot to the end of June 2021. Legislative amendments were made in January 2021 to facilitate this extension. A further extension of the Pilot, to 30 June 2022 with funding for the year of $3.9million</w:t>
      </w:r>
      <w:r w:rsidR="009374FF">
        <w:t>,</w:t>
      </w:r>
      <w:r w:rsidDel="001906BA">
        <w:t xml:space="preserve"> </w:t>
      </w:r>
      <w:r w:rsidR="0041708D">
        <w:t xml:space="preserve">was </w:t>
      </w:r>
      <w:r>
        <w:t xml:space="preserve">announced on 12 May 2021 to allow continuity of naloxone supply while the findings of the evaluation were being considered by </w:t>
      </w:r>
      <w:r w:rsidR="003753C7">
        <w:t xml:space="preserve">the Australian </w:t>
      </w:r>
      <w:r>
        <w:t xml:space="preserve">government. </w:t>
      </w:r>
    </w:p>
    <w:p w14:paraId="0D9731AD" w14:textId="59C6A30C" w:rsidR="00B56261" w:rsidRDefault="00B56261" w:rsidP="00122779">
      <w:pPr>
        <w:spacing w:after="160" w:line="259" w:lineRule="auto"/>
      </w:pPr>
      <w:r>
        <w:br w:type="page"/>
      </w:r>
      <w:bookmarkStart w:id="138" w:name="_Toc94794340"/>
      <w:r>
        <w:lastRenderedPageBreak/>
        <w:t xml:space="preserve">Figure </w:t>
      </w:r>
      <w:r>
        <w:fldChar w:fldCharType="begin"/>
      </w:r>
      <w:r>
        <w:instrText>SEQ Figure \* ARABIC</w:instrText>
      </w:r>
      <w:r>
        <w:fldChar w:fldCharType="separate"/>
      </w:r>
      <w:r w:rsidR="00EE19AD">
        <w:rPr>
          <w:noProof/>
        </w:rPr>
        <w:t>4</w:t>
      </w:r>
      <w:r>
        <w:fldChar w:fldCharType="end"/>
      </w:r>
      <w:r>
        <w:t>. Key Milestones of the PBS-Subsidised Take Home Naloxone (THN) Pilot</w:t>
      </w:r>
      <w:bookmarkEnd w:id="138"/>
    </w:p>
    <w:p w14:paraId="7C596946" w14:textId="77777777" w:rsidR="00B56261" w:rsidRDefault="00B56261" w:rsidP="00B56261">
      <w:pPr>
        <w:pStyle w:val="FigureStyle"/>
        <w:rPr>
          <w:rFonts w:asciiTheme="majorHAnsi" w:eastAsiaTheme="majorEastAsia" w:hAnsiTheme="majorHAnsi" w:cstheme="majorBidi"/>
          <w:b/>
          <w:color w:val="51247A" w:themeColor="accent1"/>
          <w:sz w:val="28"/>
          <w:szCs w:val="26"/>
        </w:rPr>
      </w:pPr>
      <w:r>
        <w:rPr>
          <w:noProof/>
        </w:rPr>
        <w:drawing>
          <wp:inline distT="0" distB="0" distL="0" distR="0" wp14:anchorId="0D28A1D0" wp14:editId="0027F4ED">
            <wp:extent cx="5925312" cy="7988808"/>
            <wp:effectExtent l="0" t="0" r="0" b="0"/>
            <wp:docPr id="37" name="Picture 37" descr="Timeline&#10;&#10;Timeline of key events during the pilot 2019 –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eline_v3-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25312" cy="7988808"/>
                    </a:xfrm>
                    <a:prstGeom prst="rect">
                      <a:avLst/>
                    </a:prstGeom>
                  </pic:spPr>
                </pic:pic>
              </a:graphicData>
            </a:graphic>
          </wp:inline>
        </w:drawing>
      </w:r>
      <w:r>
        <w:br w:type="page"/>
      </w:r>
    </w:p>
    <w:p w14:paraId="4F9ABF29" w14:textId="70C99B2E" w:rsidR="00CA5EEA" w:rsidRDefault="00CA5EEA" w:rsidP="00C426F2">
      <w:pPr>
        <w:pStyle w:val="NbrHeading3"/>
      </w:pPr>
      <w:bookmarkStart w:id="139" w:name="_Toc94794110"/>
      <w:bookmarkStart w:id="140" w:name="_Toc94794244"/>
      <w:r>
        <w:lastRenderedPageBreak/>
        <w:t>Key stakeholder establishment</w:t>
      </w:r>
      <w:bookmarkEnd w:id="139"/>
      <w:bookmarkEnd w:id="140"/>
    </w:p>
    <w:p w14:paraId="7EA458F7" w14:textId="12112940" w:rsidR="00CA5EEA" w:rsidRDefault="00CA5EEA" w:rsidP="003267B5">
      <w:pPr>
        <w:pStyle w:val="BodyText"/>
      </w:pPr>
      <w:r>
        <w:t xml:space="preserve">Each participating state nominated an implementing body: NSW Health’s Alcohol and Other Drug (AOD) Harm Minimisation section, SA Health’s Drug and Alcohol Services SA (DASSA) section and the WA Mental Health Commission’s </w:t>
      </w:r>
      <w:r>
        <w:rPr>
          <w:rFonts w:ascii="Arial" w:hAnsi="Arial" w:cs="Arial"/>
          <w:color w:val="000000"/>
          <w:shd w:val="clear" w:color="auto" w:fill="FFFFFF"/>
        </w:rPr>
        <w:t>Alcohol, Other Drug and Prevention Services section.</w:t>
      </w:r>
      <w:r>
        <w:t xml:space="preserve"> </w:t>
      </w:r>
      <w:r>
        <w:br/>
        <w:t xml:space="preserve">The Department contracted Australian Healthcare Associates (AHA) as the program administrator, to manage claims and reimbursement for naloxone supply and facilitate collection of dispensing data through its Pharmacy Programs Administrator (PPA) portal across the life of the Pilot. </w:t>
      </w:r>
    </w:p>
    <w:p w14:paraId="01F5EA1B" w14:textId="77117B67" w:rsidR="00CA5EEA" w:rsidRDefault="00CA5EEA" w:rsidP="003267B5">
      <w:pPr>
        <w:pStyle w:val="BodyText"/>
      </w:pPr>
      <w:r>
        <w:t xml:space="preserve">The University of Queensland’s Institute for Social Sciences Research (ISSR) was contracted to undertake an evaluation of the Pilot from commencement to </w:t>
      </w:r>
      <w:r w:rsidR="008772BE">
        <w:t xml:space="preserve">the </w:t>
      </w:r>
      <w:r>
        <w:t>original end date. This was subsequently extended to cover the period until 30 June 2021.</w:t>
      </w:r>
    </w:p>
    <w:p w14:paraId="5222B05A" w14:textId="77777777" w:rsidR="00CA5EEA" w:rsidRDefault="00CA5EEA" w:rsidP="007321E2">
      <w:pPr>
        <w:pStyle w:val="NbrHeading3"/>
      </w:pPr>
      <w:bookmarkStart w:id="141" w:name="_Toc94794111"/>
      <w:bookmarkStart w:id="142" w:name="_Toc94794245"/>
      <w:r>
        <w:t>Communications processes</w:t>
      </w:r>
      <w:bookmarkEnd w:id="141"/>
      <w:bookmarkEnd w:id="142"/>
    </w:p>
    <w:p w14:paraId="17D43C6D" w14:textId="35E98336" w:rsidR="00CA5EEA" w:rsidRDefault="00CA5EEA" w:rsidP="003267B5">
      <w:pPr>
        <w:pStyle w:val="BodyText"/>
      </w:pPr>
      <w:r>
        <w:t xml:space="preserve">The Department established meetings with the key implementation group, comprising representatives of NSW Health, SA Health and the WA Mental Health Commission, the program administrator (AHA), and the ISSR Evaluation Team. These meetings were held every four to six months during the Pilot establishment and implementation up to May 2021. Additional communication between members of the implementation group continued ad hoc </w:t>
      </w:r>
      <w:r w:rsidR="007321E2">
        <w:t>across the period of the Pilot</w:t>
      </w:r>
      <w:r>
        <w:t xml:space="preserve">. Communication between the state implementing </w:t>
      </w:r>
      <w:r w:rsidR="007321E2">
        <w:t>agencies</w:t>
      </w:r>
      <w:r>
        <w:t xml:space="preserve"> and their local stakeholders was organised by the individual states. AHA provided regular electronic communications to registered access sites via the PPA portal.</w:t>
      </w:r>
    </w:p>
    <w:p w14:paraId="441ECFE7" w14:textId="77777777" w:rsidR="00CA5EEA" w:rsidRDefault="00CA5EEA" w:rsidP="007321E2">
      <w:pPr>
        <w:pStyle w:val="NbrHeading3"/>
      </w:pPr>
      <w:bookmarkStart w:id="143" w:name="_Toc94794112"/>
      <w:bookmarkStart w:id="144" w:name="_Toc94794246"/>
      <w:r>
        <w:t>Leverage of existing programs</w:t>
      </w:r>
      <w:bookmarkEnd w:id="143"/>
      <w:bookmarkEnd w:id="144"/>
      <w:r>
        <w:t xml:space="preserve"> </w:t>
      </w:r>
    </w:p>
    <w:p w14:paraId="6D1AB47F" w14:textId="0B90F11C" w:rsidR="00CA5EEA" w:rsidRDefault="00CA5EEA" w:rsidP="003267B5">
      <w:pPr>
        <w:pStyle w:val="BodyText"/>
      </w:pPr>
      <w:r>
        <w:t xml:space="preserve">In NSW and WA, the Pilot built on previous THN programs: </w:t>
      </w:r>
      <w:r w:rsidR="00363F35">
        <w:t>The</w:t>
      </w:r>
      <w:r>
        <w:t xml:space="preserve"> Overdose Response with Take Home Naloxone (ORTHN) trial in NSW and the Peer Naloxone Education Project in WA (see Appendix A). State based directives for these </w:t>
      </w:r>
      <w:r w:rsidR="00C444E7">
        <w:t xml:space="preserve">earlier </w:t>
      </w:r>
      <w:r>
        <w:t>programs had made provision for naloxone to be provided by designated health professionals at AAS sites but required prescriptions for free supply. Many of the networks and systems established for these programs were used to support the THN Pilot. SA was not operating THN programs at the time of the Pilot commencement.</w:t>
      </w:r>
    </w:p>
    <w:p w14:paraId="348B5556" w14:textId="77777777" w:rsidR="00CA5EEA" w:rsidDel="00564D6D" w:rsidRDefault="00CA5EEA" w:rsidP="00C444E7">
      <w:pPr>
        <w:pStyle w:val="NbrHeading3"/>
      </w:pPr>
      <w:bookmarkStart w:id="145" w:name="_Toc94794113"/>
      <w:bookmarkStart w:id="146" w:name="_Toc94794247"/>
      <w:r>
        <w:t>Recruitment of access sites, s</w:t>
      </w:r>
      <w:r w:rsidDel="00564D6D">
        <w:t>takeholders, and partners</w:t>
      </w:r>
      <w:bookmarkEnd w:id="145"/>
      <w:bookmarkEnd w:id="146"/>
      <w:r w:rsidDel="00564D6D">
        <w:t xml:space="preserve"> </w:t>
      </w:r>
    </w:p>
    <w:p w14:paraId="60559EFB" w14:textId="77777777" w:rsidR="00CA5EEA" w:rsidRDefault="00CA5EEA" w:rsidP="003267B5">
      <w:pPr>
        <w:pStyle w:val="BodyText"/>
      </w:pPr>
      <w:r>
        <w:t xml:space="preserve">All registered community pharmacies in the participating states were contacted through the program administrator and invited to take part in the Pilot. Self-nominating pharmacies enrolled in the Pilot by registering through the PPA portal. </w:t>
      </w:r>
    </w:p>
    <w:p w14:paraId="4FC0DBC0" w14:textId="775255A2" w:rsidR="00CA5EEA" w:rsidRDefault="00CA5EEA" w:rsidP="003267B5">
      <w:pPr>
        <w:pStyle w:val="BodyText"/>
      </w:pPr>
      <w:r>
        <w:t xml:space="preserve">AAS were encouraged by the state implementing </w:t>
      </w:r>
      <w:r w:rsidR="000277CD">
        <w:t>agencies</w:t>
      </w:r>
      <w:r>
        <w:t xml:space="preserve"> to enrol in the Pilot, initially focusing on those involved in the existing naloxone programs. In WA, these AAS were primarily alcohol and other drug (AOD) specialist services, including those provided by non-government organisations. NSW initially engaged government health services as AAS in the Pilot, again focused on AOD services. Involvement of non-government organisations (NGOs) in NSW required </w:t>
      </w:r>
      <w:r w:rsidR="00082A25">
        <w:t xml:space="preserve">two </w:t>
      </w:r>
      <w:r w:rsidR="00B84926">
        <w:t>Legal Authorities</w:t>
      </w:r>
      <w:r>
        <w:t xml:space="preserve"> </w:t>
      </w:r>
      <w:r w:rsidR="00190E3A">
        <w:t>under Section 10(</w:t>
      </w:r>
      <w:r w:rsidR="00086B00">
        <w:t>2)</w:t>
      </w:r>
      <w:r w:rsidR="006028EF">
        <w:t>(b)</w:t>
      </w:r>
      <w:r w:rsidR="001F790C">
        <w:t xml:space="preserve"> and clause 17 of the </w:t>
      </w:r>
      <w:r w:rsidR="00624D33" w:rsidRPr="00D327D8">
        <w:rPr>
          <w:i/>
          <w:iCs/>
        </w:rPr>
        <w:t>Poisons and Therapeutic Goods Act 1966</w:t>
      </w:r>
      <w:r w:rsidR="00624D33">
        <w:t xml:space="preserve"> </w:t>
      </w:r>
      <w:r w:rsidR="005026E4">
        <w:t>to allow</w:t>
      </w:r>
      <w:r w:rsidR="00624D33">
        <w:t xml:space="preserve"> the supply of the Schedule 3 substance</w:t>
      </w:r>
      <w:r w:rsidR="00F24EF4">
        <w:t xml:space="preserve"> naloxone by a credent</w:t>
      </w:r>
      <w:r w:rsidR="005026E4">
        <w:t>ialled health worker</w:t>
      </w:r>
      <w:r w:rsidR="00D327D8">
        <w:t>.  This was approved for NGOs and private organisations</w:t>
      </w:r>
      <w:r>
        <w:t xml:space="preserve"> in August 2020. NSW NGOs commenced THN provision under the Pilot in March 2021. </w:t>
      </w:r>
      <w:r w:rsidR="00E753B4">
        <w:t xml:space="preserve">Recruitment of </w:t>
      </w:r>
      <w:r w:rsidR="00882770">
        <w:t xml:space="preserve">different </w:t>
      </w:r>
      <w:r w:rsidR="00E753B4">
        <w:t>site</w:t>
      </w:r>
      <w:r w:rsidR="00882770">
        <w:t xml:space="preserve"> type</w:t>
      </w:r>
      <w:r w:rsidR="00E753B4">
        <w:t>s is discussed further in Chapter 6.</w:t>
      </w:r>
    </w:p>
    <w:p w14:paraId="29A5064C" w14:textId="2063A058" w:rsidR="0082240C" w:rsidRDefault="00CA5EEA" w:rsidP="003267B5">
      <w:pPr>
        <w:pStyle w:val="BodyText"/>
      </w:pPr>
      <w:r>
        <w:t>In SA, state-based legislation limited</w:t>
      </w:r>
      <w:r w:rsidDel="00545ED8">
        <w:t xml:space="preserve"> </w:t>
      </w:r>
      <w:r>
        <w:t xml:space="preserve">provision of naloxone </w:t>
      </w:r>
      <w:r w:rsidDel="00545ED8">
        <w:t xml:space="preserve">through </w:t>
      </w:r>
      <w:r>
        <w:t xml:space="preserve">community pharmacies only. Other sites at which persons were identified as at risk of witnessing or experiencing an </w:t>
      </w:r>
      <w:r>
        <w:lastRenderedPageBreak/>
        <w:t xml:space="preserve">overdose were able to provide the requisite brief education about overdose and naloxone, and a voucher for recipients to redeem naloxone at a participating community pharmacy was issued. </w:t>
      </w:r>
    </w:p>
    <w:p w14:paraId="34BB230D" w14:textId="139C1078" w:rsidR="00CA5EEA" w:rsidRDefault="004C2239" w:rsidP="003267B5">
      <w:pPr>
        <w:pStyle w:val="BodyText"/>
      </w:pPr>
      <w:r>
        <w:t>The number of s</w:t>
      </w:r>
      <w:r w:rsidR="00CA5EEA">
        <w:t>ite registrations increased steadily across the period of the Pilot</w:t>
      </w:r>
      <w:r w:rsidR="00A24356">
        <w:t xml:space="preserve"> to a total of </w:t>
      </w:r>
      <w:r w:rsidR="00A24356" w:rsidRPr="00920AAF">
        <w:t>1,</w:t>
      </w:r>
      <w:r w:rsidR="00920AAF" w:rsidRPr="00920AAF">
        <w:t>480</w:t>
      </w:r>
      <w:r w:rsidR="00A24356" w:rsidRPr="00920AAF">
        <w:t xml:space="preserve"> sites </w:t>
      </w:r>
      <w:r w:rsidR="00563544" w:rsidRPr="00920AAF">
        <w:t xml:space="preserve">as of </w:t>
      </w:r>
      <w:r w:rsidR="00A24356" w:rsidRPr="00920AAF">
        <w:t xml:space="preserve">30 June 2021; </w:t>
      </w:r>
      <w:r w:rsidR="00920AAF" w:rsidRPr="00920AAF">
        <w:t>57</w:t>
      </w:r>
      <w:r w:rsidR="00A24356" w:rsidRPr="00920AAF">
        <w:t>% of these sites (n=84</w:t>
      </w:r>
      <w:r w:rsidR="00E26621" w:rsidRPr="00920AAF">
        <w:t>6</w:t>
      </w:r>
      <w:r w:rsidR="00A24356" w:rsidRPr="00920AAF">
        <w:t>)</w:t>
      </w:r>
      <w:r w:rsidR="00CA5EEA" w:rsidRPr="00920AAF">
        <w:t xml:space="preserve"> provided THN</w:t>
      </w:r>
      <w:r w:rsidR="00A24356" w:rsidRPr="00920AAF">
        <w:t xml:space="preserve"> on at least one</w:t>
      </w:r>
      <w:r w:rsidR="00A24356">
        <w:t xml:space="preserve"> occasion during this period. The Administrator sent communications to non-active sites on several occasions to en</w:t>
      </w:r>
      <w:r w:rsidR="003D43FB">
        <w:t>c</w:t>
      </w:r>
      <w:r w:rsidR="00A24356">
        <w:t>ourage more active participation.  This is discussed further in Chapter 4</w:t>
      </w:r>
      <w:r w:rsidR="00CA5EEA">
        <w:t>.</w:t>
      </w:r>
    </w:p>
    <w:p w14:paraId="0A3C7C72" w14:textId="77777777" w:rsidR="00CA5EEA" w:rsidRDefault="00CA5EEA" w:rsidP="00AF2712">
      <w:pPr>
        <w:pStyle w:val="NbrHeading3"/>
      </w:pPr>
      <w:bookmarkStart w:id="147" w:name="_Toc94794114"/>
      <w:bookmarkStart w:id="148" w:name="_Toc94794248"/>
      <w:r>
        <w:t>Credentialling &amp; training processes</w:t>
      </w:r>
      <w:bookmarkEnd w:id="147"/>
      <w:bookmarkEnd w:id="148"/>
    </w:p>
    <w:p w14:paraId="03AA2977" w14:textId="77777777" w:rsidR="00430637" w:rsidRDefault="00CA5EEA" w:rsidP="003267B5">
      <w:pPr>
        <w:pStyle w:val="BodyText"/>
      </w:pPr>
      <w:r>
        <w:t>Pharmacies registered via the PPA portal and no further credentialling process was required. Formal training was not provided for pharmacy staff</w:t>
      </w:r>
      <w:r w:rsidR="009602AA">
        <w:t>, recognising their existing skills in advising on medication safety,</w:t>
      </w:r>
      <w:r>
        <w:t xml:space="preserve"> but information sheets </w:t>
      </w:r>
      <w:r w:rsidR="009602AA">
        <w:t xml:space="preserve">including Portal User Guides </w:t>
      </w:r>
      <w:r>
        <w:t xml:space="preserve">were </w:t>
      </w:r>
      <w:r w:rsidR="009602AA">
        <w:t xml:space="preserve">made </w:t>
      </w:r>
      <w:r>
        <w:t xml:space="preserve">available through </w:t>
      </w:r>
      <w:r w:rsidR="009602AA">
        <w:t>the administrator’s</w:t>
      </w:r>
      <w:r>
        <w:t xml:space="preserve"> website</w:t>
      </w:r>
      <w:r>
        <w:rPr>
          <w:rStyle w:val="FootnoteReference"/>
        </w:rPr>
        <w:footnoteReference w:id="8"/>
      </w:r>
      <w:r>
        <w:t>. Program guidelines and other resources were also made available through the administrator</w:t>
      </w:r>
      <w:r w:rsidR="009602AA">
        <w:t>’s</w:t>
      </w:r>
      <w:r>
        <w:t xml:space="preserve"> site. </w:t>
      </w:r>
    </w:p>
    <w:p w14:paraId="4D7EE945" w14:textId="48353303" w:rsidR="00CA5EEA" w:rsidRDefault="00581A74" w:rsidP="003267B5">
      <w:pPr>
        <w:pStyle w:val="BodyText"/>
      </w:pPr>
      <w:r>
        <w:t>Additional t</w:t>
      </w:r>
      <w:r w:rsidR="00CA5EEA">
        <w:t xml:space="preserve">raining and support materials </w:t>
      </w:r>
      <w:r w:rsidR="009602AA">
        <w:t xml:space="preserve">for pharmacists </w:t>
      </w:r>
      <w:r w:rsidR="00CA5EEA">
        <w:t xml:space="preserve">were later developed </w:t>
      </w:r>
      <w:r w:rsidR="009602AA">
        <w:t xml:space="preserve">independently </w:t>
      </w:r>
      <w:r w:rsidR="00CA5EEA">
        <w:t xml:space="preserve">and promoted by the Pharmacy Society of Australia (PSA) and the Society of Hospital Pharmacies of Australia (SHPA) and distributed through their respective memberships and more broadly to all Pilot participants by the Pilot administrator. </w:t>
      </w:r>
    </w:p>
    <w:p w14:paraId="18C7DD53" w14:textId="06B5184E" w:rsidR="00CA5EEA" w:rsidRDefault="00BD6166" w:rsidP="003267B5">
      <w:pPr>
        <w:pStyle w:val="BodyText"/>
      </w:pPr>
      <w:r>
        <w:t xml:space="preserve">Credentialling </w:t>
      </w:r>
      <w:r w:rsidR="00D7088C">
        <w:t>of AAS and training of staff were</w:t>
      </w:r>
      <w:r>
        <w:t xml:space="preserve"> state</w:t>
      </w:r>
      <w:r w:rsidR="0044116E">
        <w:t>-</w:t>
      </w:r>
      <w:r>
        <w:t>based requirement</w:t>
      </w:r>
      <w:r w:rsidR="00D7088C">
        <w:t>s</w:t>
      </w:r>
      <w:r>
        <w:t xml:space="preserve"> for participation and </w:t>
      </w:r>
      <w:r w:rsidR="00D7088C">
        <w:t>were</w:t>
      </w:r>
      <w:r>
        <w:t xml:space="preserve"> not stipulated or required from the Department. </w:t>
      </w:r>
      <w:r w:rsidR="00260C67">
        <w:t xml:space="preserve">Training was intended to prepare </w:t>
      </w:r>
      <w:r w:rsidR="00A40819">
        <w:t xml:space="preserve">AAS </w:t>
      </w:r>
      <w:r w:rsidR="00260C67">
        <w:t>staff to deliver the brief intervention</w:t>
      </w:r>
      <w:r w:rsidR="00120433">
        <w:t>/education</w:t>
      </w:r>
      <w:r w:rsidR="00260C67">
        <w:t xml:space="preserve"> for </w:t>
      </w:r>
      <w:r w:rsidR="00EE3E9E">
        <w:t xml:space="preserve">people receiving THN that included recognising the symptoms of overdose and </w:t>
      </w:r>
      <w:r w:rsidR="00C44678">
        <w:t xml:space="preserve">how to administer naloxone. </w:t>
      </w:r>
      <w:r>
        <w:t>These are discussed in Chapter 6.</w:t>
      </w:r>
    </w:p>
    <w:p w14:paraId="46828A26" w14:textId="77777777" w:rsidR="00CA5EEA" w:rsidRDefault="00CA5EEA" w:rsidP="003D43FB">
      <w:pPr>
        <w:pStyle w:val="NbrHeading3"/>
      </w:pPr>
      <w:bookmarkStart w:id="149" w:name="_Toc94794115"/>
      <w:bookmarkStart w:id="150" w:name="_Toc94794249"/>
      <w:r>
        <w:t>Promotion of THN pilot</w:t>
      </w:r>
      <w:bookmarkEnd w:id="149"/>
      <w:bookmarkEnd w:id="150"/>
    </w:p>
    <w:p w14:paraId="36A1C413" w14:textId="0103EE85" w:rsidR="00A025D5" w:rsidRDefault="00A025D5" w:rsidP="003267B5">
      <w:pPr>
        <w:pStyle w:val="BodyText"/>
      </w:pPr>
      <w:r>
        <w:t xml:space="preserve">At the commencement of the Pilot, communications about the Pilot were sent to all community pharmacies and to the Pharmacy Guild (the Guild) and the Pharmaceutical Society of Australia (PSA). </w:t>
      </w:r>
      <w:r w:rsidR="00CA5EEA">
        <w:t>The Department designed and distributed initial promotional</w:t>
      </w:r>
      <w:r w:rsidR="00CA5EEA" w:rsidDel="00545ED8">
        <w:t xml:space="preserve"> </w:t>
      </w:r>
      <w:r w:rsidR="00CA5EEA">
        <w:t xml:space="preserve">material for access sites to promote naloxone and the Pilot in early 2020 and established a </w:t>
      </w:r>
      <w:r w:rsidR="009921FC">
        <w:t xml:space="preserve">dedicated </w:t>
      </w:r>
      <w:r w:rsidR="00CA5EEA">
        <w:t xml:space="preserve">Pilot page on the Department of Health website. Refreshed promotional material was released in early 2021. </w:t>
      </w:r>
    </w:p>
    <w:p w14:paraId="18FABB35" w14:textId="0D62919B" w:rsidR="00CA5EEA" w:rsidRDefault="00CA5EEA" w:rsidP="003267B5">
      <w:pPr>
        <w:pStyle w:val="BodyText"/>
      </w:pPr>
      <w:proofErr w:type="spellStart"/>
      <w:r>
        <w:t>PainAustralia</w:t>
      </w:r>
      <w:proofErr w:type="spellEnd"/>
      <w:r>
        <w:t xml:space="preserve"> was engaged to provide communications and promotion to individuals with chronic pain, and services that supported them, to reach people who regularly used prescribed opioid medications. </w:t>
      </w:r>
      <w:r w:rsidR="00336F61">
        <w:t xml:space="preserve">Reports from </w:t>
      </w:r>
      <w:proofErr w:type="spellStart"/>
      <w:r w:rsidR="00336F61">
        <w:t>PainAustralia</w:t>
      </w:r>
      <w:proofErr w:type="spellEnd"/>
      <w:r w:rsidR="00336F61">
        <w:t xml:space="preserve"> indicate these promotion activities commenced on 5 June 2020. Activities included posts on Facebook and Twitter including reference to THN, a feature article on THN in their newsletter, and several blog posts mentioning naloxone.</w:t>
      </w:r>
    </w:p>
    <w:p w14:paraId="17E07D6E" w14:textId="77777777" w:rsidR="009921FC" w:rsidRDefault="00CA5EEA" w:rsidP="003267B5">
      <w:pPr>
        <w:pStyle w:val="BodyText"/>
      </w:pPr>
      <w:r>
        <w:t xml:space="preserve">NSW Health, SA Health and the WAMHC each established </w:t>
      </w:r>
      <w:r w:rsidR="009921FC">
        <w:t xml:space="preserve">dedicated </w:t>
      </w:r>
      <w:r>
        <w:t>Pilot pages on their websites</w:t>
      </w:r>
      <w:r w:rsidR="009921FC">
        <w:t xml:space="preserve"> including information on the Pilot, overdose awareness, and links to the Department of Health’s Pilot web page and the PPA portal</w:t>
      </w:r>
      <w:r>
        <w:t>.</w:t>
      </w:r>
    </w:p>
    <w:p w14:paraId="65ECAD34" w14:textId="0DF459B2" w:rsidR="00CA5EEA" w:rsidRDefault="00CA5EEA" w:rsidP="003267B5">
      <w:pPr>
        <w:pStyle w:val="BodyText"/>
      </w:pPr>
      <w:r>
        <w:t>The Pilot was not publicly launched, and no public awareness campaign took place.</w:t>
      </w:r>
    </w:p>
    <w:p w14:paraId="43BD92A2" w14:textId="77777777" w:rsidR="00CA5EEA" w:rsidRDefault="00CA5EEA" w:rsidP="009921FC">
      <w:pPr>
        <w:pStyle w:val="NbrHeading3"/>
      </w:pPr>
      <w:bookmarkStart w:id="151" w:name="_Toc94794116"/>
      <w:bookmarkStart w:id="152" w:name="_Toc94794250"/>
      <w:r>
        <w:t>THN supply chain</w:t>
      </w:r>
      <w:bookmarkEnd w:id="151"/>
      <w:bookmarkEnd w:id="152"/>
    </w:p>
    <w:p w14:paraId="5AAF3C86" w14:textId="05849DD7" w:rsidR="00CA5EEA" w:rsidRDefault="00CA5EEA" w:rsidP="003267B5">
      <w:pPr>
        <w:pStyle w:val="BodyText"/>
      </w:pPr>
      <w:r>
        <w:t>Participating pharmacies in all states ordered naloxone stock through their existing suppliers</w:t>
      </w:r>
      <w:r w:rsidR="009921FC">
        <w:t xml:space="preserve"> according to usual ordering practices</w:t>
      </w:r>
      <w:r>
        <w:t xml:space="preserve">. In WA, </w:t>
      </w:r>
      <w:r w:rsidR="009921FC">
        <w:t xml:space="preserve">the </w:t>
      </w:r>
      <w:r>
        <w:t>WAMHC acted as a bulk supplier and distributed stock directly to AASs. In NSW, government health services ordered naloxone through existing approved suppliers</w:t>
      </w:r>
      <w:r w:rsidR="009921FC">
        <w:t xml:space="preserve"> and protocols</w:t>
      </w:r>
      <w:r>
        <w:t xml:space="preserve">. Some hospital pharmacies acted as bulk </w:t>
      </w:r>
      <w:r>
        <w:lastRenderedPageBreak/>
        <w:t xml:space="preserve">suppliers and provided naloxone to other services within their LHD; the Justice Health &amp; Forensic Mental Health Network provided this function for NSW </w:t>
      </w:r>
      <w:proofErr w:type="gramStart"/>
      <w:r>
        <w:t>correctional facilities</w:t>
      </w:r>
      <w:proofErr w:type="gramEnd"/>
      <w:r>
        <w:t>. NSW Health engaged a distributor to enable stock ordering and delivery to NGOs; this was finalised in early 2021. Registered Pilot sites could claim back the cost of naloxone supplied to consumers through the PPA portal; this portal was also used to collect data for the evaluation where recipients provided consent.</w:t>
      </w:r>
    </w:p>
    <w:p w14:paraId="0FB1BB32" w14:textId="7687C859" w:rsidR="00CA5EEA" w:rsidRDefault="00CA5EEA" w:rsidP="003267B5">
      <w:pPr>
        <w:pStyle w:val="BodyText"/>
      </w:pPr>
      <w:r>
        <w:rPr>
          <w:shd w:val="clear" w:color="auto" w:fill="FFFFFF"/>
        </w:rPr>
        <w:t xml:space="preserve">Payments for naloxone under the PBS THN Pilot arrangements are made in accordance with the rates determined under the relevant section of the National Health Act for supplies made by section 90 (Approved Pharmacists – approved to dispense pharmaceutical benefits from </w:t>
      </w:r>
      <w:proofErr w:type="gramStart"/>
      <w:r>
        <w:rPr>
          <w:shd w:val="clear" w:color="auto" w:fill="FFFFFF"/>
        </w:rPr>
        <w:t>particular pharmacy</w:t>
      </w:r>
      <w:proofErr w:type="gramEnd"/>
      <w:r>
        <w:rPr>
          <w:shd w:val="clear" w:color="auto" w:fill="FFFFFF"/>
        </w:rPr>
        <w:t xml:space="preserve"> premises (approved premises)</w:t>
      </w:r>
      <w:r w:rsidR="00DC53F4">
        <w:rPr>
          <w:shd w:val="clear" w:color="auto" w:fill="FFFFFF"/>
        </w:rPr>
        <w:t>)</w:t>
      </w:r>
      <w:r>
        <w:rPr>
          <w:shd w:val="clear" w:color="auto" w:fill="FFFFFF"/>
        </w:rPr>
        <w:t>, 92 (Approved Medical Practitioners) and 94 (</w:t>
      </w:r>
      <w:bookmarkStart w:id="153" w:name="x__Toc62642700"/>
      <w:r>
        <w:rPr>
          <w:bdr w:val="none" w:sz="0" w:space="0" w:color="auto" w:frame="1"/>
        </w:rPr>
        <w:t xml:space="preserve">Approved </w:t>
      </w:r>
      <w:bookmarkEnd w:id="153"/>
      <w:r w:rsidR="003833EB">
        <w:rPr>
          <w:bdr w:val="none" w:sz="0" w:space="0" w:color="auto" w:frame="1"/>
        </w:rPr>
        <w:t>Hospital Authorities</w:t>
      </w:r>
      <w:r>
        <w:rPr>
          <w:shd w:val="clear" w:color="auto" w:fill="FFFFFF"/>
        </w:rPr>
        <w:t>) suppliers (i</w:t>
      </w:r>
      <w:r w:rsidR="00C14051">
        <w:rPr>
          <w:shd w:val="clear" w:color="auto" w:fill="FFFFFF"/>
        </w:rPr>
        <w:t>.</w:t>
      </w:r>
      <w:r>
        <w:rPr>
          <w:shd w:val="clear" w:color="auto" w:fill="FFFFFF"/>
        </w:rPr>
        <w:t>e</w:t>
      </w:r>
      <w:r w:rsidR="00C14051">
        <w:rPr>
          <w:shd w:val="clear" w:color="auto" w:fill="FFFFFF"/>
        </w:rPr>
        <w:t>.,</w:t>
      </w:r>
      <w:r>
        <w:rPr>
          <w:shd w:val="clear" w:color="auto" w:fill="FFFFFF"/>
        </w:rPr>
        <w:t xml:space="preserve"> the same rates as usual PBS arrangements). The amount reimbursed for supplies in non-pharmacy settings </w:t>
      </w:r>
      <w:r w:rsidR="00C14051">
        <w:rPr>
          <w:shd w:val="clear" w:color="auto" w:fill="FFFFFF"/>
        </w:rPr>
        <w:t>(</w:t>
      </w:r>
      <w:r>
        <w:rPr>
          <w:shd w:val="clear" w:color="auto" w:fill="FFFFFF"/>
        </w:rPr>
        <w:t>i</w:t>
      </w:r>
      <w:r w:rsidR="00C14051">
        <w:rPr>
          <w:shd w:val="clear" w:color="auto" w:fill="FFFFFF"/>
        </w:rPr>
        <w:t>.</w:t>
      </w:r>
      <w:r>
        <w:rPr>
          <w:shd w:val="clear" w:color="auto" w:fill="FFFFFF"/>
        </w:rPr>
        <w:t>e</w:t>
      </w:r>
      <w:r w:rsidR="00C14051">
        <w:rPr>
          <w:shd w:val="clear" w:color="auto" w:fill="FFFFFF"/>
        </w:rPr>
        <w:t>.,</w:t>
      </w:r>
      <w:r>
        <w:rPr>
          <w:shd w:val="clear" w:color="auto" w:fill="FFFFFF"/>
        </w:rPr>
        <w:t xml:space="preserve"> from Alternative Authorised Suppliers</w:t>
      </w:r>
      <w:r w:rsidR="00C14051">
        <w:rPr>
          <w:shd w:val="clear" w:color="auto" w:fill="FFFFFF"/>
        </w:rPr>
        <w:t>)</w:t>
      </w:r>
      <w:r>
        <w:rPr>
          <w:shd w:val="clear" w:color="auto" w:fill="FFFFFF"/>
        </w:rPr>
        <w:t xml:space="preserve"> are the equivalent of the approved ex-manufacturer price (AEMP).</w:t>
      </w:r>
    </w:p>
    <w:p w14:paraId="306730D3" w14:textId="166B4FFB" w:rsidR="00CA5EEA" w:rsidRDefault="00CA5EEA" w:rsidP="002F7148">
      <w:pPr>
        <w:pStyle w:val="BodyText"/>
      </w:pPr>
      <w:r w:rsidRPr="00DE0EF6">
        <w:t xml:space="preserve">The TGA website </w:t>
      </w:r>
      <w:r>
        <w:t>officially registered a stock shortage</w:t>
      </w:r>
      <w:r w:rsidRPr="00DE0EF6">
        <w:t xml:space="preserve"> of the intranasal spray formulation (</w:t>
      </w:r>
      <w:proofErr w:type="spellStart"/>
      <w:r w:rsidRPr="00DE0EF6">
        <w:t>Nyxoid</w:t>
      </w:r>
      <w:proofErr w:type="spellEnd"/>
      <w:r w:rsidRPr="00DE0EF6">
        <w:t>®) between 26 March 2020 and 16 April 2020, due to an unexpected increase in demand. This critical shortage was declared resolved as of 17</w:t>
      </w:r>
      <w:r w:rsidR="00E62277">
        <w:t xml:space="preserve"> April </w:t>
      </w:r>
      <w:r w:rsidRPr="00DE0EF6">
        <w:t>2020. Low stocks of all formulations were noted about this time, primarily due to slowing of imports by COVID-19 closures of international and state borders</w:t>
      </w:r>
      <w:r>
        <w:t xml:space="preserve"> and jurisdictions worked collaboratively through the National Naloxone Reference Group to support supply during the shortage period</w:t>
      </w:r>
      <w:r w:rsidRPr="00DE0EF6">
        <w:t xml:space="preserve">. </w:t>
      </w:r>
      <w:r>
        <w:t xml:space="preserve">No other stock shortages have been experienced over the duration of the Pilot. </w:t>
      </w:r>
    </w:p>
    <w:p w14:paraId="2DE811BF" w14:textId="77777777" w:rsidR="00037AD7" w:rsidRDefault="00037AD7" w:rsidP="002F7148">
      <w:pPr>
        <w:pStyle w:val="BodyText"/>
      </w:pPr>
    </w:p>
    <w:p w14:paraId="3E18F92D" w14:textId="2CA7D56C" w:rsidR="00037AD7" w:rsidRPr="00037AD7" w:rsidRDefault="00037AD7" w:rsidP="00037AD7">
      <w:pPr>
        <w:pStyle w:val="Style3-keypoints-h2"/>
      </w:pPr>
      <w:bookmarkStart w:id="154" w:name="_Toc94794251"/>
      <w:r w:rsidRPr="0062155A">
        <w:t xml:space="preserve">Impact of COVID-19 on </w:t>
      </w:r>
      <w:r>
        <w:t>Pilot</w:t>
      </w:r>
      <w:r w:rsidRPr="0062155A">
        <w:t xml:space="preserve"> activities</w:t>
      </w:r>
      <w:bookmarkEnd w:id="154"/>
    </w:p>
    <w:p w14:paraId="3120622A" w14:textId="31AC67DB" w:rsidR="00037AD7" w:rsidRDefault="00037AD7" w:rsidP="00037AD7">
      <w:pPr>
        <w:spacing w:after="94"/>
        <w:rPr>
          <w:color w:val="7030A0"/>
        </w:rPr>
      </w:pPr>
      <w:r w:rsidRPr="00DE0EF6">
        <w:rPr>
          <w:color w:val="7030A0"/>
        </w:rPr>
        <w:t xml:space="preserve">In March 2020, community restrictions were enacted </w:t>
      </w:r>
      <w:proofErr w:type="gramStart"/>
      <w:r w:rsidRPr="00DE0EF6">
        <w:rPr>
          <w:color w:val="7030A0"/>
        </w:rPr>
        <w:t>in an effort to</w:t>
      </w:r>
      <w:proofErr w:type="gramEnd"/>
      <w:r w:rsidRPr="00DE0EF6">
        <w:rPr>
          <w:color w:val="7030A0"/>
        </w:rPr>
        <w:t xml:space="preserve"> combat the COVID-19 pandemic. This affected people’s ability to access health services and pharmacies; many services and pharmacies restricted operating hours and/or reduced the time spent interacting with clients to reduce the possibility of viral transmission. Such practices and resulting time pressures also impacted the provision of naloxone through the Pilot. Subsequent easing of restrictions in the Pilot states during the latter half of 2020 allowed more consistent access to THN</w:t>
      </w:r>
      <w:r>
        <w:rPr>
          <w:color w:val="7030A0"/>
        </w:rPr>
        <w:t xml:space="preserve"> and the services through which it was available</w:t>
      </w:r>
      <w:r w:rsidRPr="00DE0EF6">
        <w:rPr>
          <w:color w:val="7030A0"/>
        </w:rPr>
        <w:t>, but re-imposition of restrictions may again impact naloxone provision.</w:t>
      </w:r>
    </w:p>
    <w:p w14:paraId="13AB9A07" w14:textId="3469EB10" w:rsidR="00CA5EEA" w:rsidRPr="00122779" w:rsidRDefault="00037AD7" w:rsidP="00122779">
      <w:pPr>
        <w:spacing w:after="94"/>
        <w:rPr>
          <w:noProof/>
          <w:color w:val="3C1B5B" w:themeColor="accent1" w:themeShade="BF"/>
          <w:lang w:eastAsia="en-AU"/>
        </w:rPr>
      </w:pPr>
      <w:r>
        <w:rPr>
          <w:color w:val="7030A0"/>
        </w:rPr>
        <w:t>The public health focus on COVID-19 made it difficult for other, non-COVID, health messages (such as opioid overdose awareness and THN) to gain traction.</w:t>
      </w:r>
    </w:p>
    <w:p w14:paraId="6D91960E" w14:textId="7869BFE3" w:rsidR="00CA5EEA" w:rsidRDefault="00CA5EEA" w:rsidP="00122779">
      <w:pPr>
        <w:pStyle w:val="NbrHeading3"/>
      </w:pPr>
      <w:r>
        <w:br w:type="page"/>
      </w:r>
      <w:bookmarkStart w:id="155" w:name="_Toc78970182"/>
      <w:bookmarkStart w:id="156" w:name="_Toc94794117"/>
      <w:bookmarkStart w:id="157" w:name="_Toc94794252"/>
      <w:r>
        <w:lastRenderedPageBreak/>
        <w:t xml:space="preserve">Examining </w:t>
      </w:r>
      <w:bookmarkEnd w:id="155"/>
      <w:r>
        <w:t>key assumptions and external factors</w:t>
      </w:r>
      <w:bookmarkEnd w:id="156"/>
      <w:bookmarkEnd w:id="157"/>
    </w:p>
    <w:p w14:paraId="053697F7" w14:textId="2205959E" w:rsidR="00CA5EEA" w:rsidRDefault="00CA5EEA" w:rsidP="0069316E">
      <w:pPr>
        <w:pStyle w:val="BodyText"/>
      </w:pPr>
      <w:r w:rsidRPr="005953B3">
        <w:t>Th</w:t>
      </w:r>
      <w:r>
        <w:t>e</w:t>
      </w:r>
      <w:r w:rsidRPr="005953B3">
        <w:t xml:space="preserve"> </w:t>
      </w:r>
      <w:r>
        <w:t>Theory of Change</w:t>
      </w:r>
      <w:r w:rsidRPr="005953B3">
        <w:t xml:space="preserve"> </w:t>
      </w:r>
      <w:r>
        <w:t xml:space="preserve">for the Pilot </w:t>
      </w:r>
      <w:r w:rsidR="0071180A">
        <w:t>articulated a series of</w:t>
      </w:r>
      <w:r w:rsidRPr="005953B3">
        <w:t xml:space="preserve"> </w:t>
      </w:r>
      <w:r>
        <w:t>key</w:t>
      </w:r>
      <w:r w:rsidRPr="005953B3">
        <w:t xml:space="preserve"> assumptions</w:t>
      </w:r>
      <w:r>
        <w:t xml:space="preserve"> </w:t>
      </w:r>
      <w:r w:rsidR="0071180A">
        <w:t xml:space="preserve">on which it was based, </w:t>
      </w:r>
      <w:r>
        <w:t xml:space="preserve">as listed below. </w:t>
      </w:r>
      <w:r w:rsidR="00632539">
        <w:fldChar w:fldCharType="begin"/>
      </w:r>
      <w:r w:rsidR="00632539">
        <w:instrText xml:space="preserve"> REF _Ref82009832 \h </w:instrText>
      </w:r>
      <w:r w:rsidR="00632539">
        <w:fldChar w:fldCharType="separate"/>
      </w:r>
      <w:r w:rsidR="00EE19AD">
        <w:t xml:space="preserve">Table </w:t>
      </w:r>
      <w:r w:rsidR="00EE19AD">
        <w:rPr>
          <w:noProof/>
        </w:rPr>
        <w:t>3</w:t>
      </w:r>
      <w:r w:rsidR="00632539">
        <w:fldChar w:fldCharType="end"/>
      </w:r>
      <w:r>
        <w:t xml:space="preserve"> below briefly outlines the extent to which the evaluation findings support these assumptions.</w:t>
      </w:r>
    </w:p>
    <w:p w14:paraId="1A70A265" w14:textId="178A81FD" w:rsidR="00CA5EEA" w:rsidRPr="005953B3" w:rsidRDefault="00CA5EEA" w:rsidP="003D0F16">
      <w:pPr>
        <w:pStyle w:val="Caption"/>
      </w:pPr>
      <w:bookmarkStart w:id="158" w:name="_Ref82009832"/>
      <w:bookmarkStart w:id="159" w:name="_Toc80187921"/>
      <w:bookmarkStart w:id="160" w:name="_Toc81401856"/>
      <w:bookmarkStart w:id="161" w:name="_Toc94794333"/>
      <w:r>
        <w:t xml:space="preserve">Table </w:t>
      </w:r>
      <w:r>
        <w:fldChar w:fldCharType="begin"/>
      </w:r>
      <w:r>
        <w:instrText>SEQ Table \* ARABIC</w:instrText>
      </w:r>
      <w:r>
        <w:fldChar w:fldCharType="separate"/>
      </w:r>
      <w:r w:rsidR="00EE19AD">
        <w:rPr>
          <w:noProof/>
        </w:rPr>
        <w:t>3</w:t>
      </w:r>
      <w:r>
        <w:fldChar w:fldCharType="end"/>
      </w:r>
      <w:bookmarkEnd w:id="158"/>
      <w:r w:rsidR="00FB4502">
        <w:t>.</w:t>
      </w:r>
      <w:r>
        <w:t xml:space="preserve"> Assumptions for the Theory of Change</w:t>
      </w:r>
      <w:bookmarkEnd w:id="159"/>
      <w:bookmarkEnd w:id="160"/>
      <w:bookmarkEnd w:id="161"/>
    </w:p>
    <w:tbl>
      <w:tblPr>
        <w:tblStyle w:val="TableUQLined"/>
        <w:tblW w:w="9980" w:type="dxa"/>
        <w:tblInd w:w="-57" w:type="dxa"/>
        <w:tblCellMar>
          <w:left w:w="57" w:type="dxa"/>
          <w:right w:w="57" w:type="dxa"/>
        </w:tblCellMar>
        <w:tblLook w:val="04A0" w:firstRow="1" w:lastRow="0" w:firstColumn="1" w:lastColumn="0" w:noHBand="0" w:noVBand="1"/>
      </w:tblPr>
      <w:tblGrid>
        <w:gridCol w:w="2751"/>
        <w:gridCol w:w="4677"/>
        <w:gridCol w:w="2552"/>
      </w:tblGrid>
      <w:tr w:rsidR="00692BFC" w:rsidRPr="00EA7050" w14:paraId="71E7968A" w14:textId="77777777" w:rsidTr="160EDC85">
        <w:trPr>
          <w:cnfStyle w:val="100000000000" w:firstRow="1" w:lastRow="0" w:firstColumn="0" w:lastColumn="0" w:oddVBand="0" w:evenVBand="0" w:oddHBand="0" w:evenHBand="0" w:firstRowFirstColumn="0" w:firstRowLastColumn="0" w:lastRowFirstColumn="0" w:lastRowLastColumn="0"/>
          <w:trHeight w:val="223"/>
        </w:trPr>
        <w:tc>
          <w:tcPr>
            <w:tcW w:w="2751"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6E12B0FD" w14:textId="77777777" w:rsidR="00CA5EEA" w:rsidRPr="00C55AF7" w:rsidRDefault="00CA5EEA" w:rsidP="003D0F16">
            <w:pPr>
              <w:spacing w:before="120"/>
              <w:rPr>
                <w:b/>
              </w:rPr>
            </w:pPr>
            <w:r w:rsidRPr="00C55AF7">
              <w:rPr>
                <w:b/>
              </w:rPr>
              <w:t>Assumption</w:t>
            </w:r>
          </w:p>
        </w:tc>
        <w:tc>
          <w:tcPr>
            <w:tcW w:w="4677" w:type="dxa"/>
            <w:tcBorders>
              <w:top w:val="none" w:sz="0" w:space="0" w:color="auto"/>
              <w:left w:val="none" w:sz="0" w:space="0" w:color="auto"/>
              <w:bottom w:val="none" w:sz="0" w:space="0" w:color="auto"/>
              <w:right w:val="none" w:sz="0" w:space="0" w:color="auto"/>
              <w:tl2br w:val="none" w:sz="0" w:space="0" w:color="auto"/>
              <w:tr2bl w:val="none" w:sz="0" w:space="0" w:color="auto"/>
            </w:tcBorders>
            <w:vAlign w:val="center"/>
          </w:tcPr>
          <w:p w14:paraId="5E1CD1DE" w14:textId="77777777" w:rsidR="00CA5EEA" w:rsidRPr="00C55AF7" w:rsidRDefault="00CA5EEA" w:rsidP="003D0F16">
            <w:pPr>
              <w:spacing w:before="120"/>
              <w:rPr>
                <w:b/>
              </w:rPr>
            </w:pPr>
            <w:r w:rsidRPr="00C55AF7">
              <w:rPr>
                <w:b/>
              </w:rPr>
              <w:t>Key findings</w:t>
            </w:r>
          </w:p>
        </w:tc>
        <w:tc>
          <w:tcPr>
            <w:tcW w:w="2552"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2AC2A83" w14:textId="77777777" w:rsidR="00CA5EEA" w:rsidRPr="00C55AF7" w:rsidRDefault="00CA5EEA" w:rsidP="003D0F16">
            <w:pPr>
              <w:spacing w:before="120"/>
              <w:rPr>
                <w:b/>
              </w:rPr>
            </w:pPr>
            <w:r w:rsidRPr="00C55AF7">
              <w:rPr>
                <w:b/>
              </w:rPr>
              <w:t>Data source/s</w:t>
            </w:r>
          </w:p>
        </w:tc>
      </w:tr>
      <w:tr w:rsidR="00C40C39" w:rsidRPr="00EA7050" w14:paraId="6AC1C799" w14:textId="77777777" w:rsidTr="160EDC85">
        <w:trPr>
          <w:trHeight w:val="462"/>
        </w:trPr>
        <w:tc>
          <w:tcPr>
            <w:tcW w:w="2751" w:type="dxa"/>
          </w:tcPr>
          <w:p w14:paraId="5C8719C0" w14:textId="149F52AA" w:rsidR="00CA5EEA" w:rsidRPr="00D308BB" w:rsidRDefault="00CA5EEA" w:rsidP="003D0F16">
            <w:pPr>
              <w:rPr>
                <w:sz w:val="20"/>
                <w:szCs w:val="20"/>
              </w:rPr>
            </w:pPr>
            <w:r w:rsidRPr="00D308BB">
              <w:rPr>
                <w:sz w:val="20"/>
                <w:szCs w:val="20"/>
              </w:rPr>
              <w:t xml:space="preserve">THN Pilot activities in each </w:t>
            </w:r>
            <w:r w:rsidR="00691D12">
              <w:rPr>
                <w:sz w:val="20"/>
                <w:szCs w:val="20"/>
              </w:rPr>
              <w:t>s</w:t>
            </w:r>
            <w:r w:rsidR="00691D12" w:rsidRPr="00D308BB">
              <w:rPr>
                <w:sz w:val="20"/>
                <w:szCs w:val="20"/>
              </w:rPr>
              <w:t xml:space="preserve">tate </w:t>
            </w:r>
            <w:r w:rsidRPr="00D308BB">
              <w:rPr>
                <w:sz w:val="20"/>
                <w:szCs w:val="20"/>
              </w:rPr>
              <w:t>will align to the Pilot objectives and to best practice</w:t>
            </w:r>
          </w:p>
        </w:tc>
        <w:tc>
          <w:tcPr>
            <w:tcW w:w="4677" w:type="dxa"/>
          </w:tcPr>
          <w:p w14:paraId="45F3D110" w14:textId="2AE0D2DA" w:rsidR="00CA5EEA" w:rsidRPr="00D308BB" w:rsidRDefault="00CA5EEA" w:rsidP="003D0F16">
            <w:pPr>
              <w:rPr>
                <w:sz w:val="20"/>
                <w:szCs w:val="20"/>
              </w:rPr>
            </w:pPr>
            <w:r w:rsidRPr="00D308BB">
              <w:rPr>
                <w:sz w:val="20"/>
                <w:szCs w:val="20"/>
              </w:rPr>
              <w:t xml:space="preserve">Pilot activities focussed largely on </w:t>
            </w:r>
            <w:r>
              <w:rPr>
                <w:sz w:val="20"/>
                <w:szCs w:val="20"/>
              </w:rPr>
              <w:t xml:space="preserve">people who use illicit </w:t>
            </w:r>
            <w:r w:rsidR="00B2417F">
              <w:rPr>
                <w:sz w:val="20"/>
                <w:szCs w:val="20"/>
              </w:rPr>
              <w:t>opioids</w:t>
            </w:r>
            <w:r w:rsidR="00B2417F" w:rsidRPr="00D308BB">
              <w:rPr>
                <w:sz w:val="20"/>
                <w:szCs w:val="20"/>
              </w:rPr>
              <w:t xml:space="preserve"> </w:t>
            </w:r>
            <w:r>
              <w:rPr>
                <w:sz w:val="20"/>
                <w:szCs w:val="20"/>
              </w:rPr>
              <w:t>(</w:t>
            </w:r>
            <w:r w:rsidRPr="00D308BB">
              <w:rPr>
                <w:sz w:val="20"/>
                <w:szCs w:val="20"/>
              </w:rPr>
              <w:t>PUI</w:t>
            </w:r>
            <w:r w:rsidR="00BB5E7C">
              <w:rPr>
                <w:sz w:val="20"/>
                <w:szCs w:val="20"/>
              </w:rPr>
              <w:t>O</w:t>
            </w:r>
            <w:r>
              <w:rPr>
                <w:sz w:val="20"/>
                <w:szCs w:val="20"/>
              </w:rPr>
              <w:t xml:space="preserve">) </w:t>
            </w:r>
            <w:r w:rsidRPr="00D308BB">
              <w:rPr>
                <w:sz w:val="20"/>
                <w:szCs w:val="20"/>
              </w:rPr>
              <w:t xml:space="preserve">rather than </w:t>
            </w:r>
            <w:r>
              <w:rPr>
                <w:sz w:val="20"/>
                <w:szCs w:val="20"/>
              </w:rPr>
              <w:t xml:space="preserve">people using </w:t>
            </w:r>
            <w:r w:rsidRPr="00D308BB">
              <w:rPr>
                <w:sz w:val="20"/>
                <w:szCs w:val="20"/>
              </w:rPr>
              <w:t>prescription opioid</w:t>
            </w:r>
            <w:r>
              <w:rPr>
                <w:sz w:val="20"/>
                <w:szCs w:val="20"/>
              </w:rPr>
              <w:t>s</w:t>
            </w:r>
            <w:r w:rsidR="00AC4A1C">
              <w:rPr>
                <w:sz w:val="20"/>
                <w:szCs w:val="20"/>
              </w:rPr>
              <w:t xml:space="preserve"> (PUPO)</w:t>
            </w:r>
          </w:p>
        </w:tc>
        <w:tc>
          <w:tcPr>
            <w:tcW w:w="2552" w:type="dxa"/>
          </w:tcPr>
          <w:p w14:paraId="46F92092" w14:textId="77777777" w:rsidR="000726F4" w:rsidRDefault="000726F4" w:rsidP="003D0F16">
            <w:pPr>
              <w:rPr>
                <w:sz w:val="20"/>
                <w:szCs w:val="20"/>
              </w:rPr>
            </w:pPr>
            <w:r>
              <w:rPr>
                <w:sz w:val="20"/>
                <w:szCs w:val="20"/>
              </w:rPr>
              <w:t>Staff interviews</w:t>
            </w:r>
          </w:p>
          <w:p w14:paraId="35A82562" w14:textId="084B2C8F" w:rsidR="00CA5EEA" w:rsidRDefault="00CA5EEA" w:rsidP="003D0F16">
            <w:pPr>
              <w:rPr>
                <w:sz w:val="20"/>
                <w:szCs w:val="20"/>
              </w:rPr>
            </w:pPr>
            <w:r>
              <w:rPr>
                <w:sz w:val="20"/>
                <w:szCs w:val="20"/>
              </w:rPr>
              <w:t>Implementation meetings</w:t>
            </w:r>
          </w:p>
          <w:p w14:paraId="0EAF00E3" w14:textId="77777777" w:rsidR="00CA5EEA" w:rsidRDefault="00CA5EEA" w:rsidP="003D0F16">
            <w:pPr>
              <w:rPr>
                <w:sz w:val="20"/>
                <w:szCs w:val="20"/>
              </w:rPr>
            </w:pPr>
            <w:r>
              <w:rPr>
                <w:sz w:val="20"/>
                <w:szCs w:val="20"/>
              </w:rPr>
              <w:t>Roundtable discussions</w:t>
            </w:r>
          </w:p>
        </w:tc>
      </w:tr>
      <w:tr w:rsidR="00C40C39" w:rsidRPr="00EA7050" w14:paraId="4812DA90" w14:textId="77777777" w:rsidTr="160EDC85">
        <w:trPr>
          <w:cnfStyle w:val="000000010000" w:firstRow="0" w:lastRow="0" w:firstColumn="0" w:lastColumn="0" w:oddVBand="0" w:evenVBand="0" w:oddHBand="0" w:evenHBand="1" w:firstRowFirstColumn="0" w:firstRowLastColumn="0" w:lastRowFirstColumn="0" w:lastRowLastColumn="0"/>
          <w:trHeight w:val="447"/>
        </w:trPr>
        <w:tc>
          <w:tcPr>
            <w:tcW w:w="2751" w:type="dxa"/>
          </w:tcPr>
          <w:p w14:paraId="27132F32" w14:textId="77777777" w:rsidR="00CA5EEA" w:rsidRPr="00D308BB" w:rsidRDefault="00CA5EEA" w:rsidP="003D0F16">
            <w:pPr>
              <w:rPr>
                <w:sz w:val="20"/>
                <w:szCs w:val="20"/>
              </w:rPr>
            </w:pPr>
            <w:r w:rsidRPr="00D308BB">
              <w:rPr>
                <w:sz w:val="20"/>
                <w:szCs w:val="20"/>
              </w:rPr>
              <w:t>An adequate supply of naloxone is available for distribution</w:t>
            </w:r>
          </w:p>
        </w:tc>
        <w:tc>
          <w:tcPr>
            <w:tcW w:w="4677" w:type="dxa"/>
          </w:tcPr>
          <w:p w14:paraId="2606593F" w14:textId="086702D1" w:rsidR="00CA5EEA" w:rsidRPr="00D308BB" w:rsidRDefault="00CA5EEA" w:rsidP="003D0F16">
            <w:pPr>
              <w:rPr>
                <w:sz w:val="20"/>
                <w:szCs w:val="20"/>
              </w:rPr>
            </w:pPr>
            <w:r w:rsidRPr="00D308BB">
              <w:rPr>
                <w:sz w:val="20"/>
                <w:szCs w:val="20"/>
              </w:rPr>
              <w:t>Supplies adequate</w:t>
            </w:r>
            <w:r w:rsidR="002F3AFD">
              <w:rPr>
                <w:sz w:val="20"/>
                <w:szCs w:val="20"/>
              </w:rPr>
              <w:t xml:space="preserve"> (apart from COVID </w:t>
            </w:r>
            <w:r w:rsidR="0052223C">
              <w:rPr>
                <w:sz w:val="20"/>
                <w:szCs w:val="20"/>
              </w:rPr>
              <w:t>disruption)</w:t>
            </w:r>
            <w:r w:rsidRPr="00D308BB">
              <w:rPr>
                <w:sz w:val="20"/>
                <w:szCs w:val="20"/>
              </w:rPr>
              <w:t>; wholesale/distribution arrangements varied</w:t>
            </w:r>
            <w:r>
              <w:rPr>
                <w:sz w:val="20"/>
                <w:szCs w:val="20"/>
              </w:rPr>
              <w:t xml:space="preserve"> for pathways outside of existing PBS supply chains</w:t>
            </w:r>
          </w:p>
        </w:tc>
        <w:tc>
          <w:tcPr>
            <w:tcW w:w="2552" w:type="dxa"/>
          </w:tcPr>
          <w:p w14:paraId="5C9A95AF" w14:textId="0E05D03D" w:rsidR="00CA5EEA" w:rsidRDefault="004A5A1C" w:rsidP="003D0F16">
            <w:pPr>
              <w:rPr>
                <w:sz w:val="20"/>
                <w:szCs w:val="20"/>
              </w:rPr>
            </w:pPr>
            <w:r>
              <w:rPr>
                <w:sz w:val="20"/>
                <w:szCs w:val="20"/>
              </w:rPr>
              <w:t xml:space="preserve">Supply </w:t>
            </w:r>
            <w:r w:rsidR="00CA5EEA">
              <w:rPr>
                <w:sz w:val="20"/>
                <w:szCs w:val="20"/>
              </w:rPr>
              <w:t>data</w:t>
            </w:r>
          </w:p>
          <w:p w14:paraId="103C98A9" w14:textId="7025A6C0" w:rsidR="002A6F58" w:rsidRDefault="002A6F58" w:rsidP="003D0F16">
            <w:pPr>
              <w:rPr>
                <w:sz w:val="20"/>
                <w:szCs w:val="20"/>
              </w:rPr>
            </w:pPr>
            <w:r>
              <w:rPr>
                <w:sz w:val="20"/>
                <w:szCs w:val="20"/>
              </w:rPr>
              <w:t>Implementation meetings</w:t>
            </w:r>
          </w:p>
          <w:p w14:paraId="316D4593" w14:textId="77777777" w:rsidR="00CA5EEA" w:rsidRDefault="00CA5EEA" w:rsidP="003D0F16">
            <w:pPr>
              <w:rPr>
                <w:sz w:val="20"/>
                <w:szCs w:val="20"/>
              </w:rPr>
            </w:pPr>
            <w:r>
              <w:rPr>
                <w:sz w:val="20"/>
                <w:szCs w:val="20"/>
              </w:rPr>
              <w:t>Roundtable discussions</w:t>
            </w:r>
            <w:r w:rsidDel="006801D8">
              <w:rPr>
                <w:sz w:val="20"/>
                <w:szCs w:val="20"/>
              </w:rPr>
              <w:t xml:space="preserve"> </w:t>
            </w:r>
          </w:p>
        </w:tc>
      </w:tr>
      <w:tr w:rsidR="00C40C39" w:rsidRPr="00EA7050" w14:paraId="06B529F9" w14:textId="77777777" w:rsidTr="160EDC85">
        <w:trPr>
          <w:trHeight w:val="462"/>
        </w:trPr>
        <w:tc>
          <w:tcPr>
            <w:tcW w:w="2751" w:type="dxa"/>
          </w:tcPr>
          <w:p w14:paraId="1657AF11" w14:textId="7D3AD1CC" w:rsidR="00CA5EEA" w:rsidRPr="00D308BB" w:rsidRDefault="00CA5EEA" w:rsidP="003D0F16">
            <w:pPr>
              <w:rPr>
                <w:sz w:val="20"/>
                <w:szCs w:val="20"/>
              </w:rPr>
            </w:pPr>
            <w:r w:rsidRPr="00D308BB">
              <w:rPr>
                <w:sz w:val="20"/>
                <w:szCs w:val="20"/>
              </w:rPr>
              <w:t>Funds are adequate to supply naloxone to all credentialed access points</w:t>
            </w:r>
          </w:p>
        </w:tc>
        <w:tc>
          <w:tcPr>
            <w:tcW w:w="4677" w:type="dxa"/>
          </w:tcPr>
          <w:p w14:paraId="3CE3D01B" w14:textId="0BA0BC9D" w:rsidR="00CA5EEA" w:rsidRPr="00D308BB" w:rsidRDefault="00CA5EEA" w:rsidP="003D0F16">
            <w:pPr>
              <w:rPr>
                <w:sz w:val="20"/>
                <w:szCs w:val="20"/>
              </w:rPr>
            </w:pPr>
            <w:r>
              <w:rPr>
                <w:sz w:val="20"/>
                <w:szCs w:val="20"/>
              </w:rPr>
              <w:t>Funding was sufficient</w:t>
            </w:r>
            <w:r w:rsidRPr="00D308BB">
              <w:rPr>
                <w:sz w:val="20"/>
                <w:szCs w:val="20"/>
              </w:rPr>
              <w:t xml:space="preserve"> for supply of naloxone </w:t>
            </w:r>
            <w:r>
              <w:rPr>
                <w:sz w:val="20"/>
                <w:szCs w:val="20"/>
              </w:rPr>
              <w:t>f</w:t>
            </w:r>
            <w:r w:rsidRPr="00D308BB">
              <w:rPr>
                <w:sz w:val="20"/>
                <w:szCs w:val="20"/>
              </w:rPr>
              <w:t>or reimbursement of purchase</w:t>
            </w:r>
            <w:r>
              <w:rPr>
                <w:sz w:val="20"/>
                <w:szCs w:val="20"/>
              </w:rPr>
              <w:t>; funding did not cover cost of distribution to sites for pathways outside existing PBS supply chains</w:t>
            </w:r>
          </w:p>
        </w:tc>
        <w:tc>
          <w:tcPr>
            <w:tcW w:w="2552" w:type="dxa"/>
          </w:tcPr>
          <w:p w14:paraId="0AB366BE" w14:textId="77777777" w:rsidR="00CA5EEA" w:rsidRDefault="00CA5EEA" w:rsidP="003D0F16">
            <w:pPr>
              <w:rPr>
                <w:sz w:val="20"/>
                <w:szCs w:val="20"/>
              </w:rPr>
            </w:pPr>
            <w:r>
              <w:rPr>
                <w:sz w:val="20"/>
                <w:szCs w:val="20"/>
              </w:rPr>
              <w:t>Implementation meetings</w:t>
            </w:r>
          </w:p>
          <w:p w14:paraId="1F792CB7" w14:textId="77777777" w:rsidR="00CA5EEA" w:rsidRDefault="00CA5EEA" w:rsidP="003D0F16">
            <w:pPr>
              <w:rPr>
                <w:sz w:val="20"/>
                <w:szCs w:val="20"/>
              </w:rPr>
            </w:pPr>
          </w:p>
        </w:tc>
      </w:tr>
      <w:tr w:rsidR="00C40C39" w:rsidRPr="00EA7050" w14:paraId="19151BF4" w14:textId="77777777" w:rsidTr="160EDC85">
        <w:trPr>
          <w:cnfStyle w:val="000000010000" w:firstRow="0" w:lastRow="0" w:firstColumn="0" w:lastColumn="0" w:oddVBand="0" w:evenVBand="0" w:oddHBand="0" w:evenHBand="1" w:firstRowFirstColumn="0" w:firstRowLastColumn="0" w:lastRowFirstColumn="0" w:lastRowLastColumn="0"/>
          <w:trHeight w:val="909"/>
        </w:trPr>
        <w:tc>
          <w:tcPr>
            <w:tcW w:w="2751" w:type="dxa"/>
          </w:tcPr>
          <w:p w14:paraId="6F17DF7D" w14:textId="00B0CABA" w:rsidR="00CA5EEA" w:rsidRPr="00D308BB" w:rsidRDefault="00CA5EEA" w:rsidP="003D0F16">
            <w:pPr>
              <w:rPr>
                <w:sz w:val="20"/>
                <w:szCs w:val="20"/>
              </w:rPr>
            </w:pPr>
            <w:r w:rsidRPr="00D308BB">
              <w:rPr>
                <w:sz w:val="20"/>
                <w:szCs w:val="20"/>
              </w:rPr>
              <w:t xml:space="preserve">Access sites have appropriate resources for storing naloxone, providing brief </w:t>
            </w:r>
            <w:r w:rsidRPr="00D308BB" w:rsidDel="00C464E9">
              <w:rPr>
                <w:sz w:val="20"/>
                <w:szCs w:val="20"/>
              </w:rPr>
              <w:t>interventions</w:t>
            </w:r>
            <w:r w:rsidRPr="00D308BB">
              <w:rPr>
                <w:sz w:val="20"/>
                <w:szCs w:val="20"/>
              </w:rPr>
              <w:t>, and dispensing naloxone</w:t>
            </w:r>
          </w:p>
        </w:tc>
        <w:tc>
          <w:tcPr>
            <w:tcW w:w="4677" w:type="dxa"/>
          </w:tcPr>
          <w:p w14:paraId="2473266D" w14:textId="60DF4A8B" w:rsidR="00A56533" w:rsidRDefault="00A56533" w:rsidP="003D0F16">
            <w:pPr>
              <w:rPr>
                <w:sz w:val="20"/>
                <w:szCs w:val="20"/>
              </w:rPr>
            </w:pPr>
            <w:r w:rsidRPr="00D308BB">
              <w:rPr>
                <w:sz w:val="20"/>
                <w:szCs w:val="20"/>
              </w:rPr>
              <w:t xml:space="preserve">Dispensing resources </w:t>
            </w:r>
            <w:r>
              <w:rPr>
                <w:sz w:val="20"/>
                <w:szCs w:val="20"/>
              </w:rPr>
              <w:t xml:space="preserve">were </w:t>
            </w:r>
            <w:r w:rsidRPr="00D308BB">
              <w:rPr>
                <w:sz w:val="20"/>
                <w:szCs w:val="20"/>
              </w:rPr>
              <w:t>sufficient</w:t>
            </w:r>
            <w:r>
              <w:rPr>
                <w:sz w:val="20"/>
                <w:szCs w:val="20"/>
              </w:rPr>
              <w:t xml:space="preserve"> in pharmacies</w:t>
            </w:r>
          </w:p>
          <w:p w14:paraId="01E5BACC" w14:textId="60DF4A8B" w:rsidR="00CA5EEA" w:rsidRPr="00D308BB" w:rsidRDefault="00F66CE8" w:rsidP="003D0F16">
            <w:pPr>
              <w:rPr>
                <w:sz w:val="20"/>
                <w:szCs w:val="20"/>
              </w:rPr>
            </w:pPr>
            <w:r>
              <w:rPr>
                <w:sz w:val="20"/>
                <w:szCs w:val="20"/>
              </w:rPr>
              <w:t xml:space="preserve">State based credentialling process instigated to ensure </w:t>
            </w:r>
            <w:r w:rsidR="008B728D">
              <w:rPr>
                <w:sz w:val="20"/>
                <w:szCs w:val="20"/>
              </w:rPr>
              <w:t>sufficient s</w:t>
            </w:r>
            <w:r w:rsidR="00CA5EEA" w:rsidRPr="00D308BB">
              <w:rPr>
                <w:sz w:val="20"/>
                <w:szCs w:val="20"/>
              </w:rPr>
              <w:t>torage; some effort required for NGOs</w:t>
            </w:r>
            <w:r w:rsidR="008B728D">
              <w:rPr>
                <w:sz w:val="20"/>
                <w:szCs w:val="20"/>
              </w:rPr>
              <w:t xml:space="preserve"> to comply</w:t>
            </w:r>
            <w:r w:rsidR="002F2130">
              <w:rPr>
                <w:sz w:val="20"/>
                <w:szCs w:val="20"/>
              </w:rPr>
              <w:t xml:space="preserve"> with requirements</w:t>
            </w:r>
          </w:p>
          <w:p w14:paraId="653BC54D" w14:textId="43D1EF39" w:rsidR="00CA5EEA" w:rsidRPr="00D308BB" w:rsidRDefault="00CA5EEA" w:rsidP="003D0F16">
            <w:pPr>
              <w:rPr>
                <w:sz w:val="20"/>
                <w:szCs w:val="20"/>
              </w:rPr>
            </w:pPr>
            <w:r w:rsidRPr="00D308BB">
              <w:rPr>
                <w:sz w:val="20"/>
                <w:szCs w:val="20"/>
              </w:rPr>
              <w:t xml:space="preserve">Limited </w:t>
            </w:r>
            <w:r>
              <w:rPr>
                <w:sz w:val="20"/>
                <w:szCs w:val="20"/>
              </w:rPr>
              <w:t>coverage</w:t>
            </w:r>
            <w:r w:rsidRPr="00D308BB">
              <w:rPr>
                <w:sz w:val="20"/>
                <w:szCs w:val="20"/>
              </w:rPr>
              <w:t xml:space="preserve"> of staff training reduced Pilot availability </w:t>
            </w:r>
            <w:r w:rsidR="008511CA">
              <w:rPr>
                <w:sz w:val="20"/>
                <w:szCs w:val="20"/>
              </w:rPr>
              <w:t>on</w:t>
            </w:r>
            <w:r w:rsidRPr="00D308BB">
              <w:rPr>
                <w:sz w:val="20"/>
                <w:szCs w:val="20"/>
              </w:rPr>
              <w:t xml:space="preserve"> some </w:t>
            </w:r>
            <w:r w:rsidR="008511CA">
              <w:rPr>
                <w:sz w:val="20"/>
                <w:szCs w:val="20"/>
              </w:rPr>
              <w:t>occasions</w:t>
            </w:r>
            <w:r w:rsidRPr="00D308BB">
              <w:rPr>
                <w:sz w:val="20"/>
                <w:szCs w:val="20"/>
              </w:rPr>
              <w:t xml:space="preserve"> </w:t>
            </w:r>
          </w:p>
          <w:p w14:paraId="2BC7B954" w14:textId="40F315FB" w:rsidR="00CA5EEA" w:rsidRPr="00D308BB" w:rsidRDefault="00CA5EEA" w:rsidP="003D0F16">
            <w:pPr>
              <w:rPr>
                <w:sz w:val="20"/>
                <w:szCs w:val="20"/>
              </w:rPr>
            </w:pPr>
            <w:r w:rsidRPr="00D308BB">
              <w:rPr>
                <w:sz w:val="20"/>
                <w:szCs w:val="20"/>
              </w:rPr>
              <w:t>B</w:t>
            </w:r>
            <w:r>
              <w:rPr>
                <w:sz w:val="20"/>
                <w:szCs w:val="20"/>
              </w:rPr>
              <w:t>rief intervention</w:t>
            </w:r>
            <w:r w:rsidRPr="00D308BB">
              <w:rPr>
                <w:sz w:val="20"/>
                <w:szCs w:val="20"/>
              </w:rPr>
              <w:t xml:space="preserve"> provision </w:t>
            </w:r>
            <w:r w:rsidR="00534E02" w:rsidRPr="00D308BB">
              <w:rPr>
                <w:sz w:val="20"/>
                <w:szCs w:val="20"/>
              </w:rPr>
              <w:t>vari</w:t>
            </w:r>
            <w:r w:rsidR="00534E02">
              <w:rPr>
                <w:sz w:val="20"/>
                <w:szCs w:val="20"/>
              </w:rPr>
              <w:t xml:space="preserve">ed </w:t>
            </w:r>
            <w:r>
              <w:rPr>
                <w:sz w:val="20"/>
                <w:szCs w:val="20"/>
              </w:rPr>
              <w:t>across sites</w:t>
            </w:r>
            <w:r w:rsidR="008B728D">
              <w:rPr>
                <w:sz w:val="20"/>
                <w:szCs w:val="20"/>
              </w:rPr>
              <w:t xml:space="preserve"> where staffing </w:t>
            </w:r>
            <w:r w:rsidR="008403E8">
              <w:rPr>
                <w:sz w:val="20"/>
                <w:szCs w:val="20"/>
              </w:rPr>
              <w:t xml:space="preserve">was </w:t>
            </w:r>
            <w:r w:rsidR="008B728D">
              <w:rPr>
                <w:sz w:val="20"/>
                <w:szCs w:val="20"/>
              </w:rPr>
              <w:t>limited</w:t>
            </w:r>
          </w:p>
        </w:tc>
        <w:tc>
          <w:tcPr>
            <w:tcW w:w="2552" w:type="dxa"/>
          </w:tcPr>
          <w:p w14:paraId="281DA85B" w14:textId="110C69F4" w:rsidR="00CA5EEA" w:rsidRDefault="00DB1B6B" w:rsidP="003D0F16">
            <w:pPr>
              <w:rPr>
                <w:sz w:val="20"/>
                <w:szCs w:val="20"/>
              </w:rPr>
            </w:pPr>
            <w:r>
              <w:rPr>
                <w:sz w:val="20"/>
                <w:szCs w:val="20"/>
              </w:rPr>
              <w:t>Consumer and s</w:t>
            </w:r>
            <w:r w:rsidR="007A44C3">
              <w:rPr>
                <w:sz w:val="20"/>
                <w:szCs w:val="20"/>
              </w:rPr>
              <w:t>taff i</w:t>
            </w:r>
            <w:r w:rsidR="00CA5EEA">
              <w:rPr>
                <w:sz w:val="20"/>
                <w:szCs w:val="20"/>
              </w:rPr>
              <w:t>nterviews</w:t>
            </w:r>
          </w:p>
          <w:p w14:paraId="12D012D3" w14:textId="77777777" w:rsidR="008F1EB7" w:rsidRDefault="00CA5EEA" w:rsidP="003D0F16">
            <w:pPr>
              <w:rPr>
                <w:sz w:val="20"/>
                <w:szCs w:val="20"/>
              </w:rPr>
            </w:pPr>
            <w:r>
              <w:rPr>
                <w:sz w:val="20"/>
                <w:szCs w:val="20"/>
              </w:rPr>
              <w:t>Roundtable consultations</w:t>
            </w:r>
          </w:p>
          <w:p w14:paraId="14D0608F" w14:textId="24496AEB" w:rsidR="00CA5EEA" w:rsidRDefault="00CA5EEA" w:rsidP="003D0F16">
            <w:pPr>
              <w:rPr>
                <w:sz w:val="20"/>
                <w:szCs w:val="20"/>
              </w:rPr>
            </w:pPr>
            <w:r>
              <w:rPr>
                <w:sz w:val="20"/>
                <w:szCs w:val="20"/>
              </w:rPr>
              <w:t>Mystery shopping</w:t>
            </w:r>
          </w:p>
        </w:tc>
      </w:tr>
      <w:tr w:rsidR="00C40C39" w:rsidRPr="00EA7050" w14:paraId="5B470D20" w14:textId="77777777" w:rsidTr="160EDC85">
        <w:trPr>
          <w:trHeight w:val="909"/>
        </w:trPr>
        <w:tc>
          <w:tcPr>
            <w:tcW w:w="2751" w:type="dxa"/>
          </w:tcPr>
          <w:p w14:paraId="59DE167D" w14:textId="77777777" w:rsidR="00CA5EEA" w:rsidRPr="00D308BB" w:rsidRDefault="00CA5EEA" w:rsidP="003D0F16">
            <w:pPr>
              <w:rPr>
                <w:sz w:val="20"/>
                <w:szCs w:val="20"/>
              </w:rPr>
            </w:pPr>
            <w:r w:rsidRPr="00D308BB">
              <w:rPr>
                <w:sz w:val="20"/>
                <w:szCs w:val="20"/>
              </w:rPr>
              <w:t>Promotion of THN among people who use opioids (prescri</w:t>
            </w:r>
            <w:r>
              <w:rPr>
                <w:sz w:val="20"/>
                <w:szCs w:val="20"/>
              </w:rPr>
              <w:t>ption</w:t>
            </w:r>
            <w:r w:rsidRPr="00D308BB">
              <w:rPr>
                <w:sz w:val="20"/>
                <w:szCs w:val="20"/>
              </w:rPr>
              <w:t xml:space="preserve"> or illicit) will encourage them/their significant others to obtain naloxone in case of overdose</w:t>
            </w:r>
          </w:p>
        </w:tc>
        <w:tc>
          <w:tcPr>
            <w:tcW w:w="4677" w:type="dxa"/>
          </w:tcPr>
          <w:p w14:paraId="381191C0" w14:textId="77777777" w:rsidR="00CA5EEA" w:rsidRDefault="00CA5EEA" w:rsidP="003D0F16">
            <w:pPr>
              <w:rPr>
                <w:sz w:val="20"/>
                <w:szCs w:val="20"/>
              </w:rPr>
            </w:pPr>
            <w:r w:rsidRPr="00D308BB">
              <w:rPr>
                <w:sz w:val="20"/>
                <w:szCs w:val="20"/>
              </w:rPr>
              <w:t>Some evidence of uptake of naloxone by previously naïve populations</w:t>
            </w:r>
          </w:p>
          <w:p w14:paraId="15115283" w14:textId="2F193930" w:rsidR="00CA5EEA" w:rsidRDefault="00CA5EEA" w:rsidP="003D0F16">
            <w:pPr>
              <w:rPr>
                <w:sz w:val="20"/>
                <w:szCs w:val="20"/>
              </w:rPr>
            </w:pPr>
            <w:r>
              <w:rPr>
                <w:sz w:val="20"/>
                <w:szCs w:val="20"/>
              </w:rPr>
              <w:t xml:space="preserve">Limited </w:t>
            </w:r>
            <w:r w:rsidR="00011267">
              <w:rPr>
                <w:sz w:val="20"/>
                <w:szCs w:val="20"/>
              </w:rPr>
              <w:t>public</w:t>
            </w:r>
            <w:r>
              <w:rPr>
                <w:sz w:val="20"/>
                <w:szCs w:val="20"/>
              </w:rPr>
              <w:t xml:space="preserve"> promotion of THN</w:t>
            </w:r>
          </w:p>
          <w:p w14:paraId="5497244F" w14:textId="395A4995" w:rsidR="00CA5EEA" w:rsidRPr="00D308BB" w:rsidRDefault="00CA5EEA" w:rsidP="003D0F16">
            <w:pPr>
              <w:rPr>
                <w:sz w:val="20"/>
                <w:szCs w:val="20"/>
              </w:rPr>
            </w:pPr>
            <w:r>
              <w:rPr>
                <w:sz w:val="20"/>
                <w:szCs w:val="20"/>
              </w:rPr>
              <w:t>Established peer networks among PUI</w:t>
            </w:r>
            <w:r w:rsidR="007F10B8">
              <w:rPr>
                <w:sz w:val="20"/>
                <w:szCs w:val="20"/>
              </w:rPr>
              <w:t>O</w:t>
            </w:r>
            <w:r>
              <w:rPr>
                <w:sz w:val="20"/>
                <w:szCs w:val="20"/>
              </w:rPr>
              <w:t xml:space="preserve"> supportive</w:t>
            </w:r>
            <w:r w:rsidR="00081CBD">
              <w:rPr>
                <w:sz w:val="20"/>
                <w:szCs w:val="20"/>
              </w:rPr>
              <w:t xml:space="preserve"> of Pilot</w:t>
            </w:r>
          </w:p>
        </w:tc>
        <w:tc>
          <w:tcPr>
            <w:tcW w:w="2552" w:type="dxa"/>
          </w:tcPr>
          <w:p w14:paraId="4558D7CB" w14:textId="600F28CE" w:rsidR="00CA5EEA" w:rsidRDefault="0081187A" w:rsidP="003D0F16">
            <w:pPr>
              <w:rPr>
                <w:sz w:val="20"/>
                <w:szCs w:val="20"/>
              </w:rPr>
            </w:pPr>
            <w:r>
              <w:rPr>
                <w:sz w:val="20"/>
                <w:szCs w:val="20"/>
              </w:rPr>
              <w:t xml:space="preserve">Consumer </w:t>
            </w:r>
            <w:r w:rsidR="00254FD2">
              <w:rPr>
                <w:sz w:val="20"/>
                <w:szCs w:val="20"/>
              </w:rPr>
              <w:t xml:space="preserve">and staff </w:t>
            </w:r>
            <w:r>
              <w:rPr>
                <w:sz w:val="20"/>
                <w:szCs w:val="20"/>
              </w:rPr>
              <w:t>i</w:t>
            </w:r>
            <w:r w:rsidR="00CA5EEA">
              <w:rPr>
                <w:sz w:val="20"/>
                <w:szCs w:val="20"/>
              </w:rPr>
              <w:t>nterviews</w:t>
            </w:r>
          </w:p>
          <w:p w14:paraId="7C5B7291" w14:textId="77777777" w:rsidR="00CA5EEA" w:rsidRDefault="00CA5EEA" w:rsidP="003D0F16">
            <w:pPr>
              <w:rPr>
                <w:sz w:val="20"/>
                <w:szCs w:val="20"/>
              </w:rPr>
            </w:pPr>
            <w:r>
              <w:rPr>
                <w:sz w:val="20"/>
                <w:szCs w:val="20"/>
              </w:rPr>
              <w:t>Roundtable discussions</w:t>
            </w:r>
            <w:r w:rsidDel="00F979A6">
              <w:rPr>
                <w:sz w:val="20"/>
                <w:szCs w:val="20"/>
              </w:rPr>
              <w:t xml:space="preserve"> </w:t>
            </w:r>
          </w:p>
        </w:tc>
      </w:tr>
      <w:tr w:rsidR="00C40C39" w:rsidRPr="00EA7050" w14:paraId="4868028C" w14:textId="77777777" w:rsidTr="160EDC85">
        <w:trPr>
          <w:cnfStyle w:val="000000010000" w:firstRow="0" w:lastRow="0" w:firstColumn="0" w:lastColumn="0" w:oddVBand="0" w:evenVBand="0" w:oddHBand="0" w:evenHBand="1" w:firstRowFirstColumn="0" w:firstRowLastColumn="0" w:lastRowFirstColumn="0" w:lastRowLastColumn="0"/>
          <w:trHeight w:val="671"/>
        </w:trPr>
        <w:tc>
          <w:tcPr>
            <w:tcW w:w="2751" w:type="dxa"/>
          </w:tcPr>
          <w:p w14:paraId="4FCF668E" w14:textId="7429447C" w:rsidR="00CA5EEA" w:rsidRPr="00D308BB" w:rsidRDefault="00CA5EEA" w:rsidP="003D0F16">
            <w:pPr>
              <w:rPr>
                <w:sz w:val="20"/>
                <w:szCs w:val="20"/>
              </w:rPr>
            </w:pPr>
            <w:r w:rsidRPr="00D308BB">
              <w:rPr>
                <w:sz w:val="20"/>
                <w:szCs w:val="20"/>
              </w:rPr>
              <w:t>Removal of cost, increased number of access sites and promotion of THN pilot will encourage consumers/</w:t>
            </w:r>
            <w:r w:rsidR="00DD381A">
              <w:rPr>
                <w:sz w:val="20"/>
                <w:szCs w:val="20"/>
              </w:rPr>
              <w:t xml:space="preserve"> </w:t>
            </w:r>
            <w:r w:rsidRPr="00D308BB">
              <w:rPr>
                <w:sz w:val="20"/>
                <w:szCs w:val="20"/>
              </w:rPr>
              <w:t>witnesses to obtain naloxone</w:t>
            </w:r>
          </w:p>
        </w:tc>
        <w:tc>
          <w:tcPr>
            <w:tcW w:w="4677" w:type="dxa"/>
          </w:tcPr>
          <w:p w14:paraId="629E3EEF" w14:textId="0ED5E7AE" w:rsidR="00CA5EEA" w:rsidRPr="00D308BB" w:rsidRDefault="00CA5EEA" w:rsidP="003D0F16">
            <w:pPr>
              <w:rPr>
                <w:sz w:val="20"/>
                <w:szCs w:val="20"/>
              </w:rPr>
            </w:pPr>
            <w:r w:rsidRPr="00D308BB">
              <w:rPr>
                <w:sz w:val="20"/>
                <w:szCs w:val="20"/>
              </w:rPr>
              <w:t>Cost removal regarded as positive</w:t>
            </w:r>
          </w:p>
          <w:p w14:paraId="6AA9389F" w14:textId="30709A25" w:rsidR="00CA5EEA" w:rsidRDefault="00CA5EEA" w:rsidP="003D0F16">
            <w:pPr>
              <w:rPr>
                <w:sz w:val="20"/>
                <w:szCs w:val="20"/>
              </w:rPr>
            </w:pPr>
            <w:r w:rsidRPr="00D308BB">
              <w:rPr>
                <w:sz w:val="20"/>
                <w:szCs w:val="20"/>
              </w:rPr>
              <w:t>Increased number</w:t>
            </w:r>
            <w:r w:rsidR="00E558E8">
              <w:rPr>
                <w:sz w:val="20"/>
                <w:szCs w:val="20"/>
              </w:rPr>
              <w:t>/</w:t>
            </w:r>
            <w:r w:rsidRPr="00D308BB">
              <w:rPr>
                <w:sz w:val="20"/>
                <w:szCs w:val="20"/>
              </w:rPr>
              <w:t>type of sites regarded as positive</w:t>
            </w:r>
          </w:p>
          <w:p w14:paraId="6BE13F7F" w14:textId="5673975E" w:rsidR="00CA5EEA" w:rsidRPr="00D308BB" w:rsidRDefault="00E506EE" w:rsidP="003D0F16">
            <w:pPr>
              <w:rPr>
                <w:sz w:val="20"/>
                <w:szCs w:val="20"/>
              </w:rPr>
            </w:pPr>
            <w:r>
              <w:rPr>
                <w:sz w:val="20"/>
                <w:szCs w:val="20"/>
              </w:rPr>
              <w:t>Earlier removal of prescription requirement positive but resulting price was identified as barrier; combination of cost/prescription removal positive</w:t>
            </w:r>
          </w:p>
        </w:tc>
        <w:tc>
          <w:tcPr>
            <w:tcW w:w="2552" w:type="dxa"/>
          </w:tcPr>
          <w:p w14:paraId="3B4DE1D3" w14:textId="409D3E0E" w:rsidR="00CA5EEA" w:rsidRDefault="00DD381A" w:rsidP="003D0F16">
            <w:pPr>
              <w:rPr>
                <w:sz w:val="20"/>
                <w:szCs w:val="20"/>
              </w:rPr>
            </w:pPr>
            <w:r>
              <w:rPr>
                <w:sz w:val="20"/>
                <w:szCs w:val="20"/>
              </w:rPr>
              <w:t>Consumer i</w:t>
            </w:r>
            <w:r w:rsidR="00CA5EEA">
              <w:rPr>
                <w:sz w:val="20"/>
                <w:szCs w:val="20"/>
              </w:rPr>
              <w:t>nterviews</w:t>
            </w:r>
          </w:p>
          <w:p w14:paraId="35DD2AB4" w14:textId="6B62630B" w:rsidR="00CA5EEA" w:rsidRDefault="00054E9F" w:rsidP="003D0F16">
            <w:pPr>
              <w:rPr>
                <w:sz w:val="20"/>
                <w:szCs w:val="20"/>
              </w:rPr>
            </w:pPr>
            <w:r>
              <w:rPr>
                <w:sz w:val="20"/>
                <w:szCs w:val="20"/>
              </w:rPr>
              <w:t xml:space="preserve">Supply </w:t>
            </w:r>
            <w:r w:rsidR="00CA5EEA">
              <w:rPr>
                <w:sz w:val="20"/>
                <w:szCs w:val="20"/>
              </w:rPr>
              <w:t>data and PBS data</w:t>
            </w:r>
          </w:p>
          <w:p w14:paraId="00BC0713" w14:textId="77777777" w:rsidR="00CA5EEA" w:rsidRDefault="00CA5EEA" w:rsidP="003D0F16">
            <w:pPr>
              <w:rPr>
                <w:sz w:val="20"/>
                <w:szCs w:val="20"/>
              </w:rPr>
            </w:pPr>
            <w:r>
              <w:rPr>
                <w:sz w:val="20"/>
                <w:szCs w:val="20"/>
              </w:rPr>
              <w:t xml:space="preserve">Roundtable discussions </w:t>
            </w:r>
          </w:p>
        </w:tc>
      </w:tr>
      <w:tr w:rsidR="00C40C39" w:rsidRPr="00EA7050" w14:paraId="0FF92D3D" w14:textId="77777777" w:rsidTr="160EDC85">
        <w:trPr>
          <w:trHeight w:val="462"/>
        </w:trPr>
        <w:tc>
          <w:tcPr>
            <w:tcW w:w="2751" w:type="dxa"/>
          </w:tcPr>
          <w:p w14:paraId="593699DD" w14:textId="77777777" w:rsidR="00CA5EEA" w:rsidRPr="00D308BB" w:rsidRDefault="00CA5EEA" w:rsidP="003D0F16">
            <w:pPr>
              <w:rPr>
                <w:sz w:val="20"/>
                <w:szCs w:val="20"/>
              </w:rPr>
            </w:pPr>
            <w:r w:rsidRPr="00D308BB">
              <w:rPr>
                <w:sz w:val="20"/>
                <w:szCs w:val="20"/>
              </w:rPr>
              <w:t>Consumers/witnesses will use THN to counteract opioid overdose after obtaining it from access sites</w:t>
            </w:r>
          </w:p>
        </w:tc>
        <w:tc>
          <w:tcPr>
            <w:tcW w:w="4677" w:type="dxa"/>
          </w:tcPr>
          <w:p w14:paraId="1EB992E5" w14:textId="34EC4892" w:rsidR="00CA5EEA" w:rsidRPr="00D308BB" w:rsidRDefault="00CA5EEA" w:rsidP="003D0F16">
            <w:pPr>
              <w:rPr>
                <w:sz w:val="20"/>
                <w:szCs w:val="20"/>
              </w:rPr>
            </w:pPr>
            <w:r>
              <w:rPr>
                <w:sz w:val="20"/>
                <w:szCs w:val="20"/>
              </w:rPr>
              <w:t xml:space="preserve">Use of THN </w:t>
            </w:r>
            <w:r w:rsidR="00351C7A">
              <w:rPr>
                <w:sz w:val="20"/>
                <w:szCs w:val="20"/>
              </w:rPr>
              <w:t xml:space="preserve">to counter overdoses </w:t>
            </w:r>
            <w:r w:rsidR="00922BDB">
              <w:rPr>
                <w:sz w:val="20"/>
                <w:szCs w:val="20"/>
              </w:rPr>
              <w:t xml:space="preserve">was </w:t>
            </w:r>
            <w:r>
              <w:rPr>
                <w:sz w:val="20"/>
                <w:szCs w:val="20"/>
              </w:rPr>
              <w:t>reported across Pilot</w:t>
            </w:r>
          </w:p>
        </w:tc>
        <w:tc>
          <w:tcPr>
            <w:tcW w:w="2552" w:type="dxa"/>
          </w:tcPr>
          <w:p w14:paraId="50452C57" w14:textId="7E25BD4F" w:rsidR="00CA5EEA" w:rsidRDefault="00280A0C" w:rsidP="003D0F16">
            <w:pPr>
              <w:rPr>
                <w:sz w:val="20"/>
                <w:szCs w:val="20"/>
              </w:rPr>
            </w:pPr>
            <w:r>
              <w:rPr>
                <w:sz w:val="20"/>
                <w:szCs w:val="20"/>
              </w:rPr>
              <w:t>Consumer i</w:t>
            </w:r>
            <w:r w:rsidR="00CA5EEA">
              <w:rPr>
                <w:sz w:val="20"/>
                <w:szCs w:val="20"/>
              </w:rPr>
              <w:t xml:space="preserve">nterviews </w:t>
            </w:r>
          </w:p>
          <w:p w14:paraId="08C2D495" w14:textId="08DC8107" w:rsidR="00CA5EEA" w:rsidRDefault="00054E9F" w:rsidP="003D0F16">
            <w:pPr>
              <w:rPr>
                <w:sz w:val="20"/>
                <w:szCs w:val="20"/>
              </w:rPr>
            </w:pPr>
            <w:r>
              <w:rPr>
                <w:sz w:val="20"/>
                <w:szCs w:val="20"/>
              </w:rPr>
              <w:t xml:space="preserve">Supply </w:t>
            </w:r>
            <w:r w:rsidR="00CA5EEA">
              <w:rPr>
                <w:sz w:val="20"/>
                <w:szCs w:val="20"/>
              </w:rPr>
              <w:t>data</w:t>
            </w:r>
          </w:p>
          <w:p w14:paraId="35621CD7" w14:textId="77777777" w:rsidR="00CA5EEA" w:rsidRDefault="00CA5EEA" w:rsidP="003D0F16">
            <w:pPr>
              <w:rPr>
                <w:sz w:val="20"/>
                <w:szCs w:val="20"/>
              </w:rPr>
            </w:pPr>
          </w:p>
        </w:tc>
      </w:tr>
      <w:tr w:rsidR="00C40C39" w:rsidRPr="00EA7050" w14:paraId="13E0A3FC" w14:textId="77777777" w:rsidTr="160EDC85">
        <w:trPr>
          <w:cnfStyle w:val="000000010000" w:firstRow="0" w:lastRow="0" w:firstColumn="0" w:lastColumn="0" w:oddVBand="0" w:evenVBand="0" w:oddHBand="0" w:evenHBand="1" w:firstRowFirstColumn="0" w:firstRowLastColumn="0" w:lastRowFirstColumn="0" w:lastRowLastColumn="0"/>
          <w:trHeight w:val="447"/>
        </w:trPr>
        <w:tc>
          <w:tcPr>
            <w:tcW w:w="2751" w:type="dxa"/>
          </w:tcPr>
          <w:p w14:paraId="65493B6C" w14:textId="0E4EB0CE" w:rsidR="00CA5EEA" w:rsidRPr="00D308BB" w:rsidRDefault="00CA5EEA" w:rsidP="003D0F16">
            <w:pPr>
              <w:rPr>
                <w:sz w:val="20"/>
                <w:szCs w:val="20"/>
              </w:rPr>
            </w:pPr>
            <w:r w:rsidRPr="00D308BB">
              <w:rPr>
                <w:sz w:val="20"/>
                <w:szCs w:val="20"/>
              </w:rPr>
              <w:t xml:space="preserve">Use of THN will protect consumers from </w:t>
            </w:r>
            <w:r w:rsidR="000068C5" w:rsidRPr="00CD5F0F">
              <w:rPr>
                <w:sz w:val="20"/>
                <w:szCs w:val="20"/>
              </w:rPr>
              <w:t>unintentional</w:t>
            </w:r>
            <w:r w:rsidR="000068C5" w:rsidRPr="00A90B85" w:rsidDel="000068C5">
              <w:rPr>
                <w:sz w:val="20"/>
                <w:szCs w:val="20"/>
              </w:rPr>
              <w:t xml:space="preserve"> </w:t>
            </w:r>
            <w:r w:rsidRPr="00D308BB">
              <w:rPr>
                <w:sz w:val="20"/>
                <w:szCs w:val="20"/>
              </w:rPr>
              <w:t>opioid overdose death</w:t>
            </w:r>
          </w:p>
        </w:tc>
        <w:tc>
          <w:tcPr>
            <w:tcW w:w="4677" w:type="dxa"/>
          </w:tcPr>
          <w:p w14:paraId="45799C44" w14:textId="6F4C3698" w:rsidR="00CA5EEA" w:rsidRPr="00D308BB" w:rsidRDefault="00743D5C" w:rsidP="00E013F9">
            <w:pPr>
              <w:rPr>
                <w:sz w:val="20"/>
                <w:szCs w:val="20"/>
              </w:rPr>
            </w:pPr>
            <w:r>
              <w:rPr>
                <w:sz w:val="20"/>
                <w:szCs w:val="20"/>
              </w:rPr>
              <w:t>Consumers reported using THN to counter opioid overdoses</w:t>
            </w:r>
            <w:r w:rsidR="0077500F">
              <w:rPr>
                <w:sz w:val="20"/>
                <w:szCs w:val="20"/>
              </w:rPr>
              <w:t xml:space="preserve">; </w:t>
            </w:r>
            <w:r w:rsidR="00CA5EEA">
              <w:rPr>
                <w:sz w:val="20"/>
                <w:szCs w:val="20"/>
              </w:rPr>
              <w:t xml:space="preserve">literature including previous Australian THN program evaluations </w:t>
            </w:r>
            <w:r w:rsidR="00E013F9">
              <w:rPr>
                <w:sz w:val="20"/>
                <w:szCs w:val="20"/>
              </w:rPr>
              <w:t>support this</w:t>
            </w:r>
          </w:p>
        </w:tc>
        <w:tc>
          <w:tcPr>
            <w:tcW w:w="2552" w:type="dxa"/>
          </w:tcPr>
          <w:p w14:paraId="2366540A" w14:textId="1FF4040D" w:rsidR="00E013F9" w:rsidRDefault="00E013F9" w:rsidP="003D0F16">
            <w:pPr>
              <w:rPr>
                <w:sz w:val="20"/>
                <w:szCs w:val="20"/>
              </w:rPr>
            </w:pPr>
            <w:r>
              <w:rPr>
                <w:sz w:val="20"/>
                <w:szCs w:val="20"/>
              </w:rPr>
              <w:t>Consumer i</w:t>
            </w:r>
            <w:r w:rsidR="00743D5C">
              <w:rPr>
                <w:sz w:val="20"/>
                <w:szCs w:val="20"/>
              </w:rPr>
              <w:t>nterv</w:t>
            </w:r>
            <w:r>
              <w:rPr>
                <w:sz w:val="20"/>
                <w:szCs w:val="20"/>
              </w:rPr>
              <w:t>iews</w:t>
            </w:r>
          </w:p>
          <w:p w14:paraId="656CA41C" w14:textId="35388A8E" w:rsidR="00CA5EEA" w:rsidRDefault="00CA5EEA" w:rsidP="003D0F16">
            <w:pPr>
              <w:rPr>
                <w:sz w:val="20"/>
                <w:szCs w:val="20"/>
              </w:rPr>
            </w:pPr>
            <w:r>
              <w:rPr>
                <w:sz w:val="20"/>
                <w:szCs w:val="20"/>
              </w:rPr>
              <w:lastRenderedPageBreak/>
              <w:t>Current deaths data not yet available</w:t>
            </w:r>
            <w:r w:rsidR="00E013F9">
              <w:rPr>
                <w:sz w:val="20"/>
                <w:szCs w:val="20"/>
              </w:rPr>
              <w:t>; out of scope</w:t>
            </w:r>
          </w:p>
        </w:tc>
      </w:tr>
    </w:tbl>
    <w:p w14:paraId="19B737DF" w14:textId="77777777" w:rsidR="001E79D5" w:rsidRDefault="001E79D5" w:rsidP="008318AD">
      <w:pPr>
        <w:pStyle w:val="BodyText"/>
        <w:spacing w:line="260" w:lineRule="exact"/>
      </w:pPr>
    </w:p>
    <w:p w14:paraId="6BD84E67" w14:textId="3F867C0A" w:rsidR="00CA5EEA" w:rsidRDefault="00CA5EEA" w:rsidP="008318AD">
      <w:pPr>
        <w:pStyle w:val="BodyText"/>
        <w:spacing w:line="260" w:lineRule="exact"/>
      </w:pPr>
      <w:r>
        <w:t xml:space="preserve">In constructing the Program Logic, </w:t>
      </w:r>
      <w:proofErr w:type="gramStart"/>
      <w:r>
        <w:t>a number of</w:t>
      </w:r>
      <w:proofErr w:type="gramEnd"/>
      <w:r>
        <w:t xml:space="preserve"> external factors were </w:t>
      </w:r>
      <w:r w:rsidR="00E256B1">
        <w:t>identified</w:t>
      </w:r>
      <w:r>
        <w:t xml:space="preserve"> as having </w:t>
      </w:r>
      <w:r w:rsidR="00300DEB">
        <w:t>the potential to</w:t>
      </w:r>
      <w:r w:rsidR="00802112">
        <w:t xml:space="preserve"> exert </w:t>
      </w:r>
      <w:r>
        <w:t xml:space="preserve">a major influence on the </w:t>
      </w:r>
      <w:r w:rsidR="00802112">
        <w:t xml:space="preserve">implementation or effectiveness of the </w:t>
      </w:r>
      <w:r>
        <w:t>Pilot</w:t>
      </w:r>
      <w:r w:rsidR="00D82CC2">
        <w:t xml:space="preserve"> and documented as part of the Program Logic</w:t>
      </w:r>
      <w:r>
        <w:t xml:space="preserve">. </w:t>
      </w:r>
      <w:r w:rsidR="00632539">
        <w:fldChar w:fldCharType="begin"/>
      </w:r>
      <w:r w:rsidR="00632539">
        <w:instrText xml:space="preserve"> REF _Ref82009859 \h </w:instrText>
      </w:r>
      <w:r w:rsidR="00632539">
        <w:fldChar w:fldCharType="separate"/>
      </w:r>
      <w:r w:rsidR="00EE19AD">
        <w:t xml:space="preserve">Table </w:t>
      </w:r>
      <w:r w:rsidR="00EE19AD">
        <w:rPr>
          <w:noProof/>
        </w:rPr>
        <w:t>4</w:t>
      </w:r>
      <w:r w:rsidR="00632539">
        <w:fldChar w:fldCharType="end"/>
      </w:r>
      <w:r w:rsidR="00632539">
        <w:t xml:space="preserve"> </w:t>
      </w:r>
      <w:r>
        <w:t>outlines the observed effect of these</w:t>
      </w:r>
      <w:r w:rsidR="00D82CC2">
        <w:t xml:space="preserve"> factors</w:t>
      </w:r>
      <w:r>
        <w:t>.</w:t>
      </w:r>
    </w:p>
    <w:p w14:paraId="6444BCB4" w14:textId="41ED7715" w:rsidR="00CA5EEA" w:rsidRDefault="00CA5EEA" w:rsidP="003D0F16">
      <w:pPr>
        <w:pStyle w:val="Caption"/>
      </w:pPr>
      <w:bookmarkStart w:id="162" w:name="_Ref82009859"/>
      <w:bookmarkStart w:id="163" w:name="_Toc80187922"/>
      <w:bookmarkStart w:id="164" w:name="_Toc81401857"/>
      <w:bookmarkStart w:id="165" w:name="_Toc94794334"/>
      <w:r>
        <w:t xml:space="preserve">Table </w:t>
      </w:r>
      <w:r>
        <w:fldChar w:fldCharType="begin"/>
      </w:r>
      <w:r>
        <w:instrText>SEQ Table \* ARABIC</w:instrText>
      </w:r>
      <w:r>
        <w:fldChar w:fldCharType="separate"/>
      </w:r>
      <w:r w:rsidR="00EE19AD">
        <w:rPr>
          <w:noProof/>
        </w:rPr>
        <w:t>4</w:t>
      </w:r>
      <w:r>
        <w:fldChar w:fldCharType="end"/>
      </w:r>
      <w:bookmarkEnd w:id="162"/>
      <w:r w:rsidR="00396542">
        <w:t>.</w:t>
      </w:r>
      <w:r>
        <w:t xml:space="preserve"> </w:t>
      </w:r>
      <w:r w:rsidR="00DB66DC">
        <w:t>Potential external</w:t>
      </w:r>
      <w:r>
        <w:t xml:space="preserve"> factors </w:t>
      </w:r>
      <w:r w:rsidR="00DB66DC">
        <w:t xml:space="preserve">and observed </w:t>
      </w:r>
      <w:r w:rsidR="002B071D">
        <w:t>effect on</w:t>
      </w:r>
      <w:r>
        <w:t xml:space="preserve"> the THN</w:t>
      </w:r>
      <w:bookmarkEnd w:id="163"/>
      <w:r>
        <w:t xml:space="preserve"> Pilot</w:t>
      </w:r>
      <w:bookmarkEnd w:id="164"/>
      <w:bookmarkEnd w:id="165"/>
    </w:p>
    <w:tbl>
      <w:tblPr>
        <w:tblStyle w:val="TableUQLined"/>
        <w:tblW w:w="9599" w:type="dxa"/>
        <w:tblCellMar>
          <w:left w:w="57" w:type="dxa"/>
          <w:right w:w="57" w:type="dxa"/>
        </w:tblCellMar>
        <w:tblLook w:val="04A0" w:firstRow="1" w:lastRow="0" w:firstColumn="1" w:lastColumn="0" w:noHBand="0" w:noVBand="1"/>
      </w:tblPr>
      <w:tblGrid>
        <w:gridCol w:w="3057"/>
        <w:gridCol w:w="3850"/>
        <w:gridCol w:w="2692"/>
      </w:tblGrid>
      <w:tr w:rsidR="00CA5EEA" w:rsidRPr="00C95BE3" w14:paraId="7E988198" w14:textId="77777777" w:rsidTr="003D0F16">
        <w:trPr>
          <w:cnfStyle w:val="100000000000" w:firstRow="1" w:lastRow="0" w:firstColumn="0" w:lastColumn="0" w:oddVBand="0" w:evenVBand="0" w:oddHBand="0" w:evenHBand="0" w:firstRowFirstColumn="0" w:firstRowLastColumn="0" w:lastRowFirstColumn="0" w:lastRowLastColumn="0"/>
          <w:tblHeader/>
        </w:trPr>
        <w:tc>
          <w:tcPr>
            <w:tcW w:w="3057" w:type="dxa"/>
          </w:tcPr>
          <w:p w14:paraId="3C0825D3" w14:textId="6BB441F6" w:rsidR="00CA5EEA" w:rsidRPr="00B819D3" w:rsidRDefault="00C0649D" w:rsidP="003D0F16">
            <w:pPr>
              <w:spacing w:before="120"/>
              <w:rPr>
                <w:b/>
              </w:rPr>
            </w:pPr>
            <w:r>
              <w:rPr>
                <w:b/>
              </w:rPr>
              <w:t>Potential e</w:t>
            </w:r>
            <w:r w:rsidR="00CA5EEA" w:rsidRPr="00B819D3">
              <w:rPr>
                <w:b/>
              </w:rPr>
              <w:t>xternal factors</w:t>
            </w:r>
          </w:p>
        </w:tc>
        <w:tc>
          <w:tcPr>
            <w:tcW w:w="3850" w:type="dxa"/>
          </w:tcPr>
          <w:p w14:paraId="1F9FE0BA" w14:textId="77777777" w:rsidR="00CA5EEA" w:rsidRPr="00B819D3" w:rsidRDefault="00CA5EEA" w:rsidP="003D0F16">
            <w:pPr>
              <w:spacing w:before="120"/>
              <w:rPr>
                <w:b/>
              </w:rPr>
            </w:pPr>
            <w:r w:rsidRPr="00B819D3">
              <w:rPr>
                <w:b/>
              </w:rPr>
              <w:t>Key findings</w:t>
            </w:r>
          </w:p>
        </w:tc>
        <w:tc>
          <w:tcPr>
            <w:tcW w:w="2692" w:type="dxa"/>
          </w:tcPr>
          <w:p w14:paraId="537D0793" w14:textId="77777777" w:rsidR="00CA5EEA" w:rsidRPr="00B819D3" w:rsidRDefault="00CA5EEA" w:rsidP="003D0F16">
            <w:pPr>
              <w:spacing w:before="120"/>
              <w:rPr>
                <w:b/>
              </w:rPr>
            </w:pPr>
            <w:r w:rsidRPr="00B819D3">
              <w:rPr>
                <w:b/>
              </w:rPr>
              <w:t>Data source/s</w:t>
            </w:r>
          </w:p>
        </w:tc>
      </w:tr>
      <w:tr w:rsidR="00CA5EEA" w:rsidRPr="00C95BE3" w14:paraId="11C13EA9" w14:textId="77777777" w:rsidTr="003D0F16">
        <w:tc>
          <w:tcPr>
            <w:tcW w:w="3057" w:type="dxa"/>
          </w:tcPr>
          <w:p w14:paraId="3BB09357" w14:textId="3B75E4B4" w:rsidR="00CA5EEA" w:rsidRPr="008C429F" w:rsidRDefault="00CA5EEA" w:rsidP="003D0F16">
            <w:pPr>
              <w:rPr>
                <w:sz w:val="20"/>
                <w:szCs w:val="20"/>
              </w:rPr>
            </w:pPr>
            <w:r w:rsidRPr="008C429F">
              <w:rPr>
                <w:sz w:val="20"/>
                <w:szCs w:val="20"/>
              </w:rPr>
              <w:t xml:space="preserve">Changes in availability of ongoing funding and/or </w:t>
            </w:r>
            <w:r>
              <w:rPr>
                <w:sz w:val="20"/>
                <w:szCs w:val="20"/>
              </w:rPr>
              <w:t>Australian Government</w:t>
            </w:r>
            <w:r w:rsidRPr="008C429F">
              <w:rPr>
                <w:sz w:val="20"/>
                <w:szCs w:val="20"/>
              </w:rPr>
              <w:t xml:space="preserve"> support for the THN Pilot</w:t>
            </w:r>
          </w:p>
        </w:tc>
        <w:tc>
          <w:tcPr>
            <w:tcW w:w="3850" w:type="dxa"/>
          </w:tcPr>
          <w:p w14:paraId="00113279" w14:textId="210A8CBA" w:rsidR="00CA5EEA" w:rsidRPr="008C429F" w:rsidRDefault="00CA5EEA" w:rsidP="003D0F16">
            <w:pPr>
              <w:rPr>
                <w:sz w:val="20"/>
                <w:szCs w:val="20"/>
              </w:rPr>
            </w:pPr>
            <w:r w:rsidRPr="008C429F">
              <w:rPr>
                <w:sz w:val="20"/>
                <w:szCs w:val="20"/>
              </w:rPr>
              <w:t xml:space="preserve">Challenge to the legal instrument supporting the Pilot (May-August 2020) created uncertainty among stakeholders </w:t>
            </w:r>
          </w:p>
          <w:p w14:paraId="2EC9F279" w14:textId="6F1D69E0" w:rsidR="00CA5EEA" w:rsidRPr="008C429F" w:rsidRDefault="00CA5EEA" w:rsidP="003D0F16">
            <w:pPr>
              <w:rPr>
                <w:sz w:val="20"/>
                <w:szCs w:val="20"/>
              </w:rPr>
            </w:pPr>
            <w:r>
              <w:rPr>
                <w:sz w:val="20"/>
                <w:szCs w:val="20"/>
              </w:rPr>
              <w:t>Uncertainty about end date and succession planning for the Pilot and multiple extensions</w:t>
            </w:r>
            <w:r w:rsidRPr="008C429F" w:rsidDel="00E32500">
              <w:rPr>
                <w:sz w:val="20"/>
                <w:szCs w:val="20"/>
              </w:rPr>
              <w:t xml:space="preserve"> (December 2020 </w:t>
            </w:r>
            <w:r w:rsidR="00B61FBA">
              <w:rPr>
                <w:sz w:val="20"/>
                <w:szCs w:val="20"/>
              </w:rPr>
              <w:t xml:space="preserve">announcement </w:t>
            </w:r>
            <w:r w:rsidRPr="008C429F" w:rsidDel="00E32500">
              <w:rPr>
                <w:sz w:val="20"/>
                <w:szCs w:val="20"/>
              </w:rPr>
              <w:t xml:space="preserve">for February 2021 and May 2021 for July 2021) reduced stakeholder confidence </w:t>
            </w:r>
          </w:p>
        </w:tc>
        <w:tc>
          <w:tcPr>
            <w:tcW w:w="2692" w:type="dxa"/>
          </w:tcPr>
          <w:p w14:paraId="1467CD60" w14:textId="77777777" w:rsidR="00CA5EEA" w:rsidRDefault="00CA5EEA" w:rsidP="003D0F16">
            <w:pPr>
              <w:rPr>
                <w:sz w:val="20"/>
                <w:szCs w:val="20"/>
              </w:rPr>
            </w:pPr>
            <w:r>
              <w:rPr>
                <w:sz w:val="20"/>
                <w:szCs w:val="20"/>
              </w:rPr>
              <w:t>Roundtable discussions</w:t>
            </w:r>
          </w:p>
          <w:p w14:paraId="6D3E8C93" w14:textId="77777777" w:rsidR="00CA5EEA" w:rsidRDefault="00CA5EEA" w:rsidP="003D0F16">
            <w:pPr>
              <w:rPr>
                <w:sz w:val="20"/>
                <w:szCs w:val="20"/>
              </w:rPr>
            </w:pPr>
            <w:r>
              <w:rPr>
                <w:sz w:val="20"/>
                <w:szCs w:val="20"/>
              </w:rPr>
              <w:t>Implementation meetings</w:t>
            </w:r>
          </w:p>
          <w:p w14:paraId="13A3E628" w14:textId="6B579BA2" w:rsidR="00CA5EEA" w:rsidRDefault="00054E9F" w:rsidP="003D0F16">
            <w:pPr>
              <w:rPr>
                <w:sz w:val="20"/>
                <w:szCs w:val="20"/>
              </w:rPr>
            </w:pPr>
            <w:r>
              <w:rPr>
                <w:sz w:val="20"/>
                <w:szCs w:val="20"/>
              </w:rPr>
              <w:t xml:space="preserve">Supply </w:t>
            </w:r>
            <w:r w:rsidR="00CA5EEA">
              <w:rPr>
                <w:sz w:val="20"/>
                <w:szCs w:val="20"/>
              </w:rPr>
              <w:t>data</w:t>
            </w:r>
          </w:p>
        </w:tc>
      </w:tr>
      <w:tr w:rsidR="00CA5EEA" w:rsidRPr="00C95BE3" w14:paraId="7C013C0E" w14:textId="77777777" w:rsidTr="003D0F16">
        <w:trPr>
          <w:cnfStyle w:val="000000010000" w:firstRow="0" w:lastRow="0" w:firstColumn="0" w:lastColumn="0" w:oddVBand="0" w:evenVBand="0" w:oddHBand="0" w:evenHBand="1" w:firstRowFirstColumn="0" w:firstRowLastColumn="0" w:lastRowFirstColumn="0" w:lastRowLastColumn="0"/>
        </w:trPr>
        <w:tc>
          <w:tcPr>
            <w:tcW w:w="3057" w:type="dxa"/>
          </w:tcPr>
          <w:p w14:paraId="3D8DA0BA" w14:textId="3604865E" w:rsidR="00CA5EEA" w:rsidRPr="008C429F" w:rsidRDefault="00CA5EEA" w:rsidP="003D0F16">
            <w:pPr>
              <w:rPr>
                <w:sz w:val="20"/>
                <w:szCs w:val="20"/>
              </w:rPr>
            </w:pPr>
            <w:r w:rsidRPr="008C429F">
              <w:rPr>
                <w:sz w:val="20"/>
                <w:szCs w:val="20"/>
              </w:rPr>
              <w:t>Changes in the strength of illicit opioids/introduction of new and emerging opioids</w:t>
            </w:r>
            <w:r w:rsidR="00D60066">
              <w:rPr>
                <w:sz w:val="20"/>
                <w:szCs w:val="20"/>
              </w:rPr>
              <w:t xml:space="preserve"> may increase overdose </w:t>
            </w:r>
            <w:r w:rsidR="00B63CBE">
              <w:rPr>
                <w:sz w:val="20"/>
                <w:szCs w:val="20"/>
              </w:rPr>
              <w:t xml:space="preserve">(OD) </w:t>
            </w:r>
            <w:r w:rsidR="00D60066">
              <w:rPr>
                <w:sz w:val="20"/>
                <w:szCs w:val="20"/>
              </w:rPr>
              <w:t>rates</w:t>
            </w:r>
          </w:p>
        </w:tc>
        <w:tc>
          <w:tcPr>
            <w:tcW w:w="3850" w:type="dxa"/>
          </w:tcPr>
          <w:p w14:paraId="5EB3CB29" w14:textId="2097002C" w:rsidR="00181EC5" w:rsidRDefault="00CA5EEA" w:rsidP="00181EC5">
            <w:pPr>
              <w:rPr>
                <w:sz w:val="20"/>
                <w:szCs w:val="20"/>
              </w:rPr>
            </w:pPr>
            <w:r w:rsidRPr="008C429F">
              <w:rPr>
                <w:sz w:val="20"/>
                <w:szCs w:val="20"/>
              </w:rPr>
              <w:t xml:space="preserve">Limited </w:t>
            </w:r>
            <w:r>
              <w:rPr>
                <w:sz w:val="20"/>
                <w:szCs w:val="20"/>
              </w:rPr>
              <w:t xml:space="preserve">bulk </w:t>
            </w:r>
            <w:r w:rsidRPr="008C429F">
              <w:rPr>
                <w:sz w:val="20"/>
                <w:szCs w:val="20"/>
              </w:rPr>
              <w:t>intrusion of new/higher-strength illicit opioids into Australian market</w:t>
            </w:r>
            <w:r>
              <w:rPr>
                <w:sz w:val="20"/>
                <w:szCs w:val="20"/>
              </w:rPr>
              <w:t xml:space="preserve"> but </w:t>
            </w:r>
            <w:r w:rsidR="00181EC5">
              <w:rPr>
                <w:sz w:val="20"/>
                <w:szCs w:val="20"/>
              </w:rPr>
              <w:t xml:space="preserve">some </w:t>
            </w:r>
            <w:r>
              <w:rPr>
                <w:sz w:val="20"/>
                <w:szCs w:val="20"/>
              </w:rPr>
              <w:t>contamination of other illicit drugs with opioids noted</w:t>
            </w:r>
          </w:p>
          <w:p w14:paraId="473D67FD" w14:textId="1E0FC98C" w:rsidR="00CA5EEA" w:rsidRPr="008C429F" w:rsidRDefault="00694504" w:rsidP="003D0F16">
            <w:pPr>
              <w:rPr>
                <w:sz w:val="20"/>
                <w:szCs w:val="20"/>
              </w:rPr>
            </w:pPr>
            <w:r>
              <w:rPr>
                <w:sz w:val="20"/>
                <w:szCs w:val="20"/>
              </w:rPr>
              <w:t>Some evidence of reduced h</w:t>
            </w:r>
            <w:r w:rsidR="00F47510">
              <w:rPr>
                <w:sz w:val="20"/>
                <w:szCs w:val="20"/>
              </w:rPr>
              <w:t>eroin availability</w:t>
            </w:r>
            <w:r w:rsidR="008E3844">
              <w:rPr>
                <w:sz w:val="20"/>
                <w:szCs w:val="20"/>
              </w:rPr>
              <w:t xml:space="preserve"> </w:t>
            </w:r>
            <w:r w:rsidR="00F27BA7">
              <w:rPr>
                <w:sz w:val="20"/>
                <w:szCs w:val="20"/>
              </w:rPr>
              <w:t xml:space="preserve">during </w:t>
            </w:r>
            <w:r w:rsidR="00CA5EEA">
              <w:rPr>
                <w:sz w:val="20"/>
                <w:szCs w:val="20"/>
              </w:rPr>
              <w:t xml:space="preserve">COVID-19 </w:t>
            </w:r>
            <w:r w:rsidR="00F27BA7">
              <w:rPr>
                <w:sz w:val="20"/>
                <w:szCs w:val="20"/>
              </w:rPr>
              <w:t>restriction</w:t>
            </w:r>
            <w:r>
              <w:rPr>
                <w:sz w:val="20"/>
                <w:szCs w:val="20"/>
              </w:rPr>
              <w:t>s</w:t>
            </w:r>
          </w:p>
        </w:tc>
        <w:tc>
          <w:tcPr>
            <w:tcW w:w="2692" w:type="dxa"/>
          </w:tcPr>
          <w:p w14:paraId="19CB39D7" w14:textId="30591E8A" w:rsidR="00CA5EEA" w:rsidRDefault="001E021A" w:rsidP="003D0F16">
            <w:pPr>
              <w:rPr>
                <w:sz w:val="20"/>
                <w:szCs w:val="20"/>
              </w:rPr>
            </w:pPr>
            <w:r>
              <w:rPr>
                <w:sz w:val="20"/>
                <w:szCs w:val="20"/>
              </w:rPr>
              <w:t>Environmental scanning (</w:t>
            </w:r>
            <w:r w:rsidR="00CA5EEA">
              <w:rPr>
                <w:sz w:val="20"/>
                <w:szCs w:val="20"/>
              </w:rPr>
              <w:t>NSW Health drug alerts; forensic analysis reports</w:t>
            </w:r>
            <w:r>
              <w:rPr>
                <w:sz w:val="20"/>
                <w:szCs w:val="20"/>
              </w:rPr>
              <w:t>)</w:t>
            </w:r>
          </w:p>
          <w:p w14:paraId="2476BA49" w14:textId="77777777" w:rsidR="00CA5EEA" w:rsidRDefault="00CA5EEA" w:rsidP="003D0F16">
            <w:pPr>
              <w:rPr>
                <w:sz w:val="20"/>
                <w:szCs w:val="20"/>
              </w:rPr>
            </w:pPr>
          </w:p>
          <w:p w14:paraId="0409835D" w14:textId="77777777" w:rsidR="00CA5EEA" w:rsidRDefault="00CA5EEA" w:rsidP="003D0F16">
            <w:pPr>
              <w:rPr>
                <w:sz w:val="20"/>
                <w:szCs w:val="20"/>
              </w:rPr>
            </w:pPr>
            <w:r>
              <w:rPr>
                <w:sz w:val="20"/>
                <w:szCs w:val="20"/>
              </w:rPr>
              <w:t>IDRS</w:t>
            </w:r>
          </w:p>
        </w:tc>
      </w:tr>
      <w:tr w:rsidR="00CA5EEA" w:rsidRPr="00C95BE3" w14:paraId="7E00FF30" w14:textId="77777777" w:rsidTr="003D0F16">
        <w:tc>
          <w:tcPr>
            <w:tcW w:w="3057" w:type="dxa"/>
          </w:tcPr>
          <w:p w14:paraId="5669EAE8" w14:textId="730E4381" w:rsidR="00CA5EEA" w:rsidRPr="008C429F" w:rsidRDefault="00CA5EEA" w:rsidP="003D0F16">
            <w:pPr>
              <w:rPr>
                <w:sz w:val="20"/>
                <w:szCs w:val="20"/>
              </w:rPr>
            </w:pPr>
            <w:r w:rsidRPr="008C429F">
              <w:rPr>
                <w:sz w:val="20"/>
                <w:szCs w:val="20"/>
              </w:rPr>
              <w:t>Role of other agencies in prevention of overdose-related deaths</w:t>
            </w:r>
            <w:r w:rsidR="000A5FFF">
              <w:rPr>
                <w:sz w:val="20"/>
                <w:szCs w:val="20"/>
              </w:rPr>
              <w:t xml:space="preserve"> may affect impact of THN</w:t>
            </w:r>
            <w:r w:rsidR="002D6AAB">
              <w:rPr>
                <w:sz w:val="20"/>
                <w:szCs w:val="20"/>
              </w:rPr>
              <w:t xml:space="preserve"> Pilot</w:t>
            </w:r>
          </w:p>
        </w:tc>
        <w:tc>
          <w:tcPr>
            <w:tcW w:w="3850" w:type="dxa"/>
          </w:tcPr>
          <w:p w14:paraId="3865B001" w14:textId="6A0599A9" w:rsidR="00CA5EEA" w:rsidRPr="008C429F" w:rsidRDefault="00CA5EEA" w:rsidP="003D0F16">
            <w:pPr>
              <w:rPr>
                <w:sz w:val="20"/>
                <w:szCs w:val="20"/>
              </w:rPr>
            </w:pPr>
            <w:r>
              <w:rPr>
                <w:sz w:val="20"/>
                <w:szCs w:val="20"/>
              </w:rPr>
              <w:t>Ambulance services continue to administer naloxone under existing state base funding responsibilities, but not supply naloxone for take home purposes</w:t>
            </w:r>
          </w:p>
        </w:tc>
        <w:tc>
          <w:tcPr>
            <w:tcW w:w="2692" w:type="dxa"/>
          </w:tcPr>
          <w:p w14:paraId="301DFB85" w14:textId="77777777" w:rsidR="00CA5EEA" w:rsidRDefault="00CA5EEA" w:rsidP="003D0F16">
            <w:pPr>
              <w:rPr>
                <w:sz w:val="20"/>
                <w:szCs w:val="20"/>
              </w:rPr>
            </w:pPr>
            <w:r>
              <w:rPr>
                <w:sz w:val="20"/>
                <w:szCs w:val="20"/>
              </w:rPr>
              <w:t>Roundtable discussions</w:t>
            </w:r>
          </w:p>
          <w:p w14:paraId="0946D90A" w14:textId="77E27831" w:rsidR="00CA5EEA" w:rsidRDefault="00054E9F" w:rsidP="003D0F16">
            <w:pPr>
              <w:rPr>
                <w:sz w:val="20"/>
                <w:szCs w:val="20"/>
              </w:rPr>
            </w:pPr>
            <w:r>
              <w:rPr>
                <w:sz w:val="20"/>
                <w:szCs w:val="20"/>
              </w:rPr>
              <w:t xml:space="preserve">Supply </w:t>
            </w:r>
            <w:r w:rsidR="00CA5EEA">
              <w:rPr>
                <w:sz w:val="20"/>
                <w:szCs w:val="20"/>
              </w:rPr>
              <w:t>data</w:t>
            </w:r>
          </w:p>
        </w:tc>
      </w:tr>
      <w:tr w:rsidR="00CA5EEA" w:rsidRPr="00C95BE3" w14:paraId="270B17F8" w14:textId="77777777" w:rsidTr="003D0F16">
        <w:trPr>
          <w:cnfStyle w:val="000000010000" w:firstRow="0" w:lastRow="0" w:firstColumn="0" w:lastColumn="0" w:oddVBand="0" w:evenVBand="0" w:oddHBand="0" w:evenHBand="1" w:firstRowFirstColumn="0" w:firstRowLastColumn="0" w:lastRowFirstColumn="0" w:lastRowLastColumn="0"/>
        </w:trPr>
        <w:tc>
          <w:tcPr>
            <w:tcW w:w="3057" w:type="dxa"/>
          </w:tcPr>
          <w:p w14:paraId="074ADB3D" w14:textId="0857C499" w:rsidR="00CA5EEA" w:rsidRPr="008C429F" w:rsidRDefault="00CA5EEA" w:rsidP="003D0F16">
            <w:pPr>
              <w:rPr>
                <w:sz w:val="20"/>
                <w:szCs w:val="20"/>
              </w:rPr>
            </w:pPr>
            <w:r w:rsidRPr="008C429F">
              <w:rPr>
                <w:sz w:val="20"/>
                <w:szCs w:val="20"/>
              </w:rPr>
              <w:t>Impact of existing naloxone programs</w:t>
            </w:r>
            <w:r w:rsidR="00F94CB6">
              <w:rPr>
                <w:sz w:val="20"/>
                <w:szCs w:val="20"/>
              </w:rPr>
              <w:t xml:space="preserve"> may affect </w:t>
            </w:r>
            <w:r w:rsidR="009B569C">
              <w:rPr>
                <w:sz w:val="20"/>
                <w:szCs w:val="20"/>
              </w:rPr>
              <w:t>Pilot outcomes</w:t>
            </w:r>
          </w:p>
        </w:tc>
        <w:tc>
          <w:tcPr>
            <w:tcW w:w="3850" w:type="dxa"/>
          </w:tcPr>
          <w:p w14:paraId="5DC95DF1" w14:textId="77777777" w:rsidR="00CA5EEA" w:rsidRPr="008C429F" w:rsidRDefault="00CA5EEA" w:rsidP="003D0F16">
            <w:pPr>
              <w:rPr>
                <w:sz w:val="20"/>
                <w:szCs w:val="20"/>
              </w:rPr>
            </w:pPr>
            <w:r w:rsidRPr="008C429F">
              <w:rPr>
                <w:sz w:val="20"/>
                <w:szCs w:val="20"/>
              </w:rPr>
              <w:t xml:space="preserve">Existing programs had raised awareness of naloxone among some sectors; </w:t>
            </w:r>
            <w:r>
              <w:rPr>
                <w:sz w:val="20"/>
                <w:szCs w:val="20"/>
              </w:rPr>
              <w:t>supported early uptake of THN</w:t>
            </w:r>
          </w:p>
        </w:tc>
        <w:tc>
          <w:tcPr>
            <w:tcW w:w="2692" w:type="dxa"/>
          </w:tcPr>
          <w:p w14:paraId="1125DBE4" w14:textId="77777777" w:rsidR="00CA5EEA" w:rsidRDefault="00CA5EEA" w:rsidP="003D0F16">
            <w:pPr>
              <w:rPr>
                <w:sz w:val="20"/>
                <w:szCs w:val="20"/>
              </w:rPr>
            </w:pPr>
            <w:r>
              <w:rPr>
                <w:sz w:val="20"/>
                <w:szCs w:val="20"/>
              </w:rPr>
              <w:t>Roundtable discussions</w:t>
            </w:r>
          </w:p>
          <w:p w14:paraId="74717E89" w14:textId="77777777" w:rsidR="00CA5EEA" w:rsidRDefault="00CA5EEA" w:rsidP="003D0F16">
            <w:pPr>
              <w:rPr>
                <w:sz w:val="20"/>
                <w:szCs w:val="20"/>
              </w:rPr>
            </w:pPr>
            <w:r>
              <w:rPr>
                <w:sz w:val="20"/>
                <w:szCs w:val="20"/>
              </w:rPr>
              <w:t>Interviews (with staff)</w:t>
            </w:r>
          </w:p>
          <w:p w14:paraId="41103D43" w14:textId="77777777" w:rsidR="00CA5EEA" w:rsidRDefault="00CA5EEA" w:rsidP="003D0F16">
            <w:pPr>
              <w:rPr>
                <w:sz w:val="20"/>
                <w:szCs w:val="20"/>
              </w:rPr>
            </w:pPr>
            <w:r>
              <w:rPr>
                <w:sz w:val="20"/>
                <w:szCs w:val="20"/>
              </w:rPr>
              <w:t>IDRS</w:t>
            </w:r>
          </w:p>
        </w:tc>
      </w:tr>
      <w:tr w:rsidR="00CA5EEA" w:rsidRPr="00C95BE3" w14:paraId="6B54FD02" w14:textId="77777777" w:rsidTr="003D0F16">
        <w:tc>
          <w:tcPr>
            <w:tcW w:w="3057" w:type="dxa"/>
          </w:tcPr>
          <w:p w14:paraId="6FA35CC2" w14:textId="554CD9C5" w:rsidR="00CA5EEA" w:rsidRPr="008C429F" w:rsidRDefault="00CA5EEA" w:rsidP="003D0F16">
            <w:pPr>
              <w:rPr>
                <w:sz w:val="20"/>
                <w:szCs w:val="20"/>
              </w:rPr>
            </w:pPr>
            <w:r w:rsidRPr="008C429F">
              <w:rPr>
                <w:sz w:val="20"/>
                <w:szCs w:val="20"/>
              </w:rPr>
              <w:t xml:space="preserve">Changes in policies and procedures </w:t>
            </w:r>
            <w:r>
              <w:rPr>
                <w:sz w:val="20"/>
                <w:szCs w:val="20"/>
              </w:rPr>
              <w:t>regarding</w:t>
            </w:r>
            <w:r w:rsidRPr="008C429F">
              <w:rPr>
                <w:sz w:val="20"/>
                <w:szCs w:val="20"/>
              </w:rPr>
              <w:t xml:space="preserve"> </w:t>
            </w:r>
            <w:r>
              <w:rPr>
                <w:sz w:val="20"/>
                <w:szCs w:val="20"/>
              </w:rPr>
              <w:t xml:space="preserve">opioid </w:t>
            </w:r>
            <w:r w:rsidRPr="008C429F">
              <w:rPr>
                <w:sz w:val="20"/>
                <w:szCs w:val="20"/>
              </w:rPr>
              <w:t>prescribing practices</w:t>
            </w:r>
            <w:r w:rsidR="009B569C">
              <w:rPr>
                <w:sz w:val="20"/>
                <w:szCs w:val="20"/>
              </w:rPr>
              <w:t xml:space="preserve"> may affect </w:t>
            </w:r>
            <w:r w:rsidR="00F36289">
              <w:rPr>
                <w:sz w:val="20"/>
                <w:szCs w:val="20"/>
              </w:rPr>
              <w:t>OD risk landscape</w:t>
            </w:r>
          </w:p>
        </w:tc>
        <w:tc>
          <w:tcPr>
            <w:tcW w:w="3850" w:type="dxa"/>
          </w:tcPr>
          <w:p w14:paraId="692A6C3F" w14:textId="4FC420BC" w:rsidR="00CA5EEA" w:rsidRPr="008C429F" w:rsidRDefault="00CA5EEA" w:rsidP="003D0F16">
            <w:pPr>
              <w:rPr>
                <w:sz w:val="20"/>
                <w:szCs w:val="20"/>
              </w:rPr>
            </w:pPr>
            <w:r>
              <w:rPr>
                <w:sz w:val="20"/>
                <w:szCs w:val="20"/>
              </w:rPr>
              <w:t xml:space="preserve">Changes in PBS subsidy and </w:t>
            </w:r>
            <w:r w:rsidR="008A3B2D">
              <w:rPr>
                <w:sz w:val="20"/>
                <w:szCs w:val="20"/>
              </w:rPr>
              <w:t>TGA</w:t>
            </w:r>
            <w:r w:rsidR="00803A3F">
              <w:rPr>
                <w:rStyle w:val="FootnoteReference"/>
                <w:sz w:val="20"/>
                <w:szCs w:val="20"/>
              </w:rPr>
              <w:footnoteReference w:id="9"/>
            </w:r>
            <w:r w:rsidR="008A3B2D">
              <w:rPr>
                <w:sz w:val="20"/>
                <w:szCs w:val="20"/>
              </w:rPr>
              <w:t xml:space="preserve"> </w:t>
            </w:r>
            <w:r w:rsidR="00B21878">
              <w:rPr>
                <w:sz w:val="20"/>
                <w:szCs w:val="20"/>
              </w:rPr>
              <w:t xml:space="preserve">regulatory changes </w:t>
            </w:r>
            <w:r>
              <w:rPr>
                <w:sz w:val="20"/>
                <w:szCs w:val="20"/>
              </w:rPr>
              <w:t xml:space="preserve">to </w:t>
            </w:r>
            <w:r w:rsidR="00803A3F">
              <w:rPr>
                <w:sz w:val="20"/>
                <w:szCs w:val="20"/>
              </w:rPr>
              <w:t xml:space="preserve">opioid </w:t>
            </w:r>
            <w:r>
              <w:rPr>
                <w:sz w:val="20"/>
                <w:szCs w:val="20"/>
              </w:rPr>
              <w:t xml:space="preserve">access introduced June 2020; </w:t>
            </w:r>
            <w:r w:rsidR="00F93F08">
              <w:rPr>
                <w:sz w:val="20"/>
                <w:szCs w:val="20"/>
              </w:rPr>
              <w:t xml:space="preserve">may have </w:t>
            </w:r>
            <w:r>
              <w:rPr>
                <w:sz w:val="20"/>
                <w:szCs w:val="20"/>
              </w:rPr>
              <w:t xml:space="preserve">reduced some </w:t>
            </w:r>
            <w:r w:rsidR="00310A55">
              <w:rPr>
                <w:sz w:val="20"/>
                <w:szCs w:val="20"/>
              </w:rPr>
              <w:t xml:space="preserve">opioid </w:t>
            </w:r>
            <w:r>
              <w:rPr>
                <w:sz w:val="20"/>
                <w:szCs w:val="20"/>
              </w:rPr>
              <w:t>prescribing</w:t>
            </w:r>
          </w:p>
          <w:p w14:paraId="5B2D2842" w14:textId="58935009" w:rsidR="00CA5EEA" w:rsidRDefault="00CA5EEA" w:rsidP="003D0F16">
            <w:pPr>
              <w:rPr>
                <w:sz w:val="20"/>
                <w:szCs w:val="20"/>
              </w:rPr>
            </w:pPr>
            <w:r>
              <w:rPr>
                <w:sz w:val="20"/>
                <w:szCs w:val="20"/>
              </w:rPr>
              <w:t>Implementation</w:t>
            </w:r>
            <w:r w:rsidRPr="008C429F">
              <w:rPr>
                <w:sz w:val="20"/>
                <w:szCs w:val="20"/>
              </w:rPr>
              <w:t xml:space="preserve"> of real-time prescription monitoring programs</w:t>
            </w:r>
            <w:r>
              <w:rPr>
                <w:sz w:val="20"/>
                <w:szCs w:val="20"/>
              </w:rPr>
              <w:t xml:space="preserve"> in SA </w:t>
            </w:r>
            <w:r w:rsidR="002F2077">
              <w:rPr>
                <w:sz w:val="20"/>
                <w:szCs w:val="20"/>
              </w:rPr>
              <w:t xml:space="preserve">too </w:t>
            </w:r>
            <w:r>
              <w:rPr>
                <w:sz w:val="20"/>
                <w:szCs w:val="20"/>
              </w:rPr>
              <w:t>recent</w:t>
            </w:r>
            <w:r w:rsidR="002F2077">
              <w:rPr>
                <w:sz w:val="20"/>
                <w:szCs w:val="20"/>
              </w:rPr>
              <w:t xml:space="preserve"> for </w:t>
            </w:r>
            <w:r>
              <w:rPr>
                <w:sz w:val="20"/>
                <w:szCs w:val="20"/>
              </w:rPr>
              <w:t xml:space="preserve">impact to </w:t>
            </w:r>
            <w:r w:rsidR="002F2077">
              <w:rPr>
                <w:sz w:val="20"/>
                <w:szCs w:val="20"/>
              </w:rPr>
              <w:t xml:space="preserve">be </w:t>
            </w:r>
            <w:r w:rsidR="00AF7E97">
              <w:rPr>
                <w:sz w:val="20"/>
                <w:szCs w:val="20"/>
              </w:rPr>
              <w:t>evident</w:t>
            </w:r>
          </w:p>
          <w:p w14:paraId="1B878AC6" w14:textId="3AE75BC1" w:rsidR="00CA5EEA" w:rsidRPr="008C429F" w:rsidRDefault="00762E88" w:rsidP="003D0F16">
            <w:pPr>
              <w:rPr>
                <w:sz w:val="20"/>
                <w:szCs w:val="20"/>
              </w:rPr>
            </w:pPr>
            <w:r>
              <w:rPr>
                <w:sz w:val="20"/>
                <w:szCs w:val="20"/>
              </w:rPr>
              <w:t xml:space="preserve">State/Territory </w:t>
            </w:r>
            <w:r w:rsidR="00C45230">
              <w:rPr>
                <w:sz w:val="20"/>
                <w:szCs w:val="20"/>
              </w:rPr>
              <w:t>changes to</w:t>
            </w:r>
            <w:r w:rsidR="0090203E">
              <w:rPr>
                <w:sz w:val="20"/>
                <w:szCs w:val="20"/>
              </w:rPr>
              <w:t xml:space="preserve"> takeaway</w:t>
            </w:r>
            <w:r>
              <w:rPr>
                <w:sz w:val="20"/>
                <w:szCs w:val="20"/>
              </w:rPr>
              <w:t xml:space="preserve"> OAT supply </w:t>
            </w:r>
            <w:r w:rsidR="0090203E">
              <w:rPr>
                <w:sz w:val="20"/>
                <w:szCs w:val="20"/>
              </w:rPr>
              <w:t>in response to COVID</w:t>
            </w:r>
            <w:r w:rsidR="00A10DB1">
              <w:rPr>
                <w:sz w:val="20"/>
                <w:szCs w:val="20"/>
              </w:rPr>
              <w:t xml:space="preserve"> restrictions; no evidence to date of increased OD.</w:t>
            </w:r>
          </w:p>
        </w:tc>
        <w:tc>
          <w:tcPr>
            <w:tcW w:w="2692" w:type="dxa"/>
          </w:tcPr>
          <w:p w14:paraId="39E39842" w14:textId="77777777" w:rsidR="00CA5EEA" w:rsidRDefault="00CA5EEA" w:rsidP="003D0F16">
            <w:pPr>
              <w:rPr>
                <w:sz w:val="20"/>
                <w:szCs w:val="20"/>
              </w:rPr>
            </w:pPr>
            <w:r>
              <w:rPr>
                <w:sz w:val="20"/>
                <w:szCs w:val="20"/>
              </w:rPr>
              <w:t>Environmental scans</w:t>
            </w:r>
          </w:p>
        </w:tc>
      </w:tr>
      <w:tr w:rsidR="00CA5EEA" w:rsidRPr="00C95BE3" w14:paraId="0315AC89" w14:textId="77777777" w:rsidTr="003D0F16">
        <w:trPr>
          <w:cnfStyle w:val="000000010000" w:firstRow="0" w:lastRow="0" w:firstColumn="0" w:lastColumn="0" w:oddVBand="0" w:evenVBand="0" w:oddHBand="0" w:evenHBand="1" w:firstRowFirstColumn="0" w:firstRowLastColumn="0" w:lastRowFirstColumn="0" w:lastRowLastColumn="0"/>
        </w:trPr>
        <w:tc>
          <w:tcPr>
            <w:tcW w:w="3057" w:type="dxa"/>
          </w:tcPr>
          <w:p w14:paraId="367B182F" w14:textId="03711D5B" w:rsidR="00CA5EEA" w:rsidRPr="008C429F" w:rsidRDefault="00CA5EEA" w:rsidP="003D0F16">
            <w:pPr>
              <w:rPr>
                <w:sz w:val="20"/>
                <w:szCs w:val="20"/>
              </w:rPr>
            </w:pPr>
            <w:r w:rsidRPr="008C429F">
              <w:rPr>
                <w:sz w:val="20"/>
                <w:szCs w:val="20"/>
              </w:rPr>
              <w:lastRenderedPageBreak/>
              <w:t xml:space="preserve">Other opioid-related initiatives in place or implemented </w:t>
            </w:r>
            <w:proofErr w:type="gramStart"/>
            <w:r w:rsidRPr="008C429F">
              <w:rPr>
                <w:sz w:val="20"/>
                <w:szCs w:val="20"/>
              </w:rPr>
              <w:t>during the course of</w:t>
            </w:r>
            <w:proofErr w:type="gramEnd"/>
            <w:r w:rsidRPr="008C429F">
              <w:rPr>
                <w:sz w:val="20"/>
                <w:szCs w:val="20"/>
              </w:rPr>
              <w:t xml:space="preserve"> the THN Pilot</w:t>
            </w:r>
            <w:r w:rsidR="006C46B6">
              <w:rPr>
                <w:sz w:val="20"/>
                <w:szCs w:val="20"/>
              </w:rPr>
              <w:t xml:space="preserve"> may affect Pilot outcomes</w:t>
            </w:r>
          </w:p>
        </w:tc>
        <w:tc>
          <w:tcPr>
            <w:tcW w:w="3850" w:type="dxa"/>
          </w:tcPr>
          <w:p w14:paraId="2B5B90A0" w14:textId="0E85C18F" w:rsidR="00CA5EEA" w:rsidRPr="008C429F" w:rsidRDefault="00CA5EEA" w:rsidP="003D0F16">
            <w:pPr>
              <w:rPr>
                <w:sz w:val="20"/>
                <w:szCs w:val="20"/>
              </w:rPr>
            </w:pPr>
            <w:r>
              <w:rPr>
                <w:sz w:val="20"/>
                <w:szCs w:val="20"/>
              </w:rPr>
              <w:t>Projects such as Overdose Lifesavers</w:t>
            </w:r>
            <w:r w:rsidR="00364608">
              <w:rPr>
                <w:rStyle w:val="FootnoteReference"/>
                <w:sz w:val="20"/>
                <w:szCs w:val="20"/>
              </w:rPr>
              <w:footnoteReference w:id="10"/>
            </w:r>
            <w:r>
              <w:rPr>
                <w:sz w:val="20"/>
                <w:szCs w:val="20"/>
              </w:rPr>
              <w:t xml:space="preserve"> increased awareness of illicit opioid-related OD</w:t>
            </w:r>
            <w:r w:rsidR="006C46B6">
              <w:rPr>
                <w:sz w:val="20"/>
                <w:szCs w:val="20"/>
              </w:rPr>
              <w:t xml:space="preserve">; may have assisted with </w:t>
            </w:r>
            <w:r w:rsidR="0015091E">
              <w:rPr>
                <w:sz w:val="20"/>
                <w:szCs w:val="20"/>
              </w:rPr>
              <w:t>awareness/uptake of THN</w:t>
            </w:r>
          </w:p>
        </w:tc>
        <w:tc>
          <w:tcPr>
            <w:tcW w:w="2692" w:type="dxa"/>
          </w:tcPr>
          <w:p w14:paraId="72C823E3" w14:textId="77777777" w:rsidR="00CA5EEA" w:rsidRPr="008C429F" w:rsidRDefault="00CA5EEA" w:rsidP="003D0F16">
            <w:pPr>
              <w:rPr>
                <w:sz w:val="20"/>
                <w:szCs w:val="20"/>
              </w:rPr>
            </w:pPr>
            <w:r>
              <w:rPr>
                <w:sz w:val="20"/>
                <w:szCs w:val="20"/>
              </w:rPr>
              <w:t>Environmental scans</w:t>
            </w:r>
          </w:p>
        </w:tc>
      </w:tr>
      <w:tr w:rsidR="00CA5EEA" w:rsidRPr="00C95BE3" w14:paraId="3A2DB8E8" w14:textId="77777777" w:rsidTr="003D0F16">
        <w:tc>
          <w:tcPr>
            <w:tcW w:w="3057" w:type="dxa"/>
          </w:tcPr>
          <w:p w14:paraId="7188BAFD" w14:textId="77777777" w:rsidR="00CA5EEA" w:rsidRPr="008C429F" w:rsidRDefault="00CA5EEA" w:rsidP="003D0F16">
            <w:pPr>
              <w:rPr>
                <w:sz w:val="20"/>
                <w:szCs w:val="20"/>
              </w:rPr>
            </w:pPr>
            <w:r w:rsidRPr="008C429F">
              <w:rPr>
                <w:sz w:val="20"/>
                <w:szCs w:val="20"/>
              </w:rPr>
              <w:t>Adequacy of workforce &amp; infrastructures to support THN Pilot</w:t>
            </w:r>
          </w:p>
        </w:tc>
        <w:tc>
          <w:tcPr>
            <w:tcW w:w="3850" w:type="dxa"/>
          </w:tcPr>
          <w:p w14:paraId="257A7719" w14:textId="5F243ADE" w:rsidR="00CA5EEA" w:rsidRPr="008C429F" w:rsidRDefault="00CA5EEA" w:rsidP="003D0F16">
            <w:pPr>
              <w:rPr>
                <w:sz w:val="20"/>
                <w:szCs w:val="20"/>
              </w:rPr>
            </w:pPr>
            <w:r>
              <w:rPr>
                <w:sz w:val="20"/>
                <w:szCs w:val="20"/>
              </w:rPr>
              <w:t xml:space="preserve">Workforce training required in </w:t>
            </w:r>
            <w:r w:rsidR="00E6300F">
              <w:rPr>
                <w:sz w:val="20"/>
                <w:szCs w:val="20"/>
              </w:rPr>
              <w:t>AAS and so</w:t>
            </w:r>
            <w:r w:rsidR="00BA781E">
              <w:rPr>
                <w:sz w:val="20"/>
                <w:szCs w:val="20"/>
              </w:rPr>
              <w:t xml:space="preserve">me </w:t>
            </w:r>
            <w:r>
              <w:rPr>
                <w:sz w:val="20"/>
                <w:szCs w:val="20"/>
              </w:rPr>
              <w:t xml:space="preserve">pharmacy </w:t>
            </w:r>
            <w:r w:rsidR="00EA455A">
              <w:rPr>
                <w:sz w:val="20"/>
                <w:szCs w:val="20"/>
              </w:rPr>
              <w:t>sites</w:t>
            </w:r>
            <w:r>
              <w:rPr>
                <w:sz w:val="20"/>
                <w:szCs w:val="20"/>
              </w:rPr>
              <w:t>; current hospital infrastructures not yet supportive of THN supply</w:t>
            </w:r>
            <w:r w:rsidR="00C00720">
              <w:rPr>
                <w:sz w:val="20"/>
                <w:szCs w:val="20"/>
              </w:rPr>
              <w:t xml:space="preserve"> under Pilot conditions</w:t>
            </w:r>
          </w:p>
        </w:tc>
        <w:tc>
          <w:tcPr>
            <w:tcW w:w="2692" w:type="dxa"/>
          </w:tcPr>
          <w:p w14:paraId="6637B5F3" w14:textId="77777777" w:rsidR="00CA5EEA" w:rsidRPr="00867164" w:rsidRDefault="00CA5EEA" w:rsidP="003D0F16">
            <w:pPr>
              <w:rPr>
                <w:sz w:val="20"/>
                <w:szCs w:val="20"/>
              </w:rPr>
            </w:pPr>
            <w:r w:rsidRPr="00867164">
              <w:rPr>
                <w:sz w:val="20"/>
                <w:szCs w:val="20"/>
              </w:rPr>
              <w:t>Roundtable discussions</w:t>
            </w:r>
          </w:p>
          <w:p w14:paraId="024C0A24" w14:textId="77777777" w:rsidR="00CA5EEA" w:rsidRDefault="00CA5EEA" w:rsidP="003D0F16">
            <w:pPr>
              <w:rPr>
                <w:sz w:val="20"/>
                <w:szCs w:val="20"/>
              </w:rPr>
            </w:pPr>
            <w:r w:rsidRPr="00867164">
              <w:rPr>
                <w:sz w:val="20"/>
                <w:szCs w:val="20"/>
              </w:rPr>
              <w:t>Interviews (with staff)</w:t>
            </w:r>
          </w:p>
        </w:tc>
      </w:tr>
      <w:tr w:rsidR="00CA5EEA" w:rsidRPr="00C95BE3" w14:paraId="64F060C5" w14:textId="77777777" w:rsidTr="003D0F16">
        <w:trPr>
          <w:cnfStyle w:val="000000010000" w:firstRow="0" w:lastRow="0" w:firstColumn="0" w:lastColumn="0" w:oddVBand="0" w:evenVBand="0" w:oddHBand="0" w:evenHBand="1" w:firstRowFirstColumn="0" w:firstRowLastColumn="0" w:lastRowFirstColumn="0" w:lastRowLastColumn="0"/>
        </w:trPr>
        <w:tc>
          <w:tcPr>
            <w:tcW w:w="3057" w:type="dxa"/>
          </w:tcPr>
          <w:p w14:paraId="071B6E1C" w14:textId="77777777" w:rsidR="00CA5EEA" w:rsidRPr="008C429F" w:rsidRDefault="00CA5EEA" w:rsidP="003D0F16">
            <w:pPr>
              <w:rPr>
                <w:sz w:val="20"/>
                <w:szCs w:val="20"/>
              </w:rPr>
            </w:pPr>
            <w:r w:rsidRPr="008C429F">
              <w:rPr>
                <w:sz w:val="20"/>
                <w:szCs w:val="20"/>
              </w:rPr>
              <w:t>Previous experience of consumers and witnesses in accessing and using naloxone</w:t>
            </w:r>
          </w:p>
        </w:tc>
        <w:tc>
          <w:tcPr>
            <w:tcW w:w="3850" w:type="dxa"/>
          </w:tcPr>
          <w:p w14:paraId="425BD9C6" w14:textId="77777777" w:rsidR="00CA5EEA" w:rsidRPr="008C429F" w:rsidRDefault="00CA5EEA" w:rsidP="003D0F16">
            <w:pPr>
              <w:rPr>
                <w:sz w:val="20"/>
                <w:szCs w:val="20"/>
              </w:rPr>
            </w:pPr>
            <w:r w:rsidRPr="008C429F">
              <w:rPr>
                <w:sz w:val="20"/>
                <w:szCs w:val="20"/>
              </w:rPr>
              <w:t>Prior awareness of THN among PWID helpful in facilitating uptake</w:t>
            </w:r>
          </w:p>
        </w:tc>
        <w:tc>
          <w:tcPr>
            <w:tcW w:w="2692" w:type="dxa"/>
          </w:tcPr>
          <w:p w14:paraId="4DF46B79" w14:textId="77777777" w:rsidR="00913C86" w:rsidRDefault="00CA5EEA" w:rsidP="003D0F16">
            <w:pPr>
              <w:rPr>
                <w:sz w:val="20"/>
                <w:szCs w:val="20"/>
              </w:rPr>
            </w:pPr>
            <w:r>
              <w:rPr>
                <w:sz w:val="20"/>
                <w:szCs w:val="20"/>
              </w:rPr>
              <w:t>Interviews (with THN consumers)</w:t>
            </w:r>
          </w:p>
          <w:p w14:paraId="1B1738F2" w14:textId="0A5FA582" w:rsidR="00CA5EEA" w:rsidRDefault="00CA5EEA" w:rsidP="003D0F16">
            <w:pPr>
              <w:rPr>
                <w:sz w:val="20"/>
                <w:szCs w:val="20"/>
              </w:rPr>
            </w:pPr>
            <w:r>
              <w:rPr>
                <w:sz w:val="20"/>
                <w:szCs w:val="20"/>
              </w:rPr>
              <w:t>IDRS</w:t>
            </w:r>
          </w:p>
        </w:tc>
      </w:tr>
      <w:tr w:rsidR="00CA5EEA" w:rsidRPr="00C95BE3" w14:paraId="2F0DF0C5" w14:textId="77777777" w:rsidTr="003D0F16">
        <w:tc>
          <w:tcPr>
            <w:tcW w:w="3057" w:type="dxa"/>
          </w:tcPr>
          <w:p w14:paraId="74BD62FE" w14:textId="77777777" w:rsidR="00CA5EEA" w:rsidRPr="008C429F" w:rsidRDefault="00CA5EEA" w:rsidP="003D0F16">
            <w:pPr>
              <w:rPr>
                <w:sz w:val="20"/>
                <w:szCs w:val="20"/>
              </w:rPr>
            </w:pPr>
            <w:r w:rsidRPr="008C429F">
              <w:rPr>
                <w:sz w:val="20"/>
                <w:szCs w:val="20"/>
              </w:rPr>
              <w:t>Existing community attitudes towards overdose death prevention</w:t>
            </w:r>
          </w:p>
        </w:tc>
        <w:tc>
          <w:tcPr>
            <w:tcW w:w="3850" w:type="dxa"/>
          </w:tcPr>
          <w:p w14:paraId="208BAD07" w14:textId="77777777" w:rsidR="00CA5EEA" w:rsidRPr="008C429F" w:rsidRDefault="00CA5EEA" w:rsidP="003D0F16">
            <w:pPr>
              <w:rPr>
                <w:sz w:val="20"/>
                <w:szCs w:val="20"/>
              </w:rPr>
            </w:pPr>
            <w:r w:rsidRPr="008C429F">
              <w:rPr>
                <w:sz w:val="20"/>
                <w:szCs w:val="20"/>
              </w:rPr>
              <w:t xml:space="preserve">Stigma about </w:t>
            </w:r>
            <w:r>
              <w:rPr>
                <w:sz w:val="20"/>
                <w:szCs w:val="20"/>
              </w:rPr>
              <w:t xml:space="preserve">opioid </w:t>
            </w:r>
            <w:r w:rsidRPr="008C429F">
              <w:rPr>
                <w:sz w:val="20"/>
                <w:szCs w:val="20"/>
              </w:rPr>
              <w:t>overdose remained an issue</w:t>
            </w:r>
            <w:r>
              <w:rPr>
                <w:sz w:val="20"/>
                <w:szCs w:val="20"/>
              </w:rPr>
              <w:t>; may have slowed uptake of THN</w:t>
            </w:r>
            <w:r w:rsidRPr="008C429F">
              <w:rPr>
                <w:sz w:val="20"/>
                <w:szCs w:val="20"/>
              </w:rPr>
              <w:t xml:space="preserve"> </w:t>
            </w:r>
          </w:p>
        </w:tc>
        <w:tc>
          <w:tcPr>
            <w:tcW w:w="2692" w:type="dxa"/>
          </w:tcPr>
          <w:p w14:paraId="297997AC" w14:textId="77777777" w:rsidR="00CA5EEA" w:rsidRDefault="00CA5EEA" w:rsidP="003D0F16">
            <w:pPr>
              <w:rPr>
                <w:sz w:val="20"/>
                <w:szCs w:val="20"/>
              </w:rPr>
            </w:pPr>
            <w:r>
              <w:rPr>
                <w:sz w:val="20"/>
                <w:szCs w:val="20"/>
              </w:rPr>
              <w:t>Interviews (with THN consumers)</w:t>
            </w:r>
          </w:p>
          <w:p w14:paraId="38BC68D1" w14:textId="77777777" w:rsidR="00CA5EEA" w:rsidRDefault="00CA5EEA" w:rsidP="003D0F16">
            <w:pPr>
              <w:rPr>
                <w:sz w:val="20"/>
                <w:szCs w:val="20"/>
              </w:rPr>
            </w:pPr>
            <w:r>
              <w:rPr>
                <w:sz w:val="20"/>
                <w:szCs w:val="20"/>
              </w:rPr>
              <w:t>Roundtable discussions</w:t>
            </w:r>
          </w:p>
        </w:tc>
      </w:tr>
      <w:tr w:rsidR="00CA5EEA" w:rsidRPr="00C95BE3" w14:paraId="592A86F4" w14:textId="77777777" w:rsidTr="003D0F16">
        <w:trPr>
          <w:cnfStyle w:val="000000010000" w:firstRow="0" w:lastRow="0" w:firstColumn="0" w:lastColumn="0" w:oddVBand="0" w:evenVBand="0" w:oddHBand="0" w:evenHBand="1" w:firstRowFirstColumn="0" w:firstRowLastColumn="0" w:lastRowFirstColumn="0" w:lastRowLastColumn="0"/>
        </w:trPr>
        <w:tc>
          <w:tcPr>
            <w:tcW w:w="3057" w:type="dxa"/>
          </w:tcPr>
          <w:p w14:paraId="44DA7D0C" w14:textId="77777777" w:rsidR="00CA5EEA" w:rsidRPr="008C429F" w:rsidRDefault="00CA5EEA" w:rsidP="003D0F16">
            <w:pPr>
              <w:rPr>
                <w:sz w:val="20"/>
                <w:szCs w:val="20"/>
              </w:rPr>
            </w:pPr>
            <w:r w:rsidRPr="008C429F">
              <w:rPr>
                <w:sz w:val="20"/>
                <w:szCs w:val="20"/>
              </w:rPr>
              <w:t>Lack of storage among certain population groups (e.g., homeless persons)</w:t>
            </w:r>
          </w:p>
        </w:tc>
        <w:tc>
          <w:tcPr>
            <w:tcW w:w="3850" w:type="dxa"/>
          </w:tcPr>
          <w:p w14:paraId="0CFC1A24" w14:textId="3DBC4217" w:rsidR="00CA5EEA" w:rsidRPr="008C429F" w:rsidRDefault="007025D9" w:rsidP="003D0F16">
            <w:pPr>
              <w:rPr>
                <w:sz w:val="20"/>
                <w:szCs w:val="20"/>
              </w:rPr>
            </w:pPr>
            <w:r>
              <w:rPr>
                <w:sz w:val="20"/>
                <w:szCs w:val="20"/>
              </w:rPr>
              <w:t xml:space="preserve">Reported as a concern by consumers </w:t>
            </w:r>
          </w:p>
        </w:tc>
        <w:tc>
          <w:tcPr>
            <w:tcW w:w="2692" w:type="dxa"/>
          </w:tcPr>
          <w:p w14:paraId="3E839651" w14:textId="30891F81" w:rsidR="00CA5EEA" w:rsidRDefault="007025D9" w:rsidP="003D0F16">
            <w:pPr>
              <w:rPr>
                <w:sz w:val="20"/>
                <w:szCs w:val="20"/>
              </w:rPr>
            </w:pPr>
            <w:r>
              <w:rPr>
                <w:sz w:val="20"/>
                <w:szCs w:val="20"/>
              </w:rPr>
              <w:t>Interviews (with THN consumers)</w:t>
            </w:r>
          </w:p>
        </w:tc>
      </w:tr>
      <w:tr w:rsidR="00CA5EEA" w:rsidRPr="00C95BE3" w14:paraId="781E8AC6" w14:textId="77777777" w:rsidTr="003D0F16">
        <w:tc>
          <w:tcPr>
            <w:tcW w:w="3057" w:type="dxa"/>
          </w:tcPr>
          <w:p w14:paraId="4F881D33" w14:textId="77777777" w:rsidR="00CA5EEA" w:rsidRPr="008C429F" w:rsidRDefault="00CA5EEA" w:rsidP="003D0F16">
            <w:pPr>
              <w:rPr>
                <w:sz w:val="20"/>
                <w:szCs w:val="20"/>
              </w:rPr>
            </w:pPr>
            <w:r w:rsidRPr="008C429F">
              <w:rPr>
                <w:sz w:val="20"/>
                <w:szCs w:val="20"/>
              </w:rPr>
              <w:t>Consumers living/using opioids without witnesses present to administer naloxone</w:t>
            </w:r>
          </w:p>
        </w:tc>
        <w:tc>
          <w:tcPr>
            <w:tcW w:w="3850" w:type="dxa"/>
          </w:tcPr>
          <w:p w14:paraId="33D51035" w14:textId="53C82C71" w:rsidR="00CA5EEA" w:rsidRPr="008C429F" w:rsidRDefault="00CA5EEA" w:rsidP="003D0F16">
            <w:pPr>
              <w:rPr>
                <w:sz w:val="20"/>
                <w:szCs w:val="20"/>
              </w:rPr>
            </w:pPr>
            <w:r>
              <w:rPr>
                <w:sz w:val="20"/>
                <w:szCs w:val="20"/>
              </w:rPr>
              <w:t>I</w:t>
            </w:r>
            <w:r w:rsidRPr="008C429F">
              <w:rPr>
                <w:sz w:val="20"/>
                <w:szCs w:val="20"/>
              </w:rPr>
              <w:t>ncrease in solo use highlighted during COVID-19 restrictions</w:t>
            </w:r>
            <w:r w:rsidR="00291309">
              <w:rPr>
                <w:sz w:val="20"/>
                <w:szCs w:val="20"/>
              </w:rPr>
              <w:t>;</w:t>
            </w:r>
            <w:r w:rsidR="00086EC6">
              <w:rPr>
                <w:sz w:val="20"/>
                <w:szCs w:val="20"/>
              </w:rPr>
              <w:t xml:space="preserve"> may</w:t>
            </w:r>
            <w:r w:rsidR="008631DC">
              <w:rPr>
                <w:sz w:val="20"/>
                <w:szCs w:val="20"/>
              </w:rPr>
              <w:t xml:space="preserve"> have increased OD </w:t>
            </w:r>
            <w:r w:rsidR="00934AE5">
              <w:rPr>
                <w:sz w:val="20"/>
                <w:szCs w:val="20"/>
              </w:rPr>
              <w:t xml:space="preserve">risks </w:t>
            </w:r>
            <w:r w:rsidR="00934AE5" w:rsidRPr="008C429F">
              <w:rPr>
                <w:sz w:val="20"/>
                <w:szCs w:val="20"/>
              </w:rPr>
              <w:t xml:space="preserve"> </w:t>
            </w:r>
          </w:p>
        </w:tc>
        <w:tc>
          <w:tcPr>
            <w:tcW w:w="2692" w:type="dxa"/>
          </w:tcPr>
          <w:p w14:paraId="64714044" w14:textId="77777777" w:rsidR="00CA5EEA" w:rsidRDefault="00CA5EEA" w:rsidP="003D0F16">
            <w:pPr>
              <w:rPr>
                <w:sz w:val="20"/>
                <w:szCs w:val="20"/>
              </w:rPr>
            </w:pPr>
            <w:r>
              <w:rPr>
                <w:sz w:val="20"/>
                <w:szCs w:val="20"/>
              </w:rPr>
              <w:t>IDRS</w:t>
            </w:r>
          </w:p>
          <w:p w14:paraId="0FDBA390" w14:textId="4415D85F" w:rsidR="00CA5EEA" w:rsidRDefault="008631DC" w:rsidP="003D0F16">
            <w:pPr>
              <w:rPr>
                <w:sz w:val="20"/>
                <w:szCs w:val="20"/>
              </w:rPr>
            </w:pPr>
            <w:r>
              <w:rPr>
                <w:sz w:val="20"/>
                <w:szCs w:val="20"/>
              </w:rPr>
              <w:t>OD data for 2020 not available</w:t>
            </w:r>
          </w:p>
        </w:tc>
      </w:tr>
    </w:tbl>
    <w:p w14:paraId="46BEC85D" w14:textId="77777777" w:rsidR="00CA5EEA" w:rsidRDefault="00CA5EEA" w:rsidP="003D0F16">
      <w:pPr>
        <w:rPr>
          <w:noProof/>
          <w:lang w:eastAsia="en-AU"/>
        </w:rPr>
      </w:pPr>
    </w:p>
    <w:p w14:paraId="2590866F" w14:textId="69367832" w:rsidR="00CA5EEA" w:rsidRPr="00122779" w:rsidRDefault="00CA5EEA" w:rsidP="00DA3BD5">
      <w:pPr>
        <w:pStyle w:val="BodyText"/>
        <w:rPr>
          <w:rFonts w:asciiTheme="majorHAnsi" w:eastAsiaTheme="majorEastAsia" w:hAnsiTheme="majorHAnsi" w:cstheme="majorBidi"/>
          <w:noProof/>
          <w:color w:val="51247A" w:themeColor="accent1"/>
          <w:sz w:val="24"/>
          <w:szCs w:val="24"/>
          <w:lang w:eastAsia="en-AU"/>
        </w:rPr>
      </w:pPr>
      <w:r>
        <w:rPr>
          <w:noProof/>
          <w:lang w:eastAsia="en-AU"/>
        </w:rPr>
        <w:t xml:space="preserve">One major external factor that could not have been foreseen at the commencement of the Pilot was the COVID-19 pandemic.  Please refer to </w:t>
      </w:r>
      <w:r w:rsidR="00AF3728">
        <w:rPr>
          <w:noProof/>
          <w:lang w:eastAsia="en-AU"/>
        </w:rPr>
        <w:t xml:space="preserve">‘Impacts of COVID-19’ </w:t>
      </w:r>
      <w:r w:rsidDel="0051549A">
        <w:rPr>
          <w:noProof/>
          <w:lang w:eastAsia="en-AU"/>
        </w:rPr>
        <w:t xml:space="preserve">in </w:t>
      </w:r>
      <w:r>
        <w:rPr>
          <w:noProof/>
          <w:lang w:eastAsia="en-AU"/>
        </w:rPr>
        <w:t>section 3.1</w:t>
      </w:r>
      <w:r w:rsidR="00D328D3">
        <w:rPr>
          <w:noProof/>
          <w:lang w:eastAsia="en-AU"/>
        </w:rPr>
        <w:t>.8</w:t>
      </w:r>
      <w:r w:rsidR="00997E8F">
        <w:rPr>
          <w:noProof/>
          <w:lang w:eastAsia="en-AU"/>
        </w:rPr>
        <w:t xml:space="preserve"> for discussion of the impact of COVID-19 on the Pilot operations.</w:t>
      </w:r>
      <w:r>
        <w:rPr>
          <w:noProof/>
          <w:lang w:eastAsia="en-AU"/>
        </w:rPr>
        <w:t xml:space="preserve"> </w:t>
      </w:r>
    </w:p>
    <w:p w14:paraId="34821F73" w14:textId="77777777" w:rsidR="00CA5EEA" w:rsidRPr="00F700F1" w:rsidRDefault="00CA5EEA" w:rsidP="00A0570E">
      <w:pPr>
        <w:pStyle w:val="NbrHeading2"/>
      </w:pPr>
      <w:bookmarkStart w:id="166" w:name="_Toc94794118"/>
      <w:bookmarkStart w:id="167" w:name="_Toc94794253"/>
      <w:r w:rsidRPr="00F700F1">
        <w:t>Were sufficient resources available to assist with implementation of the THN pilot?</w:t>
      </w:r>
      <w:bookmarkEnd w:id="166"/>
      <w:bookmarkEnd w:id="167"/>
    </w:p>
    <w:p w14:paraId="7EFD516B" w14:textId="2F1FC704" w:rsidR="00CA5EEA" w:rsidRPr="00C77D4D" w:rsidRDefault="00CA5EEA" w:rsidP="00AF3728">
      <w:pPr>
        <w:pStyle w:val="BodyText"/>
        <w:spacing w:line="260" w:lineRule="exact"/>
        <w:rPr>
          <w:b/>
          <w:bCs/>
        </w:rPr>
      </w:pPr>
      <w:r w:rsidRPr="00C77D4D">
        <w:t xml:space="preserve">This section outlines issues </w:t>
      </w:r>
      <w:r w:rsidR="007052CD">
        <w:t>related to</w:t>
      </w:r>
      <w:r w:rsidR="007052CD" w:rsidRPr="00C77D4D">
        <w:t xml:space="preserve"> </w:t>
      </w:r>
      <w:r w:rsidRPr="00C77D4D">
        <w:t xml:space="preserve">system-level resourcing for the Pilot; </w:t>
      </w:r>
      <w:r w:rsidR="000526B2">
        <w:t xml:space="preserve">service level resourcing and </w:t>
      </w:r>
      <w:r w:rsidRPr="00C77D4D">
        <w:t xml:space="preserve">the impact on individual access sites </w:t>
      </w:r>
      <w:r w:rsidR="000526B2">
        <w:t>are</w:t>
      </w:r>
      <w:r w:rsidR="000526B2" w:rsidRPr="00C77D4D">
        <w:t xml:space="preserve"> </w:t>
      </w:r>
      <w:r w:rsidRPr="00C77D4D">
        <w:t>discussed in Chapter 6</w:t>
      </w:r>
      <w:r>
        <w:rPr>
          <w:b/>
          <w:bCs/>
        </w:rPr>
        <w:t>.</w:t>
      </w:r>
      <w:r w:rsidRPr="00C77D4D">
        <w:rPr>
          <w:b/>
          <w:bCs/>
        </w:rPr>
        <w:t xml:space="preserve"> </w:t>
      </w:r>
    </w:p>
    <w:p w14:paraId="5729837C" w14:textId="77777777" w:rsidR="00CA5EEA" w:rsidRDefault="00CA5EEA" w:rsidP="0044116E">
      <w:pPr>
        <w:pStyle w:val="NbrHeading3"/>
      </w:pPr>
      <w:bookmarkStart w:id="168" w:name="_Toc94794119"/>
      <w:bookmarkStart w:id="169" w:name="_Toc94794254"/>
      <w:r>
        <w:t>Were the existing workforce and infrastructures adequate to support the Pilot implementation?</w:t>
      </w:r>
      <w:bookmarkEnd w:id="168"/>
      <w:bookmarkEnd w:id="169"/>
    </w:p>
    <w:p w14:paraId="6EA61192" w14:textId="37ECC369" w:rsidR="00CA5EEA" w:rsidRPr="00C77D4D" w:rsidRDefault="00CA5EEA" w:rsidP="0044116E">
      <w:pPr>
        <w:pStyle w:val="NbrHeading4"/>
      </w:pPr>
      <w:r w:rsidRPr="00C77D4D">
        <w:t>Workforce</w:t>
      </w:r>
    </w:p>
    <w:p w14:paraId="73FD12F6" w14:textId="3B7765AB" w:rsidR="00CA5EEA" w:rsidRDefault="00CA5EEA" w:rsidP="003267B5">
      <w:pPr>
        <w:pStyle w:val="BodyText"/>
      </w:pPr>
      <w:r>
        <w:t xml:space="preserve">Under the agreement with the Australian Government, funding was provided to fully subsidise the cost of naloxone, the Program </w:t>
      </w:r>
      <w:r w:rsidDel="00C464E9">
        <w:t>administrator</w:t>
      </w:r>
      <w:r>
        <w:t>, and the evaluation. Australian Government funding covered dispensing fees and mark ups applicable to PBS supply at participating pharmacies, but not activity costs for the other Authorised Alternative Suppliers (AAS). The participating states were to support the implementation and coordination of the Pilot.</w:t>
      </w:r>
    </w:p>
    <w:p w14:paraId="4ECD4A32" w14:textId="4712C293" w:rsidR="00CA5EEA" w:rsidRDefault="00CA5EEA" w:rsidP="003267B5">
      <w:pPr>
        <w:pStyle w:val="BodyText"/>
      </w:pPr>
      <w:bookmarkStart w:id="170" w:name="_Hlk84585405"/>
      <w:r>
        <w:t>I</w:t>
      </w:r>
      <w:r w:rsidR="00EE7F86">
        <w:t>n practice, i</w:t>
      </w:r>
      <w:r>
        <w:t xml:space="preserve">mplementation </w:t>
      </w:r>
      <w:r w:rsidR="00EE7F86">
        <w:t>of the Pilot heavily</w:t>
      </w:r>
      <w:r>
        <w:t xml:space="preserve"> relied on the activity of </w:t>
      </w:r>
      <w:r w:rsidR="002D1C55">
        <w:t xml:space="preserve">‘champions’ at </w:t>
      </w:r>
      <w:r>
        <w:t xml:space="preserve">state, local and access site </w:t>
      </w:r>
      <w:r w:rsidR="002D1C55">
        <w:t>levels</w:t>
      </w:r>
      <w:r w:rsidR="0064654C">
        <w:t xml:space="preserve">, </w:t>
      </w:r>
      <w:r>
        <w:t>who engaged in the range of work necessary to implement</w:t>
      </w:r>
      <w:r w:rsidR="0064654C">
        <w:t xml:space="preserve">, coordinate </w:t>
      </w:r>
      <w:r w:rsidR="0064654C">
        <w:lastRenderedPageBreak/>
        <w:t>and promote</w:t>
      </w:r>
      <w:r>
        <w:t xml:space="preserve"> the Pilot, either as part of their </w:t>
      </w:r>
      <w:r w:rsidR="00375370">
        <w:t xml:space="preserve">current </w:t>
      </w:r>
      <w:r>
        <w:t>roles or in addition to their existing workloads. This work was not resourced as part of Australian Government funding for the Pilot but relied on existing local funding and resources</w:t>
      </w:r>
      <w:r w:rsidR="005B4DA2">
        <w:t xml:space="preserve">, on which the </w:t>
      </w:r>
      <w:r>
        <w:t xml:space="preserve">scaled-up activity level of the Pilot placed significant pressure. </w:t>
      </w:r>
      <w:r w:rsidRPr="00AF0099">
        <w:t xml:space="preserve">Roundtable participants noted this </w:t>
      </w:r>
      <w:r w:rsidR="00E77D67" w:rsidRPr="00AF0099">
        <w:t xml:space="preserve">entailed </w:t>
      </w:r>
      <w:r w:rsidRPr="00AF0099">
        <w:t xml:space="preserve">a significant investment by State governments and </w:t>
      </w:r>
      <w:r w:rsidR="00152634" w:rsidRPr="00AF0099">
        <w:t xml:space="preserve">the </w:t>
      </w:r>
      <w:r w:rsidRPr="00AF0099">
        <w:t>AASs providing THN</w:t>
      </w:r>
      <w:r w:rsidR="004D2528" w:rsidRPr="00AF0099">
        <w:t xml:space="preserve">. State governments may have been </w:t>
      </w:r>
      <w:proofErr w:type="gramStart"/>
      <w:r w:rsidR="004D2528" w:rsidRPr="00AF0099">
        <w:t>in a position</w:t>
      </w:r>
      <w:proofErr w:type="gramEnd"/>
      <w:r w:rsidR="004D2528" w:rsidRPr="00AF0099">
        <w:t xml:space="preserve"> to divert funding previously used to support the cost of naloxone; </w:t>
      </w:r>
      <w:r w:rsidR="00431490" w:rsidRPr="00AF0099">
        <w:t xml:space="preserve">non-government AAS may not. </w:t>
      </w:r>
      <w:r w:rsidR="00E933FA" w:rsidRPr="00AF0099">
        <w:t>Planning</w:t>
      </w:r>
      <w:r w:rsidR="00997741" w:rsidRPr="00AF0099">
        <w:t xml:space="preserve"> for </w:t>
      </w:r>
      <w:r w:rsidRPr="00AF0099">
        <w:t>future programs</w:t>
      </w:r>
      <w:r w:rsidR="004F40FF" w:rsidRPr="00AF0099">
        <w:t>, particularly expanded activities,</w:t>
      </w:r>
      <w:r w:rsidRPr="00AF0099">
        <w:t xml:space="preserve"> </w:t>
      </w:r>
      <w:r w:rsidR="00E933FA" w:rsidRPr="00AF0099">
        <w:t xml:space="preserve">should </w:t>
      </w:r>
      <w:r w:rsidRPr="00AF0099">
        <w:t xml:space="preserve">include </w:t>
      </w:r>
      <w:r w:rsidR="00D02E23" w:rsidRPr="00AF0099">
        <w:t>consideration of these resourcing needs and</w:t>
      </w:r>
      <w:r w:rsidR="00572917" w:rsidRPr="00AF0099">
        <w:t xml:space="preserve"> </w:t>
      </w:r>
      <w:r w:rsidR="004F40FF" w:rsidRPr="00AF0099">
        <w:t>identify mechanisms</w:t>
      </w:r>
      <w:r w:rsidR="00DC27FF" w:rsidRPr="00AF0099">
        <w:t xml:space="preserve"> to </w:t>
      </w:r>
      <w:r w:rsidRPr="00AF0099">
        <w:t>support implementation costs.</w:t>
      </w:r>
    </w:p>
    <w:bookmarkEnd w:id="170"/>
    <w:p w14:paraId="34A4507C" w14:textId="77777777" w:rsidR="00CA5EEA" w:rsidRPr="00C77D4D" w:rsidRDefault="00CA5EEA" w:rsidP="0044116E">
      <w:pPr>
        <w:pStyle w:val="NbrHeading4"/>
      </w:pPr>
      <w:r>
        <w:t xml:space="preserve">Policy and System </w:t>
      </w:r>
      <w:r w:rsidRPr="00C77D4D">
        <w:rPr>
          <w:bCs/>
        </w:rPr>
        <w:t>Infrastructure</w:t>
      </w:r>
    </w:p>
    <w:p w14:paraId="1EB0633D" w14:textId="4303238A" w:rsidR="00CA5EEA" w:rsidRDefault="00CA5EEA" w:rsidP="00580544">
      <w:pPr>
        <w:pStyle w:val="BodyText"/>
      </w:pPr>
      <w:r>
        <w:t>As noted in section 3.1,</w:t>
      </w:r>
      <w:r w:rsidDel="00E11ACC">
        <w:t xml:space="preserve"> </w:t>
      </w:r>
      <w:r>
        <w:t>legislation was enacted by the Australian Government to allow the supply of naloxone in a broader range of approved settings. State provisions were also required to authorise supply by non-medical personnel. These measures were in place in NSW and WA to facilitate their pre-Pilot programs, but not in SA. It was deemed that the development of such legislation in SA would not be possible in time to implement the Pilot, hence the restriction of THN provision to pharmacies in that state. New policy directives were also required in NSW to authorise THN supply through non-government organisations (NGOs). Development of such directives required significant time, for example NGO participation was finally approved in NSW in October 2020. Similarly, governance approval for pharmacists to supply THN directly in SA hospitals did not occur until June 2020 despite the absence of legal barriers</w:t>
      </w:r>
      <w:r w:rsidR="00EF5690">
        <w:t>. R</w:t>
      </w:r>
      <w:r w:rsidR="00D90D42">
        <w:t xml:space="preserve">ound table participants noted that </w:t>
      </w:r>
      <w:r w:rsidR="0013734E">
        <w:t>protocols for</w:t>
      </w:r>
      <w:r w:rsidR="00D90D42">
        <w:t xml:space="preserve"> </w:t>
      </w:r>
      <w:r w:rsidR="00EF5690">
        <w:t xml:space="preserve">direct supply of naloxone by pharmacists </w:t>
      </w:r>
      <w:r w:rsidR="009E3DB3">
        <w:t xml:space="preserve">within the hospital </w:t>
      </w:r>
      <w:r w:rsidR="007C2D61">
        <w:t xml:space="preserve">involved </w:t>
      </w:r>
      <w:r w:rsidR="009E3DB3">
        <w:t xml:space="preserve">coordination and agreements between </w:t>
      </w:r>
      <w:r w:rsidR="00D90D42">
        <w:t>numerous</w:t>
      </w:r>
      <w:r w:rsidR="005D0FF0">
        <w:t xml:space="preserve"> divisions and services across the hospital</w:t>
      </w:r>
      <w:r>
        <w:t>.</w:t>
      </w:r>
      <w:r w:rsidR="00FE4C19">
        <w:t xml:space="preserve"> This is discussed in more detail in Chapter 6.</w:t>
      </w:r>
    </w:p>
    <w:p w14:paraId="6FDBEBDB" w14:textId="096E0703" w:rsidR="00CA5EEA" w:rsidRDefault="00CA5EEA" w:rsidP="00580544">
      <w:pPr>
        <w:pStyle w:val="BodyText"/>
      </w:pPr>
      <w:r>
        <w:t xml:space="preserve">The Australian health system which divides each state into </w:t>
      </w:r>
      <w:proofErr w:type="gramStart"/>
      <w:r>
        <w:t>a number of</w:t>
      </w:r>
      <w:proofErr w:type="gramEnd"/>
      <w:r>
        <w:t xml:space="preserve"> Local Health Districts (LHDs in NSW), Local Health Networks (LHNs, in SA) or Health Service Providers (HSPs in WA) means that multiple independent structures must be navigated in order to operationalise new ‘universal’ health programs. Diversity among these structures requires significant ongoing effort and multiple strategies to engage with the necessary range of stakeholders on-the-ground, placing further pressure on existing staffing resources of the central implementing </w:t>
      </w:r>
      <w:r w:rsidR="000277CD">
        <w:t>agencies</w:t>
      </w:r>
      <w:r>
        <w:t xml:space="preserve">.  </w:t>
      </w:r>
    </w:p>
    <w:p w14:paraId="62F42273" w14:textId="7DCA7D0B" w:rsidR="00CA5EEA" w:rsidRDefault="00CA5EEA" w:rsidP="00686423">
      <w:pPr>
        <w:pStyle w:val="BodyText"/>
      </w:pPr>
      <w:bookmarkStart w:id="171" w:name="_Hlk84585455"/>
      <w:r>
        <w:t xml:space="preserve">Implementation of a THN program in any new jurisdictions are likely to require considerable time to establish the necessary state based legislative environments and </w:t>
      </w:r>
      <w:r w:rsidR="00205B19">
        <w:t xml:space="preserve">then </w:t>
      </w:r>
      <w:r w:rsidR="008A55DE">
        <w:t xml:space="preserve">to develop </w:t>
      </w:r>
      <w:r w:rsidR="00205B19">
        <w:t xml:space="preserve">the multi-level </w:t>
      </w:r>
      <w:r>
        <w:t>health system approvals</w:t>
      </w:r>
      <w:r w:rsidR="002F1EA3">
        <w:t xml:space="preserve"> and protocols to support activity</w:t>
      </w:r>
      <w:r>
        <w:t>.</w:t>
      </w:r>
    </w:p>
    <w:p w14:paraId="4ADA7336" w14:textId="77777777" w:rsidR="00CA5EEA" w:rsidRDefault="00CA5EEA" w:rsidP="0044116E">
      <w:pPr>
        <w:pStyle w:val="NbrHeading3"/>
      </w:pPr>
      <w:bookmarkStart w:id="172" w:name="_Toc94794120"/>
      <w:bookmarkStart w:id="173" w:name="_Toc94794255"/>
      <w:bookmarkEnd w:id="171"/>
      <w:r>
        <w:t>Was the Pilot sufficiently promoted to generate demand and allow implementation to work as envisaged?</w:t>
      </w:r>
      <w:bookmarkEnd w:id="172"/>
      <w:bookmarkEnd w:id="173"/>
      <w:r>
        <w:t xml:space="preserve"> </w:t>
      </w:r>
    </w:p>
    <w:p w14:paraId="3982CBDD" w14:textId="48D6D590" w:rsidR="00CA5EEA" w:rsidRDefault="00CA5EEA" w:rsidP="00A868D4">
      <w:pPr>
        <w:pStyle w:val="BodyText"/>
        <w:spacing w:line="260" w:lineRule="exact"/>
      </w:pPr>
      <w:proofErr w:type="gramStart"/>
      <w:r>
        <w:t>In order to</w:t>
      </w:r>
      <w:proofErr w:type="gramEnd"/>
      <w:r>
        <w:t xml:space="preserve"> achieve these aims, promotion to a number of target audiences was required: professionals and sites who would be needed to dispense naloxone, consumers who knew about naloxone and would want to access it more easily, and the general public who may not be aware of the need for naloxone as a response to opioid overdoses. We analysed communications logs, feedback from roundtables, environmental and media scanning for evidence of promotional activity</w:t>
      </w:r>
      <w:r w:rsidR="006E50F9">
        <w:t xml:space="preserve"> and approaches that targeted each audience</w:t>
      </w:r>
      <w:r w:rsidR="00B35B17">
        <w:t xml:space="preserve"> type</w:t>
      </w:r>
      <w:r>
        <w:t>.</w:t>
      </w:r>
    </w:p>
    <w:p w14:paraId="69D3B0AE" w14:textId="535E31DF" w:rsidR="00CA5EEA" w:rsidRPr="00A4003B" w:rsidRDefault="00CA5EEA" w:rsidP="0044116E">
      <w:pPr>
        <w:pStyle w:val="NbrHeading4"/>
      </w:pPr>
      <w:r w:rsidRPr="00A4003B">
        <w:t>Health practitioners</w:t>
      </w:r>
    </w:p>
    <w:p w14:paraId="792DE36A" w14:textId="5E6196EF" w:rsidR="00CA5EEA" w:rsidRDefault="00CA5EEA" w:rsidP="00E52DA4">
      <w:pPr>
        <w:pStyle w:val="BodyText"/>
        <w:spacing w:line="260" w:lineRule="exact"/>
      </w:pPr>
      <w:r>
        <w:t>The</w:t>
      </w:r>
      <w:r w:rsidDel="00E11ACC">
        <w:t xml:space="preserve"> </w:t>
      </w:r>
      <w:r>
        <w:t xml:space="preserve">Department made significant attempts prior to the Pilot’s commencement to engage a range of national peak organisations, representing medical practitioners, </w:t>
      </w:r>
      <w:proofErr w:type="gramStart"/>
      <w:r>
        <w:t>pharmacists</w:t>
      </w:r>
      <w:proofErr w:type="gramEnd"/>
      <w:r>
        <w:t xml:space="preserve"> and consumers, with some resulting agreements to support the Pilot by sharing key messages. State implementing </w:t>
      </w:r>
      <w:r w:rsidR="000277CD">
        <w:t>agencies</w:t>
      </w:r>
      <w:r>
        <w:t xml:space="preserve"> </w:t>
      </w:r>
      <w:r w:rsidR="00CD1DE9">
        <w:t xml:space="preserve">also </w:t>
      </w:r>
      <w:r>
        <w:t xml:space="preserve">approached state branches of these organisations, with some more active engagement and support forthcoming. </w:t>
      </w:r>
    </w:p>
    <w:p w14:paraId="707A6266" w14:textId="7E797D3B" w:rsidR="00CA5EEA" w:rsidRDefault="00CA5EEA" w:rsidP="00E52DA4">
      <w:pPr>
        <w:pStyle w:val="BodyText"/>
        <w:spacing w:line="260" w:lineRule="exact"/>
      </w:pPr>
      <w:r>
        <w:lastRenderedPageBreak/>
        <w:t xml:space="preserve">The Chief Medical Officer sent letters in December 2019 to all community pharmacies and private hospitals in all three states and to public hospital pharmacies in SA and WA to advise them about the Pilot. This was followed by circulation of an editorial by the Chief Medical Officer to stakeholders (including peak bodies and primary health networks) along with information on how to register. The Minister for Health also wrote to each of the participating State Health Ministers. </w:t>
      </w:r>
    </w:p>
    <w:p w14:paraId="2DC1D880" w14:textId="60E83C98" w:rsidR="00AF68DC" w:rsidRPr="002213D4" w:rsidRDefault="00CA5EEA" w:rsidP="00AF68DC">
      <w:pPr>
        <w:pStyle w:val="BodyText"/>
        <w:rPr>
          <w:lang w:eastAsia="en-AU"/>
        </w:rPr>
      </w:pPr>
      <w:r>
        <w:t xml:space="preserve">The Pharmaceutical Society of Australia (PSA) and Society of Hospital Pharmacists of Australia (SHPA) both actively promoted the Pilot to their </w:t>
      </w:r>
      <w:proofErr w:type="gramStart"/>
      <w:r>
        <w:t>membership, and</w:t>
      </w:r>
      <w:proofErr w:type="gramEnd"/>
      <w:r>
        <w:t xml:space="preserve"> created supporting resources to guide THN provision</w:t>
      </w:r>
      <w:r>
        <w:rPr>
          <w:rStyle w:val="FootnoteReference"/>
        </w:rPr>
        <w:footnoteReference w:id="11"/>
      </w:r>
      <w:r>
        <w:t>. The Pharmacy Guild of Australia was less active at national level but did provide some support in SA. Despite this, awareness of the Pilot among community pharmacies was not universal. Mystery shopping visits</w:t>
      </w:r>
      <w:r w:rsidDel="008209D6">
        <w:t xml:space="preserve"> </w:t>
      </w:r>
      <w:r>
        <w:t xml:space="preserve">found </w:t>
      </w:r>
      <w:r w:rsidR="004D350A">
        <w:t>staff were a</w:t>
      </w:r>
      <w:r w:rsidR="00517B51">
        <w:t>ware of the Pilot at only 10 of 2</w:t>
      </w:r>
      <w:r w:rsidR="00D83491">
        <w:t>4</w:t>
      </w:r>
      <w:r w:rsidR="00517B51">
        <w:t xml:space="preserve"> sites visited</w:t>
      </w:r>
      <w:r w:rsidR="00B743AE">
        <w:t xml:space="preserve"> (</w:t>
      </w:r>
      <w:r w:rsidR="00AF68DC">
        <w:rPr>
          <w:lang w:eastAsia="en-AU"/>
        </w:rPr>
        <w:t xml:space="preserve">a further six said that the </w:t>
      </w:r>
      <w:r w:rsidR="003406B8">
        <w:rPr>
          <w:lang w:eastAsia="en-AU"/>
        </w:rPr>
        <w:t>P</w:t>
      </w:r>
      <w:r w:rsidR="00AF68DC">
        <w:rPr>
          <w:lang w:eastAsia="en-AU"/>
        </w:rPr>
        <w:t xml:space="preserve">ilot was not mentioned during the transaction and </w:t>
      </w:r>
      <w:r w:rsidR="003E5469">
        <w:rPr>
          <w:lang w:eastAsia="en-AU"/>
        </w:rPr>
        <w:t xml:space="preserve">in </w:t>
      </w:r>
      <w:r w:rsidR="00AF68DC">
        <w:rPr>
          <w:lang w:eastAsia="en-AU"/>
        </w:rPr>
        <w:t xml:space="preserve">another </w:t>
      </w:r>
      <w:r w:rsidR="003E5469">
        <w:rPr>
          <w:lang w:eastAsia="en-AU"/>
        </w:rPr>
        <w:t>four,</w:t>
      </w:r>
      <w:r w:rsidR="00AF68DC">
        <w:rPr>
          <w:lang w:eastAsia="en-AU"/>
        </w:rPr>
        <w:t xml:space="preserve"> no </w:t>
      </w:r>
      <w:r w:rsidR="003406B8">
        <w:rPr>
          <w:lang w:eastAsia="en-AU"/>
        </w:rPr>
        <w:t>comment</w:t>
      </w:r>
      <w:r w:rsidR="00AF68DC">
        <w:rPr>
          <w:lang w:eastAsia="en-AU"/>
        </w:rPr>
        <w:t xml:space="preserve"> was </w:t>
      </w:r>
      <w:r w:rsidR="003E5469">
        <w:rPr>
          <w:lang w:eastAsia="en-AU"/>
        </w:rPr>
        <w:t>recorded</w:t>
      </w:r>
      <w:r w:rsidR="00AF68DC">
        <w:rPr>
          <w:lang w:eastAsia="en-AU"/>
        </w:rPr>
        <w:t>)</w:t>
      </w:r>
      <w:r w:rsidR="00095491">
        <w:rPr>
          <w:lang w:eastAsia="en-AU"/>
        </w:rPr>
        <w:t>.</w:t>
      </w:r>
    </w:p>
    <w:p w14:paraId="6ED53608" w14:textId="0AB2FBE1" w:rsidR="00CA5EEA" w:rsidRDefault="00CA5EEA" w:rsidP="00E52DA4">
      <w:pPr>
        <w:pStyle w:val="BodyText"/>
        <w:spacing w:line="260" w:lineRule="exact"/>
      </w:pPr>
      <w:r>
        <w:t>The</w:t>
      </w:r>
      <w:r w:rsidDel="00E11ACC">
        <w:t xml:space="preserve"> </w:t>
      </w:r>
      <w:r>
        <w:t xml:space="preserve">Department developed a dedicated website for the Pilot, with information for the </w:t>
      </w:r>
      <w:proofErr w:type="gramStart"/>
      <w:r>
        <w:t>general public</w:t>
      </w:r>
      <w:proofErr w:type="gramEnd"/>
      <w:r>
        <w:t xml:space="preserve"> and identifying a broad range of potential naloxone recipients. </w:t>
      </w:r>
      <w:r w:rsidR="00721501">
        <w:t xml:space="preserve">The Administrator’s website also </w:t>
      </w:r>
      <w:r w:rsidR="0095287E">
        <w:t xml:space="preserve">held information on the Pilot, </w:t>
      </w:r>
      <w:r w:rsidR="00C67F52">
        <w:t xml:space="preserve">sent information broadcasts to </w:t>
      </w:r>
      <w:r w:rsidR="00847041">
        <w:t>registered</w:t>
      </w:r>
      <w:r w:rsidR="00C67F52">
        <w:t xml:space="preserve"> sites, and </w:t>
      </w:r>
      <w:r w:rsidR="00101E9D">
        <w:t xml:space="preserve">operated a help desk to assist with registration enquiries. </w:t>
      </w:r>
      <w:r>
        <w:t>Promotion of the Pilot was also undertaken through web pages on the sites for the WAMHC and SA Health under ‘resources for health professionals’ and for NSW Health under the AOD programs section. Each of these were for health practitioners and appeared to focus on naloxone for people who use illicit opioids and their family/carers.</w:t>
      </w:r>
    </w:p>
    <w:p w14:paraId="0486CD71" w14:textId="16FB8969" w:rsidR="00CA5EEA" w:rsidRPr="002F0E49" w:rsidRDefault="00DD2EA9" w:rsidP="00E52DA4">
      <w:pPr>
        <w:pStyle w:val="BodyText"/>
        <w:spacing w:line="260" w:lineRule="exact"/>
      </w:pPr>
      <w:bookmarkStart w:id="174" w:name="_Hlk84585513"/>
      <w:r>
        <w:t>The absence of dedicated</w:t>
      </w:r>
      <w:r w:rsidR="00CA5EEA" w:rsidRPr="002F0E49">
        <w:t xml:space="preserve"> funding for promotional activities by the implementing </w:t>
      </w:r>
      <w:r w:rsidR="000277CD">
        <w:t>agencies</w:t>
      </w:r>
      <w:r w:rsidR="00CA5EEA" w:rsidRPr="002F0E49">
        <w:t xml:space="preserve"> </w:t>
      </w:r>
      <w:r>
        <w:t xml:space="preserve">may also have </w:t>
      </w:r>
      <w:r w:rsidR="00CA5EEA" w:rsidRPr="002F0E49">
        <w:t>impacted on awareness</w:t>
      </w:r>
      <w:r w:rsidR="002F0E49" w:rsidRPr="002F0E49">
        <w:t xml:space="preserve"> and opportunities for cross-communication </w:t>
      </w:r>
      <w:r>
        <w:t xml:space="preserve">within professional communities </w:t>
      </w:r>
      <w:r w:rsidR="002F0E49" w:rsidRPr="002F0E49">
        <w:t>about the Pilot</w:t>
      </w:r>
      <w:r w:rsidR="00CA5EEA" w:rsidRPr="002F0E49">
        <w:t>.</w:t>
      </w:r>
    </w:p>
    <w:bookmarkEnd w:id="174"/>
    <w:p w14:paraId="42841755" w14:textId="47BCD45D" w:rsidR="00CA5EEA" w:rsidRPr="00762700" w:rsidRDefault="00AD4F47" w:rsidP="003D0F16">
      <w:pPr>
        <w:pStyle w:val="Quote"/>
      </w:pPr>
      <w:r w:rsidRPr="002F0E49">
        <w:t>So,</w:t>
      </w:r>
      <w:r w:rsidR="00CA5EEA" w:rsidRPr="002F0E49">
        <w:t xml:space="preserve"> in terms of promoting the access to free naloxone, that could be done a lot better in this jurisdiction. </w:t>
      </w:r>
      <w:r w:rsidR="00CA5EEA" w:rsidRPr="002F0E49" w:rsidDel="00CD6200">
        <w:t>There isn't a lot of communication between services that are providing take</w:t>
      </w:r>
      <w:r w:rsidR="003F3118">
        <w:t xml:space="preserve"> </w:t>
      </w:r>
      <w:r w:rsidR="00CA5EEA" w:rsidRPr="002F0E49" w:rsidDel="00CD6200">
        <w:t xml:space="preserve">home naloxone. </w:t>
      </w:r>
      <w:r w:rsidR="00CA5EEA" w:rsidRPr="002F0E49">
        <w:t>(Roundtable Participant, NGO, WA)</w:t>
      </w:r>
    </w:p>
    <w:p w14:paraId="11F23173" w14:textId="53A9DD4D" w:rsidR="00A51737" w:rsidRDefault="00AD0998" w:rsidP="00E52DA4">
      <w:pPr>
        <w:pStyle w:val="BodyText"/>
        <w:spacing w:line="260" w:lineRule="exact"/>
      </w:pPr>
      <w:r>
        <w:t>Roundtable consultations</w:t>
      </w:r>
      <w:r w:rsidR="00A60E76">
        <w:t xml:space="preserve"> </w:t>
      </w:r>
      <w:r w:rsidR="00EF1BA5">
        <w:t xml:space="preserve">also showed that in some other </w:t>
      </w:r>
      <w:r w:rsidR="00BE0303">
        <w:t xml:space="preserve">regions, </w:t>
      </w:r>
      <w:r w:rsidR="003A5363">
        <w:t xml:space="preserve">local champions </w:t>
      </w:r>
      <w:r w:rsidR="00901DBB">
        <w:t xml:space="preserve">acted independently and </w:t>
      </w:r>
      <w:r w:rsidR="00CE17DB">
        <w:t xml:space="preserve">actively </w:t>
      </w:r>
      <w:r w:rsidR="003A5363">
        <w:t>promoted th</w:t>
      </w:r>
      <w:r w:rsidR="00CE17DB">
        <w:t xml:space="preserve">e Pilot among </w:t>
      </w:r>
      <w:r w:rsidR="00135E29">
        <w:t xml:space="preserve">their </w:t>
      </w:r>
      <w:r w:rsidR="00CE17DB">
        <w:t>service networks</w:t>
      </w:r>
      <w:r w:rsidR="00901DBB">
        <w:t>, inter-agency working groups</w:t>
      </w:r>
      <w:r w:rsidR="005D27B1">
        <w:t xml:space="preserve"> a</w:t>
      </w:r>
      <w:r w:rsidR="0039734F">
        <w:t>nd</w:t>
      </w:r>
      <w:r w:rsidR="002B53EE">
        <w:t xml:space="preserve"> local community organisations</w:t>
      </w:r>
      <w:r w:rsidR="00F92307">
        <w:t xml:space="preserve">. This resulted in </w:t>
      </w:r>
      <w:r w:rsidR="00B2075E">
        <w:t>increased awareness</w:t>
      </w:r>
      <w:r w:rsidR="009F1C9E">
        <w:t xml:space="preserve"> and </w:t>
      </w:r>
      <w:r w:rsidR="001E1384">
        <w:t xml:space="preserve">more </w:t>
      </w:r>
      <w:r w:rsidR="009F1C9E">
        <w:t xml:space="preserve">active participation </w:t>
      </w:r>
      <w:r w:rsidR="002C27A2">
        <w:t xml:space="preserve">by </w:t>
      </w:r>
      <w:r w:rsidR="001E1384">
        <w:t xml:space="preserve">registered </w:t>
      </w:r>
      <w:r w:rsidR="002C27A2">
        <w:t>sites within those areas</w:t>
      </w:r>
      <w:r w:rsidR="002B53EE">
        <w:t xml:space="preserve">, </w:t>
      </w:r>
      <w:r w:rsidR="000C278C">
        <w:t xml:space="preserve">and </w:t>
      </w:r>
      <w:r w:rsidR="00096D71">
        <w:t xml:space="preserve">in some cases providing unanticipated </w:t>
      </w:r>
      <w:r w:rsidR="00A14C8D">
        <w:t>benefits from local connections</w:t>
      </w:r>
      <w:r w:rsidR="00DE2346">
        <w:t xml:space="preserve"> in that a broader range of potential access sites were identified and subsequently recruited into the Pilot</w:t>
      </w:r>
      <w:r w:rsidR="0003786E">
        <w:t>.</w:t>
      </w:r>
      <w:r>
        <w:t xml:space="preserve"> </w:t>
      </w:r>
      <w:r w:rsidR="006C41BA">
        <w:t xml:space="preserve">Consumer participants in such networks also </w:t>
      </w:r>
      <w:r w:rsidR="00714383">
        <w:t>provided peer-to-peer</w:t>
      </w:r>
      <w:r w:rsidR="0049400D">
        <w:t xml:space="preserve"> promotion, including into </w:t>
      </w:r>
      <w:r w:rsidR="009A3DE5">
        <w:t>carer and other potential witness groups.</w:t>
      </w:r>
      <w:r w:rsidR="006C41BA">
        <w:t xml:space="preserve"> </w:t>
      </w:r>
      <w:r>
        <w:t>Health</w:t>
      </w:r>
      <w:r w:rsidR="00EF1BA5">
        <w:t xml:space="preserve"> promotion </w:t>
      </w:r>
      <w:r w:rsidR="0031022F">
        <w:t xml:space="preserve">and community development </w:t>
      </w:r>
      <w:r w:rsidR="00EF1BA5">
        <w:t xml:space="preserve">practitioners were identified as </w:t>
      </w:r>
      <w:r w:rsidR="00D47342">
        <w:t xml:space="preserve">key </w:t>
      </w:r>
      <w:r w:rsidR="00782D27">
        <w:t>actors in such circumstances</w:t>
      </w:r>
      <w:r w:rsidR="00E51883">
        <w:t xml:space="preserve">, </w:t>
      </w:r>
      <w:r w:rsidR="00CA79F3">
        <w:t xml:space="preserve">typically </w:t>
      </w:r>
      <w:r w:rsidR="00E51883">
        <w:t xml:space="preserve">being aware of local </w:t>
      </w:r>
      <w:r w:rsidR="00C63F67">
        <w:t xml:space="preserve">community </w:t>
      </w:r>
      <w:r w:rsidR="00E51883">
        <w:t xml:space="preserve">health </w:t>
      </w:r>
      <w:r w:rsidR="00C63F67">
        <w:t xml:space="preserve">concerns, potential activity partners and </w:t>
      </w:r>
      <w:r w:rsidR="00B22DD6">
        <w:t>available communication channels</w:t>
      </w:r>
      <w:r w:rsidR="0031022F">
        <w:t xml:space="preserve">. </w:t>
      </w:r>
      <w:r w:rsidR="003E033E">
        <w:t xml:space="preserve">Building </w:t>
      </w:r>
      <w:r w:rsidR="00BC7CFA">
        <w:t>these</w:t>
      </w:r>
      <w:r w:rsidR="003E033E">
        <w:t xml:space="preserve"> activities</w:t>
      </w:r>
      <w:r w:rsidR="00ED2628">
        <w:t xml:space="preserve"> into </w:t>
      </w:r>
      <w:r w:rsidR="006B7CFE">
        <w:t>a large-scale roll out of THN</w:t>
      </w:r>
      <w:r w:rsidR="003E033E">
        <w:t xml:space="preserve">, </w:t>
      </w:r>
      <w:r w:rsidR="00C541D2">
        <w:t>incorporating</w:t>
      </w:r>
      <w:r w:rsidR="0031022F" w:rsidDel="003E033E">
        <w:t xml:space="preserve"> </w:t>
      </w:r>
      <w:r w:rsidR="003E033E">
        <w:t xml:space="preserve">existing </w:t>
      </w:r>
      <w:r w:rsidR="00905A97">
        <w:t xml:space="preserve">knowledge and </w:t>
      </w:r>
      <w:r w:rsidR="003E033E">
        <w:t>practices</w:t>
      </w:r>
      <w:r w:rsidR="00844E6F">
        <w:t xml:space="preserve"> from</w:t>
      </w:r>
      <w:r w:rsidR="006306DE">
        <w:t xml:space="preserve"> these networks</w:t>
      </w:r>
      <w:r w:rsidR="00844E6F">
        <w:t xml:space="preserve"> into </w:t>
      </w:r>
      <w:r w:rsidR="00C541D2">
        <w:t>specified roles</w:t>
      </w:r>
      <w:r w:rsidR="003E033E">
        <w:t xml:space="preserve">, </w:t>
      </w:r>
      <w:r w:rsidR="006222B3">
        <w:t>could prov</w:t>
      </w:r>
      <w:r w:rsidR="00AE1A3B">
        <w:t>id</w:t>
      </w:r>
      <w:r w:rsidR="006222B3">
        <w:t xml:space="preserve">e </w:t>
      </w:r>
      <w:r w:rsidR="00AE1A3B">
        <w:t>local boosts to</w:t>
      </w:r>
      <w:r w:rsidR="00790F3D">
        <w:t xml:space="preserve"> awareness raising</w:t>
      </w:r>
      <w:r w:rsidR="006306DE">
        <w:t xml:space="preserve"> and increas</w:t>
      </w:r>
      <w:r w:rsidR="00AE1A3B">
        <w:t>e</w:t>
      </w:r>
      <w:r w:rsidR="006306DE">
        <w:t xml:space="preserve"> participation</w:t>
      </w:r>
      <w:r w:rsidR="00790F3D">
        <w:t>.</w:t>
      </w:r>
      <w:r w:rsidR="00782D27">
        <w:t xml:space="preserve"> </w:t>
      </w:r>
      <w:r>
        <w:t xml:space="preserve"> </w:t>
      </w:r>
    </w:p>
    <w:p w14:paraId="607FE2F5" w14:textId="684DE1EC" w:rsidR="00CA5EEA" w:rsidRDefault="00CA5EEA" w:rsidP="00E52DA4">
      <w:pPr>
        <w:pStyle w:val="BodyText"/>
        <w:spacing w:line="260" w:lineRule="exact"/>
      </w:pPr>
      <w:proofErr w:type="spellStart"/>
      <w:r>
        <w:t>PainAustralia</w:t>
      </w:r>
      <w:proofErr w:type="spellEnd"/>
      <w:r>
        <w:t xml:space="preserve"> was contracted by the Department to undertake promotional activities to the chronic pain sector, both practitioners and patients; these </w:t>
      </w:r>
      <w:r w:rsidR="00586BD8">
        <w:t xml:space="preserve">promotional activities </w:t>
      </w:r>
      <w:r>
        <w:t xml:space="preserve">were launched in June 2020. </w:t>
      </w:r>
      <w:proofErr w:type="spellStart"/>
      <w:r w:rsidR="00833B37">
        <w:t>PainAustralia</w:t>
      </w:r>
      <w:proofErr w:type="spellEnd"/>
      <w:r w:rsidR="00833B37">
        <w:t xml:space="preserve"> reported</w:t>
      </w:r>
      <w:r w:rsidR="00FA4CDB">
        <w:t xml:space="preserve"> </w:t>
      </w:r>
      <w:r w:rsidR="00F40379">
        <w:t xml:space="preserve">in September 2020 </w:t>
      </w:r>
      <w:r w:rsidR="004034FE">
        <w:t xml:space="preserve">on </w:t>
      </w:r>
      <w:r w:rsidR="00FA4CDB">
        <w:t xml:space="preserve">a reach of 20,000 for Facebook/Twitter posts on </w:t>
      </w:r>
      <w:r w:rsidR="00D43F2D">
        <w:t>pain management that included links to THN</w:t>
      </w:r>
      <w:r w:rsidR="00F90A94">
        <w:t xml:space="preserve">, </w:t>
      </w:r>
      <w:r w:rsidR="004034FE">
        <w:t xml:space="preserve">and </w:t>
      </w:r>
      <w:r w:rsidR="00A60B5E">
        <w:t>cumulative reach of 22,000 for a feature article on THN in their newsletter</w:t>
      </w:r>
      <w:r w:rsidR="00F81CD2">
        <w:t xml:space="preserve">. </w:t>
      </w:r>
      <w:r>
        <w:t xml:space="preserve">Environmental scanning </w:t>
      </w:r>
      <w:r w:rsidR="005E2EB3">
        <w:t xml:space="preserve">by the </w:t>
      </w:r>
      <w:r w:rsidR="005E2EB3">
        <w:lastRenderedPageBreak/>
        <w:t xml:space="preserve">evaluation team </w:t>
      </w:r>
      <w:r>
        <w:t xml:space="preserve">subsequently detected some social media from these activities but </w:t>
      </w:r>
      <w:r w:rsidR="00917C53">
        <w:t xml:space="preserve">not </w:t>
      </w:r>
      <w:r>
        <w:t xml:space="preserve">widespread </w:t>
      </w:r>
      <w:r w:rsidR="00EC7832">
        <w:t>further broadcast of the messages</w:t>
      </w:r>
      <w:r w:rsidR="00917C53">
        <w:t xml:space="preserve">. </w:t>
      </w:r>
      <w:r>
        <w:t xml:space="preserve">Pain clinics </w:t>
      </w:r>
      <w:r w:rsidR="00E60166">
        <w:t xml:space="preserve">and practitioners </w:t>
      </w:r>
      <w:r>
        <w:t xml:space="preserve">contacted during the evaluation </w:t>
      </w:r>
      <w:r w:rsidR="00205043">
        <w:t>to participate in</w:t>
      </w:r>
      <w:r w:rsidR="0078355D">
        <w:t xml:space="preserve"> consultations or interviews </w:t>
      </w:r>
      <w:r>
        <w:t>were largely unaware of the Pilot.</w:t>
      </w:r>
    </w:p>
    <w:p w14:paraId="2532AAFF" w14:textId="77777777" w:rsidR="00CA5EEA" w:rsidRPr="00A4003B" w:rsidRDefault="00CA5EEA" w:rsidP="002F0E49">
      <w:pPr>
        <w:pStyle w:val="NbrHeading4"/>
      </w:pPr>
      <w:r w:rsidRPr="00A4003B">
        <w:t>People who use illicit drugs</w:t>
      </w:r>
    </w:p>
    <w:p w14:paraId="23D6B1E2" w14:textId="5031E7D3" w:rsidR="00CA5EEA" w:rsidRDefault="00CA5EEA" w:rsidP="00D56F9C">
      <w:pPr>
        <w:pStyle w:val="BodyText"/>
        <w:spacing w:line="260" w:lineRule="exact"/>
      </w:pPr>
      <w:r>
        <w:t>Data from the Illicit Drugs Reporting System (IDRS) show that a large proportion of people</w:t>
      </w:r>
      <w:r w:rsidR="00845FB5">
        <w:t xml:space="preserve"> recruited from capital cities</w:t>
      </w:r>
      <w:r>
        <w:t xml:space="preserve"> who inject drugs were aware of naloxone prior to the Pilot</w:t>
      </w:r>
      <w:r w:rsidR="00424431">
        <w:t xml:space="preserve"> </w:t>
      </w:r>
      <w:r w:rsidR="003B7936">
        <w:fldChar w:fldCharType="begin"/>
      </w:r>
      <w:r w:rsidR="00441C1C">
        <w:instrText xml:space="preserve"> ADDIN EN.CITE &lt;EndNote&gt;&lt;Cite&gt;&lt;Author&gt;Salom&lt;/Author&gt;&lt;Year&gt;2020&lt;/Year&gt;&lt;RecNum&gt;113&lt;/RecNum&gt;&lt;DisplayText&gt;(39)&lt;/DisplayText&gt;&lt;record&gt;&lt;rec-number&gt;113&lt;/rec-number&gt;&lt;foreign-keys&gt;&lt;key app="EN" db-id="p00v9zw27zzswpe25phxpead0asdt50td92p" timestamp="1629691757"&gt;113&lt;/key&gt;&lt;/foreign-keys&gt;&lt;ref-type name="Report"&gt;27&lt;/ref-type&gt;&lt;contributors&gt;&lt;authors&gt;&lt;author&gt;Salom, Caroline&lt;/author&gt;&lt;author&gt;Daly, Catherine&lt;/author&gt;&lt;author&gt;Juckel, Jennifer&lt;/author&gt;&lt;author&gt;Morris, Leith&lt;/author&gt;&lt;/authors&gt;&lt;/contributors&gt;&lt;titles&gt;&lt;title&gt;Trends in awareness, uptake and deployment of naloxone among a sample of people who inject drugs in Australia&lt;/title&gt;&lt;secondary-title&gt;Drug Trends Bulletin Series&lt;/secondary-title&gt;&lt;/titles&gt;&lt;dates&gt;&lt;year&gt;2020&lt;/year&gt;&lt;/dates&gt;&lt;pub-location&gt;Sydney&lt;/pub-location&gt;&lt;publisher&gt;National Drug and Alcohol Research Centre, UNSW&lt;/publisher&gt;&lt;urls&gt;&lt;/urls&gt;&lt;/record&gt;&lt;/Cite&gt;&lt;/EndNote&gt;</w:instrText>
      </w:r>
      <w:r w:rsidR="003B7936">
        <w:fldChar w:fldCharType="separate"/>
      </w:r>
      <w:r w:rsidR="00441C1C">
        <w:rPr>
          <w:noProof/>
        </w:rPr>
        <w:t>(39)</w:t>
      </w:r>
      <w:r w:rsidR="003B7936">
        <w:fldChar w:fldCharType="end"/>
      </w:r>
      <w:r w:rsidR="00424431">
        <w:t>.</w:t>
      </w:r>
      <w:r>
        <w:t xml:space="preserve"> Nationally, over 80% of 2019 participants reported awareness of naloxone, and 57% knew about THN programs. These figures were lower in SA, where programs had not recently operated (61% knew about naloxone, but only about 21% about THN programs). This background awareness and appetite for THN along with existing knowledge of THN among workers in the AOD sector, </w:t>
      </w:r>
      <w:r w:rsidR="001F26DB">
        <w:t>may have</w:t>
      </w:r>
      <w:r>
        <w:t xml:space="preserve"> meant that uptake by this group</w:t>
      </w:r>
      <w:r w:rsidR="000544C8">
        <w:t xml:space="preserve"> was</w:t>
      </w:r>
      <w:r w:rsidR="00FE137C">
        <w:t xml:space="preserve"> influenced more by </w:t>
      </w:r>
      <w:r w:rsidR="00CB4184">
        <w:t xml:space="preserve">THN </w:t>
      </w:r>
      <w:r w:rsidR="00FE137C">
        <w:t xml:space="preserve">availability and communication through </w:t>
      </w:r>
      <w:r w:rsidR="00D01CFF">
        <w:t>AOD services than</w:t>
      </w:r>
      <w:r w:rsidR="00CA4179">
        <w:t xml:space="preserve"> </w:t>
      </w:r>
      <w:r w:rsidR="00CB4184">
        <w:t>public campaigns</w:t>
      </w:r>
      <w:r w:rsidR="002D50EB">
        <w:t xml:space="preserve"> may have achieved</w:t>
      </w:r>
      <w:r>
        <w:t xml:space="preserve">. </w:t>
      </w:r>
    </w:p>
    <w:p w14:paraId="7E72FC3F" w14:textId="1F77702C" w:rsidR="00CA5EEA" w:rsidRDefault="00CA5EEA" w:rsidP="00D56F9C">
      <w:pPr>
        <w:pStyle w:val="BodyText"/>
        <w:spacing w:line="260" w:lineRule="exact"/>
      </w:pPr>
      <w:r>
        <w:t xml:space="preserve">A lack of standardised promotional materials suitable for all access sites was noted. Each state produced their own </w:t>
      </w:r>
      <w:r w:rsidR="00241A1F">
        <w:t xml:space="preserve">branded </w:t>
      </w:r>
      <w:r>
        <w:t>resources for consumers (fact sheets)</w:t>
      </w:r>
      <w:r w:rsidR="007A3954">
        <w:t>,</w:t>
      </w:r>
      <w:r>
        <w:t xml:space="preserve"> typically to accompany the brief intervention</w:t>
      </w:r>
      <w:r w:rsidR="00A82D73">
        <w:t>/education</w:t>
      </w:r>
      <w:r>
        <w:t xml:space="preserve"> provided along with naloxone at access sites. The information contained was similar but not standardised.</w:t>
      </w:r>
    </w:p>
    <w:p w14:paraId="1C43F23A" w14:textId="77777777" w:rsidR="00CA5EEA" w:rsidRPr="00A4003B" w:rsidRDefault="00CA5EEA" w:rsidP="002F0E49">
      <w:pPr>
        <w:pStyle w:val="NbrHeading4"/>
      </w:pPr>
      <w:r w:rsidRPr="00A4003B">
        <w:t>General public</w:t>
      </w:r>
    </w:p>
    <w:p w14:paraId="75B05FED" w14:textId="77777777" w:rsidR="00CA5EEA" w:rsidRDefault="00CA5EEA" w:rsidP="00D56F9C">
      <w:pPr>
        <w:pStyle w:val="BodyText"/>
        <w:spacing w:line="260" w:lineRule="exact"/>
      </w:pPr>
      <w:r>
        <w:t>Despite funding for the Pilot having been announced broadly in February 2019 during the 2019 election campaigns, subsequent broad promotion was not undertaken at national level and the Pilot was not publicly launched at commencement in December 2019.</w:t>
      </w:r>
      <w:r w:rsidRPr="00FC1AE1">
        <w:t xml:space="preserve"> </w:t>
      </w:r>
    </w:p>
    <w:p w14:paraId="4291BA88" w14:textId="676B5CA5" w:rsidR="00882757" w:rsidRDefault="00CA5EEA" w:rsidP="00D56F9C">
      <w:pPr>
        <w:pStyle w:val="BodyText"/>
        <w:spacing w:line="260" w:lineRule="exact"/>
      </w:pPr>
      <w:r>
        <w:t>The Department provided some ongoing promotional materials for display at access sites: posters, window decals and ‘</w:t>
      </w:r>
      <w:r w:rsidR="00E13AD4">
        <w:t>countertop</w:t>
      </w:r>
      <w:r>
        <w:t>’ stickers. Mystery shop</w:t>
      </w:r>
      <w:r w:rsidR="006300A9">
        <w:t>ping</w:t>
      </w:r>
      <w:r>
        <w:t xml:space="preserve"> visits subsequently identified these at </w:t>
      </w:r>
      <w:r w:rsidR="002B4162">
        <w:t xml:space="preserve">only </w:t>
      </w:r>
      <w:r w:rsidR="00916319">
        <w:t>four of 24</w:t>
      </w:r>
      <w:r>
        <w:t xml:space="preserve"> sites visited. </w:t>
      </w:r>
      <w:r w:rsidR="00B83D26">
        <w:t xml:space="preserve">COVID-19 restrictions </w:t>
      </w:r>
      <w:r w:rsidR="0097371D">
        <w:t>and infection control practices</w:t>
      </w:r>
      <w:r w:rsidR="00C20B7F">
        <w:t xml:space="preserve"> resulted in many pharmacies removing display materials from counters to reduce </w:t>
      </w:r>
      <w:r w:rsidR="00A51C95">
        <w:t xml:space="preserve">infection risks. </w:t>
      </w:r>
    </w:p>
    <w:p w14:paraId="2B1A766D" w14:textId="2F5FEF6E" w:rsidR="00654A02" w:rsidRDefault="00CA5EEA" w:rsidP="00D56F9C">
      <w:pPr>
        <w:pStyle w:val="BodyText"/>
        <w:spacing w:line="260" w:lineRule="exact"/>
        <w:rPr>
          <w:highlight w:val="yellow"/>
        </w:rPr>
      </w:pPr>
      <w:bookmarkStart w:id="175" w:name="_Hlk84585600"/>
      <w:r>
        <w:t xml:space="preserve">Low levels of wider-community awareness of naloxone, or the risk of opioid overdose among people other than those who use illicit drugs, </w:t>
      </w:r>
      <w:r w:rsidRPr="008C3894">
        <w:t xml:space="preserve">meant that </w:t>
      </w:r>
      <w:r w:rsidR="000634CE" w:rsidRPr="008C3894">
        <w:t xml:space="preserve">considerable public awareness raising would be required to </w:t>
      </w:r>
      <w:r w:rsidR="004410E3" w:rsidRPr="008C3894">
        <w:t xml:space="preserve">generate </w:t>
      </w:r>
      <w:r w:rsidR="001A41E7" w:rsidRPr="008C3894">
        <w:t>increased</w:t>
      </w:r>
      <w:r w:rsidRPr="008C3894">
        <w:t xml:space="preserve"> demand </w:t>
      </w:r>
      <w:r w:rsidR="001A41E7" w:rsidRPr="008C3894">
        <w:t>for naloxone among</w:t>
      </w:r>
      <w:r w:rsidR="00E241D0" w:rsidRPr="008C3894">
        <w:t xml:space="preserve"> </w:t>
      </w:r>
      <w:r w:rsidR="000B74A7" w:rsidRPr="008C3894">
        <w:t xml:space="preserve">people </w:t>
      </w:r>
      <w:r w:rsidR="0071254B" w:rsidRPr="008C3894">
        <w:t xml:space="preserve">who </w:t>
      </w:r>
      <w:r w:rsidR="00FE21DE" w:rsidRPr="008C3894">
        <w:t xml:space="preserve">do not </w:t>
      </w:r>
      <w:r w:rsidR="00FF4258" w:rsidRPr="008C3894">
        <w:t>use opioids</w:t>
      </w:r>
      <w:r w:rsidR="004A4DA0" w:rsidRPr="008C3894">
        <w:t xml:space="preserve"> themselves</w:t>
      </w:r>
      <w:r w:rsidR="000B74A7" w:rsidRPr="008C3894">
        <w:t xml:space="preserve"> but </w:t>
      </w:r>
      <w:r w:rsidR="00660AEB" w:rsidRPr="008C3894">
        <w:t>could</w:t>
      </w:r>
      <w:r w:rsidR="00F652FE" w:rsidRPr="008C3894">
        <w:t xml:space="preserve"> become trained active witnesses in</w:t>
      </w:r>
      <w:r w:rsidRPr="008C3894">
        <w:t xml:space="preserve"> the </w:t>
      </w:r>
      <w:r w:rsidR="00F652FE" w:rsidRPr="008C3894">
        <w:t>event of an overdose</w:t>
      </w:r>
      <w:r w:rsidR="000824CF" w:rsidRPr="008C3894">
        <w:t>.</w:t>
      </w:r>
      <w:r w:rsidR="001E77C0" w:rsidRPr="008C3894">
        <w:t xml:space="preserve"> </w:t>
      </w:r>
      <w:r w:rsidR="003B35DA" w:rsidRPr="008C3894">
        <w:t xml:space="preserve">Such a campaign </w:t>
      </w:r>
      <w:r w:rsidR="00E007F6" w:rsidRPr="008C3894">
        <w:t xml:space="preserve">would also need to </w:t>
      </w:r>
      <w:r w:rsidR="00D65AD9" w:rsidRPr="008C3894">
        <w:t xml:space="preserve">normalise the use of naloxone as a lifesaving medication in case of overdose or adverse reactions. </w:t>
      </w:r>
      <w:r w:rsidR="008C3894" w:rsidRPr="008C3894">
        <w:t>We found</w:t>
      </w:r>
      <w:r w:rsidR="00F637F5" w:rsidRPr="008C3894">
        <w:t xml:space="preserve"> no evidence of such </w:t>
      </w:r>
      <w:r w:rsidR="008C3894" w:rsidRPr="008C3894">
        <w:t>a campaign</w:t>
      </w:r>
      <w:r w:rsidR="00654A02" w:rsidRPr="008C3894">
        <w:t xml:space="preserve">. </w:t>
      </w:r>
    </w:p>
    <w:p w14:paraId="28AF4CE2" w14:textId="181BB910" w:rsidR="005D3B1A" w:rsidRPr="00211D37" w:rsidRDefault="00CA5EEA" w:rsidP="00211D37">
      <w:pPr>
        <w:pStyle w:val="BodyText"/>
        <w:spacing w:line="260" w:lineRule="exact"/>
      </w:pPr>
      <w:bookmarkStart w:id="176" w:name="_Hlk84585617"/>
      <w:bookmarkEnd w:id="175"/>
      <w:r>
        <w:t xml:space="preserve">Promotion of the Pilot was instead heavily dependent on pharmacists actively broaching the subject </w:t>
      </w:r>
      <w:r w:rsidR="00BD019F">
        <w:t xml:space="preserve">of naloxone </w:t>
      </w:r>
      <w:r>
        <w:t>with potential recipients</w:t>
      </w:r>
      <w:r w:rsidR="00BD019F">
        <w:t xml:space="preserve"> as part of their clinical practice</w:t>
      </w:r>
      <w:r>
        <w:t>. This was in turn dependent on pharmacists’ judgement of whom it was appropriate to approach</w:t>
      </w:r>
      <w:r w:rsidR="00930C3B">
        <w:t>, which may not include</w:t>
      </w:r>
      <w:r w:rsidR="004E710D">
        <w:t xml:space="preserve"> people </w:t>
      </w:r>
      <w:r w:rsidR="00AA55C7">
        <w:t>likely to witness someone else’s overdose.</w:t>
      </w:r>
    </w:p>
    <w:p w14:paraId="2A8E931F" w14:textId="13BF305E" w:rsidR="00CA5EEA" w:rsidRPr="00F700F1" w:rsidRDefault="00CA5EEA" w:rsidP="00A0570E">
      <w:pPr>
        <w:pStyle w:val="NbrHeading2"/>
      </w:pPr>
      <w:bookmarkStart w:id="177" w:name="_Toc94794121"/>
      <w:bookmarkStart w:id="178" w:name="_Toc94794256"/>
      <w:bookmarkEnd w:id="176"/>
      <w:r w:rsidRPr="00F700F1">
        <w:t>What effect did the supply/distribution mechanisms have on the uptake of THN?</w:t>
      </w:r>
      <w:bookmarkEnd w:id="177"/>
      <w:bookmarkEnd w:id="178"/>
    </w:p>
    <w:p w14:paraId="3AAEC462" w14:textId="48697107" w:rsidR="00CA5EEA" w:rsidRDefault="00CA5EEA" w:rsidP="003267B5">
      <w:pPr>
        <w:pStyle w:val="BodyText"/>
      </w:pPr>
      <w:r>
        <w:t xml:space="preserve">This section examines the extent to which the distribution mechanisms </w:t>
      </w:r>
      <w:r w:rsidR="005A0C0E">
        <w:t xml:space="preserve">in place for the Pilot </w:t>
      </w:r>
      <w:r>
        <w:t xml:space="preserve">ensured efficient delivery, adequate </w:t>
      </w:r>
      <w:proofErr w:type="gramStart"/>
      <w:r>
        <w:t>stock</w:t>
      </w:r>
      <w:proofErr w:type="gramEnd"/>
      <w:r>
        <w:t xml:space="preserve"> and reimbursement for dispensing at access sites. </w:t>
      </w:r>
    </w:p>
    <w:p w14:paraId="5DB0BF50" w14:textId="77777777" w:rsidR="00CA5EEA" w:rsidRDefault="00CA5EEA" w:rsidP="00BC5CD0">
      <w:pPr>
        <w:pStyle w:val="NbrHeading3"/>
      </w:pPr>
      <w:bookmarkStart w:id="179" w:name="_Toc94794122"/>
      <w:bookmarkStart w:id="180" w:name="_Toc94794257"/>
      <w:r>
        <w:t>Delivery</w:t>
      </w:r>
      <w:bookmarkEnd w:id="179"/>
      <w:bookmarkEnd w:id="180"/>
      <w:r>
        <w:t xml:space="preserve"> </w:t>
      </w:r>
    </w:p>
    <w:p w14:paraId="65C242DD" w14:textId="3D0C82D8" w:rsidR="00D92F26" w:rsidRDefault="00CA5EEA" w:rsidP="003267B5">
      <w:pPr>
        <w:pStyle w:val="BodyText"/>
      </w:pPr>
      <w:r>
        <w:t xml:space="preserve">Pharmacy settings and NSW government health services </w:t>
      </w:r>
      <w:r w:rsidR="002B38DF">
        <w:t>continued to use</w:t>
      </w:r>
      <w:r>
        <w:t xml:space="preserve"> existing ordering mechanisms to order stock and arrange delivery. </w:t>
      </w:r>
      <w:r w:rsidR="005E6DDF">
        <w:t xml:space="preserve">The Commonwealth paid the distribution costs </w:t>
      </w:r>
      <w:r w:rsidR="005E6DDF">
        <w:lastRenderedPageBreak/>
        <w:t xml:space="preserve">in these circumstances under existing </w:t>
      </w:r>
      <w:r w:rsidR="005A69B6">
        <w:t xml:space="preserve">standard </w:t>
      </w:r>
      <w:r w:rsidR="005E6DDF">
        <w:t>PBS arrangements</w:t>
      </w:r>
      <w:r w:rsidR="00624EC6">
        <w:t>.</w:t>
      </w:r>
      <w:r w:rsidR="00651440">
        <w:t xml:space="preserve"> </w:t>
      </w:r>
      <w:r>
        <w:t xml:space="preserve">Such existing arrangements limited </w:t>
      </w:r>
      <w:r w:rsidR="00F7799F">
        <w:t xml:space="preserve">the introduction of </w:t>
      </w:r>
      <w:r w:rsidR="006F6095">
        <w:t>additional</w:t>
      </w:r>
      <w:r w:rsidR="00F17AC9">
        <w:t xml:space="preserve"> </w:t>
      </w:r>
      <w:r>
        <w:t xml:space="preserve">distribution costs </w:t>
      </w:r>
      <w:r w:rsidR="00F7799F">
        <w:t xml:space="preserve">from </w:t>
      </w:r>
      <w:r>
        <w:t xml:space="preserve">the Pilot. </w:t>
      </w:r>
    </w:p>
    <w:p w14:paraId="192ECB26" w14:textId="77777777" w:rsidR="00E16272" w:rsidRDefault="00CA5EEA" w:rsidP="003267B5">
      <w:pPr>
        <w:pStyle w:val="BodyText"/>
      </w:pPr>
      <w:r>
        <w:t xml:space="preserve">WA </w:t>
      </w:r>
      <w:r w:rsidR="00C705A5">
        <w:t>AAS</w:t>
      </w:r>
      <w:r>
        <w:t xml:space="preserve"> obtained stock through the WAMHC, which acted as a wholesaler and distributor and </w:t>
      </w:r>
      <w:r w:rsidR="00DB7706">
        <w:t>continued to support</w:t>
      </w:r>
      <w:r>
        <w:t xml:space="preserve"> distribution costs</w:t>
      </w:r>
      <w:r w:rsidR="00DB7706">
        <w:t xml:space="preserve"> as it had done under previous arrangements</w:t>
      </w:r>
      <w:r>
        <w:t xml:space="preserve">. </w:t>
      </w:r>
    </w:p>
    <w:p w14:paraId="33341F09" w14:textId="730442E3" w:rsidR="00E16272" w:rsidRDefault="00E16272" w:rsidP="00E16272">
      <w:pPr>
        <w:pStyle w:val="Quote"/>
      </w:pPr>
      <w:r w:rsidRPr="5CDA3ED1">
        <w:t xml:space="preserve">Since I last spoke to you, the Mental Health Commission has contacted us regularly, and whenever they are putting in orders, they ask us how much we would like, so we’ve managed to always have naloxone on hand. </w:t>
      </w:r>
      <w:r>
        <w:t>(</w:t>
      </w:r>
      <w:r w:rsidRPr="5CDA3ED1">
        <w:t xml:space="preserve">WA, NSP staff member, </w:t>
      </w:r>
      <w:r>
        <w:t>Interviewed</w:t>
      </w:r>
      <w:r w:rsidRPr="5CDA3ED1">
        <w:t xml:space="preserve"> May 2021).</w:t>
      </w:r>
    </w:p>
    <w:p w14:paraId="60A8467D" w14:textId="3C9942C5" w:rsidR="00CA5EEA" w:rsidRDefault="00A61374" w:rsidP="003267B5">
      <w:pPr>
        <w:pStyle w:val="BodyText"/>
      </w:pPr>
      <w:r>
        <w:t xml:space="preserve">No </w:t>
      </w:r>
      <w:r w:rsidR="00BA2A14">
        <w:t>e</w:t>
      </w:r>
      <w:r w:rsidR="000F1578">
        <w:t>x</w:t>
      </w:r>
      <w:r w:rsidR="00BA2A14">
        <w:t xml:space="preserve">isting mechanism was in place to support distribution to </w:t>
      </w:r>
      <w:r w:rsidR="000F1578">
        <w:t>non-government AAS in NSW.</w:t>
      </w:r>
      <w:r w:rsidR="00CA5EEA">
        <w:t xml:space="preserve"> As NSW Health was not permitted to act as a wholesaler, NGOs in NSW were required to order stock through a wholesaler/distributor contracted by NSW Health. </w:t>
      </w:r>
      <w:r w:rsidR="00387EA4">
        <w:t>D</w:t>
      </w:r>
      <w:r w:rsidR="00CA5EEA">
        <w:t xml:space="preserve">istributors were initially reluctant to provide </w:t>
      </w:r>
      <w:r w:rsidR="00B55778">
        <w:t xml:space="preserve">the projected </w:t>
      </w:r>
      <w:r w:rsidR="00CA5EEA">
        <w:t xml:space="preserve">low volumes for NGO distribution, resulting in a significant delay in contracting and </w:t>
      </w:r>
      <w:r w:rsidR="00F43495">
        <w:t>subsequent</w:t>
      </w:r>
      <w:r w:rsidR="00CA5EEA">
        <w:t xml:space="preserve"> commencement of NSW NGO participation in the Pilot. </w:t>
      </w:r>
      <w:r w:rsidR="007D0C79">
        <w:t>Establishment of these new supply chain mechanisms meant that th</w:t>
      </w:r>
      <w:r w:rsidR="00CA5EEA">
        <w:t>e distributor charged additional costs per unit as well as delivery fees</w:t>
      </w:r>
      <w:r w:rsidR="00CA5EEA" w:rsidRPr="00071EB6">
        <w:t>, adding further to the THN implementation budget</w:t>
      </w:r>
      <w:r w:rsidR="00071EB6">
        <w:t xml:space="preserve"> for NSW</w:t>
      </w:r>
      <w:r w:rsidR="00CA5EEA" w:rsidRPr="00071EB6">
        <w:t>.</w:t>
      </w:r>
    </w:p>
    <w:p w14:paraId="32A50EDD" w14:textId="41F85BD7" w:rsidR="00CA5EEA" w:rsidRDefault="00CA5EEA" w:rsidP="00BC5CD0">
      <w:pPr>
        <w:pStyle w:val="NbrHeading3"/>
      </w:pPr>
      <w:bookmarkStart w:id="181" w:name="_Toc94794123"/>
      <w:bookmarkStart w:id="182" w:name="_Toc94794258"/>
      <w:r>
        <w:t>Adequate stock</w:t>
      </w:r>
      <w:bookmarkEnd w:id="181"/>
      <w:bookmarkEnd w:id="182"/>
    </w:p>
    <w:p w14:paraId="01380BE1" w14:textId="7037859A" w:rsidR="00983A05" w:rsidRPr="00983A05" w:rsidRDefault="00CA5EEA" w:rsidP="00983A05">
      <w:pPr>
        <w:pStyle w:val="BodyText"/>
        <w:spacing w:line="260" w:lineRule="exact"/>
      </w:pPr>
      <w:r>
        <w:t>Interruption to supply was noted in March 2020 due to COVID-19 related international delays and interstate transport disruptions; this created some uncertainty around Pilot viability but was resolved quickly (April 2020). No further supply interruptions were reported during the evaluation period.</w:t>
      </w:r>
    </w:p>
    <w:p w14:paraId="51802A93" w14:textId="344DF216" w:rsidR="00E16272" w:rsidRDefault="00E16272" w:rsidP="00E16272">
      <w:pPr>
        <w:pStyle w:val="Quote"/>
      </w:pPr>
      <w:r w:rsidRPr="5CDA3ED1">
        <w:t xml:space="preserve">I guess the only thing that's really impacted on our distribution has been to do with the fact that there is a global pandemic and we've had a couple of periods of lockdown… Distribution levels </w:t>
      </w:r>
      <w:proofErr w:type="gramStart"/>
      <w:r w:rsidRPr="5CDA3ED1">
        <w:t>at the moment</w:t>
      </w:r>
      <w:proofErr w:type="gramEnd"/>
      <w:r w:rsidRPr="5CDA3ED1">
        <w:t xml:space="preserve"> are pretty much on a par with what they were before March last year, but there's been a lot of fluctuation over the last year </w:t>
      </w:r>
      <w:r w:rsidR="007434D6">
        <w:t>(</w:t>
      </w:r>
      <w:r w:rsidRPr="5CDA3ED1">
        <w:t xml:space="preserve">WA, NSP staff member, </w:t>
      </w:r>
      <w:r>
        <w:t>Interviewed</w:t>
      </w:r>
      <w:r w:rsidRPr="5CDA3ED1">
        <w:t xml:space="preserve"> May 2021).</w:t>
      </w:r>
    </w:p>
    <w:p w14:paraId="18F1E496" w14:textId="56B32070" w:rsidR="00B1735B" w:rsidRDefault="00CA5EEA" w:rsidP="006C1352">
      <w:pPr>
        <w:pStyle w:val="BodyText"/>
        <w:spacing w:line="260" w:lineRule="exact"/>
      </w:pPr>
      <w:r>
        <w:t xml:space="preserve">Pharmacies were less willing to order large quantities of stock ahead of establishing demand as they were concerned that the cost of unused stock would not be reimbursed through the Pilot. </w:t>
      </w:r>
    </w:p>
    <w:p w14:paraId="21203CBC" w14:textId="6FE8164D" w:rsidR="00B1735B" w:rsidRDefault="00B1735B" w:rsidP="00B1735B">
      <w:pPr>
        <w:pStyle w:val="Quote"/>
      </w:pPr>
      <w:proofErr w:type="gramStart"/>
      <w:r w:rsidRPr="00A7678A">
        <w:t>Well</w:t>
      </w:r>
      <w:proofErr w:type="gramEnd"/>
      <w:r w:rsidRPr="00A7678A">
        <w:t xml:space="preserve"> we never really sold it before this, that is the thing. Like we never knew it was an option. Like we knew it became a pharmacist only medication a while ago, but we never had anyone coming in asking for it. Like we never gauged the demand of people buying it</w:t>
      </w:r>
      <w:r>
        <w:t xml:space="preserve"> (NSW, Community pharmacy staff member, Interviewed April 2020).</w:t>
      </w:r>
    </w:p>
    <w:p w14:paraId="07B899EE" w14:textId="00FFF1DC" w:rsidR="00E83E78" w:rsidRDefault="00CA5EEA" w:rsidP="003267B5">
      <w:pPr>
        <w:pStyle w:val="BodyText"/>
      </w:pPr>
      <w:r>
        <w:t>Commercial wholesalers were also reportedly reluctant to hold significant quantities of stock due to uncertain demand. These led to instances of delay in supply to pharmacies and AAS</w:t>
      </w:r>
      <w:r w:rsidR="00E01078">
        <w:t>, as reported during staff interviews and roundtable consultations</w:t>
      </w:r>
      <w:r>
        <w:t>.</w:t>
      </w:r>
    </w:p>
    <w:p w14:paraId="63F15215" w14:textId="2A140329" w:rsidR="0066582C" w:rsidRDefault="0044436A" w:rsidP="003267B5">
      <w:pPr>
        <w:pStyle w:val="BodyText"/>
      </w:pPr>
      <w:r>
        <w:t xml:space="preserve">Not all </w:t>
      </w:r>
      <w:r w:rsidR="00540FB0">
        <w:t xml:space="preserve">registered </w:t>
      </w:r>
      <w:r>
        <w:t xml:space="preserve">pharmacies were found to stock naloxone; while </w:t>
      </w:r>
      <w:r w:rsidR="00E01DA3">
        <w:t>stock could be ordered within 1-2 days,</w:t>
      </w:r>
      <w:r w:rsidR="001052E5">
        <w:t xml:space="preserve"> c</w:t>
      </w:r>
      <w:r w:rsidR="00262403">
        <w:t>onsumer i</w:t>
      </w:r>
      <w:r w:rsidR="00A245F2">
        <w:t xml:space="preserve">nterviews </w:t>
      </w:r>
      <w:r w:rsidR="0065793B">
        <w:t xml:space="preserve">described </w:t>
      </w:r>
      <w:r w:rsidR="007656CD">
        <w:t>lack of</w:t>
      </w:r>
      <w:r w:rsidR="00CA5EEA" w:rsidRPr="00DB2ECE">
        <w:t xml:space="preserve"> stock availability </w:t>
      </w:r>
      <w:r w:rsidR="00C46BDD">
        <w:t xml:space="preserve">or delays in supply </w:t>
      </w:r>
      <w:r w:rsidR="004B5B7C">
        <w:t>as</w:t>
      </w:r>
      <w:r w:rsidR="001E33D2">
        <w:t xml:space="preserve"> a real barrier to access</w:t>
      </w:r>
      <w:r w:rsidR="00805621">
        <w:t xml:space="preserve">, </w:t>
      </w:r>
      <w:r w:rsidR="006E7C61">
        <w:t xml:space="preserve">potentially </w:t>
      </w:r>
      <w:r w:rsidR="00F24834">
        <w:t xml:space="preserve">being </w:t>
      </w:r>
      <w:r w:rsidR="00CA5EEA" w:rsidRPr="00DB2ECE">
        <w:t xml:space="preserve">discouraged </w:t>
      </w:r>
      <w:r w:rsidR="00CA5EEA">
        <w:t xml:space="preserve">after making unsuccessful attempts. </w:t>
      </w:r>
      <w:r w:rsidR="008C2325">
        <w:t>Mystery shopping visits showed that pharmacies without THN in stock were not always willing or able to suggest a local alternative supply venue.</w:t>
      </w:r>
      <w:r w:rsidR="001A360C">
        <w:t xml:space="preserve"> </w:t>
      </w:r>
    </w:p>
    <w:p w14:paraId="300BAAE0" w14:textId="4DCBA80A" w:rsidR="003A6ED3" w:rsidRPr="00506DFE" w:rsidRDefault="0066582C" w:rsidP="000B2E7E">
      <w:pPr>
        <w:pStyle w:val="Quote"/>
      </w:pPr>
      <w:r>
        <w:t>…..</w:t>
      </w:r>
      <w:r w:rsidRPr="00506DFE">
        <w:t xml:space="preserve"> the conversation ended when they discovered they were out of stock. Felt awkward having to ask if they could get some in. Encouraged to try elsewhere but </w:t>
      </w:r>
      <w:r w:rsidRPr="00506DFE">
        <w:lastRenderedPageBreak/>
        <w:t xml:space="preserve">no information on where else stocked it. Pharmacist had his back to me during this whole part of the conversation. (Mystery shopping, Community </w:t>
      </w:r>
      <w:r w:rsidR="00526DA2" w:rsidRPr="00506DFE">
        <w:t>pharmacy</w:t>
      </w:r>
      <w:r w:rsidRPr="00506DFE">
        <w:t>, NSW</w:t>
      </w:r>
      <w:r w:rsidRPr="00506DFE" w:rsidDel="009E2746">
        <w:t>, August 2020</w:t>
      </w:r>
      <w:r w:rsidRPr="00506DFE">
        <w:t>)</w:t>
      </w:r>
    </w:p>
    <w:p w14:paraId="701B965E" w14:textId="4E968256" w:rsidR="000B2E7E" w:rsidRPr="000B2E7E" w:rsidRDefault="000B2E7E" w:rsidP="00D70228">
      <w:pPr>
        <w:pStyle w:val="Quote"/>
      </w:pPr>
      <w:r w:rsidRPr="00DC04C2">
        <w:t>They did not have the stock, at least useable ones. They did not offer any alternatives or provided me with information so that I can acquire the naloxone I needed.</w:t>
      </w:r>
      <w:r>
        <w:t xml:space="preserve"> (Mystery shopping, Community </w:t>
      </w:r>
      <w:r w:rsidR="00D70228">
        <w:t>pharmacy</w:t>
      </w:r>
      <w:r>
        <w:t>, NSW</w:t>
      </w:r>
      <w:r w:rsidDel="009E2746">
        <w:t>, February 2021</w:t>
      </w:r>
      <w:r>
        <w:t>)</w:t>
      </w:r>
    </w:p>
    <w:p w14:paraId="6AE4DB47" w14:textId="75F02EE2" w:rsidR="00CA5EEA" w:rsidRDefault="0059340E" w:rsidP="003267B5">
      <w:pPr>
        <w:pStyle w:val="BodyText"/>
      </w:pPr>
      <w:r>
        <w:t>Similar observations</w:t>
      </w:r>
      <w:r w:rsidR="005F5C01">
        <w:t xml:space="preserve"> were</w:t>
      </w:r>
      <w:r w:rsidR="005D7B77">
        <w:t xml:space="preserve"> also</w:t>
      </w:r>
      <w:r w:rsidR="005F5C01">
        <w:t xml:space="preserve"> </w:t>
      </w:r>
      <w:r w:rsidR="005A322F">
        <w:t xml:space="preserve">reported </w:t>
      </w:r>
      <w:r w:rsidR="005577C6">
        <w:t xml:space="preserve">by stakeholders </w:t>
      </w:r>
      <w:r w:rsidR="005A322F">
        <w:t>during</w:t>
      </w:r>
      <w:r w:rsidR="005F5C01">
        <w:t xml:space="preserve"> round table </w:t>
      </w:r>
      <w:r w:rsidR="005A322F">
        <w:t>consultations</w:t>
      </w:r>
      <w:r w:rsidR="005F5C01">
        <w:t xml:space="preserve">. </w:t>
      </w:r>
      <w:r w:rsidR="005C6D88">
        <w:t xml:space="preserve">Where consumers </w:t>
      </w:r>
      <w:r w:rsidR="00AD4F47">
        <w:t>contacted</w:t>
      </w:r>
      <w:r w:rsidR="005C6D88">
        <w:t xml:space="preserve"> the implementing agencies </w:t>
      </w:r>
      <w:r w:rsidR="006D7655">
        <w:t xml:space="preserve">or the administrator </w:t>
      </w:r>
      <w:r w:rsidR="005C6D88">
        <w:t xml:space="preserve">to </w:t>
      </w:r>
      <w:r w:rsidR="00511914">
        <w:t>indicate a lack of stock</w:t>
      </w:r>
      <w:r w:rsidR="00901E83">
        <w:t xml:space="preserve">, especially at sites listed as participating in the Pilot, </w:t>
      </w:r>
      <w:r w:rsidR="007831FD">
        <w:t xml:space="preserve">information on local </w:t>
      </w:r>
      <w:r w:rsidR="00AC42E3">
        <w:t xml:space="preserve">alternative supply sites </w:t>
      </w:r>
      <w:r w:rsidR="00D10989">
        <w:t>was provided</w:t>
      </w:r>
      <w:r w:rsidR="00AC42E3">
        <w:t>.</w:t>
      </w:r>
    </w:p>
    <w:p w14:paraId="68BD279B" w14:textId="77777777" w:rsidR="00CA5EEA" w:rsidRDefault="00CA5EEA" w:rsidP="003267B5">
      <w:pPr>
        <w:pStyle w:val="BodyText"/>
      </w:pPr>
      <w:r>
        <w:t xml:space="preserve">Uncertainty regarding the duration of the Pilot led to reports in December 2020 of stockpiling of naloxone by some sites, with the resulting risk of holding out-of-date stock, which would not be reimbursed if not dispensed. Non-ordering and non-promotion occurred at other sites who were concerned about generating a demand for THN that would not be met after conclusion of the Pilot, slowing the provision of THN in the community. </w:t>
      </w:r>
    </w:p>
    <w:p w14:paraId="3BA5460B" w14:textId="77777777" w:rsidR="00CA5EEA" w:rsidRDefault="00CA5EEA" w:rsidP="00BC5CD0">
      <w:pPr>
        <w:pStyle w:val="NbrHeading3"/>
      </w:pPr>
      <w:bookmarkStart w:id="183" w:name="_Toc94794124"/>
      <w:bookmarkStart w:id="184" w:name="_Toc94794259"/>
      <w:r>
        <w:t>Reimbursement processes</w:t>
      </w:r>
      <w:bookmarkEnd w:id="183"/>
      <w:bookmarkEnd w:id="184"/>
    </w:p>
    <w:p w14:paraId="4E7CDA94" w14:textId="4D43E46F" w:rsidR="00CA5EEA" w:rsidRDefault="00CA5EEA" w:rsidP="003267B5">
      <w:pPr>
        <w:pStyle w:val="BodyText"/>
      </w:pPr>
      <w:r>
        <w:t>Pharmacies were familiar with reimbursement procedures from other programs and reported few difficulties navigating the process.</w:t>
      </w:r>
      <w:r w:rsidR="00A4290B">
        <w:t xml:space="preserve"> </w:t>
      </w:r>
      <w:r w:rsidR="000B7778">
        <w:t>AAS in WA and</w:t>
      </w:r>
      <w:r w:rsidR="00945E6B">
        <w:t xml:space="preserve"> </w:t>
      </w:r>
      <w:r w:rsidR="00346312">
        <w:t>NGOs in NSW did not require reimbursement and so experienced no challen</w:t>
      </w:r>
      <w:r w:rsidR="00E33479">
        <w:t>g</w:t>
      </w:r>
      <w:r w:rsidR="00346312">
        <w:t>es arising from this system.</w:t>
      </w:r>
    </w:p>
    <w:p w14:paraId="26DA3DA7" w14:textId="5AE73C05" w:rsidR="0075646A" w:rsidRDefault="00CA5EEA" w:rsidP="003267B5">
      <w:pPr>
        <w:pStyle w:val="BodyText"/>
      </w:pPr>
      <w:r>
        <w:t xml:space="preserve">NSW LHDs </w:t>
      </w:r>
      <w:r w:rsidR="00A0452E">
        <w:t>reported that</w:t>
      </w:r>
      <w:r>
        <w:t xml:space="preserve"> the reimbursement model was not aligned with existing processes and recording systems for stock management and transfer</w:t>
      </w:r>
      <w:r w:rsidR="0011319F">
        <w:t xml:space="preserve">, particularly within </w:t>
      </w:r>
      <w:r w:rsidR="007338C3">
        <w:t>larger health sites such as hospitals</w:t>
      </w:r>
      <w:r>
        <w:t xml:space="preserve">. The resulting multi-step processes for ordering, reporting and reimbursement created barriers for staff. Similar issues were noted for hospital settings in other states. </w:t>
      </w:r>
    </w:p>
    <w:p w14:paraId="73F6740A" w14:textId="4B9601A1" w:rsidR="00037AD7" w:rsidRDefault="00037AD7" w:rsidP="00037AD7">
      <w:pPr>
        <w:pStyle w:val="Style3-keypoints-h2"/>
      </w:pPr>
      <w:bookmarkStart w:id="185" w:name="_Toc94794260"/>
      <w:r>
        <w:t>Implications</w:t>
      </w:r>
      <w:bookmarkEnd w:id="185"/>
    </w:p>
    <w:p w14:paraId="22C2091E" w14:textId="77777777" w:rsidR="00037AD7" w:rsidRDefault="00037AD7" w:rsidP="00037AD7">
      <w:pPr>
        <w:pStyle w:val="ListParagraph"/>
        <w:numPr>
          <w:ilvl w:val="0"/>
          <w:numId w:val="27"/>
        </w:numPr>
        <w:spacing w:before="81" w:after="81"/>
        <w:ind w:left="489" w:hanging="244"/>
      </w:pPr>
      <w:r>
        <w:t>Adequate resourcing of coordination and implementation activities, in addition to subsidising naloxone itself, will be critical for implementing THN programs at scale</w:t>
      </w:r>
    </w:p>
    <w:p w14:paraId="08E49174" w14:textId="77777777" w:rsidR="00037AD7" w:rsidRDefault="00037AD7" w:rsidP="00037AD7">
      <w:pPr>
        <w:pStyle w:val="ListParagraph"/>
        <w:numPr>
          <w:ilvl w:val="0"/>
          <w:numId w:val="27"/>
        </w:numPr>
        <w:spacing w:before="81" w:after="81"/>
        <w:ind w:left="489" w:hanging="244"/>
      </w:pPr>
      <w:r>
        <w:t>Systems for encouraging pharmacies to stock naloxone consistently may assist with increasing uptake of THN</w:t>
      </w:r>
    </w:p>
    <w:p w14:paraId="43ACC28B" w14:textId="77777777" w:rsidR="00037AD7" w:rsidRDefault="00037AD7" w:rsidP="00037AD7">
      <w:pPr>
        <w:pStyle w:val="ListParagraph"/>
        <w:numPr>
          <w:ilvl w:val="0"/>
          <w:numId w:val="27"/>
        </w:numPr>
        <w:spacing w:before="81" w:after="81"/>
        <w:ind w:left="489" w:hanging="244"/>
      </w:pPr>
      <w:r>
        <w:t>Alignment of authorising systems within jurisdictions may smooth the adoption of THN protocols in non-pharmacy sites</w:t>
      </w:r>
    </w:p>
    <w:p w14:paraId="55B01933" w14:textId="77777777" w:rsidR="00037AD7" w:rsidRDefault="00037AD7" w:rsidP="00037AD7">
      <w:pPr>
        <w:pStyle w:val="ListParagraph"/>
        <w:numPr>
          <w:ilvl w:val="0"/>
          <w:numId w:val="27"/>
        </w:numPr>
        <w:spacing w:before="81" w:after="81"/>
        <w:ind w:left="489" w:hanging="244"/>
      </w:pPr>
      <w:r>
        <w:t>Establishment of consistent supply systems across jurisdictions may provide leverage to develop a more sustainable distribution system for non-pharmacy settings</w:t>
      </w:r>
    </w:p>
    <w:p w14:paraId="38328CAB" w14:textId="3C059D0D" w:rsidR="00CA5EEA" w:rsidRDefault="00037AD7" w:rsidP="003D0F16">
      <w:pPr>
        <w:pStyle w:val="ListParagraph"/>
        <w:numPr>
          <w:ilvl w:val="0"/>
          <w:numId w:val="27"/>
        </w:numPr>
        <w:spacing w:before="81" w:after="81"/>
        <w:ind w:left="489" w:hanging="244"/>
      </w:pPr>
      <w:r>
        <w:t>Extensive promotion of the Pilot into non-AOD services and client groups will be needed to encourage uptake of THN by a broader range of consumers and witnesses.</w:t>
      </w:r>
    </w:p>
    <w:p w14:paraId="1478212B" w14:textId="1178520B" w:rsidR="00CA5EEA" w:rsidRDefault="00CA5EEA" w:rsidP="00745146">
      <w:pPr>
        <w:pStyle w:val="NbrHeading1"/>
      </w:pPr>
      <w:r>
        <w:br w:type="page"/>
      </w:r>
      <w:bookmarkStart w:id="186" w:name="_Toc94794125"/>
      <w:bookmarkStart w:id="187" w:name="_Toc94794261"/>
      <w:r w:rsidRPr="00F700F1">
        <w:lastRenderedPageBreak/>
        <w:t>Did the THN Pilot achieve improved access?</w:t>
      </w:r>
      <w:bookmarkEnd w:id="186"/>
      <w:bookmarkEnd w:id="187"/>
    </w:p>
    <w:p w14:paraId="5953873C" w14:textId="64A9E29F" w:rsidR="00037AD7" w:rsidRDefault="00037AD7" w:rsidP="00037AD7">
      <w:pPr>
        <w:pStyle w:val="Style3-keypoints-h2"/>
        <w:rPr>
          <w:lang w:eastAsia="en-AU"/>
        </w:rPr>
      </w:pPr>
      <w:bookmarkStart w:id="188" w:name="_Toc94794262"/>
      <w:r>
        <w:rPr>
          <w:lang w:eastAsia="en-AU"/>
        </w:rPr>
        <w:t>Key points</w:t>
      </w:r>
      <w:bookmarkEnd w:id="188"/>
    </w:p>
    <w:p w14:paraId="08C503F8" w14:textId="77777777" w:rsidR="00037AD7" w:rsidRPr="00595F28" w:rsidRDefault="00037AD7" w:rsidP="00037AD7">
      <w:pPr>
        <w:pStyle w:val="ListParagraph"/>
        <w:numPr>
          <w:ilvl w:val="0"/>
          <w:numId w:val="53"/>
        </w:numPr>
        <w:spacing w:before="81" w:after="81"/>
        <w:ind w:left="489" w:hanging="244"/>
      </w:pPr>
      <w:r w:rsidRPr="00595F28">
        <w:t xml:space="preserve">More </w:t>
      </w:r>
      <w:r>
        <w:t xml:space="preserve">occasions of </w:t>
      </w:r>
      <w:r w:rsidRPr="00595F28">
        <w:t xml:space="preserve">naloxone </w:t>
      </w:r>
      <w:r>
        <w:t xml:space="preserve">supply were recorded:  </w:t>
      </w:r>
      <w:r w:rsidRPr="00595F28">
        <w:t>27,955 suppl</w:t>
      </w:r>
      <w:r>
        <w:t>ies over 18 months of the Pilot compared to 3,579</w:t>
      </w:r>
      <w:r w:rsidRPr="00595F28">
        <w:t xml:space="preserve"> supplies through the PBS</w:t>
      </w:r>
      <w:r w:rsidRPr="00595F28" w:rsidDel="005E483C">
        <w:t xml:space="preserve"> </w:t>
      </w:r>
      <w:r>
        <w:t>in the previous 2 years.</w:t>
      </w:r>
    </w:p>
    <w:p w14:paraId="0935F71F" w14:textId="77777777" w:rsidR="00037AD7" w:rsidRDefault="00037AD7" w:rsidP="00037AD7">
      <w:pPr>
        <w:pStyle w:val="ListParagraph"/>
        <w:numPr>
          <w:ilvl w:val="0"/>
          <w:numId w:val="53"/>
        </w:numPr>
        <w:spacing w:before="81" w:after="81"/>
        <w:ind w:left="489" w:hanging="244"/>
      </w:pPr>
      <w:r>
        <w:t xml:space="preserve">1480 sites registered for the Pilot but only 846 (57%) provided THN during the evaluation period; active participation rate for AAS was higher (82.5%) than that of community pharmacies (52%). </w:t>
      </w:r>
    </w:p>
    <w:p w14:paraId="76561250" w14:textId="77777777" w:rsidR="00037AD7" w:rsidRPr="00595F28" w:rsidRDefault="00037AD7" w:rsidP="00037AD7">
      <w:pPr>
        <w:pStyle w:val="ListParagraph"/>
        <w:numPr>
          <w:ilvl w:val="0"/>
          <w:numId w:val="53"/>
        </w:numPr>
        <w:spacing w:before="81" w:after="81"/>
        <w:ind w:left="489" w:hanging="244"/>
      </w:pPr>
      <w:r w:rsidRPr="00595F28">
        <w:t>More settings provid</w:t>
      </w:r>
      <w:r>
        <w:t>ed THN; pharmacies, specialist alcohol and other drug (AOD) services,</w:t>
      </w:r>
      <w:r w:rsidRPr="00595F28" w:rsidDel="000449EF">
        <w:t xml:space="preserve"> </w:t>
      </w:r>
      <w:r w:rsidRPr="00595F28">
        <w:t>justice and correction settings,</w:t>
      </w:r>
      <w:r>
        <w:t xml:space="preserve"> </w:t>
      </w:r>
      <w:r w:rsidRPr="00595F28">
        <w:t>and general health services</w:t>
      </w:r>
      <w:r>
        <w:t xml:space="preserve"> such as hospitals. </w:t>
      </w:r>
    </w:p>
    <w:p w14:paraId="5F096DCA" w14:textId="77777777" w:rsidR="00037AD7" w:rsidRDefault="00037AD7" w:rsidP="00037AD7">
      <w:pPr>
        <w:pStyle w:val="ListParagraph"/>
        <w:numPr>
          <w:ilvl w:val="0"/>
          <w:numId w:val="53"/>
        </w:numPr>
        <w:spacing w:before="81" w:after="81"/>
        <w:ind w:left="489" w:hanging="244"/>
      </w:pPr>
      <w:proofErr w:type="gramStart"/>
      <w:r w:rsidRPr="00277AFA">
        <w:t>The majority of</w:t>
      </w:r>
      <w:proofErr w:type="gramEnd"/>
      <w:r w:rsidRPr="00277AFA">
        <w:t xml:space="preserve"> non-pha</w:t>
      </w:r>
      <w:r>
        <w:t>rmacy THN sites were providers of AOD services; specialist pain clinics did not engage with the Pilot.</w:t>
      </w:r>
    </w:p>
    <w:p w14:paraId="07C5B96D" w14:textId="77777777" w:rsidR="00037AD7" w:rsidRDefault="00037AD7" w:rsidP="00037AD7">
      <w:pPr>
        <w:pStyle w:val="ListParagraph"/>
        <w:numPr>
          <w:ilvl w:val="0"/>
          <w:numId w:val="53"/>
        </w:numPr>
        <w:spacing w:before="81" w:after="81"/>
        <w:ind w:left="489" w:hanging="244"/>
      </w:pPr>
      <w:r w:rsidRPr="00595F28">
        <w:t>More people received naloxone during the Pilot</w:t>
      </w:r>
      <w:r>
        <w:t>, both</w:t>
      </w:r>
      <w:r w:rsidRPr="00595F28">
        <w:t xml:space="preserve"> at risk of experiencing opioid overdose and people who may witness an overdose.</w:t>
      </w:r>
      <w:r>
        <w:t xml:space="preserve">  Most identified as using prescribed opioids.</w:t>
      </w:r>
    </w:p>
    <w:p w14:paraId="4767324F" w14:textId="77777777" w:rsidR="00037AD7" w:rsidRPr="00595F28" w:rsidRDefault="00037AD7" w:rsidP="00037AD7">
      <w:pPr>
        <w:pStyle w:val="ListParagraph"/>
        <w:numPr>
          <w:ilvl w:val="0"/>
          <w:numId w:val="53"/>
        </w:numPr>
        <w:spacing w:before="81" w:after="81"/>
        <w:ind w:left="489" w:hanging="244"/>
      </w:pPr>
      <w:r>
        <w:t>The proportion of people at risk from pharmaceutical opioids who received naloxone increased from 0.15% to 1.63%.</w:t>
      </w:r>
    </w:p>
    <w:p w14:paraId="576C35F8" w14:textId="109993AE" w:rsidR="00231D46" w:rsidRPr="00037AD7" w:rsidRDefault="00037AD7" w:rsidP="00EE2BE1">
      <w:pPr>
        <w:pStyle w:val="ListParagraph"/>
        <w:numPr>
          <w:ilvl w:val="0"/>
          <w:numId w:val="53"/>
        </w:numPr>
        <w:spacing w:before="81" w:after="81"/>
        <w:ind w:left="489" w:hanging="244"/>
      </w:pPr>
      <w:r w:rsidRPr="00595F28">
        <w:t xml:space="preserve">Consumers accessed </w:t>
      </w:r>
      <w:r w:rsidRPr="004C5B1C">
        <w:t>naloxone close to home, 55% within their home postcode, and THN was available in city, regional and very remote areas.</w:t>
      </w:r>
    </w:p>
    <w:p w14:paraId="6D5F3FFC" w14:textId="0BF718D3" w:rsidR="00CA5EEA" w:rsidRPr="00B00052" w:rsidRDefault="007617F6" w:rsidP="004F755D">
      <w:r>
        <w:rPr>
          <w:rFonts w:asciiTheme="majorHAnsi" w:eastAsiaTheme="majorEastAsia" w:hAnsiTheme="majorHAnsi" w:cstheme="majorBidi"/>
          <w:b/>
          <w:noProof/>
          <w:color w:val="51247A" w:themeColor="accent1"/>
          <w:sz w:val="28"/>
          <w:szCs w:val="26"/>
        </w:rPr>
        <w:drawing>
          <wp:inline distT="0" distB="0" distL="0" distR="0" wp14:anchorId="0844F68C" wp14:editId="39E28553">
            <wp:extent cx="6251153" cy="2733675"/>
            <wp:effectExtent l="0" t="0" r="0" b="0"/>
            <wp:docPr id="42" name="Picture 42" descr="A picture containing diagram&#10;&#10;THN was supplied at least 27,955 times to individ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NaloxoneSaved_THNSupplied_v2-01-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61763" cy="2738315"/>
                    </a:xfrm>
                    <a:prstGeom prst="rect">
                      <a:avLst/>
                    </a:prstGeom>
                  </pic:spPr>
                </pic:pic>
              </a:graphicData>
            </a:graphic>
          </wp:inline>
        </w:drawing>
      </w:r>
    </w:p>
    <w:p w14:paraId="7A269F07" w14:textId="77777777" w:rsidR="00CA5EEA" w:rsidRPr="00F700F1" w:rsidRDefault="00CA5EEA" w:rsidP="007A6273">
      <w:pPr>
        <w:pStyle w:val="NbrHeading2"/>
        <w:pageBreakBefore/>
      </w:pPr>
      <w:bookmarkStart w:id="189" w:name="_Toc94794126"/>
      <w:bookmarkStart w:id="190" w:name="_Toc94794263"/>
      <w:r w:rsidRPr="00F700F1">
        <w:lastRenderedPageBreak/>
        <w:t>Did access to naloxone increase during the Pilot?</w:t>
      </w:r>
      <w:bookmarkEnd w:id="189"/>
      <w:bookmarkEnd w:id="190"/>
    </w:p>
    <w:p w14:paraId="36AFD2BE" w14:textId="2FA3C583" w:rsidR="00CA5EEA" w:rsidRDefault="00CA5EEA" w:rsidP="003267B5">
      <w:pPr>
        <w:pStyle w:val="BodyText"/>
      </w:pPr>
      <w:r>
        <w:t>Between 1 December 2019 and 30 June 2021, 27,955</w:t>
      </w:r>
      <w:r w:rsidR="00B10B2A">
        <w:rPr>
          <w:rStyle w:val="FootnoteReference"/>
        </w:rPr>
        <w:footnoteReference w:id="12"/>
      </w:r>
      <w:r>
        <w:t xml:space="preserve"> naloxone supplies through the Pilot were recorded. Supply peaked in February 2020*, followed by a marked reduction during March/April 2020 (potentially linked to the introduction of COVID-19 restrictions), and then a relatively steady rate of supply across subsequent months. There was some reduction during November 2020, followed by increases from December-February 2021 after announcement of extension of the Pilot.</w:t>
      </w:r>
      <w:r w:rsidRPr="00A856A3">
        <w:t xml:space="preserve"> </w:t>
      </w:r>
    </w:p>
    <w:p w14:paraId="12349EF7" w14:textId="70AAA299" w:rsidR="00CA5EEA" w:rsidRDefault="00CA5EEA" w:rsidP="003267B5">
      <w:pPr>
        <w:pStyle w:val="BodyText"/>
      </w:pPr>
      <w:r>
        <w:t>This</w:t>
      </w:r>
      <w:r w:rsidDel="008E09EF">
        <w:t xml:space="preserve"> </w:t>
      </w:r>
      <w:r w:rsidR="008E09EF">
        <w:t xml:space="preserve">averaged </w:t>
      </w:r>
      <w:r>
        <w:t>out to approximately 1,399 new supplies during each month of the Pilot, or 4,197 per quarter, across the three Pilot states.</w:t>
      </w:r>
    </w:p>
    <w:p w14:paraId="07C31857" w14:textId="28740C65" w:rsidR="00CA5EEA" w:rsidRDefault="00CA5EEA" w:rsidP="003267B5">
      <w:pPr>
        <w:pStyle w:val="BodyText"/>
      </w:pPr>
      <w:r>
        <w:t>This is an order of magnitude higher than the total supply of naloxone</w:t>
      </w:r>
      <w:r>
        <w:rPr>
          <w:rStyle w:val="FootnoteReference"/>
        </w:rPr>
        <w:footnoteReference w:id="13"/>
      </w:r>
      <w:r>
        <w:t xml:space="preserve"> via the PBS over the two years prior to commencement of the Pilot (mean = 347 per quarter), and higher than provision via the PBS in both Pilot (164 per quarter) and non-Pilot states (342 per quarter) during the Pilot period (</w:t>
      </w:r>
      <w:r w:rsidR="00C96AB3">
        <w:fldChar w:fldCharType="begin"/>
      </w:r>
      <w:r w:rsidR="00C96AB3">
        <w:instrText xml:space="preserve"> REF _Ref81315551 \h </w:instrText>
      </w:r>
      <w:r w:rsidR="003267B5">
        <w:instrText xml:space="preserve"> \* MERGEFORMAT </w:instrText>
      </w:r>
      <w:r w:rsidR="00C96AB3">
        <w:fldChar w:fldCharType="separate"/>
      </w:r>
      <w:r w:rsidR="00EE19AD">
        <w:t xml:space="preserve">Figure </w:t>
      </w:r>
      <w:r w:rsidR="00EE19AD">
        <w:rPr>
          <w:noProof/>
        </w:rPr>
        <w:t>5</w:t>
      </w:r>
      <w:r w:rsidR="00C96AB3">
        <w:fldChar w:fldCharType="end"/>
      </w:r>
      <w:r>
        <w:t xml:space="preserve">). By examining dispensing patterns prior to and during the Pilot for naloxone, </w:t>
      </w:r>
      <w:r w:rsidR="2613FDFB">
        <w:t xml:space="preserve">prescription </w:t>
      </w:r>
      <w:r>
        <w:t>opioid medic</w:t>
      </w:r>
      <w:r w:rsidR="42BC37CA">
        <w:t>ines</w:t>
      </w:r>
      <w:r>
        <w:t xml:space="preserve"> and an unrelated </w:t>
      </w:r>
      <w:r w:rsidR="0278E1E1">
        <w:t xml:space="preserve">class of </w:t>
      </w:r>
      <w:r>
        <w:t>medic</w:t>
      </w:r>
      <w:r w:rsidR="2F8FF9C6">
        <w:t>ine</w:t>
      </w:r>
      <w:r w:rsidR="44E157A0">
        <w:t>s</w:t>
      </w:r>
      <w:r>
        <w:t xml:space="preserve"> (statins), we were able to see that this increase in naloxone supply was specific to naloxone.  It was not related to patterns of opioid </w:t>
      </w:r>
      <w:proofErr w:type="spellStart"/>
      <w:r w:rsidR="58C22DA3">
        <w:t>dispensings</w:t>
      </w:r>
      <w:proofErr w:type="spellEnd"/>
      <w:r>
        <w:t xml:space="preserve"> (little change in this period)</w:t>
      </w:r>
      <w:r>
        <w:rPr>
          <w:rStyle w:val="FootnoteReference"/>
        </w:rPr>
        <w:footnoteReference w:id="14"/>
      </w:r>
      <w:r>
        <w:t xml:space="preserve"> or provision of </w:t>
      </w:r>
      <w:r w:rsidR="71F8D3D4">
        <w:t>statin medicines</w:t>
      </w:r>
      <w:r>
        <w:t xml:space="preserve"> in general (see </w:t>
      </w:r>
      <w:r w:rsidR="004A3E36">
        <w:fldChar w:fldCharType="begin"/>
      </w:r>
      <w:r w:rsidR="004A3E36">
        <w:instrText xml:space="preserve"> REF _Ref81312948 \h </w:instrText>
      </w:r>
      <w:r w:rsidR="003267B5">
        <w:instrText xml:space="preserve"> \* MERGEFORMAT </w:instrText>
      </w:r>
      <w:r w:rsidR="004A3E36">
        <w:fldChar w:fldCharType="separate"/>
      </w:r>
      <w:r w:rsidR="00EE19AD">
        <w:t xml:space="preserve">Figure </w:t>
      </w:r>
      <w:r w:rsidR="00EE19AD">
        <w:rPr>
          <w:noProof/>
        </w:rPr>
        <w:t>22</w:t>
      </w:r>
      <w:r w:rsidR="004A3E36">
        <w:fldChar w:fldCharType="end"/>
      </w:r>
      <w:r w:rsidR="004A3E36">
        <w:t>,</w:t>
      </w:r>
      <w:r>
        <w:t xml:space="preserve"> Appendix D).</w:t>
      </w:r>
    </w:p>
    <w:p w14:paraId="62897455" w14:textId="4DC588AE" w:rsidR="00CA5EEA" w:rsidRDefault="00CA5EEA" w:rsidP="003D0F16">
      <w:pPr>
        <w:pStyle w:val="Caption"/>
      </w:pPr>
      <w:bookmarkStart w:id="191" w:name="_Ref81315551"/>
      <w:bookmarkStart w:id="192" w:name="_Toc81401858"/>
      <w:bookmarkStart w:id="193" w:name="_Toc94794341"/>
      <w:r>
        <w:t xml:space="preserve">Figure </w:t>
      </w:r>
      <w:r>
        <w:fldChar w:fldCharType="begin"/>
      </w:r>
      <w:r>
        <w:instrText>SEQ Figure \* ARABIC</w:instrText>
      </w:r>
      <w:r>
        <w:fldChar w:fldCharType="separate"/>
      </w:r>
      <w:r w:rsidR="00EE19AD">
        <w:rPr>
          <w:noProof/>
        </w:rPr>
        <w:t>5</w:t>
      </w:r>
      <w:r>
        <w:fldChar w:fldCharType="end"/>
      </w:r>
      <w:bookmarkEnd w:id="191"/>
      <w:r>
        <w:t>. Comparison of naloxone supplies under the THN Pilot with PBS-based supply</w:t>
      </w:r>
      <w:bookmarkEnd w:id="192"/>
      <w:bookmarkEnd w:id="193"/>
    </w:p>
    <w:p w14:paraId="4E40B998" w14:textId="77777777" w:rsidR="00CA5EEA" w:rsidRPr="00C94423" w:rsidRDefault="00CA5EEA" w:rsidP="003D0F16">
      <w:r>
        <w:rPr>
          <w:noProof/>
        </w:rPr>
        <w:drawing>
          <wp:inline distT="0" distB="0" distL="0" distR="0" wp14:anchorId="1B08ED54" wp14:editId="0A9F0E62">
            <wp:extent cx="5941060" cy="2915285"/>
            <wp:effectExtent l="0" t="0" r="2540" b="0"/>
            <wp:docPr id="198" name="Chart 198" descr="Line graph. Comparison of naloxone supplies under the THN Pilot with PBS-based supply">
              <a:extLst xmlns:a="http://schemas.openxmlformats.org/drawingml/2006/main">
                <a:ext uri="{FF2B5EF4-FFF2-40B4-BE49-F238E27FC236}">
                  <a16:creationId xmlns:a16="http://schemas.microsoft.com/office/drawing/2014/main" id="{ACD98015-901B-40DA-8129-76A62DEDED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41CD875" w14:textId="559312F9" w:rsidR="00CA5EEA" w:rsidRDefault="00CA5EEA" w:rsidP="003D0F16">
      <w:pPr>
        <w:rPr>
          <w:i/>
          <w:sz w:val="18"/>
          <w:szCs w:val="18"/>
        </w:rPr>
      </w:pPr>
      <w:r>
        <w:rPr>
          <w:i/>
          <w:sz w:val="18"/>
          <w:szCs w:val="18"/>
        </w:rPr>
        <w:t xml:space="preserve">Source: PBS data, </w:t>
      </w:r>
      <w:r w:rsidR="00F548B6">
        <w:rPr>
          <w:i/>
          <w:sz w:val="18"/>
          <w:szCs w:val="18"/>
        </w:rPr>
        <w:t xml:space="preserve">PPA </w:t>
      </w:r>
      <w:r>
        <w:rPr>
          <w:i/>
          <w:sz w:val="18"/>
          <w:szCs w:val="18"/>
        </w:rPr>
        <w:t>portal data, supply data collected by AAS</w:t>
      </w:r>
      <w:r w:rsidR="006A5E07">
        <w:rPr>
          <w:i/>
          <w:sz w:val="18"/>
          <w:szCs w:val="18"/>
        </w:rPr>
        <w:t xml:space="preserve">; </w:t>
      </w:r>
      <w:r w:rsidR="009D61A3">
        <w:rPr>
          <w:i/>
          <w:sz w:val="18"/>
          <w:szCs w:val="18"/>
        </w:rPr>
        <w:t>PBS data for Q2 not available at time of report</w:t>
      </w:r>
    </w:p>
    <w:p w14:paraId="437FEE27" w14:textId="4FF037B4" w:rsidR="00CA5EEA" w:rsidRDefault="00CA5EEA" w:rsidP="003D0F16">
      <w:pPr>
        <w:rPr>
          <w:i/>
          <w:sz w:val="18"/>
          <w:szCs w:val="18"/>
        </w:rPr>
      </w:pPr>
      <w:r w:rsidRPr="00C44261">
        <w:rPr>
          <w:sz w:val="18"/>
          <w:szCs w:val="18"/>
        </w:rPr>
        <w:t>*</w:t>
      </w:r>
      <w:r w:rsidR="000E71D3" w:rsidRPr="006D0848">
        <w:rPr>
          <w:i/>
          <w:iCs/>
          <w:sz w:val="18"/>
          <w:szCs w:val="18"/>
        </w:rPr>
        <w:t xml:space="preserve">Examination of </w:t>
      </w:r>
      <w:r w:rsidR="00950312" w:rsidRPr="006D0848">
        <w:rPr>
          <w:i/>
          <w:iCs/>
          <w:sz w:val="18"/>
          <w:szCs w:val="18"/>
        </w:rPr>
        <w:t xml:space="preserve">detailed supply </w:t>
      </w:r>
      <w:r w:rsidR="000E71D3" w:rsidRPr="006D0848">
        <w:rPr>
          <w:i/>
          <w:iCs/>
          <w:sz w:val="18"/>
          <w:szCs w:val="18"/>
        </w:rPr>
        <w:t>data from the</w:t>
      </w:r>
      <w:r w:rsidR="00950312" w:rsidRPr="006D0848">
        <w:rPr>
          <w:i/>
          <w:iCs/>
          <w:sz w:val="18"/>
          <w:szCs w:val="18"/>
        </w:rPr>
        <w:t xml:space="preserve"> </w:t>
      </w:r>
      <w:r w:rsidR="00F548B6">
        <w:rPr>
          <w:i/>
          <w:iCs/>
          <w:sz w:val="18"/>
          <w:szCs w:val="18"/>
        </w:rPr>
        <w:t>PPA</w:t>
      </w:r>
      <w:r w:rsidR="00F548B6" w:rsidRPr="006D0848">
        <w:rPr>
          <w:i/>
          <w:iCs/>
          <w:sz w:val="18"/>
          <w:szCs w:val="18"/>
        </w:rPr>
        <w:t xml:space="preserve"> </w:t>
      </w:r>
      <w:r w:rsidR="00950312" w:rsidRPr="006D0848">
        <w:rPr>
          <w:i/>
          <w:iCs/>
          <w:sz w:val="18"/>
          <w:szCs w:val="18"/>
        </w:rPr>
        <w:t>portal showed that t</w:t>
      </w:r>
      <w:r w:rsidRPr="006D0848">
        <w:rPr>
          <w:i/>
          <w:iCs/>
          <w:sz w:val="18"/>
          <w:szCs w:val="18"/>
        </w:rPr>
        <w:t>he</w:t>
      </w:r>
      <w:r w:rsidRPr="00C44261">
        <w:rPr>
          <w:i/>
          <w:iCs/>
          <w:sz w:val="18"/>
          <w:szCs w:val="18"/>
        </w:rPr>
        <w:t xml:space="preserve"> very high February </w:t>
      </w:r>
      <w:r w:rsidR="006D0848">
        <w:rPr>
          <w:i/>
          <w:iCs/>
          <w:sz w:val="18"/>
          <w:szCs w:val="18"/>
        </w:rPr>
        <w:t xml:space="preserve">2020 </w:t>
      </w:r>
      <w:r w:rsidRPr="00C44261">
        <w:rPr>
          <w:i/>
          <w:iCs/>
          <w:sz w:val="18"/>
          <w:szCs w:val="18"/>
        </w:rPr>
        <w:t xml:space="preserve">peak was largely accounted for by a small group of linked of pharmacies </w:t>
      </w:r>
      <w:r w:rsidR="00332CC1" w:rsidRPr="006D0848">
        <w:rPr>
          <w:i/>
          <w:iCs/>
          <w:sz w:val="18"/>
          <w:szCs w:val="18"/>
        </w:rPr>
        <w:t xml:space="preserve">in one </w:t>
      </w:r>
      <w:r w:rsidR="00B036F7" w:rsidRPr="006D0848">
        <w:rPr>
          <w:i/>
          <w:iCs/>
          <w:sz w:val="18"/>
          <w:szCs w:val="18"/>
        </w:rPr>
        <w:t>local area</w:t>
      </w:r>
      <w:r w:rsidR="00683F35" w:rsidRPr="006D0848">
        <w:rPr>
          <w:i/>
          <w:iCs/>
          <w:sz w:val="18"/>
          <w:szCs w:val="18"/>
        </w:rPr>
        <w:t xml:space="preserve">. </w:t>
      </w:r>
      <w:r w:rsidR="00E45C29" w:rsidRPr="006D0848">
        <w:rPr>
          <w:i/>
          <w:iCs/>
          <w:sz w:val="18"/>
          <w:szCs w:val="18"/>
        </w:rPr>
        <w:t>Consultation with staff</w:t>
      </w:r>
      <w:r w:rsidR="00005E30" w:rsidRPr="006D0848">
        <w:rPr>
          <w:i/>
          <w:iCs/>
          <w:sz w:val="18"/>
          <w:szCs w:val="18"/>
        </w:rPr>
        <w:t xml:space="preserve"> revealed</w:t>
      </w:r>
      <w:r w:rsidR="00B036F7" w:rsidRPr="006D0848">
        <w:rPr>
          <w:i/>
          <w:iCs/>
          <w:sz w:val="18"/>
          <w:szCs w:val="18"/>
        </w:rPr>
        <w:t xml:space="preserve"> </w:t>
      </w:r>
      <w:r w:rsidRPr="006D0848">
        <w:rPr>
          <w:i/>
          <w:iCs/>
          <w:sz w:val="18"/>
          <w:szCs w:val="18"/>
        </w:rPr>
        <w:t xml:space="preserve">that </w:t>
      </w:r>
      <w:r w:rsidR="00E90EEA" w:rsidRPr="006D0848">
        <w:rPr>
          <w:i/>
          <w:iCs/>
          <w:sz w:val="18"/>
          <w:szCs w:val="18"/>
        </w:rPr>
        <w:t>they had</w:t>
      </w:r>
      <w:r w:rsidRPr="00C44261">
        <w:rPr>
          <w:i/>
          <w:iCs/>
          <w:sz w:val="18"/>
          <w:szCs w:val="18"/>
        </w:rPr>
        <w:t xml:space="preserve"> initially offered naloxone to every patient receiving opioid medications. </w:t>
      </w:r>
      <w:r w:rsidR="006D0848" w:rsidRPr="006D0848">
        <w:rPr>
          <w:i/>
          <w:iCs/>
          <w:sz w:val="18"/>
          <w:szCs w:val="18"/>
        </w:rPr>
        <w:t>This was confirmed by a mystery shop visit.</w:t>
      </w:r>
      <w:r w:rsidRPr="006D0848">
        <w:rPr>
          <w:i/>
          <w:iCs/>
          <w:sz w:val="18"/>
          <w:szCs w:val="18"/>
        </w:rPr>
        <w:t xml:space="preserve"> </w:t>
      </w:r>
    </w:p>
    <w:p w14:paraId="1DE02863" w14:textId="77777777" w:rsidR="00CA5EEA" w:rsidRPr="00F700F1" w:rsidRDefault="00CA5EEA" w:rsidP="00A0570E">
      <w:pPr>
        <w:pStyle w:val="NbrHeading2"/>
      </w:pPr>
      <w:bookmarkStart w:id="194" w:name="_Toc94794127"/>
      <w:bookmarkStart w:id="195" w:name="_Toc94794264"/>
      <w:r w:rsidRPr="00F700F1">
        <w:lastRenderedPageBreak/>
        <w:t>Which aspects of access changed?</w:t>
      </w:r>
      <w:bookmarkEnd w:id="194"/>
      <w:bookmarkEnd w:id="195"/>
    </w:p>
    <w:p w14:paraId="3B7A1137" w14:textId="57E97082" w:rsidR="00CA5EEA" w:rsidRDefault="00CA5EEA" w:rsidP="003D0F16">
      <w:pPr>
        <w:pStyle w:val="NbrHeading3"/>
      </w:pPr>
      <w:bookmarkStart w:id="196" w:name="_Toc94794128"/>
      <w:bookmarkStart w:id="197" w:name="_Toc94794265"/>
      <w:bookmarkStart w:id="198" w:name="_Toc78970189"/>
      <w:r>
        <w:t>Was naloxone available in more locations?</w:t>
      </w:r>
      <w:bookmarkEnd w:id="196"/>
      <w:bookmarkEnd w:id="197"/>
    </w:p>
    <w:p w14:paraId="54F34E1C" w14:textId="6D253F61" w:rsidR="00CA5EEA" w:rsidRPr="00CE40E8" w:rsidRDefault="00CA5EEA" w:rsidP="003267B5">
      <w:pPr>
        <w:pStyle w:val="BodyText"/>
      </w:pPr>
      <w:proofErr w:type="gramStart"/>
      <w:r>
        <w:t>At</w:t>
      </w:r>
      <w:proofErr w:type="gramEnd"/>
      <w:r>
        <w:t xml:space="preserve"> 30 June 2021, 1,480 sites had registered to provide naloxone under the Pilot. Of these, 84</w:t>
      </w:r>
      <w:r w:rsidR="007C3379">
        <w:t>6</w:t>
      </w:r>
      <w:r>
        <w:t xml:space="preserve"> (57%) supplied naloxone to individuals on at least one occasion </w:t>
      </w:r>
      <w:r w:rsidR="009853AA">
        <w:t xml:space="preserve">during the evaluation period </w:t>
      </w:r>
      <w:r>
        <w:t xml:space="preserve">and so were considered ‘participating’ sites.  </w:t>
      </w:r>
    </w:p>
    <w:p w14:paraId="15086DED" w14:textId="0F59166D" w:rsidR="00CA5EEA" w:rsidRDefault="00CA5EEA" w:rsidP="003267B5">
      <w:pPr>
        <w:pStyle w:val="BodyText"/>
      </w:pPr>
      <w:r>
        <w:t xml:space="preserve">Most of the </w:t>
      </w:r>
      <w:r w:rsidR="00B264E5">
        <w:t xml:space="preserve">participating </w:t>
      </w:r>
      <w:r>
        <w:t>sites were in NSW (n=</w:t>
      </w:r>
      <w:r w:rsidR="00D17D41">
        <w:t>443</w:t>
      </w:r>
      <w:r>
        <w:t>, or 5.5/100,000</w:t>
      </w:r>
      <w:r>
        <w:rPr>
          <w:vertAlign w:val="superscript"/>
        </w:rPr>
        <w:t xml:space="preserve"> </w:t>
      </w:r>
      <w:r>
        <w:t>population</w:t>
      </w:r>
      <w:r>
        <w:rPr>
          <w:rStyle w:val="FootnoteReference"/>
        </w:rPr>
        <w:footnoteReference w:id="15"/>
      </w:r>
      <w:r>
        <w:t>)</w:t>
      </w:r>
      <w:r w:rsidR="007E3DC0">
        <w:t>,</w:t>
      </w:r>
      <w:r>
        <w:t xml:space="preserve"> but SA (n=122; 6.9/100,000) and particularly WA (n=</w:t>
      </w:r>
      <w:r w:rsidR="00C21554">
        <w:t>281</w:t>
      </w:r>
      <w:r>
        <w:t xml:space="preserve">; 11.0/100,000) were also well served. </w:t>
      </w:r>
      <w:r w:rsidR="006C213E">
        <w:fldChar w:fldCharType="begin"/>
      </w:r>
      <w:r w:rsidR="006C213E">
        <w:instrText xml:space="preserve"> REF _Ref82011489 \h </w:instrText>
      </w:r>
      <w:r w:rsidR="003267B5">
        <w:instrText xml:space="preserve"> \* MERGEFORMAT </w:instrText>
      </w:r>
      <w:r w:rsidR="006C213E">
        <w:fldChar w:fldCharType="separate"/>
      </w:r>
      <w:r w:rsidR="00EE19AD">
        <w:t xml:space="preserve">Figure </w:t>
      </w:r>
      <w:r w:rsidR="00EE19AD">
        <w:rPr>
          <w:noProof/>
        </w:rPr>
        <w:t>6</w:t>
      </w:r>
      <w:r w:rsidR="006C213E">
        <w:fldChar w:fldCharType="end"/>
      </w:r>
      <w:r w:rsidR="00C74103">
        <w:t xml:space="preserve"> </w:t>
      </w:r>
      <w:r>
        <w:t xml:space="preserve">below shows that </w:t>
      </w:r>
      <w:proofErr w:type="gramStart"/>
      <w:r>
        <w:t>the majority of</w:t>
      </w:r>
      <w:proofErr w:type="gramEnd"/>
      <w:r>
        <w:t xml:space="preserve"> </w:t>
      </w:r>
      <w:r w:rsidR="00347826">
        <w:t>participating</w:t>
      </w:r>
      <w:r>
        <w:t xml:space="preserve"> sites were located in cities (70%), followed by regional and remote areas. </w:t>
      </w:r>
      <w:r w:rsidR="00B9044C">
        <w:t xml:space="preserve">NSW was found to have </w:t>
      </w:r>
      <w:r w:rsidR="00704923">
        <w:t>wider</w:t>
      </w:r>
      <w:r w:rsidR="00B9044C">
        <w:t xml:space="preserve"> reach in regional areas (40%) </w:t>
      </w:r>
      <w:r w:rsidR="00704923">
        <w:t>compared to other two participating states (</w:t>
      </w:r>
      <w:r w:rsidR="00B94E74">
        <w:t>&lt;</w:t>
      </w:r>
      <w:r w:rsidR="00704923">
        <w:t>20%).</w:t>
      </w:r>
    </w:p>
    <w:p w14:paraId="36BE7CD8" w14:textId="3BA60402" w:rsidR="00CA5EEA" w:rsidRDefault="006C213E" w:rsidP="003A471B">
      <w:pPr>
        <w:pStyle w:val="Caption"/>
      </w:pPr>
      <w:bookmarkStart w:id="199" w:name="_Ref82011489"/>
      <w:bookmarkStart w:id="200" w:name="_Toc94794342"/>
      <w:r>
        <w:t xml:space="preserve">Figure </w:t>
      </w:r>
      <w:r w:rsidR="005C211A">
        <w:fldChar w:fldCharType="begin"/>
      </w:r>
      <w:r w:rsidR="005C211A">
        <w:instrText xml:space="preserve"> SEQ Figure \* ARABIC </w:instrText>
      </w:r>
      <w:r w:rsidR="005C211A">
        <w:fldChar w:fldCharType="separate"/>
      </w:r>
      <w:r w:rsidR="00EE19AD">
        <w:rPr>
          <w:noProof/>
        </w:rPr>
        <w:t>6</w:t>
      </w:r>
      <w:r w:rsidR="005C211A">
        <w:rPr>
          <w:noProof/>
        </w:rPr>
        <w:fldChar w:fldCharType="end"/>
      </w:r>
      <w:bookmarkEnd w:id="199"/>
      <w:r w:rsidR="00C74103">
        <w:t>.</w:t>
      </w:r>
      <w:r>
        <w:t xml:space="preserve"> </w:t>
      </w:r>
      <w:r w:rsidRPr="00DA5FB5">
        <w:t>Distribution of participating access sites by remoteness</w:t>
      </w:r>
      <w:bookmarkEnd w:id="200"/>
    </w:p>
    <w:p w14:paraId="03C41204" w14:textId="5292711D" w:rsidR="00590B21" w:rsidRDefault="00255AFD" w:rsidP="00BD62D7">
      <w:pPr>
        <w:pStyle w:val="BodyText"/>
      </w:pPr>
      <w:r>
        <w:rPr>
          <w:noProof/>
        </w:rPr>
        <w:drawing>
          <wp:inline distT="0" distB="0" distL="0" distR="0" wp14:anchorId="570A504F" wp14:editId="70763179">
            <wp:extent cx="5931408" cy="3038856"/>
            <wp:effectExtent l="0" t="0" r="0" b="9525"/>
            <wp:docPr id="44" name="Picture 44" descr="Map&#10;&#10;There were 848 participating sites nationwide. NSW had 443, of which 258 were central, 180 were regional, and 5 were very remote. SA had 122, of which 97 were central, 20 were regional, and 5 were very remote. WA had 283, of which 240 were central, 35 were regional, and 8 were very rem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verage_AusOnly_v3-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1408" cy="3038856"/>
                    </a:xfrm>
                    <a:prstGeom prst="rect">
                      <a:avLst/>
                    </a:prstGeom>
                  </pic:spPr>
                </pic:pic>
              </a:graphicData>
            </a:graphic>
          </wp:inline>
        </w:drawing>
      </w:r>
    </w:p>
    <w:p w14:paraId="7A6BA3A0" w14:textId="4D95C7B6" w:rsidR="0069609C" w:rsidRDefault="00CA5EEA" w:rsidP="007A6273">
      <w:r>
        <w:t xml:space="preserve">About half of the Pilot participants for whom we have </w:t>
      </w:r>
      <w:r w:rsidR="000C7588">
        <w:t xml:space="preserve">postcode </w:t>
      </w:r>
      <w:r>
        <w:t>data (</w:t>
      </w:r>
      <w:r w:rsidR="00287F46">
        <w:t>55</w:t>
      </w:r>
      <w:r>
        <w:t>%; n=5,434) accessed naloxone from within their home postcode, and 73% from within 5 postcodes of their home</w:t>
      </w:r>
      <w:r>
        <w:rPr>
          <w:rStyle w:val="FootnoteReference"/>
        </w:rPr>
        <w:footnoteReference w:id="16"/>
      </w:r>
      <w:r>
        <w:t>. These figures were slightly less for WA (34% and 55% respectively), but this may reflect the number of participants who accessed naloxone from an outreach service whose registered postcode was different to that in which the outreach operated.</w:t>
      </w:r>
    </w:p>
    <w:p w14:paraId="329244B2" w14:textId="2063A4AD" w:rsidR="008B3BF0" w:rsidRDefault="008B3BF0" w:rsidP="008B3BF0">
      <w:pPr>
        <w:pStyle w:val="NbrHeading3"/>
      </w:pPr>
      <w:bookmarkStart w:id="201" w:name="_Toc94794129"/>
      <w:bookmarkStart w:id="202" w:name="_Toc94794266"/>
      <w:r>
        <w:t>Was naloxone available in more settings?</w:t>
      </w:r>
      <w:bookmarkEnd w:id="201"/>
      <w:bookmarkEnd w:id="202"/>
    </w:p>
    <w:p w14:paraId="366FE42A" w14:textId="4EAF2F0F" w:rsidR="00D90663" w:rsidRDefault="00D90663" w:rsidP="003267B5">
      <w:pPr>
        <w:pStyle w:val="BodyText"/>
      </w:pPr>
      <w:r>
        <w:t>In NSW and WA, the Pilot allowed provision of THN through (s90) community pharmacies, (s92) approved medical practitioners, (s94) approved hospitals and authorised alternative suppliers (AAS), which included other health services (e.g., Justice Health, community health centres), needle and syringe programs (NSPs</w:t>
      </w:r>
      <w:r>
        <w:rPr>
          <w:rStyle w:val="FootnoteReference"/>
        </w:rPr>
        <w:footnoteReference w:id="17"/>
      </w:r>
      <w:r>
        <w:t xml:space="preserve">), alcohol and other drug (AOD) support services, outreach programs and non-government organisations. In SA, legislation only allowed dispensing of </w:t>
      </w:r>
      <w:r>
        <w:lastRenderedPageBreak/>
        <w:t xml:space="preserve">naloxone by pharmacies (hospital or community); other site types used vouchers to refer clients to participating pharmacies. </w:t>
      </w:r>
      <w:r w:rsidR="00AB00D7">
        <w:t>Existing arrangements allowed Drug and Alcohol Services South Australia (DASSA) to act as an AAS.</w:t>
      </w:r>
    </w:p>
    <w:p w14:paraId="2DB997A7" w14:textId="67035911" w:rsidR="008B3BF0" w:rsidRDefault="00216D33" w:rsidP="003267B5">
      <w:pPr>
        <w:pStyle w:val="BodyText"/>
      </w:pPr>
      <w:r>
        <w:t xml:space="preserve">Registered sites </w:t>
      </w:r>
      <w:r w:rsidR="00920AAF">
        <w:t xml:space="preserve">(n=1,480) </w:t>
      </w:r>
      <w:r>
        <w:t xml:space="preserve">included </w:t>
      </w:r>
      <w:r w:rsidR="001F4374">
        <w:t xml:space="preserve">1139 </w:t>
      </w:r>
      <w:r w:rsidR="00221CD6">
        <w:t xml:space="preserve">community pharmacies, </w:t>
      </w:r>
      <w:r w:rsidR="001F4374">
        <w:t xml:space="preserve">49 </w:t>
      </w:r>
      <w:r w:rsidR="00C903AC">
        <w:t xml:space="preserve">approved hospitals and </w:t>
      </w:r>
      <w:r w:rsidR="001F4374">
        <w:t>292 AAS</w:t>
      </w:r>
      <w:r w:rsidR="003A79D4">
        <w:t>.</w:t>
      </w:r>
      <w:r w:rsidR="001F4374">
        <w:t xml:space="preserve"> </w:t>
      </w:r>
      <w:r w:rsidR="007D0CFD">
        <w:t>No s</w:t>
      </w:r>
      <w:r w:rsidR="00C87A60">
        <w:t>9</w:t>
      </w:r>
      <w:r w:rsidR="006A5BE6">
        <w:t>2</w:t>
      </w:r>
      <w:r w:rsidR="00C87A60">
        <w:t xml:space="preserve"> approved medical practitioners registered for the Pilot</w:t>
      </w:r>
      <w:r w:rsidR="00CA4BEC">
        <w:t>.</w:t>
      </w:r>
    </w:p>
    <w:p w14:paraId="7B8FC8DA" w14:textId="3EC850D8" w:rsidR="004B17D7" w:rsidRDefault="00F30BE8" w:rsidP="003267B5">
      <w:pPr>
        <w:pStyle w:val="BodyText"/>
      </w:pPr>
      <w:r>
        <w:t xml:space="preserve">Of the registered sites, 846 </w:t>
      </w:r>
      <w:r w:rsidR="00920AAF">
        <w:t xml:space="preserve">(57%) </w:t>
      </w:r>
      <w:r>
        <w:t xml:space="preserve">provided THN at least once during the </w:t>
      </w:r>
      <w:r w:rsidR="003D7121">
        <w:t>evaluation period</w:t>
      </w:r>
      <w:r w:rsidR="00120EC1">
        <w:t xml:space="preserve"> and were thus regarded as “participating sites”. This comprised 605 pharmacies (</w:t>
      </w:r>
      <w:r w:rsidR="000068B4">
        <w:t xml:space="preserve">594 </w:t>
      </w:r>
      <w:r w:rsidR="00120EC1">
        <w:t xml:space="preserve">community and </w:t>
      </w:r>
      <w:r w:rsidR="000068B4">
        <w:t xml:space="preserve">11 </w:t>
      </w:r>
      <w:r w:rsidR="00120EC1">
        <w:t xml:space="preserve">hospital-based) and 241 AAS. </w:t>
      </w:r>
    </w:p>
    <w:p w14:paraId="3C442F34" w14:textId="77777777" w:rsidR="008F0662" w:rsidRDefault="00CA5EEA" w:rsidP="003267B5">
      <w:pPr>
        <w:pStyle w:val="BodyText"/>
      </w:pPr>
      <w:r>
        <w:t xml:space="preserve">After the sharp peak in February 2020, monthly supplies at pharmacy sites maintained a relatively stable trajectory, and AAS a gradual upward trend. </w:t>
      </w:r>
    </w:p>
    <w:p w14:paraId="2BDA7913" w14:textId="13B53BCE" w:rsidR="006A1970" w:rsidRDefault="006A1970" w:rsidP="003267B5">
      <w:pPr>
        <w:pStyle w:val="BodyText"/>
      </w:pPr>
      <w:r>
        <w:t>An apparent downward trend among city pharmacies was mainly due to a drop in NSW monthly supplies after the February 2020 peak; monthly supplies rose for city pharmacies in SA and WA.</w:t>
      </w:r>
    </w:p>
    <w:p w14:paraId="4AB96319" w14:textId="48D49723" w:rsidR="00CA5EEA" w:rsidRDefault="00CA5EEA" w:rsidP="003267B5">
      <w:pPr>
        <w:pStyle w:val="BodyText"/>
      </w:pPr>
      <w:bookmarkStart w:id="203" w:name="_Hlk84586179"/>
      <w:r>
        <w:t>Monthly supplies in regional pharmacies and AAS showed a gradual upward trend compared to city sites. Regional sites recorded an average of 156 THN supplies per month through pharmacies and 50 per month through regional AAS</w:t>
      </w:r>
      <w:r w:rsidR="001F3296">
        <w:t xml:space="preserve"> </w:t>
      </w:r>
      <w:bookmarkEnd w:id="203"/>
      <w:r w:rsidR="001F3296">
        <w:t xml:space="preserve">(see </w:t>
      </w:r>
      <w:r w:rsidR="001F3296">
        <w:fldChar w:fldCharType="begin"/>
      </w:r>
      <w:r w:rsidR="001F3296">
        <w:instrText xml:space="preserve"> REF _Ref81315515 \h </w:instrText>
      </w:r>
      <w:r w:rsidR="003267B5">
        <w:instrText xml:space="preserve"> \* MERGEFORMAT </w:instrText>
      </w:r>
      <w:r w:rsidR="001F3296">
        <w:fldChar w:fldCharType="separate"/>
      </w:r>
      <w:r w:rsidR="00EE19AD">
        <w:t xml:space="preserve">Figure </w:t>
      </w:r>
      <w:r w:rsidR="00EE19AD">
        <w:rPr>
          <w:noProof/>
        </w:rPr>
        <w:t>7</w:t>
      </w:r>
      <w:r w:rsidR="001F3296">
        <w:fldChar w:fldCharType="end"/>
      </w:r>
      <w:r w:rsidR="001F3296">
        <w:t>)</w:t>
      </w:r>
      <w:r>
        <w:t>.</w:t>
      </w:r>
      <w:r w:rsidRPr="00F716EB">
        <w:t xml:space="preserve"> </w:t>
      </w:r>
    </w:p>
    <w:p w14:paraId="4CC0AA2A" w14:textId="6FDF5F1B" w:rsidR="00CC7084" w:rsidRPr="00CC7084" w:rsidRDefault="00CA5EEA" w:rsidP="003267B5">
      <w:pPr>
        <w:pStyle w:val="BodyText"/>
      </w:pPr>
      <w:r>
        <w:t xml:space="preserve">The increase </w:t>
      </w:r>
      <w:r w:rsidR="00EA077F">
        <w:t>in supply</w:t>
      </w:r>
      <w:r>
        <w:t xml:space="preserve"> among AAS was primarily seen in NSW sites, both city and regional, including government AOD services and justice health settings. The majority </w:t>
      </w:r>
      <w:r w:rsidR="00497364">
        <w:t xml:space="preserve">of AAS supplies in WA </w:t>
      </w:r>
      <w:r>
        <w:t>(98.5%</w:t>
      </w:r>
      <w:r w:rsidR="00EF6E5C">
        <w:t xml:space="preserve"> </w:t>
      </w:r>
      <w:r>
        <w:t>of 2,423 supplies) occurred at city sites with a stable trend of 126 supplies per month.</w:t>
      </w:r>
    </w:p>
    <w:p w14:paraId="164CF7BC" w14:textId="061B6A5C" w:rsidR="00CA5EEA" w:rsidRDefault="00CF4C8B" w:rsidP="00745146">
      <w:pPr>
        <w:spacing w:after="160" w:line="259" w:lineRule="auto"/>
      </w:pPr>
      <w:r>
        <w:br w:type="page"/>
      </w:r>
      <w:bookmarkStart w:id="204" w:name="_Ref81315515"/>
      <w:bookmarkStart w:id="205" w:name="_Toc81401860"/>
      <w:bookmarkStart w:id="206" w:name="_Ref82010410"/>
      <w:bookmarkStart w:id="207" w:name="_Toc94794343"/>
      <w:r w:rsidR="00CA5EEA">
        <w:lastRenderedPageBreak/>
        <w:t xml:space="preserve">Figure </w:t>
      </w:r>
      <w:r w:rsidR="00CA5EEA">
        <w:fldChar w:fldCharType="begin"/>
      </w:r>
      <w:r w:rsidR="00CA5EEA">
        <w:instrText>SEQ Figure \* ARABIC</w:instrText>
      </w:r>
      <w:r w:rsidR="00CA5EEA">
        <w:fldChar w:fldCharType="separate"/>
      </w:r>
      <w:r w:rsidR="00EE19AD">
        <w:rPr>
          <w:noProof/>
        </w:rPr>
        <w:t>7</w:t>
      </w:r>
      <w:r w:rsidR="00CA5EEA">
        <w:fldChar w:fldCharType="end"/>
      </w:r>
      <w:bookmarkEnd w:id="204"/>
      <w:r w:rsidR="00CA5EEA">
        <w:t>. THN supplies December 2019 to June 2021, by access site type and remoteness</w:t>
      </w:r>
      <w:bookmarkEnd w:id="205"/>
      <w:bookmarkEnd w:id="206"/>
      <w:bookmarkEnd w:id="207"/>
    </w:p>
    <w:tbl>
      <w:tblPr>
        <w:tblStyle w:val="PlainTable1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7"/>
      </w:tblGrid>
      <w:tr w:rsidR="00CA5EEA" w14:paraId="5C01D41A" w14:textId="77777777" w:rsidTr="003D0F16">
        <w:trPr>
          <w:cnfStyle w:val="100000000000" w:firstRow="1" w:lastRow="0" w:firstColumn="0" w:lastColumn="0" w:oddVBand="0" w:evenVBand="0" w:oddHBand="0" w:evenHBand="0" w:firstRowFirstColumn="0" w:firstRowLastColumn="0" w:lastRowFirstColumn="0" w:lastRowLastColumn="0"/>
          <w:trHeight w:val="4252"/>
        </w:trPr>
        <w:tc>
          <w:tcPr>
            <w:cnfStyle w:val="001000000000" w:firstRow="0" w:lastRow="0" w:firstColumn="1" w:lastColumn="0" w:oddVBand="0" w:evenVBand="0" w:oddHBand="0" w:evenHBand="0" w:firstRowFirstColumn="0" w:firstRowLastColumn="0" w:lastRowFirstColumn="0" w:lastRowLastColumn="0"/>
            <w:tcW w:w="0" w:type="dxa"/>
          </w:tcPr>
          <w:p w14:paraId="21C89F0C" w14:textId="77777777" w:rsidR="00CA5EEA" w:rsidRPr="00F66A31" w:rsidRDefault="00CA5EEA" w:rsidP="003D0F16">
            <w:pPr>
              <w:pStyle w:val="BodyText"/>
              <w:rPr>
                <w:b w:val="0"/>
                <w:i/>
              </w:rPr>
            </w:pPr>
            <w:r w:rsidRPr="00F66A31">
              <w:rPr>
                <w:b w:val="0"/>
                <w:i/>
              </w:rPr>
              <w:t>(a) Pharmacies (</w:t>
            </w:r>
            <w:r>
              <w:rPr>
                <w:b w:val="0"/>
                <w:i/>
              </w:rPr>
              <w:t>Community and Hospital Pharmacies</w:t>
            </w:r>
            <w:r w:rsidRPr="00F66A31">
              <w:rPr>
                <w:b w:val="0"/>
                <w:i/>
              </w:rPr>
              <w:t>)</w:t>
            </w:r>
          </w:p>
          <w:p w14:paraId="288A483B" w14:textId="77777777" w:rsidR="00CA5EEA" w:rsidRDefault="00CA5EEA" w:rsidP="003D0F16">
            <w:pPr>
              <w:pStyle w:val="BodyText"/>
            </w:pPr>
            <w:r>
              <w:rPr>
                <w:noProof/>
              </w:rPr>
              <w:drawing>
                <wp:inline distT="0" distB="0" distL="0" distR="0" wp14:anchorId="14C70F36" wp14:editId="76A40BB0">
                  <wp:extent cx="5100955" cy="2247900"/>
                  <wp:effectExtent l="0" t="0" r="4445" b="0"/>
                  <wp:docPr id="205" name="Chart 205" descr="Line graph. . THN supplies December 2019 to June 2021, at Pharmacies (Community and Hospital Pharmacies)">
                    <a:extLst xmlns:a="http://schemas.openxmlformats.org/drawingml/2006/main">
                      <a:ext uri="{FF2B5EF4-FFF2-40B4-BE49-F238E27FC236}">
                        <a16:creationId xmlns:a16="http://schemas.microsoft.com/office/drawing/2014/main" id="{4AC045E0-0C72-467A-AE25-3D96FB0A1A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CA5EEA" w14:paraId="0D158BFB" w14:textId="77777777" w:rsidTr="003D0F16">
        <w:trPr>
          <w:cnfStyle w:val="000000100000" w:firstRow="0" w:lastRow="0" w:firstColumn="0" w:lastColumn="0" w:oddVBand="0" w:evenVBand="0" w:oddHBand="1" w:evenHBand="0" w:firstRowFirstColumn="0" w:firstRowLastColumn="0" w:lastRowFirstColumn="0" w:lastRowLastColumn="0"/>
          <w:trHeight w:val="4252"/>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4D32CD06" w14:textId="77777777" w:rsidR="00CA5EEA" w:rsidRPr="00F66A31" w:rsidRDefault="00CA5EEA" w:rsidP="003D0F16">
            <w:pPr>
              <w:pStyle w:val="BodyText"/>
              <w:rPr>
                <w:b w:val="0"/>
                <w:i/>
              </w:rPr>
            </w:pPr>
            <w:r w:rsidRPr="00F66A31">
              <w:rPr>
                <w:b w:val="0"/>
                <w:i/>
              </w:rPr>
              <w:t>(b) Authorised Alternative Suppliers</w:t>
            </w:r>
            <w:r>
              <w:rPr>
                <w:b w:val="0"/>
                <w:bCs w:val="0"/>
                <w:i/>
                <w:iCs/>
              </w:rPr>
              <w:t xml:space="preserve"> (AAS)</w:t>
            </w:r>
          </w:p>
          <w:p w14:paraId="30F04861" w14:textId="77777777" w:rsidR="00CA5EEA" w:rsidRDefault="00CA5EEA" w:rsidP="003D0F16">
            <w:pPr>
              <w:pStyle w:val="BodyText"/>
              <w:keepNext/>
            </w:pPr>
            <w:r>
              <w:rPr>
                <w:noProof/>
              </w:rPr>
              <w:drawing>
                <wp:inline distT="0" distB="0" distL="0" distR="0" wp14:anchorId="7DD07F64" wp14:editId="340E539F">
                  <wp:extent cx="5125453" cy="2646947"/>
                  <wp:effectExtent l="0" t="0" r="0" b="1270"/>
                  <wp:docPr id="206" name="Chart 206" descr="Line graph. . THN supplies December 2019 to June 2021, at Authorised Alternative Suppliers (AAS)">
                    <a:extLst xmlns:a="http://schemas.openxmlformats.org/drawingml/2006/main">
                      <a:ext uri="{FF2B5EF4-FFF2-40B4-BE49-F238E27FC236}">
                        <a16:creationId xmlns:a16="http://schemas.microsoft.com/office/drawing/2014/main" id="{1D930F88-2217-406B-B0F5-6E6288D6A6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bookmarkEnd w:id="198"/>
    <w:p w14:paraId="2550556D" w14:textId="044DA426" w:rsidR="00CA5EEA" w:rsidRPr="00DA2D01" w:rsidRDefault="00CA5EEA" w:rsidP="00451680">
      <w:pPr>
        <w:pStyle w:val="NbrHeading4"/>
      </w:pPr>
      <w:r>
        <w:t>Participating Pharmacies</w:t>
      </w:r>
    </w:p>
    <w:bookmarkStart w:id="208" w:name="_Ref78899803"/>
    <w:p w14:paraId="56BD25B3" w14:textId="71E522AB" w:rsidR="00E04367" w:rsidRDefault="001F3296" w:rsidP="006A4B64">
      <w:pPr>
        <w:pStyle w:val="BodyText"/>
        <w:spacing w:line="260" w:lineRule="exact"/>
      </w:pPr>
      <w:r>
        <w:fldChar w:fldCharType="begin"/>
      </w:r>
      <w:r>
        <w:instrText xml:space="preserve"> REF _Ref81315473 \h </w:instrText>
      </w:r>
      <w:r>
        <w:fldChar w:fldCharType="separate"/>
      </w:r>
      <w:r w:rsidR="00EE19AD">
        <w:t xml:space="preserve">Figure </w:t>
      </w:r>
      <w:r w:rsidR="00EE19AD">
        <w:rPr>
          <w:noProof/>
        </w:rPr>
        <w:t>8</w:t>
      </w:r>
      <w:r>
        <w:fldChar w:fldCharType="end"/>
      </w:r>
      <w:r>
        <w:t xml:space="preserve"> </w:t>
      </w:r>
      <w:r w:rsidR="00CA5EEA">
        <w:t xml:space="preserve">shows that during the Pilot period, twice as many pharmacies dispensed naloxone through the Pilot (n=605) than via the PBS (n=303). The difference was most marked in WA, where four times as many pharmacies dispensed THN through the Pilot than </w:t>
      </w:r>
      <w:r w:rsidR="00E874DC">
        <w:t xml:space="preserve">through </w:t>
      </w:r>
      <w:r w:rsidR="00CA5EEA">
        <w:t>the PBS.</w:t>
      </w:r>
    </w:p>
    <w:p w14:paraId="4CD38966" w14:textId="315C18D9" w:rsidR="00CA5EEA" w:rsidRDefault="0056428E" w:rsidP="006A4B64">
      <w:pPr>
        <w:pStyle w:val="BodyText"/>
        <w:spacing w:line="260" w:lineRule="exact"/>
      </w:pPr>
      <w:bookmarkStart w:id="209" w:name="_Hlk84586361"/>
      <w:r>
        <w:t xml:space="preserve">We also found </w:t>
      </w:r>
      <w:r w:rsidR="009E6612">
        <w:t>that the number of remote pharmacies providing THN via the Pilot was four times that of PBS-based naloxone providers.</w:t>
      </w:r>
    </w:p>
    <w:p w14:paraId="6A4ADF0D" w14:textId="443C2609" w:rsidR="00CA5EEA" w:rsidRDefault="00CA5EEA" w:rsidP="003D0F16">
      <w:pPr>
        <w:pStyle w:val="Caption"/>
      </w:pPr>
      <w:bookmarkStart w:id="210" w:name="_Ref81315473"/>
      <w:bookmarkStart w:id="211" w:name="_Toc81401861"/>
      <w:bookmarkStart w:id="212" w:name="_Toc94794344"/>
      <w:bookmarkEnd w:id="209"/>
      <w:r>
        <w:lastRenderedPageBreak/>
        <w:t xml:space="preserve">Figure </w:t>
      </w:r>
      <w:r w:rsidR="005C211A">
        <w:fldChar w:fldCharType="begin"/>
      </w:r>
      <w:r w:rsidR="005C211A">
        <w:instrText xml:space="preserve"> SEQ Figure \* ARABIC </w:instrText>
      </w:r>
      <w:r w:rsidR="005C211A">
        <w:fldChar w:fldCharType="separate"/>
      </w:r>
      <w:r w:rsidR="00EE19AD">
        <w:rPr>
          <w:noProof/>
        </w:rPr>
        <w:t>8</w:t>
      </w:r>
      <w:r w:rsidR="005C211A">
        <w:rPr>
          <w:noProof/>
        </w:rPr>
        <w:fldChar w:fldCharType="end"/>
      </w:r>
      <w:bookmarkEnd w:id="210"/>
      <w:r>
        <w:rPr>
          <w:noProof/>
        </w:rPr>
        <w:t>.</w:t>
      </w:r>
      <w:r>
        <w:t xml:space="preserve"> </w:t>
      </w:r>
      <w:r w:rsidRPr="00CD4678">
        <w:t xml:space="preserve">Pharmacies dispensing naloxone </w:t>
      </w:r>
      <w:r>
        <w:t>and opioids</w:t>
      </w:r>
      <w:r w:rsidRPr="00CD4678">
        <w:t xml:space="preserve"> in NSW, SA and WA, December 2019-June 2021</w:t>
      </w:r>
      <w:bookmarkEnd w:id="211"/>
      <w:bookmarkEnd w:id="212"/>
    </w:p>
    <w:p w14:paraId="555BDD1F" w14:textId="5467CBC3" w:rsidR="00CA5EEA" w:rsidRDefault="00CA5EEA" w:rsidP="003D0F16">
      <w:pPr>
        <w:pStyle w:val="BodyText"/>
      </w:pPr>
      <w:r w:rsidRPr="00A24CF1">
        <w:rPr>
          <w:noProof/>
        </w:rPr>
        <w:t xml:space="preserve"> </w:t>
      </w:r>
      <w:r w:rsidRPr="002C4553">
        <w:rPr>
          <w:noProof/>
        </w:rPr>
        <w:t xml:space="preserve"> </w:t>
      </w:r>
      <w:r w:rsidRPr="00F64BF0">
        <w:rPr>
          <w:noProof/>
        </w:rPr>
        <w:t xml:space="preserve"> </w:t>
      </w:r>
      <w:r>
        <w:rPr>
          <w:noProof/>
        </w:rPr>
        <w:drawing>
          <wp:inline distT="0" distB="0" distL="0" distR="0" wp14:anchorId="0FFFDAA0" wp14:editId="262E37E0">
            <wp:extent cx="5658485" cy="3248025"/>
            <wp:effectExtent l="0" t="0" r="0" b="0"/>
            <wp:docPr id="221" name="Chart 221" descr="Bar graph. Comparing the number of Pharmacies dispensing naloxone and opioids in NSW, SA and WA, December 2019-June 2021">
              <a:extLst xmlns:a="http://schemas.openxmlformats.org/drawingml/2006/main">
                <a:ext uri="{FF2B5EF4-FFF2-40B4-BE49-F238E27FC236}">
                  <a16:creationId xmlns:a16="http://schemas.microsoft.com/office/drawing/2014/main" id="{436FDFF0-8FF3-48DB-AEFB-E289D96093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03EE194" w14:textId="7F1216A5" w:rsidR="00CA5EEA" w:rsidRDefault="00CA5EEA" w:rsidP="00E04367">
      <w:pPr>
        <w:pStyle w:val="BodyText"/>
        <w:spacing w:line="260" w:lineRule="exact"/>
      </w:pPr>
      <w:r>
        <w:t>These</w:t>
      </w:r>
      <w:r w:rsidDel="00A633C6">
        <w:t xml:space="preserve"> </w:t>
      </w:r>
      <w:r w:rsidR="00A633C6">
        <w:t>participating</w:t>
      </w:r>
      <w:r>
        <w:t xml:space="preserve"> sites represent 17.5% of all pharmacies that dispensed opioids in the Pilot states during this time (2,166 in NSW, 538 in SA and 739 in WA), most of which dispensed opioids comprising a</w:t>
      </w:r>
      <w:r w:rsidR="1CF8ABB1">
        <w:t xml:space="preserve"> potential</w:t>
      </w:r>
      <w:r>
        <w:t xml:space="preserve"> overdose risk (i.e., &gt;50 MME/day) to at least one </w:t>
      </w:r>
      <w:r w:rsidR="761324F4">
        <w:t>person</w:t>
      </w:r>
      <w:r w:rsidRPr="00FC4CD3">
        <w:t xml:space="preserve"> </w:t>
      </w:r>
      <w:r>
        <w:t>each month. This is significantly higher than coverage achieved through the PBS (8.8%).</w:t>
      </w:r>
    </w:p>
    <w:p w14:paraId="63C57E1D" w14:textId="11E284CE" w:rsidR="00CA5EEA" w:rsidRDefault="00CA5EEA" w:rsidP="00E04367">
      <w:pPr>
        <w:pStyle w:val="BodyText"/>
        <w:spacing w:line="260" w:lineRule="exact"/>
      </w:pPr>
      <w:r>
        <w:t>This coverage estimate was slightly higher in SA (22.5%) than NSW (16.3%) and WA (17.6%)</w:t>
      </w:r>
      <w:r w:rsidR="00B25101">
        <w:t xml:space="preserve">, and </w:t>
      </w:r>
      <w:r>
        <w:t>in regional areas (21.2%) than in major city (16.4%) or very remote (15.8%) areas.</w:t>
      </w:r>
      <w:bookmarkEnd w:id="208"/>
      <w:r>
        <w:t xml:space="preserve"> </w:t>
      </w:r>
    </w:p>
    <w:p w14:paraId="0662F962" w14:textId="75C42FC2" w:rsidR="00B25101" w:rsidRDefault="008E077E" w:rsidP="00E04367">
      <w:pPr>
        <w:pStyle w:val="BodyText"/>
        <w:spacing w:line="260" w:lineRule="exact"/>
      </w:pPr>
      <w:r>
        <w:t>P</w:t>
      </w:r>
      <w:r w:rsidR="00625740">
        <w:t xml:space="preserve">articipating </w:t>
      </w:r>
      <w:r w:rsidR="00E3202A">
        <w:t>pharmacies</w:t>
      </w:r>
      <w:r w:rsidR="00625740">
        <w:t xml:space="preserve"> </w:t>
      </w:r>
      <w:r w:rsidR="0056241D">
        <w:t xml:space="preserve">were </w:t>
      </w:r>
      <w:r>
        <w:t xml:space="preserve">mostly </w:t>
      </w:r>
      <w:r w:rsidR="00E3202A">
        <w:t xml:space="preserve">community (s90) pharmacies. </w:t>
      </w:r>
      <w:r w:rsidR="00AA64BA">
        <w:t>A</w:t>
      </w:r>
      <w:r w:rsidR="006F378C">
        <w:t xml:space="preserve"> </w:t>
      </w:r>
      <w:r w:rsidR="00D50A6B">
        <w:t xml:space="preserve">total of 1,139 community pharmacies registered </w:t>
      </w:r>
      <w:r w:rsidR="00B927FC">
        <w:t xml:space="preserve">for the Pilot, which </w:t>
      </w:r>
      <w:r w:rsidR="003A02F3">
        <w:t xml:space="preserve">accounts </w:t>
      </w:r>
      <w:r w:rsidR="0002475F">
        <w:t>for</w:t>
      </w:r>
      <w:r w:rsidR="00683101">
        <w:t xml:space="preserve"> nearly 40% of all community pharmacies</w:t>
      </w:r>
      <w:r w:rsidR="002D376E">
        <w:t xml:space="preserve"> in the three Pilot states</w:t>
      </w:r>
      <w:r w:rsidR="0085330D">
        <w:rPr>
          <w:rStyle w:val="FootnoteReference"/>
        </w:rPr>
        <w:footnoteReference w:id="18"/>
      </w:r>
      <w:r w:rsidR="002D376E">
        <w:t>.</w:t>
      </w:r>
      <w:r w:rsidR="00F1687B">
        <w:t xml:space="preserve"> Of those </w:t>
      </w:r>
      <w:r w:rsidR="00942DC4">
        <w:t>registered</w:t>
      </w:r>
      <w:r w:rsidR="00FA485A">
        <w:t xml:space="preserve">, 52% </w:t>
      </w:r>
      <w:r w:rsidR="00C47B23">
        <w:t xml:space="preserve">(n=594) </w:t>
      </w:r>
      <w:r w:rsidR="00A9152B">
        <w:t xml:space="preserve">participated </w:t>
      </w:r>
      <w:r w:rsidR="000A3E68">
        <w:t>(supplied naloxone once)</w:t>
      </w:r>
      <w:r w:rsidR="007E01A9">
        <w:t>,</w:t>
      </w:r>
      <w:r w:rsidR="00027418">
        <w:t xml:space="preserve"> but only</w:t>
      </w:r>
      <w:r w:rsidR="00A9152B" w:rsidDel="00027418">
        <w:t xml:space="preserve"> </w:t>
      </w:r>
      <w:r w:rsidR="005247DB">
        <w:t xml:space="preserve">18% </w:t>
      </w:r>
      <w:r w:rsidR="00C47B23">
        <w:t xml:space="preserve">(n=207) </w:t>
      </w:r>
      <w:r w:rsidR="006F586B">
        <w:t xml:space="preserve">made at least one supply </w:t>
      </w:r>
      <w:r w:rsidR="00996B6B">
        <w:t xml:space="preserve">per </w:t>
      </w:r>
      <w:r w:rsidR="006F586B">
        <w:t xml:space="preserve">month </w:t>
      </w:r>
      <w:r w:rsidR="00EF7620">
        <w:t xml:space="preserve">after </w:t>
      </w:r>
      <w:r w:rsidR="00C92318">
        <w:t>registration</w:t>
      </w:r>
      <w:r w:rsidR="00CC739C">
        <w:t xml:space="preserve"> (</w:t>
      </w:r>
      <w:r w:rsidR="00CC739C">
        <w:fldChar w:fldCharType="begin"/>
      </w:r>
      <w:r w:rsidR="00CC739C">
        <w:instrText xml:space="preserve"> REF _Ref82010569 \h </w:instrText>
      </w:r>
      <w:r w:rsidR="00CC739C">
        <w:fldChar w:fldCharType="separate"/>
      </w:r>
      <w:r w:rsidR="00EE19AD">
        <w:t xml:space="preserve">Figure </w:t>
      </w:r>
      <w:r w:rsidR="00EE19AD">
        <w:rPr>
          <w:i/>
          <w:iCs/>
          <w:noProof/>
        </w:rPr>
        <w:t>9</w:t>
      </w:r>
      <w:r w:rsidR="00CC739C">
        <w:fldChar w:fldCharType="end"/>
      </w:r>
      <w:r w:rsidR="00235C68">
        <w:t>)</w:t>
      </w:r>
      <w:r w:rsidR="006F586B">
        <w:t>.</w:t>
      </w:r>
      <w:r w:rsidR="00A9152B">
        <w:t xml:space="preserve"> </w:t>
      </w:r>
    </w:p>
    <w:p w14:paraId="117F89A4" w14:textId="73FBB166" w:rsidR="0043798D" w:rsidRDefault="005D06FA" w:rsidP="00F6713B">
      <w:pPr>
        <w:pStyle w:val="Caption"/>
      </w:pPr>
      <w:bookmarkStart w:id="213" w:name="_Ref82010569"/>
      <w:bookmarkStart w:id="214" w:name="_Toc94794345"/>
      <w:r>
        <w:lastRenderedPageBreak/>
        <w:t xml:space="preserve">Figure </w:t>
      </w:r>
      <w:r>
        <w:fldChar w:fldCharType="begin"/>
      </w:r>
      <w:r w:rsidRPr="005D06FA">
        <w:rPr>
          <w:i/>
          <w:iCs w:val="0"/>
        </w:rPr>
        <w:instrText xml:space="preserve"> SEQ Figure \* ARABIC </w:instrText>
      </w:r>
      <w:r>
        <w:fldChar w:fldCharType="separate"/>
      </w:r>
      <w:r w:rsidR="00EE19AD">
        <w:rPr>
          <w:i/>
          <w:iCs w:val="0"/>
          <w:noProof/>
        </w:rPr>
        <w:t>9</w:t>
      </w:r>
      <w:r>
        <w:fldChar w:fldCharType="end"/>
      </w:r>
      <w:bookmarkEnd w:id="213"/>
      <w:r w:rsidR="0043798D">
        <w:t xml:space="preserve">. </w:t>
      </w:r>
      <w:r w:rsidR="0043798D" w:rsidDel="007F629A">
        <w:t xml:space="preserve">Active </w:t>
      </w:r>
      <w:r w:rsidR="0043798D">
        <w:t>participation in the Pilot by community pharmacies</w:t>
      </w:r>
      <w:bookmarkEnd w:id="214"/>
    </w:p>
    <w:p w14:paraId="73C1AC8D" w14:textId="6AE1EB6C" w:rsidR="0043798D" w:rsidRDefault="00F6713B" w:rsidP="00F6713B">
      <w:pPr>
        <w:pStyle w:val="FigureStyle"/>
      </w:pPr>
      <w:r>
        <w:rPr>
          <w:noProof/>
        </w:rPr>
        <w:drawing>
          <wp:inline distT="0" distB="0" distL="0" distR="0" wp14:anchorId="09E8D3D7" wp14:editId="44138ACA">
            <wp:extent cx="3519170" cy="2957195"/>
            <wp:effectExtent l="0" t="0" r="5080" b="0"/>
            <wp:docPr id="51" name="Picture 51" descr="Diagram&#10;&#10;Out of 2 991 community pharmacies in the pilot states, 1 139 registered for the pilot, 594 participated (dispensing THN at least once) and 207 regularly dispensed THN during the pi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19170" cy="2957195"/>
                    </a:xfrm>
                    <a:prstGeom prst="rect">
                      <a:avLst/>
                    </a:prstGeom>
                  </pic:spPr>
                </pic:pic>
              </a:graphicData>
            </a:graphic>
          </wp:inline>
        </w:drawing>
      </w:r>
    </w:p>
    <w:p w14:paraId="23F62B63" w14:textId="3F997393" w:rsidR="00CA5EEA" w:rsidRDefault="00CA5EEA" w:rsidP="00EF7620">
      <w:pPr>
        <w:pStyle w:val="NbrHeading4"/>
      </w:pPr>
      <w:r>
        <w:t>Participating Authorised Alternative Suppliers (AAS)</w:t>
      </w:r>
    </w:p>
    <w:p w14:paraId="35EB2944" w14:textId="77777777" w:rsidR="00CA5EEA" w:rsidRDefault="00CA5EEA" w:rsidP="00E04367">
      <w:pPr>
        <w:pStyle w:val="BodyText"/>
        <w:spacing w:line="260" w:lineRule="exact"/>
      </w:pPr>
      <w:r>
        <w:t>A range of AAS were approved in NSW and WA to provide naloxone directly to consumers as part of the Pilot. These included a range of health settings:</w:t>
      </w:r>
    </w:p>
    <w:p w14:paraId="199AE74D" w14:textId="77777777" w:rsidR="00CA5EEA" w:rsidRDefault="00CA5EEA" w:rsidP="003D0F16">
      <w:pPr>
        <w:pStyle w:val="BodyText"/>
        <w:numPr>
          <w:ilvl w:val="0"/>
          <w:numId w:val="25"/>
        </w:numPr>
      </w:pPr>
      <w:r>
        <w:t>Hospital services including emergency departments</w:t>
      </w:r>
    </w:p>
    <w:p w14:paraId="66A84764" w14:textId="77777777" w:rsidR="00CA5EEA" w:rsidRDefault="00CA5EEA" w:rsidP="003D0F16">
      <w:pPr>
        <w:pStyle w:val="BodyText"/>
        <w:numPr>
          <w:ilvl w:val="0"/>
          <w:numId w:val="25"/>
        </w:numPr>
      </w:pPr>
      <w:r>
        <w:t>Alcohol and other drugs (AOD) treatment services (government and non-government)</w:t>
      </w:r>
    </w:p>
    <w:p w14:paraId="60C7C009" w14:textId="37786D77" w:rsidR="00CA5EEA" w:rsidRDefault="00CA5EEA" w:rsidP="003D0F16">
      <w:pPr>
        <w:pStyle w:val="BodyText"/>
        <w:numPr>
          <w:ilvl w:val="0"/>
          <w:numId w:val="25"/>
        </w:numPr>
      </w:pPr>
      <w:r>
        <w:t>Needle and syringe programs (NSP</w:t>
      </w:r>
      <w:r w:rsidR="005B511A">
        <w:t>); called Clean Needle Programs (CNP) in SA</w:t>
      </w:r>
      <w:r>
        <w:t>, including outreach settings</w:t>
      </w:r>
    </w:p>
    <w:p w14:paraId="6A1F0B02" w14:textId="6F31E960" w:rsidR="00CA5EEA" w:rsidRDefault="00CA5EEA" w:rsidP="003D0F16">
      <w:pPr>
        <w:pStyle w:val="BodyText"/>
        <w:numPr>
          <w:ilvl w:val="0"/>
          <w:numId w:val="25"/>
        </w:numPr>
      </w:pPr>
      <w:r>
        <w:t>Justice Health services and/or custodial release programs (NSW and WA</w:t>
      </w:r>
      <w:r w:rsidR="00F25591">
        <w:rPr>
          <w:rStyle w:val="FootnoteReference"/>
        </w:rPr>
        <w:footnoteReference w:id="19"/>
      </w:r>
      <w:r>
        <w:t>)</w:t>
      </w:r>
    </w:p>
    <w:p w14:paraId="43F64197" w14:textId="77777777" w:rsidR="00CA5EEA" w:rsidRDefault="00CA5EEA" w:rsidP="003D0F16">
      <w:pPr>
        <w:pStyle w:val="BodyText"/>
        <w:numPr>
          <w:ilvl w:val="0"/>
          <w:numId w:val="25"/>
        </w:numPr>
      </w:pPr>
      <w:r>
        <w:t>Community based health support organisations.</w:t>
      </w:r>
    </w:p>
    <w:p w14:paraId="65EB962D" w14:textId="1A43979A" w:rsidR="00D65A32" w:rsidRDefault="00E9014D" w:rsidP="006447AE">
      <w:pPr>
        <w:pStyle w:val="BodyText"/>
        <w:spacing w:line="260" w:lineRule="exact"/>
      </w:pPr>
      <w:r>
        <w:t xml:space="preserve">Of the 292 AAS registered for the Pilot, </w:t>
      </w:r>
      <w:r w:rsidR="00EE62D9">
        <w:t>241 (</w:t>
      </w:r>
      <w:r w:rsidR="00EE4C4B">
        <w:t>82.5%) provided naloxone at least once during the Pilot</w:t>
      </w:r>
      <w:r w:rsidR="003475CE">
        <w:t xml:space="preserve">. </w:t>
      </w:r>
      <w:r w:rsidR="007A0F60">
        <w:t xml:space="preserve">Some </w:t>
      </w:r>
      <w:r w:rsidR="00F34B2E">
        <w:t>very-</w:t>
      </w:r>
      <w:r w:rsidR="007A0F60">
        <w:t>newly-registered NGOs</w:t>
      </w:r>
      <w:r w:rsidR="00CB720B">
        <w:t xml:space="preserve"> in NSW had yet to provide THN </w:t>
      </w:r>
      <w:r w:rsidR="00985564">
        <w:t>by</w:t>
      </w:r>
      <w:r w:rsidR="00CB720B">
        <w:t xml:space="preserve"> 30 June 2021</w:t>
      </w:r>
      <w:r w:rsidR="00D65A32">
        <w:t xml:space="preserve">, but the </w:t>
      </w:r>
      <w:r w:rsidR="009E718A">
        <w:t xml:space="preserve">participation rate for AAS </w:t>
      </w:r>
      <w:r w:rsidR="00D65A32">
        <w:t>was</w:t>
      </w:r>
      <w:r w:rsidR="009E718A">
        <w:t xml:space="preserve"> higher (82.5%) than th</w:t>
      </w:r>
      <w:r w:rsidR="00D65A32">
        <w:t>at</w:t>
      </w:r>
      <w:r w:rsidR="009E718A">
        <w:t xml:space="preserve"> of community pharmacies (</w:t>
      </w:r>
      <w:r w:rsidR="00D65A32">
        <w:t xml:space="preserve">52%). </w:t>
      </w:r>
    </w:p>
    <w:p w14:paraId="6382F67B" w14:textId="64C12151" w:rsidR="00997A5D" w:rsidRDefault="00675D50" w:rsidP="006447AE">
      <w:pPr>
        <w:pStyle w:val="BodyText"/>
        <w:spacing w:line="260" w:lineRule="exact"/>
      </w:pPr>
      <w:r>
        <w:fldChar w:fldCharType="begin"/>
      </w:r>
      <w:r>
        <w:instrText xml:space="preserve"> REF _Ref81318363 \h </w:instrText>
      </w:r>
      <w:r>
        <w:fldChar w:fldCharType="separate"/>
      </w:r>
      <w:r w:rsidR="00EE19AD">
        <w:t xml:space="preserve">Figure </w:t>
      </w:r>
      <w:r w:rsidR="00EE19AD">
        <w:rPr>
          <w:noProof/>
        </w:rPr>
        <w:t>10</w:t>
      </w:r>
      <w:r>
        <w:fldChar w:fldCharType="end"/>
      </w:r>
      <w:r>
        <w:t xml:space="preserve"> </w:t>
      </w:r>
      <w:r w:rsidR="00CA5EEA">
        <w:t xml:space="preserve">shows the </w:t>
      </w:r>
      <w:r w:rsidR="00315356">
        <w:t>participating</w:t>
      </w:r>
      <w:r w:rsidR="00CA5EEA">
        <w:t xml:space="preserve"> setting types in NSW and WA, comparing sites that specifically target people who use illicit drugs</w:t>
      </w:r>
      <w:r w:rsidR="003701A0">
        <w:t xml:space="preserve"> (A</w:t>
      </w:r>
      <w:r w:rsidR="00C50C2A">
        <w:t>OD services)</w:t>
      </w:r>
      <w:r w:rsidR="00CA5EEA">
        <w:t xml:space="preserve">, justice settings where those leaving custody are at recognised risk of overdose, and general health services (hospital and community based) that </w:t>
      </w:r>
      <w:r w:rsidR="006A0F2D">
        <w:t xml:space="preserve">offer </w:t>
      </w:r>
      <w:r w:rsidR="00F02EA7">
        <w:t xml:space="preserve">broad, non-AOD services and </w:t>
      </w:r>
      <w:r w:rsidR="00CA5EEA">
        <w:t xml:space="preserve">reach broader populations. In both states, </w:t>
      </w:r>
      <w:proofErr w:type="gramStart"/>
      <w:r w:rsidR="00CA5EEA">
        <w:t>the majority of</w:t>
      </w:r>
      <w:proofErr w:type="gramEnd"/>
      <w:r w:rsidR="00CA5EEA">
        <w:t xml:space="preserve"> sites targeted people who use illicit drugs.</w:t>
      </w:r>
    </w:p>
    <w:p w14:paraId="0B556B45" w14:textId="37AF9775" w:rsidR="00CA5EEA" w:rsidRDefault="00CA5EEA" w:rsidP="006447AE">
      <w:pPr>
        <w:pStyle w:val="BodyText"/>
        <w:spacing w:line="260" w:lineRule="exact"/>
      </w:pPr>
      <w:r>
        <w:t xml:space="preserve">In SA, </w:t>
      </w:r>
      <w:r w:rsidR="00AB00D7">
        <w:t>only</w:t>
      </w:r>
      <w:r w:rsidR="00C47B23">
        <w:t xml:space="preserve"> DASSA</w:t>
      </w:r>
      <w:r>
        <w:t xml:space="preserve"> </w:t>
      </w:r>
      <w:r w:rsidR="00AB00D7">
        <w:t xml:space="preserve">was </w:t>
      </w:r>
      <w:r>
        <w:t xml:space="preserve">approved </w:t>
      </w:r>
      <w:r w:rsidR="00AB00D7">
        <w:t xml:space="preserve">as an AAS </w:t>
      </w:r>
      <w:r>
        <w:t xml:space="preserve">for direct provision of THN. </w:t>
      </w:r>
      <w:r w:rsidR="00AB00D7">
        <w:t xml:space="preserve">Other </w:t>
      </w:r>
      <w:r w:rsidR="001E2CE3">
        <w:t xml:space="preserve">sites </w:t>
      </w:r>
      <w:r>
        <w:t>instead provided consumers with a voucher</w:t>
      </w:r>
      <w:r w:rsidR="005703C4">
        <w:t xml:space="preserve"> identifying </w:t>
      </w:r>
      <w:r w:rsidR="00B04CE8">
        <w:t>the setting</w:t>
      </w:r>
      <w:r>
        <w:t>, to be redeemed for THN at a participating pharmacy</w:t>
      </w:r>
      <w:r w:rsidR="00AB00D7">
        <w:t xml:space="preserve"> or DASSA</w:t>
      </w:r>
      <w:r>
        <w:t xml:space="preserve">. </w:t>
      </w:r>
      <w:r w:rsidR="008F63D7">
        <w:t>V</w:t>
      </w:r>
      <w:r w:rsidR="008F63D7" w:rsidRPr="008F63D7">
        <w:t xml:space="preserve">oucher data </w:t>
      </w:r>
      <w:r w:rsidR="00B35EB5">
        <w:t xml:space="preserve">recorded at point of THN provision </w:t>
      </w:r>
      <w:r w:rsidR="00247DA6">
        <w:t xml:space="preserve">(n=778) </w:t>
      </w:r>
      <w:r w:rsidR="008F63D7" w:rsidRPr="008F63D7">
        <w:t xml:space="preserve">shows referrals through </w:t>
      </w:r>
      <w:r w:rsidR="008F63D7">
        <w:t xml:space="preserve">other </w:t>
      </w:r>
      <w:r w:rsidR="008F63D7" w:rsidRPr="008F63D7">
        <w:t>pharmacies (</w:t>
      </w:r>
      <w:r w:rsidR="001348A4">
        <w:t>6</w:t>
      </w:r>
      <w:r w:rsidR="008F63D7" w:rsidRPr="008F63D7">
        <w:t>2</w:t>
      </w:r>
      <w:r w:rsidR="00247DA6">
        <w:t>.3</w:t>
      </w:r>
      <w:r w:rsidR="008F63D7" w:rsidRPr="008F63D7">
        <w:t>%), CNPs (</w:t>
      </w:r>
      <w:r w:rsidR="001348A4">
        <w:t>23</w:t>
      </w:r>
      <w:r w:rsidR="00247DA6">
        <w:t>.5</w:t>
      </w:r>
      <w:r w:rsidR="008F63D7" w:rsidRPr="008F63D7">
        <w:t>%), other AOD services (</w:t>
      </w:r>
      <w:r w:rsidR="00247DA6">
        <w:t>7.8</w:t>
      </w:r>
      <w:r w:rsidR="008F63D7" w:rsidRPr="008F63D7">
        <w:t>%), hospitals (3</w:t>
      </w:r>
      <w:r w:rsidR="00247DA6">
        <w:t>.2</w:t>
      </w:r>
      <w:r w:rsidR="008F63D7" w:rsidRPr="008F63D7">
        <w:t>%), private prescribers/GPs (</w:t>
      </w:r>
      <w:r w:rsidR="00247DA6">
        <w:t>1.5</w:t>
      </w:r>
      <w:r w:rsidR="008F63D7" w:rsidRPr="008F63D7">
        <w:t>%)</w:t>
      </w:r>
      <w:r w:rsidR="00080C74">
        <w:t xml:space="preserve">, </w:t>
      </w:r>
      <w:r w:rsidR="008F63D7" w:rsidRPr="008F63D7">
        <w:t>peer networks (1</w:t>
      </w:r>
      <w:r w:rsidR="00247DA6">
        <w:t>.4</w:t>
      </w:r>
      <w:r w:rsidR="008F63D7" w:rsidRPr="008F63D7">
        <w:t>%)</w:t>
      </w:r>
      <w:r w:rsidR="00080C74">
        <w:t xml:space="preserve"> and </w:t>
      </w:r>
      <w:r w:rsidR="0083665F">
        <w:t xml:space="preserve">prison/post release </w:t>
      </w:r>
      <w:r w:rsidR="008F16A6">
        <w:t xml:space="preserve">programs </w:t>
      </w:r>
      <w:r w:rsidR="0083665F">
        <w:t>(0.3%)</w:t>
      </w:r>
      <w:r w:rsidR="008C0E6E">
        <w:t>.</w:t>
      </w:r>
      <w:r>
        <w:t xml:space="preserve">   </w:t>
      </w:r>
    </w:p>
    <w:p w14:paraId="6700F514" w14:textId="7A6DB69A" w:rsidR="00CA5EEA" w:rsidRDefault="00CA5EEA" w:rsidP="003D0F16">
      <w:pPr>
        <w:pStyle w:val="Caption"/>
      </w:pPr>
      <w:bookmarkStart w:id="215" w:name="_Ref81318363"/>
      <w:bookmarkStart w:id="216" w:name="_Toc81401863"/>
      <w:bookmarkStart w:id="217" w:name="_Toc94794346"/>
      <w:r>
        <w:lastRenderedPageBreak/>
        <w:t xml:space="preserve">Figure </w:t>
      </w:r>
      <w:r>
        <w:fldChar w:fldCharType="begin"/>
      </w:r>
      <w:r>
        <w:instrText>SEQ Figure \* ARABIC</w:instrText>
      </w:r>
      <w:r>
        <w:fldChar w:fldCharType="separate"/>
      </w:r>
      <w:r w:rsidR="00EE19AD">
        <w:rPr>
          <w:noProof/>
        </w:rPr>
        <w:t>10</w:t>
      </w:r>
      <w:r>
        <w:fldChar w:fldCharType="end"/>
      </w:r>
      <w:bookmarkEnd w:id="215"/>
      <w:r>
        <w:t xml:space="preserve">. </w:t>
      </w:r>
      <w:r w:rsidR="007C3BC2">
        <w:t xml:space="preserve">Participating </w:t>
      </w:r>
      <w:r w:rsidR="00576E0C">
        <w:t xml:space="preserve">Authorised </w:t>
      </w:r>
      <w:r>
        <w:t>Alternative Supply sites in NSW and WA</w:t>
      </w:r>
      <w:r w:rsidRPr="00461E9D">
        <w:rPr>
          <w:vertAlign w:val="superscript"/>
        </w:rPr>
        <w:footnoteReference w:id="20"/>
      </w:r>
      <w:r>
        <w:t>, by setting type</w:t>
      </w:r>
      <w:bookmarkEnd w:id="216"/>
      <w:bookmarkEnd w:id="217"/>
    </w:p>
    <w:p w14:paraId="2AC6F741" w14:textId="77777777" w:rsidR="00CA5EEA" w:rsidRDefault="00CA5EEA" w:rsidP="003D0F16">
      <w:pPr>
        <w:pStyle w:val="BodyText"/>
        <w:spacing w:before="0" w:after="0"/>
      </w:pPr>
      <w:r w:rsidRPr="005B670B">
        <w:rPr>
          <w:noProof/>
        </w:rPr>
        <w:t xml:space="preserve"> </w:t>
      </w:r>
      <w:r>
        <w:rPr>
          <w:noProof/>
        </w:rPr>
        <w:drawing>
          <wp:inline distT="0" distB="0" distL="0" distR="0" wp14:anchorId="05A229F9" wp14:editId="606E100B">
            <wp:extent cx="4200525" cy="2419350"/>
            <wp:effectExtent l="0" t="0" r="0" b="0"/>
            <wp:docPr id="225" name="Chart 225" descr="Graph showing that the majority of access sites in WA were NSPs; in NSW most were AOD specialist services">
              <a:extLst xmlns:a="http://schemas.openxmlformats.org/drawingml/2006/main">
                <a:ext uri="{FF2B5EF4-FFF2-40B4-BE49-F238E27FC236}">
                  <a16:creationId xmlns:a16="http://schemas.microsoft.com/office/drawing/2014/main" id="{E7BE69A6-8715-4A73-986E-E8485A406D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E083D2D" w14:textId="612960E2" w:rsidR="00CA5EEA" w:rsidRPr="00D6476D" w:rsidRDefault="00CA5EEA" w:rsidP="003D0F16">
      <w:pPr>
        <w:pStyle w:val="BodyText"/>
        <w:spacing w:before="0" w:after="0"/>
        <w:ind w:firstLine="720"/>
        <w:rPr>
          <w:i/>
          <w:sz w:val="18"/>
          <w:szCs w:val="18"/>
        </w:rPr>
      </w:pPr>
      <w:r w:rsidRPr="00D6476D">
        <w:rPr>
          <w:i/>
          <w:sz w:val="18"/>
          <w:szCs w:val="18"/>
        </w:rPr>
        <w:t xml:space="preserve">NB: </w:t>
      </w:r>
      <w:r>
        <w:rPr>
          <w:i/>
          <w:sz w:val="18"/>
          <w:szCs w:val="18"/>
        </w:rPr>
        <w:t>Numbers</w:t>
      </w:r>
      <w:r w:rsidRPr="00D6476D">
        <w:rPr>
          <w:i/>
          <w:sz w:val="18"/>
          <w:szCs w:val="18"/>
        </w:rPr>
        <w:t xml:space="preserve"> represent the number of active AAS in each </w:t>
      </w:r>
      <w:r>
        <w:rPr>
          <w:i/>
          <w:sz w:val="18"/>
          <w:szCs w:val="18"/>
        </w:rPr>
        <w:t>setting type</w:t>
      </w:r>
    </w:p>
    <w:p w14:paraId="07409DFC" w14:textId="191B833F" w:rsidR="005965CF" w:rsidRDefault="005965CF" w:rsidP="00C93A55">
      <w:pPr>
        <w:pStyle w:val="BodyText"/>
        <w:spacing w:line="260" w:lineRule="exact"/>
      </w:pPr>
      <w:r>
        <w:t xml:space="preserve">The supply of naloxone in non-pharmacy settings continues to expand and evolve. The Royal Flying Doctors Service in NSW registered as an AAS, facilitating provision of THN in remote communities that may not otherwise be able to access the Pilot. A new initiative with the WA Police Force will see personnel carrying naloxone to administer in case of opioid overdose; this commenced in July 2021 and so was excluded from the evaluation. </w:t>
      </w:r>
      <w:r w:rsidRPr="00B01D7D">
        <w:t>This is discussed further in Section 6.7</w:t>
      </w:r>
      <w:r w:rsidR="00B01D7D" w:rsidRPr="00B01D7D">
        <w:t>.</w:t>
      </w:r>
      <w:r>
        <w:t xml:space="preserve"> Similarly, an initiative with St John Ambulance WA will allow ambulance personnel to leave THN with overdose patients who refuse transport, commencing in October 2021.</w:t>
      </w:r>
    </w:p>
    <w:p w14:paraId="11AB7502" w14:textId="77777777" w:rsidR="00CA5EEA" w:rsidRDefault="00CA5EEA" w:rsidP="00D016ED">
      <w:pPr>
        <w:pStyle w:val="NbrHeading4"/>
      </w:pPr>
      <w:r>
        <w:t>Which site types showed limited engagement?</w:t>
      </w:r>
    </w:p>
    <w:p w14:paraId="79B47E47" w14:textId="230BB50A" w:rsidR="00CA5EEA" w:rsidRDefault="00CA5EEA" w:rsidP="00C93A55">
      <w:pPr>
        <w:spacing w:before="120" w:line="260" w:lineRule="exact"/>
      </w:pPr>
      <w:r>
        <w:t xml:space="preserve">Despite being permitted to take part in the Pilot, some site types were not well represented among the </w:t>
      </w:r>
      <w:r w:rsidR="00FA47F7">
        <w:t>participating</w:t>
      </w:r>
      <w:r>
        <w:t xml:space="preserve"> AAS: </w:t>
      </w:r>
    </w:p>
    <w:p w14:paraId="1C5D5E9C" w14:textId="5C5D0CF1" w:rsidR="00CA5EEA" w:rsidRDefault="00CA5EEA" w:rsidP="003D0F16">
      <w:pPr>
        <w:pStyle w:val="ListParagraph"/>
        <w:numPr>
          <w:ilvl w:val="0"/>
          <w:numId w:val="52"/>
        </w:numPr>
      </w:pPr>
      <w:r>
        <w:t>No (s92) authorised medical practitioners participated actively in the Pilot</w:t>
      </w:r>
      <w:r w:rsidR="0011719D">
        <w:t>;</w:t>
      </w:r>
      <w:r>
        <w:t xml:space="preserve"> </w:t>
      </w:r>
      <w:r>
        <w:rPr>
          <w:lang w:val="en-US"/>
        </w:rPr>
        <w:t xml:space="preserve">this may indicate </w:t>
      </w:r>
      <w:r>
        <w:t xml:space="preserve">communities had convenient and efficient access to naloxone from a PBS approved pharmacy. </w:t>
      </w:r>
    </w:p>
    <w:p w14:paraId="28E30995" w14:textId="77777777" w:rsidR="00CA5EEA" w:rsidRDefault="00CA5EEA" w:rsidP="003D0F16">
      <w:pPr>
        <w:pStyle w:val="ListParagraph"/>
        <w:numPr>
          <w:ilvl w:val="0"/>
          <w:numId w:val="52"/>
        </w:numPr>
      </w:pPr>
      <w:r>
        <w:t xml:space="preserve">Specialist pain clinics did not appear to have engaged with the Pilot – none were registered, and knowledge, awareness and </w:t>
      </w:r>
      <w:r w:rsidRPr="00E8692B">
        <w:t>interest were limited when canvassed</w:t>
      </w:r>
      <w:r>
        <w:t xml:space="preserve"> by the evaluation team. </w:t>
      </w:r>
    </w:p>
    <w:p w14:paraId="28F350A7" w14:textId="1A5FE34E" w:rsidR="00CA5EEA" w:rsidRDefault="00CA5EEA" w:rsidP="003D0F16">
      <w:pPr>
        <w:pStyle w:val="ListParagraph"/>
        <w:numPr>
          <w:ilvl w:val="0"/>
          <w:numId w:val="52"/>
        </w:numPr>
      </w:pPr>
      <w:r>
        <w:t xml:space="preserve">Hospital clinics and Emergency Departments </w:t>
      </w:r>
      <w:r w:rsidR="00AC0617">
        <w:t xml:space="preserve">(ED) </w:t>
      </w:r>
      <w:r>
        <w:t xml:space="preserve">showed limited activity. Some provision occurred through one WA hospital ED and some activity in </w:t>
      </w:r>
      <w:proofErr w:type="gramStart"/>
      <w:r>
        <w:t>a</w:t>
      </w:r>
      <w:proofErr w:type="gramEnd"/>
      <w:r>
        <w:t xml:space="preserve"> NSW hospital ED was described during roundtable consultations but not recorded in Pilot data</w:t>
      </w:r>
      <w:r w:rsidR="00660B41">
        <w:t>.</w:t>
      </w:r>
    </w:p>
    <w:p w14:paraId="1969E100" w14:textId="77777777" w:rsidR="00CA5EEA" w:rsidRPr="00406F9D" w:rsidRDefault="00CA5EEA" w:rsidP="003D0F16">
      <w:pPr>
        <w:pStyle w:val="ListParagraph"/>
        <w:numPr>
          <w:ilvl w:val="0"/>
          <w:numId w:val="52"/>
        </w:numPr>
      </w:pPr>
      <w:r>
        <w:t xml:space="preserve">Mental health settings were not a targeted service type in the Pilot, but the mental health clinic at one WA hospital provided some THN during the Pilot. </w:t>
      </w:r>
    </w:p>
    <w:p w14:paraId="4195A42B" w14:textId="122C5A4D" w:rsidR="00CA5EEA" w:rsidRPr="00B967E1" w:rsidRDefault="00CA5EEA" w:rsidP="003D0F16">
      <w:r w:rsidRPr="00B967E1">
        <w:t>Factors limiting participation by these site types are discussed in Chapter</w:t>
      </w:r>
      <w:r w:rsidRPr="00B967E1" w:rsidDel="00475866">
        <w:t xml:space="preserve"> </w:t>
      </w:r>
      <w:r>
        <w:t>6</w:t>
      </w:r>
      <w:r w:rsidRPr="00B967E1">
        <w:t>.</w:t>
      </w:r>
    </w:p>
    <w:p w14:paraId="20BAFBBA" w14:textId="78A6EC4A" w:rsidR="00CA5EEA" w:rsidRDefault="00CA5EEA" w:rsidP="00766040">
      <w:pPr>
        <w:pStyle w:val="NbrHeading2"/>
      </w:pPr>
      <w:bookmarkStart w:id="218" w:name="_Toc94794130"/>
      <w:bookmarkStart w:id="219" w:name="_Toc94794267"/>
      <w:r>
        <w:t>Did the Pilot reach the intended target groups?</w:t>
      </w:r>
      <w:bookmarkEnd w:id="218"/>
      <w:bookmarkEnd w:id="219"/>
      <w:r>
        <w:t xml:space="preserve"> </w:t>
      </w:r>
    </w:p>
    <w:p w14:paraId="4057C4F8" w14:textId="12375A30" w:rsidR="00CA5EEA" w:rsidRDefault="00CA5EEA" w:rsidP="00C93A55">
      <w:pPr>
        <w:pStyle w:val="BodyText"/>
        <w:spacing w:line="260" w:lineRule="exact"/>
      </w:pPr>
      <w:r>
        <w:t xml:space="preserve">The Pilot was intended to reach people at risk of experiencing an overdose, due to their use of opioids, either prescribed or illicit, and those who were likely to witness an overdose. </w:t>
      </w:r>
      <w:r w:rsidR="00BA7B44">
        <w:t xml:space="preserve">In this </w:t>
      </w:r>
      <w:r w:rsidR="00BA7B44">
        <w:lastRenderedPageBreak/>
        <w:t xml:space="preserve">section we consider </w:t>
      </w:r>
      <w:r w:rsidR="008427A2">
        <w:t xml:space="preserve">the characteristics of people who accessed THN through the Pilot to assess whether </w:t>
      </w:r>
      <w:r w:rsidR="00B3482C">
        <w:t xml:space="preserve">these target groups were </w:t>
      </w:r>
      <w:r w:rsidR="007B3E08">
        <w:t>reached.</w:t>
      </w:r>
    </w:p>
    <w:p w14:paraId="3ADFB77C" w14:textId="138AD2FA" w:rsidR="00FA019F" w:rsidRDefault="00CA5EEA" w:rsidP="00FA019F">
      <w:pPr>
        <w:pStyle w:val="BodyText"/>
        <w:spacing w:line="260" w:lineRule="exact"/>
      </w:pPr>
      <w:r w:rsidRPr="00DA415E">
        <w:t xml:space="preserve">At the point of naloxone supply, </w:t>
      </w:r>
      <w:r>
        <w:t>consumers were asked for consent to collect additional data for the evaluation. T</w:t>
      </w:r>
      <w:r w:rsidRPr="00DA415E">
        <w:t>he</w:t>
      </w:r>
      <w:r>
        <w:t>y were</w:t>
      </w:r>
      <w:r w:rsidRPr="00DA415E">
        <w:t xml:space="preserve"> asked </w:t>
      </w:r>
      <w:r>
        <w:t xml:space="preserve">whether </w:t>
      </w:r>
      <w:r w:rsidRPr="00DA415E">
        <w:t>they identified as using prescribed opioids, as a witness only (no use of opioids)</w:t>
      </w:r>
      <w:r>
        <w:t>,</w:t>
      </w:r>
      <w:r w:rsidRPr="00DA415E">
        <w:t xml:space="preserve"> or </w:t>
      </w:r>
      <w:proofErr w:type="gramStart"/>
      <w:r w:rsidRPr="00DA415E">
        <w:t>an ‘other’</w:t>
      </w:r>
      <w:proofErr w:type="gramEnd"/>
      <w:r w:rsidRPr="00DA415E">
        <w:t xml:space="preserve"> category (as a proxy for people who use illicit </w:t>
      </w:r>
      <w:r w:rsidR="0058359A">
        <w:t>opioids</w:t>
      </w:r>
      <w:r>
        <w:t>,</w:t>
      </w:r>
      <w:r w:rsidRPr="00DA415E">
        <w:t xml:space="preserve"> or PUI</w:t>
      </w:r>
      <w:r w:rsidR="0058359A">
        <w:t>O</w:t>
      </w:r>
      <w:r w:rsidRPr="00DA415E">
        <w:t>)</w:t>
      </w:r>
      <w:r>
        <w:t>. They were also asked about other medic</w:t>
      </w:r>
      <w:r w:rsidR="663800D9">
        <w:t>ines</w:t>
      </w:r>
      <w:r>
        <w:t xml:space="preserve"> consumed, and whether they had previously accessed THN through the Pilot. Providers also</w:t>
      </w:r>
      <w:r w:rsidRPr="00DA415E">
        <w:t xml:space="preserve"> record</w:t>
      </w:r>
      <w:r>
        <w:t>ed</w:t>
      </w:r>
      <w:r w:rsidRPr="00DA415E">
        <w:t xml:space="preserve"> </w:t>
      </w:r>
      <w:r>
        <w:t xml:space="preserve">the consumer’s </w:t>
      </w:r>
      <w:r w:rsidRPr="00DA415E">
        <w:t>estimated age group and gender</w:t>
      </w:r>
      <w:r>
        <w:t xml:space="preserve">. Consent and </w:t>
      </w:r>
      <w:r w:rsidR="00FA49A0">
        <w:t xml:space="preserve">these </w:t>
      </w:r>
      <w:r>
        <w:t xml:space="preserve">additional data were collected for just </w:t>
      </w:r>
      <w:r w:rsidR="00F3598F">
        <w:t>under</w:t>
      </w:r>
      <w:r>
        <w:t xml:space="preserve"> half of supply events (</w:t>
      </w:r>
      <w:r w:rsidR="00CE3970">
        <w:t>48</w:t>
      </w:r>
      <w:r>
        <w:t>%; n=</w:t>
      </w:r>
      <w:r w:rsidR="00FF3FB1">
        <w:t>13,525</w:t>
      </w:r>
      <w:r>
        <w:t>).</w:t>
      </w:r>
      <w:r w:rsidR="00FA019F" w:rsidRPr="00FA019F">
        <w:t xml:space="preserve"> </w:t>
      </w:r>
    </w:p>
    <w:p w14:paraId="335D1C5D" w14:textId="4FCC721F" w:rsidR="00FA019F" w:rsidRDefault="00FA019F" w:rsidP="00FA019F">
      <w:pPr>
        <w:pStyle w:val="BodyText"/>
        <w:spacing w:line="260" w:lineRule="exact"/>
      </w:pPr>
      <w:r>
        <w:t xml:space="preserve">Over half of the </w:t>
      </w:r>
      <w:r w:rsidR="003E65A8">
        <w:t xml:space="preserve">consenting </w:t>
      </w:r>
      <w:r>
        <w:t xml:space="preserve">participants (58%) were male, and the estimated age ranges were predominantly 18-40 years (43%) and 40-60 years (44%). Data from the PBS indicate that these proportions are </w:t>
      </w:r>
      <w:proofErr w:type="gramStart"/>
      <w:r>
        <w:t>similar</w:t>
      </w:r>
      <w:r w:rsidDel="000C597D">
        <w:t xml:space="preserve"> </w:t>
      </w:r>
      <w:r>
        <w:t>to</w:t>
      </w:r>
      <w:proofErr w:type="gramEnd"/>
      <w:r>
        <w:t xml:space="preserve"> people in Pilot states who had received naloxone via the PBS prior to the Pilot. The SA Pilot participant profile was slightly different: more were female (52%) and older (27% estimated at 60+ years), with fewer (30%) in the 18-40 years age range. </w:t>
      </w:r>
    </w:p>
    <w:p w14:paraId="0E754E5C" w14:textId="0CDD4956" w:rsidR="003D207D" w:rsidRDefault="003D207D">
      <w:pPr>
        <w:spacing w:after="160" w:line="259" w:lineRule="auto"/>
      </w:pPr>
      <w:r>
        <w:br w:type="page"/>
      </w:r>
    </w:p>
    <w:p w14:paraId="78A4FC12" w14:textId="489D2004" w:rsidR="00C403A1" w:rsidRDefault="00C403A1" w:rsidP="00C403A1">
      <w:pPr>
        <w:pStyle w:val="Caption"/>
      </w:pPr>
      <w:bookmarkStart w:id="220" w:name="_Toc94794347"/>
      <w:r>
        <w:lastRenderedPageBreak/>
        <w:t xml:space="preserve">Figure </w:t>
      </w:r>
      <w:r>
        <w:fldChar w:fldCharType="begin"/>
      </w:r>
      <w:r>
        <w:instrText>SEQ Figure \* ARABIC</w:instrText>
      </w:r>
      <w:r>
        <w:fldChar w:fldCharType="separate"/>
      </w:r>
      <w:r>
        <w:rPr>
          <w:noProof/>
        </w:rPr>
        <w:t>11</w:t>
      </w:r>
      <w:r>
        <w:fldChar w:fldCharType="end"/>
      </w:r>
      <w:r>
        <w:t xml:space="preserve">. </w:t>
      </w:r>
      <w:r w:rsidRPr="005348AE">
        <w:t xml:space="preserve">Opioid use nominated by participants at point of </w:t>
      </w:r>
      <w:r>
        <w:t>THN access</w:t>
      </w:r>
      <w:bookmarkEnd w:id="220"/>
    </w:p>
    <w:p w14:paraId="5F850F24" w14:textId="0B089F14" w:rsidR="00C403A1" w:rsidRDefault="00F6713B" w:rsidP="00F6713B">
      <w:pPr>
        <w:pStyle w:val="FigureStyle"/>
        <w:jc w:val="left"/>
      </w:pPr>
      <w:r>
        <w:rPr>
          <w:noProof/>
        </w:rPr>
        <w:drawing>
          <wp:inline distT="0" distB="0" distL="0" distR="0" wp14:anchorId="190F0F05" wp14:editId="447D03D3">
            <wp:extent cx="3014345" cy="2471420"/>
            <wp:effectExtent l="0" t="0" r="0" b="5080"/>
            <wp:docPr id="251" name="Chart 251" descr="Pie chart. Opioid use nominated by participants at point of THN access.">
              <a:extLst xmlns:a="http://schemas.openxmlformats.org/drawingml/2006/main">
                <a:ext uri="{FF2B5EF4-FFF2-40B4-BE49-F238E27FC236}">
                  <a16:creationId xmlns:a16="http://schemas.microsoft.com/office/drawing/2014/main" id="{F0DA124C-1013-4066-A768-C9D4D30850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3317BB5" w14:textId="4AB90E44" w:rsidR="00276D54" w:rsidRDefault="007641F6" w:rsidP="003D0F16">
      <w:pPr>
        <w:pStyle w:val="BodyText"/>
      </w:pPr>
      <w:r>
        <w:t>Of the consenting Pilot participants, j</w:t>
      </w:r>
      <w:r w:rsidR="00CA5EEA">
        <w:t>ust over half (54%) identified as using prescribed opioids</w:t>
      </w:r>
      <w:r w:rsidR="00E647E0">
        <w:t xml:space="preserve"> (</w:t>
      </w:r>
      <w:r w:rsidR="00116078">
        <w:fldChar w:fldCharType="begin"/>
      </w:r>
      <w:r w:rsidR="00116078">
        <w:instrText xml:space="preserve"> REF _Ref82010759 \h </w:instrText>
      </w:r>
      <w:r w:rsidR="00116078">
        <w:fldChar w:fldCharType="separate"/>
      </w:r>
      <w:r w:rsidR="00EE19AD">
        <w:t xml:space="preserve">Figure </w:t>
      </w:r>
      <w:r w:rsidR="00EE19AD">
        <w:rPr>
          <w:noProof/>
        </w:rPr>
        <w:t>11</w:t>
      </w:r>
      <w:r w:rsidR="00116078">
        <w:fldChar w:fldCharType="end"/>
      </w:r>
      <w:r w:rsidR="00116078">
        <w:t>)</w:t>
      </w:r>
      <w:r w:rsidR="00424C1C">
        <w:t>. H</w:t>
      </w:r>
      <w:r w:rsidR="00CA5EEA">
        <w:t xml:space="preserve">owever, analysis of </w:t>
      </w:r>
      <w:r w:rsidR="00424C1C">
        <w:t xml:space="preserve">their </w:t>
      </w:r>
      <w:r w:rsidR="00CA5EEA">
        <w:t xml:space="preserve">other medications data provided showed that this group included people </w:t>
      </w:r>
      <w:r w:rsidR="00B11920">
        <w:t xml:space="preserve">receiving </w:t>
      </w:r>
      <w:r w:rsidR="00CA5EEA">
        <w:t xml:space="preserve">opioid agonist therapy (OAT) and some who also used illicit opioids, as well as those using only pain medications. Just over one in five participants (22%) identified as potential witnesses (no use of opioids), and 24% identified as “other”. </w:t>
      </w:r>
      <w:r w:rsidR="00947EC3">
        <w:t>We were not able to determine whether the</w:t>
      </w:r>
      <w:r w:rsidR="00432AC8">
        <w:t xml:space="preserve">re are differences between the consenting and non-consenting </w:t>
      </w:r>
      <w:r w:rsidR="007C77C3">
        <w:t>THN recipients, but it</w:t>
      </w:r>
      <w:r w:rsidR="00217ED2">
        <w:t xml:space="preserve"> </w:t>
      </w:r>
      <w:r w:rsidR="003E65A8">
        <w:t xml:space="preserve">is </w:t>
      </w:r>
      <w:r w:rsidR="00A67866">
        <w:t xml:space="preserve">possible that </w:t>
      </w:r>
      <w:r w:rsidR="007C77C3">
        <w:t xml:space="preserve">people who use illicit opioids may be </w:t>
      </w:r>
      <w:r w:rsidR="00B13664">
        <w:t>over-represented in the non-consenting group.</w:t>
      </w:r>
      <w:r w:rsidR="00A67866">
        <w:t xml:space="preserve"> </w:t>
      </w:r>
    </w:p>
    <w:p w14:paraId="6A292CF4" w14:textId="3BF25109" w:rsidR="00AE334F" w:rsidRDefault="00AE334F" w:rsidP="009D4EA3">
      <w:pPr>
        <w:pStyle w:val="NbrHeading3"/>
      </w:pPr>
      <w:bookmarkStart w:id="221" w:name="_Toc94794131"/>
      <w:bookmarkStart w:id="222" w:name="_Toc94794268"/>
      <w:r>
        <w:t>People at risk of experiencing overdose</w:t>
      </w:r>
      <w:bookmarkEnd w:id="221"/>
      <w:bookmarkEnd w:id="222"/>
    </w:p>
    <w:p w14:paraId="664506DA" w14:textId="5C1B4FEA" w:rsidR="00AE334F" w:rsidRDefault="00A86353" w:rsidP="003267B5">
      <w:pPr>
        <w:pStyle w:val="BodyText"/>
      </w:pPr>
      <w:r>
        <w:t>Using</w:t>
      </w:r>
      <w:r w:rsidR="00AE334F">
        <w:t xml:space="preserve"> data from the PBS </w:t>
      </w:r>
      <w:r>
        <w:t xml:space="preserve">for </w:t>
      </w:r>
      <w:r w:rsidR="00AE334F">
        <w:t xml:space="preserve">2019, we </w:t>
      </w:r>
      <w:r w:rsidR="002D0F23">
        <w:t xml:space="preserve">estimated </w:t>
      </w:r>
      <w:r w:rsidR="00375EAB">
        <w:t>that over 3 million Australians were dispensed prescri</w:t>
      </w:r>
      <w:r w:rsidR="00CE0436">
        <w:t>bed opioids between 201</w:t>
      </w:r>
      <w:r w:rsidR="00F02CFD">
        <w:t>5 and 2019. This is consistent with other findings</w:t>
      </w:r>
      <w:r w:rsidR="00451D0A">
        <w:t>.</w:t>
      </w:r>
      <w:r w:rsidR="00F02CFD">
        <w:fldChar w:fldCharType="begin">
          <w:fldData xml:space="preserve">PEVuZE5vdGU+PENpdGU+PEF1dGhvcj5MYWxpYzwvQXV0aG9yPjxZZWFyPjIwMTk8L1llYXI+PFJl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==
</w:fldData>
        </w:fldChar>
      </w:r>
      <w:r w:rsidR="00EF7C97">
        <w:instrText xml:space="preserve"> ADDIN EN.CITE </w:instrText>
      </w:r>
      <w:r w:rsidR="00EF7C97">
        <w:fldChar w:fldCharType="begin">
          <w:fldData xml:space="preserve">PEVuZE5vdGU+PENpdGU+PEF1dGhvcj5MYWxpYzwvQXV0aG9yPjxZZWFyPjIwMTk8L1llYXI+PFJl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==
</w:fldData>
        </w:fldChar>
      </w:r>
      <w:r w:rsidR="00EF7C97">
        <w:instrText xml:space="preserve"> ADDIN EN.CITE.DATA </w:instrText>
      </w:r>
      <w:r w:rsidR="00EF7C97">
        <w:fldChar w:fldCharType="end"/>
      </w:r>
      <w:r w:rsidR="00F02CFD">
        <w:fldChar w:fldCharType="separate"/>
      </w:r>
      <w:r w:rsidR="00EF7C97">
        <w:rPr>
          <w:noProof/>
        </w:rPr>
        <w:t>(4)</w:t>
      </w:r>
      <w:r w:rsidR="00F02CFD">
        <w:fldChar w:fldCharType="end"/>
      </w:r>
      <w:r w:rsidR="00F02CFD">
        <w:t xml:space="preserve"> </w:t>
      </w:r>
      <w:r w:rsidR="002C3A22">
        <w:t>Using the opioid dose threshold</w:t>
      </w:r>
      <w:r w:rsidR="00263B0E">
        <w:t>s</w:t>
      </w:r>
      <w:r w:rsidR="002C3A22">
        <w:t xml:space="preserve"> discussed </w:t>
      </w:r>
      <w:r w:rsidR="00F92842">
        <w:t xml:space="preserve">in </w:t>
      </w:r>
      <w:r w:rsidR="00C9151F">
        <w:t>Section 1.1</w:t>
      </w:r>
      <w:r w:rsidR="002C3A22">
        <w:t>, w</w:t>
      </w:r>
      <w:r w:rsidR="00F02CFD">
        <w:t xml:space="preserve">e </w:t>
      </w:r>
      <w:r w:rsidR="002D0F23">
        <w:t xml:space="preserve">calculated </w:t>
      </w:r>
      <w:r w:rsidR="00AE334F">
        <w:t>that at least one in five (22%) people who were dispensed prescription opioids were at risk of overdose (average of 5</w:t>
      </w:r>
      <w:r w:rsidR="00307B56">
        <w:t>1-100</w:t>
      </w:r>
      <w:r w:rsidR="00430F8E">
        <w:t xml:space="preserve"> </w:t>
      </w:r>
      <w:r w:rsidR="00AE334F">
        <w:t>MME/day; 13.4%) or high risk of overdose (average of &gt;100</w:t>
      </w:r>
      <w:r w:rsidR="00430F8E">
        <w:t xml:space="preserve"> </w:t>
      </w:r>
      <w:r w:rsidR="00AE334F">
        <w:t>MME/day; 8.5%)</w:t>
      </w:r>
      <w:r w:rsidR="00DA0577">
        <w:rPr>
          <w:rStyle w:val="FootnoteReference"/>
        </w:rPr>
        <w:footnoteReference w:id="21"/>
      </w:r>
      <w:r w:rsidR="00AE334F">
        <w:t>. A small decrease in dispensing of opioid prescriptions was seen in 2020, but the proportion of people at risk remained high (23%) (</w:t>
      </w:r>
      <w:r w:rsidR="00966FD0">
        <w:t xml:space="preserve">refer to </w:t>
      </w:r>
      <w:r w:rsidR="00966FD0">
        <w:fldChar w:fldCharType="begin"/>
      </w:r>
      <w:r w:rsidR="00966FD0">
        <w:instrText xml:space="preserve"> REF _Ref81319506 \h </w:instrText>
      </w:r>
      <w:r w:rsidR="003267B5">
        <w:instrText xml:space="preserve"> \* MERGEFORMAT </w:instrText>
      </w:r>
      <w:r w:rsidR="00966FD0">
        <w:fldChar w:fldCharType="separate"/>
      </w:r>
      <w:r w:rsidR="00EE19AD">
        <w:t xml:space="preserve">Figure </w:t>
      </w:r>
      <w:r w:rsidR="00EE19AD">
        <w:rPr>
          <w:noProof/>
        </w:rPr>
        <w:t>12</w:t>
      </w:r>
      <w:r w:rsidR="00966FD0">
        <w:fldChar w:fldCharType="end"/>
      </w:r>
      <w:r w:rsidR="00AE334F">
        <w:t>).</w:t>
      </w:r>
    </w:p>
    <w:p w14:paraId="715A9E1B" w14:textId="08133A87" w:rsidR="00232794" w:rsidRDefault="00AE334F" w:rsidP="003267B5">
      <w:pPr>
        <w:pStyle w:val="BodyText"/>
      </w:pPr>
      <w:r>
        <w:t xml:space="preserve">These figures suggest that approximately 690,000 Australians were at risk of overdose from prescribed opioids in 2019. </w:t>
      </w:r>
    </w:p>
    <w:p w14:paraId="66B7AEC9" w14:textId="4F1043D4" w:rsidR="00957A7D" w:rsidRDefault="005856E8" w:rsidP="003267B5">
      <w:pPr>
        <w:pStyle w:val="BodyText"/>
      </w:pPr>
      <w:r>
        <w:t xml:space="preserve">People who use illicit opioids such as heroin are also at risk of experiencing overdose. Although as </w:t>
      </w:r>
      <w:r w:rsidR="00395112">
        <w:t xml:space="preserve">noted </w:t>
      </w:r>
      <w:r>
        <w:t>earlier, figures are likely to be a very significant underestimate</w:t>
      </w:r>
      <w:r w:rsidR="008943BE">
        <w:t>.</w:t>
      </w:r>
      <w:r>
        <w:t xml:space="preserve"> </w:t>
      </w:r>
      <w:r w:rsidR="008943BE">
        <w:t>T</w:t>
      </w:r>
      <w:r w:rsidR="00C322D4">
        <w:t xml:space="preserve">he proportion of </w:t>
      </w:r>
      <w:r w:rsidR="00304104">
        <w:t>Australians</w:t>
      </w:r>
      <w:r>
        <w:t xml:space="preserve"> </w:t>
      </w:r>
      <w:r w:rsidR="00AE334F">
        <w:t xml:space="preserve">who </w:t>
      </w:r>
      <w:r w:rsidR="006A240B">
        <w:t>reported recent use of</w:t>
      </w:r>
      <w:r w:rsidR="00AE334F">
        <w:t xml:space="preserve"> heroin</w:t>
      </w:r>
      <w:r w:rsidR="00C322D4">
        <w:t xml:space="preserve"> in the 2019 Household Survey</w:t>
      </w:r>
      <w:r w:rsidR="00AE334F">
        <w:t xml:space="preserve"> (0.1% of the 2019 population</w:t>
      </w:r>
      <w:r w:rsidR="00C322D4">
        <w:t>)</w:t>
      </w:r>
      <w:r w:rsidR="0035200A">
        <w:t xml:space="preserve"> approximates </w:t>
      </w:r>
      <w:r w:rsidR="00304104">
        <w:t xml:space="preserve">to </w:t>
      </w:r>
      <w:r w:rsidR="00AE334F">
        <w:t>25,</w:t>
      </w:r>
      <w:r w:rsidR="007472CE">
        <w:t>000</w:t>
      </w:r>
      <w:r w:rsidR="00AE334F">
        <w:t xml:space="preserve"> people</w:t>
      </w:r>
      <w:r w:rsidR="00AE334F">
        <w:rPr>
          <w:rStyle w:val="FootnoteReference"/>
        </w:rPr>
        <w:footnoteReference w:id="22"/>
      </w:r>
      <w:r w:rsidR="0035200A">
        <w:t>.</w:t>
      </w:r>
      <w:r w:rsidR="00AE334F">
        <w:t xml:space="preserve"> </w:t>
      </w:r>
      <w:r w:rsidR="0035200A">
        <w:t>Figures for people</w:t>
      </w:r>
      <w:r w:rsidR="00AE334F">
        <w:t xml:space="preserve"> receiving opioid agonist therapy </w:t>
      </w:r>
      <w:r w:rsidR="0035200A">
        <w:t xml:space="preserve">(OAT) are more robust </w:t>
      </w:r>
      <w:r w:rsidR="00AE334F">
        <w:t xml:space="preserve">(approximately </w:t>
      </w:r>
      <w:r w:rsidR="007472CE">
        <w:t>51</w:t>
      </w:r>
      <w:r w:rsidR="00AE334F">
        <w:t>,</w:t>
      </w:r>
      <w:r w:rsidR="007472CE">
        <w:t>000</w:t>
      </w:r>
      <w:r w:rsidR="00AE334F">
        <w:t xml:space="preserve"> people</w:t>
      </w:r>
      <w:r w:rsidR="00AE334F">
        <w:rPr>
          <w:rStyle w:val="FootnoteReference"/>
        </w:rPr>
        <w:footnoteReference w:id="23"/>
      </w:r>
      <w:r w:rsidR="00AE334F">
        <w:t xml:space="preserve"> in 2019)</w:t>
      </w:r>
      <w:r w:rsidR="00966FD0">
        <w:t xml:space="preserve"> </w:t>
      </w:r>
      <w:r w:rsidR="00C40989">
        <w:fldChar w:fldCharType="begin">
          <w:fldData xml:space="preserve">PEVuZE5vdGU+PENpdGU+PEF1dGhvcj5BdXN0cmFsaWFuIEluc3RpdHV0ZSBvZiBIZWFsdGggYW5k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</w:fldData>
        </w:fldChar>
      </w:r>
      <w:r w:rsidR="00441C1C">
        <w:instrText xml:space="preserve"> ADDIN EN.CITE </w:instrText>
      </w:r>
      <w:r w:rsidR="00441C1C">
        <w:fldChar w:fldCharType="begin">
          <w:fldData xml:space="preserve">PEVuZE5vdGU+PENpdGU+PEF1dGhvcj5BdXN0cmFsaWFuIEluc3RpdHV0ZSBvZiBIZWFsdGggYW5k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</w:fldData>
        </w:fldChar>
      </w:r>
      <w:r w:rsidR="00441C1C">
        <w:instrText xml:space="preserve"> ADDIN EN.CITE.DATA </w:instrText>
      </w:r>
      <w:r w:rsidR="00441C1C">
        <w:fldChar w:fldCharType="end"/>
      </w:r>
      <w:r w:rsidR="00C40989">
        <w:fldChar w:fldCharType="separate"/>
      </w:r>
      <w:r w:rsidR="00441C1C">
        <w:rPr>
          <w:noProof/>
        </w:rPr>
        <w:t>(40-42)</w:t>
      </w:r>
      <w:r w:rsidR="00C40989">
        <w:fldChar w:fldCharType="end"/>
      </w:r>
      <w:r w:rsidR="00966FD0">
        <w:t>.</w:t>
      </w:r>
      <w:r w:rsidR="00AE334F">
        <w:t xml:space="preserve"> These numbers are also shown in </w:t>
      </w:r>
      <w:r w:rsidR="00D546D4">
        <w:fldChar w:fldCharType="begin"/>
      </w:r>
      <w:r w:rsidR="00D546D4">
        <w:instrText xml:space="preserve"> REF _Ref81319506 \h </w:instrText>
      </w:r>
      <w:r w:rsidR="003267B5">
        <w:instrText xml:space="preserve"> \* MERGEFORMAT </w:instrText>
      </w:r>
      <w:r w:rsidR="00D546D4">
        <w:fldChar w:fldCharType="separate"/>
      </w:r>
      <w:r w:rsidR="00EE19AD">
        <w:t xml:space="preserve">Figure </w:t>
      </w:r>
      <w:r w:rsidR="00EE19AD">
        <w:rPr>
          <w:noProof/>
        </w:rPr>
        <w:t>12</w:t>
      </w:r>
      <w:r w:rsidR="00D546D4">
        <w:fldChar w:fldCharType="end"/>
      </w:r>
      <w:r w:rsidR="00A76FBD">
        <w:t xml:space="preserve">, not for direct comparison (due to </w:t>
      </w:r>
      <w:r w:rsidR="00223548">
        <w:t>concerns regarding the estimates) but to illustrate differences in scale</w:t>
      </w:r>
      <w:r w:rsidR="008B0DED">
        <w:t xml:space="preserve"> for the at-risk populations</w:t>
      </w:r>
      <w:r w:rsidR="00D546D4">
        <w:t>.</w:t>
      </w:r>
    </w:p>
    <w:p w14:paraId="77AC8824" w14:textId="7D18EF57" w:rsidR="00935A12" w:rsidRDefault="00935A12" w:rsidP="003267B5">
      <w:pPr>
        <w:pStyle w:val="BodyText"/>
      </w:pPr>
      <w:r>
        <w:lastRenderedPageBreak/>
        <w:t>Due to likely overlap between these populations and concerns regarding underestimation of people at risk due to illicit opioid use, it is not possible to estimate a total ‘population at risk’.</w:t>
      </w:r>
    </w:p>
    <w:p w14:paraId="0124D01C" w14:textId="4A6B28FC" w:rsidR="00AE334F" w:rsidRDefault="00935A12" w:rsidP="003267B5">
      <w:pPr>
        <w:pStyle w:val="BodyText"/>
      </w:pPr>
      <w:r>
        <w:t>Despite this</w:t>
      </w:r>
      <w:r w:rsidR="00AE334F">
        <w:t xml:space="preserve">, the potential need for naloxone to counter overdose </w:t>
      </w:r>
      <w:r w:rsidR="00032223">
        <w:t xml:space="preserve">remains </w:t>
      </w:r>
      <w:r w:rsidR="00AE334F">
        <w:t>significant</w:t>
      </w:r>
      <w:r w:rsidR="0035200A">
        <w:t xml:space="preserve"> for all</w:t>
      </w:r>
      <w:r w:rsidR="00AE334F">
        <w:t xml:space="preserve">.  </w:t>
      </w:r>
    </w:p>
    <w:p w14:paraId="6011CE54" w14:textId="24B1F0D8" w:rsidR="004F6FB7" w:rsidRDefault="004F6FB7" w:rsidP="004F6FB7">
      <w:pPr>
        <w:pStyle w:val="Caption"/>
      </w:pPr>
      <w:bookmarkStart w:id="223" w:name="_Ref81319506"/>
      <w:bookmarkStart w:id="224" w:name="_Toc81401864"/>
      <w:bookmarkStart w:id="225" w:name="_Toc94794348"/>
      <w:r>
        <w:t xml:space="preserve">Figure </w:t>
      </w:r>
      <w:r w:rsidR="005C211A">
        <w:fldChar w:fldCharType="begin"/>
      </w:r>
      <w:r w:rsidR="005C211A">
        <w:instrText xml:space="preserve"> SEQ Figure \* ARABIC </w:instrText>
      </w:r>
      <w:r w:rsidR="005C211A">
        <w:fldChar w:fldCharType="separate"/>
      </w:r>
      <w:r w:rsidR="00EE19AD">
        <w:rPr>
          <w:noProof/>
        </w:rPr>
        <w:t>12</w:t>
      </w:r>
      <w:r w:rsidR="005C211A">
        <w:rPr>
          <w:noProof/>
        </w:rPr>
        <w:fldChar w:fldCharType="end"/>
      </w:r>
      <w:bookmarkEnd w:id="223"/>
      <w:r>
        <w:t>. People at risk of opioid overdose in Australia, 2015-2020</w:t>
      </w:r>
      <w:bookmarkEnd w:id="224"/>
      <w:bookmarkEnd w:id="225"/>
    </w:p>
    <w:p w14:paraId="26254DB3" w14:textId="77777777" w:rsidR="004F6FB7" w:rsidRDefault="004F6FB7" w:rsidP="004F6FB7">
      <w:pPr>
        <w:keepNext/>
      </w:pPr>
      <w:r>
        <w:rPr>
          <w:noProof/>
        </w:rPr>
        <w:drawing>
          <wp:inline distT="0" distB="0" distL="0" distR="0" wp14:anchorId="49E3829C" wp14:editId="41FC1AA5">
            <wp:extent cx="5941060" cy="3228975"/>
            <wp:effectExtent l="0" t="0" r="2540" b="0"/>
            <wp:docPr id="28" name="Chart 28" descr="Bar graph comparing people at risk of opioid overdose in in Australia by year.">
              <a:extLst xmlns:a="http://schemas.openxmlformats.org/drawingml/2006/main">
                <a:ext uri="{FF2B5EF4-FFF2-40B4-BE49-F238E27FC236}">
                  <a16:creationId xmlns:a16="http://schemas.microsoft.com/office/drawing/2014/main" id="{538D8586-D11B-42AD-8AF8-334D737EFC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76C86F6" w14:textId="64CC0BB5" w:rsidR="00C94E8E" w:rsidRPr="00745146" w:rsidRDefault="004F6FB7" w:rsidP="00745146">
      <w:pPr>
        <w:spacing w:after="0" w:line="240" w:lineRule="auto"/>
        <w:ind w:left="720"/>
        <w:rPr>
          <w:i/>
          <w:iCs/>
          <w:sz w:val="16"/>
          <w:szCs w:val="16"/>
        </w:rPr>
      </w:pPr>
      <w:r w:rsidRPr="003866DE">
        <w:rPr>
          <w:i/>
          <w:iCs/>
          <w:sz w:val="16"/>
          <w:szCs w:val="16"/>
        </w:rPr>
        <w:t>Source</w:t>
      </w:r>
      <w:r w:rsidR="003579BB">
        <w:rPr>
          <w:i/>
          <w:iCs/>
          <w:sz w:val="16"/>
          <w:szCs w:val="16"/>
        </w:rPr>
        <w:t>s</w:t>
      </w:r>
      <w:r w:rsidRPr="003866DE">
        <w:rPr>
          <w:i/>
          <w:iCs/>
          <w:sz w:val="16"/>
          <w:szCs w:val="16"/>
        </w:rPr>
        <w:t>: *</w:t>
      </w:r>
      <w:r w:rsidR="00DA0577">
        <w:rPr>
          <w:i/>
          <w:iCs/>
          <w:sz w:val="16"/>
          <w:szCs w:val="16"/>
        </w:rPr>
        <w:t xml:space="preserve">Derived using </w:t>
      </w:r>
      <w:r w:rsidRPr="003866DE">
        <w:rPr>
          <w:i/>
          <w:iCs/>
          <w:sz w:val="16"/>
          <w:szCs w:val="16"/>
        </w:rPr>
        <w:t>PBS data</w:t>
      </w:r>
      <w:r w:rsidR="000D38F3">
        <w:rPr>
          <w:i/>
          <w:iCs/>
          <w:sz w:val="16"/>
          <w:szCs w:val="16"/>
        </w:rPr>
        <w:t>;</w:t>
      </w:r>
      <w:r w:rsidRPr="003866DE">
        <w:rPr>
          <w:i/>
          <w:iCs/>
          <w:sz w:val="16"/>
          <w:szCs w:val="16"/>
        </w:rPr>
        <w:t xml:space="preserve"> </w:t>
      </w:r>
      <w:r w:rsidR="00D86A78">
        <w:rPr>
          <w:i/>
          <w:iCs/>
          <w:sz w:val="16"/>
          <w:szCs w:val="16"/>
        </w:rPr>
        <w:t>excluding opioids for OAT</w:t>
      </w:r>
      <w:r w:rsidRPr="003866DE">
        <w:rPr>
          <w:i/>
          <w:iCs/>
          <w:sz w:val="16"/>
          <w:szCs w:val="16"/>
        </w:rPr>
        <w:t xml:space="preserve">; +National Opioid Pharmacotherapy Statistics Annual Data; ~Derived using </w:t>
      </w:r>
      <w:r w:rsidR="007020C8">
        <w:rPr>
          <w:i/>
          <w:iCs/>
          <w:sz w:val="16"/>
          <w:szCs w:val="16"/>
        </w:rPr>
        <w:t>2016 and 2019</w:t>
      </w:r>
      <w:r w:rsidRPr="003866DE">
        <w:rPr>
          <w:i/>
          <w:iCs/>
          <w:sz w:val="16"/>
          <w:szCs w:val="16"/>
        </w:rPr>
        <w:t xml:space="preserve"> National Drug Strategy Household Survey</w:t>
      </w:r>
      <w:r w:rsidR="002F76E8">
        <w:rPr>
          <w:i/>
          <w:iCs/>
          <w:sz w:val="16"/>
          <w:szCs w:val="16"/>
        </w:rPr>
        <w:t xml:space="preserve"> d</w:t>
      </w:r>
      <w:r w:rsidR="003D17BF">
        <w:rPr>
          <w:i/>
          <w:iCs/>
          <w:sz w:val="16"/>
          <w:szCs w:val="16"/>
        </w:rPr>
        <w:t>a</w:t>
      </w:r>
      <w:r w:rsidR="002F76E8">
        <w:rPr>
          <w:i/>
          <w:iCs/>
          <w:sz w:val="16"/>
          <w:szCs w:val="16"/>
        </w:rPr>
        <w:t>ta</w:t>
      </w:r>
    </w:p>
    <w:p w14:paraId="2838D578" w14:textId="3CFB21D9" w:rsidR="0087499D" w:rsidRDefault="0055150D" w:rsidP="003267B5">
      <w:pPr>
        <w:pStyle w:val="BodyText"/>
      </w:pPr>
      <w:proofErr w:type="gramStart"/>
      <w:r>
        <w:t>In order to</w:t>
      </w:r>
      <w:proofErr w:type="gramEnd"/>
      <w:r>
        <w:t xml:space="preserve"> understand </w:t>
      </w:r>
      <w:r w:rsidR="006C1639">
        <w:t xml:space="preserve">what proportion of people </w:t>
      </w:r>
      <w:r w:rsidR="00686FE7">
        <w:t xml:space="preserve">who were </w:t>
      </w:r>
      <w:r w:rsidR="006C1639">
        <w:t xml:space="preserve">at risk </w:t>
      </w:r>
      <w:r w:rsidR="00F95E23">
        <w:t xml:space="preserve">from </w:t>
      </w:r>
      <w:r w:rsidR="006F14A0">
        <w:t xml:space="preserve">prescribed </w:t>
      </w:r>
      <w:r w:rsidR="006C1639">
        <w:t>opioid overdose received naloxone, we calculated</w:t>
      </w:r>
      <w:r w:rsidR="00BA2D9B">
        <w:t xml:space="preserve"> a naloxone access rate</w:t>
      </w:r>
      <w:r w:rsidR="0087499D">
        <w:rPr>
          <w:rStyle w:val="FootnoteReference"/>
        </w:rPr>
        <w:footnoteReference w:id="24"/>
      </w:r>
      <w:r w:rsidR="00BA2D9B">
        <w:t>: the number of people receiving naloxone</w:t>
      </w:r>
      <w:r w:rsidR="00470329">
        <w:t xml:space="preserve"> relative to the number of people </w:t>
      </w:r>
      <w:r w:rsidR="00EA2ECD">
        <w:t>assessed</w:t>
      </w:r>
      <w:r w:rsidR="00EA2ECD" w:rsidDel="00D90D2C">
        <w:t xml:space="preserve"> </w:t>
      </w:r>
      <w:r w:rsidR="00EA2ECD">
        <w:t>as</w:t>
      </w:r>
      <w:r w:rsidR="300A5371">
        <w:t xml:space="preserve"> a</w:t>
      </w:r>
      <w:r w:rsidR="00EA2ECD">
        <w:t>t risk</w:t>
      </w:r>
      <w:r w:rsidR="00304104">
        <w:t xml:space="preserve"> (i.e.</w:t>
      </w:r>
      <w:r w:rsidR="00D90D2C">
        <w:t>,</w:t>
      </w:r>
      <w:r w:rsidR="00304104">
        <w:t xml:space="preserve"> receiving </w:t>
      </w:r>
      <w:r w:rsidR="00D90D2C">
        <w:t xml:space="preserve">opioid </w:t>
      </w:r>
      <w:r w:rsidR="00304104">
        <w:t xml:space="preserve">doses of </w:t>
      </w:r>
      <w:r w:rsidR="6FAA0615" w:rsidRPr="07E559F2">
        <w:t>&gt;</w:t>
      </w:r>
      <w:r w:rsidR="00D90D2C">
        <w:t>50MME per day)</w:t>
      </w:r>
      <w:r w:rsidR="00D948C0">
        <w:t>.</w:t>
      </w:r>
      <w:r w:rsidR="00083C55">
        <w:t xml:space="preserve"> </w:t>
      </w:r>
      <w:r w:rsidR="006C1639">
        <w:t xml:space="preserve"> </w:t>
      </w:r>
    </w:p>
    <w:p w14:paraId="01D72082" w14:textId="0E4BCE98" w:rsidR="00AE334F" w:rsidRDefault="00AE334F" w:rsidP="003267B5">
      <w:pPr>
        <w:pStyle w:val="BodyText"/>
      </w:pPr>
      <w:r>
        <w:t xml:space="preserve">Prior to the Pilot (January 2017 to November 2019), the average </w:t>
      </w:r>
      <w:r w:rsidR="00546519">
        <w:t>naloxone access rate</w:t>
      </w:r>
      <w:r w:rsidR="0087499D">
        <w:rPr>
          <w:rStyle w:val="FootnoteReference"/>
        </w:rPr>
        <w:footnoteReference w:id="25"/>
      </w:r>
      <w:r w:rsidR="0087499D">
        <w:t xml:space="preserve"> </w:t>
      </w:r>
      <w:r>
        <w:t xml:space="preserve">was low: 15 per 100,000 population at risk in any given month across the Pilot states and 72 per 100,000 population at risk across the non-Pilot </w:t>
      </w:r>
      <w:r w:rsidR="00721787">
        <w:t xml:space="preserve">jurisdictions </w:t>
      </w:r>
      <w:r w:rsidR="001F0970">
        <w:t>(</w:t>
      </w:r>
      <w:r w:rsidR="00601894">
        <w:t xml:space="preserve">refer to </w:t>
      </w:r>
      <w:r w:rsidR="00601894">
        <w:fldChar w:fldCharType="begin"/>
      </w:r>
      <w:r w:rsidR="00601894">
        <w:instrText xml:space="preserve"> REF _Ref81312257 \h </w:instrText>
      </w:r>
      <w:r w:rsidR="003267B5">
        <w:instrText xml:space="preserve"> \* MERGEFORMAT </w:instrText>
      </w:r>
      <w:r w:rsidR="00601894">
        <w:fldChar w:fldCharType="separate"/>
      </w:r>
      <w:r w:rsidR="00EE19AD">
        <w:t xml:space="preserve">Figure </w:t>
      </w:r>
      <w:r w:rsidR="00EE19AD">
        <w:rPr>
          <w:noProof/>
        </w:rPr>
        <w:t>13</w:t>
      </w:r>
      <w:r w:rsidR="00601894">
        <w:fldChar w:fldCharType="end"/>
      </w:r>
      <w:r w:rsidR="001F0970">
        <w:t>)</w:t>
      </w:r>
      <w:r>
        <w:t xml:space="preserve">. </w:t>
      </w:r>
      <w:r w:rsidR="00A151C4">
        <w:t xml:space="preserve">The </w:t>
      </w:r>
      <w:r w:rsidR="00CD7BAB">
        <w:t xml:space="preserve">higher </w:t>
      </w:r>
      <w:r w:rsidR="00C90980">
        <w:t xml:space="preserve">naloxone access </w:t>
      </w:r>
      <w:r w:rsidR="00D847F6">
        <w:t>rat</w:t>
      </w:r>
      <w:r w:rsidR="007B12D5">
        <w:t>e</w:t>
      </w:r>
      <w:r w:rsidR="00A151C4">
        <w:t xml:space="preserve"> in non-Pilot </w:t>
      </w:r>
      <w:r w:rsidR="00F53D08">
        <w:t xml:space="preserve">jurisdictions </w:t>
      </w:r>
      <w:r w:rsidR="00A151C4">
        <w:t xml:space="preserve">was </w:t>
      </w:r>
      <w:r w:rsidR="00CD7BAB">
        <w:t xml:space="preserve">mostly </w:t>
      </w:r>
      <w:r w:rsidR="00A151C4">
        <w:t xml:space="preserve">in Victoria and </w:t>
      </w:r>
      <w:r w:rsidR="00CD7BAB">
        <w:t xml:space="preserve">the </w:t>
      </w:r>
      <w:r w:rsidR="00A151C4">
        <w:t xml:space="preserve">ACT, where </w:t>
      </w:r>
      <w:r w:rsidR="006D2BA5">
        <w:t xml:space="preserve">active provision of naloxone </w:t>
      </w:r>
      <w:r w:rsidR="00453FD0">
        <w:t xml:space="preserve">through existing THN programs </w:t>
      </w:r>
      <w:r w:rsidR="006D2BA5">
        <w:t>was re</w:t>
      </w:r>
      <w:r w:rsidR="00453FD0">
        <w:t>corded</w:t>
      </w:r>
      <w:r w:rsidR="00CD7BAB">
        <w:t xml:space="preserve"> through the PBS as it required </w:t>
      </w:r>
      <w:r w:rsidR="00244E23">
        <w:t xml:space="preserve">a </w:t>
      </w:r>
      <w:r w:rsidR="00CD7BAB">
        <w:t>prescription</w:t>
      </w:r>
      <w:r w:rsidR="010FB988">
        <w:t xml:space="preserve"> to be subsidised</w:t>
      </w:r>
      <w:r w:rsidR="00CD7BAB">
        <w:t>.</w:t>
      </w:r>
    </w:p>
    <w:p w14:paraId="68AD0938" w14:textId="0F599DFB" w:rsidR="007B0B88" w:rsidRDefault="0087499D" w:rsidP="003267B5">
      <w:pPr>
        <w:pStyle w:val="BodyText"/>
      </w:pPr>
      <w:r>
        <w:t xml:space="preserve">During the Pilot, </w:t>
      </w:r>
      <w:r w:rsidR="00112F15">
        <w:t>the</w:t>
      </w:r>
      <w:r w:rsidR="00EC0FCF">
        <w:t xml:space="preserve"> naloxone access </w:t>
      </w:r>
      <w:r w:rsidR="00596487">
        <w:t xml:space="preserve">rate </w:t>
      </w:r>
      <w:r w:rsidR="00AE334F">
        <w:t xml:space="preserve">rose substantially for </w:t>
      </w:r>
      <w:r w:rsidR="007556BB">
        <w:t xml:space="preserve">participating </w:t>
      </w:r>
      <w:r w:rsidR="00AE334F">
        <w:t>states</w:t>
      </w:r>
      <w:r w:rsidR="00EE0118">
        <w:t>:</w:t>
      </w:r>
      <w:r w:rsidR="00AE334F">
        <w:t xml:space="preserve"> </w:t>
      </w:r>
      <w:r w:rsidR="00367B7E">
        <w:t xml:space="preserve">from </w:t>
      </w:r>
      <w:r w:rsidR="00B27F76">
        <w:t>pre-Pilot (</w:t>
      </w:r>
      <w:r w:rsidR="009F600C">
        <w:t xml:space="preserve">average </w:t>
      </w:r>
      <w:r w:rsidR="00EA18FA">
        <w:t xml:space="preserve">over </w:t>
      </w:r>
      <w:r w:rsidR="000A0D97">
        <w:t>35 months</w:t>
      </w:r>
      <w:r w:rsidR="00EA18FA">
        <w:t xml:space="preserve">, </w:t>
      </w:r>
      <w:r w:rsidR="00B27F76">
        <w:t>January 2017-</w:t>
      </w:r>
      <w:r w:rsidR="008526B7">
        <w:t xml:space="preserve">November 2019) </w:t>
      </w:r>
      <w:r w:rsidR="001134CF">
        <w:t xml:space="preserve">rates of </w:t>
      </w:r>
      <w:r w:rsidR="00367B7E">
        <w:t xml:space="preserve">15 per 100,000 </w:t>
      </w:r>
      <w:r w:rsidR="00DF58B2">
        <w:t xml:space="preserve">people at risk </w:t>
      </w:r>
      <w:r w:rsidR="00AE334F">
        <w:t xml:space="preserve">to 1,630 per 100,000 </w:t>
      </w:r>
      <w:r w:rsidR="00E0203B">
        <w:t>during the Pilot</w:t>
      </w:r>
      <w:r w:rsidR="007556BB">
        <w:rPr>
          <w:rStyle w:val="FootnoteReference"/>
        </w:rPr>
        <w:footnoteReference w:id="26"/>
      </w:r>
      <w:r w:rsidR="00E0203B">
        <w:t xml:space="preserve"> </w:t>
      </w:r>
      <w:r w:rsidR="00AE334F">
        <w:t>(</w:t>
      </w:r>
      <w:r w:rsidR="00EA18FA">
        <w:t xml:space="preserve">average over 19 months, </w:t>
      </w:r>
      <w:r w:rsidR="00E0203B">
        <w:t>December 2019-June 2021</w:t>
      </w:r>
      <w:r w:rsidR="00F17B5B">
        <w:t>; Figure 12</w:t>
      </w:r>
      <w:r w:rsidR="00E0203B">
        <w:t>).</w:t>
      </w:r>
      <w:r w:rsidR="00AE334F">
        <w:t xml:space="preserve"> NSW </w:t>
      </w:r>
      <w:r w:rsidR="00DF58B2">
        <w:t xml:space="preserve">access rates </w:t>
      </w:r>
      <w:r w:rsidR="00AE334F">
        <w:t>peaked at 3,112 per 100,000 (</w:t>
      </w:r>
      <w:r w:rsidR="00E0203B">
        <w:t xml:space="preserve">or </w:t>
      </w:r>
      <w:r w:rsidR="00AE334F">
        <w:t>3.1%) during February 2020</w:t>
      </w:r>
      <w:r w:rsidR="00925CA1">
        <w:t>,</w:t>
      </w:r>
      <w:r w:rsidR="00AE334F">
        <w:t xml:space="preserve"> while the other Pilot states showed a gradual increasing trend: recent naloxone supply rates of 1,396 per 100,000 (</w:t>
      </w:r>
      <w:r w:rsidR="00E0203B">
        <w:t xml:space="preserve">or </w:t>
      </w:r>
      <w:r w:rsidR="00AE334F">
        <w:t xml:space="preserve">1.4%) </w:t>
      </w:r>
      <w:r w:rsidR="00DF58B2">
        <w:t xml:space="preserve">were noted </w:t>
      </w:r>
      <w:r w:rsidR="00AE334F">
        <w:t>in SA and</w:t>
      </w:r>
      <w:r w:rsidR="00AE334F" w:rsidDel="00F92BFA">
        <w:t xml:space="preserve"> </w:t>
      </w:r>
      <w:r w:rsidR="00AE334F">
        <w:t>2,089 per 100,000 (</w:t>
      </w:r>
      <w:r w:rsidR="00E0203B">
        <w:t xml:space="preserve">or </w:t>
      </w:r>
      <w:r w:rsidR="00AE334F">
        <w:t xml:space="preserve">2.1%) in WA. </w:t>
      </w:r>
    </w:p>
    <w:p w14:paraId="3E479D72" w14:textId="227229DD" w:rsidR="00F00E51" w:rsidRDefault="00AD60AC" w:rsidP="003267B5">
      <w:pPr>
        <w:pStyle w:val="BodyText"/>
      </w:pPr>
      <w:r>
        <w:lastRenderedPageBreak/>
        <w:t xml:space="preserve">These </w:t>
      </w:r>
      <w:r w:rsidR="00760F26">
        <w:t>access</w:t>
      </w:r>
      <w:r>
        <w:t xml:space="preserve"> </w:t>
      </w:r>
      <w:r w:rsidR="007B0B88">
        <w:t>rate increases</w:t>
      </w:r>
      <w:r>
        <w:t xml:space="preserve"> </w:t>
      </w:r>
      <w:r w:rsidR="00115933">
        <w:t xml:space="preserve">took place </w:t>
      </w:r>
      <w:r w:rsidR="00115933" w:rsidRPr="00B84282">
        <w:rPr>
          <w:i/>
        </w:rPr>
        <w:t>before</w:t>
      </w:r>
      <w:r w:rsidR="00115933">
        <w:t xml:space="preserve"> </w:t>
      </w:r>
      <w:r w:rsidR="00F542B5">
        <w:t xml:space="preserve">the </w:t>
      </w:r>
      <w:r w:rsidR="00115933">
        <w:t xml:space="preserve">introduction </w:t>
      </w:r>
      <w:r w:rsidR="003E747E">
        <w:t xml:space="preserve">in June 2020 </w:t>
      </w:r>
      <w:r w:rsidR="5E630ED5">
        <w:t>of</w:t>
      </w:r>
      <w:r w:rsidR="00115933">
        <w:t xml:space="preserve"> the TGA </w:t>
      </w:r>
      <w:r w:rsidR="00B21878">
        <w:t xml:space="preserve">regulatory </w:t>
      </w:r>
      <w:r w:rsidR="00115933">
        <w:t xml:space="preserve">measures </w:t>
      </w:r>
      <w:r w:rsidR="003E747E">
        <w:t xml:space="preserve">which </w:t>
      </w:r>
      <w:r w:rsidR="00115933">
        <w:t>restrict</w:t>
      </w:r>
      <w:r w:rsidR="003E747E">
        <w:t>ed</w:t>
      </w:r>
      <w:r w:rsidR="00115933">
        <w:t xml:space="preserve"> </w:t>
      </w:r>
      <w:r w:rsidR="006216EE">
        <w:t>some opioid supply</w:t>
      </w:r>
      <w:r w:rsidR="00CE6726">
        <w:t xml:space="preserve"> (</w:t>
      </w:r>
      <w:r w:rsidR="00B21878">
        <w:t>refer to external factors discussed in section 3.1.9</w:t>
      </w:r>
      <w:r w:rsidR="00CE6726">
        <w:t xml:space="preserve">), suggesting </w:t>
      </w:r>
      <w:r w:rsidR="00BC6FA4">
        <w:t>the changes in access rates were</w:t>
      </w:r>
      <w:r w:rsidR="00CE6726">
        <w:t xml:space="preserve"> not due to a decrease in </w:t>
      </w:r>
      <w:r w:rsidR="00154B52">
        <w:t>opioid supply</w:t>
      </w:r>
      <w:r w:rsidR="007B0B88">
        <w:t>.</w:t>
      </w:r>
      <w:r w:rsidR="00115933">
        <w:t xml:space="preserve"> </w:t>
      </w:r>
    </w:p>
    <w:p w14:paraId="5F2C5879" w14:textId="2B0EEC73" w:rsidR="00AE334F" w:rsidRDefault="00AE334F" w:rsidP="003267B5">
      <w:pPr>
        <w:pStyle w:val="BodyText"/>
      </w:pPr>
      <w:r>
        <w:t xml:space="preserve">Similar increases </w:t>
      </w:r>
      <w:r w:rsidR="00134E2B">
        <w:t xml:space="preserve">in </w:t>
      </w:r>
      <w:r w:rsidR="003E63DB">
        <w:t>access</w:t>
      </w:r>
      <w:r w:rsidR="00134E2B">
        <w:t xml:space="preserve"> </w:t>
      </w:r>
      <w:r w:rsidR="00010949">
        <w:t xml:space="preserve">rates </w:t>
      </w:r>
      <w:r>
        <w:t xml:space="preserve">were not seen in </w:t>
      </w:r>
      <w:r w:rsidR="00BC6FA4">
        <w:t xml:space="preserve">jurisdictions </w:t>
      </w:r>
      <w:r w:rsidR="00134E2B">
        <w:t>not participating in the THN Pilot</w:t>
      </w:r>
      <w:r w:rsidR="00154B52">
        <w:t xml:space="preserve">, supporting the </w:t>
      </w:r>
      <w:r w:rsidR="00D53761">
        <w:t>link between</w:t>
      </w:r>
      <w:r w:rsidR="00154B52">
        <w:t xml:space="preserve"> increased access rates </w:t>
      </w:r>
      <w:r w:rsidR="00D53761">
        <w:t>and</w:t>
      </w:r>
      <w:r w:rsidR="00154B52">
        <w:t xml:space="preserve"> the Pilot</w:t>
      </w:r>
      <w:r>
        <w:t>.</w:t>
      </w:r>
    </w:p>
    <w:p w14:paraId="2DA5A8B7" w14:textId="2EBED685" w:rsidR="00AE334F" w:rsidRDefault="00AE334F" w:rsidP="003267B5">
      <w:pPr>
        <w:pStyle w:val="BodyText"/>
      </w:pPr>
      <w:bookmarkStart w:id="226" w:name="_Hlk84587295"/>
      <w:r>
        <w:t xml:space="preserve">It is important to note that while the Pilot has significantly increased naloxone access, the </w:t>
      </w:r>
      <w:r w:rsidR="003A7B11">
        <w:t>rates</w:t>
      </w:r>
      <w:r>
        <w:t xml:space="preserve"> of people who </w:t>
      </w:r>
      <w:r w:rsidR="004C5830">
        <w:t>access</w:t>
      </w:r>
      <w:r>
        <w:t xml:space="preserve"> </w:t>
      </w:r>
      <w:r w:rsidR="004A3F1C">
        <w:t xml:space="preserve">naloxone among people </w:t>
      </w:r>
      <w:r w:rsidR="004C5830">
        <w:t xml:space="preserve">receiving </w:t>
      </w:r>
      <w:r>
        <w:t xml:space="preserve">prescription opioids for pain at doses that place them at higher risk of overdose </w:t>
      </w:r>
      <w:r w:rsidR="008E73B6">
        <w:t>are still relatively low</w:t>
      </w:r>
      <w:r w:rsidR="006A6552">
        <w:t xml:space="preserve"> </w:t>
      </w:r>
      <w:bookmarkEnd w:id="226"/>
      <w:r w:rsidR="006A6552">
        <w:t>(</w:t>
      </w:r>
      <w:r w:rsidR="00F65EC7">
        <w:t xml:space="preserve">refer to </w:t>
      </w:r>
      <w:r w:rsidR="006A6552">
        <w:fldChar w:fldCharType="begin"/>
      </w:r>
      <w:r w:rsidR="006A6552">
        <w:instrText xml:space="preserve"> REF _Ref81312257 \h </w:instrText>
      </w:r>
      <w:r w:rsidR="003267B5">
        <w:instrText xml:space="preserve"> \* MERGEFORMAT </w:instrText>
      </w:r>
      <w:r w:rsidR="006A6552">
        <w:fldChar w:fldCharType="separate"/>
      </w:r>
      <w:r w:rsidR="00EE19AD">
        <w:t xml:space="preserve">Figure </w:t>
      </w:r>
      <w:r w:rsidR="00EE19AD">
        <w:rPr>
          <w:noProof/>
        </w:rPr>
        <w:t>13</w:t>
      </w:r>
      <w:r w:rsidR="006A6552">
        <w:fldChar w:fldCharType="end"/>
      </w:r>
      <w:r w:rsidR="006A6552">
        <w:t>)</w:t>
      </w:r>
      <w:r>
        <w:t>.</w:t>
      </w:r>
    </w:p>
    <w:p w14:paraId="43D38900" w14:textId="77777777" w:rsidR="003F7D85" w:rsidRDefault="003F7D85" w:rsidP="00190DA3">
      <w:pPr>
        <w:sectPr w:rsidR="003F7D85" w:rsidSect="00A704B1">
          <w:headerReference w:type="even" r:id="rId32"/>
          <w:headerReference w:type="default" r:id="rId33"/>
          <w:footerReference w:type="even" r:id="rId34"/>
          <w:footerReference w:type="default" r:id="rId35"/>
          <w:headerReference w:type="first" r:id="rId36"/>
          <w:footerReference w:type="first" r:id="rId37"/>
          <w:footnotePr>
            <w:numFmt w:val="lowerLetter"/>
          </w:footnotePr>
          <w:pgSz w:w="11906" w:h="16838" w:code="9"/>
          <w:pgMar w:top="2268" w:right="1416" w:bottom="1134" w:left="1134" w:header="567" w:footer="510" w:gutter="0"/>
          <w:cols w:space="708"/>
          <w:docGrid w:linePitch="360"/>
        </w:sectPr>
      </w:pPr>
    </w:p>
    <w:p w14:paraId="69FE5C42" w14:textId="358C8560" w:rsidR="009C6AF1" w:rsidRPr="00975054" w:rsidRDefault="009C6AF1" w:rsidP="009C6AF1">
      <w:pPr>
        <w:pStyle w:val="Caption"/>
      </w:pPr>
      <w:bookmarkStart w:id="227" w:name="_Ref81312257"/>
      <w:bookmarkStart w:id="228" w:name="_Toc81401865"/>
      <w:bookmarkStart w:id="229" w:name="_Toc94794349"/>
      <w:r>
        <w:lastRenderedPageBreak/>
        <w:t xml:space="preserve">Figure </w:t>
      </w:r>
      <w:r w:rsidR="005C211A">
        <w:fldChar w:fldCharType="begin"/>
      </w:r>
      <w:r w:rsidR="005C211A">
        <w:instrText xml:space="preserve"> SEQ Figure \* ARABIC </w:instrText>
      </w:r>
      <w:r w:rsidR="005C211A">
        <w:fldChar w:fldCharType="separate"/>
      </w:r>
      <w:r w:rsidR="00EE19AD">
        <w:rPr>
          <w:noProof/>
        </w:rPr>
        <w:t>13</w:t>
      </w:r>
      <w:r w:rsidR="005C211A">
        <w:rPr>
          <w:noProof/>
        </w:rPr>
        <w:fldChar w:fldCharType="end"/>
      </w:r>
      <w:bookmarkEnd w:id="227"/>
      <w:r w:rsidR="00612591">
        <w:t>.</w:t>
      </w:r>
      <w:r>
        <w:t xml:space="preserve"> </w:t>
      </w:r>
      <w:r w:rsidR="00762B96">
        <w:t>Changes</w:t>
      </w:r>
      <w:r>
        <w:t xml:space="preserve"> in the </w:t>
      </w:r>
      <w:r w:rsidRPr="008907C3">
        <w:t xml:space="preserve">naloxone </w:t>
      </w:r>
      <w:r w:rsidR="00BF6C14">
        <w:t>access</w:t>
      </w:r>
      <w:r w:rsidR="00FD17F2">
        <w:t xml:space="preserve"> rate</w:t>
      </w:r>
      <w:r w:rsidR="00BF6C14">
        <w:t xml:space="preserve"> </w:t>
      </w:r>
      <w:r w:rsidR="00FD17F2">
        <w:t>for</w:t>
      </w:r>
      <w:r>
        <w:t xml:space="preserve"> individuals at risk of prescription opioid overdose </w:t>
      </w:r>
      <w:r w:rsidRPr="008907C3">
        <w:t>in Australia</w:t>
      </w:r>
      <w:r>
        <w:rPr>
          <w:rStyle w:val="FootnoteReference"/>
        </w:rPr>
        <w:footnoteReference w:id="27"/>
      </w:r>
      <w:r w:rsidRPr="008907C3" w:rsidDel="00B16C5B">
        <w:t xml:space="preserve"> during the THN Pilot</w:t>
      </w:r>
      <w:bookmarkEnd w:id="228"/>
      <w:bookmarkEnd w:id="229"/>
    </w:p>
    <w:p w14:paraId="5E26374D" w14:textId="77777777" w:rsidR="009C6AF1" w:rsidRDefault="009C6AF1" w:rsidP="009C6AF1">
      <w:pPr>
        <w:pStyle w:val="BodyText"/>
        <w:keepNext/>
      </w:pPr>
      <w:r>
        <w:rPr>
          <w:noProof/>
        </w:rPr>
        <mc:AlternateContent>
          <mc:Choice Requires="wps">
            <w:drawing>
              <wp:anchor distT="0" distB="0" distL="114300" distR="114300" simplePos="0" relativeHeight="251613184" behindDoc="0" locked="0" layoutInCell="1" allowOverlap="1" wp14:anchorId="401C234B" wp14:editId="2A66C389">
                <wp:simplePos x="0" y="0"/>
                <wp:positionH relativeFrom="column">
                  <wp:posOffset>5711825</wp:posOffset>
                </wp:positionH>
                <wp:positionV relativeFrom="paragraph">
                  <wp:posOffset>149923</wp:posOffset>
                </wp:positionV>
                <wp:extent cx="0" cy="2729023"/>
                <wp:effectExtent l="0" t="0" r="38100" b="14605"/>
                <wp:wrapNone/>
                <wp:docPr id="14" name="Straight Connector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0" cy="2729023"/>
                        </a:xfrm>
                        <a:prstGeom prst="line">
                          <a:avLst/>
                        </a:prstGeom>
                        <a:ln w="12700">
                          <a:prstDash val="lgDash"/>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AE38FF1" id="Straight Connector 14" o:spid="_x0000_s1026" alt="&quot;&quot;" style="position:absolute;flip:y;z-index:251613184;visibility:visible;mso-wrap-style:square;mso-wrap-distance-left:9pt;mso-wrap-distance-top:0;mso-wrap-distance-right:9pt;mso-wrap-distance-bottom:0;mso-position-horizontal:absolute;mso-position-horizontal-relative:text;mso-position-vertical:absolute;mso-position-vertical-relative:text" from="449.75pt,11.8pt" to="449.75pt,2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" strokecolor="#e62645 [3205]" strokeweight="1pt">
                <v:stroke dashstyle="longDash" joinstyle="miter"/>
              </v:line>
            </w:pict>
          </mc:Fallback>
        </mc:AlternateContent>
      </w:r>
      <w:r>
        <w:rPr>
          <w:noProof/>
        </w:rPr>
        <w:drawing>
          <wp:inline distT="0" distB="0" distL="0" distR="0" wp14:anchorId="3C09D79E" wp14:editId="2BC89B35">
            <wp:extent cx="9494520" cy="3451860"/>
            <wp:effectExtent l="0" t="0" r="0" b="0"/>
            <wp:docPr id="18" name="Chart 18" descr="Line graph comparing Rate of naloxone supply per 100,000 population at prescription opioid overdose risk by year">
              <a:extLst xmlns:a="http://schemas.openxmlformats.org/drawingml/2006/main">
                <a:ext uri="{FF2B5EF4-FFF2-40B4-BE49-F238E27FC236}">
                  <a16:creationId xmlns:a16="http://schemas.microsoft.com/office/drawing/2014/main" id="{A62873CB-4545-4D1A-82CB-C40494028B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04FA50D" w14:textId="5412281B" w:rsidR="00B413FD" w:rsidRDefault="00B413FD" w:rsidP="00C80F93">
      <w:pPr>
        <w:rPr>
          <w:i/>
          <w:sz w:val="18"/>
          <w:szCs w:val="18"/>
        </w:rPr>
      </w:pPr>
      <w:r>
        <w:rPr>
          <w:i/>
          <w:sz w:val="18"/>
          <w:szCs w:val="18"/>
        </w:rPr>
        <w:t xml:space="preserve">Note: </w:t>
      </w:r>
      <w:r w:rsidR="00764500">
        <w:rPr>
          <w:i/>
          <w:sz w:val="18"/>
          <w:szCs w:val="18"/>
        </w:rPr>
        <w:t>Vertical r</w:t>
      </w:r>
      <w:r>
        <w:rPr>
          <w:i/>
          <w:sz w:val="18"/>
          <w:szCs w:val="18"/>
        </w:rPr>
        <w:t>ed line indicates start of THN Pilot</w:t>
      </w:r>
    </w:p>
    <w:p w14:paraId="4746324C" w14:textId="538E7127" w:rsidR="00AE334F" w:rsidRDefault="009C6AF1" w:rsidP="00C80F93">
      <w:pPr>
        <w:rPr>
          <w:i/>
          <w:sz w:val="18"/>
          <w:szCs w:val="18"/>
        </w:rPr>
      </w:pPr>
      <w:r w:rsidRPr="001A1921">
        <w:rPr>
          <w:i/>
          <w:sz w:val="18"/>
          <w:szCs w:val="18"/>
        </w:rPr>
        <w:t xml:space="preserve">Source: PBS and </w:t>
      </w:r>
      <w:r w:rsidR="00E720B9">
        <w:rPr>
          <w:i/>
          <w:sz w:val="18"/>
          <w:szCs w:val="18"/>
        </w:rPr>
        <w:t>PPA</w:t>
      </w:r>
      <w:r w:rsidR="00E720B9" w:rsidRPr="001A1921">
        <w:rPr>
          <w:i/>
          <w:sz w:val="18"/>
          <w:szCs w:val="18"/>
        </w:rPr>
        <w:t xml:space="preserve"> </w:t>
      </w:r>
      <w:r w:rsidRPr="001A1921">
        <w:rPr>
          <w:i/>
          <w:sz w:val="18"/>
          <w:szCs w:val="18"/>
        </w:rPr>
        <w:t>data</w:t>
      </w:r>
    </w:p>
    <w:p w14:paraId="678F10D8" w14:textId="77777777" w:rsidR="00297A39" w:rsidRPr="001A1921" w:rsidRDefault="00297A39" w:rsidP="00C80F93">
      <w:pPr>
        <w:rPr>
          <w:i/>
        </w:rPr>
      </w:pPr>
    </w:p>
    <w:p w14:paraId="35AEA93B" w14:textId="77777777" w:rsidR="003F7D85" w:rsidRDefault="003F7D85" w:rsidP="001A33CA">
      <w:pPr>
        <w:sectPr w:rsidR="003F7D85" w:rsidSect="00654FE1">
          <w:footnotePr>
            <w:numFmt w:val="lowerLetter"/>
          </w:footnotePr>
          <w:pgSz w:w="16838" w:h="11906" w:orient="landscape" w:code="9"/>
          <w:pgMar w:top="1134" w:right="2268" w:bottom="1416" w:left="1134" w:header="567" w:footer="510" w:gutter="0"/>
          <w:cols w:space="708"/>
          <w:docGrid w:linePitch="360"/>
        </w:sectPr>
      </w:pPr>
    </w:p>
    <w:p w14:paraId="5E908F41" w14:textId="67827DB8" w:rsidR="006777E8" w:rsidRDefault="00A80F33" w:rsidP="003267B5">
      <w:pPr>
        <w:pStyle w:val="BodyText"/>
      </w:pPr>
      <w:r>
        <w:lastRenderedPageBreak/>
        <w:t>Although</w:t>
      </w:r>
      <w:r w:rsidR="00AC2399">
        <w:t xml:space="preserve"> people who use illicit opioids are at a recognised risk of experiencing overdose, and </w:t>
      </w:r>
      <w:r w:rsidR="000C6FF0">
        <w:t>earlier</w:t>
      </w:r>
      <w:r w:rsidR="000F6FD5">
        <w:t xml:space="preserve"> Australian THN programs specifically targeted </w:t>
      </w:r>
      <w:r w:rsidR="00843A06">
        <w:t xml:space="preserve">this group, </w:t>
      </w:r>
      <w:r w:rsidR="001A4556">
        <w:t>only</w:t>
      </w:r>
      <w:r w:rsidR="00AE334F">
        <w:t xml:space="preserve"> 24% of </w:t>
      </w:r>
      <w:r w:rsidR="00D53761">
        <w:t xml:space="preserve">consenting </w:t>
      </w:r>
      <w:r w:rsidR="001A4556">
        <w:t xml:space="preserve">Pilot </w:t>
      </w:r>
      <w:r w:rsidR="00AE334F">
        <w:t xml:space="preserve">participants identified </w:t>
      </w:r>
      <w:r w:rsidR="00C61CB6">
        <w:t xml:space="preserve">at the point of THN supply </w:t>
      </w:r>
      <w:r w:rsidR="00AE334F">
        <w:t>as “other” (a proxy for use of illicit opioids).</w:t>
      </w:r>
      <w:r w:rsidR="006777E8">
        <w:t xml:space="preserve"> </w:t>
      </w:r>
      <w:r w:rsidR="000F1126">
        <w:t>This may</w:t>
      </w:r>
      <w:r w:rsidR="00E423A7">
        <w:t xml:space="preserve"> </w:t>
      </w:r>
      <w:r w:rsidR="000A63D3">
        <w:t xml:space="preserve">be a significant underestimate of their participation in the Pilot: </w:t>
      </w:r>
      <w:r w:rsidR="00E271B2">
        <w:t>p</w:t>
      </w:r>
      <w:r w:rsidR="00802A20">
        <w:t xml:space="preserve">eople who use illicit opioids may be less willing to provide consent for this information to be </w:t>
      </w:r>
      <w:proofErr w:type="gramStart"/>
      <w:r w:rsidR="00802A20">
        <w:t>collected</w:t>
      </w:r>
      <w:r w:rsidR="009658A5">
        <w:t>, and</w:t>
      </w:r>
      <w:proofErr w:type="gramEnd"/>
      <w:r w:rsidR="009658A5">
        <w:t xml:space="preserve"> may also </w:t>
      </w:r>
      <w:r w:rsidR="005D11EB">
        <w:t>reflect the sites from which people access</w:t>
      </w:r>
      <w:r w:rsidR="00F226E3">
        <w:t>ed</w:t>
      </w:r>
      <w:r w:rsidR="005D11EB">
        <w:t xml:space="preserve"> naloxone. </w:t>
      </w:r>
      <w:r w:rsidR="00CE5B26">
        <w:t>In WA, m</w:t>
      </w:r>
      <w:r w:rsidR="006777E8">
        <w:t xml:space="preserve">ore consumers </w:t>
      </w:r>
      <w:r w:rsidR="00C140E5">
        <w:t xml:space="preserve">than other states </w:t>
      </w:r>
      <w:r w:rsidR="006777E8">
        <w:t>fell into the ‘other’ category (45%)</w:t>
      </w:r>
      <w:r w:rsidR="00CE5B26">
        <w:t xml:space="preserve">. </w:t>
      </w:r>
      <w:r w:rsidR="00C140E5">
        <w:t>This</w:t>
      </w:r>
      <w:r w:rsidR="00A5439C">
        <w:t xml:space="preserve"> larger proportions of “other” consumers in WA </w:t>
      </w:r>
      <w:r w:rsidR="00B034B2">
        <w:t xml:space="preserve">mostly </w:t>
      </w:r>
      <w:r w:rsidR="00C140E5">
        <w:t xml:space="preserve">accessed THN </w:t>
      </w:r>
      <w:r w:rsidR="00A5439C">
        <w:t xml:space="preserve">from AAS, </w:t>
      </w:r>
      <w:r w:rsidR="00A81F61">
        <w:t>most of which</w:t>
      </w:r>
      <w:r w:rsidR="00A5439C">
        <w:t xml:space="preserve"> were alcohol and other drug </w:t>
      </w:r>
      <w:r w:rsidR="0060673A">
        <w:t>services</w:t>
      </w:r>
      <w:r w:rsidR="00A81F61">
        <w:t>.</w:t>
      </w:r>
      <w:r w:rsidR="00817809">
        <w:t xml:space="preserve"> </w:t>
      </w:r>
      <w:r w:rsidR="00EE40D8">
        <w:t>Conversely, i</w:t>
      </w:r>
      <w:r w:rsidR="006777E8">
        <w:t xml:space="preserve">n SA, </w:t>
      </w:r>
      <w:r w:rsidR="00EE40D8">
        <w:t xml:space="preserve">where all consumers accessed THN at pharmacies, </w:t>
      </w:r>
      <w:r w:rsidR="006777E8">
        <w:t xml:space="preserve">more (87.5%) identified as using prescribed opioids and fewer as “other” (4%).  </w:t>
      </w:r>
    </w:p>
    <w:p w14:paraId="6A1770FF" w14:textId="1AC36109" w:rsidR="00E8681C" w:rsidRDefault="00E8681C" w:rsidP="003267B5">
      <w:pPr>
        <w:pStyle w:val="BodyText"/>
      </w:pPr>
      <w:r>
        <w:t xml:space="preserve">Due to uncertainties regarding both the number of </w:t>
      </w:r>
      <w:r w:rsidR="0062556B">
        <w:t>people at risk of overdose from illicit opioids and the p</w:t>
      </w:r>
      <w:r w:rsidR="007F2C36">
        <w:t>roportion of THN recipients in the Pilot</w:t>
      </w:r>
      <w:r w:rsidR="008A0263">
        <w:t xml:space="preserve"> who identified as </w:t>
      </w:r>
      <w:r w:rsidR="00AD5423">
        <w:t xml:space="preserve">using illicit opioids, we were not able to calculate a </w:t>
      </w:r>
      <w:r w:rsidR="00D6030D">
        <w:t>naloxone access rate for this group.</w:t>
      </w:r>
    </w:p>
    <w:p w14:paraId="2EF428F0" w14:textId="02EA191E" w:rsidR="00AE334F" w:rsidRDefault="00946C5E" w:rsidP="00745146">
      <w:pPr>
        <w:pStyle w:val="BodyText"/>
      </w:pPr>
      <w:r>
        <w:t>However, o</w:t>
      </w:r>
      <w:r w:rsidR="00AE334F">
        <w:t xml:space="preserve">ther studies suggest that although earlier THN Programs specifically targeted people who use illicit </w:t>
      </w:r>
      <w:r w:rsidR="00211E71">
        <w:t>opioids</w:t>
      </w:r>
      <w:r w:rsidR="00AE334F">
        <w:t xml:space="preserve">, </w:t>
      </w:r>
      <w:r w:rsidR="0F8EA0E3">
        <w:t xml:space="preserve">naloxone </w:t>
      </w:r>
      <w:r w:rsidR="00E867DD">
        <w:t xml:space="preserve">access </w:t>
      </w:r>
      <w:r w:rsidR="31290586">
        <w:t>for</w:t>
      </w:r>
      <w:r w:rsidR="00AE334F">
        <w:t xml:space="preserve"> this group of people had not reached saturation.</w:t>
      </w:r>
      <w:r w:rsidR="00E817FA">
        <w:t xml:space="preserve"> </w:t>
      </w:r>
      <w:r w:rsidR="00AE334F" w:rsidRPr="00671E2F">
        <w:t xml:space="preserve">Data from the </w:t>
      </w:r>
      <w:r w:rsidR="0091308C">
        <w:t xml:space="preserve">2020 </w:t>
      </w:r>
      <w:r w:rsidR="00AE334F" w:rsidRPr="00671E2F">
        <w:t xml:space="preserve">IDRS indicate that </w:t>
      </w:r>
      <w:r w:rsidR="00AE334F">
        <w:t xml:space="preserve">only </w:t>
      </w:r>
      <w:r w:rsidR="00D23FDC">
        <w:t>46</w:t>
      </w:r>
      <w:r w:rsidR="00AE334F" w:rsidRPr="00671E2F">
        <w:t xml:space="preserve">% </w:t>
      </w:r>
      <w:r w:rsidR="00E817FA">
        <w:t xml:space="preserve">of the PWID interviewed </w:t>
      </w:r>
      <w:r w:rsidR="001E19A9">
        <w:t xml:space="preserve">in NSW, SA and WA </w:t>
      </w:r>
      <w:r w:rsidR="00D23FDC">
        <w:t xml:space="preserve">who regularly use opioids </w:t>
      </w:r>
      <w:r w:rsidR="00AE334F" w:rsidRPr="00671E2F">
        <w:t xml:space="preserve">had accessed </w:t>
      </w:r>
      <w:r w:rsidR="00AE334F">
        <w:t>THN</w:t>
      </w:r>
      <w:r w:rsidR="00D30E50">
        <w:t xml:space="preserve"> in the last year</w:t>
      </w:r>
      <w:r w:rsidR="00543416">
        <w:t xml:space="preserve"> </w:t>
      </w:r>
      <w:r w:rsidR="00AB7F48">
        <w:fldChar w:fldCharType="begin"/>
      </w:r>
      <w:r w:rsidR="00441C1C">
        <w:instrText xml:space="preserve"> ADDIN EN.CITE &lt;EndNote&gt;&lt;Cite&gt;&lt;Author&gt;Salom&lt;/Author&gt;&lt;Year&gt;2020&lt;/Year&gt;&lt;RecNum&gt;113&lt;/RecNum&gt;&lt;DisplayText&gt;(39)&lt;/DisplayText&gt;&lt;record&gt;&lt;rec-number&gt;113&lt;/rec-number&gt;&lt;foreign-keys&gt;&lt;key app="EN" db-id="p00v9zw27zzswpe25phxpead0asdt50td92p" timestamp="1629691757"&gt;113&lt;/key&gt;&lt;/foreign-keys&gt;&lt;ref-type name="Report"&gt;27&lt;/ref-type&gt;&lt;contributors&gt;&lt;authors&gt;&lt;author&gt;Salom, Caroline&lt;/author&gt;&lt;author&gt;Daly, Catherine&lt;/author&gt;&lt;author&gt;Juckel, Jennifer&lt;/author&gt;&lt;author&gt;Morris, Leith&lt;/author&gt;&lt;/authors&gt;&lt;/contributors&gt;&lt;titles&gt;&lt;title&gt;Trends in awareness, uptake and deployment of naloxone among a sample of people who inject drugs in Australia&lt;/title&gt;&lt;secondary-title&gt;Drug Trends Bulletin Series&lt;/secondary-title&gt;&lt;/titles&gt;&lt;dates&gt;&lt;year&gt;2020&lt;/year&gt;&lt;/dates&gt;&lt;pub-location&gt;Sydney&lt;/pub-location&gt;&lt;publisher&gt;National Drug and Alcohol Research Centre, UNSW&lt;/publisher&gt;&lt;urls&gt;&lt;/urls&gt;&lt;/record&gt;&lt;/Cite&gt;&lt;/EndNote&gt;</w:instrText>
      </w:r>
      <w:r w:rsidR="00AB7F48">
        <w:fldChar w:fldCharType="separate"/>
      </w:r>
      <w:r w:rsidR="00441C1C">
        <w:rPr>
          <w:noProof/>
        </w:rPr>
        <w:t>(39)</w:t>
      </w:r>
      <w:r w:rsidR="00AB7F48">
        <w:fldChar w:fldCharType="end"/>
      </w:r>
      <w:r w:rsidR="00D23FDC">
        <w:t xml:space="preserve">; in 2021 this </w:t>
      </w:r>
      <w:r w:rsidR="000B3AA3">
        <w:t>w</w:t>
      </w:r>
      <w:r w:rsidR="00CF7065">
        <w:t xml:space="preserve">as </w:t>
      </w:r>
      <w:r w:rsidR="00281C81">
        <w:t xml:space="preserve">still only </w:t>
      </w:r>
      <w:r w:rsidR="00CF7065">
        <w:t>52%</w:t>
      </w:r>
      <w:r w:rsidR="00281C81">
        <w:t>.</w:t>
      </w:r>
      <w:r w:rsidR="00AE334F" w:rsidRPr="00671E2F">
        <w:t xml:space="preserve"> </w:t>
      </w:r>
      <w:r w:rsidR="006E487B">
        <w:t xml:space="preserve">Similarly, the </w:t>
      </w:r>
      <w:r w:rsidR="00AE334F">
        <w:t xml:space="preserve">ETHOS </w:t>
      </w:r>
      <w:r w:rsidR="00264AC4">
        <w:t xml:space="preserve">Engage </w:t>
      </w:r>
      <w:r w:rsidR="00AE334F">
        <w:t>study</w:t>
      </w:r>
      <w:r w:rsidR="002D3978">
        <w:t>,</w:t>
      </w:r>
      <w:r w:rsidR="00263586">
        <w:t xml:space="preserve"> of people who used illicit opioids and</w:t>
      </w:r>
      <w:r w:rsidR="00F90426">
        <w:t>/or were receiving</w:t>
      </w:r>
      <w:r w:rsidR="002D3978">
        <w:t xml:space="preserve"> </w:t>
      </w:r>
      <w:r w:rsidR="001D4EB3">
        <w:t>O</w:t>
      </w:r>
      <w:r w:rsidR="00263586">
        <w:t>AT</w:t>
      </w:r>
      <w:r w:rsidR="000873AD">
        <w:t xml:space="preserve"> in </w:t>
      </w:r>
      <w:r w:rsidR="00DB6422">
        <w:t>2018-2019</w:t>
      </w:r>
      <w:r w:rsidR="002D3978">
        <w:t>,</w:t>
      </w:r>
      <w:r w:rsidR="003D0E3C">
        <w:t xml:space="preserve"> showed that </w:t>
      </w:r>
      <w:r w:rsidR="00723204">
        <w:t xml:space="preserve">even </w:t>
      </w:r>
      <w:r w:rsidR="00916FC2">
        <w:t>of</w:t>
      </w:r>
      <w:r w:rsidR="00AE334F" w:rsidDel="00723204">
        <w:t xml:space="preserve"> </w:t>
      </w:r>
      <w:r w:rsidR="00723204">
        <w:t xml:space="preserve">people </w:t>
      </w:r>
      <w:r w:rsidR="00AE334F">
        <w:t xml:space="preserve">who </w:t>
      </w:r>
      <w:r w:rsidR="00916FC2">
        <w:t xml:space="preserve">had </w:t>
      </w:r>
      <w:r w:rsidR="00AE334F">
        <w:t xml:space="preserve">recently experienced </w:t>
      </w:r>
      <w:r w:rsidR="00916FC2">
        <w:t>an overdos</w:t>
      </w:r>
      <w:r w:rsidR="009934A7">
        <w:t>e</w:t>
      </w:r>
      <w:r w:rsidR="00AE334F">
        <w:t>, only 35% ha</w:t>
      </w:r>
      <w:r w:rsidR="00C850F4">
        <w:t>d</w:t>
      </w:r>
      <w:r w:rsidR="00AE334F">
        <w:t xml:space="preserve"> accessed THN</w:t>
      </w:r>
      <w:r w:rsidR="004D7B21">
        <w:t xml:space="preserve"> </w:t>
      </w:r>
      <w:r w:rsidR="003B0CD7">
        <w:fldChar w:fldCharType="begin"/>
      </w:r>
      <w:r w:rsidR="00EF7C97">
        <w:instrText xml:space="preserve"> ADDIN EN.CITE &lt;EndNote&gt;&lt;Cite&gt;&lt;Author&gt;Conway&lt;/Author&gt;&lt;Year&gt;2021&lt;/Year&gt;&lt;RecNum&gt;125&lt;/RecNum&gt;&lt;DisplayText&gt;(10)&lt;/DisplayText&gt;&lt;record&gt;&lt;rec-number&gt;125&lt;/rec-number&gt;&lt;foreign-keys&gt;&lt;key app="EN" db-id="p00v9zw27zzswpe25phxpead0asdt50td92p" timestamp="1630282935"&gt;125&lt;/key&gt;&lt;/foreign-keys&gt;&lt;ref-type name="Journal Article"&gt;17&lt;/ref-type&gt;&lt;contributors&gt;&lt;authors&gt;&lt;author&gt;Conway, A.&lt;/author&gt;&lt;author&gt;Valerio, H.&lt;/author&gt;&lt;author&gt;Peacock, A.&lt;/author&gt;&lt;author&gt;Degenhardt, L.&lt;/author&gt;&lt;author&gt;Hayllar, J.&lt;/author&gt;&lt;author&gt;Harrod, M. E.&lt;/author&gt;&lt;author&gt;Henderson, C.&lt;/author&gt;&lt;author&gt;Read, P.&lt;/author&gt;&lt;author&gt;Gilliver, R.&lt;/author&gt;&lt;author&gt;Christmass, M.&lt;/author&gt;&lt;author&gt;Dunlop, A.&lt;/author&gt;&lt;author&gt;Montebello, M.&lt;/author&gt;&lt;author&gt;Whitton, G.&lt;/author&gt;&lt;author&gt;Reid, D.&lt;/author&gt;&lt;author&gt;Lam, T.&lt;/author&gt;&lt;author&gt;Alavi, M.&lt;/author&gt;&lt;author&gt;Silk, D.&lt;/author&gt;&lt;author&gt;Marshall, A. D.&lt;/author&gt;&lt;author&gt;Treloar, C.&lt;/author&gt;&lt;author&gt;Dore, G. J.&lt;/author&gt;&lt;author&gt;Grebely, J.&lt;/author&gt;&lt;/authors&gt;&lt;/contributors&gt;&lt;titles&gt;&lt;title&gt;Non-fatal opioid overdose, naloxone access, and naloxone training among people who recently used opioids or received opioid agonist treatment in Australia: The ETHOS Engage study&lt;/title&gt;&lt;secondary-title&gt;International Journal of Drug Policy&lt;/secondary-title&gt;&lt;/titles&gt;&lt;periodical&gt;&lt;full-title&gt;International Journal of Drug Policy&lt;/full-title&gt;&lt;/periodical&gt;&lt;pages&gt;103421&lt;/pages&gt;&lt;keywords&gt;&lt;keyword&gt;Opioids&lt;/keyword&gt;&lt;keyword&gt;Overdose&lt;/keyword&gt;&lt;keyword&gt;Naloxone&lt;/keyword&gt;&lt;keyword&gt;Australia&lt;/keyword&gt;&lt;/keywords&gt;&lt;dates&gt;&lt;year&gt;2021&lt;/year&gt;&lt;pub-dates&gt;&lt;date&gt;2021/08/25/&lt;/date&gt;&lt;/pub-dates&gt;&lt;/dates&gt;&lt;isbn&gt;0955-3959&lt;/isbn&gt;&lt;urls&gt;&lt;related-urls&gt;&lt;url&gt;https://www.sciencedirect.com/science/article/pii/S0955395921003261&lt;/url&gt;&lt;/related-urls&gt;&lt;/urls&gt;&lt;electronic-resource-num&gt;https://doi.org/10.1016/j.drugpo.2021.103421&lt;/electronic-resource-num&gt;&lt;/record&gt;&lt;/Cite&gt;&lt;/EndNote&gt;</w:instrText>
      </w:r>
      <w:r w:rsidR="003B0CD7">
        <w:fldChar w:fldCharType="separate"/>
      </w:r>
      <w:r w:rsidR="00EF7C97">
        <w:rPr>
          <w:noProof/>
        </w:rPr>
        <w:t>(10)</w:t>
      </w:r>
      <w:r w:rsidR="003B0CD7">
        <w:fldChar w:fldCharType="end"/>
      </w:r>
      <w:r w:rsidR="004D7B21">
        <w:t>.</w:t>
      </w:r>
    </w:p>
    <w:p w14:paraId="3EC71E9F" w14:textId="1217B258" w:rsidR="00AF5161" w:rsidRDefault="00AF5161" w:rsidP="007B6D58">
      <w:pPr>
        <w:pStyle w:val="NbrHeading3"/>
      </w:pPr>
      <w:bookmarkStart w:id="230" w:name="_Toc94794132"/>
      <w:bookmarkStart w:id="231" w:name="_Toc94794269"/>
      <w:r>
        <w:t>People likely to witness an overdose</w:t>
      </w:r>
      <w:bookmarkEnd w:id="230"/>
      <w:bookmarkEnd w:id="231"/>
    </w:p>
    <w:p w14:paraId="5EEC6422" w14:textId="6DEA6D9D" w:rsidR="009218E8" w:rsidRDefault="00FD263A" w:rsidP="001910E7">
      <w:pPr>
        <w:pStyle w:val="BodyText"/>
        <w:spacing w:line="260" w:lineRule="exact"/>
      </w:pPr>
      <w:r>
        <w:t xml:space="preserve">Of the </w:t>
      </w:r>
      <w:r w:rsidR="00C1286D">
        <w:t xml:space="preserve">THN recipients who provided evaluation information, </w:t>
      </w:r>
      <w:r w:rsidR="00C35E24">
        <w:t>22%</w:t>
      </w:r>
      <w:r w:rsidR="00C1286D">
        <w:t xml:space="preserve"> </w:t>
      </w:r>
      <w:r w:rsidR="00C35E24">
        <w:t xml:space="preserve">identified as people </w:t>
      </w:r>
      <w:r w:rsidR="00D83517">
        <w:t>who did not use opioids</w:t>
      </w:r>
      <w:r w:rsidR="00B714BF">
        <w:t xml:space="preserve">, </w:t>
      </w:r>
      <w:r w:rsidR="00C1286D">
        <w:t xml:space="preserve">indicating </w:t>
      </w:r>
      <w:r w:rsidR="00B714BF">
        <w:t xml:space="preserve">they </w:t>
      </w:r>
      <w:r w:rsidR="00C1286D">
        <w:t xml:space="preserve">were likely to </w:t>
      </w:r>
      <w:r w:rsidR="00C35E24">
        <w:t xml:space="preserve">witness, rather than experience, an overdose. </w:t>
      </w:r>
    </w:p>
    <w:p w14:paraId="7CC9A7FA" w14:textId="33C44F6F" w:rsidR="00E37FA2" w:rsidRDefault="00FF4819" w:rsidP="001910E7">
      <w:pPr>
        <w:pStyle w:val="BodyText"/>
        <w:spacing w:line="260" w:lineRule="exact"/>
      </w:pPr>
      <w:r>
        <w:t>All consenting c</w:t>
      </w:r>
      <w:r w:rsidR="00AF5161">
        <w:t xml:space="preserve">onsumers were </w:t>
      </w:r>
      <w:r w:rsidR="00811DCB">
        <w:t xml:space="preserve">also </w:t>
      </w:r>
      <w:r w:rsidR="00AF5161">
        <w:t xml:space="preserve">asked </w:t>
      </w:r>
      <w:r w:rsidR="00B714BF">
        <w:t xml:space="preserve">directly </w:t>
      </w:r>
      <w:r w:rsidR="00AF5161">
        <w:t xml:space="preserve">whether they considered themselves at risk of experiencing an overdose. </w:t>
      </w:r>
      <w:r w:rsidR="00AA27C4">
        <w:t xml:space="preserve">Although many of the “other” consumer group nominated themselves as at risk of </w:t>
      </w:r>
      <w:r w:rsidR="00AA27C4" w:rsidRPr="00446DF2">
        <w:rPr>
          <w:i/>
        </w:rPr>
        <w:t>witnessing</w:t>
      </w:r>
      <w:r w:rsidR="00AA27C4">
        <w:t xml:space="preserve"> an overdose </w:t>
      </w:r>
      <w:r w:rsidR="00A75AFE">
        <w:t xml:space="preserve">rather </w:t>
      </w:r>
      <w:r w:rsidR="00AA27C4">
        <w:t>than experiencing one, our assessment</w:t>
      </w:r>
      <w:r w:rsidR="00AA27C4">
        <w:rPr>
          <w:rStyle w:val="FootnoteReference"/>
        </w:rPr>
        <w:footnoteReference w:id="28"/>
      </w:r>
      <w:r w:rsidR="00AA27C4">
        <w:t xml:space="preserve"> of factors such as their opioid consumption and/or polypharmacy indicated that 80.7% were at risk of experiencing an overdose.</w:t>
      </w:r>
      <w:r w:rsidR="00AA27C4" w:rsidRPr="00FB3D08">
        <w:t xml:space="preserve"> </w:t>
      </w:r>
      <w:r w:rsidR="00AF5161">
        <w:t>Under-recognition of overdose risk is not uncommon, even among people who regularly use illicit opioids</w:t>
      </w:r>
      <w:r w:rsidR="00576CEE">
        <w:t>,</w:t>
      </w:r>
      <w:r w:rsidR="0010532C">
        <w:t xml:space="preserve"> </w:t>
      </w:r>
      <w:r w:rsidR="00240CF3">
        <w:t xml:space="preserve">and may limit people’s </w:t>
      </w:r>
      <w:r w:rsidR="002F1F8D">
        <w:t>motivation to access THN</w:t>
      </w:r>
      <w:r w:rsidR="0004753F">
        <w:t xml:space="preserve"> </w:t>
      </w:r>
      <w:r w:rsidR="006213B1">
        <w:t>for themselves</w:t>
      </w:r>
      <w:r w:rsidR="00673A48">
        <w:t xml:space="preserve"> </w:t>
      </w:r>
      <w:r w:rsidR="009D392B">
        <w:fldChar w:fldCharType="begin"/>
      </w:r>
      <w:r w:rsidR="00441C1C">
        <w:instrText xml:space="preserve"> ADDIN EN.CITE &lt;EndNote&gt;&lt;Cite&gt;&lt;Author&gt;Rowe&lt;/Author&gt;&lt;Year&gt;2016&lt;/Year&gt;&lt;RecNum&gt;52&lt;/RecNum&gt;&lt;DisplayText&gt;(43)&lt;/DisplayText&gt;&lt;record&gt;&lt;rec-number&gt;52&lt;/rec-number&gt;&lt;foreign-keys&gt;&lt;key app="EN" db-id="p00v9zw27zzswpe25phxpead0asdt50td92p" timestamp="1625448073"&gt;52&lt;/key&gt;&lt;/foreign-keys&gt;&lt;ref-type name="Journal Article"&gt;17&lt;/ref-type&gt;&lt;contributors&gt;&lt;authors&gt;&lt;author&gt;Rowe, Christopher&lt;/author&gt;&lt;author&gt;Santos, Glenn-Milo&lt;/author&gt;&lt;author&gt;Behar, Emily&lt;/author&gt;&lt;author&gt;Coffin, Philip O&lt;/author&gt;&lt;/authors&gt;&lt;/contributors&gt;&lt;titles&gt;&lt;title&gt;Correlates of overdose risk perception among illicit opioid users&lt;/title&gt;&lt;secondary-title&gt;Drug and Alcohol Dependence&lt;/secondary-title&gt;&lt;/titles&gt;&lt;periodical&gt;&lt;full-title&gt;Drug and alcohol dependence&lt;/full-title&gt;&lt;/periodical&gt;&lt;pages&gt;234-239&lt;/pages&gt;&lt;volume&gt;159&lt;/volume&gt;&lt;dates&gt;&lt;year&gt;2016&lt;/year&gt;&lt;/dates&gt;&lt;isbn&gt;0376-8716&lt;/isbn&gt;&lt;urls&gt;&lt;/urls&gt;&lt;/record&gt;&lt;/Cite&gt;&lt;/EndNote&gt;</w:instrText>
      </w:r>
      <w:r w:rsidR="009D392B">
        <w:fldChar w:fldCharType="separate"/>
      </w:r>
      <w:r w:rsidR="00441C1C">
        <w:rPr>
          <w:noProof/>
        </w:rPr>
        <w:t>(43)</w:t>
      </w:r>
      <w:r w:rsidR="009D392B">
        <w:fldChar w:fldCharType="end"/>
      </w:r>
      <w:r w:rsidR="002F1F8D">
        <w:t>.</w:t>
      </w:r>
      <w:r w:rsidR="00172B80">
        <w:t xml:space="preserve"> </w:t>
      </w:r>
    </w:p>
    <w:p w14:paraId="1639D147" w14:textId="4EB58E68" w:rsidR="00AF5161" w:rsidRDefault="00D20FDC" w:rsidP="001910E7">
      <w:pPr>
        <w:pStyle w:val="BodyText"/>
        <w:spacing w:line="260" w:lineRule="exact"/>
      </w:pPr>
      <w:r>
        <w:t xml:space="preserve">Despite </w:t>
      </w:r>
      <w:r w:rsidR="00172B80">
        <w:t>being at risk themselves</w:t>
      </w:r>
      <w:r w:rsidR="00BD0711">
        <w:t>,</w:t>
      </w:r>
      <w:r w:rsidR="00172B80">
        <w:t xml:space="preserve"> </w:t>
      </w:r>
      <w:r w:rsidR="00665201">
        <w:t>people who use illicit opioids</w:t>
      </w:r>
      <w:r w:rsidR="00172B80">
        <w:t xml:space="preserve"> also </w:t>
      </w:r>
      <w:r w:rsidR="00EF7C1E">
        <w:t>comprise a key pool of potential overdose witnesses</w:t>
      </w:r>
      <w:r w:rsidR="009D1342">
        <w:t xml:space="preserve">, </w:t>
      </w:r>
      <w:r w:rsidR="001F0BD2">
        <w:t xml:space="preserve">whose uptake of naloxone may allow them to </w:t>
      </w:r>
      <w:r w:rsidR="0000715B">
        <w:t>support others in an overdose event</w:t>
      </w:r>
      <w:r w:rsidR="00EF7C1E">
        <w:t>.</w:t>
      </w:r>
    </w:p>
    <w:p w14:paraId="78AF3654" w14:textId="4D58EFB4" w:rsidR="0056399D" w:rsidRDefault="0056399D" w:rsidP="001910E7">
      <w:pPr>
        <w:pStyle w:val="BodyText"/>
        <w:spacing w:line="260" w:lineRule="exact"/>
      </w:pPr>
      <w:r>
        <w:t xml:space="preserve">Additional information characterising </w:t>
      </w:r>
      <w:r w:rsidR="004B187C">
        <w:t>THN</w:t>
      </w:r>
      <w:r>
        <w:t xml:space="preserve"> recipients was obtained through interviews of consumers recruited at the point of THN provision (n=213 individuals). </w:t>
      </w:r>
      <w:r w:rsidR="00C47CB8">
        <w:t>M</w:t>
      </w:r>
      <w:r>
        <w:t>any reported they were actively involved in looking after their own health</w:t>
      </w:r>
      <w:r w:rsidR="002C462C">
        <w:t xml:space="preserve"> and supporting others</w:t>
      </w:r>
      <w:r w:rsidR="00074E6C">
        <w:t xml:space="preserve">, and as such would be well placed </w:t>
      </w:r>
      <w:r w:rsidR="00F03919">
        <w:t xml:space="preserve">as potential </w:t>
      </w:r>
      <w:r w:rsidR="00C573AA">
        <w:t xml:space="preserve">witnesses to use </w:t>
      </w:r>
      <w:r w:rsidR="00E9215B">
        <w:t>naloxone in case of overdose</w:t>
      </w:r>
      <w:r>
        <w:t xml:space="preserve">. Three quarters (78%) reported being always or mostly in control of their own healthcare, and over half (52%) provided healthcare support for a partner or family member, and 18% for friends/neighbours. About one-third (30%) received healthcare support from their spouse/partner or relatives. The presence of </w:t>
      </w:r>
      <w:r w:rsidR="004870FA">
        <w:lastRenderedPageBreak/>
        <w:t>such</w:t>
      </w:r>
      <w:r>
        <w:t xml:space="preserve"> support networks </w:t>
      </w:r>
      <w:r w:rsidR="008C4127">
        <w:t xml:space="preserve">reinforces the potential for this group to </w:t>
      </w:r>
      <w:r w:rsidR="00505555">
        <w:t xml:space="preserve">use naloxone to counter an overdose should they witness it, and </w:t>
      </w:r>
      <w:r>
        <w:t>suggest</w:t>
      </w:r>
      <w:r w:rsidR="00505555">
        <w:t>s</w:t>
      </w:r>
      <w:r>
        <w:t xml:space="preserve"> viable opportunities for peer-to-peer THN awareness programs as are active in some </w:t>
      </w:r>
      <w:r w:rsidR="00C5176E">
        <w:t xml:space="preserve">jurisdictions </w:t>
      </w:r>
      <w:r>
        <w:t>for people who use illicit drugs</w:t>
      </w:r>
      <w:r w:rsidR="007778BD">
        <w:t xml:space="preserve"> </w:t>
      </w:r>
      <w:r>
        <w:fldChar w:fldCharType="begin"/>
      </w:r>
      <w:r w:rsidR="00EF7C97">
        <w:instrText xml:space="preserve"> ADDIN EN.CITE &lt;EndNote&gt;&lt;Cite&gt;&lt;Author&gt;Conway&lt;/Author&gt;&lt;Year&gt;2021&lt;/Year&gt;&lt;RecNum&gt;125&lt;/RecNum&gt;&lt;DisplayText&gt;(10)&lt;/DisplayText&gt;&lt;record&gt;&lt;rec-number&gt;125&lt;/rec-number&gt;&lt;foreign-keys&gt;&lt;key app="EN" db-id="p00v9zw27zzswpe25phxpead0asdt50td92p" timestamp="1630282935"&gt;125&lt;/key&gt;&lt;/foreign-keys&gt;&lt;ref-type name="Journal Article"&gt;17&lt;/ref-type&gt;&lt;contributors&gt;&lt;authors&gt;&lt;author&gt;Conway, A.&lt;/author&gt;&lt;author&gt;Valerio, H.&lt;/author&gt;&lt;author&gt;Peacock, A.&lt;/author&gt;&lt;author&gt;Degenhardt, L.&lt;/author&gt;&lt;author&gt;Hayllar, J.&lt;/author&gt;&lt;author&gt;Harrod, M. E.&lt;/author&gt;&lt;author&gt;Henderson, C.&lt;/author&gt;&lt;author&gt;Read, P.&lt;/author&gt;&lt;author&gt;Gilliver, R.&lt;/author&gt;&lt;author&gt;Christmass, M.&lt;/author&gt;&lt;author&gt;Dunlop, A.&lt;/author&gt;&lt;author&gt;Montebello, M.&lt;/author&gt;&lt;author&gt;Whitton, G.&lt;/author&gt;&lt;author&gt;Reid, D.&lt;/author&gt;&lt;author&gt;Lam, T.&lt;/author&gt;&lt;author&gt;Alavi, M.&lt;/author&gt;&lt;author&gt;Silk, D.&lt;/author&gt;&lt;author&gt;Marshall, A. D.&lt;/author&gt;&lt;author&gt;Treloar, C.&lt;/author&gt;&lt;author&gt;Dore, G. J.&lt;/author&gt;&lt;author&gt;Grebely, J.&lt;/author&gt;&lt;/authors&gt;&lt;/contributors&gt;&lt;titles&gt;&lt;title&gt;Non-fatal opioid overdose, naloxone access, and naloxone training among people who recently used opioids or received opioid agonist treatment in Australia: The ETHOS Engage study&lt;/title&gt;&lt;secondary-title&gt;International Journal of Drug Policy&lt;/secondary-title&gt;&lt;/titles&gt;&lt;periodical&gt;&lt;full-title&gt;International Journal of Drug Policy&lt;/full-title&gt;&lt;/periodical&gt;&lt;pages&gt;103421&lt;/pages&gt;&lt;keywords&gt;&lt;keyword&gt;Opioids&lt;/keyword&gt;&lt;keyword&gt;Overdose&lt;/keyword&gt;&lt;keyword&gt;Naloxone&lt;/keyword&gt;&lt;keyword&gt;Australia&lt;/keyword&gt;&lt;/keywords&gt;&lt;dates&gt;&lt;year&gt;2021&lt;/year&gt;&lt;pub-dates&gt;&lt;date&gt;2021/08/25/&lt;/date&gt;&lt;/pub-dates&gt;&lt;/dates&gt;&lt;isbn&gt;0955-3959&lt;/isbn&gt;&lt;urls&gt;&lt;related-urls&gt;&lt;url&gt;https://www.sciencedirect.com/science/article/pii/S0955395921003261&lt;/url&gt;&lt;/related-urls&gt;&lt;/urls&gt;&lt;electronic-resource-num&gt;https://doi.org/10.1016/j.drugpo.2021.103421&lt;/electronic-resource-num&gt;&lt;/record&gt;&lt;/Cite&gt;&lt;/EndNote&gt;</w:instrText>
      </w:r>
      <w:r>
        <w:fldChar w:fldCharType="separate"/>
      </w:r>
      <w:r w:rsidR="00EF7C97">
        <w:rPr>
          <w:noProof/>
        </w:rPr>
        <w:t>(10)</w:t>
      </w:r>
      <w:r>
        <w:fldChar w:fldCharType="end"/>
      </w:r>
      <w:r w:rsidR="007778BD">
        <w:t>.</w:t>
      </w:r>
      <w:r>
        <w:t xml:space="preserve"> </w:t>
      </w:r>
    </w:p>
    <w:p w14:paraId="25411875" w14:textId="77777777" w:rsidR="002B3FC8" w:rsidRDefault="002B3FC8" w:rsidP="002B3FC8">
      <w:pPr>
        <w:pStyle w:val="Style3-keypoints-h2"/>
      </w:pPr>
      <w:bookmarkStart w:id="232" w:name="_Toc94794270"/>
      <w:r>
        <w:t>Implications</w:t>
      </w:r>
      <w:bookmarkEnd w:id="232"/>
    </w:p>
    <w:p w14:paraId="2C811417" w14:textId="77777777" w:rsidR="002B3FC8" w:rsidRDefault="002B3FC8" w:rsidP="002B3FC8">
      <w:pPr>
        <w:pStyle w:val="ListParagraph"/>
        <w:numPr>
          <w:ilvl w:val="0"/>
          <w:numId w:val="27"/>
        </w:numPr>
        <w:spacing w:before="81" w:after="81"/>
        <w:ind w:left="489" w:hanging="244"/>
      </w:pPr>
      <w:r>
        <w:t>Expansion of the Pilot in regional and remote areas should continue to maintain and to expand its reach in these locations.</w:t>
      </w:r>
    </w:p>
    <w:p w14:paraId="6EEC86C0" w14:textId="77777777" w:rsidR="002B3FC8" w:rsidRDefault="002B3FC8" w:rsidP="002B3FC8">
      <w:pPr>
        <w:pStyle w:val="ListParagraph"/>
        <w:numPr>
          <w:ilvl w:val="0"/>
          <w:numId w:val="27"/>
        </w:numPr>
        <w:spacing w:before="81" w:after="81"/>
        <w:ind w:left="489" w:hanging="244"/>
      </w:pPr>
      <w:r>
        <w:t xml:space="preserve">Underestimation of overdose risk should be challenged by targeted awareness raising for people who use prescribed opioids and friends/carers; despite the increase in THN </w:t>
      </w:r>
      <w:proofErr w:type="gramStart"/>
      <w:r>
        <w:t>access,  &lt;</w:t>
      </w:r>
      <w:proofErr w:type="gramEnd"/>
      <w:r>
        <w:t>2% of the population at risk of pharmaceutical opioid overdose received naloxone</w:t>
      </w:r>
      <w:r w:rsidRPr="00D10318">
        <w:t xml:space="preserve"> </w:t>
      </w:r>
      <w:r>
        <w:t xml:space="preserve">through the Pilot. </w:t>
      </w:r>
    </w:p>
    <w:p w14:paraId="02FA7023" w14:textId="77777777" w:rsidR="002B3FC8" w:rsidRDefault="002B3FC8" w:rsidP="002B3FC8">
      <w:pPr>
        <w:pStyle w:val="ListParagraph"/>
        <w:numPr>
          <w:ilvl w:val="0"/>
          <w:numId w:val="27"/>
        </w:numPr>
        <w:spacing w:before="81" w:after="81"/>
        <w:ind w:left="489" w:hanging="244"/>
      </w:pPr>
      <w:r>
        <w:t>Ongoing expansion of AASs into the non-AOD space (such as pain clinics) should be a priority to further target people who only use prescription opioids and those who do not use opioids but may witness an overdose.</w:t>
      </w:r>
    </w:p>
    <w:p w14:paraId="5CAC8FE8" w14:textId="77777777" w:rsidR="002B3FC8" w:rsidRDefault="002B3FC8" w:rsidP="002B3FC8">
      <w:pPr>
        <w:pStyle w:val="ListParagraph"/>
        <w:numPr>
          <w:ilvl w:val="0"/>
          <w:numId w:val="27"/>
        </w:numPr>
        <w:spacing w:before="81" w:after="81"/>
        <w:ind w:left="489" w:hanging="244"/>
      </w:pPr>
      <w:r>
        <w:t xml:space="preserve">Ongoing site-level monitoring mechanisms would be beneficial to encourage continued active provision of THN and resolve management stock issues. </w:t>
      </w:r>
    </w:p>
    <w:p w14:paraId="6319A307" w14:textId="77777777" w:rsidR="002B3FC8" w:rsidRDefault="002B3FC8" w:rsidP="002B3FC8">
      <w:pPr>
        <w:pStyle w:val="ListParagraph"/>
        <w:numPr>
          <w:ilvl w:val="0"/>
          <w:numId w:val="27"/>
        </w:numPr>
        <w:spacing w:before="81" w:after="81"/>
        <w:ind w:left="489" w:hanging="244"/>
      </w:pPr>
      <w:r>
        <w:t>Inclusion of overdose awareness messaging as part of brief intervention/education may be an opportunity to increase awareness among those at risk. Consumer peer networks may be helpful to improve awareness of overdose; professional networks may help promote awareness of THN programs.</w:t>
      </w:r>
    </w:p>
    <w:p w14:paraId="4BD2E9AA" w14:textId="4A7B77E3" w:rsidR="0075646A" w:rsidRPr="0075646A" w:rsidRDefault="00CA5EEA" w:rsidP="00745146">
      <w:pPr>
        <w:pStyle w:val="NbrHeading1"/>
      </w:pPr>
      <w:r>
        <w:br w:type="page"/>
      </w:r>
      <w:bookmarkStart w:id="233" w:name="_Toc94794133"/>
      <w:bookmarkStart w:id="234" w:name="_Toc94794271"/>
      <w:r w:rsidRPr="00AA7EB1">
        <w:lastRenderedPageBreak/>
        <w:t xml:space="preserve">What impact did </w:t>
      </w:r>
      <w:proofErr w:type="gramStart"/>
      <w:r w:rsidRPr="00AA7EB1">
        <w:t>increasing</w:t>
      </w:r>
      <w:proofErr w:type="gramEnd"/>
      <w:r w:rsidRPr="00AA7EB1">
        <w:t xml:space="preserve"> access have on the uptake </w:t>
      </w:r>
      <w:r w:rsidR="008168FB">
        <w:t xml:space="preserve">and use </w:t>
      </w:r>
      <w:r w:rsidRPr="00AA7EB1">
        <w:t>of THN?</w:t>
      </w:r>
      <w:bookmarkEnd w:id="233"/>
      <w:bookmarkEnd w:id="234"/>
    </w:p>
    <w:p w14:paraId="1CCEBB45" w14:textId="466AD8DB" w:rsidR="003D60D0" w:rsidRDefault="002B3FC8" w:rsidP="002B3FC8">
      <w:pPr>
        <w:pStyle w:val="Style3-keypoints-h2"/>
      </w:pPr>
      <w:bookmarkStart w:id="235" w:name="_Toc94794272"/>
      <w:r>
        <w:t>Key points</w:t>
      </w:r>
      <w:bookmarkEnd w:id="235"/>
    </w:p>
    <w:p w14:paraId="12084DCB" w14:textId="77777777" w:rsidR="002B3FC8" w:rsidRDefault="002B3FC8" w:rsidP="002B3FC8">
      <w:pPr>
        <w:pStyle w:val="ListParagraph"/>
        <w:numPr>
          <w:ilvl w:val="0"/>
          <w:numId w:val="60"/>
        </w:numPr>
      </w:pPr>
      <w:r>
        <w:t xml:space="preserve">More naloxone was provided to individuals: 43,212 units of THN were supplied in NSW, </w:t>
      </w:r>
      <w:proofErr w:type="gramStart"/>
      <w:r>
        <w:t>SA</w:t>
      </w:r>
      <w:proofErr w:type="gramEnd"/>
      <w:r>
        <w:t xml:space="preserve"> and WA during the Pilot, compared to 4,495 across Australia over the preceding 4 years</w:t>
      </w:r>
    </w:p>
    <w:p w14:paraId="639D2E66" w14:textId="77777777" w:rsidR="002B3FC8" w:rsidRDefault="002B3FC8" w:rsidP="002B3FC8">
      <w:pPr>
        <w:pStyle w:val="ListParagraph"/>
        <w:numPr>
          <w:ilvl w:val="0"/>
          <w:numId w:val="60"/>
        </w:numPr>
      </w:pPr>
      <w:r>
        <w:t>Nasal spray comprised 84% of THN supplied and was the preferred formulation, but pre-filled syringes remained in demand, particularly for refills.</w:t>
      </w:r>
    </w:p>
    <w:p w14:paraId="2009EE1A" w14:textId="77777777" w:rsidR="002B3FC8" w:rsidRDefault="002B3FC8" w:rsidP="002B3FC8">
      <w:pPr>
        <w:pStyle w:val="ListParagraph"/>
        <w:numPr>
          <w:ilvl w:val="0"/>
          <w:numId w:val="60"/>
        </w:numPr>
      </w:pPr>
      <w:r>
        <w:t xml:space="preserve">Having naloxone accessible at services outside the AOD sector (e.g., community pharmacies) provided opportunities to raise awareness of overdose risk among people who did not use illicit opioids but were themselves at risk or likely to witness another person’s overdose. </w:t>
      </w:r>
    </w:p>
    <w:p w14:paraId="38001644" w14:textId="77777777" w:rsidR="002B3FC8" w:rsidRDefault="002B3FC8" w:rsidP="002B3FC8">
      <w:pPr>
        <w:pStyle w:val="ListParagraph"/>
        <w:numPr>
          <w:ilvl w:val="0"/>
          <w:numId w:val="60"/>
        </w:numPr>
      </w:pPr>
      <w:r>
        <w:t>One in five people who received THN refilled their supply at least twice in a year; 65% of refills were due to use to reverse an overdose.</w:t>
      </w:r>
    </w:p>
    <w:p w14:paraId="7849920F" w14:textId="2F24BF88" w:rsidR="00406F93" w:rsidRDefault="002B3FC8" w:rsidP="00F6713B">
      <w:pPr>
        <w:pStyle w:val="ListParagraph"/>
        <w:numPr>
          <w:ilvl w:val="0"/>
          <w:numId w:val="60"/>
        </w:numPr>
        <w:jc w:val="both"/>
      </w:pPr>
      <w:r w:rsidDel="00A024E8">
        <w:t xml:space="preserve">The </w:t>
      </w:r>
      <w:r>
        <w:t>Pilot has enabled at least 1,649 overdose reversals, the equivalent of 3 reversals per day.</w:t>
      </w:r>
    </w:p>
    <w:p w14:paraId="2FD4A25E" w14:textId="7847C5FB" w:rsidR="00F6713B" w:rsidRDefault="00F6713B" w:rsidP="00F6713B">
      <w:pPr>
        <w:pStyle w:val="ListParagraph"/>
        <w:numPr>
          <w:ilvl w:val="0"/>
          <w:numId w:val="60"/>
        </w:numPr>
        <w:jc w:val="center"/>
      </w:pPr>
      <w:r>
        <w:rPr>
          <w:noProof/>
        </w:rPr>
        <w:drawing>
          <wp:inline distT="0" distB="0" distL="0" distR="0" wp14:anchorId="74831E6C" wp14:editId="65331955">
            <wp:extent cx="4564800" cy="4536000"/>
            <wp:effectExtent l="0" t="0" r="7620" b="0"/>
            <wp:docPr id="63" name="Picture 63" descr="Quotes were gathered from people who used THN to reverse an overdose during the pilot. Examples include, “She had too much heroin and dropped, thankfully I had naloxone on me… so I administered the spray and she came to..” and, “Well it felt good for me, saving somebody’s life.. overdoses shouldn’t happen because they are preven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imeline&#10;&#10;Description automatically generated"/>
                    <pic:cNvPicPr/>
                  </pic:nvPicPr>
                  <pic:blipFill rotWithShape="1">
                    <a:blip r:embed="rId39" cstate="print">
                      <a:extLst>
                        <a:ext uri="{28A0092B-C50C-407E-A947-70E740481C1C}">
                          <a14:useLocalDpi xmlns:a14="http://schemas.microsoft.com/office/drawing/2010/main" val="0"/>
                        </a:ext>
                      </a:extLst>
                    </a:blip>
                    <a:srcRect b="30901"/>
                    <a:stretch/>
                  </pic:blipFill>
                  <pic:spPr bwMode="auto">
                    <a:xfrm>
                      <a:off x="0" y="0"/>
                      <a:ext cx="4564800" cy="4536000"/>
                    </a:xfrm>
                    <a:prstGeom prst="rect">
                      <a:avLst/>
                    </a:prstGeom>
                    <a:ln>
                      <a:noFill/>
                    </a:ln>
                    <a:extLst>
                      <a:ext uri="{53640926-AAD7-44D8-BBD7-CCE9431645EC}">
                        <a14:shadowObscured xmlns:a14="http://schemas.microsoft.com/office/drawing/2010/main"/>
                      </a:ext>
                    </a:extLst>
                  </pic:spPr>
                </pic:pic>
              </a:graphicData>
            </a:graphic>
          </wp:inline>
        </w:drawing>
      </w:r>
    </w:p>
    <w:p w14:paraId="755B0448" w14:textId="405A9914" w:rsidR="00CA5EEA" w:rsidRDefault="00CA5EEA" w:rsidP="003D0F16">
      <w:pPr>
        <w:rPr>
          <w:rFonts w:asciiTheme="majorHAnsi" w:eastAsiaTheme="majorEastAsia" w:hAnsiTheme="majorHAnsi" w:cstheme="majorBidi"/>
          <w:color w:val="51247A" w:themeColor="accent1"/>
          <w:sz w:val="28"/>
          <w:szCs w:val="26"/>
        </w:rPr>
      </w:pPr>
      <w:r>
        <w:br w:type="page"/>
      </w:r>
    </w:p>
    <w:p w14:paraId="653A8B4B" w14:textId="6DCC79C5" w:rsidR="000155C0" w:rsidRDefault="000155C0" w:rsidP="003267B5">
      <w:pPr>
        <w:pStyle w:val="BodyText"/>
      </w:pPr>
      <w:r>
        <w:lastRenderedPageBreak/>
        <w:t>Between 1 December 2019 and 30 June 2021, 43,212</w:t>
      </w:r>
      <w:r w:rsidR="006512C1">
        <w:t xml:space="preserve"> </w:t>
      </w:r>
      <w:r>
        <w:t xml:space="preserve">units of naloxone were recorded as supplied </w:t>
      </w:r>
      <w:r w:rsidR="00BD43D9">
        <w:t xml:space="preserve">through the Pilot </w:t>
      </w:r>
      <w:r>
        <w:t xml:space="preserve">to people at risk of experiencing or witnessing an opioid overdose in </w:t>
      </w:r>
      <w:r w:rsidR="00BD43D9">
        <w:t xml:space="preserve">NSW, </w:t>
      </w:r>
      <w:proofErr w:type="gramStart"/>
      <w:r w:rsidR="00BD43D9">
        <w:t>SA</w:t>
      </w:r>
      <w:proofErr w:type="gramEnd"/>
      <w:r w:rsidR="00BD43D9">
        <w:t xml:space="preserve"> and WA</w:t>
      </w:r>
      <w:r w:rsidR="003942C0">
        <w:rPr>
          <w:rStyle w:val="FootnoteReference"/>
        </w:rPr>
        <w:footnoteReference w:id="29"/>
      </w:r>
      <w:r w:rsidR="002B4AF7">
        <w:t xml:space="preserve"> </w:t>
      </w:r>
      <w:r>
        <w:t xml:space="preserve">. In comparison, </w:t>
      </w:r>
      <w:r w:rsidR="00EE02D2">
        <w:t>only</w:t>
      </w:r>
      <w:r>
        <w:t xml:space="preserve"> 4,495 units of naloxone had been dispensed across Australia </w:t>
      </w:r>
      <w:r w:rsidR="00EE02D2">
        <w:t xml:space="preserve">through the PBS </w:t>
      </w:r>
      <w:r>
        <w:t>during the 4 years leading up to the Pilot (January 2015 – November 2019). Supply through the Pilot was thus</w:t>
      </w:r>
      <w:r w:rsidR="00D12D07">
        <w:t xml:space="preserve"> </w:t>
      </w:r>
      <w:r>
        <w:t>10-fold higher in the 18 months of the Pilot than in the previous 4 years.</w:t>
      </w:r>
    </w:p>
    <w:p w14:paraId="60ACABA7" w14:textId="325D7BE1" w:rsidR="000155C0" w:rsidRPr="00696323" w:rsidRDefault="00C40DD4" w:rsidP="003267B5">
      <w:pPr>
        <w:pStyle w:val="BodyText"/>
      </w:pPr>
      <w:r>
        <w:t xml:space="preserve">Eighty percent </w:t>
      </w:r>
      <w:r w:rsidR="000C0D3A">
        <w:t>of the Pilot naloxone (34,49</w:t>
      </w:r>
      <w:r>
        <w:t>4</w:t>
      </w:r>
      <w:r w:rsidR="000C0D3A">
        <w:t xml:space="preserve"> units) was provided through community</w:t>
      </w:r>
      <w:r>
        <w:t xml:space="preserve"> and hospital</w:t>
      </w:r>
      <w:r w:rsidR="000C0D3A">
        <w:t xml:space="preserve"> pharmacies. AAS supplied a further 8,718 units (20%).</w:t>
      </w:r>
      <w:r w:rsidR="009E13BA">
        <w:t xml:space="preserve"> </w:t>
      </w:r>
      <w:proofErr w:type="gramStart"/>
      <w:r w:rsidR="009B39CE">
        <w:t>The m</w:t>
      </w:r>
      <w:r w:rsidR="002F53A6">
        <w:t>ajority of</w:t>
      </w:r>
      <w:proofErr w:type="gramEnd"/>
      <w:r w:rsidR="00B234E0">
        <w:t xml:space="preserve"> </w:t>
      </w:r>
      <w:r w:rsidR="00004F98">
        <w:t>people</w:t>
      </w:r>
      <w:r w:rsidR="00B234E0">
        <w:t xml:space="preserve"> who accessed THN from pharmacies identified themselves as </w:t>
      </w:r>
      <w:r w:rsidR="009B39CE">
        <w:t>using prescription opioids</w:t>
      </w:r>
      <w:r w:rsidR="00B234E0">
        <w:t xml:space="preserve"> (63</w:t>
      </w:r>
      <w:r w:rsidR="00B7777E">
        <w:t>%</w:t>
      </w:r>
      <w:r w:rsidR="007000AD">
        <w:t xml:space="preserve">); </w:t>
      </w:r>
      <w:r w:rsidR="0042123C">
        <w:t xml:space="preserve">only 13% identified as </w:t>
      </w:r>
      <w:r w:rsidR="0086317A">
        <w:t>using illicit opioids</w:t>
      </w:r>
      <w:r w:rsidR="006D3366">
        <w:t xml:space="preserve">. </w:t>
      </w:r>
      <w:r w:rsidR="00D741EE">
        <w:t xml:space="preserve">At AAS, </w:t>
      </w:r>
      <w:r w:rsidR="00ED5907">
        <w:t xml:space="preserve">people </w:t>
      </w:r>
      <w:r w:rsidR="000B738A">
        <w:t>accessing</w:t>
      </w:r>
      <w:r w:rsidR="00ED5907">
        <w:t xml:space="preserve"> naloxone were more likely to have used illicit opioids (</w:t>
      </w:r>
      <w:r w:rsidR="00451851">
        <w:t xml:space="preserve">58%) than </w:t>
      </w:r>
      <w:r w:rsidR="00D3490E">
        <w:t>prescribed opioids (28%)</w:t>
      </w:r>
      <w:r w:rsidR="00775EBF">
        <w:t>.</w:t>
      </w:r>
      <w:r w:rsidR="009E13BA">
        <w:t xml:space="preserve"> People who identified as witnesses were </w:t>
      </w:r>
      <w:r w:rsidR="00B7777E">
        <w:t xml:space="preserve">more </w:t>
      </w:r>
      <w:r w:rsidR="009E13BA">
        <w:t xml:space="preserve">likely to approach a </w:t>
      </w:r>
      <w:r w:rsidR="00C02DF1">
        <w:t xml:space="preserve">community </w:t>
      </w:r>
      <w:r w:rsidR="009E13BA">
        <w:t xml:space="preserve">pharmacy </w:t>
      </w:r>
      <w:r w:rsidR="007C2E01">
        <w:t xml:space="preserve">to access THN </w:t>
      </w:r>
      <w:r w:rsidR="00B7777E">
        <w:t>(24%</w:t>
      </w:r>
      <w:r w:rsidR="007C2E01">
        <w:t xml:space="preserve"> of THN consumers</w:t>
      </w:r>
      <w:r w:rsidR="00B7777E">
        <w:t>)</w:t>
      </w:r>
      <w:r w:rsidR="009E13BA">
        <w:t xml:space="preserve"> </w:t>
      </w:r>
      <w:r w:rsidR="00C02DF1">
        <w:t xml:space="preserve">than </w:t>
      </w:r>
      <w:r w:rsidR="002F53A6">
        <w:t>an AAS</w:t>
      </w:r>
      <w:r w:rsidR="00B7777E">
        <w:t xml:space="preserve"> (14%).</w:t>
      </w:r>
    </w:p>
    <w:p w14:paraId="08AFA1F8" w14:textId="31EA4385" w:rsidR="00327AE3" w:rsidRPr="00A03A68" w:rsidRDefault="009E13BA" w:rsidP="008A70AE">
      <w:pPr>
        <w:pStyle w:val="BodyText"/>
        <w:rPr>
          <w:lang w:eastAsia="en-AU"/>
        </w:rPr>
      </w:pPr>
      <w:r>
        <w:t>This is consistent with d</w:t>
      </w:r>
      <w:r w:rsidR="00CA5EEA" w:rsidRPr="00D30467">
        <w:t xml:space="preserve">ata from the 2020 IDRS </w:t>
      </w:r>
      <w:r>
        <w:t xml:space="preserve">that </w:t>
      </w:r>
      <w:r w:rsidR="00CA5EEA" w:rsidRPr="00D30467">
        <w:t xml:space="preserve">show that </w:t>
      </w:r>
      <w:r w:rsidRPr="00D30467">
        <w:t xml:space="preserve">PWID </w:t>
      </w:r>
      <w:r w:rsidR="00CA5EEA" w:rsidRPr="00D30467">
        <w:t xml:space="preserve">in NSW were more likely to access naloxone from an NSP or drug treatment or health service (71%) than a pharmacy (2.4%) or other health service (22%). In WA, access was similarly focussed on </w:t>
      </w:r>
      <w:r w:rsidR="00CA5EEA" w:rsidRPr="00D30467" w:rsidDel="0071637C">
        <w:t>drug</w:t>
      </w:r>
      <w:r w:rsidR="00CA5EEA">
        <w:t>-</w:t>
      </w:r>
      <w:r w:rsidR="00CA5EEA" w:rsidRPr="00D30467">
        <w:t>related services (53%, vs 38% from pharmacies</w:t>
      </w:r>
      <w:r w:rsidR="00267B90">
        <w:t xml:space="preserve"> </w:t>
      </w:r>
      <w:r w:rsidR="005B1513">
        <w:t>and 7% other services</w:t>
      </w:r>
      <w:r w:rsidR="00CA5EEA" w:rsidRPr="00D30467">
        <w:t>)</w:t>
      </w:r>
      <w:r w:rsidR="005E0932">
        <w:t xml:space="preserve">. </w:t>
      </w:r>
      <w:r w:rsidR="00320E88">
        <w:t>Naloxone</w:t>
      </w:r>
      <w:r w:rsidR="00CA5EEA" w:rsidRPr="00D30467">
        <w:t xml:space="preserve"> access in SA was </w:t>
      </w:r>
      <w:r>
        <w:t>very low (</w:t>
      </w:r>
      <w:r w:rsidR="00B91960">
        <w:t>16</w:t>
      </w:r>
      <w:r>
        <w:t xml:space="preserve">%) and </w:t>
      </w:r>
      <w:r w:rsidR="00CA5EEA" w:rsidRPr="00D30467">
        <w:t xml:space="preserve">evenly split between </w:t>
      </w:r>
      <w:r w:rsidR="00320D2E">
        <w:t xml:space="preserve">pharmacies and </w:t>
      </w:r>
      <w:r w:rsidR="009A26BC">
        <w:t>drug health services (44% each)</w:t>
      </w:r>
      <w:r>
        <w:t>.</w:t>
      </w:r>
      <w:r w:rsidR="00FB60B3">
        <w:t xml:space="preserve"> </w:t>
      </w:r>
      <w:r w:rsidR="009F5C26">
        <w:t>These proportions did not change in 2021.</w:t>
      </w:r>
    </w:p>
    <w:p w14:paraId="73FA0EC2" w14:textId="77777777" w:rsidR="00CA5EEA" w:rsidRDefault="00CA5EEA" w:rsidP="00D12D07">
      <w:pPr>
        <w:pStyle w:val="NbrHeading2"/>
      </w:pPr>
      <w:bookmarkStart w:id="236" w:name="_Toc94794134"/>
      <w:bookmarkStart w:id="237" w:name="_Toc94794273"/>
      <w:r>
        <w:t>Did increasing the range of site types make it more likely that consumers found a site with which they were comfortable?</w:t>
      </w:r>
      <w:bookmarkEnd w:id="236"/>
      <w:bookmarkEnd w:id="237"/>
    </w:p>
    <w:p w14:paraId="5B151E7D" w14:textId="329370EE" w:rsidR="00CA5EEA" w:rsidDel="00A55D9D" w:rsidRDefault="00CA5EEA" w:rsidP="003D0F16">
      <w:pPr>
        <w:pStyle w:val="BodyText"/>
      </w:pPr>
      <w:r>
        <w:t xml:space="preserve">For community members who may not immediately recognise the </w:t>
      </w:r>
      <w:r w:rsidR="00DB1CAA">
        <w:t xml:space="preserve">relevance </w:t>
      </w:r>
      <w:r>
        <w:t>of overdose</w:t>
      </w:r>
      <w:r w:rsidR="00DB1CAA">
        <w:t xml:space="preserve"> risk to themselves</w:t>
      </w:r>
      <w:r w:rsidR="00313DB8">
        <w:t xml:space="preserve"> or </w:t>
      </w:r>
      <w:r w:rsidR="00BB3FB1">
        <w:t xml:space="preserve">as a </w:t>
      </w:r>
      <w:r w:rsidR="00D61451">
        <w:t>potential</w:t>
      </w:r>
      <w:r w:rsidR="00BB3FB1">
        <w:t xml:space="preserve"> witness</w:t>
      </w:r>
      <w:r>
        <w:t xml:space="preserve">, familiar pharmacy settings may provide an opportunity to open the conversation around naloxone: </w:t>
      </w:r>
    </w:p>
    <w:p w14:paraId="543F7E8C" w14:textId="39E4D7D3" w:rsidR="00CA5EEA" w:rsidRDefault="00CA5EEA" w:rsidP="003D0F16">
      <w:pPr>
        <w:pStyle w:val="Quote"/>
        <w:rPr>
          <w:lang w:eastAsia="en-GB"/>
        </w:rPr>
      </w:pPr>
      <w:r>
        <w:rPr>
          <w:lang w:eastAsia="en-GB"/>
        </w:rPr>
        <w:t>One woman, who said she felt she didn’t need it, accepted the naloxone anyway because [the pharmacist] convinced her it was a good precaution to have on hand. [The pharmacist] said the lady came in a couple weeks later and said she saved her son’s life from an overdose with the naloxone. [The pharmacist] said this news was very motivating and boosted her efforts to keep giving out the naloxone. (Community Pharmacy</w:t>
      </w:r>
      <w:r w:rsidR="00166D63">
        <w:rPr>
          <w:lang w:eastAsia="en-GB"/>
        </w:rPr>
        <w:t>, SA)</w:t>
      </w:r>
    </w:p>
    <w:p w14:paraId="22E6923C" w14:textId="01A499D8" w:rsidR="00CA5EEA" w:rsidRDefault="00CA5EEA" w:rsidP="003D0F16">
      <w:pPr>
        <w:pStyle w:val="BodyText"/>
      </w:pPr>
      <w:r>
        <w:t xml:space="preserve">This </w:t>
      </w:r>
      <w:r w:rsidR="004B6158">
        <w:t xml:space="preserve">opportunity </w:t>
      </w:r>
      <w:r w:rsidR="007154E5">
        <w:t xml:space="preserve">for naloxone to be offered </w:t>
      </w:r>
      <w:r>
        <w:t xml:space="preserve">however depended on pharmacists recognising the need for naloxone </w:t>
      </w:r>
      <w:r w:rsidR="007154E5">
        <w:t xml:space="preserve">being broader </w:t>
      </w:r>
      <w:r>
        <w:t>than people who use illicit drugs</w:t>
      </w:r>
      <w:r w:rsidR="00E02AD0">
        <w:t xml:space="preserve"> and</w:t>
      </w:r>
      <w:r>
        <w:t xml:space="preserve"> being willing to open the conversation</w:t>
      </w:r>
      <w:r w:rsidR="005104BD">
        <w:t xml:space="preserve"> with </w:t>
      </w:r>
      <w:r w:rsidR="00F64E2E">
        <w:t xml:space="preserve">the appropriate </w:t>
      </w:r>
      <w:r w:rsidR="005104BD">
        <w:t>clients</w:t>
      </w:r>
      <w:r>
        <w:t>.</w:t>
      </w:r>
    </w:p>
    <w:p w14:paraId="0284C551" w14:textId="40E7DEA7" w:rsidR="00CA5EEA" w:rsidRDefault="00CA5EEA" w:rsidP="003D0F16">
      <w:pPr>
        <w:pStyle w:val="BodyText"/>
      </w:pPr>
      <w:r>
        <w:t xml:space="preserve">Many consumers interviewed preferred the familiarity of a known AOD service where naloxone was a routine part of harm reduction, </w:t>
      </w:r>
      <w:r w:rsidR="00E11ED0">
        <w:t>as</w:t>
      </w:r>
      <w:r>
        <w:t xml:space="preserve"> they felt that staff were less likely to discriminate against them: </w:t>
      </w:r>
    </w:p>
    <w:p w14:paraId="3A926CC6" w14:textId="089CE597" w:rsidR="00CA5EEA" w:rsidRPr="00710A6F" w:rsidRDefault="00CA5EEA" w:rsidP="003D0F16">
      <w:pPr>
        <w:pStyle w:val="Quote"/>
      </w:pPr>
      <w:r w:rsidRPr="00710A6F">
        <w:t>It is easier when you go to the fit place, the clinics where you dose. I don’t know. The people are trained different too, they are more relaxed and accepting of the person</w:t>
      </w:r>
      <w:r>
        <w:t>…</w:t>
      </w:r>
      <w:r w:rsidRPr="00710A6F">
        <w:t xml:space="preserve"> here </w:t>
      </w:r>
      <w:r w:rsidRPr="00710A6F" w:rsidDel="000C1D25">
        <w:t>they are friendly</w:t>
      </w:r>
      <w:r w:rsidRPr="00710A6F">
        <w:t>. Because they want to get you the right equipment. They want you to be safe. That is what they are trained in</w:t>
      </w:r>
      <w:r>
        <w:t>,</w:t>
      </w:r>
      <w:r w:rsidRPr="00710A6F">
        <w:t xml:space="preserve"> so they are doing the </w:t>
      </w:r>
      <w:r w:rsidRPr="00710A6F">
        <w:lastRenderedPageBreak/>
        <w:t xml:space="preserve">right thing. But at a chemist they look at you funny all the time. </w:t>
      </w:r>
      <w:r>
        <w:t xml:space="preserve"> (NSW</w:t>
      </w:r>
      <w:r w:rsidR="00F11CF7">
        <w:t xml:space="preserve">, </w:t>
      </w:r>
      <w:r w:rsidR="00204E62">
        <w:t>PUIO</w:t>
      </w:r>
      <w:r w:rsidR="00F11CF7">
        <w:t xml:space="preserve">, Recruited from </w:t>
      </w:r>
      <w:r w:rsidR="00204E62">
        <w:t>Community Pharmacy</w:t>
      </w:r>
      <w:r w:rsidR="00F11CF7">
        <w:t xml:space="preserve">, Interviewed </w:t>
      </w:r>
      <w:r w:rsidR="00204E62">
        <w:t>December 2020</w:t>
      </w:r>
      <w:r>
        <w:t>)</w:t>
      </w:r>
    </w:p>
    <w:p w14:paraId="1E63B230" w14:textId="77777777" w:rsidR="00CA5EEA" w:rsidRDefault="00CA5EEA" w:rsidP="003267B5">
      <w:pPr>
        <w:pStyle w:val="BodyText"/>
      </w:pPr>
      <w:r>
        <w:t>Many consumers who also reported that they used illicit drugs felt most comfortable being able to obtain THN from peer organisations:</w:t>
      </w:r>
    </w:p>
    <w:p w14:paraId="71B7A623" w14:textId="41878B06" w:rsidR="00CA5EEA" w:rsidRPr="00A91A2F" w:rsidRDefault="00CA5EEA" w:rsidP="003D0F16">
      <w:pPr>
        <w:pStyle w:val="Quote"/>
      </w:pPr>
      <w:r w:rsidRPr="00A91A2F">
        <w:t xml:space="preserve">Very comfortable. If it was a chemist, I am not sure about a chemist or a hospital. There is discrimination and stigma that comes along with it, that would put me off. But trying to save someone’s life or being able to provide that in my community sort of overrides the discrimination that usually comes along with their use. </w:t>
      </w:r>
      <w:r>
        <w:t>(NSW, P</w:t>
      </w:r>
      <w:r w:rsidR="00EE3BED">
        <w:t>U</w:t>
      </w:r>
      <w:r>
        <w:t>IO,</w:t>
      </w:r>
      <w:r w:rsidR="00DA4AD0">
        <w:t xml:space="preserve"> Recruited</w:t>
      </w:r>
      <w:r>
        <w:t xml:space="preserve"> from NSP, </w:t>
      </w:r>
      <w:r w:rsidR="0042177C">
        <w:t>I</w:t>
      </w:r>
      <w:r w:rsidR="00C62B22">
        <w:t xml:space="preserve">nterviewed </w:t>
      </w:r>
      <w:r>
        <w:t xml:space="preserve">December 2020) </w:t>
      </w:r>
    </w:p>
    <w:p w14:paraId="555FDE64" w14:textId="54345AF9" w:rsidR="00762B96" w:rsidRPr="00AA7EB1" w:rsidRDefault="00762B96" w:rsidP="00762B96">
      <w:pPr>
        <w:pStyle w:val="NbrHeading2"/>
      </w:pPr>
      <w:bookmarkStart w:id="238" w:name="_Toc94794135"/>
      <w:bookmarkStart w:id="239" w:name="_Toc94794274"/>
      <w:r>
        <w:t xml:space="preserve">Did the availability of </w:t>
      </w:r>
      <w:r w:rsidRPr="00AA7EB1">
        <w:t>different naloxone formulations</w:t>
      </w:r>
      <w:r>
        <w:t xml:space="preserve"> affect uptake</w:t>
      </w:r>
      <w:r w:rsidR="001B76CF">
        <w:t xml:space="preserve"> and use</w:t>
      </w:r>
      <w:r>
        <w:t>?</w:t>
      </w:r>
      <w:bookmarkEnd w:id="238"/>
      <w:bookmarkEnd w:id="239"/>
    </w:p>
    <w:p w14:paraId="36D01E35" w14:textId="039FEB40" w:rsidR="00C442FB" w:rsidRDefault="00762B96" w:rsidP="003267B5">
      <w:pPr>
        <w:pStyle w:val="BodyText"/>
      </w:pPr>
      <w:r>
        <w:t xml:space="preserve">Most sites offered consumers a choice between nasal spray (up to two </w:t>
      </w:r>
      <w:r w:rsidR="00845276">
        <w:t>units</w:t>
      </w:r>
      <w:r w:rsidR="00A76AE4">
        <w:t xml:space="preserve">, each containing two </w:t>
      </w:r>
      <w:r w:rsidR="00845276">
        <w:t>actuations</w:t>
      </w:r>
      <w:r w:rsidR="00C25DE1">
        <w:t>,</w:t>
      </w:r>
      <w:r w:rsidR="00845276">
        <w:t xml:space="preserve"> </w:t>
      </w:r>
      <w:r>
        <w:t xml:space="preserve">per supply), pre-filled jets (up to two </w:t>
      </w:r>
      <w:r w:rsidR="006F0119">
        <w:t xml:space="preserve">units </w:t>
      </w:r>
      <w:r w:rsidR="00A76AE4">
        <w:t xml:space="preserve">of one </w:t>
      </w:r>
      <w:r>
        <w:t>jet</w:t>
      </w:r>
      <w:r w:rsidR="00A76AE4">
        <w:t xml:space="preserve"> each</w:t>
      </w:r>
      <w:r>
        <w:t xml:space="preserve">) or one </w:t>
      </w:r>
      <w:r w:rsidR="006F0119">
        <w:t xml:space="preserve">unit </w:t>
      </w:r>
      <w:r>
        <w:t xml:space="preserve">of each. </w:t>
      </w:r>
      <w:r w:rsidR="0022783A">
        <w:t>In staff interviews and roundtable consultations, some</w:t>
      </w:r>
      <w:r>
        <w:t xml:space="preserve"> </w:t>
      </w:r>
      <w:r w:rsidR="00A76AE4">
        <w:t xml:space="preserve">sites </w:t>
      </w:r>
      <w:r>
        <w:t xml:space="preserve">(primarily corrective service health sites) noted that only one formulation was available for consumers, and in </w:t>
      </w:r>
      <w:proofErr w:type="gramStart"/>
      <w:r>
        <w:t>the majority of</w:t>
      </w:r>
      <w:proofErr w:type="gramEnd"/>
      <w:r>
        <w:t xml:space="preserve"> cases this was </w:t>
      </w:r>
      <w:proofErr w:type="spellStart"/>
      <w:r>
        <w:t>Nyxoid</w:t>
      </w:r>
      <w:proofErr w:type="spellEnd"/>
      <w:r>
        <w:rPr>
          <w:rFonts w:cstheme="minorHAnsi"/>
        </w:rPr>
        <w:t>®</w:t>
      </w:r>
      <w:r>
        <w:t>, often due to organisational policies regarding needles and syringes.</w:t>
      </w:r>
      <w:r w:rsidR="00C442FB">
        <w:t xml:space="preserve"> The majority (84%) of naloxone supplied across the Pilot was the nasal spray formulation (</w:t>
      </w:r>
      <w:proofErr w:type="spellStart"/>
      <w:r w:rsidR="00C442FB">
        <w:t>Nyxoid</w:t>
      </w:r>
      <w:proofErr w:type="spellEnd"/>
      <w:r w:rsidR="00C442FB">
        <w:rPr>
          <w:rFonts w:cstheme="minorHAnsi"/>
        </w:rPr>
        <w:t>®</w:t>
      </w:r>
      <w:r w:rsidR="00C442FB">
        <w:t>), followed by pre-filled jets (</w:t>
      </w:r>
      <w:proofErr w:type="spellStart"/>
      <w:r w:rsidR="00C442FB">
        <w:t>Prenoxad</w:t>
      </w:r>
      <w:proofErr w:type="spellEnd"/>
      <w:r w:rsidR="00C442FB">
        <w:rPr>
          <w:rFonts w:cstheme="minorHAnsi"/>
        </w:rPr>
        <w:t>®</w:t>
      </w:r>
      <w:r w:rsidR="00C442FB">
        <w:t>; 13%) and ampoules (Naloxone Juno</w:t>
      </w:r>
      <w:r w:rsidR="00C442FB">
        <w:rPr>
          <w:rFonts w:cstheme="minorHAnsi"/>
        </w:rPr>
        <w:t>™</w:t>
      </w:r>
      <w:r w:rsidR="00C442FB">
        <w:t xml:space="preserve">, 3%). </w:t>
      </w:r>
    </w:p>
    <w:p w14:paraId="0986739F" w14:textId="06A83812" w:rsidR="00762B96" w:rsidRDefault="00756D1A" w:rsidP="00F6713B">
      <w:pPr>
        <w:pStyle w:val="BodyText"/>
        <w:jc w:val="center"/>
      </w:pPr>
      <w:r>
        <w:rPr>
          <w:noProof/>
        </w:rPr>
        <w:drawing>
          <wp:inline distT="0" distB="0" distL="0" distR="0" wp14:anchorId="53746C87" wp14:editId="296AD517">
            <wp:extent cx="3988435" cy="4222750"/>
            <wp:effectExtent l="0" t="0" r="0" b="6350"/>
            <wp:docPr id="23" name="Picture 23" descr="Diagram&#10;&#10;84&amp; of naloxone supplied during the Pilot was the nasal spray (Nyxoid); 13% was Prenoxad and 3% J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88435" cy="4222750"/>
                    </a:xfrm>
                    <a:prstGeom prst="rect">
                      <a:avLst/>
                    </a:prstGeom>
                  </pic:spPr>
                </pic:pic>
              </a:graphicData>
            </a:graphic>
          </wp:inline>
        </w:drawing>
      </w:r>
    </w:p>
    <w:p w14:paraId="4AF39269" w14:textId="546A2207" w:rsidR="00FC1F65" w:rsidRDefault="00FC1F65" w:rsidP="00762B96"/>
    <w:p w14:paraId="060E4E3E" w14:textId="0F93FB09" w:rsidR="00762B96" w:rsidRDefault="00762B96" w:rsidP="003267B5">
      <w:pPr>
        <w:pStyle w:val="BodyText"/>
      </w:pPr>
      <w:r>
        <w:t xml:space="preserve">The proportion of </w:t>
      </w:r>
      <w:proofErr w:type="spellStart"/>
      <w:r>
        <w:t>Nyxoid</w:t>
      </w:r>
      <w:proofErr w:type="spellEnd"/>
      <w:r>
        <w:rPr>
          <w:rFonts w:cstheme="minorHAnsi"/>
        </w:rPr>
        <w:t>®</w:t>
      </w:r>
      <w:r>
        <w:t xml:space="preserve"> </w:t>
      </w:r>
      <w:r w:rsidR="00B40E00">
        <w:t>remained between 85%-89% between February 2020 and June 2021</w:t>
      </w:r>
      <w:r>
        <w:t xml:space="preserve">, while the proportion of </w:t>
      </w:r>
      <w:proofErr w:type="spellStart"/>
      <w:r>
        <w:t>Prenoxad</w:t>
      </w:r>
      <w:proofErr w:type="spellEnd"/>
      <w:r>
        <w:rPr>
          <w:rFonts w:cstheme="minorHAnsi"/>
        </w:rPr>
        <w:t>®</w:t>
      </w:r>
      <w:r>
        <w:t xml:space="preserve"> </w:t>
      </w:r>
      <w:r w:rsidR="00C54EE2">
        <w:t xml:space="preserve">showed a </w:t>
      </w:r>
      <w:r w:rsidR="00DC5408">
        <w:t>steady</w:t>
      </w:r>
      <w:r w:rsidR="00C54EE2">
        <w:t xml:space="preserve"> </w:t>
      </w:r>
      <w:r w:rsidR="005C04D0">
        <w:t>increase</w:t>
      </w:r>
      <w:r w:rsidR="00C54EE2">
        <w:t xml:space="preserve"> from December 2019 </w:t>
      </w:r>
      <w:r w:rsidR="00DC5408">
        <w:t xml:space="preserve">until </w:t>
      </w:r>
      <w:r w:rsidR="00DC5408">
        <w:lastRenderedPageBreak/>
        <w:t xml:space="preserve">April 2020, </w:t>
      </w:r>
      <w:r w:rsidR="0079124D">
        <w:t>after which</w:t>
      </w:r>
      <w:r w:rsidR="00D81566">
        <w:t xml:space="preserve"> </w:t>
      </w:r>
      <w:r w:rsidR="005C04D0">
        <w:t>its trend has fluctuated between 10%-18%</w:t>
      </w:r>
      <w:r w:rsidR="00B17771">
        <w:t xml:space="preserve"> (refer to </w:t>
      </w:r>
      <w:r w:rsidR="00B17771">
        <w:fldChar w:fldCharType="begin"/>
      </w:r>
      <w:r w:rsidR="00B17771">
        <w:instrText xml:space="preserve"> REF _Ref81349240 \h </w:instrText>
      </w:r>
      <w:r w:rsidR="003267B5">
        <w:instrText xml:space="preserve"> \* MERGEFORMAT </w:instrText>
      </w:r>
      <w:r w:rsidR="00B17771">
        <w:fldChar w:fldCharType="separate"/>
      </w:r>
      <w:r w:rsidR="00EE19AD">
        <w:t xml:space="preserve">Figure </w:t>
      </w:r>
      <w:r w:rsidR="00EE19AD">
        <w:rPr>
          <w:noProof/>
        </w:rPr>
        <w:t>14</w:t>
      </w:r>
      <w:r w:rsidR="00B17771">
        <w:fldChar w:fldCharType="end"/>
      </w:r>
      <w:r w:rsidR="00B17771">
        <w:t>)</w:t>
      </w:r>
      <w:r>
        <w:t>. Naloxone</w:t>
      </w:r>
      <w:r w:rsidDel="00084FE2">
        <w:t xml:space="preserve"> </w:t>
      </w:r>
      <w:r>
        <w:t>Juno</w:t>
      </w:r>
      <w:r w:rsidR="005C04D0">
        <w:rPr>
          <w:rFonts w:cstheme="minorHAnsi"/>
        </w:rPr>
        <w:t>™</w:t>
      </w:r>
      <w:r>
        <w:rPr>
          <w:rFonts w:cstheme="minorHAnsi"/>
        </w:rPr>
        <w:t xml:space="preserve"> </w:t>
      </w:r>
      <w:r>
        <w:t xml:space="preserve">dropped from 8% in April 2020. Naloxone HCL and </w:t>
      </w:r>
      <w:proofErr w:type="spellStart"/>
      <w:r>
        <w:t>Junalox</w:t>
      </w:r>
      <w:proofErr w:type="spellEnd"/>
      <w:r>
        <w:rPr>
          <w:rFonts w:cstheme="minorHAnsi"/>
        </w:rPr>
        <w:t>®</w:t>
      </w:r>
      <w:r>
        <w:t xml:space="preserve"> formulations comprised less than 0.1% of the naloxone supplied during the Pilot. </w:t>
      </w:r>
    </w:p>
    <w:p w14:paraId="2AC32A53" w14:textId="014DCAF0" w:rsidR="00064A4C" w:rsidRDefault="00762B96" w:rsidP="008E5876">
      <w:pPr>
        <w:pStyle w:val="Caption"/>
      </w:pPr>
      <w:bookmarkStart w:id="240" w:name="_Ref81349240"/>
      <w:bookmarkStart w:id="241" w:name="_Toc81401866"/>
      <w:bookmarkStart w:id="242" w:name="_Toc94794350"/>
      <w:r>
        <w:t xml:space="preserve">Figure </w:t>
      </w:r>
      <w:r w:rsidR="005C211A">
        <w:fldChar w:fldCharType="begin"/>
      </w:r>
      <w:r w:rsidR="005C211A">
        <w:instrText xml:space="preserve"> SEQ Figure \* ARABIC </w:instrText>
      </w:r>
      <w:r w:rsidR="005C211A">
        <w:fldChar w:fldCharType="separate"/>
      </w:r>
      <w:r w:rsidR="00EE19AD">
        <w:rPr>
          <w:noProof/>
        </w:rPr>
        <w:t>14</w:t>
      </w:r>
      <w:r w:rsidR="005C211A">
        <w:rPr>
          <w:noProof/>
        </w:rPr>
        <w:fldChar w:fldCharType="end"/>
      </w:r>
      <w:bookmarkEnd w:id="240"/>
      <w:r w:rsidR="00064A4C">
        <w:t>. Proportion of naloxone units supplie</w:t>
      </w:r>
      <w:r w:rsidR="00FB7DD7">
        <w:t>d</w:t>
      </w:r>
      <w:r w:rsidR="00064A4C">
        <w:t xml:space="preserve"> by formulation during the Pilot</w:t>
      </w:r>
      <w:bookmarkEnd w:id="241"/>
      <w:bookmarkEnd w:id="242"/>
    </w:p>
    <w:p w14:paraId="5EE7354E" w14:textId="617C3A75" w:rsidR="00064A4C" w:rsidRDefault="00837BF8" w:rsidP="00762B96">
      <w:r>
        <w:rPr>
          <w:noProof/>
        </w:rPr>
        <w:drawing>
          <wp:inline distT="0" distB="0" distL="0" distR="0" wp14:anchorId="7F76D1F3" wp14:editId="2A9D69A1">
            <wp:extent cx="5941060" cy="3431969"/>
            <wp:effectExtent l="0" t="0" r="2540" b="0"/>
            <wp:docPr id="24" name="Chart 24" descr="100% area graph showing the proportion of naloxone units supplied by year">
              <a:extLst xmlns:a="http://schemas.openxmlformats.org/drawingml/2006/main">
                <a:ext uri="{FF2B5EF4-FFF2-40B4-BE49-F238E27FC236}">
                  <a16:creationId xmlns:a16="http://schemas.microsoft.com/office/drawing/2014/main" id="{A9B85EC7-17EC-4E5D-92AC-8CDF00EC8B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4B56210" w14:textId="086D8FE3" w:rsidR="00064A4C" w:rsidRPr="005E04A2" w:rsidRDefault="00064A4C" w:rsidP="005E04A2">
      <w:pPr>
        <w:ind w:firstLine="720"/>
        <w:rPr>
          <w:i/>
          <w:sz w:val="20"/>
          <w:szCs w:val="20"/>
        </w:rPr>
      </w:pPr>
      <w:r w:rsidRPr="005E04A2">
        <w:rPr>
          <w:i/>
          <w:sz w:val="20"/>
          <w:szCs w:val="20"/>
        </w:rPr>
        <w:t xml:space="preserve">Note: Naloxone HCL and </w:t>
      </w:r>
      <w:proofErr w:type="spellStart"/>
      <w:r w:rsidRPr="005E04A2">
        <w:rPr>
          <w:i/>
          <w:sz w:val="20"/>
          <w:szCs w:val="20"/>
        </w:rPr>
        <w:t>Junalox</w:t>
      </w:r>
      <w:proofErr w:type="spellEnd"/>
      <w:r w:rsidRPr="005E04A2">
        <w:rPr>
          <w:i/>
          <w:sz w:val="20"/>
          <w:szCs w:val="20"/>
        </w:rPr>
        <w:t xml:space="preserve">® formulations not </w:t>
      </w:r>
      <w:r w:rsidR="00ED0850">
        <w:rPr>
          <w:i/>
          <w:iCs/>
          <w:sz w:val="20"/>
          <w:szCs w:val="20"/>
        </w:rPr>
        <w:t>show</w:t>
      </w:r>
      <w:r w:rsidR="004D58ED">
        <w:rPr>
          <w:i/>
          <w:iCs/>
          <w:sz w:val="20"/>
          <w:szCs w:val="20"/>
        </w:rPr>
        <w:t>n</w:t>
      </w:r>
      <w:r w:rsidR="00A1726E">
        <w:rPr>
          <w:i/>
          <w:iCs/>
          <w:sz w:val="20"/>
          <w:szCs w:val="20"/>
        </w:rPr>
        <w:t xml:space="preserve">; &lt;0.1% of </w:t>
      </w:r>
      <w:r w:rsidR="004D58ED">
        <w:rPr>
          <w:i/>
          <w:iCs/>
          <w:sz w:val="20"/>
          <w:szCs w:val="20"/>
        </w:rPr>
        <w:t>units supplied</w:t>
      </w:r>
      <w:r w:rsidRPr="005E04A2">
        <w:rPr>
          <w:i/>
          <w:sz w:val="20"/>
          <w:szCs w:val="20"/>
        </w:rPr>
        <w:t xml:space="preserve"> </w:t>
      </w:r>
    </w:p>
    <w:p w14:paraId="6DDC4BD4" w14:textId="24C14877" w:rsidR="00762B96" w:rsidRDefault="00A31FFB" w:rsidP="003267B5">
      <w:pPr>
        <w:pStyle w:val="BodyText"/>
      </w:pPr>
      <w:r>
        <w:fldChar w:fldCharType="begin"/>
      </w:r>
      <w:r>
        <w:instrText xml:space="preserve"> REF _Ref81339231 \h </w:instrText>
      </w:r>
      <w:r w:rsidR="003267B5">
        <w:instrText xml:space="preserve"> \* MERGEFORMAT </w:instrText>
      </w:r>
      <w:r>
        <w:fldChar w:fldCharType="separate"/>
      </w:r>
      <w:r w:rsidR="00EE19AD">
        <w:t xml:space="preserve">Figure </w:t>
      </w:r>
      <w:r w:rsidR="00EE19AD">
        <w:rPr>
          <w:noProof/>
        </w:rPr>
        <w:t>15</w:t>
      </w:r>
      <w:r>
        <w:fldChar w:fldCharType="end"/>
      </w:r>
      <w:r w:rsidR="00762B96">
        <w:t xml:space="preserve"> shows that the nasal spray (</w:t>
      </w:r>
      <w:proofErr w:type="spellStart"/>
      <w:r w:rsidR="00762B96">
        <w:t>Nyxoid</w:t>
      </w:r>
      <w:proofErr w:type="spellEnd"/>
      <w:r w:rsidR="00762B96" w:rsidRPr="0C63FF64">
        <w:t>®</w:t>
      </w:r>
      <w:r w:rsidR="00762B96">
        <w:t>) was the most supplied formulation in both Pilot pharmacies (85%) and AAS (79%), as well as in PBS-only pharmacies in the Pilot states (60%). As shown below, the</w:t>
      </w:r>
      <w:r w:rsidR="001E5058">
        <w:t xml:space="preserve"> distribution of naloxone</w:t>
      </w:r>
      <w:r w:rsidR="00762B96">
        <w:t xml:space="preserve"> formulation</w:t>
      </w:r>
      <w:r w:rsidR="00875361">
        <w:t>s</w:t>
      </w:r>
      <w:r w:rsidR="00762B96">
        <w:t xml:space="preserve"> shifted from </w:t>
      </w:r>
      <w:r w:rsidR="55D7C205">
        <w:t>DBL</w:t>
      </w:r>
      <w:r w:rsidR="399FF048">
        <w:t>®</w:t>
      </w:r>
      <w:r w:rsidR="55D7C205">
        <w:t xml:space="preserve"> </w:t>
      </w:r>
      <w:r w:rsidR="00762B96">
        <w:t>Naloxone HCL</w:t>
      </w:r>
      <w:r w:rsidR="00762B96" w:rsidRPr="0C63FF64">
        <w:t>®</w:t>
      </w:r>
      <w:r w:rsidR="00762B96">
        <w:t xml:space="preserve"> before the Pilot to the nasal spray, which became more widely available during the Pilot.</w:t>
      </w:r>
    </w:p>
    <w:p w14:paraId="375603C5" w14:textId="1A052190" w:rsidR="00762B96" w:rsidRDefault="00F478E9" w:rsidP="00762B96">
      <w:pPr>
        <w:pStyle w:val="BodyText"/>
      </w:pPr>
      <w:r>
        <w:t xml:space="preserve">In Pilot data from the </w:t>
      </w:r>
      <w:r w:rsidR="00912D51">
        <w:t>PPA</w:t>
      </w:r>
      <w:r>
        <w:t xml:space="preserve"> portal, the</w:t>
      </w:r>
      <w:r w:rsidR="00762B96">
        <w:t xml:space="preserve"> predominance of nasal spray </w:t>
      </w:r>
      <w:r w:rsidR="2D87CD0F">
        <w:t>as the preferred naloxone formulation</w:t>
      </w:r>
      <w:r w:rsidR="00762B96">
        <w:t xml:space="preserve"> was consistent across type of opioid use. More of those who identified as using illicit drugs (35%) obtained prefilled syringes compared to those using prescription opioids (9%) and witnesses (17%) </w:t>
      </w:r>
      <w:r w:rsidR="00762B96" w:rsidRPr="00B2765B">
        <w:rPr>
          <w:i/>
          <w:iCs/>
        </w:rPr>
        <w:t>(X</w:t>
      </w:r>
      <w:r w:rsidR="00762B96" w:rsidRPr="00B2765B">
        <w:rPr>
          <w:i/>
          <w:iCs/>
          <w:vertAlign w:val="superscript"/>
        </w:rPr>
        <w:t>2</w:t>
      </w:r>
      <w:r w:rsidR="00762B96" w:rsidRPr="00B2765B">
        <w:rPr>
          <w:i/>
          <w:iCs/>
        </w:rPr>
        <w:t>= 17.98; p=0.006)</w:t>
      </w:r>
      <w:r w:rsidR="00762B96">
        <w:t xml:space="preserve">. This is reflected in supply data where 31% of </w:t>
      </w:r>
      <w:r w:rsidR="000778B8">
        <w:t xml:space="preserve">PUIO </w:t>
      </w:r>
      <w:r w:rsidR="00762B96">
        <w:t xml:space="preserve">obtained </w:t>
      </w:r>
      <w:proofErr w:type="spellStart"/>
      <w:r w:rsidR="00762B96">
        <w:t>Prenoxad</w:t>
      </w:r>
      <w:proofErr w:type="spellEnd"/>
      <w:r w:rsidR="00762B96">
        <w:t>®, compared to 10% of people using prescribed opioids and 14% of witnesses. No specific supply pattern was found by age or gender.</w:t>
      </w:r>
    </w:p>
    <w:p w14:paraId="054E43F5" w14:textId="77E75707" w:rsidR="008B3EE6" w:rsidRDefault="00762B96" w:rsidP="008B3EE6">
      <w:pPr>
        <w:pStyle w:val="Caption"/>
      </w:pPr>
      <w:bookmarkStart w:id="243" w:name="_Ref81339231"/>
      <w:bookmarkStart w:id="244" w:name="_Toc81401867"/>
      <w:bookmarkStart w:id="245" w:name="_Toc94794351"/>
      <w:r>
        <w:lastRenderedPageBreak/>
        <w:t xml:space="preserve">Figure </w:t>
      </w:r>
      <w:r w:rsidR="005C211A">
        <w:fldChar w:fldCharType="begin"/>
      </w:r>
      <w:r w:rsidR="005C211A">
        <w:instrText xml:space="preserve"> SEQ Figure \* ARABIC </w:instrText>
      </w:r>
      <w:r w:rsidR="005C211A">
        <w:fldChar w:fldCharType="separate"/>
      </w:r>
      <w:r w:rsidR="00EE19AD">
        <w:rPr>
          <w:noProof/>
        </w:rPr>
        <w:t>15</w:t>
      </w:r>
      <w:r w:rsidR="005C211A">
        <w:rPr>
          <w:noProof/>
        </w:rPr>
        <w:fldChar w:fldCharType="end"/>
      </w:r>
      <w:bookmarkEnd w:id="243"/>
      <w:r w:rsidR="008B3EE6">
        <w:t>. Naloxone units</w:t>
      </w:r>
      <w:r w:rsidR="008B3EE6">
        <w:rPr>
          <w:rStyle w:val="FootnoteReference"/>
        </w:rPr>
        <w:footnoteReference w:id="30"/>
      </w:r>
      <w:r w:rsidR="008B3EE6">
        <w:t xml:space="preserve"> supplied </w:t>
      </w:r>
      <w:r w:rsidR="00E01F92">
        <w:t xml:space="preserve">in participating states, </w:t>
      </w:r>
      <w:r w:rsidR="008B3EE6">
        <w:t>before and during the Pilot, by access site type and formulation</w:t>
      </w:r>
      <w:bookmarkEnd w:id="244"/>
      <w:bookmarkEnd w:id="245"/>
    </w:p>
    <w:p w14:paraId="719F995E" w14:textId="77777777" w:rsidR="00762B96" w:rsidRDefault="00762B96" w:rsidP="00762B96">
      <w:pPr>
        <w:pStyle w:val="BodyText"/>
        <w:keepNext/>
        <w:spacing w:before="0" w:after="0"/>
      </w:pPr>
      <w:r>
        <w:rPr>
          <w:noProof/>
        </w:rPr>
        <w:drawing>
          <wp:inline distT="0" distB="0" distL="0" distR="0" wp14:anchorId="5A2906DA" wp14:editId="45F1FA69">
            <wp:extent cx="5991225" cy="3562350"/>
            <wp:effectExtent l="0" t="0" r="0" b="0"/>
            <wp:docPr id="20" name="Chart 20" descr="Bar graph comparing the Naloxone units  supplied in participating states, before and during the Pilot, by access site type and formulation.">
              <a:extLst xmlns:a="http://schemas.openxmlformats.org/drawingml/2006/main">
                <a:ext uri="{FF2B5EF4-FFF2-40B4-BE49-F238E27FC236}">
                  <a16:creationId xmlns:a16="http://schemas.microsoft.com/office/drawing/2014/main" id="{D36920D9-1C67-4804-AE85-1196D2BE3C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2CB995F" w14:textId="76DF8FB3" w:rsidR="00762B96" w:rsidRPr="00A529AE" w:rsidRDefault="00762B96" w:rsidP="00762B96">
      <w:pPr>
        <w:pStyle w:val="BodyText"/>
        <w:spacing w:before="0" w:after="0"/>
        <w:ind w:firstLine="720"/>
        <w:rPr>
          <w:i/>
        </w:rPr>
      </w:pPr>
      <w:r w:rsidRPr="00A529AE">
        <w:rPr>
          <w:i/>
          <w:sz w:val="18"/>
          <w:szCs w:val="18"/>
        </w:rPr>
        <w:t xml:space="preserve">Note: PBS data include naloxone </w:t>
      </w:r>
      <w:r w:rsidR="008A4D90" w:rsidRPr="00A529AE">
        <w:rPr>
          <w:i/>
          <w:iCs/>
          <w:sz w:val="18"/>
          <w:szCs w:val="18"/>
        </w:rPr>
        <w:t>supplies</w:t>
      </w:r>
      <w:r w:rsidRPr="00A529AE">
        <w:rPr>
          <w:i/>
          <w:sz w:val="18"/>
          <w:szCs w:val="18"/>
        </w:rPr>
        <w:t xml:space="preserve"> up to April 2021. </w:t>
      </w:r>
    </w:p>
    <w:p w14:paraId="1BEF1D96" w14:textId="091D5926" w:rsidR="00762B96" w:rsidRPr="00DE3329" w:rsidRDefault="00D63B64" w:rsidP="00D63B64">
      <w:pPr>
        <w:pStyle w:val="BodyText"/>
      </w:pPr>
      <w:r>
        <w:t>For the purposes of the evaluation,</w:t>
      </w:r>
      <w:r w:rsidR="00762B96">
        <w:t xml:space="preserve"> </w:t>
      </w:r>
      <w:r w:rsidR="000E2BB8">
        <w:t xml:space="preserve">213 </w:t>
      </w:r>
      <w:r w:rsidR="00762B96">
        <w:t xml:space="preserve">individual consumers who </w:t>
      </w:r>
      <w:r w:rsidR="00CD317A">
        <w:t xml:space="preserve">accessed </w:t>
      </w:r>
      <w:r w:rsidR="00762B96">
        <w:t xml:space="preserve">THN as part of the Pilot </w:t>
      </w:r>
      <w:r w:rsidR="003267B5">
        <w:t>were interviewed</w:t>
      </w:r>
      <w:r w:rsidR="00762B96">
        <w:t xml:space="preserve"> to obtain more in-depth information as about their access and use of naloxone. These data confirmed a preference for nasal spray among consumers (</w:t>
      </w:r>
      <w:r w:rsidR="00756D1A">
        <w:fldChar w:fldCharType="begin"/>
      </w:r>
      <w:r w:rsidR="00756D1A">
        <w:instrText xml:space="preserve"> REF _Ref82012639 \h </w:instrText>
      </w:r>
      <w:r>
        <w:instrText xml:space="preserve"> \* MERGEFORMAT </w:instrText>
      </w:r>
      <w:r w:rsidR="00756D1A">
        <w:fldChar w:fldCharType="separate"/>
      </w:r>
      <w:r w:rsidR="00EE19AD">
        <w:t xml:space="preserve">Figure </w:t>
      </w:r>
      <w:r w:rsidR="00EE19AD">
        <w:rPr>
          <w:noProof/>
        </w:rPr>
        <w:t>16</w:t>
      </w:r>
      <w:r w:rsidR="00756D1A">
        <w:fldChar w:fldCharType="end"/>
      </w:r>
      <w:r w:rsidR="00762B96">
        <w:t>), again with no difference in preference by age or gender.</w:t>
      </w:r>
    </w:p>
    <w:p w14:paraId="3F4ED0D2" w14:textId="77C2D327" w:rsidR="00762B96" w:rsidRDefault="00762B96" w:rsidP="00762B96">
      <w:pPr>
        <w:pStyle w:val="Caption"/>
        <w:spacing w:before="0" w:after="0" w:line="240" w:lineRule="auto"/>
      </w:pPr>
      <w:bookmarkStart w:id="246" w:name="_Ref82012639"/>
      <w:bookmarkStart w:id="247" w:name="_Toc81401868"/>
      <w:bookmarkStart w:id="248" w:name="_Toc94794352"/>
      <w:r>
        <w:t xml:space="preserve">Figure </w:t>
      </w:r>
      <w:r>
        <w:fldChar w:fldCharType="begin"/>
      </w:r>
      <w:r>
        <w:instrText>SEQ Figure \* ARABIC</w:instrText>
      </w:r>
      <w:r>
        <w:fldChar w:fldCharType="separate"/>
      </w:r>
      <w:r w:rsidR="00EE19AD">
        <w:rPr>
          <w:noProof/>
        </w:rPr>
        <w:t>16</w:t>
      </w:r>
      <w:r>
        <w:fldChar w:fldCharType="end"/>
      </w:r>
      <w:bookmarkEnd w:id="246"/>
      <w:r w:rsidR="003E4E5B">
        <w:t>.</w:t>
      </w:r>
      <w:r>
        <w:t xml:space="preserve"> Preferred naloxone formulation, by type of opioid use</w:t>
      </w:r>
      <w:r w:rsidR="00F82B20">
        <w:rPr>
          <w:rStyle w:val="FootnoteReference"/>
        </w:rPr>
        <w:footnoteReference w:id="31"/>
      </w:r>
      <w:bookmarkEnd w:id="247"/>
      <w:r w:rsidR="0040298A">
        <w:t xml:space="preserve"> (n=21</w:t>
      </w:r>
      <w:r w:rsidR="00C9353A">
        <w:t>3</w:t>
      </w:r>
      <w:r w:rsidR="0040298A">
        <w:t>)</w:t>
      </w:r>
      <w:bookmarkEnd w:id="248"/>
    </w:p>
    <w:p w14:paraId="4DADCD26" w14:textId="77777777" w:rsidR="00762B96" w:rsidRDefault="00762B96" w:rsidP="00762B96">
      <w:pPr>
        <w:pStyle w:val="BodyText"/>
      </w:pPr>
      <w:r>
        <w:rPr>
          <w:noProof/>
        </w:rPr>
        <w:drawing>
          <wp:inline distT="0" distB="0" distL="0" distR="0" wp14:anchorId="4A0D5109" wp14:editId="0E63926D">
            <wp:extent cx="5941060" cy="1988185"/>
            <wp:effectExtent l="0" t="0" r="2540" b="0"/>
            <wp:docPr id="25" name="Chart 25" descr="Stacked bar chart showing the preferred naloxone formulation, by type of opioid use.">
              <a:extLst xmlns:a="http://schemas.openxmlformats.org/drawingml/2006/main">
                <a:ext uri="{FF2B5EF4-FFF2-40B4-BE49-F238E27FC236}">
                  <a16:creationId xmlns:a16="http://schemas.microsoft.com/office/drawing/2014/main" id="{1BB505E6-E833-47A2-83DB-E915149312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7CBED22" w14:textId="67E6554A" w:rsidR="00797A08" w:rsidRDefault="006D34EF" w:rsidP="00000516">
      <w:pPr>
        <w:pStyle w:val="BodyText"/>
      </w:pPr>
      <w:r>
        <w:t>P</w:t>
      </w:r>
      <w:r w:rsidR="00762B96">
        <w:t xml:space="preserve">articipants </w:t>
      </w:r>
      <w:r>
        <w:t>were asked</w:t>
      </w:r>
      <w:r w:rsidR="00762B96">
        <w:t xml:space="preserve"> “How frequently would you carry naloxone?”</w:t>
      </w:r>
      <w:r w:rsidR="007D77FD">
        <w:t xml:space="preserve"> </w:t>
      </w:r>
    </w:p>
    <w:p w14:paraId="2C93185A" w14:textId="6D89F903" w:rsidR="00DE65C6" w:rsidRDefault="007D77FD" w:rsidP="00000516">
      <w:pPr>
        <w:pStyle w:val="BodyText"/>
      </w:pPr>
      <w:r>
        <w:lastRenderedPageBreak/>
        <w:t>O</w:t>
      </w:r>
      <w:r w:rsidR="00F705AB">
        <w:t xml:space="preserve">lder </w:t>
      </w:r>
      <w:r w:rsidR="00762B96">
        <w:t xml:space="preserve">participants </w:t>
      </w:r>
      <w:r w:rsidR="00F705AB">
        <w:t>(</w:t>
      </w:r>
      <w:r w:rsidR="00762B96">
        <w:t>aged 60+</w:t>
      </w:r>
      <w:r w:rsidR="00FE437C">
        <w:t xml:space="preserve">) were </w:t>
      </w:r>
      <w:r w:rsidR="00DA26E2">
        <w:t>more</w:t>
      </w:r>
      <w:r w:rsidR="00FE437C">
        <w:t xml:space="preserve"> likely to </w:t>
      </w:r>
      <w:r w:rsidR="007F59FA">
        <w:t>report t</w:t>
      </w:r>
      <w:r w:rsidR="00A954C7">
        <w:t>he</w:t>
      </w:r>
      <w:r w:rsidR="007F59FA">
        <w:t xml:space="preserve">y </w:t>
      </w:r>
      <w:r w:rsidR="00762B96">
        <w:t xml:space="preserve">would carry their nasal spray </w:t>
      </w:r>
      <w:r w:rsidR="002B757B">
        <w:t>irregularly</w:t>
      </w:r>
      <w:r w:rsidR="00762B96">
        <w:t xml:space="preserve"> (i.e., about half of the time/sometimes) compared to younger age groups (45%) </w:t>
      </w:r>
      <w:r w:rsidR="00762B96" w:rsidRPr="008A752F">
        <w:rPr>
          <w:i/>
          <w:iCs/>
        </w:rPr>
        <w:t>(X</w:t>
      </w:r>
      <w:r w:rsidR="00762B96" w:rsidRPr="008A752F">
        <w:rPr>
          <w:i/>
          <w:iCs/>
          <w:vertAlign w:val="superscript"/>
        </w:rPr>
        <w:t>2</w:t>
      </w:r>
      <w:r w:rsidR="00762B96" w:rsidRPr="008A752F">
        <w:rPr>
          <w:i/>
          <w:iCs/>
        </w:rPr>
        <w:t>=</w:t>
      </w:r>
      <w:r w:rsidR="00762B96" w:rsidRPr="00277DE8">
        <w:t>5.16</w:t>
      </w:r>
      <w:r w:rsidR="00762B96" w:rsidRPr="008A752F">
        <w:rPr>
          <w:i/>
          <w:iCs/>
        </w:rPr>
        <w:t>; p=</w:t>
      </w:r>
      <w:r w:rsidR="00762B96" w:rsidRPr="00277DE8">
        <w:t>0.023</w:t>
      </w:r>
      <w:r w:rsidR="006A3099">
        <w:t xml:space="preserve">; </w:t>
      </w:r>
      <w:r w:rsidR="006A3099">
        <w:fldChar w:fldCharType="begin"/>
      </w:r>
      <w:r w:rsidR="006A3099">
        <w:instrText xml:space="preserve"> REF _Ref82012681 \h </w:instrText>
      </w:r>
      <w:r w:rsidR="00D63B64">
        <w:instrText xml:space="preserve"> \* MERGEFORMAT </w:instrText>
      </w:r>
      <w:r w:rsidR="006A3099">
        <w:fldChar w:fldCharType="separate"/>
      </w:r>
      <w:r w:rsidR="00EE19AD">
        <w:t xml:space="preserve">Figure </w:t>
      </w:r>
      <w:r w:rsidR="00EE19AD">
        <w:rPr>
          <w:noProof/>
        </w:rPr>
        <w:t>17</w:t>
      </w:r>
      <w:r w:rsidR="006A3099">
        <w:fldChar w:fldCharType="end"/>
      </w:r>
      <w:r w:rsidR="00762B96" w:rsidRPr="008A752F">
        <w:rPr>
          <w:i/>
          <w:iCs/>
        </w:rPr>
        <w:t>)</w:t>
      </w:r>
      <w:r w:rsidR="00762B96">
        <w:t xml:space="preserve">. </w:t>
      </w:r>
    </w:p>
    <w:p w14:paraId="1219C3B9" w14:textId="77777777" w:rsidR="00F6713B" w:rsidRPr="001676CF" w:rsidRDefault="00F6713B" w:rsidP="00F6713B">
      <w:pPr>
        <w:pStyle w:val="Caption"/>
        <w:rPr>
          <w:noProof/>
        </w:rPr>
      </w:pPr>
      <w:bookmarkStart w:id="249" w:name="_Toc94794353"/>
      <w:r>
        <w:t xml:space="preserve">Figure </w:t>
      </w:r>
      <w:r>
        <w:fldChar w:fldCharType="begin"/>
      </w:r>
      <w:r>
        <w:instrText>SEQ Figure \* ARABIC</w:instrText>
      </w:r>
      <w:r>
        <w:fldChar w:fldCharType="separate"/>
      </w:r>
      <w:r>
        <w:rPr>
          <w:noProof/>
        </w:rPr>
        <w:t>17</w:t>
      </w:r>
      <w:r>
        <w:fldChar w:fldCharType="end"/>
      </w:r>
      <w:r>
        <w:t xml:space="preserve">. </w:t>
      </w:r>
      <w:r w:rsidRPr="00A33E98">
        <w:t>Frequency of carrying nasal spray THN by age group</w:t>
      </w:r>
      <w:r>
        <w:t xml:space="preserve"> (n=213)</w:t>
      </w:r>
      <w:bookmarkEnd w:id="249"/>
    </w:p>
    <w:p w14:paraId="6122E0DF" w14:textId="059F8BA2" w:rsidR="00F6713B" w:rsidRDefault="00F6713B" w:rsidP="00000516">
      <w:pPr>
        <w:pStyle w:val="BodyText"/>
      </w:pPr>
      <w:r>
        <w:rPr>
          <w:noProof/>
        </w:rPr>
        <w:drawing>
          <wp:inline distT="0" distB="0" distL="0" distR="0" wp14:anchorId="54BC6AB7" wp14:editId="7B11A768">
            <wp:extent cx="3870960" cy="2232025"/>
            <wp:effectExtent l="0" t="0" r="0" b="0"/>
            <wp:docPr id="40" name="Chart 40" descr="Stacked bar graph showing frequency of carrying nasal spray THN by age group.">
              <a:extLst xmlns:a="http://schemas.openxmlformats.org/drawingml/2006/main">
                <a:ext uri="{FF2B5EF4-FFF2-40B4-BE49-F238E27FC236}">
                  <a16:creationId xmlns:a16="http://schemas.microsoft.com/office/drawing/2014/main" id="{15531D0A-95CE-4D91-B0C5-BB63BEBBA0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DF9A352" w14:textId="472D025F" w:rsidR="00762B96" w:rsidRDefault="002254F8" w:rsidP="00D63B64">
      <w:pPr>
        <w:pStyle w:val="BodyText"/>
      </w:pPr>
      <w:r>
        <w:t>For other naloxone formulations, s</w:t>
      </w:r>
      <w:r w:rsidR="00762B96">
        <w:t>imilar proportions responded ‘Always/Most of the time’ and ‘About half the time/Sometimes’</w:t>
      </w:r>
      <w:r w:rsidR="00762B96" w:rsidRPr="008A752F">
        <w:rPr>
          <w:i/>
        </w:rPr>
        <w:t xml:space="preserve"> </w:t>
      </w:r>
      <w:r w:rsidR="00762B96" w:rsidRPr="008A752F">
        <w:rPr>
          <w:i/>
          <w:iCs/>
        </w:rPr>
        <w:t>(X</w:t>
      </w:r>
      <w:r w:rsidR="00762B96" w:rsidRPr="008A752F">
        <w:rPr>
          <w:i/>
          <w:iCs/>
          <w:vertAlign w:val="superscript"/>
        </w:rPr>
        <w:t>2</w:t>
      </w:r>
      <w:r w:rsidR="00762B96" w:rsidRPr="008A752F">
        <w:rPr>
          <w:i/>
          <w:iCs/>
        </w:rPr>
        <w:t>=</w:t>
      </w:r>
      <w:r w:rsidR="00762B96" w:rsidRPr="00277DE8">
        <w:t>0.318</w:t>
      </w:r>
      <w:r w:rsidR="00762B96" w:rsidRPr="008A752F">
        <w:rPr>
          <w:i/>
          <w:iCs/>
        </w:rPr>
        <w:t>; p=</w:t>
      </w:r>
      <w:r w:rsidR="00762B96" w:rsidRPr="00277DE8">
        <w:t>0.853</w:t>
      </w:r>
      <w:r w:rsidR="00762B96" w:rsidRPr="008A752F">
        <w:rPr>
          <w:i/>
          <w:iCs/>
        </w:rPr>
        <w:t>)</w:t>
      </w:r>
      <w:r w:rsidR="00762B96">
        <w:t xml:space="preserve">. </w:t>
      </w:r>
      <w:r>
        <w:t>These</w:t>
      </w:r>
      <w:r w:rsidR="00762B96">
        <w:t xml:space="preserve"> patterns </w:t>
      </w:r>
      <w:r w:rsidR="00E61DAD">
        <w:t>did not vary by</w:t>
      </w:r>
      <w:r w:rsidR="00762B96">
        <w:t xml:space="preserve"> type of opioid use</w:t>
      </w:r>
      <w:r w:rsidR="00380957">
        <w:t xml:space="preserve">, </w:t>
      </w:r>
      <w:proofErr w:type="gramStart"/>
      <w:r w:rsidR="00380957">
        <w:t>age</w:t>
      </w:r>
      <w:proofErr w:type="gramEnd"/>
      <w:r w:rsidR="00762B96">
        <w:t xml:space="preserve"> </w:t>
      </w:r>
      <w:r w:rsidR="00DE65C6">
        <w:t>or</w:t>
      </w:r>
      <w:r w:rsidR="00616F3E">
        <w:t xml:space="preserve"> </w:t>
      </w:r>
      <w:r w:rsidR="00762B96">
        <w:t xml:space="preserve">gender. </w:t>
      </w:r>
    </w:p>
    <w:p w14:paraId="2256C6A5" w14:textId="7F8E0EC0" w:rsidR="00762B96" w:rsidRDefault="00762B96" w:rsidP="00762B96">
      <w:pPr>
        <w:pStyle w:val="BodyText"/>
      </w:pPr>
      <w:r>
        <w:t xml:space="preserve">In the qualitative interviews, </w:t>
      </w:r>
      <w:proofErr w:type="gramStart"/>
      <w:r>
        <w:t>the majority of</w:t>
      </w:r>
      <w:proofErr w:type="gramEnd"/>
      <w:r>
        <w:t xml:space="preserve"> consumers noted that their preferred form of naloxone was the nasal spray, </w:t>
      </w:r>
      <w:proofErr w:type="spellStart"/>
      <w:r>
        <w:t>Nyxoid</w:t>
      </w:r>
      <w:proofErr w:type="spellEnd"/>
      <w:r>
        <w:rPr>
          <w:rFonts w:cstheme="minorHAnsi"/>
        </w:rPr>
        <w:t>®</w:t>
      </w:r>
      <w:r>
        <w:t xml:space="preserve">, due to its </w:t>
      </w:r>
      <w:r w:rsidR="008F5F88">
        <w:t xml:space="preserve">perceived </w:t>
      </w:r>
      <w:r>
        <w:t>safety and ease of use.</w:t>
      </w:r>
    </w:p>
    <w:p w14:paraId="760F7BC8" w14:textId="07D8DA02" w:rsidR="00762B96" w:rsidRPr="00720E86" w:rsidRDefault="00762B96" w:rsidP="00762B96">
      <w:pPr>
        <w:pStyle w:val="Quote"/>
      </w:pPr>
      <w:proofErr w:type="gramStart"/>
      <w:r>
        <w:t>W</w:t>
      </w:r>
      <w:r w:rsidRPr="00720E86">
        <w:t>ell</w:t>
      </w:r>
      <w:proofErr w:type="gramEnd"/>
      <w:r w:rsidRPr="00720E86">
        <w:t xml:space="preserve"> it’s easier, it’s much less complicated especially for people that may not be used to handling</w:t>
      </w:r>
      <w:r>
        <w:t xml:space="preserve"> …</w:t>
      </w:r>
      <w:r w:rsidRPr="00720E86">
        <w:t xml:space="preserve"> injecting equipment. Because the other one</w:t>
      </w:r>
      <w:r>
        <w:t xml:space="preserve"> …</w:t>
      </w:r>
      <w:r w:rsidRPr="00720E86">
        <w:t xml:space="preserve"> you need to use the ampoule, you need the needle tips, you need to find the place to inject someone, that sort of thing. That, that can be overwhelming</w:t>
      </w:r>
      <w:r>
        <w:t>…</w:t>
      </w:r>
      <w:r w:rsidRPr="00720E86">
        <w:t xml:space="preserve"> in an overdose situation possibly never, you know, in your life and all of a </w:t>
      </w:r>
      <w:proofErr w:type="gramStart"/>
      <w:r w:rsidRPr="00720E86">
        <w:t>sudden</w:t>
      </w:r>
      <w:proofErr w:type="gramEnd"/>
      <w:r w:rsidRPr="00720E86">
        <w:t xml:space="preserve"> you’ve got to do something with a needle. That could be really overwhelming for people. Yeah so, yeah that’s why I would say the nasal spray.</w:t>
      </w:r>
      <w:r>
        <w:t xml:space="preserve"> (SA, </w:t>
      </w:r>
      <w:r w:rsidR="004624DA">
        <w:t>PUIO</w:t>
      </w:r>
      <w:r>
        <w:t>, Recruited from NSP, Interviewed January 2021)</w:t>
      </w:r>
    </w:p>
    <w:p w14:paraId="4B0CB1AC" w14:textId="2530404A" w:rsidR="00762B96" w:rsidRPr="00FA0D9C" w:rsidRDefault="00762B96" w:rsidP="00762B96">
      <w:pPr>
        <w:pStyle w:val="Quote"/>
      </w:pPr>
      <w:r w:rsidRPr="00FA0D9C">
        <w:t xml:space="preserve">The nasal spray because I don’t want to inject, some people hate the injection and that’s why I prefer because the spray might take a little bit longer where the injection takes you much quicker really. </w:t>
      </w:r>
      <w:r>
        <w:t xml:space="preserve">(SA, </w:t>
      </w:r>
      <w:r w:rsidR="004624DA">
        <w:t>PUIO</w:t>
      </w:r>
      <w:r>
        <w:t>, Recruited from NSP, Interviewed January 2021)</w:t>
      </w:r>
    </w:p>
    <w:p w14:paraId="55D23EDB" w14:textId="70F79D2F" w:rsidR="00B5660D" w:rsidRDefault="00B5660D" w:rsidP="00B5660D">
      <w:pPr>
        <w:pStyle w:val="Quote"/>
      </w:pPr>
      <w:r w:rsidRPr="009B6EBD">
        <w:t xml:space="preserve">Like it is </w:t>
      </w:r>
      <w:r w:rsidRPr="00652494">
        <w:t>a very safe drug</w:t>
      </w:r>
      <w:r w:rsidRPr="009B6EBD">
        <w:rPr>
          <w:b/>
          <w:bCs/>
        </w:rPr>
        <w:t xml:space="preserve"> </w:t>
      </w:r>
      <w:r w:rsidRPr="009B6EBD">
        <w:t>to have around. No one can get hurt or anything like that</w:t>
      </w:r>
      <w:r>
        <w:t xml:space="preserve"> </w:t>
      </w:r>
      <w:r w:rsidRPr="00EC565F">
        <w:t>(</w:t>
      </w:r>
      <w:r>
        <w:t>NSW</w:t>
      </w:r>
      <w:r w:rsidRPr="00EC565F">
        <w:t xml:space="preserve">, </w:t>
      </w:r>
      <w:r>
        <w:t>PUIO</w:t>
      </w:r>
      <w:r w:rsidRPr="00EC565F">
        <w:t>,</w:t>
      </w:r>
      <w:r>
        <w:t xml:space="preserve"> Recruited from NS</w:t>
      </w:r>
      <w:r w:rsidR="006143E0">
        <w:t>P</w:t>
      </w:r>
      <w:r>
        <w:t>, Interviewed October 2020</w:t>
      </w:r>
      <w:r w:rsidRPr="00EC565F">
        <w:t>).</w:t>
      </w:r>
    </w:p>
    <w:p w14:paraId="410903CD" w14:textId="715B196A" w:rsidR="00762B96" w:rsidRDefault="00762B96" w:rsidP="00762B96">
      <w:pPr>
        <w:pStyle w:val="BodyText"/>
      </w:pPr>
      <w:r>
        <w:t>Amongst some consumers, the nasal spray formulation was considered ‘less harsh’ than injectable formulations, which many referred to generically as ‘Narcan’. Many noted that Narcan was perceived negatively because of the effect that it could have on the pleasurable effects of opioid intoxication. For example:</w:t>
      </w:r>
    </w:p>
    <w:p w14:paraId="11E3B408" w14:textId="3A05FB2E" w:rsidR="00762B96" w:rsidRDefault="00762B96" w:rsidP="00762B96">
      <w:pPr>
        <w:pStyle w:val="Quote"/>
      </w:pPr>
      <w:r w:rsidRPr="00DB1E91">
        <w:t xml:space="preserve">Narcan has always had this sort of reputation of being a lifesaver, for sure, but also not a very pleasant experience, yep. Especially if you just paid $100 for your wack and you’re enjoying your stone even if you might be dying in the process, then suddenly you’re snapped right out of it, you know? </w:t>
      </w:r>
      <w:r>
        <w:t>(SA, Witness, Recruited from NSP, Interviewed February 2020)</w:t>
      </w:r>
    </w:p>
    <w:p w14:paraId="677E413D" w14:textId="77777777" w:rsidR="00762B96" w:rsidRDefault="00762B96" w:rsidP="00762B96">
      <w:pPr>
        <w:pStyle w:val="BodyText"/>
      </w:pPr>
      <w:r>
        <w:lastRenderedPageBreak/>
        <w:t>Nevertheless, the enhanced efficacy of injectable formulations of naloxone was still appreciated by many, with a minority noting that they would prefer to have this option, particularly the pre-filled syringe.</w:t>
      </w:r>
    </w:p>
    <w:p w14:paraId="0E8926AF" w14:textId="1E013A42" w:rsidR="001C1DDC" w:rsidRPr="00854ACB" w:rsidRDefault="00762B96" w:rsidP="00CD583F">
      <w:pPr>
        <w:pStyle w:val="Quote"/>
      </w:pPr>
      <w:r w:rsidRPr="003E5170">
        <w:t xml:space="preserve">Because it’s- well for me, just personally, it’s just easier to whip it open and then just, </w:t>
      </w:r>
      <w:r w:rsidR="006E78E4">
        <w:t>…</w:t>
      </w:r>
      <w:r w:rsidRPr="003E5170">
        <w:t xml:space="preserve"> into somebody’s leg or arm or through clothing, </w:t>
      </w:r>
      <w:r>
        <w:t>…</w:t>
      </w:r>
      <w:r w:rsidRPr="003E5170">
        <w:t xml:space="preserve"> just as preference.</w:t>
      </w:r>
      <w:r>
        <w:t xml:space="preserve"> </w:t>
      </w:r>
      <w:r w:rsidRPr="00B24D67">
        <w:t>(SA</w:t>
      </w:r>
      <w:r>
        <w:t>, Witness, Recruited from Community Pharmacy, Interview</w:t>
      </w:r>
      <w:r w:rsidR="00E53712">
        <w:t>ed</w:t>
      </w:r>
      <w:r>
        <w:t xml:space="preserve"> January 2021)</w:t>
      </w:r>
    </w:p>
    <w:p w14:paraId="37B0F507" w14:textId="11C24FD0" w:rsidR="00CA5EEA" w:rsidRPr="00C72A18" w:rsidRDefault="00403E39" w:rsidP="00A0570E">
      <w:pPr>
        <w:pStyle w:val="NbrHeading2"/>
      </w:pPr>
      <w:bookmarkStart w:id="250" w:name="_Toc94794136"/>
      <w:bookmarkStart w:id="251" w:name="_Toc94794275"/>
      <w:r>
        <w:t>Repeat</w:t>
      </w:r>
      <w:r w:rsidR="00CA5EEA" w:rsidRPr="00C72A18">
        <w:t xml:space="preserve"> access</w:t>
      </w:r>
      <w:r w:rsidR="008A0D3E">
        <w:t xml:space="preserve"> to THN</w:t>
      </w:r>
      <w:bookmarkEnd w:id="250"/>
      <w:bookmarkEnd w:id="251"/>
    </w:p>
    <w:p w14:paraId="1AB4EE21" w14:textId="52AB54B9" w:rsidR="00CA5EEA" w:rsidRDefault="00CA5EEA" w:rsidP="003D0F16">
      <w:pPr>
        <w:pStyle w:val="BodyText"/>
      </w:pPr>
      <w:r>
        <w:t>Of those</w:t>
      </w:r>
      <w:r w:rsidDel="00230F04">
        <w:t xml:space="preserve"> </w:t>
      </w:r>
      <w:r w:rsidR="00230F04">
        <w:t xml:space="preserve">supply occasions </w:t>
      </w:r>
      <w:r>
        <w:t>where evaluation data w</w:t>
      </w:r>
      <w:r w:rsidR="002D38CE">
        <w:t>ere</w:t>
      </w:r>
      <w:r>
        <w:t xml:space="preserve"> captured</w:t>
      </w:r>
      <w:r w:rsidR="0072665A">
        <w:t xml:space="preserve"> (</w:t>
      </w:r>
      <w:r w:rsidR="00242E35">
        <w:t>n=</w:t>
      </w:r>
      <w:r w:rsidR="005B1947">
        <w:t>13,525 or 48%)</w:t>
      </w:r>
      <w:r>
        <w:t>, a total of 11,023 supplies</w:t>
      </w:r>
      <w:r w:rsidR="005B6971">
        <w:t xml:space="preserve"> </w:t>
      </w:r>
      <w:r>
        <w:t>were reported as ‘initial supply’</w:t>
      </w:r>
      <w:r w:rsidR="00950DD8">
        <w:t xml:space="preserve"> (82%)</w:t>
      </w:r>
      <w:r>
        <w:t xml:space="preserve"> while 2,502 (18%) were ‘refills’ or repeat supplies. </w:t>
      </w:r>
      <w:r w:rsidR="00522ED3">
        <w:t>In the participating</w:t>
      </w:r>
      <w:r>
        <w:t xml:space="preserve"> states, the proportion of refills </w:t>
      </w:r>
      <w:r w:rsidR="007D171F">
        <w:t xml:space="preserve">was higher </w:t>
      </w:r>
      <w:r w:rsidR="00F41754">
        <w:t xml:space="preserve">during </w:t>
      </w:r>
      <w:r>
        <w:t xml:space="preserve">the Pilot than </w:t>
      </w:r>
      <w:r w:rsidR="007D171F">
        <w:t xml:space="preserve">it had been </w:t>
      </w:r>
      <w:r>
        <w:t xml:space="preserve">prior to the Pilot </w:t>
      </w:r>
      <w:r w:rsidR="009D7317">
        <w:t xml:space="preserve">through </w:t>
      </w:r>
      <w:r>
        <w:t xml:space="preserve">PBS </w:t>
      </w:r>
      <w:r w:rsidR="00534430">
        <w:t xml:space="preserve">supply </w:t>
      </w:r>
      <w:r>
        <w:t>(14%, n=93</w:t>
      </w:r>
      <w:r w:rsidR="005B6971">
        <w:t xml:space="preserve">; </w:t>
      </w:r>
      <w:r>
        <w:t xml:space="preserve">p&lt;0.001). Refill supply </w:t>
      </w:r>
      <w:r w:rsidR="00240C0F">
        <w:t xml:space="preserve">during the Pilot </w:t>
      </w:r>
      <w:r>
        <w:t xml:space="preserve">was mostly reported </w:t>
      </w:r>
      <w:r w:rsidR="00FE679A">
        <w:t xml:space="preserve">through </w:t>
      </w:r>
      <w:r>
        <w:t>AAS (54</w:t>
      </w:r>
      <w:r w:rsidR="00C41193">
        <w:t xml:space="preserve">%); </w:t>
      </w:r>
      <w:r>
        <w:t xml:space="preserve">much of </w:t>
      </w:r>
      <w:r w:rsidR="00F57651">
        <w:t xml:space="preserve">this </w:t>
      </w:r>
      <w:r>
        <w:t xml:space="preserve">was </w:t>
      </w:r>
      <w:r w:rsidR="00EB3123">
        <w:t xml:space="preserve">in </w:t>
      </w:r>
      <w:r>
        <w:t xml:space="preserve">WA. In NSW, </w:t>
      </w:r>
      <w:proofErr w:type="gramStart"/>
      <w:r>
        <w:t>the majority of</w:t>
      </w:r>
      <w:proofErr w:type="gramEnd"/>
      <w:r>
        <w:t xml:space="preserve"> refill supplies were </w:t>
      </w:r>
      <w:r w:rsidR="00EB3123">
        <w:t xml:space="preserve">through </w:t>
      </w:r>
      <w:r>
        <w:t>pharmacies (78%).</w:t>
      </w:r>
      <w:r w:rsidR="00EB5A09">
        <w:t xml:space="preserve"> Of the refills, </w:t>
      </w:r>
      <w:r w:rsidR="00603936">
        <w:t xml:space="preserve">65% were reported as due to use to reverse an overdose (see section 5.4), with 35% being due to THN </w:t>
      </w:r>
      <w:r w:rsidR="005236C0">
        <w:t>having been</w:t>
      </w:r>
      <w:r w:rsidR="00603936">
        <w:t xml:space="preserve"> damaged, lost, or given to another person. </w:t>
      </w:r>
    </w:p>
    <w:p w14:paraId="2A2020A3" w14:textId="7BFECB45" w:rsidR="00CA5EEA" w:rsidRDefault="00692A64" w:rsidP="003D0F16">
      <w:pPr>
        <w:pStyle w:val="BodyText"/>
      </w:pPr>
      <w:r>
        <w:fldChar w:fldCharType="begin"/>
      </w:r>
      <w:r>
        <w:instrText xml:space="preserve"> REF _Ref81401455 \h </w:instrText>
      </w:r>
      <w:r>
        <w:fldChar w:fldCharType="separate"/>
      </w:r>
      <w:r w:rsidR="00EE19AD">
        <w:t xml:space="preserve">Figure </w:t>
      </w:r>
      <w:r w:rsidR="00EE19AD">
        <w:rPr>
          <w:noProof/>
        </w:rPr>
        <w:t>18</w:t>
      </w:r>
      <w:r>
        <w:fldChar w:fldCharType="end"/>
      </w:r>
      <w:r w:rsidR="00FB4492">
        <w:t xml:space="preserve"> </w:t>
      </w:r>
      <w:r w:rsidR="00CA5EEA">
        <w:t xml:space="preserve">shows that monthly proportion of refills </w:t>
      </w:r>
      <w:r w:rsidR="00347A20">
        <w:t>fluctuated betwee</w:t>
      </w:r>
      <w:r w:rsidR="00801932">
        <w:t xml:space="preserve">n </w:t>
      </w:r>
      <w:r w:rsidR="00746C9D">
        <w:t>10</w:t>
      </w:r>
      <w:r w:rsidR="00E279AA">
        <w:t>%</w:t>
      </w:r>
      <w:r w:rsidR="00746C9D">
        <w:t xml:space="preserve"> and 30%</w:t>
      </w:r>
      <w:r w:rsidR="0080759C">
        <w:t xml:space="preserve"> </w:t>
      </w:r>
      <w:r w:rsidR="00CA5EEA">
        <w:t>during the Pilot</w:t>
      </w:r>
      <w:r w:rsidR="00E279AA">
        <w:t xml:space="preserve">, with no </w:t>
      </w:r>
      <w:r w:rsidR="00F041D5">
        <w:t>obvious</w:t>
      </w:r>
      <w:r w:rsidR="00E279AA">
        <w:t xml:space="preserve"> increase </w:t>
      </w:r>
      <w:r w:rsidR="00023BE5">
        <w:t xml:space="preserve">in monthly rate </w:t>
      </w:r>
      <w:r w:rsidR="00E279AA">
        <w:t>over time</w:t>
      </w:r>
      <w:r w:rsidR="00CA5EEA">
        <w:t xml:space="preserve">. We also found minimal </w:t>
      </w:r>
      <w:r w:rsidR="0065222E">
        <w:t xml:space="preserve">rate </w:t>
      </w:r>
      <w:r w:rsidR="00CA5EEA">
        <w:t xml:space="preserve">change over time when disaggregated by state, type of opioid use, type of access site and location. </w:t>
      </w:r>
    </w:p>
    <w:p w14:paraId="2D90CCFB" w14:textId="4A8B8731" w:rsidR="00CA5EEA" w:rsidRDefault="00CA5EEA" w:rsidP="003D0F16">
      <w:pPr>
        <w:pStyle w:val="Caption"/>
      </w:pPr>
      <w:bookmarkStart w:id="252" w:name="_Ref81401455"/>
      <w:bookmarkStart w:id="253" w:name="_Toc81401870"/>
      <w:bookmarkStart w:id="254" w:name="_Toc94794354"/>
      <w:r>
        <w:t xml:space="preserve">Figure </w:t>
      </w:r>
      <w:r w:rsidR="005C211A">
        <w:fldChar w:fldCharType="begin"/>
      </w:r>
      <w:r w:rsidR="005C211A">
        <w:instrText xml:space="preserve"> SEQ Figure \* ARABIC </w:instrText>
      </w:r>
      <w:r w:rsidR="005C211A">
        <w:fldChar w:fldCharType="separate"/>
      </w:r>
      <w:r w:rsidR="00EE19AD">
        <w:rPr>
          <w:noProof/>
        </w:rPr>
        <w:t>18</w:t>
      </w:r>
      <w:r w:rsidR="005C211A">
        <w:rPr>
          <w:noProof/>
        </w:rPr>
        <w:fldChar w:fldCharType="end"/>
      </w:r>
      <w:bookmarkEnd w:id="252"/>
      <w:r w:rsidR="006A2B99">
        <w:t>.</w:t>
      </w:r>
      <w:r>
        <w:t xml:space="preserve"> Number of </w:t>
      </w:r>
      <w:r w:rsidR="00BF6FE2">
        <w:t>i</w:t>
      </w:r>
      <w:r>
        <w:t xml:space="preserve">nitial and </w:t>
      </w:r>
      <w:r w:rsidR="00BF6FE2">
        <w:t xml:space="preserve">refill </w:t>
      </w:r>
      <w:r w:rsidR="00DE1B9C">
        <w:t>supply occasions</w:t>
      </w:r>
      <w:r>
        <w:t>, December 2019</w:t>
      </w:r>
      <w:r w:rsidR="00AB3027">
        <w:t xml:space="preserve"> – </w:t>
      </w:r>
      <w:r>
        <w:t>June 2021</w:t>
      </w:r>
      <w:bookmarkEnd w:id="253"/>
      <w:bookmarkEnd w:id="254"/>
    </w:p>
    <w:p w14:paraId="271482C4" w14:textId="77777777" w:rsidR="00CA5EEA" w:rsidRDefault="00CA5EEA" w:rsidP="003D0F16">
      <w:pPr>
        <w:keepNext/>
      </w:pPr>
      <w:r>
        <w:rPr>
          <w:noProof/>
        </w:rPr>
        <w:drawing>
          <wp:inline distT="0" distB="0" distL="0" distR="0" wp14:anchorId="7DA400DF" wp14:editId="3E5E39C7">
            <wp:extent cx="5591175" cy="2847975"/>
            <wp:effectExtent l="0" t="0" r="0" b="0"/>
            <wp:docPr id="48" name="Chart 48" descr="Line graph comparing number of initial and refill supply occasions by months between December 2019 – June 2021">
              <a:extLst xmlns:a="http://schemas.openxmlformats.org/drawingml/2006/main">
                <a:ext uri="{FF2B5EF4-FFF2-40B4-BE49-F238E27FC236}">
                  <a16:creationId xmlns:a16="http://schemas.microsoft.com/office/drawing/2014/main" id="{92E45DD4-FE7C-4A4B-85EB-CBE12A17B4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8E95AEA" w14:textId="179D8E94" w:rsidR="00CA5EEA" w:rsidRDefault="00CA5EEA" w:rsidP="003D0F16">
      <w:pPr>
        <w:pStyle w:val="BodyText"/>
      </w:pPr>
      <w:r>
        <w:t xml:space="preserve">Nasal spray was the formulation </w:t>
      </w:r>
      <w:proofErr w:type="gramStart"/>
      <w:r>
        <w:t>most commonly provided</w:t>
      </w:r>
      <w:proofErr w:type="gramEnd"/>
      <w:r>
        <w:t xml:space="preserve"> for both initial (87%) and repeat (76%) supplies</w:t>
      </w:r>
      <w:r w:rsidR="00F76E7D">
        <w:t xml:space="preserve"> </w:t>
      </w:r>
      <w:r w:rsidR="00167598">
        <w:t>(</w:t>
      </w:r>
      <w:r w:rsidR="00167598">
        <w:fldChar w:fldCharType="begin"/>
      </w:r>
      <w:r w:rsidR="00167598">
        <w:instrText xml:space="preserve"> REF _Ref82013429 \h </w:instrText>
      </w:r>
      <w:r w:rsidR="00167598">
        <w:fldChar w:fldCharType="separate"/>
      </w:r>
      <w:r w:rsidR="00EE19AD">
        <w:t xml:space="preserve">Figure </w:t>
      </w:r>
      <w:r w:rsidR="00EE19AD">
        <w:rPr>
          <w:noProof/>
        </w:rPr>
        <w:t>19</w:t>
      </w:r>
      <w:r w:rsidR="00167598">
        <w:fldChar w:fldCharType="end"/>
      </w:r>
      <w:r w:rsidR="00167598">
        <w:t>).</w:t>
      </w:r>
      <w:r>
        <w:t xml:space="preserve"> Pre-filled syringes comprised a higher proportion of refills than </w:t>
      </w:r>
      <w:r w:rsidR="00813E95">
        <w:t xml:space="preserve">they did of </w:t>
      </w:r>
      <w:r>
        <w:t xml:space="preserve">initial supply. This indicates that although </w:t>
      </w:r>
      <w:proofErr w:type="spellStart"/>
      <w:r>
        <w:t>Prenoxad</w:t>
      </w:r>
      <w:proofErr w:type="spellEnd"/>
      <w:r>
        <w:t xml:space="preserve">® was less popular than </w:t>
      </w:r>
      <w:proofErr w:type="spellStart"/>
      <w:r>
        <w:t>Nyxoid</w:t>
      </w:r>
      <w:proofErr w:type="spellEnd"/>
      <w:r>
        <w:t xml:space="preserve">®, it remains a preference for some consumers, and so it is important that both remain available </w:t>
      </w:r>
      <w:r w:rsidR="007165F8">
        <w:t>to consumers</w:t>
      </w:r>
      <w:r>
        <w:t>.</w:t>
      </w:r>
    </w:p>
    <w:p w14:paraId="0B51A850" w14:textId="1967648E" w:rsidR="00CA5EEA" w:rsidRDefault="00CA5EEA" w:rsidP="003D0F16">
      <w:pPr>
        <w:pStyle w:val="Caption"/>
      </w:pPr>
      <w:bookmarkStart w:id="255" w:name="_Ref82013429"/>
      <w:bookmarkStart w:id="256" w:name="_Toc81401871"/>
      <w:bookmarkStart w:id="257" w:name="_Toc94794355"/>
      <w:r>
        <w:lastRenderedPageBreak/>
        <w:t xml:space="preserve">Figure </w:t>
      </w:r>
      <w:r w:rsidR="005C211A">
        <w:fldChar w:fldCharType="begin"/>
      </w:r>
      <w:r w:rsidR="005C211A">
        <w:instrText xml:space="preserve"> SEQ Figure \* ARABIC </w:instrText>
      </w:r>
      <w:r w:rsidR="005C211A">
        <w:fldChar w:fldCharType="separate"/>
      </w:r>
      <w:r w:rsidR="00EE19AD">
        <w:rPr>
          <w:noProof/>
        </w:rPr>
        <w:t>19</w:t>
      </w:r>
      <w:r w:rsidR="005C211A">
        <w:rPr>
          <w:noProof/>
        </w:rPr>
        <w:fldChar w:fldCharType="end"/>
      </w:r>
      <w:bookmarkEnd w:id="255"/>
      <w:r w:rsidR="00AB3027">
        <w:t>.</w:t>
      </w:r>
      <w:r>
        <w:t xml:space="preserve"> THN </w:t>
      </w:r>
      <w:r w:rsidR="00185AC2">
        <w:t xml:space="preserve">formulation supplied </w:t>
      </w:r>
      <w:r>
        <w:t>as initial supply and refill</w:t>
      </w:r>
      <w:bookmarkEnd w:id="256"/>
      <w:bookmarkEnd w:id="257"/>
    </w:p>
    <w:p w14:paraId="56B2CEB7" w14:textId="7A8B9B3C" w:rsidR="00CA5EEA" w:rsidRDefault="00CA5EEA" w:rsidP="003D0F16">
      <w:pPr>
        <w:pStyle w:val="BodyText"/>
      </w:pPr>
      <w:r>
        <w:rPr>
          <w:noProof/>
        </w:rPr>
        <w:drawing>
          <wp:inline distT="0" distB="0" distL="0" distR="0" wp14:anchorId="17981A51" wp14:editId="1492255B">
            <wp:extent cx="5189517" cy="2076450"/>
            <wp:effectExtent l="0" t="0" r="0" b="0"/>
            <wp:docPr id="227" name="Chart 227" descr="Stacked bar chart of THN formulation supplied as initial supply and refill.">
              <a:extLst xmlns:a="http://schemas.openxmlformats.org/drawingml/2006/main">
                <a:ext uri="{FF2B5EF4-FFF2-40B4-BE49-F238E27FC236}">
                  <a16:creationId xmlns:a16="http://schemas.microsoft.com/office/drawing/2014/main" id="{C9CB5771-A138-4FB5-B3EE-F1DB16AB84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EDE382B" w14:textId="15501DED" w:rsidR="00C64EC4" w:rsidRDefault="001154EF" w:rsidP="003D0F16">
      <w:pPr>
        <w:pStyle w:val="BodyText"/>
      </w:pPr>
      <w:r w:rsidRPr="004963D8">
        <w:rPr>
          <w:sz w:val="18"/>
          <w:szCs w:val="18"/>
        </w:rPr>
        <w:t xml:space="preserve">Source: </w:t>
      </w:r>
      <w:r>
        <w:rPr>
          <w:sz w:val="18"/>
          <w:szCs w:val="18"/>
        </w:rPr>
        <w:t>PPA data</w:t>
      </w:r>
    </w:p>
    <w:p w14:paraId="2A755948" w14:textId="21B9E9ED" w:rsidR="0009742B" w:rsidRDefault="0009742B" w:rsidP="003D0F16">
      <w:pPr>
        <w:pStyle w:val="BodyText"/>
      </w:pPr>
    </w:p>
    <w:p w14:paraId="139B71B5" w14:textId="3A08250F" w:rsidR="004E6351" w:rsidRDefault="00B740B4" w:rsidP="003D0F16">
      <w:pPr>
        <w:pStyle w:val="BodyText"/>
      </w:pPr>
      <w:r>
        <w:t>From</w:t>
      </w:r>
      <w:r w:rsidR="00CA5EEA">
        <w:t xml:space="preserve"> interview</w:t>
      </w:r>
      <w:r w:rsidR="005F5D59">
        <w:t>s of THN recipients</w:t>
      </w:r>
      <w:r>
        <w:t>, we</w:t>
      </w:r>
      <w:r w:rsidR="00CA5EEA">
        <w:t xml:space="preserve"> estimate</w:t>
      </w:r>
      <w:r w:rsidR="00607F67">
        <w:t>d</w:t>
      </w:r>
      <w:r w:rsidR="00CA5EEA">
        <w:t xml:space="preserve"> how frequently consumers obtained a new supply</w:t>
      </w:r>
      <w:r w:rsidR="00265895">
        <w:t xml:space="preserve"> of naloxone</w:t>
      </w:r>
      <w:r w:rsidR="000F4796">
        <w:t xml:space="preserve">, </w:t>
      </w:r>
      <w:r w:rsidR="00C64EC4">
        <w:t>i.e.,</w:t>
      </w:r>
      <w:r w:rsidR="000F4796">
        <w:t xml:space="preserve"> </w:t>
      </w:r>
      <w:r w:rsidR="0008442B">
        <w:t xml:space="preserve">the time </w:t>
      </w:r>
      <w:r w:rsidR="000F4796">
        <w:t>between refills</w:t>
      </w:r>
      <w:r w:rsidR="001510F3">
        <w:t>.</w:t>
      </w:r>
      <w:r w:rsidR="00CA5EEA" w:rsidDel="001510F3">
        <w:t xml:space="preserve"> </w:t>
      </w:r>
    </w:p>
    <w:p w14:paraId="0CAC6937" w14:textId="6BCE8662" w:rsidR="00BE41EE" w:rsidRDefault="00CA5EEA" w:rsidP="003D0F16">
      <w:pPr>
        <w:pStyle w:val="BodyText"/>
      </w:pPr>
      <w:r>
        <w:t xml:space="preserve">Of 83 individuals who were interviewed at least twice, 52 (63%) reported at least one refill event. </w:t>
      </w:r>
      <w:r w:rsidR="00F12203">
        <w:fldChar w:fldCharType="begin"/>
      </w:r>
      <w:r w:rsidR="00F12203">
        <w:instrText xml:space="preserve"> REF _Ref82013474 \h </w:instrText>
      </w:r>
      <w:r w:rsidR="00F12203">
        <w:fldChar w:fldCharType="separate"/>
      </w:r>
      <w:r w:rsidR="00EE19AD">
        <w:t xml:space="preserve">Figure </w:t>
      </w:r>
      <w:r w:rsidR="00EE19AD">
        <w:rPr>
          <w:noProof/>
        </w:rPr>
        <w:t>20</w:t>
      </w:r>
      <w:r w:rsidR="00F12203">
        <w:fldChar w:fldCharType="end"/>
      </w:r>
      <w:r w:rsidR="007E6315">
        <w:t xml:space="preserve"> </w:t>
      </w:r>
      <w:r>
        <w:t xml:space="preserve">shows that over half (58%) obtained their THN refill 2-6 months after previous supply while one third (29%) refilled after 7-12 months. </w:t>
      </w:r>
    </w:p>
    <w:p w14:paraId="45764A50" w14:textId="77777777" w:rsidR="00F6713B" w:rsidRPr="00CC0E8F" w:rsidRDefault="00F6713B" w:rsidP="00F6713B">
      <w:pPr>
        <w:pStyle w:val="Caption"/>
        <w:rPr>
          <w:noProof/>
        </w:rPr>
      </w:pPr>
      <w:bookmarkStart w:id="258" w:name="_Toc94794356"/>
      <w:r>
        <w:t xml:space="preserve">Figure </w:t>
      </w:r>
      <w:r>
        <w:fldChar w:fldCharType="begin"/>
      </w:r>
      <w:r>
        <w:instrText>SEQ Figure \* ARABIC</w:instrText>
      </w:r>
      <w:r>
        <w:fldChar w:fldCharType="separate"/>
      </w:r>
      <w:r>
        <w:rPr>
          <w:noProof/>
        </w:rPr>
        <w:t>20</w:t>
      </w:r>
      <w:r>
        <w:fldChar w:fldCharType="end"/>
      </w:r>
      <w:r>
        <w:t xml:space="preserve">. </w:t>
      </w:r>
      <w:r w:rsidRPr="00F07E3F">
        <w:t>Estimated interval between THN supply (refills) using interview data (n=52)</w:t>
      </w:r>
      <w:bookmarkEnd w:id="258"/>
    </w:p>
    <w:p w14:paraId="6D064620" w14:textId="655F1DA3" w:rsidR="00F6713B" w:rsidRDefault="00F6713B" w:rsidP="003D0F16">
      <w:pPr>
        <w:pStyle w:val="BodyText"/>
      </w:pPr>
      <w:r>
        <w:rPr>
          <w:noProof/>
        </w:rPr>
        <w:drawing>
          <wp:inline distT="0" distB="0" distL="0" distR="0" wp14:anchorId="0D00EA35" wp14:editId="0910A712">
            <wp:extent cx="3175000" cy="2320925"/>
            <wp:effectExtent l="0" t="0" r="6350" b="3175"/>
            <wp:docPr id="41" name="Chart 41" descr="Doughnut chart of estimated interval between THN supply (refills) using interview data.">
              <a:extLst xmlns:a="http://schemas.openxmlformats.org/drawingml/2006/main">
                <a:ext uri="{FF2B5EF4-FFF2-40B4-BE49-F238E27FC236}">
                  <a16:creationId xmlns:a16="http://schemas.microsoft.com/office/drawing/2014/main" id="{C34D6A82-2F21-4667-A8B8-DE0E2E9EE0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CC5C2DD" w14:textId="15BDF8A9" w:rsidR="00CA5EEA" w:rsidRDefault="00780972" w:rsidP="003D0F16">
      <w:pPr>
        <w:pStyle w:val="BodyText"/>
      </w:pPr>
      <w:r>
        <w:t xml:space="preserve">Most </w:t>
      </w:r>
      <w:r w:rsidR="00716BA0">
        <w:t>interviewees</w:t>
      </w:r>
      <w:r w:rsidR="006C4011">
        <w:t xml:space="preserve"> </w:t>
      </w:r>
      <w:r w:rsidR="00EF4E6B">
        <w:t xml:space="preserve">had </w:t>
      </w:r>
      <w:r w:rsidR="006C4011">
        <w:t>obtained their THN refill from community pharmacies; this aligns with</w:t>
      </w:r>
      <w:r w:rsidR="00B3138A">
        <w:t xml:space="preserve"> </w:t>
      </w:r>
      <w:r w:rsidR="003C32B5">
        <w:t>data from the PPA portal</w:t>
      </w:r>
      <w:r w:rsidR="00CA5EEA">
        <w:t>, where the majority of THN refill</w:t>
      </w:r>
      <w:r w:rsidR="00052A47">
        <w:t>s we</w:t>
      </w:r>
      <w:r w:rsidR="00CA5EEA">
        <w:t xml:space="preserve"> from community pharmacies (50%) and NSPs (42%).</w:t>
      </w:r>
    </w:p>
    <w:p w14:paraId="40B58296" w14:textId="36F2746A" w:rsidR="00CA5EEA" w:rsidRDefault="00CA5EEA" w:rsidP="003D0F16">
      <w:pPr>
        <w:pStyle w:val="BodyText"/>
        <w:keepNext/>
      </w:pPr>
    </w:p>
    <w:p w14:paraId="0E5F8112" w14:textId="77777777" w:rsidR="00CA5EEA" w:rsidRDefault="00CA5EEA" w:rsidP="003D0F16">
      <w:pPr>
        <w:pStyle w:val="BodyText"/>
      </w:pPr>
    </w:p>
    <w:p w14:paraId="565483D9" w14:textId="0D25ECBB" w:rsidR="0009742B" w:rsidRPr="001154EF" w:rsidRDefault="005F5D59">
      <w:pPr>
        <w:spacing w:after="160" w:line="259" w:lineRule="auto"/>
        <w:rPr>
          <w:sz w:val="18"/>
          <w:szCs w:val="18"/>
        </w:rPr>
      </w:pPr>
      <w:r w:rsidRPr="001154EF">
        <w:rPr>
          <w:sz w:val="18"/>
          <w:szCs w:val="18"/>
        </w:rPr>
        <w:t>Source: Interview data</w:t>
      </w:r>
      <w:r w:rsidR="0009742B" w:rsidRPr="001154EF">
        <w:rPr>
          <w:sz w:val="18"/>
          <w:szCs w:val="18"/>
        </w:rPr>
        <w:br w:type="page"/>
      </w:r>
    </w:p>
    <w:p w14:paraId="00E75B72" w14:textId="4D96E29D" w:rsidR="00CA5EEA" w:rsidRPr="00C72A18" w:rsidRDefault="00CA5EEA" w:rsidP="00A0570E">
      <w:pPr>
        <w:pStyle w:val="NbrHeading2"/>
      </w:pPr>
      <w:bookmarkStart w:id="259" w:name="_Toc94794137"/>
      <w:bookmarkStart w:id="260" w:name="_Toc94794276"/>
      <w:r w:rsidRPr="00C72A18">
        <w:lastRenderedPageBreak/>
        <w:t xml:space="preserve">Use of </w:t>
      </w:r>
      <w:r w:rsidR="001A136C">
        <w:t>THN for overdose reversal</w:t>
      </w:r>
      <w:bookmarkEnd w:id="259"/>
      <w:bookmarkEnd w:id="260"/>
    </w:p>
    <w:p w14:paraId="46ABD7F7" w14:textId="2E966CDD" w:rsidR="00CA5EEA" w:rsidRDefault="00CA5EEA" w:rsidP="003D0F16">
      <w:pPr>
        <w:pStyle w:val="BodyText"/>
      </w:pPr>
      <w:r>
        <w:t xml:space="preserve">Naloxone recipients who reported their supply as a refill were asked whether the previous supply had been used to resuscitate someone. Of the supply records with evaluation data (n=13,525; 48% of </w:t>
      </w:r>
      <w:r w:rsidR="008A3CF7">
        <w:t>supplies</w:t>
      </w:r>
      <w:r>
        <w:t>), 1</w:t>
      </w:r>
      <w:r w:rsidR="006B33D7">
        <w:t>,</w:t>
      </w:r>
      <w:r>
        <w:t xml:space="preserve">649 (12%) reported their previous supply had been used to reverse an opioid overdose during the Pilot. </w:t>
      </w:r>
      <w:r w:rsidR="004307D1">
        <w:t>Other studies show comparable findings: data from the 2019 IDRS showed that of PWID who had accessed naloxone through a take home program, 12% had used it to resuscitate someone.</w:t>
      </w:r>
      <w:r w:rsidR="00AB5563">
        <w:t xml:space="preserve"> A 2015 international meta-analysis estimated that 9% of naloxone units distributed to people who use illicit drugs</w:t>
      </w:r>
      <w:r w:rsidR="00A06ACB">
        <w:t xml:space="preserve"> would</w:t>
      </w:r>
      <w:r w:rsidR="00AB5563">
        <w:t xml:space="preserve"> be used within three months to resuscitate someone </w:t>
      </w:r>
      <w:r w:rsidR="00AB5563">
        <w:fldChar w:fldCharType="begin"/>
      </w:r>
      <w:r w:rsidR="00441C1C">
        <w:instrText xml:space="preserve"> ADDIN EN.CITE &lt;EndNote&gt;&lt;Cite&gt;&lt;Author&gt;McAuley&lt;/Author&gt;&lt;Year&gt;2015&lt;/Year&gt;&lt;RecNum&gt;6&lt;/RecNum&gt;&lt;DisplayText&gt;(44)&lt;/DisplayText&gt;&lt;record&gt;&lt;rec-number&gt;6&lt;/rec-number&gt;&lt;foreign-keys&gt;&lt;key app="EN" db-id="p00v9zw27zzswpe25phxpead0asdt50td92p" timestamp="1624595711"&gt;6&lt;/key&gt;&lt;/foreign-keys&gt;&lt;ref-type name="Journal Article"&gt;17&lt;/ref-type&gt;&lt;contributors&gt;&lt;authors&gt;&lt;author&gt;McAuley, Andrew&lt;/author&gt;&lt;author&gt;Aucott, Lorna&lt;/author&gt;&lt;author&gt;Matheson, Catriona&lt;/author&gt;&lt;/authors&gt;&lt;/contributors&gt;&lt;titles&gt;&lt;title&gt;Exploring the life-saving potential of naloxone: A systematic review and descriptive meta-analysis of take home naloxone (THN) programmes for opioid users&lt;/title&gt;&lt;secondary-title&gt;International Journal of Drug Policy&lt;/secondary-title&gt;&lt;/titles&gt;&lt;periodical&gt;&lt;full-title&gt;International Journal of Drug Policy&lt;/full-title&gt;&lt;/periodical&gt;&lt;pages&gt;1183-1188&lt;/pages&gt;&lt;volume&gt;26&lt;/volume&gt;&lt;number&gt;12&lt;/number&gt;&lt;keywords&gt;&lt;keyword&gt;Internal Medicine&lt;/keyword&gt;&lt;keyword&gt;Medical Education&lt;/keyword&gt;&lt;keyword&gt;Drugs&lt;/keyword&gt;&lt;keyword&gt;Opioid&lt;/keyword&gt;&lt;keyword&gt;Take-home naloxone&lt;/keyword&gt;&lt;keyword&gt;Overdose&lt;/keyword&gt;&lt;keyword&gt;Mortality&lt;/keyword&gt;&lt;keyword&gt;Life Sciences &amp;amp; Biomedicine&lt;/keyword&gt;&lt;keyword&gt;Substance Abuse&lt;/keyword&gt;&lt;keyword&gt;Science &amp;amp; Technology&lt;/keyword&gt;&lt;keyword&gt;Opioid-Related Disorders - drug therapy&lt;/keyword&gt;&lt;keyword&gt;Self Administration&lt;/keyword&gt;&lt;keyword&gt;Drug Overdose - drug therapy&lt;/keyword&gt;&lt;keyword&gt;Narcotic Antagonists - therapeutic use&lt;/keyword&gt;&lt;keyword&gt;Harm Reduction&lt;/keyword&gt;&lt;keyword&gt;Humans&lt;/keyword&gt;&lt;keyword&gt;Peer Group&lt;/keyword&gt;&lt;keyword&gt;Naloxone - therapeutic use&lt;/keyword&gt;&lt;keyword&gt;Analysis&lt;/keyword&gt;&lt;keyword&gt;Naloxone&lt;/keyword&gt;&lt;/keywords&gt;&lt;dates&gt;&lt;year&gt;2015&lt;/year&gt;&lt;/dates&gt;&lt;pub-location&gt;AMSTERDAM&lt;/pub-location&gt;&lt;publisher&gt;Elsevier B.V&lt;/publisher&gt;&lt;isbn&gt;0955-3959&lt;/isbn&gt;&lt;urls&gt;&lt;/urls&gt;&lt;electronic-resource-num&gt;10.1016/j.drugpo.2015.09.011&lt;/electronic-resource-num&gt;&lt;/record&gt;&lt;/Cite&gt;&lt;/EndNote&gt;</w:instrText>
      </w:r>
      <w:r w:rsidR="00AB5563">
        <w:fldChar w:fldCharType="separate"/>
      </w:r>
      <w:r w:rsidR="00441C1C">
        <w:rPr>
          <w:noProof/>
        </w:rPr>
        <w:t>(44)</w:t>
      </w:r>
      <w:r w:rsidR="00AB5563">
        <w:fldChar w:fldCharType="end"/>
      </w:r>
      <w:r w:rsidR="00AB5563">
        <w:t>.</w:t>
      </w:r>
    </w:p>
    <w:p w14:paraId="4988F75F" w14:textId="518B4BE5" w:rsidR="00CA5EEA" w:rsidRDefault="004307D1" w:rsidP="003D0F16">
      <w:pPr>
        <w:pStyle w:val="BodyText"/>
      </w:pPr>
      <w:r>
        <w:t xml:space="preserve">This estimate </w:t>
      </w:r>
      <w:r w:rsidR="00CA5EEA">
        <w:t xml:space="preserve">is the equivalent of approximately </w:t>
      </w:r>
      <w:r w:rsidR="00CA5EEA" w:rsidRPr="005A0109">
        <w:rPr>
          <w:b/>
          <w:bCs/>
        </w:rPr>
        <w:t>3 opioid overdose</w:t>
      </w:r>
      <w:r w:rsidR="00F21567">
        <w:rPr>
          <w:b/>
          <w:bCs/>
        </w:rPr>
        <w:t>s</w:t>
      </w:r>
      <w:r w:rsidR="00CA5EEA">
        <w:rPr>
          <w:b/>
          <w:bCs/>
        </w:rPr>
        <w:t xml:space="preserve"> </w:t>
      </w:r>
      <w:r w:rsidR="006510F6">
        <w:rPr>
          <w:b/>
          <w:bCs/>
        </w:rPr>
        <w:t>reversed</w:t>
      </w:r>
      <w:r w:rsidR="00CA5EEA" w:rsidRPr="005A0109">
        <w:rPr>
          <w:b/>
          <w:bCs/>
        </w:rPr>
        <w:t xml:space="preserve"> per day</w:t>
      </w:r>
      <w:r w:rsidR="00CA5EEA">
        <w:rPr>
          <w:rStyle w:val="FootnoteReference"/>
          <w:b/>
          <w:bCs/>
        </w:rPr>
        <w:footnoteReference w:id="32"/>
      </w:r>
      <w:r w:rsidR="00CA5EEA">
        <w:t xml:space="preserve"> across the entire period of the Pilot</w:t>
      </w:r>
      <w:r w:rsidR="005916ED">
        <w:t xml:space="preserve"> (</w:t>
      </w:r>
      <w:r w:rsidR="005916ED">
        <w:fldChar w:fldCharType="begin"/>
      </w:r>
      <w:r w:rsidR="005916ED">
        <w:instrText xml:space="preserve"> REF _Ref82013538 \h </w:instrText>
      </w:r>
      <w:r w:rsidR="005916ED">
        <w:fldChar w:fldCharType="separate"/>
      </w:r>
      <w:r w:rsidR="00EE19AD">
        <w:t xml:space="preserve">Figure </w:t>
      </w:r>
      <w:r w:rsidR="00EE19AD">
        <w:rPr>
          <w:noProof/>
        </w:rPr>
        <w:t>21</w:t>
      </w:r>
      <w:r w:rsidR="005916ED">
        <w:fldChar w:fldCharType="end"/>
      </w:r>
      <w:r w:rsidR="005916ED">
        <w:t>)</w:t>
      </w:r>
      <w:r w:rsidR="00CA5EEA">
        <w:t xml:space="preserve">. As </w:t>
      </w:r>
      <w:r w:rsidR="000212B4">
        <w:t>it is based on</w:t>
      </w:r>
      <w:r w:rsidR="00CA5EEA">
        <w:t xml:space="preserve"> data </w:t>
      </w:r>
      <w:r w:rsidR="000212B4">
        <w:t xml:space="preserve">from </w:t>
      </w:r>
      <w:r w:rsidR="00CA5EEA">
        <w:t xml:space="preserve">only 48% of </w:t>
      </w:r>
      <w:r w:rsidR="00C109F7">
        <w:t>supply occasions</w:t>
      </w:r>
      <w:r w:rsidR="00CA5EEA">
        <w:t>, this</w:t>
      </w:r>
      <w:r w:rsidR="00CA5EEA" w:rsidDel="008D6BCF">
        <w:t xml:space="preserve"> </w:t>
      </w:r>
      <w:r w:rsidR="00CA5EEA">
        <w:t xml:space="preserve">is likely to be a significant </w:t>
      </w:r>
      <w:r w:rsidR="00CA5EEA" w:rsidRPr="004A2BCF">
        <w:rPr>
          <w:b/>
          <w:bCs/>
        </w:rPr>
        <w:t>under-estimate</w:t>
      </w:r>
      <w:r w:rsidR="00CA5EEA">
        <w:t xml:space="preserve">. </w:t>
      </w:r>
    </w:p>
    <w:p w14:paraId="3285C2EC" w14:textId="02957B6B" w:rsidR="002E3459" w:rsidRDefault="002E3459" w:rsidP="002E3459">
      <w:pPr>
        <w:pStyle w:val="Caption"/>
        <w:rPr>
          <w:i/>
          <w:iCs w:val="0"/>
        </w:rPr>
      </w:pPr>
      <w:bookmarkStart w:id="261" w:name="_Ref82013538"/>
      <w:bookmarkStart w:id="262" w:name="_Toc81401873"/>
      <w:bookmarkStart w:id="263" w:name="_Toc94794357"/>
      <w:r>
        <w:t xml:space="preserve">Figure </w:t>
      </w:r>
      <w:r w:rsidR="005C211A">
        <w:fldChar w:fldCharType="begin"/>
      </w:r>
      <w:r w:rsidR="005C211A">
        <w:instrText xml:space="preserve"> SEQ Figure \* ARABIC </w:instrText>
      </w:r>
      <w:r w:rsidR="005C211A">
        <w:fldChar w:fldCharType="separate"/>
      </w:r>
      <w:r w:rsidR="00EE19AD">
        <w:rPr>
          <w:noProof/>
        </w:rPr>
        <w:t>21</w:t>
      </w:r>
      <w:r w:rsidR="005C211A">
        <w:rPr>
          <w:noProof/>
        </w:rPr>
        <w:fldChar w:fldCharType="end"/>
      </w:r>
      <w:bookmarkEnd w:id="261"/>
      <w:r w:rsidR="00217465">
        <w:t>.</w:t>
      </w:r>
      <w:r>
        <w:t xml:space="preserve"> </w:t>
      </w:r>
      <w:r w:rsidR="00800566">
        <w:t>U</w:t>
      </w:r>
      <w:r>
        <w:t>se of naloxone during the Pilot</w:t>
      </w:r>
      <w:bookmarkEnd w:id="262"/>
      <w:bookmarkEnd w:id="263"/>
    </w:p>
    <w:p w14:paraId="5EBE9D70" w14:textId="77777777" w:rsidR="002E3459" w:rsidRDefault="0000326E">
      <w:pPr>
        <w:spacing w:after="160" w:line="259" w:lineRule="auto"/>
      </w:pPr>
      <w:r>
        <w:rPr>
          <w:noProof/>
        </w:rPr>
        <w:drawing>
          <wp:inline distT="0" distB="0" distL="0" distR="0" wp14:anchorId="5CC146F3" wp14:editId="051E35A6">
            <wp:extent cx="5928360" cy="2737104"/>
            <wp:effectExtent l="0" t="0" r="0" b="6350"/>
            <wp:docPr id="56" name="Picture 56" descr="THN Saved at least 1,649 lives, and 3 lives each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HN Saved at least 1,649 lives, and 3 lives each day&#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28360" cy="2737104"/>
                    </a:xfrm>
                    <a:prstGeom prst="rect">
                      <a:avLst/>
                    </a:prstGeom>
                  </pic:spPr>
                </pic:pic>
              </a:graphicData>
            </a:graphic>
          </wp:inline>
        </w:drawing>
      </w:r>
    </w:p>
    <w:p w14:paraId="18D3D6AC" w14:textId="163CC702" w:rsidR="00BF49BF" w:rsidRDefault="00CA5EEA" w:rsidP="00D63B64">
      <w:pPr>
        <w:pStyle w:val="BodyText"/>
      </w:pPr>
      <w:r>
        <w:t xml:space="preserve">The number of refills due to use </w:t>
      </w:r>
      <w:r w:rsidR="00971995">
        <w:t>recorded at access sites</w:t>
      </w:r>
      <w:r w:rsidR="00004631">
        <w:t xml:space="preserve"> </w:t>
      </w:r>
      <w:r w:rsidR="004E744F">
        <w:t xml:space="preserve">each month </w:t>
      </w:r>
      <w:r>
        <w:t xml:space="preserve">fluctuated </w:t>
      </w:r>
      <w:r w:rsidR="002243A4">
        <w:t xml:space="preserve">considerably </w:t>
      </w:r>
      <w:r>
        <w:t xml:space="preserve">over </w:t>
      </w:r>
      <w:r w:rsidR="00082D20">
        <w:t>the course of the Pilot</w:t>
      </w:r>
      <w:r>
        <w:t>, with the largest numbers seen in WA</w:t>
      </w:r>
      <w:r w:rsidR="005010BC">
        <w:t>.</w:t>
      </w:r>
      <w:r>
        <w:t xml:space="preserve"> However, there was a gradual increase in the monthly figures for NSW and SA from December 2019</w:t>
      </w:r>
      <w:r w:rsidR="00730558">
        <w:t xml:space="preserve"> onwards</w:t>
      </w:r>
      <w:r>
        <w:t xml:space="preserve">. </w:t>
      </w:r>
    </w:p>
    <w:p w14:paraId="5F307DC9" w14:textId="0B82C7A5" w:rsidR="00616042" w:rsidRDefault="00197C00" w:rsidP="003D0F16">
      <w:pPr>
        <w:pStyle w:val="BodyText"/>
      </w:pPr>
      <w:r>
        <w:t>M</w:t>
      </w:r>
      <w:r w:rsidR="00BF49BF">
        <w:t>ost</w:t>
      </w:r>
      <w:r w:rsidR="003A212F">
        <w:t xml:space="preserve"> </w:t>
      </w:r>
      <w:r w:rsidR="00BF49BF">
        <w:t xml:space="preserve">were reported </w:t>
      </w:r>
      <w:r w:rsidR="0096150B">
        <w:t>from</w:t>
      </w:r>
      <w:r w:rsidR="00BF49BF">
        <w:t xml:space="preserve"> cities, </w:t>
      </w:r>
      <w:r w:rsidR="000B5877">
        <w:t xml:space="preserve">but even so, </w:t>
      </w:r>
      <w:r w:rsidR="0096150B">
        <w:t>94</w:t>
      </w:r>
      <w:r w:rsidR="002050A1">
        <w:t xml:space="preserve"> overdose reversal events</w:t>
      </w:r>
      <w:r w:rsidR="000B5877">
        <w:t xml:space="preserve"> (6% of the total</w:t>
      </w:r>
      <w:r w:rsidR="002050A1">
        <w:t>)</w:t>
      </w:r>
      <w:r w:rsidR="0096150B">
        <w:t xml:space="preserve"> </w:t>
      </w:r>
      <w:r w:rsidR="0044368B">
        <w:t xml:space="preserve">were </w:t>
      </w:r>
      <w:r w:rsidR="00EA4E9C">
        <w:t>recorded by sites in</w:t>
      </w:r>
      <w:r w:rsidR="0096150B">
        <w:t xml:space="preserve"> regional and remote areas.</w:t>
      </w:r>
      <w:r w:rsidR="00A27BC4">
        <w:t xml:space="preserve"> </w:t>
      </w:r>
      <w:r w:rsidR="00036675">
        <w:t>I</w:t>
      </w:r>
      <w:r w:rsidR="00A27BC4">
        <w:t xml:space="preserve">n NSW </w:t>
      </w:r>
      <w:r w:rsidR="006939E3">
        <w:t xml:space="preserve">most </w:t>
      </w:r>
      <w:r w:rsidR="00217B0B">
        <w:t xml:space="preserve">refills due to use </w:t>
      </w:r>
      <w:r w:rsidR="00776975">
        <w:t>were</w:t>
      </w:r>
      <w:r w:rsidR="006939E3">
        <w:t xml:space="preserve"> from community pharmacies (79%) </w:t>
      </w:r>
      <w:r w:rsidR="0057447C">
        <w:t xml:space="preserve">while in WA </w:t>
      </w:r>
      <w:r w:rsidR="00AB4696">
        <w:t xml:space="preserve">these were </w:t>
      </w:r>
      <w:r w:rsidR="0057447C">
        <w:t>from AAS (84%).</w:t>
      </w:r>
      <w:r w:rsidR="0096333D">
        <w:t xml:space="preserve"> </w:t>
      </w:r>
    </w:p>
    <w:p w14:paraId="209B1D7E" w14:textId="0102B042" w:rsidR="000D18D3" w:rsidRDefault="000D3C97" w:rsidP="003D0F16">
      <w:pPr>
        <w:pStyle w:val="BodyText"/>
      </w:pPr>
      <w:r>
        <w:t xml:space="preserve">Overall, </w:t>
      </w:r>
      <w:r w:rsidR="00D37E95">
        <w:t xml:space="preserve">nearly one third </w:t>
      </w:r>
      <w:r w:rsidR="005C2232">
        <w:t xml:space="preserve">(31%) </w:t>
      </w:r>
      <w:r w:rsidR="00D37E95">
        <w:t xml:space="preserve">of </w:t>
      </w:r>
      <w:r w:rsidR="000D18D3">
        <w:t xml:space="preserve">people </w:t>
      </w:r>
      <w:r w:rsidR="005C2232">
        <w:t xml:space="preserve">obtaining refills after use </w:t>
      </w:r>
      <w:r w:rsidR="007C5AC3">
        <w:t>identified as witnesses</w:t>
      </w:r>
      <w:r w:rsidR="005C2232">
        <w:t>.  T</w:t>
      </w:r>
      <w:r w:rsidR="00416A74">
        <w:t xml:space="preserve">here was some variation between </w:t>
      </w:r>
      <w:r w:rsidR="006A4B31">
        <w:t>the states</w:t>
      </w:r>
      <w:r w:rsidR="000271EC">
        <w:t>:</w:t>
      </w:r>
      <w:r w:rsidR="006A4B31">
        <w:t xml:space="preserve"> </w:t>
      </w:r>
      <w:r w:rsidR="000271EC">
        <w:t>i</w:t>
      </w:r>
      <w:r w:rsidR="00876A04">
        <w:t xml:space="preserve">n </w:t>
      </w:r>
      <w:r w:rsidR="00662D7E">
        <w:t>NSW</w:t>
      </w:r>
      <w:r w:rsidR="00876A04">
        <w:t>,</w:t>
      </w:r>
      <w:r w:rsidR="00662D7E">
        <w:t xml:space="preserve"> 41%</w:t>
      </w:r>
      <w:r w:rsidR="00876A04">
        <w:t xml:space="preserve"> were witnesses</w:t>
      </w:r>
      <w:r w:rsidR="00662D7E">
        <w:t xml:space="preserve">, </w:t>
      </w:r>
      <w:r w:rsidR="00876A04">
        <w:t xml:space="preserve">in </w:t>
      </w:r>
      <w:r w:rsidR="00662D7E">
        <w:t xml:space="preserve">SA 24% and </w:t>
      </w:r>
      <w:r w:rsidR="00876A04">
        <w:t xml:space="preserve">18% in </w:t>
      </w:r>
      <w:r w:rsidR="00662D7E">
        <w:t>WA</w:t>
      </w:r>
      <w:r w:rsidR="00876A04">
        <w:t>.</w:t>
      </w:r>
      <w:r w:rsidR="00B15174">
        <w:t xml:space="preserve"> </w:t>
      </w:r>
      <w:r w:rsidR="001A564A">
        <w:t xml:space="preserve">People who identified as using </w:t>
      </w:r>
      <w:r w:rsidR="00912A88">
        <w:t>prescribed opioids compris</w:t>
      </w:r>
      <w:r w:rsidR="00F4524E">
        <w:t xml:space="preserve">ed </w:t>
      </w:r>
      <w:r w:rsidR="0078419E">
        <w:t xml:space="preserve">21% and </w:t>
      </w:r>
      <w:r w:rsidR="00686FC4">
        <w:t>PUIO, 48%</w:t>
      </w:r>
      <w:r w:rsidR="00DB2C53">
        <w:t>.</w:t>
      </w:r>
    </w:p>
    <w:p w14:paraId="4429E98C" w14:textId="6BCB62A8" w:rsidR="004217E0" w:rsidRDefault="0041052E" w:rsidP="004217E0">
      <w:pPr>
        <w:pStyle w:val="BodyText"/>
      </w:pPr>
      <w:r>
        <w:t>Of th</w:t>
      </w:r>
      <w:r w:rsidR="00B57E4B">
        <w:t>e</w:t>
      </w:r>
      <w:r>
        <w:t xml:space="preserve"> </w:t>
      </w:r>
      <w:r w:rsidR="00B57E4B">
        <w:t>c</w:t>
      </w:r>
      <w:r w:rsidR="0014414B">
        <w:t>onsumer</w:t>
      </w:r>
      <w:r w:rsidR="003711D6">
        <w:t>s</w:t>
      </w:r>
      <w:r w:rsidR="0014414B">
        <w:t xml:space="preserve"> interview</w:t>
      </w:r>
      <w:r w:rsidR="003711D6">
        <w:t>ed</w:t>
      </w:r>
      <w:r w:rsidR="00F210B6">
        <w:t xml:space="preserve"> (n=213)</w:t>
      </w:r>
      <w:r w:rsidR="000A203A">
        <w:t>,</w:t>
      </w:r>
      <w:r w:rsidR="0014414B">
        <w:t xml:space="preserve"> o</w:t>
      </w:r>
      <w:r w:rsidR="0090564D">
        <w:t>ne third (29%) reported at least one overdose reversal using THN in the last 12 months</w:t>
      </w:r>
      <w:r w:rsidR="00882D54">
        <w:t>, with</w:t>
      </w:r>
      <w:r w:rsidR="0090564D">
        <w:t xml:space="preserve"> 12% </w:t>
      </w:r>
      <w:r w:rsidR="00BD2DA7">
        <w:t xml:space="preserve">reporting </w:t>
      </w:r>
      <w:r w:rsidR="0090564D">
        <w:t xml:space="preserve">2-4 occasions </w:t>
      </w:r>
      <w:r w:rsidR="00BD2DA7">
        <w:t>and</w:t>
      </w:r>
      <w:r w:rsidR="0090564D">
        <w:t xml:space="preserve"> 1% </w:t>
      </w:r>
      <w:r w:rsidR="00BD2DA7">
        <w:t xml:space="preserve">more than </w:t>
      </w:r>
      <w:r w:rsidR="0090564D">
        <w:t>4 occasions</w:t>
      </w:r>
      <w:r w:rsidR="00744D27">
        <w:t>.</w:t>
      </w:r>
      <w:r w:rsidR="0090564D">
        <w:rPr>
          <w:rStyle w:val="FootnoteReference"/>
        </w:rPr>
        <w:footnoteReference w:id="33"/>
      </w:r>
      <w:r w:rsidR="0090564D">
        <w:t xml:space="preserve"> </w:t>
      </w:r>
      <w:r w:rsidR="00377610">
        <w:t xml:space="preserve">Of those who used </w:t>
      </w:r>
      <w:r w:rsidR="00615D8E">
        <w:t xml:space="preserve">their </w:t>
      </w:r>
      <w:r w:rsidR="00377610">
        <w:t>THN</w:t>
      </w:r>
      <w:r w:rsidR="00014CD8">
        <w:t xml:space="preserve"> on others</w:t>
      </w:r>
      <w:r w:rsidR="00377610">
        <w:t>, 56% and 46% administered nasal spray and pre-filled syringe</w:t>
      </w:r>
      <w:r w:rsidR="00111022">
        <w:t>s</w:t>
      </w:r>
      <w:r w:rsidR="00377610">
        <w:t xml:space="preserve">, respectively. </w:t>
      </w:r>
      <w:r w:rsidR="0079631B">
        <w:t>Ten interviewees</w:t>
      </w:r>
      <w:r w:rsidR="00014CD8">
        <w:t xml:space="preserve"> reported that they were resuscitated </w:t>
      </w:r>
      <w:r w:rsidR="00014CD8">
        <w:lastRenderedPageBreak/>
        <w:t>using their own THN at least once in the last 12 months</w:t>
      </w:r>
      <w:r w:rsidR="00717A84">
        <w:t>. Most</w:t>
      </w:r>
      <w:r w:rsidR="00014CD8">
        <w:t xml:space="preserve"> reported having used illicit opioids. </w:t>
      </w:r>
      <w:r w:rsidR="004217E0">
        <w:t>Five were resuscitated using a pre-filled syringe and two with nasal spray.</w:t>
      </w:r>
    </w:p>
    <w:p w14:paraId="2E420475" w14:textId="190B4FFF" w:rsidR="0074455E" w:rsidRPr="0074455E" w:rsidRDefault="00014CD8" w:rsidP="0074455E">
      <w:pPr>
        <w:pStyle w:val="BodyText"/>
      </w:pPr>
      <w:r>
        <w:t>Seven were resuscitated by friends, neighbours and/or bystanders</w:t>
      </w:r>
      <w:r w:rsidR="001E05CA">
        <w:t>, again reinforcing the importance of witnesses</w:t>
      </w:r>
      <w:r w:rsidR="002D5487">
        <w:t xml:space="preserve"> as agents of overdose reversal</w:t>
      </w:r>
      <w:r>
        <w:t xml:space="preserve">. </w:t>
      </w:r>
    </w:p>
    <w:p w14:paraId="03423BCC" w14:textId="1E88B4A5" w:rsidR="00612567" w:rsidRPr="00FC2B85" w:rsidRDefault="00612567" w:rsidP="00FC2B85">
      <w:pPr>
        <w:pStyle w:val="BodyText"/>
      </w:pPr>
      <w:r>
        <w:t>Many consumers reported that they liked to carry naloxone in case they witnessed an overdose:</w:t>
      </w:r>
    </w:p>
    <w:p w14:paraId="6B7C3035" w14:textId="66560537" w:rsidR="007271F2" w:rsidRPr="006945CD" w:rsidRDefault="007271F2" w:rsidP="007271F2">
      <w:pPr>
        <w:pStyle w:val="Quote"/>
      </w:pPr>
      <w:r w:rsidRPr="006945CD">
        <w:t>I always keep Naloxone on me, wherever I go, in the car or in my bag, wherever...just in case I need it</w:t>
      </w:r>
      <w:r>
        <w:t xml:space="preserve"> </w:t>
      </w:r>
      <w:r w:rsidRPr="00EC565F">
        <w:t>(</w:t>
      </w:r>
      <w:r>
        <w:t>WA</w:t>
      </w:r>
      <w:r w:rsidRPr="00EC565F">
        <w:t xml:space="preserve">, </w:t>
      </w:r>
      <w:r>
        <w:t>PUIO</w:t>
      </w:r>
      <w:r w:rsidRPr="00EC565F">
        <w:t>,</w:t>
      </w:r>
      <w:r>
        <w:t xml:space="preserve"> Recruited from NSP, Interviewed May 2021</w:t>
      </w:r>
      <w:r w:rsidRPr="00EC565F">
        <w:t>).</w:t>
      </w:r>
    </w:p>
    <w:p w14:paraId="16524A4E" w14:textId="77777777" w:rsidR="007271F2" w:rsidRPr="00EC565F" w:rsidRDefault="007271F2" w:rsidP="007271F2">
      <w:pPr>
        <w:pStyle w:val="Quote"/>
      </w:pPr>
      <w:proofErr w:type="gramStart"/>
      <w:r w:rsidRPr="00EC565F">
        <w:t>Yeah</w:t>
      </w:r>
      <w:proofErr w:type="gramEnd"/>
      <w:r w:rsidRPr="00EC565F">
        <w:t xml:space="preserve"> I just know it’s really handy having this stuff around. It saves people</w:t>
      </w:r>
      <w:r>
        <w:t>’s</w:t>
      </w:r>
      <w:r w:rsidRPr="00EC565F">
        <w:t xml:space="preserve"> lives</w:t>
      </w:r>
      <w:r>
        <w:t xml:space="preserve"> </w:t>
      </w:r>
      <w:r w:rsidRPr="00EC565F">
        <w:t>(SA, PUIO,</w:t>
      </w:r>
      <w:r>
        <w:t xml:space="preserve"> Recruited from Community Pharmacy, Interviewed August 2020</w:t>
      </w:r>
      <w:r w:rsidRPr="00EC565F">
        <w:t>).</w:t>
      </w:r>
    </w:p>
    <w:p w14:paraId="6DF95F49" w14:textId="77777777" w:rsidR="007271F2" w:rsidRPr="006945CD" w:rsidRDefault="007271F2" w:rsidP="007271F2">
      <w:pPr>
        <w:pStyle w:val="Quote"/>
      </w:pPr>
      <w:r w:rsidRPr="006945CD">
        <w:t xml:space="preserve">Because I lived in a housing commission building where people used drugs and stuff in the fire escape. </w:t>
      </w:r>
      <w:proofErr w:type="gramStart"/>
      <w:r w:rsidRPr="006945CD">
        <w:t>So</w:t>
      </w:r>
      <w:proofErr w:type="gramEnd"/>
      <w:r w:rsidRPr="006945CD">
        <w:t xml:space="preserve"> I always make sure I have plenty of naloxone at home</w:t>
      </w:r>
      <w:r>
        <w:t xml:space="preserve"> </w:t>
      </w:r>
      <w:r w:rsidRPr="00EC565F">
        <w:t>(</w:t>
      </w:r>
      <w:r>
        <w:t>NSW</w:t>
      </w:r>
      <w:r w:rsidRPr="00EC565F">
        <w:t xml:space="preserve">, </w:t>
      </w:r>
      <w:r>
        <w:t>Witness</w:t>
      </w:r>
      <w:r w:rsidRPr="00EC565F">
        <w:t>,</w:t>
      </w:r>
      <w:r>
        <w:t xml:space="preserve"> Recruited from AOD/NGO, Interviewed September 2020</w:t>
      </w:r>
      <w:r w:rsidRPr="00EC565F">
        <w:t>).</w:t>
      </w:r>
    </w:p>
    <w:p w14:paraId="55D87137" w14:textId="6AE63379" w:rsidR="007271F2" w:rsidRDefault="007271F2" w:rsidP="005916ED">
      <w:pPr>
        <w:pStyle w:val="Quote"/>
      </w:pPr>
      <w:proofErr w:type="gramStart"/>
      <w:r w:rsidRPr="006945CD">
        <w:t>Yeah</w:t>
      </w:r>
      <w:proofErr w:type="gramEnd"/>
      <w:r w:rsidRPr="006945CD">
        <w:t xml:space="preserve"> they just asked me, would I be interested in it? And I </w:t>
      </w:r>
      <w:proofErr w:type="gramStart"/>
      <w:r w:rsidRPr="006945CD">
        <w:t>said</w:t>
      </w:r>
      <w:proofErr w:type="gramEnd"/>
      <w:r w:rsidRPr="006945CD">
        <w:t xml:space="preserve"> “well yeah”. I’ve lost a few mates that’ve </w:t>
      </w:r>
      <w:proofErr w:type="gramStart"/>
      <w:r w:rsidRPr="006945CD">
        <w:t>overdosed</w:t>
      </w:r>
      <w:proofErr w:type="gramEnd"/>
      <w:r w:rsidRPr="006945CD">
        <w:t xml:space="preserve"> and I often bump into someone who overdosed somewhere, you know, so, it’d be a good thing</w:t>
      </w:r>
      <w:r>
        <w:t xml:space="preserve"> </w:t>
      </w:r>
      <w:r w:rsidRPr="00EC565F">
        <w:t>(</w:t>
      </w:r>
      <w:r>
        <w:t>NSW</w:t>
      </w:r>
      <w:r w:rsidRPr="00EC565F">
        <w:t xml:space="preserve">, </w:t>
      </w:r>
      <w:r>
        <w:t>Witness</w:t>
      </w:r>
      <w:r w:rsidRPr="00EC565F">
        <w:t>,</w:t>
      </w:r>
      <w:r>
        <w:t xml:space="preserve"> Recruited from AOD Service, Interviewed October 2020</w:t>
      </w:r>
      <w:r w:rsidRPr="00EC565F">
        <w:t>).</w:t>
      </w:r>
    </w:p>
    <w:p w14:paraId="35B1C735" w14:textId="71C25289" w:rsidR="00CA5EEA" w:rsidRPr="00E04AD1" w:rsidRDefault="00C32DD2" w:rsidP="00D63B64">
      <w:pPr>
        <w:pStyle w:val="BodyText"/>
        <w:sectPr w:rsidR="00CA5EEA" w:rsidRPr="00E04AD1" w:rsidSect="00695609">
          <w:headerReference w:type="even" r:id="rId49"/>
          <w:headerReference w:type="default" r:id="rId50"/>
          <w:footerReference w:type="even" r:id="rId51"/>
          <w:footerReference w:type="default" r:id="rId52"/>
          <w:headerReference w:type="first" r:id="rId53"/>
          <w:footerReference w:type="first" r:id="rId54"/>
          <w:footnotePr>
            <w:numFmt w:val="lowerLetter"/>
          </w:footnotePr>
          <w:pgSz w:w="11906" w:h="16838" w:code="9"/>
          <w:pgMar w:top="2268" w:right="1416" w:bottom="1134" w:left="1134" w:header="567" w:footer="510" w:gutter="0"/>
          <w:cols w:space="708"/>
          <w:docGrid w:linePitch="360"/>
        </w:sectPr>
      </w:pPr>
      <w:r>
        <w:t xml:space="preserve">Detailed stories of overdose reversal </w:t>
      </w:r>
      <w:r w:rsidR="00A95BAE">
        <w:t>from consumers are discussed in the section below.</w:t>
      </w:r>
    </w:p>
    <w:p w14:paraId="7AA9F25A" w14:textId="10B009F9" w:rsidR="005916ED" w:rsidRPr="005916ED" w:rsidRDefault="00CA5EEA" w:rsidP="005916ED">
      <w:pPr>
        <w:pStyle w:val="NbrHeading2"/>
      </w:pPr>
      <w:bookmarkStart w:id="264" w:name="_Toc94794138"/>
      <w:bookmarkStart w:id="265" w:name="_Toc94794277"/>
      <w:r>
        <w:lastRenderedPageBreak/>
        <w:t>Stories of overdose reversals from THN Consumers</w:t>
      </w:r>
      <w:bookmarkEnd w:id="264"/>
      <w:bookmarkEnd w:id="265"/>
    </w:p>
    <w:p w14:paraId="05BC8699" w14:textId="70224108" w:rsidR="00542C1C" w:rsidRPr="00542C1C" w:rsidRDefault="714C193F" w:rsidP="005916ED">
      <w:pPr>
        <w:pStyle w:val="BodyText"/>
      </w:pPr>
      <w:r>
        <w:rPr>
          <w:noProof/>
        </w:rPr>
        <w:drawing>
          <wp:inline distT="0" distB="0" distL="0" distR="0" wp14:anchorId="50B9E5DF" wp14:editId="5477F183">
            <wp:extent cx="5928362" cy="2691384"/>
            <wp:effectExtent l="0" t="0" r="0" b="0"/>
            <wp:docPr id="58" name="Picture 58" descr="THN Saves Lives&#10;&#10;Quotes from participants about using naloxone to reverse an overd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55">
                      <a:extLst>
                        <a:ext uri="{28A0092B-C50C-407E-A947-70E740481C1C}">
                          <a14:useLocalDpi xmlns:a14="http://schemas.microsoft.com/office/drawing/2010/main" val="0"/>
                        </a:ext>
                      </a:extLst>
                    </a:blip>
                    <a:stretch>
                      <a:fillRect/>
                    </a:stretch>
                  </pic:blipFill>
                  <pic:spPr>
                    <a:xfrm>
                      <a:off x="0" y="0"/>
                      <a:ext cx="5928362" cy="2691384"/>
                    </a:xfrm>
                    <a:prstGeom prst="rect">
                      <a:avLst/>
                    </a:prstGeom>
                  </pic:spPr>
                </pic:pic>
              </a:graphicData>
            </a:graphic>
          </wp:inline>
        </w:drawing>
      </w:r>
    </w:p>
    <w:p w14:paraId="75CACCF1" w14:textId="77777777" w:rsidR="005916ED" w:rsidRDefault="005916ED" w:rsidP="005916ED">
      <w:pPr>
        <w:pStyle w:val="BodyText"/>
      </w:pPr>
    </w:p>
    <w:p w14:paraId="2D93EA45" w14:textId="42ACE28C" w:rsidR="00D93851" w:rsidRDefault="00D93851" w:rsidP="00D63B64">
      <w:pPr>
        <w:pStyle w:val="BodyText"/>
      </w:pPr>
      <w:r>
        <w:t xml:space="preserve">More than 60 stories of overdose reversals were </w:t>
      </w:r>
      <w:r w:rsidR="005916ED">
        <w:t>recounted</w:t>
      </w:r>
      <w:r>
        <w:t xml:space="preserve"> by participants during the qualitative interviews. Interview participants reported</w:t>
      </w:r>
      <w:r w:rsidRPr="1DFDE9F9">
        <w:t xml:space="preserve"> administering naloxone to others </w:t>
      </w:r>
      <w:r>
        <w:t>more often</w:t>
      </w:r>
      <w:r w:rsidRPr="1DFDE9F9">
        <w:t xml:space="preserve"> than receiving it during resuscitation events.</w:t>
      </w:r>
    </w:p>
    <w:p w14:paraId="635883D0" w14:textId="77777777" w:rsidR="00D93851" w:rsidRDefault="00D93851" w:rsidP="00D93851">
      <w:pPr>
        <w:pStyle w:val="Quote"/>
      </w:pPr>
      <w:r>
        <w:t>We were sitting in the loungeroom at home, I was on one lounge he was on the other had mine then he had his and then I thought nothing of it and went to the toilet, and then he started, his eyes were rolling, I didn't think nothing of it, then his eyes shut, then one minute he started getting purple that’s why I knew straight away then I ran to my room got it put it straight in the nose then a couple minutes of after he came around and got a bit wild with me, but that’s ok. (NSW, PUIO, Recruited from Community Pharmacy, Interviewed March 2021).</w:t>
      </w:r>
    </w:p>
    <w:p w14:paraId="72709030" w14:textId="5821131D" w:rsidR="00D93851" w:rsidRDefault="00D93851" w:rsidP="00D63B64">
      <w:pPr>
        <w:pStyle w:val="BodyText"/>
      </w:pPr>
      <w:r>
        <w:t>Some participants did report that they had been resuscitated using naloxone supply</w:t>
      </w:r>
      <w:r w:rsidR="002526B4">
        <w:t xml:space="preserve"> acquired under the Pilot</w:t>
      </w:r>
      <w:r>
        <w:t>:</w:t>
      </w:r>
    </w:p>
    <w:p w14:paraId="7B16B11F" w14:textId="77777777" w:rsidR="00D93851" w:rsidRDefault="00D93851" w:rsidP="00D93851">
      <w:pPr>
        <w:pStyle w:val="Quote"/>
      </w:pPr>
      <w:r>
        <w:t>You mentioned that you were resuscitated BY someone since the last time you were interviewed, can you tell me more about that?</w:t>
      </w:r>
    </w:p>
    <w:p w14:paraId="6F21B481" w14:textId="6302DF13" w:rsidR="00D93851" w:rsidRDefault="00D93851" w:rsidP="009B7145">
      <w:pPr>
        <w:pStyle w:val="Quote"/>
      </w:pPr>
      <w:bookmarkStart w:id="266" w:name="_Hlk84591818"/>
      <w:proofErr w:type="gramStart"/>
      <w:r>
        <w:t>Yeah</w:t>
      </w:r>
      <w:proofErr w:type="gramEnd"/>
      <w:r>
        <w:t xml:space="preserve"> my wife, came home after work and found me in a bad way, the needle still in me. She said she panicked and remembered she has one on her and done it the way that I showed her how to administer it and then she said I came around, she also called the ambulance and she said make sure that never happens again </w:t>
      </w:r>
      <w:bookmarkEnd w:id="266"/>
      <w:r>
        <w:t xml:space="preserve">(NSW, PUIO, </w:t>
      </w:r>
      <w:proofErr w:type="gramStart"/>
      <w:r>
        <w:t>Recruited</w:t>
      </w:r>
      <w:proofErr w:type="gramEnd"/>
      <w:r>
        <w:t xml:space="preserve"> from an NSP, Interviewed March 2021).</w:t>
      </w:r>
    </w:p>
    <w:p w14:paraId="5C374CC8" w14:textId="77777777" w:rsidR="00626BD5" w:rsidRDefault="00CA5EEA" w:rsidP="00D63B64">
      <w:pPr>
        <w:pStyle w:val="BodyText"/>
      </w:pPr>
      <w:r w:rsidRPr="1DFDE9F9">
        <w:t xml:space="preserve">The </w:t>
      </w:r>
      <w:proofErr w:type="gramStart"/>
      <w:r w:rsidRPr="1DFDE9F9">
        <w:t>most commonly used</w:t>
      </w:r>
      <w:proofErr w:type="gramEnd"/>
      <w:r w:rsidRPr="1DFDE9F9">
        <w:t xml:space="preserve"> form of naloxone used during these events was the nasal spray. </w:t>
      </w:r>
    </w:p>
    <w:p w14:paraId="50898D11" w14:textId="77777777" w:rsidR="00626BD5" w:rsidRDefault="00626BD5" w:rsidP="00626BD5">
      <w:pPr>
        <w:pStyle w:val="Quote"/>
      </w:pPr>
      <w:r>
        <w:t>It all came automatic, I just thought back to what he said and once my sister and myself had worked out that he was non-responsive we stuck it up his nose and pushed the button [laughs] and because it’s a longer acting one that’s what we pick up now, is the nasal one. (SA, PUIO, Recruited from Community Pharmacy, Interviewed January 2021).</w:t>
      </w:r>
    </w:p>
    <w:p w14:paraId="026BE25E" w14:textId="2F5EA045" w:rsidR="00CA5EEA" w:rsidRDefault="00CA5EEA" w:rsidP="00D63B64">
      <w:pPr>
        <w:pStyle w:val="BodyText"/>
      </w:pPr>
      <w:r w:rsidRPr="1DFDE9F9">
        <w:lastRenderedPageBreak/>
        <w:t>However, despite being the most favoured form from a functional perspective (</w:t>
      </w:r>
      <w:proofErr w:type="gramStart"/>
      <w:r w:rsidRPr="1DFDE9F9">
        <w:t>e.g.</w:t>
      </w:r>
      <w:proofErr w:type="gramEnd"/>
      <w:r w:rsidRPr="1DFDE9F9">
        <w:t xml:space="preserve"> easy to carry, no need for refrigeration), </w:t>
      </w:r>
      <w:r w:rsidR="004C3515">
        <w:t>the nasal spray</w:t>
      </w:r>
      <w:r w:rsidR="004C3515" w:rsidRPr="1DFDE9F9">
        <w:t xml:space="preserve"> </w:t>
      </w:r>
      <w:r w:rsidRPr="1DFDE9F9">
        <w:t xml:space="preserve">was said to take longer to take effect during a resuscitation event, and frequently needed to be administered more than once. </w:t>
      </w:r>
    </w:p>
    <w:p w14:paraId="2187780F" w14:textId="255E2614" w:rsidR="00555D0D" w:rsidRDefault="00CA5EEA" w:rsidP="002526B4">
      <w:pPr>
        <w:pStyle w:val="Quote"/>
      </w:pPr>
      <w:r>
        <w:t>I did it once and then waited five minutes and you could see they had come around a little bit, but not very much but then, I gave them the second package...the second nasal spray that’s in the box because it comes in two lots…, so I continued to administer the second... after five minutes</w:t>
      </w:r>
      <w:r w:rsidDel="66B0BE6F">
        <w:t xml:space="preserve"> </w:t>
      </w:r>
      <w:r>
        <w:t xml:space="preserve">they started to wake up…. They were awake and fine.  ... After that, they were totally fine (WA, PUIO, </w:t>
      </w:r>
      <w:r w:rsidR="002748C2">
        <w:t xml:space="preserve">Recruited </w:t>
      </w:r>
      <w:r w:rsidR="007B0C7B">
        <w:t>from NSP</w:t>
      </w:r>
      <w:r>
        <w:t xml:space="preserve">, </w:t>
      </w:r>
      <w:r w:rsidR="00F93DB6">
        <w:t>I</w:t>
      </w:r>
      <w:r w:rsidR="002767FB">
        <w:t>nterviewed</w:t>
      </w:r>
      <w:r>
        <w:t xml:space="preserve"> March 2021</w:t>
      </w:r>
      <w:r w:rsidR="001801F0">
        <w:t>)</w:t>
      </w:r>
      <w:r w:rsidR="005916ED">
        <w:t>.</w:t>
      </w:r>
      <w:r w:rsidRPr="1DFDE9F9">
        <w:t xml:space="preserve"> </w:t>
      </w:r>
    </w:p>
    <w:p w14:paraId="7A8059B9" w14:textId="77777777" w:rsidR="00CA5EEA" w:rsidRDefault="00CA5EEA" w:rsidP="003D0F16">
      <w:r w:rsidRPr="1DFDE9F9">
        <w:t>Likewise, one participant had a similar report of the nasal spray being administered to them during a resuscitation event.</w:t>
      </w:r>
    </w:p>
    <w:p w14:paraId="28FEF742" w14:textId="12C7E0B0" w:rsidR="00CA5EEA" w:rsidRDefault="00CA5EEA" w:rsidP="003D0F16">
      <w:pPr>
        <w:pStyle w:val="Quote"/>
      </w:pPr>
      <w:bookmarkStart w:id="267" w:name="_Hlk84591844"/>
      <w:r>
        <w:t xml:space="preserve">Yeah, they used the nasal spray on me. They had to use two of them as well.  It still took a while for me to come to. So maybe the injection is a bit more effective </w:t>
      </w:r>
      <w:bookmarkEnd w:id="267"/>
      <w:r>
        <w:t xml:space="preserve">(WA, PUIO, </w:t>
      </w:r>
      <w:r w:rsidR="002748C2">
        <w:t xml:space="preserve">Recruited from </w:t>
      </w:r>
      <w:r>
        <w:t xml:space="preserve">NSP, </w:t>
      </w:r>
      <w:r w:rsidR="002767FB">
        <w:t>Interviewed</w:t>
      </w:r>
      <w:r>
        <w:t xml:space="preserve"> January 2021). </w:t>
      </w:r>
    </w:p>
    <w:p w14:paraId="176FFCCF" w14:textId="33CF0320" w:rsidR="00CA5EEA" w:rsidRDefault="00CA5EEA" w:rsidP="003D0F16">
      <w:r w:rsidRPr="1DFDE9F9">
        <w:t xml:space="preserve">However, despite the fact they do administer naloxone when required, </w:t>
      </w:r>
      <w:r w:rsidR="00670F2E">
        <w:t xml:space="preserve">and </w:t>
      </w:r>
      <w:r w:rsidR="00B60694">
        <w:t xml:space="preserve">the majority (65%) </w:t>
      </w:r>
      <w:r w:rsidR="00CE214A">
        <w:t xml:space="preserve">also called an ambulance, </w:t>
      </w:r>
      <w:r w:rsidRPr="1DFDE9F9">
        <w:t>not all participants enjoy administering it</w:t>
      </w:r>
      <w:r>
        <w:t>,</w:t>
      </w:r>
      <w:r w:rsidRPr="1DFDE9F9">
        <w:t xml:space="preserve"> nor do they stay after the recipient has been revived. </w:t>
      </w:r>
    </w:p>
    <w:p w14:paraId="11BE5697" w14:textId="4ABBDBA5" w:rsidR="00CA5EEA" w:rsidRDefault="00CA5EEA" w:rsidP="002526B4">
      <w:pPr>
        <w:pStyle w:val="Quote"/>
      </w:pPr>
      <w:bookmarkStart w:id="268" w:name="_Hlk84591865"/>
      <w:r>
        <w:t>I administered it to a random person who was in the toilet. There was nobody helping</w:t>
      </w:r>
      <w:r w:rsidR="00AD65ED">
        <w:t>….</w:t>
      </w:r>
      <w:r>
        <w:t xml:space="preserve"> I just did what I needed to do. I injected him with </w:t>
      </w:r>
      <w:proofErr w:type="gramStart"/>
      <w:r>
        <w:t>it</w:t>
      </w:r>
      <w:proofErr w:type="gramEnd"/>
      <w:r>
        <w:t xml:space="preserve"> and he came around straight away after we tried CPR and other things. Then I got out of there </w:t>
      </w:r>
      <w:proofErr w:type="gramStart"/>
      <w:r>
        <w:t>pretty quickly</w:t>
      </w:r>
      <w:proofErr w:type="gramEnd"/>
      <w:r>
        <w:t xml:space="preserve">. He was in shock, </w:t>
      </w:r>
      <w:r w:rsidDel="4A078FB9">
        <w:t>embarrassed</w:t>
      </w:r>
      <w:r>
        <w:t xml:space="preserve">, I think. It sucks... I hate resuscitating people in general, so even more random people. I waited until the ambulance arrived and that’s why when I just sort of left </w:t>
      </w:r>
      <w:bookmarkEnd w:id="268"/>
      <w:r>
        <w:t xml:space="preserve">{WA, PUIO, </w:t>
      </w:r>
      <w:r w:rsidR="003F3730">
        <w:t xml:space="preserve">Recruited from </w:t>
      </w:r>
      <w:r w:rsidR="00907C9E">
        <w:t>Community pharmacy</w:t>
      </w:r>
      <w:r>
        <w:t xml:space="preserve">, </w:t>
      </w:r>
      <w:r w:rsidR="003F3730">
        <w:t xml:space="preserve">Interviewed </w:t>
      </w:r>
      <w:r>
        <w:t xml:space="preserve">March 2021). </w:t>
      </w:r>
    </w:p>
    <w:p w14:paraId="4E0C8A17" w14:textId="71B9A908" w:rsidR="00CA5EEA" w:rsidRDefault="00CA5EEA" w:rsidP="00D63B64">
      <w:pPr>
        <w:pStyle w:val="BodyText"/>
      </w:pPr>
      <w:r w:rsidRPr="1DFDE9F9">
        <w:t xml:space="preserve">The main reason </w:t>
      </w:r>
      <w:r>
        <w:t>c</w:t>
      </w:r>
      <w:r w:rsidRPr="1DFDE9F9">
        <w:t>ited by participants for disliking administering naloxone is the fact many recipients become angry once they regain consciousness.</w:t>
      </w:r>
    </w:p>
    <w:p w14:paraId="521A66C7" w14:textId="0CBB55A3" w:rsidR="00CA5EEA" w:rsidRDefault="00CA5EEA" w:rsidP="003D0F16">
      <w:pPr>
        <w:pStyle w:val="Quote"/>
      </w:pPr>
      <w:bookmarkStart w:id="269" w:name="_Hlk84591880"/>
      <w:r>
        <w:t xml:space="preserve">They dropped. I saved them. I woke them up and they didn't like it. They were *** angry because they wasted their money to get high and I brought them back to life </w:t>
      </w:r>
      <w:bookmarkEnd w:id="269"/>
      <w:r>
        <w:t xml:space="preserve">(WA, PUIO, </w:t>
      </w:r>
      <w:r w:rsidR="00B75F46">
        <w:t xml:space="preserve">Recruited from </w:t>
      </w:r>
      <w:r>
        <w:t>C</w:t>
      </w:r>
      <w:r w:rsidR="00A552E3">
        <w:t xml:space="preserve">ommunity </w:t>
      </w:r>
      <w:r w:rsidR="00E41CD6">
        <w:t>pharmacy</w:t>
      </w:r>
      <w:r>
        <w:t>,</w:t>
      </w:r>
      <w:r w:rsidR="006D3866">
        <w:t xml:space="preserve"> </w:t>
      </w:r>
      <w:r w:rsidR="003F3730">
        <w:t>Intervie</w:t>
      </w:r>
      <w:r w:rsidR="006D3866">
        <w:t>wed</w:t>
      </w:r>
      <w:r>
        <w:t xml:space="preserve"> February 2021). </w:t>
      </w:r>
    </w:p>
    <w:p w14:paraId="2E99DBDE" w14:textId="23E63571" w:rsidR="008D6631" w:rsidRDefault="00F62395" w:rsidP="00D63B64">
      <w:pPr>
        <w:pStyle w:val="BodyText"/>
      </w:pPr>
      <w:r>
        <w:t>Despite the reactions of recipients,</w:t>
      </w:r>
      <w:r w:rsidR="008D6631" w:rsidRPr="1DFDE9F9">
        <w:t xml:space="preserve"> most reported a positive feeling after a resuscitation event.</w:t>
      </w:r>
    </w:p>
    <w:p w14:paraId="5F948F11" w14:textId="763164AC" w:rsidR="00C01F91" w:rsidRPr="00C01F91" w:rsidRDefault="008D6631" w:rsidP="00C01F91">
      <w:pPr>
        <w:pStyle w:val="Quote"/>
      </w:pPr>
      <w:r>
        <w:t xml:space="preserve">Yes, we had a friend over who started falling asleep, nodding off as we call it. We were able to arouse him by calling his name, tapping him on the face. He assured us he was fine but the next time we looked at him, his lips were blue. I said to my partner to grab the naloxone, we're going to have to administer a dose. We rang an ambulance and then commenced CPR...then commenced the nasal spray followed by CPR. The ambulance people arrived, assured us that yeah, they weren’t </w:t>
      </w:r>
      <w:proofErr w:type="gramStart"/>
      <w:r>
        <w:t>actually required</w:t>
      </w:r>
      <w:proofErr w:type="gramEnd"/>
      <w:r>
        <w:t xml:space="preserve">. </w:t>
      </w:r>
      <w:proofErr w:type="gramStart"/>
      <w:r>
        <w:t>So</w:t>
      </w:r>
      <w:proofErr w:type="gramEnd"/>
      <w:r>
        <w:t xml:space="preserve"> what we did was fantastic, they made us feel very comfortable with us calling the ambulance and with us using the naloxone.  [I felt] like a responsible citizen of the community (WA, Witness, Recruited from NSP, Interviewed May 2021).</w:t>
      </w:r>
    </w:p>
    <w:p w14:paraId="56A7B3C8" w14:textId="72942157" w:rsidR="005916ED" w:rsidRPr="005916ED" w:rsidRDefault="005916ED" w:rsidP="00D63B64">
      <w:pPr>
        <w:pStyle w:val="BodyText"/>
      </w:pPr>
      <w:r>
        <w:t>Another participant noted a feeling of relief after having saved someone’s life using THN:</w:t>
      </w:r>
    </w:p>
    <w:p w14:paraId="5A1EC2C9" w14:textId="77777777" w:rsidR="009B7145" w:rsidRDefault="009B7145" w:rsidP="009B7145">
      <w:pPr>
        <w:pStyle w:val="Quote"/>
      </w:pPr>
      <w:r>
        <w:t xml:space="preserve">Interviewer: And how did you feel? </w:t>
      </w:r>
    </w:p>
    <w:p w14:paraId="69238956" w14:textId="77777777" w:rsidR="009B7145" w:rsidRDefault="009B7145" w:rsidP="009B7145">
      <w:pPr>
        <w:pStyle w:val="Quote"/>
      </w:pPr>
      <w:r>
        <w:lastRenderedPageBreak/>
        <w:t xml:space="preserve">Participant: Um, I was </w:t>
      </w:r>
      <w:proofErr w:type="gramStart"/>
      <w:r>
        <w:t>actually well</w:t>
      </w:r>
      <w:proofErr w:type="gramEnd"/>
      <w:r>
        <w:t>...how did I feel about saving his life? Relieved. (WA, Witness, Recruited from NSP, Interviewed May 2021).</w:t>
      </w:r>
    </w:p>
    <w:p w14:paraId="6452F595" w14:textId="3CDF940E" w:rsidR="00DE7EB5" w:rsidRDefault="00F62395" w:rsidP="00D63B64">
      <w:pPr>
        <w:pStyle w:val="BodyText"/>
      </w:pPr>
      <w:r>
        <w:t>Overall, c</w:t>
      </w:r>
      <w:r w:rsidR="00DE7EB5">
        <w:t xml:space="preserve">onsumers expressed </w:t>
      </w:r>
      <w:r w:rsidR="00ED4D5B">
        <w:t xml:space="preserve">overwhelmingly positive opinions of the Pilot and THN, with a large number noting that THN ‘saves </w:t>
      </w:r>
      <w:proofErr w:type="gramStart"/>
      <w:r w:rsidR="00ED4D5B">
        <w:t>lives’</w:t>
      </w:r>
      <w:proofErr w:type="gramEnd"/>
      <w:r w:rsidR="00ED4D5B">
        <w:t>. For example:</w:t>
      </w:r>
    </w:p>
    <w:p w14:paraId="1FE5B089" w14:textId="77777777" w:rsidR="00DE7EB5" w:rsidRPr="007111B9" w:rsidRDefault="00DE7EB5" w:rsidP="00DE7EB5">
      <w:pPr>
        <w:pStyle w:val="Quote"/>
      </w:pPr>
      <w:r w:rsidRPr="007111B9">
        <w:t xml:space="preserve">I just, personally I think it’s a brilliant thing, you </w:t>
      </w:r>
      <w:proofErr w:type="gramStart"/>
      <w:r w:rsidRPr="007111B9">
        <w:t>know?</w:t>
      </w:r>
      <w:proofErr w:type="gramEnd"/>
      <w:r w:rsidRPr="007111B9">
        <w:t xml:space="preserve"> That saves someone from dying, pretty much, at the end of the day</w:t>
      </w:r>
      <w:r>
        <w:t xml:space="preserve"> </w:t>
      </w:r>
      <w:r w:rsidRPr="00EC565F">
        <w:t>(</w:t>
      </w:r>
      <w:r>
        <w:t>SA</w:t>
      </w:r>
      <w:r w:rsidRPr="00EC565F">
        <w:t xml:space="preserve">, </w:t>
      </w:r>
      <w:r>
        <w:t>PUPO</w:t>
      </w:r>
      <w:r w:rsidRPr="00EC565F">
        <w:t>,</w:t>
      </w:r>
      <w:r>
        <w:t xml:space="preserve"> Recruited from Community Pharmacy, Interviewed October 2020</w:t>
      </w:r>
      <w:r w:rsidRPr="00EC565F">
        <w:t>).</w:t>
      </w:r>
    </w:p>
    <w:p w14:paraId="0315447D" w14:textId="77777777" w:rsidR="00EE39F8" w:rsidRPr="00E5457F" w:rsidRDefault="00EE39F8" w:rsidP="00EE39F8">
      <w:pPr>
        <w:pStyle w:val="Quote"/>
      </w:pPr>
      <w:r w:rsidRPr="00E5457F">
        <w:t>I believe that they should provide to everyone who uses drugs, you know it’s a good thing to save lives. And yeah, I appreciate that they’re doing it, it’s great (SA, PUIO, Recruited from NSP, Interviewed August 2020).</w:t>
      </w:r>
    </w:p>
    <w:p w14:paraId="03E91560" w14:textId="3B23CB49" w:rsidR="00DE7EB5" w:rsidRPr="00DE7EB5" w:rsidRDefault="00DE7EB5" w:rsidP="00CD3B28">
      <w:pPr>
        <w:pStyle w:val="Quote"/>
      </w:pPr>
      <w:r w:rsidRPr="007111B9">
        <w:t>Like to me it sounds like sheer common sense</w:t>
      </w:r>
      <w:r w:rsidRPr="00D201BF">
        <w:t xml:space="preserve">. Any person </w:t>
      </w:r>
      <w:r w:rsidRPr="00A56059">
        <w:t>who dabbles with you know, hard drugs like that, um, particularly if you’re doing it intravenously, um, yeah, you’d like to have that nearby</w:t>
      </w:r>
      <w:r>
        <w:t xml:space="preserve"> </w:t>
      </w:r>
      <w:r w:rsidRPr="00EC565F">
        <w:t>(</w:t>
      </w:r>
      <w:r>
        <w:t>SA</w:t>
      </w:r>
      <w:r w:rsidRPr="00EC565F">
        <w:t xml:space="preserve">, </w:t>
      </w:r>
      <w:r>
        <w:t>PUIO</w:t>
      </w:r>
      <w:r w:rsidRPr="00EC565F">
        <w:t>,</w:t>
      </w:r>
      <w:r>
        <w:t xml:space="preserve"> Recruited from Community Pharmacy, Interviewed September 2020</w:t>
      </w:r>
      <w:r w:rsidRPr="00EC565F">
        <w:t>).</w:t>
      </w:r>
    </w:p>
    <w:p w14:paraId="59E5B2A3" w14:textId="70E85AC8" w:rsidR="00CA5EEA" w:rsidRDefault="007135D3" w:rsidP="00D63B64">
      <w:pPr>
        <w:pStyle w:val="BodyText"/>
      </w:pPr>
      <w:r>
        <w:t xml:space="preserve">Further stories of the use of THN to reverse overdoses are included </w:t>
      </w:r>
      <w:r w:rsidR="00D86933">
        <w:t>as Appendix E.</w:t>
      </w:r>
    </w:p>
    <w:p w14:paraId="5C0308F4" w14:textId="709F0BA4" w:rsidR="00CA5EEA" w:rsidRDefault="009E38E2" w:rsidP="009E38E2">
      <w:pPr>
        <w:pStyle w:val="Style3-keypoints-h2"/>
      </w:pPr>
      <w:bookmarkStart w:id="270" w:name="_Toc94794278"/>
      <w:r>
        <w:t>Implications</w:t>
      </w:r>
      <w:bookmarkEnd w:id="270"/>
    </w:p>
    <w:p w14:paraId="230BB515" w14:textId="77777777" w:rsidR="009E38E2" w:rsidRDefault="009E38E2" w:rsidP="009E38E2">
      <w:pPr>
        <w:pStyle w:val="ListParagraph"/>
        <w:numPr>
          <w:ilvl w:val="0"/>
          <w:numId w:val="27"/>
        </w:numPr>
        <w:spacing w:before="81" w:after="81"/>
        <w:ind w:left="489" w:hanging="244"/>
      </w:pPr>
      <w:r>
        <w:t>The Pilot should continue to expand its reach among at risk populations where there has been limited uptake of THN, such as people who use opioids to manage chronic pain, peer/family and carers who may witness another person’s overdose.</w:t>
      </w:r>
    </w:p>
    <w:p w14:paraId="132EA7D2" w14:textId="77777777" w:rsidR="009E38E2" w:rsidRDefault="009E38E2" w:rsidP="009E38E2">
      <w:pPr>
        <w:pStyle w:val="ListParagraph"/>
        <w:numPr>
          <w:ilvl w:val="0"/>
          <w:numId w:val="27"/>
        </w:numPr>
        <w:spacing w:before="81" w:after="81"/>
        <w:ind w:left="489" w:hanging="244"/>
      </w:pPr>
      <w:r>
        <w:t xml:space="preserve">Encouraging staff at existing supply sites to engage with these </w:t>
      </w:r>
      <w:proofErr w:type="gramStart"/>
      <w:r>
        <w:t>groups, and</w:t>
      </w:r>
      <w:proofErr w:type="gramEnd"/>
      <w:r>
        <w:t xml:space="preserve"> expanding site types to include pain clinics and carer organisations may help with this.</w:t>
      </w:r>
    </w:p>
    <w:p w14:paraId="7FE8D7CF" w14:textId="77777777" w:rsidR="009E38E2" w:rsidRDefault="009E38E2" w:rsidP="009E38E2">
      <w:pPr>
        <w:pStyle w:val="ListParagraph"/>
        <w:numPr>
          <w:ilvl w:val="0"/>
          <w:numId w:val="27"/>
        </w:numPr>
        <w:spacing w:before="81" w:after="81"/>
        <w:ind w:left="489" w:hanging="244"/>
      </w:pPr>
      <w:r>
        <w:t>The Pilot should also consider leveraging peer/family/carer networks to reach people who are not currently connected with services that may refer them to THN.</w:t>
      </w:r>
    </w:p>
    <w:p w14:paraId="22AC2D11" w14:textId="77777777" w:rsidR="009E38E2" w:rsidRDefault="009E38E2" w:rsidP="009E38E2">
      <w:pPr>
        <w:pStyle w:val="ListParagraph"/>
        <w:numPr>
          <w:ilvl w:val="0"/>
          <w:numId w:val="27"/>
        </w:numPr>
        <w:spacing w:before="81" w:after="81"/>
        <w:ind w:left="489" w:hanging="244"/>
      </w:pPr>
      <w:r>
        <w:t>People should be encouraged at the time of their initial supply to obtain a refill once the previous supply is used, damaged/</w:t>
      </w:r>
      <w:proofErr w:type="gramStart"/>
      <w:r>
        <w:t>expired</w:t>
      </w:r>
      <w:proofErr w:type="gramEnd"/>
      <w:r>
        <w:t xml:space="preserve"> or given to someone else.</w:t>
      </w:r>
    </w:p>
    <w:p w14:paraId="4F2318B9" w14:textId="77777777" w:rsidR="009E38E2" w:rsidRDefault="009E38E2" w:rsidP="003D0F16">
      <w:pPr>
        <w:spacing w:after="160" w:line="259" w:lineRule="auto"/>
      </w:pPr>
    </w:p>
    <w:p w14:paraId="28E41BD7" w14:textId="798E15D1" w:rsidR="00CA5EEA" w:rsidRDefault="00CA5EEA" w:rsidP="00745146">
      <w:pPr>
        <w:pStyle w:val="NbrHeading1"/>
      </w:pPr>
      <w:r>
        <w:br w:type="page"/>
      </w:r>
      <w:bookmarkStart w:id="271" w:name="_Toc94794139"/>
      <w:bookmarkStart w:id="272" w:name="_Toc94794279"/>
      <w:r w:rsidRPr="00726899">
        <w:lastRenderedPageBreak/>
        <w:t>What was the impact on access sites participating in the pilot?</w:t>
      </w:r>
      <w:bookmarkEnd w:id="271"/>
      <w:bookmarkEnd w:id="272"/>
    </w:p>
    <w:p w14:paraId="4E9A711D" w14:textId="27530B9B" w:rsidR="009E38E2" w:rsidRDefault="009E38E2" w:rsidP="009E38E2">
      <w:pPr>
        <w:pStyle w:val="Style3-keypoints-h2"/>
        <w:rPr>
          <w:lang w:eastAsia="en-AU"/>
        </w:rPr>
      </w:pPr>
      <w:bookmarkStart w:id="273" w:name="_Toc94794280"/>
      <w:r>
        <w:rPr>
          <w:lang w:eastAsia="en-AU"/>
        </w:rPr>
        <w:t>Key points</w:t>
      </w:r>
      <w:bookmarkEnd w:id="273"/>
    </w:p>
    <w:p w14:paraId="4911B497" w14:textId="77777777" w:rsidR="009E38E2" w:rsidRDefault="009E38E2" w:rsidP="009E38E2">
      <w:pPr>
        <w:pStyle w:val="BodyText"/>
        <w:numPr>
          <w:ilvl w:val="0"/>
          <w:numId w:val="49"/>
        </w:numPr>
        <w:spacing w:before="75" w:after="75"/>
        <w:ind w:left="453" w:hanging="226"/>
      </w:pPr>
      <w:r>
        <w:t>Most staff interviewed were very positive about the THN Pilot, noting</w:t>
      </w:r>
      <w:r w:rsidDel="00980AFE">
        <w:t xml:space="preserve"> </w:t>
      </w:r>
      <w:r>
        <w:t>the positive effects it had on their organisation’s ability to provide THN.</w:t>
      </w:r>
    </w:p>
    <w:p w14:paraId="4749E67D" w14:textId="77777777" w:rsidR="009E38E2" w:rsidRDefault="009E38E2" w:rsidP="009E38E2">
      <w:pPr>
        <w:pStyle w:val="BodyText"/>
        <w:numPr>
          <w:ilvl w:val="0"/>
          <w:numId w:val="49"/>
        </w:numPr>
        <w:spacing w:before="75" w:after="75"/>
        <w:ind w:left="453" w:hanging="226"/>
      </w:pPr>
      <w:r>
        <w:t>Most pharmacy staff found the THN Pilot’s impact on their workload was minimal, and successfully incorporated it into existing workflows and processes.</w:t>
      </w:r>
    </w:p>
    <w:p w14:paraId="791C2545" w14:textId="77777777" w:rsidR="009E38E2" w:rsidRDefault="009E38E2" w:rsidP="009E38E2">
      <w:pPr>
        <w:pStyle w:val="BodyText"/>
        <w:numPr>
          <w:ilvl w:val="0"/>
          <w:numId w:val="49"/>
        </w:numPr>
        <w:spacing w:before="75" w:after="75"/>
        <w:ind w:left="453" w:hanging="226"/>
      </w:pPr>
      <w:r>
        <w:t>Most staff believed the training and credentialing systems equipped them with knowledge and skills to distribute naloxone to clients. Many expressed a preference for online training, or a choice of online or face-to-face where possible.</w:t>
      </w:r>
    </w:p>
    <w:p w14:paraId="47CEBC6E" w14:textId="77777777" w:rsidR="009E38E2" w:rsidRDefault="009E38E2" w:rsidP="009E38E2">
      <w:pPr>
        <w:pStyle w:val="BodyText"/>
        <w:numPr>
          <w:ilvl w:val="0"/>
          <w:numId w:val="49"/>
        </w:numPr>
        <w:spacing w:before="75" w:after="75"/>
        <w:ind w:left="453" w:hanging="226"/>
      </w:pPr>
      <w:r>
        <w:t>Staff in AOD services and community pharmacies considered providing THN to be part of their core role, but organisations new to THN commented on the lack of funding to assist implementation.</w:t>
      </w:r>
    </w:p>
    <w:p w14:paraId="611FA53F" w14:textId="77777777" w:rsidR="009E38E2" w:rsidRDefault="009E38E2" w:rsidP="009E38E2">
      <w:pPr>
        <w:pStyle w:val="BodyText"/>
        <w:numPr>
          <w:ilvl w:val="0"/>
          <w:numId w:val="49"/>
        </w:numPr>
        <w:spacing w:before="75" w:after="75"/>
        <w:ind w:left="453" w:hanging="226"/>
      </w:pPr>
      <w:r>
        <w:t>The impact on access sites differed by state, and by the different types of access sites that were engaged and credentialed as part of the Pilot.</w:t>
      </w:r>
    </w:p>
    <w:p w14:paraId="16134133" w14:textId="77777777" w:rsidR="009E38E2" w:rsidRDefault="009E38E2" w:rsidP="009E38E2">
      <w:pPr>
        <w:pStyle w:val="BodyText"/>
        <w:numPr>
          <w:ilvl w:val="0"/>
          <w:numId w:val="49"/>
        </w:numPr>
        <w:spacing w:before="75" w:after="75"/>
        <w:ind w:left="453" w:hanging="226"/>
      </w:pPr>
      <w:r>
        <w:t>There was limited engagement by hospital pharmacies in some jurisdictions, due to barriers to implementation in these settings. There was also limited engagement by pain clinics, primary care, and mental health settings.</w:t>
      </w:r>
    </w:p>
    <w:p w14:paraId="520CC61F" w14:textId="415AB84D" w:rsidR="00CA5EEA" w:rsidRDefault="00CB53DC" w:rsidP="00F6713B">
      <w:pPr>
        <w:pStyle w:val="BodyText"/>
        <w:jc w:val="center"/>
      </w:pPr>
      <w:r>
        <w:rPr>
          <w:noProof/>
        </w:rPr>
        <w:drawing>
          <wp:inline distT="0" distB="0" distL="0" distR="0" wp14:anchorId="63C73682" wp14:editId="20AE86F0">
            <wp:extent cx="5086800" cy="4341600"/>
            <wp:effectExtent l="0" t="0" r="0" b="1905"/>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86800" cy="4341600"/>
                    </a:xfrm>
                    <a:prstGeom prst="rect">
                      <a:avLst/>
                    </a:prstGeom>
                  </pic:spPr>
                </pic:pic>
              </a:graphicData>
            </a:graphic>
          </wp:inline>
        </w:drawing>
      </w:r>
    </w:p>
    <w:p w14:paraId="4DAC242B" w14:textId="2EA5D5B4" w:rsidR="00CA5EEA" w:rsidRDefault="00CA5EEA" w:rsidP="007A6273">
      <w:pPr>
        <w:pStyle w:val="BodyText"/>
        <w:pageBreakBefore/>
      </w:pPr>
      <w:r>
        <w:lastRenderedPageBreak/>
        <w:t>This chapter assesses the impact of the THN Pilot on access sites. The chapter first addresses the broader regulatory environment around access site involvement in the Pilot, followed by a discussion of the broad impacts of the THN Pilot on access sites including the development of organisational policies and procedures, workforce and impacts on workload, and training for staff. Following this broad discussion, the chapter focuses on impacts for specific types of access sites: community pharmacies, AOD services, NGOs, NSPs, Corrective Services Health Settings and Police. The chapter concludes by examining some of the factors that limited engagement in the Pilot by some types of access sites.</w:t>
      </w:r>
    </w:p>
    <w:p w14:paraId="5FF45C89" w14:textId="44A43800" w:rsidR="00CA5EEA" w:rsidRPr="001D59C3" w:rsidRDefault="00CA5EEA" w:rsidP="00A0570E">
      <w:pPr>
        <w:pStyle w:val="NbrHeading2"/>
      </w:pPr>
      <w:bookmarkStart w:id="274" w:name="_Toc94794140"/>
      <w:bookmarkStart w:id="275" w:name="_Toc94794281"/>
      <w:r>
        <w:t>Regulatory environment</w:t>
      </w:r>
      <w:bookmarkEnd w:id="274"/>
      <w:bookmarkEnd w:id="275"/>
    </w:p>
    <w:p w14:paraId="3C8EE895" w14:textId="77777777" w:rsidR="00CA5EEA" w:rsidRDefault="00CA5EEA" w:rsidP="003D0F16">
      <w:pPr>
        <w:pStyle w:val="BodyText"/>
      </w:pPr>
      <w:r>
        <w:t xml:space="preserve">Each jurisdiction involved in the Pilot has a different state regulatory environment governing the supply of THN by alternative access sites. </w:t>
      </w:r>
    </w:p>
    <w:p w14:paraId="517D7CC9" w14:textId="77777777" w:rsidR="00CA5EEA" w:rsidRDefault="00CA5EEA" w:rsidP="003D0F16">
      <w:pPr>
        <w:pStyle w:val="BodyText"/>
      </w:pPr>
      <w:r>
        <w:t xml:space="preserve">In NSW and WA, existing THN programs facilitated the engagement of alternative access sites. </w:t>
      </w:r>
    </w:p>
    <w:p w14:paraId="562910FF" w14:textId="12DCC9B7" w:rsidR="00CA5EEA" w:rsidRDefault="00CA5EEA" w:rsidP="003D0F16">
      <w:pPr>
        <w:pStyle w:val="BodyText"/>
      </w:pPr>
      <w:r>
        <w:t xml:space="preserve">Under the ORTHN trial, the NSW Ministry of Health had initiated changes to regulatory mechanisms to allow appropriately trained, authorised </w:t>
      </w:r>
      <w:r w:rsidR="001C1329">
        <w:t xml:space="preserve">health </w:t>
      </w:r>
      <w:r>
        <w:t>staff to provide naloxone.</w:t>
      </w:r>
    </w:p>
    <w:p w14:paraId="007DE8A6" w14:textId="3FA6870B" w:rsidR="00CA5EEA" w:rsidRPr="0047559F" w:rsidRDefault="00CA5EEA" w:rsidP="003D0F16">
      <w:pPr>
        <w:pStyle w:val="BodyText"/>
      </w:pPr>
      <w:r>
        <w:t xml:space="preserve">In August 2020, the NSW Ministry of Health issued a Policy Directive that allowed for alternative access sites to supply THN. </w:t>
      </w:r>
      <w:r w:rsidRPr="0055633B">
        <w:t xml:space="preserve">Under Clauses 170 and 171 of the Poisons and Therapeutic Goods Regulation 2008 (Regulation) the Secretary of Health authorised (for the purposes of the Act) credentialed health workers employed in a Local Health District, Justice Health &amp; Forensic Mental Health Network, St Vincent’s Health </w:t>
      </w:r>
      <w:proofErr w:type="gramStart"/>
      <w:r w:rsidRPr="0055633B">
        <w:t>Network</w:t>
      </w:r>
      <w:proofErr w:type="gramEnd"/>
      <w:r w:rsidRPr="0055633B">
        <w:t xml:space="preserve"> or the </w:t>
      </w:r>
      <w:r w:rsidR="00B67947">
        <w:t>Medically Supervised Injecting Centre (MSIC)</w:t>
      </w:r>
      <w:r w:rsidR="00B67947" w:rsidRPr="0055633B">
        <w:t xml:space="preserve"> </w:t>
      </w:r>
      <w:r w:rsidRPr="0055633B">
        <w:t>in NSW to supply Schedule 3 medications under clause 17 of the Regulation. The authorisation applies only to naloxone supplied under the intervention described in these Procedures.</w:t>
      </w:r>
      <w:r>
        <w:t xml:space="preserve"> This policy directive was later amended to allow the inclusion of NGOs.</w:t>
      </w:r>
    </w:p>
    <w:p w14:paraId="7952CBE4" w14:textId="142E5C9F" w:rsidR="00CA5EEA" w:rsidRDefault="00CA5EEA" w:rsidP="003D0F16">
      <w:pPr>
        <w:pStyle w:val="BodyText"/>
      </w:pPr>
      <w:r>
        <w:t xml:space="preserve">In Western Australia, changes to allow alternative access sites were initiated under the WA Naloxone Projects 2018-2020 through a Structured Administration and Supply Arrangement (SASA) under the Medicines and Poisons Regulations 2016. This allowed appropriately trained, authorised staff </w:t>
      </w:r>
      <w:r w:rsidR="00BA4E2F">
        <w:t xml:space="preserve">(including volunteers) </w:t>
      </w:r>
      <w:r>
        <w:t xml:space="preserve">employed by </w:t>
      </w:r>
      <w:r w:rsidR="00BD649C">
        <w:t xml:space="preserve">selected services </w:t>
      </w:r>
      <w:r>
        <w:t>to supply naloxone given they satisfy a number of conditions, such as staff having appropriate First Aid and other certificates, staff undertaking training in prevention of opioid overdose and administration of Naloxone from the Mental Health Commission, and other conditions</w:t>
      </w:r>
      <w:r w:rsidR="00F359CF">
        <w:t xml:space="preserve"> </w:t>
      </w:r>
      <w:r w:rsidR="00761A98">
        <w:fldChar w:fldCharType="begin"/>
      </w:r>
      <w:r w:rsidR="00441C1C">
        <w:instrText xml:space="preserve"> ADDIN EN.CITE &lt;EndNote&gt;&lt;Cite&gt;&lt;Author&gt;Mental Health Commission&lt;/Author&gt;&lt;RecNum&gt;136&lt;/RecNum&gt;&lt;DisplayText&gt;(45)&lt;/DisplayText&gt;&lt;record&gt;&lt;rec-number&gt;136&lt;/rec-number&gt;&lt;foreign-keys&gt;&lt;key app="EN" db-id="p00v9zw27zzswpe25phxpead0asdt50td92p" timestamp="1630389432"&gt;136&lt;/key&gt;&lt;/foreign-keys&gt;&lt;ref-type name="Government Document"&gt;46&lt;/ref-type&gt;&lt;contributors&gt;&lt;authors&gt;&lt;author&gt;Mental Health Commission,&lt;/author&gt;&lt;/authors&gt;&lt;/contributors&gt;&lt;titles&gt;&lt;title&gt;WA Naloxone Projects 2018 – 2021: Guidelines for the supply of take-home naloxone to clients.&lt;/title&gt;&lt;/titles&gt;&lt;dates&gt;&lt;/dates&gt;&lt;urls&gt;&lt;/urls&gt;&lt;/record&gt;&lt;/Cite&gt;&lt;/EndNote&gt;</w:instrText>
      </w:r>
      <w:r w:rsidR="00761A98">
        <w:fldChar w:fldCharType="separate"/>
      </w:r>
      <w:r w:rsidR="00441C1C">
        <w:rPr>
          <w:noProof/>
        </w:rPr>
        <w:t>(45)</w:t>
      </w:r>
      <w:r w:rsidR="00761A98">
        <w:fldChar w:fldCharType="end"/>
      </w:r>
      <w:r w:rsidR="00F359CF">
        <w:t>.</w:t>
      </w:r>
    </w:p>
    <w:p w14:paraId="3CE007AE" w14:textId="02B4A515" w:rsidR="00CA5EEA" w:rsidRDefault="00CA5EEA" w:rsidP="003D0F16">
      <w:pPr>
        <w:pStyle w:val="BodyText"/>
      </w:pPr>
      <w:r>
        <w:t>In South Australia, there were no pre-existing THN program and policy frameworks to facilitate the introduction of regulatory mechanisms to include alternative access sites in the implementation of the Pilot. Consequently, to allow for timely implementation of the Pilot and commencement of the provision of THN, the implementation process in this jurisdiction did not include activity or regulatory mechanisms allowing for alternative access sites to provide THN free of charge without a prescription. Community pharmacies were the key focus for the implementation of the THN Pilot in South Australia.</w:t>
      </w:r>
    </w:p>
    <w:p w14:paraId="79936DC8" w14:textId="148D32C1" w:rsidR="00CA5EEA" w:rsidRPr="001D59C3" w:rsidRDefault="00CA5EEA" w:rsidP="00A0570E">
      <w:pPr>
        <w:pStyle w:val="NbrHeading2"/>
      </w:pPr>
      <w:bookmarkStart w:id="276" w:name="_Toc94794141"/>
      <w:bookmarkStart w:id="277" w:name="_Toc94794282"/>
      <w:r>
        <w:t>Organisational policies and procedures</w:t>
      </w:r>
      <w:bookmarkEnd w:id="276"/>
      <w:bookmarkEnd w:id="277"/>
    </w:p>
    <w:p w14:paraId="27E78E1D" w14:textId="6674A27F" w:rsidR="00CA5EEA" w:rsidRDefault="00CA5EEA" w:rsidP="003D0F16">
      <w:pPr>
        <w:pStyle w:val="BodyText"/>
      </w:pPr>
      <w:r>
        <w:t xml:space="preserve">The implementation of the THN Pilot </w:t>
      </w:r>
      <w:r w:rsidR="00CF42FA">
        <w:t>required</w:t>
      </w:r>
      <w:r>
        <w:t xml:space="preserve"> organisations</w:t>
      </w:r>
      <w:r w:rsidR="00451E8E">
        <w:t>, particularly AAS,</w:t>
      </w:r>
      <w:r>
        <w:t xml:space="preserve"> to implement their own policies and procedures to integrate THN provision into their organisational workflows.</w:t>
      </w:r>
    </w:p>
    <w:p w14:paraId="684DDAD3" w14:textId="47662FA5" w:rsidR="00CC44C1" w:rsidRDefault="00CA5EEA" w:rsidP="003D0F16">
      <w:pPr>
        <w:pStyle w:val="BodyText"/>
      </w:pPr>
      <w:proofErr w:type="gramStart"/>
      <w:r>
        <w:t>The majority of</w:t>
      </w:r>
      <w:proofErr w:type="gramEnd"/>
      <w:r>
        <w:t xml:space="preserve"> access site staff noted that the organisations that they worked for needed to develop </w:t>
      </w:r>
      <w:r w:rsidR="002852B3">
        <w:t xml:space="preserve">or </w:t>
      </w:r>
      <w:r>
        <w:t>adapt their own policies and procedures for a range of activities related to operationalising the THN Pilot in their organisation</w:t>
      </w:r>
      <w:r w:rsidR="00D93C83">
        <w:t>. These included</w:t>
      </w:r>
      <w:r>
        <w:t xml:space="preserve">: receipt of stock; storage; identification of appropriate clients to offer naloxone; how to approach clients and how to have the conversation with them about naloxone; and entry of data relating to </w:t>
      </w:r>
      <w:r w:rsidR="008957D6">
        <w:t>THN</w:t>
      </w:r>
      <w:r>
        <w:t xml:space="preserve"> provision. </w:t>
      </w:r>
      <w:r w:rsidR="005F68A1">
        <w:t xml:space="preserve">Receipt of stock, </w:t>
      </w:r>
      <w:r w:rsidR="007350F4">
        <w:t xml:space="preserve">secure </w:t>
      </w:r>
      <w:r w:rsidR="005F68A1">
        <w:t xml:space="preserve">storage </w:t>
      </w:r>
      <w:r w:rsidR="007350F4">
        <w:t xml:space="preserve">of naloxone </w:t>
      </w:r>
      <w:r w:rsidR="005F68A1">
        <w:t>a</w:t>
      </w:r>
      <w:r w:rsidR="00332F30">
        <w:t xml:space="preserve">nd data entry were newer activities for AAS, but core </w:t>
      </w:r>
      <w:r w:rsidR="00332F30">
        <w:lastRenderedPageBreak/>
        <w:t>business for pharmacies</w:t>
      </w:r>
      <w:r w:rsidR="009D5B39">
        <w:t xml:space="preserve">; </w:t>
      </w:r>
      <w:r w:rsidR="00AD4F47">
        <w:t>however,</w:t>
      </w:r>
      <w:r w:rsidR="009D5B39">
        <w:t xml:space="preserve"> some </w:t>
      </w:r>
      <w:r w:rsidR="001F4EFE">
        <w:t>pharmacists did note that their organisation had to develop their own policies about identifying and approaching appropriate clients for THN</w:t>
      </w:r>
      <w:r w:rsidR="00332F30">
        <w:t xml:space="preserve">.  </w:t>
      </w:r>
    </w:p>
    <w:p w14:paraId="7943BD22" w14:textId="71CD31FE" w:rsidR="00CA5EEA" w:rsidRDefault="003077CE" w:rsidP="003D0F16">
      <w:pPr>
        <w:pStyle w:val="BodyText"/>
      </w:pPr>
      <w:r>
        <w:t>Pr</w:t>
      </w:r>
      <w:r w:rsidR="002657FC">
        <w:t xml:space="preserve">actices </w:t>
      </w:r>
      <w:r w:rsidR="00C64009">
        <w:t>for</w:t>
      </w:r>
      <w:r w:rsidR="00036DF0">
        <w:t xml:space="preserve"> approach</w:t>
      </w:r>
      <w:r w:rsidR="001E1013">
        <w:t>ing</w:t>
      </w:r>
      <w:r w:rsidR="00036DF0">
        <w:t xml:space="preserve"> clients and discuss</w:t>
      </w:r>
      <w:r w:rsidR="001E1013">
        <w:t>ing</w:t>
      </w:r>
      <w:r w:rsidR="00036DF0">
        <w:t xml:space="preserve"> naloxone were more likely to be </w:t>
      </w:r>
      <w:r w:rsidR="001D3EC3">
        <w:t>“</w:t>
      </w:r>
      <w:r w:rsidR="00036DF0">
        <w:t>business as usual</w:t>
      </w:r>
      <w:r w:rsidR="001D3EC3">
        <w:t>”</w:t>
      </w:r>
      <w:r w:rsidR="00036DF0">
        <w:t xml:space="preserve"> for AAS if they were a</w:t>
      </w:r>
      <w:r w:rsidR="00677E23">
        <w:t>n AOD-focussed organisation such as an NSP.</w:t>
      </w:r>
      <w:r w:rsidR="00CA5EEA">
        <w:t xml:space="preserve"> Some access sites were provided with policy and procedural documentation by implementing agencies including the Ministry of Health in NSW, but most still reported that they needed to develop their own policies to fit the Pilot into their own organisational workflow. Where access site staff had to develop their own policies to implement the Pilot, many reported that it was difficult to easily access information that would have helped them. They also noted problems with some of the information on implementing agencies</w:t>
      </w:r>
      <w:r w:rsidR="005E2119">
        <w:t>’</w:t>
      </w:r>
      <w:r w:rsidR="00CA5EEA">
        <w:t xml:space="preserve"> websites, particularly lists of pharmacies where THN was available under the Pilot being out of date or inaccurate.</w:t>
      </w:r>
    </w:p>
    <w:p w14:paraId="36BBAFF2" w14:textId="572EB2A2" w:rsidR="00CA5EEA" w:rsidRPr="00090744" w:rsidRDefault="00CA5EEA" w:rsidP="003D0F16">
      <w:pPr>
        <w:pStyle w:val="BodyText"/>
      </w:pPr>
      <w:r w:rsidRPr="00090744">
        <w:t xml:space="preserve">Many access site staff noted that some clients either did not consider themselves at risk of opioid </w:t>
      </w:r>
      <w:proofErr w:type="gramStart"/>
      <w:r w:rsidRPr="00090744">
        <w:t>overdose, or</w:t>
      </w:r>
      <w:proofErr w:type="gramEnd"/>
      <w:r w:rsidRPr="00090744">
        <w:t xml:space="preserve"> were not interested in </w:t>
      </w:r>
      <w:r w:rsidR="007B7AE6">
        <w:t xml:space="preserve">discussing their own potential risk of </w:t>
      </w:r>
      <w:r w:rsidRPr="00090744">
        <w:t xml:space="preserve">overdose. Some staff noted that framing conversations with clients around responding to overdose risk for </w:t>
      </w:r>
      <w:r w:rsidRPr="00090744">
        <w:rPr>
          <w:i/>
          <w:iCs/>
        </w:rPr>
        <w:t xml:space="preserve">others </w:t>
      </w:r>
      <w:r w:rsidRPr="00090744">
        <w:t>rather than themselves w</w:t>
      </w:r>
      <w:r>
        <w:t>as</w:t>
      </w:r>
      <w:r w:rsidRPr="00090744">
        <w:t xml:space="preserve"> successful in encouraging client uptake in these cases: </w:t>
      </w:r>
    </w:p>
    <w:p w14:paraId="5959B4A6" w14:textId="351D0DD5" w:rsidR="00CA5EEA" w:rsidRDefault="00CA5EEA" w:rsidP="003D0F16">
      <w:pPr>
        <w:pStyle w:val="Quote"/>
      </w:pPr>
      <w:r w:rsidRPr="00090744">
        <w:t xml:space="preserve">But interesting, a lot of people are </w:t>
      </w:r>
      <w:proofErr w:type="gramStart"/>
      <w:r w:rsidRPr="00090744">
        <w:t>really keen</w:t>
      </w:r>
      <w:proofErr w:type="gramEnd"/>
      <w:r w:rsidRPr="00090744">
        <w:t xml:space="preserve"> to take it if you talk to them about risk to others, not so keen when you talk about their own risk. (Roundtable Participant</w:t>
      </w:r>
      <w:r w:rsidR="00E536B8">
        <w:t xml:space="preserve">, </w:t>
      </w:r>
      <w:r w:rsidR="001119AA">
        <w:t>Prison Health</w:t>
      </w:r>
      <w:r w:rsidR="002847F6">
        <w:t xml:space="preserve">, </w:t>
      </w:r>
      <w:r w:rsidR="00E536B8">
        <w:t>SA</w:t>
      </w:r>
      <w:r w:rsidRPr="00090744">
        <w:t>)</w:t>
      </w:r>
    </w:p>
    <w:p w14:paraId="400B53B9" w14:textId="32FF9CAC" w:rsidR="00CA5EEA" w:rsidRPr="00F950E9" w:rsidRDefault="00CA5EEA" w:rsidP="00F950E9">
      <w:pPr>
        <w:rPr>
          <w:color w:val="FFFFFF" w:themeColor="background1"/>
        </w:rPr>
      </w:pPr>
      <w:r>
        <w:t xml:space="preserve">Many of the access site staff described using existing promotional material such as Overdose Awareness Day and visual promotion materials (posters, postcards) to </w:t>
      </w:r>
      <w:r w:rsidR="002902A0">
        <w:t xml:space="preserve">display </w:t>
      </w:r>
      <w:r>
        <w:t xml:space="preserve">around </w:t>
      </w:r>
      <w:r w:rsidR="00F05003">
        <w:t xml:space="preserve">their </w:t>
      </w:r>
      <w:r>
        <w:t xml:space="preserve">sites to promote THN and initiate conversations with clients. Staff also described drawing on existing resources in the form of research, guidelines, and </w:t>
      </w:r>
      <w:r w:rsidR="00CA4CD7">
        <w:t>information sheets</w:t>
      </w:r>
      <w:r>
        <w:t xml:space="preserve"> produced about THN. </w:t>
      </w:r>
    </w:p>
    <w:p w14:paraId="0D97C1EB" w14:textId="5803DC1C" w:rsidR="00CA5EEA" w:rsidRPr="001D59C3" w:rsidRDefault="00CA5EEA" w:rsidP="00A0570E">
      <w:pPr>
        <w:pStyle w:val="NbrHeading2"/>
      </w:pPr>
      <w:bookmarkStart w:id="278" w:name="_Toc94794142"/>
      <w:bookmarkStart w:id="279" w:name="_Toc94794283"/>
      <w:r>
        <w:t>Workforce and impact on workload</w:t>
      </w:r>
      <w:bookmarkEnd w:id="278"/>
      <w:bookmarkEnd w:id="279"/>
    </w:p>
    <w:p w14:paraId="11F70275" w14:textId="0BC56901" w:rsidR="00CA5EEA" w:rsidRDefault="00CA5EEA" w:rsidP="003D0F16">
      <w:pPr>
        <w:pStyle w:val="BodyText"/>
      </w:pPr>
      <w:r>
        <w:t xml:space="preserve">The impact on access sites varied depending on the setting. For community pharmacies, the THN Pilot had minimal impact on </w:t>
      </w:r>
      <w:r w:rsidR="00CE1745">
        <w:t xml:space="preserve">staff </w:t>
      </w:r>
      <w:r>
        <w:t>workload</w:t>
      </w:r>
      <w:r w:rsidR="00CE1745">
        <w:t>s</w:t>
      </w:r>
      <w:r>
        <w:t xml:space="preserve"> and was easily integrated into existing workflows; this </w:t>
      </w:r>
      <w:r w:rsidR="00F2275D">
        <w:t xml:space="preserve">feedback </w:t>
      </w:r>
      <w:r>
        <w:t xml:space="preserve">was consistent across jurisdictions. </w:t>
      </w:r>
    </w:p>
    <w:p w14:paraId="4C25EAD1" w14:textId="36A61599" w:rsidR="002319FF" w:rsidRPr="002319FF" w:rsidRDefault="00CA5EEA" w:rsidP="002319FF">
      <w:pPr>
        <w:pStyle w:val="BodyText"/>
      </w:pPr>
      <w:r>
        <w:t xml:space="preserve">The existing </w:t>
      </w:r>
      <w:r w:rsidR="005F6E32">
        <w:t xml:space="preserve">frontline </w:t>
      </w:r>
      <w:r>
        <w:t>workforce in AOD settings (including treatment services, NSPs, and AOD NGOs) regarded THN as a core part of their role</w:t>
      </w:r>
      <w:r w:rsidR="00DA05E8">
        <w:t xml:space="preserve"> in harm reduction</w:t>
      </w:r>
      <w:r>
        <w:t xml:space="preserve">. Many staff were pleased that they were able to provide THN to their clients to assist them. </w:t>
      </w:r>
    </w:p>
    <w:p w14:paraId="505E8766" w14:textId="02AA2DDD" w:rsidR="001E2A9A" w:rsidRPr="001E2A9A" w:rsidRDefault="00D87D6F" w:rsidP="006752A1">
      <w:pPr>
        <w:pStyle w:val="Quote"/>
      </w:pPr>
      <w:r>
        <w:t>…</w:t>
      </w:r>
      <w:r w:rsidR="003C3E37" w:rsidRPr="003C3E37">
        <w:t xml:space="preserve">the key thing in aspect of how we operate the service, take home naloxone is considered core-business. </w:t>
      </w:r>
      <w:r w:rsidR="00B76483">
        <w:t>(NSW, NGO</w:t>
      </w:r>
      <w:r w:rsidR="006752A1">
        <w:t>/</w:t>
      </w:r>
      <w:r w:rsidR="007463F6">
        <w:t xml:space="preserve"> </w:t>
      </w:r>
      <w:r w:rsidR="006752A1">
        <w:t>AOD</w:t>
      </w:r>
      <w:r w:rsidR="00044404">
        <w:t xml:space="preserve"> staff member</w:t>
      </w:r>
      <w:r w:rsidR="006752A1">
        <w:t>, Interviewed July 2021)</w:t>
      </w:r>
    </w:p>
    <w:p w14:paraId="165FD87C" w14:textId="7B92931D" w:rsidR="007463F6" w:rsidRPr="007463F6" w:rsidRDefault="007463F6" w:rsidP="00B1735B">
      <w:r>
        <w:t>Many staff were pleased that they were able to provide THN to their clients to assist them.</w:t>
      </w:r>
    </w:p>
    <w:p w14:paraId="64865C3D" w14:textId="7BC9BDF8" w:rsidR="00CA5EEA" w:rsidRDefault="00CA5EEA" w:rsidP="003D0F16">
      <w:pPr>
        <w:pStyle w:val="BodyText"/>
      </w:pPr>
      <w:r>
        <w:t xml:space="preserve">Most access site staff interviewed reported that the </w:t>
      </w:r>
      <w:r w:rsidR="00383DD9">
        <w:t xml:space="preserve">incorporation </w:t>
      </w:r>
      <w:r>
        <w:t>of THN into their existing duties had caused minimal disruption</w:t>
      </w:r>
      <w:r w:rsidR="0006484B">
        <w:t>, however some access site staff (particularly those in AOD NGOs in WA) noted that they would have appreciated funding for implementation</w:t>
      </w:r>
      <w:r>
        <w:t>.</w:t>
      </w:r>
    </w:p>
    <w:p w14:paraId="118D734B" w14:textId="12B97E14" w:rsidR="00CA5EEA" w:rsidRDefault="00F53458" w:rsidP="003D0F16">
      <w:pPr>
        <w:pStyle w:val="BodyText"/>
      </w:pPr>
      <w:r>
        <w:t>A</w:t>
      </w:r>
      <w:r w:rsidR="00434069">
        <w:t>lthough they reported some impact on their workload by</w:t>
      </w:r>
      <w:r w:rsidR="00CA5EEA">
        <w:t xml:space="preserve"> administration and other activities related to the THN Pilot, </w:t>
      </w:r>
      <w:r w:rsidR="00CC60DC">
        <w:t>this was not viewed</w:t>
      </w:r>
      <w:r w:rsidR="00CA5EEA">
        <w:t xml:space="preserve"> in a negative manner. The majority indicated that the average time for each THN provision was 10-15 minutes</w:t>
      </w:r>
      <w:r w:rsidR="00CE652B" w:rsidDel="00043220">
        <w:t>.</w:t>
      </w:r>
    </w:p>
    <w:p w14:paraId="7A8CC3A2" w14:textId="1BB71949" w:rsidR="00CA5EEA" w:rsidRDefault="00CA5EEA" w:rsidP="003D0F16">
      <w:pPr>
        <w:pStyle w:val="BodyText"/>
        <w:rPr>
          <w:b/>
        </w:rPr>
      </w:pPr>
      <w:r>
        <w:t xml:space="preserve">State implementing </w:t>
      </w:r>
      <w:r w:rsidR="000277CD">
        <w:t>agencies</w:t>
      </w:r>
      <w:r>
        <w:t xml:space="preserve"> provided </w:t>
      </w:r>
      <w:r w:rsidR="00766734">
        <w:t xml:space="preserve">support </w:t>
      </w:r>
      <w:r>
        <w:t>to access site</w:t>
      </w:r>
      <w:r w:rsidR="00254853">
        <w:t>s</w:t>
      </w:r>
      <w:r>
        <w:t xml:space="preserve"> with aspects of the Pilot </w:t>
      </w:r>
      <w:r w:rsidR="001F2CF0">
        <w:t xml:space="preserve">such as registration and </w:t>
      </w:r>
      <w:r>
        <w:t xml:space="preserve">using </w:t>
      </w:r>
      <w:r w:rsidR="00B35053">
        <w:t xml:space="preserve">the </w:t>
      </w:r>
      <w:r>
        <w:t>PPA portal.</w:t>
      </w:r>
      <w:r w:rsidR="008E229C">
        <w:t xml:space="preserve"> </w:t>
      </w:r>
      <w:r w:rsidR="00BB4A1D">
        <w:t xml:space="preserve">Although information was available on the PPA portal </w:t>
      </w:r>
      <w:r w:rsidR="00350289">
        <w:t xml:space="preserve">to </w:t>
      </w:r>
      <w:r w:rsidR="000756C2">
        <w:t xml:space="preserve">assist with these functions, </w:t>
      </w:r>
      <w:r w:rsidR="009C6E62">
        <w:t xml:space="preserve">the implementing agencies reported receiving a significant number of requests for </w:t>
      </w:r>
      <w:r w:rsidR="004B2988">
        <w:t xml:space="preserve">clarifications and </w:t>
      </w:r>
      <w:r w:rsidR="009C6E62">
        <w:t xml:space="preserve">assistance, </w:t>
      </w:r>
      <w:r w:rsidR="00FD1605">
        <w:t>c</w:t>
      </w:r>
      <w:r w:rsidR="007E5F8D">
        <w:t>reating some pressure on workload</w:t>
      </w:r>
      <w:r w:rsidR="009410D8">
        <w:t xml:space="preserve"> at </w:t>
      </w:r>
      <w:r w:rsidR="009D7885">
        <w:t>state coordination level</w:t>
      </w:r>
      <w:r w:rsidR="007E5F8D">
        <w:t xml:space="preserve">. </w:t>
      </w:r>
      <w:r w:rsidR="009D7885">
        <w:t>T</w:t>
      </w:r>
      <w:r w:rsidR="000756C2">
        <w:t xml:space="preserve">he </w:t>
      </w:r>
      <w:r w:rsidR="00A13D38">
        <w:t xml:space="preserve">additional </w:t>
      </w:r>
      <w:r w:rsidR="00742A6F">
        <w:t xml:space="preserve">support was </w:t>
      </w:r>
      <w:r w:rsidR="009D7885">
        <w:t xml:space="preserve">however </w:t>
      </w:r>
      <w:r w:rsidR="00742A6F">
        <w:t xml:space="preserve">positively regarded by </w:t>
      </w:r>
      <w:r w:rsidR="006A4207">
        <w:t>the site staff</w:t>
      </w:r>
      <w:r w:rsidR="00ED191B">
        <w:t xml:space="preserve"> interviewed</w:t>
      </w:r>
      <w:r w:rsidR="006A4207">
        <w:t>.</w:t>
      </w:r>
    </w:p>
    <w:p w14:paraId="053A1152" w14:textId="4F0CE965" w:rsidR="00CA5EEA" w:rsidRPr="001D59C3" w:rsidRDefault="00BD09E5" w:rsidP="00A0570E">
      <w:pPr>
        <w:pStyle w:val="NbrHeading2"/>
      </w:pPr>
      <w:bookmarkStart w:id="280" w:name="_Toc94794143"/>
      <w:bookmarkStart w:id="281" w:name="_Toc94794284"/>
      <w:r>
        <w:lastRenderedPageBreak/>
        <w:t>Site c</w:t>
      </w:r>
      <w:r w:rsidR="00BD6166">
        <w:t xml:space="preserve">redentialling and </w:t>
      </w:r>
      <w:r>
        <w:t xml:space="preserve">staff </w:t>
      </w:r>
      <w:r w:rsidR="00BD6166">
        <w:t>t</w:t>
      </w:r>
      <w:r w:rsidR="00CA5EEA">
        <w:t>raining</w:t>
      </w:r>
      <w:bookmarkEnd w:id="280"/>
      <w:bookmarkEnd w:id="281"/>
    </w:p>
    <w:p w14:paraId="585EC52E" w14:textId="1DB53F03" w:rsidR="00BD6166" w:rsidRDefault="00225FFA" w:rsidP="003D0F16">
      <w:pPr>
        <w:pStyle w:val="BodyText"/>
      </w:pPr>
      <w:r>
        <w:t>Although not mandated by the Department as part of the Pilot, c</w:t>
      </w:r>
      <w:r w:rsidR="00BD6166">
        <w:t xml:space="preserve">redentialling of AAS and training of AAS health workers were </w:t>
      </w:r>
      <w:r w:rsidR="00E472D0">
        <w:t>insti</w:t>
      </w:r>
      <w:r w:rsidR="005575F6">
        <w:t>tute</w:t>
      </w:r>
      <w:r w:rsidR="00E472D0">
        <w:t xml:space="preserve">d </w:t>
      </w:r>
      <w:r w:rsidR="00864C41">
        <w:t>in WA and</w:t>
      </w:r>
      <w:r w:rsidR="004839A7">
        <w:t xml:space="preserve"> NSW. </w:t>
      </w:r>
      <w:r w:rsidR="00A1492F">
        <w:t>I</w:t>
      </w:r>
      <w:r w:rsidR="00BD6166">
        <w:t xml:space="preserve">n WA </w:t>
      </w:r>
      <w:r w:rsidR="00A1492F">
        <w:t>this was undertaken</w:t>
      </w:r>
      <w:r w:rsidR="00BD6166">
        <w:t xml:space="preserve"> by the WA Mental Health Commission (WAMHC)</w:t>
      </w:r>
      <w:r w:rsidR="00BD6166">
        <w:rPr>
          <w:rStyle w:val="FootnoteReference"/>
        </w:rPr>
        <w:footnoteReference w:id="34"/>
      </w:r>
      <w:r w:rsidR="00BD6166">
        <w:t>, again following on from previous arrangements. NSW Health initially contracted training for health workers from South East Sydney Local Health District (LHD), following on from the ORTHN trial. Subsequent iterations of training, including for NGOs, were provided by St John Ambulance. Credentialling processes were managed by NSW Health</w:t>
      </w:r>
      <w:r w:rsidR="00BD6166">
        <w:rPr>
          <w:rStyle w:val="FootnoteReference"/>
        </w:rPr>
        <w:footnoteReference w:id="35"/>
      </w:r>
      <w:r w:rsidR="00BD6166">
        <w:t xml:space="preserve">. </w:t>
      </w:r>
    </w:p>
    <w:p w14:paraId="1FB726D2" w14:textId="27D9123E" w:rsidR="00CA5EEA" w:rsidRPr="00225495" w:rsidRDefault="00CA5EEA" w:rsidP="003D0F16">
      <w:pPr>
        <w:pStyle w:val="BodyText"/>
        <w:rPr>
          <w:i/>
          <w:iCs/>
        </w:rPr>
      </w:pPr>
      <w:r>
        <w:t xml:space="preserve">The majority of access site staff interviewed indicated that the training equipped them with the information that they needed to distribute naloxone to </w:t>
      </w:r>
      <w:proofErr w:type="gramStart"/>
      <w:r>
        <w:t>consumers, and</w:t>
      </w:r>
      <w:proofErr w:type="gramEnd"/>
      <w:r>
        <w:t xml:space="preserve"> was practical. This was consistent across all three states. Very few </w:t>
      </w:r>
      <w:r w:rsidR="00CF7523">
        <w:t>interviewees</w:t>
      </w:r>
      <w:r>
        <w:t xml:space="preserve"> felt they needed more training or that they were unsure about how to explain the use of naloxone to clients. The staff training and credentialing process differed by state, and there were some </w:t>
      </w:r>
      <w:r w:rsidR="001F535D">
        <w:t xml:space="preserve">jurisdiction-specific </w:t>
      </w:r>
      <w:r>
        <w:t>issues.</w:t>
      </w:r>
    </w:p>
    <w:p w14:paraId="50590A53" w14:textId="14563B67" w:rsidR="00CA5EEA" w:rsidRDefault="00CA5EEA" w:rsidP="003D0F16">
      <w:pPr>
        <w:pStyle w:val="BodyText"/>
      </w:pPr>
      <w:r>
        <w:t xml:space="preserve">Many of the interviewees in New South Wales commented that the initial credentialing process being face-to-face resulted in some difficulties in sufficient numbers of staff being able to attend and complete the training. However, once the training was </w:t>
      </w:r>
      <w:r w:rsidR="00CD23F4">
        <w:t>moved</w:t>
      </w:r>
      <w:r>
        <w:t xml:space="preserve"> online due to COVID-19, this created greater opportunities for more staff to complete the training.</w:t>
      </w:r>
    </w:p>
    <w:p w14:paraId="02EDE94C" w14:textId="71837B07" w:rsidR="00CA5EEA" w:rsidRDefault="00CA5EEA" w:rsidP="003D0F16">
      <w:pPr>
        <w:pStyle w:val="BodyText"/>
      </w:pPr>
      <w:r>
        <w:t>The main negative comments about the training and credentialing process for NSW access sites revolved around the time it took to get approved in their own organisational system once they had done the training.</w:t>
      </w:r>
    </w:p>
    <w:p w14:paraId="7C1BC599" w14:textId="69CD9440" w:rsidR="00CA5EEA" w:rsidDel="00493E85" w:rsidRDefault="00CA5EEA" w:rsidP="003D0F16">
      <w:pPr>
        <w:pStyle w:val="BodyText"/>
      </w:pPr>
      <w:r w:rsidDel="00493E85">
        <w:t xml:space="preserve">There was also confusion for some workers about the purpose of the credentialing and training system in NSW. One staff member in New South Wales noted that they were uncertain whether the credentialing process meant that they could use naloxone themselves or whether they </w:t>
      </w:r>
      <w:r w:rsidR="00EA55BD">
        <w:t>we</w:t>
      </w:r>
      <w:r w:rsidR="00EA55BD" w:rsidDel="00493E85">
        <w:t xml:space="preserve">re </w:t>
      </w:r>
      <w:r w:rsidDel="00493E85">
        <w:t xml:space="preserve">only able to </w:t>
      </w:r>
      <w:r w:rsidR="00AC1DB6">
        <w:t>provide</w:t>
      </w:r>
      <w:r w:rsidR="00AC1DB6" w:rsidDel="00493E85">
        <w:t xml:space="preserve"> </w:t>
      </w:r>
      <w:r w:rsidDel="00493E85">
        <w:t>it</w:t>
      </w:r>
      <w:r w:rsidR="00AC1DB6">
        <w:t xml:space="preserve"> for others to use</w:t>
      </w:r>
      <w:r w:rsidDel="00493E85">
        <w:t>:</w:t>
      </w:r>
    </w:p>
    <w:p w14:paraId="5078793E" w14:textId="4A543338" w:rsidR="00CA5EEA" w:rsidRPr="00FD3E78" w:rsidDel="00493E85" w:rsidRDefault="00CA5EEA" w:rsidP="003D0F16">
      <w:pPr>
        <w:pStyle w:val="Quote"/>
      </w:pPr>
      <w:r w:rsidRPr="00FD3E78" w:rsidDel="00493E85">
        <w:t>I would need some clarity around being a healthcare worker, so not medically trained, and um utilising naloxone on a health site. I had one health district saying if witnessing an overdose always call for staff who were medically trained, and then I had another workplace while witnessing an overdose there was a paramedic present for another client present asking me to utilise naloxone</w:t>
      </w:r>
      <w:r w:rsidDel="00493E85">
        <w:t>…</w:t>
      </w:r>
      <w:r w:rsidRPr="00FD3E78" w:rsidDel="00493E85">
        <w:t xml:space="preserve"> Yeah am I able to utilise it myself or is my credentialling is it around just supply. </w:t>
      </w:r>
      <w:r w:rsidDel="00493E85">
        <w:t xml:space="preserve">(NSW, AOD staff member, </w:t>
      </w:r>
      <w:r w:rsidR="00C50307">
        <w:t>Interviewed</w:t>
      </w:r>
      <w:r w:rsidR="0093039F">
        <w:t xml:space="preserve"> </w:t>
      </w:r>
      <w:r w:rsidDel="00493E85">
        <w:t>October 2020)</w:t>
      </w:r>
    </w:p>
    <w:p w14:paraId="38D01744" w14:textId="0D1BA62A" w:rsidR="00CA5EEA" w:rsidRPr="009843CC" w:rsidRDefault="00CA5EEA" w:rsidP="003D0F16">
      <w:pPr>
        <w:pStyle w:val="BodyText"/>
      </w:pPr>
      <w:r>
        <w:t xml:space="preserve">Training in WA was mainly delivered face-to-face, and interviewees reported the outcome of this as positive. There was also an online tool that was </w:t>
      </w:r>
      <w:r w:rsidR="00D96918">
        <w:t xml:space="preserve">described as </w:t>
      </w:r>
      <w:r>
        <w:t>comprehensive, but perhaps not practical in all situations:</w:t>
      </w:r>
    </w:p>
    <w:p w14:paraId="22195A15" w14:textId="482765E2" w:rsidR="00CA5EEA" w:rsidRDefault="00CA5EEA" w:rsidP="003D0F16">
      <w:pPr>
        <w:pStyle w:val="Quote"/>
      </w:pPr>
      <w:r>
        <w:t xml:space="preserve">The take home naloxone education tool that the Mental Health Commission provided, I think would work </w:t>
      </w:r>
      <w:proofErr w:type="gramStart"/>
      <w:r>
        <w:t>really well</w:t>
      </w:r>
      <w:proofErr w:type="gramEnd"/>
      <w:r>
        <w:t xml:space="preserve"> if you were in a clinical setting like if you’re in a doctor’s appointment, you can open up that that tool on your desktop but it’s rather lengthy. It contains a lot of information that consumers don't really need or want to know about...and in practice, we don't use that tool... we couldn't use the tool on the way that we work. (WA, </w:t>
      </w:r>
      <w:r w:rsidR="00E5583C">
        <w:t>NSP</w:t>
      </w:r>
      <w:r>
        <w:t xml:space="preserve"> staff member, </w:t>
      </w:r>
      <w:r w:rsidR="00E5583C">
        <w:t>Interviewed</w:t>
      </w:r>
      <w:r w:rsidR="00473020">
        <w:t xml:space="preserve"> </w:t>
      </w:r>
      <w:r>
        <w:t>May 2021)</w:t>
      </w:r>
    </w:p>
    <w:p w14:paraId="41A18AF4" w14:textId="77777777" w:rsidR="00CA5EEA" w:rsidRDefault="00CA5EEA" w:rsidP="003D0F16">
      <w:pPr>
        <w:pStyle w:val="BodyText"/>
      </w:pPr>
      <w:r>
        <w:t>One CP worker suggested basing the training on an existing model in WA:</w:t>
      </w:r>
    </w:p>
    <w:p w14:paraId="6D5C9CBD" w14:textId="4CEC8AD7" w:rsidR="00CA5EEA" w:rsidRDefault="00CA5EEA" w:rsidP="003D0F16">
      <w:pPr>
        <w:pStyle w:val="Quote"/>
        <w:rPr>
          <w:rFonts w:eastAsiaTheme="minorEastAsia"/>
        </w:rPr>
      </w:pPr>
      <w:r w:rsidRPr="449EA5AB">
        <w:rPr>
          <w:rFonts w:eastAsiaTheme="minorEastAsia"/>
        </w:rPr>
        <w:lastRenderedPageBreak/>
        <w:t xml:space="preserve">What might be a good idea is [to have it] </w:t>
      </w:r>
      <w:proofErr w:type="gramStart"/>
      <w:r w:rsidRPr="449EA5AB">
        <w:rPr>
          <w:rFonts w:eastAsiaTheme="minorEastAsia"/>
        </w:rPr>
        <w:t>similar to</w:t>
      </w:r>
      <w:proofErr w:type="gramEnd"/>
      <w:r w:rsidRPr="449EA5AB">
        <w:rPr>
          <w:rFonts w:eastAsiaTheme="minorEastAsia"/>
        </w:rPr>
        <w:t xml:space="preserve"> the CPOP (Community Program for Opioid Pharmacotherapy) training. For example, there is an online module that you can do. Often these modules also give CED points or continuing education points which you know as a pharmacist you need to make sure that we get enough throughout our practising year, so people are quite eager to do these small courses, because it gives some points and at the same time, you know, you </w:t>
      </w:r>
      <w:proofErr w:type="gramStart"/>
      <w:r w:rsidRPr="449EA5AB">
        <w:rPr>
          <w:rFonts w:eastAsiaTheme="minorEastAsia"/>
        </w:rPr>
        <w:t>are able to</w:t>
      </w:r>
      <w:proofErr w:type="gramEnd"/>
      <w:r w:rsidRPr="449EA5AB">
        <w:rPr>
          <w:rFonts w:eastAsiaTheme="minorEastAsia"/>
        </w:rPr>
        <w:t xml:space="preserve"> get that information out there to make sure that it has actually been processed (WA, </w:t>
      </w:r>
      <w:r w:rsidR="00E5583C">
        <w:rPr>
          <w:rFonts w:eastAsiaTheme="minorEastAsia"/>
        </w:rPr>
        <w:t>Community pharmacy</w:t>
      </w:r>
      <w:r>
        <w:rPr>
          <w:rFonts w:eastAsiaTheme="minorEastAsia"/>
        </w:rPr>
        <w:t xml:space="preserve"> staff member</w:t>
      </w:r>
      <w:r w:rsidRPr="449EA5AB">
        <w:rPr>
          <w:rFonts w:eastAsiaTheme="minorEastAsia"/>
        </w:rPr>
        <w:t xml:space="preserve">, </w:t>
      </w:r>
      <w:r w:rsidR="00E5583C">
        <w:rPr>
          <w:rFonts w:eastAsiaTheme="minorEastAsia"/>
        </w:rPr>
        <w:t>Interviewed</w:t>
      </w:r>
      <w:r w:rsidR="008923C0">
        <w:rPr>
          <w:rFonts w:eastAsiaTheme="minorEastAsia"/>
        </w:rPr>
        <w:t xml:space="preserve"> </w:t>
      </w:r>
      <w:r>
        <w:rPr>
          <w:rFonts w:eastAsiaTheme="minorEastAsia"/>
        </w:rPr>
        <w:t>June 2021</w:t>
      </w:r>
      <w:r w:rsidRPr="449EA5AB">
        <w:rPr>
          <w:rFonts w:eastAsiaTheme="minorEastAsia"/>
        </w:rPr>
        <w:t>)</w:t>
      </w:r>
    </w:p>
    <w:p w14:paraId="14F5E04B" w14:textId="77777777" w:rsidR="00CA5EEA" w:rsidRPr="00B032BB" w:rsidRDefault="00CA5EEA" w:rsidP="003D0F16">
      <w:pPr>
        <w:pStyle w:val="BodyText"/>
      </w:pPr>
      <w:r>
        <w:t>Finally, a suggestion by an NSP worker related to standardisation of training:</w:t>
      </w:r>
    </w:p>
    <w:p w14:paraId="37AA6ACC" w14:textId="4CA4AF2D" w:rsidR="00CA5EEA" w:rsidRDefault="00CA5EEA" w:rsidP="003D0F16">
      <w:pPr>
        <w:pStyle w:val="Quote"/>
        <w:rPr>
          <w:rFonts w:eastAsiaTheme="minorEastAsia"/>
        </w:rPr>
      </w:pPr>
      <w:r w:rsidRPr="078F4C2B">
        <w:rPr>
          <w:rFonts w:eastAsiaTheme="minorEastAsia"/>
        </w:rPr>
        <w:t>Um, probably [have training] generally standardised across all sites in Australia so it’s a consistent approach, that probably would be helpful. But the training we received was appropriate.</w:t>
      </w:r>
      <w:r w:rsidRPr="4DF1EDC0">
        <w:rPr>
          <w:rFonts w:eastAsiaTheme="minorEastAsia"/>
        </w:rPr>
        <w:t xml:space="preserve"> </w:t>
      </w:r>
      <w:r w:rsidRPr="0C3D7A81">
        <w:rPr>
          <w:rFonts w:eastAsiaTheme="minorEastAsia"/>
        </w:rPr>
        <w:t xml:space="preserve">(WA, </w:t>
      </w:r>
      <w:r w:rsidR="007B22F8">
        <w:rPr>
          <w:rFonts w:eastAsiaTheme="minorEastAsia"/>
        </w:rPr>
        <w:t>Community pharmacy</w:t>
      </w:r>
      <w:r w:rsidR="00E5583C">
        <w:rPr>
          <w:rFonts w:eastAsiaTheme="minorEastAsia"/>
        </w:rPr>
        <w:t xml:space="preserve"> </w:t>
      </w:r>
      <w:r>
        <w:rPr>
          <w:rFonts w:eastAsiaTheme="minorEastAsia"/>
        </w:rPr>
        <w:t>staff member</w:t>
      </w:r>
      <w:r w:rsidRPr="4DF1EDC0">
        <w:rPr>
          <w:rFonts w:eastAsiaTheme="minorEastAsia"/>
        </w:rPr>
        <w:t xml:space="preserve">, </w:t>
      </w:r>
      <w:r>
        <w:rPr>
          <w:rFonts w:eastAsiaTheme="minorEastAsia"/>
        </w:rPr>
        <w:t>Interviewed July 2021</w:t>
      </w:r>
      <w:r w:rsidRPr="4DF1EDC0">
        <w:rPr>
          <w:rFonts w:eastAsiaTheme="minorEastAsia"/>
        </w:rPr>
        <w:t>)</w:t>
      </w:r>
    </w:p>
    <w:p w14:paraId="06E57515" w14:textId="5AE7DAA0" w:rsidR="00CA5EEA" w:rsidRPr="00745146" w:rsidRDefault="00CA5EEA" w:rsidP="00745146">
      <w:pPr>
        <w:pStyle w:val="BodyText"/>
        <w:rPr>
          <w:highlight w:val="yellow"/>
        </w:rPr>
      </w:pPr>
      <w:proofErr w:type="gramStart"/>
      <w:r w:rsidRPr="00C11307">
        <w:t>Similarly</w:t>
      </w:r>
      <w:proofErr w:type="gramEnd"/>
      <w:r w:rsidRPr="00C11307">
        <w:t xml:space="preserve"> in SA, the majority of comments from access site staff about the training was positive.</w:t>
      </w:r>
      <w:r>
        <w:t xml:space="preserve"> Staff commented that it was concise and easy to understand, as well as informative and useful.</w:t>
      </w:r>
      <w:r w:rsidR="004675A4">
        <w:t xml:space="preserve"> DASSA had used a train-the-trainer model</w:t>
      </w:r>
      <w:r w:rsidR="00BB4815">
        <w:t>, holding a workshop early</w:t>
      </w:r>
      <w:r w:rsidR="00626053">
        <w:t xml:space="preserve"> in the Pilot. Participating NGOs reported </w:t>
      </w:r>
      <w:r w:rsidR="00677181">
        <w:t>holding brief update sessions for frontline staff during regular meetings to refresh knowledge or upskill new staff.</w:t>
      </w:r>
    </w:p>
    <w:p w14:paraId="2BC95DC7" w14:textId="77777777" w:rsidR="00CA5EEA" w:rsidRPr="001D59C3" w:rsidRDefault="00CA5EEA" w:rsidP="00A0570E">
      <w:pPr>
        <w:pStyle w:val="NbrHeading2"/>
      </w:pPr>
      <w:bookmarkStart w:id="282" w:name="_Toc94794144"/>
      <w:bookmarkStart w:id="283" w:name="_Toc94794285"/>
      <w:r>
        <w:t>Impact on select access site types</w:t>
      </w:r>
      <w:bookmarkEnd w:id="282"/>
      <w:bookmarkEnd w:id="283"/>
    </w:p>
    <w:p w14:paraId="671F6924" w14:textId="67AA17E6" w:rsidR="00CA5EEA" w:rsidRPr="001D59C3" w:rsidRDefault="00CA5EEA" w:rsidP="003D0F16">
      <w:pPr>
        <w:pStyle w:val="NbrHeading3"/>
      </w:pPr>
      <w:bookmarkStart w:id="284" w:name="_Toc78970199"/>
      <w:bookmarkStart w:id="285" w:name="_Toc94794145"/>
      <w:bookmarkStart w:id="286" w:name="_Toc94794286"/>
      <w:r w:rsidRPr="001D59C3">
        <w:t>Community Pharmacies</w:t>
      </w:r>
      <w:bookmarkEnd w:id="284"/>
      <w:bookmarkEnd w:id="285"/>
      <w:bookmarkEnd w:id="286"/>
    </w:p>
    <w:p w14:paraId="07058AE9" w14:textId="06AEF963" w:rsidR="002B27CB" w:rsidRDefault="00CA5EEA" w:rsidP="003D0F16">
      <w:pPr>
        <w:pStyle w:val="BodyText"/>
      </w:pPr>
      <w:r>
        <w:t xml:space="preserve">In all jurisdictions, the community pharmacy sector has been the main pathway of the THN Pilot rollout. In South Australia, community pharmacies have been the central access point for THN under the Pilot, and the only type of access site where clients </w:t>
      </w:r>
      <w:r w:rsidR="00753927">
        <w:t xml:space="preserve">could </w:t>
      </w:r>
      <w:r>
        <w:t xml:space="preserve">directly access naloxone. </w:t>
      </w:r>
      <w:r w:rsidR="00835F11">
        <w:t xml:space="preserve">Completion of training was not required of pharmacist as a condition of registration, but </w:t>
      </w:r>
      <w:r w:rsidR="008223F8">
        <w:t>information sheets and access to training were available through the PPA portal.</w:t>
      </w:r>
    </w:p>
    <w:p w14:paraId="295D7011" w14:textId="7DDB4B40" w:rsidR="00CA5EEA" w:rsidRPr="005F5C4A" w:rsidRDefault="001D1A29" w:rsidP="003D0F16">
      <w:pPr>
        <w:pStyle w:val="BodyText"/>
      </w:pPr>
      <w:r>
        <w:t>C</w:t>
      </w:r>
      <w:r w:rsidR="00CA5EEA">
        <w:t>ommunity pharmacy staff mostly reported being engaged to participate in the pilot through an expression of interest:</w:t>
      </w:r>
    </w:p>
    <w:p w14:paraId="00A0F4D3" w14:textId="28A037E7" w:rsidR="00CA5EEA" w:rsidRDefault="00CA5EEA" w:rsidP="003D0F16">
      <w:pPr>
        <w:pStyle w:val="Quote"/>
      </w:pPr>
      <w:r>
        <w:t xml:space="preserve">It was through expression of interest through either the PSA or the Guild, but there was an expression of interest and then obviously through the PPA as well (WA, </w:t>
      </w:r>
      <w:r w:rsidR="007B22F8">
        <w:t xml:space="preserve">Community pharmacy </w:t>
      </w:r>
      <w:r>
        <w:t>staff member,</w:t>
      </w:r>
      <w:r w:rsidR="007B22F8">
        <w:t xml:space="preserve"> </w:t>
      </w:r>
      <w:r w:rsidR="00762E3D">
        <w:t>Interviewed</w:t>
      </w:r>
      <w:r>
        <w:t xml:space="preserve"> May 2021).</w:t>
      </w:r>
    </w:p>
    <w:p w14:paraId="39DD026B" w14:textId="76A74F3B" w:rsidR="00CA5EEA" w:rsidRDefault="00CA5EEA" w:rsidP="003D0F16">
      <w:pPr>
        <w:pStyle w:val="BodyText"/>
      </w:pPr>
      <w:r>
        <w:t xml:space="preserve">Other pharmacists heard about the </w:t>
      </w:r>
      <w:r w:rsidR="00F17155">
        <w:t xml:space="preserve">Pilot </w:t>
      </w:r>
      <w:r>
        <w:t>through word of mouth. One community pharmacy staff member described how they be</w:t>
      </w:r>
      <w:r w:rsidR="00981FAE">
        <w:t>came</w:t>
      </w:r>
      <w:r>
        <w:t xml:space="preserve"> involved:</w:t>
      </w:r>
    </w:p>
    <w:p w14:paraId="6EB28C73" w14:textId="266A391C" w:rsidR="00CA5EEA" w:rsidRDefault="00CA5EEA" w:rsidP="003D0F16">
      <w:pPr>
        <w:pStyle w:val="Quote"/>
      </w:pPr>
      <w:r>
        <w:t xml:space="preserve">I was approached by one of the pharmacists who was looking after all the claiming and pharmaceutical services and I believe he was approached to participate in the trial, but I personally was not involved. I was asked if we want to participate and... and we decided that it's the right thing for us to do (WA, </w:t>
      </w:r>
      <w:r w:rsidR="00762E3D">
        <w:br/>
        <w:t>Community pharmacy</w:t>
      </w:r>
      <w:r w:rsidDel="007B22F8">
        <w:t xml:space="preserve"> </w:t>
      </w:r>
      <w:r>
        <w:t>staff member</w:t>
      </w:r>
      <w:r w:rsidR="00550BBA">
        <w:t>,</w:t>
      </w:r>
      <w:r w:rsidR="00223D78">
        <w:t xml:space="preserve"> </w:t>
      </w:r>
      <w:r w:rsidR="00550BBA">
        <w:t>Interviewed</w:t>
      </w:r>
      <w:r w:rsidR="00C048F0">
        <w:t xml:space="preserve"> </w:t>
      </w:r>
      <w:r>
        <w:t xml:space="preserve">June 2021).  </w:t>
      </w:r>
    </w:p>
    <w:p w14:paraId="14135608" w14:textId="1F244C4C" w:rsidR="001E3098" w:rsidRDefault="001E3098" w:rsidP="003D0F16">
      <w:pPr>
        <w:pStyle w:val="BodyText"/>
      </w:pPr>
      <w:r>
        <w:t>Pharmacists described developing their own procedures around identifying appropriate clients, and how and when to approach them to offer them naloxone:</w:t>
      </w:r>
    </w:p>
    <w:p w14:paraId="731E46A3" w14:textId="2BBB0E2D" w:rsidR="001E3098" w:rsidRDefault="001E3098" w:rsidP="001E3098">
      <w:pPr>
        <w:pStyle w:val="Quote"/>
      </w:pPr>
      <w:r>
        <w:t>B</w:t>
      </w:r>
      <w:r w:rsidRPr="00A47EF7">
        <w:t xml:space="preserve">ut when we’re approaching, basically we’re trying to identify appropriate candidates based on </w:t>
      </w:r>
      <w:proofErr w:type="gramStart"/>
      <w:r w:rsidRPr="00A47EF7">
        <w:t>a number of</w:t>
      </w:r>
      <w:proofErr w:type="gramEnd"/>
      <w:r w:rsidRPr="00A47EF7">
        <w:t xml:space="preserve"> rough criteria about who might be at risk of </w:t>
      </w:r>
      <w:r w:rsidRPr="00A47EF7">
        <w:lastRenderedPageBreak/>
        <w:t>overdose, and then trying to make sure that there’s</w:t>
      </w:r>
      <w:r>
        <w:t xml:space="preserve"> </w:t>
      </w:r>
      <w:r w:rsidRPr="00A47EF7">
        <w:t>an appropriate place to discuss it</w:t>
      </w:r>
      <w:r>
        <w:t>…</w:t>
      </w:r>
      <w:r w:rsidRPr="00A47EF7">
        <w:t xml:space="preserve"> </w:t>
      </w:r>
      <w:proofErr w:type="gramStart"/>
      <w:r w:rsidRPr="00A47EF7">
        <w:t>So</w:t>
      </w:r>
      <w:proofErr w:type="gramEnd"/>
      <w:r w:rsidRPr="00A47EF7">
        <w:t xml:space="preserve"> there’s thoughts given to privacy, and then it’s basically just a brief counselling session.</w:t>
      </w:r>
      <w:r>
        <w:t xml:space="preserve"> (SA, Community Pharmacy staff member, Interviewed April 2020)</w:t>
      </w:r>
    </w:p>
    <w:p w14:paraId="52C30B51" w14:textId="409D6579" w:rsidR="00CA5EEA" w:rsidRDefault="00743DB6" w:rsidP="003D0F16">
      <w:pPr>
        <w:pStyle w:val="BodyText"/>
      </w:pPr>
      <w:r>
        <w:t>Interviews with consumers and staff indicated that m</w:t>
      </w:r>
      <w:r w:rsidR="00CA5EEA">
        <w:t xml:space="preserve">any of the community </w:t>
      </w:r>
      <w:r w:rsidR="00D13742">
        <w:t xml:space="preserve">pharmacies </w:t>
      </w:r>
      <w:r w:rsidR="00CA5EEA">
        <w:t xml:space="preserve">that were active in the Pilot were also </w:t>
      </w:r>
      <w:r w:rsidR="00AF5063">
        <w:t xml:space="preserve">delivering </w:t>
      </w:r>
      <w:r w:rsidR="00CA5EEA">
        <w:t xml:space="preserve">OAT. This informed how they developed their own policies and procedures, with many noting that they offered THN to </w:t>
      </w:r>
      <w:proofErr w:type="gramStart"/>
      <w:r w:rsidR="00CA5EEA">
        <w:t>all of</w:t>
      </w:r>
      <w:proofErr w:type="gramEnd"/>
      <w:r w:rsidR="00CA5EEA">
        <w:t xml:space="preserve"> their OAT clients.</w:t>
      </w:r>
      <w:r w:rsidR="00507EA7">
        <w:t xml:space="preserve"> For example:</w:t>
      </w:r>
    </w:p>
    <w:p w14:paraId="68ADFA9F" w14:textId="727B986D" w:rsidR="00507EA7" w:rsidRPr="00507EA7" w:rsidRDefault="00507EA7" w:rsidP="0008423E">
      <w:pPr>
        <w:pStyle w:val="Quote"/>
      </w:pPr>
      <w:proofErr w:type="gramStart"/>
      <w:r w:rsidRPr="00507EA7">
        <w:t>So</w:t>
      </w:r>
      <w:proofErr w:type="gramEnd"/>
      <w:r w:rsidRPr="00507EA7">
        <w:t xml:space="preserve"> we usually identify people who are on the methadone program, or are heavy opioid users. So obviously when we are interacting with </w:t>
      </w:r>
      <w:proofErr w:type="gramStart"/>
      <w:r w:rsidRPr="00507EA7">
        <w:t>them</w:t>
      </w:r>
      <w:proofErr w:type="gramEnd"/>
      <w:r w:rsidRPr="00507EA7">
        <w:t xml:space="preserve"> we can identify those patients pretty easily. If we are dispensing a script for </w:t>
      </w:r>
      <w:proofErr w:type="gramStart"/>
      <w:r w:rsidRPr="00507EA7">
        <w:t>them, or</w:t>
      </w:r>
      <w:proofErr w:type="gramEnd"/>
      <w:r w:rsidRPr="00507EA7">
        <w:t xml:space="preserve"> handing out methadone doses. We will just mention it to them and say hey, there is this free product you should have. Keep it with you, show somebody who is with you how to use it, that way you have it on hand. That’s pretty much it. I give them the option of having one with them. </w:t>
      </w:r>
      <w:r>
        <w:t xml:space="preserve">(NSW, Community Pharmacy </w:t>
      </w:r>
      <w:r w:rsidR="00BB6792">
        <w:t xml:space="preserve">staff member, Interviewed </w:t>
      </w:r>
      <w:r w:rsidR="00BB77A6">
        <w:t>April 2020)</w:t>
      </w:r>
    </w:p>
    <w:p w14:paraId="06AAA105" w14:textId="187E790C" w:rsidR="00492742" w:rsidRDefault="00C644A7" w:rsidP="00BB77A6">
      <w:pPr>
        <w:pStyle w:val="BodyText"/>
      </w:pPr>
      <w:r>
        <w:t>Other access site staff members offered</w:t>
      </w:r>
      <w:r w:rsidR="00492742">
        <w:t xml:space="preserve"> THN</w:t>
      </w:r>
      <w:r>
        <w:t xml:space="preserve"> to </w:t>
      </w:r>
      <w:r w:rsidR="00492742">
        <w:t>people using prescription opioids more generally:</w:t>
      </w:r>
    </w:p>
    <w:p w14:paraId="0934C271" w14:textId="0537D467" w:rsidR="00492742" w:rsidRPr="00492742" w:rsidRDefault="00492742" w:rsidP="0008423E">
      <w:pPr>
        <w:pStyle w:val="Quote"/>
      </w:pPr>
      <w:r w:rsidRPr="00492742">
        <w:t>Well prescription opioids or on the opioid substitution program, I guess I have not come across people on heroin – not</w:t>
      </w:r>
      <w:r w:rsidR="001E48B8">
        <w:t xml:space="preserve"> that</w:t>
      </w:r>
      <w:r w:rsidRPr="00492742">
        <w:t xml:space="preserve"> they tell me. So </w:t>
      </w:r>
      <w:proofErr w:type="gramStart"/>
      <w:r w:rsidRPr="00492742">
        <w:t>yeah</w:t>
      </w:r>
      <w:proofErr w:type="gramEnd"/>
      <w:r w:rsidRPr="00492742">
        <w:t xml:space="preserve"> mainly it is our regulars that I have approached, that I know are on prescription or opioid substitution program. </w:t>
      </w:r>
      <w:r w:rsidR="008B719E">
        <w:t>(NSW, Community Pharmacy staff member, Interviewed May 2020)</w:t>
      </w:r>
    </w:p>
    <w:p w14:paraId="1F95FFDD" w14:textId="7EF6C1D7" w:rsidR="00CA5EEA" w:rsidRDefault="00CA5EEA" w:rsidP="003D0F16">
      <w:pPr>
        <w:pStyle w:val="BodyText"/>
      </w:pPr>
      <w:bookmarkStart w:id="287" w:name="_Hlk84592070"/>
      <w:r>
        <w:t xml:space="preserve">For community pharmacies, </w:t>
      </w:r>
      <w:proofErr w:type="gramStart"/>
      <w:r>
        <w:t>the majority of</w:t>
      </w:r>
      <w:proofErr w:type="gramEnd"/>
      <w:r>
        <w:t xml:space="preserve"> staff noted that the resources and infrastructure, as well as requirements, for the THN Pilot fit well into their existing business. The use of the PPA Portal for claiming and reimbursements </w:t>
      </w:r>
      <w:r w:rsidR="00794744">
        <w:t xml:space="preserve">was </w:t>
      </w:r>
      <w:r>
        <w:t xml:space="preserve">already a standard feature of workflow in </w:t>
      </w:r>
      <w:r w:rsidR="00BC54F4">
        <w:t>these</w:t>
      </w:r>
      <w:r>
        <w:t xml:space="preserve"> settings. </w:t>
      </w:r>
    </w:p>
    <w:bookmarkEnd w:id="287"/>
    <w:p w14:paraId="5885882B" w14:textId="2CD32D3D" w:rsidR="00CA5EEA" w:rsidRPr="009B4F8D" w:rsidRDefault="00812462" w:rsidP="003D0F16">
      <w:pPr>
        <w:pStyle w:val="BodyText"/>
        <w:rPr>
          <w:i/>
        </w:rPr>
      </w:pPr>
      <w:r>
        <w:t>Conversations with pharmacists revealed</w:t>
      </w:r>
      <w:r w:rsidR="00CA5EEA">
        <w:t xml:space="preserve"> strategies used to encourage uptake of THN in their practice:</w:t>
      </w:r>
    </w:p>
    <w:p w14:paraId="15C5AD05" w14:textId="0AA6CDF9" w:rsidR="00CA5EEA" w:rsidRDefault="00CA5EEA" w:rsidP="003D0F16">
      <w:pPr>
        <w:pStyle w:val="ListParagraph"/>
        <w:numPr>
          <w:ilvl w:val="0"/>
          <w:numId w:val="178"/>
        </w:numPr>
        <w:rPr>
          <w:b/>
          <w:bCs/>
        </w:rPr>
      </w:pPr>
      <w:r>
        <w:rPr>
          <w:lang w:eastAsia="en-GB"/>
        </w:rPr>
        <w:t>One noted that</w:t>
      </w:r>
      <w:r>
        <w:t xml:space="preserve"> all the pharmacists were encouraged to remember to </w:t>
      </w:r>
      <w:proofErr w:type="gramStart"/>
      <w:r>
        <w:t>have a discussion about</w:t>
      </w:r>
      <w:proofErr w:type="gramEnd"/>
      <w:r>
        <w:t xml:space="preserve"> naloxone with all of their regulars who present with an opioid prescription. If a new customer comes in with an opioid prescription, the pharmacists around at the time sometimes remind the pharmacist serving the customer to offer the naloxone if </w:t>
      </w:r>
      <w:r w:rsidR="009C34AF">
        <w:t>[they]</w:t>
      </w:r>
      <w:r>
        <w:t xml:space="preserve"> forget to themselves. </w:t>
      </w:r>
      <w:r>
        <w:rPr>
          <w:lang w:eastAsia="en-GB"/>
        </w:rPr>
        <w:t>(Community Pharmacy, SA)</w:t>
      </w:r>
    </w:p>
    <w:p w14:paraId="5B8B52A9" w14:textId="1B6F17AE" w:rsidR="00CA5EEA" w:rsidRDefault="00470C2B" w:rsidP="003D0F16">
      <w:pPr>
        <w:pStyle w:val="BodyText"/>
        <w:numPr>
          <w:ilvl w:val="0"/>
          <w:numId w:val="178"/>
        </w:numPr>
      </w:pPr>
      <w:r>
        <w:t>An inde</w:t>
      </w:r>
      <w:r w:rsidR="00012112">
        <w:t>pe</w:t>
      </w:r>
      <w:r>
        <w:t>ndent community pharmacy that also provided O</w:t>
      </w:r>
      <w:r w:rsidR="00B31F47">
        <w:t>A</w:t>
      </w:r>
      <w:r>
        <w:t>T</w:t>
      </w:r>
      <w:r w:rsidR="00CA5EEA">
        <w:t xml:space="preserve"> reported that all the staff were trained</w:t>
      </w:r>
      <w:r w:rsidR="007B06A4">
        <w:t>,</w:t>
      </w:r>
      <w:r w:rsidR="00CA5EEA">
        <w:t xml:space="preserve"> and </w:t>
      </w:r>
      <w:r w:rsidR="00E63082">
        <w:t xml:space="preserve">they had added </w:t>
      </w:r>
      <w:r w:rsidR="00CA5EEA">
        <w:t xml:space="preserve">a pop-up note in their </w:t>
      </w:r>
      <w:r w:rsidR="000E5B74">
        <w:t xml:space="preserve">pharmacy’s </w:t>
      </w:r>
      <w:r w:rsidR="00CA5EEA">
        <w:t>dispensing system to alert and remind them to dispense and discuss THN when they dispensed opioids. (Community pharmacy, SA)</w:t>
      </w:r>
    </w:p>
    <w:p w14:paraId="0AEEFFEE" w14:textId="06367ECD" w:rsidR="00CA5EEA" w:rsidRDefault="00CA5EEA" w:rsidP="003D0F16">
      <w:pPr>
        <w:pStyle w:val="ListParagraph"/>
        <w:numPr>
          <w:ilvl w:val="0"/>
          <w:numId w:val="178"/>
        </w:numPr>
      </w:pPr>
      <w:r>
        <w:t>Others talk</w:t>
      </w:r>
      <w:r w:rsidR="005F1E22">
        <w:t>ed</w:t>
      </w:r>
      <w:r>
        <w:t xml:space="preserve"> to all their OAT clients and those who collect fits pack about the </w:t>
      </w:r>
      <w:proofErr w:type="gramStart"/>
      <w:r>
        <w:t>Pilot, and</w:t>
      </w:r>
      <w:proofErr w:type="gramEnd"/>
      <w:r>
        <w:t xml:space="preserve"> use</w:t>
      </w:r>
      <w:r w:rsidR="00FB6DD8">
        <w:t>d</w:t>
      </w:r>
      <w:r>
        <w:t xml:space="preserve"> the “</w:t>
      </w:r>
      <w:r w:rsidR="00A36810">
        <w:t>it could be useful to help save</w:t>
      </w:r>
      <w:r>
        <w:t xml:space="preserve"> a friend or family member” approach when talking about THN</w:t>
      </w:r>
      <w:r w:rsidR="00584D1E">
        <w:t xml:space="preserve">, </w:t>
      </w:r>
      <w:r w:rsidR="00A36810">
        <w:t>to reduce potential resistance from</w:t>
      </w:r>
      <w:r w:rsidR="00584D1E">
        <w:t xml:space="preserve"> clients </w:t>
      </w:r>
      <w:r w:rsidR="00A36810">
        <w:t>who may not see naloxone as relevant to themselves</w:t>
      </w:r>
      <w:r>
        <w:t>.  They report</w:t>
      </w:r>
      <w:r w:rsidR="004F595E">
        <w:t>ed</w:t>
      </w:r>
      <w:r>
        <w:t xml:space="preserve"> having had a few clients who have saved friends from an overdose with THN from this Pilot and using this positive feedback to promote THN to other clients. (Community pharmacy, WA)</w:t>
      </w:r>
    </w:p>
    <w:p w14:paraId="0DDCFB78" w14:textId="040C4D34" w:rsidR="00CA5EEA" w:rsidRDefault="00CA5EEA" w:rsidP="003D0F16">
      <w:pPr>
        <w:pStyle w:val="ListParagraph"/>
        <w:numPr>
          <w:ilvl w:val="0"/>
          <w:numId w:val="178"/>
        </w:numPr>
      </w:pPr>
      <w:r>
        <w:lastRenderedPageBreak/>
        <w:t>Some</w:t>
      </w:r>
      <w:r w:rsidDel="00122866">
        <w:t xml:space="preserve"> </w:t>
      </w:r>
      <w:r w:rsidR="00122866">
        <w:t>had</w:t>
      </w:r>
      <w:r>
        <w:t xml:space="preserve"> developed a strategy around counselling their clients, having in-depth conversations with their clients who could be at risk of an overdose.  Discussing their use of the opioids and what’s happening, for both PWID and people using prescription opioids. They</w:t>
      </w:r>
      <w:r w:rsidDel="00BA5535">
        <w:t xml:space="preserve"> </w:t>
      </w:r>
      <w:r w:rsidR="00BA5535">
        <w:t>had</w:t>
      </w:r>
      <w:r>
        <w:t xml:space="preserve"> taken a “slowly, slowly” approach to these conversations around the use of opioids and in educating their clients, not rushing in. (Community pharmacy, NSW)</w:t>
      </w:r>
    </w:p>
    <w:p w14:paraId="71A7F24C" w14:textId="5095A523" w:rsidR="00CA5EEA" w:rsidRDefault="00CA5EEA" w:rsidP="003D0F16">
      <w:pPr>
        <w:pStyle w:val="BodyText"/>
        <w:numPr>
          <w:ilvl w:val="0"/>
          <w:numId w:val="178"/>
        </w:numPr>
      </w:pPr>
      <w:r>
        <w:t xml:space="preserve">One pharmacy reported they have decals (the blue ones </w:t>
      </w:r>
      <w:r w:rsidR="00461203">
        <w:t>distributed</w:t>
      </w:r>
      <w:r>
        <w:t xml:space="preserve"> by </w:t>
      </w:r>
      <w:r w:rsidR="00A00C87">
        <w:t>the Department</w:t>
      </w:r>
      <w:r>
        <w:t xml:space="preserve">) stuck to the counter at point of sale and they </w:t>
      </w:r>
      <w:r w:rsidR="006373FA">
        <w:t xml:space="preserve">would </w:t>
      </w:r>
      <w:r>
        <w:t>point to this and ask the client “Do you know this is available?” “Do you know it is free”? (</w:t>
      </w:r>
      <w:r w:rsidR="002D363D">
        <w:t xml:space="preserve">Community </w:t>
      </w:r>
      <w:r w:rsidR="003868E1">
        <w:t>pharmacy</w:t>
      </w:r>
      <w:r>
        <w:t>, WA)</w:t>
      </w:r>
    </w:p>
    <w:p w14:paraId="6713E819" w14:textId="66A823F5" w:rsidR="00A47EF7" w:rsidRPr="00745146" w:rsidRDefault="00CA5EEA" w:rsidP="00745146">
      <w:pPr>
        <w:pStyle w:val="BodyText"/>
        <w:numPr>
          <w:ilvl w:val="0"/>
          <w:numId w:val="178"/>
        </w:numPr>
      </w:pPr>
      <w:r>
        <w:t>Others linked up with allied organisations, noting close links and “cross-referral” with outreach and homelessness services (</w:t>
      </w:r>
      <w:r w:rsidR="00C43871">
        <w:t>Community pharmacy</w:t>
      </w:r>
      <w:r>
        <w:t>, NSW). Another described having dispensed THN to local Council Workers to put in the security vehicle</w:t>
      </w:r>
      <w:r w:rsidR="00F10764">
        <w:t>s</w:t>
      </w:r>
      <w:r>
        <w:t xml:space="preserve"> that drive around at night, in case they come across an overdose (</w:t>
      </w:r>
      <w:r w:rsidR="003868E1">
        <w:t>Community pharmacy</w:t>
      </w:r>
      <w:r>
        <w:t>, WA).</w:t>
      </w:r>
    </w:p>
    <w:p w14:paraId="0F4538B4" w14:textId="328A98BD" w:rsidR="00CA5EEA" w:rsidRDefault="00CA5EEA" w:rsidP="003D0F16">
      <w:pPr>
        <w:spacing w:line="257" w:lineRule="auto"/>
        <w:rPr>
          <w:rFonts w:eastAsiaTheme="minorEastAsia"/>
        </w:rPr>
      </w:pPr>
      <w:r>
        <w:rPr>
          <w:rFonts w:eastAsiaTheme="minorEastAsia"/>
        </w:rPr>
        <w:t>Some of the</w:t>
      </w:r>
      <w:r w:rsidRPr="044153A1">
        <w:rPr>
          <w:rFonts w:eastAsiaTheme="minorEastAsia"/>
        </w:rPr>
        <w:t xml:space="preserve"> pharmacists were </w:t>
      </w:r>
      <w:r w:rsidR="00F10764">
        <w:rPr>
          <w:rFonts w:eastAsiaTheme="minorEastAsia"/>
        </w:rPr>
        <w:t xml:space="preserve">also </w:t>
      </w:r>
      <w:r w:rsidRPr="044153A1">
        <w:rPr>
          <w:rFonts w:eastAsiaTheme="minorEastAsia"/>
        </w:rPr>
        <w:t>mindful of the importance of their role in encouraging widespread awareness of the pilot:</w:t>
      </w:r>
    </w:p>
    <w:p w14:paraId="6D9CFF05" w14:textId="6A04C80B" w:rsidR="00CA5EEA" w:rsidRDefault="00CA5EEA" w:rsidP="003D0F16">
      <w:pPr>
        <w:pStyle w:val="Quote"/>
        <w:rPr>
          <w:rFonts w:eastAsiaTheme="minorEastAsia"/>
        </w:rPr>
      </w:pPr>
      <w:r w:rsidRPr="044153A1">
        <w:t>[A primary goal was] to really let everyone know that this is more of an awareness...</w:t>
      </w:r>
      <w:r w:rsidR="00D2365D">
        <w:t xml:space="preserve"> </w:t>
      </w:r>
      <w:r w:rsidRPr="044153A1">
        <w:t xml:space="preserve">like an ‘awareness programme’, as well as being a first aid tool that basically can come in handy in life changing circumstances (WA, </w:t>
      </w:r>
      <w:r w:rsidR="0052021A">
        <w:t>Community pharmacy</w:t>
      </w:r>
      <w:r w:rsidR="002829C7">
        <w:t xml:space="preserve"> </w:t>
      </w:r>
      <w:r w:rsidRPr="044153A1">
        <w:t>staff member,</w:t>
      </w:r>
      <w:r w:rsidR="0052021A">
        <w:t xml:space="preserve"> </w:t>
      </w:r>
      <w:r w:rsidR="002829C7">
        <w:t>Interviewed</w:t>
      </w:r>
      <w:r w:rsidRPr="044153A1">
        <w:t xml:space="preserve"> May 2021). </w:t>
      </w:r>
    </w:p>
    <w:p w14:paraId="3AF05469" w14:textId="77777777" w:rsidR="00CA5EEA" w:rsidRDefault="00CA5EEA" w:rsidP="003D0F16">
      <w:pPr>
        <w:spacing w:line="257" w:lineRule="auto"/>
        <w:rPr>
          <w:rFonts w:eastAsiaTheme="minorEastAsia"/>
        </w:rPr>
      </w:pPr>
      <w:r w:rsidRPr="044153A1">
        <w:rPr>
          <w:rFonts w:eastAsiaTheme="minorEastAsia"/>
        </w:rPr>
        <w:t xml:space="preserve">In addition to ensuring widespread awareness of the pilot generally, the importance of disseminating information to people who may not believe they require naloxone was acknowledged. To this end, procedures were established to identify a specific cohort:  </w:t>
      </w:r>
    </w:p>
    <w:p w14:paraId="30E301B5" w14:textId="195CCD3D" w:rsidR="00CA5EEA" w:rsidRDefault="00CA5EEA" w:rsidP="003D0F16">
      <w:pPr>
        <w:pStyle w:val="Quote"/>
        <w:rPr>
          <w:rFonts w:eastAsiaTheme="minorEastAsia"/>
        </w:rPr>
      </w:pPr>
      <w:r w:rsidRPr="044153A1">
        <w:t xml:space="preserve">So basically, we have a flagging system where if someone's been prescribed in opioids or if we have another one of our regular customers who always gets high strength opioids, we will just offer [naloxone] to them (WA, </w:t>
      </w:r>
      <w:r w:rsidR="00EF34C8">
        <w:t xml:space="preserve">Community </w:t>
      </w:r>
      <w:r w:rsidR="00ED1FE4">
        <w:t>pharmacy staff</w:t>
      </w:r>
      <w:r w:rsidRPr="044153A1">
        <w:t xml:space="preserve"> member, </w:t>
      </w:r>
      <w:r w:rsidR="00EF34C8">
        <w:t>Interviewed</w:t>
      </w:r>
      <w:r w:rsidRPr="044153A1">
        <w:t xml:space="preserve"> April 2021).</w:t>
      </w:r>
    </w:p>
    <w:p w14:paraId="0FC55420" w14:textId="77777777" w:rsidR="00CA5EEA" w:rsidRDefault="00CA5EEA" w:rsidP="003D0F16">
      <w:pPr>
        <w:spacing w:line="257" w:lineRule="auto"/>
        <w:rPr>
          <w:rFonts w:eastAsiaTheme="minorEastAsia"/>
        </w:rPr>
      </w:pPr>
      <w:r w:rsidRPr="044153A1">
        <w:rPr>
          <w:rFonts w:eastAsiaTheme="minorEastAsia"/>
        </w:rPr>
        <w:t xml:space="preserve">In such cases, another staff member reported using a gentle approach in interactions, </w:t>
      </w:r>
      <w:proofErr w:type="gramStart"/>
      <w:r w:rsidRPr="044153A1">
        <w:rPr>
          <w:rFonts w:eastAsiaTheme="minorEastAsia"/>
        </w:rPr>
        <w:t>in an effort to</w:t>
      </w:r>
      <w:proofErr w:type="gramEnd"/>
      <w:r w:rsidRPr="044153A1">
        <w:rPr>
          <w:rFonts w:eastAsiaTheme="minorEastAsia"/>
        </w:rPr>
        <w:t xml:space="preserve"> address any potential defensiveness due to stigma:</w:t>
      </w:r>
    </w:p>
    <w:p w14:paraId="2038FB29" w14:textId="0F5418FA" w:rsidR="00CA5EEA" w:rsidRDefault="00CA5EEA" w:rsidP="003D0F16">
      <w:pPr>
        <w:pStyle w:val="Quote"/>
        <w:rPr>
          <w:rFonts w:eastAsiaTheme="minorEastAsia"/>
        </w:rPr>
      </w:pPr>
      <w:r w:rsidRPr="044153A1">
        <w:t xml:space="preserve">We currently have a lot of chronic pain patients who we’ve talked to and given a flyer, just for them to have a read, because quite often they are not in the right frame of mind to be discussing a lot of information with us, if they’re in chronic pain.  We do explain it in such a way that they're not feeling judged or any negative connotation regarding opioid use. It's more about keeping them safe and providing them with an opportunity to recognise if perhaps they've taken their medication inappropriately you know, in a desperate need of pain relief, [it could lead to] a potential overdose and these are things that can assist (WA, </w:t>
      </w:r>
      <w:r w:rsidR="00142D9A">
        <w:t>Community pharmacy</w:t>
      </w:r>
      <w:r w:rsidR="00EF34C8">
        <w:t xml:space="preserve"> </w:t>
      </w:r>
      <w:r w:rsidRPr="044153A1">
        <w:t>staff member,</w:t>
      </w:r>
      <w:r w:rsidR="00142D9A">
        <w:t xml:space="preserve"> </w:t>
      </w:r>
      <w:r w:rsidR="00EF34C8">
        <w:t>Interviewed</w:t>
      </w:r>
      <w:r w:rsidRPr="044153A1">
        <w:t xml:space="preserve"> May 2021).</w:t>
      </w:r>
    </w:p>
    <w:p w14:paraId="45081BD3" w14:textId="77777777" w:rsidR="00CA5EEA" w:rsidRDefault="00CA5EEA" w:rsidP="003D0F16">
      <w:pPr>
        <w:spacing w:line="257" w:lineRule="auto"/>
        <w:rPr>
          <w:rFonts w:ascii="Arial" w:eastAsia="Arial" w:hAnsi="Arial" w:cs="Arial"/>
        </w:rPr>
      </w:pPr>
      <w:r>
        <w:rPr>
          <w:rFonts w:ascii="Arial" w:eastAsia="Arial" w:hAnsi="Arial" w:cs="Arial"/>
        </w:rPr>
        <w:t>T</w:t>
      </w:r>
      <w:r w:rsidRPr="58F736FE">
        <w:rPr>
          <w:rFonts w:ascii="Arial" w:eastAsia="Arial" w:hAnsi="Arial" w:cs="Arial"/>
        </w:rPr>
        <w:t xml:space="preserve">he impact on daily workload caused by the pilot in terms of administration and customer consultation was minimal and not problematic. However, some reported initial issues with </w:t>
      </w:r>
      <w:r>
        <w:rPr>
          <w:rFonts w:ascii="Arial" w:eastAsia="Arial" w:hAnsi="Arial" w:cs="Arial"/>
        </w:rPr>
        <w:t xml:space="preserve">the </w:t>
      </w:r>
      <w:r w:rsidRPr="58F736FE">
        <w:rPr>
          <w:rFonts w:ascii="Arial" w:eastAsia="Arial" w:hAnsi="Arial" w:cs="Arial"/>
        </w:rPr>
        <w:t>supply of naloxone:</w:t>
      </w:r>
    </w:p>
    <w:p w14:paraId="632055E0" w14:textId="7768B6F7" w:rsidR="00CA5EEA" w:rsidRDefault="00CA5EEA" w:rsidP="003D0F16">
      <w:pPr>
        <w:pStyle w:val="Quote"/>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rial" w:eastAsia="Arial" w:hAnsi="Arial" w:cs="Arial"/>
        </w:rPr>
      </w:pPr>
      <w:r w:rsidRPr="00DA2006">
        <w:rPr>
          <w:rFonts w:ascii="Arial" w:eastAsia="Arial" w:hAnsi="Arial" w:cs="Arial"/>
        </w:rPr>
        <w:t xml:space="preserve">I guess the only problem we had was it expiring before we could hand it out. Maybe we just need better control on our ordering procedures, like how much is going out so we're not having any wastage. We had a few that were expired (WA, </w:t>
      </w:r>
      <w:r w:rsidR="00142D9A">
        <w:rPr>
          <w:rFonts w:ascii="Arial" w:eastAsia="Arial" w:hAnsi="Arial" w:cs="Arial"/>
        </w:rPr>
        <w:t>Community pharmacy</w:t>
      </w:r>
      <w:r w:rsidR="00142D9A" w:rsidRPr="00DA2006">
        <w:rPr>
          <w:rFonts w:ascii="Arial" w:eastAsia="Arial" w:hAnsi="Arial" w:cs="Arial"/>
        </w:rPr>
        <w:t xml:space="preserve"> </w:t>
      </w:r>
      <w:r w:rsidRPr="00DA2006">
        <w:rPr>
          <w:rFonts w:ascii="Arial" w:eastAsia="Arial" w:hAnsi="Arial" w:cs="Arial"/>
        </w:rPr>
        <w:t>staff member,</w:t>
      </w:r>
      <w:r w:rsidR="00142D9A">
        <w:rPr>
          <w:rFonts w:ascii="Arial" w:eastAsia="Arial" w:hAnsi="Arial" w:cs="Arial"/>
        </w:rPr>
        <w:t xml:space="preserve"> </w:t>
      </w:r>
      <w:r w:rsidR="00EF34C8">
        <w:rPr>
          <w:rFonts w:ascii="Arial" w:eastAsia="Arial" w:hAnsi="Arial" w:cs="Arial"/>
        </w:rPr>
        <w:t>Interviewed</w:t>
      </w:r>
      <w:r w:rsidRPr="00DA2006">
        <w:rPr>
          <w:rFonts w:ascii="Arial" w:eastAsia="Arial" w:hAnsi="Arial" w:cs="Arial"/>
        </w:rPr>
        <w:t xml:space="preserve"> April 2021).</w:t>
      </w:r>
    </w:p>
    <w:p w14:paraId="00C61FD1" w14:textId="0D4D4309" w:rsidR="00CA5EEA" w:rsidRPr="009648E7" w:rsidRDefault="00CA5EEA" w:rsidP="003D0F16">
      <w:pPr>
        <w:pStyle w:val="BodyText"/>
      </w:pPr>
      <w:r w:rsidRPr="00DC039D">
        <w:lastRenderedPageBreak/>
        <w:t xml:space="preserve">The training was reported as practical and useful by </w:t>
      </w:r>
      <w:proofErr w:type="gramStart"/>
      <w:r w:rsidRPr="00DC039D">
        <w:t>the majority of</w:t>
      </w:r>
      <w:proofErr w:type="gramEnd"/>
      <w:r w:rsidRPr="00DC039D">
        <w:t xml:space="preserve"> pharmacists. A minority of staff members felt there was not enough training, and felt they needed to do outside research because it was not </w:t>
      </w:r>
      <w:proofErr w:type="gramStart"/>
      <w:r w:rsidRPr="00DC039D">
        <w:t>something</w:t>
      </w:r>
      <w:proofErr w:type="gramEnd"/>
      <w:r w:rsidRPr="00DC039D">
        <w:t xml:space="preserve"> they had pre-existing knowledge about. One pharmacist suggested that the training could be improved </w:t>
      </w:r>
      <w:r w:rsidR="003D78C6">
        <w:t>if</w:t>
      </w:r>
      <w:r w:rsidRPr="00DC039D">
        <w:t xml:space="preserve"> “</w:t>
      </w:r>
      <w:r w:rsidRPr="00F950E9">
        <w:rPr>
          <w:i/>
        </w:rPr>
        <w:t xml:space="preserve">we have a drug representative who comes to pharmacies to show us physically how to use it, it would stick in our memories for </w:t>
      </w:r>
      <w:r w:rsidRPr="00F950E9">
        <w:rPr>
          <w:i/>
          <w:iCs/>
        </w:rPr>
        <w:t>longer</w:t>
      </w:r>
      <w:r w:rsidR="00F950E9">
        <w:rPr>
          <w:i/>
          <w:iCs/>
        </w:rPr>
        <w:t>”</w:t>
      </w:r>
      <w:r w:rsidRPr="00DC039D">
        <w:t xml:space="preserve"> (SA, Community </w:t>
      </w:r>
      <w:r w:rsidR="00142D9A">
        <w:t>p</w:t>
      </w:r>
      <w:r w:rsidRPr="00DC039D">
        <w:t>harmacy</w:t>
      </w:r>
      <w:r w:rsidR="00C65A73">
        <w:t xml:space="preserve"> staff member</w:t>
      </w:r>
      <w:r w:rsidRPr="00DC039D">
        <w:t>,</w:t>
      </w:r>
      <w:r w:rsidR="00044404">
        <w:t xml:space="preserve"> Interviewed </w:t>
      </w:r>
      <w:r w:rsidR="00044404" w:rsidRPr="00DC039D">
        <w:t>January 2021).</w:t>
      </w:r>
    </w:p>
    <w:p w14:paraId="4BBF37FE" w14:textId="77777777" w:rsidR="00CA5EEA" w:rsidRPr="001D59C3" w:rsidRDefault="00CA5EEA" w:rsidP="003D0F16">
      <w:pPr>
        <w:pStyle w:val="NbrHeading3"/>
      </w:pPr>
      <w:bookmarkStart w:id="288" w:name="_Toc94794146"/>
      <w:bookmarkStart w:id="289" w:name="_Toc94794287"/>
      <w:r w:rsidRPr="001D59C3">
        <w:t>AOD Services</w:t>
      </w:r>
      <w:bookmarkEnd w:id="288"/>
      <w:bookmarkEnd w:id="289"/>
    </w:p>
    <w:p w14:paraId="01D3E56B" w14:textId="77777777" w:rsidR="00CA5EEA" w:rsidRPr="009965D3" w:rsidRDefault="00CA5EEA" w:rsidP="003D0F16">
      <w:pPr>
        <w:pStyle w:val="BodyText"/>
      </w:pPr>
      <w:r>
        <w:rPr>
          <w:lang w:eastAsia="en-AU"/>
        </w:rPr>
        <w:t>A range of AOD service types were engaged in the Pilot: these included NSPs, residential and outpatient treatment services, OAT programs, peer and outreach programs, and hospital-based services. Where there are specific issues for a site type, this is discussed in the relevant sections following this one.</w:t>
      </w:r>
      <w:bookmarkStart w:id="290" w:name="_Toc80187775"/>
      <w:bookmarkStart w:id="291" w:name="_Toc80187877"/>
      <w:bookmarkEnd w:id="290"/>
      <w:bookmarkEnd w:id="291"/>
    </w:p>
    <w:p w14:paraId="3914E628" w14:textId="40E036F6" w:rsidR="00CA5EEA" w:rsidRPr="001D59C3" w:rsidRDefault="00CA5EEA" w:rsidP="003D0F16">
      <w:pPr>
        <w:pStyle w:val="NbrHeading3"/>
      </w:pPr>
      <w:bookmarkStart w:id="292" w:name="_Toc78970201"/>
      <w:bookmarkStart w:id="293" w:name="_Toc94794147"/>
      <w:bookmarkStart w:id="294" w:name="_Toc94794288"/>
      <w:r w:rsidRPr="001D59C3">
        <w:t>NSPs</w:t>
      </w:r>
      <w:bookmarkEnd w:id="292"/>
      <w:bookmarkEnd w:id="293"/>
      <w:bookmarkEnd w:id="294"/>
    </w:p>
    <w:p w14:paraId="7F5AD18C" w14:textId="77777777" w:rsidR="00524077" w:rsidRDefault="0085563E" w:rsidP="0085563E">
      <w:r>
        <w:t xml:space="preserve">Staff of NSPs were supportive of the </w:t>
      </w:r>
      <w:r w:rsidR="00E476C9">
        <w:t>Pilot</w:t>
      </w:r>
      <w:r>
        <w:t xml:space="preserve">, and in those states where they have been able to hand out naloxone directly, they appreciated the opportunity to provide this directly to their clients. </w:t>
      </w:r>
    </w:p>
    <w:p w14:paraId="5463791D" w14:textId="567BBE6D" w:rsidR="00524077" w:rsidRPr="00524077" w:rsidRDefault="00524077" w:rsidP="00524077">
      <w:pPr>
        <w:pStyle w:val="Quote"/>
      </w:pPr>
      <w:r w:rsidRPr="00524077">
        <w:t>Yeah, I’ve worked in drug and alcohol for like 30 years, and this is one of the best things I have ever seen implemented, yeah, it’s great!</w:t>
      </w:r>
      <w:r>
        <w:t xml:space="preserve"> (NSW, NSP Access site staff member, Interviewed June 2021).</w:t>
      </w:r>
    </w:p>
    <w:p w14:paraId="4D141E0D" w14:textId="65B52084" w:rsidR="008D0A7F" w:rsidRDefault="0085563E" w:rsidP="0085563E">
      <w:r>
        <w:t xml:space="preserve">Existing clients of NSPs had overwhelmingly positive perceptions of staff at the NSPs, describing interactions with staff as friendly, and free of stigma or judgement. </w:t>
      </w:r>
    </w:p>
    <w:p w14:paraId="4DFC78AF" w14:textId="58BD5BBE" w:rsidR="008F7979" w:rsidRPr="0013250B" w:rsidRDefault="008F7979" w:rsidP="008F7979">
      <w:pPr>
        <w:pStyle w:val="ListParagraph"/>
        <w:ind w:left="0"/>
      </w:pPr>
      <w:r>
        <w:t>Staff from NSPs</w:t>
      </w:r>
      <w:r w:rsidR="008D0A7F">
        <w:t xml:space="preserve"> in NSW described</w:t>
      </w:r>
      <w:r w:rsidR="00D94DBD">
        <w:t xml:space="preserve"> </w:t>
      </w:r>
      <w:r>
        <w:t>implementing policies and procedures to facilitate operationalising the Pilot in their organisation. For example:</w:t>
      </w:r>
    </w:p>
    <w:p w14:paraId="69AEA32B" w14:textId="77777777" w:rsidR="008F7979" w:rsidRPr="0013250B" w:rsidRDefault="008F7979" w:rsidP="008F7979">
      <w:pPr>
        <w:pStyle w:val="Quote"/>
      </w:pPr>
      <w:r w:rsidRPr="008F7979">
        <w:t>I think some of it was just, making sure we had, um, register people when they came in, getting their consent, making sure that was- and the storage of the naloxone</w:t>
      </w:r>
      <w:r>
        <w:t>…</w:t>
      </w:r>
      <w:r w:rsidRPr="008F7979">
        <w:t xml:space="preserve">And other things such as making sure we- if the supplies were getting </w:t>
      </w:r>
      <w:proofErr w:type="gramStart"/>
      <w:r w:rsidRPr="008F7979">
        <w:t>low</w:t>
      </w:r>
      <w:proofErr w:type="gramEnd"/>
      <w:r w:rsidRPr="008F7979">
        <w:t xml:space="preserve"> we replenished it, had enough stock.</w:t>
      </w:r>
      <w:r>
        <w:t xml:space="preserve"> (NSW, NSP Access site staff member, Interviewed June 2021).</w:t>
      </w:r>
    </w:p>
    <w:p w14:paraId="18001651" w14:textId="169CF7A9" w:rsidR="00D94DBD" w:rsidRDefault="008F7979" w:rsidP="00D94DB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t>One of the staff members from a</w:t>
      </w:r>
      <w:r w:rsidR="00F95356">
        <w:t>n NSP in</w:t>
      </w:r>
      <w:r>
        <w:t xml:space="preserve"> NSW</w:t>
      </w:r>
      <w:r w:rsidR="008D0A7F">
        <w:t xml:space="preserve"> described</w:t>
      </w:r>
      <w:r w:rsidR="00D94DBD">
        <w:t xml:space="preserve"> </w:t>
      </w:r>
      <w:r>
        <w:t xml:space="preserve">how </w:t>
      </w:r>
      <w:r w:rsidR="00D94DBD">
        <w:t xml:space="preserve">policy </w:t>
      </w:r>
      <w:r>
        <w:t>was</w:t>
      </w:r>
      <w:r w:rsidR="00D94DBD">
        <w:t xml:space="preserve"> developed at organisational level </w:t>
      </w:r>
      <w:r>
        <w:t>and filtered down to team members:</w:t>
      </w:r>
    </w:p>
    <w:p w14:paraId="16A98769" w14:textId="22AA554D" w:rsidR="008F7979" w:rsidRPr="008F7979" w:rsidRDefault="00D94DBD" w:rsidP="00F950E9">
      <w:pPr>
        <w:pStyle w:val="Quote"/>
      </w:pPr>
      <w:r w:rsidRPr="00D94DBD">
        <w:t>I think that was done at a managerial level, like, at the beginning of the pilot, and that was just fed down to us through team meetings</w:t>
      </w:r>
      <w:r w:rsidR="00524077">
        <w:t xml:space="preserve"> </w:t>
      </w:r>
      <w:r>
        <w:t>(NSW, NSP Access site staff member, Interviewed June 2021).</w:t>
      </w:r>
    </w:p>
    <w:p w14:paraId="38BE2C30" w14:textId="4ECCD5C6" w:rsidR="002F2904" w:rsidRDefault="002F2904" w:rsidP="002F2904">
      <w:r>
        <w:t xml:space="preserve">Consistent with reports from other sectors, NSP workers said each ‘supply’ of naloxone </w:t>
      </w:r>
      <w:r w:rsidR="0013250B">
        <w:t>to a customer took between 10-15 minutes:</w:t>
      </w:r>
    </w:p>
    <w:p w14:paraId="127CFE41" w14:textId="11EBB568" w:rsidR="00CA5EEA" w:rsidDel="0085563E" w:rsidRDefault="002F2904" w:rsidP="0013250B">
      <w:pPr>
        <w:pStyle w:val="Quote"/>
      </w:pPr>
      <w:r w:rsidRPr="002F2904">
        <w:t xml:space="preserve">Oh, between- if they’ve been trained before, around 5 minutes, if they haven’t been trained before, 10-15 and that depends on, you know, how many questions and, um, to make sure their comfortable with all the information. </w:t>
      </w:r>
      <w:r w:rsidR="0013250B">
        <w:t>(NSW, NSP Access site staff member, Interviewed June 2021).</w:t>
      </w:r>
    </w:p>
    <w:p w14:paraId="53B38722" w14:textId="030DAD45" w:rsidR="0013250B" w:rsidRDefault="0013250B" w:rsidP="0013250B">
      <w:r>
        <w:t xml:space="preserve">The NSP staff members from NSW felt that there was minimal impact on their workload, and </w:t>
      </w:r>
      <w:r w:rsidR="000D7E7D">
        <w:t>they felt positive about providing THN</w:t>
      </w:r>
      <w:r>
        <w:t>:</w:t>
      </w:r>
    </w:p>
    <w:p w14:paraId="428FFF41" w14:textId="1AF50703" w:rsidR="00C8511B" w:rsidRPr="00C8511B" w:rsidRDefault="0013250B" w:rsidP="00C8511B">
      <w:pPr>
        <w:pStyle w:val="Quote"/>
      </w:pPr>
      <w:r w:rsidRPr="0013250B">
        <w:lastRenderedPageBreak/>
        <w:t xml:space="preserve">Look, not much at all, like, it’s yeah, it doesn’t impact our workload at all. It </w:t>
      </w:r>
      <w:proofErr w:type="gramStart"/>
      <w:r w:rsidRPr="0013250B">
        <w:t>actually feels</w:t>
      </w:r>
      <w:proofErr w:type="gramEnd"/>
      <w:r w:rsidRPr="0013250B">
        <w:t xml:space="preserve"> good to know that you’re doing something worthwhile, not just handing out a needle, you’re actually-I feel like you’re doing something worthwhile with the clients. </w:t>
      </w:r>
      <w:r>
        <w:t>(NSW, NSP Access site staff member, Interviewed June 2021).</w:t>
      </w:r>
    </w:p>
    <w:p w14:paraId="7B1F2D10" w14:textId="77777777" w:rsidR="00106385" w:rsidRPr="00106385" w:rsidRDefault="00106385" w:rsidP="00894DCE">
      <w:pPr>
        <w:pStyle w:val="ListParagraph"/>
        <w:ind w:left="0"/>
      </w:pPr>
      <w:r w:rsidRPr="00106385">
        <w:rPr>
          <w:rStyle w:val="ListParagraphChar"/>
          <w:sz w:val="22"/>
        </w:rPr>
        <w:t>NSP staff members from NSW discussed their approach to brief education for consumers</w:t>
      </w:r>
      <w:r w:rsidRPr="00106385">
        <w:t>. One staff member described providing clients with a printout on overdose management on the outside of the naloxone pack:</w:t>
      </w:r>
    </w:p>
    <w:p w14:paraId="7610C741" w14:textId="77777777" w:rsidR="00106385" w:rsidRPr="00A24E16" w:rsidRDefault="00106385" w:rsidP="00106385">
      <w:pPr>
        <w:pStyle w:val="Quote"/>
      </w:pPr>
      <w:r>
        <w:t>…</w:t>
      </w:r>
      <w:proofErr w:type="gramStart"/>
      <w:r w:rsidRPr="00A24E16">
        <w:t>so</w:t>
      </w:r>
      <w:proofErr w:type="gramEnd"/>
      <w:r w:rsidRPr="00A24E16">
        <w:t xml:space="preserve"> we have to train them in overdose management, um, we train them on how to use naloxone, we give them the printout sheet – we actually wrap it round the outside of the take home naloxone instead of on the inside, because we think that it’s better for them to know what they’re doing before they have to open it </w:t>
      </w:r>
      <w:r>
        <w:t>(NSW, NSP Access site staff member, Interviewed June 2021).</w:t>
      </w:r>
    </w:p>
    <w:p w14:paraId="78ADF8D8" w14:textId="77686858" w:rsidR="00207877" w:rsidRPr="008D0A7F" w:rsidRDefault="00207877" w:rsidP="008D0A7F">
      <w:pPr>
        <w:pStyle w:val="Quote"/>
        <w:ind w:left="0"/>
        <w:rPr>
          <w:i w:val="0"/>
          <w:iCs w:val="0"/>
        </w:rPr>
      </w:pPr>
      <w:r>
        <w:rPr>
          <w:i w:val="0"/>
          <w:iCs w:val="0"/>
        </w:rPr>
        <w:t xml:space="preserve">This worker described offering the brief education to consumers every time </w:t>
      </w:r>
      <w:r w:rsidR="002F2904">
        <w:rPr>
          <w:i w:val="0"/>
          <w:iCs w:val="0"/>
        </w:rPr>
        <w:t>the client</w:t>
      </w:r>
      <w:r>
        <w:rPr>
          <w:i w:val="0"/>
          <w:iCs w:val="0"/>
        </w:rPr>
        <w:t xml:space="preserve"> received THN:</w:t>
      </w:r>
    </w:p>
    <w:p w14:paraId="4F89B3DD" w14:textId="6CECBE17" w:rsidR="003633D3" w:rsidRPr="00A24E16" w:rsidRDefault="00207877" w:rsidP="003633D3">
      <w:pPr>
        <w:pStyle w:val="Quote"/>
      </w:pPr>
      <w:r w:rsidRPr="00207877">
        <w:t xml:space="preserve">Um, their name, age, postcode, whether their aboriginal or Torres Strait Islander, whether they’ve had previous- oh their drug of choice, um, whether they’ve had previous training and whether they- we train them each time, we go over it each time – and age </w:t>
      </w:r>
      <w:r w:rsidR="003633D3">
        <w:t>(NSW, NSP Access site staff member, Interviewed June 2021)</w:t>
      </w:r>
      <w:r w:rsidR="008D0A7F">
        <w:t>.</w:t>
      </w:r>
    </w:p>
    <w:p w14:paraId="6032CB2B" w14:textId="62A6DBC0" w:rsidR="00CA5EEA" w:rsidRPr="00AA7B54" w:rsidRDefault="00D94DBD" w:rsidP="003D0F16">
      <w:pPr>
        <w:pStyle w:val="BodyText"/>
      </w:pPr>
      <w:r>
        <w:t>Amongst those interviewed, NSW NSP staff did not report any issues with supply.</w:t>
      </w:r>
      <w:r w:rsidR="00106385">
        <w:t xml:space="preserve"> </w:t>
      </w:r>
      <w:r w:rsidR="00CA5EEA">
        <w:t>In WA, an NSP worker reported being engaged by a GP:</w:t>
      </w:r>
    </w:p>
    <w:p w14:paraId="17A91C5F" w14:textId="0F24A3C2" w:rsidR="00CA5EEA" w:rsidRDefault="00CA5EEA" w:rsidP="003D0F16">
      <w:pPr>
        <w:pStyle w:val="Quote"/>
      </w:pPr>
      <w:r>
        <w:t xml:space="preserve">Dr [name] who is one of the consultants in addiction medicines asked me if we would like to be recruited [for the pilot] (WA, </w:t>
      </w:r>
      <w:r w:rsidR="00F768E6">
        <w:t>NSP</w:t>
      </w:r>
      <w:r>
        <w:t xml:space="preserve"> staff member, </w:t>
      </w:r>
      <w:r w:rsidR="00F768E6">
        <w:t>Interviewed</w:t>
      </w:r>
      <w:r w:rsidDel="00F768E6">
        <w:t xml:space="preserve"> </w:t>
      </w:r>
      <w:r>
        <w:t>July 2021).</w:t>
      </w:r>
    </w:p>
    <w:p w14:paraId="4F5E763D" w14:textId="77777777" w:rsidR="00E35329" w:rsidRDefault="00CA5EEA" w:rsidP="003D0F16">
      <w:pPr>
        <w:spacing w:line="257" w:lineRule="auto"/>
        <w:rPr>
          <w:rFonts w:eastAsiaTheme="minorEastAsia"/>
        </w:rPr>
      </w:pPr>
      <w:r w:rsidRPr="5CDA3ED1">
        <w:rPr>
          <w:rFonts w:eastAsiaTheme="minorEastAsia"/>
        </w:rPr>
        <w:t>NSP workers described the pilot’s impact on their daily workload as minimal. One staff member reported that their workplace collected information from their staff and found “</w:t>
      </w:r>
      <w:r w:rsidRPr="00E35329">
        <w:rPr>
          <w:rFonts w:eastAsiaTheme="minorEastAsia"/>
        </w:rPr>
        <w:t>the</w:t>
      </w:r>
      <w:r w:rsidRPr="5CDA3ED1">
        <w:rPr>
          <w:rFonts w:eastAsiaTheme="minorEastAsia"/>
        </w:rPr>
        <w:t xml:space="preserve"> </w:t>
      </w:r>
      <w:r w:rsidRPr="00E35329">
        <w:rPr>
          <w:rFonts w:eastAsiaTheme="minorEastAsia"/>
        </w:rPr>
        <w:t>vast majority took 10 minutes or less</w:t>
      </w:r>
      <w:r w:rsidRPr="5CDA3ED1">
        <w:rPr>
          <w:rFonts w:eastAsiaTheme="minorEastAsia"/>
        </w:rPr>
        <w:t xml:space="preserve">” when supplying naloxone </w:t>
      </w:r>
      <w:r w:rsidRPr="5CDA3ED1">
        <w:rPr>
          <w:rFonts w:eastAsiaTheme="minorEastAsia"/>
          <w:i/>
          <w:iCs/>
        </w:rPr>
        <w:t>(WA, NSP staff member,</w:t>
      </w:r>
      <w:r w:rsidR="00561458">
        <w:rPr>
          <w:rFonts w:eastAsiaTheme="minorEastAsia"/>
          <w:i/>
          <w:iCs/>
        </w:rPr>
        <w:t xml:space="preserve"> Interviewed</w:t>
      </w:r>
      <w:r w:rsidRPr="5CDA3ED1">
        <w:rPr>
          <w:rFonts w:eastAsiaTheme="minorEastAsia"/>
          <w:i/>
          <w:iCs/>
        </w:rPr>
        <w:t xml:space="preserve"> May 2021</w:t>
      </w:r>
      <w:r w:rsidRPr="5CDA3ED1">
        <w:rPr>
          <w:rFonts w:eastAsiaTheme="minorEastAsia"/>
        </w:rPr>
        <w:t xml:space="preserve">). </w:t>
      </w:r>
    </w:p>
    <w:p w14:paraId="5E011C54" w14:textId="76978313" w:rsidR="00E35329" w:rsidRDefault="00CA5EEA" w:rsidP="003D0F16">
      <w:pPr>
        <w:spacing w:line="257" w:lineRule="auto"/>
        <w:rPr>
          <w:rFonts w:eastAsiaTheme="minorEastAsia"/>
        </w:rPr>
      </w:pPr>
      <w:r w:rsidRPr="5CDA3ED1">
        <w:rPr>
          <w:rFonts w:eastAsiaTheme="minorEastAsia"/>
        </w:rPr>
        <w:t>Of those interviewed, it was unanimously viewed as time well spent</w:t>
      </w:r>
      <w:r w:rsidR="000E692F">
        <w:rPr>
          <w:rFonts w:eastAsiaTheme="minorEastAsia"/>
        </w:rPr>
        <w:t>:</w:t>
      </w:r>
      <w:r w:rsidRPr="5CDA3ED1">
        <w:rPr>
          <w:rFonts w:eastAsiaTheme="minorEastAsia"/>
        </w:rPr>
        <w:t xml:space="preserve"> </w:t>
      </w:r>
    </w:p>
    <w:p w14:paraId="4DB223A1" w14:textId="21553C90" w:rsidR="00CA5EEA" w:rsidRPr="00327FD9" w:rsidRDefault="00CA5EEA" w:rsidP="00E35329">
      <w:pPr>
        <w:pStyle w:val="Quote"/>
      </w:pPr>
      <w:r w:rsidRPr="00327FD9">
        <w:t xml:space="preserve">“it’s not onerous... I think its valuable. For an extra two to 10 minutes, I think it’s part of the role” (WA, NSP staff member, </w:t>
      </w:r>
      <w:r w:rsidR="004A4F75" w:rsidRPr="00327FD9">
        <w:t xml:space="preserve">Interviewed </w:t>
      </w:r>
      <w:r w:rsidRPr="00327FD9">
        <w:t>July 2021).</w:t>
      </w:r>
    </w:p>
    <w:p w14:paraId="336D4D88" w14:textId="77777777" w:rsidR="00E35329" w:rsidRDefault="00CA5EEA" w:rsidP="003D0F1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eastAsiaTheme="minorEastAsia"/>
        </w:rPr>
      </w:pPr>
      <w:r w:rsidRPr="5CDA3ED1">
        <w:rPr>
          <w:rFonts w:eastAsiaTheme="minorEastAsia"/>
        </w:rPr>
        <w:t xml:space="preserve">In terms of procedures related to the pilot, one staff member commented that they already </w:t>
      </w:r>
    </w:p>
    <w:p w14:paraId="460DBD64" w14:textId="3C5D2792" w:rsidR="00CA5EEA" w:rsidRPr="00327FD9" w:rsidRDefault="00CA5EEA" w:rsidP="00E35329">
      <w:pPr>
        <w:pStyle w:val="Quote"/>
      </w:pPr>
      <w:r w:rsidRPr="5CDA3ED1">
        <w:t>“had policies in place to assess risk and overdose in any regard, but basic</w:t>
      </w:r>
      <w:r w:rsidRPr="00327FD9">
        <w:t xml:space="preserve">ally [the </w:t>
      </w:r>
      <w:r w:rsidR="00072017" w:rsidRPr="00327FD9">
        <w:t>P</w:t>
      </w:r>
      <w:r w:rsidRPr="00327FD9">
        <w:t xml:space="preserve">ilot prompted] a gentle reminder to provide the naloxone if required” (WA, NSP staff member, </w:t>
      </w:r>
      <w:r w:rsidR="004A4F75" w:rsidRPr="00327FD9">
        <w:t xml:space="preserve">Interviewed </w:t>
      </w:r>
      <w:r w:rsidRPr="00327FD9">
        <w:t xml:space="preserve">July 2021). </w:t>
      </w:r>
    </w:p>
    <w:p w14:paraId="30CE1CB7" w14:textId="77777777" w:rsidR="00AA4432" w:rsidRDefault="00883BF4" w:rsidP="00AA4432">
      <w:pPr>
        <w:spacing w:line="257" w:lineRule="auto"/>
        <w:rPr>
          <w:rFonts w:eastAsiaTheme="minorEastAsia"/>
        </w:rPr>
      </w:pPr>
      <w:r>
        <w:rPr>
          <w:rFonts w:eastAsiaTheme="minorEastAsia"/>
        </w:rPr>
        <w:t>Some</w:t>
      </w:r>
      <w:r w:rsidR="00327FD9">
        <w:rPr>
          <w:rFonts w:eastAsiaTheme="minorEastAsia"/>
        </w:rPr>
        <w:t xml:space="preserve"> access site staff from WA</w:t>
      </w:r>
      <w:r>
        <w:rPr>
          <w:rFonts w:eastAsiaTheme="minorEastAsia"/>
        </w:rPr>
        <w:t xml:space="preserve"> </w:t>
      </w:r>
      <w:r w:rsidR="00EB0202">
        <w:rPr>
          <w:rFonts w:eastAsiaTheme="minorEastAsia"/>
        </w:rPr>
        <w:t>suggested</w:t>
      </w:r>
      <w:r>
        <w:rPr>
          <w:rFonts w:eastAsiaTheme="minorEastAsia"/>
        </w:rPr>
        <w:t xml:space="preserve"> that </w:t>
      </w:r>
      <w:r w:rsidR="00F00A74">
        <w:rPr>
          <w:rFonts w:eastAsiaTheme="minorEastAsia"/>
        </w:rPr>
        <w:t xml:space="preserve">the ordering processes for THN could be simplified: </w:t>
      </w:r>
    </w:p>
    <w:p w14:paraId="79604C81" w14:textId="7865291E" w:rsidR="00030756" w:rsidRDefault="00CA5EEA" w:rsidP="00894DCE">
      <w:pPr>
        <w:pStyle w:val="Quote"/>
      </w:pPr>
      <w:r w:rsidRPr="5CDA3ED1">
        <w:t xml:space="preserve">Going through a third party rather than just asking for it directly added an unnecessary amount of communication and unnecessary level of bureaucracy for the process. </w:t>
      </w:r>
      <w:r w:rsidR="007434D6">
        <w:t>(</w:t>
      </w:r>
      <w:r w:rsidR="00E16272" w:rsidRPr="5CDA3ED1">
        <w:t xml:space="preserve">WA, NSP staff member, </w:t>
      </w:r>
      <w:r w:rsidR="00E16272">
        <w:t>Interviewed</w:t>
      </w:r>
      <w:r w:rsidR="00E16272" w:rsidRPr="5CDA3ED1">
        <w:t xml:space="preserve"> May 2021).</w:t>
      </w:r>
    </w:p>
    <w:p w14:paraId="6FD6C662" w14:textId="6678FC0C" w:rsidR="008939AC" w:rsidRPr="00E31F09" w:rsidRDefault="008939AC" w:rsidP="008939AC">
      <w:pPr>
        <w:pStyle w:val="BodyText"/>
        <w:rPr>
          <w:rStyle w:val="BodyTextChar"/>
        </w:rPr>
      </w:pPr>
      <w:r>
        <w:lastRenderedPageBreak/>
        <w:t xml:space="preserve">In South Australia, NSP (called Clean Needle Programs in SA) sites were informed by DASSA about the Pilot, and then provided with </w:t>
      </w:r>
      <w:r w:rsidRPr="00E31F09">
        <w:rPr>
          <w:rStyle w:val="BodyTextChar"/>
        </w:rPr>
        <w:t>vouchers to provide to their clients</w:t>
      </w:r>
      <w:r>
        <w:rPr>
          <w:rStyle w:val="BodyTextChar"/>
        </w:rPr>
        <w:t xml:space="preserve"> along with an information sheet on how to use naloxone</w:t>
      </w:r>
      <w:r w:rsidRPr="00E31F09">
        <w:rPr>
          <w:rStyle w:val="BodyTextChar"/>
        </w:rPr>
        <w:t xml:space="preserve">. </w:t>
      </w:r>
    </w:p>
    <w:p w14:paraId="1235C2E4" w14:textId="0B87A28E" w:rsidR="00CA5EEA" w:rsidRDefault="006502AF" w:rsidP="003D0F16">
      <w:pPr>
        <w:pStyle w:val="BodyText"/>
      </w:pPr>
      <w:r>
        <w:t>T</w:t>
      </w:r>
      <w:r w:rsidR="00CA5EEA">
        <w:t>he impact on workload for CNPs</w:t>
      </w:r>
      <w:r w:rsidR="00CA5EEA" w:rsidDel="002D1765">
        <w:t xml:space="preserve"> </w:t>
      </w:r>
      <w:r w:rsidR="00CA5EEA">
        <w:t xml:space="preserve">was mainly limited to provision of the voucher and information to clients, along with time for the brief </w:t>
      </w:r>
      <w:r w:rsidR="00B02726">
        <w:t>education</w:t>
      </w:r>
      <w:r w:rsidR="00CA5EEA">
        <w:t>. This was considered a core part of their role:</w:t>
      </w:r>
    </w:p>
    <w:p w14:paraId="338252AF" w14:textId="77777777" w:rsidR="00CA5EEA" w:rsidRPr="00945FD7" w:rsidRDefault="00CA5EEA" w:rsidP="003D0F16">
      <w:pPr>
        <w:pStyle w:val="Quote"/>
      </w:pPr>
      <w:r>
        <w:t xml:space="preserve">Interviewer: </w:t>
      </w:r>
      <w:r w:rsidRPr="00945FD7">
        <w:t xml:space="preserve">And does this </w:t>
      </w:r>
      <w:proofErr w:type="gramStart"/>
      <w:r w:rsidRPr="00945FD7">
        <w:t>have an effect on</w:t>
      </w:r>
      <w:proofErr w:type="gramEnd"/>
      <w:r w:rsidRPr="00945FD7">
        <w:t xml:space="preserve"> other work obligations?</w:t>
      </w:r>
    </w:p>
    <w:p w14:paraId="29AAE3B5" w14:textId="74764486" w:rsidR="00CA5EEA" w:rsidRPr="00994DDB" w:rsidRDefault="00CA5EEA" w:rsidP="003D0F16">
      <w:pPr>
        <w:pStyle w:val="Quote"/>
      </w:pPr>
      <w:r>
        <w:t>Participant:</w:t>
      </w:r>
      <w:r w:rsidRPr="00945FD7">
        <w:t xml:space="preserve"> Nah it is part of my work. It is a core part of my work. </w:t>
      </w:r>
      <w:r>
        <w:t xml:space="preserve">(SA, </w:t>
      </w:r>
      <w:r w:rsidR="00B54769">
        <w:t>NSP</w:t>
      </w:r>
      <w:r w:rsidR="00894DCE">
        <w:t>/CNP</w:t>
      </w:r>
      <w:r w:rsidR="00B54769">
        <w:t xml:space="preserve"> </w:t>
      </w:r>
      <w:r>
        <w:t xml:space="preserve">Staff member, </w:t>
      </w:r>
      <w:r w:rsidR="00B54769">
        <w:t>Interviewed</w:t>
      </w:r>
      <w:r w:rsidR="00DD0603">
        <w:t xml:space="preserve"> </w:t>
      </w:r>
      <w:r>
        <w:t>April 2020)</w:t>
      </w:r>
    </w:p>
    <w:p w14:paraId="1BEE7252" w14:textId="77777777" w:rsidR="00CA5EEA" w:rsidRDefault="00CA5EEA" w:rsidP="003D0F16">
      <w:pPr>
        <w:pStyle w:val="BodyText"/>
      </w:pPr>
      <w:r>
        <w:t xml:space="preserve">Some access site staff tried to quantify the percentage of their workload that was dedicated to the THN Pilot: </w:t>
      </w:r>
    </w:p>
    <w:p w14:paraId="25A465EB" w14:textId="24C7189B" w:rsidR="00CA5EEA" w:rsidRDefault="00CA5EEA" w:rsidP="003D0F16">
      <w:pPr>
        <w:pStyle w:val="Quote"/>
      </w:pPr>
      <w:r w:rsidRPr="00945FD7">
        <w:t xml:space="preserve">So that 10% includes developing resources, it includes training up staff, it includes training the workforce as well. </w:t>
      </w:r>
      <w:r>
        <w:t xml:space="preserve">(SA, </w:t>
      </w:r>
      <w:r w:rsidR="00B54769">
        <w:t>NSP</w:t>
      </w:r>
      <w:r w:rsidR="00894DCE">
        <w:t>/CNP</w:t>
      </w:r>
      <w:r>
        <w:t xml:space="preserve"> Staff member, </w:t>
      </w:r>
      <w:r w:rsidR="00B54769">
        <w:t>Interviewed</w:t>
      </w:r>
      <w:r>
        <w:t xml:space="preserve"> April 2020)</w:t>
      </w:r>
    </w:p>
    <w:p w14:paraId="2EE6AFB4" w14:textId="77777777" w:rsidR="00CA5EEA" w:rsidRDefault="00CA5EEA" w:rsidP="003D0F16">
      <w:r>
        <w:t xml:space="preserve">In SA, </w:t>
      </w:r>
      <w:r>
        <w:rPr>
          <w:rStyle w:val="BodyTextChar"/>
        </w:rPr>
        <w:t xml:space="preserve">NSP staff reported that they then developed their own policies about what information to tell their </w:t>
      </w:r>
      <w:proofErr w:type="gramStart"/>
      <w:r>
        <w:rPr>
          <w:rStyle w:val="BodyTextChar"/>
        </w:rPr>
        <w:t>clients, and</w:t>
      </w:r>
      <w:proofErr w:type="gramEnd"/>
      <w:r>
        <w:rPr>
          <w:rStyle w:val="BodyTextChar"/>
        </w:rPr>
        <w:t xml:space="preserve"> would help clients select an appropriate pharmacy from the list of registered pharmacies or would provide clients with a printout of the lists of chemists that had registered for the Pilot. A roundtable participant described how they targeted clients for THN: </w:t>
      </w:r>
    </w:p>
    <w:p w14:paraId="62EF633B" w14:textId="77777777" w:rsidR="00CA5EEA" w:rsidRPr="004F346C" w:rsidRDefault="00CA5EEA" w:rsidP="003D0F16">
      <w:pPr>
        <w:pStyle w:val="Quote"/>
      </w:pPr>
      <w:proofErr w:type="gramStart"/>
      <w:r w:rsidRPr="004F346C">
        <w:t>So</w:t>
      </w:r>
      <w:proofErr w:type="gramEnd"/>
      <w:r w:rsidRPr="004F346C">
        <w:t xml:space="preserve"> because all of us peer educators are probably - being familiar with naloxone for years anyway and favourable about it, we just mainly had to be informed before the actual specific steps that we were to employ when we were promoting it to clients.</w:t>
      </w:r>
    </w:p>
    <w:p w14:paraId="14BEBC48" w14:textId="74545B6F" w:rsidR="00CA5EEA" w:rsidRDefault="00CA5EEA" w:rsidP="003D0F16">
      <w:pPr>
        <w:pStyle w:val="Quote"/>
      </w:pPr>
      <w:r w:rsidRPr="004F346C">
        <w:t xml:space="preserve">It's easy obviously when clients come in and list heroin or opiates as their drug to be injecting, then they are the people that you can instantly raise the option of naloxone and give them vouchers. </w:t>
      </w:r>
      <w:r>
        <w:t xml:space="preserve">(Roundtable Participant, </w:t>
      </w:r>
      <w:r w:rsidR="00D46CFF">
        <w:t>NSP/</w:t>
      </w:r>
      <w:r w:rsidR="00894DCE">
        <w:t>CNP/</w:t>
      </w:r>
      <w:r w:rsidR="00D46CFF">
        <w:t>Peer organisation</w:t>
      </w:r>
      <w:r w:rsidR="001B3604">
        <w:t>,</w:t>
      </w:r>
      <w:r>
        <w:t xml:space="preserve"> SA)</w:t>
      </w:r>
    </w:p>
    <w:p w14:paraId="7449D492" w14:textId="77777777" w:rsidR="00CA5EEA" w:rsidRDefault="00CA5EEA" w:rsidP="003D0F16">
      <w:pPr>
        <w:pStyle w:val="BodyText"/>
      </w:pPr>
      <w:r>
        <w:t>One NSP in SA explained how receiving the voucher at an NSP and then attending a community pharmacy differs from the client just attending the community pharmacy:</w:t>
      </w:r>
    </w:p>
    <w:p w14:paraId="4F6CCAA4" w14:textId="1EB1A569" w:rsidR="00CA5EEA" w:rsidRPr="00010FB6" w:rsidRDefault="00CA5EEA" w:rsidP="003D0F16">
      <w:pPr>
        <w:pStyle w:val="Quote"/>
      </w:pPr>
      <w:proofErr w:type="gramStart"/>
      <w:r w:rsidRPr="00010FB6">
        <w:t>Well</w:t>
      </w:r>
      <w:proofErr w:type="gramEnd"/>
      <w:r w:rsidRPr="00010FB6">
        <w:t xml:space="preserve"> it is anonymous. They don’t have to provide their name. They don’t have to provide their Medicare card or anything. They don’t even have to give a reason. </w:t>
      </w:r>
      <w:proofErr w:type="gramStart"/>
      <w:r w:rsidRPr="00010FB6">
        <w:t>As long as</w:t>
      </w:r>
      <w:proofErr w:type="gramEnd"/>
      <w:r w:rsidRPr="00010FB6">
        <w:t xml:space="preserve"> they have that orange voucher that says they have had an intervention at the NSP, then they take that voucher to one of the pharmacies that we know are participating in the program.</w:t>
      </w:r>
      <w:r>
        <w:t xml:space="preserve"> (SA, </w:t>
      </w:r>
      <w:r w:rsidR="00C9464D">
        <w:t>NSP</w:t>
      </w:r>
      <w:r w:rsidR="00894DCE">
        <w:t>/CNP</w:t>
      </w:r>
      <w:r>
        <w:t xml:space="preserve"> staff member, </w:t>
      </w:r>
      <w:r w:rsidR="00C9464D">
        <w:t xml:space="preserve">Interviewed </w:t>
      </w:r>
      <w:r>
        <w:t>March 2020).</w:t>
      </w:r>
    </w:p>
    <w:p w14:paraId="7A804670" w14:textId="6BFDE3DB" w:rsidR="008762A0" w:rsidRDefault="00CA5EEA" w:rsidP="003D0F16">
      <w:pPr>
        <w:pStyle w:val="BodyText"/>
      </w:pPr>
      <w:r>
        <w:t xml:space="preserve">So even where NSPs were unable to directly distribute THN to clients, </w:t>
      </w:r>
      <w:r w:rsidR="00581018">
        <w:t>having the vouchers available at access sites to provide to consumers still served an important function in promoting the Pilot in SA.</w:t>
      </w:r>
      <w:r>
        <w:t xml:space="preserve"> </w:t>
      </w:r>
    </w:p>
    <w:p w14:paraId="3DACEDD4" w14:textId="77777777" w:rsidR="00CA5EEA" w:rsidRPr="001D59C3" w:rsidRDefault="00CA5EEA" w:rsidP="003D0F16">
      <w:pPr>
        <w:pStyle w:val="NbrHeading3"/>
      </w:pPr>
      <w:bookmarkStart w:id="295" w:name="_Toc94794148"/>
      <w:bookmarkStart w:id="296" w:name="_Toc94794289"/>
      <w:r w:rsidRPr="001D59C3">
        <w:t>NGOs</w:t>
      </w:r>
      <w:bookmarkEnd w:id="295"/>
      <w:bookmarkEnd w:id="296"/>
    </w:p>
    <w:p w14:paraId="2E2CC066" w14:textId="77777777" w:rsidR="00CA5EEA" w:rsidRDefault="00CA5EEA" w:rsidP="003D0F16">
      <w:pPr>
        <w:pStyle w:val="BodyText"/>
      </w:pPr>
      <w:r>
        <w:t>The impact on non-government sites varied by jurisdiction, given that each state implemented different arrangements for the THN Pilot for NGOs.</w:t>
      </w:r>
    </w:p>
    <w:p w14:paraId="05DDCF7E" w14:textId="1CE30E8F" w:rsidR="00CA5EEA" w:rsidRPr="00EE52E5" w:rsidRDefault="00CA5EEA" w:rsidP="003D0F16">
      <w:pPr>
        <w:pStyle w:val="BodyText"/>
      </w:pPr>
      <w:r w:rsidRPr="00EE52E5">
        <w:t xml:space="preserve">Staff </w:t>
      </w:r>
      <w:r w:rsidR="0043364C">
        <w:t>of</w:t>
      </w:r>
      <w:r w:rsidRPr="00EE52E5">
        <w:t xml:space="preserve"> NGOs in the AOD sector expressed very positive perceptions of the THN Pilot, but also hoped for continuity and permanency of free THN provision:</w:t>
      </w:r>
    </w:p>
    <w:p w14:paraId="296DBE5C" w14:textId="00347A78" w:rsidR="00CA5EEA" w:rsidRPr="00BC1259" w:rsidRDefault="00CA5EEA" w:rsidP="003D0F1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567"/>
        <w:rPr>
          <w:i/>
        </w:rPr>
      </w:pPr>
      <w:r w:rsidRPr="00BC1259">
        <w:rPr>
          <w:i/>
        </w:rPr>
        <w:t xml:space="preserve">Oh, extending it so it becomes a permanent thing! As I said, this is a lifesaving program for us, uh, it is something that we have been pushing for years, and finally it has come to </w:t>
      </w:r>
      <w:proofErr w:type="gramStart"/>
      <w:r w:rsidRPr="00BC1259">
        <w:rPr>
          <w:i/>
        </w:rPr>
        <w:lastRenderedPageBreak/>
        <w:t>fruition</w:t>
      </w:r>
      <w:proofErr w:type="gramEnd"/>
      <w:r w:rsidRPr="00BC1259">
        <w:rPr>
          <w:i/>
        </w:rPr>
        <w:t xml:space="preserve"> so I just hope it becomes extended and becomes rolled out permanently (</w:t>
      </w:r>
      <w:r w:rsidR="00676184">
        <w:rPr>
          <w:i/>
        </w:rPr>
        <w:t xml:space="preserve">NSW, </w:t>
      </w:r>
      <w:r w:rsidRPr="00BC1259">
        <w:rPr>
          <w:i/>
        </w:rPr>
        <w:t xml:space="preserve">AOD NGO staff member, </w:t>
      </w:r>
      <w:r w:rsidR="0076157B">
        <w:rPr>
          <w:i/>
        </w:rPr>
        <w:t xml:space="preserve">Interviewed </w:t>
      </w:r>
      <w:r w:rsidR="009B6F45">
        <w:rPr>
          <w:i/>
        </w:rPr>
        <w:t>June 2021</w:t>
      </w:r>
      <w:r w:rsidRPr="00BC1259">
        <w:rPr>
          <w:i/>
        </w:rPr>
        <w:t>)</w:t>
      </w:r>
      <w:r w:rsidR="0048751D">
        <w:rPr>
          <w:i/>
        </w:rPr>
        <w:t>.</w:t>
      </w:r>
    </w:p>
    <w:p w14:paraId="354F6D8F" w14:textId="77777777" w:rsidR="00CA5EEA" w:rsidRDefault="00CA5EEA" w:rsidP="003D0F16">
      <w:pPr>
        <w:pStyle w:val="BodyText"/>
      </w:pPr>
      <w:r>
        <w:t xml:space="preserve">As noted in Chapter 4, NSW has formalised their involvement of NGOs in the provision of THN. Distribution of THN has been included as a Key Performance Indicator in some Ministry of Health funding agreements. </w:t>
      </w:r>
    </w:p>
    <w:p w14:paraId="432ACA29" w14:textId="184610AF" w:rsidR="00CA5EEA" w:rsidRPr="00143F2F" w:rsidRDefault="00CA5EEA" w:rsidP="003D0F1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cs="Calibri"/>
          <w:i/>
          <w:iCs/>
          <w:sz w:val="24"/>
          <w:szCs w:val="24"/>
        </w:rPr>
      </w:pPr>
      <w:r>
        <w:t xml:space="preserve">For those organisations that had previously been involved in the provision of THN in NSW through the ORTHN program, the pilot allowed them to expand and extend their delivery of naloxone to clients. One access site staff member in New South Wales described the </w:t>
      </w:r>
      <w:r w:rsidR="00806A77">
        <w:t>P</w:t>
      </w:r>
      <w:r>
        <w:t xml:space="preserve">ilot as </w:t>
      </w:r>
      <w:r w:rsidRPr="00774859">
        <w:rPr>
          <w:rStyle w:val="QuoteChar"/>
        </w:rPr>
        <w:t xml:space="preserve">‘one of the key changes that, uh, really, um, allowed us to scale up our delivery of </w:t>
      </w:r>
      <w:proofErr w:type="gramStart"/>
      <w:r w:rsidRPr="00774859">
        <w:rPr>
          <w:rStyle w:val="QuoteChar"/>
        </w:rPr>
        <w:t>Take Home</w:t>
      </w:r>
      <w:proofErr w:type="gramEnd"/>
      <w:r w:rsidRPr="00774859">
        <w:rPr>
          <w:rStyle w:val="QuoteChar"/>
        </w:rPr>
        <w:t xml:space="preserve"> Naloxone to vulnerable clients who are at high risk of overdose.’ </w:t>
      </w:r>
      <w:r w:rsidRPr="00143F2F">
        <w:rPr>
          <w:i/>
          <w:iCs/>
        </w:rPr>
        <w:t xml:space="preserve">(NSW, AOD NGO staff member, </w:t>
      </w:r>
      <w:r w:rsidR="00CC5190" w:rsidRPr="00143F2F">
        <w:rPr>
          <w:i/>
          <w:iCs/>
        </w:rPr>
        <w:t xml:space="preserve">Interviewed </w:t>
      </w:r>
      <w:r w:rsidRPr="00143F2F">
        <w:rPr>
          <w:i/>
          <w:iCs/>
        </w:rPr>
        <w:t>July 2021)</w:t>
      </w:r>
    </w:p>
    <w:p w14:paraId="5B9A5E1C" w14:textId="77777777" w:rsidR="00CA5EEA" w:rsidRDefault="00CA5EEA" w:rsidP="003D0F16">
      <w:pPr>
        <w:pStyle w:val="BodyText"/>
      </w:pPr>
      <w:r>
        <w:t>In WA, one NSP worker explained how his workplace was asked to participate in the pilot:</w:t>
      </w:r>
    </w:p>
    <w:p w14:paraId="4C19427F" w14:textId="2F3A640A" w:rsidR="00CA5EEA" w:rsidRDefault="00CA5EEA" w:rsidP="003D0F16">
      <w:pPr>
        <w:pStyle w:val="Quote"/>
      </w:pPr>
      <w:r>
        <w:t xml:space="preserve">We’d been involved in distributing naloxone to lay people to respond to overdose in the community since 2013 and so when the pilot was extended to include WA, we were asked if we would be involved (WA, NSP staff member, </w:t>
      </w:r>
      <w:r w:rsidR="00751087">
        <w:t xml:space="preserve">Interviewed </w:t>
      </w:r>
      <w:r>
        <w:t>May 2021</w:t>
      </w:r>
      <w:r w:rsidR="006D4AC6">
        <w:t>)</w:t>
      </w:r>
      <w:r w:rsidR="00642F10">
        <w:t>.</w:t>
      </w:r>
    </w:p>
    <w:p w14:paraId="0018D250" w14:textId="1CBD11C9" w:rsidR="00CA5EEA" w:rsidRDefault="00CA5EEA" w:rsidP="003D0F16">
      <w:pPr>
        <w:pStyle w:val="BodyText"/>
      </w:pPr>
      <w:r>
        <w:t>In South Australia, non-government sites continue to distribute voucher</w:t>
      </w:r>
      <w:r w:rsidR="004177D3">
        <w:t>s</w:t>
      </w:r>
      <w:r>
        <w:t xml:space="preserve"> to clients to encourage them to access take home naloxone from a pharmacy. This </w:t>
      </w:r>
      <w:r w:rsidR="004177D3">
        <w:t xml:space="preserve">allowed </w:t>
      </w:r>
      <w:r>
        <w:t xml:space="preserve">them to promote the Pilot and provide the brief education about THN, but still </w:t>
      </w:r>
      <w:r w:rsidR="004177D3">
        <w:t xml:space="preserve">required </w:t>
      </w:r>
      <w:r>
        <w:t xml:space="preserve">a second step before consumers </w:t>
      </w:r>
      <w:r w:rsidR="004177D3">
        <w:t xml:space="preserve">could </w:t>
      </w:r>
      <w:r>
        <w:t>access naloxone.</w:t>
      </w:r>
    </w:p>
    <w:p w14:paraId="5349082D" w14:textId="77777777" w:rsidR="00CA5EEA" w:rsidRDefault="00CA5EEA" w:rsidP="003D0F16">
      <w:pPr>
        <w:pStyle w:val="BodyText"/>
      </w:pPr>
      <w:r>
        <w:t>Access site staff from NGOs in NSW noted that their supply and reimbursement system worked well. For example, this access site staff member described their system in the following way:</w:t>
      </w:r>
    </w:p>
    <w:p w14:paraId="33CB7A45" w14:textId="30CBCDA6" w:rsidR="00CA5EEA" w:rsidRDefault="00CA5EEA" w:rsidP="003D0F16">
      <w:pPr>
        <w:pStyle w:val="Quote"/>
      </w:pPr>
      <w:r w:rsidRPr="00AA65DE">
        <w:t xml:space="preserve">So, it works very well, so all we need to do is we need to, according to the new NGO procedures, - I’ve only had to do it once I think, let me think – so we literally just fill in a form with our, um, </w:t>
      </w:r>
      <w:r w:rsidR="0064462E" w:rsidRPr="00AA65DE">
        <w:t>whatever</w:t>
      </w:r>
      <w:r w:rsidRPr="00AA65DE">
        <w:t xml:space="preserve"> our case number or site number is to the manufacturer and were allowed 60 uni</w:t>
      </w:r>
      <w:r>
        <w:t>t</w:t>
      </w:r>
      <w:r w:rsidRPr="00AA65DE">
        <w:t xml:space="preserve">s of each time we order and then they arrive within two days later. And then we send the invoice to the ministry of health, who then, um, pays for it. </w:t>
      </w:r>
      <w:proofErr w:type="gramStart"/>
      <w:r w:rsidRPr="00AA65DE">
        <w:t>So</w:t>
      </w:r>
      <w:proofErr w:type="gramEnd"/>
      <w:r w:rsidRPr="00AA65DE">
        <w:t xml:space="preserve"> it works – we’ve only done it once – but it works seamlessly.</w:t>
      </w:r>
      <w:r>
        <w:t xml:space="preserve"> (NSW, AOD NGO staff member, </w:t>
      </w:r>
      <w:r w:rsidR="00673141">
        <w:t xml:space="preserve">Interviewed </w:t>
      </w:r>
      <w:r>
        <w:t>July 2021).</w:t>
      </w:r>
    </w:p>
    <w:p w14:paraId="201E7AF7" w14:textId="77777777" w:rsidR="00CA5EEA" w:rsidRDefault="00CA5EEA" w:rsidP="003D0F16">
      <w:pPr>
        <w:pStyle w:val="BodyText"/>
      </w:pPr>
      <w:r>
        <w:t xml:space="preserve">In WA, one staff member described how streamlining in their workplace procedures occurred during the implementation of the pilot: </w:t>
      </w:r>
    </w:p>
    <w:p w14:paraId="4C601DA9" w14:textId="1E3F9D08" w:rsidR="00CA5EEA" w:rsidRDefault="00CA5EEA" w:rsidP="003D0F16">
      <w:pPr>
        <w:pStyle w:val="Quote"/>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t xml:space="preserve">Initially we had a nurse practitioner on our health team who would prescribe naloxone and we had peer workers who’d been trained and authorised by our CEO to provide the education to the consumers who should be receiving naloxone. </w:t>
      </w:r>
      <w:proofErr w:type="gramStart"/>
      <w:r>
        <w:t>So</w:t>
      </w:r>
      <w:proofErr w:type="gramEnd"/>
      <w:r>
        <w:t xml:space="preserve"> the education would be done by one of our peer workers and then our nurse would do the health assessment and the prescription of naloxone. Once the SASA (Structured Administration and Supply Arrangement) came into place [which is] </w:t>
      </w:r>
      <w:proofErr w:type="gramStart"/>
      <w:r>
        <w:t>similar to</w:t>
      </w:r>
      <w:proofErr w:type="gramEnd"/>
      <w:r>
        <w:t xml:space="preserve"> how they authorised registered nurses to provide vaccinations in remote area clinics], we no longer needed the nurse practitioner to be involved, we could just have the peer workers who were doing the education authorised under that SASA arrangement. (WA, AOD NGO staff member, </w:t>
      </w:r>
      <w:r w:rsidR="00357020">
        <w:t xml:space="preserve">Interviewed </w:t>
      </w:r>
      <w:r>
        <w:t>May 2021).</w:t>
      </w:r>
    </w:p>
    <w:p w14:paraId="1E5EC49F" w14:textId="77777777" w:rsidR="00CA5EEA" w:rsidRDefault="00CA5EEA" w:rsidP="003D0F16">
      <w:r>
        <w:t>In WA, NGO staff noted that there was no funding for their distribution of naloxone:</w:t>
      </w:r>
    </w:p>
    <w:p w14:paraId="34A9D4A4" w14:textId="77777777" w:rsidR="00CA5EEA" w:rsidRPr="00C11307" w:rsidRDefault="00CA5EEA" w:rsidP="003D0F16">
      <w:pPr>
        <w:pStyle w:val="Quote"/>
      </w:pPr>
      <w:r w:rsidRPr="00C11307">
        <w:t>As a not-for-profit organisation, there were - we're just provided with the naloxone; there is no funding to support the distribution of the naloxone.</w:t>
      </w:r>
    </w:p>
    <w:p w14:paraId="724F58FD" w14:textId="521BAE21" w:rsidR="00CA5EEA" w:rsidRPr="00C11307" w:rsidRDefault="00CA5EEA" w:rsidP="003D0F16">
      <w:pPr>
        <w:pStyle w:val="Quote"/>
      </w:pPr>
      <w:proofErr w:type="gramStart"/>
      <w:r w:rsidRPr="00C11307">
        <w:lastRenderedPageBreak/>
        <w:t>So</w:t>
      </w:r>
      <w:proofErr w:type="gramEnd"/>
      <w:r w:rsidRPr="00C11307">
        <w:t xml:space="preserve"> in effect, our core funder, which is not the Mental Health Commission, is subsidising the provision and rollout for our consumers of this Commonwealth take</w:t>
      </w:r>
      <w:r w:rsidR="003F3118">
        <w:t xml:space="preserve"> </w:t>
      </w:r>
      <w:r w:rsidRPr="00C11307">
        <w:t>home naloxone program. (Roundtable Participant, NGO/NSP, WA).</w:t>
      </w:r>
    </w:p>
    <w:p w14:paraId="6EEFBBA9" w14:textId="295076BF" w:rsidR="00101C49" w:rsidRDefault="00FD5296" w:rsidP="00101C49">
      <w:pPr>
        <w:pStyle w:val="Quote"/>
        <w:ind w:left="0"/>
        <w:rPr>
          <w:i w:val="0"/>
          <w:iCs w:val="0"/>
        </w:rPr>
      </w:pPr>
      <w:r>
        <w:rPr>
          <w:i w:val="0"/>
          <w:iCs w:val="0"/>
        </w:rPr>
        <w:t>Some</w:t>
      </w:r>
      <w:r w:rsidR="00101C49">
        <w:rPr>
          <w:i w:val="0"/>
          <w:iCs w:val="0"/>
        </w:rPr>
        <w:t xml:space="preserve"> WA access site staff members felt funders relied on the fact that NGOs consider THN part of their core business</w:t>
      </w:r>
      <w:r>
        <w:rPr>
          <w:i w:val="0"/>
          <w:iCs w:val="0"/>
        </w:rPr>
        <w:t xml:space="preserve"> to negate the requirement for extra funding for implementation</w:t>
      </w:r>
      <w:r w:rsidR="00101C49">
        <w:rPr>
          <w:i w:val="0"/>
          <w:iCs w:val="0"/>
        </w:rPr>
        <w:t>:</w:t>
      </w:r>
    </w:p>
    <w:p w14:paraId="54D3AE28" w14:textId="7F1F915C" w:rsidR="00B21AF7" w:rsidRPr="00FD5296" w:rsidRDefault="00101C49" w:rsidP="00FD5296">
      <w:pPr>
        <w:pStyle w:val="Quote"/>
      </w:pPr>
      <w:r>
        <w:t>…</w:t>
      </w:r>
      <w:r w:rsidRPr="008762A0">
        <w:t xml:space="preserve"> quite often NGOs </w:t>
      </w:r>
      <w:r>
        <w:t>are expected to</w:t>
      </w:r>
      <w:r w:rsidRPr="008762A0">
        <w:t xml:space="preserve"> go above and beyond their requirements, that the people that may be funding decisions</w:t>
      </w:r>
      <w:r>
        <w:t>…</w:t>
      </w:r>
      <w:r w:rsidRPr="008762A0">
        <w:t xml:space="preserve"> they just sort of go, ‘ho but that’s just part of you</w:t>
      </w:r>
      <w:r>
        <w:t>r</w:t>
      </w:r>
      <w:r w:rsidRPr="008762A0">
        <w:t xml:space="preserve"> normal business’. ‘That should just be done as part of </w:t>
      </w:r>
      <w:r w:rsidRPr="00A95EC2">
        <w:t>your</w:t>
      </w:r>
      <w:r w:rsidR="00A95EC2">
        <w:t xml:space="preserve"> core</w:t>
      </w:r>
      <w:r w:rsidRPr="008762A0">
        <w:t xml:space="preserve"> business. That should just be done, because you care about the consumers’</w:t>
      </w:r>
      <w:r>
        <w:t xml:space="preserve"> (WA, NSP/NGO staff member, Interviewed February 2020).</w:t>
      </w:r>
    </w:p>
    <w:p w14:paraId="6915D1B3" w14:textId="77777777" w:rsidR="001801F0" w:rsidRPr="001801F0" w:rsidRDefault="00CA5EEA" w:rsidP="001801F0">
      <w:pPr>
        <w:pStyle w:val="Quote"/>
        <w:ind w:left="0"/>
        <w:rPr>
          <w:i w:val="0"/>
          <w:iCs w:val="0"/>
        </w:rPr>
      </w:pPr>
      <w:r>
        <w:rPr>
          <w:i w:val="0"/>
          <w:iCs w:val="0"/>
        </w:rPr>
        <w:t>This highlights the differences between the jurisdictional models for involving NGOs in the implementation of the THN Pilot.</w:t>
      </w:r>
    </w:p>
    <w:p w14:paraId="79FBC9E0" w14:textId="34039BD5" w:rsidR="007251A3" w:rsidRDefault="007251A3" w:rsidP="007251A3">
      <w:pPr>
        <w:pStyle w:val="BodyText"/>
      </w:pPr>
      <w:r>
        <w:t>Overall, frontline staff in NGOs generally expressed fewer concerns about addition to their workload through THN provision, however senior service representatives noted that additional work regarding development of policies and procedures, training of staff, and storage of naloxone had required additional resources of the organisations.</w:t>
      </w:r>
    </w:p>
    <w:p w14:paraId="63DFB1C2" w14:textId="77777777" w:rsidR="00CA5EEA" w:rsidRPr="00395297" w:rsidRDefault="00CA5EEA" w:rsidP="003D0F16">
      <w:pPr>
        <w:pStyle w:val="NbrHeading3"/>
      </w:pPr>
      <w:bookmarkStart w:id="297" w:name="_Toc78970202"/>
      <w:bookmarkStart w:id="298" w:name="_Toc94794149"/>
      <w:bookmarkStart w:id="299" w:name="_Toc94794290"/>
      <w:r>
        <w:t>Corrective Services Health Settings</w:t>
      </w:r>
      <w:bookmarkEnd w:id="297"/>
      <w:bookmarkEnd w:id="298"/>
      <w:bookmarkEnd w:id="299"/>
    </w:p>
    <w:p w14:paraId="17B355A4" w14:textId="77777777" w:rsidR="00CA5EEA" w:rsidRDefault="00CA5EEA" w:rsidP="003D0F16">
      <w:pPr>
        <w:pStyle w:val="BodyText"/>
      </w:pPr>
      <w:r>
        <w:t>The extent of engagement of correctional settings in the THN Pilot differed in each state.</w:t>
      </w:r>
    </w:p>
    <w:p w14:paraId="55E93936" w14:textId="65D098D0" w:rsidR="00CC1A1D" w:rsidRPr="00CC1A1D" w:rsidRDefault="00CA5EEA" w:rsidP="00CC1A1D">
      <w:pPr>
        <w:pStyle w:val="BodyText"/>
      </w:pPr>
      <w:r>
        <w:t>In New South Wales, NSW Justice Health had been involved in processes for the earlier ORTHN programs and so were able to engage early in the process of implementing the Pilot. Naloxone is provided on release from custody</w:t>
      </w:r>
      <w:r w:rsidR="00B338C9">
        <w:t xml:space="preserve"> to clients of an AOD program</w:t>
      </w:r>
      <w:r>
        <w:t>.</w:t>
      </w:r>
      <w:r w:rsidR="00B338C9">
        <w:t xml:space="preserve"> As one staff member described:</w:t>
      </w:r>
    </w:p>
    <w:p w14:paraId="2EC41488" w14:textId="2BAF5B59" w:rsidR="002B0526" w:rsidRDefault="00B338C9" w:rsidP="00626955">
      <w:pPr>
        <w:pStyle w:val="Quote"/>
      </w:pPr>
      <w:r>
        <w:t>…</w:t>
      </w:r>
      <w:r w:rsidR="002B0526" w:rsidRPr="002B0526">
        <w:t xml:space="preserve"> during the initial assessment for a patient who’s going to be on </w:t>
      </w:r>
      <w:r w:rsidRPr="00B338C9">
        <w:t>[AOD program]</w:t>
      </w:r>
      <w:r w:rsidR="002B0526" w:rsidRPr="00B338C9">
        <w:t>,</w:t>
      </w:r>
      <w:r w:rsidR="002B0526" w:rsidRPr="002B0526">
        <w:t xml:space="preserve"> I identify any history of opioid use or prescribed opioids, or if they’re going to be released into an area where they could be witnessing an opioid overdose, </w:t>
      </w:r>
      <w:proofErr w:type="gramStart"/>
      <w:r w:rsidR="002B0526" w:rsidRPr="002B0526">
        <w:t>taking into account</w:t>
      </w:r>
      <w:proofErr w:type="gramEnd"/>
      <w:r w:rsidR="002B0526" w:rsidRPr="002B0526">
        <w:t xml:space="preserve"> current drug warnings that could increase their risk of overdose, and then, providing the education. So, doing the brief intervention, doing the video with </w:t>
      </w:r>
      <w:proofErr w:type="gramStart"/>
      <w:r w:rsidR="002B0526" w:rsidRPr="002B0526">
        <w:t>them</w:t>
      </w:r>
      <w:proofErr w:type="gramEnd"/>
      <w:r w:rsidR="002B0526" w:rsidRPr="002B0526">
        <w:t xml:space="preserve"> and completing the form. Um. And then it’s a matter of- in this </w:t>
      </w:r>
      <w:proofErr w:type="gramStart"/>
      <w:r w:rsidR="002B0526" w:rsidRPr="002B0526">
        <w:t xml:space="preserve">particular </w:t>
      </w:r>
      <w:proofErr w:type="spellStart"/>
      <w:r w:rsidR="002B0526" w:rsidRPr="002B0526">
        <w:t>center</w:t>
      </w:r>
      <w:proofErr w:type="spellEnd"/>
      <w:proofErr w:type="gramEnd"/>
      <w:r w:rsidR="002B0526" w:rsidRPr="002B0526">
        <w:t xml:space="preserve"> it’s a matter of getting the naloxone to them on release. </w:t>
      </w:r>
      <w:r w:rsidR="002B0526">
        <w:t xml:space="preserve">(NSW, </w:t>
      </w:r>
      <w:r w:rsidR="00B2257A">
        <w:t>Justice</w:t>
      </w:r>
      <w:r w:rsidR="002B0526">
        <w:t xml:space="preserve"> Health Service </w:t>
      </w:r>
      <w:r w:rsidR="00B2257A">
        <w:t>staff member</w:t>
      </w:r>
      <w:r w:rsidR="002B0526">
        <w:t>, Interviewed May 2021)</w:t>
      </w:r>
    </w:p>
    <w:p w14:paraId="6F44B524" w14:textId="77777777" w:rsidR="00CA5EEA" w:rsidRDefault="00CA5EEA" w:rsidP="003D0F16">
      <w:pPr>
        <w:pStyle w:val="BodyText"/>
      </w:pPr>
      <w:r>
        <w:t>At the commencement of the pilot, Connections Transition coordinators from Justice Health NSW completed training and became credentialed as an AAS. Access site staff noted that paperwork for implementation of the Pilot is “really extensive”:</w:t>
      </w:r>
    </w:p>
    <w:p w14:paraId="39E60ED4" w14:textId="0FD70D8C" w:rsidR="00CA5EEA" w:rsidRDefault="00CA5EEA" w:rsidP="003D0F16">
      <w:pPr>
        <w:pStyle w:val="Quote"/>
      </w:pPr>
      <w:r w:rsidRPr="008F4C5C">
        <w:t xml:space="preserve">So, we fill out the ORTHN form, and that </w:t>
      </w:r>
      <w:proofErr w:type="gramStart"/>
      <w:r w:rsidRPr="008F4C5C">
        <w:t>has to</w:t>
      </w:r>
      <w:proofErr w:type="gramEnd"/>
      <w:r w:rsidRPr="008F4C5C">
        <w:t xml:space="preserve"> be signed by the patient they completed and then scanned to our naloxone pathways generic email which is managed by drug and alcohol at Justice Health. And then we have to- the form goes into the patients hard copy file, and then you have to enter the appointment into our appointment booking system for justice health and then you have to add it into a spreadsheet as well – I guess just for us to keep track of, um, how many people are getting it, and then the person  who is following up on the patient following their release, they’ll find out that whether they got the naloxone on their release and update the spreadsheet to make sure they actually got it. And, yeah, so it’s a bit lengthy. </w:t>
      </w:r>
      <w:r>
        <w:t xml:space="preserve">(NSW, </w:t>
      </w:r>
      <w:r w:rsidR="002D21FF">
        <w:t>Justice Health</w:t>
      </w:r>
      <w:r>
        <w:t xml:space="preserve"> staff member</w:t>
      </w:r>
      <w:r w:rsidDel="006D4AC6">
        <w:t xml:space="preserve">, </w:t>
      </w:r>
      <w:r>
        <w:t>Interviewed May 2021)</w:t>
      </w:r>
    </w:p>
    <w:p w14:paraId="49D3B275" w14:textId="6709BDDB" w:rsidR="00CA5EEA" w:rsidRDefault="00CA5EEA" w:rsidP="003D0F16">
      <w:r>
        <w:lastRenderedPageBreak/>
        <w:t xml:space="preserve">Furthermore, in some settings, </w:t>
      </w:r>
      <w:r w:rsidR="00626955">
        <w:t>there was a two</w:t>
      </w:r>
      <w:r w:rsidR="00C040AC">
        <w:t>-</w:t>
      </w:r>
      <w:r w:rsidR="00626955">
        <w:t xml:space="preserve">step process where </w:t>
      </w:r>
      <w:r>
        <w:t>the health staff member providing the THN was not the same staff member expected to provide the THN to the client upon release:</w:t>
      </w:r>
    </w:p>
    <w:p w14:paraId="59720B5E" w14:textId="1F4AE8DD" w:rsidR="00CA5EEA" w:rsidRPr="00B342D0" w:rsidRDefault="00CA5EEA" w:rsidP="003D0F16">
      <w:pPr>
        <w:pStyle w:val="Quote"/>
      </w:pPr>
      <w:r w:rsidRPr="00B342D0">
        <w:t xml:space="preserve">So, I don’t actually see them collect it, I just put it with corrective </w:t>
      </w:r>
      <w:proofErr w:type="gramStart"/>
      <w:r w:rsidRPr="00B342D0">
        <w:t>services</w:t>
      </w:r>
      <w:proofErr w:type="gramEnd"/>
      <w:r w:rsidRPr="00B342D0">
        <w:t xml:space="preserve"> and they put it with their release paperwork. But, I mean, most of the time, they get it, um, - how do I explain this – so, if the patients don’t get it, it’s nine times out of 10, because the corrective services have forgotten to give it to them. </w:t>
      </w:r>
      <w:r>
        <w:t xml:space="preserve">(NSW, </w:t>
      </w:r>
      <w:r w:rsidR="00442EF8">
        <w:t>Justice Health</w:t>
      </w:r>
      <w:r>
        <w:t xml:space="preserve"> staff member,</w:t>
      </w:r>
      <w:r w:rsidDel="006D4AC6">
        <w:t xml:space="preserve"> </w:t>
      </w:r>
      <w:r>
        <w:t>Interviewed May 2021)</w:t>
      </w:r>
    </w:p>
    <w:p w14:paraId="1791D564" w14:textId="76BA6C17" w:rsidR="00CA5EEA" w:rsidRDefault="00CA5EEA" w:rsidP="003D0F16">
      <w:pPr>
        <w:pStyle w:val="BodyText"/>
      </w:pPr>
      <w:r>
        <w:t xml:space="preserve">Staff in correctional health settings noted that the </w:t>
      </w:r>
      <w:proofErr w:type="spellStart"/>
      <w:r>
        <w:t>Nyxoid</w:t>
      </w:r>
      <w:proofErr w:type="spellEnd"/>
      <w:r>
        <w:t xml:space="preserve"> nasal spray was the only formulation they offered to clients. </w:t>
      </w:r>
    </w:p>
    <w:p w14:paraId="50B426AF" w14:textId="7959303F" w:rsidR="00CA5EEA" w:rsidRDefault="00CA5EEA" w:rsidP="003D0F16">
      <w:pPr>
        <w:pStyle w:val="BodyText"/>
      </w:pPr>
      <w:r>
        <w:t xml:space="preserve">In South Australia, Correctional Health settings provide naloxone on exit from custody but through the PBS, rather than through the THN Pilot. At the commencement of the Pilot and after the development of the vouchers, SA Prison Health provided vouchers to people exiting prison so that they could access naloxone from a community pharmacy. </w:t>
      </w:r>
      <w:r w:rsidR="006A2D38">
        <w:t>As vouchers identified th</w:t>
      </w:r>
      <w:r w:rsidR="00E415AA">
        <w:t>e</w:t>
      </w:r>
      <w:r w:rsidR="00CE5960">
        <w:t>ir source,</w:t>
      </w:r>
      <w:r w:rsidR="00CA62D3">
        <w:t xml:space="preserve"> there </w:t>
      </w:r>
      <w:r w:rsidR="00521614">
        <w:t xml:space="preserve">were </w:t>
      </w:r>
      <w:r>
        <w:t>potentially stigmatising effects for people receiving them from Correctional Health:</w:t>
      </w:r>
    </w:p>
    <w:p w14:paraId="2A3CDABF" w14:textId="4BC9B9EC" w:rsidR="00CA5EEA" w:rsidRDefault="00CA5EEA" w:rsidP="003D0F16">
      <w:pPr>
        <w:pStyle w:val="Quote"/>
      </w:pPr>
      <w:r w:rsidRPr="00AA310D">
        <w:t xml:space="preserve">There was some feedback from the consumers about not wanting to take the voucher, it clearly indicated prisoner on </w:t>
      </w:r>
      <w:proofErr w:type="gramStart"/>
      <w:r w:rsidRPr="00AA310D">
        <w:t>it</w:t>
      </w:r>
      <w:proofErr w:type="gramEnd"/>
      <w:r w:rsidRPr="00AA310D">
        <w:t xml:space="preserve"> and they didn't want to take that.</w:t>
      </w:r>
      <w:r>
        <w:t xml:space="preserve"> (Roundtable Participant, </w:t>
      </w:r>
      <w:r w:rsidR="003532B8">
        <w:t>Prison Health,</w:t>
      </w:r>
      <w:r w:rsidR="009073F9">
        <w:t xml:space="preserve"> </w:t>
      </w:r>
      <w:r>
        <w:t xml:space="preserve">SA) </w:t>
      </w:r>
    </w:p>
    <w:p w14:paraId="7BA09CB0" w14:textId="318FA55D" w:rsidR="00CA5EEA" w:rsidRDefault="00CA5EEA" w:rsidP="003D0F16">
      <w:pPr>
        <w:pStyle w:val="BodyText"/>
      </w:pPr>
      <w:r>
        <w:t xml:space="preserve">In Western Australia, custodial settings can provide naloxone on exit by prescription. The WA Department of Justice has not implemented the Pilot </w:t>
      </w:r>
      <w:proofErr w:type="gramStart"/>
      <w:r>
        <w:t>as yet</w:t>
      </w:r>
      <w:proofErr w:type="gramEnd"/>
      <w:r>
        <w:t xml:space="preserve">. The following information was provided by the WA Department of Justice: </w:t>
      </w:r>
    </w:p>
    <w:p w14:paraId="61185D8F" w14:textId="77777777" w:rsidR="00745146" w:rsidRPr="00745146" w:rsidRDefault="00745146" w:rsidP="00745146">
      <w:pPr>
        <w:pStyle w:val="BodyText"/>
      </w:pPr>
      <w:r w:rsidRPr="00745146">
        <w:t>Whilst Corrective Services was unable to participate in the Take Home Naloxone (THN) Pilot, they are advocates for the dissemination of intranasal naloxone to prisoners (who are known to inject drugs), upon exit from prison.</w:t>
      </w:r>
    </w:p>
    <w:p w14:paraId="7ECA20F8" w14:textId="77777777" w:rsidR="00745146" w:rsidRPr="00745146" w:rsidRDefault="00745146" w:rsidP="00745146">
      <w:pPr>
        <w:pStyle w:val="BodyText"/>
      </w:pPr>
      <w:r w:rsidRPr="00745146">
        <w:t>Mental Health, Alcohol and Other Drugs (MHAOD) have advised that in late 2019, prior to the global COVID-19 pandemic, the former Deputy Commissioner Offender Services, and Director Health Services, supported a proposal and communication plan to commence the roll out of THN in WA prisons, with training to be delivered by external parties. Unfortunately, due to an internal restructure of Health Services and MHAOD, and the Department’s major focus being on managing the COVID-19 pandemic, the project stalled. It is noted that the Deputy Commissioner Offender Services also resigned in this time.</w:t>
      </w:r>
    </w:p>
    <w:p w14:paraId="6EC7BB5F" w14:textId="2B5FCB1F" w:rsidR="00745146" w:rsidRPr="00745146" w:rsidRDefault="00745146" w:rsidP="00745146">
      <w:pPr>
        <w:pStyle w:val="BodyText"/>
      </w:pPr>
      <w:r w:rsidRPr="00745146">
        <w:t xml:space="preserve">MHAOD have advised that, whilst there are approximately 400 doses of THN currently stored at the Hakea Prison Pharmacy, the provision of THN to people exiting WA prisons has yet to occur, as additional staff training/education sessions, and planning discussions with prison Superintendents, are required. MHAOD also advised that the Mental Health Commission recently delivered some training to staff at </w:t>
      </w:r>
      <w:proofErr w:type="spellStart"/>
      <w:r w:rsidRPr="00745146">
        <w:t>Bandyup</w:t>
      </w:r>
      <w:proofErr w:type="spellEnd"/>
      <w:r w:rsidRPr="00745146">
        <w:t xml:space="preserve"> Women’s Prison, and that discussions are ongoing </w:t>
      </w:r>
      <w:proofErr w:type="gramStart"/>
      <w:r w:rsidRPr="00745146">
        <w:t>in regards to</w:t>
      </w:r>
      <w:proofErr w:type="gramEnd"/>
      <w:r w:rsidRPr="00745146">
        <w:t xml:space="preserve"> whether THN packs can be distributed from Casuarina Prison.</w:t>
      </w:r>
    </w:p>
    <w:p w14:paraId="0CC65DDB" w14:textId="77777777" w:rsidR="00CA5EEA" w:rsidRPr="001C4053" w:rsidRDefault="00CA5EEA" w:rsidP="003D0F16">
      <w:pPr>
        <w:pStyle w:val="BodyText"/>
      </w:pPr>
    </w:p>
    <w:p w14:paraId="310B42F2" w14:textId="77777777" w:rsidR="00CA5EEA" w:rsidRPr="001D59C3" w:rsidRDefault="00CA5EEA" w:rsidP="003D0F16">
      <w:pPr>
        <w:pStyle w:val="NbrHeading3"/>
      </w:pPr>
      <w:bookmarkStart w:id="300" w:name="_Toc78970203"/>
      <w:bookmarkStart w:id="301" w:name="_Toc94794150"/>
      <w:bookmarkStart w:id="302" w:name="_Toc94794291"/>
      <w:r w:rsidRPr="001D59C3">
        <w:t>Police</w:t>
      </w:r>
      <w:bookmarkEnd w:id="300"/>
      <w:bookmarkEnd w:id="301"/>
      <w:bookmarkEnd w:id="302"/>
    </w:p>
    <w:p w14:paraId="18141416" w14:textId="63780578" w:rsidR="00CA5EEA" w:rsidRDefault="00CA5EEA" w:rsidP="003D0F16">
      <w:pPr>
        <w:pStyle w:val="BodyText"/>
      </w:pPr>
      <w:r>
        <w:t xml:space="preserve">Western Australia is the only jurisdiction </w:t>
      </w:r>
      <w:r w:rsidR="00B272B6">
        <w:t xml:space="preserve">to </w:t>
      </w:r>
      <w:r>
        <w:t>involve police in THN Pilot activities. Western Australia Police Force has worked in conjunction with WAMHC to develop a trial of naloxone deployment by police officers. Training was provided by the WAMHC, with naloxone to be sourced through the Pilot. The following information was provided by WA Police Force:</w:t>
      </w:r>
    </w:p>
    <w:p w14:paraId="7D9E8B29" w14:textId="77777777" w:rsidR="00745146" w:rsidRPr="0054153A" w:rsidRDefault="00745146" w:rsidP="00745146">
      <w:pPr>
        <w:rPr>
          <w:color w:val="000000" w:themeColor="text1"/>
          <w:sz w:val="20"/>
          <w:szCs w:val="20"/>
        </w:rPr>
      </w:pPr>
      <w:r w:rsidRPr="0054153A">
        <w:rPr>
          <w:color w:val="000000" w:themeColor="text1"/>
          <w:sz w:val="20"/>
          <w:szCs w:val="20"/>
          <w:bdr w:val="none" w:sz="0" w:space="0" w:color="auto" w:frame="1"/>
        </w:rPr>
        <w:lastRenderedPageBreak/>
        <w:t>On 1 July 2021, the WA Police Force commenced the 12-month trial which will see select police officers from the Perth metropolitan area and one regional location equipped with Naloxone.</w:t>
      </w:r>
    </w:p>
    <w:p w14:paraId="464D8EAB" w14:textId="77777777" w:rsidR="00745146" w:rsidRPr="0054153A" w:rsidRDefault="00745146" w:rsidP="00745146">
      <w:pPr>
        <w:rPr>
          <w:color w:val="000000" w:themeColor="text1"/>
          <w:sz w:val="20"/>
          <w:szCs w:val="20"/>
        </w:rPr>
      </w:pPr>
      <w:r w:rsidRPr="0054153A">
        <w:rPr>
          <w:color w:val="000000" w:themeColor="text1"/>
          <w:sz w:val="20"/>
          <w:szCs w:val="20"/>
          <w:bdr w:val="none" w:sz="0" w:space="0" w:color="auto" w:frame="1"/>
        </w:rPr>
        <w:t>The trial locations were selected based on several drug-related indicators including WA Health data and the results of wastewater analysis.</w:t>
      </w:r>
    </w:p>
    <w:p w14:paraId="286709D1" w14:textId="77777777" w:rsidR="00745146" w:rsidRPr="0054153A" w:rsidRDefault="00745146" w:rsidP="00745146">
      <w:pPr>
        <w:rPr>
          <w:color w:val="000000" w:themeColor="text1"/>
          <w:sz w:val="20"/>
          <w:szCs w:val="20"/>
        </w:rPr>
      </w:pPr>
      <w:r w:rsidRPr="0054153A">
        <w:rPr>
          <w:color w:val="000000" w:themeColor="text1"/>
          <w:sz w:val="20"/>
          <w:szCs w:val="20"/>
          <w:bdr w:val="none" w:sz="0" w:space="0" w:color="auto" w:frame="1"/>
        </w:rPr>
        <w:t>The trial will also include officers from several specialist units, who have been selected due to the frequency in which they seize and process large amounts of illicit drugs.</w:t>
      </w:r>
    </w:p>
    <w:p w14:paraId="13F06CA6" w14:textId="77777777" w:rsidR="00745146" w:rsidRPr="0054153A" w:rsidRDefault="00745146" w:rsidP="00745146">
      <w:pPr>
        <w:rPr>
          <w:color w:val="000000" w:themeColor="text1"/>
          <w:sz w:val="20"/>
          <w:szCs w:val="20"/>
        </w:rPr>
      </w:pPr>
      <w:r w:rsidRPr="0054153A">
        <w:rPr>
          <w:color w:val="000000" w:themeColor="text1"/>
          <w:sz w:val="20"/>
          <w:szCs w:val="20"/>
          <w:bdr w:val="none" w:sz="0" w:space="0" w:color="auto" w:frame="1"/>
        </w:rPr>
        <w:t>It is expected there will be approximately 300 police officers involved in the trial.</w:t>
      </w:r>
    </w:p>
    <w:p w14:paraId="0984C7FE" w14:textId="77777777" w:rsidR="00745146" w:rsidRPr="0054153A" w:rsidRDefault="00745146" w:rsidP="00745146">
      <w:pPr>
        <w:rPr>
          <w:color w:val="000000" w:themeColor="text1"/>
          <w:sz w:val="20"/>
          <w:szCs w:val="20"/>
        </w:rPr>
      </w:pPr>
      <w:r w:rsidRPr="0054153A">
        <w:rPr>
          <w:color w:val="000000" w:themeColor="text1"/>
          <w:sz w:val="20"/>
          <w:szCs w:val="20"/>
          <w:bdr w:val="none" w:sz="0" w:space="0" w:color="auto" w:frame="1"/>
        </w:rPr>
        <w:t>Law enforcement agencies in Europe, the UK and the US have undertaken similar trials however the WA Police Force is the first law enforcement agency in Australia, and the southern hemisphere, to take part in a Naloxone trial.</w:t>
      </w:r>
    </w:p>
    <w:p w14:paraId="45F90AC7" w14:textId="77777777" w:rsidR="00745146" w:rsidRPr="0054153A" w:rsidRDefault="00745146" w:rsidP="00745146">
      <w:pPr>
        <w:rPr>
          <w:color w:val="000000" w:themeColor="text1"/>
          <w:sz w:val="20"/>
          <w:szCs w:val="20"/>
        </w:rPr>
      </w:pPr>
      <w:r w:rsidRPr="0054153A">
        <w:rPr>
          <w:color w:val="000000" w:themeColor="text1"/>
          <w:sz w:val="20"/>
          <w:szCs w:val="20"/>
          <w:bdr w:val="none" w:sz="0" w:space="0" w:color="auto" w:frame="1"/>
        </w:rPr>
        <w:t>As first responders it may provide an opportunity for officers to save the life of someone who has overdosed, before medical help arrives.</w:t>
      </w:r>
    </w:p>
    <w:p w14:paraId="7E1F5446" w14:textId="77777777" w:rsidR="00745146" w:rsidRPr="0054153A" w:rsidRDefault="00745146" w:rsidP="00745146">
      <w:pPr>
        <w:rPr>
          <w:color w:val="000000" w:themeColor="text1"/>
          <w:sz w:val="20"/>
          <w:szCs w:val="20"/>
        </w:rPr>
      </w:pPr>
      <w:r w:rsidRPr="0054153A">
        <w:rPr>
          <w:color w:val="000000" w:themeColor="text1"/>
          <w:sz w:val="20"/>
          <w:szCs w:val="20"/>
          <w:bdr w:val="none" w:sz="0" w:space="0" w:color="auto" w:frame="1"/>
        </w:rPr>
        <w:t xml:space="preserve">In many cases police officers are the first on scene in response to ‘welfare </w:t>
      </w:r>
      <w:proofErr w:type="gramStart"/>
      <w:r w:rsidRPr="0054153A">
        <w:rPr>
          <w:color w:val="000000" w:themeColor="text1"/>
          <w:sz w:val="20"/>
          <w:szCs w:val="20"/>
          <w:bdr w:val="none" w:sz="0" w:space="0" w:color="auto" w:frame="1"/>
        </w:rPr>
        <w:t>checks’</w:t>
      </w:r>
      <w:proofErr w:type="gramEnd"/>
      <w:r w:rsidRPr="0054153A">
        <w:rPr>
          <w:color w:val="000000" w:themeColor="text1"/>
          <w:sz w:val="20"/>
          <w:szCs w:val="20"/>
          <w:bdr w:val="none" w:sz="0" w:space="0" w:color="auto" w:frame="1"/>
        </w:rPr>
        <w:t xml:space="preserve"> or other tasks that result in a drug-impaired person being located, sometimes unconscious, and will likely be best placed to provide the early medical intervention.</w:t>
      </w:r>
    </w:p>
    <w:p w14:paraId="23AC35C2" w14:textId="0A91A8D0" w:rsidR="00CA5EEA" w:rsidRDefault="00745146" w:rsidP="003D0F16">
      <w:pPr>
        <w:pStyle w:val="BodyText"/>
      </w:pPr>
      <w:r w:rsidRPr="0054153A">
        <w:rPr>
          <w:color w:val="000000" w:themeColor="text1"/>
          <w:sz w:val="20"/>
          <w:szCs w:val="20"/>
          <w:bdr w:val="none" w:sz="0" w:space="0" w:color="auto" w:frame="1"/>
        </w:rPr>
        <w:t xml:space="preserve">There is always a risk police officers could be exposed to highly illicit toxic opioids in the course of their </w:t>
      </w:r>
      <w:proofErr w:type="gramStart"/>
      <w:r w:rsidRPr="0054153A">
        <w:rPr>
          <w:color w:val="000000" w:themeColor="text1"/>
          <w:sz w:val="20"/>
          <w:szCs w:val="20"/>
          <w:bdr w:val="none" w:sz="0" w:space="0" w:color="auto" w:frame="1"/>
        </w:rPr>
        <w:t>day to day</w:t>
      </w:r>
      <w:proofErr w:type="gramEnd"/>
      <w:r w:rsidRPr="0054153A">
        <w:rPr>
          <w:color w:val="000000" w:themeColor="text1"/>
          <w:sz w:val="20"/>
          <w:szCs w:val="20"/>
          <w:bdr w:val="none" w:sz="0" w:space="0" w:color="auto" w:frame="1"/>
        </w:rPr>
        <w:t xml:space="preserve"> work</w:t>
      </w:r>
      <w:r>
        <w:rPr>
          <w:rStyle w:val="FootnoteReference"/>
          <w:color w:val="000000" w:themeColor="text1"/>
          <w:sz w:val="20"/>
          <w:szCs w:val="20"/>
          <w:bdr w:val="none" w:sz="0" w:space="0" w:color="auto" w:frame="1"/>
        </w:rPr>
        <w:footnoteReference w:id="36"/>
      </w:r>
      <w:r w:rsidRPr="0054153A">
        <w:rPr>
          <w:color w:val="000000" w:themeColor="text1"/>
          <w:sz w:val="20"/>
          <w:szCs w:val="20"/>
          <w:bdr w:val="none" w:sz="0" w:space="0" w:color="auto" w:frame="1"/>
        </w:rPr>
        <w:t>. Taking part in this trial is another way in which we can better protect officers in the work they do protecting the community.</w:t>
      </w:r>
    </w:p>
    <w:p w14:paraId="209721C7" w14:textId="77777777" w:rsidR="00CA5EEA" w:rsidRPr="001D59C3" w:rsidRDefault="00CA5EEA" w:rsidP="00A0570E">
      <w:pPr>
        <w:pStyle w:val="NbrHeading2"/>
      </w:pPr>
      <w:bookmarkStart w:id="303" w:name="_Toc94794151"/>
      <w:bookmarkStart w:id="304" w:name="_Toc94794292"/>
      <w:r w:rsidRPr="001D59C3">
        <w:t>What factors prevented participation by some site types?</w:t>
      </w:r>
      <w:bookmarkEnd w:id="303"/>
      <w:bookmarkEnd w:id="304"/>
    </w:p>
    <w:p w14:paraId="60F7A203" w14:textId="263663A9" w:rsidR="00CA5EEA" w:rsidRDefault="00CA5EEA" w:rsidP="003D0F16">
      <w:pPr>
        <w:pStyle w:val="BodyText"/>
      </w:pPr>
      <w:r>
        <w:rPr>
          <w:lang w:eastAsia="en-AU"/>
        </w:rPr>
        <w:t>There was limited engagement in the Pilot by some types of access sites</w:t>
      </w:r>
      <w:r w:rsidR="004966BF">
        <w:rPr>
          <w:lang w:eastAsia="en-AU"/>
        </w:rPr>
        <w:t xml:space="preserve"> originally expected to take part</w:t>
      </w:r>
      <w:r>
        <w:rPr>
          <w:lang w:eastAsia="en-AU"/>
        </w:rPr>
        <w:t xml:space="preserve">. This section briefly discusses the factors that prevented participation by some site types. </w:t>
      </w:r>
    </w:p>
    <w:p w14:paraId="170F3B50" w14:textId="6825700F" w:rsidR="00CA5EEA" w:rsidRDefault="00CA5EEA" w:rsidP="00B2257A">
      <w:pPr>
        <w:pStyle w:val="NbrHeading3"/>
      </w:pPr>
      <w:bookmarkStart w:id="305" w:name="_Toc94794152"/>
      <w:bookmarkStart w:id="306" w:name="_Toc94794293"/>
      <w:r>
        <w:t xml:space="preserve">Hospital </w:t>
      </w:r>
      <w:r w:rsidR="00A51358">
        <w:t xml:space="preserve">pharmacies </w:t>
      </w:r>
      <w:r>
        <w:t xml:space="preserve">and </w:t>
      </w:r>
      <w:r w:rsidR="00346CD7">
        <w:t>e</w:t>
      </w:r>
      <w:r>
        <w:t xml:space="preserve">mergency </w:t>
      </w:r>
      <w:r w:rsidR="00346CD7">
        <w:t>d</w:t>
      </w:r>
      <w:r>
        <w:t>epartments</w:t>
      </w:r>
      <w:bookmarkEnd w:id="305"/>
      <w:bookmarkEnd w:id="306"/>
      <w:r>
        <w:t xml:space="preserve"> </w:t>
      </w:r>
    </w:p>
    <w:p w14:paraId="3E6326F5" w14:textId="5502F9EF" w:rsidR="00CA5EEA" w:rsidRDefault="00CA5EEA" w:rsidP="003D0F16">
      <w:r>
        <w:t xml:space="preserve">There was relatively limited engagement from hospital pharmacies, and many barriers were noted in trying to implement the THN Pilot in Hospital Pharmacy settings. The requirement to enter data into the PPA portal presented an issue </w:t>
      </w:r>
      <w:r w:rsidR="0096078C">
        <w:t xml:space="preserve">due to </w:t>
      </w:r>
      <w:r w:rsidR="002A330C">
        <w:t xml:space="preserve">responsibilities for </w:t>
      </w:r>
      <w:r w:rsidR="00F806ED">
        <w:t>medicine provision</w:t>
      </w:r>
      <w:r w:rsidR="005C0944">
        <w:t>, recording and stock control</w:t>
      </w:r>
      <w:r w:rsidR="0057061F">
        <w:t xml:space="preserve"> being spread across different departments</w:t>
      </w:r>
      <w:r w:rsidR="00437EE2">
        <w:t xml:space="preserve"> rather than resting with the individual who </w:t>
      </w:r>
      <w:r w:rsidR="007078BA">
        <w:t>dispensed the naloxone</w:t>
      </w:r>
      <w:r>
        <w:t xml:space="preserve">. There appeared to also be some confusion and differences in interpretation of the scheduling legislation, </w:t>
      </w:r>
      <w:r w:rsidR="00B615FC">
        <w:t xml:space="preserve">as to </w:t>
      </w:r>
      <w:r>
        <w:t xml:space="preserve">which health professionals </w:t>
      </w:r>
      <w:proofErr w:type="gramStart"/>
      <w:r>
        <w:t>are able to</w:t>
      </w:r>
      <w:proofErr w:type="gramEnd"/>
      <w:r>
        <w:t xml:space="preserve"> supply Schedule 3 medicines and their requirements to do so.</w:t>
      </w:r>
    </w:p>
    <w:p w14:paraId="7CDA55FF" w14:textId="6F9BF303" w:rsidR="00CA5EEA" w:rsidRDefault="00CA5EEA" w:rsidP="003D0F16">
      <w:r>
        <w:t xml:space="preserve">In NSW, THN was introduced into hospital settings, however there were </w:t>
      </w:r>
      <w:proofErr w:type="gramStart"/>
      <w:r>
        <w:t>a number of</w:t>
      </w:r>
      <w:proofErr w:type="gramEnd"/>
      <w:r>
        <w:t xml:space="preserve"> barriers encountered – including the requirement for additional credentialing to distribute THN for pharmacists within NSW Health settings </w:t>
      </w:r>
      <w:r w:rsidR="00FC0C3C">
        <w:t xml:space="preserve">who </w:t>
      </w:r>
      <w:r>
        <w:t xml:space="preserve">would ordinarily be able to supply a Schedule 3 medicine. This was mentioned by </w:t>
      </w:r>
      <w:proofErr w:type="gramStart"/>
      <w:r>
        <w:t>a number of</w:t>
      </w:r>
      <w:proofErr w:type="gramEnd"/>
      <w:r>
        <w:t xml:space="preserve"> participants. Entry of data into the PPA portal was also cited as a barrier; staff from the implementing agency provided assistance where possible</w:t>
      </w:r>
      <w:r w:rsidR="00F359CF">
        <w:t xml:space="preserve"> </w:t>
      </w:r>
      <w:r w:rsidR="00AC340A">
        <w:fldChar w:fldCharType="begin"/>
      </w:r>
      <w:r w:rsidR="00441C1C">
        <w:instrText xml:space="preserve"> ADDIN EN.CITE &lt;EndNote&gt;&lt;Cite&gt;&lt;Author&gt;Holland&lt;/Author&gt;&lt;Year&gt;2019&lt;/Year&gt;&lt;RecNum&gt;47&lt;/RecNum&gt;&lt;DisplayText&gt;(46)&lt;/DisplayText&gt;&lt;record&gt;&lt;rec-number&gt;47&lt;/rec-number&gt;&lt;foreign-keys&gt;&lt;key app="EN" db-id="p00v9zw27zzswpe25phxpead0asdt50td92p" timestamp="1625447833"&gt;47&lt;/key&gt;&lt;/foreign-keys&gt;&lt;ref-type name="Journal Article"&gt;17&lt;/ref-type&gt;&lt;contributors&gt;&lt;authors&gt;&lt;author&gt;Holland, Taylor J&lt;/author&gt;&lt;author&gt;Penm, Jonathan&lt;/author&gt;&lt;author&gt;Dinh, Michael&lt;/author&gt;&lt;author&gt;Aran, Sohileh&lt;/author&gt;&lt;author&gt;Chaar, Betty&lt;/author&gt;&lt;/authors&gt;&lt;/contributors&gt;&lt;titles&gt;&lt;title&gt;Emergency department physicians’ and pharmacists’ perspectives on take</w:instrText>
      </w:r>
      <w:r w:rsidR="00441C1C">
        <w:rPr>
          <w:rFonts w:ascii="Cambria Math" w:hAnsi="Cambria Math" w:cs="Cambria Math"/>
        </w:rPr>
        <w:instrText>‐</w:instrText>
      </w:r>
      <w:r w:rsidR="00441C1C">
        <w:instrText>home naloxone&lt;/title&gt;&lt;secondary-title&gt;Drug and Alcohol Review&lt;/secondary-title&gt;&lt;/titles&gt;&lt;periodical&gt;&lt;full-title&gt;Drug and alcohol review&lt;/full-title&gt;&lt;/periodical&gt;&lt;pages&gt;169-176&lt;/pages&gt;&lt;volume&gt;38&lt;/volume&gt;&lt;number&gt;2&lt;/number&gt;&lt;dates&gt;&lt;year&gt;2019&lt;/year&gt;&lt;/dates&gt;&lt;isbn&gt;0959-5236&lt;/isbn&gt;&lt;urls&gt;&lt;/urls&gt;&lt;/record&gt;&lt;/Cite&gt;&lt;/EndNote&gt;</w:instrText>
      </w:r>
      <w:r w:rsidR="00AC340A">
        <w:fldChar w:fldCharType="separate"/>
      </w:r>
      <w:r w:rsidR="00441C1C">
        <w:rPr>
          <w:noProof/>
        </w:rPr>
        <w:t>(46)</w:t>
      </w:r>
      <w:r w:rsidR="00AC340A">
        <w:fldChar w:fldCharType="end"/>
      </w:r>
      <w:r w:rsidR="00F359CF">
        <w:t>.</w:t>
      </w:r>
    </w:p>
    <w:p w14:paraId="5F222566" w14:textId="77777777" w:rsidR="00CA5EEA" w:rsidRPr="00A63B71" w:rsidRDefault="00CA5EEA" w:rsidP="003D0F16">
      <w:r>
        <w:t>In WA, participants described examples of introduction of THN in hospital settings:</w:t>
      </w:r>
    </w:p>
    <w:p w14:paraId="3C01AD5F" w14:textId="1E7F8216" w:rsidR="00CA5EEA" w:rsidRDefault="00CA5EEA" w:rsidP="003D0F16">
      <w:pPr>
        <w:pStyle w:val="Quote"/>
        <w:ind w:left="720"/>
      </w:pPr>
      <w:r>
        <w:t xml:space="preserve">…we’ve introduced take home Naloxone throughout the hospital.  Initially we did a lot of education in the emergency department because we reckoned that the primary place that people would present to hospital would be in ED, but we certainly get admissions or referrals from people on medical wards and ICU, and </w:t>
      </w:r>
      <w:r>
        <w:lastRenderedPageBreak/>
        <w:t xml:space="preserve">we’ve given them out to patients who’ve also been in the mental health unit as well [following] potentially opioid overdoses. (Roundtable participant, </w:t>
      </w:r>
      <w:r w:rsidR="00AD4F47">
        <w:t>Hospital, WA</w:t>
      </w:r>
      <w:r>
        <w:t>)</w:t>
      </w:r>
    </w:p>
    <w:p w14:paraId="49CF6F30" w14:textId="1F301849" w:rsidR="00E70870" w:rsidRDefault="00CA5EEA" w:rsidP="003D0F16">
      <w:r>
        <w:t xml:space="preserve">In SA, at the time of writing, there had been limited movement towards introducing THN into hospital pharmacy settings. Roundtable participants noted that there had been a lack of clear ownership </w:t>
      </w:r>
      <w:r w:rsidR="000152AD">
        <w:t xml:space="preserve">within the hospital system </w:t>
      </w:r>
      <w:r>
        <w:t xml:space="preserve">in terms of </w:t>
      </w:r>
      <w:r w:rsidR="00862845">
        <w:t>responsibility</w:t>
      </w:r>
      <w:r>
        <w:t xml:space="preserve"> for implementing the Pilot, and there were multiple state approvals needed from different </w:t>
      </w:r>
      <w:r w:rsidR="00CC3824">
        <w:t>L</w:t>
      </w:r>
      <w:r w:rsidR="00A07F66">
        <w:t>ocal</w:t>
      </w:r>
      <w:r w:rsidR="00CC3824">
        <w:t xml:space="preserve"> H</w:t>
      </w:r>
      <w:r w:rsidR="00A07F66">
        <w:t xml:space="preserve">ealth </w:t>
      </w:r>
      <w:r w:rsidR="00CC3824">
        <w:t>N</w:t>
      </w:r>
      <w:r w:rsidR="00A07F66">
        <w:t>etwork</w:t>
      </w:r>
      <w:r>
        <w:t xml:space="preserve"> bodies that govern the different hospitals. </w:t>
      </w:r>
      <w:r w:rsidR="00A930DB">
        <w:t>Challenges were also</w:t>
      </w:r>
      <w:r>
        <w:t xml:space="preserve"> encountered in terms of the order of these approvals and conflicting requirements, where hospital sites declined approval before the state-wide approvals, however the state-wide approval bodies wanted details from sites about how the program was going to work before approv</w:t>
      </w:r>
      <w:r w:rsidR="00FE596D">
        <w:t>ing</w:t>
      </w:r>
      <w:r>
        <w:t xml:space="preserve">. </w:t>
      </w:r>
    </w:p>
    <w:p w14:paraId="63A15F80" w14:textId="2C2CB2AD" w:rsidR="00CA5EEA" w:rsidRDefault="00CA5EEA" w:rsidP="003D0F16">
      <w:r>
        <w:t xml:space="preserve">Furthermore, difficulties around the requirement for labelling of medication within hospitals created barriers:   </w:t>
      </w:r>
    </w:p>
    <w:p w14:paraId="40D98C03" w14:textId="77777777" w:rsidR="00CA5EEA" w:rsidRPr="001F774D" w:rsidRDefault="00CA5EEA" w:rsidP="003D0F16">
      <w:pPr>
        <w:pStyle w:val="Quote"/>
      </w:pPr>
      <w:r w:rsidRPr="001F774D">
        <w:t xml:space="preserve">But within the hospital system there is no precedent for supplying a medicine that's not actually charted by a medical officer and there's no stock control mechanism. </w:t>
      </w:r>
      <w:r>
        <w:t>(Roundtable participant, Hospital pharmacy, SA)</w:t>
      </w:r>
    </w:p>
    <w:p w14:paraId="74DD391C" w14:textId="77777777" w:rsidR="00CA5EEA" w:rsidRDefault="00CA5EEA" w:rsidP="003D0F16">
      <w:r>
        <w:t>The same participant noted that having a state system that is more flexible would help get more health professionals involved in dispensing THN.</w:t>
      </w:r>
    </w:p>
    <w:p w14:paraId="1B3FC490" w14:textId="348877F7" w:rsidR="00B2257A" w:rsidRDefault="00CA5EEA" w:rsidP="00B2257A">
      <w:pPr>
        <w:pStyle w:val="NbrHeading3"/>
      </w:pPr>
      <w:bookmarkStart w:id="307" w:name="_Toc94794153"/>
      <w:bookmarkStart w:id="308" w:name="_Toc94794294"/>
      <w:r>
        <w:t>Pain clinics</w:t>
      </w:r>
      <w:bookmarkEnd w:id="307"/>
      <w:bookmarkEnd w:id="308"/>
      <w:r>
        <w:t xml:space="preserve"> </w:t>
      </w:r>
    </w:p>
    <w:p w14:paraId="65E4E832" w14:textId="02B8AD08" w:rsidR="00CA5EEA" w:rsidRDefault="00CA5EEA" w:rsidP="003D0F16">
      <w:r>
        <w:t>Pain clinics had limited engagement– there were no registrations by pain clinics and limited knowledge and awareness of the Pilot when canvassed</w:t>
      </w:r>
      <w:r w:rsidR="00506C63">
        <w:t xml:space="preserve"> by the evaluation team</w:t>
      </w:r>
      <w:r>
        <w:t xml:space="preserve">. Given their lack of involvement in the Pilot and our subsequent inability to </w:t>
      </w:r>
      <w:r w:rsidR="00234209">
        <w:t xml:space="preserve">interview </w:t>
      </w:r>
      <w:r>
        <w:t xml:space="preserve">staff from this group, this report can make limited comment on the factors that limited </w:t>
      </w:r>
      <w:r w:rsidR="00A97CD9">
        <w:t xml:space="preserve">their </w:t>
      </w:r>
      <w:r>
        <w:t>participation.</w:t>
      </w:r>
    </w:p>
    <w:p w14:paraId="142C2945" w14:textId="209E751C" w:rsidR="00B2257A" w:rsidRDefault="00CA5EEA" w:rsidP="00B2257A">
      <w:pPr>
        <w:pStyle w:val="NbrHeading3"/>
      </w:pPr>
      <w:bookmarkStart w:id="309" w:name="_Toc94794154"/>
      <w:bookmarkStart w:id="310" w:name="_Toc94794295"/>
      <w:r>
        <w:t>Primary care</w:t>
      </w:r>
      <w:bookmarkEnd w:id="309"/>
      <w:bookmarkEnd w:id="310"/>
      <w:r>
        <w:t xml:space="preserve"> </w:t>
      </w:r>
    </w:p>
    <w:p w14:paraId="19ACBE47" w14:textId="405D8A64" w:rsidR="00CA5EEA" w:rsidRDefault="00E84D62" w:rsidP="003D0F16">
      <w:r>
        <w:t>T</w:t>
      </w:r>
      <w:r w:rsidR="00CA5EEA">
        <w:t xml:space="preserve">here was limited engagement </w:t>
      </w:r>
      <w:r w:rsidR="008B14AB">
        <w:t xml:space="preserve">with the Pilot </w:t>
      </w:r>
      <w:r w:rsidR="00CA5EEA">
        <w:t>by primary care facilities, and limited engagement by Approved Medical Practitioners (</w:t>
      </w:r>
      <w:r w:rsidR="00B85FEF">
        <w:t>s92</w:t>
      </w:r>
      <w:r w:rsidR="00CA5EEA">
        <w:t xml:space="preserve">) </w:t>
      </w:r>
      <w:r w:rsidR="006541A4">
        <w:t xml:space="preserve">who </w:t>
      </w:r>
      <w:r w:rsidR="00CA5EEA">
        <w:t xml:space="preserve">were able to provide THN under the Pilot rules. </w:t>
      </w:r>
      <w:r w:rsidR="001B775A">
        <w:t xml:space="preserve">This is to be expected given the small number of dispensing doctors </w:t>
      </w:r>
      <w:r w:rsidR="00447462">
        <w:t>across Australia</w:t>
      </w:r>
      <w:r w:rsidR="00BB6E7E">
        <w:t xml:space="preserve"> (</w:t>
      </w:r>
      <w:r w:rsidR="00A03AD7">
        <w:t>15 in 2019-2020)</w:t>
      </w:r>
      <w:r w:rsidR="00447462">
        <w:t xml:space="preserve"> </w:t>
      </w:r>
      <w:r w:rsidR="009C4B89">
        <w:fldChar w:fldCharType="begin"/>
      </w:r>
      <w:r w:rsidR="00441C1C">
        <w:instrText xml:space="preserve"> ADDIN EN.CITE &lt;EndNote&gt;&lt;Cite&gt;&lt;Year&gt;2020&lt;/Year&gt;&lt;RecNum&gt;145&lt;/RecNum&gt;&lt;DisplayText&gt;(47)&lt;/DisplayText&gt;&lt;record&gt;&lt;rec-number&gt;145&lt;/rec-number&gt;&lt;foreign-keys&gt;&lt;key app="EN" db-id="p00v9zw27zzswpe25phxpead0asdt50td92p" timestamp="1630907815"&gt;145&lt;/key&gt;&lt;/foreign-keys&gt;&lt;ref-type name="Report"&gt;27&lt;/ref-type&gt;&lt;contributors&gt;&lt;/contributors&gt;&lt;titles&gt;&lt;title&gt;PBS Expenditure and Prescriptions Report 1 July 2019 to 30 June 2020&lt;/title&gt;&lt;/titles&gt;&lt;dates&gt;&lt;year&gt;2020&lt;/year&gt;&lt;/dates&gt;&lt;pub-location&gt;Canberra&lt;/pub-location&gt;&lt;publisher&gt;Department of Health&lt;/publisher&gt;&lt;urls&gt;&lt;related-urls&gt;&lt;url&gt;http://www.pbs.gov.au/info/browse/statistics&lt;/url&gt;&lt;/related-urls&gt;&lt;/urls&gt;&lt;/record&gt;&lt;/Cite&gt;&lt;/EndNote&gt;</w:instrText>
      </w:r>
      <w:r w:rsidR="009C4B89">
        <w:fldChar w:fldCharType="separate"/>
      </w:r>
      <w:r w:rsidR="00441C1C">
        <w:rPr>
          <w:noProof/>
        </w:rPr>
        <w:t>(47)</w:t>
      </w:r>
      <w:r w:rsidR="009C4B89">
        <w:fldChar w:fldCharType="end"/>
      </w:r>
      <w:r w:rsidR="00F241D4">
        <w:t>.</w:t>
      </w:r>
    </w:p>
    <w:p w14:paraId="52AF8567" w14:textId="77F17D7B" w:rsidR="00AB2A71" w:rsidRDefault="00CA5EEA" w:rsidP="00210E5F">
      <w:pPr>
        <w:pStyle w:val="NbrHeading3"/>
      </w:pPr>
      <w:bookmarkStart w:id="311" w:name="_Toc94794155"/>
      <w:bookmarkStart w:id="312" w:name="_Toc94794296"/>
      <w:r>
        <w:t>Mental health settings</w:t>
      </w:r>
      <w:bookmarkEnd w:id="311"/>
      <w:bookmarkEnd w:id="312"/>
      <w:r>
        <w:t xml:space="preserve"> </w:t>
      </w:r>
    </w:p>
    <w:p w14:paraId="3E9F9D92" w14:textId="4E07A37C" w:rsidR="002551AB" w:rsidRDefault="007F7ABD" w:rsidP="003D0F16">
      <w:r>
        <w:t>T</w:t>
      </w:r>
      <w:r w:rsidR="00CA5EEA">
        <w:t xml:space="preserve">here was limited engagement in the THN Pilot by mental health settings, although there were some site registrations and distribution by select sites. </w:t>
      </w:r>
      <w:r w:rsidR="009870C2">
        <w:t xml:space="preserve">Mental health settings </w:t>
      </w:r>
      <w:r w:rsidR="00535916">
        <w:t xml:space="preserve">are a prime opportunity to </w:t>
      </w:r>
      <w:r w:rsidR="00322E41">
        <w:t>ex</w:t>
      </w:r>
      <w:r w:rsidR="00B30CC7">
        <w:t>pand</w:t>
      </w:r>
      <w:r w:rsidR="00535916">
        <w:t xml:space="preserve"> THN </w:t>
      </w:r>
      <w:r w:rsidR="00B30CC7">
        <w:t xml:space="preserve">provision, </w:t>
      </w:r>
      <w:r w:rsidR="00535916">
        <w:t xml:space="preserve">as </w:t>
      </w:r>
      <w:r w:rsidR="00B30CC7">
        <w:t xml:space="preserve">people with </w:t>
      </w:r>
      <w:r w:rsidR="00535916">
        <w:t>chronic</w:t>
      </w:r>
      <w:r w:rsidR="001E4EC7">
        <w:t xml:space="preserve"> pain and substance use problems commonly experience mental health problems.</w:t>
      </w:r>
      <w:r w:rsidR="00535916">
        <w:t xml:space="preserve"> </w:t>
      </w:r>
    </w:p>
    <w:p w14:paraId="4213D263" w14:textId="29983FE1" w:rsidR="002551AB" w:rsidRDefault="009E38E2" w:rsidP="007A6273">
      <w:pPr>
        <w:pStyle w:val="Style3-keypoints-h2"/>
        <w:pageBreakBefore/>
      </w:pPr>
      <w:bookmarkStart w:id="313" w:name="_Toc94794297"/>
      <w:r>
        <w:lastRenderedPageBreak/>
        <w:t>Implications</w:t>
      </w:r>
      <w:bookmarkEnd w:id="313"/>
    </w:p>
    <w:p w14:paraId="14E92BF9" w14:textId="77777777" w:rsidR="009E38E2" w:rsidRDefault="009E38E2" w:rsidP="009E38E2">
      <w:pPr>
        <w:pStyle w:val="ListParagraph"/>
        <w:numPr>
          <w:ilvl w:val="0"/>
          <w:numId w:val="255"/>
        </w:numPr>
        <w:spacing w:after="81"/>
      </w:pPr>
      <w:r>
        <w:t>The Pilot had different impacts on different types of access sites. Recommendations need to be specific to the type of access site and may include allocating staff or space to provide naloxone and the brief intervention/education.</w:t>
      </w:r>
    </w:p>
    <w:p w14:paraId="5048A10F" w14:textId="77777777" w:rsidR="009E38E2" w:rsidRDefault="009E38E2" w:rsidP="009E38E2">
      <w:pPr>
        <w:pStyle w:val="ListParagraph"/>
        <w:numPr>
          <w:ilvl w:val="0"/>
          <w:numId w:val="255"/>
        </w:numPr>
        <w:spacing w:after="81"/>
      </w:pPr>
      <w:r>
        <w:t>Sites were able to implement their own policies to facilitate integration of THN into existing work practices. A national roll-out of THN should facilitate the coordinated sharing of learnings about policy and practices to assist with implementation of THN at organisational levels.</w:t>
      </w:r>
    </w:p>
    <w:p w14:paraId="0D579FBC" w14:textId="77777777" w:rsidR="009E38E2" w:rsidRDefault="009E38E2" w:rsidP="009E38E2">
      <w:pPr>
        <w:pStyle w:val="ListParagraph"/>
        <w:numPr>
          <w:ilvl w:val="0"/>
          <w:numId w:val="255"/>
        </w:numPr>
        <w:spacing w:after="81"/>
      </w:pPr>
      <w:r>
        <w:t>Raising awareness of overdose risk among the professionals who work in other practice areas (emergency medicine, in-home care, mental health, primary health) may encourage uptake by a broader range of access sites.</w:t>
      </w:r>
    </w:p>
    <w:p w14:paraId="75979642" w14:textId="77777777" w:rsidR="009E38E2" w:rsidRDefault="009E38E2" w:rsidP="009E38E2">
      <w:pPr>
        <w:pStyle w:val="ListParagraph"/>
        <w:numPr>
          <w:ilvl w:val="0"/>
          <w:numId w:val="255"/>
        </w:numPr>
        <w:spacing w:after="81"/>
      </w:pPr>
      <w:r>
        <w:t>Training should be consistent, available universally and on-demand (i.e., via web-based platforms) and have versions suitable for different professional skill levels (GPs, pharmacists, retail staff, non-health service staff).</w:t>
      </w:r>
    </w:p>
    <w:p w14:paraId="467CCC56" w14:textId="04C4DD72" w:rsidR="009E38E2" w:rsidRDefault="009E38E2" w:rsidP="003D0F16">
      <w:pPr>
        <w:pStyle w:val="ListParagraph"/>
        <w:numPr>
          <w:ilvl w:val="0"/>
          <w:numId w:val="255"/>
        </w:numPr>
        <w:spacing w:after="81"/>
      </w:pPr>
      <w:r>
        <w:t>A national or large-scale program should consider allocating resources for staff training, policy and procedure development, and time for naloxone provision.</w:t>
      </w:r>
    </w:p>
    <w:p w14:paraId="54CEB589" w14:textId="42D6A3D3" w:rsidR="00CA5EEA" w:rsidRPr="001D59C3" w:rsidRDefault="00CA5EEA" w:rsidP="007A6273">
      <w:pPr>
        <w:pStyle w:val="NbrHeading1"/>
        <w:pageBreakBefore/>
      </w:pPr>
      <w:bookmarkStart w:id="314" w:name="_Toc94794156"/>
      <w:bookmarkStart w:id="315" w:name="_Toc94794298"/>
      <w:r w:rsidRPr="001D59C3">
        <w:lastRenderedPageBreak/>
        <w:t>Were there any barriers to increasing access and/or uptake of THN? How could these barriers be overcome?</w:t>
      </w:r>
      <w:bookmarkEnd w:id="314"/>
      <w:bookmarkEnd w:id="315"/>
      <w:r w:rsidRPr="001D59C3">
        <w:t xml:space="preserve"> </w:t>
      </w:r>
    </w:p>
    <w:p w14:paraId="19173797" w14:textId="589F194D" w:rsidR="00CA5EEA" w:rsidRDefault="009E38E2" w:rsidP="009E38E2">
      <w:pPr>
        <w:pStyle w:val="Style3-keypoints-h2"/>
      </w:pPr>
      <w:bookmarkStart w:id="316" w:name="_Toc94794299"/>
      <w:r>
        <w:t>Key points</w:t>
      </w:r>
      <w:bookmarkEnd w:id="316"/>
    </w:p>
    <w:p w14:paraId="0C6D5544" w14:textId="77777777" w:rsidR="009E38E2" w:rsidRDefault="009E38E2" w:rsidP="009E38E2">
      <w:pPr>
        <w:pStyle w:val="ListParagraph"/>
        <w:numPr>
          <w:ilvl w:val="0"/>
          <w:numId w:val="152"/>
        </w:numPr>
      </w:pPr>
      <w:r>
        <w:t xml:space="preserve">The Pilot addressed or partially addressed a number of barriers to access and/or uptake of THN, </w:t>
      </w:r>
      <w:proofErr w:type="gramStart"/>
      <w:r>
        <w:t>including:</w:t>
      </w:r>
      <w:proofErr w:type="gramEnd"/>
      <w:r>
        <w:t xml:space="preserve"> </w:t>
      </w:r>
      <w:r w:rsidRPr="0018148A">
        <w:t>cost, availability in a range of settings, access to naloxone through a range of sites, consumer knowledge of how to use naloxone,</w:t>
      </w:r>
      <w:r>
        <w:t xml:space="preserve"> and staff knowledge of THN. </w:t>
      </w:r>
    </w:p>
    <w:p w14:paraId="596CD955" w14:textId="77777777" w:rsidR="009E38E2" w:rsidRDefault="009E38E2" w:rsidP="009E38E2">
      <w:pPr>
        <w:pStyle w:val="ListParagraph"/>
        <w:numPr>
          <w:ilvl w:val="0"/>
          <w:numId w:val="152"/>
        </w:numPr>
      </w:pPr>
      <w:r>
        <w:t xml:space="preserve">Barriers that still need work to address </w:t>
      </w:r>
      <w:proofErr w:type="gramStart"/>
      <w:r>
        <w:t>include:</w:t>
      </w:r>
      <w:proofErr w:type="gramEnd"/>
      <w:r>
        <w:t xml:space="preserve"> stigma about people who use opioids, consumer and community awareness of THN, awareness of overdose risk, availability of THN at desired locations for access, and other barriers to carriage of naloxone such as fear of police response to naloxone, and negative perceptions about naloxone.</w:t>
      </w:r>
    </w:p>
    <w:p w14:paraId="3FDA8498" w14:textId="77777777" w:rsidR="009E38E2" w:rsidRDefault="009E38E2" w:rsidP="009E38E2">
      <w:pPr>
        <w:pStyle w:val="ListParagraph"/>
        <w:numPr>
          <w:ilvl w:val="0"/>
          <w:numId w:val="152"/>
        </w:numPr>
      </w:pPr>
      <w:r>
        <w:t xml:space="preserve">Recommendations from consumers and access site staff to overcome barriers included public awareness campaigns and advertisement, </w:t>
      </w:r>
      <w:proofErr w:type="gramStart"/>
      <w:r>
        <w:t>maintaining</w:t>
      </w:r>
      <w:proofErr w:type="gramEnd"/>
      <w:r>
        <w:t xml:space="preserve"> and expanding access sites and modes of access of THN, and use of peer networks.</w:t>
      </w:r>
    </w:p>
    <w:p w14:paraId="1000904F" w14:textId="76ED8FAE" w:rsidR="009E38E2" w:rsidRDefault="009E38E2" w:rsidP="003D0F16">
      <w:pPr>
        <w:pStyle w:val="ListParagraph"/>
        <w:numPr>
          <w:ilvl w:val="0"/>
          <w:numId w:val="152"/>
        </w:numPr>
      </w:pPr>
      <w:r>
        <w:t xml:space="preserve">Key facilitators of success of the Pilot included: the removal of cost as a barrier to naloxone; the broad appeal of </w:t>
      </w:r>
      <w:proofErr w:type="spellStart"/>
      <w:r>
        <w:t>Nyxoid</w:t>
      </w:r>
      <w:proofErr w:type="spellEnd"/>
      <w:r>
        <w:t>® nasal spray formulation enhancing uptake; the activities of local and state level champions for the Pilot and local health promotion networks in promoting the Pilot; cross-sectoral collaboration to engage with potential THN consumers; increased staff knowledge and ability to provide THN; and the increased range of settings for access of THN introduced through the Pilot. Additionally, effective engagement of the AOD sector, acceptance of naloxone within the sector and the effective work of peer organisations, networks and word of mouth</w:t>
      </w:r>
      <w:r w:rsidDel="00723D81">
        <w:t xml:space="preserve"> </w:t>
      </w:r>
      <w:r>
        <w:t>helped engagement with the Pilot.</w:t>
      </w:r>
    </w:p>
    <w:p w14:paraId="77C7C230" w14:textId="59CFC4F9" w:rsidR="00EC259A" w:rsidRDefault="00CA5EEA" w:rsidP="00745146">
      <w:pPr>
        <w:spacing w:after="160" w:line="259" w:lineRule="auto"/>
      </w:pPr>
      <w:r>
        <w:br w:type="page"/>
      </w:r>
      <w:r w:rsidR="00EC259A">
        <w:rPr>
          <w:noProof/>
        </w:rPr>
        <w:lastRenderedPageBreak/>
        <w:drawing>
          <wp:inline distT="0" distB="0" distL="0" distR="0" wp14:anchorId="32CC700D" wp14:editId="164D993C">
            <wp:extent cx="5941058" cy="8509000"/>
            <wp:effectExtent l="0" t="0" r="2540" b="6350"/>
            <wp:docPr id="59" name="Picture 5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57">
                      <a:extLst>
                        <a:ext uri="{28A0092B-C50C-407E-A947-70E740481C1C}">
                          <a14:useLocalDpi xmlns:a14="http://schemas.microsoft.com/office/drawing/2010/main" val="0"/>
                        </a:ext>
                      </a:extLst>
                    </a:blip>
                    <a:stretch>
                      <a:fillRect/>
                    </a:stretch>
                  </pic:blipFill>
                  <pic:spPr>
                    <a:xfrm>
                      <a:off x="0" y="0"/>
                      <a:ext cx="5941058" cy="8509000"/>
                    </a:xfrm>
                    <a:prstGeom prst="rect">
                      <a:avLst/>
                    </a:prstGeom>
                  </pic:spPr>
                </pic:pic>
              </a:graphicData>
            </a:graphic>
          </wp:inline>
        </w:drawing>
      </w:r>
      <w:r w:rsidR="00EC259A">
        <w:br w:type="page"/>
      </w:r>
    </w:p>
    <w:p w14:paraId="58B6816C" w14:textId="0BFADA7E" w:rsidR="00CA5EEA" w:rsidRDefault="00CA5EEA" w:rsidP="003D0F16">
      <w:pPr>
        <w:pStyle w:val="BodyText"/>
      </w:pPr>
      <w:r>
        <w:lastRenderedPageBreak/>
        <w:t>This chapter summarises the key barriers to increase and uptake of THN, and the extent to which these barriers were addressed through the Pilot. The chapter also discusses mechanisms to mitigate the effect of these barriers</w:t>
      </w:r>
      <w:r w:rsidR="008D2C3D">
        <w:t>,</w:t>
      </w:r>
      <w:r>
        <w:t xml:space="preserve"> drawing on suggestions from participants and by identifying key facilitators of success in the Pilot.</w:t>
      </w:r>
    </w:p>
    <w:p w14:paraId="6C8FE360" w14:textId="77777777" w:rsidR="00CA5EEA" w:rsidRPr="001D59C3" w:rsidRDefault="00CA5EEA" w:rsidP="00A0570E">
      <w:pPr>
        <w:pStyle w:val="NbrHeading2"/>
      </w:pPr>
      <w:bookmarkStart w:id="317" w:name="_Toc94794157"/>
      <w:bookmarkStart w:id="318" w:name="_Toc94794300"/>
      <w:r w:rsidRPr="001D59C3">
        <w:t>To what extent were these challenges resolved during the THN Pilot?</w:t>
      </w:r>
      <w:bookmarkEnd w:id="317"/>
      <w:bookmarkEnd w:id="318"/>
    </w:p>
    <w:p w14:paraId="537F7743" w14:textId="448CA4B5" w:rsidR="0027067B" w:rsidRDefault="00CA5EEA" w:rsidP="003D0F16">
      <w:pPr>
        <w:pStyle w:val="BodyText"/>
      </w:pPr>
      <w:r>
        <w:t xml:space="preserve">Consumers interviewed noted a range of different barriers to uptake of THN. Some of these have been addressed or partially addressed through the Pilot, however some remain. This section discusses the barriers to uptake of THN based on a synthesis of the qualitative data from consumers, access site staff, and roundtable consultations. </w:t>
      </w:r>
    </w:p>
    <w:p w14:paraId="5DAF6BB7" w14:textId="77777777" w:rsidR="00CA5EEA" w:rsidRDefault="00CA5EEA" w:rsidP="003D0F16">
      <w:pPr>
        <w:pStyle w:val="NbrHeading3"/>
      </w:pPr>
      <w:bookmarkStart w:id="319" w:name="_Toc94794158"/>
      <w:bookmarkStart w:id="320" w:name="_Toc94794301"/>
      <w:r>
        <w:t>Barriers addressed by the Pilot</w:t>
      </w:r>
      <w:bookmarkEnd w:id="319"/>
      <w:bookmarkEnd w:id="320"/>
    </w:p>
    <w:p w14:paraId="2DC42279" w14:textId="77777777" w:rsidR="00CA5EEA" w:rsidRDefault="00CA5EEA" w:rsidP="003D0F16">
      <w:pPr>
        <w:pStyle w:val="NbrHeading4"/>
      </w:pPr>
      <w:r>
        <w:t>Cost</w:t>
      </w:r>
    </w:p>
    <w:p w14:paraId="586B5160" w14:textId="4C3A0836" w:rsidR="00CA5EEA" w:rsidRPr="005A6D3F" w:rsidRDefault="00CA5EEA" w:rsidP="003D0F16">
      <w:pPr>
        <w:pStyle w:val="BodyText"/>
      </w:pPr>
      <w:r>
        <w:t xml:space="preserve">Price was consistently mentioned by many consumers as a barrier to THN. </w:t>
      </w:r>
    </w:p>
    <w:p w14:paraId="281DAC6A" w14:textId="25948DB0" w:rsidR="00CA5EEA" w:rsidRDefault="00CA5EEA" w:rsidP="003D0F16">
      <w:pPr>
        <w:pStyle w:val="Quote"/>
      </w:pPr>
      <w:r w:rsidRPr="386217F3">
        <w:t xml:space="preserve">Because a lot of money is used to fund your habits, having to purchase new syringe kits and then after having to purchase naloxone, just on the chance somebody overdoses, you know I mean </w:t>
      </w:r>
      <w:r w:rsidRPr="00C258D8">
        <w:t>(WA, PUIO,</w:t>
      </w:r>
      <w:r>
        <w:t xml:space="preserve"> </w:t>
      </w:r>
      <w:r w:rsidR="00E422C6">
        <w:t>Recruited from Community pharmacy</w:t>
      </w:r>
      <w:r w:rsidRPr="00C258D8">
        <w:t xml:space="preserve">, </w:t>
      </w:r>
      <w:r w:rsidR="00E422C6">
        <w:t xml:space="preserve">Interviewed </w:t>
      </w:r>
      <w:r w:rsidRPr="00C258D8">
        <w:t xml:space="preserve">March 2021).  </w:t>
      </w:r>
    </w:p>
    <w:p w14:paraId="156C1E80" w14:textId="6165126F" w:rsidR="00CA5EEA" w:rsidRPr="005A6D3F" w:rsidRDefault="00CA5EEA" w:rsidP="003D0F16">
      <w:pPr>
        <w:pStyle w:val="BodyText"/>
      </w:pPr>
      <w:r>
        <w:t>Many expressed appreciation that the Pilot had allowed them to obtain THN</w:t>
      </w:r>
      <w:r w:rsidR="00DC5E61">
        <w:t xml:space="preserve"> for free</w:t>
      </w:r>
      <w:r>
        <w:t>. For example:</w:t>
      </w:r>
    </w:p>
    <w:p w14:paraId="374E9C08" w14:textId="6E52FC33" w:rsidR="003F1E86" w:rsidRDefault="003F1E86" w:rsidP="003F1E86">
      <w:pPr>
        <w:pStyle w:val="Quote"/>
      </w:pPr>
      <w:r>
        <w:t>The Pilot has been a huge step in that direction to provide it for free (SA, PUIO, Recruited from Community Pharmacy, Interviewed June 2021).</w:t>
      </w:r>
    </w:p>
    <w:p w14:paraId="6FDACC9E" w14:textId="3673A58B" w:rsidR="00CA5EEA" w:rsidDel="00A2654E" w:rsidRDefault="00CA5EEA" w:rsidP="003D0F16">
      <w:pPr>
        <w:pStyle w:val="Quote"/>
      </w:pPr>
      <w:r w:rsidRPr="386217F3" w:rsidDel="00A2654E">
        <w:t xml:space="preserve">Yeah, I do think the fact that they’re free as well was obviously a very big thing because otherwise people wouldn't be paying for them </w:t>
      </w:r>
      <w:r w:rsidRPr="007D2C8E" w:rsidDel="00A2654E">
        <w:t xml:space="preserve">(WA, PUIO, </w:t>
      </w:r>
      <w:r w:rsidR="00E422C6" w:rsidDel="00A2654E">
        <w:t xml:space="preserve">Recruited from </w:t>
      </w:r>
      <w:r w:rsidR="00163A18" w:rsidRPr="007D2C8E" w:rsidDel="00A2654E">
        <w:t>NSP, Interviewed</w:t>
      </w:r>
      <w:r w:rsidR="00E422C6" w:rsidDel="00A2654E">
        <w:t xml:space="preserve"> </w:t>
      </w:r>
      <w:r w:rsidR="00404702" w:rsidRPr="007D2C8E" w:rsidDel="00A2654E">
        <w:t>May</w:t>
      </w:r>
      <w:r w:rsidRPr="007D2C8E" w:rsidDel="00A2654E">
        <w:t xml:space="preserve"> 2021</w:t>
      </w:r>
      <w:r w:rsidDel="00A2654E">
        <w:t>).</w:t>
      </w:r>
    </w:p>
    <w:p w14:paraId="1704C80D" w14:textId="5CFB3926" w:rsidR="000355C0" w:rsidRPr="00DE7EB5" w:rsidRDefault="00903EDA" w:rsidP="00DC5E61">
      <w:r>
        <w:t xml:space="preserve">Consumers also noted that a key </w:t>
      </w:r>
      <w:r w:rsidR="00ED65B1">
        <w:t xml:space="preserve">part of the Pilot was being able to access naloxone </w:t>
      </w:r>
      <w:r w:rsidR="00D806CF">
        <w:t>free</w:t>
      </w:r>
      <w:r w:rsidR="00ED65B1">
        <w:t xml:space="preserve"> without a prescription.</w:t>
      </w:r>
    </w:p>
    <w:p w14:paraId="5FC0B7DB" w14:textId="07AB1026" w:rsidR="00F86FAC" w:rsidRPr="00F86FAC" w:rsidRDefault="00F86FAC" w:rsidP="005C6548">
      <w:pPr>
        <w:pStyle w:val="NbrHeading4"/>
      </w:pPr>
      <w:r>
        <w:t>THN access without a prescription</w:t>
      </w:r>
    </w:p>
    <w:p w14:paraId="14D06A9F" w14:textId="4DFF3288" w:rsidR="00996720" w:rsidRPr="00F86FAC" w:rsidRDefault="00996720" w:rsidP="00F86FAC">
      <w:r>
        <w:t xml:space="preserve">As noted in the </w:t>
      </w:r>
      <w:proofErr w:type="spellStart"/>
      <w:r>
        <w:t>Penington</w:t>
      </w:r>
      <w:proofErr w:type="spellEnd"/>
      <w:r>
        <w:t xml:space="preserve"> Report</w:t>
      </w:r>
      <w:r w:rsidR="00835F04">
        <w:t xml:space="preserve"> on the Australian Naloxone Access Model</w:t>
      </w:r>
      <w:r>
        <w:t>,</w:t>
      </w:r>
      <w:r w:rsidR="00915605">
        <w:t xml:space="preserve"> while naloxone is </w:t>
      </w:r>
      <w:r w:rsidR="00EF16F2">
        <w:t xml:space="preserve">currently </w:t>
      </w:r>
      <w:r w:rsidR="00915605">
        <w:t>available over the counter</w:t>
      </w:r>
      <w:r w:rsidR="00EF16F2">
        <w:t xml:space="preserve"> outside of the Pilot</w:t>
      </w:r>
      <w:r w:rsidR="00915605">
        <w:t>, i</w:t>
      </w:r>
      <w:r w:rsidR="2F12A2BA">
        <w:t xml:space="preserve">n many instances </w:t>
      </w:r>
      <w:r w:rsidR="00915605">
        <w:t>it</w:t>
      </w:r>
      <w:r w:rsidR="6657299C">
        <w:t xml:space="preserve"> also</w:t>
      </w:r>
      <w:r w:rsidR="00915605">
        <w:t xml:space="preserve"> comes at a </w:t>
      </w:r>
      <w:r w:rsidR="00835F04">
        <w:t>larger cost (</w:t>
      </w:r>
      <w:r w:rsidR="7C9E120F">
        <w:t>e.g.</w:t>
      </w:r>
      <w:r w:rsidR="00EF16F2">
        <w:t>,</w:t>
      </w:r>
      <w:r w:rsidR="7C9E120F">
        <w:t xml:space="preserve"> </w:t>
      </w:r>
      <w:r w:rsidR="00835F04">
        <w:t xml:space="preserve">$50-80) than if the naloxone is prescribed </w:t>
      </w:r>
      <w:r w:rsidR="7AD2B55F">
        <w:t>and supplied through the PBS</w:t>
      </w:r>
      <w:r w:rsidR="771500E5">
        <w:t xml:space="preserve"> </w:t>
      </w:r>
      <w:r w:rsidR="771500E5" w:rsidRPr="003D7121">
        <w:t>($6.</w:t>
      </w:r>
      <w:r w:rsidR="003D7121" w:rsidRPr="003D7121">
        <w:t>6</w:t>
      </w:r>
      <w:r w:rsidR="771500E5" w:rsidRPr="003D7121">
        <w:t>0</w:t>
      </w:r>
      <w:r w:rsidR="22198624" w:rsidRPr="003D7121">
        <w:t xml:space="preserve"> for</w:t>
      </w:r>
      <w:r w:rsidR="22198624">
        <w:t xml:space="preserve"> concessional beneficiaries and $41</w:t>
      </w:r>
      <w:r w:rsidR="1E00681F">
        <w:t>.30 for general beneficiaries</w:t>
      </w:r>
      <w:r w:rsidR="00835F04">
        <w:t>)</w:t>
      </w:r>
      <w:r w:rsidR="00CE4D98">
        <w:t xml:space="preserve"> </w:t>
      </w:r>
      <w:r w:rsidR="001C3560">
        <w:fldChar w:fldCharType="begin"/>
      </w:r>
      <w:r w:rsidR="00441C1C">
        <w:instrText xml:space="preserve"> ADDIN EN.CITE &lt;EndNote&gt;&lt;Cite&gt;&lt;Author&gt;Penington Institute&lt;/Author&gt;&lt;Year&gt;2018&lt;/Year&gt;&lt;RecNum&gt;146&lt;/RecNum&gt;&lt;DisplayText&gt;(48)&lt;/DisplayText&gt;&lt;record&gt;&lt;rec-number&gt;146&lt;/rec-number&gt;&lt;foreign-keys&gt;&lt;key app="EN" db-id="p00v9zw27zzswpe25phxpead0asdt50td92p" timestamp="1630908455"&gt;146&lt;/key&gt;&lt;/foreign-keys&gt;&lt;ref-type name="Report"&gt;27&lt;/ref-type&gt;&lt;contributors&gt;&lt;authors&gt;&lt;author&gt;Penington Institute,&lt;/author&gt;&lt;/authors&gt;&lt;/contributors&gt;&lt;titles&gt;&lt;title&gt;Saving lives: Australian naloxone access model&lt;/title&gt;&lt;/titles&gt;&lt;dates&gt;&lt;year&gt;2018&lt;/year&gt;&lt;/dates&gt;&lt;pub-location&gt;Melbourne&lt;/pub-location&gt;&lt;publisher&gt;Penington Institute&lt;/publisher&gt;&lt;urls&gt;&lt;related-urls&gt;&lt;url&gt;https://penington.org.au/wp-content/uploads/2018/10/Saving-Lives-Australian-naloxone-access-model.pdf&lt;/url&gt;&lt;/related-urls&gt;&lt;/urls&gt;&lt;/record&gt;&lt;/Cite&gt;&lt;/EndNote&gt;</w:instrText>
      </w:r>
      <w:r w:rsidR="001C3560">
        <w:fldChar w:fldCharType="separate"/>
      </w:r>
      <w:r w:rsidR="00441C1C">
        <w:rPr>
          <w:noProof/>
        </w:rPr>
        <w:t>(48)</w:t>
      </w:r>
      <w:r w:rsidR="001C3560">
        <w:fldChar w:fldCharType="end"/>
      </w:r>
      <w:r w:rsidR="00F96598">
        <w:t>.</w:t>
      </w:r>
      <w:r w:rsidR="001C3560">
        <w:t xml:space="preserve"> </w:t>
      </w:r>
      <w:r w:rsidR="00314F70">
        <w:t>However,</w:t>
      </w:r>
      <w:r>
        <w:t xml:space="preserve"> the requirement for a prescription </w:t>
      </w:r>
      <w:r w:rsidR="00314F70">
        <w:t xml:space="preserve">for this reduced cost </w:t>
      </w:r>
      <w:r>
        <w:t>presents</w:t>
      </w:r>
      <w:r w:rsidR="00314F70">
        <w:t xml:space="preserve"> potential issues: the GP may not be willing to prescribe it, </w:t>
      </w:r>
      <w:r w:rsidR="005C6548">
        <w:t xml:space="preserve">time </w:t>
      </w:r>
      <w:r w:rsidR="000F3C5A">
        <w:t xml:space="preserve">spent </w:t>
      </w:r>
      <w:r w:rsidR="005C6548">
        <w:t>attending a doctor, cost of the visit if it is not bulk</w:t>
      </w:r>
      <w:r w:rsidR="00404702">
        <w:t xml:space="preserve"> </w:t>
      </w:r>
      <w:r w:rsidR="005C6548">
        <w:t>billed, as well as transportation costs to attend the visit, along with the additional step of then having to attend a pharmacy</w:t>
      </w:r>
      <w:r w:rsidR="3C202664">
        <w:t xml:space="preserve"> to have the prescribed </w:t>
      </w:r>
      <w:r w:rsidR="001D7177">
        <w:t>naloxone</w:t>
      </w:r>
      <w:r w:rsidR="3C202664">
        <w:t xml:space="preserve"> dispensed</w:t>
      </w:r>
      <w:r w:rsidR="005C6548">
        <w:t>.</w:t>
      </w:r>
    </w:p>
    <w:p w14:paraId="250ECFEA" w14:textId="3A443995" w:rsidR="00346CD7" w:rsidRDefault="00346CD7" w:rsidP="00F86FAC">
      <w:r>
        <w:t>Many participants considered that accessing naloxone without a prescription was an important feature of a THN program, for example:</w:t>
      </w:r>
    </w:p>
    <w:p w14:paraId="5901ED33" w14:textId="6081AACC" w:rsidR="006523B9" w:rsidRPr="00F86FAC" w:rsidRDefault="006523B9" w:rsidP="00FC305D">
      <w:pPr>
        <w:pStyle w:val="Quote"/>
      </w:pPr>
      <w:r w:rsidRPr="006523B9">
        <w:t>And the fact that it is not mandated, it should be in every chemist available and we should</w:t>
      </w:r>
      <w:r>
        <w:t>n’t</w:t>
      </w:r>
      <w:r w:rsidRPr="006523B9">
        <w:t xml:space="preserve"> need a prescription, you should be able to just go in and say, ‘look I need some naloxone’. </w:t>
      </w:r>
      <w:r w:rsidR="00D24D90">
        <w:t>(NSW, PUPO, Recruited from NSP, December 2020 interview)</w:t>
      </w:r>
    </w:p>
    <w:p w14:paraId="292D9922" w14:textId="68C13059" w:rsidR="00197F16" w:rsidRPr="00AB5900" w:rsidRDefault="005C6548" w:rsidP="00AB5900">
      <w:r>
        <w:lastRenderedPageBreak/>
        <w:t>Participants appreciated that they could access the THN directly from the pharmacy</w:t>
      </w:r>
      <w:r w:rsidR="00335E4D">
        <w:t xml:space="preserve"> or </w:t>
      </w:r>
      <w:r w:rsidR="00B456E6">
        <w:t xml:space="preserve">other </w:t>
      </w:r>
      <w:r w:rsidR="00335E4D">
        <w:t>access site</w:t>
      </w:r>
      <w:r w:rsidR="006F11C5">
        <w:t xml:space="preserve"> (except in SA)</w:t>
      </w:r>
      <w:r w:rsidR="00197F16">
        <w:t xml:space="preserve"> without a prescription, reducing </w:t>
      </w:r>
      <w:r w:rsidR="00DC1AEF">
        <w:t>this</w:t>
      </w:r>
      <w:r w:rsidR="00197F16">
        <w:t xml:space="preserve"> extra step and saving time, cost </w:t>
      </w:r>
      <w:r w:rsidR="000F3C5A">
        <w:t>and providing convenience</w:t>
      </w:r>
      <w:r w:rsidR="001438B1">
        <w:t xml:space="preserve">. </w:t>
      </w:r>
    </w:p>
    <w:p w14:paraId="78D2C762" w14:textId="77777777" w:rsidR="00CA5EEA" w:rsidRDefault="00CA5EEA" w:rsidP="003D0F16">
      <w:pPr>
        <w:pStyle w:val="NbrHeading4"/>
      </w:pPr>
      <w:r>
        <w:t>Access through a range of sites</w:t>
      </w:r>
    </w:p>
    <w:p w14:paraId="4937E00E" w14:textId="77777777" w:rsidR="00CA5EEA" w:rsidRPr="00B02E47" w:rsidRDefault="00CA5EEA" w:rsidP="003D0F16">
      <w:r>
        <w:t>The ability to access naloxone through a range of sites is important to enhance reach and uptake of naloxone. In NSW and WA, the Pilot increased the range of access sites through which consumers can access naloxone.</w:t>
      </w:r>
    </w:p>
    <w:p w14:paraId="52383AD1" w14:textId="7F01EEE3" w:rsidR="00BD1A6F" w:rsidRDefault="00CA5EEA" w:rsidP="00BD1A6F">
      <w:pPr>
        <w:pStyle w:val="Quote"/>
        <w:rPr>
          <w:rFonts w:ascii="Calibri" w:eastAsia="Calibri" w:hAnsi="Calibri" w:cs="Calibri"/>
          <w:i w:val="0"/>
          <w:iCs w:val="0"/>
        </w:rPr>
      </w:pPr>
      <w:r w:rsidRPr="386217F3">
        <w:t xml:space="preserve">I mean, the more pharmacies the better, because people aren't going to </w:t>
      </w:r>
      <w:r w:rsidR="00992B34">
        <w:t xml:space="preserve">[needle] </w:t>
      </w:r>
      <w:r w:rsidRPr="386217F3">
        <w:t>exchanges if they don't use, so it's a good thing it’s in p</w:t>
      </w:r>
      <w:r w:rsidRPr="00752614">
        <w:t>harmacies</w:t>
      </w:r>
      <w:r>
        <w:t xml:space="preserve"> (WA, PUIO, </w:t>
      </w:r>
      <w:r w:rsidR="001403CB">
        <w:t xml:space="preserve">Recruited from </w:t>
      </w:r>
      <w:r>
        <w:t xml:space="preserve">NSP, </w:t>
      </w:r>
      <w:r w:rsidR="001403CB">
        <w:t xml:space="preserve">Interviewed </w:t>
      </w:r>
      <w:r>
        <w:t>May 2021).</w:t>
      </w:r>
      <w:r w:rsidRPr="4957544E">
        <w:rPr>
          <w:rFonts w:ascii="Calibri" w:eastAsia="Calibri" w:hAnsi="Calibri" w:cs="Calibri"/>
          <w:i w:val="0"/>
          <w:iCs w:val="0"/>
        </w:rPr>
        <w:t xml:space="preserve"> </w:t>
      </w:r>
    </w:p>
    <w:p w14:paraId="7F9B50D3" w14:textId="608C9F4D" w:rsidR="00CA5EEA" w:rsidRDefault="00BD1A6F" w:rsidP="003D0F16">
      <w:pPr>
        <w:pStyle w:val="Quote"/>
        <w:rPr>
          <w:rFonts w:ascii="Calibri" w:eastAsia="Calibri" w:hAnsi="Calibri" w:cs="Calibri"/>
        </w:rPr>
      </w:pPr>
      <w:r w:rsidRPr="386217F3">
        <w:t>It should be available at all chemists on all desks or all counters, so yeah, it shouldn't be just one or two of the chemists. It should be everywhere</w:t>
      </w:r>
      <w:r w:rsidRPr="386217F3">
        <w:rPr>
          <w:rFonts w:ascii="Calibri" w:eastAsia="Calibri" w:hAnsi="Calibri" w:cs="Calibri"/>
          <w:i w:val="0"/>
        </w:rPr>
        <w:t xml:space="preserve"> </w:t>
      </w:r>
      <w:r w:rsidRPr="0080736E">
        <w:rPr>
          <w:rFonts w:eastAsiaTheme="minorEastAsia"/>
        </w:rPr>
        <w:t xml:space="preserve">(WA, </w:t>
      </w:r>
      <w:r w:rsidR="00B32896">
        <w:rPr>
          <w:rFonts w:eastAsiaTheme="minorEastAsia"/>
        </w:rPr>
        <w:t>Witness</w:t>
      </w:r>
      <w:r w:rsidRPr="0080736E">
        <w:rPr>
          <w:rFonts w:eastAsiaTheme="minorEastAsia"/>
        </w:rPr>
        <w:t>,</w:t>
      </w:r>
      <w:r w:rsidR="00B32896">
        <w:rPr>
          <w:rFonts w:eastAsiaTheme="minorEastAsia"/>
        </w:rPr>
        <w:t xml:space="preserve"> Recruited from</w:t>
      </w:r>
      <w:r w:rsidRPr="0080736E">
        <w:rPr>
          <w:rFonts w:eastAsiaTheme="minorEastAsia"/>
        </w:rPr>
        <w:t xml:space="preserve"> </w:t>
      </w:r>
      <w:r w:rsidR="00B32896">
        <w:rPr>
          <w:rFonts w:eastAsiaTheme="minorEastAsia"/>
        </w:rPr>
        <w:t>Community pharmacy</w:t>
      </w:r>
      <w:r w:rsidRPr="0080736E">
        <w:rPr>
          <w:rFonts w:eastAsiaTheme="minorEastAsia"/>
        </w:rPr>
        <w:t>,</w:t>
      </w:r>
      <w:r w:rsidR="00B32896">
        <w:rPr>
          <w:rFonts w:eastAsiaTheme="minorEastAsia"/>
        </w:rPr>
        <w:t xml:space="preserve"> Interviewed</w:t>
      </w:r>
      <w:r w:rsidRPr="0080736E">
        <w:rPr>
          <w:rFonts w:eastAsiaTheme="minorEastAsia"/>
        </w:rPr>
        <w:t xml:space="preserve"> June 2021).</w:t>
      </w:r>
    </w:p>
    <w:p w14:paraId="5D7C5BCD" w14:textId="49F3163E" w:rsidR="00CA5EEA" w:rsidRDefault="006F11C5" w:rsidP="003D0F16">
      <w:pPr>
        <w:pStyle w:val="BodyText"/>
      </w:pPr>
      <w:r>
        <w:t>An exception to this was those participants in SA who received a voucher from their access site and then had to obtain their THN from the pharmacy.</w:t>
      </w:r>
      <w:r w:rsidR="009F0B80">
        <w:t xml:space="preserve"> This is discussed more below in section </w:t>
      </w:r>
      <w:r w:rsidR="00FC357C">
        <w:t>7.1.2.4.</w:t>
      </w:r>
    </w:p>
    <w:p w14:paraId="3DE2C8EE" w14:textId="28933D3E" w:rsidR="00997DB0" w:rsidRDefault="00997DB0" w:rsidP="00997DB0">
      <w:pPr>
        <w:pStyle w:val="NbrHeading4"/>
      </w:pPr>
      <w:r>
        <w:t>Consumer knowledge about how to use naloxone</w:t>
      </w:r>
    </w:p>
    <w:p w14:paraId="543C09F4" w14:textId="418465C7" w:rsidR="00C13552" w:rsidRDefault="00440630" w:rsidP="00C13552">
      <w:r>
        <w:t xml:space="preserve">Part of the Pilot design involved the delivery of a brief </w:t>
      </w:r>
      <w:r w:rsidR="00A84C0F">
        <w:t>intervention/</w:t>
      </w:r>
      <w:r>
        <w:t xml:space="preserve">education component to consumers upon access to THN (this could be at either the point of provision of THN directly, or provision of the voucher in SA). </w:t>
      </w:r>
      <w:r w:rsidR="00C37E55">
        <w:t>Access site data and interviews indicated that 99% of consumers received the required brief intervention/education and/or resources when they were given naloxone.</w:t>
      </w:r>
    </w:p>
    <w:p w14:paraId="4480C1CF" w14:textId="6BDA7F79" w:rsidR="004E0B08" w:rsidRPr="00FC357C" w:rsidRDefault="004E0B08" w:rsidP="00C13552">
      <w:r>
        <w:t xml:space="preserve">Mystery shopping visits also confirmed </w:t>
      </w:r>
      <w:proofErr w:type="gramStart"/>
      <w:r>
        <w:t>this, but</w:t>
      </w:r>
      <w:proofErr w:type="gramEnd"/>
      <w:r>
        <w:t xml:space="preserve"> noted some variation in the thoroughness of the instructions provided. Of the 20 sites where naloxone was available, 19 reported receiving product information when obtaining naloxone</w:t>
      </w:r>
      <w:r w:rsidR="001449A7">
        <w:t xml:space="preserve">. </w:t>
      </w:r>
      <w:proofErr w:type="gramStart"/>
      <w:r w:rsidR="001449A7">
        <w:t>The majority of</w:t>
      </w:r>
      <w:proofErr w:type="gramEnd"/>
      <w:r w:rsidR="000664CA">
        <w:t xml:space="preserve"> respondents for</w:t>
      </w:r>
      <w:r w:rsidR="001449A7">
        <w:t xml:space="preserve"> the mystery </w:t>
      </w:r>
      <w:r w:rsidR="000623CC">
        <w:t>shopping</w:t>
      </w:r>
      <w:r w:rsidR="00F03FCC">
        <w:t xml:space="preserve"> visits</w:t>
      </w:r>
      <w:r w:rsidR="001449A7">
        <w:t xml:space="preserve"> (13/20) reported that they felt they received sufficient brief </w:t>
      </w:r>
      <w:r w:rsidR="000B484A">
        <w:t>intervention/</w:t>
      </w:r>
      <w:r w:rsidR="001449A7">
        <w:t>education and felt they had knowledge about how to use naloxone:</w:t>
      </w:r>
      <w:r>
        <w:t xml:space="preserve"> </w:t>
      </w:r>
    </w:p>
    <w:p w14:paraId="33186685" w14:textId="77777777" w:rsidR="00C13552" w:rsidRDefault="004E0B08" w:rsidP="00C13552">
      <w:pPr>
        <w:pStyle w:val="Quote"/>
      </w:pPr>
      <w:r w:rsidRPr="002E617C">
        <w:t xml:space="preserve">I was given instructions on how to use the naloxone nasal spray. They asked me if I wanted instructions on how to use it and I said yes. The pharmacist assistant told me to call 000 in an emergency. When I see the patient unresponsive, she gave me a few examples, to put them on their side and administer the naloxone nasal spray. They reassured me that I didn't have to worry about the px inhaling the naloxone as it will be absorbed. There were no other pamphlets provided with the naloxone. </w:t>
      </w:r>
      <w:r w:rsidRPr="0915DA2C">
        <w:t>(</w:t>
      </w:r>
      <w:r>
        <w:t xml:space="preserve">Mystery shopping, </w:t>
      </w:r>
      <w:r w:rsidRPr="002E617C">
        <w:t>Community pharmacy, NSW)</w:t>
      </w:r>
    </w:p>
    <w:p w14:paraId="475A344D" w14:textId="348001B0" w:rsidR="0042464E" w:rsidRPr="00C12156" w:rsidRDefault="0042464E" w:rsidP="00C13552">
      <w:pPr>
        <w:pStyle w:val="BodyText"/>
      </w:pPr>
      <w:r>
        <w:t>For some of the mystery shoppers</w:t>
      </w:r>
      <w:r w:rsidR="00273C56">
        <w:t xml:space="preserve"> at pharmacies</w:t>
      </w:r>
      <w:r>
        <w:t>, the product information was the main source of information given about naloxone:</w:t>
      </w:r>
    </w:p>
    <w:p w14:paraId="34A898F3" w14:textId="747507EC" w:rsidR="00051ABC" w:rsidRPr="00051ABC" w:rsidRDefault="004B6019" w:rsidP="00C12156">
      <w:pPr>
        <w:pStyle w:val="Quote"/>
        <w:rPr>
          <w:lang w:eastAsia="en-AU"/>
        </w:rPr>
      </w:pPr>
      <w:r w:rsidRPr="00193D18">
        <w:t>She said "administer this after you have called an ambulance. It’s very easy and all the instructions are inside the box. Just take care with the use by date printed on the top." (</w:t>
      </w:r>
      <w:r>
        <w:t xml:space="preserve">Mystery shopping, </w:t>
      </w:r>
      <w:r w:rsidRPr="00193D18">
        <w:t>Community pharmacy, WA)</w:t>
      </w:r>
    </w:p>
    <w:p w14:paraId="4537F63E" w14:textId="687E51E4" w:rsidR="00014386" w:rsidRDefault="00B81991" w:rsidP="00014386">
      <w:r>
        <w:t xml:space="preserve">Amongst the consumers interviewed for the </w:t>
      </w:r>
      <w:r w:rsidR="00273C56">
        <w:t>e</w:t>
      </w:r>
      <w:r>
        <w:t>valuation,</w:t>
      </w:r>
      <w:r w:rsidR="00014386">
        <w:t xml:space="preserve"> 77% were provided with brief intervention/education or a written resource when they obtained their THN. Of those who weren’t provided with this information, more than half mentioned that staff (i.e., </w:t>
      </w:r>
      <w:r w:rsidR="00014386" w:rsidRPr="005E267B">
        <w:t>pharmacist</w:t>
      </w:r>
      <w:r w:rsidR="00014386">
        <w:t xml:space="preserve">) </w:t>
      </w:r>
      <w:r w:rsidR="00014386">
        <w:lastRenderedPageBreak/>
        <w:t xml:space="preserve">knew of their current knowledge on how to use THN, while only 13% said that they were expecting </w:t>
      </w:r>
      <w:proofErr w:type="gramStart"/>
      <w:r w:rsidR="00014386">
        <w:t>it</w:t>
      </w:r>
      <w:proofErr w:type="gramEnd"/>
      <w:r w:rsidR="00014386">
        <w:t xml:space="preserve"> but the staff didn’t explain or provide information. A few (7%) said their supply was given by a friend who also didn’t provide advice on method of use.</w:t>
      </w:r>
    </w:p>
    <w:p w14:paraId="719B5DF8" w14:textId="77777777" w:rsidR="00014386" w:rsidRDefault="00014386" w:rsidP="00014386">
      <w:r>
        <w:t>Most consumers responding to the qualitative interviews for the Evaluation noted that they were offered the brief intervention/education, regardless of access site type. The following participant described how they felt more equipped to administer naloxone because of the training:</w:t>
      </w:r>
    </w:p>
    <w:p w14:paraId="7070DFF6" w14:textId="77777777" w:rsidR="00014386" w:rsidRPr="00B81991" w:rsidRDefault="00014386" w:rsidP="00FC357C">
      <w:pPr>
        <w:pStyle w:val="Quote"/>
      </w:pPr>
      <w:r w:rsidRPr="00FC357C">
        <w:t xml:space="preserve">In the beginning I get this ‘should I do it or should I call the police, or the ambulance, and stay with the person’. But then the training kicks in, and I think if that was </w:t>
      </w:r>
      <w:proofErr w:type="gramStart"/>
      <w:r w:rsidRPr="00FC357C">
        <w:t>me</w:t>
      </w:r>
      <w:proofErr w:type="gramEnd"/>
      <w:r w:rsidRPr="00FC357C">
        <w:t xml:space="preserve"> I would want someone to act stra</w:t>
      </w:r>
      <w:r w:rsidRPr="005579E6">
        <w:t>ight away (NSW, Witness, Recruited from AOD/NGO, Interviewed September 2020).</w:t>
      </w:r>
    </w:p>
    <w:p w14:paraId="354CDDB9" w14:textId="7412E243" w:rsidR="00014386" w:rsidRPr="00854ACB" w:rsidRDefault="00014386" w:rsidP="00014386">
      <w:proofErr w:type="gramStart"/>
      <w:r>
        <w:t>The majority of</w:t>
      </w:r>
      <w:proofErr w:type="gramEnd"/>
      <w:r>
        <w:t xml:space="preserve"> consumers noted that they felt comfortable during the brief education/intervention, and most considered</w:t>
      </w:r>
      <w:r w:rsidR="00245C87">
        <w:t xml:space="preserve"> </w:t>
      </w:r>
      <w:r>
        <w:t>the information provided during the brief intervention/education to be practical. For example:</w:t>
      </w:r>
    </w:p>
    <w:p w14:paraId="60E2D7B3" w14:textId="77777777" w:rsidR="00014386" w:rsidRDefault="00014386" w:rsidP="00014386">
      <w:pPr>
        <w:pStyle w:val="Quote"/>
      </w:pPr>
      <w:r>
        <w:t>Interviewer: What made it comfortable for you?</w:t>
      </w:r>
    </w:p>
    <w:p w14:paraId="7979D187" w14:textId="77777777" w:rsidR="00014386" w:rsidRDefault="00014386" w:rsidP="00014386">
      <w:pPr>
        <w:pStyle w:val="Quote"/>
      </w:pPr>
      <w:r>
        <w:t>Participant: He explained it to me a couple times there, and knowing I’ve got something there if my husband does go into this um unconscious state, to know I do have something there to help straight away</w:t>
      </w:r>
    </w:p>
    <w:p w14:paraId="516830A3" w14:textId="77777777" w:rsidR="00014386" w:rsidRDefault="00014386" w:rsidP="00014386">
      <w:pPr>
        <w:pStyle w:val="Quote"/>
      </w:pPr>
      <w:r>
        <w:t>Interviewer: Yep. And how practical do you think that instruction was for you?</w:t>
      </w:r>
    </w:p>
    <w:p w14:paraId="251EBC27" w14:textId="77777777" w:rsidR="00014386" w:rsidRDefault="00014386" w:rsidP="00014386">
      <w:pPr>
        <w:pStyle w:val="Quote"/>
      </w:pPr>
      <w:r>
        <w:t>Participant: Fine, it was practical, I could understand it straight away, it was good how it was laid out and written. (SA, Witness, Recruited from Community Pharmacy, Interviewed April 2021)</w:t>
      </w:r>
    </w:p>
    <w:p w14:paraId="2724DCF7" w14:textId="77777777" w:rsidR="00014386" w:rsidRDefault="00014386" w:rsidP="00014386">
      <w:pPr>
        <w:pStyle w:val="Quote"/>
      </w:pPr>
      <w:r>
        <w:t>It was, it was very practical, as I said I care for my daughter who is on prescribed drugs and I thought it was very important that I know what it’s all about, yeah. (SA, PUPO, Recruited from Community Pharmacy, Interviewed February 2021)</w:t>
      </w:r>
    </w:p>
    <w:p w14:paraId="012584ED" w14:textId="2AEFEE37" w:rsidR="00997DB0" w:rsidRDefault="00997DB0" w:rsidP="00752614">
      <w:pPr>
        <w:pStyle w:val="NbrHeading4"/>
      </w:pPr>
      <w:r>
        <w:t>Staff knowledge of THN</w:t>
      </w:r>
    </w:p>
    <w:p w14:paraId="0EF456BC" w14:textId="711CEBD3" w:rsidR="006D332E" w:rsidRDefault="006D332E" w:rsidP="006D332E">
      <w:pPr>
        <w:spacing w:after="0" w:line="240" w:lineRule="auto"/>
      </w:pPr>
      <w:r>
        <w:t>Under the Pilot, training in overdose response and how to supply naloxone was available to staff of registered access sites, increasing staff knowledge of THN.</w:t>
      </w:r>
    </w:p>
    <w:p w14:paraId="18FF8955" w14:textId="77777777" w:rsidR="00CB5B4B" w:rsidRPr="009B7145" w:rsidRDefault="00BB2C68" w:rsidP="00CB5B4B">
      <w:proofErr w:type="gramStart"/>
      <w:r>
        <w:rPr>
          <w:lang w:eastAsia="en-AU"/>
        </w:rPr>
        <w:t>The majority of</w:t>
      </w:r>
      <w:proofErr w:type="gramEnd"/>
      <w:r>
        <w:rPr>
          <w:lang w:eastAsia="en-AU"/>
        </w:rPr>
        <w:t xml:space="preserve"> consumers expressed that they felt comfortable during their interaction with staff, and that they felt that they received practical information about how to use naloxone, indicating that most staff they interacted with were knowledgeable about THN. </w:t>
      </w:r>
      <w:r w:rsidR="00CB5B4B">
        <w:t>Participants described using their training during resuscitation events, and this was thanks to increased staff knowledge of THN. For example:</w:t>
      </w:r>
    </w:p>
    <w:p w14:paraId="1E4441CC" w14:textId="77777777" w:rsidR="00CB5B4B" w:rsidRDefault="00CB5B4B" w:rsidP="00CB5B4B">
      <w:pPr>
        <w:pStyle w:val="Quote"/>
        <w:rPr>
          <w:rStyle w:val="eop"/>
          <w:rFonts w:ascii="Calibri" w:hAnsi="Calibri" w:cs="Calibri"/>
          <w:i w:val="0"/>
        </w:rPr>
      </w:pPr>
      <w:r w:rsidRPr="000256D2">
        <w:rPr>
          <w:rStyle w:val="normaltextrun"/>
        </w:rPr>
        <w:t>The advice I was given was very good and thorough. I could have used obviously three or four times in the last year. I used the advice probably five times in total over the last two years and I had to use naloxone and one of them had to go to the hospital. They were OK within the hour. </w:t>
      </w:r>
      <w:proofErr w:type="gramStart"/>
      <w:r w:rsidRPr="000256D2">
        <w:rPr>
          <w:rStyle w:val="normaltextrun"/>
        </w:rPr>
        <w:t>So</w:t>
      </w:r>
      <w:proofErr w:type="gramEnd"/>
      <w:r w:rsidRPr="000256D2">
        <w:rPr>
          <w:rStyle w:val="normaltextrun"/>
        </w:rPr>
        <w:t> I feel that the advice I was given was as good as it could have been and if it wasn't, then I wouldn't have been successful with the incidents I had.</w:t>
      </w:r>
      <w:r w:rsidRPr="000256D2">
        <w:rPr>
          <w:rStyle w:val="eop"/>
        </w:rPr>
        <w:t> (WA, PUIO, Recruited from NSP, Interviewed May 2021).</w:t>
      </w:r>
    </w:p>
    <w:p w14:paraId="2A102779" w14:textId="3F710186" w:rsidR="00A25070" w:rsidRDefault="008E2A27" w:rsidP="00997DB0">
      <w:pPr>
        <w:pStyle w:val="BodyText"/>
        <w:rPr>
          <w:lang w:eastAsia="en-AU"/>
        </w:rPr>
      </w:pPr>
      <w:r>
        <w:rPr>
          <w:lang w:eastAsia="en-AU"/>
        </w:rPr>
        <w:t xml:space="preserve">The </w:t>
      </w:r>
      <w:r w:rsidR="007A7795">
        <w:rPr>
          <w:lang w:eastAsia="en-AU"/>
        </w:rPr>
        <w:t>mystery</w:t>
      </w:r>
      <w:r>
        <w:rPr>
          <w:lang w:eastAsia="en-AU"/>
        </w:rPr>
        <w:t xml:space="preserve"> shop</w:t>
      </w:r>
      <w:r w:rsidR="006E13FF">
        <w:rPr>
          <w:lang w:eastAsia="en-AU"/>
        </w:rPr>
        <w:t>ping</w:t>
      </w:r>
      <w:r>
        <w:rPr>
          <w:lang w:eastAsia="en-AU"/>
        </w:rPr>
        <w:t xml:space="preserve"> </w:t>
      </w:r>
      <w:r w:rsidR="005A62F7">
        <w:rPr>
          <w:lang w:eastAsia="en-AU"/>
        </w:rPr>
        <w:t xml:space="preserve">results </w:t>
      </w:r>
      <w:r w:rsidR="00CB5B4B">
        <w:rPr>
          <w:lang w:eastAsia="en-AU"/>
        </w:rPr>
        <w:t xml:space="preserve">aligned with these findings, with </w:t>
      </w:r>
      <w:proofErr w:type="gramStart"/>
      <w:r w:rsidR="00CB5B4B">
        <w:rPr>
          <w:lang w:eastAsia="en-AU"/>
        </w:rPr>
        <w:t>the majority of</w:t>
      </w:r>
      <w:proofErr w:type="gramEnd"/>
      <w:r w:rsidR="00CB5B4B">
        <w:rPr>
          <w:lang w:eastAsia="en-AU"/>
        </w:rPr>
        <w:t xml:space="preserve"> mystery shoppers</w:t>
      </w:r>
      <w:r w:rsidR="005A62F7">
        <w:rPr>
          <w:lang w:eastAsia="en-AU"/>
        </w:rPr>
        <w:t xml:space="preserve"> report</w:t>
      </w:r>
      <w:r w:rsidR="00CB5B4B">
        <w:rPr>
          <w:lang w:eastAsia="en-AU"/>
        </w:rPr>
        <w:t>ing</w:t>
      </w:r>
      <w:r w:rsidR="005A62F7">
        <w:rPr>
          <w:lang w:eastAsia="en-AU"/>
        </w:rPr>
        <w:t xml:space="preserve"> that s</w:t>
      </w:r>
      <w:r w:rsidR="001155BC">
        <w:rPr>
          <w:lang w:eastAsia="en-AU"/>
        </w:rPr>
        <w:t>taff</w:t>
      </w:r>
      <w:r w:rsidR="009C58A7">
        <w:rPr>
          <w:lang w:eastAsia="en-AU"/>
        </w:rPr>
        <w:t xml:space="preserve"> were</w:t>
      </w:r>
      <w:r w:rsidR="002F1155">
        <w:rPr>
          <w:lang w:eastAsia="en-AU"/>
        </w:rPr>
        <w:t xml:space="preserve"> </w:t>
      </w:r>
      <w:r w:rsidR="009C58A7">
        <w:rPr>
          <w:lang w:eastAsia="en-AU"/>
        </w:rPr>
        <w:t>knowledgeable</w:t>
      </w:r>
      <w:r w:rsidR="00947C74">
        <w:rPr>
          <w:lang w:eastAsia="en-AU"/>
        </w:rPr>
        <w:t xml:space="preserve"> about </w:t>
      </w:r>
      <w:r w:rsidR="006E13FF">
        <w:rPr>
          <w:lang w:eastAsia="en-AU"/>
        </w:rPr>
        <w:t>THN (</w:t>
      </w:r>
      <w:r w:rsidR="003F4E03">
        <w:rPr>
          <w:lang w:eastAsia="en-AU"/>
        </w:rPr>
        <w:t>12</w:t>
      </w:r>
      <w:r w:rsidR="004F08DB">
        <w:rPr>
          <w:lang w:eastAsia="en-AU"/>
        </w:rPr>
        <w:t xml:space="preserve"> </w:t>
      </w:r>
      <w:r w:rsidR="00D470EB">
        <w:rPr>
          <w:lang w:eastAsia="en-AU"/>
        </w:rPr>
        <w:t>knowledgeable</w:t>
      </w:r>
      <w:r w:rsidR="006E13FF">
        <w:rPr>
          <w:lang w:eastAsia="en-AU"/>
        </w:rPr>
        <w:t xml:space="preserve"> and </w:t>
      </w:r>
      <w:r w:rsidR="003F4E03">
        <w:rPr>
          <w:lang w:eastAsia="en-AU"/>
        </w:rPr>
        <w:t xml:space="preserve">9 </w:t>
      </w:r>
      <w:r w:rsidR="008E2643">
        <w:rPr>
          <w:lang w:eastAsia="en-AU"/>
        </w:rPr>
        <w:t>some</w:t>
      </w:r>
      <w:r w:rsidR="00C51289">
        <w:rPr>
          <w:lang w:eastAsia="en-AU"/>
        </w:rPr>
        <w:t>what</w:t>
      </w:r>
      <w:r w:rsidR="000466C7">
        <w:rPr>
          <w:lang w:eastAsia="en-AU"/>
        </w:rPr>
        <w:t xml:space="preserve"> </w:t>
      </w:r>
      <w:r w:rsidR="00CA1FF9">
        <w:rPr>
          <w:lang w:eastAsia="en-AU"/>
        </w:rPr>
        <w:t>knowledgeable</w:t>
      </w:r>
      <w:r w:rsidR="004F08DB">
        <w:rPr>
          <w:lang w:eastAsia="en-AU"/>
        </w:rPr>
        <w:t>)</w:t>
      </w:r>
      <w:r w:rsidR="00226386">
        <w:rPr>
          <w:lang w:eastAsia="en-AU"/>
        </w:rPr>
        <w:t>.</w:t>
      </w:r>
      <w:r w:rsidR="00CA1FF9">
        <w:rPr>
          <w:lang w:eastAsia="en-AU"/>
        </w:rPr>
        <w:t xml:space="preserve"> These</w:t>
      </w:r>
      <w:r w:rsidR="00D470EB">
        <w:rPr>
          <w:lang w:eastAsia="en-AU"/>
        </w:rPr>
        <w:t xml:space="preserve"> results</w:t>
      </w:r>
      <w:r w:rsidR="00CA1FF9">
        <w:rPr>
          <w:lang w:eastAsia="en-AU"/>
        </w:rPr>
        <w:t xml:space="preserve"> were</w:t>
      </w:r>
      <w:r w:rsidR="00D470EB">
        <w:rPr>
          <w:lang w:eastAsia="en-AU"/>
        </w:rPr>
        <w:t xml:space="preserve"> </w:t>
      </w:r>
      <w:r w:rsidR="00226386">
        <w:rPr>
          <w:lang w:eastAsia="en-AU"/>
        </w:rPr>
        <w:t xml:space="preserve">recorded </w:t>
      </w:r>
      <w:r w:rsidR="00D470EB">
        <w:rPr>
          <w:lang w:eastAsia="en-AU"/>
        </w:rPr>
        <w:t>across</w:t>
      </w:r>
      <w:r w:rsidR="00CA1FF9">
        <w:rPr>
          <w:lang w:eastAsia="en-AU"/>
        </w:rPr>
        <w:t xml:space="preserve"> community pharmacies</w:t>
      </w:r>
      <w:r w:rsidR="00BA32ED">
        <w:rPr>
          <w:lang w:eastAsia="en-AU"/>
        </w:rPr>
        <w:t xml:space="preserve"> </w:t>
      </w:r>
      <w:r w:rsidR="00CA1FF9">
        <w:rPr>
          <w:lang w:eastAsia="en-AU"/>
        </w:rPr>
        <w:t xml:space="preserve">and </w:t>
      </w:r>
      <w:r w:rsidR="006E13FF">
        <w:rPr>
          <w:lang w:eastAsia="en-AU"/>
        </w:rPr>
        <w:t>AOD/</w:t>
      </w:r>
      <w:r w:rsidR="00CA1FF9">
        <w:rPr>
          <w:lang w:eastAsia="en-AU"/>
        </w:rPr>
        <w:t>NSPs</w:t>
      </w:r>
      <w:r w:rsidR="000C7BE9">
        <w:rPr>
          <w:lang w:eastAsia="en-AU"/>
        </w:rPr>
        <w:t xml:space="preserve">. </w:t>
      </w:r>
      <w:r w:rsidR="00BA32ED">
        <w:rPr>
          <w:lang w:eastAsia="en-AU"/>
        </w:rPr>
        <w:t xml:space="preserve">In </w:t>
      </w:r>
      <w:r w:rsidR="00014386">
        <w:rPr>
          <w:lang w:eastAsia="en-AU"/>
        </w:rPr>
        <w:t>most community</w:t>
      </w:r>
      <w:r w:rsidR="003F0495">
        <w:rPr>
          <w:lang w:eastAsia="en-AU"/>
        </w:rPr>
        <w:t xml:space="preserve"> pharmacy setting</w:t>
      </w:r>
      <w:r w:rsidR="00014386">
        <w:rPr>
          <w:lang w:eastAsia="en-AU"/>
        </w:rPr>
        <w:t>s</w:t>
      </w:r>
      <w:r w:rsidR="006E13FF">
        <w:rPr>
          <w:lang w:eastAsia="en-AU"/>
        </w:rPr>
        <w:t>, it was</w:t>
      </w:r>
      <w:r w:rsidR="0051359A">
        <w:rPr>
          <w:lang w:eastAsia="en-AU"/>
        </w:rPr>
        <w:t xml:space="preserve"> the</w:t>
      </w:r>
      <w:r w:rsidR="006E13FF">
        <w:rPr>
          <w:lang w:eastAsia="en-AU"/>
        </w:rPr>
        <w:t xml:space="preserve"> pharmacists</w:t>
      </w:r>
      <w:r w:rsidR="002A7E89">
        <w:rPr>
          <w:lang w:eastAsia="en-AU"/>
        </w:rPr>
        <w:t xml:space="preserve">, </w:t>
      </w:r>
      <w:r w:rsidR="006E13FF">
        <w:rPr>
          <w:lang w:eastAsia="en-AU"/>
        </w:rPr>
        <w:t>and not the retail staff</w:t>
      </w:r>
      <w:r w:rsidR="00E43E48">
        <w:rPr>
          <w:lang w:eastAsia="en-AU"/>
        </w:rPr>
        <w:t>,</w:t>
      </w:r>
      <w:r w:rsidR="008E4128">
        <w:rPr>
          <w:lang w:eastAsia="en-AU"/>
        </w:rPr>
        <w:t xml:space="preserve"> </w:t>
      </w:r>
      <w:r w:rsidR="006E13FF">
        <w:rPr>
          <w:lang w:eastAsia="en-AU"/>
        </w:rPr>
        <w:t xml:space="preserve">who were </w:t>
      </w:r>
      <w:r w:rsidR="006E13FF">
        <w:rPr>
          <w:lang w:eastAsia="en-AU"/>
        </w:rPr>
        <w:lastRenderedPageBreak/>
        <w:t>reported as knowledgeable</w:t>
      </w:r>
      <w:r w:rsidR="008C565F">
        <w:rPr>
          <w:lang w:eastAsia="en-AU"/>
        </w:rPr>
        <w:t xml:space="preserve"> about THN</w:t>
      </w:r>
      <w:r w:rsidR="006E13FF">
        <w:rPr>
          <w:lang w:eastAsia="en-AU"/>
        </w:rPr>
        <w:t xml:space="preserve">. </w:t>
      </w:r>
      <w:r w:rsidR="008C565F">
        <w:rPr>
          <w:lang w:eastAsia="en-AU"/>
        </w:rPr>
        <w:t>They provided information on how to use naloxone</w:t>
      </w:r>
      <w:r w:rsidR="00A25070">
        <w:rPr>
          <w:lang w:eastAsia="en-AU"/>
        </w:rPr>
        <w:t>,</w:t>
      </w:r>
      <w:r w:rsidR="008C565F">
        <w:rPr>
          <w:lang w:eastAsia="en-AU"/>
        </w:rPr>
        <w:t xml:space="preserve"> information on </w:t>
      </w:r>
      <w:r w:rsidR="00014386">
        <w:rPr>
          <w:lang w:eastAsia="en-AU"/>
        </w:rPr>
        <w:t>how to identify an overdose,</w:t>
      </w:r>
      <w:r w:rsidR="008C565F">
        <w:rPr>
          <w:lang w:eastAsia="en-AU"/>
        </w:rPr>
        <w:t xml:space="preserve"> and </w:t>
      </w:r>
      <w:r w:rsidR="00A25070">
        <w:rPr>
          <w:lang w:eastAsia="en-AU"/>
        </w:rPr>
        <w:t>reminders to call an ambulance.</w:t>
      </w:r>
    </w:p>
    <w:p w14:paraId="401E8671" w14:textId="40F7A90F" w:rsidR="00200262" w:rsidRDefault="003B0957" w:rsidP="00997DB0">
      <w:pPr>
        <w:pStyle w:val="BodyText"/>
        <w:rPr>
          <w:lang w:eastAsia="en-AU"/>
        </w:rPr>
      </w:pPr>
      <w:r>
        <w:rPr>
          <w:lang w:eastAsia="en-AU"/>
        </w:rPr>
        <w:t>However</w:t>
      </w:r>
      <w:r w:rsidR="006B6A91">
        <w:rPr>
          <w:lang w:eastAsia="en-AU"/>
        </w:rPr>
        <w:t>,</w:t>
      </w:r>
      <w:r>
        <w:rPr>
          <w:lang w:eastAsia="en-AU"/>
        </w:rPr>
        <w:t xml:space="preserve"> </w:t>
      </w:r>
      <w:r w:rsidR="00605F4D">
        <w:rPr>
          <w:lang w:eastAsia="en-AU"/>
        </w:rPr>
        <w:t xml:space="preserve">of the </w:t>
      </w:r>
      <w:r w:rsidR="002342D6">
        <w:rPr>
          <w:lang w:eastAsia="en-AU"/>
        </w:rPr>
        <w:t xml:space="preserve">sites </w:t>
      </w:r>
      <w:r w:rsidR="00517B1D">
        <w:rPr>
          <w:lang w:eastAsia="en-AU"/>
        </w:rPr>
        <w:t xml:space="preserve">visited only </w:t>
      </w:r>
      <w:r w:rsidR="009062FB">
        <w:rPr>
          <w:lang w:eastAsia="en-AU"/>
        </w:rPr>
        <w:t xml:space="preserve">10 </w:t>
      </w:r>
      <w:r w:rsidR="00517B1D">
        <w:rPr>
          <w:lang w:eastAsia="en-AU"/>
        </w:rPr>
        <w:t>reported</w:t>
      </w:r>
      <w:r w:rsidR="009062FB">
        <w:rPr>
          <w:lang w:eastAsia="en-AU"/>
        </w:rPr>
        <w:t xml:space="preserve"> knowledge of the pilot</w:t>
      </w:r>
      <w:r w:rsidR="004773C2">
        <w:rPr>
          <w:lang w:eastAsia="en-AU"/>
        </w:rPr>
        <w:t xml:space="preserve"> (</w:t>
      </w:r>
      <w:r w:rsidR="005A62F7">
        <w:rPr>
          <w:lang w:eastAsia="en-AU"/>
        </w:rPr>
        <w:t>a further s</w:t>
      </w:r>
      <w:r w:rsidR="006E1978">
        <w:rPr>
          <w:lang w:eastAsia="en-AU"/>
        </w:rPr>
        <w:t xml:space="preserve">ix </w:t>
      </w:r>
      <w:r w:rsidR="00AB1FCB">
        <w:rPr>
          <w:lang w:eastAsia="en-AU"/>
        </w:rPr>
        <w:t>said that the pilot was not mentioned during the transaction</w:t>
      </w:r>
      <w:r w:rsidR="00D07D8F">
        <w:rPr>
          <w:lang w:eastAsia="en-AU"/>
        </w:rPr>
        <w:t xml:space="preserve"> and </w:t>
      </w:r>
      <w:r w:rsidR="004773C2">
        <w:rPr>
          <w:lang w:eastAsia="en-AU"/>
        </w:rPr>
        <w:t xml:space="preserve">another </w:t>
      </w:r>
      <w:r w:rsidR="00725341">
        <w:rPr>
          <w:lang w:eastAsia="en-AU"/>
        </w:rPr>
        <w:t>four, no comment</w:t>
      </w:r>
      <w:r w:rsidR="00D07D8F">
        <w:rPr>
          <w:lang w:eastAsia="en-AU"/>
        </w:rPr>
        <w:t xml:space="preserve"> was </w:t>
      </w:r>
      <w:r w:rsidR="00725341">
        <w:rPr>
          <w:lang w:eastAsia="en-AU"/>
        </w:rPr>
        <w:t>recorded</w:t>
      </w:r>
      <w:r w:rsidR="004773C2">
        <w:rPr>
          <w:lang w:eastAsia="en-AU"/>
        </w:rPr>
        <w:t>)</w:t>
      </w:r>
      <w:r w:rsidR="00725341">
        <w:rPr>
          <w:lang w:eastAsia="en-AU"/>
        </w:rPr>
        <w:t>.</w:t>
      </w:r>
    </w:p>
    <w:p w14:paraId="66F9ACB2" w14:textId="312EE29A" w:rsidR="00D470EB" w:rsidRPr="0024342E" w:rsidRDefault="006116AC" w:rsidP="0024342E">
      <w:pPr>
        <w:pStyle w:val="Quote"/>
      </w:pPr>
      <w:r w:rsidRPr="0024342E">
        <w:t xml:space="preserve">The attendant seemed highly knowledgeable about Naloxone and the pilot. I asked if I could come back for more Naloxone, and he said I could until the pilot ended early next year. </w:t>
      </w:r>
      <w:r w:rsidR="00681D1E" w:rsidRPr="0024342E">
        <w:t xml:space="preserve"> (Mystery shopping, </w:t>
      </w:r>
      <w:r w:rsidR="002D3B3A" w:rsidRPr="0024342E">
        <w:t>Community Pharmacy</w:t>
      </w:r>
      <w:r w:rsidR="00385622" w:rsidRPr="0024342E">
        <w:t xml:space="preserve">, </w:t>
      </w:r>
      <w:r w:rsidR="007624D4" w:rsidRPr="0024342E">
        <w:t>SA)</w:t>
      </w:r>
    </w:p>
    <w:p w14:paraId="7F901974" w14:textId="547202B4" w:rsidR="00F81635" w:rsidRDefault="00A2124C" w:rsidP="00B77397">
      <w:pPr>
        <w:pStyle w:val="Quote"/>
        <w:rPr>
          <w:lang w:eastAsia="en-AU"/>
        </w:rPr>
      </w:pPr>
      <w:r w:rsidRPr="00A2124C">
        <w:rPr>
          <w:lang w:eastAsia="en-AU"/>
        </w:rPr>
        <w:t xml:space="preserve">He knew what the pilot was </w:t>
      </w:r>
      <w:proofErr w:type="gramStart"/>
      <w:r w:rsidRPr="00A2124C">
        <w:rPr>
          <w:lang w:eastAsia="en-AU"/>
        </w:rPr>
        <w:t>and also</w:t>
      </w:r>
      <w:proofErr w:type="gramEnd"/>
      <w:r w:rsidRPr="00A2124C">
        <w:rPr>
          <w:lang w:eastAsia="en-AU"/>
        </w:rPr>
        <w:t xml:space="preserve"> knew of other pharmacy providers in the area. He kept the information simple and to the point which I think would make it easy for people to follow. </w:t>
      </w:r>
      <w:r>
        <w:rPr>
          <w:lang w:eastAsia="en-AU"/>
        </w:rPr>
        <w:t xml:space="preserve">(Mystery shopping, </w:t>
      </w:r>
      <w:r w:rsidR="003A1B4F" w:rsidRPr="00995DE1">
        <w:rPr>
          <w:lang w:eastAsia="en-AU"/>
        </w:rPr>
        <w:t>Community Pharmacy, SA)</w:t>
      </w:r>
    </w:p>
    <w:p w14:paraId="298779DF" w14:textId="17CA7A9C" w:rsidR="00F81635" w:rsidRPr="00016470" w:rsidRDefault="00F81635" w:rsidP="00B77397">
      <w:pPr>
        <w:pStyle w:val="Quote"/>
        <w:rPr>
          <w:lang w:eastAsia="en-AU"/>
        </w:rPr>
      </w:pPr>
      <w:r w:rsidRPr="00B77397">
        <w:rPr>
          <w:lang w:eastAsia="en-AU"/>
        </w:rPr>
        <w:t xml:space="preserve">She was very knowledgeable about the product. She </w:t>
      </w:r>
      <w:r w:rsidRPr="00016470">
        <w:rPr>
          <w:lang w:eastAsia="en-AU"/>
        </w:rPr>
        <w:t>didn't mention anything about the pilot though. However, I was a bit surprised that she to</w:t>
      </w:r>
      <w:r w:rsidRPr="00D72890">
        <w:rPr>
          <w:lang w:eastAsia="en-AU"/>
        </w:rPr>
        <w:t>ld me that people on heroin could become very</w:t>
      </w:r>
      <w:r w:rsidR="00FB4393" w:rsidRPr="00664B62">
        <w:t>,</w:t>
      </w:r>
      <w:r w:rsidRPr="00016470">
        <w:rPr>
          <w:lang w:eastAsia="en-AU"/>
        </w:rPr>
        <w:t xml:space="preserve"> very aggressive after being </w:t>
      </w:r>
      <w:r w:rsidR="00FB4393" w:rsidRPr="00664B62">
        <w:t>administered</w:t>
      </w:r>
      <w:r w:rsidRPr="00016470">
        <w:rPr>
          <w:lang w:eastAsia="en-AU"/>
        </w:rPr>
        <w:t xml:space="preserve"> with it.</w:t>
      </w:r>
      <w:r w:rsidRPr="00664B62">
        <w:t xml:space="preserve"> </w:t>
      </w:r>
      <w:r>
        <w:rPr>
          <w:lang w:eastAsia="en-AU"/>
        </w:rPr>
        <w:t xml:space="preserve">(Mystery shopping, </w:t>
      </w:r>
      <w:r w:rsidR="005C1DD0" w:rsidRPr="00664B62">
        <w:t>AOD service</w:t>
      </w:r>
      <w:r w:rsidRPr="00664B62">
        <w:t xml:space="preserve">, </w:t>
      </w:r>
      <w:r w:rsidR="0088006E" w:rsidRPr="00664B62">
        <w:t>W</w:t>
      </w:r>
      <w:r w:rsidRPr="00664B62">
        <w:t>A)</w:t>
      </w:r>
    </w:p>
    <w:p w14:paraId="5DC7A275" w14:textId="56BD2D52" w:rsidR="00D470EB" w:rsidRDefault="00E85690" w:rsidP="00DE5A3A">
      <w:pPr>
        <w:pStyle w:val="Quote"/>
      </w:pPr>
      <w:r w:rsidRPr="00B77397">
        <w:rPr>
          <w:lang w:eastAsia="en-AU"/>
        </w:rPr>
        <w:t>Very knowledgeable a</w:t>
      </w:r>
      <w:r w:rsidRPr="00016470">
        <w:rPr>
          <w:lang w:eastAsia="en-AU"/>
        </w:rPr>
        <w:t>nd skilled in explaining potentially complex information.</w:t>
      </w:r>
      <w:r w:rsidRPr="00F06A53">
        <w:rPr>
          <w:lang w:eastAsia="en-AU"/>
        </w:rPr>
        <w:t xml:space="preserve"> </w:t>
      </w:r>
      <w:r w:rsidRPr="00C40B58">
        <w:rPr>
          <w:lang w:eastAsia="en-AU"/>
        </w:rPr>
        <w:t>(Mystery shopping,</w:t>
      </w:r>
      <w:r w:rsidRPr="00376312">
        <w:rPr>
          <w:lang w:eastAsia="en-AU"/>
        </w:rPr>
        <w:t xml:space="preserve"> </w:t>
      </w:r>
      <w:r w:rsidR="00535321" w:rsidRPr="00AB35B2">
        <w:t>NSP</w:t>
      </w:r>
      <w:r w:rsidRPr="00AB35B2">
        <w:t xml:space="preserve">, </w:t>
      </w:r>
      <w:r w:rsidR="00DF2DEA" w:rsidRPr="00AB35B2">
        <w:t>NSW</w:t>
      </w:r>
      <w:r w:rsidRPr="00AB35B2">
        <w:t>)</w:t>
      </w:r>
    </w:p>
    <w:p w14:paraId="06DAB9D1" w14:textId="77777777" w:rsidR="00CA5EEA" w:rsidRDefault="00CA5EEA" w:rsidP="003D0F16">
      <w:pPr>
        <w:pStyle w:val="NbrHeading3"/>
      </w:pPr>
      <w:bookmarkStart w:id="321" w:name="_Toc94794159"/>
      <w:bookmarkStart w:id="322" w:name="_Toc94794302"/>
      <w:r>
        <w:t>Barriers that need more work to address</w:t>
      </w:r>
      <w:bookmarkEnd w:id="321"/>
      <w:bookmarkEnd w:id="322"/>
    </w:p>
    <w:p w14:paraId="65EDBFB6" w14:textId="77777777" w:rsidR="00374E4D" w:rsidRDefault="00374E4D" w:rsidP="00374E4D">
      <w:pPr>
        <w:pStyle w:val="NbrHeading4"/>
      </w:pPr>
      <w:r>
        <w:t>Stigma about people who use opioids and overdose</w:t>
      </w:r>
    </w:p>
    <w:p w14:paraId="6CE09310" w14:textId="77777777" w:rsidR="00374E4D" w:rsidRPr="00E01FC6" w:rsidRDefault="00374E4D" w:rsidP="00374E4D">
      <w:pPr>
        <w:pStyle w:val="Quote"/>
        <w:ind w:left="0"/>
        <w:rPr>
          <w:i w:val="0"/>
          <w:iCs w:val="0"/>
        </w:rPr>
      </w:pPr>
      <w:r>
        <w:rPr>
          <w:i w:val="0"/>
          <w:iCs w:val="0"/>
        </w:rPr>
        <w:t xml:space="preserve">The stigma surrounding people who use drugs was mentioned by </w:t>
      </w:r>
      <w:proofErr w:type="gramStart"/>
      <w:r>
        <w:rPr>
          <w:i w:val="0"/>
          <w:iCs w:val="0"/>
        </w:rPr>
        <w:t>a majority of</w:t>
      </w:r>
      <w:proofErr w:type="gramEnd"/>
      <w:r>
        <w:rPr>
          <w:i w:val="0"/>
          <w:iCs w:val="0"/>
        </w:rPr>
        <w:t xml:space="preserve"> participants as a barrier to THN. For example:</w:t>
      </w:r>
    </w:p>
    <w:p w14:paraId="7E76C6DE" w14:textId="1D48D835" w:rsidR="00374E4D" w:rsidRDefault="00374E4D" w:rsidP="00374E4D">
      <w:pPr>
        <w:pStyle w:val="Quote"/>
      </w:pPr>
      <w:r w:rsidRPr="386217F3">
        <w:t xml:space="preserve">I also think there's a real stigma around opioids, so whenever you mention that you're on an opioid to a doctor or anything like that, usually I don't say anything in public and most people I know don't say anything in public, but there's a real stigma to acknowledge that ...often I've been to hospitals and have taken in my prescription and they kind of judge you as ‘oh, you must be addicted to opioids if you’re doing this’, so I think that's probably why people don’t ask for it, because they feel like they’re going to be judged at the fact that they could overdose and also the fact that they're taking  opioids it in the first place </w:t>
      </w:r>
      <w:r>
        <w:t xml:space="preserve">(WA, PUPO, </w:t>
      </w:r>
      <w:r w:rsidR="002B3EED">
        <w:t xml:space="preserve">Recruited from </w:t>
      </w:r>
      <w:r w:rsidR="00EC4A8A">
        <w:t>Community pharmacy</w:t>
      </w:r>
      <w:r>
        <w:t xml:space="preserve">, </w:t>
      </w:r>
      <w:r w:rsidR="002B3EED">
        <w:t xml:space="preserve">Interviewed </w:t>
      </w:r>
      <w:r>
        <w:t>March 2021).</w:t>
      </w:r>
    </w:p>
    <w:p w14:paraId="2DB82ECE" w14:textId="75AB1BC2" w:rsidR="00374E4D" w:rsidRPr="00196A6B" w:rsidRDefault="00374E4D" w:rsidP="00374E4D">
      <w:pPr>
        <w:pStyle w:val="BodyText"/>
      </w:pPr>
      <w:r w:rsidRPr="00196A6B">
        <w:t>Stigma about people who use drugs is an ongoing</w:t>
      </w:r>
      <w:r>
        <w:t xml:space="preserve"> issue of significant complexity, and in the context of THN stigma</w:t>
      </w:r>
      <w:r w:rsidR="7B6DF3B6">
        <w:t>,</w:t>
      </w:r>
      <w:r>
        <w:t xml:space="preserve"> results in multiple, inter-related barriers for consumers and other stakeholders. For example, potential consumers may feel that they are being judged for accessing naloxone, they may fear mistreatment by staff, or they may </w:t>
      </w:r>
      <w:proofErr w:type="gramStart"/>
      <w:r>
        <w:t>actually experience</w:t>
      </w:r>
      <w:proofErr w:type="gramEnd"/>
      <w:r>
        <w:t xml:space="preserve"> mistreatment because of stigma. At a structural level, the stigma of criminalisation of drug use results in another cascade of barriers related to enforcement of laws, such as THN consumers not wanting to carry naloxone because they fear confiscation by law enforcement (discussed </w:t>
      </w:r>
      <w:r w:rsidR="005C5A22">
        <w:t xml:space="preserve">in more detail </w:t>
      </w:r>
      <w:r>
        <w:t>below), or services and organisations may be less likely to offer THN to consumers because of this stigma.</w:t>
      </w:r>
      <w:r w:rsidR="005C5A22">
        <w:t xml:space="preserve"> </w:t>
      </w:r>
    </w:p>
    <w:p w14:paraId="26C16FE1" w14:textId="53A57C23" w:rsidR="00374E4D" w:rsidRPr="003069DB" w:rsidRDefault="00295008" w:rsidP="003069DB">
      <w:pPr>
        <w:pStyle w:val="BodyText"/>
        <w:rPr>
          <w:lang w:eastAsia="en-AU"/>
        </w:rPr>
      </w:pPr>
      <w:r>
        <w:t xml:space="preserve">For people who use prescription opioids, including OAT, stigma also meant that some consumers were reluctant to ask for or receive THN from their </w:t>
      </w:r>
      <w:proofErr w:type="gramStart"/>
      <w:r>
        <w:t>pharmacist, in case</w:t>
      </w:r>
      <w:proofErr w:type="gramEnd"/>
      <w:r>
        <w:t xml:space="preserve"> this </w:t>
      </w:r>
      <w:r w:rsidR="0068273B">
        <w:t>was perceived as</w:t>
      </w:r>
      <w:r w:rsidR="003A12B1">
        <w:t xml:space="preserve"> indicating</w:t>
      </w:r>
      <w:r w:rsidR="0068273B">
        <w:t xml:space="preserve"> </w:t>
      </w:r>
      <w:r>
        <w:t>that they were ‘abusing’ their medic</w:t>
      </w:r>
      <w:r w:rsidR="06A31834">
        <w:t>ines</w:t>
      </w:r>
      <w:r>
        <w:t xml:space="preserve">. </w:t>
      </w:r>
    </w:p>
    <w:p w14:paraId="10174173" w14:textId="6DDC9251" w:rsidR="00CA5EEA" w:rsidRDefault="002E0DD2" w:rsidP="003D0F16">
      <w:pPr>
        <w:pStyle w:val="NbrHeading4"/>
      </w:pPr>
      <w:r>
        <w:lastRenderedPageBreak/>
        <w:t>Consumer and community awareness of THN and the Pilot</w:t>
      </w:r>
    </w:p>
    <w:p w14:paraId="673686EE" w14:textId="77777777" w:rsidR="00CA5EEA" w:rsidRPr="005D3397" w:rsidRDefault="00CA5EEA" w:rsidP="003D0F16">
      <w:pPr>
        <w:pStyle w:val="BodyText"/>
      </w:pPr>
      <w:r>
        <w:t xml:space="preserve">The lack of awareness of naloxone and lack of awareness about the Pilot amongst consumers was one of the key barriers mentioned by </w:t>
      </w:r>
      <w:proofErr w:type="gramStart"/>
      <w:r>
        <w:t>a majority of</w:t>
      </w:r>
      <w:proofErr w:type="gramEnd"/>
      <w:r>
        <w:t xml:space="preserve"> participants. </w:t>
      </w:r>
    </w:p>
    <w:p w14:paraId="31E35478" w14:textId="352F59B8" w:rsidR="00CA5EEA" w:rsidRPr="00A56E4D" w:rsidRDefault="00CA5EEA" w:rsidP="00A56E4D">
      <w:pPr>
        <w:pStyle w:val="Quote"/>
      </w:pPr>
      <w:r w:rsidRPr="00A56E4D">
        <w:t xml:space="preserve">Naloxone really needs to be… a lot more people need to know about naloxone. A lot more people need to know that it can save lives, and has (WA, PUIO, </w:t>
      </w:r>
      <w:r w:rsidR="002B3EED">
        <w:t xml:space="preserve">Recruited from </w:t>
      </w:r>
      <w:r w:rsidRPr="00A56E4D">
        <w:t xml:space="preserve">NSP, </w:t>
      </w:r>
      <w:r w:rsidR="002B3EED">
        <w:t xml:space="preserve">Interviewed </w:t>
      </w:r>
      <w:r w:rsidRPr="00A56E4D">
        <w:t>September 2020).</w:t>
      </w:r>
    </w:p>
    <w:p w14:paraId="33398279" w14:textId="640D500D" w:rsidR="00CA5EEA" w:rsidRDefault="00CA5EEA" w:rsidP="00700D60">
      <w:pPr>
        <w:pStyle w:val="Quote"/>
      </w:pPr>
      <w:r w:rsidRPr="00A56E4D">
        <w:t xml:space="preserve">They don’t know where to get it. They don’t know that it’s free, and they probably don’t know that it’s readily available. I’ve met a few people that didn’t know you can get it from pharmacies, or from doctors, and alcohol and drug services (WA, PUIO, </w:t>
      </w:r>
      <w:r w:rsidR="002B3EED">
        <w:t xml:space="preserve">Recruited from </w:t>
      </w:r>
      <w:r w:rsidRPr="00A56E4D">
        <w:t xml:space="preserve">NSP, </w:t>
      </w:r>
      <w:r w:rsidR="002B3EED">
        <w:t xml:space="preserve">Interviewed </w:t>
      </w:r>
      <w:r w:rsidRPr="00A56E4D">
        <w:t>M</w:t>
      </w:r>
      <w:r w:rsidR="00967186">
        <w:t>ay</w:t>
      </w:r>
      <w:r w:rsidRPr="00A56E4D">
        <w:t xml:space="preserve"> 2021).</w:t>
      </w:r>
    </w:p>
    <w:p w14:paraId="404F3BA4" w14:textId="77777777" w:rsidR="00CA5EEA" w:rsidRPr="00843340" w:rsidRDefault="00CA5EEA" w:rsidP="003D0F16">
      <w:pPr>
        <w:pStyle w:val="NbrHeading4"/>
      </w:pPr>
      <w:r>
        <w:t>Awareness of overdose risk</w:t>
      </w:r>
    </w:p>
    <w:p w14:paraId="64171187" w14:textId="30D1F2C9" w:rsidR="003113B7" w:rsidRDefault="001F0DB9">
      <w:pPr>
        <w:pStyle w:val="BodyText"/>
      </w:pPr>
      <w:r>
        <w:t xml:space="preserve">A lack of awareness of overdose risk was noted as a key ongoing barrier to THN amongst consumers – this was </w:t>
      </w:r>
      <w:r w:rsidR="008D27AD">
        <w:t>consistently communicated as</w:t>
      </w:r>
      <w:r>
        <w:t xml:space="preserve"> a </w:t>
      </w:r>
      <w:r w:rsidR="008D27AD">
        <w:t>barrier across the consumer interviews, access site staff interviews and roundtable participants.</w:t>
      </w:r>
    </w:p>
    <w:p w14:paraId="30189BA2" w14:textId="073634C6" w:rsidR="003113B7" w:rsidRDefault="003113B7" w:rsidP="007C6B5B">
      <w:pPr>
        <w:pStyle w:val="Quote"/>
      </w:pPr>
      <w:r w:rsidRPr="386217F3">
        <w:t xml:space="preserve">I think a lot of people are scared to admit that they can take too much without realising.  </w:t>
      </w:r>
      <w:r>
        <w:t>(WA, PUPO, Recruited from Community pharmacy, Interviewed March 2021).</w:t>
      </w:r>
    </w:p>
    <w:p w14:paraId="3AAFDAB2" w14:textId="436DE623" w:rsidR="00CA5EEA" w:rsidRDefault="00D0112D" w:rsidP="003D0F16">
      <w:r>
        <w:rPr>
          <w:rFonts w:ascii="Arial" w:eastAsia="Arial" w:hAnsi="Arial" w:cs="Arial"/>
        </w:rPr>
        <w:t>Some c</w:t>
      </w:r>
      <w:r w:rsidR="007D7C95">
        <w:rPr>
          <w:rFonts w:ascii="Arial" w:eastAsia="Arial" w:hAnsi="Arial" w:cs="Arial"/>
        </w:rPr>
        <w:t>onsumers</w:t>
      </w:r>
      <w:r w:rsidR="00CA5EEA">
        <w:rPr>
          <w:rFonts w:ascii="Arial" w:eastAsia="Arial" w:hAnsi="Arial" w:cs="Arial"/>
        </w:rPr>
        <w:t xml:space="preserve"> reported</w:t>
      </w:r>
      <w:r w:rsidR="00CA5EEA" w:rsidRPr="07F7580D">
        <w:rPr>
          <w:rFonts w:ascii="Arial" w:eastAsia="Arial" w:hAnsi="Arial" w:cs="Arial"/>
        </w:rPr>
        <w:t xml:space="preserve"> </w:t>
      </w:r>
      <w:r w:rsidR="007D7C95">
        <w:rPr>
          <w:rFonts w:ascii="Arial" w:eastAsia="Arial" w:hAnsi="Arial" w:cs="Arial"/>
        </w:rPr>
        <w:t>that</w:t>
      </w:r>
      <w:r w:rsidR="00CA5EEA" w:rsidRPr="07F7580D">
        <w:rPr>
          <w:rFonts w:ascii="Arial" w:eastAsia="Arial" w:hAnsi="Arial" w:cs="Arial"/>
        </w:rPr>
        <w:t xml:space="preserve"> </w:t>
      </w:r>
      <w:r w:rsidR="007D7C95">
        <w:rPr>
          <w:rFonts w:ascii="Arial" w:eastAsia="Arial" w:hAnsi="Arial" w:cs="Arial"/>
        </w:rPr>
        <w:t xml:space="preserve">even where </w:t>
      </w:r>
      <w:r>
        <w:rPr>
          <w:rFonts w:ascii="Arial" w:eastAsia="Arial" w:hAnsi="Arial" w:cs="Arial"/>
        </w:rPr>
        <w:t xml:space="preserve">the risk of overdose from opioids was </w:t>
      </w:r>
      <w:r w:rsidR="00AD4F47">
        <w:rPr>
          <w:rFonts w:ascii="Arial" w:eastAsia="Arial" w:hAnsi="Arial" w:cs="Arial"/>
        </w:rPr>
        <w:t>understood, people</w:t>
      </w:r>
      <w:r w:rsidR="00405C7F">
        <w:rPr>
          <w:rFonts w:ascii="Arial" w:eastAsia="Arial" w:hAnsi="Arial" w:cs="Arial"/>
        </w:rPr>
        <w:t xml:space="preserve"> may still not believe they themselves are at risk</w:t>
      </w:r>
      <w:r w:rsidR="00CA5EEA" w:rsidRPr="07F7580D">
        <w:rPr>
          <w:rFonts w:ascii="Arial" w:eastAsia="Arial" w:hAnsi="Arial" w:cs="Arial"/>
        </w:rPr>
        <w:t>:</w:t>
      </w:r>
    </w:p>
    <w:p w14:paraId="0765A985" w14:textId="26EE38B2" w:rsidR="00CA5EEA" w:rsidRDefault="00CA5EEA" w:rsidP="003D0F16">
      <w:pPr>
        <w:pStyle w:val="Quote"/>
      </w:pPr>
      <w:r w:rsidRPr="00CE49C3">
        <w:t xml:space="preserve">I think a lot of people don’t think it’s </w:t>
      </w:r>
      <w:proofErr w:type="spellStart"/>
      <w:r w:rsidRPr="00CE49C3">
        <w:t>gonna</w:t>
      </w:r>
      <w:proofErr w:type="spellEnd"/>
      <w:r w:rsidRPr="00CE49C3">
        <w:t xml:space="preserve"> happen to them. [They think] this kind of thing always happens to somebody else, but they don’t realise</w:t>
      </w:r>
      <w:r w:rsidR="008A08E4" w:rsidRPr="00CE49C3">
        <w:t>...</w:t>
      </w:r>
      <w:r w:rsidR="00C746C7">
        <w:t xml:space="preserve"> </w:t>
      </w:r>
      <w:r w:rsidRPr="00CE49C3">
        <w:t xml:space="preserve">(SA, PUIO, </w:t>
      </w:r>
      <w:r w:rsidR="00851AD5">
        <w:t>Recruited from Community pharmacy</w:t>
      </w:r>
      <w:r w:rsidRPr="00CE49C3">
        <w:t>,</w:t>
      </w:r>
      <w:r w:rsidR="00851AD5">
        <w:t xml:space="preserve"> Interviewed</w:t>
      </w:r>
      <w:r w:rsidRPr="00CE49C3">
        <w:t xml:space="preserve"> August 2020).</w:t>
      </w:r>
    </w:p>
    <w:p w14:paraId="62251866" w14:textId="0B743CC9" w:rsidR="00CA5EEA" w:rsidRDefault="003E75AC" w:rsidP="003D0F16">
      <w:r>
        <w:rPr>
          <w:rFonts w:ascii="Arial" w:eastAsia="Arial" w:hAnsi="Arial" w:cs="Arial"/>
        </w:rPr>
        <w:t>T</w:t>
      </w:r>
      <w:r w:rsidR="00CA5EEA" w:rsidRPr="07F7580D">
        <w:rPr>
          <w:rFonts w:ascii="Arial" w:eastAsia="Arial" w:hAnsi="Arial" w:cs="Arial"/>
        </w:rPr>
        <w:t>his was reported as being an issue even for some whilst in a situation presenting as an overdose:</w:t>
      </w:r>
    </w:p>
    <w:p w14:paraId="7E02F590" w14:textId="48EFC08B" w:rsidR="00CA5EEA" w:rsidRDefault="00CA5EEA" w:rsidP="00A16953">
      <w:pPr>
        <w:pStyle w:val="Quote"/>
      </w:pPr>
      <w:r w:rsidRPr="386217F3">
        <w:t xml:space="preserve">The only thing is that people that need it the most are the ones that are </w:t>
      </w:r>
      <w:proofErr w:type="gramStart"/>
      <w:r w:rsidRPr="386217F3">
        <w:t>overdosing</w:t>
      </w:r>
      <w:proofErr w:type="gramEnd"/>
      <w:r w:rsidRPr="386217F3">
        <w:t xml:space="preserve"> and I don't know if they want it because they don't want to come out of that hit. I had to speak to one guy who had the nasal spray used on him and he seemed quite cross about it because he believed that he wasn't overdosing...he just...you know, was enjoying his high, but to everybody else, he looked like he overdosed - </w:t>
      </w:r>
      <w:r>
        <w:t xml:space="preserve">(WA, PUIO, </w:t>
      </w:r>
      <w:r w:rsidR="00851AD5">
        <w:t>Recruited from Community pharmacy</w:t>
      </w:r>
      <w:r>
        <w:t xml:space="preserve">, </w:t>
      </w:r>
      <w:r w:rsidR="00851AD5">
        <w:t xml:space="preserve">Interviewed </w:t>
      </w:r>
      <w:r>
        <w:t>September 2020).</w:t>
      </w:r>
    </w:p>
    <w:p w14:paraId="793C2107" w14:textId="306B1D7F" w:rsidR="00A1675B" w:rsidRDefault="00A1675B" w:rsidP="00A1675B">
      <w:pPr>
        <w:pStyle w:val="BodyText"/>
      </w:pPr>
      <w:r>
        <w:t xml:space="preserve">Some staff members that were interviewed noted that some consumers could become defensive when offered </w:t>
      </w:r>
      <w:r w:rsidR="00DE5A3A">
        <w:t>THN</w:t>
      </w:r>
      <w:r>
        <w:t>:</w:t>
      </w:r>
    </w:p>
    <w:p w14:paraId="12CBF119" w14:textId="77777777" w:rsidR="00A1675B" w:rsidRPr="00264450" w:rsidRDefault="00A1675B" w:rsidP="00A1675B">
      <w:pPr>
        <w:pStyle w:val="Quote"/>
      </w:pPr>
      <w:r w:rsidRPr="00264450">
        <w:t xml:space="preserve">Some of the methadone people are like oh no I am right I am right. Just because they think we are accusing them of different things. But </w:t>
      </w:r>
      <w:proofErr w:type="gramStart"/>
      <w:r w:rsidRPr="00264450">
        <w:t>yeah</w:t>
      </w:r>
      <w:proofErr w:type="gramEnd"/>
      <w:r w:rsidRPr="00264450">
        <w:t xml:space="preserve"> most people are fine with it, they understand it is just there as a precaution</w:t>
      </w:r>
      <w:r>
        <w:t xml:space="preserve"> (NSW, Community Pharmacy staff member, Interviewed May 2020).</w:t>
      </w:r>
    </w:p>
    <w:p w14:paraId="30BA6186" w14:textId="4C35B4F7" w:rsidR="00A1675B" w:rsidRPr="00A1675B" w:rsidRDefault="00A1675B" w:rsidP="00A1675B">
      <w:r>
        <w:t>This indicates that awareness of opioid overdose risk is an ongoing barrier that will need to be addressed in a national roll-out of THN.</w:t>
      </w:r>
    </w:p>
    <w:p w14:paraId="1D1DBC4E" w14:textId="3F9B34D2" w:rsidR="00CA5EEA" w:rsidRDefault="00030052" w:rsidP="003D0F16">
      <w:pPr>
        <w:pStyle w:val="NbrHeading4"/>
      </w:pPr>
      <w:r>
        <w:lastRenderedPageBreak/>
        <w:t>Availability</w:t>
      </w:r>
      <w:r w:rsidR="00CA5EEA">
        <w:t xml:space="preserve"> of THN at desired location for access</w:t>
      </w:r>
    </w:p>
    <w:p w14:paraId="57459843" w14:textId="77777777" w:rsidR="009A2534" w:rsidRDefault="00CA5EEA" w:rsidP="003D0F16">
      <w:r>
        <w:t xml:space="preserve">Consumers noted that a barrier to uptake of THN was the lack of availability of THN at some locations. </w:t>
      </w:r>
    </w:p>
    <w:p w14:paraId="71D80BF1" w14:textId="3335534B" w:rsidR="009A2534" w:rsidRDefault="009A2534" w:rsidP="009A2534">
      <w:r>
        <w:t>Many consumers also noted that THN was still not available from other access site types that they would like to access it from. This was particularly common amongst SA participants, where participants are only able to directly access THN from a pharmacy.</w:t>
      </w:r>
    </w:p>
    <w:p w14:paraId="4E0586BE" w14:textId="22A9526E" w:rsidR="006A13CE" w:rsidRDefault="006A13CE" w:rsidP="00C1353D">
      <w:pPr>
        <w:pStyle w:val="Quote"/>
      </w:pPr>
      <w:proofErr w:type="gramStart"/>
      <w:r w:rsidRPr="006A13CE">
        <w:t>Well</w:t>
      </w:r>
      <w:proofErr w:type="gramEnd"/>
      <w:r w:rsidRPr="006A13CE">
        <w:t xml:space="preserve"> it would make it easier if they could just get it from the clean needle program. Or from their drug and alcohol counsellor, or their social worker, or their welfare worker or their DV worker or, you know, any of those services that they access instead of having to get a voucher and take the voucher to the pharmacy and, you know, trying to find out which pharmacy is that’s participating in the program, and then going there, and then the pharmacy might not have it in </w:t>
      </w:r>
      <w:proofErr w:type="gramStart"/>
      <w:r w:rsidRPr="006A13CE">
        <w:t>stock</w:t>
      </w:r>
      <w:proofErr w:type="gramEnd"/>
      <w:r w:rsidRPr="006A13CE">
        <w:t xml:space="preserve"> so they have to go back. It would be so much easier if when they come in and get their injection equipment, they can get naloxone instead of a voucher </w:t>
      </w:r>
      <w:r w:rsidR="00D6634F">
        <w:t xml:space="preserve">(SA, PUIO, </w:t>
      </w:r>
      <w:r w:rsidR="005579E6">
        <w:t xml:space="preserve">Recruited from NSP/CNP, </w:t>
      </w:r>
      <w:r w:rsidR="00C1353D">
        <w:t>Interviewed August 2020).</w:t>
      </w:r>
    </w:p>
    <w:p w14:paraId="18CDD08F" w14:textId="36E50BC4" w:rsidR="00CA5EEA" w:rsidRPr="00484F19" w:rsidRDefault="00C1353D" w:rsidP="003D0F16">
      <w:r>
        <w:t>As indicated above, s</w:t>
      </w:r>
      <w:r w:rsidR="00CA5EEA">
        <w:t xml:space="preserve">ome consumers noted that they had attempted to attend pharmacies that were listed </w:t>
      </w:r>
      <w:r w:rsidR="00F1370F">
        <w:t>as</w:t>
      </w:r>
      <w:r w:rsidR="00CA5EEA">
        <w:t xml:space="preserve"> THN Pilot </w:t>
      </w:r>
      <w:r w:rsidR="00950644">
        <w:t>pharmacies</w:t>
      </w:r>
      <w:r w:rsidR="00CA5EEA">
        <w:t>, however when they attended staff had been unaware of the Pilot or no naloxone was available.</w:t>
      </w:r>
    </w:p>
    <w:p w14:paraId="2AC6B7B8" w14:textId="06462C58" w:rsidR="00CA5EEA" w:rsidRPr="003F0021" w:rsidRDefault="00CA5EEA" w:rsidP="003F0021">
      <w:pPr>
        <w:pStyle w:val="Quote"/>
      </w:pPr>
      <w:r w:rsidRPr="003F0021">
        <w:t xml:space="preserve">I went in with my voucher and the first person I spoke to didn’t know anything about it. She then took it to, I guess, the head pharmacist. He knew about it. Even if the pharmacies are participating, not all staff are informed about it, so people might get turned away because the staff aren’t informed, and that’s something I’ve </w:t>
      </w:r>
      <w:proofErr w:type="gramStart"/>
      <w:r w:rsidRPr="003F0021">
        <w:t>actually heard</w:t>
      </w:r>
      <w:proofErr w:type="gramEnd"/>
      <w:r w:rsidRPr="003F0021">
        <w:t xml:space="preserve"> has been happening (SA, PUIO, </w:t>
      </w:r>
      <w:r w:rsidR="00572BCB">
        <w:t>Recruited from Community pharmacy</w:t>
      </w:r>
      <w:r w:rsidR="00B04727">
        <w:t xml:space="preserve">, </w:t>
      </w:r>
      <w:r w:rsidR="00572BCB">
        <w:t xml:space="preserve">Interviewed </w:t>
      </w:r>
      <w:r w:rsidRPr="003F0021">
        <w:t>March 2020).</w:t>
      </w:r>
    </w:p>
    <w:p w14:paraId="2482E968" w14:textId="6A22AC2C" w:rsidR="00CA5EEA" w:rsidRDefault="00E6028D" w:rsidP="003D0F16">
      <w:r>
        <w:t xml:space="preserve">This issue was noted for some large chain pharmacies, where a Head Office representative had </w:t>
      </w:r>
      <w:r w:rsidR="001B40C2">
        <w:t xml:space="preserve">registered all their </w:t>
      </w:r>
      <w:r w:rsidR="000A0208">
        <w:t>subsidiaries,</w:t>
      </w:r>
      <w:r w:rsidR="001B40C2">
        <w:t xml:space="preserve"> but the information had not been </w:t>
      </w:r>
      <w:r w:rsidR="00D45ABE">
        <w:t xml:space="preserve">communicated </w:t>
      </w:r>
      <w:r w:rsidR="00393C6D">
        <w:t>at individual pharmacy level</w:t>
      </w:r>
      <w:r w:rsidR="000F5FB8">
        <w:t xml:space="preserve"> and naloxone was not in stock</w:t>
      </w:r>
      <w:r w:rsidR="00393C6D">
        <w:t>.</w:t>
      </w:r>
    </w:p>
    <w:p w14:paraId="4381DCC9" w14:textId="1088A0C7" w:rsidR="008866A6" w:rsidRDefault="008866A6" w:rsidP="008866A6">
      <w:r w:rsidRPr="4E2ABE9A">
        <w:rPr>
          <w:rFonts w:ascii="Arial" w:eastAsia="Arial" w:hAnsi="Arial" w:cs="Arial"/>
        </w:rPr>
        <w:t xml:space="preserve">Access site staff members </w:t>
      </w:r>
      <w:r w:rsidR="00127C47">
        <w:rPr>
          <w:rFonts w:ascii="Arial" w:eastAsia="Arial" w:hAnsi="Arial" w:cs="Arial"/>
        </w:rPr>
        <w:t xml:space="preserve">noted that </w:t>
      </w:r>
      <w:r w:rsidRPr="4E2ABE9A">
        <w:rPr>
          <w:rFonts w:ascii="Arial" w:eastAsia="Arial" w:hAnsi="Arial" w:cs="Arial"/>
        </w:rPr>
        <w:t xml:space="preserve">stock </w:t>
      </w:r>
      <w:r w:rsidR="00127C47">
        <w:rPr>
          <w:rFonts w:ascii="Arial" w:eastAsia="Arial" w:hAnsi="Arial" w:cs="Arial"/>
        </w:rPr>
        <w:t xml:space="preserve">expiry could present one barrier to pharmacists stocking THN, </w:t>
      </w:r>
      <w:r w:rsidRPr="4E2ABE9A">
        <w:rPr>
          <w:rFonts w:ascii="Arial" w:eastAsia="Arial" w:hAnsi="Arial" w:cs="Arial"/>
        </w:rPr>
        <w:t>but acknowledged it was an issue that could be addressed</w:t>
      </w:r>
      <w:r w:rsidR="00127C47">
        <w:rPr>
          <w:rFonts w:ascii="Arial" w:eastAsia="Arial" w:hAnsi="Arial" w:cs="Arial"/>
        </w:rPr>
        <w:t xml:space="preserve"> through stock management procedures</w:t>
      </w:r>
      <w:r w:rsidRPr="4E2ABE9A">
        <w:rPr>
          <w:rFonts w:ascii="Arial" w:eastAsia="Arial" w:hAnsi="Arial" w:cs="Arial"/>
        </w:rPr>
        <w:t>:</w:t>
      </w:r>
    </w:p>
    <w:p w14:paraId="67FFD5A5" w14:textId="77777777" w:rsidR="008866A6" w:rsidRDefault="008866A6" w:rsidP="008866A6">
      <w:pPr>
        <w:pStyle w:val="Quote"/>
      </w:pPr>
      <w:r w:rsidRPr="386217F3">
        <w:t xml:space="preserve">I guess and the only problem we had was it expiring before we could hand it out. Maybe we just need better control on our ordering procedures, like how much is going out so that we're not having any wastage </w:t>
      </w:r>
      <w:r>
        <w:t>(WA, Community pharmacy staff member, Interviewed April 2021).</w:t>
      </w:r>
    </w:p>
    <w:p w14:paraId="23209BEF" w14:textId="38D2D7C3" w:rsidR="00CA5EEA" w:rsidRDefault="008866A6" w:rsidP="00DE5A3A">
      <w:pPr>
        <w:pStyle w:val="Quote"/>
      </w:pPr>
      <w:r w:rsidRPr="00CE49C3">
        <w:t>I know in theory it expires this month and I know in practical terms the shelf life is a lot longer than that, but I think that’s maybe something to think about, the expiry date (SA</w:t>
      </w:r>
      <w:r>
        <w:t>, Community Pharmacy staff member</w:t>
      </w:r>
      <w:r w:rsidRPr="00CE49C3">
        <w:t xml:space="preserve">, </w:t>
      </w:r>
      <w:r>
        <w:t xml:space="preserve">Interviewed </w:t>
      </w:r>
      <w:r w:rsidRPr="00CE49C3">
        <w:t>January 2021).</w:t>
      </w:r>
    </w:p>
    <w:p w14:paraId="76E9017E" w14:textId="77777777" w:rsidR="00441DEE" w:rsidRDefault="00441DEE" w:rsidP="00441DEE">
      <w:pPr>
        <w:pStyle w:val="NbrHeading4"/>
        <w:rPr>
          <w:rFonts w:eastAsia="Calibri"/>
        </w:rPr>
      </w:pPr>
      <w:bookmarkStart w:id="323" w:name="_Toc78970213"/>
      <w:r>
        <w:rPr>
          <w:rFonts w:eastAsia="Calibri"/>
        </w:rPr>
        <w:t>Barriers to carriage: Perceptions about THN and overdose response</w:t>
      </w:r>
    </w:p>
    <w:p w14:paraId="7CB52824" w14:textId="786F18F5" w:rsidR="00441DEE" w:rsidRDefault="00441DEE" w:rsidP="00441DEE">
      <w:pPr>
        <w:pStyle w:val="BodyText"/>
        <w:rPr>
          <w:rFonts w:ascii="Calibri" w:eastAsia="Calibri" w:hAnsi="Calibri" w:cs="Calibri"/>
          <w:i/>
          <w:iCs/>
        </w:rPr>
      </w:pPr>
      <w:r>
        <w:t>A range of barriers to carriage of naloxone were highlighted by consumers, focused particularly on negative perceptions of naloxone, fear of police response to naloxone, and negative perceptions of naloxone.</w:t>
      </w:r>
      <w:r w:rsidR="00126D43">
        <w:t xml:space="preserve"> These barriers to carriage ar</w:t>
      </w:r>
      <w:r w:rsidR="00C43019">
        <w:t>e</w:t>
      </w:r>
      <w:r w:rsidR="00126D43">
        <w:t xml:space="preserve"> discussed below.</w:t>
      </w:r>
    </w:p>
    <w:p w14:paraId="4CD1E5A3" w14:textId="77777777" w:rsidR="00441DEE" w:rsidRDefault="00441DEE" w:rsidP="00441DEE">
      <w:pPr>
        <w:pStyle w:val="NbrHeading5"/>
      </w:pPr>
      <w:r>
        <w:lastRenderedPageBreak/>
        <w:t>Fear of police response to naloxone</w:t>
      </w:r>
    </w:p>
    <w:p w14:paraId="2B638219" w14:textId="7A39172F" w:rsidR="00441DEE" w:rsidRPr="001E2444" w:rsidRDefault="00441DEE" w:rsidP="00441DEE">
      <w:pPr>
        <w:pStyle w:val="BodyText"/>
      </w:pPr>
      <w:r w:rsidRPr="001E2444">
        <w:t>For people who use illicit opioids in particular, the fear of law enforcement presented a barrier to carriage of THN.</w:t>
      </w:r>
    </w:p>
    <w:p w14:paraId="2382B16E" w14:textId="77777777" w:rsidR="00441DEE" w:rsidRPr="003C35B2" w:rsidRDefault="00441DEE" w:rsidP="00441DEE">
      <w:pPr>
        <w:pStyle w:val="Quote"/>
      </w:pPr>
      <w:r w:rsidRPr="00CE49C3">
        <w:t xml:space="preserve">The main [barrier] would be the law. The possibility of coming under the police’s attention, attention of the police, and discrimination (NSW, PUPO, </w:t>
      </w:r>
      <w:r>
        <w:t xml:space="preserve">Recruited from </w:t>
      </w:r>
      <w:r w:rsidRPr="00CE49C3">
        <w:t xml:space="preserve">NSP, </w:t>
      </w:r>
      <w:r>
        <w:t xml:space="preserve">Interviewed </w:t>
      </w:r>
      <w:r w:rsidRPr="00CE49C3">
        <w:t>December 2020).</w:t>
      </w:r>
    </w:p>
    <w:p w14:paraId="3A657F0C" w14:textId="7E5B5B28" w:rsidR="00441DEE" w:rsidRPr="003C35B2" w:rsidRDefault="00441DEE" w:rsidP="00441DEE">
      <w:pPr>
        <w:pStyle w:val="Quote"/>
      </w:pPr>
      <w:r>
        <w:t xml:space="preserve">I think some drug </w:t>
      </w:r>
      <w:r w:rsidRPr="00433A6D">
        <w:t xml:space="preserve">users feel paranoid that they ...that their details will be given to police or other, that they will somehow get in trouble for their drug use, I think that is the main problem </w:t>
      </w:r>
      <w:r w:rsidRPr="57622091">
        <w:t xml:space="preserve">(WA, PUIO, </w:t>
      </w:r>
      <w:r>
        <w:t xml:space="preserve">Recruited from </w:t>
      </w:r>
      <w:r w:rsidRPr="57622091">
        <w:t xml:space="preserve">NSP, </w:t>
      </w:r>
      <w:r>
        <w:t xml:space="preserve">Interviewed </w:t>
      </w:r>
      <w:r w:rsidRPr="57622091">
        <w:t>September 2020).</w:t>
      </w:r>
    </w:p>
    <w:p w14:paraId="74076FE3" w14:textId="11C51694" w:rsidR="001673D9" w:rsidRPr="00A56E4D" w:rsidRDefault="001673D9" w:rsidP="001673D9">
      <w:pPr>
        <w:pStyle w:val="BodyText"/>
        <w:rPr>
          <w:rFonts w:ascii="Arial" w:eastAsia="Arial" w:hAnsi="Arial" w:cs="Arial"/>
        </w:rPr>
      </w:pPr>
      <w:r w:rsidRPr="00A56E4D">
        <w:rPr>
          <w:rFonts w:ascii="Arial" w:eastAsia="Arial" w:hAnsi="Arial" w:cs="Arial"/>
        </w:rPr>
        <w:t>Fear of repercussions from police interactions was also cited as a potential barrier</w:t>
      </w:r>
      <w:r>
        <w:rPr>
          <w:rFonts w:ascii="Arial" w:eastAsia="Arial" w:hAnsi="Arial" w:cs="Arial"/>
        </w:rPr>
        <w:t xml:space="preserve"> to carriage</w:t>
      </w:r>
      <w:r w:rsidRPr="00A56E4D">
        <w:rPr>
          <w:rFonts w:ascii="Arial" w:eastAsia="Arial" w:hAnsi="Arial" w:cs="Arial"/>
        </w:rPr>
        <w:t>:</w:t>
      </w:r>
    </w:p>
    <w:p w14:paraId="28EF0109" w14:textId="0135617D" w:rsidR="001673D9" w:rsidRPr="001673D9" w:rsidRDefault="001673D9" w:rsidP="001673D9">
      <w:pPr>
        <w:pStyle w:val="Quote"/>
        <w:rPr>
          <w:rFonts w:ascii="Arial" w:eastAsia="Arial" w:hAnsi="Arial" w:cs="Arial"/>
        </w:rPr>
      </w:pPr>
      <w:r w:rsidRPr="00A56E4D">
        <w:rPr>
          <w:rFonts w:ascii="Arial" w:eastAsia="Arial" w:hAnsi="Arial" w:cs="Arial"/>
        </w:rPr>
        <w:t xml:space="preserve">Another barrier could be the same reason why some people don’t want to carry equipment on them - if they get pulled up by the police, [the police] might be like ‘why do you have this on you?’ (WA, PUIO, </w:t>
      </w:r>
      <w:r>
        <w:rPr>
          <w:rFonts w:ascii="Arial" w:eastAsia="Arial" w:hAnsi="Arial" w:cs="Arial"/>
        </w:rPr>
        <w:t>Recruited from Community pharmacy</w:t>
      </w:r>
      <w:r w:rsidRPr="00A56E4D">
        <w:rPr>
          <w:rFonts w:ascii="Arial" w:eastAsia="Arial" w:hAnsi="Arial" w:cs="Arial"/>
        </w:rPr>
        <w:t xml:space="preserve">, </w:t>
      </w:r>
      <w:r>
        <w:rPr>
          <w:rFonts w:ascii="Arial" w:eastAsia="Arial" w:hAnsi="Arial" w:cs="Arial"/>
        </w:rPr>
        <w:t xml:space="preserve">Interviewed </w:t>
      </w:r>
      <w:r w:rsidRPr="00A56E4D">
        <w:rPr>
          <w:rFonts w:ascii="Arial" w:eastAsia="Arial" w:hAnsi="Arial" w:cs="Arial"/>
        </w:rPr>
        <w:t>September 2020).</w:t>
      </w:r>
    </w:p>
    <w:p w14:paraId="62C7AF92" w14:textId="6F78BEC7" w:rsidR="00441DEE" w:rsidRPr="006D2726" w:rsidRDefault="00441DEE" w:rsidP="00441DEE">
      <w:pPr>
        <w:rPr>
          <w:rFonts w:ascii="Calibri" w:eastAsia="Calibri" w:hAnsi="Calibri" w:cs="Calibri"/>
          <w:i/>
          <w:iCs/>
        </w:rPr>
      </w:pPr>
      <w:r>
        <w:t>S</w:t>
      </w:r>
      <w:r w:rsidRPr="006D2726">
        <w:t xml:space="preserve">ome participants </w:t>
      </w:r>
      <w:r>
        <w:t xml:space="preserve">(from multiple jurisdictions) </w:t>
      </w:r>
      <w:r w:rsidRPr="006D2726">
        <w:t xml:space="preserve">reported that their </w:t>
      </w:r>
      <w:proofErr w:type="spellStart"/>
      <w:r w:rsidRPr="006D2726">
        <w:t>Prenoxad</w:t>
      </w:r>
      <w:proofErr w:type="spellEnd"/>
      <w:r w:rsidRPr="006D2726">
        <w:t xml:space="preserve"> </w:t>
      </w:r>
      <w:r w:rsidR="0D542855" w:rsidRPr="2645DD6C">
        <w:t>®</w:t>
      </w:r>
      <w:r w:rsidR="438BC882">
        <w:t xml:space="preserve"> </w:t>
      </w:r>
      <w:r>
        <w:t>was</w:t>
      </w:r>
      <w:r w:rsidRPr="006D2726">
        <w:t xml:space="preserve"> seized by the police, as the</w:t>
      </w:r>
      <w:r>
        <w:t xml:space="preserve"> officers</w:t>
      </w:r>
      <w:r w:rsidRPr="006D2726">
        <w:t xml:space="preserve"> thought that it was illegal</w:t>
      </w:r>
      <w:r>
        <w:t>. Recent training provided to the Police Force in WA is likely to counter this and would be helpful in all jurisdictions.</w:t>
      </w:r>
    </w:p>
    <w:p w14:paraId="21A7676E" w14:textId="77777777" w:rsidR="00441DEE" w:rsidRPr="0005156F" w:rsidRDefault="00441DEE" w:rsidP="00441DEE">
      <w:pPr>
        <w:pStyle w:val="BodyText"/>
      </w:pPr>
      <w:r>
        <w:t xml:space="preserve">It is not within the scope of this report to comment in detail about Good Samaritan legislation, however this was raised by </w:t>
      </w:r>
      <w:proofErr w:type="gramStart"/>
      <w:r>
        <w:t>a number of</w:t>
      </w:r>
      <w:proofErr w:type="gramEnd"/>
      <w:r>
        <w:t xml:space="preserve"> access site staff, roundtable participants and consumers, and is also an issue identified in the literature. </w:t>
      </w:r>
    </w:p>
    <w:p w14:paraId="2E37B650" w14:textId="6F7897E4" w:rsidR="00441DEE" w:rsidRDefault="00441DEE" w:rsidP="00441DEE">
      <w:pPr>
        <w:pStyle w:val="Quote"/>
        <w:rPr>
          <w:rFonts w:ascii="Calibri" w:eastAsia="Calibri" w:hAnsi="Calibri" w:cs="Calibri"/>
        </w:rPr>
      </w:pPr>
      <w:r w:rsidRPr="005C65C7">
        <w:t>People are worried about getting into trouble</w:t>
      </w:r>
      <w:r w:rsidRPr="006F58B5">
        <w:t xml:space="preserve"> ...you give out an injection that saves a life and they could </w:t>
      </w:r>
      <w:r w:rsidRPr="003A2EF2">
        <w:t xml:space="preserve">end up suing you, </w:t>
      </w:r>
      <w:r w:rsidRPr="00C139C0">
        <w:t xml:space="preserve">or if it doesn't save a life, you could be done for manslaughter.  There </w:t>
      </w:r>
      <w:r w:rsidRPr="462F53F5">
        <w:t xml:space="preserve">are just, so many grey areas with it. I’ve seen people walk past people who overdose because they just don’t want to be involved because it might get them in trouble which is a sad thing when it comes to a human life, but you also look at their point of view. They could be professional people. They don’t need to drag their life down. I know lot of people are concerned to help people because there will be repercussions later (WA, PUIO, </w:t>
      </w:r>
      <w:r>
        <w:t>Recruited from Community pharmacy</w:t>
      </w:r>
      <w:r w:rsidRPr="462F53F5">
        <w:t xml:space="preserve">, </w:t>
      </w:r>
      <w:r>
        <w:t xml:space="preserve">Interviewed </w:t>
      </w:r>
      <w:r w:rsidRPr="462F53F5">
        <w:t>March 2021).</w:t>
      </w:r>
    </w:p>
    <w:p w14:paraId="2A59DC40" w14:textId="75D85802" w:rsidR="00441DEE" w:rsidRPr="001673D9" w:rsidRDefault="001673D9" w:rsidP="001673D9">
      <w:pPr>
        <w:pStyle w:val="Quote"/>
      </w:pPr>
      <w:r w:rsidRPr="00CE49C3">
        <w:t xml:space="preserve">[The biggest barrier is] probably getting in trouble with the police. Like if they stay with that person if that’s </w:t>
      </w:r>
      <w:proofErr w:type="spellStart"/>
      <w:r w:rsidRPr="00CE49C3">
        <w:t>gonna</w:t>
      </w:r>
      <w:proofErr w:type="spellEnd"/>
      <w:r w:rsidRPr="00CE49C3">
        <w:t xml:space="preserve"> get them done for being intoxicated or whatever (SA, PUPO, </w:t>
      </w:r>
      <w:r>
        <w:t>Recruited from Community pharmacy</w:t>
      </w:r>
      <w:r w:rsidRPr="00CE49C3">
        <w:t xml:space="preserve">, </w:t>
      </w:r>
      <w:r>
        <w:t xml:space="preserve">Interviewed </w:t>
      </w:r>
      <w:r w:rsidRPr="00CE49C3">
        <w:t>November 2020).</w:t>
      </w:r>
      <w:r>
        <w:t xml:space="preserve"> </w:t>
      </w:r>
    </w:p>
    <w:p w14:paraId="62956966" w14:textId="588A199E" w:rsidR="00441DEE" w:rsidRDefault="00441DEE" w:rsidP="00441DEE">
      <w:r>
        <w:rPr>
          <w:rStyle w:val="BodyTextChar"/>
        </w:rPr>
        <w:t xml:space="preserve">Fear of law enforcement </w:t>
      </w:r>
      <w:r w:rsidR="001673D9">
        <w:rPr>
          <w:rStyle w:val="BodyTextChar"/>
        </w:rPr>
        <w:t>not only impacted on willingness to carry naloxone, but also willingness</w:t>
      </w:r>
      <w:r>
        <w:rPr>
          <w:rStyle w:val="BodyTextChar"/>
        </w:rPr>
        <w:t xml:space="preserve"> to perform the full opioid overdose response, including calling an ambulance. </w:t>
      </w:r>
      <w:r w:rsidRPr="00A24ACB">
        <w:rPr>
          <w:rStyle w:val="BodyTextChar"/>
        </w:rPr>
        <w:t>Consumers noted that either the</w:t>
      </w:r>
      <w:r>
        <w:rPr>
          <w:rStyle w:val="BodyTextChar"/>
        </w:rPr>
        <w:t>y</w:t>
      </w:r>
      <w:r w:rsidRPr="00A24ACB">
        <w:rPr>
          <w:rStyle w:val="BodyTextChar"/>
        </w:rPr>
        <w:t xml:space="preserve"> or people within their social networks had expressed some hesitancy about ca</w:t>
      </w:r>
      <w:r>
        <w:rPr>
          <w:rStyle w:val="BodyTextChar"/>
        </w:rPr>
        <w:t>lling an ambulance for fear that police would accompany the ambulance.</w:t>
      </w:r>
    </w:p>
    <w:p w14:paraId="33136DA5" w14:textId="2CF36111" w:rsidR="00BE477E" w:rsidRPr="00BE477E" w:rsidRDefault="00441DEE" w:rsidP="00BE477E">
      <w:pPr>
        <w:pStyle w:val="Quote"/>
      </w:pPr>
      <w:r w:rsidRPr="00CE49C3">
        <w:t xml:space="preserve">I’d be fearful of ringing </w:t>
      </w:r>
      <w:proofErr w:type="gramStart"/>
      <w:r w:rsidRPr="00CE49C3">
        <w:t>an ambulance and police</w:t>
      </w:r>
      <w:proofErr w:type="gramEnd"/>
      <w:r w:rsidRPr="00CE49C3">
        <w:t xml:space="preserve"> turned up and searched my car and found naloxone in the glovebox… it’s that stigma that as soon as the police see something like that, you’re a druggie (SA, PUIO, </w:t>
      </w:r>
      <w:r>
        <w:t>Recruited from Community pharmacy</w:t>
      </w:r>
      <w:r w:rsidRPr="00CE49C3">
        <w:t xml:space="preserve">, </w:t>
      </w:r>
      <w:r>
        <w:t xml:space="preserve">Interviewed </w:t>
      </w:r>
      <w:r w:rsidRPr="00CE49C3">
        <w:t>January 2021).</w:t>
      </w:r>
    </w:p>
    <w:p w14:paraId="2414AF36" w14:textId="18932E2B" w:rsidR="00F72B13" w:rsidRPr="00F72B13" w:rsidRDefault="005C4D73" w:rsidP="00F72B13">
      <w:pPr>
        <w:pStyle w:val="Quote"/>
      </w:pPr>
      <w:r>
        <w:lastRenderedPageBreak/>
        <w:t xml:space="preserve">But a lot of people hold the fear that once the ambulance </w:t>
      </w:r>
      <w:proofErr w:type="gramStart"/>
      <w:r>
        <w:t>are</w:t>
      </w:r>
      <w:proofErr w:type="gramEnd"/>
      <w:r>
        <w:t xml:space="preserve"> called then the police are going to come and the law is involved. (NSW, PUIO, Recruited from NSP, Interviewed May 2021).</w:t>
      </w:r>
    </w:p>
    <w:p w14:paraId="0B62284A" w14:textId="77777777" w:rsidR="00441DEE" w:rsidRPr="00A24ACB" w:rsidRDefault="00441DEE" w:rsidP="00441DEE">
      <w:pPr>
        <w:pStyle w:val="NbrHeading5"/>
      </w:pPr>
      <w:r>
        <w:t>Negative perceptions about naloxone</w:t>
      </w:r>
    </w:p>
    <w:p w14:paraId="4FB04E16" w14:textId="5761DC58" w:rsidR="00441DEE" w:rsidRDefault="00D2690C" w:rsidP="00FC305D">
      <w:pPr>
        <w:pStyle w:val="BodyText"/>
      </w:pPr>
      <w:r>
        <w:t>Many consumers noted that naloxone, particularly Narcan, had a reputation for reducing the positive or desired effects of the opioid.</w:t>
      </w:r>
      <w:r w:rsidR="00FC305D">
        <w:t xml:space="preserve"> </w:t>
      </w:r>
      <w:r w:rsidR="00FC305D">
        <w:rPr>
          <w:rFonts w:ascii="Arial" w:eastAsia="Arial" w:hAnsi="Arial" w:cs="Arial"/>
        </w:rPr>
        <w:t>This could contribute</w:t>
      </w:r>
      <w:r w:rsidR="00441DEE" w:rsidRPr="4E2ABE9A">
        <w:rPr>
          <w:rFonts w:ascii="Arial" w:eastAsia="Arial" w:hAnsi="Arial" w:cs="Arial"/>
        </w:rPr>
        <w:t xml:space="preserve"> to a reluctance of others to use naloxone in situations where the receiver may become angry:</w:t>
      </w:r>
    </w:p>
    <w:p w14:paraId="39B08C77" w14:textId="40D78A29" w:rsidR="00441DEE" w:rsidRDefault="00441DEE" w:rsidP="00441DEE">
      <w:pPr>
        <w:pStyle w:val="Quote"/>
      </w:pPr>
      <w:r w:rsidRPr="386217F3">
        <w:t xml:space="preserve">A lot of people don't </w:t>
      </w:r>
      <w:proofErr w:type="spellStart"/>
      <w:r w:rsidRPr="386217F3">
        <w:t>wanna</w:t>
      </w:r>
      <w:proofErr w:type="spellEnd"/>
      <w:r w:rsidRPr="386217F3">
        <w:t xml:space="preserve"> use it on an opioid addict, because it's </w:t>
      </w:r>
      <w:proofErr w:type="spellStart"/>
      <w:r w:rsidRPr="386217F3">
        <w:t>gonna</w:t>
      </w:r>
      <w:proofErr w:type="spellEnd"/>
      <w:r w:rsidRPr="386217F3">
        <w:t xml:space="preserve"> put them into opiate withdrawal and they're not </w:t>
      </w:r>
      <w:proofErr w:type="spellStart"/>
      <w:r w:rsidRPr="386217F3">
        <w:t>gonna</w:t>
      </w:r>
      <w:proofErr w:type="spellEnd"/>
      <w:r w:rsidRPr="386217F3">
        <w:t xml:space="preserve"> thank you for it, even though you just saved their life. I think that's the only resistance addicts have on using it </w:t>
      </w:r>
      <w:r>
        <w:t>(WA, PUIO, Recruited from NSP, Interviewed September 2020).</w:t>
      </w:r>
    </w:p>
    <w:p w14:paraId="1ACCDBD8" w14:textId="00DA1F04" w:rsidR="00441DEE" w:rsidRDefault="00C43019" w:rsidP="00FC305D">
      <w:pPr>
        <w:pStyle w:val="BodyText"/>
      </w:pPr>
      <w:r>
        <w:t xml:space="preserve">Mystery </w:t>
      </w:r>
      <w:r w:rsidR="00634652">
        <w:t xml:space="preserve">shopping </w:t>
      </w:r>
      <w:r w:rsidR="00F95BE0">
        <w:t xml:space="preserve">also noted this issue. During two mystery shopping observations, the mystery </w:t>
      </w:r>
      <w:r w:rsidR="007A7017">
        <w:t>shopper</w:t>
      </w:r>
      <w:r w:rsidR="00F95BE0">
        <w:t xml:space="preserve"> was warned by staff that </w:t>
      </w:r>
      <w:r>
        <w:t>recipients of naloxone could become angry or aggressive:</w:t>
      </w:r>
    </w:p>
    <w:p w14:paraId="57D6DE82" w14:textId="1A5A93A7" w:rsidR="00441DEE" w:rsidRDefault="00441DEE" w:rsidP="00F03137">
      <w:pPr>
        <w:pStyle w:val="Quote"/>
      </w:pPr>
      <w:r w:rsidRPr="00817D11">
        <w:t>He warned of the reaction</w:t>
      </w:r>
      <w:r w:rsidRPr="00817D11" w:rsidDel="00E30829">
        <w:t xml:space="preserve"> </w:t>
      </w:r>
      <w:r w:rsidRPr="00817D11">
        <w:t xml:space="preserve">of someone who had been brought back from a great $200 high and would be very unhappy and possibly angry and aggressive (Mystery </w:t>
      </w:r>
      <w:r w:rsidR="00634652" w:rsidRPr="00817D11">
        <w:t>Shopp</w:t>
      </w:r>
      <w:r w:rsidR="00634652">
        <w:t>ing</w:t>
      </w:r>
      <w:r w:rsidRPr="00817D11">
        <w:t>, Community pharmacy, WA</w:t>
      </w:r>
      <w:r>
        <w:t>)</w:t>
      </w:r>
      <w:r w:rsidR="00FC305D">
        <w:t>.</w:t>
      </w:r>
    </w:p>
    <w:p w14:paraId="69230A6C" w14:textId="15B4CD57" w:rsidR="00CA5022" w:rsidRPr="00CA5022" w:rsidRDefault="00441DEE" w:rsidP="00CA5022">
      <w:pPr>
        <w:pStyle w:val="Quote"/>
      </w:pPr>
      <w:r w:rsidRPr="009964E7">
        <w:t xml:space="preserve">I then asked her if there were any side effects and she said:" People can get very </w:t>
      </w:r>
      <w:proofErr w:type="spellStart"/>
      <w:r w:rsidRPr="009964E7">
        <w:t>very</w:t>
      </w:r>
      <w:proofErr w:type="spellEnd"/>
      <w:r w:rsidRPr="009964E7">
        <w:t xml:space="preserve"> </w:t>
      </w:r>
      <w:r w:rsidRPr="00E237EB">
        <w:t>angry if they have take</w:t>
      </w:r>
      <w:r w:rsidR="009964E7" w:rsidRPr="00E237EB">
        <w:t>n</w:t>
      </w:r>
      <w:r w:rsidRPr="00E237EB">
        <w:t xml:space="preserve"> heroin and enter into withdrawal.". </w:t>
      </w:r>
      <w:r w:rsidR="009964E7" w:rsidRPr="00E237EB">
        <w:t>However,</w:t>
      </w:r>
      <w:r w:rsidRPr="00E237EB">
        <w:t xml:space="preserve"> she said that the prior</w:t>
      </w:r>
      <w:r w:rsidR="00E237EB">
        <w:t>i</w:t>
      </w:r>
      <w:r w:rsidRPr="00E237EB">
        <w:t>ty was to save a life before anything else (Mystery shopping, GOV AOD</w:t>
      </w:r>
      <w:r w:rsidR="00E30829" w:rsidRPr="00E237EB">
        <w:t>, WA)</w:t>
      </w:r>
      <w:r w:rsidR="00FC305D">
        <w:t>.</w:t>
      </w:r>
    </w:p>
    <w:p w14:paraId="0053D257" w14:textId="1DEB062E" w:rsidR="00441DEE" w:rsidRDefault="00F03137" w:rsidP="00F03137">
      <w:pPr>
        <w:pStyle w:val="NbrHeading5"/>
      </w:pPr>
      <w:r>
        <w:t>Other barriers to carriage</w:t>
      </w:r>
    </w:p>
    <w:p w14:paraId="2AB905CF" w14:textId="77777777" w:rsidR="00441DEE" w:rsidRPr="005C734F" w:rsidRDefault="00441DEE" w:rsidP="00441DEE">
      <w:pPr>
        <w:pStyle w:val="BodyText"/>
      </w:pPr>
      <w:r>
        <w:t>Consumers reported that factors such as temperature requirements, or living situations could prevent them from carrying naloxone on their person:</w:t>
      </w:r>
    </w:p>
    <w:p w14:paraId="1720A481" w14:textId="1616507D" w:rsidR="00441DEE" w:rsidRPr="005C734F" w:rsidRDefault="00441DEE" w:rsidP="00441DEE">
      <w:pPr>
        <w:pStyle w:val="Quote"/>
      </w:pPr>
      <w:r w:rsidRPr="00CE49C3">
        <w:t xml:space="preserve">Some people probably are stable, so that’s okay… but for homeless people, it’s a bit harder for people like that to carry a regular supply of it (SA, PUIO, </w:t>
      </w:r>
      <w:r>
        <w:t>Recruited from Community pharmacy</w:t>
      </w:r>
      <w:r w:rsidRPr="00CE49C3">
        <w:t xml:space="preserve">, </w:t>
      </w:r>
      <w:r>
        <w:t xml:space="preserve">Interviewed </w:t>
      </w:r>
      <w:r w:rsidRPr="00CE49C3">
        <w:t>June 2021)</w:t>
      </w:r>
      <w:r w:rsidR="00FC305D">
        <w:t>.</w:t>
      </w:r>
    </w:p>
    <w:p w14:paraId="1C7DA794" w14:textId="61AAAB66" w:rsidR="00441DEE" w:rsidRDefault="00F03137" w:rsidP="00441DEE">
      <w:pPr>
        <w:pStyle w:val="BodyText"/>
      </w:pPr>
      <w:r>
        <w:t xml:space="preserve">Some consumers </w:t>
      </w:r>
      <w:r w:rsidR="00D07BE1">
        <w:t>mentioned logistical factors as key barriers to carriage: for example, some consumers</w:t>
      </w:r>
      <w:r>
        <w:t xml:space="preserve"> reported that they were concerned about keeping THN in their car due to temperature requirements, and others reported </w:t>
      </w:r>
      <w:r w:rsidR="00D07BE1">
        <w:t>logistical barriers to carrying it on their person at the required times (for example if</w:t>
      </w:r>
      <w:r>
        <w:t xml:space="preserve"> </w:t>
      </w:r>
      <w:r w:rsidR="000711EB">
        <w:t xml:space="preserve">they </w:t>
      </w:r>
      <w:r w:rsidR="00D07BE1">
        <w:t>did</w:t>
      </w:r>
      <w:r w:rsidR="000711EB">
        <w:t xml:space="preserve"> not </w:t>
      </w:r>
      <w:r w:rsidR="00D07BE1">
        <w:t>have a bag or pocket to carry the THN).</w:t>
      </w:r>
    </w:p>
    <w:p w14:paraId="283F6E6C" w14:textId="77777777" w:rsidR="00CA5EEA" w:rsidRPr="001D59C3" w:rsidRDefault="00CA5EEA" w:rsidP="007A6273">
      <w:pPr>
        <w:pStyle w:val="NbrHeading2"/>
        <w:pageBreakBefore/>
      </w:pPr>
      <w:bookmarkStart w:id="324" w:name="_Toc94794160"/>
      <w:bookmarkStart w:id="325" w:name="_Toc94794303"/>
      <w:r w:rsidRPr="001D59C3">
        <w:lastRenderedPageBreak/>
        <w:t>What mechanisms should be established to mitigate the effect of these barriers?</w:t>
      </w:r>
      <w:bookmarkEnd w:id="324"/>
      <w:bookmarkEnd w:id="325"/>
    </w:p>
    <w:p w14:paraId="02C50EC5" w14:textId="510279DE" w:rsidR="00FD6D41" w:rsidRDefault="00FD6D41" w:rsidP="00FD6D41">
      <w:pPr>
        <w:pStyle w:val="NbrHeading3"/>
      </w:pPr>
      <w:bookmarkStart w:id="326" w:name="_Toc94794161"/>
      <w:bookmarkStart w:id="327" w:name="_Toc94794304"/>
      <w:bookmarkEnd w:id="323"/>
      <w:r>
        <w:t>Suggestions from interview participants</w:t>
      </w:r>
      <w:bookmarkEnd w:id="326"/>
      <w:bookmarkEnd w:id="327"/>
    </w:p>
    <w:p w14:paraId="247BFCE7" w14:textId="725B5651" w:rsidR="00CA5EEA" w:rsidRDefault="00CA5EEA" w:rsidP="003D0F16">
      <w:r>
        <w:t xml:space="preserve">Consumers and access site staff were asked about their recommendations for improving the Pilot. </w:t>
      </w:r>
      <w:r w:rsidR="001D2024">
        <w:t>A</w:t>
      </w:r>
      <w:r>
        <w:t xml:space="preserve"> range of suggestions </w:t>
      </w:r>
      <w:r w:rsidR="001D2024">
        <w:t xml:space="preserve">were </w:t>
      </w:r>
      <w:r>
        <w:t xml:space="preserve">made, with </w:t>
      </w:r>
      <w:r w:rsidR="005E57B8">
        <w:t>those</w:t>
      </w:r>
      <w:r>
        <w:t xml:space="preserve"> mentioned consistently </w:t>
      </w:r>
      <w:r w:rsidR="00F31892">
        <w:t xml:space="preserve">summarised in </w:t>
      </w:r>
      <w:r w:rsidR="00D16A5E">
        <w:fldChar w:fldCharType="begin"/>
      </w:r>
      <w:r w:rsidR="00D16A5E">
        <w:instrText xml:space="preserve"> REF _Ref81753144 \h </w:instrText>
      </w:r>
      <w:r w:rsidR="00D16A5E">
        <w:fldChar w:fldCharType="separate"/>
      </w:r>
      <w:r w:rsidR="00EE19AD">
        <w:t xml:space="preserve">Table </w:t>
      </w:r>
      <w:r w:rsidR="00EE19AD">
        <w:rPr>
          <w:noProof/>
        </w:rPr>
        <w:t>5</w:t>
      </w:r>
      <w:r w:rsidR="00D16A5E">
        <w:fldChar w:fldCharType="end"/>
      </w:r>
      <w:r w:rsidR="00D16A5E">
        <w:t xml:space="preserve"> </w:t>
      </w:r>
      <w:r w:rsidR="00F31892">
        <w:t>below</w:t>
      </w:r>
      <w:r>
        <w:t>. Please note that in Chapter 10 we discuss recommendations for the national roll-out of THN in more detail.</w:t>
      </w:r>
    </w:p>
    <w:p w14:paraId="43A1F153" w14:textId="3CA16069" w:rsidR="00CA5EEA" w:rsidRPr="009C719B" w:rsidRDefault="00CA5EEA" w:rsidP="003D0F16">
      <w:pPr>
        <w:pStyle w:val="Caption"/>
      </w:pPr>
      <w:bookmarkStart w:id="328" w:name="_Ref81753144"/>
      <w:bookmarkStart w:id="329" w:name="_Toc81401875"/>
      <w:bookmarkStart w:id="330" w:name="_Toc94794335"/>
      <w:r>
        <w:t xml:space="preserve">Table </w:t>
      </w:r>
      <w:r>
        <w:fldChar w:fldCharType="begin"/>
      </w:r>
      <w:r>
        <w:instrText>SEQ Table \* ARABIC</w:instrText>
      </w:r>
      <w:r>
        <w:fldChar w:fldCharType="separate"/>
      </w:r>
      <w:r w:rsidR="00EE19AD">
        <w:rPr>
          <w:noProof/>
        </w:rPr>
        <w:t>5</w:t>
      </w:r>
      <w:r>
        <w:fldChar w:fldCharType="end"/>
      </w:r>
      <w:bookmarkEnd w:id="328"/>
      <w:r>
        <w:t xml:space="preserve">. </w:t>
      </w:r>
      <w:r>
        <w:rPr>
          <w:i/>
          <w:iCs w:val="0"/>
        </w:rPr>
        <w:t>Participants’ suggestions for overcoming barriers to THN</w:t>
      </w:r>
      <w:bookmarkEnd w:id="329"/>
      <w:bookmarkEnd w:id="330"/>
    </w:p>
    <w:tbl>
      <w:tblPr>
        <w:tblStyle w:val="TableUQLined"/>
        <w:tblW w:w="0" w:type="auto"/>
        <w:tblLook w:val="04A0" w:firstRow="1" w:lastRow="0" w:firstColumn="1" w:lastColumn="0" w:noHBand="0" w:noVBand="1"/>
      </w:tblPr>
      <w:tblGrid>
        <w:gridCol w:w="4111"/>
        <w:gridCol w:w="5235"/>
      </w:tblGrid>
      <w:tr w:rsidR="00CA5EEA" w14:paraId="40D7CC82" w14:textId="77777777" w:rsidTr="003D0F16">
        <w:trPr>
          <w:cnfStyle w:val="100000000000" w:firstRow="1" w:lastRow="0" w:firstColumn="0" w:lastColumn="0" w:oddVBand="0" w:evenVBand="0" w:oddHBand="0" w:evenHBand="0" w:firstRowFirstColumn="0" w:firstRowLastColumn="0" w:lastRowFirstColumn="0" w:lastRowLastColumn="0"/>
        </w:trPr>
        <w:tc>
          <w:tcPr>
            <w:tcW w:w="4111" w:type="dxa"/>
          </w:tcPr>
          <w:p w14:paraId="36B3DAF7" w14:textId="77777777" w:rsidR="00CA5EEA" w:rsidRPr="0061712E" w:rsidRDefault="00CA5EEA" w:rsidP="003D0F16">
            <w:pPr>
              <w:rPr>
                <w:b/>
                <w:bCs/>
              </w:rPr>
            </w:pPr>
            <w:r w:rsidRPr="0061712E">
              <w:rPr>
                <w:b/>
                <w:bCs/>
              </w:rPr>
              <w:t>Barrier</w:t>
            </w:r>
          </w:p>
        </w:tc>
        <w:tc>
          <w:tcPr>
            <w:tcW w:w="5235" w:type="dxa"/>
          </w:tcPr>
          <w:p w14:paraId="2CE3F918" w14:textId="77777777" w:rsidR="00CA5EEA" w:rsidRPr="0061712E" w:rsidRDefault="00CA5EEA" w:rsidP="003D0F16">
            <w:pPr>
              <w:rPr>
                <w:b/>
                <w:bCs/>
              </w:rPr>
            </w:pPr>
            <w:r w:rsidRPr="0061712E">
              <w:rPr>
                <w:b/>
                <w:bCs/>
              </w:rPr>
              <w:t xml:space="preserve">Participants’ suggestions for overcoming barrier </w:t>
            </w:r>
          </w:p>
        </w:tc>
      </w:tr>
      <w:tr w:rsidR="00225CD7" w14:paraId="297B01AD" w14:textId="77777777" w:rsidTr="003D0F16">
        <w:tc>
          <w:tcPr>
            <w:tcW w:w="4111" w:type="dxa"/>
          </w:tcPr>
          <w:p w14:paraId="60BA149F" w14:textId="56B88A02" w:rsidR="00225CD7" w:rsidRDefault="00225CD7" w:rsidP="00B94D60">
            <w:pPr>
              <w:pStyle w:val="Tabletext0"/>
            </w:pPr>
            <w:r>
              <w:t>Cost</w:t>
            </w:r>
          </w:p>
        </w:tc>
        <w:tc>
          <w:tcPr>
            <w:tcW w:w="5235" w:type="dxa"/>
          </w:tcPr>
          <w:p w14:paraId="5DB5FB6A" w14:textId="3951F88F" w:rsidR="00225CD7" w:rsidRDefault="00225CD7" w:rsidP="002D71ED">
            <w:pPr>
              <w:pStyle w:val="Tabletext0"/>
            </w:pPr>
            <w:r>
              <w:t>Continue t</w:t>
            </w:r>
            <w:r w:rsidR="001E4A0A">
              <w:t>o provide naloxone for free to consumers</w:t>
            </w:r>
          </w:p>
        </w:tc>
      </w:tr>
      <w:tr w:rsidR="001E4A0A" w14:paraId="4DC7B08E" w14:textId="77777777" w:rsidTr="003D0F16">
        <w:trPr>
          <w:cnfStyle w:val="000000010000" w:firstRow="0" w:lastRow="0" w:firstColumn="0" w:lastColumn="0" w:oddVBand="0" w:evenVBand="0" w:oddHBand="0" w:evenHBand="1" w:firstRowFirstColumn="0" w:firstRowLastColumn="0" w:lastRowFirstColumn="0" w:lastRowLastColumn="0"/>
        </w:trPr>
        <w:tc>
          <w:tcPr>
            <w:tcW w:w="4111" w:type="dxa"/>
          </w:tcPr>
          <w:p w14:paraId="01A6EDA2" w14:textId="34A0E721" w:rsidR="001E4A0A" w:rsidRDefault="00B94D60" w:rsidP="00B94D60">
            <w:pPr>
              <w:pStyle w:val="Tabletext0"/>
            </w:pPr>
            <w:r>
              <w:t>Availability of THN at desired locations</w:t>
            </w:r>
          </w:p>
        </w:tc>
        <w:tc>
          <w:tcPr>
            <w:tcW w:w="5235" w:type="dxa"/>
          </w:tcPr>
          <w:p w14:paraId="586403CC" w14:textId="77777777" w:rsidR="001E4A0A" w:rsidRDefault="00CB45A5" w:rsidP="002D71ED">
            <w:pPr>
              <w:pStyle w:val="Tabletext0"/>
            </w:pPr>
            <w:r>
              <w:t>Maintain and continue to expand the types of sites where THN is available, including:</w:t>
            </w:r>
          </w:p>
          <w:p w14:paraId="630ED179" w14:textId="49F83729" w:rsidR="00CB45A5" w:rsidRDefault="00CB45A5" w:rsidP="002D71ED">
            <w:pPr>
              <w:pStyle w:val="Tabletext0"/>
              <w:numPr>
                <w:ilvl w:val="0"/>
                <w:numId w:val="228"/>
              </w:numPr>
            </w:pPr>
            <w:r>
              <w:t>Increase pharmacy coverage</w:t>
            </w:r>
          </w:p>
          <w:p w14:paraId="3C1D5C9B" w14:textId="77777777" w:rsidR="00CB45A5" w:rsidRDefault="00CB45A5" w:rsidP="002D71ED">
            <w:pPr>
              <w:pStyle w:val="Tabletext0"/>
              <w:numPr>
                <w:ilvl w:val="0"/>
                <w:numId w:val="228"/>
              </w:numPr>
            </w:pPr>
            <w:r>
              <w:t>Availability of health services consumers regularly attend</w:t>
            </w:r>
          </w:p>
          <w:p w14:paraId="6CD50EC2" w14:textId="6D7400C9" w:rsidR="00CB45A5" w:rsidRDefault="00CB45A5" w:rsidP="002D71ED">
            <w:pPr>
              <w:pStyle w:val="Tabletext0"/>
              <w:numPr>
                <w:ilvl w:val="0"/>
                <w:numId w:val="228"/>
              </w:numPr>
            </w:pPr>
            <w:r>
              <w:t>Availability from GPs</w:t>
            </w:r>
          </w:p>
          <w:p w14:paraId="4A47094B" w14:textId="77777777" w:rsidR="00CB45A5" w:rsidRDefault="000674E3" w:rsidP="002D71ED">
            <w:pPr>
              <w:pStyle w:val="Tabletext0"/>
              <w:numPr>
                <w:ilvl w:val="0"/>
                <w:numId w:val="228"/>
              </w:numPr>
            </w:pPr>
            <w:r>
              <w:t>Delivery of THN</w:t>
            </w:r>
          </w:p>
          <w:p w14:paraId="23810D5C" w14:textId="77777777" w:rsidR="000674E3" w:rsidRDefault="000674E3" w:rsidP="002D71ED">
            <w:pPr>
              <w:pStyle w:val="Tabletext0"/>
              <w:numPr>
                <w:ilvl w:val="0"/>
                <w:numId w:val="228"/>
              </w:numPr>
            </w:pPr>
            <w:r>
              <w:t>Vending machines</w:t>
            </w:r>
          </w:p>
          <w:p w14:paraId="7BF6FFFE" w14:textId="6D49C3E6" w:rsidR="00CB45A5" w:rsidRDefault="009C18E9" w:rsidP="002D71ED">
            <w:pPr>
              <w:pStyle w:val="Tabletext0"/>
              <w:numPr>
                <w:ilvl w:val="0"/>
                <w:numId w:val="228"/>
              </w:numPr>
            </w:pPr>
            <w:r>
              <w:t>Online ordering and booking systems</w:t>
            </w:r>
          </w:p>
        </w:tc>
      </w:tr>
      <w:tr w:rsidR="00D04E07" w14:paraId="3D38F80C" w14:textId="77777777" w:rsidTr="003D0F16">
        <w:tc>
          <w:tcPr>
            <w:tcW w:w="4111" w:type="dxa"/>
          </w:tcPr>
          <w:p w14:paraId="16815C5E" w14:textId="56687220" w:rsidR="00D04E07" w:rsidRDefault="00D04E07" w:rsidP="00B94D60">
            <w:pPr>
              <w:pStyle w:val="Tabletext0"/>
            </w:pPr>
            <w:r>
              <w:t>Stigma and embarrassment</w:t>
            </w:r>
          </w:p>
        </w:tc>
        <w:tc>
          <w:tcPr>
            <w:tcW w:w="5235" w:type="dxa"/>
          </w:tcPr>
          <w:p w14:paraId="7FEF25CA" w14:textId="5CB69C41" w:rsidR="00D04E07" w:rsidRDefault="00D04E07" w:rsidP="002D71ED">
            <w:pPr>
              <w:pStyle w:val="Tabletext0"/>
            </w:pPr>
            <w:r>
              <w:t>Public awareness and targeted campaigns</w:t>
            </w:r>
            <w:r w:rsidR="00EE6C2A">
              <w:t xml:space="preserve"> with a considered, sensitive message about </w:t>
            </w:r>
            <w:r w:rsidR="00914161">
              <w:t>opioid use and naloxone</w:t>
            </w:r>
          </w:p>
          <w:p w14:paraId="1489B35E" w14:textId="2266A86A" w:rsidR="00D04E07" w:rsidRDefault="00D04E07" w:rsidP="002D71ED">
            <w:pPr>
              <w:pStyle w:val="Tabletext0"/>
            </w:pPr>
            <w:r>
              <w:t>Increase anonymity and ease of access through online booking and ordering systems</w:t>
            </w:r>
            <w:r w:rsidR="00CB45A5">
              <w:t>, vending machines</w:t>
            </w:r>
          </w:p>
          <w:p w14:paraId="7BC12F1A" w14:textId="6B46A274" w:rsidR="00D04E07" w:rsidRDefault="00D04E07" w:rsidP="002D71ED">
            <w:pPr>
              <w:pStyle w:val="Tabletext0"/>
            </w:pPr>
            <w:r>
              <w:t>Clear and consistent signage about the Pilot at access sites</w:t>
            </w:r>
          </w:p>
        </w:tc>
      </w:tr>
      <w:tr w:rsidR="00CA5EEA" w14:paraId="37532F3D" w14:textId="77777777" w:rsidTr="003D0F16">
        <w:trPr>
          <w:cnfStyle w:val="000000010000" w:firstRow="0" w:lastRow="0" w:firstColumn="0" w:lastColumn="0" w:oddVBand="0" w:evenVBand="0" w:oddHBand="0" w:evenHBand="1" w:firstRowFirstColumn="0" w:firstRowLastColumn="0" w:lastRowFirstColumn="0" w:lastRowLastColumn="0"/>
        </w:trPr>
        <w:tc>
          <w:tcPr>
            <w:tcW w:w="4111" w:type="dxa"/>
          </w:tcPr>
          <w:p w14:paraId="31CD794F" w14:textId="77777777" w:rsidR="00CA5EEA" w:rsidRDefault="00CA5EEA" w:rsidP="00B94D60">
            <w:pPr>
              <w:pStyle w:val="Tabletext0"/>
            </w:pPr>
            <w:r>
              <w:t>Public awareness of naloxone</w:t>
            </w:r>
          </w:p>
        </w:tc>
        <w:tc>
          <w:tcPr>
            <w:tcW w:w="5235" w:type="dxa"/>
          </w:tcPr>
          <w:p w14:paraId="32B39C9F" w14:textId="77777777" w:rsidR="00CA5EEA" w:rsidRDefault="00CA5EEA" w:rsidP="002D71ED">
            <w:pPr>
              <w:pStyle w:val="Tabletext0"/>
            </w:pPr>
            <w:r>
              <w:t>Large scale advertisement on TV and other media, buses, and social media</w:t>
            </w:r>
          </w:p>
          <w:p w14:paraId="2F8C6032" w14:textId="77777777" w:rsidR="00CA5EEA" w:rsidRDefault="00CA5EEA" w:rsidP="002D71ED">
            <w:pPr>
              <w:pStyle w:val="Tabletext0"/>
            </w:pPr>
            <w:r>
              <w:t>Signage at access sites</w:t>
            </w:r>
          </w:p>
        </w:tc>
      </w:tr>
      <w:tr w:rsidR="00CA5EEA" w14:paraId="218073E6" w14:textId="77777777" w:rsidTr="003D0F16">
        <w:tc>
          <w:tcPr>
            <w:tcW w:w="4111" w:type="dxa"/>
          </w:tcPr>
          <w:p w14:paraId="0D47FF2B" w14:textId="65132886" w:rsidR="00CA5EEA" w:rsidRDefault="00CA5EEA" w:rsidP="00B94D60">
            <w:pPr>
              <w:pStyle w:val="Tabletext0"/>
            </w:pPr>
            <w:r>
              <w:t>Awareness of THN amongst those at risk of opioid overdose</w:t>
            </w:r>
          </w:p>
        </w:tc>
        <w:tc>
          <w:tcPr>
            <w:tcW w:w="5235" w:type="dxa"/>
          </w:tcPr>
          <w:p w14:paraId="484022D4" w14:textId="2C3B3E1C" w:rsidR="00F47E2B" w:rsidRDefault="00BE5A84" w:rsidP="00F47E2B">
            <w:pPr>
              <w:pStyle w:val="Tabletext0"/>
            </w:pPr>
            <w:r>
              <w:t xml:space="preserve">Targeted campaigns </w:t>
            </w:r>
            <w:r w:rsidR="00A253E4">
              <w:t>about opioid overdose risk</w:t>
            </w:r>
          </w:p>
          <w:p w14:paraId="10E82C82" w14:textId="0039EC93" w:rsidR="00025C8E" w:rsidRDefault="00025C8E" w:rsidP="002D71ED">
            <w:pPr>
              <w:pStyle w:val="Tabletext0"/>
            </w:pPr>
            <w:r>
              <w:t>Inclusion of THN as part of standard operating procedure</w:t>
            </w:r>
          </w:p>
          <w:p w14:paraId="1E14DD74" w14:textId="77777777" w:rsidR="00CA5EEA" w:rsidRDefault="00CA5EEA" w:rsidP="002D71ED">
            <w:pPr>
              <w:pStyle w:val="Tabletext0"/>
            </w:pPr>
          </w:p>
        </w:tc>
      </w:tr>
      <w:tr w:rsidR="00CA5EEA" w14:paraId="6585CEB5" w14:textId="77777777" w:rsidTr="003D0F16">
        <w:trPr>
          <w:cnfStyle w:val="000000010000" w:firstRow="0" w:lastRow="0" w:firstColumn="0" w:lastColumn="0" w:oddVBand="0" w:evenVBand="0" w:oddHBand="0" w:evenHBand="1" w:firstRowFirstColumn="0" w:firstRowLastColumn="0" w:lastRowFirstColumn="0" w:lastRowLastColumn="0"/>
        </w:trPr>
        <w:tc>
          <w:tcPr>
            <w:tcW w:w="4111" w:type="dxa"/>
          </w:tcPr>
          <w:p w14:paraId="57EB0057" w14:textId="15A9CDAA" w:rsidR="00CA5EEA" w:rsidRDefault="00CA5EEA" w:rsidP="00B94D60">
            <w:pPr>
              <w:pStyle w:val="Tabletext0"/>
            </w:pPr>
            <w:r>
              <w:t>P</w:t>
            </w:r>
            <w:r w:rsidR="001906B7">
              <w:t>eople who use p</w:t>
            </w:r>
            <w:r>
              <w:t>rescription opioid</w:t>
            </w:r>
            <w:r w:rsidR="17313FA6">
              <w:t>s</w:t>
            </w:r>
            <w:r>
              <w:t xml:space="preserve"> may not consider themselves to be at risk of opioid overdose</w:t>
            </w:r>
          </w:p>
          <w:p w14:paraId="6D78F5E0" w14:textId="77777777" w:rsidR="00CA5EEA" w:rsidRDefault="00CA5EEA" w:rsidP="002D71ED">
            <w:pPr>
              <w:pStyle w:val="Tabletext0"/>
            </w:pPr>
          </w:p>
        </w:tc>
        <w:tc>
          <w:tcPr>
            <w:tcW w:w="5235" w:type="dxa"/>
          </w:tcPr>
          <w:p w14:paraId="547D7E45" w14:textId="77777777" w:rsidR="00CA5EEA" w:rsidRDefault="00CA5EEA" w:rsidP="002D71ED">
            <w:pPr>
              <w:pStyle w:val="Tabletext0"/>
            </w:pPr>
            <w:r>
              <w:t>Development of targeted resources for people who use prescribed opioids, resources were launched in August/September 2021 (Burnett Roundtable, NNRG)</w:t>
            </w:r>
          </w:p>
          <w:p w14:paraId="6D620C7B" w14:textId="77777777" w:rsidR="00CA5EEA" w:rsidRDefault="00CA5EEA" w:rsidP="002D71ED">
            <w:pPr>
              <w:pStyle w:val="Tabletext0"/>
            </w:pPr>
          </w:p>
        </w:tc>
      </w:tr>
      <w:tr w:rsidR="00CA5EEA" w14:paraId="3A255828" w14:textId="77777777" w:rsidTr="003D0F16">
        <w:tc>
          <w:tcPr>
            <w:tcW w:w="4111" w:type="dxa"/>
          </w:tcPr>
          <w:p w14:paraId="5957D1B1" w14:textId="77777777" w:rsidR="00CA5EEA" w:rsidRDefault="00CA5EEA" w:rsidP="00B94D60">
            <w:pPr>
              <w:pStyle w:val="Tabletext0"/>
            </w:pPr>
            <w:r>
              <w:t>People who use opioids that are not in touch with services are difficult to reach</w:t>
            </w:r>
          </w:p>
        </w:tc>
        <w:tc>
          <w:tcPr>
            <w:tcW w:w="5235" w:type="dxa"/>
          </w:tcPr>
          <w:p w14:paraId="19144846" w14:textId="77777777" w:rsidR="00CA5EEA" w:rsidRDefault="00CA5EEA" w:rsidP="002D71ED">
            <w:pPr>
              <w:pStyle w:val="Tabletext0"/>
            </w:pPr>
            <w:r>
              <w:t>Increase/formalise use of peer and social networks and outreach</w:t>
            </w:r>
          </w:p>
        </w:tc>
      </w:tr>
      <w:tr w:rsidR="00EA1240" w14:paraId="23D552E4" w14:textId="77777777" w:rsidTr="003D0F16">
        <w:trPr>
          <w:cnfStyle w:val="000000010000" w:firstRow="0" w:lastRow="0" w:firstColumn="0" w:lastColumn="0" w:oddVBand="0" w:evenVBand="0" w:oddHBand="0" w:evenHBand="1" w:firstRowFirstColumn="0" w:firstRowLastColumn="0" w:lastRowFirstColumn="0" w:lastRowLastColumn="0"/>
        </w:trPr>
        <w:tc>
          <w:tcPr>
            <w:tcW w:w="4111" w:type="dxa"/>
          </w:tcPr>
          <w:p w14:paraId="015259A0" w14:textId="3A113FFC" w:rsidR="00EA1240" w:rsidRDefault="001A0A0D" w:rsidP="00B94D60">
            <w:pPr>
              <w:pStyle w:val="Tabletext0"/>
            </w:pPr>
            <w:r>
              <w:t xml:space="preserve">Fear of </w:t>
            </w:r>
            <w:r w:rsidR="00DE6390">
              <w:t>police response to naloxone</w:t>
            </w:r>
          </w:p>
        </w:tc>
        <w:tc>
          <w:tcPr>
            <w:tcW w:w="5235" w:type="dxa"/>
          </w:tcPr>
          <w:p w14:paraId="42ABF1D7" w14:textId="77777777" w:rsidR="00EA1240" w:rsidRDefault="00DC672A" w:rsidP="002D71ED">
            <w:pPr>
              <w:pStyle w:val="Tabletext0"/>
            </w:pPr>
            <w:r>
              <w:t>Education for police</w:t>
            </w:r>
          </w:p>
          <w:p w14:paraId="4F44F770" w14:textId="3D9982B9" w:rsidR="00EA1240" w:rsidRDefault="00DC672A" w:rsidP="002D71ED">
            <w:pPr>
              <w:pStyle w:val="Tabletext0"/>
            </w:pPr>
            <w:r>
              <w:lastRenderedPageBreak/>
              <w:t>Inclusion of information about law enforcement and ambulance attendance in brief education for consumers</w:t>
            </w:r>
          </w:p>
        </w:tc>
      </w:tr>
    </w:tbl>
    <w:p w14:paraId="52D34F35" w14:textId="2A924EC5" w:rsidR="00CA5EEA" w:rsidRDefault="00C20CDF" w:rsidP="00772320">
      <w:pPr>
        <w:pStyle w:val="BodyText"/>
        <w:rPr>
          <w:lang w:eastAsia="en-AU"/>
        </w:rPr>
      </w:pPr>
      <w:r>
        <w:lastRenderedPageBreak/>
        <w:t>The discussion below expands on the most common recommendations made by interview participants</w:t>
      </w:r>
      <w:r w:rsidR="00772320">
        <w:t>, with quotes to illustrate these points where relevant</w:t>
      </w:r>
      <w:r>
        <w:t>.</w:t>
      </w:r>
    </w:p>
    <w:p w14:paraId="008C40F3" w14:textId="77777777" w:rsidR="00CA5EEA" w:rsidRDefault="00CA5EEA" w:rsidP="003D0F16">
      <w:pPr>
        <w:pStyle w:val="NbrHeading4"/>
      </w:pPr>
      <w:r>
        <w:t>Continue to provide naloxone for free</w:t>
      </w:r>
    </w:p>
    <w:p w14:paraId="1FA453B7" w14:textId="77777777" w:rsidR="00CA5EEA" w:rsidRDefault="00CA5EEA" w:rsidP="003D0F16">
      <w:pPr>
        <w:pStyle w:val="BodyText"/>
      </w:pPr>
      <w:proofErr w:type="gramStart"/>
      <w:r>
        <w:t>A number of</w:t>
      </w:r>
      <w:proofErr w:type="gramEnd"/>
      <w:r>
        <w:t xml:space="preserve"> consumers mentioned that naloxone should continue to be provided for free.</w:t>
      </w:r>
    </w:p>
    <w:p w14:paraId="7E2C581D" w14:textId="0FD3209F" w:rsidR="00CA5EEA" w:rsidRPr="008F3DF3" w:rsidRDefault="00CA5EEA" w:rsidP="003D0F16">
      <w:pPr>
        <w:pStyle w:val="Quote"/>
        <w:rPr>
          <w:rFonts w:ascii="Arial" w:eastAsia="Arial" w:hAnsi="Arial" w:cs="Arial"/>
        </w:rPr>
      </w:pPr>
      <w:r w:rsidRPr="002810D2">
        <w:t xml:space="preserve">If they want it on the streets, give it for free </w:t>
      </w:r>
      <w:r>
        <w:t>(NSW, PUPO</w:t>
      </w:r>
      <w:r w:rsidRPr="008F3DF3">
        <w:rPr>
          <w:rFonts w:ascii="Arial" w:eastAsia="Arial" w:hAnsi="Arial" w:cs="Arial"/>
        </w:rPr>
        <w:t xml:space="preserve">, </w:t>
      </w:r>
      <w:r w:rsidR="00B04727">
        <w:rPr>
          <w:rFonts w:ascii="Arial" w:eastAsia="Arial" w:hAnsi="Arial" w:cs="Arial"/>
        </w:rPr>
        <w:t xml:space="preserve">Recruited from </w:t>
      </w:r>
      <w:r w:rsidRPr="008F3DF3">
        <w:rPr>
          <w:rFonts w:ascii="Arial" w:eastAsia="Arial" w:hAnsi="Arial" w:cs="Arial"/>
        </w:rPr>
        <w:t xml:space="preserve">AOD, </w:t>
      </w:r>
      <w:r w:rsidR="00B04727">
        <w:rPr>
          <w:rFonts w:ascii="Arial" w:eastAsia="Arial" w:hAnsi="Arial" w:cs="Arial"/>
        </w:rPr>
        <w:t xml:space="preserve">Interviewed </w:t>
      </w:r>
      <w:r w:rsidRPr="008F3DF3">
        <w:rPr>
          <w:rFonts w:ascii="Arial" w:eastAsia="Arial" w:hAnsi="Arial" w:cs="Arial"/>
        </w:rPr>
        <w:t>February 2021).</w:t>
      </w:r>
    </w:p>
    <w:p w14:paraId="777C1975" w14:textId="47052DB4" w:rsidR="00CA5EEA" w:rsidRPr="002810D2" w:rsidRDefault="00CA5EEA" w:rsidP="002D71ED">
      <w:pPr>
        <w:pStyle w:val="Quote"/>
      </w:pPr>
      <w:r w:rsidRPr="00DC672A">
        <w:t xml:space="preserve">Free access is positive and should be reinforced by the CNPs (SA, Witness, </w:t>
      </w:r>
      <w:r w:rsidR="00D8133A" w:rsidRPr="00DC672A">
        <w:t xml:space="preserve">Recruited from </w:t>
      </w:r>
      <w:r w:rsidR="00B04727" w:rsidRPr="00DC672A">
        <w:t>Community pharmacy</w:t>
      </w:r>
      <w:r w:rsidRPr="00DC672A">
        <w:t xml:space="preserve">, </w:t>
      </w:r>
      <w:r w:rsidR="00D8133A" w:rsidRPr="00DC672A">
        <w:t xml:space="preserve">Interviewed </w:t>
      </w:r>
      <w:r w:rsidRPr="00DC672A">
        <w:t>March 2020).</w:t>
      </w:r>
    </w:p>
    <w:p w14:paraId="627DD80C" w14:textId="29A668CD" w:rsidR="0051708F" w:rsidRPr="00EF2E9D" w:rsidRDefault="00CA5EEA" w:rsidP="003D0F16">
      <w:pPr>
        <w:pStyle w:val="BodyText"/>
      </w:pPr>
      <w:r>
        <w:t xml:space="preserve">Participants considered that </w:t>
      </w:r>
      <w:r w:rsidR="00552D9A">
        <w:t>ongoing free access to THN was important</w:t>
      </w:r>
      <w:r w:rsidR="00F25C6C">
        <w:t xml:space="preserve">, a key part of increasing carriage of THN. </w:t>
      </w:r>
    </w:p>
    <w:p w14:paraId="11B32D55" w14:textId="77777777" w:rsidR="00CA5EEA" w:rsidRDefault="00CA5EEA" w:rsidP="003D0F16">
      <w:pPr>
        <w:pStyle w:val="NbrHeading4"/>
      </w:pPr>
      <w:r>
        <w:t>Public awareness campaigns and advertisement</w:t>
      </w:r>
    </w:p>
    <w:p w14:paraId="21DEC6A9" w14:textId="32F4A830" w:rsidR="00CA5EEA" w:rsidRDefault="00CA5EEA" w:rsidP="003D0F16">
      <w:pPr>
        <w:pStyle w:val="BodyText"/>
        <w:rPr>
          <w:rFonts w:eastAsiaTheme="minorEastAsia"/>
        </w:rPr>
      </w:pPr>
      <w:bookmarkStart w:id="331" w:name="_Hlk84592580"/>
      <w:r>
        <w:t>Given that public awareness was cited as a key barrier to the enhanced uptake of THN by participants, advertisement and promotion of naloxone was consistently suggested by many as a strategy to enhance public awareness of naloxone and its availability through the Pilot.</w:t>
      </w:r>
      <w:bookmarkEnd w:id="331"/>
      <w:r>
        <w:t xml:space="preserve"> For example, participants mentioned:</w:t>
      </w:r>
    </w:p>
    <w:p w14:paraId="7A77FE62" w14:textId="6EE50437" w:rsidR="00CA5EEA" w:rsidRPr="009B6023" w:rsidRDefault="00CA5EEA" w:rsidP="003D0F16">
      <w:pPr>
        <w:pStyle w:val="Quote"/>
      </w:pPr>
      <w:r w:rsidRPr="009B6023">
        <w:t>Well</w:t>
      </w:r>
      <w:r>
        <w:t>,</w:t>
      </w:r>
      <w:r w:rsidRPr="009B6023">
        <w:t xml:space="preserve"> there could be TV advertisements or bus advertisements on bus stops or some sort of advertisement. They could be in different chemists...they could have signage. Again, advertising which would help people read what naloxone is and how it can help </w:t>
      </w:r>
      <w:r>
        <w:t xml:space="preserve">(WA, PUPO, </w:t>
      </w:r>
      <w:r w:rsidR="00D8133A">
        <w:t>Recruited from Community pharmacy</w:t>
      </w:r>
      <w:r>
        <w:t>, Interviewed October 2021).</w:t>
      </w:r>
    </w:p>
    <w:p w14:paraId="6866F042" w14:textId="369BF6AC" w:rsidR="00CA5EEA" w:rsidRPr="006E0487" w:rsidRDefault="00CA5EEA" w:rsidP="00772320">
      <w:pPr>
        <w:pStyle w:val="Quote"/>
        <w:rPr>
          <w:rFonts w:ascii="Arial" w:eastAsia="Arial" w:hAnsi="Arial" w:cs="Arial"/>
        </w:rPr>
      </w:pPr>
      <w:proofErr w:type="gramStart"/>
      <w:r w:rsidRPr="006E0487">
        <w:rPr>
          <w:rFonts w:ascii="Arial" w:eastAsia="Arial" w:hAnsi="Arial" w:cs="Arial"/>
        </w:rPr>
        <w:t>Definitely put</w:t>
      </w:r>
      <w:proofErr w:type="gramEnd"/>
      <w:r w:rsidRPr="006E0487">
        <w:rPr>
          <w:rFonts w:ascii="Arial" w:eastAsia="Arial" w:hAnsi="Arial" w:cs="Arial"/>
        </w:rPr>
        <w:t xml:space="preserve"> more information out there and advertise it. Show people that have used it and are working and functioning and living normal lives (SA, PUIO</w:t>
      </w:r>
      <w:r w:rsidR="006E0487">
        <w:rPr>
          <w:rFonts w:ascii="Arial" w:eastAsia="Arial" w:hAnsi="Arial" w:cs="Arial"/>
        </w:rPr>
        <w:t>,</w:t>
      </w:r>
      <w:r w:rsidRPr="006E0487">
        <w:rPr>
          <w:rFonts w:ascii="Arial" w:eastAsia="Arial" w:hAnsi="Arial" w:cs="Arial"/>
        </w:rPr>
        <w:t xml:space="preserve"> </w:t>
      </w:r>
      <w:r w:rsidR="00D8133A">
        <w:t>Recruited from Community pharmacy</w:t>
      </w:r>
      <w:r w:rsidR="006E0487">
        <w:rPr>
          <w:rFonts w:ascii="Arial" w:eastAsia="Arial" w:hAnsi="Arial" w:cs="Arial"/>
        </w:rPr>
        <w:t>,</w:t>
      </w:r>
      <w:r w:rsidRPr="006E0487">
        <w:rPr>
          <w:rFonts w:ascii="Arial" w:eastAsia="Arial" w:hAnsi="Arial" w:cs="Arial"/>
        </w:rPr>
        <w:t xml:space="preserve"> </w:t>
      </w:r>
      <w:r w:rsidR="00D8133A">
        <w:rPr>
          <w:rFonts w:ascii="Arial" w:eastAsia="Arial" w:hAnsi="Arial" w:cs="Arial"/>
        </w:rPr>
        <w:t>Inter</w:t>
      </w:r>
      <w:r w:rsidR="00641514">
        <w:rPr>
          <w:rFonts w:ascii="Arial" w:eastAsia="Arial" w:hAnsi="Arial" w:cs="Arial"/>
        </w:rPr>
        <w:t xml:space="preserve">viewed </w:t>
      </w:r>
      <w:r w:rsidRPr="006E0487">
        <w:rPr>
          <w:rFonts w:ascii="Arial" w:eastAsia="Arial" w:hAnsi="Arial" w:cs="Arial"/>
        </w:rPr>
        <w:t>February 2021).</w:t>
      </w:r>
    </w:p>
    <w:p w14:paraId="5C7EE594" w14:textId="1F113CCA" w:rsidR="00CA5EEA" w:rsidRDefault="00CA5EEA" w:rsidP="00F25C6C">
      <w:pPr>
        <w:pStyle w:val="Quote"/>
      </w:pPr>
      <w:r w:rsidRPr="006E0487">
        <w:rPr>
          <w:rFonts w:ascii="Arial" w:eastAsia="Arial" w:hAnsi="Arial" w:cs="Arial"/>
        </w:rPr>
        <w:t xml:space="preserve">I would like it to see it advertised in a non-threating, non-aggressive manner. It needs to be discussed in a non-invasive way. Friends talking at the table over a coffee. “My son has got an addiction problem. Oh, did you know naloxone is available. Go and talk to a pharmacy, or you can get it from a hospital, or here is an outreach services number. You don’t want to come home and find him and not be able to help”. Something along those lines (NSW, PUIO, </w:t>
      </w:r>
      <w:r w:rsidR="00641514">
        <w:t xml:space="preserve">Recruited from </w:t>
      </w:r>
      <w:r w:rsidRPr="006E0487">
        <w:rPr>
          <w:rFonts w:ascii="Arial" w:eastAsia="Arial" w:hAnsi="Arial" w:cs="Arial"/>
        </w:rPr>
        <w:t xml:space="preserve">NSP, </w:t>
      </w:r>
      <w:r w:rsidR="00641514">
        <w:rPr>
          <w:rFonts w:ascii="Arial" w:eastAsia="Arial" w:hAnsi="Arial" w:cs="Arial"/>
        </w:rPr>
        <w:t xml:space="preserve">Interviewed </w:t>
      </w:r>
      <w:r w:rsidRPr="006E0487">
        <w:rPr>
          <w:rFonts w:ascii="Arial" w:eastAsia="Arial" w:hAnsi="Arial" w:cs="Arial"/>
        </w:rPr>
        <w:t>May 2021).</w:t>
      </w:r>
    </w:p>
    <w:p w14:paraId="0B3A3383" w14:textId="0D2FF67A" w:rsidR="00CA5EEA" w:rsidRDefault="00CA5EEA" w:rsidP="003D0F16">
      <w:pPr>
        <w:pStyle w:val="NbrHeading4"/>
      </w:pPr>
      <w:r>
        <w:t>Clear signage about the Pilot</w:t>
      </w:r>
      <w:r w:rsidR="00F25C6C">
        <w:t>/THN</w:t>
      </w:r>
      <w:r>
        <w:t xml:space="preserve"> at all access sites</w:t>
      </w:r>
    </w:p>
    <w:p w14:paraId="52D6ECC6" w14:textId="5423FCA2" w:rsidR="00CA5EEA" w:rsidRPr="00DE7BD2" w:rsidRDefault="00CA5EEA" w:rsidP="003D0F16">
      <w:r>
        <w:t>Participants also noted that they would appreciate signage about the Pilot at access sites to indicate the availability of THN. Participants noted that this could alleviate some of the concerns that consumers might have in approaching a pharmacy or other access site and circumvent stigma. For example:</w:t>
      </w:r>
    </w:p>
    <w:p w14:paraId="1A464D03" w14:textId="0DDAB9BF" w:rsidR="00CA5EEA" w:rsidRPr="00976B7C" w:rsidRDefault="00CA5EEA" w:rsidP="003D0F16">
      <w:pPr>
        <w:pStyle w:val="Quote"/>
      </w:pPr>
      <w:r w:rsidRPr="00976B7C">
        <w:t xml:space="preserve">There was no signage there was nothing. There was no </w:t>
      </w:r>
      <w:proofErr w:type="gramStart"/>
      <w:r w:rsidRPr="00976B7C">
        <w:t>particular desk</w:t>
      </w:r>
      <w:proofErr w:type="gramEnd"/>
      <w:r w:rsidRPr="00976B7C">
        <w:t xml:space="preserve"> or anything like that so you just wouldn’t know. </w:t>
      </w:r>
      <w:proofErr w:type="gramStart"/>
      <w:r w:rsidRPr="00976B7C">
        <w:t>So</w:t>
      </w:r>
      <w:proofErr w:type="gramEnd"/>
      <w:r w:rsidRPr="00976B7C">
        <w:t xml:space="preserve"> a symbol or something to give a sign that this </w:t>
      </w:r>
      <w:r w:rsidRPr="00976B7C">
        <w:lastRenderedPageBreak/>
        <w:t xml:space="preserve">is a friendly accepting place we provide this, that would be really helpful. </w:t>
      </w:r>
      <w:r>
        <w:t xml:space="preserve">(NSW, Witness, </w:t>
      </w:r>
      <w:r w:rsidR="00641514">
        <w:t>Recruited from Community pharmacy</w:t>
      </w:r>
      <w:r>
        <w:t>, Interviewed March 2021).</w:t>
      </w:r>
    </w:p>
    <w:p w14:paraId="160520D8" w14:textId="1B331EDF" w:rsidR="00CA5EEA" w:rsidRPr="00957190" w:rsidRDefault="00CA5EEA" w:rsidP="003D0719">
      <w:pPr>
        <w:pStyle w:val="Quote"/>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Arial" w:eastAsia="Arial" w:hAnsi="Arial" w:cs="Arial"/>
        </w:rPr>
      </w:pPr>
      <w:r w:rsidRPr="00957190">
        <w:rPr>
          <w:rFonts w:ascii="Arial" w:eastAsia="Arial" w:hAnsi="Arial" w:cs="Arial"/>
        </w:rPr>
        <w:t xml:space="preserve">A sign that just </w:t>
      </w:r>
      <w:proofErr w:type="gramStart"/>
      <w:r w:rsidRPr="00957190">
        <w:rPr>
          <w:rFonts w:ascii="Arial" w:eastAsia="Arial" w:hAnsi="Arial" w:cs="Arial"/>
        </w:rPr>
        <w:t>says</w:t>
      </w:r>
      <w:proofErr w:type="gramEnd"/>
      <w:r w:rsidRPr="00957190">
        <w:rPr>
          <w:rFonts w:ascii="Arial" w:eastAsia="Arial" w:hAnsi="Arial" w:cs="Arial"/>
        </w:rPr>
        <w:t xml:space="preserve"> “Free Naloxone”, something like that, so you don’t have to be told, you could read something then ask for it (SA, PUPO, </w:t>
      </w:r>
      <w:r w:rsidR="00641514">
        <w:t>Recruited from Community pharmacy</w:t>
      </w:r>
      <w:r w:rsidRPr="00957190">
        <w:rPr>
          <w:rFonts w:ascii="Arial" w:eastAsia="Arial" w:hAnsi="Arial" w:cs="Arial"/>
        </w:rPr>
        <w:t xml:space="preserve">, </w:t>
      </w:r>
      <w:r w:rsidR="00641514">
        <w:rPr>
          <w:rFonts w:ascii="Arial" w:eastAsia="Arial" w:hAnsi="Arial" w:cs="Arial"/>
        </w:rPr>
        <w:t xml:space="preserve">Interviewed </w:t>
      </w:r>
      <w:r w:rsidRPr="00957190">
        <w:rPr>
          <w:rFonts w:ascii="Arial" w:eastAsia="Arial" w:hAnsi="Arial" w:cs="Arial"/>
        </w:rPr>
        <w:t>November 2020).</w:t>
      </w:r>
    </w:p>
    <w:p w14:paraId="5DC9AD26" w14:textId="5AAACBB4" w:rsidR="00CA5EEA" w:rsidRPr="00DE7BD2" w:rsidRDefault="00165268" w:rsidP="003D0F16">
      <w:r>
        <w:t>Promotional materials d</w:t>
      </w:r>
      <w:r w:rsidR="0053115D">
        <w:t xml:space="preserve">isseminated at the beginning of the Pilot included window stickers and </w:t>
      </w:r>
      <w:r w:rsidR="00C07D54">
        <w:t xml:space="preserve">posters; </w:t>
      </w:r>
      <w:r w:rsidR="004C0729">
        <w:t>continued</w:t>
      </w:r>
      <w:r w:rsidR="007A4D58">
        <w:t xml:space="preserve"> </w:t>
      </w:r>
      <w:r w:rsidR="000B51D9">
        <w:t xml:space="preserve">availability of these would assist with </w:t>
      </w:r>
      <w:r w:rsidR="004C0729">
        <w:t>recognition of access sites.</w:t>
      </w:r>
    </w:p>
    <w:p w14:paraId="1D046ADD" w14:textId="77777777" w:rsidR="00CA5EEA" w:rsidRPr="009D153E" w:rsidRDefault="00CA5EEA" w:rsidP="003D0F16">
      <w:pPr>
        <w:pStyle w:val="NbrHeading4"/>
      </w:pPr>
      <w:r w:rsidRPr="009D153E">
        <w:t>Maintain and expand modes of access/</w:t>
      </w:r>
      <w:r w:rsidRPr="00405318">
        <w:t>access sites</w:t>
      </w:r>
    </w:p>
    <w:p w14:paraId="4D8474E1" w14:textId="133407CA" w:rsidR="00CA5EEA" w:rsidRDefault="00CA5EEA" w:rsidP="003D0F16">
      <w:pPr>
        <w:pStyle w:val="BodyText"/>
      </w:pPr>
      <w:r>
        <w:t xml:space="preserve">The second key area of recommendations to overcome barriers to THN access related to maintaining and expanding access site types, and modes of access. Consumer participants </w:t>
      </w:r>
      <w:r w:rsidR="00D767AA">
        <w:t xml:space="preserve">offered </w:t>
      </w:r>
      <w:proofErr w:type="gramStart"/>
      <w:r>
        <w:t>a number of</w:t>
      </w:r>
      <w:proofErr w:type="gramEnd"/>
      <w:r>
        <w:t xml:space="preserve"> suggestions that related to increasing the types of access sites available, and the modes of access:</w:t>
      </w:r>
    </w:p>
    <w:p w14:paraId="6D84B859" w14:textId="4E1B7B64" w:rsidR="00CA5EEA" w:rsidRDefault="00CA5EEA" w:rsidP="00D9594A">
      <w:pPr>
        <w:pStyle w:val="BodyText"/>
        <w:numPr>
          <w:ilvl w:val="0"/>
          <w:numId w:val="158"/>
        </w:numPr>
        <w:ind w:left="357" w:hanging="357"/>
      </w:pPr>
      <w:r>
        <w:t>Many noted that the lack of certainty about whether pharmacies were participating in the Pilot acted as a barrier, and so recommended increased pharmacy coverage.</w:t>
      </w:r>
    </w:p>
    <w:p w14:paraId="17A11BA8" w14:textId="79D7C2F6" w:rsidR="00CA5EEA" w:rsidRPr="00F601AF" w:rsidRDefault="00CA5EEA" w:rsidP="003D0F16">
      <w:pPr>
        <w:pStyle w:val="Quote"/>
        <w:ind w:left="720"/>
      </w:pPr>
      <w:r w:rsidRPr="00F601AF">
        <w:t>To be honest having it in as many places as absolute physically possible. I mean as many pharmacies as many chemist</w:t>
      </w:r>
      <w:r w:rsidRPr="009468FB">
        <w:t xml:space="preserve">s, and just put the word out there on social media as well </w:t>
      </w:r>
      <w:r w:rsidRPr="00F601AF">
        <w:t>because a lot of people don't know, like the nasal spray exists. [I didn’t] until my friend told me the other day, I didn't know that so you know, if I did know, I might have it got it sooner</w:t>
      </w:r>
      <w:r>
        <w:t xml:space="preserve"> (WA, PUIO, </w:t>
      </w:r>
      <w:r w:rsidR="00641514">
        <w:t xml:space="preserve">Recruited from </w:t>
      </w:r>
      <w:r>
        <w:t xml:space="preserve">NSP, </w:t>
      </w:r>
      <w:r w:rsidR="00641514">
        <w:t xml:space="preserve">Interviewed </w:t>
      </w:r>
      <w:r>
        <w:t>February 2021).</w:t>
      </w:r>
    </w:p>
    <w:p w14:paraId="2E64EB90" w14:textId="655F47FC" w:rsidR="0083465E" w:rsidRPr="00D9594A" w:rsidRDefault="00CA5EEA" w:rsidP="0083465E">
      <w:pPr>
        <w:pStyle w:val="BodyText"/>
        <w:numPr>
          <w:ilvl w:val="0"/>
          <w:numId w:val="158"/>
        </w:numPr>
        <w:spacing w:before="240" w:after="240"/>
        <w:ind w:left="357" w:hanging="357"/>
        <w:rPr>
          <w:color w:val="000000" w:themeColor="text1"/>
        </w:rPr>
      </w:pPr>
      <w:r>
        <w:t>Participants (particularly those in SA) noted that THN should be provided through services that they attended regularly, such as Needle and Syringe Programs, health care and community services, and AOD services.</w:t>
      </w:r>
    </w:p>
    <w:p w14:paraId="23422275" w14:textId="77777777" w:rsidR="00797CF4" w:rsidRPr="00612C31" w:rsidRDefault="00CA5EEA" w:rsidP="00797CF4">
      <w:pPr>
        <w:pStyle w:val="Quote"/>
      </w:pPr>
      <w:r w:rsidRPr="00D9594A">
        <w:t xml:space="preserve">Being able to get it directly from the CNPs, instead of getting a voucher and taking it to a pharmacy (SA, PUIO, </w:t>
      </w:r>
      <w:r w:rsidR="0081657C" w:rsidRPr="00612C31">
        <w:t>Recruited from Community pharmacy</w:t>
      </w:r>
      <w:r w:rsidRPr="00D9594A">
        <w:t xml:space="preserve">, </w:t>
      </w:r>
      <w:r w:rsidR="0081657C" w:rsidRPr="00612C31">
        <w:t xml:space="preserve">Interviewed </w:t>
      </w:r>
      <w:r w:rsidRPr="00D9594A">
        <w:t>March 2020).</w:t>
      </w:r>
    </w:p>
    <w:p w14:paraId="67EC52D4" w14:textId="0569F034" w:rsidR="00797CF4" w:rsidRPr="00797CF4" w:rsidRDefault="00797CF4" w:rsidP="00797CF4">
      <w:pPr>
        <w:pStyle w:val="BodyText"/>
      </w:pPr>
      <w:r>
        <w:t>Consumers from other states also noted the need to expand availability of THN:</w:t>
      </w:r>
    </w:p>
    <w:p w14:paraId="70328ADF" w14:textId="77777777" w:rsidR="00797CF4" w:rsidRDefault="00797CF4" w:rsidP="00797CF4">
      <w:pPr>
        <w:pStyle w:val="Quote"/>
      </w:pPr>
      <w:bookmarkStart w:id="332" w:name="_Hlk84592623"/>
      <w:r w:rsidRPr="00CE49C3">
        <w:t>I think it should be rolled out to a lot more than just a few chemists and outreach centres, and NSPs, I think the police should ha</w:t>
      </w:r>
      <w:r w:rsidRPr="00752614">
        <w:rPr>
          <w:rFonts w:ascii="Arial" w:eastAsia="Arial" w:hAnsi="Arial" w:cs="Arial"/>
        </w:rPr>
        <w:t xml:space="preserve">ve it, I think community-engaged workers should have access to it, and hospitals obviously, and maybe even vending machines where they pick up their packs from </w:t>
      </w:r>
      <w:bookmarkEnd w:id="332"/>
      <w:r w:rsidRPr="001D7177">
        <w:rPr>
          <w:rFonts w:ascii="Arial" w:eastAsia="Arial" w:hAnsi="Arial" w:cs="Arial"/>
        </w:rPr>
        <w:t>(NSW, PUPO, Recruited from NSP, Interviewed December 2020).</w:t>
      </w:r>
    </w:p>
    <w:p w14:paraId="5E067084" w14:textId="77777777" w:rsidR="00797CF4" w:rsidRDefault="00797CF4" w:rsidP="00797CF4">
      <w:pPr>
        <w:pStyle w:val="BodyText"/>
        <w:rPr>
          <w:rFonts w:ascii="Calibri" w:eastAsia="Calibri" w:hAnsi="Calibri" w:cs="Calibri"/>
          <w:i/>
          <w:iCs/>
        </w:rPr>
      </w:pPr>
      <w:r w:rsidRPr="4E2ABE9A">
        <w:t>Also noted was the need to train more people at each access site to be able to dispense naloxone more readily:</w:t>
      </w:r>
    </w:p>
    <w:p w14:paraId="2FEB10B2" w14:textId="5B76AE07" w:rsidR="00797CF4" w:rsidRPr="00797CF4" w:rsidRDefault="00797CF4" w:rsidP="001A11D2">
      <w:pPr>
        <w:pStyle w:val="Quote"/>
      </w:pPr>
      <w:r w:rsidRPr="386217F3">
        <w:t xml:space="preserve">Say like half a dozen people work at </w:t>
      </w:r>
      <w:r>
        <w:t>[peer organisation]</w:t>
      </w:r>
      <w:r w:rsidRPr="386217F3">
        <w:t xml:space="preserve">. It’s </w:t>
      </w:r>
      <w:proofErr w:type="gramStart"/>
      <w:r w:rsidRPr="386217F3">
        <w:t>really important</w:t>
      </w:r>
      <w:proofErr w:type="gramEnd"/>
      <w:r w:rsidRPr="386217F3">
        <w:t xml:space="preserve"> that everybody that works there has the ability to hand out naloxone. Not just me getting it and then I </w:t>
      </w:r>
      <w:proofErr w:type="gramStart"/>
      <w:r w:rsidRPr="386217F3">
        <w:t>have to</w:t>
      </w:r>
      <w:proofErr w:type="gramEnd"/>
      <w:r w:rsidRPr="386217F3">
        <w:t xml:space="preserve"> leave the building and meet up with my using opioid friends and then I can hand it out. Because I can just do a brief intervention in the building. Train…the ability to train people there so they can have to hand it out themselves. That would be the thing that I would recommend </w:t>
      </w:r>
      <w:r>
        <w:t>(WA, PUIO, Recruited from NSP, Interviewed February 2020).</w:t>
      </w:r>
    </w:p>
    <w:p w14:paraId="1A35BE23" w14:textId="2C05D21B" w:rsidR="00552EE5" w:rsidRDefault="000E04A6" w:rsidP="002F04DC">
      <w:pPr>
        <w:pStyle w:val="BodyText"/>
        <w:numPr>
          <w:ilvl w:val="0"/>
          <w:numId w:val="158"/>
        </w:numPr>
      </w:pPr>
      <w:r>
        <w:lastRenderedPageBreak/>
        <w:t>While patients are already able to access naloxone from a GP by way of prescription, m</w:t>
      </w:r>
      <w:r w:rsidR="00CA5EEA">
        <w:t xml:space="preserve">any participants noted that they thought it would be helpful to have THN available </w:t>
      </w:r>
      <w:r w:rsidR="0011761F">
        <w:t xml:space="preserve">directly </w:t>
      </w:r>
      <w:r w:rsidR="00CA5EEA">
        <w:t>from GPs</w:t>
      </w:r>
      <w:r w:rsidR="00F2308A">
        <w:t xml:space="preserve"> and other </w:t>
      </w:r>
      <w:r w:rsidR="00D94C5E">
        <w:t xml:space="preserve">primary health </w:t>
      </w:r>
      <w:r w:rsidR="00F2308A">
        <w:t>services</w:t>
      </w:r>
      <w:r w:rsidR="00CA5EEA">
        <w:t>.</w:t>
      </w:r>
      <w:r w:rsidR="00330B17">
        <w:t xml:space="preserve"> </w:t>
      </w:r>
      <w:r w:rsidR="003844F6">
        <w:rPr>
          <w:rStyle w:val="FootnoteReference"/>
        </w:rPr>
        <w:footnoteReference w:id="37"/>
      </w:r>
      <w:r w:rsidR="00552EE5">
        <w:t xml:space="preserve"> </w:t>
      </w:r>
    </w:p>
    <w:p w14:paraId="37FD6448" w14:textId="0EFCFAFF" w:rsidR="00330B17" w:rsidRDefault="00330B17" w:rsidP="00552EE5">
      <w:pPr>
        <w:pStyle w:val="BodyText"/>
        <w:ind w:left="360"/>
      </w:pPr>
      <w:r w:rsidRPr="003D0719">
        <w:t>Our</w:t>
      </w:r>
      <w:r w:rsidRPr="003C1D7F">
        <w:t xml:space="preserve"> </w:t>
      </w:r>
      <w:r w:rsidR="00F1321B">
        <w:t>consumer interviews</w:t>
      </w:r>
      <w:r w:rsidR="00F1321B" w:rsidRPr="003C1D7F">
        <w:t xml:space="preserve"> </w:t>
      </w:r>
      <w:r w:rsidR="00B06974">
        <w:t xml:space="preserve">indicated that </w:t>
      </w:r>
      <w:r w:rsidR="007107DE">
        <w:t>there was a high rate of recent access of GPs</w:t>
      </w:r>
      <w:r w:rsidRPr="003C1D7F">
        <w:t xml:space="preserve"> </w:t>
      </w:r>
      <w:r w:rsidR="007107DE">
        <w:t xml:space="preserve">and other health services: </w:t>
      </w:r>
      <w:r w:rsidRPr="003C1D7F">
        <w:t xml:space="preserve"> 92% had accessed a GP </w:t>
      </w:r>
      <w:r w:rsidRPr="00BB24D7">
        <w:t xml:space="preserve">in the previous six months and 36% a medical specialist. </w:t>
      </w:r>
      <w:r w:rsidRPr="00196A6B">
        <w:t>Psychologists (33%) and social workers (31%) may present other opportunities to discuss or provide naloxone.</w:t>
      </w:r>
      <w:r w:rsidR="00CB01A1">
        <w:t xml:space="preserve"> </w:t>
      </w:r>
      <w:r>
        <w:t xml:space="preserve"> </w:t>
      </w:r>
    </w:p>
    <w:p w14:paraId="66F48841" w14:textId="7E48554D" w:rsidR="00330B17" w:rsidRDefault="00B1186A" w:rsidP="00552EE5">
      <w:pPr>
        <w:pStyle w:val="BodyText"/>
        <w:ind w:left="360"/>
      </w:pPr>
      <w:r>
        <w:t>The</w:t>
      </w:r>
      <w:r w:rsidR="007A2D57">
        <w:t xml:space="preserve"> best processes for allowing for direct provision of THN by GPs would need to be carefully considered</w:t>
      </w:r>
      <w:r w:rsidR="002F04DC">
        <w:t xml:space="preserve"> in a national roll out of THN</w:t>
      </w:r>
      <w:r w:rsidR="007A2D57">
        <w:t>, but it is important to note that this</w:t>
      </w:r>
      <w:r w:rsidR="00537DDA">
        <w:t xml:space="preserve"> was mentioned by many consumers and considered by stakeholders to be some</w:t>
      </w:r>
      <w:r w:rsidR="00446A8B">
        <w:t>thing</w:t>
      </w:r>
      <w:r w:rsidR="00537DDA">
        <w:t xml:space="preserve"> of a gap in the </w:t>
      </w:r>
      <w:r w:rsidR="00446A8B">
        <w:t xml:space="preserve">current </w:t>
      </w:r>
      <w:r w:rsidR="00537DDA">
        <w:t>Pilot model</w:t>
      </w:r>
      <w:r w:rsidR="007A2D57">
        <w:t>.</w:t>
      </w:r>
      <w:r w:rsidR="00537DDA">
        <w:t xml:space="preserve"> </w:t>
      </w:r>
      <w:r w:rsidR="002F04DC">
        <w:t>This is discussed further in Chapter 9.</w:t>
      </w:r>
    </w:p>
    <w:p w14:paraId="2F3CBAC3" w14:textId="2846980E" w:rsidR="00CA5EEA" w:rsidRPr="00DC5B21" w:rsidRDefault="00CA5EEA" w:rsidP="003D0F16">
      <w:pPr>
        <w:pStyle w:val="BodyText"/>
        <w:numPr>
          <w:ilvl w:val="0"/>
          <w:numId w:val="158"/>
        </w:numPr>
        <w:rPr>
          <w:rStyle w:val="QuoteChar"/>
        </w:rPr>
      </w:pPr>
      <w:r>
        <w:t>Delivery of naloxone was mentioned by many participants as a way of increasing reach of</w:t>
      </w:r>
      <w:r w:rsidRPr="0017682E">
        <w:t xml:space="preserve"> </w:t>
      </w:r>
      <w:r>
        <w:t xml:space="preserve">naloxone and as a way of circumventing stigma as a barrier through enhanced anonymity. Delivery was also highlighted as a key recommendation for allowing access to naloxone for consumers in rural, </w:t>
      </w:r>
      <w:proofErr w:type="gramStart"/>
      <w:r>
        <w:t>regional</w:t>
      </w:r>
      <w:proofErr w:type="gramEnd"/>
      <w:r>
        <w:t xml:space="preserve"> and remote areas.</w:t>
      </w:r>
      <w:r w:rsidR="004D1A08">
        <w:t xml:space="preserve"> There are however legislative and safety barriers: pharmacists are required to </w:t>
      </w:r>
      <w:r w:rsidR="000D27F7">
        <w:t>dispense</w:t>
      </w:r>
      <w:r w:rsidR="004D1A08">
        <w:t xml:space="preserve"> naloxone </w:t>
      </w:r>
      <w:r w:rsidR="000D27F7">
        <w:t>in</w:t>
      </w:r>
      <w:r w:rsidR="004D1A08">
        <w:t xml:space="preserve"> person, and </w:t>
      </w:r>
      <w:r w:rsidR="0018227B">
        <w:t xml:space="preserve">delivery services </w:t>
      </w:r>
      <w:r w:rsidR="00A70680">
        <w:t xml:space="preserve">would need to consider how to </w:t>
      </w:r>
      <w:r w:rsidR="003451EE">
        <w:t>provide the</w:t>
      </w:r>
      <w:r w:rsidR="006C4031">
        <w:t xml:space="preserve"> necessary education </w:t>
      </w:r>
      <w:r w:rsidR="00BE6F29">
        <w:t xml:space="preserve">to consumers </w:t>
      </w:r>
      <w:r w:rsidR="006C4031">
        <w:t>on how to recognise overdose and use naloxone correctly.</w:t>
      </w:r>
      <w:r>
        <w:br/>
      </w:r>
      <w:r>
        <w:br/>
      </w:r>
      <w:r w:rsidRPr="00DC5B21">
        <w:rPr>
          <w:rStyle w:val="QuoteChar"/>
        </w:rPr>
        <w:t xml:space="preserve">Maybe if they offered </w:t>
      </w:r>
      <w:proofErr w:type="gramStart"/>
      <w:r w:rsidRPr="00DC5B21">
        <w:rPr>
          <w:rStyle w:val="QuoteChar"/>
        </w:rPr>
        <w:t>some kind of delivery</w:t>
      </w:r>
      <w:proofErr w:type="gramEnd"/>
      <w:r w:rsidRPr="00DC5B21">
        <w:rPr>
          <w:rStyle w:val="QuoteChar"/>
        </w:rPr>
        <w:t xml:space="preserve"> to people who don't have a car and they don't have a way to get to the clinic. I live quite close to one, but if you're not as close to one, it would be a bit hard if you don’t have a car (WA, PUIO, </w:t>
      </w:r>
      <w:r w:rsidR="0081657C" w:rsidRPr="00DC5B21">
        <w:rPr>
          <w:rStyle w:val="QuoteChar"/>
        </w:rPr>
        <w:t>Recruited from Community pharmacy</w:t>
      </w:r>
      <w:r w:rsidRPr="00DC5B21">
        <w:rPr>
          <w:rStyle w:val="QuoteChar"/>
        </w:rPr>
        <w:t xml:space="preserve">, </w:t>
      </w:r>
      <w:r w:rsidR="0081657C" w:rsidRPr="00DC5B21">
        <w:rPr>
          <w:rStyle w:val="QuoteChar"/>
        </w:rPr>
        <w:t xml:space="preserve">Interviewed </w:t>
      </w:r>
      <w:r w:rsidRPr="00DC5B21">
        <w:rPr>
          <w:rStyle w:val="QuoteChar"/>
        </w:rPr>
        <w:t>November 2020).</w:t>
      </w:r>
    </w:p>
    <w:p w14:paraId="47D5A0C8" w14:textId="20A4BBD1" w:rsidR="00CA5EEA" w:rsidRDefault="00CA5EEA" w:rsidP="003D0F16">
      <w:pPr>
        <w:pStyle w:val="BodyText"/>
        <w:numPr>
          <w:ilvl w:val="0"/>
          <w:numId w:val="158"/>
        </w:numPr>
      </w:pPr>
      <w:r>
        <w:t xml:space="preserve">Vending machines were mentioned by quite </w:t>
      </w:r>
      <w:proofErr w:type="gramStart"/>
      <w:r>
        <w:t>a number of</w:t>
      </w:r>
      <w:proofErr w:type="gramEnd"/>
      <w:r>
        <w:t xml:space="preserve"> participants as a potential way to increase access to naloxone </w:t>
      </w:r>
      <w:r w:rsidR="003568A1">
        <w:t xml:space="preserve">and maintain anonymity </w:t>
      </w:r>
      <w:r>
        <w:t>(although it is noted that this suggestion has multiple legislative and other barriers depending on the jurisdiction).</w:t>
      </w:r>
    </w:p>
    <w:p w14:paraId="6985FF9B" w14:textId="6521B567" w:rsidR="00CA5EEA" w:rsidRDefault="00CA5EEA" w:rsidP="0017682E">
      <w:pPr>
        <w:pStyle w:val="Quote"/>
      </w:pPr>
      <w:r w:rsidRPr="00A15A70">
        <w:t xml:space="preserve">Vending machines would be a good idea at places like at the back of hospitals and shops. That’d be a good place to be able to get them as well (NSW, PUIO, </w:t>
      </w:r>
      <w:r w:rsidR="0081657C">
        <w:t>Recruited from Community pharmacy</w:t>
      </w:r>
      <w:r w:rsidRPr="00A15A70">
        <w:t xml:space="preserve">, </w:t>
      </w:r>
      <w:r w:rsidR="0081657C">
        <w:t xml:space="preserve">Interviewed </w:t>
      </w:r>
      <w:r w:rsidRPr="00A15A70">
        <w:t>May 2021).</w:t>
      </w:r>
    </w:p>
    <w:p w14:paraId="54ABCD2D" w14:textId="34503DC5" w:rsidR="00CA5EEA" w:rsidRDefault="00B7208F" w:rsidP="003D0F16">
      <w:pPr>
        <w:pStyle w:val="BodyText"/>
        <w:numPr>
          <w:ilvl w:val="0"/>
          <w:numId w:val="158"/>
        </w:numPr>
      </w:pPr>
      <w:r>
        <w:t>To facilitate the process of receiving THN</w:t>
      </w:r>
      <w:r w:rsidR="00E42C7D">
        <w:t xml:space="preserve"> and to enhance convenience and anonymity</w:t>
      </w:r>
      <w:r>
        <w:t>, some participants suggested that online booking and ordering systems could be used by access sites.</w:t>
      </w:r>
    </w:p>
    <w:p w14:paraId="5DEB1874" w14:textId="12E2001F" w:rsidR="00CA5EEA" w:rsidRPr="0017682E" w:rsidRDefault="00CA5EEA" w:rsidP="0017682E">
      <w:pPr>
        <w:pStyle w:val="NbrHeading4"/>
      </w:pPr>
      <w:r w:rsidRPr="0017682E">
        <w:t>Further formalisation of use of peer and social networks</w:t>
      </w:r>
    </w:p>
    <w:p w14:paraId="1F160391" w14:textId="77777777" w:rsidR="00CA5EEA" w:rsidRDefault="00CA5EEA" w:rsidP="003D0F16">
      <w:r>
        <w:t xml:space="preserve">The lack of awareness of the Pilot amongst consumers was mentioned by participants as a barrier to THN, with participants suggesting that greater formalisation of outreach activities and peer distribution could be a means addressing this. For example: </w:t>
      </w:r>
    </w:p>
    <w:p w14:paraId="2A939AF5" w14:textId="2DCE4B88" w:rsidR="00CA5EEA" w:rsidRPr="00C13ADC" w:rsidRDefault="00CA5EEA" w:rsidP="003D0F16">
      <w:pPr>
        <w:pStyle w:val="Quote"/>
        <w:rPr>
          <w:rFonts w:ascii="Arial" w:eastAsia="Arial" w:hAnsi="Arial" w:cs="Arial"/>
          <w:color w:val="D13438"/>
          <w:u w:val="single"/>
        </w:rPr>
      </w:pPr>
      <w:r w:rsidRPr="00C13ADC">
        <w:t>I think face-to-face with the outreach and everything, in this area, or in the city the outreach goes on foot. Yeah</w:t>
      </w:r>
      <w:r w:rsidR="00476943">
        <w:t>,</w:t>
      </w:r>
      <w:r w:rsidRPr="00C13ADC">
        <w:t xml:space="preserve"> I think the face-to-face and the gentle nagging, I’ll put it like that</w:t>
      </w:r>
      <w:r>
        <w:t xml:space="preserve"> (NSW, </w:t>
      </w:r>
      <w:r w:rsidR="000778B8">
        <w:t>PUIO</w:t>
      </w:r>
      <w:r>
        <w:t xml:space="preserve">, </w:t>
      </w:r>
      <w:r w:rsidR="0081657C">
        <w:t xml:space="preserve">Recruited from </w:t>
      </w:r>
      <w:r w:rsidRPr="000A783F">
        <w:t xml:space="preserve">NSP, </w:t>
      </w:r>
      <w:r w:rsidR="0081657C">
        <w:t xml:space="preserve">Interviewed </w:t>
      </w:r>
      <w:r w:rsidRPr="000A783F">
        <w:t>December 2020).</w:t>
      </w:r>
    </w:p>
    <w:p w14:paraId="7BAC7534" w14:textId="4941AE15" w:rsidR="00EA5501" w:rsidRPr="00EA5501" w:rsidRDefault="00CA5EEA" w:rsidP="00EA5501">
      <w:pPr>
        <w:pStyle w:val="Quote"/>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sidRPr="000A783F">
        <w:t xml:space="preserve">I see it </w:t>
      </w:r>
      <w:r>
        <w:t xml:space="preserve">as </w:t>
      </w:r>
      <w:r w:rsidRPr="000A783F">
        <w:t xml:space="preserve">being a peer-based program. I think if the peers could have a greater role in being trained to deliver information and </w:t>
      </w:r>
      <w:r>
        <w:t>in</w:t>
      </w:r>
      <w:r w:rsidRPr="000A783F">
        <w:t xml:space="preserve">form their </w:t>
      </w:r>
      <w:r>
        <w:t>networks</w:t>
      </w:r>
      <w:r w:rsidRPr="000A783F">
        <w:t xml:space="preserve"> and be able to refer peer support people into recovery or treatment or whatever the individual needs or </w:t>
      </w:r>
      <w:r w:rsidRPr="000A783F">
        <w:lastRenderedPageBreak/>
        <w:t xml:space="preserve">requires, </w:t>
      </w:r>
      <w:r>
        <w:t xml:space="preserve">it </w:t>
      </w:r>
      <w:r w:rsidRPr="000A783F">
        <w:t>would be a great place to start</w:t>
      </w:r>
      <w:r>
        <w:t xml:space="preserve"> (NSW, PUPO, </w:t>
      </w:r>
      <w:r w:rsidR="00B80E2E">
        <w:t xml:space="preserve">Recruited from </w:t>
      </w:r>
      <w:r>
        <w:t xml:space="preserve">NSP, </w:t>
      </w:r>
      <w:r w:rsidR="00B80E2E">
        <w:t xml:space="preserve">Interviewed </w:t>
      </w:r>
      <w:r>
        <w:t>December 2020)</w:t>
      </w:r>
      <w:r w:rsidR="00674B5E">
        <w:t>.</w:t>
      </w:r>
      <w:r>
        <w:t xml:space="preserve"> </w:t>
      </w:r>
    </w:p>
    <w:p w14:paraId="55C9A113" w14:textId="70C8D1DB" w:rsidR="00653E91" w:rsidRDefault="00653E91" w:rsidP="00653E91">
      <w:r>
        <w:t>In NSW and WA, peer workers have been involved in THN programs prior to the Pilot. For example:</w:t>
      </w:r>
    </w:p>
    <w:p w14:paraId="060A9962" w14:textId="76977111" w:rsidR="00653E91" w:rsidRDefault="00653E91" w:rsidP="00653E91">
      <w:pPr>
        <w:pStyle w:val="Quote"/>
      </w:pPr>
      <w:r>
        <w:t>…the peer workers who were doing the education authorised under that SASA arrangement. </w:t>
      </w:r>
      <w:proofErr w:type="gramStart"/>
      <w:r>
        <w:t>So</w:t>
      </w:r>
      <w:proofErr w:type="gramEnd"/>
      <w:r>
        <w:t> we did have a whole system of, you know, policies, procedures, and educational materials already in place before the Take Home Naloxone pilot began. (WA, NSP staff member, Interviewed May 2021).</w:t>
      </w:r>
    </w:p>
    <w:p w14:paraId="7D8717C4" w14:textId="77777777" w:rsidR="00DC3A5A" w:rsidRDefault="00953881" w:rsidP="00653E91">
      <w:r>
        <w:t>In SA, peer workers had also been trained in THN</w:t>
      </w:r>
      <w:r w:rsidR="00DC3A5A">
        <w:t xml:space="preserve"> but were only able to supply the vouchers</w:t>
      </w:r>
      <w:r>
        <w:t>:</w:t>
      </w:r>
    </w:p>
    <w:p w14:paraId="6AFE8C12" w14:textId="124494E4" w:rsidR="00DC3A5A" w:rsidRDefault="00DC3A5A" w:rsidP="00DC3A5A">
      <w:pPr>
        <w:pStyle w:val="Quote"/>
      </w:pPr>
      <w:r>
        <w:t>Participant: Yeah, we’re supplying the vouchers not the naloxone</w:t>
      </w:r>
    </w:p>
    <w:p w14:paraId="425081DB" w14:textId="55046633" w:rsidR="00DC3A5A" w:rsidRDefault="00DC3A5A" w:rsidP="00DC3A5A">
      <w:pPr>
        <w:pStyle w:val="Quote"/>
      </w:pPr>
      <w:r>
        <w:t>Interviewer: yeah, right. And what makes you comfortable to do that?</w:t>
      </w:r>
    </w:p>
    <w:p w14:paraId="1B06C3E2" w14:textId="35B22C3E" w:rsidR="00953881" w:rsidRPr="00F04ABB" w:rsidRDefault="00DC3A5A" w:rsidP="00DC3A5A">
      <w:pPr>
        <w:pStyle w:val="Quote"/>
      </w:pPr>
      <w:r>
        <w:t xml:space="preserve">Participant: because I know, because I have been </w:t>
      </w:r>
      <w:proofErr w:type="gramStart"/>
      <w:r>
        <w:t>really well</w:t>
      </w:r>
      <w:proofErr w:type="gramEnd"/>
      <w:r>
        <w:t xml:space="preserve"> briefed with naloxone and overdose, so I’m quite comfortable talking about it because I know a lot about it and also because I’m working with, I’m a peer so I’m working with my community… </w:t>
      </w:r>
      <w:r w:rsidRPr="00F04ABB">
        <w:t>(</w:t>
      </w:r>
      <w:r w:rsidR="00F04ABB" w:rsidRPr="00F04ABB">
        <w:t>SA, NSP/CNP staff member, Interviewed January 2021).</w:t>
      </w:r>
    </w:p>
    <w:p w14:paraId="346003C9" w14:textId="02E2521E" w:rsidR="00490BD1" w:rsidRPr="00490BD1" w:rsidRDefault="001048E5" w:rsidP="00920F03">
      <w:r>
        <w:t>Consumers and access site staff that had training from peer-based organisations found it hel</w:t>
      </w:r>
      <w:r w:rsidR="00511F6F">
        <w:t>pful and informative.</w:t>
      </w:r>
      <w:r w:rsidR="00C71CAD">
        <w:t xml:space="preserve"> Consumers that accessed THN from peer organisations appreciated interacting with people with lived experience:</w:t>
      </w:r>
    </w:p>
    <w:p w14:paraId="1B83F857" w14:textId="6BE0EE4F" w:rsidR="00C71CAD" w:rsidRDefault="00C71CAD" w:rsidP="00C71CAD">
      <w:pPr>
        <w:pStyle w:val="Quote"/>
      </w:pPr>
      <w:r>
        <w:t>I feel that the people who work at the [peer-based organisation] know what they’re talking about. If I have any questions, they can answer them. And I don’t…I don’t feel embarrassed or whatever to ask for Naloxone. Yeah, I feel more comfortable going there than to the pharmacy to ask for it, because they’re yeah, they’re not judgmental and it’s free (WA, PUIO, Recruited from NSP, Interviewed December 2020).</w:t>
      </w:r>
    </w:p>
    <w:p w14:paraId="3D8EEEE6" w14:textId="2B5D1360" w:rsidR="002B5829" w:rsidRPr="002B5829" w:rsidRDefault="002B5829" w:rsidP="0065226D">
      <w:r>
        <w:t xml:space="preserve">Some </w:t>
      </w:r>
      <w:r w:rsidR="003E356A">
        <w:t>participants also thought th</w:t>
      </w:r>
      <w:r w:rsidR="002620FB">
        <w:t xml:space="preserve">e peer model </w:t>
      </w:r>
      <w:r w:rsidR="003E356A">
        <w:t>could be expanded to</w:t>
      </w:r>
      <w:r w:rsidR="002620FB">
        <w:t xml:space="preserve"> include information provision </w:t>
      </w:r>
      <w:r w:rsidR="006D2A9D">
        <w:t>about THN</w:t>
      </w:r>
      <w:r w:rsidR="002620FB">
        <w:t xml:space="preserve"> for</w:t>
      </w:r>
      <w:r w:rsidR="003E356A">
        <w:t xml:space="preserve"> family members</w:t>
      </w:r>
      <w:r w:rsidR="002620FB">
        <w:t xml:space="preserve"> and friends</w:t>
      </w:r>
      <w:r w:rsidR="003E356A">
        <w:t xml:space="preserve"> of people who use opioids</w:t>
      </w:r>
      <w:r w:rsidR="002620FB">
        <w:t>.</w:t>
      </w:r>
    </w:p>
    <w:p w14:paraId="61A63B0D" w14:textId="215F5E8A" w:rsidR="008144B0" w:rsidRPr="008144B0" w:rsidRDefault="008144B0" w:rsidP="0065226D">
      <w:r>
        <w:t xml:space="preserve">This recommendation is further expanded in </w:t>
      </w:r>
      <w:r w:rsidR="002620FB">
        <w:t>Chapter 9</w:t>
      </w:r>
      <w:r w:rsidR="00BD6BAF">
        <w:t xml:space="preserve">, </w:t>
      </w:r>
      <w:r>
        <w:t xml:space="preserve">Section 9.2.2.4. </w:t>
      </w:r>
    </w:p>
    <w:p w14:paraId="619D131A" w14:textId="26F7573B" w:rsidR="001A0A0D" w:rsidRDefault="001A0A0D" w:rsidP="00D55AAD">
      <w:pPr>
        <w:pStyle w:val="NbrHeading4"/>
      </w:pPr>
      <w:r>
        <w:t>Education for police</w:t>
      </w:r>
    </w:p>
    <w:p w14:paraId="68BD4525" w14:textId="3DB62CAE" w:rsidR="001A0A0D" w:rsidRPr="00D55AAD" w:rsidRDefault="00D55AAD" w:rsidP="00D55AAD">
      <w:pPr>
        <w:pStyle w:val="Quote"/>
        <w:ind w:left="0"/>
        <w:rPr>
          <w:i w:val="0"/>
        </w:rPr>
      </w:pPr>
      <w:r>
        <w:rPr>
          <w:i w:val="0"/>
          <w:iCs w:val="0"/>
        </w:rPr>
        <w:t>Some of the consumers interviewed mentioned that education for police about naloxone and the Pilot is needed:</w:t>
      </w:r>
    </w:p>
    <w:p w14:paraId="0DE0917D" w14:textId="40B4E85A" w:rsidR="001A0A0D" w:rsidRDefault="001A0A0D" w:rsidP="00D55AAD">
      <w:pPr>
        <w:pStyle w:val="Quote"/>
      </w:pPr>
      <w:r>
        <w:t xml:space="preserve">The police, you </w:t>
      </w:r>
      <w:proofErr w:type="gramStart"/>
      <w:r>
        <w:t>actually have</w:t>
      </w:r>
      <w:proofErr w:type="gramEnd"/>
      <w:r>
        <w:t xml:space="preserve"> to tell them it’s actually legal to have this and I don’t need a prescription to have this</w:t>
      </w:r>
      <w:r w:rsidR="000E4166">
        <w:t>..</w:t>
      </w:r>
      <w:r>
        <w:t xml:space="preserve">. They don’t seem to know it’s not illegal if you don’t have a prescription, I think they need to be given education on that (NSW, PUIO, </w:t>
      </w:r>
      <w:r w:rsidR="00A256E8">
        <w:t xml:space="preserve">Recruited from </w:t>
      </w:r>
      <w:r w:rsidR="000E4166">
        <w:t>NSP, Interviewed December 2020).</w:t>
      </w:r>
    </w:p>
    <w:p w14:paraId="5A442600" w14:textId="77777777" w:rsidR="00CA5EEA" w:rsidRDefault="00CA5EEA" w:rsidP="003D0F16">
      <w:pPr>
        <w:pStyle w:val="NbrHeading3"/>
      </w:pPr>
      <w:bookmarkStart w:id="333" w:name="_Toc94794162"/>
      <w:bookmarkStart w:id="334" w:name="_Toc94794305"/>
      <w:r w:rsidRPr="009468FB">
        <w:t>What were the key facilitators of success in the Pilot?</w:t>
      </w:r>
      <w:bookmarkEnd w:id="333"/>
      <w:bookmarkEnd w:id="334"/>
    </w:p>
    <w:p w14:paraId="0372B33B" w14:textId="77777777" w:rsidR="00CA5EEA" w:rsidRDefault="00CA5EEA" w:rsidP="003D0F16">
      <w:pPr>
        <w:pStyle w:val="BodyText"/>
      </w:pPr>
      <w:r>
        <w:t>To further inform the consideration of how to overcome barriers to THN provision, and the extent to which the Pilot addressed barriers, this section provides an overview of the key facilitators of success in the Pilot.</w:t>
      </w:r>
    </w:p>
    <w:p w14:paraId="6252A11E" w14:textId="32545B6B" w:rsidR="00CA5EEA" w:rsidRDefault="00CA5EEA" w:rsidP="003D0F16">
      <w:pPr>
        <w:pStyle w:val="Caption"/>
      </w:pPr>
      <w:bookmarkStart w:id="335" w:name="_Toc81401876"/>
      <w:bookmarkStart w:id="336" w:name="_Toc94794336"/>
      <w:r>
        <w:lastRenderedPageBreak/>
        <w:t xml:space="preserve">Table </w:t>
      </w:r>
      <w:r>
        <w:fldChar w:fldCharType="begin"/>
      </w:r>
      <w:r>
        <w:instrText>SEQ Table \* ARABIC</w:instrText>
      </w:r>
      <w:r>
        <w:fldChar w:fldCharType="separate"/>
      </w:r>
      <w:r w:rsidR="00EE19AD">
        <w:rPr>
          <w:noProof/>
        </w:rPr>
        <w:t>6</w:t>
      </w:r>
      <w:r>
        <w:fldChar w:fldCharType="end"/>
      </w:r>
      <w:r>
        <w:t>. Key facilitators of success in the Pilot</w:t>
      </w:r>
      <w:bookmarkEnd w:id="335"/>
      <w:bookmarkEnd w:id="336"/>
    </w:p>
    <w:tbl>
      <w:tblPr>
        <w:tblStyle w:val="TableUQLined"/>
        <w:tblW w:w="9356" w:type="dxa"/>
        <w:tblCellMar>
          <w:left w:w="57" w:type="dxa"/>
        </w:tblCellMar>
        <w:tblLook w:val="04A0" w:firstRow="1" w:lastRow="0" w:firstColumn="1" w:lastColumn="0" w:noHBand="0" w:noVBand="1"/>
      </w:tblPr>
      <w:tblGrid>
        <w:gridCol w:w="4111"/>
        <w:gridCol w:w="5245"/>
      </w:tblGrid>
      <w:tr w:rsidR="00CA5EEA" w14:paraId="1056B651" w14:textId="77777777" w:rsidTr="00C82B0E">
        <w:trPr>
          <w:cnfStyle w:val="100000000000" w:firstRow="1" w:lastRow="0" w:firstColumn="0" w:lastColumn="0" w:oddVBand="0" w:evenVBand="0" w:oddHBand="0" w:evenHBand="0" w:firstRowFirstColumn="0" w:firstRowLastColumn="0" w:lastRowFirstColumn="0" w:lastRowLastColumn="0"/>
        </w:trPr>
        <w:tc>
          <w:tcPr>
            <w:tcW w:w="4111" w:type="dxa"/>
            <w:vAlign w:val="center"/>
          </w:tcPr>
          <w:p w14:paraId="16FBEF11" w14:textId="77777777" w:rsidR="00CA5EEA" w:rsidRPr="00661DF5" w:rsidRDefault="00CA5EEA" w:rsidP="003D0F16">
            <w:pPr>
              <w:rPr>
                <w:b/>
                <w:bCs/>
              </w:rPr>
            </w:pPr>
            <w:r w:rsidRPr="00661DF5">
              <w:rPr>
                <w:b/>
                <w:bCs/>
              </w:rPr>
              <w:t>Key Facilitators</w:t>
            </w:r>
          </w:p>
        </w:tc>
        <w:tc>
          <w:tcPr>
            <w:tcW w:w="5245" w:type="dxa"/>
            <w:vAlign w:val="center"/>
          </w:tcPr>
          <w:p w14:paraId="5A0F199E" w14:textId="77777777" w:rsidR="00CA5EEA" w:rsidRPr="00661DF5" w:rsidRDefault="00CA5EEA" w:rsidP="00661DF5">
            <w:pPr>
              <w:ind w:left="366"/>
              <w:rPr>
                <w:b/>
                <w:bCs/>
              </w:rPr>
            </w:pPr>
            <w:r w:rsidRPr="00661DF5">
              <w:rPr>
                <w:b/>
                <w:bCs/>
              </w:rPr>
              <w:t xml:space="preserve">Results </w:t>
            </w:r>
          </w:p>
        </w:tc>
      </w:tr>
      <w:tr w:rsidR="00CA5EEA" w14:paraId="6FF1F75A" w14:textId="77777777" w:rsidTr="00C82B0E">
        <w:tc>
          <w:tcPr>
            <w:tcW w:w="4111" w:type="dxa"/>
            <w:vAlign w:val="center"/>
          </w:tcPr>
          <w:p w14:paraId="699CF4D3" w14:textId="0DF2CCE8" w:rsidR="00CA5EEA" w:rsidRDefault="00CA5EEA" w:rsidP="00D9594A">
            <w:pPr>
              <w:pStyle w:val="ListParagraph"/>
              <w:numPr>
                <w:ilvl w:val="0"/>
                <w:numId w:val="217"/>
              </w:numPr>
              <w:ind w:left="366"/>
            </w:pPr>
            <w:r>
              <w:t>Free access to THN</w:t>
            </w:r>
          </w:p>
        </w:tc>
        <w:tc>
          <w:tcPr>
            <w:tcW w:w="5245" w:type="dxa"/>
            <w:vAlign w:val="center"/>
          </w:tcPr>
          <w:p w14:paraId="456933B8" w14:textId="77777777" w:rsidR="00CA5EEA" w:rsidRDefault="00CA5EEA" w:rsidP="00661DF5">
            <w:pPr>
              <w:ind w:left="366"/>
            </w:pPr>
            <w:r>
              <w:t>Enhanced reach and accessibility of THN for consumers</w:t>
            </w:r>
          </w:p>
        </w:tc>
      </w:tr>
      <w:tr w:rsidR="00DE7748" w14:paraId="327E3491" w14:textId="77777777" w:rsidTr="00C82B0E">
        <w:trPr>
          <w:cnfStyle w:val="000000010000" w:firstRow="0" w:lastRow="0" w:firstColumn="0" w:lastColumn="0" w:oddVBand="0" w:evenVBand="0" w:oddHBand="0" w:evenHBand="1" w:firstRowFirstColumn="0" w:firstRowLastColumn="0" w:lastRowFirstColumn="0" w:lastRowLastColumn="0"/>
        </w:trPr>
        <w:tc>
          <w:tcPr>
            <w:tcW w:w="4111" w:type="dxa"/>
            <w:vAlign w:val="center"/>
          </w:tcPr>
          <w:p w14:paraId="46A49579" w14:textId="7F9BDA8E" w:rsidR="00DE7748" w:rsidRDefault="00DE7748" w:rsidP="00D9594A">
            <w:pPr>
              <w:pStyle w:val="ListParagraph"/>
              <w:numPr>
                <w:ilvl w:val="0"/>
                <w:numId w:val="217"/>
              </w:numPr>
              <w:ind w:left="366"/>
            </w:pPr>
            <w:r>
              <w:t>Availability of THN without a prescription</w:t>
            </w:r>
          </w:p>
        </w:tc>
        <w:tc>
          <w:tcPr>
            <w:tcW w:w="5245" w:type="dxa"/>
            <w:vAlign w:val="center"/>
          </w:tcPr>
          <w:p w14:paraId="33071A06" w14:textId="24BF2CE4" w:rsidR="00DE7748" w:rsidRDefault="00946021" w:rsidP="00661DF5">
            <w:pPr>
              <w:ind w:left="366"/>
            </w:pPr>
            <w:r>
              <w:t>Re</w:t>
            </w:r>
            <w:r w:rsidR="001E359D">
              <w:t>duced time, re</w:t>
            </w:r>
            <w:r>
              <w:t>moved additional step and additional cost for consumers</w:t>
            </w:r>
          </w:p>
        </w:tc>
      </w:tr>
      <w:tr w:rsidR="00CA5EEA" w14:paraId="3B22EFD3" w14:textId="77777777" w:rsidTr="00C82B0E">
        <w:tc>
          <w:tcPr>
            <w:tcW w:w="4111" w:type="dxa"/>
            <w:vAlign w:val="center"/>
          </w:tcPr>
          <w:p w14:paraId="30AB2BE9" w14:textId="77777777" w:rsidR="00CA5EEA" w:rsidDel="00E15F86" w:rsidRDefault="00CA5EEA" w:rsidP="00D9594A">
            <w:pPr>
              <w:pStyle w:val="ListParagraph"/>
              <w:numPr>
                <w:ilvl w:val="0"/>
                <w:numId w:val="217"/>
              </w:numPr>
              <w:ind w:left="366"/>
            </w:pPr>
            <w:r>
              <w:t xml:space="preserve">Availability of </w:t>
            </w:r>
            <w:proofErr w:type="spellStart"/>
            <w:r>
              <w:t>Nyxoid</w:t>
            </w:r>
            <w:proofErr w:type="spellEnd"/>
            <w:r w:rsidRPr="002B08A7">
              <w:rPr>
                <w:rFonts w:cstheme="minorHAnsi"/>
              </w:rPr>
              <w:t>®</w:t>
            </w:r>
            <w:r>
              <w:t xml:space="preserve"> nasal spray formulation</w:t>
            </w:r>
          </w:p>
        </w:tc>
        <w:tc>
          <w:tcPr>
            <w:tcW w:w="5245" w:type="dxa"/>
            <w:vAlign w:val="center"/>
          </w:tcPr>
          <w:p w14:paraId="31C058FF" w14:textId="5AFE2A19" w:rsidR="00CA5EEA" w:rsidRDefault="00CA5EEA" w:rsidP="00661DF5">
            <w:pPr>
              <w:ind w:left="366"/>
            </w:pPr>
            <w:r>
              <w:t xml:space="preserve">Enhanced reach, </w:t>
            </w:r>
            <w:proofErr w:type="gramStart"/>
            <w:r>
              <w:t>acceptability</w:t>
            </w:r>
            <w:proofErr w:type="gramEnd"/>
            <w:r>
              <w:t xml:space="preserve"> and ease of administration for consumers</w:t>
            </w:r>
          </w:p>
        </w:tc>
      </w:tr>
      <w:tr w:rsidR="00CA5EEA" w14:paraId="37E287E7" w14:textId="77777777" w:rsidTr="00C82B0E">
        <w:trPr>
          <w:cnfStyle w:val="000000010000" w:firstRow="0" w:lastRow="0" w:firstColumn="0" w:lastColumn="0" w:oddVBand="0" w:evenVBand="0" w:oddHBand="0" w:evenHBand="1" w:firstRowFirstColumn="0" w:firstRowLastColumn="0" w:lastRowFirstColumn="0" w:lastRowLastColumn="0"/>
        </w:trPr>
        <w:tc>
          <w:tcPr>
            <w:tcW w:w="4111" w:type="dxa"/>
            <w:vAlign w:val="center"/>
          </w:tcPr>
          <w:p w14:paraId="46574C8A" w14:textId="77777777" w:rsidR="00CA5EEA" w:rsidRDefault="00CA5EEA" w:rsidP="00D9594A">
            <w:pPr>
              <w:pStyle w:val="BodyText"/>
              <w:numPr>
                <w:ilvl w:val="0"/>
                <w:numId w:val="217"/>
              </w:numPr>
              <w:ind w:left="366"/>
            </w:pPr>
            <w:r>
              <w:t>Increased staff knowledge and positive staff attitudes</w:t>
            </w:r>
          </w:p>
        </w:tc>
        <w:tc>
          <w:tcPr>
            <w:tcW w:w="5245" w:type="dxa"/>
            <w:vAlign w:val="center"/>
          </w:tcPr>
          <w:p w14:paraId="1E2030A3" w14:textId="77777777" w:rsidR="00CA5EEA" w:rsidRDefault="00CA5EEA" w:rsidP="00661DF5">
            <w:pPr>
              <w:ind w:left="366"/>
            </w:pPr>
            <w:r>
              <w:t>Staff were more comfortable offering THN to clients</w:t>
            </w:r>
          </w:p>
          <w:p w14:paraId="53F6A346" w14:textId="488DC32D" w:rsidR="00CA5EEA" w:rsidRDefault="00CA5EEA" w:rsidP="00661DF5">
            <w:pPr>
              <w:ind w:left="366"/>
            </w:pPr>
            <w:r>
              <w:t>Consumers felt comfortable being offered THN and during brief intervention</w:t>
            </w:r>
            <w:r w:rsidR="00A01A34">
              <w:t>/education</w:t>
            </w:r>
          </w:p>
        </w:tc>
      </w:tr>
      <w:tr w:rsidR="00CA5EEA" w14:paraId="534849B6" w14:textId="77777777" w:rsidTr="00C82B0E">
        <w:tc>
          <w:tcPr>
            <w:tcW w:w="4111" w:type="dxa"/>
            <w:vAlign w:val="center"/>
          </w:tcPr>
          <w:p w14:paraId="088469BC" w14:textId="77777777" w:rsidR="00CA5EEA" w:rsidRDefault="00CA5EEA" w:rsidP="00D9594A">
            <w:pPr>
              <w:pStyle w:val="ListParagraph"/>
              <w:numPr>
                <w:ilvl w:val="0"/>
                <w:numId w:val="217"/>
              </w:numPr>
              <w:ind w:left="366"/>
            </w:pPr>
            <w:r>
              <w:t>Standard operating protocols that included naloxone</w:t>
            </w:r>
          </w:p>
        </w:tc>
        <w:tc>
          <w:tcPr>
            <w:tcW w:w="5245" w:type="dxa"/>
            <w:vAlign w:val="center"/>
          </w:tcPr>
          <w:p w14:paraId="5AD90958" w14:textId="77777777" w:rsidR="00CA5EEA" w:rsidRDefault="00CA5EEA" w:rsidP="00661DF5">
            <w:pPr>
              <w:ind w:left="366"/>
            </w:pPr>
            <w:r>
              <w:t xml:space="preserve">THN becomes integrated into ‘business as usual’ and staff are more likely to offer THN </w:t>
            </w:r>
          </w:p>
        </w:tc>
      </w:tr>
      <w:tr w:rsidR="00CA5EEA" w14:paraId="3C802FDB" w14:textId="77777777" w:rsidTr="00C82B0E">
        <w:trPr>
          <w:cnfStyle w:val="000000010000" w:firstRow="0" w:lastRow="0" w:firstColumn="0" w:lastColumn="0" w:oddVBand="0" w:evenVBand="0" w:oddHBand="0" w:evenHBand="1" w:firstRowFirstColumn="0" w:firstRowLastColumn="0" w:lastRowFirstColumn="0" w:lastRowLastColumn="0"/>
        </w:trPr>
        <w:tc>
          <w:tcPr>
            <w:tcW w:w="4111" w:type="dxa"/>
            <w:vAlign w:val="center"/>
          </w:tcPr>
          <w:p w14:paraId="1740B5AB" w14:textId="77777777" w:rsidR="00CA5EEA" w:rsidRDefault="00CA5EEA" w:rsidP="00D9594A">
            <w:pPr>
              <w:pStyle w:val="ListParagraph"/>
              <w:numPr>
                <w:ilvl w:val="0"/>
                <w:numId w:val="217"/>
              </w:numPr>
              <w:ind w:left="366"/>
            </w:pPr>
            <w:r>
              <w:t>‘Champions’ for the Pilot in different sectors</w:t>
            </w:r>
          </w:p>
        </w:tc>
        <w:tc>
          <w:tcPr>
            <w:tcW w:w="5245" w:type="dxa"/>
            <w:vAlign w:val="center"/>
          </w:tcPr>
          <w:p w14:paraId="28861FD6" w14:textId="77777777" w:rsidR="00CA5EEA" w:rsidRDefault="00CA5EEA" w:rsidP="00661DF5">
            <w:pPr>
              <w:ind w:left="366"/>
            </w:pPr>
            <w:r>
              <w:t xml:space="preserve">Enhanced promotion of the Pilot </w:t>
            </w:r>
          </w:p>
        </w:tc>
      </w:tr>
      <w:tr w:rsidR="00CA5EEA" w14:paraId="41F2DFF5" w14:textId="77777777" w:rsidTr="00C82B0E">
        <w:tc>
          <w:tcPr>
            <w:tcW w:w="4111" w:type="dxa"/>
            <w:vAlign w:val="center"/>
          </w:tcPr>
          <w:p w14:paraId="1CB8B99B" w14:textId="77777777" w:rsidR="00CA5EEA" w:rsidRDefault="00CA5EEA" w:rsidP="00D9594A">
            <w:pPr>
              <w:pStyle w:val="ListParagraph"/>
              <w:numPr>
                <w:ilvl w:val="0"/>
                <w:numId w:val="217"/>
              </w:numPr>
              <w:ind w:left="366"/>
            </w:pPr>
            <w:r>
              <w:t>Communication and collaboration across sectors</w:t>
            </w:r>
          </w:p>
        </w:tc>
        <w:tc>
          <w:tcPr>
            <w:tcW w:w="5245" w:type="dxa"/>
            <w:vAlign w:val="center"/>
          </w:tcPr>
          <w:p w14:paraId="75B52900" w14:textId="77777777" w:rsidR="00CA5EEA" w:rsidRDefault="00CA5EEA" w:rsidP="00661DF5">
            <w:pPr>
              <w:ind w:left="366"/>
            </w:pPr>
            <w:r>
              <w:t>Shared learning during the Pilot, cross-promotion</w:t>
            </w:r>
          </w:p>
        </w:tc>
      </w:tr>
      <w:tr w:rsidR="00CA5EEA" w14:paraId="4440D150" w14:textId="77777777" w:rsidTr="00C82B0E">
        <w:trPr>
          <w:cnfStyle w:val="000000010000" w:firstRow="0" w:lastRow="0" w:firstColumn="0" w:lastColumn="0" w:oddVBand="0" w:evenVBand="0" w:oddHBand="0" w:evenHBand="1" w:firstRowFirstColumn="0" w:firstRowLastColumn="0" w:lastRowFirstColumn="0" w:lastRowLastColumn="0"/>
        </w:trPr>
        <w:tc>
          <w:tcPr>
            <w:tcW w:w="4111" w:type="dxa"/>
            <w:vAlign w:val="center"/>
          </w:tcPr>
          <w:p w14:paraId="1D8696B1" w14:textId="77777777" w:rsidR="00CA5EEA" w:rsidRDefault="00CA5EEA" w:rsidP="00D9594A">
            <w:pPr>
              <w:pStyle w:val="ListParagraph"/>
              <w:numPr>
                <w:ilvl w:val="0"/>
                <w:numId w:val="217"/>
              </w:numPr>
              <w:ind w:left="366"/>
            </w:pPr>
            <w:r>
              <w:t>Local health promotion networks</w:t>
            </w:r>
          </w:p>
        </w:tc>
        <w:tc>
          <w:tcPr>
            <w:tcW w:w="5245" w:type="dxa"/>
            <w:vAlign w:val="center"/>
          </w:tcPr>
          <w:p w14:paraId="4F4FD23A" w14:textId="72148158" w:rsidR="00CA5EEA" w:rsidRDefault="00CA5EEA" w:rsidP="00661DF5">
            <w:pPr>
              <w:ind w:left="366"/>
            </w:pPr>
            <w:r>
              <w:t xml:space="preserve">Broader range of site types </w:t>
            </w:r>
            <w:proofErr w:type="gramStart"/>
            <w:r>
              <w:t>involved,</w:t>
            </w:r>
            <w:proofErr w:type="gramEnd"/>
            <w:r>
              <w:t xml:space="preserve"> cross-promotion </w:t>
            </w:r>
            <w:r w:rsidR="0023538D">
              <w:t xml:space="preserve">of Pilot </w:t>
            </w:r>
            <w:r>
              <w:t>between sectors</w:t>
            </w:r>
          </w:p>
        </w:tc>
      </w:tr>
      <w:tr w:rsidR="00CA5EEA" w14:paraId="1B83626C" w14:textId="77777777" w:rsidTr="00C82B0E">
        <w:tc>
          <w:tcPr>
            <w:tcW w:w="4111" w:type="dxa"/>
            <w:vAlign w:val="center"/>
          </w:tcPr>
          <w:p w14:paraId="05AAC687" w14:textId="77777777" w:rsidR="00CA5EEA" w:rsidRDefault="00CA5EEA" w:rsidP="00D9594A">
            <w:pPr>
              <w:pStyle w:val="ListParagraph"/>
              <w:numPr>
                <w:ilvl w:val="0"/>
                <w:numId w:val="217"/>
              </w:numPr>
              <w:ind w:left="366"/>
            </w:pPr>
            <w:r>
              <w:t>Use of existing resources for promotion and guidelines and development of new ones</w:t>
            </w:r>
          </w:p>
        </w:tc>
        <w:tc>
          <w:tcPr>
            <w:tcW w:w="5245" w:type="dxa"/>
            <w:vAlign w:val="center"/>
          </w:tcPr>
          <w:p w14:paraId="038EE211" w14:textId="18FC4275" w:rsidR="00CA5EEA" w:rsidRDefault="00CA5EEA" w:rsidP="00661DF5">
            <w:pPr>
              <w:ind w:left="366"/>
            </w:pPr>
            <w:r>
              <w:t xml:space="preserve">Facilitated </w:t>
            </w:r>
            <w:r w:rsidR="00052210">
              <w:t xml:space="preserve">speedy </w:t>
            </w:r>
            <w:r>
              <w:t>implementation of the Pilot</w:t>
            </w:r>
          </w:p>
        </w:tc>
      </w:tr>
      <w:tr w:rsidR="00CA5EEA" w14:paraId="384E1B96" w14:textId="77777777" w:rsidTr="00C82B0E">
        <w:trPr>
          <w:cnfStyle w:val="000000010000" w:firstRow="0" w:lastRow="0" w:firstColumn="0" w:lastColumn="0" w:oddVBand="0" w:evenVBand="0" w:oddHBand="0" w:evenHBand="1" w:firstRowFirstColumn="0" w:firstRowLastColumn="0" w:lastRowFirstColumn="0" w:lastRowLastColumn="0"/>
        </w:trPr>
        <w:tc>
          <w:tcPr>
            <w:tcW w:w="4111" w:type="dxa"/>
            <w:vAlign w:val="center"/>
          </w:tcPr>
          <w:p w14:paraId="1A637E36" w14:textId="77777777" w:rsidR="00CA5EEA" w:rsidRDefault="00CA5EEA" w:rsidP="00D9594A">
            <w:pPr>
              <w:pStyle w:val="ListParagraph"/>
              <w:numPr>
                <w:ilvl w:val="0"/>
                <w:numId w:val="217"/>
              </w:numPr>
              <w:ind w:left="366"/>
            </w:pPr>
            <w:r>
              <w:t xml:space="preserve">Increased range of settings for access of THN </w:t>
            </w:r>
          </w:p>
        </w:tc>
        <w:tc>
          <w:tcPr>
            <w:tcW w:w="5245" w:type="dxa"/>
            <w:vAlign w:val="center"/>
          </w:tcPr>
          <w:p w14:paraId="75EDA133" w14:textId="77777777" w:rsidR="00CA5EEA" w:rsidRDefault="00CA5EEA" w:rsidP="00661DF5">
            <w:pPr>
              <w:ind w:left="366"/>
            </w:pPr>
            <w:r>
              <w:t>Greater likelihood of engaging intended target populations</w:t>
            </w:r>
          </w:p>
        </w:tc>
      </w:tr>
      <w:tr w:rsidR="00CA5EEA" w14:paraId="6B03B584" w14:textId="77777777" w:rsidTr="00C82B0E">
        <w:tc>
          <w:tcPr>
            <w:tcW w:w="4111" w:type="dxa"/>
          </w:tcPr>
          <w:p w14:paraId="27851F49" w14:textId="77777777" w:rsidR="00CA5EEA" w:rsidRDefault="00CA5EEA" w:rsidP="00D9594A">
            <w:pPr>
              <w:pStyle w:val="ListParagraph"/>
              <w:numPr>
                <w:ilvl w:val="0"/>
                <w:numId w:val="217"/>
              </w:numPr>
              <w:ind w:left="366"/>
            </w:pPr>
            <w:r>
              <w:t>Effective engagement of the AOD sector and acceptance of naloxone within the sector</w:t>
            </w:r>
          </w:p>
        </w:tc>
        <w:tc>
          <w:tcPr>
            <w:tcW w:w="5245" w:type="dxa"/>
            <w:vAlign w:val="center"/>
          </w:tcPr>
          <w:p w14:paraId="390E0C89" w14:textId="77777777" w:rsidR="00CA5EEA" w:rsidRDefault="00CA5EEA" w:rsidP="00661DF5">
            <w:pPr>
              <w:ind w:left="366"/>
            </w:pPr>
            <w:r>
              <w:t>Early uptake and enhanced reach of THN to people who are engaged with AOD and related services</w:t>
            </w:r>
          </w:p>
        </w:tc>
      </w:tr>
      <w:tr w:rsidR="00CA5EEA" w14:paraId="0CC9B97E" w14:textId="77777777" w:rsidTr="00C82B0E">
        <w:trPr>
          <w:cnfStyle w:val="000000010000" w:firstRow="0" w:lastRow="0" w:firstColumn="0" w:lastColumn="0" w:oddVBand="0" w:evenVBand="0" w:oddHBand="0" w:evenHBand="1" w:firstRowFirstColumn="0" w:firstRowLastColumn="0" w:lastRowFirstColumn="0" w:lastRowLastColumn="0"/>
        </w:trPr>
        <w:tc>
          <w:tcPr>
            <w:tcW w:w="4111" w:type="dxa"/>
          </w:tcPr>
          <w:p w14:paraId="08576951" w14:textId="77777777" w:rsidR="00CA5EEA" w:rsidRDefault="00CA5EEA" w:rsidP="00D9594A">
            <w:pPr>
              <w:pStyle w:val="ListParagraph"/>
              <w:numPr>
                <w:ilvl w:val="0"/>
                <w:numId w:val="217"/>
              </w:numPr>
              <w:ind w:left="366"/>
            </w:pPr>
            <w:r>
              <w:t>Use of peer networks and word of mouth</w:t>
            </w:r>
            <w:r w:rsidDel="00723D81">
              <w:t xml:space="preserve"> </w:t>
            </w:r>
          </w:p>
        </w:tc>
        <w:tc>
          <w:tcPr>
            <w:tcW w:w="5245" w:type="dxa"/>
            <w:vAlign w:val="center"/>
          </w:tcPr>
          <w:p w14:paraId="1C6FEC52" w14:textId="77777777" w:rsidR="00CA5EEA" w:rsidRDefault="00CA5EEA" w:rsidP="00661DF5">
            <w:pPr>
              <w:ind w:left="366"/>
            </w:pPr>
            <w:r>
              <w:t>Informal promotion of the Pilot within target populations.</w:t>
            </w:r>
          </w:p>
        </w:tc>
      </w:tr>
    </w:tbl>
    <w:p w14:paraId="1BCBEA8A" w14:textId="65C47853" w:rsidR="00CA5EEA" w:rsidRPr="0056746A" w:rsidRDefault="00CA5EEA" w:rsidP="007A6273">
      <w:pPr>
        <w:pStyle w:val="NbrHeading4"/>
        <w:pageBreakBefore/>
      </w:pPr>
      <w:r w:rsidRPr="00D9594A">
        <w:lastRenderedPageBreak/>
        <w:t>Free</w:t>
      </w:r>
      <w:r w:rsidRPr="0056746A">
        <w:t xml:space="preserve"> access to THN</w:t>
      </w:r>
    </w:p>
    <w:p w14:paraId="2078384E" w14:textId="3A960113" w:rsidR="00DE6B15" w:rsidRDefault="00CA5EEA" w:rsidP="003D0F16">
      <w:pPr>
        <w:pStyle w:val="BodyText"/>
      </w:pPr>
      <w:r>
        <w:t xml:space="preserve">Offering </w:t>
      </w:r>
      <w:r w:rsidR="00D811E9">
        <w:t>n</w:t>
      </w:r>
      <w:r>
        <w:t xml:space="preserve">aloxone to consumers for free was central to the Pilot </w:t>
      </w:r>
      <w:proofErr w:type="gramStart"/>
      <w:r>
        <w:t>model, and</w:t>
      </w:r>
      <w:proofErr w:type="gramEnd"/>
      <w:r>
        <w:t xml:space="preserve"> removed a significant barrier to THN</w:t>
      </w:r>
      <w:r w:rsidR="0069733D">
        <w:t xml:space="preserve"> uptake</w:t>
      </w:r>
      <w:r>
        <w:t xml:space="preserve">. Although previous research has shown that even consumers with limited income place significant value on naloxone, the most disadvantaged community members may struggle to afford naloxone at non-concession prices. </w:t>
      </w:r>
    </w:p>
    <w:p w14:paraId="24CE2309" w14:textId="2D76191E" w:rsidR="009374F9" w:rsidRPr="0056746A" w:rsidRDefault="009374F9" w:rsidP="00B42B3C">
      <w:pPr>
        <w:pStyle w:val="NbrHeading4"/>
      </w:pPr>
      <w:r w:rsidRPr="00D9594A">
        <w:t xml:space="preserve">Availability of THN </w:t>
      </w:r>
      <w:r w:rsidR="00DE7748" w:rsidRPr="0056746A">
        <w:t>without</w:t>
      </w:r>
      <w:r w:rsidRPr="0056746A">
        <w:t xml:space="preserve"> a prescription</w:t>
      </w:r>
    </w:p>
    <w:p w14:paraId="1DABDBBD" w14:textId="31A7A6F1" w:rsidR="00DE6B15" w:rsidRDefault="00F109DF" w:rsidP="003D0F16">
      <w:pPr>
        <w:pStyle w:val="BodyText"/>
      </w:pPr>
      <w:r>
        <w:t>T</w:t>
      </w:r>
      <w:r w:rsidR="00CA5EEA">
        <w:t>he availability of naloxone without a prescription allowed consumers to obtain it without having to see a GP, thereby removing th</w:t>
      </w:r>
      <w:r w:rsidR="00B870E0">
        <w:t xml:space="preserve">e time involved for </w:t>
      </w:r>
      <w:r w:rsidR="00CA5EEA">
        <w:t xml:space="preserve">this step and avoiding a consultation fee.  </w:t>
      </w:r>
    </w:p>
    <w:p w14:paraId="339FA06D" w14:textId="77777777" w:rsidR="00CA5EEA" w:rsidRPr="00D9594A" w:rsidRDefault="00CA5EEA" w:rsidP="00050EC3">
      <w:pPr>
        <w:pStyle w:val="NbrHeading4"/>
      </w:pPr>
      <w:r w:rsidRPr="00D9594A">
        <w:t xml:space="preserve">Availability of the </w:t>
      </w:r>
      <w:proofErr w:type="spellStart"/>
      <w:r w:rsidRPr="00D9594A">
        <w:t>Nyxoid</w:t>
      </w:r>
      <w:proofErr w:type="spellEnd"/>
      <w:r w:rsidRPr="00FE74AF">
        <w:t>® spray</w:t>
      </w:r>
    </w:p>
    <w:p w14:paraId="0DDA42A1" w14:textId="5654971F" w:rsidR="00CA5EEA" w:rsidRDefault="009374F9" w:rsidP="003D0F16">
      <w:pPr>
        <w:pStyle w:val="BodyText"/>
      </w:pPr>
      <w:r>
        <w:t xml:space="preserve">By offering a range of formulations, consumers were able to access a naloxone product with which they were familiar and confident to use. </w:t>
      </w:r>
      <w:r w:rsidR="00CA5EEA">
        <w:t>The nasal spray formulation enhanced the reach and acceptability of naloxone amongst consumers, particularly those who were unfamiliar with injecting practices or had concerns about carrying needles and syringes.</w:t>
      </w:r>
    </w:p>
    <w:p w14:paraId="093AC37A" w14:textId="0B55F793" w:rsidR="00CA5EEA" w:rsidRDefault="00CA5EEA" w:rsidP="003D0F16">
      <w:pPr>
        <w:pStyle w:val="Quote"/>
      </w:pPr>
      <w:r>
        <w:t xml:space="preserve">You don't really want to be sticking needles into strangers. </w:t>
      </w:r>
      <w:proofErr w:type="gramStart"/>
      <w:r>
        <w:t>So</w:t>
      </w:r>
      <w:proofErr w:type="gramEnd"/>
      <w:r>
        <w:t xml:space="preserve"> I think the nasal spray is fantastic alternative. (NSW, PUPO, Recruited from NSP, Interviewed April 2021)</w:t>
      </w:r>
    </w:p>
    <w:p w14:paraId="2ED6B61E" w14:textId="3A2445A4" w:rsidR="00CA5EEA" w:rsidRDefault="00CA5EEA" w:rsidP="00E42C7D">
      <w:pPr>
        <w:pStyle w:val="Quote"/>
      </w:pPr>
      <w:r w:rsidRPr="009063C2">
        <w:t xml:space="preserve">The nasal spray is </w:t>
      </w:r>
      <w:proofErr w:type="gramStart"/>
      <w:r w:rsidRPr="009063C2">
        <w:t>definitely more</w:t>
      </w:r>
      <w:proofErr w:type="gramEnd"/>
      <w:r w:rsidRPr="009063C2">
        <w:t xml:space="preserve"> comfortable to use (WA, </w:t>
      </w:r>
      <w:r w:rsidR="005363D0">
        <w:t>P</w:t>
      </w:r>
      <w:r w:rsidR="00F562D9">
        <w:t>UPO</w:t>
      </w:r>
      <w:r w:rsidRPr="009063C2">
        <w:t xml:space="preserve">, </w:t>
      </w:r>
      <w:r w:rsidR="005363D0">
        <w:t>Recruited from Community pharmacy</w:t>
      </w:r>
      <w:r w:rsidRPr="009063C2">
        <w:t xml:space="preserve">, </w:t>
      </w:r>
      <w:r w:rsidR="005363D0">
        <w:t xml:space="preserve">Interviewed </w:t>
      </w:r>
      <w:r w:rsidRPr="009063C2">
        <w:t>September 2020).</w:t>
      </w:r>
    </w:p>
    <w:p w14:paraId="7E155D09" w14:textId="77777777" w:rsidR="00CA5EEA" w:rsidRPr="00D9594A" w:rsidRDefault="00CA5EEA" w:rsidP="00050EC3">
      <w:pPr>
        <w:pStyle w:val="NbrHeading4"/>
      </w:pPr>
      <w:r w:rsidRPr="00D9594A">
        <w:t>I</w:t>
      </w:r>
      <w:r w:rsidRPr="0056746A">
        <w:t>ncreased staff knowledge and positive staff attitudes</w:t>
      </w:r>
    </w:p>
    <w:p w14:paraId="149F0EB2" w14:textId="534EA22C" w:rsidR="00CA5EEA" w:rsidRDefault="00CA5EEA" w:rsidP="003D0F16">
      <w:pPr>
        <w:pStyle w:val="BodyText"/>
      </w:pPr>
      <w:r>
        <w:t>More knowledgeable staff enhanced consumers’ comfort with being offered THN and during the brief intervention</w:t>
      </w:r>
      <w:r w:rsidR="00A01A34">
        <w:t>/educat</w:t>
      </w:r>
      <w:r w:rsidR="00A30872">
        <w:t>ion</w:t>
      </w:r>
      <w:r>
        <w:t xml:space="preserve"> process. </w:t>
      </w:r>
    </w:p>
    <w:p w14:paraId="35036FD9" w14:textId="103428CD" w:rsidR="00CA5EEA" w:rsidRPr="00AE182B" w:rsidRDefault="00CA5EEA" w:rsidP="003D0F16">
      <w:pPr>
        <w:pStyle w:val="Quote"/>
      </w:pPr>
      <w:r>
        <w:t>They’re very helpful, friendly. They asked me If I needed anything else, if I knew how to use it or any help with any other problems I might be having as far as safe use goes. They were very helpful...like I said they made sure that I had everything I needed, even aside from naloxone, everything else that I needed to make sure that I knew how to use it</w:t>
      </w:r>
      <w:r w:rsidRPr="000A783F">
        <w:t xml:space="preserve"> (WA, PUIO, </w:t>
      </w:r>
      <w:r w:rsidR="00F562D9">
        <w:t>Recruited from Community pharmacy</w:t>
      </w:r>
      <w:r w:rsidRPr="000A783F">
        <w:t xml:space="preserve">, </w:t>
      </w:r>
      <w:r w:rsidR="00F562D9">
        <w:t xml:space="preserve">Interviewed </w:t>
      </w:r>
      <w:r w:rsidRPr="000A783F">
        <w:t>November 2020).</w:t>
      </w:r>
    </w:p>
    <w:p w14:paraId="2D862453" w14:textId="4B66E2CC" w:rsidR="00CA5EEA" w:rsidRDefault="00CA5EEA" w:rsidP="003D0F16">
      <w:pPr>
        <w:pStyle w:val="BodyText"/>
      </w:pPr>
      <w:r>
        <w:t xml:space="preserve">Access site staff reported that the training equipped them with the knowledge to successfully provide THN and describe appropriate overdose response to their clients. Pharmacists noted that guidelines on assessing which clients should be offered naloxone were helpful, as were tips on ‘how to broach the subject’. </w:t>
      </w:r>
    </w:p>
    <w:p w14:paraId="0E2C5946" w14:textId="77777777" w:rsidR="00CA5EEA" w:rsidRPr="00D9594A" w:rsidRDefault="00CA5EEA" w:rsidP="00050EC3">
      <w:pPr>
        <w:pStyle w:val="NbrHeading4"/>
      </w:pPr>
      <w:r w:rsidRPr="00D9594A">
        <w:t>Standard operating proced</w:t>
      </w:r>
      <w:r w:rsidRPr="0056746A">
        <w:t xml:space="preserve">ures that include naloxone </w:t>
      </w:r>
    </w:p>
    <w:p w14:paraId="2B3CD031" w14:textId="75FC4688" w:rsidR="00CA5EEA" w:rsidRDefault="00CA5EEA" w:rsidP="003D0F16">
      <w:pPr>
        <w:pStyle w:val="BodyText"/>
      </w:pPr>
      <w:r>
        <w:t>Staff at NSPs noted that it was easy to incorporate offers of naloxone into routine exchange activities, so that less effort was required to ‘remember to do it’. Staff of one pharmacy noted they were all trained in how to offer naloxone and explain its use, and it was made clear this was an expectation of standard practice; colleagues could then remind each other to offer naloxone to suitable clients. This also ensures standardisation of approaches to THN provision within an organisation.</w:t>
      </w:r>
    </w:p>
    <w:p w14:paraId="570BC4C9" w14:textId="77777777" w:rsidR="00CA5EEA" w:rsidRPr="00D9594A" w:rsidRDefault="00CA5EEA" w:rsidP="00050EC3">
      <w:pPr>
        <w:pStyle w:val="NbrHeading4"/>
      </w:pPr>
      <w:r w:rsidRPr="00D9594A">
        <w:t>Champions in different sectors</w:t>
      </w:r>
      <w:r w:rsidRPr="00D9594A">
        <w:rPr>
          <w:b w:val="0"/>
        </w:rPr>
        <w:t xml:space="preserve"> </w:t>
      </w:r>
    </w:p>
    <w:p w14:paraId="79893CD1" w14:textId="21A077B4" w:rsidR="00CA5EEA" w:rsidRDefault="00CA5EEA" w:rsidP="003D0F16">
      <w:pPr>
        <w:pStyle w:val="BodyText"/>
      </w:pPr>
      <w:r>
        <w:t>Champions at multiple levels have been key to the success of the pilot and helped facilitate the implementation of the THN Pilot, as well cross-sectoral collaboration</w:t>
      </w:r>
      <w:r w:rsidR="008C3D1B">
        <w:t>.</w:t>
      </w:r>
      <w:r>
        <w:t xml:space="preserve"> At the state level, champions in state implementing </w:t>
      </w:r>
      <w:r w:rsidR="00C444E7">
        <w:t>agencies</w:t>
      </w:r>
      <w:r>
        <w:t xml:space="preserve"> were pivotal to the success of the Pilot, acting as </w:t>
      </w:r>
      <w:r>
        <w:lastRenderedPageBreak/>
        <w:t>central points for information, linkage agents for establishing collaborations, and advocating for change to address new challenges.</w:t>
      </w:r>
    </w:p>
    <w:p w14:paraId="20EF0A0D" w14:textId="77777777" w:rsidR="00CA5EEA" w:rsidRDefault="00CA5EEA" w:rsidP="00837586">
      <w:pPr>
        <w:pStyle w:val="BodyText"/>
      </w:pPr>
      <w:r>
        <w:t>For access sites, strong management support for THN facilitated implementation of the Pilot at site level and helped encourage cross-sectoral collaboration. For example, this participant noted:</w:t>
      </w:r>
    </w:p>
    <w:p w14:paraId="55E42C03" w14:textId="1A8F30C7" w:rsidR="00E42C7D" w:rsidRPr="00E42C7D" w:rsidRDefault="00CA5EEA" w:rsidP="0056746A">
      <w:pPr>
        <w:pStyle w:val="Quote"/>
        <w:ind w:left="720"/>
      </w:pPr>
      <w:r>
        <w:t>…</w:t>
      </w:r>
      <w:proofErr w:type="gramStart"/>
      <w:r w:rsidRPr="002766FB">
        <w:t>so</w:t>
      </w:r>
      <w:proofErr w:type="gramEnd"/>
      <w:r w:rsidRPr="002766FB">
        <w:t xml:space="preserve"> what we’ve done is we’ve had strong management support that this is a key intervention for the service, and we have had a number of really enthusiastic champions within the service, of which I am one but there’s a few of them, on both teams to ensure that we’re continually providing training, support, updates, and motivation to staff to continue rolling it out. It’s also part of our regular health promotions agenda, where we have regular health promotions to promote the use of naloxone so that clients are constantly being reminded and </w:t>
      </w:r>
      <w:proofErr w:type="gramStart"/>
      <w:r w:rsidRPr="002766FB">
        <w:t>obviously</w:t>
      </w:r>
      <w:proofErr w:type="gramEnd"/>
      <w:r w:rsidRPr="002766FB">
        <w:t xml:space="preserve"> we have an onsite business rule – policy and business rule – on how to implement take home naloxone</w:t>
      </w:r>
      <w:r w:rsidRPr="007933B1">
        <w:t xml:space="preserve"> </w:t>
      </w:r>
      <w:r>
        <w:t>(</w:t>
      </w:r>
      <w:r w:rsidR="00291B3F">
        <w:t>NSW</w:t>
      </w:r>
      <w:r w:rsidR="00BC0E1E">
        <w:t xml:space="preserve">, NGO </w:t>
      </w:r>
      <w:r>
        <w:t xml:space="preserve">Staff member, </w:t>
      </w:r>
      <w:r w:rsidR="00291B3F">
        <w:t xml:space="preserve">Interviewed </w:t>
      </w:r>
      <w:r w:rsidRPr="009063C2">
        <w:t>July 2021</w:t>
      </w:r>
      <w:r>
        <w:t>).</w:t>
      </w:r>
    </w:p>
    <w:p w14:paraId="68BC96F4" w14:textId="77777777" w:rsidR="00CA5EEA" w:rsidRPr="00D9594A" w:rsidRDefault="00CA5EEA" w:rsidP="00050EC3">
      <w:pPr>
        <w:pStyle w:val="NbrHeading4"/>
      </w:pPr>
      <w:r w:rsidRPr="00D9594A">
        <w:t>Communication and collaboration across sectors</w:t>
      </w:r>
    </w:p>
    <w:p w14:paraId="25F80DCC" w14:textId="77777777" w:rsidR="00CA5EEA" w:rsidRDefault="00CA5EEA" w:rsidP="003D0F16">
      <w:pPr>
        <w:pStyle w:val="BodyText"/>
      </w:pPr>
      <w:r>
        <w:t xml:space="preserve">Participants discussed several examples of cross-sectoral collaboration and information sharing across sectors in a geographic area to share learnings and enhance the reach of the THN Pilot </w:t>
      </w:r>
      <w:proofErr w:type="spellStart"/>
      <w:r>
        <w:t>to</w:t>
      </w:r>
      <w:proofErr w:type="spellEnd"/>
      <w:r>
        <w:t xml:space="preserve"> difficult to reach clients.</w:t>
      </w:r>
    </w:p>
    <w:p w14:paraId="383607F4" w14:textId="0BA879AD" w:rsidR="00CA5EEA" w:rsidRDefault="00CA5EEA" w:rsidP="003D0F16">
      <w:pPr>
        <w:pStyle w:val="Quote"/>
        <w:ind w:left="720"/>
      </w:pPr>
      <w:r w:rsidRPr="00EB4332">
        <w:t>We’ve got a chemist out here who is so proactive in the drug health world and</w:t>
      </w:r>
      <w:r>
        <w:t xml:space="preserve"> …</w:t>
      </w:r>
      <w:r w:rsidRPr="00EB4332">
        <w:t xml:space="preserve"> he and I </w:t>
      </w:r>
      <w:proofErr w:type="gramStart"/>
      <w:r w:rsidRPr="00EB4332">
        <w:t>actually co-hosted</w:t>
      </w:r>
      <w:proofErr w:type="gramEnd"/>
      <w:r w:rsidRPr="00EB4332">
        <w:t xml:space="preserve"> an overdose awareness day, pre-COVID</w:t>
      </w:r>
      <w:r>
        <w:t>…</w:t>
      </w:r>
      <w:r w:rsidRPr="00EB4332">
        <w:t xml:space="preserve">At an </w:t>
      </w:r>
      <w:r>
        <w:t>A</w:t>
      </w:r>
      <w:r w:rsidRPr="00EB4332">
        <w:t>boriginal non-government organization. And he’s just so on</w:t>
      </w:r>
      <w:r>
        <w:t>-</w:t>
      </w:r>
      <w:r w:rsidRPr="00EB4332">
        <w:t xml:space="preserve">board. </w:t>
      </w:r>
      <w:proofErr w:type="gramStart"/>
      <w:r w:rsidRPr="00EB4332">
        <w:t>So</w:t>
      </w:r>
      <w:proofErr w:type="gramEnd"/>
      <w:r w:rsidRPr="00EB4332">
        <w:t xml:space="preserve"> he’s part of the program. So, we </w:t>
      </w:r>
      <w:proofErr w:type="gramStart"/>
      <w:r w:rsidRPr="00EB4332">
        <w:t>actually promote</w:t>
      </w:r>
      <w:proofErr w:type="gramEnd"/>
      <w:r w:rsidRPr="00EB4332">
        <w:t xml:space="preserve"> that if you need one on the weekend, go to </w:t>
      </w:r>
      <w:r>
        <w:t>[P</w:t>
      </w:r>
      <w:r w:rsidRPr="00EB4332">
        <w:t>harmacy</w:t>
      </w:r>
      <w:r>
        <w:t>]</w:t>
      </w:r>
      <w:r w:rsidRPr="00EB4332">
        <w:t xml:space="preserve">. He’s non-judgmental. He’s really, you know, on board with everything </w:t>
      </w:r>
      <w:r>
        <w:t>(</w:t>
      </w:r>
      <w:r w:rsidR="00E96143">
        <w:t xml:space="preserve">NSW, </w:t>
      </w:r>
      <w:r w:rsidR="00E66212">
        <w:t>NGO</w:t>
      </w:r>
      <w:r>
        <w:t xml:space="preserve"> Staff member</w:t>
      </w:r>
      <w:r w:rsidR="00D119E0">
        <w:t xml:space="preserve"> Interviewed </w:t>
      </w:r>
      <w:r w:rsidR="0056746A">
        <w:t>June 2021</w:t>
      </w:r>
      <w:r>
        <w:t>)</w:t>
      </w:r>
      <w:r w:rsidR="0056746A">
        <w:t>.</w:t>
      </w:r>
    </w:p>
    <w:p w14:paraId="0BDBE200" w14:textId="0E5B079A" w:rsidR="00CA5EEA" w:rsidRDefault="00CA5EEA" w:rsidP="003D0F16">
      <w:pPr>
        <w:pStyle w:val="Quote"/>
        <w:ind w:left="720"/>
      </w:pPr>
      <w:r>
        <w:t>'T</w:t>
      </w:r>
      <w:r w:rsidRPr="00EB4332">
        <w:t xml:space="preserve">here’s one other that we know of that’s on the </w:t>
      </w:r>
      <w:r>
        <w:t>P</w:t>
      </w:r>
      <w:r w:rsidRPr="00EB4332">
        <w:t xml:space="preserve">harmacy </w:t>
      </w:r>
      <w:r>
        <w:t>G</w:t>
      </w:r>
      <w:r w:rsidRPr="00EB4332">
        <w:t xml:space="preserve">uild. But what our nurses are doing- there’s a new promotion coming up, where the nurses are going out to the pharmacies to try to get them onboard with </w:t>
      </w:r>
      <w:r>
        <w:t>n</w:t>
      </w:r>
      <w:r w:rsidRPr="00EB4332">
        <w:t xml:space="preserve">aloxone and with dried bloodspot testing </w:t>
      </w:r>
      <w:r>
        <w:t>(</w:t>
      </w:r>
      <w:r w:rsidR="00604F8C">
        <w:t>NSW, NGO</w:t>
      </w:r>
      <w:r w:rsidR="00CB77F8">
        <w:t xml:space="preserve"> </w:t>
      </w:r>
      <w:r>
        <w:t xml:space="preserve">Staff member, </w:t>
      </w:r>
      <w:r w:rsidR="00604F8C">
        <w:t>Interviewed</w:t>
      </w:r>
      <w:r>
        <w:t xml:space="preserve"> </w:t>
      </w:r>
      <w:r w:rsidRPr="009063C2">
        <w:t>June 2021</w:t>
      </w:r>
      <w:r>
        <w:t>).</w:t>
      </w:r>
    </w:p>
    <w:p w14:paraId="18058DE1" w14:textId="4F81E9E6" w:rsidR="00CA5EEA" w:rsidRDefault="00CA5EEA" w:rsidP="00837586">
      <w:pPr>
        <w:pStyle w:val="BodyText"/>
      </w:pPr>
      <w:r>
        <w:t>One pharmacy discussed a collaboration with local outreach and homelessness services, where pharmacy staff would visit with outreach teams, establish rapport with clients and encourage them to visit the pharmacy for naloxone.</w:t>
      </w:r>
    </w:p>
    <w:p w14:paraId="2820AA49" w14:textId="77777777" w:rsidR="00CA5EEA" w:rsidRPr="00D9594A" w:rsidRDefault="00CA5EEA" w:rsidP="00050EC3">
      <w:pPr>
        <w:pStyle w:val="NbrHeading4"/>
      </w:pPr>
      <w:bookmarkStart w:id="337" w:name="_Hlk84592720"/>
      <w:r w:rsidRPr="00D9594A">
        <w:t xml:space="preserve">Local health </w:t>
      </w:r>
      <w:r w:rsidRPr="0056746A">
        <w:t>promotion networks</w:t>
      </w:r>
    </w:p>
    <w:p w14:paraId="6D029833" w14:textId="183F7045" w:rsidR="00CA5EEA" w:rsidRPr="00DC7690" w:rsidRDefault="00CA5EEA" w:rsidP="00837586">
      <w:pPr>
        <w:pStyle w:val="BodyText"/>
      </w:pPr>
      <w:r>
        <w:t>These networks were instrumental in promoting the Pilot to a broad range of local stakeholders within a region and helping to enhance capacity of services to provide THN. As such activity is a key focus for health promotion, incorporating promotion of THN and the Pilot into the agenda did not require a significant shift in thinking. A health promotion officer from one NSW LHD described how health expo days and regular local network meetings provided continual opportunities to promote the Pilot across sectors, ensuring a broader range of avenues for THN access and development of a ‘no wrong door’ approach for THN in that community.</w:t>
      </w:r>
    </w:p>
    <w:bookmarkEnd w:id="337"/>
    <w:p w14:paraId="1795C91A" w14:textId="77777777" w:rsidR="00CA5EEA" w:rsidRPr="00D9594A" w:rsidRDefault="00CA5EEA" w:rsidP="00050EC3">
      <w:pPr>
        <w:pStyle w:val="NbrHeading4"/>
      </w:pPr>
      <w:r w:rsidRPr="00D9594A">
        <w:t>Use of exis</w:t>
      </w:r>
      <w:r w:rsidRPr="0056746A">
        <w:t xml:space="preserve">ting resources for promotion </w:t>
      </w:r>
    </w:p>
    <w:p w14:paraId="6EFCC2FA" w14:textId="1C5F1B51" w:rsidR="002E6718" w:rsidRDefault="00260727" w:rsidP="002E6718">
      <w:pPr>
        <w:pStyle w:val="BodyText"/>
      </w:pPr>
      <w:r>
        <w:t>Access</w:t>
      </w:r>
      <w:r w:rsidR="00CA5EEA">
        <w:t xml:space="preserve"> site staff reported using Overdose Awareness Day and visual promotion materials (posters, postcards) to stick around access sites to promote THN and initiate conversations with clients. Access site staff also reported that they used resources developed by others, and at times developed their own resources, to aid implementation of the THN Pilot in their </w:t>
      </w:r>
      <w:r w:rsidR="00CA5EEA">
        <w:lastRenderedPageBreak/>
        <w:t xml:space="preserve">organisation. </w:t>
      </w:r>
      <w:r w:rsidR="002E6718">
        <w:t>For example,</w:t>
      </w:r>
      <w:r w:rsidR="002E6718" w:rsidRPr="002E6718">
        <w:t xml:space="preserve"> </w:t>
      </w:r>
      <w:r w:rsidR="002E6718">
        <w:t xml:space="preserve">a community pharmacy staff member in SA noted that they provided the </w:t>
      </w:r>
      <w:proofErr w:type="spellStart"/>
      <w:r w:rsidR="002E6718">
        <w:t>Penington</w:t>
      </w:r>
      <w:proofErr w:type="spellEnd"/>
      <w:r w:rsidR="002E6718">
        <w:t xml:space="preserve"> Institute resources on naloxone to consumers:</w:t>
      </w:r>
    </w:p>
    <w:p w14:paraId="1DA5716A" w14:textId="5BBE20B1" w:rsidR="002E6718" w:rsidRDefault="002E6718" w:rsidP="00837586">
      <w:pPr>
        <w:pStyle w:val="Quote"/>
      </w:pPr>
      <w:r w:rsidRPr="00F77BD9">
        <w:t xml:space="preserve">Because that’s the whole idea is that you’ve got quick access to it. Then we provide the front and back page from the </w:t>
      </w:r>
      <w:proofErr w:type="spellStart"/>
      <w:r w:rsidRPr="00F77BD9">
        <w:t>Penington</w:t>
      </w:r>
      <w:proofErr w:type="spellEnd"/>
      <w:r w:rsidRPr="00F77BD9">
        <w:t xml:space="preserve"> Institute, the naloxone one-pager. Sometimes, the preventing overdose page as well, from </w:t>
      </w:r>
      <w:proofErr w:type="spellStart"/>
      <w:r w:rsidRPr="00F77BD9">
        <w:t>Penington</w:t>
      </w:r>
      <w:proofErr w:type="spellEnd"/>
      <w:r w:rsidRPr="00F77BD9">
        <w:t>. So those are the two resources that we’ll provide in writing</w:t>
      </w:r>
      <w:r>
        <w:t xml:space="preserve"> (SA, Community Pharmacy staff member, Interviewed April 2020). </w:t>
      </w:r>
    </w:p>
    <w:p w14:paraId="78EC6B36" w14:textId="64048D16" w:rsidR="00CA5EEA" w:rsidRDefault="00CA5EEA" w:rsidP="003D0F16">
      <w:pPr>
        <w:pStyle w:val="BodyText"/>
      </w:pPr>
      <w:r>
        <w:t>Use of existing collateral reduced costs and established links between THN and other health behaviours, working towards de-stigmatisation.</w:t>
      </w:r>
    </w:p>
    <w:p w14:paraId="20D9F805" w14:textId="77777777" w:rsidR="00CA5EEA" w:rsidRPr="00D9594A" w:rsidRDefault="00CA5EEA" w:rsidP="00050EC3">
      <w:pPr>
        <w:pStyle w:val="NbrHeading4"/>
      </w:pPr>
      <w:r w:rsidRPr="00D9594A">
        <w:t>A</w:t>
      </w:r>
      <w:r w:rsidRPr="0056746A">
        <w:t>n increased range of settings</w:t>
      </w:r>
    </w:p>
    <w:p w14:paraId="3147DFE1" w14:textId="4CCE816A" w:rsidR="00CA5EEA" w:rsidRDefault="00CA5EEA" w:rsidP="003D0F16">
      <w:pPr>
        <w:pStyle w:val="BodyText"/>
      </w:pPr>
      <w:bookmarkStart w:id="338" w:name="_Hlk84592740"/>
      <w:r>
        <w:t>A broad range of setting types through which consumers could access naloxone contributed to enhanced reach of the Pilot, particularly in regional areas where limited coverage by specific services (e.g.</w:t>
      </w:r>
      <w:r w:rsidR="005462BD">
        <w:t>,</w:t>
      </w:r>
      <w:r>
        <w:t xml:space="preserve"> NSPs) may otherwise have precluded access to THN. Consumers may also feel more comfortable engaging with different service types; those not familiar with AOD treatment services found pharmacies less daunting to approach, while some already linked to treatment services preferred familiar venues where they were confident of staff attitudes. More generalised health services </w:t>
      </w:r>
      <w:r w:rsidR="00811D05">
        <w:t>such as carer organisations or family support groups</w:t>
      </w:r>
      <w:r>
        <w:t xml:space="preserve"> allowed staff to offer THN to clients more likely to witness an overdose than experience one</w:t>
      </w:r>
      <w:bookmarkEnd w:id="338"/>
      <w:r>
        <w:t>.</w:t>
      </w:r>
    </w:p>
    <w:p w14:paraId="2D648AD7" w14:textId="77777777" w:rsidR="00CA5EEA" w:rsidRPr="0056746A" w:rsidRDefault="00CA5EEA" w:rsidP="00CE6B0E">
      <w:pPr>
        <w:pStyle w:val="NbrHeading4"/>
      </w:pPr>
      <w:r w:rsidRPr="00D9594A">
        <w:t>Effective en</w:t>
      </w:r>
      <w:r w:rsidRPr="0056746A">
        <w:t>gagement of the AOD sector</w:t>
      </w:r>
    </w:p>
    <w:p w14:paraId="7A28B34A" w14:textId="70A1F1D9" w:rsidR="00CA5EEA" w:rsidRDefault="00CA5EEA" w:rsidP="003D0F16">
      <w:pPr>
        <w:pStyle w:val="BodyText"/>
      </w:pPr>
      <w:r>
        <w:t xml:space="preserve">The majority of initial Pilot implementation targeted the AOD sector in each jurisdiction, to positive effect. The existing AOD workforce were already familiar with and supportive of THN programs.  They were also committed to </w:t>
      </w:r>
      <w:r w:rsidR="004364E4">
        <w:t xml:space="preserve">harm reduction </w:t>
      </w:r>
      <w:r>
        <w:t>and skilled at supporting vulnerable clients. Existing acceptance of naloxone within AOD sector contributed to the goodwill of staff to promote and implement the Pilot.</w:t>
      </w:r>
    </w:p>
    <w:p w14:paraId="06730823" w14:textId="54F92EA7" w:rsidR="00CA5EEA" w:rsidRPr="0056746A" w:rsidRDefault="00C141ED" w:rsidP="00CE6B0E">
      <w:pPr>
        <w:pStyle w:val="NbrHeading4"/>
      </w:pPr>
      <w:r>
        <w:t>Work</w:t>
      </w:r>
      <w:r w:rsidRPr="00D9594A">
        <w:t xml:space="preserve"> </w:t>
      </w:r>
      <w:r w:rsidR="00CA5EEA" w:rsidRPr="00D9594A">
        <w:t xml:space="preserve">of peer </w:t>
      </w:r>
      <w:r>
        <w:t>organisations,</w:t>
      </w:r>
      <w:r w:rsidR="00CA5EEA" w:rsidRPr="00D9594A">
        <w:t xml:space="preserve"> </w:t>
      </w:r>
      <w:proofErr w:type="gramStart"/>
      <w:r w:rsidR="00CA5EEA" w:rsidRPr="00D9594A">
        <w:t>net</w:t>
      </w:r>
      <w:r w:rsidR="00CA5EEA" w:rsidRPr="0056746A">
        <w:t>works</w:t>
      </w:r>
      <w:proofErr w:type="gramEnd"/>
      <w:r w:rsidR="00CA5EEA" w:rsidRPr="0056746A">
        <w:t xml:space="preserve"> and word of mouth</w:t>
      </w:r>
    </w:p>
    <w:p w14:paraId="3A28D6D8" w14:textId="77777777" w:rsidR="00F25C47" w:rsidRDefault="00CA5EEA" w:rsidP="003D0F16">
      <w:pPr>
        <w:pStyle w:val="BodyText"/>
      </w:pPr>
      <w:r>
        <w:t xml:space="preserve">Peer networks were effective in providing ongoing support to people who accessed THN, encouraging information updates, refill of used naloxone supplies and links to follow up treatment where required. </w:t>
      </w:r>
      <w:r w:rsidR="00F25C47">
        <w:t>For example:</w:t>
      </w:r>
    </w:p>
    <w:p w14:paraId="4BC6FACE" w14:textId="77777777" w:rsidR="00F25C47" w:rsidRDefault="00F25C47" w:rsidP="00F25C47">
      <w:pPr>
        <w:pStyle w:val="Quote"/>
      </w:pPr>
      <w:r w:rsidRPr="006945CD">
        <w:t xml:space="preserve">I have </w:t>
      </w:r>
      <w:proofErr w:type="gramStart"/>
      <w:r w:rsidRPr="006945CD">
        <w:t>actually given</w:t>
      </w:r>
      <w:proofErr w:type="gramEnd"/>
      <w:r w:rsidRPr="006945CD">
        <w:t xml:space="preserve"> naloxone. I ran into a guy that just started using. And I gave him a bottle of naloxone and the leaflet and that. And I sat down with him and his girlfriend and explained what to do and how it works and that. Because she doesn’t use</w:t>
      </w:r>
      <w:r>
        <w:t xml:space="preserve"> </w:t>
      </w:r>
      <w:r w:rsidRPr="00EC565F">
        <w:t>(</w:t>
      </w:r>
      <w:r>
        <w:t>NSW</w:t>
      </w:r>
      <w:r w:rsidRPr="00EC565F">
        <w:t xml:space="preserve">, </w:t>
      </w:r>
      <w:r>
        <w:t>PUIO</w:t>
      </w:r>
      <w:r w:rsidRPr="00EC565F">
        <w:t>,</w:t>
      </w:r>
      <w:r>
        <w:t xml:space="preserve"> Recruited from Community Pharmacy, Interviewed August 2020</w:t>
      </w:r>
      <w:r w:rsidRPr="00EC565F">
        <w:t>).</w:t>
      </w:r>
    </w:p>
    <w:p w14:paraId="30752FE9" w14:textId="2C43A2AC" w:rsidR="006E1035" w:rsidRPr="006E1035" w:rsidRDefault="0001158B" w:rsidP="00ED066A">
      <w:pPr>
        <w:pStyle w:val="Quote"/>
      </w:pPr>
      <w:r>
        <w:t>…</w:t>
      </w:r>
      <w:r w:rsidR="006E1035">
        <w:t xml:space="preserve"> there’s been you know there’s been us in the CNPs and peer network programs </w:t>
      </w:r>
      <w:proofErr w:type="gramStart"/>
      <w:r w:rsidR="006E1035">
        <w:t>actually promoting</w:t>
      </w:r>
      <w:proofErr w:type="gramEnd"/>
      <w:r w:rsidR="006E1035">
        <w:t xml:space="preserve"> it to their friends and their networks, so that would’ve all helped </w:t>
      </w:r>
      <w:r>
        <w:t>(SA, PUIO, Recruited from Community Pharmacy, Interviewed June 2021).</w:t>
      </w:r>
    </w:p>
    <w:p w14:paraId="2002FFBF" w14:textId="7DF57C62" w:rsidR="00F25C47" w:rsidRDefault="00CA5EEA" w:rsidP="003D0F16">
      <w:pPr>
        <w:pStyle w:val="BodyText"/>
      </w:pPr>
      <w:r>
        <w:t xml:space="preserve">Such networks were also invaluable for promoting the Pilot to </w:t>
      </w:r>
      <w:r w:rsidR="00673BB8">
        <w:t xml:space="preserve">people </w:t>
      </w:r>
      <w:r>
        <w:t xml:space="preserve">who may not access services providing THN, who may not consider themselves as at risk of overdose, or who may not have considered their potential role as a witness to </w:t>
      </w:r>
      <w:proofErr w:type="gramStart"/>
      <w:r>
        <w:t>overdose, and</w:t>
      </w:r>
      <w:proofErr w:type="gramEnd"/>
      <w:r>
        <w:t xml:space="preserve"> would thus be unaware of the opportunity. </w:t>
      </w:r>
    </w:p>
    <w:p w14:paraId="50450A66" w14:textId="2FBC234B" w:rsidR="00CA5EEA" w:rsidRPr="0056746A" w:rsidRDefault="00CA5EEA" w:rsidP="00CE6B0E">
      <w:pPr>
        <w:pStyle w:val="NbrHeading4"/>
      </w:pPr>
      <w:r w:rsidRPr="00D9594A">
        <w:t>Existing infras</w:t>
      </w:r>
      <w:r w:rsidRPr="0056746A">
        <w:t>tructure (policy frameworks, e.g</w:t>
      </w:r>
      <w:r w:rsidR="00F822E9" w:rsidRPr="0056746A">
        <w:t>.,</w:t>
      </w:r>
      <w:r w:rsidRPr="0056746A">
        <w:t xml:space="preserve"> ORTHN in NSW)</w:t>
      </w:r>
    </w:p>
    <w:p w14:paraId="03ACD9F4" w14:textId="535B297D" w:rsidR="00CA5EEA" w:rsidRDefault="00CA5EEA" w:rsidP="003D0F16">
      <w:pPr>
        <w:pStyle w:val="BodyText"/>
      </w:pPr>
      <w:r>
        <w:t xml:space="preserve">The ability of operations in NSW and WA to build on existing naloxone programs prevented a lag in the operationalising of the Pilot in those areas.  Service familiarity, trained staff and </w:t>
      </w:r>
      <w:r>
        <w:lastRenderedPageBreak/>
        <w:t xml:space="preserve">existing policies and procedures </w:t>
      </w:r>
      <w:r w:rsidR="00763F52">
        <w:t xml:space="preserve">all helped </w:t>
      </w:r>
      <w:r>
        <w:t xml:space="preserve">prevent delays.  Such infrastructure was able to be shared with newly engaged sites, such as policy templates, promotional materials and mentoring of staff new to working with naloxone. Conversely this did provide challenges in some instances where organisations perceived a requirement to “change operations once more to essentially do the same thing”. </w:t>
      </w:r>
    </w:p>
    <w:p w14:paraId="6B537BD2" w14:textId="54E833AD" w:rsidR="009E38E2" w:rsidRDefault="009E38E2" w:rsidP="009E38E2">
      <w:pPr>
        <w:pStyle w:val="Style3-keypoints-h2"/>
      </w:pPr>
      <w:bookmarkStart w:id="339" w:name="_Toc94794306"/>
      <w:r>
        <w:t>Implications</w:t>
      </w:r>
      <w:bookmarkEnd w:id="339"/>
    </w:p>
    <w:p w14:paraId="77B69C68" w14:textId="77777777" w:rsidR="009E38E2" w:rsidRDefault="009E38E2" w:rsidP="009E38E2">
      <w:pPr>
        <w:pStyle w:val="ListParagraph"/>
        <w:numPr>
          <w:ilvl w:val="0"/>
          <w:numId w:val="255"/>
        </w:numPr>
        <w:spacing w:after="81"/>
      </w:pPr>
      <w:r>
        <w:t xml:space="preserve">The Pilot has addressed or partially addressed </w:t>
      </w:r>
      <w:proofErr w:type="gramStart"/>
      <w:r>
        <w:t>a number of</w:t>
      </w:r>
      <w:proofErr w:type="gramEnd"/>
      <w:r>
        <w:t xml:space="preserve"> barriers to THN, through free provision of THN without a prescription available at a number of sites, and these are key elements that should be carried forward in a national model of THN provision. </w:t>
      </w:r>
    </w:p>
    <w:p w14:paraId="339B2FC7" w14:textId="77777777" w:rsidR="009E38E2" w:rsidRDefault="009E38E2" w:rsidP="009E38E2">
      <w:pPr>
        <w:pStyle w:val="ListParagraph"/>
        <w:numPr>
          <w:ilvl w:val="0"/>
          <w:numId w:val="255"/>
        </w:numPr>
        <w:spacing w:after="81"/>
      </w:pPr>
      <w:r>
        <w:t xml:space="preserve">A national roll-out of THN should also aim to address the barriers that still </w:t>
      </w:r>
      <w:proofErr w:type="gramStart"/>
      <w:r>
        <w:t>exist:</w:t>
      </w:r>
      <w:proofErr w:type="gramEnd"/>
      <w:r>
        <w:t xml:space="preserve"> stigma aimed at people who use opioids, consumer and community awareness of THN and processes and places to obtain it, awareness of overdose risk, availability of THN at desired locations for access, and barriers to having naloxone on hand in the event of an overdose. Chapter 9 discusses recommendations for further work to address these barriers.</w:t>
      </w:r>
    </w:p>
    <w:p w14:paraId="19321286" w14:textId="6CCBA56A" w:rsidR="00CA5EEA" w:rsidRDefault="009E38E2" w:rsidP="003D0F16">
      <w:pPr>
        <w:pStyle w:val="ListParagraph"/>
        <w:numPr>
          <w:ilvl w:val="0"/>
          <w:numId w:val="255"/>
        </w:numPr>
        <w:spacing w:after="81"/>
      </w:pPr>
      <w:r>
        <w:t>The design of the national model for THN should leverage off the key facilitators of the Pilot</w:t>
      </w:r>
      <w:r w:rsidDel="00F11F92">
        <w:t xml:space="preserve"> </w:t>
      </w:r>
      <w:r>
        <w:t>by ensuring continued free access to THN without a prescription, in a range of formulations. Furthermore, cross-sectoral collaboration should be further encouraged, along with supporting the activity of local and state level champions and peer organisations. Chapter 9 further expands on how the strengths of the Pilot can be leveraged in a national rollout of THN.</w:t>
      </w:r>
    </w:p>
    <w:p w14:paraId="05E3050E" w14:textId="7B654CCC" w:rsidR="00CA5EEA" w:rsidRPr="001D59C3" w:rsidRDefault="00CA5EEA" w:rsidP="007A6273">
      <w:pPr>
        <w:pStyle w:val="NbrHeading1"/>
        <w:pageBreakBefore/>
      </w:pPr>
      <w:bookmarkStart w:id="340" w:name="_Toc94794163"/>
      <w:bookmarkStart w:id="341" w:name="_Toc94794307"/>
      <w:r w:rsidRPr="001D59C3">
        <w:lastRenderedPageBreak/>
        <w:t>Were there any unintended consequences of increasing access to naloxone?</w:t>
      </w:r>
      <w:bookmarkEnd w:id="340"/>
      <w:bookmarkEnd w:id="341"/>
      <w:r w:rsidRPr="001D59C3">
        <w:t xml:space="preserve"> </w:t>
      </w:r>
    </w:p>
    <w:p w14:paraId="71459757" w14:textId="1935AC16" w:rsidR="00CA5EEA" w:rsidRDefault="00CA5EEA" w:rsidP="003D0F16">
      <w:r>
        <w:t>The TGA Delegate’s 2015 decision to down-schedule naloxone to Schedule 3 when used as treatment for opioid overdose, to be implemented in Feb 2016, listed the following potential risks of rescheduling: “</w:t>
      </w:r>
      <w:r w:rsidRPr="002F5653">
        <w:rPr>
          <w:color w:val="000000"/>
        </w:rPr>
        <w:t>an incentive for supply when not necessary, that opioid users may use opioids in a riskier manner knowing that an antidote is available (although there is no evidence that this is the case), that bystanders may be less likely to call an ambulance, and risks of unsafe administration.”</w:t>
      </w:r>
      <w:r w:rsidR="009C58BA">
        <w:rPr>
          <w:color w:val="000000"/>
        </w:rPr>
        <w:fldChar w:fldCharType="begin"/>
      </w:r>
      <w:r w:rsidR="00441C1C">
        <w:rPr>
          <w:color w:val="000000"/>
        </w:rPr>
        <w:instrText xml:space="preserve"> ADDIN EN.CITE &lt;EndNote&gt;&lt;Cite&gt;&lt;Author&gt;Australian Government Department of Health&lt;/Author&gt;&lt;Year&gt;2015&lt;/Year&gt;&lt;RecNum&gt;122&lt;/RecNum&gt;&lt;DisplayText&gt;(49)&lt;/DisplayText&gt;&lt;record&gt;&lt;rec-number&gt;122&lt;/rec-number&gt;&lt;foreign-keys&gt;&lt;key app="EN" db-id="p00v9zw27zzswpe25phxpead0asdt50td92p" timestamp="1629768316"&gt;122&lt;/key&gt;&lt;/foreign-keys&gt;&lt;ref-type name="Report"&gt;27&lt;/ref-type&gt;&lt;contributors&gt;&lt;authors&gt;&lt;author&gt;Australian Government Department of Health, &lt;/author&gt;&lt;/authors&gt;&lt;/contributors&gt;&lt;titles&gt;&lt;title&gt;Scheduling delegate&amp;apos;s interim decisions and invitation for further comment: ACMS, October 2015&lt;/title&gt;&lt;/titles&gt;&lt;volume&gt;2021&lt;/volume&gt;&lt;dates&gt;&lt;year&gt;2015&lt;/year&gt;&lt;/dates&gt;&lt;publisher&gt;Therapeutic Goods Administration&lt;/publisher&gt;&lt;urls&gt;&lt;related-urls&gt;&lt;url&gt;https://www.tga.gov.au/node/709836&lt;/url&gt;&lt;/related-urls&gt;&lt;/urls&gt;&lt;/record&gt;&lt;/Cite&gt;&lt;/EndNote&gt;</w:instrText>
      </w:r>
      <w:r w:rsidR="009C58BA">
        <w:rPr>
          <w:color w:val="000000"/>
        </w:rPr>
        <w:fldChar w:fldCharType="separate"/>
      </w:r>
      <w:r w:rsidR="00441C1C">
        <w:rPr>
          <w:noProof/>
          <w:color w:val="000000"/>
        </w:rPr>
        <w:t>(49)</w:t>
      </w:r>
      <w:r w:rsidR="009C58BA">
        <w:rPr>
          <w:color w:val="000000"/>
        </w:rPr>
        <w:fldChar w:fldCharType="end"/>
      </w:r>
    </w:p>
    <w:p w14:paraId="15CBD9B9" w14:textId="77777777" w:rsidR="00CA5EEA" w:rsidRDefault="00CA5EEA" w:rsidP="003D0F16">
      <w:r>
        <w:t>These risks were considered in the evaluation of the PBS-Subsidised THN Pilot. We found:</w:t>
      </w:r>
    </w:p>
    <w:p w14:paraId="486C3E16" w14:textId="708EDEC3" w:rsidR="00CA5EEA" w:rsidRDefault="00CA5EEA" w:rsidP="003D0F16">
      <w:pPr>
        <w:pStyle w:val="ListParagraph"/>
        <w:numPr>
          <w:ilvl w:val="0"/>
          <w:numId w:val="58"/>
        </w:numPr>
      </w:pPr>
      <w:r>
        <w:t xml:space="preserve">No evidence of supply when not necessary.  There were instances, particularly early in some pharmacies’ involvement in the Pilot, where staff recommended naloxone to all clients who received </w:t>
      </w:r>
      <w:r w:rsidR="051428E3">
        <w:t xml:space="preserve">prescribed </w:t>
      </w:r>
      <w:r>
        <w:t>opioid medic</w:t>
      </w:r>
      <w:r w:rsidR="31F5B626">
        <w:t>ines</w:t>
      </w:r>
      <w:r>
        <w:t>, resulting in dispensing of large amounts of naloxone. This would not be considered ‘unnecessary supply’</w:t>
      </w:r>
      <w:r w:rsidR="00BE2D60">
        <w:t xml:space="preserve">, </w:t>
      </w:r>
      <w:r w:rsidR="00232DBC">
        <w:t xml:space="preserve">because these were individuals at </w:t>
      </w:r>
      <w:r w:rsidR="4BD1FC22">
        <w:t xml:space="preserve">potential </w:t>
      </w:r>
      <w:r w:rsidR="00232DBC">
        <w:t>risk of overdose</w:t>
      </w:r>
      <w:r w:rsidR="4405EDE4">
        <w:t>, al</w:t>
      </w:r>
      <w:r w:rsidR="00FC5473">
        <w:t>though</w:t>
      </w:r>
      <w:r w:rsidR="4405EDE4">
        <w:t xml:space="preserve"> some may not have been deemed at ‘high risk’</w:t>
      </w:r>
      <w:r w:rsidR="00232DBC">
        <w:t>.</w:t>
      </w:r>
      <w:r w:rsidR="00BE2D60">
        <w:t xml:space="preserve"> </w:t>
      </w:r>
    </w:p>
    <w:p w14:paraId="7B96AE73" w14:textId="476CFFAB" w:rsidR="00CA5EEA" w:rsidRDefault="00CA5EEA" w:rsidP="003D0F16">
      <w:pPr>
        <w:pStyle w:val="ListParagraph"/>
        <w:numPr>
          <w:ilvl w:val="0"/>
          <w:numId w:val="58"/>
        </w:numPr>
      </w:pPr>
      <w:r>
        <w:t>No evidence that people used opioids in a riskier manner knowing that naloxone was available. Our interviews, those of the IDRS, and of previous evaluations (e.g. ORTHN) did not find any increase in use related to naloxone availability</w:t>
      </w:r>
      <w:r w:rsidR="00B54936">
        <w:t xml:space="preserve"> </w:t>
      </w:r>
      <w:r w:rsidR="00B54936">
        <w:fldChar w:fldCharType="begin"/>
      </w:r>
      <w:r w:rsidR="00EF7C97">
        <w:instrText xml:space="preserve"> ADDIN EN.CITE &lt;EndNote&gt;&lt;Cite&gt;&lt;Author&gt;Lintzeris&lt;/Author&gt;&lt;Year&gt;2020&lt;/Year&gt;&lt;RecNum&gt;115&lt;/RecNum&gt;&lt;DisplayText&gt;(30)&lt;/DisplayText&gt;&lt;record&gt;&lt;rec-number&gt;115&lt;/rec-number&gt;&lt;foreign-keys&gt;&lt;key app="EN" db-id="p00v9zw27zzswpe25phxpead0asdt50td92p" timestamp="1629691859"&gt;115&lt;/key&gt;&lt;/foreign-keys&gt;&lt;ref-type name="Journal Article"&gt;17&lt;/ref-type&gt;&lt;contributors&gt;&lt;authors&gt;&lt;author&gt;Lintzeris, Nicholas&lt;/author&gt;&lt;author&gt;Monds, Lauren A&lt;/author&gt;&lt;author&gt;Bravo, Maria&lt;/author&gt;&lt;author&gt;Read, Phillip&lt;/author&gt;&lt;author&gt;Harrod, Mary E&lt;/author&gt;&lt;author&gt;Gilliver, Rosie&lt;/author&gt;&lt;author&gt;Wood, William&lt;/author&gt;&lt;author&gt;Nielsen, Suzanne&lt;/author&gt;&lt;author&gt;Dietze, Paul M&lt;/author&gt;&lt;author&gt;Lenton, Simon&lt;/author&gt;&lt;/authors&gt;&lt;/contributors&gt;&lt;titles&gt;&lt;title&gt;Designing, implementing and evaluating the overdose response with take</w:instrText>
      </w:r>
      <w:r w:rsidR="00EF7C97">
        <w:rPr>
          <w:rFonts w:ascii="Cambria Math" w:hAnsi="Cambria Math" w:cs="Cambria Math"/>
        </w:rPr>
        <w:instrText>‐</w:instrText>
      </w:r>
      <w:r w:rsidR="00EF7C97">
        <w:instrText>home naloxone model of care: An evaluation of client outcomes and perspectives&lt;/title&gt;&lt;secondary-title&gt;Drug and Alcohol Review&lt;/secondary-title&gt;&lt;/titles&gt;&lt;periodical&gt;&lt;full-title&gt;Drug and alcohol review&lt;/full-title&gt;&lt;/periodical&gt;&lt;pages&gt;55-65&lt;/pages&gt;&lt;volume&gt;39&lt;/volume&gt;&lt;number&gt;1&lt;/number&gt;&lt;dates&gt;&lt;year&gt;2020&lt;/year&gt;&lt;/dates&gt;&lt;isbn&gt;0959-5236&lt;/isbn&gt;&lt;urls&gt;&lt;/urls&gt;&lt;/record&gt;&lt;/Cite&gt;&lt;/EndNote&gt;</w:instrText>
      </w:r>
      <w:r w:rsidR="00B54936">
        <w:fldChar w:fldCharType="separate"/>
      </w:r>
      <w:r w:rsidR="00EF7C97">
        <w:rPr>
          <w:noProof/>
        </w:rPr>
        <w:t>(30)</w:t>
      </w:r>
      <w:r w:rsidR="00B54936">
        <w:fldChar w:fldCharType="end"/>
      </w:r>
      <w:r w:rsidR="00B54936">
        <w:t>.</w:t>
      </w:r>
      <w:r w:rsidR="00F359CF">
        <w:t xml:space="preserve"> </w:t>
      </w:r>
    </w:p>
    <w:p w14:paraId="5EAF7786" w14:textId="47C5003B" w:rsidR="00CA5EEA" w:rsidRDefault="00CA5EEA" w:rsidP="003D0F16">
      <w:pPr>
        <w:pStyle w:val="ListParagraph"/>
        <w:numPr>
          <w:ilvl w:val="0"/>
          <w:numId w:val="58"/>
        </w:numPr>
      </w:pPr>
      <w:r>
        <w:t xml:space="preserve">No evidence that bystanders were less likely to call an ambulance.  Our interview data indicates that </w:t>
      </w:r>
      <w:r w:rsidR="000C79C4">
        <w:t>65% of p</w:t>
      </w:r>
      <w:r w:rsidR="00557217">
        <w:t xml:space="preserve">articipants who witnessed an overdose called an </w:t>
      </w:r>
      <w:r>
        <w:t xml:space="preserve">ambulance as part of overdose responses. Findings of the ORTHN trial evaluation were </w:t>
      </w:r>
      <w:r w:rsidR="00C244CA">
        <w:t>noted no change to calling of ambulance</w:t>
      </w:r>
      <w:r w:rsidR="00F359CF">
        <w:t xml:space="preserve"> </w:t>
      </w:r>
      <w:r w:rsidR="009C58BA">
        <w:fldChar w:fldCharType="begin"/>
      </w:r>
      <w:r w:rsidR="00EF7C97">
        <w:instrText xml:space="preserve"> ADDIN EN.CITE &lt;EndNote&gt;&lt;Cite&gt;&lt;Author&gt;Lintzeris&lt;/Author&gt;&lt;Year&gt;2020&lt;/Year&gt;&lt;RecNum&gt;115&lt;/RecNum&gt;&lt;DisplayText&gt;(30)&lt;/DisplayText&gt;&lt;record&gt;&lt;rec-number&gt;115&lt;/rec-number&gt;&lt;foreign-keys&gt;&lt;key app="EN" db-id="p00v9zw27zzswpe25phxpead0asdt50td92p" timestamp="1629691859"&gt;115&lt;/key&gt;&lt;/foreign-keys&gt;&lt;ref-type name="Journal Article"&gt;17&lt;/ref-type&gt;&lt;contributors&gt;&lt;authors&gt;&lt;author&gt;Lintzeris, Nicholas&lt;/author&gt;&lt;author&gt;Monds, Lauren A&lt;/author&gt;&lt;author&gt;Bravo, Maria&lt;/author&gt;&lt;author&gt;Read, Phillip&lt;/author&gt;&lt;author&gt;Harrod, Mary E&lt;/author&gt;&lt;author&gt;Gilliver, Rosie&lt;/author&gt;&lt;author&gt;Wood, William&lt;/author&gt;&lt;author&gt;Nielsen, Suzanne&lt;/author&gt;&lt;author&gt;Dietze, Paul M&lt;/author&gt;&lt;author&gt;Lenton, Simon&lt;/author&gt;&lt;/authors&gt;&lt;/contributors&gt;&lt;titles&gt;&lt;title&gt;Designing, implementing and evaluating the overdose response with take</w:instrText>
      </w:r>
      <w:r w:rsidR="00EF7C97">
        <w:rPr>
          <w:rFonts w:ascii="Cambria Math" w:hAnsi="Cambria Math" w:cs="Cambria Math"/>
        </w:rPr>
        <w:instrText>‐</w:instrText>
      </w:r>
      <w:r w:rsidR="00EF7C97">
        <w:instrText>home naloxone model of care: An evaluation of client outcomes and perspectives&lt;/title&gt;&lt;secondary-title&gt;Drug and Alcohol Review&lt;/secondary-title&gt;&lt;/titles&gt;&lt;periodical&gt;&lt;full-title&gt;Drug and alcohol review&lt;/full-title&gt;&lt;/periodical&gt;&lt;pages&gt;55-65&lt;/pages&gt;&lt;volume&gt;39&lt;/volume&gt;&lt;number&gt;1&lt;/number&gt;&lt;dates&gt;&lt;year&gt;2020&lt;/year&gt;&lt;/dates&gt;&lt;isbn&gt;0959-5236&lt;/isbn&gt;&lt;urls&gt;&lt;/urls&gt;&lt;/record&gt;&lt;/Cite&gt;&lt;/EndNote&gt;</w:instrText>
      </w:r>
      <w:r w:rsidR="009C58BA">
        <w:fldChar w:fldCharType="separate"/>
      </w:r>
      <w:r w:rsidR="00EF7C97">
        <w:rPr>
          <w:noProof/>
        </w:rPr>
        <w:t>(30)</w:t>
      </w:r>
      <w:r w:rsidR="009C58BA">
        <w:fldChar w:fldCharType="end"/>
      </w:r>
      <w:r w:rsidR="00F359CF">
        <w:t>.</w:t>
      </w:r>
    </w:p>
    <w:p w14:paraId="0C89325D" w14:textId="516F537C" w:rsidR="00CA5EEA" w:rsidRDefault="00CA5EEA" w:rsidP="003D0F16">
      <w:pPr>
        <w:pStyle w:val="ListParagraph"/>
        <w:numPr>
          <w:ilvl w:val="0"/>
          <w:numId w:val="58"/>
        </w:numPr>
      </w:pPr>
      <w:r>
        <w:t xml:space="preserve">No evidence of unsafe administration. Our interview data did not note any adverse situations.  The inclusion of the nasal spray formulation in the Pilot </w:t>
      </w:r>
      <w:r w:rsidR="00010CDD">
        <w:t xml:space="preserve">and its widespread uptake </w:t>
      </w:r>
      <w:r w:rsidR="00643A19">
        <w:t>is likely to</w:t>
      </w:r>
      <w:r w:rsidR="00045B9C">
        <w:t xml:space="preserve"> have </w:t>
      </w:r>
      <w:r>
        <w:t>reduced</w:t>
      </w:r>
      <w:r w:rsidDel="00045B9C">
        <w:t xml:space="preserve"> </w:t>
      </w:r>
      <w:r w:rsidR="00045B9C">
        <w:t xml:space="preserve">any potential </w:t>
      </w:r>
      <w:r>
        <w:t xml:space="preserve">risk </w:t>
      </w:r>
      <w:r w:rsidR="00346992">
        <w:t xml:space="preserve">associated with </w:t>
      </w:r>
      <w:r w:rsidR="00643A19">
        <w:t>administration by injection</w:t>
      </w:r>
      <w:r>
        <w:t>.</w:t>
      </w:r>
    </w:p>
    <w:p w14:paraId="065DD5BB" w14:textId="494BC91F" w:rsidR="00CA5EEA" w:rsidRDefault="003A1562" w:rsidP="003D0F16">
      <w:pPr>
        <w:pStyle w:val="BodyText"/>
      </w:pPr>
      <w:r>
        <w:t>Two s</w:t>
      </w:r>
      <w:r w:rsidR="00721EDB">
        <w:t xml:space="preserve">takeholders </w:t>
      </w:r>
      <w:r w:rsidR="00C72B40">
        <w:t>from NGOs</w:t>
      </w:r>
      <w:r w:rsidR="00721EDB">
        <w:t xml:space="preserve"> </w:t>
      </w:r>
      <w:r>
        <w:t>interviewed as part of the roundtables</w:t>
      </w:r>
      <w:r w:rsidR="00CA5EEA">
        <w:t xml:space="preserve"> noted there was some initial resistance among staff to the idea of naloxone provision on exit from residential treatment programs, fearing that it “sent the wrong message” to clients, suggesting </w:t>
      </w:r>
      <w:r w:rsidR="006270DD">
        <w:t xml:space="preserve">to them </w:t>
      </w:r>
      <w:r w:rsidR="00CA5EEA">
        <w:t xml:space="preserve">there was an “expectation to fail” (relapse). Failure to engage </w:t>
      </w:r>
      <w:r w:rsidR="006270DD">
        <w:t xml:space="preserve">however </w:t>
      </w:r>
      <w:r w:rsidR="00CA5EEA">
        <w:t>would have entailed a significant missed opportunity for the clients, as there is extensive evidence that return to community after periods of abstinence (</w:t>
      </w:r>
      <w:proofErr w:type="gramStart"/>
      <w:r w:rsidR="00CA5EEA">
        <w:t>e.g.</w:t>
      </w:r>
      <w:proofErr w:type="gramEnd"/>
      <w:r w:rsidR="00CA5EEA">
        <w:t xml:space="preserve"> leaving treatment, or post-corrections release) is a high risk period, due to increased stress and reduced tolerance</w:t>
      </w:r>
      <w:r w:rsidR="004C3B84">
        <w:t xml:space="preserve"> </w:t>
      </w:r>
      <w:r w:rsidR="009C58BA">
        <w:fldChar w:fldCharType="begin">
          <w:fldData xml:space="preserve">PEVuZE5vdGU+PENpdGU+PEF1dGhvcj5LZWVuPC9BdXRob3I+PFllYXI+MjAyMDwvWWVhcj48UmVj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</w:fldData>
        </w:fldChar>
      </w:r>
      <w:r w:rsidR="00576CEE">
        <w:instrText xml:space="preserve"> ADDIN EN.CITE </w:instrText>
      </w:r>
      <w:r w:rsidR="00576CEE">
        <w:fldChar w:fldCharType="begin">
          <w:fldData xml:space="preserve">PEVuZE5vdGU+PENpdGU+PEF1dGhvcj5LZWVuPC9BdXRob3I+PFllYXI+MjAyMDwvWWVhcj48UmVj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</w:fldData>
        </w:fldChar>
      </w:r>
      <w:r w:rsidR="00576CEE">
        <w:instrText xml:space="preserve"> ADDIN EN.CITE.DATA </w:instrText>
      </w:r>
      <w:r w:rsidR="00576CEE">
        <w:fldChar w:fldCharType="end"/>
      </w:r>
      <w:r w:rsidR="009C58BA">
        <w:fldChar w:fldCharType="separate"/>
      </w:r>
      <w:r w:rsidR="00576CEE">
        <w:rPr>
          <w:noProof/>
        </w:rPr>
        <w:t>(50-52)</w:t>
      </w:r>
      <w:r w:rsidR="009C58BA">
        <w:fldChar w:fldCharType="end"/>
      </w:r>
      <w:r w:rsidR="004C3B84">
        <w:t>.</w:t>
      </w:r>
    </w:p>
    <w:p w14:paraId="0546FCD3" w14:textId="74BE9DD5" w:rsidR="00CA5EEA" w:rsidRDefault="00CA5EEA" w:rsidP="009E38E2">
      <w:pPr>
        <w:pStyle w:val="BodyText"/>
      </w:pPr>
      <w:r>
        <w:t xml:space="preserve">However, despite both organisations having a history of abstinence-based approaches to treatment of dependence, governing boards and </w:t>
      </w:r>
      <w:proofErr w:type="gramStart"/>
      <w:r>
        <w:t>the majority of</w:t>
      </w:r>
      <w:proofErr w:type="gramEnd"/>
      <w:r>
        <w:t xml:space="preserve"> staff accepted the THN Pi</w:t>
      </w:r>
      <w:r w:rsidR="00664845">
        <w:t>l</w:t>
      </w:r>
      <w:r>
        <w:t xml:space="preserve">ot as a “natural part of harm </w:t>
      </w:r>
      <w:r w:rsidR="00BE0F8C">
        <w:t>reduction</w:t>
      </w:r>
      <w:r>
        <w:t>”. Neither has reported negative feedback to date.</w:t>
      </w:r>
    </w:p>
    <w:p w14:paraId="209DB876" w14:textId="11F87F2D" w:rsidR="00CA5EEA" w:rsidRPr="001D59C3" w:rsidRDefault="00CA5EEA" w:rsidP="007A6273">
      <w:pPr>
        <w:pStyle w:val="NbrHeading1"/>
        <w:pageBreakBefore/>
      </w:pPr>
      <w:bookmarkStart w:id="342" w:name="_Toc94794164"/>
      <w:bookmarkStart w:id="343" w:name="_Toc94794308"/>
      <w:r w:rsidRPr="001D59C3">
        <w:lastRenderedPageBreak/>
        <w:t>What needs to be considered in relation to a national roll-out?</w:t>
      </w:r>
      <w:bookmarkEnd w:id="342"/>
      <w:bookmarkEnd w:id="343"/>
      <w:r w:rsidRPr="001D59C3" w:rsidDel="00CC2795">
        <w:t xml:space="preserve"> </w:t>
      </w:r>
    </w:p>
    <w:p w14:paraId="02FFCA58" w14:textId="1A1C4F9D" w:rsidR="002262AF" w:rsidRDefault="00CA5EEA" w:rsidP="003D0F16">
      <w:pPr>
        <w:pStyle w:val="BodyText"/>
        <w:rPr>
          <w:lang w:eastAsia="en-AU"/>
        </w:rPr>
      </w:pPr>
      <w:r>
        <w:rPr>
          <w:lang w:eastAsia="en-AU"/>
        </w:rPr>
        <w:t xml:space="preserve">This section discusses how the strengths of the current THN Pilot can be leveraged to inform a national roll-out. Our recommendations draw on the information provided to us by state implementing agencies, </w:t>
      </w:r>
      <w:proofErr w:type="gramStart"/>
      <w:r>
        <w:rPr>
          <w:lang w:eastAsia="en-AU"/>
        </w:rPr>
        <w:t>consumers</w:t>
      </w:r>
      <w:proofErr w:type="gramEnd"/>
      <w:r>
        <w:rPr>
          <w:lang w:eastAsia="en-AU"/>
        </w:rPr>
        <w:t xml:space="preserve"> and providers of THN, and experts from the health, justice and research sectors, as well as recommendations from national and international literature. </w:t>
      </w:r>
    </w:p>
    <w:p w14:paraId="50650536" w14:textId="1C3FCCE7" w:rsidR="00CA5EEA" w:rsidRDefault="00CA5EEA" w:rsidP="003D0F16">
      <w:pPr>
        <w:pStyle w:val="BodyText"/>
        <w:rPr>
          <w:lang w:eastAsia="en-AU"/>
        </w:rPr>
      </w:pPr>
      <w:r>
        <w:rPr>
          <w:lang w:eastAsia="en-AU"/>
        </w:rPr>
        <w:t>First, we consider the</w:t>
      </w:r>
      <w:r w:rsidDel="002262AF">
        <w:rPr>
          <w:lang w:eastAsia="en-AU"/>
        </w:rPr>
        <w:t xml:space="preserve"> </w:t>
      </w:r>
      <w:r w:rsidR="002262AF">
        <w:rPr>
          <w:lang w:eastAsia="en-AU"/>
        </w:rPr>
        <w:t xml:space="preserve">core </w:t>
      </w:r>
      <w:r>
        <w:rPr>
          <w:lang w:eastAsia="en-AU"/>
        </w:rPr>
        <w:t>elements that should exist in a national roll-out of THN, including free access to naloxone</w:t>
      </w:r>
      <w:r w:rsidR="000841C6">
        <w:rPr>
          <w:lang w:eastAsia="en-AU"/>
        </w:rPr>
        <w:t xml:space="preserve"> through continued subsidisation</w:t>
      </w:r>
      <w:r>
        <w:rPr>
          <w:lang w:eastAsia="en-AU"/>
        </w:rPr>
        <w:t>,</w:t>
      </w:r>
      <w:r w:rsidR="000841C6">
        <w:rPr>
          <w:lang w:eastAsia="en-AU"/>
        </w:rPr>
        <w:t xml:space="preserve"> access to naloxone</w:t>
      </w:r>
      <w:r>
        <w:rPr>
          <w:lang w:eastAsia="en-AU"/>
        </w:rPr>
        <w:t xml:space="preserve"> without a prescription, </w:t>
      </w:r>
      <w:r w:rsidR="008C335B">
        <w:rPr>
          <w:lang w:eastAsia="en-AU"/>
        </w:rPr>
        <w:t xml:space="preserve">permanency </w:t>
      </w:r>
      <w:r w:rsidR="002A3223">
        <w:rPr>
          <w:lang w:eastAsia="en-AU"/>
        </w:rPr>
        <w:t xml:space="preserve">of a national roll-out, </w:t>
      </w:r>
      <w:r>
        <w:rPr>
          <w:lang w:eastAsia="en-AU"/>
        </w:rPr>
        <w:t>access</w:t>
      </w:r>
      <w:r w:rsidR="00C20814">
        <w:rPr>
          <w:lang w:eastAsia="en-AU"/>
        </w:rPr>
        <w:t xml:space="preserve"> to THN</w:t>
      </w:r>
      <w:r>
        <w:rPr>
          <w:lang w:eastAsia="en-AU"/>
        </w:rPr>
        <w:t xml:space="preserve"> from a range of sites, and joint working between the Australian Government and state and territory governments</w:t>
      </w:r>
      <w:r w:rsidR="00C20814">
        <w:rPr>
          <w:lang w:eastAsia="en-AU"/>
        </w:rPr>
        <w:t>.</w:t>
      </w:r>
      <w:r>
        <w:rPr>
          <w:lang w:eastAsia="en-AU"/>
        </w:rPr>
        <w:t xml:space="preserve"> This is followed by a discussion of the recommendations to support </w:t>
      </w:r>
      <w:r w:rsidR="008E6AD9">
        <w:rPr>
          <w:lang w:eastAsia="en-AU"/>
        </w:rPr>
        <w:t xml:space="preserve">the core elements of </w:t>
      </w:r>
      <w:r>
        <w:rPr>
          <w:lang w:eastAsia="en-AU"/>
        </w:rPr>
        <w:t>a national roll-out of THN.</w:t>
      </w:r>
    </w:p>
    <w:p w14:paraId="07CA69AC" w14:textId="77777777" w:rsidR="00F027DE" w:rsidRDefault="00F027DE" w:rsidP="003D0F16">
      <w:pPr>
        <w:pStyle w:val="BodyText"/>
        <w:rPr>
          <w:lang w:eastAsia="en-AU"/>
        </w:rPr>
        <w:sectPr w:rsidR="00F027DE" w:rsidSect="00695609">
          <w:headerReference w:type="even" r:id="rId58"/>
          <w:headerReference w:type="default" r:id="rId59"/>
          <w:footerReference w:type="even" r:id="rId60"/>
          <w:footerReference w:type="default" r:id="rId61"/>
          <w:headerReference w:type="first" r:id="rId62"/>
          <w:footerReference w:type="first" r:id="rId63"/>
          <w:footnotePr>
            <w:numFmt w:val="lowerLetter"/>
          </w:footnotePr>
          <w:pgSz w:w="11906" w:h="16838" w:code="9"/>
          <w:pgMar w:top="2268" w:right="1416" w:bottom="1134" w:left="1134" w:header="567" w:footer="510" w:gutter="0"/>
          <w:cols w:space="708"/>
          <w:docGrid w:linePitch="360"/>
        </w:sectPr>
      </w:pPr>
    </w:p>
    <w:p w14:paraId="6D0EA0CD" w14:textId="46E02381" w:rsidR="00F027DE" w:rsidRDefault="00F027DE" w:rsidP="00F6713B">
      <w:pPr>
        <w:pStyle w:val="BodyText"/>
        <w:jc w:val="center"/>
        <w:rPr>
          <w:lang w:eastAsia="en-AU"/>
        </w:rPr>
      </w:pPr>
      <w:r>
        <w:rPr>
          <w:b/>
          <w:noProof/>
        </w:rPr>
        <w:lastRenderedPageBreak/>
        <w:drawing>
          <wp:inline distT="0" distB="0" distL="0" distR="0" wp14:anchorId="3F11CEC7" wp14:editId="71C2A797">
            <wp:extent cx="8531860" cy="5237480"/>
            <wp:effectExtent l="0" t="0" r="2540" b="1270"/>
            <wp:docPr id="53" name="Picture 5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comendations_NationalRollOut.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531860" cy="5237480"/>
                    </a:xfrm>
                    <a:prstGeom prst="rect">
                      <a:avLst/>
                    </a:prstGeom>
                  </pic:spPr>
                </pic:pic>
              </a:graphicData>
            </a:graphic>
          </wp:inline>
        </w:drawing>
      </w:r>
    </w:p>
    <w:p w14:paraId="1500077C" w14:textId="1297067A" w:rsidR="00F027DE" w:rsidRDefault="00F027DE" w:rsidP="003D0F16">
      <w:pPr>
        <w:pStyle w:val="BodyText"/>
        <w:rPr>
          <w:lang w:eastAsia="en-AU"/>
        </w:rPr>
        <w:sectPr w:rsidR="00F027DE" w:rsidSect="00F027DE">
          <w:footnotePr>
            <w:numFmt w:val="lowerLetter"/>
          </w:footnotePr>
          <w:pgSz w:w="16838" w:h="11906" w:orient="landscape" w:code="9"/>
          <w:pgMar w:top="1134" w:right="2268" w:bottom="1416" w:left="1134" w:header="567" w:footer="510" w:gutter="0"/>
          <w:cols w:space="708"/>
          <w:docGrid w:linePitch="360"/>
        </w:sectPr>
      </w:pPr>
    </w:p>
    <w:p w14:paraId="7EF1981C" w14:textId="214CCA65" w:rsidR="00CA5EEA" w:rsidRDefault="00CA5EEA" w:rsidP="00274105">
      <w:pPr>
        <w:pStyle w:val="NbrHeading2"/>
      </w:pPr>
      <w:bookmarkStart w:id="344" w:name="_Toc94794165"/>
      <w:bookmarkStart w:id="345" w:name="_Toc94794309"/>
      <w:r>
        <w:lastRenderedPageBreak/>
        <w:t>Core elements of a national roll-out</w:t>
      </w:r>
      <w:bookmarkEnd w:id="344"/>
      <w:bookmarkEnd w:id="345"/>
    </w:p>
    <w:p w14:paraId="7BB115DA" w14:textId="428B0D18" w:rsidR="008F67B2" w:rsidRPr="00671DB3" w:rsidRDefault="00020675" w:rsidP="008F67B2">
      <w:pPr>
        <w:pStyle w:val="NbrHeading3"/>
      </w:pPr>
      <w:bookmarkStart w:id="346" w:name="_Toc94794166"/>
      <w:bookmarkStart w:id="347" w:name="_Toc94794310"/>
      <w:r>
        <w:t>Ensure continuity</w:t>
      </w:r>
      <w:r w:rsidR="00D0395A">
        <w:t xml:space="preserve">: </w:t>
      </w:r>
      <w:r w:rsidR="008F67B2" w:rsidRPr="00671DB3">
        <w:t xml:space="preserve">Commit to implementing the national roll-out of </w:t>
      </w:r>
      <w:proofErr w:type="gramStart"/>
      <w:r w:rsidR="008F67B2" w:rsidRPr="00671DB3">
        <w:t>take</w:t>
      </w:r>
      <w:r w:rsidR="003F3118">
        <w:t xml:space="preserve"> </w:t>
      </w:r>
      <w:r w:rsidR="008F67B2" w:rsidRPr="00671DB3">
        <w:t>home</w:t>
      </w:r>
      <w:proofErr w:type="gramEnd"/>
      <w:r w:rsidR="008F67B2" w:rsidRPr="00671DB3">
        <w:t xml:space="preserve"> naloxone on a permanent basis rather than as a Pilot</w:t>
      </w:r>
      <w:bookmarkEnd w:id="346"/>
      <w:bookmarkEnd w:id="347"/>
      <w:r w:rsidR="008F67B2" w:rsidRPr="00671DB3">
        <w:t xml:space="preserve"> </w:t>
      </w:r>
    </w:p>
    <w:p w14:paraId="53A05517" w14:textId="314FB6CB" w:rsidR="008F67B2" w:rsidRDefault="008F67B2" w:rsidP="008F67B2">
      <w:pPr>
        <w:rPr>
          <w:lang w:eastAsia="en-AU"/>
        </w:rPr>
      </w:pPr>
      <w:r>
        <w:t xml:space="preserve">Removing the time pressure of a short-term Pilot program will allow suitable lead time for </w:t>
      </w:r>
      <w:r w:rsidR="002262AF">
        <w:t xml:space="preserve">considered </w:t>
      </w:r>
      <w:r>
        <w:t xml:space="preserve">development of structures, </w:t>
      </w:r>
      <w:proofErr w:type="gramStart"/>
      <w:r>
        <w:t>workforce</w:t>
      </w:r>
      <w:proofErr w:type="gramEnd"/>
      <w:r>
        <w:t xml:space="preserve"> and systems to manage the program: </w:t>
      </w:r>
      <w:r w:rsidR="0002525F">
        <w:t xml:space="preserve">for example, </w:t>
      </w:r>
      <w:r>
        <w:t xml:space="preserve">policy/directives, staff authorisation and training, establishing logistics of supply. </w:t>
      </w:r>
      <w:r w:rsidR="005808BF">
        <w:rPr>
          <w:lang w:eastAsia="en-AU"/>
        </w:rPr>
        <w:t>Ensuring continuity</w:t>
      </w:r>
      <w:r>
        <w:rPr>
          <w:lang w:eastAsia="en-AU"/>
        </w:rPr>
        <w:t xml:space="preserve"> will also </w:t>
      </w:r>
      <w:r w:rsidR="007B13BB">
        <w:rPr>
          <w:lang w:eastAsia="en-AU"/>
        </w:rPr>
        <w:t xml:space="preserve">prevent jurisdictions being reluctant to engage for fear of the program ending </w:t>
      </w:r>
      <w:proofErr w:type="gramStart"/>
      <w:r w:rsidR="007B13BB">
        <w:rPr>
          <w:lang w:eastAsia="en-AU"/>
        </w:rPr>
        <w:t>soon, and</w:t>
      </w:r>
      <w:proofErr w:type="gramEnd"/>
      <w:r w:rsidR="007B13BB">
        <w:rPr>
          <w:lang w:eastAsia="en-AU"/>
        </w:rPr>
        <w:t xml:space="preserve"> </w:t>
      </w:r>
      <w:r>
        <w:rPr>
          <w:lang w:eastAsia="en-AU"/>
        </w:rPr>
        <w:t>allow sufficient time for program operation</w:t>
      </w:r>
      <w:r w:rsidR="007B13BB">
        <w:rPr>
          <w:lang w:eastAsia="en-AU"/>
        </w:rPr>
        <w:t>s</w:t>
      </w:r>
      <w:r>
        <w:rPr>
          <w:lang w:eastAsia="en-AU"/>
        </w:rPr>
        <w:t xml:space="preserve"> to achieve maturity (</w:t>
      </w:r>
      <w:r w:rsidR="00417C25">
        <w:rPr>
          <w:lang w:eastAsia="en-AU"/>
        </w:rPr>
        <w:t>we would suggest a five</w:t>
      </w:r>
      <w:r>
        <w:rPr>
          <w:lang w:eastAsia="en-AU"/>
        </w:rPr>
        <w:t xml:space="preserve"> year minimum). </w:t>
      </w:r>
      <w:r w:rsidR="003A7339">
        <w:t>It will be important to continue</w:t>
      </w:r>
      <w:r>
        <w:t xml:space="preserve"> to monitor implementation and outcomes to ensure best practice </w:t>
      </w:r>
      <w:r w:rsidR="007B13BB">
        <w:t xml:space="preserve">is embraced </w:t>
      </w:r>
      <w:r>
        <w:t xml:space="preserve">and ongoing learning </w:t>
      </w:r>
      <w:r w:rsidR="007B13BB">
        <w:t xml:space="preserve">takes place </w:t>
      </w:r>
      <w:r>
        <w:t>during implementation</w:t>
      </w:r>
      <w:r w:rsidR="005D2B1C">
        <w:t>. This will</w:t>
      </w:r>
      <w:r w:rsidR="00C579AF">
        <w:t xml:space="preserve"> allow the program to </w:t>
      </w:r>
      <w:r w:rsidR="005D2B1C">
        <w:t xml:space="preserve">further </w:t>
      </w:r>
      <w:r w:rsidR="00C579AF">
        <w:t>adapt where needed</w:t>
      </w:r>
      <w:r>
        <w:t>.</w:t>
      </w:r>
      <w:r w:rsidRPr="00A51235">
        <w:rPr>
          <w:lang w:eastAsia="en-AU"/>
        </w:rPr>
        <w:t xml:space="preserve"> </w:t>
      </w:r>
      <w:r w:rsidR="00B63272">
        <w:t>To facilitate permanency of THN</w:t>
      </w:r>
      <w:r w:rsidR="00BC6E34">
        <w:t xml:space="preserve"> on a national scale, it will be important </w:t>
      </w:r>
      <w:r w:rsidR="00C579AF">
        <w:t xml:space="preserve">for the naloxone program to align with and be part of </w:t>
      </w:r>
      <w:r w:rsidR="005F3002">
        <w:t>a</w:t>
      </w:r>
      <w:r w:rsidR="00C579AF">
        <w:t xml:space="preserve"> strategic</w:t>
      </w:r>
      <w:r w:rsidR="00942228">
        <w:t xml:space="preserve"> n</w:t>
      </w:r>
      <w:r w:rsidR="005F3002">
        <w:t>ational policy framework</w:t>
      </w:r>
      <w:r w:rsidR="00E45BE5">
        <w:t>, rather than operating as a disconnected stand-alone activity</w:t>
      </w:r>
      <w:r w:rsidR="005F3002">
        <w:t>.</w:t>
      </w:r>
      <w:r w:rsidRPr="00A51235">
        <w:rPr>
          <w:lang w:eastAsia="en-AU"/>
        </w:rPr>
        <w:t xml:space="preserve"> </w:t>
      </w:r>
    </w:p>
    <w:p w14:paraId="398EB8C6" w14:textId="0A50EC42" w:rsidR="00C36AC2" w:rsidRDefault="00011A75" w:rsidP="00274105">
      <w:pPr>
        <w:pStyle w:val="NbrHeading4"/>
      </w:pPr>
      <w:r w:rsidRPr="0074627F">
        <w:t>Nest the ongoing THN program in the broader health policy environment</w:t>
      </w:r>
      <w:r w:rsidRPr="006205EF">
        <w:t xml:space="preserve">  </w:t>
      </w:r>
    </w:p>
    <w:p w14:paraId="4E33BC56" w14:textId="39BE4A3B" w:rsidR="001A5FC6" w:rsidRDefault="00C36AC2" w:rsidP="001A5FC6">
      <w:pPr>
        <w:pStyle w:val="ListParagraph"/>
        <w:ind w:left="0"/>
      </w:pPr>
      <w:r>
        <w:rPr>
          <w:lang w:eastAsia="en-AU"/>
        </w:rPr>
        <w:t xml:space="preserve">Naloxone should be embedded as part of broader opioid stewardship programs, relevant to the general population and not as a purely AOD issue. </w:t>
      </w:r>
      <w:r w:rsidR="001A5FC6">
        <w:t>International best practice recommends that n</w:t>
      </w:r>
      <w:r w:rsidR="001A5FC6" w:rsidRPr="000C4485">
        <w:t>aloxone</w:t>
      </w:r>
      <w:r w:rsidR="001A5FC6">
        <w:t xml:space="preserve"> provision be nested within a range of </w:t>
      </w:r>
      <w:r w:rsidR="001A5FC6" w:rsidRPr="008B2E80">
        <w:t xml:space="preserve">strategies to reduce </w:t>
      </w:r>
      <w:r w:rsidR="001A5FC6">
        <w:t xml:space="preserve">the </w:t>
      </w:r>
      <w:r w:rsidR="001A5FC6" w:rsidRPr="003D18A2">
        <w:t>risk</w:t>
      </w:r>
      <w:r w:rsidR="001A5FC6" w:rsidRPr="008B2E80">
        <w:t xml:space="preserve"> of opioid overdose</w:t>
      </w:r>
      <w:r w:rsidR="00B93683">
        <w:t xml:space="preserve">, </w:t>
      </w:r>
      <w:proofErr w:type="gramStart"/>
      <w:r w:rsidR="00B93683">
        <w:t>including</w:t>
      </w:r>
      <w:r w:rsidR="001A5FC6" w:rsidRPr="003D18A2">
        <w:t>:</w:t>
      </w:r>
      <w:proofErr w:type="gramEnd"/>
      <w:r w:rsidR="001A5FC6" w:rsidRPr="003D18A2">
        <w:t xml:space="preserve"> </w:t>
      </w:r>
      <w:r w:rsidR="001A5FC6" w:rsidRPr="00F845C9">
        <w:rPr>
          <w:rFonts w:eastAsia="Times New Roman"/>
          <w:color w:val="000000" w:themeColor="text1"/>
        </w:rPr>
        <w:t>overdose education and naloxone distribution, effective delivery of medication for opioid use disorder, safer opioid analgesic prescribing</w:t>
      </w:r>
      <w:r w:rsidR="00474C7B">
        <w:rPr>
          <w:rFonts w:eastAsia="Times New Roman"/>
          <w:color w:val="000000" w:themeColor="text1"/>
        </w:rPr>
        <w:t xml:space="preserve"> and </w:t>
      </w:r>
      <w:r w:rsidR="00FD765C">
        <w:rPr>
          <w:rFonts w:eastAsia="Times New Roman"/>
          <w:color w:val="000000" w:themeColor="text1"/>
        </w:rPr>
        <w:t>a public health approach to broaden recognition of impact</w:t>
      </w:r>
      <w:r w:rsidR="001A5FC6" w:rsidRPr="00F845C9">
        <w:rPr>
          <w:rFonts w:eastAsia="Times New Roman"/>
          <w:color w:val="000000" w:themeColor="text1"/>
        </w:rPr>
        <w:t xml:space="preserve"> </w:t>
      </w:r>
      <w:r w:rsidR="006A7057">
        <w:rPr>
          <w:rFonts w:eastAsia="Times New Roman"/>
          <w:color w:val="000000" w:themeColor="text1"/>
        </w:rPr>
        <w:t xml:space="preserve">that work </w:t>
      </w:r>
      <w:r w:rsidR="001A5FC6" w:rsidRPr="00DD587F">
        <w:rPr>
          <w:rFonts w:eastAsia="Times New Roman"/>
          <w:i/>
          <w:iCs/>
          <w:color w:val="000000" w:themeColor="text1"/>
        </w:rPr>
        <w:t>in combination</w:t>
      </w:r>
      <w:r w:rsidR="001A5FC6" w:rsidRPr="00F845C9">
        <w:rPr>
          <w:rFonts w:eastAsia="Times New Roman"/>
          <w:color w:val="000000" w:themeColor="text1"/>
        </w:rPr>
        <w:t>, rather than as alternatives</w:t>
      </w:r>
      <w:r w:rsidR="001A5FC6">
        <w:t xml:space="preserve"> </w:t>
      </w:r>
      <w:r w:rsidR="001A5FC6">
        <w:fldChar w:fldCharType="begin">
          <w:fldData xml:space="preserve">PEVuZE5vdGU+PENpdGU+PEF1dGhvcj5XaW5odXNlbjwvQXV0aG9yPjxZZWFyPjIwMjA8L1llYXI+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</w:fldData>
        </w:fldChar>
      </w:r>
      <w:r w:rsidR="00576CEE">
        <w:instrText xml:space="preserve"> ADDIN EN.CITE </w:instrText>
      </w:r>
      <w:r w:rsidR="00576CEE">
        <w:fldChar w:fldCharType="begin">
          <w:fldData xml:space="preserve">PEVuZE5vdGU+PENpdGU+PEF1dGhvcj5XaW5odXNlbjwvQXV0aG9yPjxZZWFyPjIwMjA8L1llYXI+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</w:fldData>
        </w:fldChar>
      </w:r>
      <w:r w:rsidR="00576CEE">
        <w:instrText xml:space="preserve"> ADDIN EN.CITE.DATA </w:instrText>
      </w:r>
      <w:r w:rsidR="00576CEE">
        <w:fldChar w:fldCharType="end"/>
      </w:r>
      <w:r w:rsidR="001A5FC6">
        <w:fldChar w:fldCharType="separate"/>
      </w:r>
      <w:r w:rsidR="00576CEE">
        <w:rPr>
          <w:noProof/>
        </w:rPr>
        <w:t>(53)</w:t>
      </w:r>
      <w:r w:rsidR="001A5FC6">
        <w:fldChar w:fldCharType="end"/>
      </w:r>
      <w:r w:rsidR="005776CE">
        <w:t xml:space="preserve">. </w:t>
      </w:r>
    </w:p>
    <w:p w14:paraId="0F09C390" w14:textId="5C0E31FD" w:rsidR="00CB0028" w:rsidRDefault="00E7548A" w:rsidP="00274105">
      <w:pPr>
        <w:rPr>
          <w:lang w:eastAsia="en-AU"/>
        </w:rPr>
      </w:pPr>
      <w:r>
        <w:rPr>
          <w:lang w:eastAsia="en-AU"/>
        </w:rPr>
        <w:t>Some activit</w:t>
      </w:r>
      <w:r w:rsidR="00AA50F1">
        <w:rPr>
          <w:lang w:eastAsia="en-AU"/>
        </w:rPr>
        <w:t xml:space="preserve">y is currently underway </w:t>
      </w:r>
      <w:r>
        <w:rPr>
          <w:lang w:eastAsia="en-AU"/>
        </w:rPr>
        <w:t>in this space</w:t>
      </w:r>
      <w:r w:rsidR="00233BF9">
        <w:rPr>
          <w:lang w:eastAsia="en-AU"/>
        </w:rPr>
        <w:t xml:space="preserve">; </w:t>
      </w:r>
      <w:r w:rsidR="00602C47">
        <w:rPr>
          <w:lang w:eastAsia="en-AU"/>
        </w:rPr>
        <w:t>actions could be extended to incorporate THN in many cases.</w:t>
      </w:r>
      <w:r>
        <w:rPr>
          <w:lang w:eastAsia="en-AU"/>
        </w:rPr>
        <w:t xml:space="preserve"> </w:t>
      </w:r>
      <w:r w:rsidR="00856098">
        <w:rPr>
          <w:lang w:eastAsia="en-AU"/>
        </w:rPr>
        <w:t xml:space="preserve"> </w:t>
      </w:r>
    </w:p>
    <w:p w14:paraId="0E2E4420" w14:textId="229A458C" w:rsidR="00034A57" w:rsidRDefault="00AC79E3" w:rsidP="008D1AF2">
      <w:pPr>
        <w:pStyle w:val="CommentText"/>
        <w:numPr>
          <w:ilvl w:val="0"/>
          <w:numId w:val="259"/>
        </w:numPr>
      </w:pPr>
      <w:r>
        <w:t>Restricted pack sizes for immediate-release opioid and renewed g</w:t>
      </w:r>
      <w:r w:rsidR="00034A57">
        <w:t>uidelines for opioid prescribing</w:t>
      </w:r>
      <w:r w:rsidR="006608C3">
        <w:t xml:space="preserve"> are in place: prescriber guidelines could be extended</w:t>
      </w:r>
      <w:r w:rsidR="00034A57">
        <w:t xml:space="preserve"> </w:t>
      </w:r>
      <w:r w:rsidR="006608C3">
        <w:t>to incorporate</w:t>
      </w:r>
      <w:r w:rsidR="00034A57">
        <w:t xml:space="preserve"> co-prescribing</w:t>
      </w:r>
      <w:r w:rsidR="006608C3">
        <w:t>/provision of naloxone</w:t>
      </w:r>
    </w:p>
    <w:p w14:paraId="1FF82D1C" w14:textId="58E2344F" w:rsidR="00034A57" w:rsidRDefault="00034A57" w:rsidP="008D1AF2">
      <w:pPr>
        <w:pStyle w:val="CommentText"/>
        <w:numPr>
          <w:ilvl w:val="0"/>
          <w:numId w:val="259"/>
        </w:numPr>
      </w:pPr>
      <w:r>
        <w:t>Real time prescription monitoring</w:t>
      </w:r>
      <w:r w:rsidR="00234146">
        <w:t xml:space="preserve"> for opioid</w:t>
      </w:r>
      <w:r w:rsidR="00034468">
        <w:t>s</w:t>
      </w:r>
      <w:r w:rsidR="00234146">
        <w:t xml:space="preserve"> has commenced in some states and a national approach is being developed; </w:t>
      </w:r>
      <w:r w:rsidR="001856CF">
        <w:t xml:space="preserve">automatic co-dispensing of naloxone with opioids above a dose threshold </w:t>
      </w:r>
      <w:r w:rsidR="003A31F2">
        <w:t>could be included in these programs</w:t>
      </w:r>
      <w:r w:rsidR="003424DE">
        <w:t xml:space="preserve">, </w:t>
      </w:r>
      <w:r w:rsidR="00F017B6">
        <w:t>building on</w:t>
      </w:r>
      <w:r w:rsidR="003424DE">
        <w:t xml:space="preserve"> evidence from </w:t>
      </w:r>
      <w:r w:rsidR="00902066">
        <w:t>overseas opt-out programs</w:t>
      </w:r>
      <w:r w:rsidR="00F017B6">
        <w:t xml:space="preserve"> </w:t>
      </w:r>
      <w:r w:rsidR="00F017B6">
        <w:fldChar w:fldCharType="begin"/>
      </w:r>
      <w:r w:rsidR="00EF7C97">
        <w:instrText xml:space="preserve"> ADDIN EN.CITE &lt;EndNote&gt;&lt;Cite&gt;&lt;Author&gt;Tsuyuki&lt;/Author&gt;&lt;Year&gt;2020&lt;/Year&gt;&lt;RecNum&gt;1&lt;/RecNum&gt;&lt;DisplayText&gt;(22)&lt;/DisplayText&gt;&lt;record&gt;&lt;rec-number&gt;1&lt;/rec-number&gt;&lt;foreign-keys&gt;&lt;key app="EN" db-id="p00v9zw27zzswpe25phxpead0asdt50td92p" timestamp="1624594321"&gt;1&lt;/key&gt;&lt;/foreign-keys&gt;&lt;ref-type name="Journal Article"&gt;17&lt;/ref-type&gt;&lt;contributors&gt;&lt;authors&gt;&lt;author&gt;Tsuyuki, Ross T.&lt;/author&gt;&lt;author&gt;Arora, Vinita&lt;/author&gt;&lt;author&gt;Barnes, Mark&lt;/author&gt;&lt;author&gt;Beazely, Michael A.&lt;/author&gt;&lt;author&gt;Boivin, Michael&lt;/author&gt;&lt;author&gt;Christofides, Anna&lt;/author&gt;&lt;author&gt;Patel, Harsit&lt;/author&gt;&lt;author&gt;Laroche, Julie&lt;/author&gt;&lt;author&gt;Sihota, Aaron&lt;/author&gt;&lt;author&gt;So, Randy&lt;/author&gt;&lt;/authors&gt;&lt;/contributors&gt;&lt;titles&gt;&lt;title&gt;Canadian national consensus guidelines for naloxone prescribing by pharmacists&lt;/title&gt;&lt;secondary-title&gt;Canadian Pharmacists Journal&lt;/secondary-title&gt;&lt;/titles&gt;&lt;periodical&gt;&lt;full-title&gt;Canadian pharmacists journal&lt;/full-title&gt;&lt;/periodical&gt;&lt;pages&gt;347-351&lt;/pages&gt;&lt;volume&gt;153&lt;/volume&gt;&lt;number&gt;6&lt;/number&gt;&lt;dates&gt;&lt;year&gt;2020&lt;/year&gt;&lt;/dates&gt;&lt;pub-location&gt;Los Angeles, CA&lt;/pub-location&gt;&lt;publisher&gt;SAGE Publications&lt;/publisher&gt;&lt;isbn&gt;1715-1635&lt;/isbn&gt;&lt;urls&gt;&lt;/urls&gt;&lt;electronic-resource-num&gt;10.1177/1715163520949973&lt;/electronic-resource-num&gt;&lt;/record&gt;&lt;/Cite&gt;&lt;/EndNote&gt;</w:instrText>
      </w:r>
      <w:r w:rsidR="00F017B6">
        <w:fldChar w:fldCharType="separate"/>
      </w:r>
      <w:r w:rsidR="00EF7C97">
        <w:rPr>
          <w:noProof/>
        </w:rPr>
        <w:t>(22)</w:t>
      </w:r>
      <w:r w:rsidR="00F017B6">
        <w:fldChar w:fldCharType="end"/>
      </w:r>
      <w:r w:rsidR="003A31F2">
        <w:t>.</w:t>
      </w:r>
    </w:p>
    <w:p w14:paraId="0EE74877" w14:textId="3039A648" w:rsidR="00034A57" w:rsidRDefault="009619A4" w:rsidP="008D1AF2">
      <w:pPr>
        <w:pStyle w:val="CommentText"/>
        <w:numPr>
          <w:ilvl w:val="0"/>
          <w:numId w:val="259"/>
        </w:numPr>
      </w:pPr>
      <w:r>
        <w:t>Development of national action plans</w:t>
      </w:r>
      <w:r w:rsidR="009D5293">
        <w:t xml:space="preserve"> for </w:t>
      </w:r>
      <w:r w:rsidR="00034A57">
        <w:t>chronic pain management</w:t>
      </w:r>
      <w:r w:rsidR="009D5293">
        <w:t xml:space="preserve"> could incorporate naloxone provision</w:t>
      </w:r>
      <w:r w:rsidR="00372DE7">
        <w:t xml:space="preserve"> where opioid therapy is indicated</w:t>
      </w:r>
      <w:r w:rsidR="000A3585">
        <w:t xml:space="preserve"> to ensure that effective delivery of analgesia continues but does not increase risks of overdose</w:t>
      </w:r>
      <w:r w:rsidR="00372DE7">
        <w:t>.</w:t>
      </w:r>
    </w:p>
    <w:p w14:paraId="59D3C709" w14:textId="085A1CA6" w:rsidR="00034A57" w:rsidRDefault="00034A57" w:rsidP="008D1AF2">
      <w:pPr>
        <w:pStyle w:val="CommentText"/>
        <w:numPr>
          <w:ilvl w:val="0"/>
          <w:numId w:val="259"/>
        </w:numPr>
      </w:pPr>
      <w:r>
        <w:t>TGA scheduling of medicines</w:t>
      </w:r>
      <w:r w:rsidR="00372DE7">
        <w:t xml:space="preserve"> may consider </w:t>
      </w:r>
      <w:r w:rsidR="000C1AC9">
        <w:t xml:space="preserve">further </w:t>
      </w:r>
      <w:r w:rsidR="00372DE7">
        <w:t xml:space="preserve">reassessment of naloxone </w:t>
      </w:r>
      <w:r w:rsidR="000C1AC9">
        <w:t xml:space="preserve">to </w:t>
      </w:r>
      <w:r w:rsidR="00BC2BA9">
        <w:t>overcome barriers to third-party supply.</w:t>
      </w:r>
      <w:r w:rsidR="00FA508A">
        <w:t xml:space="preserve"> </w:t>
      </w:r>
    </w:p>
    <w:p w14:paraId="44C329FA" w14:textId="6AF2A08C" w:rsidR="00034A57" w:rsidRDefault="00920B0B" w:rsidP="00034A57">
      <w:pPr>
        <w:pStyle w:val="ListParagraph"/>
        <w:numPr>
          <w:ilvl w:val="0"/>
          <w:numId w:val="259"/>
        </w:numPr>
      </w:pPr>
      <w:r>
        <w:t>The inclusion of THN in o</w:t>
      </w:r>
      <w:r w:rsidR="00034A57">
        <w:t>pioid dependence treatment</w:t>
      </w:r>
      <w:r w:rsidR="00817CDD">
        <w:t xml:space="preserve"> programs and withdrawal management strategies </w:t>
      </w:r>
      <w:r>
        <w:t xml:space="preserve">currently </w:t>
      </w:r>
      <w:r w:rsidR="00817CDD">
        <w:t xml:space="preserve">implemented by </w:t>
      </w:r>
      <w:r>
        <w:t>some</w:t>
      </w:r>
      <w:r w:rsidR="00817CDD">
        <w:t xml:space="preserve"> states and territories </w:t>
      </w:r>
      <w:r w:rsidR="004F2939">
        <w:t xml:space="preserve">could </w:t>
      </w:r>
      <w:r>
        <w:t xml:space="preserve">be </w:t>
      </w:r>
      <w:r w:rsidR="00BA2E88">
        <w:t>formalised</w:t>
      </w:r>
      <w:r>
        <w:t xml:space="preserve"> to </w:t>
      </w:r>
      <w:r w:rsidR="00034468">
        <w:t>become national practice.</w:t>
      </w:r>
      <w:r w:rsidR="004F2939">
        <w:t xml:space="preserve"> </w:t>
      </w:r>
    </w:p>
    <w:p w14:paraId="2463C42E" w14:textId="3D064331" w:rsidR="00854410" w:rsidRDefault="001925B0" w:rsidP="008D1AF2">
      <w:r>
        <w:t>These activities</w:t>
      </w:r>
      <w:r w:rsidR="005E1EBB">
        <w:t xml:space="preserve"> </w:t>
      </w:r>
      <w:r w:rsidR="003223BD">
        <w:t xml:space="preserve">would benefit </w:t>
      </w:r>
      <w:r w:rsidR="004215E2">
        <w:t xml:space="preserve">substantially </w:t>
      </w:r>
      <w:r w:rsidR="003223BD">
        <w:t>from</w:t>
      </w:r>
      <w:r w:rsidR="00854410">
        <w:t xml:space="preserve"> an overarching policy framework to </w:t>
      </w:r>
      <w:r w:rsidR="00856098">
        <w:t xml:space="preserve">ensure coordination and alignment </w:t>
      </w:r>
      <w:r w:rsidR="00863436">
        <w:t xml:space="preserve">of policy approaches </w:t>
      </w:r>
      <w:r w:rsidR="00856098">
        <w:t>with frontline delivery of THN programs.</w:t>
      </w:r>
      <w:r w:rsidR="00854410">
        <w:t xml:space="preserve"> </w:t>
      </w:r>
    </w:p>
    <w:p w14:paraId="47E1F9C9" w14:textId="1AF422CF" w:rsidR="00C25BDB" w:rsidRPr="00C25BDB" w:rsidRDefault="0086200C" w:rsidP="00C25BDB">
      <w:pPr>
        <w:pStyle w:val="BodyText"/>
        <w:rPr>
          <w:lang w:eastAsia="en-AU"/>
        </w:rPr>
      </w:pPr>
      <w:r>
        <w:rPr>
          <w:lang w:eastAsia="en-AU"/>
        </w:rPr>
        <w:t>F</w:t>
      </w:r>
      <w:r w:rsidR="00011A75">
        <w:rPr>
          <w:lang w:eastAsia="en-AU"/>
        </w:rPr>
        <w:t xml:space="preserve">urther down-scheduling of naloxone to S2 for the prevention of opioid overdose </w:t>
      </w:r>
      <w:r>
        <w:rPr>
          <w:lang w:eastAsia="en-AU"/>
        </w:rPr>
        <w:t xml:space="preserve">has been proposed </w:t>
      </w:r>
      <w:r w:rsidR="00011A75">
        <w:rPr>
          <w:lang w:eastAsia="en-AU"/>
        </w:rPr>
        <w:t>as a potential mechanism to overcome barriers preventing third-party supply in some settings</w:t>
      </w:r>
      <w:r w:rsidR="00F152C4">
        <w:rPr>
          <w:lang w:eastAsia="en-AU"/>
        </w:rPr>
        <w:t>, such as peer-to-peer supply</w:t>
      </w:r>
      <w:r w:rsidR="00011A75">
        <w:rPr>
          <w:lang w:eastAsia="en-AU"/>
        </w:rPr>
        <w:t xml:space="preserve">. </w:t>
      </w:r>
      <w:r w:rsidR="00C57CA4" w:rsidRPr="00EF657A">
        <w:rPr>
          <w:lang w:eastAsia="en-AU"/>
        </w:rPr>
        <w:t xml:space="preserve">Although this may be out of step with similar emergency </w:t>
      </w:r>
      <w:r w:rsidR="00C57CA4" w:rsidRPr="00EF657A">
        <w:rPr>
          <w:lang w:eastAsia="en-AU"/>
        </w:rPr>
        <w:lastRenderedPageBreak/>
        <w:t>medic</w:t>
      </w:r>
      <w:r w:rsidR="26C9CCB7" w:rsidRPr="00EF657A">
        <w:rPr>
          <w:lang w:eastAsia="en-AU"/>
        </w:rPr>
        <w:t xml:space="preserve">ines </w:t>
      </w:r>
      <w:r w:rsidR="00C57CA4" w:rsidRPr="00EF657A">
        <w:rPr>
          <w:lang w:eastAsia="en-AU"/>
        </w:rPr>
        <w:t>such as</w:t>
      </w:r>
      <w:r w:rsidR="00A60EF3">
        <w:rPr>
          <w:lang w:eastAsia="en-AU"/>
        </w:rPr>
        <w:t xml:space="preserve"> the</w:t>
      </w:r>
      <w:r w:rsidR="00C57CA4" w:rsidRPr="00EF657A">
        <w:rPr>
          <w:lang w:eastAsia="en-AU"/>
        </w:rPr>
        <w:t xml:space="preserve"> </w:t>
      </w:r>
      <w:r w:rsidR="00011A75" w:rsidRPr="00EF657A">
        <w:rPr>
          <w:lang w:eastAsia="en-AU"/>
        </w:rPr>
        <w:t>Epi</w:t>
      </w:r>
      <w:r w:rsidR="20367869" w:rsidRPr="00EF657A">
        <w:rPr>
          <w:lang w:eastAsia="en-AU"/>
        </w:rPr>
        <w:t>P</w:t>
      </w:r>
      <w:r w:rsidR="00011A75" w:rsidRPr="00EF657A">
        <w:rPr>
          <w:lang w:eastAsia="en-AU"/>
        </w:rPr>
        <w:t>en</w:t>
      </w:r>
      <w:r w:rsidR="00A60EF3">
        <w:rPr>
          <w:rFonts w:cstheme="minorHAnsi"/>
          <w:lang w:eastAsia="en-AU"/>
        </w:rPr>
        <w:t>®</w:t>
      </w:r>
      <w:r w:rsidR="7FAA60E6" w:rsidRPr="00EF657A">
        <w:rPr>
          <w:lang w:eastAsia="en-AU"/>
        </w:rPr>
        <w:t xml:space="preserve"> for anaphylaxis</w:t>
      </w:r>
      <w:r w:rsidR="00CA426C" w:rsidRPr="00EF657A">
        <w:rPr>
          <w:lang w:eastAsia="en-AU"/>
        </w:rPr>
        <w:t xml:space="preserve"> that remain</w:t>
      </w:r>
      <w:r w:rsidR="00A60EF3">
        <w:rPr>
          <w:lang w:eastAsia="en-AU"/>
        </w:rPr>
        <w:t>s</w:t>
      </w:r>
      <w:r w:rsidR="00CA426C" w:rsidRPr="00EF657A">
        <w:rPr>
          <w:lang w:eastAsia="en-AU"/>
        </w:rPr>
        <w:t xml:space="preserve"> S3</w:t>
      </w:r>
      <w:r w:rsidR="00E9081B" w:rsidRPr="00EF657A">
        <w:rPr>
          <w:lang w:eastAsia="en-AU"/>
        </w:rPr>
        <w:t>,</w:t>
      </w:r>
      <w:r w:rsidR="00E9081B">
        <w:rPr>
          <w:lang w:eastAsia="en-AU"/>
        </w:rPr>
        <w:t xml:space="preserve"> i</w:t>
      </w:r>
      <w:r w:rsidR="00011A75">
        <w:rPr>
          <w:lang w:eastAsia="en-AU"/>
        </w:rPr>
        <w:t>t would pragmatically remove logistic</w:t>
      </w:r>
      <w:r w:rsidR="00080303">
        <w:rPr>
          <w:lang w:eastAsia="en-AU"/>
        </w:rPr>
        <w:t>al</w:t>
      </w:r>
      <w:r w:rsidR="00011A75">
        <w:rPr>
          <w:lang w:eastAsia="en-AU"/>
        </w:rPr>
        <w:t xml:space="preserve"> challenges such as the requirement for pharmacists to provide naloxone direct to the recipient, </w:t>
      </w:r>
      <w:r w:rsidR="004C04A8">
        <w:rPr>
          <w:lang w:eastAsia="en-AU"/>
        </w:rPr>
        <w:t xml:space="preserve">would </w:t>
      </w:r>
      <w:r w:rsidR="00011A75">
        <w:rPr>
          <w:lang w:eastAsia="en-AU"/>
        </w:rPr>
        <w:t>anonymise transaction</w:t>
      </w:r>
      <w:r w:rsidR="004C04A8">
        <w:rPr>
          <w:lang w:eastAsia="en-AU"/>
        </w:rPr>
        <w:t>s</w:t>
      </w:r>
      <w:r w:rsidR="00011A75">
        <w:rPr>
          <w:lang w:eastAsia="en-AU"/>
        </w:rPr>
        <w:t xml:space="preserve"> and allow postage to consumers in regional or remote areas. This may also alleviate some challenges in hospital settings (e.g.</w:t>
      </w:r>
      <w:r w:rsidR="005B66A4">
        <w:rPr>
          <w:lang w:eastAsia="en-AU"/>
        </w:rPr>
        <w:t>,</w:t>
      </w:r>
      <w:r w:rsidR="00011A75">
        <w:rPr>
          <w:lang w:eastAsia="en-AU"/>
        </w:rPr>
        <w:t xml:space="preserve"> requirements to relabel). However, this </w:t>
      </w:r>
      <w:r w:rsidR="005B66A4">
        <w:rPr>
          <w:lang w:eastAsia="en-AU"/>
        </w:rPr>
        <w:t xml:space="preserve">approach would </w:t>
      </w:r>
      <w:r w:rsidR="00011A75">
        <w:rPr>
          <w:lang w:eastAsia="en-AU"/>
        </w:rPr>
        <w:t xml:space="preserve">need to be balanced with the need to provide sufficient education and instruction on use to consumers. Other options for the provision of </w:t>
      </w:r>
      <w:r w:rsidR="0055085C">
        <w:rPr>
          <w:lang w:eastAsia="en-AU"/>
        </w:rPr>
        <w:t xml:space="preserve">the </w:t>
      </w:r>
      <w:r w:rsidR="00011A75">
        <w:rPr>
          <w:lang w:eastAsia="en-AU"/>
        </w:rPr>
        <w:t xml:space="preserve">brief </w:t>
      </w:r>
      <w:r w:rsidR="00BC5A3B">
        <w:rPr>
          <w:lang w:eastAsia="en-AU"/>
        </w:rPr>
        <w:t>intervention/</w:t>
      </w:r>
      <w:r w:rsidR="00011A75">
        <w:rPr>
          <w:lang w:eastAsia="en-AU"/>
        </w:rPr>
        <w:t xml:space="preserve">education </w:t>
      </w:r>
      <w:r w:rsidR="0055085C">
        <w:rPr>
          <w:lang w:eastAsia="en-AU"/>
        </w:rPr>
        <w:t xml:space="preserve">would </w:t>
      </w:r>
      <w:r w:rsidR="00011A75">
        <w:rPr>
          <w:lang w:eastAsia="en-AU"/>
        </w:rPr>
        <w:t>need to be explored</w:t>
      </w:r>
      <w:r w:rsidR="0055085C">
        <w:rPr>
          <w:lang w:eastAsia="en-AU"/>
        </w:rPr>
        <w:t xml:space="preserve"> if this avenue was pursued</w:t>
      </w:r>
      <w:r w:rsidR="00011A75">
        <w:rPr>
          <w:lang w:eastAsia="en-AU"/>
        </w:rPr>
        <w:t xml:space="preserve">. </w:t>
      </w:r>
    </w:p>
    <w:p w14:paraId="6C901F54" w14:textId="51CFB8BC" w:rsidR="00427CE2" w:rsidRDefault="00E404ED" w:rsidP="008E6AD9">
      <w:pPr>
        <w:pStyle w:val="NbrHeading3"/>
      </w:pPr>
      <w:bookmarkStart w:id="348" w:name="_Toc94794167"/>
      <w:bookmarkStart w:id="349" w:name="_Toc94794311"/>
      <w:r>
        <w:t xml:space="preserve">Ensure free access: </w:t>
      </w:r>
      <w:r w:rsidR="008E6AD9" w:rsidRPr="0066002E">
        <w:t xml:space="preserve">Retain the ability for naloxone to be fully subsidised </w:t>
      </w:r>
      <w:r w:rsidR="00385614">
        <w:t>on the PBS schedule</w:t>
      </w:r>
      <w:bookmarkEnd w:id="348"/>
      <w:bookmarkEnd w:id="349"/>
    </w:p>
    <w:p w14:paraId="7CC4147B" w14:textId="697F362E" w:rsidR="00427CE2" w:rsidRDefault="00D63204" w:rsidP="00274105">
      <w:pPr>
        <w:pStyle w:val="BodyText"/>
      </w:pPr>
      <w:r>
        <w:t xml:space="preserve">A core element of a national roll-out should be the continued subsidisation of naloxone to ensure that it remains free to consumers. </w:t>
      </w:r>
      <w:r w:rsidR="00C50247">
        <w:rPr>
          <w:lang w:eastAsia="en-AU"/>
        </w:rPr>
        <w:t>Stakeholders agreed that funding naloxone itself remained critical</w:t>
      </w:r>
      <w:r w:rsidR="007714EE">
        <w:rPr>
          <w:lang w:eastAsia="en-AU"/>
        </w:rPr>
        <w:t>, and as indicated in</w:t>
      </w:r>
      <w:r w:rsidR="00CE439A">
        <w:rPr>
          <w:lang w:eastAsia="en-AU"/>
        </w:rPr>
        <w:t xml:space="preserve"> the evaluation data</w:t>
      </w:r>
      <w:r w:rsidR="004C5A7E">
        <w:rPr>
          <w:lang w:eastAsia="en-AU"/>
        </w:rPr>
        <w:t>, consumers also indicated that they appreciated the free provision of naloxone and this significantly enhanced uptake</w:t>
      </w:r>
      <w:r w:rsidR="00C50247">
        <w:rPr>
          <w:lang w:eastAsia="en-AU"/>
        </w:rPr>
        <w:t>.</w:t>
      </w:r>
      <w:r w:rsidR="00FE1DFC">
        <w:t xml:space="preserve"> </w:t>
      </w:r>
    </w:p>
    <w:p w14:paraId="010BB0C1" w14:textId="18B2F7EE" w:rsidR="008E6AD9" w:rsidRPr="0066002E" w:rsidRDefault="00561407" w:rsidP="008E6AD9">
      <w:pPr>
        <w:pStyle w:val="NbrHeading3"/>
      </w:pPr>
      <w:bookmarkStart w:id="350" w:name="_Toc94794168"/>
      <w:bookmarkStart w:id="351" w:name="_Toc94794312"/>
      <w:r>
        <w:t xml:space="preserve">Ensure access without a prescription: </w:t>
      </w:r>
      <w:r w:rsidR="008A4683">
        <w:t>Retain the ability for naloxone to be</w:t>
      </w:r>
      <w:r w:rsidR="008E6AD9" w:rsidRPr="0066002E">
        <w:t xml:space="preserve"> provided without a prescription </w:t>
      </w:r>
      <w:r w:rsidR="00D63204">
        <w:t>and without a PBS co-payment</w:t>
      </w:r>
      <w:bookmarkEnd w:id="350"/>
      <w:bookmarkEnd w:id="351"/>
    </w:p>
    <w:p w14:paraId="6287BEFC" w14:textId="5A246994" w:rsidR="004245F7" w:rsidRDefault="00F41E89" w:rsidP="008E6AD9">
      <w:pPr>
        <w:pStyle w:val="BodyText"/>
        <w:rPr>
          <w:lang w:eastAsia="en-AU"/>
        </w:rPr>
      </w:pPr>
      <w:r>
        <w:t xml:space="preserve">Currently, </w:t>
      </w:r>
      <w:r w:rsidR="000A40B9">
        <w:t>to</w:t>
      </w:r>
      <w:r>
        <w:t xml:space="preserve"> </w:t>
      </w:r>
      <w:r w:rsidR="00E914B4">
        <w:t xml:space="preserve">ensure that naloxone supply is PBS subsidised, GPs and other prescribers are restricted to prescribing limited quantities </w:t>
      </w:r>
      <w:r>
        <w:t xml:space="preserve">(5 ampoules, 1 </w:t>
      </w:r>
      <w:r w:rsidR="00E237BD">
        <w:t xml:space="preserve">pre-filled </w:t>
      </w:r>
      <w:r>
        <w:t xml:space="preserve">syringe, or 2 </w:t>
      </w:r>
      <w:r w:rsidR="00E237BD">
        <w:t xml:space="preserve">nasal </w:t>
      </w:r>
      <w:r>
        <w:t>sprays) with no repeats.</w:t>
      </w:r>
      <w:r w:rsidR="008E6AD9">
        <w:rPr>
          <w:lang w:eastAsia="en-AU"/>
        </w:rPr>
        <w:t xml:space="preserve"> This means that patients must return to their GP </w:t>
      </w:r>
      <w:r w:rsidR="004E71DE">
        <w:rPr>
          <w:lang w:eastAsia="en-AU"/>
        </w:rPr>
        <w:t>to obtain</w:t>
      </w:r>
      <w:r w:rsidR="008E6AD9">
        <w:rPr>
          <w:lang w:eastAsia="en-AU"/>
        </w:rPr>
        <w:t xml:space="preserve"> further prescriptions and visit a pharmacy to dispense these prescriptions if further supply </w:t>
      </w:r>
      <w:r w:rsidR="0D185E29" w:rsidRPr="721AF279">
        <w:rPr>
          <w:lang w:eastAsia="en-AU"/>
        </w:rPr>
        <w:t>through the PBS</w:t>
      </w:r>
      <w:r w:rsidR="7D7247F6" w:rsidRPr="721AF279">
        <w:rPr>
          <w:lang w:eastAsia="en-AU"/>
        </w:rPr>
        <w:t xml:space="preserve"> </w:t>
      </w:r>
      <w:r w:rsidR="008E6AD9">
        <w:rPr>
          <w:lang w:eastAsia="en-AU"/>
        </w:rPr>
        <w:t>is needed. In practice, this translate</w:t>
      </w:r>
      <w:r w:rsidR="004E71DE">
        <w:rPr>
          <w:lang w:eastAsia="en-AU"/>
        </w:rPr>
        <w:t>s</w:t>
      </w:r>
      <w:r w:rsidR="008E6AD9">
        <w:rPr>
          <w:lang w:eastAsia="en-AU"/>
        </w:rPr>
        <w:t xml:space="preserve"> to a combination of time, </w:t>
      </w:r>
      <w:proofErr w:type="gramStart"/>
      <w:r w:rsidR="008E6AD9">
        <w:rPr>
          <w:lang w:eastAsia="en-AU"/>
        </w:rPr>
        <w:t>cost</w:t>
      </w:r>
      <w:proofErr w:type="gramEnd"/>
      <w:r w:rsidR="008E6AD9">
        <w:rPr>
          <w:lang w:eastAsia="en-AU"/>
        </w:rPr>
        <w:t xml:space="preserve"> and effort barriers; compared with Pilot provisions which does not impose costs or the need for additional prescriptions, in the event of a refill</w:t>
      </w:r>
      <w:r w:rsidR="00275A9C">
        <w:rPr>
          <w:lang w:eastAsia="en-AU"/>
        </w:rPr>
        <w:t xml:space="preserve"> being required</w:t>
      </w:r>
      <w:r w:rsidR="008E6AD9">
        <w:rPr>
          <w:lang w:eastAsia="en-AU"/>
        </w:rPr>
        <w:t>.</w:t>
      </w:r>
    </w:p>
    <w:p w14:paraId="48ED7538" w14:textId="7DAF572A" w:rsidR="00E116D2" w:rsidRDefault="00561407" w:rsidP="0084738F">
      <w:pPr>
        <w:pStyle w:val="NbrHeading3"/>
      </w:pPr>
      <w:bookmarkStart w:id="352" w:name="_Toc94794169"/>
      <w:bookmarkStart w:id="353" w:name="_Toc94794313"/>
      <w:r>
        <w:t xml:space="preserve">Ensure </w:t>
      </w:r>
      <w:r w:rsidR="00E1598C">
        <w:t>broad availability</w:t>
      </w:r>
      <w:r w:rsidR="00934120">
        <w:t xml:space="preserve">: </w:t>
      </w:r>
      <w:r w:rsidR="0084738F" w:rsidRPr="0066002E">
        <w:t>Continue</w:t>
      </w:r>
      <w:r w:rsidR="009E50F9">
        <w:t xml:space="preserve"> and expand</w:t>
      </w:r>
      <w:r w:rsidR="0084738F" w:rsidRPr="0066002E">
        <w:t xml:space="preserve"> availability through a range of access sites</w:t>
      </w:r>
      <w:bookmarkEnd w:id="352"/>
      <w:bookmarkEnd w:id="353"/>
      <w:r w:rsidR="0084738F" w:rsidRPr="0066002E">
        <w:t xml:space="preserve"> </w:t>
      </w:r>
    </w:p>
    <w:p w14:paraId="7675185F" w14:textId="5B52C9B6" w:rsidR="00E116D2" w:rsidRDefault="00EB7695" w:rsidP="00E116D2">
      <w:pPr>
        <w:pStyle w:val="BodyText"/>
      </w:pPr>
      <w:r>
        <w:rPr>
          <w:lang w:eastAsia="en-AU"/>
        </w:rPr>
        <w:t xml:space="preserve">A national roll-out of THN should ensure availability from a range of access site types, including but not limited to community pharmacies, NSPs, AOD treatment services, peer settings, and on exit from correctional service settings. </w:t>
      </w:r>
      <w:r w:rsidR="00E116D2">
        <w:t xml:space="preserve">A strength of the national Pilot has been the availability of THN from a range of access sites. </w:t>
      </w:r>
    </w:p>
    <w:p w14:paraId="3FBFC5D8" w14:textId="56773B7C" w:rsidR="004455F6" w:rsidRDefault="004455F6" w:rsidP="00E116D2">
      <w:pPr>
        <w:pStyle w:val="BodyText"/>
      </w:pPr>
      <w:r>
        <w:t>Community pharmacies have been a key site for delivery of THN under the Pilot</w:t>
      </w:r>
      <w:r w:rsidR="007F5617">
        <w:t xml:space="preserve"> </w:t>
      </w:r>
      <w:r w:rsidR="008E3912">
        <w:t>due to their ubiquity and ability to reach a range of potential THN recipients. As such they</w:t>
      </w:r>
      <w:r w:rsidR="007F5617">
        <w:t xml:space="preserve"> should also be a key </w:t>
      </w:r>
      <w:r w:rsidR="001F3072">
        <w:t>focus of</w:t>
      </w:r>
      <w:r w:rsidR="007F5617">
        <w:t xml:space="preserve"> a national roll</w:t>
      </w:r>
      <w:r w:rsidR="001F3072">
        <w:t xml:space="preserve">out. </w:t>
      </w:r>
      <w:r w:rsidR="0093694D">
        <w:t>To this point</w:t>
      </w:r>
      <w:r w:rsidR="001F3072">
        <w:t xml:space="preserve">, </w:t>
      </w:r>
      <w:r w:rsidR="00157A30">
        <w:t>only</w:t>
      </w:r>
      <w:r w:rsidR="003D4B01">
        <w:t xml:space="preserve"> 40% of PBS approved pharmacies across the Pilot states enrolled in the Pilot. Of the 40% who enrolled, only half </w:t>
      </w:r>
      <w:r w:rsidR="00967B7B">
        <w:t>provided</w:t>
      </w:r>
      <w:r>
        <w:t xml:space="preserve"> naloxone </w:t>
      </w:r>
      <w:r w:rsidR="00967B7B">
        <w:t>at least once and 18% provided monthly supplies. To improve the pool of pharmacies for consumers, it</w:t>
      </w:r>
      <w:r w:rsidR="00EF11D0">
        <w:t xml:space="preserve"> is recommended that all </w:t>
      </w:r>
      <w:r w:rsidR="0093694D">
        <w:t xml:space="preserve">5,822 </w:t>
      </w:r>
      <w:r w:rsidR="00EF11D0">
        <w:t xml:space="preserve">PBS registered pharmacies </w:t>
      </w:r>
      <w:r w:rsidR="0093694D">
        <w:t xml:space="preserve">in Australia </w:t>
      </w:r>
      <w:r w:rsidR="00EF11D0">
        <w:t xml:space="preserve">be </w:t>
      </w:r>
      <w:r w:rsidR="00967B7B">
        <w:t xml:space="preserve">automatically </w:t>
      </w:r>
      <w:r w:rsidR="00EF11D0">
        <w:t>enrolled</w:t>
      </w:r>
      <w:r>
        <w:t xml:space="preserve"> in the </w:t>
      </w:r>
      <w:r w:rsidR="00EF11D0">
        <w:t>national THN program</w:t>
      </w:r>
      <w:r w:rsidR="00B86B4D">
        <w:t>, thus normalising naloxone supply</w:t>
      </w:r>
      <w:r w:rsidR="0098014B">
        <w:t>.</w:t>
      </w:r>
      <w:r>
        <w:t xml:space="preserve"> </w:t>
      </w:r>
      <w:r w:rsidR="007F5617">
        <w:t>Non</w:t>
      </w:r>
      <w:r w:rsidR="00744BF6">
        <w:t>-PBS registered pharmacie</w:t>
      </w:r>
      <w:r w:rsidR="007F5617">
        <w:t>s should be able to register with their state/territory implementing agency.</w:t>
      </w:r>
      <w:r w:rsidR="002E3222">
        <w:t xml:space="preserve"> </w:t>
      </w:r>
      <w:r w:rsidR="003E19A5">
        <w:t>Further e</w:t>
      </w:r>
      <w:r w:rsidR="002E3222">
        <w:t>ffort would then be required to convert</w:t>
      </w:r>
      <w:r w:rsidR="00B86B4D">
        <w:t xml:space="preserve"> registration into active provision</w:t>
      </w:r>
      <w:r w:rsidR="003E19A5">
        <w:t>.</w:t>
      </w:r>
    </w:p>
    <w:p w14:paraId="5A3A9B84" w14:textId="6D1E9D78" w:rsidR="00CC673B" w:rsidRPr="008D3DF6" w:rsidRDefault="00492CDE" w:rsidP="00234788">
      <w:pPr>
        <w:pStyle w:val="BodyText"/>
      </w:pPr>
      <w:r>
        <w:rPr>
          <w:lang w:eastAsia="en-AU"/>
        </w:rPr>
        <w:t xml:space="preserve">Primary care is an important setting for provision of THN that the Pilot model did not effectively address. A national rollout should consider how to facilitate direct provision of THN in primary care settings.  This is discussed further in </w:t>
      </w:r>
      <w:r w:rsidR="0000675A">
        <w:rPr>
          <w:lang w:eastAsia="en-AU"/>
        </w:rPr>
        <w:t xml:space="preserve">section </w:t>
      </w:r>
      <w:r>
        <w:rPr>
          <w:lang w:eastAsia="en-AU"/>
        </w:rPr>
        <w:t>9.2.2.1</w:t>
      </w:r>
    </w:p>
    <w:p w14:paraId="7EC14155" w14:textId="0401B118" w:rsidR="00C22DD5" w:rsidRDefault="005D1401" w:rsidP="00C22DD5">
      <w:pPr>
        <w:pStyle w:val="BodyText"/>
      </w:pPr>
      <w:r>
        <w:t xml:space="preserve">The national rollout should continue to expand provision through AAS. The </w:t>
      </w:r>
      <w:r>
        <w:rPr>
          <w:i/>
          <w:iCs/>
        </w:rPr>
        <w:t xml:space="preserve">Special </w:t>
      </w:r>
      <w:r w:rsidR="005F08B4">
        <w:rPr>
          <w:i/>
          <w:iCs/>
        </w:rPr>
        <w:t xml:space="preserve">Arrangement 2019 </w:t>
      </w:r>
      <w:r>
        <w:t xml:space="preserve">facilitated this at the Commonwealth level, </w:t>
      </w:r>
      <w:r w:rsidR="008E44D7">
        <w:t>but</w:t>
      </w:r>
      <w:r>
        <w:t xml:space="preserve"> states and territories will need </w:t>
      </w:r>
      <w:r w:rsidR="005F08B4">
        <w:t>to make their own amendments to legislation and/or policy directives to allow</w:t>
      </w:r>
      <w:r w:rsidR="00C22DD5">
        <w:t xml:space="preserve"> </w:t>
      </w:r>
      <w:r w:rsidR="00C22DD5" w:rsidRPr="00DD587F">
        <w:rPr>
          <w:lang w:eastAsia="en-AU"/>
        </w:rPr>
        <w:t>trained workers to supply naloxone to people at risk</w:t>
      </w:r>
      <w:r w:rsidR="00C22DD5">
        <w:rPr>
          <w:lang w:eastAsia="en-AU"/>
        </w:rPr>
        <w:t xml:space="preserve">. Victoria has recently </w:t>
      </w:r>
      <w:r w:rsidR="0075440C">
        <w:rPr>
          <w:lang w:eastAsia="en-AU"/>
        </w:rPr>
        <w:t>(6 August 2021)</w:t>
      </w:r>
      <w:r w:rsidR="00C22DD5">
        <w:rPr>
          <w:lang w:eastAsia="en-AU"/>
        </w:rPr>
        <w:t xml:space="preserve"> </w:t>
      </w:r>
      <w:r w:rsidR="004F13EB">
        <w:rPr>
          <w:lang w:eastAsia="en-AU"/>
        </w:rPr>
        <w:t xml:space="preserve">amended its </w:t>
      </w:r>
      <w:r w:rsidR="00B45332" w:rsidRPr="00234788">
        <w:rPr>
          <w:i/>
          <w:iCs/>
          <w:lang w:eastAsia="en-AU"/>
        </w:rPr>
        <w:t>Drugs, Poisons and Controlled Substances Act</w:t>
      </w:r>
      <w:r w:rsidR="004F13EB" w:rsidRPr="00234788">
        <w:rPr>
          <w:i/>
          <w:iCs/>
          <w:lang w:eastAsia="en-AU"/>
        </w:rPr>
        <w:t xml:space="preserve"> </w:t>
      </w:r>
      <w:r w:rsidR="0075440C" w:rsidRPr="00234788">
        <w:rPr>
          <w:i/>
          <w:iCs/>
          <w:lang w:eastAsia="en-AU"/>
        </w:rPr>
        <w:t>1981</w:t>
      </w:r>
      <w:r w:rsidR="00C22DD5">
        <w:rPr>
          <w:lang w:eastAsia="en-AU"/>
        </w:rPr>
        <w:t xml:space="preserve">, enabling NSP workers to provide naloxone. </w:t>
      </w:r>
    </w:p>
    <w:p w14:paraId="4B9EF69A" w14:textId="5FBAB24E" w:rsidR="00374156" w:rsidRPr="008D3DF6" w:rsidRDefault="000514C7" w:rsidP="005F08B4">
      <w:pPr>
        <w:pStyle w:val="BodyText"/>
      </w:pPr>
      <w:r>
        <w:lastRenderedPageBreak/>
        <w:t>Such</w:t>
      </w:r>
      <w:r w:rsidR="005F08B4">
        <w:t xml:space="preserve"> </w:t>
      </w:r>
      <w:r>
        <w:t>processes</w:t>
      </w:r>
      <w:r w:rsidR="005F08B4">
        <w:t xml:space="preserve"> could be facilitated by the Commonwealth </w:t>
      </w:r>
      <w:r w:rsidR="00F610E7">
        <w:t xml:space="preserve">by facilitating information sharing or </w:t>
      </w:r>
      <w:r w:rsidR="005F08B4">
        <w:t>through provision of resources</w:t>
      </w:r>
      <w:r>
        <w:t xml:space="preserve"> and/or </w:t>
      </w:r>
      <w:r w:rsidR="005F08B4">
        <w:t>guidance</w:t>
      </w:r>
      <w:r w:rsidR="00F610E7">
        <w:t xml:space="preserve"> on legislative change</w:t>
      </w:r>
      <w:r w:rsidR="005F08B4">
        <w:t xml:space="preserve">.  </w:t>
      </w:r>
    </w:p>
    <w:p w14:paraId="54FEB7FE" w14:textId="37974290" w:rsidR="0056198E" w:rsidRDefault="00B65CE0" w:rsidP="0056198E">
      <w:pPr>
        <w:rPr>
          <w:lang w:eastAsia="en-AU"/>
        </w:rPr>
      </w:pPr>
      <w:r w:rsidRPr="00E0391B">
        <w:rPr>
          <w:lang w:eastAsia="en-AU"/>
        </w:rPr>
        <w:t>Priority</w:t>
      </w:r>
      <w:r w:rsidR="00C12334" w:rsidRPr="00E0391B">
        <w:rPr>
          <w:lang w:eastAsia="en-AU"/>
        </w:rPr>
        <w:t xml:space="preserve"> should be given to settings where effective distribution of THN has been demonstrated. </w:t>
      </w:r>
      <w:r w:rsidR="00C12334" w:rsidRPr="00E0391B">
        <w:t>S</w:t>
      </w:r>
      <w:r w:rsidR="00EB7695" w:rsidRPr="00E0391B">
        <w:t xml:space="preserve">ettings show considerable variation in both demand </w:t>
      </w:r>
      <w:r w:rsidR="000E3C17" w:rsidRPr="00E0391B">
        <w:t xml:space="preserve">for THN </w:t>
      </w:r>
      <w:r w:rsidR="00EB7695" w:rsidRPr="00E0391B">
        <w:t>and systems available to facilitate naloxone provision.</w:t>
      </w:r>
      <w:r w:rsidR="0056198E" w:rsidRPr="00E0391B">
        <w:t xml:space="preserve"> </w:t>
      </w:r>
      <w:r w:rsidR="0056198E">
        <w:rPr>
          <w:lang w:eastAsia="en-AU"/>
        </w:rPr>
        <w:t>Prisons and Community Corrections should remain and be expanded as key outlets, acknowledging their place in supporting people in a well-established high-risk situation</w:t>
      </w:r>
      <w:r w:rsidR="004C3B84">
        <w:rPr>
          <w:lang w:eastAsia="en-AU"/>
        </w:rPr>
        <w:t xml:space="preserve"> </w:t>
      </w:r>
      <w:r w:rsidR="00713704">
        <w:rPr>
          <w:lang w:eastAsia="en-AU"/>
        </w:rPr>
        <w:fldChar w:fldCharType="begin">
          <w:fldData xml:space="preserve">PEVuZE5vdGU+PENpdGU+PEF1dGhvcj5LZWVuPC9BdXRob3I+PFllYXI+MjAyMDwvWWVhcj48UmVj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</w:fldData>
        </w:fldChar>
      </w:r>
      <w:r w:rsidR="00576CEE">
        <w:rPr>
          <w:lang w:eastAsia="en-AU"/>
        </w:rPr>
        <w:instrText xml:space="preserve"> ADDIN EN.CITE </w:instrText>
      </w:r>
      <w:r w:rsidR="00576CEE">
        <w:rPr>
          <w:lang w:eastAsia="en-AU"/>
        </w:rPr>
        <w:fldChar w:fldCharType="begin">
          <w:fldData xml:space="preserve">PEVuZE5vdGU+PENpdGU+PEF1dGhvcj5LZWVuPC9BdXRob3I+PFllYXI+MjAyMDwvWWVhcj48UmVj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</w:fldData>
        </w:fldChar>
      </w:r>
      <w:r w:rsidR="00576CEE">
        <w:rPr>
          <w:lang w:eastAsia="en-AU"/>
        </w:rPr>
        <w:instrText xml:space="preserve"> ADDIN EN.CITE.DATA </w:instrText>
      </w:r>
      <w:r w:rsidR="00576CEE">
        <w:rPr>
          <w:lang w:eastAsia="en-AU"/>
        </w:rPr>
      </w:r>
      <w:r w:rsidR="00576CEE">
        <w:rPr>
          <w:lang w:eastAsia="en-AU"/>
        </w:rPr>
        <w:fldChar w:fldCharType="end"/>
      </w:r>
      <w:r w:rsidR="00713704">
        <w:rPr>
          <w:lang w:eastAsia="en-AU"/>
        </w:rPr>
      </w:r>
      <w:r w:rsidR="00713704">
        <w:rPr>
          <w:lang w:eastAsia="en-AU"/>
        </w:rPr>
        <w:fldChar w:fldCharType="separate"/>
      </w:r>
      <w:r w:rsidR="00576CEE">
        <w:rPr>
          <w:noProof/>
          <w:lang w:eastAsia="en-AU"/>
        </w:rPr>
        <w:t>(50, 51)</w:t>
      </w:r>
      <w:r w:rsidR="00713704">
        <w:rPr>
          <w:lang w:eastAsia="en-AU"/>
        </w:rPr>
        <w:fldChar w:fldCharType="end"/>
      </w:r>
      <w:r w:rsidR="004C3B84">
        <w:rPr>
          <w:lang w:eastAsia="en-AU"/>
        </w:rPr>
        <w:t>.</w:t>
      </w:r>
      <w:r w:rsidR="00C64381" w:rsidRPr="002D3173">
        <w:rPr>
          <w:lang w:eastAsia="en-AU"/>
        </w:rPr>
        <w:t xml:space="preserve"> Australian studies have demonstrated that</w:t>
      </w:r>
      <w:r w:rsidR="00C05DD1" w:rsidRPr="002D3173">
        <w:rPr>
          <w:lang w:eastAsia="en-AU"/>
        </w:rPr>
        <w:t xml:space="preserve"> training </w:t>
      </w:r>
      <w:r w:rsidR="007C2BD2" w:rsidRPr="002D3173">
        <w:rPr>
          <w:lang w:eastAsia="en-AU"/>
        </w:rPr>
        <w:t>and naloxone provision</w:t>
      </w:r>
      <w:r w:rsidR="00C05DD1" w:rsidRPr="002D3173">
        <w:rPr>
          <w:lang w:eastAsia="en-AU"/>
        </w:rPr>
        <w:t xml:space="preserve"> upon release is feasible</w:t>
      </w:r>
      <w:r w:rsidR="00C353AB" w:rsidRPr="002D3173">
        <w:rPr>
          <w:lang w:eastAsia="en-AU"/>
        </w:rPr>
        <w:t xml:space="preserve"> and</w:t>
      </w:r>
      <w:r w:rsidR="00C50086" w:rsidRPr="002D3173">
        <w:rPr>
          <w:lang w:eastAsia="en-AU"/>
        </w:rPr>
        <w:t xml:space="preserve"> more </w:t>
      </w:r>
      <w:r w:rsidR="00C353AB" w:rsidRPr="002D3173">
        <w:rPr>
          <w:lang w:eastAsia="en-AU"/>
        </w:rPr>
        <w:t>effective</w:t>
      </w:r>
      <w:r w:rsidR="00C50086" w:rsidRPr="002D3173">
        <w:rPr>
          <w:lang w:eastAsia="en-AU"/>
        </w:rPr>
        <w:t xml:space="preserve"> than expecting clients to attend a pharmacy</w:t>
      </w:r>
      <w:r w:rsidR="004C3B84">
        <w:rPr>
          <w:lang w:eastAsia="en-AU"/>
        </w:rPr>
        <w:t xml:space="preserve"> </w:t>
      </w:r>
      <w:r w:rsidR="00A82628">
        <w:rPr>
          <w:lang w:eastAsia="en-AU"/>
        </w:rPr>
        <w:fldChar w:fldCharType="begin"/>
      </w:r>
      <w:r w:rsidR="00EF7C97">
        <w:rPr>
          <w:lang w:eastAsia="en-AU"/>
        </w:rPr>
        <w:instrText xml:space="preserve"> ADDIN EN.CITE &lt;EndNote&gt;&lt;Cite&gt;&lt;Author&gt;Moradmand</w:instrText>
      </w:r>
      <w:r w:rsidR="00EF7C97">
        <w:rPr>
          <w:rFonts w:ascii="Cambria Math" w:hAnsi="Cambria Math" w:cs="Cambria Math"/>
          <w:lang w:eastAsia="en-AU"/>
        </w:rPr>
        <w:instrText>‐</w:instrText>
      </w:r>
      <w:r w:rsidR="00EF7C97">
        <w:rPr>
          <w:lang w:eastAsia="en-AU"/>
        </w:rPr>
        <w:instrText>Badie&lt;/Author&gt;&lt;Year&gt;2021&lt;/Year&gt;&lt;RecNum&gt;112&lt;/RecNum&gt;&lt;DisplayText&gt;(29)&lt;/DisplayText&gt;&lt;record&gt;&lt;rec-number&gt;112&lt;/rec-number&gt;&lt;foreign-keys&gt;&lt;key app="EN" db-id="p00v9zw27zzswpe25phxpead0asdt50td92p" timestamp="1629691683"&gt;112&lt;/key&gt;&lt;/foreign-keys&gt;&lt;ref-type name="Journal Article"&gt;17&lt;/ref-type&gt;&lt;contributors&gt;&lt;authors&gt;&lt;author&gt;Moradmand</w:instrText>
      </w:r>
      <w:r w:rsidR="00EF7C97">
        <w:rPr>
          <w:rFonts w:ascii="Cambria Math" w:hAnsi="Cambria Math" w:cs="Cambria Math"/>
          <w:lang w:eastAsia="en-AU"/>
        </w:rPr>
        <w:instrText>‐</w:instrText>
      </w:r>
      <w:r w:rsidR="00EF7C97">
        <w:rPr>
          <w:lang w:eastAsia="en-AU"/>
        </w:rPr>
        <w:instrText>Badie, Banafsheh&lt;/author&gt;&lt;author&gt;Tran, Lucy&lt;/author&gt;&lt;author&gt;Oikarainen, Noora&lt;/author&gt;&lt;author&gt;Degenhardt, Louisa&lt;/author&gt;&lt;author&gt;Nielsen, Suzanne&lt;/author&gt;&lt;author&gt;Roberts, Jillian&lt;/author&gt;&lt;author&gt;Ward, Stephen&lt;/author&gt;&lt;author&gt;Bowman, Julia&lt;/author&gt;&lt;author&gt;Larney, Sarah&lt;/author&gt;&lt;/authors&gt;&lt;/contributors&gt;&lt;titles&gt;&lt;title&gt;Feasibility and acceptability of take</w:instrText>
      </w:r>
      <w:r w:rsidR="00EF7C97">
        <w:rPr>
          <w:rFonts w:ascii="Cambria Math" w:hAnsi="Cambria Math" w:cs="Cambria Math"/>
          <w:lang w:eastAsia="en-AU"/>
        </w:rPr>
        <w:instrText>‐</w:instrText>
      </w:r>
      <w:r w:rsidR="00EF7C97">
        <w:rPr>
          <w:lang w:eastAsia="en-AU"/>
        </w:rPr>
        <w:instrText>home naloxone for people released from prison in New South Wales, Australia&lt;/title&gt;&lt;secondary-title&gt;Drug and Alcohol Review &lt;/secondary-title&gt;&lt;/titles&gt;&lt;pages&gt;98-108&lt;/pages&gt;&lt;volume&gt;40&lt;/volume&gt;&lt;number&gt;1&lt;/number&gt;&lt;dates&gt;&lt;year&gt;2021&lt;/year&gt;&lt;/dates&gt;&lt;isbn&gt;0959-5236&lt;/isbn&gt;&lt;urls&gt;&lt;/urls&gt;&lt;/record&gt;&lt;/Cite&gt;&lt;/EndNote&gt;</w:instrText>
      </w:r>
      <w:r w:rsidR="00A82628">
        <w:rPr>
          <w:lang w:eastAsia="en-AU"/>
        </w:rPr>
        <w:fldChar w:fldCharType="separate"/>
      </w:r>
      <w:r w:rsidR="00EF7C97">
        <w:rPr>
          <w:noProof/>
          <w:lang w:eastAsia="en-AU"/>
        </w:rPr>
        <w:t>(29)</w:t>
      </w:r>
      <w:r w:rsidR="00A82628">
        <w:rPr>
          <w:lang w:eastAsia="en-AU"/>
        </w:rPr>
        <w:fldChar w:fldCharType="end"/>
      </w:r>
      <w:r w:rsidR="004C3B84">
        <w:rPr>
          <w:lang w:eastAsia="en-AU"/>
        </w:rPr>
        <w:t>.</w:t>
      </w:r>
    </w:p>
    <w:p w14:paraId="1DE701F4" w14:textId="3F16EA7A" w:rsidR="00EB7695" w:rsidRDefault="00EB7695" w:rsidP="00274105">
      <w:r w:rsidRPr="00E0391B">
        <w:t xml:space="preserve">The literature offers indications of the variable effectiveness of </w:t>
      </w:r>
      <w:r w:rsidR="00A4071A" w:rsidRPr="00E0391B">
        <w:t xml:space="preserve">other </w:t>
      </w:r>
      <w:r w:rsidRPr="00E0391B">
        <w:t>settings. For example, Emergency Departments appear</w:t>
      </w:r>
      <w:r w:rsidR="005E2CEE">
        <w:t xml:space="preserve"> to be</w:t>
      </w:r>
      <w:r w:rsidRPr="00E0391B">
        <w:t xml:space="preserve"> a prime opportunity to engage with people experiencing opioid overdoses</w:t>
      </w:r>
      <w:r w:rsidR="005E2CEE">
        <w:t xml:space="preserve"> </w:t>
      </w:r>
      <w:r w:rsidR="005958DB">
        <w:t>but</w:t>
      </w:r>
      <w:r w:rsidR="005E2CEE">
        <w:t xml:space="preserve"> </w:t>
      </w:r>
      <w:r w:rsidR="00EE7D38" w:rsidRPr="00E0391B">
        <w:t xml:space="preserve">ED staff report challenges implementing additional programs in a </w:t>
      </w:r>
      <w:r w:rsidR="00A51AA2" w:rsidRPr="00E0391B">
        <w:t>pressured environment, and</w:t>
      </w:r>
      <w:r w:rsidRPr="00E0391B">
        <w:t xml:space="preserve"> </w:t>
      </w:r>
      <w:r w:rsidR="00564329" w:rsidRPr="00E0391B">
        <w:t xml:space="preserve">recent </w:t>
      </w:r>
      <w:r w:rsidRPr="00E0391B">
        <w:t xml:space="preserve">evaluation in </w:t>
      </w:r>
      <w:r w:rsidR="00635329" w:rsidRPr="00E0391B">
        <w:t xml:space="preserve">the US </w:t>
      </w:r>
      <w:r w:rsidRPr="00E0391B">
        <w:t xml:space="preserve">of an </w:t>
      </w:r>
      <w:r w:rsidR="00EB0ADB">
        <w:t>ED</w:t>
      </w:r>
      <w:r w:rsidRPr="00E0391B">
        <w:t xml:space="preserve"> THN program found this did not substantially influence opioid related overdose deaths </w:t>
      </w:r>
      <w:r w:rsidR="007525AA" w:rsidRPr="00E0391B">
        <w:t xml:space="preserve">in the </w:t>
      </w:r>
      <w:r w:rsidRPr="00E0391B">
        <w:t>longer term</w:t>
      </w:r>
      <w:r w:rsidR="004C3B84">
        <w:t xml:space="preserve"> </w:t>
      </w:r>
      <w:r w:rsidR="006D615D">
        <w:fldChar w:fldCharType="begin"/>
      </w:r>
      <w:r w:rsidR="00441C1C">
        <w:instrText xml:space="preserve"> ADDIN EN.CITE &lt;EndNote&gt;&lt;Cite&gt;&lt;Author&gt;Papp&lt;/Author&gt;&lt;Year&gt;2019&lt;/Year&gt;&lt;RecNum&gt;148&lt;/RecNum&gt;&lt;DisplayText&gt;(54)&lt;/DisplayText&gt;&lt;record&gt;&lt;rec-number&gt;148&lt;/rec-number&gt;&lt;foreign-keys&gt;&lt;key app="EN" db-id="p00v9zw27zzswpe25phxpead0asdt50td92p" timestamp="1631059804"&gt;148&lt;/key&gt;&lt;/foreign-keys&gt;&lt;ref-type name="Journal Article"&gt;17&lt;/ref-type&gt;&lt;contributors&gt;&lt;authors&gt;&lt;author&gt;Papp, Joan&lt;/author&gt;&lt;author&gt;Vallabhaneni, Mayur&lt;/author&gt;&lt;author&gt;Morales, Ariel&lt;/author&gt;&lt;author&gt;Schrock, Jon W.&lt;/author&gt;&lt;/authors&gt;&lt;/contributors&gt;&lt;titles&gt;&lt;title&gt;Take-home naloxone rescue kits following heroin overdose in the emergency department to prevent opioid overdose related repeat emergency department visits, hospitalization and death - A pilot study&lt;/title&gt;&lt;secondary-title&gt;BMC Health Services Research&lt;/secondary-title&gt;&lt;/titles&gt;&lt;periodical&gt;&lt;full-title&gt;BMC Health Services Research&lt;/full-title&gt;&lt;/periodical&gt;&lt;pages&gt;957&lt;/pages&gt;&lt;volume&gt;19&lt;/volume&gt;&lt;number&gt;1&lt;/number&gt;&lt;dates&gt;&lt;year&gt;2019&lt;/year&gt;&lt;pub-dates&gt;&lt;date&gt;2019/12/11&lt;/date&gt;&lt;/pub-dates&gt;&lt;/dates&gt;&lt;isbn&gt;1472-6963&lt;/isbn&gt;&lt;urls&gt;&lt;related-urls&gt;&lt;url&gt;https://doi.org/10.1186/s12913-019-4734-5&lt;/url&gt;&lt;/related-urls&gt;&lt;/urls&gt;&lt;electronic-resource-num&gt;10.1186/s12913-019-4734-5&lt;/electronic-resource-num&gt;&lt;/record&gt;&lt;/Cite&gt;&lt;/EndNote&gt;</w:instrText>
      </w:r>
      <w:r w:rsidR="006D615D">
        <w:fldChar w:fldCharType="separate"/>
      </w:r>
      <w:r w:rsidR="00441C1C">
        <w:rPr>
          <w:noProof/>
        </w:rPr>
        <w:t>(54)</w:t>
      </w:r>
      <w:r w:rsidR="006D615D">
        <w:fldChar w:fldCharType="end"/>
      </w:r>
      <w:r w:rsidR="004C3B84">
        <w:t>.</w:t>
      </w:r>
      <w:r w:rsidR="00C779D4" w:rsidRPr="00E0391B">
        <w:t xml:space="preserve"> </w:t>
      </w:r>
      <w:r w:rsidR="005958DB">
        <w:t>Several UK studies are currently underway and warrant monitoring</w:t>
      </w:r>
      <w:r w:rsidR="004C3B84">
        <w:t xml:space="preserve"> </w:t>
      </w:r>
      <w:r w:rsidR="00270378">
        <w:fldChar w:fldCharType="begin"/>
      </w:r>
      <w:r w:rsidR="00495978">
        <w:instrText xml:space="preserve"> ADDIN EN.CITE &lt;EndNote&gt;&lt;Cite&gt;&lt;Author&gt;Moore&lt;/Author&gt;&lt;Year&gt;2014&lt;/Year&gt;&lt;RecNum&gt;149&lt;/RecNum&gt;&lt;DisplayText&gt;(43, 55)&lt;/DisplayText&gt;&lt;record&gt;&lt;rec-number&gt;149&lt;/rec-number&gt;&lt;foreign-keys&gt;&lt;key app="EN" db-id="p00v9zw27zzswpe25phxpead0asdt50td92p" timestamp="1631059930"&gt;149&lt;/key&gt;&lt;/foreign-keys&gt;&lt;ref-type name="Journal Article"&gt;17&lt;/ref-type&gt;&lt;contributors&gt;&lt;authors&gt;&lt;author&gt;Moore, Chris&lt;/author&gt;&lt;author&gt;Lloyd, Gregory&lt;/author&gt;&lt;author&gt;Oretti, Rossana&lt;/author&gt;&lt;author&gt;Russell, Ian&lt;/author&gt;&lt;author&gt;Snooks, Helen&lt;/author&gt;&lt;/authors&gt;&lt;/contributors&gt;&lt;titles&gt;&lt;title&gt;Paramedic-supplied ‘Take Home’ Naloxone: Protocol for cluster randomised feasibility study&lt;/title&gt;&lt;secondary-title&gt;BMJ Open&lt;/secondary-title&gt;&lt;/titles&gt;&lt;periodical&gt;&lt;full-title&gt;BMJ Open&lt;/full-title&gt;&lt;/periodical&gt;&lt;pages&gt;e004712&lt;/pages&gt;&lt;volume&gt;4&lt;/volume&gt;&lt;number&gt;3&lt;/number&gt;&lt;dates&gt;&lt;year&gt;2014&lt;/year&gt;&lt;/dates&gt;&lt;urls&gt;&lt;related-urls&gt;&lt;url&gt;https://bmjopen.bmj.com/content/bmjopen/4/3/e004712.full.pdf&lt;/url&gt;&lt;/related-urls&gt;&lt;/urls&gt;&lt;electronic-resource-num&gt;10.1136/bmjopen-2013-004712&lt;/electronic-resource-num&gt;&lt;/record&gt;&lt;/Cite&gt;&lt;Cite&gt;&lt;Author&gt;Rowe&lt;/Author&gt;&lt;Year&gt;2016&lt;/Year&gt;&lt;RecNum&gt;52&lt;/RecNum&gt;&lt;record&gt;&lt;rec-number&gt;52&lt;/rec-number&gt;&lt;foreign-keys&gt;&lt;key app="EN" db-id="p00v9zw27zzswpe25phxpead0asdt50td92p" timestamp="1625448073"&gt;52&lt;/key&gt;&lt;/foreign-keys&gt;&lt;ref-type name="Journal Article"&gt;17&lt;/ref-type&gt;&lt;contributors&gt;&lt;authors&gt;&lt;author&gt;Rowe, Christopher&lt;/author&gt;&lt;author&gt;Santos, Glenn-Milo&lt;/author&gt;&lt;author&gt;Behar, Emily&lt;/author&gt;&lt;author&gt;Coffin, Philip O&lt;/author&gt;&lt;/authors&gt;&lt;/contributors&gt;&lt;titles&gt;&lt;title&gt;Correlates of overdose risk perception among illicit opioid users&lt;/title&gt;&lt;secondary-title&gt;Drug and Alcohol Dependence&lt;/secondary-title&gt;&lt;/titles&gt;&lt;periodical&gt;&lt;full-title&gt;Drug and alcohol dependence&lt;/full-title&gt;&lt;/periodical&gt;&lt;pages&gt;234-239&lt;/pages&gt;&lt;volume&gt;159&lt;/volume&gt;&lt;dates&gt;&lt;year&gt;2016&lt;/year&gt;&lt;/dates&gt;&lt;isbn&gt;0376-8716&lt;/isbn&gt;&lt;urls&gt;&lt;/urls&gt;&lt;/record&gt;&lt;/Cite&gt;&lt;/EndNote&gt;</w:instrText>
      </w:r>
      <w:r w:rsidR="00270378">
        <w:fldChar w:fldCharType="separate"/>
      </w:r>
      <w:r w:rsidR="00495978">
        <w:rPr>
          <w:noProof/>
        </w:rPr>
        <w:t>(43, 55)</w:t>
      </w:r>
      <w:r w:rsidR="00270378">
        <w:fldChar w:fldCharType="end"/>
      </w:r>
      <w:r w:rsidR="004C3B84">
        <w:t>.</w:t>
      </w:r>
    </w:p>
    <w:p w14:paraId="769D2208" w14:textId="6757D7B5" w:rsidR="00EB7695" w:rsidRDefault="005F1A66" w:rsidP="006D7021">
      <w:pPr>
        <w:rPr>
          <w:lang w:eastAsia="en-AU"/>
        </w:rPr>
      </w:pPr>
      <w:r>
        <w:rPr>
          <w:lang w:eastAsia="en-AU"/>
        </w:rPr>
        <w:t>First</w:t>
      </w:r>
      <w:r w:rsidR="00E506EB">
        <w:rPr>
          <w:lang w:eastAsia="en-AU"/>
        </w:rPr>
        <w:t xml:space="preserve"> responder</w:t>
      </w:r>
      <w:r>
        <w:rPr>
          <w:lang w:eastAsia="en-AU"/>
        </w:rPr>
        <w:t>s</w:t>
      </w:r>
      <w:r w:rsidR="00A24A27">
        <w:rPr>
          <w:lang w:eastAsia="en-AU"/>
        </w:rPr>
        <w:t xml:space="preserve"> such as</w:t>
      </w:r>
      <w:r w:rsidR="00E506EB">
        <w:rPr>
          <w:lang w:eastAsia="en-AU"/>
        </w:rPr>
        <w:t xml:space="preserve"> ambulance</w:t>
      </w:r>
      <w:r w:rsidR="00A24A27">
        <w:rPr>
          <w:lang w:eastAsia="en-AU"/>
        </w:rPr>
        <w:t xml:space="preserve"> services currently carry naloxone in Australia</w:t>
      </w:r>
      <w:r w:rsidR="00B45BF4">
        <w:rPr>
          <w:lang w:eastAsia="en-AU"/>
        </w:rPr>
        <w:t xml:space="preserve"> but do not provide THN</w:t>
      </w:r>
      <w:r w:rsidR="00A24A27">
        <w:rPr>
          <w:lang w:eastAsia="en-AU"/>
        </w:rPr>
        <w:t>. I</w:t>
      </w:r>
      <w:r w:rsidR="00B45BF4">
        <w:rPr>
          <w:lang w:eastAsia="en-AU"/>
        </w:rPr>
        <w:t xml:space="preserve">t will be important to </w:t>
      </w:r>
      <w:r w:rsidR="00236E79">
        <w:rPr>
          <w:lang w:eastAsia="en-AU"/>
        </w:rPr>
        <w:t xml:space="preserve">monitor the success </w:t>
      </w:r>
      <w:r w:rsidR="00296ED9">
        <w:rPr>
          <w:lang w:eastAsia="en-AU"/>
        </w:rPr>
        <w:t>in</w:t>
      </w:r>
      <w:r w:rsidR="00236E79">
        <w:rPr>
          <w:lang w:eastAsia="en-AU"/>
        </w:rPr>
        <w:t xml:space="preserve"> </w:t>
      </w:r>
      <w:r w:rsidR="00877B54">
        <w:rPr>
          <w:lang w:eastAsia="en-AU"/>
        </w:rPr>
        <w:t>WA</w:t>
      </w:r>
      <w:r w:rsidR="00296ED9">
        <w:rPr>
          <w:lang w:eastAsia="en-AU"/>
        </w:rPr>
        <w:t xml:space="preserve"> of</w:t>
      </w:r>
      <w:r w:rsidR="00877B54">
        <w:rPr>
          <w:lang w:eastAsia="en-AU"/>
        </w:rPr>
        <w:t xml:space="preserve"> St John Ambulance’s </w:t>
      </w:r>
      <w:r w:rsidR="00296ED9">
        <w:rPr>
          <w:lang w:eastAsia="en-AU"/>
        </w:rPr>
        <w:t>provision of</w:t>
      </w:r>
      <w:r w:rsidR="00C22D79">
        <w:rPr>
          <w:lang w:eastAsia="en-AU"/>
        </w:rPr>
        <w:t xml:space="preserve"> THN to overdose patients who refus</w:t>
      </w:r>
      <w:r w:rsidR="007C6A7E">
        <w:rPr>
          <w:lang w:eastAsia="en-AU"/>
        </w:rPr>
        <w:t>e</w:t>
      </w:r>
      <w:r w:rsidR="00C22D79">
        <w:rPr>
          <w:lang w:eastAsia="en-AU"/>
        </w:rPr>
        <w:t xml:space="preserve"> transport. </w:t>
      </w:r>
      <w:r w:rsidR="00DB785B">
        <w:rPr>
          <w:lang w:eastAsia="en-AU"/>
        </w:rPr>
        <w:t xml:space="preserve">Evaluation of a similar program in Scotland did not show a clear association between THN and reduced ambulance attendance </w:t>
      </w:r>
      <w:r w:rsidR="007176ED">
        <w:rPr>
          <w:lang w:eastAsia="en-AU"/>
        </w:rPr>
        <w:t>at opioid overdoses in the subsequent four years</w:t>
      </w:r>
      <w:r w:rsidR="004C3B84">
        <w:rPr>
          <w:lang w:eastAsia="en-AU"/>
        </w:rPr>
        <w:t xml:space="preserve"> </w:t>
      </w:r>
      <w:r w:rsidR="00E04474">
        <w:rPr>
          <w:lang w:eastAsia="en-AU"/>
        </w:rPr>
        <w:fldChar w:fldCharType="begin"/>
      </w:r>
      <w:r w:rsidR="00441C1C">
        <w:rPr>
          <w:lang w:eastAsia="en-AU"/>
        </w:rPr>
        <w:instrText xml:space="preserve"> ADDIN EN.CITE &lt;EndNote&gt;&lt;Cite&gt;&lt;Author&gt;McAuley&lt;/Author&gt;&lt;Year&gt;2017&lt;/Year&gt;&lt;RecNum&gt;150&lt;/RecNum&gt;&lt;DisplayText&gt;(56)&lt;/DisplayText&gt;&lt;record&gt;&lt;rec-number&gt;150&lt;/rec-number&gt;&lt;foreign-keys&gt;&lt;key app="EN" db-id="p00v9zw27zzswpe25phxpead0asdt50td92p" timestamp="1631060078"&gt;150&lt;/key&gt;&lt;/foreign-keys&gt;&lt;ref-type name="Journal Article"&gt;17&lt;/ref-type&gt;&lt;contributors&gt;&lt;authors&gt;&lt;author&gt;McAuley, Andrew&lt;/author&gt;&lt;author&gt;Bouttell, Janet&lt;/author&gt;&lt;author&gt;Barnsdale, Lee&lt;/author&gt;&lt;author&gt;Mackay, Daniel&lt;/author&gt;&lt;author&gt;Lewsey, Jim&lt;/author&gt;&lt;author&gt;Hunter, Carole&lt;/author&gt;&lt;author&gt;Robinson, Mark&lt;/author&gt;&lt;/authors&gt;&lt;/contributors&gt;&lt;titles&gt;&lt;title&gt;Evaluating the impact of a national naloxone programme on ambulance attendance at overdose incidents: A controlled time–series analysis&lt;/title&gt;&lt;secondary-title&gt;Addiction&lt;/secondary-title&gt;&lt;/titles&gt;&lt;periodical&gt;&lt;full-title&gt;Addiction&lt;/full-title&gt;&lt;/periodical&gt;&lt;pages&gt;301-308&lt;/pages&gt;&lt;volume&gt;112&lt;/volume&gt;&lt;number&gt;2&lt;/number&gt;&lt;dates&gt;&lt;year&gt;2017&lt;/year&gt;&lt;/dates&gt;&lt;isbn&gt;0965-2140&lt;/isbn&gt;&lt;urls&gt;&lt;related-urls&gt;&lt;url&gt;https://onlinelibrary.wiley.com/doi/abs/10.1111/add.13602&lt;/url&gt;&lt;/related-urls&gt;&lt;/urls&gt;&lt;electronic-resource-num&gt;https://doi.org/10.1111/add.13602&lt;/electronic-resource-num&gt;&lt;/record&gt;&lt;/Cite&gt;&lt;/EndNote&gt;</w:instrText>
      </w:r>
      <w:r w:rsidR="00E04474">
        <w:rPr>
          <w:lang w:eastAsia="en-AU"/>
        </w:rPr>
        <w:fldChar w:fldCharType="separate"/>
      </w:r>
      <w:r w:rsidR="00441C1C">
        <w:rPr>
          <w:noProof/>
          <w:lang w:eastAsia="en-AU"/>
        </w:rPr>
        <w:t>(56)</w:t>
      </w:r>
      <w:r w:rsidR="00E04474">
        <w:rPr>
          <w:lang w:eastAsia="en-AU"/>
        </w:rPr>
        <w:fldChar w:fldCharType="end"/>
      </w:r>
      <w:r w:rsidR="004C3B84">
        <w:rPr>
          <w:lang w:eastAsia="en-AU"/>
        </w:rPr>
        <w:t>.</w:t>
      </w:r>
      <w:r w:rsidR="00E506EB">
        <w:rPr>
          <w:lang w:eastAsia="en-AU"/>
        </w:rPr>
        <w:t xml:space="preserve"> </w:t>
      </w:r>
      <w:r w:rsidR="000C23D8">
        <w:rPr>
          <w:lang w:eastAsia="en-AU"/>
        </w:rPr>
        <w:t>Overseas</w:t>
      </w:r>
      <w:r w:rsidR="00FF1632">
        <w:rPr>
          <w:lang w:eastAsia="en-AU"/>
        </w:rPr>
        <w:t xml:space="preserve"> p</w:t>
      </w:r>
      <w:r w:rsidR="000C23D8">
        <w:rPr>
          <w:lang w:eastAsia="en-AU"/>
        </w:rPr>
        <w:t xml:space="preserve">olice </w:t>
      </w:r>
      <w:r w:rsidR="00FF1632">
        <w:rPr>
          <w:lang w:eastAsia="en-AU"/>
        </w:rPr>
        <w:t xml:space="preserve">officers’ </w:t>
      </w:r>
      <w:r w:rsidR="000C23D8">
        <w:rPr>
          <w:lang w:eastAsia="en-AU"/>
        </w:rPr>
        <w:t xml:space="preserve">carrying of </w:t>
      </w:r>
      <w:r w:rsidR="00FF1632">
        <w:rPr>
          <w:lang w:eastAsia="en-AU"/>
        </w:rPr>
        <w:t>naloxone has been</w:t>
      </w:r>
      <w:r w:rsidR="002D3173">
        <w:rPr>
          <w:lang w:eastAsia="en-AU"/>
        </w:rPr>
        <w:t xml:space="preserve"> deemed successful; the upcoming evaluation of WA Police Force’s program</w:t>
      </w:r>
      <w:r w:rsidR="000C23D8">
        <w:rPr>
          <w:lang w:eastAsia="en-AU"/>
        </w:rPr>
        <w:t xml:space="preserve"> </w:t>
      </w:r>
      <w:r w:rsidR="002D3173">
        <w:rPr>
          <w:lang w:eastAsia="en-AU"/>
        </w:rPr>
        <w:t>will prove informative for further such initiatives in Australia.</w:t>
      </w:r>
    </w:p>
    <w:p w14:paraId="65C071F3" w14:textId="528E63D5" w:rsidR="00CA5EEA" w:rsidRDefault="00994F28" w:rsidP="00274105">
      <w:pPr>
        <w:pStyle w:val="NbrHeading3"/>
      </w:pPr>
      <w:bookmarkStart w:id="354" w:name="_Toc94794170"/>
      <w:bookmarkStart w:id="355" w:name="_Toc94794314"/>
      <w:r>
        <w:t xml:space="preserve">Ensure coordination: </w:t>
      </w:r>
      <w:r w:rsidR="00CA5EEA">
        <w:t>Joint working between the Australian Government and state and territory governments</w:t>
      </w:r>
      <w:bookmarkEnd w:id="354"/>
      <w:bookmarkEnd w:id="355"/>
    </w:p>
    <w:p w14:paraId="695550E1" w14:textId="314F3A47" w:rsidR="00986AFC" w:rsidRDefault="009B1E9A" w:rsidP="00892C3A">
      <w:pPr>
        <w:pStyle w:val="BodyText"/>
        <w:rPr>
          <w:lang w:eastAsia="en-AU"/>
        </w:rPr>
      </w:pPr>
      <w:r>
        <w:rPr>
          <w:lang w:eastAsia="en-AU"/>
        </w:rPr>
        <w:t xml:space="preserve">The Australian Government and state and territory governments should continue to work together to ensure the </w:t>
      </w:r>
      <w:r w:rsidR="00067CA3">
        <w:rPr>
          <w:lang w:eastAsia="en-AU"/>
        </w:rPr>
        <w:t xml:space="preserve">success of the national roll out of THN. </w:t>
      </w:r>
      <w:r w:rsidR="00176A9E">
        <w:rPr>
          <w:lang w:eastAsia="en-AU"/>
        </w:rPr>
        <w:t xml:space="preserve">While the Australian Government can provide the policy scaffolding necessary </w:t>
      </w:r>
      <w:r w:rsidR="00D312EE">
        <w:rPr>
          <w:lang w:eastAsia="en-AU"/>
        </w:rPr>
        <w:t xml:space="preserve">to facilitate the national roll-out (such as </w:t>
      </w:r>
      <w:r w:rsidR="002346CC">
        <w:rPr>
          <w:lang w:eastAsia="en-AU"/>
        </w:rPr>
        <w:t xml:space="preserve">subsidy </w:t>
      </w:r>
      <w:r w:rsidR="00D312EE">
        <w:rPr>
          <w:lang w:eastAsia="en-AU"/>
        </w:rPr>
        <w:t xml:space="preserve">through the PBS, </w:t>
      </w:r>
      <w:r w:rsidR="00034B71">
        <w:rPr>
          <w:lang w:eastAsia="en-AU"/>
        </w:rPr>
        <w:t>amendments to Commonwealth legislation</w:t>
      </w:r>
      <w:r w:rsidR="0063323D">
        <w:rPr>
          <w:lang w:eastAsia="en-AU"/>
        </w:rPr>
        <w:t>, and the provision of national guidance</w:t>
      </w:r>
      <w:r w:rsidR="00B83B92">
        <w:rPr>
          <w:lang w:eastAsia="en-AU"/>
        </w:rPr>
        <w:t xml:space="preserve"> on criteria for the program</w:t>
      </w:r>
      <w:r w:rsidR="0063323D">
        <w:rPr>
          <w:lang w:eastAsia="en-AU"/>
        </w:rPr>
        <w:t xml:space="preserve">), state and territory governments have crucial roles to play in implementation. </w:t>
      </w:r>
      <w:r w:rsidR="008866BD">
        <w:rPr>
          <w:lang w:eastAsia="en-AU"/>
        </w:rPr>
        <w:t>For</w:t>
      </w:r>
      <w:r w:rsidR="008866BD" w:rsidDel="00F036D8">
        <w:rPr>
          <w:lang w:eastAsia="en-AU"/>
        </w:rPr>
        <w:t xml:space="preserve"> </w:t>
      </w:r>
      <w:r w:rsidR="008866BD">
        <w:rPr>
          <w:lang w:eastAsia="en-AU"/>
        </w:rPr>
        <w:t xml:space="preserve">jurisdictions involved in the national roll out, consideration should be given to whether implementation should </w:t>
      </w:r>
      <w:r w:rsidR="00C41B69">
        <w:rPr>
          <w:lang w:eastAsia="en-AU"/>
        </w:rPr>
        <w:t>be led by</w:t>
      </w:r>
      <w:r w:rsidR="008866BD">
        <w:rPr>
          <w:lang w:eastAsia="en-AU"/>
        </w:rPr>
        <w:t xml:space="preserve"> a central government agency (State or Territory Department of Health), a Commission (e.g.</w:t>
      </w:r>
      <w:r w:rsidR="0033248F">
        <w:rPr>
          <w:lang w:eastAsia="en-AU"/>
        </w:rPr>
        <w:t>,</w:t>
      </w:r>
      <w:r w:rsidR="008866BD">
        <w:rPr>
          <w:lang w:eastAsia="en-AU"/>
        </w:rPr>
        <w:t xml:space="preserve"> in WA, the Mental Health Commission), or a </w:t>
      </w:r>
      <w:r w:rsidR="00492C1B">
        <w:rPr>
          <w:lang w:eastAsia="en-AU"/>
        </w:rPr>
        <w:t xml:space="preserve">consortium </w:t>
      </w:r>
      <w:r w:rsidR="0033248F">
        <w:rPr>
          <w:lang w:eastAsia="en-AU"/>
        </w:rPr>
        <w:t xml:space="preserve">including government and </w:t>
      </w:r>
      <w:r w:rsidR="008866BD">
        <w:rPr>
          <w:lang w:eastAsia="en-AU"/>
        </w:rPr>
        <w:t xml:space="preserve">non-government </w:t>
      </w:r>
      <w:r w:rsidR="0033248F">
        <w:rPr>
          <w:lang w:eastAsia="en-AU"/>
        </w:rPr>
        <w:t>representatives.</w:t>
      </w:r>
      <w:r w:rsidR="0033248F" w:rsidDel="0033248F">
        <w:rPr>
          <w:lang w:eastAsia="en-AU"/>
        </w:rPr>
        <w:t xml:space="preserve"> </w:t>
      </w:r>
      <w:r w:rsidR="00C45874">
        <w:rPr>
          <w:lang w:eastAsia="en-AU"/>
        </w:rPr>
        <w:t xml:space="preserve">In </w:t>
      </w:r>
      <w:r w:rsidR="0072022E">
        <w:rPr>
          <w:lang w:eastAsia="en-AU"/>
        </w:rPr>
        <w:t>all</w:t>
      </w:r>
      <w:r w:rsidR="00C45874">
        <w:rPr>
          <w:lang w:eastAsia="en-AU"/>
        </w:rPr>
        <w:t xml:space="preserve"> case</w:t>
      </w:r>
      <w:r w:rsidR="002948F9">
        <w:rPr>
          <w:lang w:eastAsia="en-AU"/>
        </w:rPr>
        <w:t>s</w:t>
      </w:r>
      <w:r w:rsidR="00C45874">
        <w:rPr>
          <w:lang w:eastAsia="en-AU"/>
        </w:rPr>
        <w:t>, broad health sector representation would be imperative</w:t>
      </w:r>
      <w:r w:rsidR="00E04AD1">
        <w:rPr>
          <w:lang w:eastAsia="en-AU"/>
        </w:rPr>
        <w:t>, with commitments formalised</w:t>
      </w:r>
      <w:r w:rsidR="00AB0AC7">
        <w:rPr>
          <w:lang w:eastAsia="en-AU"/>
        </w:rPr>
        <w:t xml:space="preserve"> in Terms of Reference</w:t>
      </w:r>
      <w:r w:rsidR="007C5BA7">
        <w:rPr>
          <w:lang w:eastAsia="en-AU"/>
        </w:rPr>
        <w:t xml:space="preserve"> and memoranda of understanding</w:t>
      </w:r>
      <w:r w:rsidR="00C45874">
        <w:rPr>
          <w:lang w:eastAsia="en-AU"/>
        </w:rPr>
        <w:t>.</w:t>
      </w:r>
    </w:p>
    <w:p w14:paraId="515D5393" w14:textId="77777777" w:rsidR="0081111E" w:rsidRDefault="0081111E" w:rsidP="00274105">
      <w:pPr>
        <w:pStyle w:val="NbrHeading4"/>
      </w:pPr>
      <w:r>
        <w:t>Establish broad ongoing consultation across states and sectors</w:t>
      </w:r>
    </w:p>
    <w:p w14:paraId="045C0C71" w14:textId="28D6B266" w:rsidR="0081111E" w:rsidRDefault="009E17F8" w:rsidP="00D732D7">
      <w:pPr>
        <w:pStyle w:val="BodyText"/>
      </w:pPr>
      <w:r>
        <w:t xml:space="preserve">To </w:t>
      </w:r>
      <w:r w:rsidR="002A6A39">
        <w:t>extend current collaboration into a</w:t>
      </w:r>
      <w:r w:rsidR="00D732D7">
        <w:t>n</w:t>
      </w:r>
      <w:r w:rsidR="002A6A39">
        <w:t xml:space="preserve"> </w:t>
      </w:r>
      <w:r w:rsidR="00624C3C">
        <w:t xml:space="preserve">operational </w:t>
      </w:r>
      <w:r w:rsidR="006D3563">
        <w:t>w</w:t>
      </w:r>
      <w:r w:rsidR="00116AD0">
        <w:t>orking consortium</w:t>
      </w:r>
      <w:r>
        <w:t>,</w:t>
      </w:r>
      <w:r w:rsidR="0081111E">
        <w:t xml:space="preserve"> mechanisms</w:t>
      </w:r>
      <w:r w:rsidR="00344D7F">
        <w:t xml:space="preserve"> </w:t>
      </w:r>
      <w:r w:rsidR="00C02204">
        <w:t xml:space="preserve">and terms of reference </w:t>
      </w:r>
      <w:r w:rsidR="00344D7F">
        <w:t xml:space="preserve">should be </w:t>
      </w:r>
      <w:r w:rsidR="00810C76">
        <w:t xml:space="preserve">formalised </w:t>
      </w:r>
      <w:r w:rsidR="0081111E">
        <w:t xml:space="preserve">to </w:t>
      </w:r>
      <w:r w:rsidR="00C02204">
        <w:t xml:space="preserve">facilitate </w:t>
      </w:r>
      <w:r w:rsidR="00A9713D">
        <w:t xml:space="preserve">steering of the program, </w:t>
      </w:r>
      <w:r w:rsidR="00C02204">
        <w:t xml:space="preserve">sharing of </w:t>
      </w:r>
      <w:r w:rsidR="0081111E">
        <w:t xml:space="preserve">learnings, implementation strategies and resources. The National Naloxone Reference Group hosted by the Burnet Institute fulfils some of these functions, but membership is currently limited to the AOD sector and would need to expand to other health sectors to ensure </w:t>
      </w:r>
      <w:r w:rsidR="00094FA0">
        <w:t xml:space="preserve">THN </w:t>
      </w:r>
      <w:r w:rsidR="0081111E">
        <w:t>programs reach all intended target populations.</w:t>
      </w:r>
    </w:p>
    <w:p w14:paraId="6C029F57" w14:textId="3DE99CCC" w:rsidR="00066A6B" w:rsidRDefault="0081111E" w:rsidP="00E0391B">
      <w:pPr>
        <w:pStyle w:val="BodyText"/>
      </w:pPr>
      <w:r w:rsidRPr="00E0391B">
        <w:t>Funding for a national coordinator position may assist with this</w:t>
      </w:r>
      <w:r w:rsidR="004C1BB3" w:rsidRPr="00E0391B">
        <w:t xml:space="preserve"> and </w:t>
      </w:r>
      <w:r w:rsidR="00171752" w:rsidRPr="00E0391B">
        <w:t>allow</w:t>
      </w:r>
      <w:r w:rsidR="004C1BB3" w:rsidRPr="00E0391B">
        <w:t xml:space="preserve"> direct connection into </w:t>
      </w:r>
      <w:r w:rsidR="00995F9D" w:rsidRPr="00E0391B">
        <w:t>Commonwealth</w:t>
      </w:r>
      <w:r w:rsidR="00171752" w:rsidRPr="00E0391B">
        <w:t xml:space="preserve"> </w:t>
      </w:r>
      <w:r w:rsidR="007241F0">
        <w:t>policy frameworks and</w:t>
      </w:r>
      <w:r w:rsidR="004C1BB3" w:rsidRPr="00E0391B">
        <w:t xml:space="preserve"> activity</w:t>
      </w:r>
      <w:r w:rsidRPr="00E0391B">
        <w:t xml:space="preserve">. </w:t>
      </w:r>
      <w:r w:rsidR="00995F9D" w:rsidRPr="00E05F38">
        <w:t>The</w:t>
      </w:r>
      <w:r w:rsidR="00995F9D">
        <w:t xml:space="preserve"> crucial roles played to date by state-based champions of the THN Pilot should be reflected in ongoing commitment</w:t>
      </w:r>
      <w:r w:rsidR="00066A6B">
        <w:t xml:space="preserve"> </w:t>
      </w:r>
      <w:r w:rsidR="00995F9D">
        <w:t xml:space="preserve">by </w:t>
      </w:r>
      <w:r w:rsidR="00066A6B">
        <w:t>participating jurisdictions</w:t>
      </w:r>
      <w:r w:rsidR="00126B93" w:rsidRPr="00126B93">
        <w:t xml:space="preserve"> </w:t>
      </w:r>
      <w:r w:rsidR="00126B93">
        <w:t xml:space="preserve">to resourcing such roles as </w:t>
      </w:r>
      <w:r w:rsidR="00594BBC">
        <w:t>additional members</w:t>
      </w:r>
      <w:r w:rsidR="00126B93">
        <w:t xml:space="preserve"> of </w:t>
      </w:r>
      <w:r w:rsidR="00D76153">
        <w:t>a</w:t>
      </w:r>
      <w:r w:rsidR="00126B93">
        <w:t xml:space="preserve"> </w:t>
      </w:r>
      <w:r w:rsidR="00D76153">
        <w:t>joint working group</w:t>
      </w:r>
      <w:r w:rsidR="00542C1C">
        <w:t xml:space="preserve">, rather than activity being dependent on </w:t>
      </w:r>
      <w:r w:rsidR="003D6973">
        <w:t xml:space="preserve">specific </w:t>
      </w:r>
      <w:r w:rsidR="00542C1C">
        <w:t>committed individuals</w:t>
      </w:r>
      <w:r w:rsidR="00D95B32">
        <w:t xml:space="preserve"> </w:t>
      </w:r>
      <w:r w:rsidR="00D95B32">
        <w:fldChar w:fldCharType="begin"/>
      </w:r>
      <w:r w:rsidR="00EF7C97">
        <w:instrText xml:space="preserve"> ADDIN EN.CITE &lt;EndNote&gt;&lt;Cite&gt;&lt;Author&gt;Bennett&lt;/Author&gt;&lt;Year&gt;2011&lt;/Year&gt;&lt;RecNum&gt;22&lt;/RecNum&gt;&lt;DisplayText&gt;(21)&lt;/DisplayText&gt;&lt;record&gt;&lt;rec-number&gt;22&lt;/rec-number&gt;&lt;foreign-keys&gt;&lt;key app="EN" db-id="p00v9zw27zzswpe25phxpead0asdt50td92p" timestamp="1624929019"&gt;22&lt;/key&gt;&lt;/foreign-keys&gt;&lt;ref-type name="Report"&gt;27&lt;/ref-type&gt;&lt;contributors&gt;&lt;authors&gt;&lt;author&gt;Bennett, Trevor&lt;/author&gt;&lt;author&gt;Holloway, K&lt;/author&gt;&lt;/authors&gt;&lt;/contributors&gt;&lt;titles&gt;&lt;title&gt;Evaluation of the take home naloxone demonstration project&lt;/title&gt;&lt;secondary-title&gt;Welsh Assembly Government Social Research&lt;/secondary-title&gt;&lt;/titles&gt;&lt;periodical&gt;&lt;full-title&gt;Welsh Assembly Government Social Research&lt;/full-title&gt;&lt;/periodical&gt;&lt;pages&gt;2011&lt;/pages&gt;&lt;volume&gt;13&lt;/volume&gt;&lt;dates&gt;&lt;year&gt;2011&lt;/year&gt;&lt;/dates&gt;&lt;urls&gt;&lt;related-urls&gt;&lt;url&gt;https://gov.wales/evaluation-take-home-naloxone-demonstration-project-0&lt;/url&gt;&lt;/related-urls&gt;&lt;/urls&gt;&lt;/record&gt;&lt;/Cite&gt;&lt;/EndNote&gt;</w:instrText>
      </w:r>
      <w:r w:rsidR="00D95B32">
        <w:fldChar w:fldCharType="separate"/>
      </w:r>
      <w:r w:rsidR="00EF7C97">
        <w:rPr>
          <w:noProof/>
        </w:rPr>
        <w:t>(21)</w:t>
      </w:r>
      <w:r w:rsidR="00D95B32">
        <w:fldChar w:fldCharType="end"/>
      </w:r>
      <w:r w:rsidR="00066A6B">
        <w:t>.</w:t>
      </w:r>
    </w:p>
    <w:p w14:paraId="454E0838" w14:textId="0B93D608" w:rsidR="00CA5EEA" w:rsidRDefault="00D76153" w:rsidP="005E02E3">
      <w:pPr>
        <w:pStyle w:val="BodyText"/>
        <w:rPr>
          <w:lang w:eastAsia="en-AU"/>
        </w:rPr>
      </w:pPr>
      <w:r w:rsidRPr="006F3788">
        <w:lastRenderedPageBreak/>
        <w:t>This</w:t>
      </w:r>
      <w:r w:rsidR="0081111E">
        <w:t xml:space="preserve"> consultative body could facilitate collaborative systems development to support a long-term naloxone program, encourage partnerships and ensure cross-sectoral </w:t>
      </w:r>
      <w:r w:rsidR="00515736" w:rsidRPr="006F3788">
        <w:t>communication</w:t>
      </w:r>
      <w:r w:rsidR="0081111E" w:rsidRPr="006F3788">
        <w:t>.</w:t>
      </w:r>
      <w:r w:rsidR="0081111E">
        <w:t xml:space="preserve"> Such a body may also act as </w:t>
      </w:r>
      <w:r w:rsidR="00515736" w:rsidRPr="006F3788">
        <w:t xml:space="preserve">a centralised </w:t>
      </w:r>
      <w:r w:rsidR="0081111E">
        <w:t xml:space="preserve">repository for consistent resources such as guidelines for systems development and </w:t>
      </w:r>
      <w:r w:rsidR="00A3516F" w:rsidRPr="006F3788">
        <w:t>implementation of THN</w:t>
      </w:r>
      <w:r w:rsidR="0081111E">
        <w:t xml:space="preserve">, policy templates, </w:t>
      </w:r>
      <w:r w:rsidR="00A3516F" w:rsidRPr="006F3788">
        <w:t xml:space="preserve">staff training and </w:t>
      </w:r>
      <w:r w:rsidR="0081111E">
        <w:t xml:space="preserve">materials to support engaging with clients.  </w:t>
      </w:r>
    </w:p>
    <w:p w14:paraId="2E18AEE1" w14:textId="77B59F00" w:rsidR="000A265A" w:rsidRDefault="000A265A" w:rsidP="00A0570E">
      <w:pPr>
        <w:pStyle w:val="NbrHeading2"/>
      </w:pPr>
      <w:bookmarkStart w:id="356" w:name="_Toc94794171"/>
      <w:bookmarkStart w:id="357" w:name="_Toc94794315"/>
      <w:r>
        <w:t>Elements to support a national roll-out</w:t>
      </w:r>
      <w:bookmarkEnd w:id="356"/>
      <w:bookmarkEnd w:id="357"/>
    </w:p>
    <w:p w14:paraId="33D8AD8E" w14:textId="5CBCC1C7" w:rsidR="00CA5EEA" w:rsidRDefault="00FD3B91" w:rsidP="00DC7DC9">
      <w:pPr>
        <w:pStyle w:val="NbrHeading3"/>
      </w:pPr>
      <w:bookmarkStart w:id="358" w:name="_Toc94794172"/>
      <w:bookmarkStart w:id="359" w:name="_Toc94794316"/>
      <w:r>
        <w:t>Awareness</w:t>
      </w:r>
      <w:r w:rsidR="00947382">
        <w:t xml:space="preserve"> and </w:t>
      </w:r>
      <w:r w:rsidR="00C7314B">
        <w:t>perceptions of</w:t>
      </w:r>
      <w:r w:rsidR="00947382">
        <w:t xml:space="preserve"> THN</w:t>
      </w:r>
      <w:bookmarkEnd w:id="358"/>
      <w:bookmarkEnd w:id="359"/>
    </w:p>
    <w:p w14:paraId="2B84DEBD" w14:textId="2D85B5DA" w:rsidR="00914BD8" w:rsidRDefault="007241F0" w:rsidP="007C5BA7">
      <w:pPr>
        <w:pStyle w:val="BodyText"/>
      </w:pPr>
      <w:r>
        <w:t xml:space="preserve">The AOD sector is already aware </w:t>
      </w:r>
      <w:r w:rsidR="00A26A03">
        <w:t>and appreciative of the value of naloxone to prevent overdose deaths</w:t>
      </w:r>
      <w:r w:rsidR="00C72E20">
        <w:t xml:space="preserve">, which facilitated uptake of the THN Pilot in this sector. Benefit would still be achieved through further promotion to encourage demand for THN, particularly among </w:t>
      </w:r>
      <w:r w:rsidR="00914BD8">
        <w:t xml:space="preserve">family and carer networks who may witness overdoses. </w:t>
      </w:r>
    </w:p>
    <w:p w14:paraId="1A870119" w14:textId="1CBA94A9" w:rsidR="00CA5EEA" w:rsidRDefault="00CA5EEA" w:rsidP="007C5BA7">
      <w:pPr>
        <w:pStyle w:val="BodyText"/>
      </w:pPr>
      <w:r>
        <w:t xml:space="preserve">Expansion of the THN program beyond the AOD sector will require normalisation of naloxone provision to reduce </w:t>
      </w:r>
      <w:r w:rsidRPr="00DE7EB5">
        <w:t>stigma</w:t>
      </w:r>
      <w:r>
        <w:t xml:space="preserve">. </w:t>
      </w:r>
      <w:r w:rsidR="00776FAE">
        <w:t xml:space="preserve">There are important sectors, such as the pain sector, that need further </w:t>
      </w:r>
      <w:r w:rsidR="00026A31">
        <w:t>awareness building.</w:t>
      </w:r>
    </w:p>
    <w:p w14:paraId="4841CDC2" w14:textId="77777777" w:rsidR="00CA5EEA" w:rsidRDefault="00CA5EEA" w:rsidP="00DC7DC9">
      <w:pPr>
        <w:pStyle w:val="NbrHeading4"/>
      </w:pPr>
      <w:r>
        <w:t>Build awareness amongst the community</w:t>
      </w:r>
    </w:p>
    <w:p w14:paraId="72E388BA" w14:textId="2CFB7E70" w:rsidR="0007150F" w:rsidRDefault="00CA5EEA" w:rsidP="007C5BA7">
      <w:pPr>
        <w:pStyle w:val="BodyText"/>
      </w:pPr>
      <w:r>
        <w:t xml:space="preserve">Building general community awareness of opioid overdose risks, especially beyond </w:t>
      </w:r>
      <w:r w:rsidR="00172481">
        <w:t>risks due to use of illicit drugs</w:t>
      </w:r>
      <w:r>
        <w:t xml:space="preserve">, is critical to drive demand for naloxone. </w:t>
      </w:r>
      <w:r w:rsidR="005C2D72">
        <w:t xml:space="preserve">Community preventative health programs typically include both </w:t>
      </w:r>
      <w:r w:rsidR="0007150F">
        <w:t>universal awareness raising and targeted promotion or intervention for groups perceived as being at highest risk</w:t>
      </w:r>
      <w:r w:rsidR="008A2B4F">
        <w:t>; both strategies would be useful in this case</w:t>
      </w:r>
      <w:r w:rsidR="0007150F">
        <w:t xml:space="preserve">. </w:t>
      </w:r>
    </w:p>
    <w:p w14:paraId="0B6FC160" w14:textId="039564D6" w:rsidR="0074577A" w:rsidRDefault="00CA5EEA" w:rsidP="007C5BA7">
      <w:pPr>
        <w:pStyle w:val="BodyText"/>
      </w:pPr>
      <w:r>
        <w:t xml:space="preserve">The Overdose Lifesavers program is one example of </w:t>
      </w:r>
      <w:r w:rsidR="001741E9">
        <w:t xml:space="preserve">a </w:t>
      </w:r>
      <w:r w:rsidR="000513F4">
        <w:t>targeted</w:t>
      </w:r>
      <w:r w:rsidR="001741E9">
        <w:t xml:space="preserve"> approach</w:t>
      </w:r>
      <w:r w:rsidR="00A56C26">
        <w:t xml:space="preserve">, where the stories of overdose </w:t>
      </w:r>
      <w:r w:rsidR="00FC4E8D">
        <w:t>focus on people who use illicit opioid</w:t>
      </w:r>
      <w:r w:rsidR="000513F4">
        <w:t xml:space="preserve">s but </w:t>
      </w:r>
      <w:r w:rsidR="00D04F2A">
        <w:t>represent a wide range of community members</w:t>
      </w:r>
      <w:r w:rsidR="004F0CFC">
        <w:t xml:space="preserve"> </w:t>
      </w:r>
      <w:r w:rsidR="00DF5D55">
        <w:t xml:space="preserve">and contribute to </w:t>
      </w:r>
      <w:r w:rsidR="00A111A9">
        <w:t xml:space="preserve">destigmatising the overdose situations </w:t>
      </w:r>
      <w:r>
        <w:t>(</w:t>
      </w:r>
      <w:hyperlink r:id="rId65" w:history="1">
        <w:r w:rsidRPr="005201FA">
          <w:rPr>
            <w:rStyle w:val="Hyperlink"/>
          </w:rPr>
          <w:t>https://overdoselifesavers.org/</w:t>
        </w:r>
      </w:hyperlink>
      <w:r>
        <w:rPr>
          <w:rStyle w:val="Hyperlink"/>
        </w:rPr>
        <w:t>)</w:t>
      </w:r>
      <w:r w:rsidR="00D04F2A">
        <w:rPr>
          <w:rStyle w:val="Hyperlink"/>
        </w:rPr>
        <w:t xml:space="preserve"> </w:t>
      </w:r>
      <w:r w:rsidR="00C05CCE" w:rsidRPr="00DC7DC9">
        <w:rPr>
          <w:rStyle w:val="Hyperlink"/>
          <w:u w:val="none"/>
        </w:rPr>
        <w:fldChar w:fldCharType="begin"/>
      </w:r>
      <w:r w:rsidR="00441C1C">
        <w:rPr>
          <w:rStyle w:val="Hyperlink"/>
          <w:u w:val="none"/>
        </w:rPr>
        <w:instrText xml:space="preserve"> ADDIN EN.CITE &lt;EndNote&gt;&lt;Cite&gt;&lt;Author&gt;Farrugia&lt;/Author&gt;&lt;Year&gt;2021&lt;/Year&gt;&lt;RecNum&gt;111&lt;/RecNum&gt;&lt;DisplayText&gt;(57)&lt;/DisplayText&gt;&lt;record&gt;&lt;rec-number&gt;111&lt;/rec-number&gt;&lt;foreign-keys&gt;&lt;key app="EN" db-id="p00v9zw27zzswpe25phxpead0asdt50td92p" timestamp="1629690940"&gt;111&lt;/key&gt;&lt;/foreign-keys&gt;&lt;ref-type name="Journal Article"&gt;17&lt;/ref-type&gt;&lt;contributors&gt;&lt;authors&gt;&lt;author&gt;Farrugia, Adrian&lt;/author&gt;&lt;author&gt;Treloar, Carla&lt;/author&gt;&lt;author&gt;Fraser, Suzanne&lt;/author&gt;&lt;/authors&gt;&lt;/contributors&gt;&lt;titles&gt;&lt;title&gt;Overdoselifesavers.org: A mixed-method evaluation of a public information website on experiences of overdose and using take-home naloxone to save lives&lt;/title&gt;&lt;secondary-title&gt;Drugs: Education, Prevention and Policy&lt;/secondary-title&gt;&lt;/titles&gt;&lt;periodical&gt;&lt;full-title&gt;Drugs: Education, Prevention and Policy&lt;/full-title&gt;&lt;/periodical&gt;&lt;pages&gt;1-11&lt;/pages&gt;&lt;dates&gt;&lt;year&gt;2021&lt;/year&gt;&lt;/dates&gt;&lt;publisher&gt;Taylor &amp;amp; Francis&lt;/publisher&gt;&lt;isbn&gt;0968-7637&lt;/isbn&gt;&lt;urls&gt;&lt;related-urls&gt;&lt;url&gt;https://doi.org/10.1080/09687637.2020.1858758&lt;/url&gt;&lt;/related-urls&gt;&lt;/urls&gt;&lt;electronic-resource-num&gt;10.1080/09687637.2020.1858758&lt;/electronic-resource-num&gt;&lt;/record&gt;&lt;/Cite&gt;&lt;/EndNote&gt;</w:instrText>
      </w:r>
      <w:r w:rsidR="00C05CCE" w:rsidRPr="00DC7DC9">
        <w:rPr>
          <w:rStyle w:val="Hyperlink"/>
          <w:u w:val="none"/>
        </w:rPr>
        <w:fldChar w:fldCharType="separate"/>
      </w:r>
      <w:r w:rsidR="00441C1C">
        <w:rPr>
          <w:rStyle w:val="Hyperlink"/>
          <w:noProof/>
          <w:u w:val="none"/>
        </w:rPr>
        <w:t>(57)</w:t>
      </w:r>
      <w:r w:rsidR="00C05CCE" w:rsidRPr="00DC7DC9">
        <w:rPr>
          <w:rStyle w:val="Hyperlink"/>
          <w:u w:val="none"/>
        </w:rPr>
        <w:fldChar w:fldCharType="end"/>
      </w:r>
      <w:r w:rsidR="00D04F2A">
        <w:rPr>
          <w:rStyle w:val="Hyperlink"/>
          <w:u w:val="none"/>
        </w:rPr>
        <w:t>.</w:t>
      </w:r>
      <w:r w:rsidRPr="00DC7DC9">
        <w:rPr>
          <w:rStyle w:val="Hyperlink"/>
          <w:u w:val="none"/>
        </w:rPr>
        <w:t xml:space="preserve"> </w:t>
      </w:r>
      <w:r w:rsidR="00E64215" w:rsidRPr="00DE7EB5">
        <w:rPr>
          <w:rStyle w:val="Hyperlink"/>
          <w:color w:val="auto"/>
          <w:u w:val="none"/>
        </w:rPr>
        <w:t>E</w:t>
      </w:r>
      <w:r w:rsidR="00444CE6" w:rsidRPr="00DE7EB5">
        <w:rPr>
          <w:rStyle w:val="Hyperlink"/>
          <w:color w:val="auto"/>
          <w:u w:val="none"/>
        </w:rPr>
        <w:t>xisting e</w:t>
      </w:r>
      <w:r w:rsidR="00E64215" w:rsidRPr="00DE7EB5">
        <w:rPr>
          <w:rStyle w:val="Hyperlink"/>
          <w:color w:val="auto"/>
          <w:u w:val="none"/>
        </w:rPr>
        <w:t>vents such as</w:t>
      </w:r>
      <w:r w:rsidRPr="00DE7EB5">
        <w:rPr>
          <w:rStyle w:val="Hyperlink"/>
          <w:color w:val="auto"/>
          <w:u w:val="none"/>
        </w:rPr>
        <w:t xml:space="preserve"> </w:t>
      </w:r>
      <w:r w:rsidR="0084326E">
        <w:t xml:space="preserve">International Overdose Awareness Day </w:t>
      </w:r>
      <w:r w:rsidR="008F074D">
        <w:t xml:space="preserve">provide annual opportunities to </w:t>
      </w:r>
      <w:r w:rsidR="00BA6904">
        <w:t>highlight the need for broad overdose responses</w:t>
      </w:r>
      <w:r w:rsidR="002A2F8D">
        <w:t>, spotlight the role of family an</w:t>
      </w:r>
      <w:r w:rsidR="00923352">
        <w:t>d friends,</w:t>
      </w:r>
      <w:r w:rsidR="005F05CB">
        <w:t xml:space="preserve"> and showcase programs such as THN. </w:t>
      </w:r>
    </w:p>
    <w:p w14:paraId="1F7F75BA" w14:textId="7895F42C" w:rsidR="00CA5EEA" w:rsidRPr="00674DC9" w:rsidRDefault="000B7BA8" w:rsidP="007C5BA7">
      <w:pPr>
        <w:pStyle w:val="BodyText"/>
        <w:rPr>
          <w:rFonts w:ascii="Arial" w:hAnsi="Arial" w:cs="Arial"/>
          <w:color w:val="666666"/>
          <w:sz w:val="21"/>
          <w:szCs w:val="21"/>
          <w:shd w:val="clear" w:color="auto" w:fill="FFFFFF"/>
        </w:rPr>
      </w:pPr>
      <w:r>
        <w:t>Ongoing c</w:t>
      </w:r>
      <w:r w:rsidR="006B3492">
        <w:t>ampaigns such as the UK’s Involved and Informed: Good Community Medicines Support</w:t>
      </w:r>
      <w:r w:rsidR="00235881">
        <w:t xml:space="preserve"> (</w:t>
      </w:r>
      <w:hyperlink r:id="rId66" w:history="1">
        <w:r w:rsidR="00235881" w:rsidRPr="00641344">
          <w:rPr>
            <w:rStyle w:val="Hyperlink"/>
          </w:rPr>
          <w:t>https://www.rpharms.com/resources/pharmacy-guides/medicines-optimisation-hub/managing-medicines-in-the-community</w:t>
        </w:r>
      </w:hyperlink>
      <w:r w:rsidR="00235881">
        <w:t xml:space="preserve">) </w:t>
      </w:r>
      <w:r w:rsidR="00923352">
        <w:t xml:space="preserve">take a </w:t>
      </w:r>
      <w:r w:rsidR="001363A0">
        <w:t xml:space="preserve">broader-audience awareness raising approach, </w:t>
      </w:r>
      <w:r w:rsidR="00235881">
        <w:t>encourag</w:t>
      </w:r>
      <w:r w:rsidR="001363A0">
        <w:t>ing</w:t>
      </w:r>
      <w:r w:rsidR="00235881">
        <w:t xml:space="preserve"> </w:t>
      </w:r>
      <w:r w:rsidR="00EF3AFA">
        <w:t xml:space="preserve">active involvement of physicians, patients and families/carers in </w:t>
      </w:r>
      <w:r w:rsidR="00C12E65">
        <w:t>safe management of medicines in general</w:t>
      </w:r>
      <w:r w:rsidR="00787279">
        <w:t>. N</w:t>
      </w:r>
      <w:r w:rsidR="00C12E65">
        <w:t xml:space="preserve">aloxone could form part of such a program adapted for Australia. </w:t>
      </w:r>
      <w:r w:rsidR="00CA5EEA">
        <w:rPr>
          <w:lang w:eastAsia="en-AU"/>
        </w:rPr>
        <w:t xml:space="preserve">Culturally appropriate materials </w:t>
      </w:r>
      <w:r w:rsidR="005C2D72">
        <w:rPr>
          <w:lang w:eastAsia="en-AU"/>
        </w:rPr>
        <w:t xml:space="preserve">will be critical </w:t>
      </w:r>
      <w:r w:rsidR="00CA5EEA">
        <w:rPr>
          <w:lang w:eastAsia="en-AU"/>
        </w:rPr>
        <w:t xml:space="preserve">for any </w:t>
      </w:r>
      <w:r w:rsidR="005C2D72">
        <w:rPr>
          <w:lang w:eastAsia="en-AU"/>
        </w:rPr>
        <w:t xml:space="preserve">community </w:t>
      </w:r>
      <w:r w:rsidR="00CA5EEA">
        <w:rPr>
          <w:lang w:eastAsia="en-AU"/>
        </w:rPr>
        <w:t>awareness campaigns.</w:t>
      </w:r>
    </w:p>
    <w:p w14:paraId="77D429C6" w14:textId="77777777" w:rsidR="00CA5EEA" w:rsidRDefault="00CA5EEA" w:rsidP="00DC7DC9">
      <w:pPr>
        <w:pStyle w:val="NbrHeading4"/>
      </w:pPr>
      <w:r>
        <w:t>Build awareness for professionals using multiple avenues</w:t>
      </w:r>
    </w:p>
    <w:p w14:paraId="4587F8AA" w14:textId="41F338D1" w:rsidR="00CC5B39" w:rsidRDefault="00CA5EEA" w:rsidP="00DC7DC9">
      <w:pPr>
        <w:pStyle w:val="BodyText"/>
      </w:pPr>
      <w:r>
        <w:t>It will be important to</w:t>
      </w:r>
      <w:r w:rsidRPr="00774D42">
        <w:rPr>
          <w:lang w:eastAsia="en-AU"/>
        </w:rPr>
        <w:t xml:space="preserve"> </w:t>
      </w:r>
      <w:r>
        <w:rPr>
          <w:lang w:eastAsia="en-AU"/>
        </w:rPr>
        <w:t xml:space="preserve">embed THN provision as part of clinical practice and standard service for all access sites, particularly services which regularly engage with a range of consumers. </w:t>
      </w:r>
      <w:r w:rsidR="009A5F5F">
        <w:rPr>
          <w:lang w:eastAsia="en-AU"/>
        </w:rPr>
        <w:t>Opt-out programs</w:t>
      </w:r>
      <w:r w:rsidR="00EE6C04">
        <w:rPr>
          <w:lang w:eastAsia="en-AU"/>
        </w:rPr>
        <w:t>,</w:t>
      </w:r>
      <w:r w:rsidR="009A5F5F">
        <w:rPr>
          <w:lang w:eastAsia="en-AU"/>
        </w:rPr>
        <w:t xml:space="preserve"> </w:t>
      </w:r>
      <w:r w:rsidR="00337E20">
        <w:rPr>
          <w:lang w:eastAsia="en-AU"/>
        </w:rPr>
        <w:t xml:space="preserve">such as those in Canada </w:t>
      </w:r>
      <w:r w:rsidR="009A5F5F">
        <w:rPr>
          <w:lang w:eastAsia="en-AU"/>
        </w:rPr>
        <w:t>which remove the need for practitioners to undertake a risk or suitability assessment before offering naloxone</w:t>
      </w:r>
      <w:r w:rsidR="00EE6C04">
        <w:rPr>
          <w:lang w:eastAsia="en-AU"/>
        </w:rPr>
        <w:t>,</w:t>
      </w:r>
      <w:r w:rsidR="009A5F5F">
        <w:rPr>
          <w:lang w:eastAsia="en-AU"/>
        </w:rPr>
        <w:t xml:space="preserve"> </w:t>
      </w:r>
      <w:r w:rsidR="00745C3F">
        <w:rPr>
          <w:lang w:eastAsia="en-AU"/>
        </w:rPr>
        <w:t xml:space="preserve">encourage the </w:t>
      </w:r>
      <w:r w:rsidR="005678E7">
        <w:rPr>
          <w:lang w:eastAsia="en-AU"/>
        </w:rPr>
        <w:t>normalisation</w:t>
      </w:r>
      <w:r w:rsidR="00745C3F">
        <w:rPr>
          <w:lang w:eastAsia="en-AU"/>
        </w:rPr>
        <w:t xml:space="preserve"> of naloxone and </w:t>
      </w:r>
      <w:r w:rsidR="001E07E7">
        <w:rPr>
          <w:lang w:eastAsia="en-AU"/>
        </w:rPr>
        <w:t>facilitate incorporation into usual practice</w:t>
      </w:r>
      <w:r w:rsidR="00EE6C04">
        <w:rPr>
          <w:lang w:eastAsia="en-AU"/>
        </w:rPr>
        <w:t xml:space="preserve"> </w:t>
      </w:r>
      <w:r w:rsidR="00EE6C04">
        <w:fldChar w:fldCharType="begin"/>
      </w:r>
      <w:r w:rsidR="00EF7C97">
        <w:instrText xml:space="preserve"> ADDIN EN.CITE &lt;EndNote&gt;&lt;Cite&gt;&lt;Author&gt;Tsuyuki&lt;/Author&gt;&lt;Year&gt;2020&lt;/Year&gt;&lt;RecNum&gt;1&lt;/RecNum&gt;&lt;DisplayText&gt;(22)&lt;/DisplayText&gt;&lt;record&gt;&lt;rec-number&gt;1&lt;/rec-number&gt;&lt;foreign-keys&gt;&lt;key app="EN" db-id="p00v9zw27zzswpe25phxpead0asdt50td92p" timestamp="1624594321"&gt;1&lt;/key&gt;&lt;/foreign-keys&gt;&lt;ref-type name="Journal Article"&gt;17&lt;/ref-type&gt;&lt;contributors&gt;&lt;authors&gt;&lt;author&gt;Tsuyuki, Ross T.&lt;/author&gt;&lt;author&gt;Arora, Vinita&lt;/author&gt;&lt;author&gt;Barnes, Mark&lt;/author&gt;&lt;author&gt;Beazely, Michael A.&lt;/author&gt;&lt;author&gt;Boivin, Michael&lt;/author&gt;&lt;author&gt;Christofides, Anna&lt;/author&gt;&lt;author&gt;Patel, Harsit&lt;/author&gt;&lt;author&gt;Laroche, Julie&lt;/author&gt;&lt;author&gt;Sihota, Aaron&lt;/author&gt;&lt;author&gt;So, Randy&lt;/author&gt;&lt;/authors&gt;&lt;/contributors&gt;&lt;titles&gt;&lt;title&gt;Canadian national consensus guidelines for naloxone prescribing by pharmacists&lt;/title&gt;&lt;secondary-title&gt;Canadian Pharmacists Journal&lt;/secondary-title&gt;&lt;/titles&gt;&lt;periodical&gt;&lt;full-title&gt;Canadian pharmacists journal&lt;/full-title&gt;&lt;/periodical&gt;&lt;pages&gt;347-351&lt;/pages&gt;&lt;volume&gt;153&lt;/volume&gt;&lt;number&gt;6&lt;/number&gt;&lt;dates&gt;&lt;year&gt;2020&lt;/year&gt;&lt;/dates&gt;&lt;pub-location&gt;Los Angeles, CA&lt;/pub-location&gt;&lt;publisher&gt;SAGE Publications&lt;/publisher&gt;&lt;isbn&gt;1715-1635&lt;/isbn&gt;&lt;urls&gt;&lt;/urls&gt;&lt;electronic-resource-num&gt;10.1177/1715163520949973&lt;/electronic-resource-num&gt;&lt;/record&gt;&lt;/Cite&gt;&lt;/EndNote&gt;</w:instrText>
      </w:r>
      <w:r w:rsidR="00EE6C04">
        <w:fldChar w:fldCharType="separate"/>
      </w:r>
      <w:r w:rsidR="00EF7C97">
        <w:rPr>
          <w:noProof/>
        </w:rPr>
        <w:t>(22)</w:t>
      </w:r>
      <w:r w:rsidR="00EE6C04">
        <w:fldChar w:fldCharType="end"/>
      </w:r>
      <w:r w:rsidR="001E07E7">
        <w:rPr>
          <w:lang w:eastAsia="en-AU"/>
        </w:rPr>
        <w:t xml:space="preserve">. </w:t>
      </w:r>
      <w:r>
        <w:t xml:space="preserve">Peak organisations, councils, email lists, social media, </w:t>
      </w:r>
      <w:proofErr w:type="gramStart"/>
      <w:r>
        <w:t>conferences</w:t>
      </w:r>
      <w:proofErr w:type="gramEnd"/>
      <w:r>
        <w:t xml:space="preserve"> and other professional events </w:t>
      </w:r>
      <w:r w:rsidR="001E07E7">
        <w:t xml:space="preserve">can </w:t>
      </w:r>
      <w:r>
        <w:t>facilitate access to a range of professions</w:t>
      </w:r>
      <w:r w:rsidR="00D74682">
        <w:t xml:space="preserve"> to encourage such practices</w:t>
      </w:r>
      <w:r>
        <w:t>.</w:t>
      </w:r>
      <w:r>
        <w:rPr>
          <w:lang w:eastAsia="en-AU"/>
        </w:rPr>
        <w:t xml:space="preserve"> </w:t>
      </w:r>
      <w:r w:rsidR="009A2E04">
        <w:rPr>
          <w:lang w:eastAsia="en-AU"/>
        </w:rPr>
        <w:t xml:space="preserve">Contact through professional peak bodies </w:t>
      </w:r>
      <w:r w:rsidR="00332FE8">
        <w:rPr>
          <w:lang w:eastAsia="en-AU"/>
        </w:rPr>
        <w:t xml:space="preserve">may </w:t>
      </w:r>
      <w:r>
        <w:rPr>
          <w:lang w:eastAsia="en-AU"/>
        </w:rPr>
        <w:t xml:space="preserve">also </w:t>
      </w:r>
      <w:r w:rsidR="00E11922">
        <w:rPr>
          <w:lang w:eastAsia="en-AU"/>
        </w:rPr>
        <w:t xml:space="preserve">assist with the necessary </w:t>
      </w:r>
      <w:r w:rsidR="007F31A0">
        <w:rPr>
          <w:lang w:eastAsia="en-AU"/>
        </w:rPr>
        <w:t>‘</w:t>
      </w:r>
      <w:r>
        <w:rPr>
          <w:lang w:eastAsia="en-AU"/>
        </w:rPr>
        <w:t>au</w:t>
      </w:r>
      <w:r>
        <w:t>thority</w:t>
      </w:r>
      <w:r w:rsidR="007F31A0">
        <w:t>’</w:t>
      </w:r>
      <w:r>
        <w:t xml:space="preserve"> required to encourage uptake in the different sectors. </w:t>
      </w:r>
    </w:p>
    <w:p w14:paraId="61DAD8F5" w14:textId="77777777" w:rsidR="0011253D" w:rsidRDefault="0011253D" w:rsidP="0011253D">
      <w:pPr>
        <w:pStyle w:val="NbrHeading3"/>
      </w:pPr>
      <w:bookmarkStart w:id="360" w:name="_Toc94794173"/>
      <w:bookmarkStart w:id="361" w:name="_Toc94794317"/>
      <w:r>
        <w:lastRenderedPageBreak/>
        <w:t>Engagement and communication</w:t>
      </w:r>
      <w:bookmarkEnd w:id="360"/>
      <w:bookmarkEnd w:id="361"/>
    </w:p>
    <w:p w14:paraId="5DD06677" w14:textId="70D39A8E" w:rsidR="004A5258" w:rsidRDefault="004A5258" w:rsidP="00C447FE">
      <w:pPr>
        <w:pStyle w:val="BodyText"/>
      </w:pPr>
      <w:r>
        <w:t xml:space="preserve">Engagement and communication with key stakeholders </w:t>
      </w:r>
      <w:r w:rsidR="007F31A0">
        <w:t>are</w:t>
      </w:r>
      <w:r>
        <w:t xml:space="preserve"> important component</w:t>
      </w:r>
      <w:r w:rsidR="007F31A0">
        <w:t>s</w:t>
      </w:r>
      <w:r>
        <w:t xml:space="preserve"> to support a national roll-out of THN. </w:t>
      </w:r>
    </w:p>
    <w:p w14:paraId="68B2D80B" w14:textId="77777777" w:rsidR="009B6754" w:rsidRPr="009B6754" w:rsidRDefault="009B6754" w:rsidP="009B6754">
      <w:pPr>
        <w:pStyle w:val="NbrHeading4"/>
      </w:pPr>
      <w:r w:rsidRPr="009B6754">
        <w:t>Engage with specific professional groups to encourage participation</w:t>
      </w:r>
    </w:p>
    <w:p w14:paraId="301704A6" w14:textId="77777777" w:rsidR="009B6754" w:rsidRDefault="009B6754" w:rsidP="00C447FE">
      <w:pPr>
        <w:pStyle w:val="BodyText"/>
        <w:rPr>
          <w:lang w:eastAsia="en-AU"/>
        </w:rPr>
      </w:pPr>
      <w:r>
        <w:rPr>
          <w:lang w:eastAsia="en-AU"/>
        </w:rPr>
        <w:t xml:space="preserve">To facilitate availability of THN through a range of access sites, professional groups from a range of different access settings should be engaged. </w:t>
      </w:r>
    </w:p>
    <w:p w14:paraId="7E1A284C" w14:textId="4CDB4FF2" w:rsidR="009B6754" w:rsidRDefault="00D32E8B" w:rsidP="00C447FE">
      <w:pPr>
        <w:pStyle w:val="BodyText"/>
        <w:rPr>
          <w:lang w:eastAsia="en-AU"/>
        </w:rPr>
      </w:pPr>
      <w:r>
        <w:rPr>
          <w:lang w:eastAsia="en-AU"/>
        </w:rPr>
        <w:t>I</w:t>
      </w:r>
      <w:r w:rsidR="009B6754">
        <w:rPr>
          <w:lang w:eastAsia="en-AU"/>
        </w:rPr>
        <w:t xml:space="preserve">nclusion of a broader range of sectors beyond the AOD sector </w:t>
      </w:r>
      <w:r>
        <w:rPr>
          <w:lang w:eastAsia="en-AU"/>
        </w:rPr>
        <w:t>may benefit from</w:t>
      </w:r>
      <w:r w:rsidR="009B6754">
        <w:rPr>
          <w:lang w:eastAsia="en-AU"/>
        </w:rPr>
        <w:t xml:space="preserve"> a re-mapping of stakeholders, </w:t>
      </w:r>
      <w:r w:rsidR="00CA3397">
        <w:rPr>
          <w:lang w:eastAsia="en-AU"/>
        </w:rPr>
        <w:t>particularly</w:t>
      </w:r>
      <w:r w:rsidR="009B6754">
        <w:rPr>
          <w:lang w:eastAsia="en-AU"/>
        </w:rPr>
        <w:t xml:space="preserve"> to ensure inclusion of stakeholders in other </w:t>
      </w:r>
      <w:r w:rsidR="00CA3397">
        <w:rPr>
          <w:lang w:eastAsia="en-AU"/>
        </w:rPr>
        <w:t xml:space="preserve">jurisdictions </w:t>
      </w:r>
      <w:r w:rsidR="009B6754">
        <w:rPr>
          <w:lang w:eastAsia="en-AU"/>
        </w:rPr>
        <w:t>for a national roll out.</w:t>
      </w:r>
      <w:r w:rsidR="00596E2F">
        <w:rPr>
          <w:lang w:eastAsia="en-AU"/>
        </w:rPr>
        <w:t xml:space="preserve"> </w:t>
      </w:r>
      <w:r w:rsidR="00ED7A6C">
        <w:rPr>
          <w:lang w:eastAsia="en-AU"/>
        </w:rPr>
        <w:t>Subsequent</w:t>
      </w:r>
      <w:r w:rsidR="009B6754">
        <w:rPr>
          <w:lang w:eastAsia="en-AU"/>
        </w:rPr>
        <w:t xml:space="preserve"> </w:t>
      </w:r>
      <w:r w:rsidR="000075B0">
        <w:rPr>
          <w:lang w:eastAsia="en-AU"/>
        </w:rPr>
        <w:t>wide-ranging</w:t>
      </w:r>
      <w:r w:rsidR="009B6754">
        <w:rPr>
          <w:lang w:eastAsia="en-AU"/>
        </w:rPr>
        <w:t xml:space="preserve"> consultation, and the encouragement of partnerships between and across sectors</w:t>
      </w:r>
      <w:r w:rsidR="000075B0">
        <w:rPr>
          <w:lang w:eastAsia="en-AU"/>
        </w:rPr>
        <w:t xml:space="preserve"> will be critical in developing a cohesive national program</w:t>
      </w:r>
      <w:r w:rsidR="009B6754">
        <w:rPr>
          <w:lang w:eastAsia="en-AU"/>
        </w:rPr>
        <w:t>. A key part of this will also involve identifying and support</w:t>
      </w:r>
      <w:r w:rsidR="00A323A0">
        <w:rPr>
          <w:lang w:eastAsia="en-AU"/>
        </w:rPr>
        <w:t>ing</w:t>
      </w:r>
      <w:r w:rsidR="009B6754">
        <w:rPr>
          <w:lang w:eastAsia="en-AU"/>
        </w:rPr>
        <w:t xml:space="preserve"> local champions for THN in the AOD sector, as well as beyond the AOD sector. This re-mapping of stakeholders and consultation process should not delay the beginning of the national roll-</w:t>
      </w:r>
      <w:proofErr w:type="gramStart"/>
      <w:r w:rsidR="009B6754">
        <w:rPr>
          <w:lang w:eastAsia="en-AU"/>
        </w:rPr>
        <w:t xml:space="preserve">out, </w:t>
      </w:r>
      <w:r w:rsidR="000D790F">
        <w:rPr>
          <w:lang w:eastAsia="en-AU"/>
        </w:rPr>
        <w:t>but</w:t>
      </w:r>
      <w:proofErr w:type="gramEnd"/>
      <w:r w:rsidR="000D790F">
        <w:rPr>
          <w:lang w:eastAsia="en-AU"/>
        </w:rPr>
        <w:t xml:space="preserve"> </w:t>
      </w:r>
      <w:r w:rsidR="009B6754">
        <w:rPr>
          <w:lang w:eastAsia="en-AU"/>
        </w:rPr>
        <w:t>should be an ongoing process.</w:t>
      </w:r>
    </w:p>
    <w:p w14:paraId="0115B6D7" w14:textId="54B703DD" w:rsidR="0050641B" w:rsidRDefault="00790594">
      <w:pPr>
        <w:pStyle w:val="BodyText"/>
        <w:rPr>
          <w:lang w:eastAsia="en-AU"/>
        </w:rPr>
      </w:pPr>
      <w:r>
        <w:t>Linking with a range of champions/authoritative organisations (</w:t>
      </w:r>
      <w:r w:rsidR="002F4452">
        <w:t xml:space="preserve">such as the </w:t>
      </w:r>
      <w:r>
        <w:t xml:space="preserve">Pharmacy Guild of Australia, </w:t>
      </w:r>
      <w:r w:rsidR="002F4452">
        <w:t xml:space="preserve">the </w:t>
      </w:r>
      <w:r>
        <w:t xml:space="preserve">PSA, </w:t>
      </w:r>
      <w:r w:rsidR="002F4452">
        <w:t xml:space="preserve">the </w:t>
      </w:r>
      <w:r>
        <w:t>R</w:t>
      </w:r>
      <w:r w:rsidR="0012774B">
        <w:t xml:space="preserve">oyal </w:t>
      </w:r>
      <w:r>
        <w:t>A</w:t>
      </w:r>
      <w:r w:rsidR="0012774B">
        <w:t xml:space="preserve">ustralian </w:t>
      </w:r>
      <w:r>
        <w:t>C</w:t>
      </w:r>
      <w:r w:rsidR="0012774B">
        <w:t xml:space="preserve">ollege of </w:t>
      </w:r>
      <w:r>
        <w:t>G</w:t>
      </w:r>
      <w:r w:rsidR="0012774B">
        <w:t xml:space="preserve">eneral </w:t>
      </w:r>
      <w:r>
        <w:t>P</w:t>
      </w:r>
      <w:r w:rsidR="0012774B">
        <w:t>ractitioners</w:t>
      </w:r>
      <w:r>
        <w:t xml:space="preserve">, </w:t>
      </w:r>
      <w:r w:rsidR="002F4452">
        <w:t>and primary health networks</w:t>
      </w:r>
      <w:r>
        <w:t>)</w:t>
      </w:r>
      <w:r w:rsidRPr="00C225E5">
        <w:rPr>
          <w:lang w:eastAsia="en-AU"/>
        </w:rPr>
        <w:t xml:space="preserve"> </w:t>
      </w:r>
      <w:r>
        <w:rPr>
          <w:lang w:eastAsia="en-AU"/>
        </w:rPr>
        <w:t xml:space="preserve">will help </w:t>
      </w:r>
      <w:r w:rsidR="005331BB">
        <w:rPr>
          <w:lang w:eastAsia="en-AU"/>
        </w:rPr>
        <w:t xml:space="preserve">raise awareness of naloxone and </w:t>
      </w:r>
      <w:r w:rsidR="0077682F">
        <w:rPr>
          <w:lang w:eastAsia="en-AU"/>
        </w:rPr>
        <w:t xml:space="preserve">assist with </w:t>
      </w:r>
      <w:r>
        <w:rPr>
          <w:lang w:eastAsia="en-AU"/>
        </w:rPr>
        <w:t>embed</w:t>
      </w:r>
      <w:r w:rsidR="0077682F">
        <w:rPr>
          <w:lang w:eastAsia="en-AU"/>
        </w:rPr>
        <w:t>ding of</w:t>
      </w:r>
      <w:r>
        <w:rPr>
          <w:lang w:eastAsia="en-AU"/>
        </w:rPr>
        <w:t xml:space="preserve"> naloxone </w:t>
      </w:r>
      <w:r w:rsidR="005331BB">
        <w:rPr>
          <w:lang w:eastAsia="en-AU"/>
        </w:rPr>
        <w:t>provision</w:t>
      </w:r>
      <w:r>
        <w:rPr>
          <w:lang w:eastAsia="en-AU"/>
        </w:rPr>
        <w:t xml:space="preserve"> in standard </w:t>
      </w:r>
      <w:r w:rsidR="00C65B34">
        <w:rPr>
          <w:lang w:eastAsia="en-AU"/>
        </w:rPr>
        <w:t xml:space="preserve">professional </w:t>
      </w:r>
      <w:r>
        <w:rPr>
          <w:lang w:eastAsia="en-AU"/>
        </w:rPr>
        <w:t xml:space="preserve">guidelines and core practice. </w:t>
      </w:r>
      <w:r w:rsidR="00863EDC">
        <w:t>Specific training to address stigma in the workforce</w:t>
      </w:r>
      <w:r w:rsidR="007A1A87">
        <w:t>s</w:t>
      </w:r>
      <w:r w:rsidR="00863EDC">
        <w:t xml:space="preserve"> that may be </w:t>
      </w:r>
      <w:r w:rsidR="007A1A87">
        <w:t>involved with</w:t>
      </w:r>
      <w:r w:rsidR="00863EDC">
        <w:t xml:space="preserve"> naloxone, such as that developed by NSW Users and AIDS Association (NUAA), is an example of such capacity building, with continuing professional development points attached </w:t>
      </w:r>
      <w:r w:rsidR="007A1A87">
        <w:t>to encourage</w:t>
      </w:r>
      <w:r w:rsidR="00863EDC">
        <w:t xml:space="preserve"> GPs </w:t>
      </w:r>
      <w:r w:rsidR="007A1A87">
        <w:t>to</w:t>
      </w:r>
      <w:r w:rsidR="00863EDC">
        <w:t xml:space="preserve"> participate.</w:t>
      </w:r>
      <w:r w:rsidR="0050641B">
        <w:t xml:space="preserve"> </w:t>
      </w:r>
      <w:r w:rsidR="00712A05">
        <w:rPr>
          <w:lang w:eastAsia="en-AU"/>
        </w:rPr>
        <w:t>Such capacity building</w:t>
      </w:r>
      <w:r>
        <w:rPr>
          <w:lang w:eastAsia="en-AU"/>
        </w:rPr>
        <w:t xml:space="preserve"> should extend into carer organisations, who often engage with family and significant others of people who use prescribed and illicit opioids</w:t>
      </w:r>
      <w:r w:rsidR="00615D45">
        <w:rPr>
          <w:lang w:eastAsia="en-AU"/>
        </w:rPr>
        <w:t xml:space="preserve"> (i.e., potential witnesses)</w:t>
      </w:r>
      <w:r>
        <w:rPr>
          <w:lang w:eastAsia="en-AU"/>
        </w:rPr>
        <w:t>.</w:t>
      </w:r>
      <w:r w:rsidR="00DD5F40">
        <w:rPr>
          <w:lang w:eastAsia="en-AU"/>
        </w:rPr>
        <w:t xml:space="preserve"> </w:t>
      </w:r>
    </w:p>
    <w:p w14:paraId="3292B622" w14:textId="7155ACD0" w:rsidR="00A323A0" w:rsidRDefault="00A323A0" w:rsidP="00C447FE">
      <w:pPr>
        <w:pStyle w:val="BodyText"/>
        <w:rPr>
          <w:lang w:eastAsia="en-AU"/>
        </w:rPr>
      </w:pPr>
      <w:r>
        <w:rPr>
          <w:lang w:eastAsia="en-AU"/>
        </w:rPr>
        <w:t>Connect</w:t>
      </w:r>
      <w:r w:rsidR="00DD5F40">
        <w:rPr>
          <w:lang w:eastAsia="en-AU"/>
        </w:rPr>
        <w:t xml:space="preserve">ions should also be made </w:t>
      </w:r>
      <w:r>
        <w:rPr>
          <w:lang w:eastAsia="en-AU"/>
        </w:rPr>
        <w:t xml:space="preserve">with Aboriginal Controlled Community Health Organisations (ACCHOs), </w:t>
      </w:r>
      <w:r w:rsidR="0054176E">
        <w:rPr>
          <w:lang w:eastAsia="en-AU"/>
        </w:rPr>
        <w:t xml:space="preserve">rural </w:t>
      </w:r>
      <w:r>
        <w:rPr>
          <w:lang w:eastAsia="en-AU"/>
        </w:rPr>
        <w:t xml:space="preserve">community health services and remote health workers, including the Royal Flying Doctor Service, as targets to reach remote areas. </w:t>
      </w:r>
      <w:r w:rsidR="00DD5F40">
        <w:rPr>
          <w:lang w:eastAsia="en-AU"/>
        </w:rPr>
        <w:t>L</w:t>
      </w:r>
      <w:r>
        <w:rPr>
          <w:lang w:eastAsia="en-AU"/>
        </w:rPr>
        <w:t xml:space="preserve">inks with telehealth services and My Emergency Doctor </w:t>
      </w:r>
      <w:r w:rsidR="0050641B">
        <w:rPr>
          <w:lang w:eastAsia="en-AU"/>
        </w:rPr>
        <w:t>may provide</w:t>
      </w:r>
      <w:r>
        <w:rPr>
          <w:lang w:eastAsia="en-AU"/>
        </w:rPr>
        <w:t xml:space="preserve"> referral points and opportunities for follow up care</w:t>
      </w:r>
      <w:r w:rsidR="0050641B">
        <w:rPr>
          <w:lang w:eastAsia="en-AU"/>
        </w:rPr>
        <w:t xml:space="preserve"> after provision of naloxone</w:t>
      </w:r>
      <w:r>
        <w:rPr>
          <w:lang w:eastAsia="en-AU"/>
        </w:rPr>
        <w:t>.</w:t>
      </w:r>
    </w:p>
    <w:p w14:paraId="1E5240F2" w14:textId="612952B5" w:rsidR="0011253D" w:rsidRPr="00DA5778" w:rsidRDefault="00EB0229" w:rsidP="00EB0229">
      <w:pPr>
        <w:pStyle w:val="NbrHeading4"/>
      </w:pPr>
      <w:r>
        <w:t>Engage with the primary care sector</w:t>
      </w:r>
    </w:p>
    <w:p w14:paraId="14E98C78" w14:textId="08A148F7" w:rsidR="00EB0229" w:rsidRPr="00C4440E" w:rsidRDefault="00EB0229" w:rsidP="00DE7EB5">
      <w:pPr>
        <w:pStyle w:val="BodyText"/>
      </w:pPr>
      <w:r w:rsidRPr="00DE7EB5">
        <w:t>As highlighted in Chapter 7, GPs also present an area of opportunity for the provision of THN</w:t>
      </w:r>
      <w:r w:rsidRPr="00C4440E">
        <w:t xml:space="preserve"> </w:t>
      </w:r>
      <w:r w:rsidR="00A51308" w:rsidRPr="00C4440E">
        <w:t xml:space="preserve">as one of the </w:t>
      </w:r>
      <w:proofErr w:type="gramStart"/>
      <w:r w:rsidR="00A51308" w:rsidRPr="00C4440E">
        <w:t>most commonly accessed</w:t>
      </w:r>
      <w:proofErr w:type="gramEnd"/>
      <w:r w:rsidR="00A51308" w:rsidRPr="00C4440E">
        <w:t xml:space="preserve"> health service</w:t>
      </w:r>
      <w:r w:rsidR="00A22750">
        <w:t>s</w:t>
      </w:r>
      <w:r w:rsidR="00A51308" w:rsidRPr="00C4440E">
        <w:t>.</w:t>
      </w:r>
      <w:r w:rsidRPr="00C4440E">
        <w:t xml:space="preserve"> However, the most effective processes for engaging GPs in direct provision of THN would need careful consider</w:t>
      </w:r>
      <w:r w:rsidR="009E5AF5">
        <w:t>ation</w:t>
      </w:r>
      <w:r w:rsidRPr="00C4440E">
        <w:t xml:space="preserve"> in a national model. </w:t>
      </w:r>
    </w:p>
    <w:p w14:paraId="62ACF51B" w14:textId="73802CC8" w:rsidR="00EB0229" w:rsidRPr="00DE7EB5" w:rsidRDefault="00EB0229" w:rsidP="00DE7EB5">
      <w:pPr>
        <w:pStyle w:val="BodyText"/>
      </w:pPr>
      <w:r w:rsidRPr="00C4440E">
        <w:t xml:space="preserve">The most appropriate method may be through Prescriber Bag provision, however this would require reconsideration of Prescriber Bag allowances and formulations approved, so that </w:t>
      </w:r>
      <w:proofErr w:type="spellStart"/>
      <w:r w:rsidRPr="00C4440E">
        <w:t>Nyxoid</w:t>
      </w:r>
      <w:proofErr w:type="spellEnd"/>
      <w:r w:rsidRPr="00C4440E">
        <w:t>® is also included in Prescriber Bag provisions</w:t>
      </w:r>
      <w:r w:rsidR="00DB445B">
        <w:t>, to increase acceptability of naloxone among patients unfamiliar with injecting</w:t>
      </w:r>
      <w:r w:rsidRPr="00DE7EB5">
        <w:t xml:space="preserve">. </w:t>
      </w:r>
    </w:p>
    <w:p w14:paraId="7E92D972" w14:textId="69BAB03F" w:rsidR="00EB0229" w:rsidRPr="00C447FE" w:rsidRDefault="002F489C" w:rsidP="00EB0229">
      <w:pPr>
        <w:pStyle w:val="BodyText"/>
        <w:rPr>
          <w:lang w:eastAsia="en-AU"/>
        </w:rPr>
      </w:pPr>
      <w:r w:rsidRPr="00DE7EB5">
        <w:t>Enlisting</w:t>
      </w:r>
      <w:r w:rsidR="00332FCF" w:rsidRPr="00DE7EB5">
        <w:t xml:space="preserve"> n</w:t>
      </w:r>
      <w:r w:rsidR="00E506EB" w:rsidRPr="00521BE1">
        <w:t>urse practitioners</w:t>
      </w:r>
      <w:r w:rsidR="00B444C0" w:rsidRPr="00521BE1">
        <w:t xml:space="preserve"> within primary care facilities, potentially through programs supported by </w:t>
      </w:r>
      <w:r w:rsidR="00E506EB" w:rsidRPr="00521BE1">
        <w:t>PHNs</w:t>
      </w:r>
      <w:r w:rsidR="00B444C0" w:rsidRPr="00521BE1">
        <w:t xml:space="preserve">, may prove an </w:t>
      </w:r>
      <w:r w:rsidR="00486BCA" w:rsidRPr="00521BE1">
        <w:t xml:space="preserve">alternative </w:t>
      </w:r>
      <w:r w:rsidR="00B444C0" w:rsidRPr="00521BE1">
        <w:t xml:space="preserve">avenue for </w:t>
      </w:r>
      <w:r w:rsidRPr="00521BE1">
        <w:t xml:space="preserve">providing THN </w:t>
      </w:r>
      <w:r w:rsidR="007F26EA">
        <w:t xml:space="preserve">and brief education on overdose </w:t>
      </w:r>
      <w:r w:rsidRPr="00626BD5">
        <w:t xml:space="preserve">to potential recipients in </w:t>
      </w:r>
      <w:r w:rsidR="00B6641F" w:rsidRPr="00521BE1">
        <w:t>universally familiar community health services.</w:t>
      </w:r>
    </w:p>
    <w:p w14:paraId="14C39BC5" w14:textId="77777777" w:rsidR="00615CCC" w:rsidRDefault="00615CCC" w:rsidP="00615CCC">
      <w:pPr>
        <w:pStyle w:val="NbrHeading4"/>
      </w:pPr>
      <w:r>
        <w:t>Continue to engage with pharmacies</w:t>
      </w:r>
    </w:p>
    <w:p w14:paraId="42930F40" w14:textId="62DF1627" w:rsidR="00C96091" w:rsidRDefault="00615CCC" w:rsidP="00615CCC">
      <w:pPr>
        <w:pStyle w:val="BodyText"/>
      </w:pPr>
      <w:r>
        <w:t xml:space="preserve">Community pharmacies will remain a core part of THN programs, as they form a constant and accessible hub for a broad range of potential THN consumers. </w:t>
      </w:r>
      <w:r w:rsidR="00BF5A94">
        <w:t xml:space="preserve">Although some pharmacies were active in providing naloxone, </w:t>
      </w:r>
      <w:r w:rsidR="000F14B2">
        <w:t>particularly those already engaged in harm reduction programs such as OAT,</w:t>
      </w:r>
      <w:r w:rsidR="0090529E">
        <w:t xml:space="preserve"> others were less confident or motivated to provide naloxone, </w:t>
      </w:r>
      <w:r w:rsidR="005B08CF">
        <w:t>as found in earlier studies</w:t>
      </w:r>
      <w:r w:rsidR="004C3B84">
        <w:t xml:space="preserve"> </w:t>
      </w:r>
      <w:r w:rsidR="00920F03">
        <w:fldChar w:fldCharType="begin"/>
      </w:r>
      <w:r w:rsidR="00441C1C">
        <w:instrText xml:space="preserve"> ADDIN EN.CITE &lt;EndNote&gt;&lt;Cite&gt;&lt;Author&gt;Nielsen&lt;/Author&gt;&lt;Year&gt;2021&lt;/Year&gt;&lt;RecNum&gt;151&lt;/RecNum&gt;&lt;DisplayText&gt;(58)&lt;/DisplayText&gt;&lt;record&gt;&lt;rec-number&gt;151&lt;/rec-number&gt;&lt;foreign-keys&gt;&lt;key app="EN" db-id="p00v9zw27zzswpe25phxpead0asdt50td92p" timestamp="1631060591"&gt;151&lt;/key&gt;&lt;/foreign-keys&gt;&lt;ref-type name="Journal Article"&gt;17&lt;/ref-type&gt;&lt;contributors&gt;&lt;authors&gt;&lt;author&gt;Nielsen, Suzanne&lt;/author&gt;&lt;author&gt;Olsen, Anna&lt;/author&gt;&lt;/authors&gt;&lt;/contributors&gt;&lt;titles&gt;&lt;title&gt;Using the behaviour change wheel to understand and address barriers to pharmacy naloxone supply in Australia&lt;/title&gt;&lt;secondary-title&gt;International Journal of Drug Policy&lt;/secondary-title&gt;&lt;/titles&gt;&lt;periodical&gt;&lt;full-title&gt;International Journal of Drug Policy&lt;/full-title&gt;&lt;/periodical&gt;&lt;pages&gt;103061&lt;/pages&gt;&lt;volume&gt;90&lt;/volume&gt;&lt;keywords&gt;&lt;keyword&gt;Naloxone&lt;/keyword&gt;&lt;keyword&gt;Implementation barriers&lt;/keyword&gt;&lt;keyword&gt;Behaviour change&lt;/keyword&gt;&lt;keyword&gt;Overdose&lt;/keyword&gt;&lt;/keywords&gt;&lt;dates&gt;&lt;year&gt;2021&lt;/year&gt;&lt;pub-dates&gt;&lt;date&gt;2021/04/01/&lt;/date&gt;&lt;/pub-dates&gt;&lt;/dates&gt;&lt;isbn&gt;0955-3959&lt;/isbn&gt;&lt;urls&gt;&lt;related-urls&gt;&lt;url&gt;https://www.sciencedirect.com/science/article/pii/S0955395920303996&lt;/url&gt;&lt;/related-urls&gt;&lt;/urls&gt;&lt;electronic-resource-num&gt;https://doi.org/10.1016/j.drugpo.2020.103061&lt;/electronic-resource-num&gt;&lt;/record&gt;&lt;/Cite&gt;&lt;/EndNote&gt;</w:instrText>
      </w:r>
      <w:r w:rsidR="00920F03">
        <w:fldChar w:fldCharType="separate"/>
      </w:r>
      <w:r w:rsidR="00441C1C">
        <w:rPr>
          <w:noProof/>
        </w:rPr>
        <w:t>(58)</w:t>
      </w:r>
      <w:r w:rsidR="00920F03">
        <w:fldChar w:fldCharType="end"/>
      </w:r>
      <w:r w:rsidR="004C3B84">
        <w:t>.</w:t>
      </w:r>
    </w:p>
    <w:p w14:paraId="308D1EA5" w14:textId="4355144D" w:rsidR="003001BE" w:rsidRDefault="00EE79FC" w:rsidP="00615CCC">
      <w:pPr>
        <w:pStyle w:val="BodyText"/>
      </w:pPr>
      <w:r>
        <w:lastRenderedPageBreak/>
        <w:t>Large-scale pharmac</w:t>
      </w:r>
      <w:r w:rsidR="002C5389">
        <w:t xml:space="preserve">y chains are an important </w:t>
      </w:r>
      <w:r w:rsidR="007E3AB1">
        <w:t xml:space="preserve">mechanism </w:t>
      </w:r>
      <w:r w:rsidR="002C5389">
        <w:t xml:space="preserve">for </w:t>
      </w:r>
      <w:r w:rsidR="00C36495">
        <w:t xml:space="preserve">program </w:t>
      </w:r>
      <w:r w:rsidR="002C5389">
        <w:t>engagement and supply of THN, however</w:t>
      </w:r>
      <w:r w:rsidR="00615CCC">
        <w:t xml:space="preserve"> it will be important to encourage more-than-nominal participation as observed during the Pilot, where a head office registered, but without a plan for implementation, </w:t>
      </w:r>
      <w:r w:rsidR="00C20FFD">
        <w:t xml:space="preserve">with the result that </w:t>
      </w:r>
      <w:r w:rsidR="00B4221E">
        <w:t xml:space="preserve">staff of </w:t>
      </w:r>
      <w:r w:rsidR="00615CCC">
        <w:t>local pharmac</w:t>
      </w:r>
      <w:r w:rsidR="00B4221E">
        <w:t>ies</w:t>
      </w:r>
      <w:r w:rsidR="00615CCC">
        <w:t xml:space="preserve"> were unaware of “their” </w:t>
      </w:r>
      <w:r w:rsidR="009B36CB">
        <w:t xml:space="preserve">business’ </w:t>
      </w:r>
      <w:r w:rsidR="00615CCC">
        <w:t xml:space="preserve">participation. </w:t>
      </w:r>
      <w:r w:rsidR="006919C4">
        <w:t xml:space="preserve">The national rollout will also need to </w:t>
      </w:r>
      <w:r w:rsidR="002C5389">
        <w:t>consider how best to ensure that</w:t>
      </w:r>
      <w:r w:rsidR="00676358">
        <w:t xml:space="preserve"> staff from</w:t>
      </w:r>
      <w:r w:rsidR="002C5389">
        <w:t xml:space="preserve"> large scale</w:t>
      </w:r>
      <w:r w:rsidR="00676358">
        <w:t xml:space="preserve"> pharmacy</w:t>
      </w:r>
      <w:r w:rsidR="002C5389">
        <w:t xml:space="preserve"> chains </w:t>
      </w:r>
      <w:r w:rsidR="00676358">
        <w:t xml:space="preserve">are trained and aware of THN. </w:t>
      </w:r>
      <w:r w:rsidR="00AC642D">
        <w:t>Targeted consultation with representatives from chain pharmacies may assist with this</w:t>
      </w:r>
      <w:r w:rsidR="004679B1">
        <w:t xml:space="preserve">. Engagement with stakeholders connected with </w:t>
      </w:r>
      <w:r w:rsidR="000E72EA">
        <w:t xml:space="preserve">pharmacy </w:t>
      </w:r>
      <w:r w:rsidR="004679B1">
        <w:t>registration (such as the Pharmacy Board</w:t>
      </w:r>
      <w:r w:rsidR="00ED7140">
        <w:t xml:space="preserve"> of Australia</w:t>
      </w:r>
      <w:r w:rsidR="004679B1">
        <w:t xml:space="preserve"> </w:t>
      </w:r>
      <w:r w:rsidR="00ED7140">
        <w:t>and</w:t>
      </w:r>
      <w:r w:rsidR="004679B1">
        <w:t xml:space="preserve"> state/territory</w:t>
      </w:r>
      <w:r w:rsidR="004C16FF">
        <w:t>-</w:t>
      </w:r>
      <w:r w:rsidR="004679B1">
        <w:t>based registration bodies) may also assist with this.</w:t>
      </w:r>
    </w:p>
    <w:p w14:paraId="0FFB925A" w14:textId="39DE92CE" w:rsidR="00615CCC" w:rsidRDefault="00615CCC" w:rsidP="009F5021">
      <w:pPr>
        <w:pStyle w:val="BodyText"/>
      </w:pPr>
      <w:r>
        <w:t xml:space="preserve">In this context it is also important to </w:t>
      </w:r>
      <w:r w:rsidR="00A40485">
        <w:t xml:space="preserve">further </w:t>
      </w:r>
      <w:r>
        <w:t xml:space="preserve">develop strategies to </w:t>
      </w:r>
      <w:r w:rsidR="00FA4717">
        <w:t>convert</w:t>
      </w:r>
      <w:r>
        <w:t xml:space="preserve"> </w:t>
      </w:r>
      <w:r w:rsidR="00002AA8">
        <w:t xml:space="preserve">registered organisations </w:t>
      </w:r>
      <w:r>
        <w:t>into active</w:t>
      </w:r>
      <w:r w:rsidR="00002AA8">
        <w:t>ly participating sites</w:t>
      </w:r>
      <w:r>
        <w:t xml:space="preserve">. It must be acknowledged that different pharmacies will have different client characteristics </w:t>
      </w:r>
      <w:r w:rsidR="00697738">
        <w:t>that</w:t>
      </w:r>
      <w:r>
        <w:t xml:space="preserve"> impact on the </w:t>
      </w:r>
      <w:r w:rsidR="00697738">
        <w:t>demand</w:t>
      </w:r>
      <w:r>
        <w:t xml:space="preserve"> for naloxone, </w:t>
      </w:r>
      <w:r w:rsidR="00697738">
        <w:t>but</w:t>
      </w:r>
      <w:r>
        <w:t xml:space="preserve"> monitoring and follow up where a pharmacy has registered but not supplied </w:t>
      </w:r>
      <w:r w:rsidR="00650BD2">
        <w:t xml:space="preserve">(as </w:t>
      </w:r>
      <w:r w:rsidR="00631EFD">
        <w:t xml:space="preserve">attempted </w:t>
      </w:r>
      <w:r w:rsidR="005E0A06">
        <w:t>via</w:t>
      </w:r>
      <w:r w:rsidR="00631EFD">
        <w:t xml:space="preserve"> the PPA portal) </w:t>
      </w:r>
      <w:r w:rsidR="004F548C">
        <w:t>will</w:t>
      </w:r>
      <w:r w:rsidR="002E42BB">
        <w:t xml:space="preserve"> support improved access to</w:t>
      </w:r>
      <w:r w:rsidR="00650BD2">
        <w:t xml:space="preserve"> </w:t>
      </w:r>
      <w:r>
        <w:t>this life saving drug</w:t>
      </w:r>
      <w:r w:rsidR="004C3B84">
        <w:t xml:space="preserve"> </w:t>
      </w:r>
      <w:r>
        <w:fldChar w:fldCharType="begin"/>
      </w:r>
      <w:r w:rsidR="00EF7C97">
        <w:instrText xml:space="preserve"> ADDIN EN.CITE &lt;EndNote&gt;&lt;Cite&gt;&lt;Author&gt;Conway&lt;/Author&gt;&lt;Year&gt;2021&lt;/Year&gt;&lt;RecNum&gt;125&lt;/RecNum&gt;&lt;DisplayText&gt;(10)&lt;/DisplayText&gt;&lt;record&gt;&lt;rec-number&gt;125&lt;/rec-number&gt;&lt;foreign-keys&gt;&lt;key app="EN" db-id="p00v9zw27zzswpe25phxpead0asdt50td92p" timestamp="1630282935"&gt;125&lt;/key&gt;&lt;/foreign-keys&gt;&lt;ref-type name="Journal Article"&gt;17&lt;/ref-type&gt;&lt;contributors&gt;&lt;authors&gt;&lt;author&gt;Conway, A.&lt;/author&gt;&lt;author&gt;Valerio, H.&lt;/author&gt;&lt;author&gt;Peacock, A.&lt;/author&gt;&lt;author&gt;Degenhardt, L.&lt;/author&gt;&lt;author&gt;Hayllar, J.&lt;/author&gt;&lt;author&gt;Harrod, M. E.&lt;/author&gt;&lt;author&gt;Henderson, C.&lt;/author&gt;&lt;author&gt;Read, P.&lt;/author&gt;&lt;author&gt;Gilliver, R.&lt;/author&gt;&lt;author&gt;Christmass, M.&lt;/author&gt;&lt;author&gt;Dunlop, A.&lt;/author&gt;&lt;author&gt;Montebello, M.&lt;/author&gt;&lt;author&gt;Whitton, G.&lt;/author&gt;&lt;author&gt;Reid, D.&lt;/author&gt;&lt;author&gt;Lam, T.&lt;/author&gt;&lt;author&gt;Alavi, M.&lt;/author&gt;&lt;author&gt;Silk, D.&lt;/author&gt;&lt;author&gt;Marshall, A. D.&lt;/author&gt;&lt;author&gt;Treloar, C.&lt;/author&gt;&lt;author&gt;Dore, G. J.&lt;/author&gt;&lt;author&gt;Grebely, J.&lt;/author&gt;&lt;/authors&gt;&lt;/contributors&gt;&lt;titles&gt;&lt;title&gt;Non-fatal opioid overdose, naloxone access, and naloxone training among people who recently used opioids or received opioid agonist treatment in Australia: The ETHOS Engage study&lt;/title&gt;&lt;secondary-title&gt;International Journal of Drug Policy&lt;/secondary-title&gt;&lt;/titles&gt;&lt;periodical&gt;&lt;full-title&gt;International Journal of Drug Policy&lt;/full-title&gt;&lt;/periodical&gt;&lt;pages&gt;103421&lt;/pages&gt;&lt;keywords&gt;&lt;keyword&gt;Opioids&lt;/keyword&gt;&lt;keyword&gt;Overdose&lt;/keyword&gt;&lt;keyword&gt;Naloxone&lt;/keyword&gt;&lt;keyword&gt;Australia&lt;/keyword&gt;&lt;/keywords&gt;&lt;dates&gt;&lt;year&gt;2021&lt;/year&gt;&lt;pub-dates&gt;&lt;date&gt;2021/08/25/&lt;/date&gt;&lt;/pub-dates&gt;&lt;/dates&gt;&lt;isbn&gt;0955-3959&lt;/isbn&gt;&lt;urls&gt;&lt;related-urls&gt;&lt;url&gt;https://www.sciencedirect.com/science/article/pii/S0955395921003261&lt;/url&gt;&lt;/related-urls&gt;&lt;/urls&gt;&lt;electronic-resource-num&gt;https://doi.org/10.1016/j.drugpo.2021.103421&lt;/electronic-resource-num&gt;&lt;/record&gt;&lt;/Cite&gt;&lt;/EndNote&gt;</w:instrText>
      </w:r>
      <w:r>
        <w:fldChar w:fldCharType="separate"/>
      </w:r>
      <w:r w:rsidR="00EF7C97">
        <w:rPr>
          <w:noProof/>
        </w:rPr>
        <w:t>(10)</w:t>
      </w:r>
      <w:r>
        <w:fldChar w:fldCharType="end"/>
      </w:r>
      <w:r w:rsidR="004C3B84">
        <w:t>.</w:t>
      </w:r>
    </w:p>
    <w:p w14:paraId="70AB7328" w14:textId="65962FA7" w:rsidR="00304FF4" w:rsidRDefault="00304FF4" w:rsidP="009F5021">
      <w:pPr>
        <w:pStyle w:val="NbrHeading4"/>
      </w:pPr>
      <w:r>
        <w:t>Peer</w:t>
      </w:r>
      <w:r w:rsidR="00DD141F">
        <w:t xml:space="preserve"> organisations and networks</w:t>
      </w:r>
    </w:p>
    <w:p w14:paraId="7B3CB309" w14:textId="2AD792E7" w:rsidR="00307920" w:rsidRDefault="000271B6" w:rsidP="00307920">
      <w:pPr>
        <w:rPr>
          <w:lang w:eastAsia="en-AU"/>
        </w:rPr>
      </w:pPr>
      <w:r>
        <w:rPr>
          <w:lang w:eastAsia="en-AU"/>
        </w:rPr>
        <w:t xml:space="preserve">Building capacity among professional peer networks will assist an ongoing THN program to become more sustainable. </w:t>
      </w:r>
      <w:proofErr w:type="gramStart"/>
      <w:r w:rsidR="009A1CE6">
        <w:rPr>
          <w:lang w:eastAsia="en-AU"/>
        </w:rPr>
        <w:t>A number of</w:t>
      </w:r>
      <w:proofErr w:type="gramEnd"/>
      <w:r w:rsidR="009A1CE6">
        <w:rPr>
          <w:lang w:eastAsia="en-AU"/>
        </w:rPr>
        <w:t xml:space="preserve"> AOD-based p</w:t>
      </w:r>
      <w:r w:rsidR="00235488">
        <w:rPr>
          <w:lang w:eastAsia="en-AU"/>
        </w:rPr>
        <w:t>e</w:t>
      </w:r>
      <w:r w:rsidR="009A1CE6">
        <w:rPr>
          <w:lang w:eastAsia="en-AU"/>
        </w:rPr>
        <w:t>er networks are currently involved in naloxone distribution in the ACT</w:t>
      </w:r>
      <w:r w:rsidR="00235488">
        <w:rPr>
          <w:lang w:eastAsia="en-AU"/>
        </w:rPr>
        <w:t xml:space="preserve"> and</w:t>
      </w:r>
      <w:r w:rsidR="009A1CE6">
        <w:rPr>
          <w:lang w:eastAsia="en-AU"/>
        </w:rPr>
        <w:t xml:space="preserve"> Victoria</w:t>
      </w:r>
      <w:r w:rsidR="00235488">
        <w:rPr>
          <w:lang w:eastAsia="en-AU"/>
        </w:rPr>
        <w:t xml:space="preserve"> as well as in Pilot states.  These provide the </w:t>
      </w:r>
      <w:r w:rsidR="002105E9">
        <w:rPr>
          <w:lang w:eastAsia="en-AU"/>
        </w:rPr>
        <w:t xml:space="preserve">advantages of </w:t>
      </w:r>
      <w:r w:rsidR="006850C3">
        <w:rPr>
          <w:lang w:eastAsia="en-AU"/>
        </w:rPr>
        <w:t xml:space="preserve">familiar, </w:t>
      </w:r>
      <w:proofErr w:type="gramStart"/>
      <w:r w:rsidR="009E1AC9">
        <w:rPr>
          <w:lang w:eastAsia="en-AU"/>
        </w:rPr>
        <w:t>sympathetic</w:t>
      </w:r>
      <w:proofErr w:type="gramEnd"/>
      <w:r w:rsidR="009E1AC9">
        <w:rPr>
          <w:lang w:eastAsia="en-AU"/>
        </w:rPr>
        <w:t xml:space="preserve"> and credible information sources and a non-judgemental approach to harm reduction</w:t>
      </w:r>
      <w:r w:rsidR="00130D64">
        <w:rPr>
          <w:lang w:eastAsia="en-AU"/>
        </w:rPr>
        <w:t xml:space="preserve"> for people who use illicit drugs</w:t>
      </w:r>
      <w:r w:rsidR="009E1AC9">
        <w:rPr>
          <w:lang w:eastAsia="en-AU"/>
        </w:rPr>
        <w:t>.</w:t>
      </w:r>
      <w:r w:rsidR="000A31FD">
        <w:rPr>
          <w:lang w:eastAsia="en-AU"/>
        </w:rPr>
        <w:t xml:space="preserve"> Numerous evaluations have shown these networks to be effective </w:t>
      </w:r>
      <w:r w:rsidR="00443E90">
        <w:rPr>
          <w:lang w:eastAsia="en-AU"/>
        </w:rPr>
        <w:t>for take home naloxone programs</w:t>
      </w:r>
      <w:r w:rsidR="000775CB">
        <w:rPr>
          <w:lang w:eastAsia="en-AU"/>
        </w:rPr>
        <w:t xml:space="preserve"> </w:t>
      </w:r>
      <w:r w:rsidR="00CC5DE8">
        <w:rPr>
          <w:lang w:eastAsia="en-AU"/>
        </w:rPr>
        <w:fldChar w:fldCharType="begin"/>
      </w:r>
      <w:r w:rsidR="00CC5DE8">
        <w:rPr>
          <w:lang w:eastAsia="en-AU"/>
        </w:rPr>
        <w:instrText xml:space="preserve"> ADDIN EN.CITE &lt;EndNote&gt;&lt;Cite&gt;&lt;Author&gt;Olsen&lt;/Author&gt;&lt;Year&gt;2015&lt;/Year&gt;&lt;RecNum&gt;70&lt;/RecNum&gt;&lt;DisplayText&gt;(28, 30)&lt;/DisplayText&gt;&lt;record&gt;&lt;rec-number&gt;70&lt;/rec-number&gt;&lt;foreign-keys&gt;&lt;key app="EN" db-id="p00v9zw27zzswpe25phxpead0asdt50td92p" timestamp="1625710868"&gt;70&lt;/key&gt;&lt;/foreign-keys&gt;&lt;ref-type name="Journal Article"&gt;17&lt;/ref-type&gt;&lt;contributors&gt;&lt;authors&gt;&lt;author&gt;Olsen, A&lt;/author&gt;&lt;author&gt;McDonald, D&lt;/author&gt;&lt;author&gt;Lenton, Simon&lt;/author&gt;&lt;author&gt;Dietze, P&lt;/author&gt;&lt;/authors&gt;&lt;/contributors&gt;&lt;titles&gt;&lt;title&gt;Independent evaluation of the&amp;apos;Implementing Expanded Naloxone Availability in the ACT (I-ENAACT) Program, 2011-2014&lt;/title&gt;&lt;/titles&gt;&lt;dates&gt;&lt;year&gt;2015&lt;/year&gt;&lt;/dates&gt;&lt;urls&gt;&lt;/urls&gt;&lt;/record&gt;&lt;/Cite&gt;&lt;Cite&gt;&lt;Author&gt;Lintzeris&lt;/Author&gt;&lt;Year&gt;2020&lt;/Year&gt;&lt;RecNum&gt;115&lt;/RecNum&gt;&lt;record&gt;&lt;rec-number&gt;115&lt;/rec-number&gt;&lt;foreign-keys&gt;&lt;key app="EN" db-id="p00v9zw27zzswpe25phxpead0asdt50td92p" timestamp="1629691859"&gt;115&lt;/key&gt;&lt;/foreign-keys&gt;&lt;ref-type name="Journal Article"&gt;17&lt;/ref-type&gt;&lt;contributors&gt;&lt;authors&gt;&lt;author&gt;Lintzeris, Nicholas&lt;/author&gt;&lt;author&gt;Monds, Lauren A&lt;/author&gt;&lt;author&gt;Bravo, Maria&lt;/author&gt;&lt;author&gt;Read, Phillip&lt;/author&gt;&lt;author&gt;Harrod, Mary E&lt;/author&gt;&lt;author&gt;Gilliver, Rosie&lt;/author&gt;&lt;author&gt;Wood, William&lt;/author&gt;&lt;author&gt;Nielsen, Suzanne&lt;/author&gt;&lt;author&gt;Dietze, Paul M&lt;/author&gt;&lt;author&gt;Lenton, Simon&lt;/author&gt;&lt;/authors&gt;&lt;/contributors&gt;&lt;titles&gt;&lt;title&gt;Designing, implementing and evaluating the overdose response with take</w:instrText>
      </w:r>
      <w:r w:rsidR="00CC5DE8">
        <w:rPr>
          <w:rFonts w:ascii="Cambria Math" w:hAnsi="Cambria Math" w:cs="Cambria Math"/>
          <w:lang w:eastAsia="en-AU"/>
        </w:rPr>
        <w:instrText>‐</w:instrText>
      </w:r>
      <w:r w:rsidR="00CC5DE8">
        <w:rPr>
          <w:lang w:eastAsia="en-AU"/>
        </w:rPr>
        <w:instrText>home naloxone model of care: An evaluation of client outcomes and perspectives&lt;/title&gt;&lt;secondary-title&gt;Drug and Alcohol Review&lt;/secondary-title&gt;&lt;/titles&gt;&lt;periodical&gt;&lt;full-title&gt;Drug and alcohol review&lt;/full-title&gt;&lt;/periodical&gt;&lt;pages&gt;55-65&lt;/pages&gt;&lt;volume&gt;39&lt;/volume&gt;&lt;number&gt;1&lt;/number&gt;&lt;dates&gt;&lt;year&gt;2020&lt;/year&gt;&lt;/dates&gt;&lt;isbn&gt;0959-5236&lt;/isbn&gt;&lt;urls&gt;&lt;/urls&gt;&lt;/record&gt;&lt;/Cite&gt;&lt;/EndNote&gt;</w:instrText>
      </w:r>
      <w:r w:rsidR="00CC5DE8">
        <w:rPr>
          <w:lang w:eastAsia="en-AU"/>
        </w:rPr>
        <w:fldChar w:fldCharType="separate"/>
      </w:r>
      <w:r w:rsidR="00CC5DE8">
        <w:rPr>
          <w:noProof/>
          <w:lang w:eastAsia="en-AU"/>
        </w:rPr>
        <w:t>(28, 30)</w:t>
      </w:r>
      <w:r w:rsidR="00CC5DE8">
        <w:rPr>
          <w:lang w:eastAsia="en-AU"/>
        </w:rPr>
        <w:fldChar w:fldCharType="end"/>
      </w:r>
      <w:r w:rsidR="00CC5DE8">
        <w:rPr>
          <w:lang w:eastAsia="en-AU"/>
        </w:rPr>
        <w:t>.</w:t>
      </w:r>
      <w:r w:rsidR="004E6E89">
        <w:rPr>
          <w:lang w:eastAsia="en-AU"/>
        </w:rPr>
        <w:t xml:space="preserve"> </w:t>
      </w:r>
      <w:r w:rsidR="00246EB1">
        <w:rPr>
          <w:lang w:eastAsia="en-AU"/>
        </w:rPr>
        <w:t>L</w:t>
      </w:r>
      <w:r w:rsidR="00D71439">
        <w:rPr>
          <w:lang w:eastAsia="en-AU"/>
        </w:rPr>
        <w:t xml:space="preserve">everaging existing </w:t>
      </w:r>
      <w:r w:rsidR="00246EB1">
        <w:rPr>
          <w:lang w:eastAsia="en-AU"/>
        </w:rPr>
        <w:t xml:space="preserve">peer distribution programs (such as those for needle and syringe provision) would allow swift </w:t>
      </w:r>
      <w:r w:rsidR="00831981">
        <w:rPr>
          <w:lang w:eastAsia="en-AU"/>
        </w:rPr>
        <w:t xml:space="preserve">introduction of naloxone provision among this at-risk </w:t>
      </w:r>
      <w:r w:rsidR="00001486">
        <w:rPr>
          <w:lang w:eastAsia="en-AU"/>
        </w:rPr>
        <w:t>group.</w:t>
      </w:r>
    </w:p>
    <w:p w14:paraId="5770E5A1" w14:textId="67139D88" w:rsidR="00DD141F" w:rsidRPr="00417A0F" w:rsidRDefault="00D3263F" w:rsidP="009F5021">
      <w:pPr>
        <w:rPr>
          <w:lang w:eastAsia="en-AU"/>
        </w:rPr>
      </w:pPr>
      <w:r>
        <w:rPr>
          <w:lang w:eastAsia="en-AU"/>
        </w:rPr>
        <w:t xml:space="preserve">A similar strategy could be used to encourage naloxone provision among </w:t>
      </w:r>
      <w:r w:rsidR="00A3114F">
        <w:rPr>
          <w:lang w:eastAsia="en-AU"/>
        </w:rPr>
        <w:t>potential witnesses of overdose.  National organisations such as Family Drug Support</w:t>
      </w:r>
      <w:r w:rsidR="009A492E">
        <w:rPr>
          <w:lang w:eastAsia="en-AU"/>
        </w:rPr>
        <w:t xml:space="preserve"> may </w:t>
      </w:r>
      <w:r w:rsidR="00E11314">
        <w:rPr>
          <w:lang w:eastAsia="en-AU"/>
        </w:rPr>
        <w:t xml:space="preserve">facilitate </w:t>
      </w:r>
      <w:r w:rsidR="009A492E">
        <w:rPr>
          <w:lang w:eastAsia="en-AU"/>
        </w:rPr>
        <w:t xml:space="preserve">access to </w:t>
      </w:r>
      <w:r w:rsidR="009D654D">
        <w:rPr>
          <w:lang w:eastAsia="en-AU"/>
        </w:rPr>
        <w:t xml:space="preserve">those who </w:t>
      </w:r>
      <w:r w:rsidR="00B4607A">
        <w:rPr>
          <w:lang w:eastAsia="en-AU"/>
        </w:rPr>
        <w:t xml:space="preserve">assist people with problematic substance use, but </w:t>
      </w:r>
      <w:r w:rsidR="00C06495">
        <w:rPr>
          <w:lang w:eastAsia="en-AU"/>
        </w:rPr>
        <w:t xml:space="preserve">parallel organisations </w:t>
      </w:r>
      <w:r w:rsidR="005956AB">
        <w:rPr>
          <w:lang w:eastAsia="en-AU"/>
        </w:rPr>
        <w:t>providing support for</w:t>
      </w:r>
      <w:r w:rsidR="009C579E">
        <w:rPr>
          <w:lang w:eastAsia="en-AU"/>
        </w:rPr>
        <w:t xml:space="preserve"> famil</w:t>
      </w:r>
      <w:r w:rsidR="005956AB">
        <w:rPr>
          <w:lang w:eastAsia="en-AU"/>
        </w:rPr>
        <w:t>ies</w:t>
      </w:r>
      <w:r w:rsidR="009C579E">
        <w:rPr>
          <w:lang w:eastAsia="en-AU"/>
        </w:rPr>
        <w:t xml:space="preserve"> of </w:t>
      </w:r>
      <w:r w:rsidR="00BF4951">
        <w:rPr>
          <w:lang w:eastAsia="en-AU"/>
        </w:rPr>
        <w:t>people with mental health or chronic pain</w:t>
      </w:r>
      <w:r w:rsidR="005956AB">
        <w:rPr>
          <w:lang w:eastAsia="en-AU"/>
        </w:rPr>
        <w:t xml:space="preserve"> problems</w:t>
      </w:r>
      <w:r w:rsidR="0067399F">
        <w:rPr>
          <w:lang w:eastAsia="en-AU"/>
        </w:rPr>
        <w:t xml:space="preserve"> offer scope to extend </w:t>
      </w:r>
      <w:r w:rsidR="00D50493">
        <w:rPr>
          <w:lang w:eastAsia="en-AU"/>
        </w:rPr>
        <w:t>THN programs into non-AOD support systems.</w:t>
      </w:r>
    </w:p>
    <w:p w14:paraId="2E2597BE" w14:textId="77777777" w:rsidR="005B67FB" w:rsidRPr="00F359D7" w:rsidRDefault="005B67FB" w:rsidP="005B67FB">
      <w:pPr>
        <w:pStyle w:val="NbrHeading3"/>
      </w:pPr>
      <w:bookmarkStart w:id="362" w:name="_Toc94794174"/>
      <w:bookmarkStart w:id="363" w:name="_Toc94794318"/>
      <w:r>
        <w:t>Funding and resources</w:t>
      </w:r>
      <w:bookmarkEnd w:id="362"/>
      <w:bookmarkEnd w:id="363"/>
    </w:p>
    <w:p w14:paraId="77EF4F35" w14:textId="2191A713" w:rsidR="00016743" w:rsidRDefault="00965A55" w:rsidP="00512F0E">
      <w:pPr>
        <w:pStyle w:val="BodyText"/>
      </w:pPr>
      <w:r>
        <w:t xml:space="preserve">While funding of naloxone itself is vital to the national roll-out, funding should also be made available to assist </w:t>
      </w:r>
      <w:r w:rsidR="006604F9">
        <w:t xml:space="preserve">with program </w:t>
      </w:r>
      <w:r>
        <w:t>implementation</w:t>
      </w:r>
      <w:r w:rsidR="006604F9">
        <w:t xml:space="preserve"> to ensure </w:t>
      </w:r>
      <w:r w:rsidR="00856458">
        <w:t>consistency and sustainability</w:t>
      </w:r>
      <w:r w:rsidR="008A607F">
        <w:t xml:space="preserve"> of effort</w:t>
      </w:r>
      <w:r>
        <w:t>.</w:t>
      </w:r>
      <w:r w:rsidR="0060050F">
        <w:t xml:space="preserve"> </w:t>
      </w:r>
      <w:r w:rsidR="00026611">
        <w:t>Details of the resourcing required for the ACT’s THN</w:t>
      </w:r>
      <w:r w:rsidR="00CA5BEE">
        <w:t xml:space="preserve"> program show clearly that implementation costs a</w:t>
      </w:r>
      <w:r w:rsidR="000428DF">
        <w:t xml:space="preserve">re significant; </w:t>
      </w:r>
      <w:r w:rsidR="00C36074">
        <w:t xml:space="preserve">workforce and training costs accounted for a large proportion of the </w:t>
      </w:r>
      <w:r w:rsidR="004433E2">
        <w:t>program budget</w:t>
      </w:r>
      <w:r w:rsidR="00EB21DF">
        <w:t xml:space="preserve"> </w:t>
      </w:r>
      <w:r w:rsidR="00EB21DF">
        <w:fldChar w:fldCharType="begin"/>
      </w:r>
      <w:r w:rsidR="00EB21DF">
        <w:instrText xml:space="preserve"> ADDIN EN.CITE &lt;EndNote&gt;&lt;Cite&gt;&lt;Author&gt;Olsen&lt;/Author&gt;&lt;Year&gt;2015&lt;/Year&gt;&lt;RecNum&gt;70&lt;/RecNum&gt;&lt;DisplayText&gt;(28)&lt;/DisplayText&gt;&lt;record&gt;&lt;rec-number&gt;70&lt;/rec-number&gt;&lt;foreign-keys&gt;&lt;key app="EN" db-id="p00v9zw27zzswpe25phxpead0asdt50td92p" timestamp="1625710868"&gt;70&lt;/key&gt;&lt;/foreign-keys&gt;&lt;ref-type name="Journal Article"&gt;17&lt;/ref-type&gt;&lt;contributors&gt;&lt;authors&gt;&lt;author&gt;Olsen, A&lt;/author&gt;&lt;author&gt;McDonald, D&lt;/author&gt;&lt;author&gt;Lenton, Simon&lt;/author&gt;&lt;author&gt;Dietze, P&lt;/author&gt;&lt;/authors&gt;&lt;/contributors&gt;&lt;titles&gt;&lt;title&gt;Independent evaluation of the&amp;apos;Implementing Expanded Naloxone Availability in the ACT (I-ENAACT) Program, 2011-2014&lt;/title&gt;&lt;/titles&gt;&lt;dates&gt;&lt;year&gt;2015&lt;/year&gt;&lt;/dates&gt;&lt;urls&gt;&lt;/urls&gt;&lt;/record&gt;&lt;/Cite&gt;&lt;/EndNote&gt;</w:instrText>
      </w:r>
      <w:r w:rsidR="00EB21DF">
        <w:fldChar w:fldCharType="separate"/>
      </w:r>
      <w:r w:rsidR="00EB21DF">
        <w:rPr>
          <w:noProof/>
        </w:rPr>
        <w:t>(28)</w:t>
      </w:r>
      <w:r w:rsidR="00EB21DF">
        <w:fldChar w:fldCharType="end"/>
      </w:r>
      <w:r w:rsidR="008A2BEB">
        <w:t>. This is</w:t>
      </w:r>
      <w:r w:rsidR="00886CAE">
        <w:t xml:space="preserve"> particularly </w:t>
      </w:r>
      <w:r w:rsidR="008A2BEB">
        <w:t xml:space="preserve">relevant </w:t>
      </w:r>
      <w:r w:rsidR="00886CAE">
        <w:t>when systems and training development a</w:t>
      </w:r>
      <w:r w:rsidR="008A2BEB">
        <w:t>re required</w:t>
      </w:r>
      <w:r w:rsidR="00016743">
        <w:t>, even if existing human, social and other capital in participating organisations are being leveraged</w:t>
      </w:r>
      <w:r w:rsidR="004433E2">
        <w:t xml:space="preserve">. </w:t>
      </w:r>
    </w:p>
    <w:p w14:paraId="0DD44522" w14:textId="4338C3E5" w:rsidR="005B67FB" w:rsidRDefault="006A4A08" w:rsidP="009A2E68">
      <w:pPr>
        <w:pStyle w:val="BodyText"/>
      </w:pPr>
      <w:r>
        <w:t xml:space="preserve">The responsibility for </w:t>
      </w:r>
      <w:r w:rsidR="0060050F">
        <w:t xml:space="preserve">this funding may be </w:t>
      </w:r>
      <w:r w:rsidR="00031D85">
        <w:t xml:space="preserve">shared </w:t>
      </w:r>
      <w:r w:rsidR="0060050F">
        <w:t xml:space="preserve">between </w:t>
      </w:r>
      <w:r w:rsidR="00A920D9">
        <w:t xml:space="preserve">the Commonwealth </w:t>
      </w:r>
      <w:r w:rsidR="00031D85">
        <w:t>and participating state and territories</w:t>
      </w:r>
      <w:r w:rsidR="002E3DAD">
        <w:t xml:space="preserve">. </w:t>
      </w:r>
      <w:r w:rsidR="000B11A9">
        <w:t>A</w:t>
      </w:r>
      <w:r w:rsidR="002E3DAD">
        <w:t xml:space="preserve"> national coordination role </w:t>
      </w:r>
      <w:r w:rsidR="000B11A9">
        <w:t xml:space="preserve">as </w:t>
      </w:r>
      <w:r w:rsidR="002E3DAD">
        <w:t>discussed in section 9.1.5</w:t>
      </w:r>
      <w:r w:rsidR="00A97E68">
        <w:t xml:space="preserve"> </w:t>
      </w:r>
      <w:r w:rsidR="008C4833">
        <w:t>w</w:t>
      </w:r>
      <w:r w:rsidR="00A97E68">
        <w:t xml:space="preserve">ould </w:t>
      </w:r>
      <w:r w:rsidR="008C4833">
        <w:t xml:space="preserve">ideally </w:t>
      </w:r>
      <w:r w:rsidR="00A97E68">
        <w:t xml:space="preserve">be supported by </w:t>
      </w:r>
      <w:r w:rsidR="000F44CB">
        <w:t>Commonwealth funding</w:t>
      </w:r>
      <w:r w:rsidR="00E703E5">
        <w:t>. Dedicated</w:t>
      </w:r>
      <w:r w:rsidR="0005298F">
        <w:t xml:space="preserve"> </w:t>
      </w:r>
      <w:r w:rsidR="000F44CB">
        <w:t>state/territory</w:t>
      </w:r>
      <w:r w:rsidR="00B37B17">
        <w:t>-</w:t>
      </w:r>
      <w:r w:rsidR="000F44CB">
        <w:t>based implementation</w:t>
      </w:r>
      <w:r w:rsidR="00867569">
        <w:t xml:space="preserve"> </w:t>
      </w:r>
      <w:r w:rsidR="001A154B">
        <w:t>staff with ongoing responsibilities for naloxone programs</w:t>
      </w:r>
      <w:r w:rsidR="006E3322">
        <w:t xml:space="preserve"> would be best</w:t>
      </w:r>
      <w:r w:rsidR="00867569">
        <w:t xml:space="preserve"> supported by jurisdictional funding. </w:t>
      </w:r>
      <w:r w:rsidR="00B65FA6">
        <w:t xml:space="preserve">The provision of such funding may be a lever by which </w:t>
      </w:r>
      <w:r w:rsidR="0082179A">
        <w:t xml:space="preserve">organisational participation in </w:t>
      </w:r>
      <w:r w:rsidR="005F42D5">
        <w:t xml:space="preserve">cross-sectoral </w:t>
      </w:r>
      <w:r w:rsidR="0082179A">
        <w:t>coordination activities</w:t>
      </w:r>
      <w:r w:rsidR="00FC0FB2">
        <w:t xml:space="preserve">, monitoring and </w:t>
      </w:r>
      <w:r w:rsidR="003E0EDC">
        <w:t xml:space="preserve">reporting could be </w:t>
      </w:r>
      <w:r w:rsidR="000918F7">
        <w:t>encouraged.</w:t>
      </w:r>
    </w:p>
    <w:p w14:paraId="5DA2C9A3" w14:textId="0FEFC725" w:rsidR="00E030E8" w:rsidRDefault="00E030E8" w:rsidP="000D38D2">
      <w:pPr>
        <w:pStyle w:val="NbrHeading4"/>
      </w:pPr>
      <w:r>
        <w:t>Supply chain sustainability</w:t>
      </w:r>
    </w:p>
    <w:p w14:paraId="4C56A5B6" w14:textId="77777777" w:rsidR="00EB65FA" w:rsidRDefault="0088539F" w:rsidP="0093644E">
      <w:r>
        <w:t xml:space="preserve">Existing supply chain mechanisms for pharmacies </w:t>
      </w:r>
      <w:r w:rsidR="00F90EB1">
        <w:t>appear to be working well</w:t>
      </w:r>
      <w:r w:rsidR="00135F39">
        <w:t xml:space="preserve"> in the current Pilot</w:t>
      </w:r>
      <w:r w:rsidR="000C0279">
        <w:t xml:space="preserve">, and </w:t>
      </w:r>
      <w:r w:rsidR="00EC3F1D">
        <w:t xml:space="preserve">future </w:t>
      </w:r>
      <w:r w:rsidR="000C0279">
        <w:t xml:space="preserve">reimbursement </w:t>
      </w:r>
      <w:r w:rsidR="00BC54BC">
        <w:t>activities</w:t>
      </w:r>
      <w:r w:rsidR="000C0279">
        <w:t xml:space="preserve"> could </w:t>
      </w:r>
      <w:r w:rsidR="00DF72F6">
        <w:t xml:space="preserve">potentially </w:t>
      </w:r>
      <w:r w:rsidR="000C0279">
        <w:t>be migrated to the Services Australia system to align with other PBS programs</w:t>
      </w:r>
      <w:r w:rsidR="00F90EB1">
        <w:t>.</w:t>
      </w:r>
      <w:r w:rsidR="00AC3CD6">
        <w:t xml:space="preserve"> </w:t>
      </w:r>
      <w:r w:rsidR="00710747">
        <w:t xml:space="preserve">Some form of </w:t>
      </w:r>
      <w:r w:rsidR="00DF72F6">
        <w:t xml:space="preserve">prior authority </w:t>
      </w:r>
      <w:r w:rsidR="00710747">
        <w:t xml:space="preserve">approval would </w:t>
      </w:r>
      <w:r w:rsidR="00EB65FA">
        <w:t xml:space="preserve">however </w:t>
      </w:r>
      <w:r w:rsidR="00710747">
        <w:lastRenderedPageBreak/>
        <w:t xml:space="preserve">need to be incorporated into the current system to permit </w:t>
      </w:r>
      <w:r w:rsidR="00EB65FA">
        <w:t>PBS-</w:t>
      </w:r>
      <w:r w:rsidR="00710747">
        <w:t>subsidised supply without a prescription.</w:t>
      </w:r>
      <w:r w:rsidR="00EB65FA">
        <w:t xml:space="preserve"> </w:t>
      </w:r>
    </w:p>
    <w:p w14:paraId="6E419386" w14:textId="625BC763" w:rsidR="0088539F" w:rsidRDefault="00AC3CD6" w:rsidP="0093644E">
      <w:r>
        <w:t xml:space="preserve">Based on reports from </w:t>
      </w:r>
      <w:r w:rsidR="00F77E0E">
        <w:t xml:space="preserve">WA and NSW, supply chain mechanisms for </w:t>
      </w:r>
      <w:r w:rsidR="008905DB">
        <w:t>AAS</w:t>
      </w:r>
      <w:r w:rsidR="00F77E0E">
        <w:t xml:space="preserve"> could </w:t>
      </w:r>
      <w:r w:rsidR="00C174D3">
        <w:t>benefit from</w:t>
      </w:r>
      <w:r w:rsidR="00F77E0E">
        <w:t xml:space="preserve"> streamlining.</w:t>
      </w:r>
      <w:r w:rsidR="00902A35">
        <w:t xml:space="preserve"> </w:t>
      </w:r>
      <w:r w:rsidR="0009748E">
        <w:t xml:space="preserve">In WA, </w:t>
      </w:r>
      <w:r w:rsidR="00593AA8">
        <w:t>the</w:t>
      </w:r>
      <w:r w:rsidR="0009748E">
        <w:t xml:space="preserve"> single bulk supply arrangement </w:t>
      </w:r>
      <w:r w:rsidR="00F571BE">
        <w:t xml:space="preserve">is appreciated by services but </w:t>
      </w:r>
      <w:r w:rsidR="0009748E">
        <w:t>ma</w:t>
      </w:r>
      <w:r w:rsidR="0071673F">
        <w:t xml:space="preserve">y result in </w:t>
      </w:r>
      <w:r w:rsidR="00C8334B">
        <w:t xml:space="preserve">delayed delivery if </w:t>
      </w:r>
      <w:r w:rsidR="006D7DB0">
        <w:t xml:space="preserve">stock forecasting is not </w:t>
      </w:r>
      <w:r w:rsidR="0012707F">
        <w:t>accurate</w:t>
      </w:r>
      <w:r w:rsidR="00F571BE">
        <w:t xml:space="preserve">. The NSW </w:t>
      </w:r>
      <w:r w:rsidR="00507344">
        <w:t xml:space="preserve">distribution arrangement </w:t>
      </w:r>
      <w:r w:rsidR="00D83371">
        <w:t xml:space="preserve">for AAS </w:t>
      </w:r>
      <w:r w:rsidR="00507344">
        <w:t xml:space="preserve">incurs </w:t>
      </w:r>
      <w:r w:rsidR="00D83371">
        <w:t xml:space="preserve">larger costs due to small-volume ordering by individual </w:t>
      </w:r>
      <w:r w:rsidR="00D745BA">
        <w:t xml:space="preserve">sites; </w:t>
      </w:r>
      <w:r w:rsidR="00EA12CE">
        <w:t xml:space="preserve">a coordinated system may be able to leverage </w:t>
      </w:r>
      <w:r w:rsidR="00C1519F">
        <w:t xml:space="preserve">higher levels of activity to reduce these costs. </w:t>
      </w:r>
    </w:p>
    <w:p w14:paraId="5CE8D135" w14:textId="12221711" w:rsidR="0093644E" w:rsidRDefault="00BF2819" w:rsidP="000D38D2">
      <w:r>
        <w:t xml:space="preserve">Alternatively, if smaller AAS were able </w:t>
      </w:r>
      <w:r w:rsidR="0093644E">
        <w:t xml:space="preserve">to negotiate ‘bulk supply’ through a local entity </w:t>
      </w:r>
      <w:r w:rsidR="0022345F">
        <w:t xml:space="preserve">(such as a </w:t>
      </w:r>
      <w:r w:rsidR="0093644E">
        <w:t xml:space="preserve">pharmacy or bulk AAS, potentially connected to </w:t>
      </w:r>
      <w:r w:rsidR="0022345F">
        <w:t xml:space="preserve">a </w:t>
      </w:r>
      <w:r w:rsidR="0093644E">
        <w:t xml:space="preserve">local hospital/health service), </w:t>
      </w:r>
      <w:r w:rsidR="0022345F">
        <w:t>this may</w:t>
      </w:r>
      <w:r w:rsidR="0093644E">
        <w:t xml:space="preserve"> obviate the need for independent supply chain/distribution mechanisms. Claiming could </w:t>
      </w:r>
      <w:r w:rsidR="00A72201">
        <w:t xml:space="preserve">then </w:t>
      </w:r>
      <w:r w:rsidR="0093644E">
        <w:t xml:space="preserve">be undertaken by </w:t>
      </w:r>
      <w:r w:rsidR="00A72201">
        <w:t xml:space="preserve">the </w:t>
      </w:r>
      <w:r w:rsidR="0093644E">
        <w:t xml:space="preserve">bulk supplier through </w:t>
      </w:r>
      <w:r w:rsidR="00A72201">
        <w:t xml:space="preserve">an adjusted </w:t>
      </w:r>
      <w:r w:rsidR="0093644E">
        <w:t>Services Australia</w:t>
      </w:r>
      <w:r w:rsidR="00A72201">
        <w:t xml:space="preserve"> arrangement.</w:t>
      </w:r>
    </w:p>
    <w:p w14:paraId="33B430EF" w14:textId="0751BADF" w:rsidR="00881D51" w:rsidRPr="00CF540F" w:rsidRDefault="00881D51" w:rsidP="000D38D2">
      <w:pPr>
        <w:rPr>
          <w:lang w:eastAsia="en-AU"/>
        </w:rPr>
      </w:pPr>
      <w:r>
        <w:t xml:space="preserve">Measures to ensure </w:t>
      </w:r>
      <w:r w:rsidR="00752C07">
        <w:t>demand for naloxone can be met may be useful</w:t>
      </w:r>
      <w:r w:rsidR="00232D7B">
        <w:t>. O</w:t>
      </w:r>
      <w:r w:rsidR="00752C07">
        <w:t>ne round table suggest</w:t>
      </w:r>
      <w:r w:rsidR="00E64081">
        <w:t>ion was for</w:t>
      </w:r>
      <w:r w:rsidR="00752C07">
        <w:t xml:space="preserve"> </w:t>
      </w:r>
      <w:r w:rsidR="005A6528">
        <w:t xml:space="preserve">all pharmacies </w:t>
      </w:r>
      <w:r w:rsidR="00E64081">
        <w:t xml:space="preserve">to </w:t>
      </w:r>
      <w:r w:rsidR="005A6528">
        <w:t xml:space="preserve">be provided with </w:t>
      </w:r>
      <w:r w:rsidR="00232D7B">
        <w:t>two</w:t>
      </w:r>
      <w:r w:rsidR="005A6528">
        <w:t xml:space="preserve"> units of naloxone as a ‘sta</w:t>
      </w:r>
      <w:r w:rsidR="001826E8">
        <w:t>rter kit’ to encourage stocking</w:t>
      </w:r>
      <w:r w:rsidR="00085B7F">
        <w:t>,</w:t>
      </w:r>
      <w:r w:rsidR="00232D7B">
        <w:t xml:space="preserve"> but the cost of this may prove prohibitive</w:t>
      </w:r>
      <w:r w:rsidR="00ED6714">
        <w:t>. It may also provide</w:t>
      </w:r>
      <w:r w:rsidR="00232D7B">
        <w:t xml:space="preserve"> a limited return</w:t>
      </w:r>
      <w:r w:rsidR="00E578A6">
        <w:t xml:space="preserve"> prior to demand being established</w:t>
      </w:r>
      <w:r w:rsidR="00ED6714">
        <w:t>, with a risk of stock going out of date ahead of provision.</w:t>
      </w:r>
      <w:r w:rsidR="001826E8">
        <w:t xml:space="preserve"> </w:t>
      </w:r>
      <w:r w:rsidR="007749F7">
        <w:t>O</w:t>
      </w:r>
      <w:r w:rsidR="001826E8">
        <w:t>ne US state</w:t>
      </w:r>
      <w:r w:rsidR="007749F7">
        <w:t xml:space="preserve"> has mandated that all community pharmacies maintain a sufficient supply of naloxone for dispensing</w:t>
      </w:r>
      <w:r w:rsidR="00C44A28">
        <w:t>;</w:t>
      </w:r>
      <w:r w:rsidR="00E3001F">
        <w:t xml:space="preserve"> such a strategy</w:t>
      </w:r>
      <w:r w:rsidR="00F9061E">
        <w:t xml:space="preserve"> </w:t>
      </w:r>
      <w:r w:rsidR="008B0D49">
        <w:t>places the onus for ordering</w:t>
      </w:r>
      <w:r w:rsidR="00FA397E">
        <w:t xml:space="preserve"> (</w:t>
      </w:r>
      <w:r w:rsidR="008B0D49">
        <w:t xml:space="preserve">and then </w:t>
      </w:r>
      <w:r w:rsidR="00D56F43">
        <w:t>provision to ensure</w:t>
      </w:r>
      <w:r w:rsidR="00E3001F">
        <w:t xml:space="preserve"> that purchase cost is reimbursed</w:t>
      </w:r>
      <w:r w:rsidR="00FA397E">
        <w:t>)</w:t>
      </w:r>
      <w:r w:rsidR="008B0D49">
        <w:t xml:space="preserve"> on the </w:t>
      </w:r>
      <w:r w:rsidR="00656798">
        <w:t xml:space="preserve">site rather than the </w:t>
      </w:r>
      <w:r w:rsidR="00FA397E">
        <w:t xml:space="preserve">program </w:t>
      </w:r>
      <w:r w:rsidR="00656798">
        <w:t>sponsor</w:t>
      </w:r>
      <w:r w:rsidR="004C3B84">
        <w:t xml:space="preserve"> </w:t>
      </w:r>
      <w:r w:rsidR="00C44A28">
        <w:fldChar w:fldCharType="begin"/>
      </w:r>
      <w:r w:rsidR="00441C1C">
        <w:instrText xml:space="preserve"> ADDIN EN.CITE &lt;EndNote&gt;&lt;Cite&gt;&lt;Author&gt;Wu&lt;/Author&gt;&lt;Year&gt;2020&lt;/Year&gt;&lt;RecNum&gt;152&lt;/RecNum&gt;&lt;DisplayText&gt;(59)&lt;/DisplayText&gt;&lt;record&gt;&lt;rec-number&gt;152&lt;/rec-number&gt;&lt;foreign-keys&gt;&lt;key app="EN" db-id="p00v9zw27zzswpe25phxpead0asdt50td92p" timestamp="1631060894"&gt;152&lt;/key&gt;&lt;/foreign-keys&gt;&lt;ref-type name="Journal Article"&gt;17&lt;/ref-type&gt;&lt;contributors&gt;&lt;authors&gt;&lt;author&gt;Wu, Cindy&lt;/author&gt;&lt;author&gt;Brown, Todd&lt;/author&gt;&lt;author&gt;Moreno, Jessica L&lt;/author&gt;&lt;/authors&gt;&lt;/contributors&gt;&lt;titles&gt;&lt;title&gt;Access to naloxone at community pharmacies under the Massachusetts statewide standing order&lt;/title&gt;&lt;secondary-title&gt;Journal of the American Pharmacists Association&lt;/secondary-title&gt;&lt;/titles&gt;&lt;periodical&gt;&lt;full-title&gt;Journal of the American Pharmacists Association&lt;/full-title&gt;&lt;/periodical&gt;&lt;pages&gt;647-652&lt;/pages&gt;&lt;volume&gt;60&lt;/volume&gt;&lt;number&gt;4&lt;/number&gt;&lt;dates&gt;&lt;year&gt;2020&lt;/year&gt;&lt;/dates&gt;&lt;isbn&gt;1544-3191&lt;/isbn&gt;&lt;urls&gt;&lt;/urls&gt;&lt;/record&gt;&lt;/Cite&gt;&lt;/EndNote&gt;</w:instrText>
      </w:r>
      <w:r w:rsidR="00C44A28">
        <w:fldChar w:fldCharType="separate"/>
      </w:r>
      <w:r w:rsidR="00441C1C">
        <w:rPr>
          <w:noProof/>
        </w:rPr>
        <w:t>(59)</w:t>
      </w:r>
      <w:r w:rsidR="00C44A28">
        <w:fldChar w:fldCharType="end"/>
      </w:r>
      <w:r w:rsidR="004C3B84">
        <w:t>.</w:t>
      </w:r>
    </w:p>
    <w:p w14:paraId="10EFD524" w14:textId="6F3243E6" w:rsidR="00E02011" w:rsidRDefault="00E02011" w:rsidP="00E06CB6">
      <w:pPr>
        <w:pStyle w:val="NbrHeading3"/>
      </w:pPr>
      <w:bookmarkStart w:id="364" w:name="_Toc94794175"/>
      <w:bookmarkStart w:id="365" w:name="_Toc94794319"/>
      <w:r>
        <w:t>Training</w:t>
      </w:r>
      <w:r w:rsidR="00692664">
        <w:t xml:space="preserve"> and education</w:t>
      </w:r>
      <w:bookmarkEnd w:id="364"/>
      <w:bookmarkEnd w:id="365"/>
    </w:p>
    <w:p w14:paraId="540D2D3C" w14:textId="36923204" w:rsidR="00C507C4" w:rsidRDefault="00B67961" w:rsidP="005E41C7">
      <w:pPr>
        <w:pStyle w:val="BodyText"/>
        <w:rPr>
          <w:lang w:eastAsia="en-AU"/>
        </w:rPr>
      </w:pPr>
      <w:r>
        <w:rPr>
          <w:lang w:eastAsia="en-AU"/>
        </w:rPr>
        <w:t xml:space="preserve">Although the existing skills of pharmacists in dispensing and advising on medicine safety </w:t>
      </w:r>
      <w:r w:rsidR="00516A66">
        <w:rPr>
          <w:lang w:eastAsia="en-AU"/>
        </w:rPr>
        <w:t xml:space="preserve">are acknowledged, </w:t>
      </w:r>
      <w:r w:rsidR="00E3770D">
        <w:rPr>
          <w:lang w:eastAsia="en-AU"/>
        </w:rPr>
        <w:t>naloxone-</w:t>
      </w:r>
      <w:r w:rsidR="00310741">
        <w:rPr>
          <w:lang w:eastAsia="en-AU"/>
        </w:rPr>
        <w:t>specific training and advice</w:t>
      </w:r>
      <w:r w:rsidR="00E03C67">
        <w:rPr>
          <w:lang w:eastAsia="en-AU"/>
        </w:rPr>
        <w:t xml:space="preserve"> were broadly appreciated by</w:t>
      </w:r>
      <w:r w:rsidR="009B4BA9">
        <w:rPr>
          <w:lang w:eastAsia="en-AU"/>
        </w:rPr>
        <w:t xml:space="preserve"> </w:t>
      </w:r>
      <w:r w:rsidR="00460827">
        <w:rPr>
          <w:lang w:eastAsia="en-AU"/>
        </w:rPr>
        <w:t xml:space="preserve">interview participants. </w:t>
      </w:r>
      <w:r w:rsidR="00260E24">
        <w:rPr>
          <w:lang w:eastAsia="en-AU"/>
        </w:rPr>
        <w:t xml:space="preserve">Similarly, staff at many </w:t>
      </w:r>
      <w:r w:rsidR="002E6A81">
        <w:rPr>
          <w:lang w:eastAsia="en-AU"/>
        </w:rPr>
        <w:t xml:space="preserve">AOD-specific </w:t>
      </w:r>
      <w:r w:rsidR="00260E24">
        <w:rPr>
          <w:lang w:eastAsia="en-AU"/>
        </w:rPr>
        <w:t xml:space="preserve">AAS had pre-existing harm reduction knowledge and skills in harm </w:t>
      </w:r>
      <w:proofErr w:type="gramStart"/>
      <w:r w:rsidR="00260E24">
        <w:rPr>
          <w:lang w:eastAsia="en-AU"/>
        </w:rPr>
        <w:t>reduction, but</w:t>
      </w:r>
      <w:proofErr w:type="gramEnd"/>
      <w:r w:rsidR="00260E24">
        <w:rPr>
          <w:lang w:eastAsia="en-AU"/>
        </w:rPr>
        <w:t xml:space="preserve"> </w:t>
      </w:r>
      <w:r w:rsidR="00492B04">
        <w:rPr>
          <w:lang w:eastAsia="en-AU"/>
        </w:rPr>
        <w:t xml:space="preserve">recognised the value of training specific to </w:t>
      </w:r>
      <w:r w:rsidR="00511432">
        <w:rPr>
          <w:lang w:eastAsia="en-AU"/>
        </w:rPr>
        <w:t xml:space="preserve">educating others about </w:t>
      </w:r>
      <w:r w:rsidR="00492B04">
        <w:rPr>
          <w:lang w:eastAsia="en-AU"/>
        </w:rPr>
        <w:t>overdose</w:t>
      </w:r>
      <w:r w:rsidR="00511432">
        <w:rPr>
          <w:lang w:eastAsia="en-AU"/>
        </w:rPr>
        <w:t xml:space="preserve"> </w:t>
      </w:r>
      <w:r w:rsidR="000934E5">
        <w:rPr>
          <w:lang w:eastAsia="en-AU"/>
        </w:rPr>
        <w:t xml:space="preserve">prevention and </w:t>
      </w:r>
      <w:r w:rsidR="00E169EA">
        <w:rPr>
          <w:lang w:eastAsia="en-AU"/>
        </w:rPr>
        <w:t xml:space="preserve">naloxone. </w:t>
      </w:r>
      <w:r w:rsidR="0057640F">
        <w:rPr>
          <w:lang w:eastAsia="en-AU"/>
        </w:rPr>
        <w:t>Upskilling</w:t>
      </w:r>
      <w:r w:rsidR="00217CCC">
        <w:rPr>
          <w:lang w:eastAsia="en-AU"/>
        </w:rPr>
        <w:t xml:space="preserve"> for more generalist services</w:t>
      </w:r>
      <w:r w:rsidR="00357679">
        <w:rPr>
          <w:lang w:eastAsia="en-AU"/>
        </w:rPr>
        <w:t xml:space="preserve"> to provide naloxone will </w:t>
      </w:r>
      <w:r w:rsidR="00B73CDE">
        <w:rPr>
          <w:lang w:eastAsia="en-AU"/>
        </w:rPr>
        <w:t xml:space="preserve">continue to be necessary. </w:t>
      </w:r>
      <w:r w:rsidR="003F1786">
        <w:rPr>
          <w:lang w:eastAsia="en-AU"/>
        </w:rPr>
        <w:t>As a result, training and education will</w:t>
      </w:r>
      <w:r w:rsidR="00B73CDE">
        <w:rPr>
          <w:lang w:eastAsia="en-AU"/>
        </w:rPr>
        <w:t xml:space="preserve"> </w:t>
      </w:r>
      <w:r w:rsidR="00357679">
        <w:rPr>
          <w:lang w:eastAsia="en-AU"/>
        </w:rPr>
        <w:t>be an ongoing requirement for a national program.</w:t>
      </w:r>
    </w:p>
    <w:p w14:paraId="647425B2" w14:textId="4B7D20C3" w:rsidR="0053760B" w:rsidRDefault="0053760B" w:rsidP="001F3892">
      <w:pPr>
        <w:pStyle w:val="NbrHeading5"/>
      </w:pPr>
      <w:r>
        <w:t>Professional education</w:t>
      </w:r>
    </w:p>
    <w:p w14:paraId="01354281" w14:textId="3A9683DC" w:rsidR="00DD6AC0" w:rsidRDefault="00C507C4" w:rsidP="00E06CB6">
      <w:pPr>
        <w:pStyle w:val="BodyText"/>
        <w:rPr>
          <w:lang w:eastAsia="en-AU"/>
        </w:rPr>
      </w:pPr>
      <w:r>
        <w:rPr>
          <w:lang w:eastAsia="en-AU"/>
        </w:rPr>
        <w:t xml:space="preserve">For </w:t>
      </w:r>
      <w:r w:rsidR="00847F5D">
        <w:rPr>
          <w:lang w:eastAsia="en-AU"/>
        </w:rPr>
        <w:t>community</w:t>
      </w:r>
      <w:r>
        <w:rPr>
          <w:lang w:eastAsia="en-AU"/>
        </w:rPr>
        <w:t xml:space="preserve"> pharmacy staff, the i</w:t>
      </w:r>
      <w:r w:rsidR="005E41C7">
        <w:rPr>
          <w:lang w:eastAsia="en-AU"/>
        </w:rPr>
        <w:t>nclusion</w:t>
      </w:r>
      <w:r>
        <w:rPr>
          <w:lang w:eastAsia="en-AU"/>
        </w:rPr>
        <w:t xml:space="preserve"> of naloxone </w:t>
      </w:r>
      <w:r w:rsidR="4C1E1EE6" w:rsidRPr="3E67DF6C">
        <w:rPr>
          <w:lang w:eastAsia="en-AU"/>
        </w:rPr>
        <w:t>education and training</w:t>
      </w:r>
      <w:r w:rsidRPr="3E67DF6C">
        <w:rPr>
          <w:lang w:eastAsia="en-AU"/>
        </w:rPr>
        <w:t xml:space="preserve"> </w:t>
      </w:r>
      <w:r>
        <w:rPr>
          <w:lang w:eastAsia="en-AU"/>
        </w:rPr>
        <w:t xml:space="preserve">in </w:t>
      </w:r>
      <w:r w:rsidR="00895DF9">
        <w:rPr>
          <w:lang w:eastAsia="en-AU"/>
        </w:rPr>
        <w:t>the p</w:t>
      </w:r>
      <w:r w:rsidR="000415B1">
        <w:rPr>
          <w:lang w:eastAsia="en-AU"/>
        </w:rPr>
        <w:t xml:space="preserve">harmacy degree program </w:t>
      </w:r>
      <w:r w:rsidR="00895DF9">
        <w:rPr>
          <w:lang w:eastAsia="en-AU"/>
        </w:rPr>
        <w:t>would ensure all new professionals acquire the specific knowledge</w:t>
      </w:r>
      <w:r w:rsidR="005A35FE">
        <w:rPr>
          <w:lang w:eastAsia="en-AU"/>
        </w:rPr>
        <w:t xml:space="preserve"> but may be challenging</w:t>
      </w:r>
      <w:r w:rsidR="002D37EE">
        <w:rPr>
          <w:lang w:eastAsia="en-AU"/>
        </w:rPr>
        <w:t xml:space="preserve"> </w:t>
      </w:r>
      <w:r w:rsidR="00841CFB">
        <w:rPr>
          <w:lang w:eastAsia="en-AU"/>
        </w:rPr>
        <w:t>to achieve across multiple educational providers</w:t>
      </w:r>
      <w:r w:rsidR="00895DF9">
        <w:rPr>
          <w:lang w:eastAsia="en-AU"/>
        </w:rPr>
        <w:t xml:space="preserve">. </w:t>
      </w:r>
      <w:r w:rsidR="003C4ED5">
        <w:rPr>
          <w:lang w:eastAsia="en-AU"/>
        </w:rPr>
        <w:t xml:space="preserve">Inclusion of overdose awareness training as a ‘performance outcome standard’ through the Australian Pharmacy Council would ensure that all </w:t>
      </w:r>
      <w:r w:rsidR="008F69B9">
        <w:rPr>
          <w:lang w:eastAsia="en-AU"/>
        </w:rPr>
        <w:t xml:space="preserve">new </w:t>
      </w:r>
      <w:r w:rsidR="003C4ED5">
        <w:rPr>
          <w:lang w:eastAsia="en-AU"/>
        </w:rPr>
        <w:t>pharmacy graduates</w:t>
      </w:r>
      <w:r w:rsidR="00A019E2">
        <w:rPr>
          <w:lang w:eastAsia="en-AU"/>
        </w:rPr>
        <w:t xml:space="preserve"> achieve these standards during either their degree program or the subsequent internship.</w:t>
      </w:r>
      <w:r w:rsidR="00ED5BB3">
        <w:rPr>
          <w:lang w:eastAsia="en-AU"/>
        </w:rPr>
        <w:t xml:space="preserve"> </w:t>
      </w:r>
      <w:r w:rsidR="00A66DBD">
        <w:rPr>
          <w:lang w:eastAsia="en-AU"/>
        </w:rPr>
        <w:t>Training for pharmacy assistants should be developed in consultation with the</w:t>
      </w:r>
      <w:r w:rsidR="008B0292">
        <w:rPr>
          <w:lang w:eastAsia="en-AU"/>
        </w:rPr>
        <w:t xml:space="preserve"> pharmacy sector</w:t>
      </w:r>
      <w:r w:rsidR="00A66DBD">
        <w:rPr>
          <w:lang w:eastAsia="en-AU"/>
        </w:rPr>
        <w:t>.</w:t>
      </w:r>
    </w:p>
    <w:p w14:paraId="1FD2F6BB" w14:textId="53305641" w:rsidR="005E41C7" w:rsidRPr="00E06CB6" w:rsidRDefault="00ED5BB3" w:rsidP="00E06CB6">
      <w:pPr>
        <w:pStyle w:val="BodyText"/>
        <w:rPr>
          <w:lang w:eastAsia="en-AU"/>
        </w:rPr>
      </w:pPr>
      <w:r>
        <w:rPr>
          <w:lang w:eastAsia="en-AU"/>
        </w:rPr>
        <w:t xml:space="preserve">Completion of overdose/naloxone training could be made mandatory for pharmacies wishing to register as OAT </w:t>
      </w:r>
      <w:proofErr w:type="gramStart"/>
      <w:r>
        <w:rPr>
          <w:lang w:eastAsia="en-AU"/>
        </w:rPr>
        <w:t>providers, but</w:t>
      </w:r>
      <w:proofErr w:type="gramEnd"/>
      <w:r>
        <w:rPr>
          <w:lang w:eastAsia="en-AU"/>
        </w:rPr>
        <w:t xml:space="preserve"> may restrict the potential pool of access sites to those </w:t>
      </w:r>
      <w:r w:rsidR="00355FB2">
        <w:rPr>
          <w:lang w:eastAsia="en-AU"/>
        </w:rPr>
        <w:t xml:space="preserve">intending to address AOD issues, and the pool of recipients to people </w:t>
      </w:r>
      <w:r w:rsidR="00275A9F">
        <w:rPr>
          <w:lang w:eastAsia="en-AU"/>
        </w:rPr>
        <w:t>engaged in this treatment.</w:t>
      </w:r>
    </w:p>
    <w:p w14:paraId="1EEE340B" w14:textId="7AB55217" w:rsidR="00321DB7" w:rsidRPr="00E06CB6" w:rsidRDefault="00321DB7" w:rsidP="00512F0E">
      <w:pPr>
        <w:rPr>
          <w:lang w:eastAsia="en-AU"/>
        </w:rPr>
      </w:pPr>
      <w:r>
        <w:t xml:space="preserve">Incorporating </w:t>
      </w:r>
      <w:r w:rsidR="00E32985">
        <w:t>naloxone and overdose into</w:t>
      </w:r>
      <w:r>
        <w:t xml:space="preserve"> professional guidelines</w:t>
      </w:r>
      <w:r w:rsidR="00DD6AC0">
        <w:t xml:space="preserve"> and </w:t>
      </w:r>
      <w:r>
        <w:t xml:space="preserve">standard competencies </w:t>
      </w:r>
      <w:r w:rsidR="00DD6AC0">
        <w:t>would be similarly helpful for other professionals</w:t>
      </w:r>
      <w:r w:rsidR="004D3C96">
        <w:t>,</w:t>
      </w:r>
      <w:r w:rsidR="00DD6AC0">
        <w:t xml:space="preserve"> </w:t>
      </w:r>
      <w:r w:rsidR="00765986">
        <w:t>as would attaching CPD points to training. Liaison with peak bodies will facilitate th</w:t>
      </w:r>
      <w:r w:rsidR="00C60ECE">
        <w:t>ese</w:t>
      </w:r>
      <w:r w:rsidR="00765986">
        <w:t xml:space="preserve">. </w:t>
      </w:r>
    </w:p>
    <w:p w14:paraId="2DE2F1C3" w14:textId="5E2CFD5B" w:rsidR="001F5281" w:rsidRDefault="00661AFB" w:rsidP="00E06CB6">
      <w:pPr>
        <w:pStyle w:val="BodyText"/>
        <w:rPr>
          <w:lang w:eastAsia="en-AU"/>
        </w:rPr>
      </w:pPr>
      <w:r>
        <w:rPr>
          <w:lang w:eastAsia="en-AU"/>
        </w:rPr>
        <w:t>Continual inclusion of overdose awareness and naloxone training in CPD allocations</w:t>
      </w:r>
      <w:r w:rsidR="00B04972">
        <w:rPr>
          <w:lang w:eastAsia="en-AU"/>
        </w:rPr>
        <w:t xml:space="preserve"> for a range of professionals</w:t>
      </w:r>
      <w:r w:rsidR="008902B7">
        <w:rPr>
          <w:lang w:eastAsia="en-AU"/>
        </w:rPr>
        <w:t xml:space="preserve"> GPs, nurse practitioners, allied health professionals</w:t>
      </w:r>
      <w:r w:rsidR="00771FA9">
        <w:rPr>
          <w:lang w:eastAsia="en-AU"/>
        </w:rPr>
        <w:t>, and pharmacists</w:t>
      </w:r>
      <w:r w:rsidR="00E0134B">
        <w:rPr>
          <w:lang w:eastAsia="en-AU"/>
        </w:rPr>
        <w:t xml:space="preserve"> will encourage uptake</w:t>
      </w:r>
      <w:r w:rsidR="0094760E">
        <w:rPr>
          <w:lang w:eastAsia="en-AU"/>
        </w:rPr>
        <w:t>.</w:t>
      </w:r>
      <w:r w:rsidR="00E0134B">
        <w:rPr>
          <w:lang w:eastAsia="en-AU"/>
        </w:rPr>
        <w:t xml:space="preserve"> </w:t>
      </w:r>
    </w:p>
    <w:p w14:paraId="56FF433A" w14:textId="77777777" w:rsidR="001F5281" w:rsidRDefault="001F5281" w:rsidP="001F5281">
      <w:pPr>
        <w:pStyle w:val="NbrHeading5"/>
      </w:pPr>
      <w:r>
        <w:lastRenderedPageBreak/>
        <w:t>Access site staff</w:t>
      </w:r>
    </w:p>
    <w:p w14:paraId="4CD303B9" w14:textId="09A2B93A" w:rsidR="00DD49F9" w:rsidRDefault="00DD49F9" w:rsidP="00E06CB6">
      <w:pPr>
        <w:pStyle w:val="BodyText"/>
        <w:rPr>
          <w:lang w:eastAsia="en-AU"/>
        </w:rPr>
      </w:pPr>
      <w:r>
        <w:rPr>
          <w:lang w:eastAsia="en-AU"/>
        </w:rPr>
        <w:t>Training and education on THN for access site staff should continue</w:t>
      </w:r>
      <w:r w:rsidR="00AC0808">
        <w:rPr>
          <w:lang w:eastAsia="en-AU"/>
        </w:rPr>
        <w:t>, be standardised,</w:t>
      </w:r>
      <w:r w:rsidR="004F4BB3" w:rsidRPr="004F4BB3">
        <w:t xml:space="preserve"> </w:t>
      </w:r>
      <w:r w:rsidR="004F4BB3">
        <w:t xml:space="preserve">and recognise existing staff skills to </w:t>
      </w:r>
      <w:r w:rsidR="004F4BB3" w:rsidRPr="006F3788">
        <w:t xml:space="preserve">reduce </w:t>
      </w:r>
      <w:r w:rsidR="004F4BB3">
        <w:t xml:space="preserve">any redundant credentialing requirements. </w:t>
      </w:r>
      <w:r w:rsidR="00692BFC">
        <w:t>O</w:t>
      </w:r>
      <w:r w:rsidR="00ED483B">
        <w:t>nline</w:t>
      </w:r>
      <w:r w:rsidR="00543CC1">
        <w:t xml:space="preserve"> </w:t>
      </w:r>
      <w:r w:rsidR="00ED483B">
        <w:t>interactive model</w:t>
      </w:r>
      <w:r w:rsidR="00692BFC">
        <w:t xml:space="preserve">s should be </w:t>
      </w:r>
      <w:r w:rsidR="00512B1C">
        <w:t>incorporated</w:t>
      </w:r>
      <w:r w:rsidR="00692BFC">
        <w:t xml:space="preserve"> to </w:t>
      </w:r>
      <w:r w:rsidR="00512B1C">
        <w:t>remove barriers of</w:t>
      </w:r>
      <w:r w:rsidR="003722D0">
        <w:t xml:space="preserve"> time and geographic </w:t>
      </w:r>
      <w:r w:rsidR="00AC0808">
        <w:t>access</w:t>
      </w:r>
      <w:r w:rsidR="003722D0">
        <w:t xml:space="preserve">. </w:t>
      </w:r>
      <w:r w:rsidR="00ED483B" w:rsidDel="004F4BB3">
        <w:t xml:space="preserve">and recognise existing staff skills to </w:t>
      </w:r>
      <w:r w:rsidR="00ED483B" w:rsidRPr="006F3788" w:rsidDel="004F4BB3">
        <w:t xml:space="preserve">reduce </w:t>
      </w:r>
      <w:r w:rsidR="00ED483B" w:rsidDel="004F4BB3">
        <w:t xml:space="preserve">redundant credentialling requirements. </w:t>
      </w:r>
    </w:p>
    <w:p w14:paraId="7C0F0711" w14:textId="77777777" w:rsidR="00C76EC0" w:rsidRDefault="00CD239F" w:rsidP="006A4A08">
      <w:pPr>
        <w:rPr>
          <w:lang w:eastAsia="en-AU"/>
        </w:rPr>
      </w:pPr>
      <w:r w:rsidDel="008B0292">
        <w:rPr>
          <w:lang w:eastAsia="en-AU"/>
        </w:rPr>
        <w:t>Consult</w:t>
      </w:r>
      <w:r w:rsidR="007F0B6A">
        <w:rPr>
          <w:lang w:eastAsia="en-AU"/>
        </w:rPr>
        <w:t>ation should be undertaken</w:t>
      </w:r>
      <w:r>
        <w:rPr>
          <w:lang w:eastAsia="en-AU"/>
        </w:rPr>
        <w:t xml:space="preserve"> with pharmacy sector about how to f</w:t>
      </w:r>
      <w:r w:rsidR="00771FA9">
        <w:rPr>
          <w:lang w:eastAsia="en-AU"/>
        </w:rPr>
        <w:t>acilitate training of all pharmacy assistants.</w:t>
      </w:r>
      <w:r w:rsidR="00512F0E">
        <w:rPr>
          <w:lang w:eastAsia="en-AU"/>
        </w:rPr>
        <w:t xml:space="preserve"> </w:t>
      </w:r>
    </w:p>
    <w:p w14:paraId="16A870E2" w14:textId="15A5287D" w:rsidR="001F5281" w:rsidRPr="00E06CB6" w:rsidRDefault="00812B78" w:rsidP="006A4A08">
      <w:pPr>
        <w:rPr>
          <w:lang w:eastAsia="en-AU"/>
        </w:rPr>
      </w:pPr>
      <w:r>
        <w:t xml:space="preserve">Inclusion of overdose response </w:t>
      </w:r>
      <w:r w:rsidR="0057119B">
        <w:t>skills and knowledge</w:t>
      </w:r>
      <w:r>
        <w:t xml:space="preserve"> in standard First Aid training may </w:t>
      </w:r>
      <w:r w:rsidR="008D20E4">
        <w:t xml:space="preserve">help </w:t>
      </w:r>
      <w:r>
        <w:t xml:space="preserve">promote broad community-level </w:t>
      </w:r>
      <w:r w:rsidR="008D20E4">
        <w:t>awareness</w:t>
      </w:r>
      <w:r>
        <w:t xml:space="preserve"> in addition to being helpful for a range of </w:t>
      </w:r>
      <w:r w:rsidR="00661983">
        <w:t>access site staff.</w:t>
      </w:r>
      <w:r>
        <w:t xml:space="preserve"> </w:t>
      </w:r>
    </w:p>
    <w:p w14:paraId="695AE183" w14:textId="77777777" w:rsidR="00E02011" w:rsidRDefault="00E02011" w:rsidP="00F35830">
      <w:pPr>
        <w:pStyle w:val="NbrHeading5"/>
      </w:pPr>
      <w:r>
        <w:t>For consumers</w:t>
      </w:r>
    </w:p>
    <w:p w14:paraId="65058B1A" w14:textId="54D9C911" w:rsidR="001051D8" w:rsidRDefault="00F95BE0" w:rsidP="00E06CB6">
      <w:pPr>
        <w:pStyle w:val="BodyText"/>
      </w:pPr>
      <w:r>
        <w:t>Brief</w:t>
      </w:r>
      <w:r w:rsidR="00AB0ED2">
        <w:t xml:space="preserve"> </w:t>
      </w:r>
      <w:r>
        <w:t>intervention</w:t>
      </w:r>
      <w:r w:rsidR="00FA33CF">
        <w:t>/education</w:t>
      </w:r>
      <w:r>
        <w:t xml:space="preserve"> for consumers needs to address negative perceptions of naloxone, as well as </w:t>
      </w:r>
      <w:r w:rsidR="00B45D55">
        <w:t>encouraging</w:t>
      </w:r>
      <w:r w:rsidR="00115A91">
        <w:t xml:space="preserve"> </w:t>
      </w:r>
      <w:r w:rsidR="00C43019">
        <w:t>best practice</w:t>
      </w:r>
      <w:r>
        <w:t xml:space="preserve"> </w:t>
      </w:r>
      <w:r w:rsidR="00B45D55">
        <w:t>in</w:t>
      </w:r>
      <w:r>
        <w:t xml:space="preserve"> administer</w:t>
      </w:r>
      <w:r w:rsidR="00B45D55">
        <w:t>ing</w:t>
      </w:r>
      <w:r>
        <w:t xml:space="preserve"> THN </w:t>
      </w:r>
      <w:r w:rsidR="00CB150F">
        <w:t xml:space="preserve">to reverse an overdose. </w:t>
      </w:r>
      <w:r w:rsidR="00A571DC">
        <w:t>Addressing the myths of legal consequences and r</w:t>
      </w:r>
      <w:r w:rsidR="00CD1823">
        <w:t xml:space="preserve">eassurance about attendance of </w:t>
      </w:r>
      <w:r w:rsidR="007E4979">
        <w:t>law enforcement</w:t>
      </w:r>
      <w:r w:rsidR="00CD1823">
        <w:t xml:space="preserve"> at an overdose </w:t>
      </w:r>
      <w:r w:rsidR="00EC6466">
        <w:t xml:space="preserve">will be helpful </w:t>
      </w:r>
      <w:r w:rsidR="00234CC2">
        <w:fldChar w:fldCharType="begin"/>
      </w:r>
      <w:r w:rsidR="00EF7C97">
        <w:instrText xml:space="preserve"> ADDIN EN.CITE &lt;EndNote&gt;&lt;Cite&gt;&lt;Author&gt;Shorter&lt;/Author&gt;&lt;Year&gt;2016&lt;/Year&gt;&lt;RecNum&gt;68&lt;/RecNum&gt;&lt;DisplayText&gt;(24)&lt;/DisplayText&gt;&lt;record&gt;&lt;rec-number&gt;68&lt;/rec-number&gt;&lt;foreign-keys&gt;&lt;key app="EN" db-id="p00v9zw27zzswpe25phxpead0asdt50td92p" timestamp="1625462035"&gt;68&lt;/key&gt;&lt;/foreign-keys&gt;&lt;ref-type name="Report"&gt;27&lt;/ref-type&gt;&lt;contributors&gt;&lt;authors&gt;&lt;author&gt;Shorter, Gillian W&lt;/author&gt;&lt;author&gt;Bingham, T&lt;/author&gt;&lt;/authors&gt;&lt;/contributors&gt;&lt;titles&gt;&lt;title&gt;An evaluation of the Take Home Naloxone programme in Northern Ireland: Consultation with service users and service providers&lt;/title&gt;&lt;/titles&gt;&lt;dates&gt;&lt;year&gt;2016&lt;/year&gt;&lt;/dates&gt;&lt;pub-location&gt;Belfast&lt;/pub-location&gt;&lt;publisher&gt;Public Health Agency&lt;/publisher&gt;&lt;urls&gt;&lt;related-urls&gt;&lt;url&gt;https://pure.ulster.ac.uk/ws/portalfiles/portal/11609673/Naloxone+service+evaluation+final+report+Feb+2016.pdf&lt;/url&gt;&lt;/related-urls&gt;&lt;/urls&gt;&lt;/record&gt;&lt;/Cite&gt;&lt;/EndNote&gt;</w:instrText>
      </w:r>
      <w:r w:rsidR="00234CC2">
        <w:fldChar w:fldCharType="separate"/>
      </w:r>
      <w:r w:rsidR="00EF7C97">
        <w:rPr>
          <w:noProof/>
        </w:rPr>
        <w:t>(24)</w:t>
      </w:r>
      <w:r w:rsidR="00234CC2">
        <w:fldChar w:fldCharType="end"/>
      </w:r>
      <w:r w:rsidR="00C76EC0">
        <w:t>,</w:t>
      </w:r>
      <w:r w:rsidR="00234CC2" w:rsidRPr="00B226A0">
        <w:t xml:space="preserve"> </w:t>
      </w:r>
      <w:r w:rsidR="00CD1823">
        <w:t xml:space="preserve">and </w:t>
      </w:r>
      <w:r w:rsidR="000703D3">
        <w:t>reinforc</w:t>
      </w:r>
      <w:r w:rsidR="009015E2">
        <w:t>ing</w:t>
      </w:r>
      <w:r w:rsidR="000703D3">
        <w:t xml:space="preserve"> </w:t>
      </w:r>
      <w:r w:rsidR="00CD1823">
        <w:t xml:space="preserve">the importance of </w:t>
      </w:r>
      <w:r w:rsidR="007E4979">
        <w:t xml:space="preserve">ambulance </w:t>
      </w:r>
      <w:r w:rsidR="00CD1823">
        <w:t xml:space="preserve">support </w:t>
      </w:r>
      <w:r w:rsidR="009015E2">
        <w:t xml:space="preserve">for overdose response </w:t>
      </w:r>
      <w:r w:rsidR="000703D3">
        <w:t>is essential</w:t>
      </w:r>
      <w:r w:rsidR="00A05C5E">
        <w:t>.</w:t>
      </w:r>
      <w:r w:rsidR="007E4979">
        <w:t xml:space="preserve"> </w:t>
      </w:r>
      <w:r w:rsidR="00263A4C">
        <w:t xml:space="preserve">Mystery shopping visits showed that ambulance attendance was </w:t>
      </w:r>
      <w:r w:rsidR="00B60165">
        <w:t xml:space="preserve">not consistently </w:t>
      </w:r>
      <w:r w:rsidR="00263A4C">
        <w:t xml:space="preserve">mentioned </w:t>
      </w:r>
      <w:r w:rsidR="00B60165">
        <w:t>in all settings.</w:t>
      </w:r>
    </w:p>
    <w:p w14:paraId="6B7AEF48" w14:textId="6733F6D0" w:rsidR="00F14A8D" w:rsidRPr="001F3892" w:rsidRDefault="000703D3" w:rsidP="001F3892">
      <w:pPr>
        <w:pStyle w:val="BodyText"/>
        <w:rPr>
          <w:lang w:eastAsia="en-AU"/>
        </w:rPr>
      </w:pPr>
      <w:r>
        <w:t xml:space="preserve">The education </w:t>
      </w:r>
      <w:r w:rsidR="00CB150F">
        <w:t xml:space="preserve">should </w:t>
      </w:r>
      <w:r w:rsidR="000C4250">
        <w:t xml:space="preserve">also </w:t>
      </w:r>
      <w:r w:rsidR="00F95BE0">
        <w:t xml:space="preserve">help </w:t>
      </w:r>
      <w:r w:rsidR="00006D04">
        <w:t xml:space="preserve">people </w:t>
      </w:r>
      <w:r w:rsidR="00F95BE0">
        <w:t xml:space="preserve">to manage </w:t>
      </w:r>
      <w:r w:rsidR="0055603F">
        <w:t>potential reactions</w:t>
      </w:r>
      <w:r w:rsidR="00F95BE0">
        <w:t xml:space="preserve"> (for example, how to respond to </w:t>
      </w:r>
      <w:r w:rsidR="00C43019">
        <w:t xml:space="preserve">potential </w:t>
      </w:r>
      <w:r w:rsidR="00F95BE0">
        <w:t>anger</w:t>
      </w:r>
      <w:r w:rsidR="00C43019">
        <w:t xml:space="preserve"> or aggression on the part of the recipient)</w:t>
      </w:r>
      <w:r w:rsidR="00F95BE0">
        <w:t xml:space="preserve"> so as not to discourage naloxone administration</w:t>
      </w:r>
      <w:r w:rsidR="00630DEE">
        <w:t xml:space="preserve">. </w:t>
      </w:r>
    </w:p>
    <w:p w14:paraId="6028273A" w14:textId="77777777" w:rsidR="00F14A8D" w:rsidRDefault="00F14A8D" w:rsidP="00F14A8D">
      <w:pPr>
        <w:pStyle w:val="NbrHeading3"/>
      </w:pPr>
      <w:bookmarkStart w:id="366" w:name="_Toc94794176"/>
      <w:bookmarkStart w:id="367" w:name="_Toc94794320"/>
      <w:r>
        <w:t>Program monitoring and data collection</w:t>
      </w:r>
      <w:bookmarkEnd w:id="366"/>
      <w:bookmarkEnd w:id="367"/>
    </w:p>
    <w:p w14:paraId="4B90B014" w14:textId="72A38911" w:rsidR="00731EB5" w:rsidRDefault="00F14A8D" w:rsidP="00F14A8D">
      <w:pPr>
        <w:pStyle w:val="BodyText"/>
        <w:rPr>
          <w:lang w:eastAsia="en-AU"/>
        </w:rPr>
      </w:pPr>
      <w:r>
        <w:rPr>
          <w:lang w:eastAsia="en-AU"/>
        </w:rPr>
        <w:t xml:space="preserve">Ongoing monitoring is essential to ensure effective and appropriate implementation of a national THN program. It will be critical to feed regular and timely data back to access sites and organisations to </w:t>
      </w:r>
      <w:r w:rsidR="007C6576">
        <w:rPr>
          <w:lang w:eastAsia="en-AU"/>
        </w:rPr>
        <w:t xml:space="preserve">help </w:t>
      </w:r>
      <w:r>
        <w:rPr>
          <w:lang w:eastAsia="en-AU"/>
        </w:rPr>
        <w:t>them monitor performance and activity</w:t>
      </w:r>
      <w:r w:rsidR="00635932">
        <w:rPr>
          <w:lang w:eastAsia="en-AU"/>
        </w:rPr>
        <w:t xml:space="preserve"> levels</w:t>
      </w:r>
      <w:r>
        <w:rPr>
          <w:lang w:eastAsia="en-AU"/>
        </w:rPr>
        <w:t>, and to plan forward</w:t>
      </w:r>
      <w:r w:rsidR="00635932">
        <w:rPr>
          <w:lang w:eastAsia="en-AU"/>
        </w:rPr>
        <w:t xml:space="preserve"> for resourcing</w:t>
      </w:r>
      <w:r>
        <w:rPr>
          <w:lang w:eastAsia="en-AU"/>
        </w:rPr>
        <w:t xml:space="preserve">. This will also assist sponsors to </w:t>
      </w:r>
      <w:r w:rsidR="006005FD">
        <w:rPr>
          <w:lang w:eastAsia="en-AU"/>
        </w:rPr>
        <w:t>predict</w:t>
      </w:r>
      <w:r w:rsidR="00517413">
        <w:rPr>
          <w:lang w:eastAsia="en-AU"/>
        </w:rPr>
        <w:t xml:space="preserve"> </w:t>
      </w:r>
      <w:r>
        <w:rPr>
          <w:lang w:eastAsia="en-AU"/>
        </w:rPr>
        <w:t xml:space="preserve">stock </w:t>
      </w:r>
      <w:r w:rsidR="00546AA8">
        <w:rPr>
          <w:lang w:eastAsia="en-AU"/>
        </w:rPr>
        <w:t>requirements</w:t>
      </w:r>
      <w:r>
        <w:rPr>
          <w:lang w:eastAsia="en-AU"/>
        </w:rPr>
        <w:t xml:space="preserve">. </w:t>
      </w:r>
    </w:p>
    <w:p w14:paraId="4305864A" w14:textId="3123A9DF" w:rsidR="00731EB5" w:rsidRDefault="00546AA8" w:rsidP="00F14A8D">
      <w:pPr>
        <w:pStyle w:val="BodyText"/>
        <w:rPr>
          <w:lang w:eastAsia="en-AU"/>
        </w:rPr>
      </w:pPr>
      <w:r>
        <w:rPr>
          <w:lang w:eastAsia="en-AU"/>
        </w:rPr>
        <w:t>E</w:t>
      </w:r>
      <w:r w:rsidR="00F14A8D">
        <w:rPr>
          <w:lang w:eastAsia="en-AU"/>
        </w:rPr>
        <w:t xml:space="preserve">ntry of data into the </w:t>
      </w:r>
      <w:r>
        <w:rPr>
          <w:lang w:eastAsia="en-AU"/>
        </w:rPr>
        <w:t xml:space="preserve">PPA </w:t>
      </w:r>
      <w:r w:rsidR="00F14A8D">
        <w:rPr>
          <w:lang w:eastAsia="en-AU"/>
        </w:rPr>
        <w:t>portal was considered an efficient and effective process for staff in community pharmacy settings who were familiar with such systems.</w:t>
      </w:r>
    </w:p>
    <w:p w14:paraId="7F75D0CE" w14:textId="76838FA9" w:rsidR="00F14A8D" w:rsidRDefault="00F14A8D" w:rsidP="00F14A8D">
      <w:pPr>
        <w:pStyle w:val="BodyText"/>
        <w:rPr>
          <w:lang w:eastAsia="en-AU"/>
        </w:rPr>
      </w:pPr>
      <w:r>
        <w:rPr>
          <w:lang w:eastAsia="en-AU"/>
        </w:rPr>
        <w:t xml:space="preserve">However, the requirement to enter data into the </w:t>
      </w:r>
      <w:r w:rsidR="00D76CF8">
        <w:rPr>
          <w:lang w:eastAsia="en-AU"/>
        </w:rPr>
        <w:t xml:space="preserve">PPA </w:t>
      </w:r>
      <w:r>
        <w:rPr>
          <w:lang w:eastAsia="en-AU"/>
        </w:rPr>
        <w:t xml:space="preserve">portal resulted in problems in tertiary healthcare where responsibilities lay </w:t>
      </w:r>
      <w:r w:rsidR="00D76CF8">
        <w:rPr>
          <w:lang w:eastAsia="en-AU"/>
        </w:rPr>
        <w:t xml:space="preserve">across </w:t>
      </w:r>
      <w:r>
        <w:rPr>
          <w:lang w:eastAsia="en-AU"/>
        </w:rPr>
        <w:t xml:space="preserve">multiple staff, and </w:t>
      </w:r>
      <w:r w:rsidR="00BC05C5">
        <w:rPr>
          <w:lang w:eastAsia="en-AU"/>
        </w:rPr>
        <w:t xml:space="preserve">in </w:t>
      </w:r>
      <w:r>
        <w:rPr>
          <w:lang w:eastAsia="en-AU"/>
        </w:rPr>
        <w:t xml:space="preserve">AAS settings with less experience of such systems. </w:t>
      </w:r>
      <w:r w:rsidR="00055C52">
        <w:rPr>
          <w:lang w:eastAsia="en-AU"/>
        </w:rPr>
        <w:t>W</w:t>
      </w:r>
      <w:r>
        <w:rPr>
          <w:lang w:eastAsia="en-AU"/>
        </w:rPr>
        <w:t xml:space="preserve">e recommend that the Department and/or state implementing agencies consult widely and across sectors to determine the most appropriate systems, and what is critical in terms of data collection for ongoing monitoring of THN provision. </w:t>
      </w:r>
    </w:p>
    <w:p w14:paraId="65D86EE3" w14:textId="20B45E3D" w:rsidR="00F14A8D" w:rsidRDefault="00F14A8D" w:rsidP="00F14A8D">
      <w:pPr>
        <w:pStyle w:val="BodyText"/>
        <w:rPr>
          <w:lang w:eastAsia="en-AU"/>
        </w:rPr>
      </w:pPr>
      <w:r>
        <w:rPr>
          <w:lang w:eastAsia="en-AU"/>
        </w:rPr>
        <w:t xml:space="preserve">There are difficulties in the current data collection and reporting </w:t>
      </w:r>
      <w:r w:rsidR="00BE7881">
        <w:rPr>
          <w:lang w:eastAsia="en-AU"/>
        </w:rPr>
        <w:t xml:space="preserve">systems </w:t>
      </w:r>
      <w:r w:rsidR="003556EA">
        <w:rPr>
          <w:lang w:eastAsia="en-AU"/>
        </w:rPr>
        <w:t xml:space="preserve">for identifying </w:t>
      </w:r>
      <w:r>
        <w:rPr>
          <w:lang w:eastAsia="en-AU"/>
        </w:rPr>
        <w:t xml:space="preserve">stock </w:t>
      </w:r>
      <w:r w:rsidR="003556EA">
        <w:rPr>
          <w:lang w:eastAsia="en-AU"/>
        </w:rPr>
        <w:t>movement</w:t>
      </w:r>
      <w:r>
        <w:rPr>
          <w:lang w:eastAsia="en-AU"/>
        </w:rPr>
        <w:t xml:space="preserve">, </w:t>
      </w:r>
      <w:r w:rsidR="00C64993">
        <w:rPr>
          <w:lang w:eastAsia="en-AU"/>
        </w:rPr>
        <w:t>due to</w:t>
      </w:r>
      <w:r>
        <w:rPr>
          <w:lang w:eastAsia="en-AU"/>
        </w:rPr>
        <w:t xml:space="preserve"> overlap between individual supply and bulk supply</w:t>
      </w:r>
      <w:r w:rsidR="00C64993">
        <w:rPr>
          <w:lang w:eastAsia="en-AU"/>
        </w:rPr>
        <w:t xml:space="preserve"> records</w:t>
      </w:r>
      <w:r>
        <w:rPr>
          <w:lang w:eastAsia="en-AU"/>
        </w:rPr>
        <w:t>. The national rollout needs to consider the best method for addressing this issue to ensure that all THN stock is effectively accounted for</w:t>
      </w:r>
      <w:r w:rsidR="00B249D4">
        <w:rPr>
          <w:lang w:eastAsia="en-AU"/>
        </w:rPr>
        <w:t xml:space="preserve">, and that there is a means of monitoring whether naloxone is reaching the intended </w:t>
      </w:r>
      <w:r w:rsidR="00705FA9">
        <w:rPr>
          <w:lang w:eastAsia="en-AU"/>
        </w:rPr>
        <w:t>recipients</w:t>
      </w:r>
      <w:r>
        <w:rPr>
          <w:lang w:eastAsia="en-AU"/>
        </w:rPr>
        <w:t>.</w:t>
      </w:r>
      <w:r w:rsidR="004C365B">
        <w:rPr>
          <w:lang w:eastAsia="en-AU"/>
        </w:rPr>
        <w:t xml:space="preserve"> This may be feasible within the Services Australia system but will need examination and monitoring to ensure that data capture is fit for purpose.</w:t>
      </w:r>
    </w:p>
    <w:p w14:paraId="3B22E4A4" w14:textId="3DDCCF6A" w:rsidR="00F14A8D" w:rsidRDefault="004C365B" w:rsidP="00F14A8D">
      <w:pPr>
        <w:pStyle w:val="BodyText"/>
        <w:rPr>
          <w:lang w:eastAsia="en-AU"/>
        </w:rPr>
      </w:pPr>
      <w:r>
        <w:rPr>
          <w:lang w:eastAsia="en-AU"/>
        </w:rPr>
        <w:t>Current</w:t>
      </w:r>
      <w:r w:rsidR="00F14A8D">
        <w:rPr>
          <w:lang w:eastAsia="en-AU"/>
        </w:rPr>
        <w:t xml:space="preserve"> method</w:t>
      </w:r>
      <w:r>
        <w:rPr>
          <w:lang w:eastAsia="en-AU"/>
        </w:rPr>
        <w:t>s</w:t>
      </w:r>
      <w:r w:rsidR="00F14A8D">
        <w:rPr>
          <w:lang w:eastAsia="en-AU"/>
        </w:rPr>
        <w:t xml:space="preserve"> of accounting for Prescriber Bag naloxone may also need to be considered, to ensure that </w:t>
      </w:r>
      <w:r w:rsidR="002940FE">
        <w:rPr>
          <w:lang w:eastAsia="en-AU"/>
        </w:rPr>
        <w:t xml:space="preserve">any </w:t>
      </w:r>
      <w:r w:rsidR="00F14A8D">
        <w:rPr>
          <w:lang w:eastAsia="en-AU"/>
        </w:rPr>
        <w:t>provision</w:t>
      </w:r>
      <w:r w:rsidR="008C5620">
        <w:rPr>
          <w:lang w:eastAsia="en-AU"/>
        </w:rPr>
        <w:t xml:space="preserve"> by doctors</w:t>
      </w:r>
      <w:r w:rsidR="00F14A8D">
        <w:rPr>
          <w:lang w:eastAsia="en-AU"/>
        </w:rPr>
        <w:t xml:space="preserve"> for </w:t>
      </w:r>
      <w:r w:rsidR="00F14A8D" w:rsidRPr="36D1727F">
        <w:rPr>
          <w:lang w:eastAsia="en-AU"/>
        </w:rPr>
        <w:t xml:space="preserve">individual </w:t>
      </w:r>
      <w:r w:rsidR="00F14A8D">
        <w:rPr>
          <w:lang w:eastAsia="en-AU"/>
        </w:rPr>
        <w:t>patient use (i.e.</w:t>
      </w:r>
      <w:r w:rsidR="00720725">
        <w:rPr>
          <w:lang w:eastAsia="en-AU"/>
        </w:rPr>
        <w:t>,</w:t>
      </w:r>
      <w:r w:rsidR="00F14A8D">
        <w:rPr>
          <w:lang w:eastAsia="en-AU"/>
        </w:rPr>
        <w:t xml:space="preserve"> </w:t>
      </w:r>
      <w:r w:rsidR="00720725">
        <w:rPr>
          <w:lang w:eastAsia="en-AU"/>
        </w:rPr>
        <w:t xml:space="preserve">using </w:t>
      </w:r>
      <w:r w:rsidR="00CB2A3F">
        <w:rPr>
          <w:lang w:eastAsia="en-AU"/>
        </w:rPr>
        <w:t xml:space="preserve">Prescriber Bag supplies as </w:t>
      </w:r>
      <w:r w:rsidR="00CB2A3F" w:rsidRPr="00CB2A3F">
        <w:rPr>
          <w:i/>
          <w:iCs/>
          <w:lang w:eastAsia="en-AU"/>
        </w:rPr>
        <w:t>de facto</w:t>
      </w:r>
      <w:r w:rsidR="00CB2A3F">
        <w:rPr>
          <w:lang w:eastAsia="en-AU"/>
        </w:rPr>
        <w:t xml:space="preserve"> THN</w:t>
      </w:r>
      <w:r w:rsidR="00F14A8D">
        <w:rPr>
          <w:lang w:eastAsia="en-AU"/>
        </w:rPr>
        <w:t xml:space="preserve">) </w:t>
      </w:r>
      <w:r w:rsidR="002940FE">
        <w:rPr>
          <w:lang w:eastAsia="en-AU"/>
        </w:rPr>
        <w:t>is</w:t>
      </w:r>
      <w:r w:rsidR="00F14A8D">
        <w:rPr>
          <w:lang w:eastAsia="en-AU"/>
        </w:rPr>
        <w:t xml:space="preserve"> captured in data collection. </w:t>
      </w:r>
    </w:p>
    <w:p w14:paraId="44AA29D1" w14:textId="77777777" w:rsidR="00F14A8D" w:rsidRDefault="00F14A8D" w:rsidP="00F14A8D">
      <w:pPr>
        <w:pStyle w:val="NbrHeading4"/>
      </w:pPr>
      <w:r w:rsidRPr="002C3F9B">
        <w:t>Leverage existing funding arrangements</w:t>
      </w:r>
      <w:r>
        <w:t xml:space="preserve"> to facilitate data collection</w:t>
      </w:r>
    </w:p>
    <w:p w14:paraId="4F130048" w14:textId="16E36F32" w:rsidR="00F14A8D" w:rsidRDefault="00C40687" w:rsidP="00F14A8D">
      <w:pPr>
        <w:pStyle w:val="BodyText"/>
        <w:rPr>
          <w:lang w:eastAsia="en-AU"/>
        </w:rPr>
      </w:pPr>
      <w:r>
        <w:rPr>
          <w:lang w:eastAsia="en-AU"/>
        </w:rPr>
        <w:t xml:space="preserve">It will be </w:t>
      </w:r>
      <w:r w:rsidR="00690D06">
        <w:rPr>
          <w:lang w:eastAsia="en-AU"/>
        </w:rPr>
        <w:t xml:space="preserve">important for the Commonwealth to </w:t>
      </w:r>
      <w:r w:rsidR="00E61CF1">
        <w:rPr>
          <w:lang w:eastAsia="en-AU"/>
        </w:rPr>
        <w:t xml:space="preserve">continue </w:t>
      </w:r>
      <w:r w:rsidR="00690D06">
        <w:rPr>
          <w:lang w:eastAsia="en-AU"/>
        </w:rPr>
        <w:t>collaborat</w:t>
      </w:r>
      <w:r w:rsidR="00E61CF1">
        <w:rPr>
          <w:lang w:eastAsia="en-AU"/>
        </w:rPr>
        <w:t>ing</w:t>
      </w:r>
      <w:r w:rsidR="00690D06">
        <w:rPr>
          <w:lang w:eastAsia="en-AU"/>
        </w:rPr>
        <w:t xml:space="preserve"> with</w:t>
      </w:r>
      <w:r w:rsidR="00F14A8D">
        <w:rPr>
          <w:lang w:eastAsia="en-AU"/>
        </w:rPr>
        <w:t xml:space="preserve"> current service delivery partners to encourage Pilot uptake and recording of activities</w:t>
      </w:r>
      <w:r w:rsidR="005250CF">
        <w:rPr>
          <w:lang w:eastAsia="en-AU"/>
        </w:rPr>
        <w:t xml:space="preserve"> as the Pilot matures further</w:t>
      </w:r>
      <w:r w:rsidR="00994B08">
        <w:rPr>
          <w:lang w:eastAsia="en-AU"/>
        </w:rPr>
        <w:t xml:space="preserve"> in its </w:t>
      </w:r>
      <w:r w:rsidR="00994B08">
        <w:rPr>
          <w:lang w:eastAsia="en-AU"/>
        </w:rPr>
        <w:lastRenderedPageBreak/>
        <w:t xml:space="preserve">current iteration, and then </w:t>
      </w:r>
      <w:r w:rsidR="008135CF">
        <w:rPr>
          <w:lang w:eastAsia="en-AU"/>
        </w:rPr>
        <w:t xml:space="preserve">evolves </w:t>
      </w:r>
      <w:r w:rsidR="00994B08">
        <w:rPr>
          <w:lang w:eastAsia="en-AU"/>
        </w:rPr>
        <w:t>into a</w:t>
      </w:r>
      <w:r w:rsidR="008135CF">
        <w:rPr>
          <w:lang w:eastAsia="en-AU"/>
        </w:rPr>
        <w:t>n ongoing</w:t>
      </w:r>
      <w:r w:rsidR="00994B08">
        <w:rPr>
          <w:lang w:eastAsia="en-AU"/>
        </w:rPr>
        <w:t xml:space="preserve"> national </w:t>
      </w:r>
      <w:r w:rsidR="008135CF">
        <w:rPr>
          <w:lang w:eastAsia="en-AU"/>
        </w:rPr>
        <w:t>program</w:t>
      </w:r>
      <w:r w:rsidR="00F14A8D">
        <w:rPr>
          <w:lang w:eastAsia="en-AU"/>
        </w:rPr>
        <w:t>. NGOs currently funded by the Australian Government (</w:t>
      </w:r>
      <w:r w:rsidR="00747295">
        <w:rPr>
          <w:lang w:eastAsia="en-AU"/>
        </w:rPr>
        <w:t>such as</w:t>
      </w:r>
      <w:r w:rsidR="00F14A8D">
        <w:rPr>
          <w:lang w:eastAsia="en-AU"/>
        </w:rPr>
        <w:t xml:space="preserve"> AOD services) are already required to provide </w:t>
      </w:r>
      <w:r w:rsidR="0093538B">
        <w:rPr>
          <w:lang w:eastAsia="en-AU"/>
        </w:rPr>
        <w:t xml:space="preserve">data for </w:t>
      </w:r>
      <w:r w:rsidR="00432C4F">
        <w:rPr>
          <w:lang w:eastAsia="en-AU"/>
        </w:rPr>
        <w:t xml:space="preserve">National </w:t>
      </w:r>
      <w:r w:rsidR="00F14A8D">
        <w:rPr>
          <w:lang w:eastAsia="en-AU"/>
        </w:rPr>
        <w:t xml:space="preserve">Minimum Data Sets as part of current operations. If a field was added to existing systems to record naloxone provision, this </w:t>
      </w:r>
      <w:r w:rsidR="009E01C2">
        <w:rPr>
          <w:lang w:eastAsia="en-AU"/>
        </w:rPr>
        <w:t>w</w:t>
      </w:r>
      <w:r w:rsidR="00F14A8D">
        <w:rPr>
          <w:lang w:eastAsia="en-AU"/>
        </w:rPr>
        <w:t xml:space="preserve">ould capture engagement and provision within familiar recording mechanisms. Many such </w:t>
      </w:r>
      <w:r w:rsidR="0058165F">
        <w:rPr>
          <w:lang w:eastAsia="en-AU"/>
        </w:rPr>
        <w:t>organisations</w:t>
      </w:r>
      <w:r w:rsidR="00F14A8D">
        <w:rPr>
          <w:lang w:eastAsia="en-AU"/>
        </w:rPr>
        <w:t xml:space="preserve"> also support families and significant others (i.e., potential witnesses)</w:t>
      </w:r>
      <w:r w:rsidR="00FA7BB7">
        <w:rPr>
          <w:lang w:eastAsia="en-AU"/>
        </w:rPr>
        <w:t>, and t</w:t>
      </w:r>
      <w:r w:rsidR="00F14A8D">
        <w:rPr>
          <w:lang w:eastAsia="en-AU"/>
        </w:rPr>
        <w:t>his approach could be extended to include social and disability support and home nursing</w:t>
      </w:r>
      <w:r w:rsidR="008B5FB2">
        <w:rPr>
          <w:lang w:eastAsia="en-AU"/>
        </w:rPr>
        <w:t>/supportive care</w:t>
      </w:r>
      <w:r w:rsidR="00F14A8D">
        <w:rPr>
          <w:lang w:eastAsia="en-AU"/>
        </w:rPr>
        <w:t xml:space="preserve"> services.</w:t>
      </w:r>
      <w:r w:rsidR="00FA7BB7" w:rsidRPr="00FA7BB7">
        <w:rPr>
          <w:lang w:eastAsia="en-AU"/>
        </w:rPr>
        <w:t xml:space="preserve"> </w:t>
      </w:r>
      <w:r w:rsidR="00787EBE">
        <w:rPr>
          <w:lang w:eastAsia="en-AU"/>
        </w:rPr>
        <w:t xml:space="preserve">Such a system may then be </w:t>
      </w:r>
      <w:r w:rsidR="00FA7BB7">
        <w:rPr>
          <w:lang w:eastAsia="en-AU"/>
        </w:rPr>
        <w:t>able to capture information on the full range of intended naloxone recipients.</w:t>
      </w:r>
    </w:p>
    <w:p w14:paraId="17906A36" w14:textId="5FF0C8F4" w:rsidR="00CA5EEA" w:rsidRDefault="00CA5EEA" w:rsidP="001F3892">
      <w:pPr>
        <w:spacing w:after="160" w:line="259" w:lineRule="auto"/>
        <w:rPr>
          <w:lang w:eastAsia="en-AU"/>
        </w:rPr>
      </w:pPr>
      <w:r>
        <w:br w:type="page"/>
      </w:r>
    </w:p>
    <w:p w14:paraId="1A476A18" w14:textId="77777777" w:rsidR="00CA5EEA" w:rsidRDefault="00CA5EEA" w:rsidP="003D0F16">
      <w:pPr>
        <w:spacing w:after="160" w:line="259" w:lineRule="auto"/>
        <w:rPr>
          <w:b/>
        </w:rPr>
        <w:sectPr w:rsidR="00CA5EEA" w:rsidSect="00695609">
          <w:footnotePr>
            <w:numFmt w:val="lowerLetter"/>
          </w:footnotePr>
          <w:pgSz w:w="11906" w:h="16838" w:code="9"/>
          <w:pgMar w:top="2268" w:right="1416" w:bottom="1134" w:left="1134" w:header="567" w:footer="510" w:gutter="0"/>
          <w:cols w:space="708"/>
          <w:docGrid w:linePitch="360"/>
        </w:sectPr>
      </w:pPr>
    </w:p>
    <w:p w14:paraId="61E05CA8" w14:textId="77777777" w:rsidR="00CA5EEA" w:rsidRPr="00122C7F" w:rsidRDefault="00CA5EEA" w:rsidP="00A0570E">
      <w:pPr>
        <w:pStyle w:val="NbrHeading2"/>
      </w:pPr>
      <w:bookmarkStart w:id="368" w:name="_Toc94794177"/>
      <w:bookmarkStart w:id="369" w:name="_Toc94794321"/>
      <w:r w:rsidRPr="00122C7F">
        <w:lastRenderedPageBreak/>
        <w:t>Limitations</w:t>
      </w:r>
      <w:bookmarkEnd w:id="368"/>
      <w:bookmarkEnd w:id="369"/>
    </w:p>
    <w:p w14:paraId="774F96E8" w14:textId="78209FA6" w:rsidR="00CA5EEA" w:rsidRDefault="00CA5EEA" w:rsidP="003D0F16">
      <w:pPr>
        <w:rPr>
          <w:lang w:eastAsia="en-AU"/>
        </w:rPr>
      </w:pPr>
      <w:r>
        <w:rPr>
          <w:lang w:eastAsia="en-AU"/>
        </w:rPr>
        <w:t xml:space="preserve">The data collected </w:t>
      </w:r>
      <w:r w:rsidR="00375258">
        <w:rPr>
          <w:lang w:eastAsia="en-AU"/>
        </w:rPr>
        <w:t>for this Evaluation</w:t>
      </w:r>
      <w:r>
        <w:rPr>
          <w:lang w:eastAsia="en-AU"/>
        </w:rPr>
        <w:t xml:space="preserve"> and our </w:t>
      </w:r>
      <w:r w:rsidR="00375258">
        <w:rPr>
          <w:lang w:eastAsia="en-AU"/>
        </w:rPr>
        <w:t xml:space="preserve">subsequent </w:t>
      </w:r>
      <w:r>
        <w:rPr>
          <w:lang w:eastAsia="en-AU"/>
        </w:rPr>
        <w:t xml:space="preserve">analyses must be viewed </w:t>
      </w:r>
      <w:proofErr w:type="gramStart"/>
      <w:r>
        <w:rPr>
          <w:lang w:eastAsia="en-AU"/>
        </w:rPr>
        <w:t>in light of</w:t>
      </w:r>
      <w:proofErr w:type="gramEnd"/>
      <w:r>
        <w:rPr>
          <w:lang w:eastAsia="en-AU"/>
        </w:rPr>
        <w:t xml:space="preserve"> a number of limitations.</w:t>
      </w:r>
    </w:p>
    <w:p w14:paraId="435D487A" w14:textId="1CBE1B13" w:rsidR="00CA5EEA" w:rsidRDefault="00CA5EEA" w:rsidP="003D0F16">
      <w:pPr>
        <w:rPr>
          <w:lang w:eastAsia="en-AU"/>
        </w:rPr>
      </w:pPr>
      <w:r>
        <w:rPr>
          <w:lang w:eastAsia="en-AU"/>
        </w:rPr>
        <w:t xml:space="preserve">Of the naloxone provision recorded during the Pilot, only </w:t>
      </w:r>
      <w:r w:rsidR="00EE7E49">
        <w:rPr>
          <w:lang w:eastAsia="en-AU"/>
        </w:rPr>
        <w:t>48</w:t>
      </w:r>
      <w:r>
        <w:rPr>
          <w:lang w:eastAsia="en-AU"/>
        </w:rPr>
        <w:t xml:space="preserve">% of supplies recorded evaluation data. Mystery shopping </w:t>
      </w:r>
      <w:r w:rsidR="008C12C3">
        <w:rPr>
          <w:lang w:eastAsia="en-AU"/>
        </w:rPr>
        <w:t>visits</w:t>
      </w:r>
      <w:r>
        <w:rPr>
          <w:lang w:eastAsia="en-AU"/>
        </w:rPr>
        <w:t xml:space="preserve"> confirmed that not all sites requested consent from naloxone recipients. Regression analyses indicate</w:t>
      </w:r>
      <w:r w:rsidR="3996AD5A" w:rsidRPr="20EC43FC">
        <w:rPr>
          <w:lang w:eastAsia="en-AU"/>
        </w:rPr>
        <w:t>,</w:t>
      </w:r>
      <w:r>
        <w:rPr>
          <w:lang w:eastAsia="en-AU"/>
        </w:rPr>
        <w:t xml:space="preserve"> however</w:t>
      </w:r>
      <w:r w:rsidR="60309CB2" w:rsidRPr="20EC43FC">
        <w:rPr>
          <w:lang w:eastAsia="en-AU"/>
        </w:rPr>
        <w:t>,</w:t>
      </w:r>
      <w:r>
        <w:rPr>
          <w:lang w:eastAsia="en-AU"/>
        </w:rPr>
        <w:t xml:space="preserve"> that this response rate was relatively consistent across the Pilot period. Supply events in AAS were more likely to record evaluation data than those in pharmacies, and events in WA were more likely to record evaluation data than those in NSW and SA.</w:t>
      </w:r>
    </w:p>
    <w:p w14:paraId="6CB25672" w14:textId="77777777" w:rsidR="00CA5EEA" w:rsidRDefault="00CA5EEA" w:rsidP="003D0F16">
      <w:pPr>
        <w:rPr>
          <w:lang w:eastAsia="en-AU"/>
        </w:rPr>
      </w:pPr>
      <w:r>
        <w:rPr>
          <w:lang w:eastAsia="en-AU"/>
        </w:rPr>
        <w:t xml:space="preserve">Pilot participants self-identified regarding their use of opioids. People who identified as using prescription opioids included people on opioid agonist therapy (OAT), some who also reported consuming illicit opioids, and may have included people using prescribed opioids extra-medically. People who identified as likely to witness an overdose (rather than experience an overdose) also included some people whose opioid use placed them at risk of experiencing overdose. </w:t>
      </w:r>
    </w:p>
    <w:p w14:paraId="10AB435C" w14:textId="14C5401D" w:rsidR="00CA5EEA" w:rsidRDefault="00644A02" w:rsidP="003D0F16">
      <w:pPr>
        <w:rPr>
          <w:lang w:eastAsia="en-AU"/>
        </w:rPr>
      </w:pPr>
      <w:r>
        <w:rPr>
          <w:lang w:eastAsia="en-AU"/>
        </w:rPr>
        <w:t>The balance of people who provided</w:t>
      </w:r>
      <w:r w:rsidR="00982411">
        <w:rPr>
          <w:lang w:eastAsia="en-AU"/>
        </w:rPr>
        <w:t xml:space="preserve"> evaluation data and participated in interviews may not fully reflect the profile of people who accessed naloxone during the Pilot. </w:t>
      </w:r>
      <w:r w:rsidR="00CA5EEA">
        <w:rPr>
          <w:lang w:eastAsia="en-AU"/>
        </w:rPr>
        <w:t xml:space="preserve">People who </w:t>
      </w:r>
      <w:r w:rsidR="008F6CFB">
        <w:rPr>
          <w:lang w:eastAsia="en-AU"/>
        </w:rPr>
        <w:t>identified as using</w:t>
      </w:r>
      <w:r w:rsidR="00CA5EEA">
        <w:rPr>
          <w:lang w:eastAsia="en-AU"/>
        </w:rPr>
        <w:t xml:space="preserve"> prescription opioids were under-represented in interview data, comprising 25% (n=80) of the interviews, compared to 54% of recorded supply events for which we have evaluation data. This may reflect </w:t>
      </w:r>
      <w:r w:rsidR="006277E5">
        <w:rPr>
          <w:lang w:eastAsia="en-AU"/>
        </w:rPr>
        <w:t>their</w:t>
      </w:r>
      <w:r w:rsidR="00CA5EEA">
        <w:rPr>
          <w:lang w:eastAsia="en-AU"/>
        </w:rPr>
        <w:t xml:space="preserve"> reluctance to participate in </w:t>
      </w:r>
      <w:proofErr w:type="gramStart"/>
      <w:r w:rsidR="00CA5EEA">
        <w:rPr>
          <w:lang w:eastAsia="en-AU"/>
        </w:rPr>
        <w:t>interviews, or</w:t>
      </w:r>
      <w:proofErr w:type="gramEnd"/>
      <w:r w:rsidR="00CA5EEA">
        <w:rPr>
          <w:lang w:eastAsia="en-AU"/>
        </w:rPr>
        <w:t xml:space="preserve"> may suggest that people using illicit opioids (</w:t>
      </w:r>
      <w:r w:rsidR="002C7DD9">
        <w:rPr>
          <w:lang w:eastAsia="en-AU"/>
        </w:rPr>
        <w:t xml:space="preserve">50% of interviews) </w:t>
      </w:r>
      <w:r w:rsidR="002F7053">
        <w:rPr>
          <w:lang w:eastAsia="en-AU"/>
        </w:rPr>
        <w:t xml:space="preserve">were </w:t>
      </w:r>
      <w:r w:rsidR="008C00A1">
        <w:rPr>
          <w:lang w:eastAsia="en-AU"/>
        </w:rPr>
        <w:t xml:space="preserve">more likely to </w:t>
      </w:r>
      <w:r w:rsidR="005F4B47">
        <w:rPr>
          <w:lang w:eastAsia="en-AU"/>
        </w:rPr>
        <w:t xml:space="preserve">participate when recruited through AOD services </w:t>
      </w:r>
      <w:r w:rsidR="004C5A9A">
        <w:rPr>
          <w:lang w:eastAsia="en-AU"/>
        </w:rPr>
        <w:t xml:space="preserve">with which they were familiar </w:t>
      </w:r>
      <w:r w:rsidR="005F4B47">
        <w:rPr>
          <w:lang w:eastAsia="en-AU"/>
        </w:rPr>
        <w:t xml:space="preserve">than they were to </w:t>
      </w:r>
      <w:r w:rsidR="00311D60">
        <w:rPr>
          <w:lang w:eastAsia="en-AU"/>
        </w:rPr>
        <w:t xml:space="preserve">identify as such in a public setting like a pharmacy </w:t>
      </w:r>
      <w:r w:rsidR="00CA5EEA">
        <w:rPr>
          <w:lang w:eastAsia="en-AU"/>
        </w:rPr>
        <w:t xml:space="preserve">(24% of recorded </w:t>
      </w:r>
      <w:r w:rsidR="002F7053">
        <w:rPr>
          <w:lang w:eastAsia="en-AU"/>
        </w:rPr>
        <w:t>supplies)</w:t>
      </w:r>
      <w:r w:rsidR="00CA5EEA">
        <w:rPr>
          <w:lang w:eastAsia="en-AU"/>
        </w:rPr>
        <w:t>.</w:t>
      </w:r>
      <w:r w:rsidR="00501D37">
        <w:rPr>
          <w:lang w:eastAsia="en-AU"/>
        </w:rPr>
        <w:t xml:space="preserve"> </w:t>
      </w:r>
      <w:r w:rsidR="0075683C">
        <w:rPr>
          <w:lang w:eastAsia="en-AU"/>
        </w:rPr>
        <w:t xml:space="preserve">The categories of </w:t>
      </w:r>
      <w:r w:rsidR="0075374A">
        <w:rPr>
          <w:lang w:eastAsia="en-AU"/>
        </w:rPr>
        <w:t>opioid use (prescribed opioids, non-use, and “other” or illicit use)</w:t>
      </w:r>
      <w:r w:rsidR="00AD23D7">
        <w:rPr>
          <w:lang w:eastAsia="en-AU"/>
        </w:rPr>
        <w:t xml:space="preserve"> were </w:t>
      </w:r>
      <w:r w:rsidR="002A3467">
        <w:rPr>
          <w:lang w:eastAsia="en-AU"/>
        </w:rPr>
        <w:t>not necessarily stringent</w:t>
      </w:r>
      <w:r w:rsidR="00AE4E48">
        <w:rPr>
          <w:lang w:eastAsia="en-AU"/>
        </w:rPr>
        <w:t>ly exclusive</w:t>
      </w:r>
      <w:r w:rsidR="00F853CD">
        <w:rPr>
          <w:lang w:eastAsia="en-AU"/>
        </w:rPr>
        <w:t>, in that some people who identified as using prescription opioids also disclosed use of illicit opioids</w:t>
      </w:r>
      <w:r w:rsidR="00CA0EDE">
        <w:rPr>
          <w:lang w:eastAsia="en-AU"/>
        </w:rPr>
        <w:t>.</w:t>
      </w:r>
      <w:r w:rsidR="00295948">
        <w:rPr>
          <w:lang w:eastAsia="en-AU"/>
        </w:rPr>
        <w:t xml:space="preserve"> As such we have not been able to identify </w:t>
      </w:r>
      <w:r w:rsidR="007E7457">
        <w:rPr>
          <w:lang w:eastAsia="en-AU"/>
        </w:rPr>
        <w:t>a significant group of “chronic pain”</w:t>
      </w:r>
      <w:r w:rsidR="006827AB">
        <w:rPr>
          <w:lang w:eastAsia="en-AU"/>
        </w:rPr>
        <w:t xml:space="preserve"> participants within the sample.</w:t>
      </w:r>
    </w:p>
    <w:p w14:paraId="1543E249" w14:textId="2B2B6DC1" w:rsidR="00CA5EEA" w:rsidRDefault="00CA5EEA" w:rsidP="003D0F16">
      <w:pPr>
        <w:rPr>
          <w:lang w:eastAsia="en-AU"/>
        </w:rPr>
      </w:pPr>
      <w:r>
        <w:rPr>
          <w:lang w:eastAsia="en-AU"/>
        </w:rPr>
        <w:t xml:space="preserve">Data from our interviews of consumers about their health circumstances and use of naloxone are self-reported, and so may be subject to recall or social desirability biases. These </w:t>
      </w:r>
      <w:r w:rsidR="00675251">
        <w:rPr>
          <w:lang w:eastAsia="en-AU"/>
        </w:rPr>
        <w:t>and other interview</w:t>
      </w:r>
      <w:r>
        <w:rPr>
          <w:lang w:eastAsia="en-AU"/>
        </w:rPr>
        <w:t xml:space="preserve"> data cannot be regarded as a representative sample and so may not be generalised to all persons who received naloxone through the Pilot. However, we sought participants from a range of settings, </w:t>
      </w:r>
      <w:proofErr w:type="gramStart"/>
      <w:r>
        <w:rPr>
          <w:lang w:eastAsia="en-AU"/>
        </w:rPr>
        <w:t>locations</w:t>
      </w:r>
      <w:proofErr w:type="gramEnd"/>
      <w:r>
        <w:rPr>
          <w:lang w:eastAsia="en-AU"/>
        </w:rPr>
        <w:t xml:space="preserve"> and circumstances to provide a range of </w:t>
      </w:r>
      <w:r w:rsidR="00783FCE">
        <w:rPr>
          <w:lang w:eastAsia="en-AU"/>
        </w:rPr>
        <w:t>perspectives and experiences</w:t>
      </w:r>
      <w:r>
        <w:rPr>
          <w:lang w:eastAsia="en-AU"/>
        </w:rPr>
        <w:t xml:space="preserve">.  </w:t>
      </w:r>
    </w:p>
    <w:p w14:paraId="684CD765" w14:textId="4A0F629A" w:rsidR="00CA5EEA" w:rsidRDefault="00CA5EEA" w:rsidP="003D0F16">
      <w:pPr>
        <w:rPr>
          <w:lang w:eastAsia="en-AU"/>
        </w:rPr>
      </w:pPr>
      <w:r>
        <w:rPr>
          <w:lang w:eastAsia="en-AU"/>
        </w:rPr>
        <w:t>Similarly, interviews of access site staff d</w:t>
      </w:r>
      <w:r w:rsidR="002104D4">
        <w:rPr>
          <w:lang w:eastAsia="en-AU"/>
        </w:rPr>
        <w:t>id not seek</w:t>
      </w:r>
      <w:r>
        <w:rPr>
          <w:lang w:eastAsia="en-AU"/>
        </w:rPr>
        <w:t xml:space="preserve"> a representative sample from all </w:t>
      </w:r>
      <w:r w:rsidR="00D900A0">
        <w:rPr>
          <w:lang w:eastAsia="en-AU"/>
        </w:rPr>
        <w:t>THN</w:t>
      </w:r>
      <w:r>
        <w:rPr>
          <w:lang w:eastAsia="en-AU"/>
        </w:rPr>
        <w:t xml:space="preserve"> provision </w:t>
      </w:r>
      <w:proofErr w:type="gramStart"/>
      <w:r>
        <w:rPr>
          <w:lang w:eastAsia="en-AU"/>
        </w:rPr>
        <w:t>settings, but</w:t>
      </w:r>
      <w:proofErr w:type="gramEnd"/>
      <w:r>
        <w:rPr>
          <w:lang w:eastAsia="en-AU"/>
        </w:rPr>
        <w:t xml:space="preserve"> were chosen to describe a range of settings and to complement the findings of earlier Australian naloxone program</w:t>
      </w:r>
      <w:r w:rsidRPr="00212D83">
        <w:rPr>
          <w:lang w:eastAsia="en-AU"/>
        </w:rPr>
        <w:t xml:space="preserve"> </w:t>
      </w:r>
      <w:r>
        <w:rPr>
          <w:lang w:eastAsia="en-AU"/>
        </w:rPr>
        <w:t xml:space="preserve">evaluations. There may also </w:t>
      </w:r>
      <w:r w:rsidR="00D900A0">
        <w:rPr>
          <w:lang w:eastAsia="en-AU"/>
        </w:rPr>
        <w:t xml:space="preserve">have </w:t>
      </w:r>
      <w:r>
        <w:rPr>
          <w:lang w:eastAsia="en-AU"/>
        </w:rPr>
        <w:t>be</w:t>
      </w:r>
      <w:r w:rsidR="00D900A0">
        <w:rPr>
          <w:lang w:eastAsia="en-AU"/>
        </w:rPr>
        <w:t>en</w:t>
      </w:r>
      <w:r>
        <w:rPr>
          <w:lang w:eastAsia="en-AU"/>
        </w:rPr>
        <w:t xml:space="preserve"> some self-selection bias in staff participation.</w:t>
      </w:r>
    </w:p>
    <w:p w14:paraId="66F02577" w14:textId="1EA6E132" w:rsidR="00CA5EEA" w:rsidRDefault="00CA5EEA" w:rsidP="003D0F16">
      <w:pPr>
        <w:rPr>
          <w:lang w:eastAsia="en-AU"/>
        </w:rPr>
      </w:pPr>
      <w:r>
        <w:rPr>
          <w:lang w:eastAsia="en-AU"/>
        </w:rPr>
        <w:t>The slow uptake of the Pilot in its earliest phase (January-March 2020), COVID-19 restrictions and resulting methodology changes and ethics re-approvals</w:t>
      </w:r>
      <w:r w:rsidR="6B30A63E" w:rsidRPr="20EC43FC">
        <w:rPr>
          <w:lang w:eastAsia="en-AU"/>
        </w:rPr>
        <w:t>,</w:t>
      </w:r>
      <w:r>
        <w:rPr>
          <w:lang w:eastAsia="en-AU"/>
        </w:rPr>
        <w:t xml:space="preserve"> </w:t>
      </w:r>
      <w:r w:rsidR="00D50006">
        <w:rPr>
          <w:lang w:eastAsia="en-AU"/>
        </w:rPr>
        <w:t xml:space="preserve">delayed </w:t>
      </w:r>
      <w:r>
        <w:rPr>
          <w:lang w:eastAsia="en-AU"/>
        </w:rPr>
        <w:t xml:space="preserve">enlisting of sites for interview recruitment.  As a result, the number of people with at least two interviews (n=82; 38%) is lower than planned, and our ability to monitor change at individual level across the Pilot was </w:t>
      </w:r>
      <w:r w:rsidR="002F4F6D">
        <w:rPr>
          <w:lang w:eastAsia="en-AU"/>
        </w:rPr>
        <w:t>curtailed</w:t>
      </w:r>
      <w:r>
        <w:rPr>
          <w:lang w:eastAsia="en-AU"/>
        </w:rPr>
        <w:t>.</w:t>
      </w:r>
      <w:r w:rsidDel="006A782D">
        <w:rPr>
          <w:lang w:eastAsia="en-AU"/>
        </w:rPr>
        <w:t xml:space="preserve"> </w:t>
      </w:r>
    </w:p>
    <w:p w14:paraId="25DA3607" w14:textId="15ED4F5B" w:rsidR="00CA5EEA" w:rsidRDefault="00CA5EEA" w:rsidP="003D0F16">
      <w:pPr>
        <w:rPr>
          <w:lang w:eastAsia="en-AU"/>
        </w:rPr>
      </w:pPr>
      <w:r>
        <w:rPr>
          <w:lang w:eastAsia="en-AU"/>
        </w:rPr>
        <w:t xml:space="preserve">We were not permitted to link the PBS data on dispensing of prescribed opioids and of naloxone with data from the </w:t>
      </w:r>
      <w:r w:rsidR="001A2056">
        <w:rPr>
          <w:lang w:eastAsia="en-AU"/>
        </w:rPr>
        <w:t>PPA</w:t>
      </w:r>
      <w:r>
        <w:rPr>
          <w:lang w:eastAsia="en-AU"/>
        </w:rPr>
        <w:t xml:space="preserve"> Portal on pharmacy </w:t>
      </w:r>
      <w:r w:rsidR="00DD35CD">
        <w:rPr>
          <w:lang w:eastAsia="en-AU"/>
        </w:rPr>
        <w:t xml:space="preserve">provision </w:t>
      </w:r>
      <w:r>
        <w:rPr>
          <w:lang w:eastAsia="en-AU"/>
        </w:rPr>
        <w:t xml:space="preserve">of </w:t>
      </w:r>
      <w:proofErr w:type="gramStart"/>
      <w:r>
        <w:rPr>
          <w:lang w:eastAsia="en-AU"/>
        </w:rPr>
        <w:t>take</w:t>
      </w:r>
      <w:r w:rsidR="0012578E">
        <w:rPr>
          <w:lang w:eastAsia="en-AU"/>
        </w:rPr>
        <w:t xml:space="preserve"> </w:t>
      </w:r>
      <w:r>
        <w:rPr>
          <w:lang w:eastAsia="en-AU"/>
        </w:rPr>
        <w:t>home</w:t>
      </w:r>
      <w:proofErr w:type="gramEnd"/>
      <w:r>
        <w:rPr>
          <w:lang w:eastAsia="en-AU"/>
        </w:rPr>
        <w:t xml:space="preserve"> naloxone through the Pilot; this precluded direct comparisons between these data</w:t>
      </w:r>
      <w:r w:rsidR="00DD35CD">
        <w:rPr>
          <w:lang w:eastAsia="en-AU"/>
        </w:rPr>
        <w:t xml:space="preserve"> sets</w:t>
      </w:r>
      <w:r>
        <w:rPr>
          <w:lang w:eastAsia="en-AU"/>
        </w:rPr>
        <w:t>. It is possible that some pharmacies provided naloxone via the Pilot and via the PBS.</w:t>
      </w:r>
    </w:p>
    <w:p w14:paraId="3F575E52" w14:textId="627075A7" w:rsidR="00CA5EEA" w:rsidRDefault="00DD35CD" w:rsidP="003D0F16">
      <w:pPr>
        <w:rPr>
          <w:lang w:eastAsia="en-AU"/>
        </w:rPr>
      </w:pPr>
      <w:r>
        <w:rPr>
          <w:lang w:eastAsia="en-AU"/>
        </w:rPr>
        <w:lastRenderedPageBreak/>
        <w:t>Finally, d</w:t>
      </w:r>
      <w:r w:rsidR="00CA5EEA">
        <w:rPr>
          <w:lang w:eastAsia="en-AU"/>
        </w:rPr>
        <w:t>ata on hospitalisations and deaths as a result of opioid overdose for the period of the Pilot will not be available for analysis until mid-late 2022 (as anticipated</w:t>
      </w:r>
      <w:proofErr w:type="gramStart"/>
      <w:r w:rsidR="00CA5EEA">
        <w:rPr>
          <w:lang w:eastAsia="en-AU"/>
        </w:rPr>
        <w:t>)</w:t>
      </w:r>
      <w:r w:rsidR="00FE652D">
        <w:rPr>
          <w:lang w:eastAsia="en-AU"/>
        </w:rPr>
        <w:t>, and</w:t>
      </w:r>
      <w:proofErr w:type="gramEnd"/>
      <w:r w:rsidR="00FE652D">
        <w:rPr>
          <w:lang w:eastAsia="en-AU"/>
        </w:rPr>
        <w:t xml:space="preserve"> will be subject to revision </w:t>
      </w:r>
      <w:r w:rsidR="00EE43EC">
        <w:rPr>
          <w:lang w:eastAsia="en-AU"/>
        </w:rPr>
        <w:t xml:space="preserve">until at least </w:t>
      </w:r>
      <w:r w:rsidR="00C24C76">
        <w:rPr>
          <w:lang w:eastAsia="en-AU"/>
        </w:rPr>
        <w:t>2025</w:t>
      </w:r>
      <w:r w:rsidR="00CA5EEA">
        <w:rPr>
          <w:lang w:eastAsia="en-AU"/>
        </w:rPr>
        <w:t>. This restrict</w:t>
      </w:r>
      <w:r w:rsidR="00DB26C7">
        <w:rPr>
          <w:lang w:eastAsia="en-AU"/>
        </w:rPr>
        <w:t>ed</w:t>
      </w:r>
      <w:r w:rsidR="00CA5EEA">
        <w:rPr>
          <w:lang w:eastAsia="en-AU"/>
        </w:rPr>
        <w:t xml:space="preserve"> our ability to measure changes in these </w:t>
      </w:r>
      <w:r w:rsidR="00DB26C7">
        <w:rPr>
          <w:lang w:eastAsia="en-AU"/>
        </w:rPr>
        <w:t>overdose outcomes</w:t>
      </w:r>
      <w:r w:rsidR="00CA5EEA">
        <w:rPr>
          <w:lang w:eastAsia="en-AU"/>
        </w:rPr>
        <w:t xml:space="preserve"> that </w:t>
      </w:r>
      <w:r w:rsidR="00C24C76">
        <w:rPr>
          <w:lang w:eastAsia="en-AU"/>
        </w:rPr>
        <w:t xml:space="preserve">could </w:t>
      </w:r>
      <w:r w:rsidR="00CA5EEA">
        <w:rPr>
          <w:lang w:eastAsia="en-AU"/>
        </w:rPr>
        <w:t xml:space="preserve">be attributed to the Pilot. </w:t>
      </w:r>
      <w:r w:rsidR="001E486E">
        <w:rPr>
          <w:lang w:eastAsia="en-AU"/>
        </w:rPr>
        <w:t>These data will be worthy of examination once available</w:t>
      </w:r>
    </w:p>
    <w:p w14:paraId="09ABB75E" w14:textId="219C875C" w:rsidR="00CA5EEA" w:rsidRPr="00122C7F" w:rsidRDefault="00CA5EEA" w:rsidP="005C6E0D">
      <w:pPr>
        <w:pStyle w:val="NbrHeading1"/>
      </w:pPr>
      <w:bookmarkStart w:id="370" w:name="_Toc94794178"/>
      <w:bookmarkStart w:id="371" w:name="_Toc94794322"/>
      <w:r w:rsidRPr="00122C7F">
        <w:t>Conclusions</w:t>
      </w:r>
      <w:bookmarkEnd w:id="370"/>
      <w:bookmarkEnd w:id="371"/>
    </w:p>
    <w:p w14:paraId="1BA63A83" w14:textId="5C162A23" w:rsidR="00CA5EEA" w:rsidRDefault="00CA5EEA" w:rsidP="003D0F16">
      <w:pPr>
        <w:rPr>
          <w:lang w:eastAsia="en-AU"/>
        </w:rPr>
      </w:pPr>
      <w:r>
        <w:rPr>
          <w:lang w:eastAsia="en-AU"/>
        </w:rPr>
        <w:t xml:space="preserve">In summary, </w:t>
      </w:r>
      <w:r w:rsidR="00132A7A">
        <w:rPr>
          <w:lang w:eastAsia="en-AU"/>
        </w:rPr>
        <w:t>most of the key THN Pilot activities were implemented as planned.</w:t>
      </w:r>
      <w:r>
        <w:rPr>
          <w:lang w:eastAsia="en-AU"/>
        </w:rPr>
        <w:t xml:space="preserve"> </w:t>
      </w:r>
      <w:r w:rsidR="0023141D">
        <w:rPr>
          <w:lang w:eastAsia="en-AU"/>
        </w:rPr>
        <w:t>T</w:t>
      </w:r>
      <w:r>
        <w:rPr>
          <w:lang w:eastAsia="en-AU"/>
        </w:rPr>
        <w:t xml:space="preserve">he Pilot </w:t>
      </w:r>
      <w:r w:rsidR="0023141D">
        <w:rPr>
          <w:lang w:eastAsia="en-AU"/>
        </w:rPr>
        <w:t>improved</w:t>
      </w:r>
      <w:r>
        <w:rPr>
          <w:lang w:eastAsia="en-AU"/>
        </w:rPr>
        <w:t xml:space="preserve"> access to take</w:t>
      </w:r>
      <w:r w:rsidR="0012578E">
        <w:rPr>
          <w:lang w:eastAsia="en-AU"/>
        </w:rPr>
        <w:t xml:space="preserve"> </w:t>
      </w:r>
      <w:r>
        <w:rPr>
          <w:lang w:eastAsia="en-AU"/>
        </w:rPr>
        <w:t xml:space="preserve">home naloxone among </w:t>
      </w:r>
      <w:proofErr w:type="gramStart"/>
      <w:r>
        <w:rPr>
          <w:lang w:eastAsia="en-AU"/>
        </w:rPr>
        <w:t>a large number of</w:t>
      </w:r>
      <w:proofErr w:type="gramEnd"/>
      <w:r>
        <w:rPr>
          <w:lang w:eastAsia="en-AU"/>
        </w:rPr>
        <w:t xml:space="preserve"> people</w:t>
      </w:r>
      <w:r w:rsidR="00CD4E1E">
        <w:rPr>
          <w:lang w:eastAsia="en-AU"/>
        </w:rPr>
        <w:t>, who</w:t>
      </w:r>
      <w:r>
        <w:rPr>
          <w:lang w:eastAsia="en-AU"/>
        </w:rPr>
        <w:t xml:space="preserve"> represent</w:t>
      </w:r>
      <w:r w:rsidR="00CD4E1E">
        <w:rPr>
          <w:lang w:eastAsia="en-AU"/>
        </w:rPr>
        <w:t>ed</w:t>
      </w:r>
      <w:r>
        <w:rPr>
          <w:lang w:eastAsia="en-AU"/>
        </w:rPr>
        <w:t xml:space="preserve"> each of the intended target populations. </w:t>
      </w:r>
      <w:r w:rsidR="0023141D">
        <w:rPr>
          <w:lang w:eastAsia="en-AU"/>
        </w:rPr>
        <w:t xml:space="preserve">The evaluation </w:t>
      </w:r>
      <w:r w:rsidR="001D69DE">
        <w:rPr>
          <w:lang w:eastAsia="en-AU"/>
        </w:rPr>
        <w:t>recorded</w:t>
      </w:r>
      <w:r>
        <w:rPr>
          <w:lang w:eastAsia="en-AU"/>
        </w:rPr>
        <w:t xml:space="preserve"> </w:t>
      </w:r>
      <w:r w:rsidR="00E23324">
        <w:rPr>
          <w:lang w:eastAsia="en-AU"/>
        </w:rPr>
        <w:t xml:space="preserve">27,955 </w:t>
      </w:r>
      <w:r w:rsidR="00562EFA">
        <w:rPr>
          <w:lang w:eastAsia="en-AU"/>
        </w:rPr>
        <w:t>occasions of naloxone supply</w:t>
      </w:r>
      <w:r w:rsidR="00E23324">
        <w:rPr>
          <w:lang w:eastAsia="en-AU"/>
        </w:rPr>
        <w:t xml:space="preserve"> over 18 </w:t>
      </w:r>
      <w:r w:rsidR="0023141D">
        <w:rPr>
          <w:lang w:eastAsia="en-AU"/>
        </w:rPr>
        <w:t>months</w:t>
      </w:r>
      <w:r w:rsidR="00E23324">
        <w:rPr>
          <w:lang w:eastAsia="en-AU"/>
        </w:rPr>
        <w:t xml:space="preserve"> of the Pilo</w:t>
      </w:r>
      <w:r w:rsidR="0023141D">
        <w:rPr>
          <w:lang w:eastAsia="en-AU"/>
        </w:rPr>
        <w:t>t</w:t>
      </w:r>
      <w:r w:rsidR="00562EFA">
        <w:rPr>
          <w:lang w:eastAsia="en-AU"/>
        </w:rPr>
        <w:t>,</w:t>
      </w:r>
      <w:r w:rsidR="00E23324">
        <w:rPr>
          <w:lang w:eastAsia="en-AU"/>
        </w:rPr>
        <w:t xml:space="preserve"> compared to 3</w:t>
      </w:r>
      <w:r w:rsidR="00D029CC">
        <w:rPr>
          <w:lang w:eastAsia="en-AU"/>
        </w:rPr>
        <w:t>,579 suppli</w:t>
      </w:r>
      <w:r w:rsidR="006E5545">
        <w:rPr>
          <w:lang w:eastAsia="en-AU"/>
        </w:rPr>
        <w:t>es</w:t>
      </w:r>
      <w:r w:rsidR="00D029CC">
        <w:rPr>
          <w:lang w:eastAsia="en-AU"/>
        </w:rPr>
        <w:t xml:space="preserve"> through the PBS in the previous </w:t>
      </w:r>
      <w:r w:rsidR="00023F55">
        <w:rPr>
          <w:lang w:eastAsia="en-AU"/>
        </w:rPr>
        <w:t xml:space="preserve">2 years. </w:t>
      </w:r>
      <w:r w:rsidR="006E4759">
        <w:rPr>
          <w:lang w:eastAsia="en-AU"/>
        </w:rPr>
        <w:t xml:space="preserve">Removal of cost and prescription barriers, </w:t>
      </w:r>
      <w:r w:rsidR="007C443A">
        <w:rPr>
          <w:lang w:eastAsia="en-AU"/>
        </w:rPr>
        <w:t>availability through a</w:t>
      </w:r>
      <w:r w:rsidR="0090577C">
        <w:rPr>
          <w:lang w:eastAsia="en-AU"/>
        </w:rPr>
        <w:t xml:space="preserve"> broad range of access site types </w:t>
      </w:r>
      <w:r w:rsidR="00655188">
        <w:rPr>
          <w:lang w:eastAsia="en-AU"/>
        </w:rPr>
        <w:t xml:space="preserve">of </w:t>
      </w:r>
      <w:r w:rsidR="00947A89">
        <w:rPr>
          <w:lang w:eastAsia="en-AU"/>
        </w:rPr>
        <w:t xml:space="preserve">different naloxone formulations </w:t>
      </w:r>
      <w:r w:rsidR="007D3AD2">
        <w:rPr>
          <w:lang w:eastAsia="en-AU"/>
        </w:rPr>
        <w:t xml:space="preserve">were key to the Pilot’s success. </w:t>
      </w:r>
      <w:r>
        <w:rPr>
          <w:lang w:eastAsia="en-AU"/>
        </w:rPr>
        <w:t>Naloxone was</w:t>
      </w:r>
      <w:r w:rsidR="4794A9B7" w:rsidRPr="20EC43FC">
        <w:rPr>
          <w:lang w:eastAsia="en-AU"/>
        </w:rPr>
        <w:t xml:space="preserve"> successfully</w:t>
      </w:r>
      <w:r>
        <w:rPr>
          <w:lang w:eastAsia="en-AU"/>
        </w:rPr>
        <w:t xml:space="preserve"> used to resuscitate people in opioid overdose situations</w:t>
      </w:r>
      <w:r w:rsidR="0066590F">
        <w:rPr>
          <w:lang w:eastAsia="en-AU"/>
        </w:rPr>
        <w:t>. The pilot enabled at least 1,649 overdose</w:t>
      </w:r>
      <w:r w:rsidR="00756952">
        <w:rPr>
          <w:lang w:eastAsia="en-AU"/>
        </w:rPr>
        <w:t xml:space="preserve"> reversals</w:t>
      </w:r>
      <w:r w:rsidR="008339ED">
        <w:rPr>
          <w:lang w:eastAsia="en-AU"/>
        </w:rPr>
        <w:t>,</w:t>
      </w:r>
      <w:r>
        <w:rPr>
          <w:lang w:eastAsia="en-AU"/>
        </w:rPr>
        <w:t xml:space="preserve"> saving an estimated three lives each day </w:t>
      </w:r>
      <w:r w:rsidR="00535533">
        <w:rPr>
          <w:lang w:eastAsia="en-AU"/>
        </w:rPr>
        <w:t>over</w:t>
      </w:r>
      <w:r>
        <w:rPr>
          <w:lang w:eastAsia="en-AU"/>
        </w:rPr>
        <w:t xml:space="preserve"> the duration of the Pilot to date</w:t>
      </w:r>
      <w:r w:rsidR="000A3299">
        <w:rPr>
          <w:lang w:eastAsia="en-AU"/>
        </w:rPr>
        <w:t>.</w:t>
      </w:r>
    </w:p>
    <w:p w14:paraId="531F7141" w14:textId="5E338CF6" w:rsidR="00CA5EEA" w:rsidRDefault="00CA5EEA" w:rsidP="003D0F16">
      <w:pPr>
        <w:rPr>
          <w:lang w:eastAsia="en-AU"/>
        </w:rPr>
      </w:pPr>
      <w:r>
        <w:rPr>
          <w:lang w:eastAsia="en-AU"/>
        </w:rPr>
        <w:t xml:space="preserve">In some areas, the Pilot did not fully achieve all its original intentions, due </w:t>
      </w:r>
      <w:r w:rsidR="00861995">
        <w:rPr>
          <w:lang w:eastAsia="en-AU"/>
        </w:rPr>
        <w:t xml:space="preserve">in part </w:t>
      </w:r>
      <w:r>
        <w:rPr>
          <w:lang w:eastAsia="en-AU"/>
        </w:rPr>
        <w:t>to the challenges of rapidly scaling up existing operations with limited resources</w:t>
      </w:r>
      <w:r w:rsidR="6AA52E7A" w:rsidRPr="20EC43FC">
        <w:rPr>
          <w:lang w:eastAsia="en-AU"/>
        </w:rPr>
        <w:t>,</w:t>
      </w:r>
      <w:r>
        <w:rPr>
          <w:lang w:eastAsia="en-AU"/>
        </w:rPr>
        <w:t xml:space="preserve"> and an initial focus solely on the alcohol and other drug sector</w:t>
      </w:r>
      <w:r w:rsidR="006C117B">
        <w:rPr>
          <w:lang w:eastAsia="en-AU"/>
        </w:rPr>
        <w:t>. T</w:t>
      </w:r>
      <w:r>
        <w:rPr>
          <w:lang w:eastAsia="en-AU"/>
        </w:rPr>
        <w:t>he</w:t>
      </w:r>
      <w:r w:rsidR="00F3293F">
        <w:rPr>
          <w:lang w:eastAsia="en-AU"/>
        </w:rPr>
        <w:t>re were</w:t>
      </w:r>
      <w:r>
        <w:rPr>
          <w:lang w:eastAsia="en-AU"/>
        </w:rPr>
        <w:t xml:space="preserve"> </w:t>
      </w:r>
      <w:r w:rsidR="00C4373F">
        <w:rPr>
          <w:lang w:eastAsia="en-AU"/>
        </w:rPr>
        <w:t xml:space="preserve">also </w:t>
      </w:r>
      <w:r>
        <w:rPr>
          <w:lang w:eastAsia="en-AU"/>
        </w:rPr>
        <w:t xml:space="preserve">significant challenges </w:t>
      </w:r>
      <w:r w:rsidR="00C4373F">
        <w:rPr>
          <w:lang w:eastAsia="en-AU"/>
        </w:rPr>
        <w:t xml:space="preserve">in attempting to </w:t>
      </w:r>
      <w:r>
        <w:rPr>
          <w:lang w:eastAsia="en-AU"/>
        </w:rPr>
        <w:t>implement a major new health initiative in the competing environment of the COVID-19 pandemic.</w:t>
      </w:r>
    </w:p>
    <w:p w14:paraId="7848B742" w14:textId="5323A247" w:rsidR="00CA5EEA" w:rsidRDefault="00CA5EEA" w:rsidP="003D0F16">
      <w:pPr>
        <w:rPr>
          <w:lang w:eastAsia="en-AU"/>
        </w:rPr>
      </w:pPr>
      <w:r>
        <w:rPr>
          <w:lang w:eastAsia="en-AU"/>
        </w:rPr>
        <w:t xml:space="preserve">It is </w:t>
      </w:r>
      <w:r w:rsidR="0046482B">
        <w:rPr>
          <w:lang w:eastAsia="en-AU"/>
        </w:rPr>
        <w:t xml:space="preserve">very </w:t>
      </w:r>
      <w:r>
        <w:rPr>
          <w:lang w:eastAsia="en-AU"/>
        </w:rPr>
        <w:t>strongly recommended that Take Home Naloxone be expanded</w:t>
      </w:r>
      <w:r w:rsidR="0046482B">
        <w:rPr>
          <w:lang w:eastAsia="en-AU"/>
        </w:rPr>
        <w:t xml:space="preserve"> and extended</w:t>
      </w:r>
      <w:r>
        <w:rPr>
          <w:lang w:eastAsia="en-AU"/>
        </w:rPr>
        <w:t xml:space="preserve"> into an ongoing national program</w:t>
      </w:r>
      <w:r w:rsidR="004D3A54">
        <w:rPr>
          <w:lang w:eastAsia="en-AU"/>
        </w:rPr>
        <w:t xml:space="preserve"> that </w:t>
      </w:r>
      <w:r w:rsidR="00BB0C9E">
        <w:rPr>
          <w:lang w:eastAsia="en-AU"/>
        </w:rPr>
        <w:t>forms an integral part of opioid safety stewardship</w:t>
      </w:r>
      <w:r>
        <w:rPr>
          <w:lang w:eastAsia="en-AU"/>
        </w:rPr>
        <w:t xml:space="preserve">. There is </w:t>
      </w:r>
      <w:r w:rsidR="00A168B4">
        <w:rPr>
          <w:lang w:eastAsia="en-AU"/>
        </w:rPr>
        <w:t>an</w:t>
      </w:r>
      <w:r>
        <w:rPr>
          <w:lang w:eastAsia="en-AU"/>
        </w:rPr>
        <w:t xml:space="preserve"> established need to address the </w:t>
      </w:r>
      <w:r w:rsidR="005D7C2E">
        <w:rPr>
          <w:lang w:eastAsia="en-AU"/>
        </w:rPr>
        <w:t xml:space="preserve">significant and </w:t>
      </w:r>
      <w:r>
        <w:rPr>
          <w:lang w:eastAsia="en-AU"/>
        </w:rPr>
        <w:t xml:space="preserve">ongoing risks of opioid overdose, </w:t>
      </w:r>
      <w:r w:rsidR="005E1597">
        <w:rPr>
          <w:lang w:eastAsia="en-AU"/>
        </w:rPr>
        <w:t xml:space="preserve">opportunity to </w:t>
      </w:r>
      <w:r w:rsidR="000165AD">
        <w:rPr>
          <w:lang w:eastAsia="en-AU"/>
        </w:rPr>
        <w:t>include</w:t>
      </w:r>
      <w:r w:rsidR="00206CC0">
        <w:rPr>
          <w:lang w:eastAsia="en-AU"/>
        </w:rPr>
        <w:t xml:space="preserve"> an evidence based</w:t>
      </w:r>
      <w:r w:rsidR="00927EEE">
        <w:rPr>
          <w:lang w:eastAsia="en-AU"/>
        </w:rPr>
        <w:t xml:space="preserve"> effective intervention, </w:t>
      </w:r>
      <w:r>
        <w:rPr>
          <w:lang w:eastAsia="en-AU"/>
        </w:rPr>
        <w:t xml:space="preserve">and strong </w:t>
      </w:r>
      <w:r w:rsidR="00E83CAF">
        <w:rPr>
          <w:lang w:eastAsia="en-AU"/>
        </w:rPr>
        <w:t>impetus</w:t>
      </w:r>
      <w:r>
        <w:rPr>
          <w:lang w:eastAsia="en-AU"/>
        </w:rPr>
        <w:t xml:space="preserve"> among the health sector to implement such </w:t>
      </w:r>
      <w:r w:rsidR="00927EEE">
        <w:rPr>
          <w:lang w:eastAsia="en-AU"/>
        </w:rPr>
        <w:t xml:space="preserve">a </w:t>
      </w:r>
      <w:r>
        <w:rPr>
          <w:lang w:eastAsia="en-AU"/>
        </w:rPr>
        <w:t xml:space="preserve">program. </w:t>
      </w:r>
    </w:p>
    <w:p w14:paraId="18AB475B" w14:textId="3FCD79B2" w:rsidR="00CA5EEA" w:rsidRDefault="00CA5EEA" w:rsidP="003D0F16">
      <w:pPr>
        <w:rPr>
          <w:lang w:eastAsia="en-AU"/>
        </w:rPr>
      </w:pPr>
      <w:r>
        <w:rPr>
          <w:lang w:eastAsia="en-AU"/>
        </w:rPr>
        <w:t>The significant learnings from this Pilot should be taken forward, and the opportunity to continue learning from program operations ensured.</w:t>
      </w:r>
    </w:p>
    <w:p w14:paraId="7DDD2294" w14:textId="77777777" w:rsidR="00CA5EEA" w:rsidRDefault="00CA5EEA" w:rsidP="003D0F16">
      <w:pPr>
        <w:spacing w:after="160" w:line="259" w:lineRule="auto"/>
        <w:rPr>
          <w:lang w:eastAsia="en-AU"/>
        </w:rPr>
      </w:pPr>
      <w:r>
        <w:rPr>
          <w:lang w:eastAsia="en-AU"/>
        </w:rPr>
        <w:br w:type="page"/>
      </w:r>
    </w:p>
    <w:bookmarkStart w:id="372" w:name="_Toc80187905" w:displacedByCustomXml="next"/>
    <w:bookmarkEnd w:id="372" w:displacedByCustomXml="next"/>
    <w:bookmarkStart w:id="373" w:name="_Toc80187803" w:displacedByCustomXml="next"/>
    <w:bookmarkEnd w:id="373" w:displacedByCustomXml="next"/>
    <w:bookmarkStart w:id="374" w:name="_Toc94794323" w:displacedByCustomXml="next"/>
    <w:bookmarkStart w:id="375" w:name="_Toc94794179" w:displacedByCustomXml="next"/>
    <w:sdt>
      <w:sdtPr>
        <w:rPr>
          <w:rFonts w:asciiTheme="minorHAnsi" w:eastAsiaTheme="minorHAnsi" w:hAnsiTheme="minorHAnsi" w:cstheme="minorBidi"/>
          <w:color w:val="auto"/>
          <w:sz w:val="22"/>
          <w:szCs w:val="22"/>
          <w:lang w:eastAsia="en-US"/>
        </w:rPr>
        <w:id w:val="-722144864"/>
        <w:docPartObj>
          <w:docPartGallery w:val="Bibliographies"/>
          <w:docPartUnique/>
        </w:docPartObj>
      </w:sdtPr>
      <w:sdtEndPr>
        <w:rPr>
          <w:rFonts w:asciiTheme="majorHAnsi" w:eastAsia="Times New Roman" w:hAnsiTheme="majorHAnsi" w:cstheme="majorBidi"/>
          <w:color w:val="51247A" w:themeColor="accent1"/>
          <w:sz w:val="32"/>
          <w:szCs w:val="32"/>
          <w:lang w:eastAsia="en-AU"/>
        </w:rPr>
      </w:sdtEndPr>
      <w:sdtContent>
        <w:p w14:paraId="5EB304B0" w14:textId="2A4FEC53" w:rsidR="00BF71F8" w:rsidRDefault="00BF71F8" w:rsidP="00BF71F8">
          <w:pPr>
            <w:pStyle w:val="NbrHeading1"/>
          </w:pPr>
          <w:r>
            <w:t>References</w:t>
          </w:r>
        </w:p>
      </w:sdtContent>
    </w:sdt>
    <w:bookmarkEnd w:id="374" w:displacedByCustomXml="prev"/>
    <w:bookmarkEnd w:id="375" w:displacedByCustomXml="prev"/>
    <w:p w14:paraId="684D0116" w14:textId="77777777" w:rsidR="00D42A16" w:rsidRPr="00D42A16" w:rsidRDefault="00BF71F8" w:rsidP="00D42A16">
      <w:pPr>
        <w:pStyle w:val="EndNoteBibliography"/>
        <w:spacing w:after="0"/>
      </w:pPr>
      <w:r>
        <w:fldChar w:fldCharType="begin"/>
      </w:r>
      <w:r>
        <w:instrText xml:space="preserve"> ADDIN EN.REFLIST </w:instrText>
      </w:r>
      <w:r>
        <w:fldChar w:fldCharType="separate"/>
      </w:r>
      <w:r w:rsidR="00D42A16" w:rsidRPr="00D42A16">
        <w:t>1.</w:t>
      </w:r>
      <w:r w:rsidR="00D42A16" w:rsidRPr="00D42A16">
        <w:tab/>
        <w:t>Chrzanowska A, Man N, Sutherland R, Degenhardt L, Peacock A. Trends in drug-induced deaths in Australia, 1997-2019. Drug Trends Bulletin Series Sydney: National Drug and Alcohol Research Centre, UNSW Sydney. 2021.</w:t>
      </w:r>
    </w:p>
    <w:p w14:paraId="1FDE61E8" w14:textId="77777777" w:rsidR="00D42A16" w:rsidRPr="00D42A16" w:rsidRDefault="00D42A16" w:rsidP="00D42A16">
      <w:pPr>
        <w:pStyle w:val="EndNoteBibliography"/>
        <w:spacing w:after="0"/>
      </w:pPr>
      <w:r w:rsidRPr="00D42A16">
        <w:t>2.</w:t>
      </w:r>
      <w:r w:rsidRPr="00D42A16">
        <w:tab/>
        <w:t>Man N, Chrzanowska A, Sutherland R, Degenhardt L, Peacock A. Trends in drug-related hospitalisations in Australia, 1999-2019. Drug Trends Bulletin Series Sydney: National Drug and Alcohol Research Centre, UNSW Sydney. 2021.</w:t>
      </w:r>
    </w:p>
    <w:p w14:paraId="513CD929" w14:textId="49691679" w:rsidR="00D42A16" w:rsidRPr="00D42A16" w:rsidRDefault="00D42A16" w:rsidP="00D42A16">
      <w:pPr>
        <w:pStyle w:val="EndNoteBibliography"/>
        <w:spacing w:after="0"/>
      </w:pPr>
      <w:r w:rsidRPr="00D42A16">
        <w:t>3.</w:t>
      </w:r>
      <w:r w:rsidRPr="00D42A16">
        <w:tab/>
      </w:r>
      <w:bookmarkStart w:id="376" w:name="_Hlk84583147"/>
      <w:r w:rsidRPr="00D42A16">
        <w:t xml:space="preserve">Makate M, Whetton S, Tait R, Chrzanowska A, Donnelly N, McEntee A, et al. Quantifying the Social Costs of Pharmaceutical Opioid Misuse &amp; Illicit Opioid Use to Australia in 2015/16. Perth, WA: National Drug Research Institute, Curtin University; 2020. Report No.: 978-0-6487367-0-7.  Available from: </w:t>
      </w:r>
      <w:hyperlink r:id="rId67" w:history="1">
        <w:r w:rsidRPr="00D42A16">
          <w:rPr>
            <w:rStyle w:val="Hyperlink"/>
          </w:rPr>
          <w:t>https://apo.org.au/node/303888</w:t>
        </w:r>
      </w:hyperlink>
      <w:r w:rsidRPr="00D42A16">
        <w:t>.</w:t>
      </w:r>
      <w:bookmarkEnd w:id="376"/>
    </w:p>
    <w:p w14:paraId="5D9C5207" w14:textId="77777777" w:rsidR="00D42A16" w:rsidRPr="00D42A16" w:rsidRDefault="00D42A16" w:rsidP="00D42A16">
      <w:pPr>
        <w:pStyle w:val="EndNoteBibliography"/>
        <w:spacing w:after="0"/>
      </w:pPr>
      <w:r w:rsidRPr="00D42A16">
        <w:t>4.</w:t>
      </w:r>
      <w:r w:rsidRPr="00D42A16">
        <w:tab/>
        <w:t>Lalic S, Ilomäki J, Bell JS, Korhonen MJ, Gisev N. Prevalence and incidence of prescription opioid analgesic use in Australia. British Journal of Clinical Pharmacology. 2019;85(1):202-15.</w:t>
      </w:r>
    </w:p>
    <w:p w14:paraId="7A0FD6E9" w14:textId="77777777" w:rsidR="00D42A16" w:rsidRPr="00D42A16" w:rsidRDefault="00D42A16" w:rsidP="00D42A16">
      <w:pPr>
        <w:pStyle w:val="EndNoteBibliography"/>
        <w:spacing w:after="0"/>
      </w:pPr>
      <w:r w:rsidRPr="00D42A16">
        <w:t>5.</w:t>
      </w:r>
      <w:r w:rsidRPr="00D42A16">
        <w:tab/>
        <w:t>Adewumi AD, Hollingworth SA, Maravilla JC, Connor JP, Alati R. Prescribed Dose of Opioids and Overdose: A Systematic Review and Meta-Analysis of Unintentional Prescription Opioid Overdose. CNS Drugs. 2018;32(2):101-16.</w:t>
      </w:r>
    </w:p>
    <w:p w14:paraId="2B4B3677" w14:textId="77777777" w:rsidR="00D42A16" w:rsidRPr="00D42A16" w:rsidRDefault="00D42A16" w:rsidP="00D42A16">
      <w:pPr>
        <w:pStyle w:val="EndNoteBibliography"/>
        <w:spacing w:after="0"/>
      </w:pPr>
      <w:r w:rsidRPr="00D42A16">
        <w:t>6.</w:t>
      </w:r>
      <w:r w:rsidRPr="00D42A16">
        <w:tab/>
        <w:t>Dowell D, Haegerich TM, Chou R. CDC Guideline for Prescribing Opioids for Chronic Pain--United States, 2016. JAMA. 2016;315(15):1624-45.</w:t>
      </w:r>
    </w:p>
    <w:p w14:paraId="088F50D9" w14:textId="5F8FF274" w:rsidR="00D42A16" w:rsidRPr="00D42A16" w:rsidRDefault="00D42A16" w:rsidP="00D42A16">
      <w:pPr>
        <w:pStyle w:val="EndNoteBibliography"/>
        <w:spacing w:after="0"/>
      </w:pPr>
      <w:r w:rsidRPr="00D42A16">
        <w:t>7.</w:t>
      </w:r>
      <w:r w:rsidRPr="00D42A16">
        <w:tab/>
        <w:t xml:space="preserve">Australian Institute of Health and Welfare. National Drug Strategy Household Survey 2019. Australian Institute of Health and Welfare; 2020.  Available from: </w:t>
      </w:r>
      <w:hyperlink r:id="rId68" w:history="1">
        <w:r w:rsidRPr="00D42A16">
          <w:rPr>
            <w:rStyle w:val="Hyperlink"/>
          </w:rPr>
          <w:t>https://www.aihw.gov.au/reports/illicit-use-of-drugs/national-drug-strategy-household-survey-2019/contents/summary</w:t>
        </w:r>
      </w:hyperlink>
      <w:r w:rsidRPr="00D42A16">
        <w:t>.</w:t>
      </w:r>
    </w:p>
    <w:p w14:paraId="612D4A06" w14:textId="77777777" w:rsidR="00D42A16" w:rsidRPr="00D42A16" w:rsidRDefault="00D42A16" w:rsidP="00D42A16">
      <w:pPr>
        <w:pStyle w:val="EndNoteBibliography"/>
        <w:spacing w:after="0"/>
      </w:pPr>
      <w:r w:rsidRPr="00D42A16">
        <w:t>8.</w:t>
      </w:r>
      <w:r w:rsidRPr="00D42A16">
        <w:tab/>
        <w:t>Larney S, Grebely J, Hickman M, De Angelis D, Dore GJ, Degenhardt L. Defining populations and injecting parameters among people who inject drugs: Implications for the assessment of hepatitis C treatment programs. International Journal of Drug Policy. 2015;26(10):950-7.</w:t>
      </w:r>
    </w:p>
    <w:p w14:paraId="26EA02D5" w14:textId="77777777" w:rsidR="00D42A16" w:rsidRPr="00D42A16" w:rsidRDefault="00D42A16" w:rsidP="00D42A16">
      <w:pPr>
        <w:pStyle w:val="EndNoteBibliography"/>
        <w:spacing w:after="0"/>
      </w:pPr>
      <w:r w:rsidRPr="00D42A16">
        <w:t>9.</w:t>
      </w:r>
      <w:r w:rsidRPr="00D42A16">
        <w:tab/>
        <w:t>Chalmers J, Lancaster K, Hughes C. The stigmatisation of ‘ice’ and under-reporting of meth/amphetamine use in general population surveys: A case study from Australia. International Journal of Drug Policy. 2016;36:15-24.</w:t>
      </w:r>
    </w:p>
    <w:p w14:paraId="079629CD" w14:textId="77777777" w:rsidR="00D42A16" w:rsidRPr="00D42A16" w:rsidRDefault="00D42A16" w:rsidP="00D42A16">
      <w:pPr>
        <w:pStyle w:val="EndNoteBibliography"/>
        <w:spacing w:after="0"/>
      </w:pPr>
      <w:r w:rsidRPr="00D42A16">
        <w:t>10.</w:t>
      </w:r>
      <w:r w:rsidRPr="00D42A16">
        <w:tab/>
        <w:t>Conway A, Valerio H, Peacock A, Degenhardt L, Hayllar J, Harrod ME, et al. Non-fatal opioid overdose, naloxone access, and naloxone training among people who recently used opioids or received opioid agonist treatment in Australia: The ETHOS Engage study. International Journal of Drug Policy. 2021:103421.</w:t>
      </w:r>
    </w:p>
    <w:p w14:paraId="59C73839" w14:textId="30552575" w:rsidR="00D42A16" w:rsidRPr="00D42A16" w:rsidRDefault="00D42A16" w:rsidP="00D42A16">
      <w:pPr>
        <w:pStyle w:val="EndNoteBibliography"/>
        <w:spacing w:after="0"/>
      </w:pPr>
      <w:r w:rsidRPr="00D42A16">
        <w:t>11.</w:t>
      </w:r>
      <w:r w:rsidRPr="00D42A16">
        <w:tab/>
        <w:t xml:space="preserve">Australian Criminal Intelligence Commission. National Wastewater Drug Monitoring Program: Report 13, June 2021. 2021.  Available from: </w:t>
      </w:r>
      <w:hyperlink r:id="rId69" w:history="1">
        <w:r w:rsidRPr="00D42A16">
          <w:rPr>
            <w:rStyle w:val="Hyperlink"/>
          </w:rPr>
          <w:t>https://www.acic.gov.au/publications/national-wastewater-drug-monitoring-program-reports/report-13-national-wastewater-drug-monitoring-program</w:t>
        </w:r>
      </w:hyperlink>
      <w:r w:rsidRPr="00D42A16">
        <w:t>.</w:t>
      </w:r>
    </w:p>
    <w:p w14:paraId="7470F191" w14:textId="4D8AC0C3" w:rsidR="00D42A16" w:rsidRPr="00D42A16" w:rsidRDefault="00D42A16" w:rsidP="00D42A16">
      <w:pPr>
        <w:pStyle w:val="EndNoteBibliography"/>
        <w:spacing w:after="0"/>
      </w:pPr>
      <w:bookmarkStart w:id="377" w:name="_Hlk84583359"/>
      <w:r w:rsidRPr="00D42A16">
        <w:t>12.</w:t>
      </w:r>
      <w:r w:rsidRPr="00D42A16">
        <w:tab/>
        <w:t xml:space="preserve">World Health </w:t>
      </w:r>
      <w:bookmarkStart w:id="378" w:name="_Hlk84583347"/>
      <w:r w:rsidRPr="00D42A16">
        <w:t xml:space="preserve">Organization. UNODC-WHO Stop-Overdose-Safely (SOS) project implementation in Kazakhstan, Kyrgyzstan, Tajikistan and Ukraine: summary report. World Health Organization; 2021. Report No.: 9240022457.  Available from: </w:t>
      </w:r>
      <w:hyperlink r:id="rId70" w:history="1">
        <w:r w:rsidRPr="00D42A16">
          <w:rPr>
            <w:rStyle w:val="Hyperlink"/>
          </w:rPr>
          <w:t>https://apps.who.int/iris/handle/10665/340497</w:t>
        </w:r>
      </w:hyperlink>
      <w:r w:rsidRPr="00D42A16">
        <w:t>.</w:t>
      </w:r>
      <w:bookmarkEnd w:id="378"/>
    </w:p>
    <w:bookmarkEnd w:id="377"/>
    <w:p w14:paraId="0B2419F9" w14:textId="5F11C8B6" w:rsidR="00D42A16" w:rsidRPr="00D42A16" w:rsidRDefault="00D42A16" w:rsidP="00D42A16">
      <w:pPr>
        <w:pStyle w:val="EndNoteBibliography"/>
        <w:spacing w:after="0"/>
      </w:pPr>
      <w:r w:rsidRPr="00D42A16">
        <w:t>13.</w:t>
      </w:r>
      <w:r w:rsidRPr="00D42A16">
        <w:tab/>
        <w:t xml:space="preserve">Harm Reduction International. The Global State of Harm Reduction 2020. Harm Reduction International; 2021.  Available from: </w:t>
      </w:r>
      <w:hyperlink r:id="rId71" w:history="1">
        <w:r w:rsidRPr="00D42A16">
          <w:rPr>
            <w:rStyle w:val="Hyperlink"/>
          </w:rPr>
          <w:t>https://www.hri.global/global-state-of-harm-reduction-2020</w:t>
        </w:r>
      </w:hyperlink>
      <w:r w:rsidRPr="00D42A16">
        <w:t>.</w:t>
      </w:r>
    </w:p>
    <w:p w14:paraId="771009AE" w14:textId="77777777" w:rsidR="00D42A16" w:rsidRPr="00D42A16" w:rsidRDefault="00D42A16" w:rsidP="00D42A16">
      <w:pPr>
        <w:pStyle w:val="EndNoteBibliography"/>
        <w:spacing w:after="0"/>
      </w:pPr>
      <w:r w:rsidRPr="00D42A16">
        <w:t>14.</w:t>
      </w:r>
      <w:r w:rsidRPr="00D42A16">
        <w:tab/>
        <w:t>Kim HS, Aks SE. Take-Home Naloxone and the Need for a Publicly Funded Naloxone Supply. Journal of Addiction Medicine [Internet]. 2021 Feb.</w:t>
      </w:r>
    </w:p>
    <w:p w14:paraId="0B34848A" w14:textId="484DE015" w:rsidR="00D42A16" w:rsidRPr="00D42A16" w:rsidRDefault="00D42A16" w:rsidP="00D42A16">
      <w:pPr>
        <w:pStyle w:val="EndNoteBibliography"/>
        <w:spacing w:after="0"/>
      </w:pPr>
      <w:r w:rsidRPr="00D42A16">
        <w:lastRenderedPageBreak/>
        <w:t>15.</w:t>
      </w:r>
      <w:r w:rsidRPr="00D42A16">
        <w:tab/>
        <w:t xml:space="preserve">Weiner J, Murphy SM, Behrends C. Expanding access to naloxone: A review of distribution strategies. LDI/CHERISH Issue Brief; 2019.  Available from: </w:t>
      </w:r>
      <w:hyperlink r:id="rId72" w:history="1">
        <w:r w:rsidRPr="00D42A16">
          <w:rPr>
            <w:rStyle w:val="Hyperlink"/>
          </w:rPr>
          <w:t>https://ldi.upenn.edu/our-work/research-updates/expanding-access-to-naloxone-a-review-of-distribution-strategies/</w:t>
        </w:r>
      </w:hyperlink>
      <w:r w:rsidRPr="00D42A16">
        <w:t>.</w:t>
      </w:r>
    </w:p>
    <w:p w14:paraId="72A12529" w14:textId="6E9A6A08" w:rsidR="00D42A16" w:rsidRPr="00D42A16" w:rsidRDefault="00D42A16" w:rsidP="00D42A16">
      <w:pPr>
        <w:pStyle w:val="EndNoteBibliography"/>
        <w:spacing w:after="0"/>
      </w:pPr>
      <w:r w:rsidRPr="00D42A16">
        <w:t>16.</w:t>
      </w:r>
      <w:r w:rsidRPr="00D42A16">
        <w:tab/>
        <w:t xml:space="preserve">Canadian Research Initiative in Substance Misuse [CRISM]. Environmental scan: Naloxone access and distribution in Canada. Canadian Research Initiative in Substance Misuse (CRISM) Vancouver; 2019.  Available from: </w:t>
      </w:r>
      <w:hyperlink r:id="rId73" w:history="1">
        <w:r w:rsidRPr="00D42A16">
          <w:rPr>
            <w:rStyle w:val="Hyperlink"/>
          </w:rPr>
          <w:t>https://crism.ca/2019/06/13/naloxone-distribution-environmental-scan/</w:t>
        </w:r>
      </w:hyperlink>
      <w:r w:rsidRPr="00D42A16">
        <w:t>.</w:t>
      </w:r>
    </w:p>
    <w:p w14:paraId="044F1187" w14:textId="34E29E08" w:rsidR="00D42A16" w:rsidRPr="00D42A16" w:rsidRDefault="00D42A16" w:rsidP="00D42A16">
      <w:pPr>
        <w:pStyle w:val="EndNoteBibliography"/>
        <w:spacing w:after="0"/>
      </w:pPr>
      <w:r w:rsidRPr="00D42A16">
        <w:t>17.</w:t>
      </w:r>
      <w:r w:rsidRPr="00D42A16">
        <w:tab/>
        <w:t xml:space="preserve">Information Services Division Scotland. National Naloxone Programme Scotland Monitoring Report 2016/17. NHS National Services Scotland 2017.  Available from: </w:t>
      </w:r>
      <w:hyperlink r:id="rId74" w:history="1">
        <w:r w:rsidRPr="00D42A16">
          <w:rPr>
            <w:rStyle w:val="Hyperlink"/>
          </w:rPr>
          <w:t>https://www.isdscotland.org/Health-Topics/Drugs-and-Alcohol-Misuse/Publications/2016-10-25/2016-10-25-Naloxone-Report.pdf</w:t>
        </w:r>
      </w:hyperlink>
      <w:r w:rsidRPr="00D42A16">
        <w:t>.</w:t>
      </w:r>
    </w:p>
    <w:p w14:paraId="7A6FBB0C" w14:textId="74D56CC0" w:rsidR="00D42A16" w:rsidRPr="00D42A16" w:rsidRDefault="00D42A16" w:rsidP="00D42A16">
      <w:pPr>
        <w:pStyle w:val="EndNoteBibliography"/>
        <w:spacing w:after="0"/>
      </w:pPr>
      <w:r w:rsidRPr="00D42A16">
        <w:t>18.</w:t>
      </w:r>
      <w:r w:rsidRPr="00D42A16">
        <w:tab/>
        <w:t xml:space="preserve">Public Health Agency. Take Home Naloxone Programme Annual report on the supply and use of Take Home Naloxone to reverse an overdose April 2019 – March 2020. 2020.  Available from: </w:t>
      </w:r>
      <w:hyperlink r:id="rId75" w:history="1">
        <w:r w:rsidRPr="00D42A16">
          <w:rPr>
            <w:rStyle w:val="Hyperlink"/>
          </w:rPr>
          <w:t>https://www.publichealth.hscni.net/sites/default/files/2021-01/Take%20Home%20Naloxone%20Annual%20Report%202019-20.pdf</w:t>
        </w:r>
      </w:hyperlink>
      <w:r w:rsidRPr="00D42A16">
        <w:t>.</w:t>
      </w:r>
    </w:p>
    <w:p w14:paraId="058CECA2" w14:textId="3AB9E568" w:rsidR="00D42A16" w:rsidRPr="00D42A16" w:rsidRDefault="00D42A16" w:rsidP="00D42A16">
      <w:pPr>
        <w:pStyle w:val="EndNoteBibliography"/>
        <w:spacing w:after="0"/>
      </w:pPr>
      <w:r w:rsidRPr="00D42A16">
        <w:t>19.</w:t>
      </w:r>
      <w:r w:rsidRPr="00D42A16">
        <w:tab/>
        <w:t xml:space="preserve">Ronconi S, Beccaria, F., Camposeragna, A., Rolando, S., Nencini, P. and, Jarre P. Preventing opioid deaths. A research on the Italian naloxone destribution model - 2016. 2017.  Available from: </w:t>
      </w:r>
      <w:hyperlink r:id="rId76" w:history="1">
        <w:r w:rsidRPr="00D42A16">
          <w:rPr>
            <w:rStyle w:val="Hyperlink"/>
          </w:rPr>
          <w:t>http://idpc.net/publications/2017/02/preventing-opioid-overdose-deaths-research-on-the-italian-naloxone-distribution-model</w:t>
        </w:r>
      </w:hyperlink>
      <w:r w:rsidRPr="00D42A16">
        <w:t>.</w:t>
      </w:r>
    </w:p>
    <w:p w14:paraId="671CF515" w14:textId="08A290BD" w:rsidR="00D42A16" w:rsidRPr="00D42A16" w:rsidRDefault="00D42A16" w:rsidP="00D42A16">
      <w:pPr>
        <w:pStyle w:val="EndNoteBibliography"/>
        <w:spacing w:after="0"/>
      </w:pPr>
      <w:r w:rsidRPr="00D42A16">
        <w:t>20.</w:t>
      </w:r>
      <w:r w:rsidRPr="00D42A16">
        <w:tab/>
        <w:t xml:space="preserve">Watt G, Jaquet S, Ellison S, Christie I, Nicholson J, Stevenson B. Service evaluation of Scotland's national take-home naloxone programme. Scottish Government Social Research; 2014. Report No.: 1784124788.  Available from: </w:t>
      </w:r>
      <w:hyperlink r:id="rId77" w:history="1">
        <w:r w:rsidRPr="00D42A16">
          <w:rPr>
            <w:rStyle w:val="Hyperlink"/>
          </w:rPr>
          <w:t>https://www.gov.scot/publications/service-evaluation-scotlands-take-home-naloxone-programme/documents/</w:t>
        </w:r>
      </w:hyperlink>
      <w:r w:rsidRPr="00D42A16">
        <w:t>.</w:t>
      </w:r>
    </w:p>
    <w:p w14:paraId="7698B162" w14:textId="5F9760D9" w:rsidR="00D42A16" w:rsidRPr="00D42A16" w:rsidRDefault="00D42A16" w:rsidP="00D42A16">
      <w:pPr>
        <w:pStyle w:val="EndNoteBibliography"/>
        <w:spacing w:after="0"/>
      </w:pPr>
      <w:r w:rsidRPr="00D42A16">
        <w:t>21.</w:t>
      </w:r>
      <w:r w:rsidRPr="00D42A16">
        <w:tab/>
        <w:t xml:space="preserve">Bennett T, Holloway K. Evaluation of the take home naloxone demonstration project. 2011.  Available from: </w:t>
      </w:r>
      <w:hyperlink r:id="rId78" w:history="1">
        <w:r w:rsidRPr="00D42A16">
          <w:rPr>
            <w:rStyle w:val="Hyperlink"/>
          </w:rPr>
          <w:t>https://gov.wales/evaluation-take-home-naloxone-demonstration-project-0</w:t>
        </w:r>
      </w:hyperlink>
      <w:r w:rsidRPr="00D42A16">
        <w:t>.</w:t>
      </w:r>
    </w:p>
    <w:p w14:paraId="4FCD7C83" w14:textId="77777777" w:rsidR="00D42A16" w:rsidRPr="00D42A16" w:rsidRDefault="00D42A16" w:rsidP="00D42A16">
      <w:pPr>
        <w:pStyle w:val="EndNoteBibliography"/>
        <w:spacing w:after="0"/>
      </w:pPr>
      <w:r w:rsidRPr="00D42A16">
        <w:t>22.</w:t>
      </w:r>
      <w:r w:rsidRPr="00D42A16">
        <w:tab/>
        <w:t>Tsuyuki RT, Arora V, Barnes M, Beazely MA, Boivin M, Christofides A, et al. Canadian national consensus guidelines for naloxone prescribing by pharmacists. Canadian Pharmacists Journal. 2020;153(6):347-51.</w:t>
      </w:r>
    </w:p>
    <w:p w14:paraId="28D4DB39" w14:textId="77777777" w:rsidR="00D42A16" w:rsidRPr="00D42A16" w:rsidRDefault="00D42A16" w:rsidP="00D42A16">
      <w:pPr>
        <w:pStyle w:val="EndNoteBibliography"/>
      </w:pPr>
      <w:r w:rsidRPr="00D42A16">
        <w:t>23.</w:t>
      </w:r>
      <w:r w:rsidRPr="00D42A16">
        <w:tab/>
        <w:t>Public Health Wales. Harm Reduction Database Wales: Drug related mortality</w:t>
      </w:r>
    </w:p>
    <w:p w14:paraId="57FD4E1F" w14:textId="4D6B5BE5" w:rsidR="00D42A16" w:rsidRPr="00D42A16" w:rsidRDefault="00D42A16" w:rsidP="00D42A16">
      <w:pPr>
        <w:pStyle w:val="EndNoteBibliography"/>
        <w:spacing w:after="0"/>
      </w:pPr>
      <w:r w:rsidRPr="00D42A16">
        <w:t xml:space="preserve">Annual Report 2019-20. 2020.  Available from: </w:t>
      </w:r>
      <w:hyperlink r:id="rId79" w:history="1">
        <w:r w:rsidRPr="00D42A16">
          <w:rPr>
            <w:rStyle w:val="Hyperlink"/>
          </w:rPr>
          <w:t>https://phw.nhs.wales/publications/publications1/harm-reduction-database-wales-drug-related-mortality-report-2019-20/</w:t>
        </w:r>
      </w:hyperlink>
      <w:r w:rsidRPr="00D42A16">
        <w:t>.</w:t>
      </w:r>
    </w:p>
    <w:p w14:paraId="3E52B8F8" w14:textId="2AB12BB9" w:rsidR="00D42A16" w:rsidRPr="00D42A16" w:rsidRDefault="00D42A16" w:rsidP="00D42A16">
      <w:pPr>
        <w:pStyle w:val="EndNoteBibliography"/>
        <w:spacing w:after="0"/>
      </w:pPr>
      <w:r w:rsidRPr="00D42A16">
        <w:t>24.</w:t>
      </w:r>
      <w:r w:rsidRPr="00D42A16">
        <w:tab/>
        <w:t xml:space="preserve">Shorter GW, Bingham T. An evaluation of the Take Home Naloxone programme in Northern Ireland: Consultation with service users and service providers. Belfast: Public Health Agency; 2016.  Available from: </w:t>
      </w:r>
      <w:hyperlink r:id="rId80" w:history="1">
        <w:r w:rsidRPr="00D42A16">
          <w:rPr>
            <w:rStyle w:val="Hyperlink"/>
          </w:rPr>
          <w:t>https://pure.ulster.ac.uk/ws/portalfiles/portal/11609673/Naloxone+service+evaluation+final+report+Feb+2016.pdf</w:t>
        </w:r>
      </w:hyperlink>
      <w:r w:rsidRPr="00D42A16">
        <w:t>.</w:t>
      </w:r>
    </w:p>
    <w:p w14:paraId="56934CD4" w14:textId="77777777" w:rsidR="00D42A16" w:rsidRPr="00D42A16" w:rsidRDefault="00D42A16" w:rsidP="00D42A16">
      <w:pPr>
        <w:pStyle w:val="EndNoteBibliography"/>
        <w:spacing w:after="0"/>
      </w:pPr>
      <w:r w:rsidRPr="00D42A16">
        <w:t>25.</w:t>
      </w:r>
      <w:r w:rsidRPr="00D42A16">
        <w:tab/>
        <w:t>Clark AK, Wilder CM, Winstanley EL. A systematic review of community opioid overdose prevention and naloxone distribution programs. Journal of Addiction Medicine. 2014;8(3):153-63.</w:t>
      </w:r>
    </w:p>
    <w:p w14:paraId="5315C46D" w14:textId="77777777" w:rsidR="00D42A16" w:rsidRPr="00D42A16" w:rsidRDefault="00D42A16" w:rsidP="00D42A16">
      <w:pPr>
        <w:pStyle w:val="EndNoteBibliography"/>
        <w:spacing w:after="0"/>
      </w:pPr>
      <w:r w:rsidRPr="00D42A16">
        <w:t>26.</w:t>
      </w:r>
      <w:r w:rsidRPr="00D42A16">
        <w:tab/>
        <w:t>Dietze PM, Draper B, Olsen A, Chronister KJ, van Beek I, Lintzeris N, et al. Does training people to administer take</w:t>
      </w:r>
      <w:r w:rsidRPr="00D42A16">
        <w:rPr>
          <w:rFonts w:ascii="Cambria Math" w:hAnsi="Cambria Math" w:cs="Cambria Math"/>
        </w:rPr>
        <w:t>‐</w:t>
      </w:r>
      <w:r w:rsidRPr="00D42A16">
        <w:t>home naloxone increase their knowledge? Evidence from Australian programs. Drug and Alcohol Review. 2018;37(4):472-9.</w:t>
      </w:r>
    </w:p>
    <w:p w14:paraId="17D0EF2E" w14:textId="77777777" w:rsidR="00D42A16" w:rsidRPr="00D42A16" w:rsidRDefault="00D42A16" w:rsidP="00D42A16">
      <w:pPr>
        <w:pStyle w:val="EndNoteBibliography"/>
        <w:spacing w:after="0"/>
      </w:pPr>
      <w:r w:rsidRPr="00D42A16">
        <w:t>27.</w:t>
      </w:r>
      <w:r w:rsidRPr="00D42A16">
        <w:tab/>
        <w:t>Chronister KJ, Lintzeris N, Jackson A, Ivan M, Dietze PM, Lenton S, et al. Findings and lessons learnt from implementing Australia's first health service based take</w:t>
      </w:r>
      <w:r w:rsidRPr="00D42A16">
        <w:rPr>
          <w:rFonts w:ascii="Cambria Math" w:hAnsi="Cambria Math" w:cs="Cambria Math"/>
        </w:rPr>
        <w:t>‐</w:t>
      </w:r>
      <w:r w:rsidRPr="00D42A16">
        <w:t>home naloxone program. Drug and Alcohol Review 2018;37(4):464-71.</w:t>
      </w:r>
    </w:p>
    <w:p w14:paraId="2262B285" w14:textId="77777777" w:rsidR="00D42A16" w:rsidRPr="00D42A16" w:rsidRDefault="00D42A16" w:rsidP="00D42A16">
      <w:pPr>
        <w:pStyle w:val="EndNoteBibliography"/>
        <w:spacing w:after="0"/>
      </w:pPr>
      <w:r w:rsidRPr="00D42A16">
        <w:lastRenderedPageBreak/>
        <w:t>28.</w:t>
      </w:r>
      <w:r w:rsidRPr="00D42A16">
        <w:tab/>
        <w:t>Olsen A, McDonald D, Lenton S, Dietze P. Independent evaluation of the'Implementing Expanded Naloxone Availability in the ACT (I-ENAACT) Program, 2011-2014. 2015.</w:t>
      </w:r>
    </w:p>
    <w:p w14:paraId="30B5B8AD" w14:textId="77777777" w:rsidR="00D42A16" w:rsidRPr="00D42A16" w:rsidRDefault="00D42A16" w:rsidP="00D42A16">
      <w:pPr>
        <w:pStyle w:val="EndNoteBibliography"/>
        <w:spacing w:after="0"/>
      </w:pPr>
      <w:r w:rsidRPr="00D42A16">
        <w:t>29.</w:t>
      </w:r>
      <w:r w:rsidRPr="00D42A16">
        <w:tab/>
        <w:t>Moradmand</w:t>
      </w:r>
      <w:r w:rsidRPr="00D42A16">
        <w:rPr>
          <w:rFonts w:ascii="Cambria Math" w:hAnsi="Cambria Math" w:cs="Cambria Math"/>
        </w:rPr>
        <w:t>‐</w:t>
      </w:r>
      <w:r w:rsidRPr="00D42A16">
        <w:t>Badie B, Tran L, Oikarainen N, Degenhardt L, Nielsen S, Roberts J, et al. Feasibility and acceptability of take</w:t>
      </w:r>
      <w:r w:rsidRPr="00D42A16">
        <w:rPr>
          <w:rFonts w:ascii="Cambria Math" w:hAnsi="Cambria Math" w:cs="Cambria Math"/>
        </w:rPr>
        <w:t>‐</w:t>
      </w:r>
      <w:r w:rsidRPr="00D42A16">
        <w:t>home naloxone for people released from prison in New South Wales, Australia. Drug and Alcohol Review 2021;40(1):98-108.</w:t>
      </w:r>
    </w:p>
    <w:p w14:paraId="7339536A" w14:textId="77777777" w:rsidR="00D42A16" w:rsidRPr="00D42A16" w:rsidRDefault="00D42A16" w:rsidP="00D42A16">
      <w:pPr>
        <w:pStyle w:val="EndNoteBibliography"/>
        <w:spacing w:after="0"/>
      </w:pPr>
      <w:r w:rsidRPr="00D42A16">
        <w:t>30.</w:t>
      </w:r>
      <w:r w:rsidRPr="00D42A16">
        <w:tab/>
        <w:t>Lintzeris N, Monds LA, Bravo M, Read P, Harrod ME, Gilliver R, et al. Designing, implementing and evaluating the overdose response with take</w:t>
      </w:r>
      <w:r w:rsidRPr="00D42A16">
        <w:rPr>
          <w:rFonts w:ascii="Cambria Math" w:hAnsi="Cambria Math" w:cs="Cambria Math"/>
        </w:rPr>
        <w:t>‐</w:t>
      </w:r>
      <w:r w:rsidRPr="00D42A16">
        <w:t>home naloxone model of care: An evaluation of client outcomes and perspectives. Drug and Alcohol Review. 2020;39(1):55-65.</w:t>
      </w:r>
    </w:p>
    <w:p w14:paraId="71D806C3" w14:textId="77777777" w:rsidR="00D42A16" w:rsidRPr="00D42A16" w:rsidRDefault="00D42A16" w:rsidP="00D42A16">
      <w:pPr>
        <w:pStyle w:val="EndNoteBibliography"/>
        <w:spacing w:after="0"/>
      </w:pPr>
      <w:r w:rsidRPr="00D42A16">
        <w:t>31.</w:t>
      </w:r>
      <w:r w:rsidRPr="00D42A16">
        <w:tab/>
        <w:t>Curtis M, Dietze P, Aitken C, Kirwan A, Kinner SA, Butler T, et al. Acceptability of prison-based take-home naloxone programmes among a cohort of incarcerated men with a history of regular injecting drug use. Harm Reduction Journal. 2018;15(1):1-9.</w:t>
      </w:r>
    </w:p>
    <w:p w14:paraId="16C3644C" w14:textId="69E70F47" w:rsidR="00D42A16" w:rsidRPr="00D42A16" w:rsidRDefault="00D42A16" w:rsidP="00D42A16">
      <w:pPr>
        <w:pStyle w:val="EndNoteBibliography"/>
        <w:spacing w:after="0"/>
      </w:pPr>
      <w:r w:rsidRPr="00D42A16">
        <w:t>32.</w:t>
      </w:r>
      <w:r w:rsidRPr="00D42A16">
        <w:tab/>
        <w:t xml:space="preserve">Canberra Alliance for Harm Minimisation and Advocacy [CAHMA]. NALOXONE CAHMA's Opioid Overdose Prevention and Management Program. n.d.  Available from: </w:t>
      </w:r>
      <w:hyperlink r:id="rId81" w:history="1">
        <w:r w:rsidRPr="00D42A16">
          <w:rPr>
            <w:rStyle w:val="Hyperlink"/>
          </w:rPr>
          <w:t>https://cahma.org.au/Naloxone.html</w:t>
        </w:r>
      </w:hyperlink>
      <w:r w:rsidRPr="00D42A16">
        <w:t>.</w:t>
      </w:r>
    </w:p>
    <w:p w14:paraId="4AC81374" w14:textId="60420409" w:rsidR="00D42A16" w:rsidRPr="00D42A16" w:rsidRDefault="00D42A16" w:rsidP="00D42A16">
      <w:pPr>
        <w:pStyle w:val="EndNoteBibliography"/>
        <w:spacing w:after="0"/>
      </w:pPr>
      <w:r w:rsidRPr="00D42A16">
        <w:t>33.</w:t>
      </w:r>
      <w:r w:rsidRPr="00D42A16">
        <w:tab/>
        <w:t xml:space="preserve">Nelson M, Lenton S, Dietze P, Olsen A, Agramunt S. Evaluation of the WA peer naloxone project–final report. Perth, Western Australia: National Drug Research Institute, Curtin University; 2016.  Available from: </w:t>
      </w:r>
      <w:hyperlink r:id="rId82" w:history="1">
        <w:r w:rsidRPr="00D42A16">
          <w:rPr>
            <w:rStyle w:val="Hyperlink"/>
          </w:rPr>
          <w:t>https://ndri.curtin.edu.au/ndri/media/documents/publications/T249.pdf</w:t>
        </w:r>
      </w:hyperlink>
      <w:r w:rsidRPr="00D42A16">
        <w:t>.</w:t>
      </w:r>
    </w:p>
    <w:p w14:paraId="4EC5AB89" w14:textId="77777777" w:rsidR="00D42A16" w:rsidRPr="00D42A16" w:rsidRDefault="00D42A16" w:rsidP="00D42A16">
      <w:pPr>
        <w:pStyle w:val="EndNoteBibliography"/>
        <w:spacing w:after="0"/>
      </w:pPr>
      <w:r w:rsidRPr="00D42A16">
        <w:t>34.</w:t>
      </w:r>
      <w:r w:rsidRPr="00D42A16">
        <w:tab/>
        <w:t>Dwyer R, Olsen A, Fowlie C, Gough C, van Beek I, Jauncey M, et al. An overview of take</w:t>
      </w:r>
      <w:r w:rsidRPr="00D42A16">
        <w:rPr>
          <w:rFonts w:ascii="Cambria Math" w:hAnsi="Cambria Math" w:cs="Cambria Math"/>
        </w:rPr>
        <w:t>‐</w:t>
      </w:r>
      <w:r w:rsidRPr="00D42A16">
        <w:t>home naloxone programs in Australia. Drug and Alcohol Review. 2018;37(4):440-9.</w:t>
      </w:r>
    </w:p>
    <w:p w14:paraId="4CF94028" w14:textId="77777777" w:rsidR="00D42A16" w:rsidRPr="00D42A16" w:rsidRDefault="00D42A16" w:rsidP="00D42A16">
      <w:pPr>
        <w:pStyle w:val="EndNoteBibliography"/>
        <w:spacing w:after="0"/>
      </w:pPr>
      <w:r w:rsidRPr="00D42A16">
        <w:t>35.</w:t>
      </w:r>
      <w:r w:rsidRPr="00D42A16">
        <w:tab/>
        <w:t>Tse WC, Sanfilippo P, Lam T, Dietze P, Nielsen S. Community pharmacy naloxone supply, before and after rescheduling as an over-the-counter drug: Sales and prescriptions data, 2014–2018. Medical Journal of Australia. 2020;212(7):314-20.</w:t>
      </w:r>
    </w:p>
    <w:p w14:paraId="329C7566" w14:textId="77777777" w:rsidR="00D42A16" w:rsidRPr="00D42A16" w:rsidRDefault="00D42A16" w:rsidP="00D42A16">
      <w:pPr>
        <w:pStyle w:val="EndNoteBibliography"/>
        <w:spacing w:after="0"/>
      </w:pPr>
      <w:r w:rsidRPr="00D42A16">
        <w:t>36.</w:t>
      </w:r>
      <w:r w:rsidRPr="00D42A16">
        <w:tab/>
        <w:t>Dwyer R, Fraser S, Dietze P. Benefits and barriers to expanding the availability of take-home naloxone in Australia: A qualitative interview study with service providers. Drugs: Education, Prevention and Policy. 2016;23(5):388-96.</w:t>
      </w:r>
    </w:p>
    <w:p w14:paraId="62F19033" w14:textId="77777777" w:rsidR="00D42A16" w:rsidRPr="00D42A16" w:rsidRDefault="00D42A16" w:rsidP="00D42A16">
      <w:pPr>
        <w:pStyle w:val="EndNoteBibliography"/>
        <w:spacing w:after="0"/>
      </w:pPr>
      <w:r w:rsidRPr="00D42A16">
        <w:t>37.</w:t>
      </w:r>
      <w:r w:rsidRPr="00D42A16">
        <w:tab/>
        <w:t>Dietze P, Nielsen S, Djordjevic F, Lenton S. Roundtable report: Pharmaceutical Benefits Scheme (PBS) Subsidised Take Home Naloxone (THN) Pilot. 2019.</w:t>
      </w:r>
    </w:p>
    <w:p w14:paraId="7503C941" w14:textId="77777777" w:rsidR="00D42A16" w:rsidRPr="00D42A16" w:rsidRDefault="00D42A16" w:rsidP="00D42A16">
      <w:pPr>
        <w:pStyle w:val="EndNoteBibliography"/>
        <w:spacing w:after="0"/>
      </w:pPr>
      <w:r w:rsidRPr="00D42A16">
        <w:t>38.</w:t>
      </w:r>
      <w:r w:rsidRPr="00D42A16">
        <w:tab/>
        <w:t>Gale NK, Heath G, Cameron E, Rashid S, Redwood S. Using the framework method for the analysis of qualitative data in multi-disciplinary health research. BMC Medical Research Methodology. 2013;13(1):117.</w:t>
      </w:r>
    </w:p>
    <w:p w14:paraId="42EF5F1C" w14:textId="77777777" w:rsidR="00D42A16" w:rsidRPr="00D42A16" w:rsidRDefault="00D42A16" w:rsidP="00D42A16">
      <w:pPr>
        <w:pStyle w:val="EndNoteBibliography"/>
        <w:spacing w:after="0"/>
      </w:pPr>
      <w:r w:rsidRPr="00D42A16">
        <w:t>39.</w:t>
      </w:r>
      <w:r w:rsidRPr="00D42A16">
        <w:tab/>
        <w:t>Salom C, Daly C, Juckel J, Morris L. Trends in awareness, uptake and deployment of naloxone among a sample of people who inject drugs in Australia. Sydney: National Drug and Alcohol Research Centre, UNSW; 2020.</w:t>
      </w:r>
    </w:p>
    <w:p w14:paraId="395257D2" w14:textId="5FA1C707" w:rsidR="00D42A16" w:rsidRPr="00D42A16" w:rsidRDefault="00D42A16" w:rsidP="00D42A16">
      <w:pPr>
        <w:pStyle w:val="EndNoteBibliography"/>
        <w:spacing w:after="0"/>
      </w:pPr>
      <w:r w:rsidRPr="00D42A16">
        <w:t>40.</w:t>
      </w:r>
      <w:r w:rsidRPr="00D42A16">
        <w:tab/>
        <w:t xml:space="preserve">Australian Institute of Health and Welfare. Alcohol, tobacco and other drugs in Australia. Canberra: Australian Institute of Health and Welfare; 2021.  Available from: </w:t>
      </w:r>
      <w:hyperlink r:id="rId83" w:history="1">
        <w:r w:rsidRPr="00D42A16">
          <w:rPr>
            <w:rStyle w:val="Hyperlink"/>
          </w:rPr>
          <w:t>https://www.aihw.gov.au/reports/alcohol/alcohol-tobacco-other-drugs-australia</w:t>
        </w:r>
      </w:hyperlink>
      <w:r w:rsidRPr="00D42A16">
        <w:t>.</w:t>
      </w:r>
    </w:p>
    <w:p w14:paraId="57B19796" w14:textId="5C5D37C0" w:rsidR="00D42A16" w:rsidRPr="00D42A16" w:rsidRDefault="00D42A16" w:rsidP="00D42A16">
      <w:pPr>
        <w:pStyle w:val="EndNoteBibliography"/>
        <w:spacing w:after="0"/>
      </w:pPr>
      <w:r w:rsidRPr="00D42A16">
        <w:t>41.</w:t>
      </w:r>
      <w:r w:rsidRPr="00D42A16">
        <w:tab/>
        <w:t xml:space="preserve">Australian Institute of Health and Welfare. National Opioid Pharmacotherapy Statistics Annual Data collection. Canberra: Australian Institute of Health and Welfare,; 2021.  Available from: </w:t>
      </w:r>
      <w:hyperlink r:id="rId84" w:history="1">
        <w:r w:rsidRPr="00D42A16">
          <w:rPr>
            <w:rStyle w:val="Hyperlink"/>
          </w:rPr>
          <w:t>https://www.aihw.gov.au/reports/alcohol-other-drug-treatment-services/national-opioid-pharmacotherapy-statistics</w:t>
        </w:r>
      </w:hyperlink>
      <w:r w:rsidRPr="00D42A16">
        <w:t>.</w:t>
      </w:r>
    </w:p>
    <w:p w14:paraId="47630C8D" w14:textId="7F30A347" w:rsidR="00D42A16" w:rsidRPr="00D42A16" w:rsidRDefault="00D42A16" w:rsidP="00D42A16">
      <w:pPr>
        <w:pStyle w:val="EndNoteBibliography"/>
        <w:spacing w:after="0"/>
      </w:pPr>
      <w:r w:rsidRPr="00D42A16">
        <w:t>42.</w:t>
      </w:r>
      <w:r w:rsidRPr="00D42A16">
        <w:tab/>
        <w:t xml:space="preserve">Australian Institute of Health and Welfare. Alcohol and other drug treatment services. Canberra: Australian Institute of Health and Welfare; 2021.  Available from: </w:t>
      </w:r>
      <w:hyperlink r:id="rId85" w:history="1">
        <w:r w:rsidRPr="00D42A16">
          <w:rPr>
            <w:rStyle w:val="Hyperlink"/>
          </w:rPr>
          <w:t>https://www.aihw.gov.au/reports/australias-health/alcohol-and-other-drug-treatment-services</w:t>
        </w:r>
      </w:hyperlink>
      <w:r w:rsidRPr="00D42A16">
        <w:t>.</w:t>
      </w:r>
    </w:p>
    <w:p w14:paraId="0EFC8414" w14:textId="77777777" w:rsidR="00D42A16" w:rsidRPr="00D42A16" w:rsidRDefault="00D42A16" w:rsidP="00D42A16">
      <w:pPr>
        <w:pStyle w:val="EndNoteBibliography"/>
        <w:spacing w:after="0"/>
      </w:pPr>
      <w:r w:rsidRPr="00D42A16">
        <w:t>43.</w:t>
      </w:r>
      <w:r w:rsidRPr="00D42A16">
        <w:tab/>
        <w:t>Rowe C, Santos G-M, Behar E, Coffin PO. Correlates of overdose risk perception among illicit opioid users. Drug and Alcohol Dependence. 2016;159:234-9.</w:t>
      </w:r>
    </w:p>
    <w:p w14:paraId="157F6339" w14:textId="77777777" w:rsidR="00D42A16" w:rsidRPr="00D42A16" w:rsidRDefault="00D42A16" w:rsidP="00D42A16">
      <w:pPr>
        <w:pStyle w:val="EndNoteBibliography"/>
        <w:spacing w:after="0"/>
      </w:pPr>
      <w:r w:rsidRPr="00D42A16">
        <w:lastRenderedPageBreak/>
        <w:t>44.</w:t>
      </w:r>
      <w:r w:rsidRPr="00D42A16">
        <w:tab/>
        <w:t>McAuley A, Aucott L, Matheson C. Exploring the life-saving potential of naloxone: A systematic review and descriptive meta-analysis of take home naloxone (THN) programmes for opioid users. International Journal of Drug Policy. 2015;26(12):1183-8.</w:t>
      </w:r>
    </w:p>
    <w:p w14:paraId="65B5FFBE" w14:textId="77777777" w:rsidR="00D42A16" w:rsidRPr="00D42A16" w:rsidRDefault="00D42A16" w:rsidP="00D42A16">
      <w:pPr>
        <w:pStyle w:val="EndNoteBibliography"/>
        <w:spacing w:after="0"/>
      </w:pPr>
      <w:r w:rsidRPr="00D42A16">
        <w:t>45.</w:t>
      </w:r>
      <w:r w:rsidRPr="00D42A16">
        <w:tab/>
        <w:t>Mental Health Commission. WA Naloxone Projects 2018 – 2021: Guidelines for the supply of take-home naloxone to clients.</w:t>
      </w:r>
    </w:p>
    <w:p w14:paraId="4D76D0AD" w14:textId="77777777" w:rsidR="00D42A16" w:rsidRPr="00D42A16" w:rsidRDefault="00D42A16" w:rsidP="00D42A16">
      <w:pPr>
        <w:pStyle w:val="EndNoteBibliography"/>
        <w:spacing w:after="0"/>
      </w:pPr>
      <w:r w:rsidRPr="00D42A16">
        <w:t>46.</w:t>
      </w:r>
      <w:r w:rsidRPr="00D42A16">
        <w:tab/>
        <w:t>Holland TJ, Penm J, Dinh M, Aran S, Chaar B. Emergency department physicians’ and pharmacists’ perspectives on take</w:t>
      </w:r>
      <w:r w:rsidRPr="00D42A16">
        <w:rPr>
          <w:rFonts w:ascii="Cambria Math" w:hAnsi="Cambria Math" w:cs="Cambria Math"/>
        </w:rPr>
        <w:t>‐</w:t>
      </w:r>
      <w:r w:rsidRPr="00D42A16">
        <w:t>home naloxone. Drug and Alcohol Review. 2019;38(2):169-76.</w:t>
      </w:r>
    </w:p>
    <w:p w14:paraId="3138C16C" w14:textId="07F4D587" w:rsidR="00D42A16" w:rsidRPr="00D42A16" w:rsidRDefault="00D42A16" w:rsidP="00D42A16">
      <w:pPr>
        <w:pStyle w:val="EndNoteBibliography"/>
        <w:spacing w:after="0"/>
      </w:pPr>
      <w:r w:rsidRPr="00D42A16">
        <w:t>47.</w:t>
      </w:r>
      <w:r w:rsidRPr="00D42A16">
        <w:tab/>
        <w:t xml:space="preserve">PBS Expenditure and Prescriptions Report 1 July 2019 to 30 June 2020. Canberra: Department of Health; 2020.  Available from: </w:t>
      </w:r>
      <w:hyperlink r:id="rId86" w:history="1">
        <w:r w:rsidRPr="00D42A16">
          <w:rPr>
            <w:rStyle w:val="Hyperlink"/>
          </w:rPr>
          <w:t>http://www.pbs.gov.au/info/browse/statistics</w:t>
        </w:r>
      </w:hyperlink>
      <w:r w:rsidRPr="00D42A16">
        <w:t>.</w:t>
      </w:r>
    </w:p>
    <w:p w14:paraId="1D63618B" w14:textId="56B063E6" w:rsidR="00D42A16" w:rsidRPr="00D42A16" w:rsidRDefault="00D42A16" w:rsidP="00D42A16">
      <w:pPr>
        <w:pStyle w:val="EndNoteBibliography"/>
        <w:spacing w:after="0"/>
      </w:pPr>
      <w:r w:rsidRPr="00D42A16">
        <w:t>48.</w:t>
      </w:r>
      <w:r w:rsidRPr="00D42A16">
        <w:tab/>
        <w:t xml:space="preserve">Penington Institute. Saving lives: Australian naloxone access model. Melbourne: Penington Institute; 2018.  Available from: </w:t>
      </w:r>
      <w:hyperlink r:id="rId87" w:history="1">
        <w:r w:rsidRPr="00D42A16">
          <w:rPr>
            <w:rStyle w:val="Hyperlink"/>
          </w:rPr>
          <w:t>https://penington.org.au/wp-content/uploads/2018/10/Saving-Lives-Australian-naloxone-access-model.pdf</w:t>
        </w:r>
      </w:hyperlink>
      <w:r w:rsidRPr="00D42A16">
        <w:t>.</w:t>
      </w:r>
    </w:p>
    <w:p w14:paraId="58374014" w14:textId="47F54FD0" w:rsidR="00D42A16" w:rsidRPr="00D42A16" w:rsidRDefault="00D42A16" w:rsidP="00D42A16">
      <w:pPr>
        <w:pStyle w:val="EndNoteBibliography"/>
        <w:spacing w:after="0"/>
      </w:pPr>
      <w:r w:rsidRPr="00D42A16">
        <w:t>49.</w:t>
      </w:r>
      <w:r w:rsidRPr="00D42A16">
        <w:tab/>
        <w:t xml:space="preserve">Australian Government Department of Health. Scheduling delegate's interim decisions and invitation for further comment: ACMS, October 2015. Therapeutic Goods Administration; 2015.  Available from: </w:t>
      </w:r>
      <w:hyperlink r:id="rId88" w:history="1">
        <w:r w:rsidRPr="00D42A16">
          <w:rPr>
            <w:rStyle w:val="Hyperlink"/>
          </w:rPr>
          <w:t>https://www.tga.gov.au/node/709836</w:t>
        </w:r>
      </w:hyperlink>
      <w:r w:rsidRPr="00D42A16">
        <w:t>.</w:t>
      </w:r>
    </w:p>
    <w:p w14:paraId="1942201E" w14:textId="77777777" w:rsidR="00D42A16" w:rsidRPr="00D42A16" w:rsidRDefault="00D42A16" w:rsidP="00D42A16">
      <w:pPr>
        <w:pStyle w:val="EndNoteBibliography"/>
        <w:spacing w:after="0"/>
      </w:pPr>
      <w:r w:rsidRPr="00D42A16">
        <w:t>50.</w:t>
      </w:r>
      <w:r w:rsidRPr="00D42A16">
        <w:tab/>
        <w:t>Keen C, Young JT, Borschmann R, Kinner SA. Non-fatal drug overdose after release from prison: A prospective data linkage study. Drug and Alcohol Dependence. 2020;206:107707.</w:t>
      </w:r>
    </w:p>
    <w:p w14:paraId="3CDC2124" w14:textId="77777777" w:rsidR="00D42A16" w:rsidRPr="00D42A16" w:rsidRDefault="00D42A16" w:rsidP="00D42A16">
      <w:pPr>
        <w:pStyle w:val="EndNoteBibliography"/>
        <w:spacing w:after="0"/>
      </w:pPr>
      <w:r w:rsidRPr="00D42A16">
        <w:t>51.</w:t>
      </w:r>
      <w:r w:rsidRPr="00D42A16">
        <w:tab/>
        <w:t>Forsyth SJ, Carroll M, Lennox N, Kinner SA. Incidence and risk factors for mortality after release from prison in Australia: A prospective cohort study. Addiction. 2018;113(5):937-45.</w:t>
      </w:r>
    </w:p>
    <w:p w14:paraId="522D7CB3" w14:textId="77777777" w:rsidR="00D42A16" w:rsidRPr="00D42A16" w:rsidRDefault="00D42A16" w:rsidP="00D42A16">
      <w:pPr>
        <w:pStyle w:val="EndNoteBibliography"/>
        <w:spacing w:after="0"/>
      </w:pPr>
      <w:r w:rsidRPr="00D42A16">
        <w:t>52.</w:t>
      </w:r>
      <w:r w:rsidRPr="00D42A16">
        <w:tab/>
        <w:t>Ravndal E, Amundsen EJ. Mortality among drug users after discharge from inpatient treatment: An 8-year prospective study. Drug and Alcohol Dependence. 2010;108(1):65-9.</w:t>
      </w:r>
    </w:p>
    <w:p w14:paraId="5A7796C8" w14:textId="77777777" w:rsidR="00D42A16" w:rsidRPr="00D42A16" w:rsidRDefault="00D42A16" w:rsidP="00D42A16">
      <w:pPr>
        <w:pStyle w:val="EndNoteBibliography"/>
        <w:spacing w:after="0"/>
      </w:pPr>
      <w:r w:rsidRPr="00D42A16">
        <w:t>53.</w:t>
      </w:r>
      <w:r w:rsidRPr="00D42A16">
        <w:tab/>
        <w:t>Winhusen T, Walley A, Fanucchi LC, Hunt T, Lyons M, Lofwall M, et al. The Opioid-overdose Reduction Continuum of Care Approach (ORCCA): Evidence-based practices in the HEALing Communities Study. Drug and Alcohol Dependence. 2020;217:108325.</w:t>
      </w:r>
    </w:p>
    <w:p w14:paraId="75723468" w14:textId="77777777" w:rsidR="00D42A16" w:rsidRPr="00D42A16" w:rsidRDefault="00D42A16" w:rsidP="00D42A16">
      <w:pPr>
        <w:pStyle w:val="EndNoteBibliography"/>
        <w:spacing w:after="0"/>
      </w:pPr>
      <w:r w:rsidRPr="00D42A16">
        <w:t>54.</w:t>
      </w:r>
      <w:r w:rsidRPr="00D42A16">
        <w:tab/>
        <w:t>Papp J, Vallabhaneni M, Morales A, Schrock JW. Take-home naloxone rescue kits following heroin overdose in the emergency department to prevent opioid overdose related repeat emergency department visits, hospitalization and death - A pilot study. BMC Health Services Research. 2019;19(1):957.</w:t>
      </w:r>
    </w:p>
    <w:p w14:paraId="2A2526BF" w14:textId="77777777" w:rsidR="00D42A16" w:rsidRPr="00D42A16" w:rsidRDefault="00D42A16" w:rsidP="00D42A16">
      <w:pPr>
        <w:pStyle w:val="EndNoteBibliography"/>
        <w:spacing w:after="0"/>
      </w:pPr>
      <w:r w:rsidRPr="00D42A16">
        <w:t>55.</w:t>
      </w:r>
      <w:r w:rsidRPr="00D42A16">
        <w:tab/>
        <w:t>Moore C, Lloyd G, Oretti R, Russell I, Snooks H. Paramedic-supplied ‘Take Home’ Naloxone: Protocol for cluster randomised feasibility study. BMJ Open. 2014;4(3):e004712.</w:t>
      </w:r>
    </w:p>
    <w:p w14:paraId="011DD970" w14:textId="77777777" w:rsidR="00D42A16" w:rsidRPr="00D42A16" w:rsidRDefault="00D42A16" w:rsidP="00D42A16">
      <w:pPr>
        <w:pStyle w:val="EndNoteBibliography"/>
        <w:spacing w:after="0"/>
      </w:pPr>
      <w:r w:rsidRPr="00D42A16">
        <w:t>56.</w:t>
      </w:r>
      <w:r w:rsidRPr="00D42A16">
        <w:tab/>
        <w:t>McAuley A, Bouttell J, Barnsdale L, Mackay D, Lewsey J, Hunter C, et al. Evaluating the impact of a national naloxone programme on ambulance attendance at overdose incidents: A controlled time–series analysis. Addiction. 2017;112(2):301-8.</w:t>
      </w:r>
    </w:p>
    <w:p w14:paraId="40E8BF66" w14:textId="77777777" w:rsidR="00D42A16" w:rsidRPr="00D42A16" w:rsidRDefault="00D42A16" w:rsidP="00D42A16">
      <w:pPr>
        <w:pStyle w:val="EndNoteBibliography"/>
        <w:spacing w:after="0"/>
      </w:pPr>
      <w:r w:rsidRPr="00D42A16">
        <w:t>57.</w:t>
      </w:r>
      <w:r w:rsidRPr="00D42A16">
        <w:tab/>
        <w:t>Farrugia A, Treloar C, Fraser S. Overdoselifesavers.org: A mixed-method evaluation of a public information website on experiences of overdose and using take-home naloxone to save lives. Drugs: Education, Prevention and Policy. 2021:1-11.</w:t>
      </w:r>
    </w:p>
    <w:p w14:paraId="6B96B1FE" w14:textId="77777777" w:rsidR="00D42A16" w:rsidRPr="00D42A16" w:rsidRDefault="00D42A16" w:rsidP="00D42A16">
      <w:pPr>
        <w:pStyle w:val="EndNoteBibliography"/>
        <w:spacing w:after="0"/>
      </w:pPr>
      <w:r w:rsidRPr="00D42A16">
        <w:t>58.</w:t>
      </w:r>
      <w:r w:rsidRPr="00D42A16">
        <w:tab/>
        <w:t>Nielsen S, Olsen A. Using the behaviour change wheel to understand and address barriers to pharmacy naloxone supply in Australia. International Journal of Drug Policy. 2021;90:103061.</w:t>
      </w:r>
    </w:p>
    <w:p w14:paraId="28CFBCAE" w14:textId="77777777" w:rsidR="00D42A16" w:rsidRPr="00D42A16" w:rsidRDefault="00D42A16" w:rsidP="00D42A16">
      <w:pPr>
        <w:pStyle w:val="EndNoteBibliography"/>
      </w:pPr>
      <w:r w:rsidRPr="00D42A16">
        <w:t>59.</w:t>
      </w:r>
      <w:r w:rsidRPr="00D42A16">
        <w:tab/>
        <w:t>Wu C, Brown T, Moreno JL. Access to naloxone at community pharmacies under the Massachusetts statewide standing order. Journal of the American Pharmacists Association. 2020;60(4):647-52.</w:t>
      </w:r>
    </w:p>
    <w:p w14:paraId="09EF2B33" w14:textId="7E052C09" w:rsidR="00BF71F8" w:rsidRDefault="00BF71F8" w:rsidP="00BF71F8">
      <w:r>
        <w:fldChar w:fldCharType="end"/>
      </w:r>
    </w:p>
    <w:p w14:paraId="37590790" w14:textId="2695EFAD" w:rsidR="00BF71F8" w:rsidRDefault="00B14CAA">
      <w:pPr>
        <w:spacing w:after="160" w:line="259" w:lineRule="auto"/>
      </w:pPr>
      <w:r>
        <w:br w:type="page"/>
      </w:r>
    </w:p>
    <w:p w14:paraId="278494A2" w14:textId="77777777" w:rsidR="00CA5EEA" w:rsidRPr="00AF0E82" w:rsidRDefault="00CA5EEA" w:rsidP="005C6E0D">
      <w:pPr>
        <w:pStyle w:val="NbrHeading1"/>
      </w:pPr>
      <w:bookmarkStart w:id="379" w:name="_Toc94794180"/>
      <w:bookmarkStart w:id="380" w:name="_Toc94794324"/>
      <w:r w:rsidRPr="00AF0E82">
        <w:lastRenderedPageBreak/>
        <w:t>Appendices</w:t>
      </w:r>
      <w:bookmarkEnd w:id="379"/>
      <w:bookmarkEnd w:id="380"/>
    </w:p>
    <w:p w14:paraId="2446D0E9" w14:textId="77777777" w:rsidR="00CA5EEA" w:rsidRDefault="00CA5EEA" w:rsidP="003D0F16">
      <w:pPr>
        <w:pStyle w:val="Heading2"/>
        <w:rPr>
          <w:lang w:eastAsia="en-AU"/>
        </w:rPr>
      </w:pPr>
      <w:bookmarkStart w:id="381" w:name="_Toc80187907"/>
      <w:bookmarkStart w:id="382" w:name="_Toc94794181"/>
      <w:bookmarkStart w:id="383" w:name="_Toc94794325"/>
      <w:r>
        <w:rPr>
          <w:lang w:eastAsia="en-AU"/>
        </w:rPr>
        <w:t>List of appendices</w:t>
      </w:r>
      <w:bookmarkEnd w:id="381"/>
      <w:bookmarkEnd w:id="382"/>
      <w:bookmarkEnd w:id="383"/>
    </w:p>
    <w:p w14:paraId="148672C5" w14:textId="0A56C840" w:rsidR="007C6825" w:rsidRDefault="009E3F96" w:rsidP="007C6825">
      <w:pPr>
        <w:spacing w:after="160" w:line="259" w:lineRule="auto"/>
        <w:rPr>
          <w:lang w:eastAsia="en-AU"/>
        </w:rPr>
      </w:pPr>
      <w:hyperlink w:anchor="_Appendix_A:_International" w:history="1">
        <w:r w:rsidR="00CA5EEA" w:rsidRPr="007A6273">
          <w:rPr>
            <w:rStyle w:val="Hyperlink"/>
            <w:lang w:eastAsia="en-AU"/>
          </w:rPr>
          <w:t xml:space="preserve">A: Summary of </w:t>
        </w:r>
        <w:proofErr w:type="gramStart"/>
        <w:r w:rsidR="000A562C" w:rsidRPr="007A6273">
          <w:rPr>
            <w:rStyle w:val="Hyperlink"/>
            <w:lang w:eastAsia="en-AU"/>
          </w:rPr>
          <w:t>p</w:t>
        </w:r>
        <w:r w:rsidR="007C6825" w:rsidRPr="007A6273">
          <w:rPr>
            <w:rStyle w:val="Hyperlink"/>
            <w:lang w:eastAsia="en-AU"/>
          </w:rPr>
          <w:t>ublicly-funded</w:t>
        </w:r>
        <w:proofErr w:type="gramEnd"/>
        <w:r w:rsidR="007C6825" w:rsidRPr="007A6273">
          <w:rPr>
            <w:rStyle w:val="Hyperlink"/>
            <w:lang w:eastAsia="en-AU"/>
          </w:rPr>
          <w:t xml:space="preserve"> </w:t>
        </w:r>
        <w:r w:rsidR="000A562C" w:rsidRPr="007A6273">
          <w:rPr>
            <w:rStyle w:val="Hyperlink"/>
            <w:lang w:eastAsia="en-AU"/>
          </w:rPr>
          <w:t>i</w:t>
        </w:r>
        <w:r w:rsidR="007C6825" w:rsidRPr="007A6273">
          <w:rPr>
            <w:rStyle w:val="Hyperlink"/>
            <w:lang w:eastAsia="en-AU"/>
          </w:rPr>
          <w:t>nternational THN programs evaluated prior to 2021</w:t>
        </w:r>
      </w:hyperlink>
    </w:p>
    <w:p w14:paraId="4BC94E1D" w14:textId="29FB02BF" w:rsidR="00CA5EEA" w:rsidRDefault="009E3F96" w:rsidP="003D0F16">
      <w:pPr>
        <w:spacing w:after="160" w:line="259" w:lineRule="auto"/>
        <w:rPr>
          <w:lang w:eastAsia="en-AU"/>
        </w:rPr>
      </w:pPr>
      <w:hyperlink w:anchor="_Appendix_B:_Australian" w:history="1">
        <w:r w:rsidR="007C6825" w:rsidRPr="007A6273">
          <w:rPr>
            <w:rStyle w:val="Hyperlink"/>
            <w:lang w:eastAsia="en-AU"/>
          </w:rPr>
          <w:t>B</w:t>
        </w:r>
        <w:r w:rsidR="00CA5EEA" w:rsidRPr="007A6273">
          <w:rPr>
            <w:rStyle w:val="Hyperlink"/>
            <w:lang w:eastAsia="en-AU"/>
          </w:rPr>
          <w:t>: Summary of Australian THN Programs</w:t>
        </w:r>
        <w:r w:rsidR="001C7B37" w:rsidRPr="007A6273">
          <w:rPr>
            <w:rStyle w:val="Hyperlink"/>
            <w:lang w:eastAsia="en-AU"/>
          </w:rPr>
          <w:t xml:space="preserve"> prior to PBS-Subsidised THN Pilot</w:t>
        </w:r>
      </w:hyperlink>
    </w:p>
    <w:p w14:paraId="74FA20C9" w14:textId="2B9C8D00" w:rsidR="00CA5EEA" w:rsidRDefault="009E3F96" w:rsidP="003D0F16">
      <w:pPr>
        <w:rPr>
          <w:lang w:eastAsia="en-AU"/>
        </w:rPr>
      </w:pPr>
      <w:hyperlink w:anchor="_Appendix_C:_Indicator" w:history="1">
        <w:r w:rsidR="00CA5EEA" w:rsidRPr="007A6273" w:rsidDel="003C6B38">
          <w:rPr>
            <w:rStyle w:val="Hyperlink"/>
            <w:lang w:eastAsia="en-AU"/>
          </w:rPr>
          <w:t>C</w:t>
        </w:r>
        <w:r w:rsidR="00CA5EEA" w:rsidRPr="007A6273">
          <w:rPr>
            <w:rStyle w:val="Hyperlink"/>
            <w:lang w:eastAsia="en-AU"/>
          </w:rPr>
          <w:t>: Indicator Matrix</w:t>
        </w:r>
        <w:r w:rsidR="001C7B37" w:rsidRPr="007A6273">
          <w:rPr>
            <w:rStyle w:val="Hyperlink"/>
            <w:lang w:eastAsia="en-AU"/>
          </w:rPr>
          <w:t xml:space="preserve"> for the PBS-Subsidised THN Pilot</w:t>
        </w:r>
      </w:hyperlink>
    </w:p>
    <w:p w14:paraId="3AC8A991" w14:textId="44976092" w:rsidR="00CA5EEA" w:rsidRDefault="009E3F96" w:rsidP="003D0F16">
      <w:pPr>
        <w:rPr>
          <w:lang w:eastAsia="en-AU"/>
        </w:rPr>
      </w:pPr>
      <w:hyperlink w:anchor="_Appendix_D:_Comparative" w:history="1">
        <w:r w:rsidR="00CA5EEA" w:rsidRPr="007A6273" w:rsidDel="003C6B38">
          <w:rPr>
            <w:rStyle w:val="Hyperlink"/>
            <w:lang w:eastAsia="en-AU"/>
          </w:rPr>
          <w:t>D</w:t>
        </w:r>
        <w:r w:rsidR="00CA5EEA" w:rsidRPr="007A6273">
          <w:rPr>
            <w:rStyle w:val="Hyperlink"/>
            <w:lang w:eastAsia="en-AU"/>
          </w:rPr>
          <w:t xml:space="preserve">: Prescribing patterns of opioids, </w:t>
        </w:r>
        <w:proofErr w:type="gramStart"/>
        <w:r w:rsidR="00CA5EEA" w:rsidRPr="007A6273">
          <w:rPr>
            <w:rStyle w:val="Hyperlink"/>
            <w:lang w:eastAsia="en-AU"/>
          </w:rPr>
          <w:t>naloxone</w:t>
        </w:r>
        <w:proofErr w:type="gramEnd"/>
        <w:r w:rsidR="00CA5EEA" w:rsidRPr="007A6273">
          <w:rPr>
            <w:rStyle w:val="Hyperlink"/>
            <w:lang w:eastAsia="en-AU"/>
          </w:rPr>
          <w:t xml:space="preserve"> and statins</w:t>
        </w:r>
        <w:r w:rsidR="00562B7B" w:rsidRPr="007A6273">
          <w:rPr>
            <w:rStyle w:val="Hyperlink"/>
            <w:lang w:eastAsia="en-AU"/>
          </w:rPr>
          <w:t>, 2017-2021</w:t>
        </w:r>
      </w:hyperlink>
    </w:p>
    <w:p w14:paraId="3CDEC8E5" w14:textId="7D2AD7A6" w:rsidR="00CA5EEA" w:rsidRDefault="009E3F96" w:rsidP="007A6273">
      <w:pPr>
        <w:rPr>
          <w:lang w:eastAsia="en-AU"/>
        </w:rPr>
      </w:pPr>
      <w:hyperlink w:anchor="_Appendix_E:_Stories" w:history="1">
        <w:r w:rsidR="00D86933" w:rsidRPr="005E55A2">
          <w:rPr>
            <w:rStyle w:val="Hyperlink"/>
            <w:lang w:eastAsia="en-AU"/>
          </w:rPr>
          <w:t xml:space="preserve">E: Stories </w:t>
        </w:r>
        <w:r w:rsidR="00D7109A" w:rsidRPr="005E55A2">
          <w:rPr>
            <w:rStyle w:val="Hyperlink"/>
            <w:lang w:eastAsia="en-AU"/>
          </w:rPr>
          <w:t xml:space="preserve">from consumers about the use of </w:t>
        </w:r>
        <w:r w:rsidR="00562B7B" w:rsidRPr="005E55A2">
          <w:rPr>
            <w:rStyle w:val="Hyperlink"/>
            <w:lang w:eastAsia="en-AU"/>
          </w:rPr>
          <w:t xml:space="preserve">PBS-Subsidised </w:t>
        </w:r>
        <w:r w:rsidR="00D7109A" w:rsidRPr="005E55A2">
          <w:rPr>
            <w:rStyle w:val="Hyperlink"/>
            <w:lang w:eastAsia="en-AU"/>
          </w:rPr>
          <w:t>THN for overdose reversals</w:t>
        </w:r>
      </w:hyperlink>
    </w:p>
    <w:p w14:paraId="49CDDA13" w14:textId="77777777" w:rsidR="00CA5EEA" w:rsidRDefault="00CA5EEA" w:rsidP="003D0F16">
      <w:pPr>
        <w:spacing w:after="160" w:line="259" w:lineRule="auto"/>
        <w:rPr>
          <w:lang w:eastAsia="en-AU"/>
        </w:rPr>
        <w:sectPr w:rsidR="00CA5EEA" w:rsidSect="00C62554">
          <w:footnotePr>
            <w:numFmt w:val="lowerLetter"/>
          </w:footnotePr>
          <w:pgSz w:w="11906" w:h="16838" w:code="9"/>
          <w:pgMar w:top="2268" w:right="1416" w:bottom="1134" w:left="1134" w:header="567" w:footer="510" w:gutter="0"/>
          <w:cols w:space="708"/>
          <w:docGrid w:linePitch="360"/>
        </w:sectPr>
      </w:pPr>
    </w:p>
    <w:p w14:paraId="71B6474B" w14:textId="4E734EE6" w:rsidR="007C6825" w:rsidRPr="009301AF" w:rsidRDefault="00CA5EEA" w:rsidP="009301AF">
      <w:pPr>
        <w:pStyle w:val="Heading3"/>
      </w:pPr>
      <w:bookmarkStart w:id="384" w:name="_Appendix_A:_International"/>
      <w:bookmarkStart w:id="385" w:name="_Toc85456060"/>
      <w:bookmarkStart w:id="386" w:name="_Toc94794182"/>
      <w:bookmarkStart w:id="387" w:name="_Toc94794326"/>
      <w:bookmarkEnd w:id="384"/>
      <w:r w:rsidRPr="00135A4F">
        <w:lastRenderedPageBreak/>
        <w:t xml:space="preserve">Appendix A: </w:t>
      </w:r>
      <w:r w:rsidR="007C6825" w:rsidRPr="00135A4F">
        <w:t>International Naloxone Programs</w:t>
      </w:r>
      <w:r w:rsidR="007C6825">
        <w:t xml:space="preserve"> evaluated prior to 2021</w:t>
      </w:r>
      <w:bookmarkEnd w:id="385"/>
      <w:bookmarkEnd w:id="386"/>
      <w:bookmarkEnd w:id="387"/>
    </w:p>
    <w:tbl>
      <w:tblPr>
        <w:tblStyle w:val="PlainTable11"/>
        <w:tblW w:w="14317" w:type="dxa"/>
        <w:jc w:val="center"/>
        <w:tblInd w:w="0" w:type="dxa"/>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1559"/>
        <w:gridCol w:w="2052"/>
        <w:gridCol w:w="1853"/>
        <w:gridCol w:w="1766"/>
        <w:gridCol w:w="2126"/>
        <w:gridCol w:w="4961"/>
      </w:tblGrid>
      <w:tr w:rsidR="007C6825" w:rsidRPr="00695609" w14:paraId="44623B1F" w14:textId="77777777" w:rsidTr="007C6825">
        <w:trPr>
          <w:cnfStyle w:val="100000000000" w:firstRow="1" w:lastRow="0" w:firstColumn="0" w:lastColumn="0" w:oddVBand="0" w:evenVBand="0" w:oddHBand="0" w:evenHBand="0" w:firstRowFirstColumn="0" w:firstRowLastColumn="0" w:lastRowFirstColumn="0" w:lastRowLastColumn="0"/>
          <w:trHeight w:val="729"/>
          <w:jc w:val="center"/>
        </w:trPr>
        <w:tc>
          <w:tcPr>
            <w:cnfStyle w:val="001000000000" w:firstRow="0" w:lastRow="0" w:firstColumn="1" w:lastColumn="0" w:oddVBand="0" w:evenVBand="0" w:oddHBand="0" w:evenHBand="0" w:firstRowFirstColumn="0" w:firstRowLastColumn="0" w:lastRowFirstColumn="0" w:lastRowLastColumn="0"/>
            <w:tcW w:w="1559" w:type="dxa"/>
            <w:tcBorders>
              <w:top w:val="nil"/>
              <w:left w:val="nil"/>
              <w:bottom w:val="single" w:sz="4" w:space="0" w:color="auto"/>
              <w:right w:val="nil"/>
            </w:tcBorders>
            <w:shd w:val="clear" w:color="auto" w:fill="51247A" w:themeFill="accent1"/>
            <w:vAlign w:val="center"/>
            <w:hideMark/>
          </w:tcPr>
          <w:p w14:paraId="78D9F3C4" w14:textId="77777777" w:rsidR="007C6825" w:rsidRPr="00135A4F" w:rsidRDefault="007C6825" w:rsidP="007C6825">
            <w:pPr>
              <w:spacing w:after="0" w:line="240" w:lineRule="auto"/>
              <w:rPr>
                <w:rFonts w:asciiTheme="majorHAnsi" w:eastAsia="Calibri" w:hAnsiTheme="majorHAnsi" w:cstheme="majorHAnsi"/>
                <w:color w:val="FFFFFF"/>
                <w:sz w:val="18"/>
                <w:szCs w:val="18"/>
              </w:rPr>
            </w:pPr>
            <w:r w:rsidRPr="00135A4F">
              <w:rPr>
                <w:rFonts w:asciiTheme="majorHAnsi" w:eastAsia="Calibri" w:hAnsiTheme="majorHAnsi" w:cstheme="majorHAnsi"/>
                <w:color w:val="FFFFFF"/>
                <w:sz w:val="18"/>
                <w:szCs w:val="18"/>
              </w:rPr>
              <w:t>Jurisdiction</w:t>
            </w:r>
          </w:p>
        </w:tc>
        <w:tc>
          <w:tcPr>
            <w:tcW w:w="2052" w:type="dxa"/>
            <w:tcBorders>
              <w:top w:val="nil"/>
              <w:left w:val="nil"/>
              <w:bottom w:val="single" w:sz="4" w:space="0" w:color="auto"/>
              <w:right w:val="nil"/>
            </w:tcBorders>
            <w:shd w:val="clear" w:color="auto" w:fill="51247A" w:themeFill="accent1"/>
            <w:vAlign w:val="center"/>
            <w:hideMark/>
          </w:tcPr>
          <w:p w14:paraId="5C699937" w14:textId="77777777" w:rsidR="007C6825" w:rsidRPr="00135A4F" w:rsidRDefault="007C6825" w:rsidP="007C6825">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sidRPr="00135A4F">
              <w:rPr>
                <w:rFonts w:asciiTheme="majorHAnsi" w:eastAsia="Calibri" w:hAnsiTheme="majorHAnsi" w:cstheme="majorHAnsi"/>
                <w:color w:val="FFFFFF"/>
                <w:sz w:val="18"/>
                <w:szCs w:val="18"/>
              </w:rPr>
              <w:t>Funding timeline</w:t>
            </w:r>
          </w:p>
        </w:tc>
        <w:tc>
          <w:tcPr>
            <w:tcW w:w="1853" w:type="dxa"/>
            <w:tcBorders>
              <w:top w:val="nil"/>
              <w:left w:val="nil"/>
              <w:bottom w:val="single" w:sz="4" w:space="0" w:color="auto"/>
              <w:right w:val="nil"/>
            </w:tcBorders>
            <w:shd w:val="clear" w:color="auto" w:fill="51247A" w:themeFill="accent1"/>
            <w:vAlign w:val="center"/>
            <w:hideMark/>
          </w:tcPr>
          <w:p w14:paraId="5A27CC4A" w14:textId="77777777" w:rsidR="007C6825" w:rsidRPr="00135A4F" w:rsidRDefault="007C6825" w:rsidP="007C6825">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sidRPr="00135A4F">
              <w:rPr>
                <w:rFonts w:asciiTheme="majorHAnsi" w:eastAsia="Calibri" w:hAnsiTheme="majorHAnsi" w:cstheme="majorHAnsi"/>
                <w:color w:val="FFFFFF"/>
                <w:sz w:val="18"/>
                <w:szCs w:val="18"/>
              </w:rPr>
              <w:t>Project name/description</w:t>
            </w:r>
          </w:p>
        </w:tc>
        <w:tc>
          <w:tcPr>
            <w:tcW w:w="1766" w:type="dxa"/>
            <w:tcBorders>
              <w:top w:val="nil"/>
              <w:left w:val="nil"/>
              <w:bottom w:val="single" w:sz="4" w:space="0" w:color="auto"/>
              <w:right w:val="nil"/>
            </w:tcBorders>
            <w:shd w:val="clear" w:color="auto" w:fill="51247A" w:themeFill="accent1"/>
            <w:vAlign w:val="center"/>
            <w:hideMark/>
          </w:tcPr>
          <w:p w14:paraId="43D50FA5" w14:textId="77777777" w:rsidR="007C6825" w:rsidRPr="00135A4F" w:rsidRDefault="007C6825" w:rsidP="007C6825">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sidRPr="00135A4F">
              <w:rPr>
                <w:rFonts w:asciiTheme="majorHAnsi" w:eastAsia="Calibri" w:hAnsiTheme="majorHAnsi" w:cstheme="majorHAnsi"/>
                <w:color w:val="FFFFFF"/>
                <w:sz w:val="18"/>
                <w:szCs w:val="18"/>
              </w:rPr>
              <w:t>Target population</w:t>
            </w:r>
          </w:p>
        </w:tc>
        <w:tc>
          <w:tcPr>
            <w:tcW w:w="2126" w:type="dxa"/>
            <w:tcBorders>
              <w:top w:val="nil"/>
              <w:left w:val="nil"/>
              <w:bottom w:val="single" w:sz="4" w:space="0" w:color="auto"/>
              <w:right w:val="nil"/>
            </w:tcBorders>
            <w:shd w:val="clear" w:color="auto" w:fill="51247A" w:themeFill="accent1"/>
            <w:vAlign w:val="center"/>
            <w:hideMark/>
          </w:tcPr>
          <w:p w14:paraId="5FC601D5" w14:textId="77777777" w:rsidR="007C6825" w:rsidRPr="00135A4F" w:rsidRDefault="007C6825" w:rsidP="007C6825">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sidRPr="00135A4F">
              <w:rPr>
                <w:rFonts w:asciiTheme="majorHAnsi" w:eastAsia="Calibri" w:hAnsiTheme="majorHAnsi" w:cstheme="majorHAnsi"/>
                <w:color w:val="FFFFFF"/>
                <w:sz w:val="18"/>
                <w:szCs w:val="18"/>
              </w:rPr>
              <w:t>Access sites</w:t>
            </w:r>
          </w:p>
        </w:tc>
        <w:tc>
          <w:tcPr>
            <w:tcW w:w="4961" w:type="dxa"/>
            <w:tcBorders>
              <w:top w:val="nil"/>
              <w:left w:val="nil"/>
              <w:bottom w:val="single" w:sz="4" w:space="0" w:color="auto"/>
              <w:right w:val="nil"/>
            </w:tcBorders>
            <w:shd w:val="clear" w:color="auto" w:fill="51247A" w:themeFill="accent1"/>
            <w:vAlign w:val="center"/>
            <w:hideMark/>
          </w:tcPr>
          <w:p w14:paraId="4A4140DD" w14:textId="77777777" w:rsidR="007C6825" w:rsidRPr="00135A4F" w:rsidRDefault="007C6825" w:rsidP="007C6825">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sidRPr="00135A4F">
              <w:rPr>
                <w:rFonts w:asciiTheme="majorHAnsi" w:eastAsia="Calibri" w:hAnsiTheme="majorHAnsi" w:cstheme="majorHAnsi"/>
                <w:color w:val="FFFFFF"/>
                <w:sz w:val="18"/>
                <w:szCs w:val="18"/>
              </w:rPr>
              <w:t>Results</w:t>
            </w:r>
          </w:p>
        </w:tc>
      </w:tr>
      <w:tr w:rsidR="007C6825" w:rsidRPr="00695609" w14:paraId="720BEB65" w14:textId="77777777" w:rsidTr="007C6825">
        <w:trPr>
          <w:cnfStyle w:val="000000100000" w:firstRow="0" w:lastRow="0" w:firstColumn="0" w:lastColumn="0" w:oddVBand="0" w:evenVBand="0" w:oddHBand="1" w:evenHBand="0" w:firstRowFirstColumn="0" w:firstRowLastColumn="0" w:lastRowFirstColumn="0" w:lastRowLastColumn="0"/>
          <w:trHeight w:val="729"/>
          <w:jc w:val="center"/>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auto"/>
              <w:left w:val="nil"/>
              <w:bottom w:val="single" w:sz="4" w:space="0" w:color="auto"/>
              <w:right w:val="nil"/>
            </w:tcBorders>
            <w:shd w:val="clear" w:color="auto" w:fill="FFFFFF" w:themeFill="background1"/>
            <w:vAlign w:val="center"/>
            <w:hideMark/>
          </w:tcPr>
          <w:p w14:paraId="0782F021" w14:textId="77777777" w:rsidR="007C6825" w:rsidRPr="00135A4F" w:rsidRDefault="007C6825" w:rsidP="007C6825">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t>Canada</w:t>
            </w:r>
          </w:p>
        </w:tc>
        <w:tc>
          <w:tcPr>
            <w:tcW w:w="2052" w:type="dxa"/>
            <w:tcBorders>
              <w:top w:val="single" w:sz="4" w:space="0" w:color="auto"/>
              <w:left w:val="nil"/>
              <w:bottom w:val="single" w:sz="4" w:space="0" w:color="auto"/>
              <w:right w:val="nil"/>
            </w:tcBorders>
            <w:shd w:val="clear" w:color="auto" w:fill="FFFFFF" w:themeFill="background1"/>
            <w:vAlign w:val="center"/>
            <w:hideMark/>
          </w:tcPr>
          <w:p w14:paraId="4542C9A0"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Each province and territory </w:t>
            </w:r>
            <w:proofErr w:type="gramStart"/>
            <w:r w:rsidRPr="00135A4F">
              <w:rPr>
                <w:rFonts w:asciiTheme="majorHAnsi" w:eastAsia="Calibri" w:hAnsiTheme="majorHAnsi" w:cstheme="majorHAnsi"/>
                <w:sz w:val="18"/>
                <w:szCs w:val="18"/>
              </w:rPr>
              <w:t>funds</w:t>
            </w:r>
            <w:proofErr w:type="gramEnd"/>
            <w:r w:rsidRPr="00135A4F">
              <w:rPr>
                <w:rFonts w:asciiTheme="majorHAnsi" w:eastAsia="Calibri" w:hAnsiTheme="majorHAnsi" w:cstheme="majorHAnsi"/>
                <w:sz w:val="18"/>
                <w:szCs w:val="18"/>
              </w:rPr>
              <w:t xml:space="preserve"> its own THN program.</w:t>
            </w:r>
          </w:p>
          <w:p w14:paraId="2E3DDC56"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British Columbia (BC) first to publicly fund in 2012.</w:t>
            </w:r>
          </w:p>
          <w:p w14:paraId="163AA796"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All publicly funded in 2017 (CRISM, 2019). </w:t>
            </w:r>
          </w:p>
        </w:tc>
        <w:tc>
          <w:tcPr>
            <w:tcW w:w="1853" w:type="dxa"/>
            <w:tcBorders>
              <w:top w:val="single" w:sz="4" w:space="0" w:color="auto"/>
              <w:left w:val="nil"/>
              <w:bottom w:val="single" w:sz="4" w:space="0" w:color="auto"/>
              <w:right w:val="nil"/>
            </w:tcBorders>
            <w:shd w:val="clear" w:color="auto" w:fill="FFFFFF" w:themeFill="background1"/>
            <w:vAlign w:val="center"/>
            <w:hideMark/>
          </w:tcPr>
          <w:p w14:paraId="633BDEE3"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Varies from province or territory (</w:t>
            </w:r>
            <w:proofErr w:type="gramStart"/>
            <w:r w:rsidRPr="00135A4F">
              <w:rPr>
                <w:rFonts w:asciiTheme="majorHAnsi" w:eastAsia="Calibri" w:hAnsiTheme="majorHAnsi" w:cstheme="majorHAnsi"/>
                <w:sz w:val="18"/>
                <w:szCs w:val="18"/>
              </w:rPr>
              <w:t>e.g.</w:t>
            </w:r>
            <w:proofErr w:type="gramEnd"/>
            <w:r w:rsidRPr="00135A4F">
              <w:rPr>
                <w:rFonts w:asciiTheme="majorHAnsi" w:eastAsia="Calibri" w:hAnsiTheme="majorHAnsi" w:cstheme="majorHAnsi"/>
                <w:sz w:val="18"/>
                <w:szCs w:val="18"/>
              </w:rPr>
              <w:t xml:space="preserve"> BC’s THN program, Alberta’s THN program) (CRISM, 2019).</w:t>
            </w:r>
          </w:p>
        </w:tc>
        <w:tc>
          <w:tcPr>
            <w:tcW w:w="1766" w:type="dxa"/>
            <w:tcBorders>
              <w:top w:val="single" w:sz="4" w:space="0" w:color="auto"/>
              <w:left w:val="nil"/>
              <w:bottom w:val="single" w:sz="4" w:space="0" w:color="auto"/>
              <w:right w:val="nil"/>
            </w:tcBorders>
            <w:shd w:val="clear" w:color="auto" w:fill="FFFFFF" w:themeFill="background1"/>
            <w:vAlign w:val="center"/>
            <w:hideMark/>
          </w:tcPr>
          <w:p w14:paraId="0AE2898D"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PUPO/PUIO</w:t>
            </w:r>
            <w:r w:rsidRPr="00135A4F">
              <w:rPr>
                <w:rFonts w:asciiTheme="majorHAnsi" w:eastAsia="Calibri" w:hAnsiTheme="majorHAnsi" w:cstheme="majorHAnsi"/>
                <w:sz w:val="18"/>
                <w:szCs w:val="18"/>
              </w:rPr>
              <w:t xml:space="preserve"> (prescription and illicit), HR* and community organisation clients.</w:t>
            </w:r>
          </w:p>
        </w:tc>
        <w:tc>
          <w:tcPr>
            <w:tcW w:w="2126" w:type="dxa"/>
            <w:tcBorders>
              <w:top w:val="single" w:sz="4" w:space="0" w:color="auto"/>
              <w:left w:val="nil"/>
              <w:bottom w:val="single" w:sz="4" w:space="0" w:color="auto"/>
              <w:right w:val="nil"/>
            </w:tcBorders>
            <w:shd w:val="clear" w:color="auto" w:fill="FFFFFF" w:themeFill="background1"/>
            <w:vAlign w:val="center"/>
          </w:tcPr>
          <w:p w14:paraId="2FC3ACF5"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HR* sites, community organisations, community pharmacies, provincial correction facilities, post-secondary institutions, opioid dependency treatment facilities, First Nations communities with FNIHB nurse, urgent care centres (Freeman et al., 2017; </w:t>
            </w:r>
            <w:proofErr w:type="spellStart"/>
            <w:r w:rsidRPr="00135A4F">
              <w:rPr>
                <w:rFonts w:asciiTheme="majorHAnsi" w:eastAsia="Calibri" w:hAnsiTheme="majorHAnsi" w:cstheme="majorHAnsi"/>
                <w:sz w:val="18"/>
                <w:szCs w:val="18"/>
              </w:rPr>
              <w:t>Tsuyuki</w:t>
            </w:r>
            <w:proofErr w:type="spellEnd"/>
            <w:r w:rsidRPr="00135A4F">
              <w:rPr>
                <w:rFonts w:asciiTheme="majorHAnsi" w:eastAsia="Calibri" w:hAnsiTheme="majorHAnsi" w:cstheme="majorHAnsi"/>
                <w:sz w:val="18"/>
                <w:szCs w:val="18"/>
              </w:rPr>
              <w:t xml:space="preserve"> et al., 2020). </w:t>
            </w:r>
          </w:p>
          <w:p w14:paraId="00CEF877"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p>
        </w:tc>
        <w:tc>
          <w:tcPr>
            <w:tcW w:w="4961" w:type="dxa"/>
            <w:tcBorders>
              <w:top w:val="single" w:sz="4" w:space="0" w:color="auto"/>
              <w:left w:val="nil"/>
              <w:bottom w:val="single" w:sz="4" w:space="0" w:color="auto"/>
              <w:right w:val="nil"/>
            </w:tcBorders>
            <w:shd w:val="clear" w:color="auto" w:fill="FFFFFF" w:themeFill="background1"/>
            <w:vAlign w:val="center"/>
            <w:hideMark/>
          </w:tcPr>
          <w:p w14:paraId="1F1EAF52"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BC – Low-barrier access to free THN significantly reduced opioid-related deaths at time of increased fentanyl-related toxicities.</w:t>
            </w:r>
          </w:p>
          <w:p w14:paraId="77389835"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Inclusion of community pharmacies as access sites has several benefits: addresses stigma, increases access, screens patients for naloxone and provides education.</w:t>
            </w:r>
          </w:p>
          <w:p w14:paraId="5134102B"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Ontario – Although large population is prescribed opioids and availability of kits, naloxone dispensing by pharmacies highly variable (only 55.6% dispensed in 2017). Only approx. 7% of patients receiving high-dose opioid prescriptions received THN in 2017.</w:t>
            </w:r>
          </w:p>
          <w:p w14:paraId="555D1ADC"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w:t>
            </w:r>
            <w:proofErr w:type="spellStart"/>
            <w:r w:rsidRPr="00135A4F">
              <w:rPr>
                <w:rFonts w:asciiTheme="majorHAnsi" w:eastAsia="Calibri" w:hAnsiTheme="majorHAnsi" w:cstheme="majorHAnsi"/>
                <w:sz w:val="18"/>
                <w:szCs w:val="18"/>
              </w:rPr>
              <w:t>Tsuyuki</w:t>
            </w:r>
            <w:proofErr w:type="spellEnd"/>
            <w:r w:rsidRPr="00135A4F">
              <w:rPr>
                <w:rFonts w:asciiTheme="majorHAnsi" w:eastAsia="Calibri" w:hAnsiTheme="majorHAnsi" w:cstheme="majorHAnsi"/>
                <w:sz w:val="18"/>
                <w:szCs w:val="18"/>
              </w:rPr>
              <w:t xml:space="preserve"> et al., 2020).</w:t>
            </w:r>
          </w:p>
          <w:p w14:paraId="6FDC5092"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Alberta – enacting an emergency response due to opioid crisis (particularly fentanyl related) allowed for rapid mobilisation and coordinated response. From Dec 2015-16, 9572 kits dispensed through 953 registered sites, 759 of them community pharmacies (Freeman et al., 2017). </w:t>
            </w:r>
          </w:p>
        </w:tc>
      </w:tr>
      <w:tr w:rsidR="007C6825" w:rsidRPr="00695609" w14:paraId="0F9CF161" w14:textId="77777777" w:rsidTr="007C6825">
        <w:trPr>
          <w:trHeight w:val="729"/>
          <w:jc w:val="center"/>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auto"/>
              <w:left w:val="nil"/>
              <w:bottom w:val="single" w:sz="4" w:space="0" w:color="auto"/>
              <w:right w:val="nil"/>
            </w:tcBorders>
            <w:shd w:val="clear" w:color="auto" w:fill="FFFFFF" w:themeFill="background1"/>
            <w:vAlign w:val="center"/>
            <w:hideMark/>
          </w:tcPr>
          <w:p w14:paraId="4E52735B" w14:textId="77777777" w:rsidR="007C6825" w:rsidRPr="00135A4F" w:rsidRDefault="007C6825" w:rsidP="007C6825">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t>Italy</w:t>
            </w:r>
          </w:p>
        </w:tc>
        <w:tc>
          <w:tcPr>
            <w:tcW w:w="2052" w:type="dxa"/>
            <w:tcBorders>
              <w:top w:val="single" w:sz="4" w:space="0" w:color="auto"/>
              <w:left w:val="nil"/>
              <w:bottom w:val="single" w:sz="4" w:space="0" w:color="auto"/>
              <w:right w:val="nil"/>
            </w:tcBorders>
            <w:shd w:val="clear" w:color="auto" w:fill="FFFFFF" w:themeFill="background1"/>
            <w:vAlign w:val="center"/>
            <w:hideMark/>
          </w:tcPr>
          <w:p w14:paraId="4C205907" w14:textId="77777777" w:rsidR="007C6825" w:rsidRPr="00135A4F" w:rsidRDefault="007C6825" w:rsidP="007C6825">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Available from 1991 through Addiction Services (</w:t>
            </w:r>
            <w:proofErr w:type="spellStart"/>
            <w:r w:rsidRPr="00135A4F">
              <w:rPr>
                <w:rFonts w:asciiTheme="majorHAnsi" w:eastAsia="Calibri" w:hAnsiTheme="majorHAnsi" w:cstheme="majorHAnsi"/>
                <w:sz w:val="18"/>
                <w:szCs w:val="18"/>
              </w:rPr>
              <w:t>SerDs</w:t>
            </w:r>
            <w:proofErr w:type="spellEnd"/>
            <w:r w:rsidRPr="00135A4F">
              <w:rPr>
                <w:rFonts w:asciiTheme="majorHAnsi" w:eastAsia="Calibri" w:hAnsiTheme="majorHAnsi" w:cstheme="majorHAnsi"/>
                <w:sz w:val="18"/>
                <w:szCs w:val="18"/>
              </w:rPr>
              <w:t>) and doctors.</w:t>
            </w:r>
          </w:p>
          <w:p w14:paraId="10043BC3" w14:textId="77777777" w:rsidR="007C6825" w:rsidRPr="00135A4F" w:rsidRDefault="007C6825" w:rsidP="007C6825">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Classified as OTC*** drug in 1996.</w:t>
            </w:r>
          </w:p>
          <w:p w14:paraId="0D754FA1"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Publicly funded in 2016 when HR services added to LEA**, guaranteeing services to all citizens (</w:t>
            </w:r>
            <w:proofErr w:type="spellStart"/>
            <w:r w:rsidRPr="00135A4F">
              <w:rPr>
                <w:rFonts w:asciiTheme="majorHAnsi" w:eastAsia="Calibri" w:hAnsiTheme="majorHAnsi" w:cstheme="majorHAnsi"/>
                <w:sz w:val="18"/>
                <w:szCs w:val="18"/>
              </w:rPr>
              <w:t>Ronconi</w:t>
            </w:r>
            <w:proofErr w:type="spellEnd"/>
            <w:r w:rsidRPr="00135A4F">
              <w:rPr>
                <w:rFonts w:asciiTheme="majorHAnsi" w:eastAsia="Calibri" w:hAnsiTheme="majorHAnsi" w:cstheme="majorHAnsi"/>
                <w:sz w:val="18"/>
                <w:szCs w:val="18"/>
              </w:rPr>
              <w:t xml:space="preserve"> et al., 2017). </w:t>
            </w:r>
          </w:p>
        </w:tc>
        <w:tc>
          <w:tcPr>
            <w:tcW w:w="1853" w:type="dxa"/>
            <w:tcBorders>
              <w:top w:val="single" w:sz="4" w:space="0" w:color="auto"/>
              <w:left w:val="nil"/>
              <w:bottom w:val="single" w:sz="4" w:space="0" w:color="auto"/>
              <w:right w:val="nil"/>
            </w:tcBorders>
            <w:shd w:val="clear" w:color="auto" w:fill="FFFFFF" w:themeFill="background1"/>
            <w:vAlign w:val="center"/>
            <w:hideMark/>
          </w:tcPr>
          <w:p w14:paraId="687C9845" w14:textId="73BFEE2C"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The Italian Take</w:t>
            </w:r>
            <w:r>
              <w:rPr>
                <w:rFonts w:asciiTheme="majorHAnsi" w:eastAsia="Calibri" w:hAnsiTheme="majorHAnsi" w:cstheme="majorHAnsi"/>
                <w:sz w:val="18"/>
                <w:szCs w:val="18"/>
              </w:rPr>
              <w:t xml:space="preserve"> </w:t>
            </w:r>
            <w:r w:rsidRPr="00135A4F">
              <w:rPr>
                <w:rFonts w:asciiTheme="majorHAnsi" w:eastAsia="Calibri" w:hAnsiTheme="majorHAnsi" w:cstheme="majorHAnsi"/>
                <w:sz w:val="18"/>
                <w:szCs w:val="18"/>
              </w:rPr>
              <w:t>Home Naloxone (THN) model (</w:t>
            </w:r>
            <w:proofErr w:type="spellStart"/>
            <w:r w:rsidRPr="00135A4F">
              <w:rPr>
                <w:rFonts w:asciiTheme="majorHAnsi" w:eastAsia="Calibri" w:hAnsiTheme="majorHAnsi" w:cstheme="majorHAnsi"/>
                <w:sz w:val="18"/>
                <w:szCs w:val="18"/>
              </w:rPr>
              <w:t>Ronconi</w:t>
            </w:r>
            <w:proofErr w:type="spellEnd"/>
            <w:r w:rsidRPr="00135A4F">
              <w:rPr>
                <w:rFonts w:asciiTheme="majorHAnsi" w:eastAsia="Calibri" w:hAnsiTheme="majorHAnsi" w:cstheme="majorHAnsi"/>
                <w:sz w:val="18"/>
                <w:szCs w:val="18"/>
              </w:rPr>
              <w:t xml:space="preserve"> et al., 2017).</w:t>
            </w:r>
          </w:p>
        </w:tc>
        <w:tc>
          <w:tcPr>
            <w:tcW w:w="1766" w:type="dxa"/>
            <w:tcBorders>
              <w:top w:val="single" w:sz="4" w:space="0" w:color="auto"/>
              <w:left w:val="nil"/>
              <w:bottom w:val="single" w:sz="4" w:space="0" w:color="auto"/>
              <w:right w:val="nil"/>
            </w:tcBorders>
            <w:shd w:val="clear" w:color="auto" w:fill="FFFFFF" w:themeFill="background1"/>
            <w:vAlign w:val="center"/>
            <w:hideMark/>
          </w:tcPr>
          <w:p w14:paraId="0EEA8588"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People using illicit opioids, HR site clients, </w:t>
            </w:r>
            <w:proofErr w:type="spellStart"/>
            <w:r w:rsidRPr="00135A4F">
              <w:rPr>
                <w:rFonts w:asciiTheme="majorHAnsi" w:eastAsia="Calibri" w:hAnsiTheme="majorHAnsi" w:cstheme="majorHAnsi"/>
                <w:sz w:val="18"/>
                <w:szCs w:val="18"/>
              </w:rPr>
              <w:t>SerDs</w:t>
            </w:r>
            <w:proofErr w:type="spellEnd"/>
            <w:r w:rsidRPr="00135A4F">
              <w:rPr>
                <w:rFonts w:asciiTheme="majorHAnsi" w:eastAsia="Calibri" w:hAnsiTheme="majorHAnsi" w:cstheme="majorHAnsi"/>
                <w:sz w:val="18"/>
                <w:szCs w:val="18"/>
              </w:rPr>
              <w:t xml:space="preserve"> clients, general population (through pharmacy stock).</w:t>
            </w:r>
          </w:p>
        </w:tc>
        <w:tc>
          <w:tcPr>
            <w:tcW w:w="2126" w:type="dxa"/>
            <w:tcBorders>
              <w:top w:val="single" w:sz="4" w:space="0" w:color="auto"/>
              <w:left w:val="nil"/>
              <w:bottom w:val="single" w:sz="4" w:space="0" w:color="auto"/>
              <w:right w:val="nil"/>
            </w:tcBorders>
            <w:shd w:val="clear" w:color="auto" w:fill="FFFFFF" w:themeFill="background1"/>
            <w:vAlign w:val="center"/>
            <w:hideMark/>
          </w:tcPr>
          <w:p w14:paraId="56116C8D" w14:textId="77777777" w:rsidR="007C6825" w:rsidRPr="00135A4F" w:rsidRDefault="007C6825" w:rsidP="007C6825">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HR sites (NSPs, drop-in centres, outreach work), </w:t>
            </w:r>
            <w:proofErr w:type="spellStart"/>
            <w:r w:rsidRPr="00135A4F">
              <w:rPr>
                <w:rFonts w:asciiTheme="majorHAnsi" w:eastAsia="Calibri" w:hAnsiTheme="majorHAnsi" w:cstheme="majorHAnsi"/>
                <w:sz w:val="18"/>
                <w:szCs w:val="18"/>
              </w:rPr>
              <w:t>SerDs</w:t>
            </w:r>
            <w:proofErr w:type="spellEnd"/>
            <w:r w:rsidRPr="00135A4F">
              <w:rPr>
                <w:rFonts w:asciiTheme="majorHAnsi" w:eastAsia="Calibri" w:hAnsiTheme="majorHAnsi" w:cstheme="majorHAnsi"/>
                <w:sz w:val="18"/>
                <w:szCs w:val="18"/>
              </w:rPr>
              <w:t>, pharmacies.</w:t>
            </w:r>
          </w:p>
          <w:p w14:paraId="757E3543" w14:textId="77777777" w:rsidR="007C6825" w:rsidRPr="00135A4F" w:rsidRDefault="007C6825" w:rsidP="007C6825">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57 HR sites account for 98% of national THN system.</w:t>
            </w:r>
          </w:p>
          <w:p w14:paraId="05CE3598"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Pharmacies obliged to stock due to life-saving status (</w:t>
            </w:r>
            <w:proofErr w:type="spellStart"/>
            <w:r w:rsidRPr="00135A4F">
              <w:rPr>
                <w:rFonts w:asciiTheme="majorHAnsi" w:eastAsia="Calibri" w:hAnsiTheme="majorHAnsi" w:cstheme="majorHAnsi"/>
                <w:sz w:val="18"/>
                <w:szCs w:val="18"/>
              </w:rPr>
              <w:t>Ronconi</w:t>
            </w:r>
            <w:proofErr w:type="spellEnd"/>
            <w:r w:rsidRPr="00135A4F">
              <w:rPr>
                <w:rFonts w:asciiTheme="majorHAnsi" w:eastAsia="Calibri" w:hAnsiTheme="majorHAnsi" w:cstheme="majorHAnsi"/>
                <w:sz w:val="18"/>
                <w:szCs w:val="18"/>
              </w:rPr>
              <w:t xml:space="preserve"> et al., 2017).</w:t>
            </w:r>
          </w:p>
        </w:tc>
        <w:tc>
          <w:tcPr>
            <w:tcW w:w="4961" w:type="dxa"/>
            <w:tcBorders>
              <w:top w:val="single" w:sz="4" w:space="0" w:color="auto"/>
              <w:left w:val="nil"/>
              <w:bottom w:val="single" w:sz="4" w:space="0" w:color="auto"/>
              <w:right w:val="nil"/>
            </w:tcBorders>
            <w:shd w:val="clear" w:color="auto" w:fill="FFFFFF" w:themeFill="background1"/>
            <w:vAlign w:val="center"/>
          </w:tcPr>
          <w:p w14:paraId="52EAAB36"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Deaths from opioid OD declining from 470 deaths in 1999 to 101 in 2015. This statistic specifically measures heroin OD, not all opioids. </w:t>
            </w:r>
          </w:p>
          <w:p w14:paraId="0FB709CA"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p>
          <w:p w14:paraId="7BFF55AF"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55 HR services provided data in 2015 – these 55 services distributed 14,999 vials, averaging 272 per site per year.</w:t>
            </w:r>
          </w:p>
          <w:p w14:paraId="0D870979"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p>
          <w:p w14:paraId="108313D8"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HR services can reach </w:t>
            </w: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xml:space="preserve"> not in treatment, provide THN education, educate community to become allies (</w:t>
            </w:r>
            <w:proofErr w:type="spellStart"/>
            <w:r w:rsidRPr="00135A4F">
              <w:rPr>
                <w:rFonts w:asciiTheme="majorHAnsi" w:eastAsia="Calibri" w:hAnsiTheme="majorHAnsi" w:cstheme="majorHAnsi"/>
                <w:sz w:val="18"/>
                <w:szCs w:val="18"/>
              </w:rPr>
              <w:t>Ronconi</w:t>
            </w:r>
            <w:proofErr w:type="spellEnd"/>
            <w:r w:rsidRPr="00135A4F">
              <w:rPr>
                <w:rFonts w:asciiTheme="majorHAnsi" w:eastAsia="Calibri" w:hAnsiTheme="majorHAnsi" w:cstheme="majorHAnsi"/>
                <w:sz w:val="18"/>
                <w:szCs w:val="18"/>
              </w:rPr>
              <w:t xml:space="preserve"> et al., 2017).</w:t>
            </w:r>
          </w:p>
        </w:tc>
      </w:tr>
      <w:tr w:rsidR="007C6825" w:rsidRPr="00695609" w14:paraId="5823ACD3" w14:textId="77777777" w:rsidTr="007C6825">
        <w:trPr>
          <w:cnfStyle w:val="000000100000" w:firstRow="0" w:lastRow="0" w:firstColumn="0" w:lastColumn="0" w:oddVBand="0" w:evenVBand="0" w:oddHBand="1" w:evenHBand="0" w:firstRowFirstColumn="0" w:firstRowLastColumn="0" w:lastRowFirstColumn="0" w:lastRowLastColumn="0"/>
          <w:trHeight w:val="729"/>
          <w:jc w:val="center"/>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auto"/>
              <w:left w:val="nil"/>
              <w:bottom w:val="single" w:sz="4" w:space="0" w:color="auto"/>
              <w:right w:val="nil"/>
            </w:tcBorders>
            <w:shd w:val="clear" w:color="auto" w:fill="FFFFFF" w:themeFill="background1"/>
            <w:vAlign w:val="center"/>
            <w:hideMark/>
          </w:tcPr>
          <w:p w14:paraId="12E4DAA7" w14:textId="77777777" w:rsidR="007C6825" w:rsidRPr="00135A4F" w:rsidRDefault="007C6825" w:rsidP="007C6825">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t>Northern Ireland</w:t>
            </w:r>
          </w:p>
        </w:tc>
        <w:tc>
          <w:tcPr>
            <w:tcW w:w="2052" w:type="dxa"/>
            <w:tcBorders>
              <w:top w:val="single" w:sz="4" w:space="0" w:color="auto"/>
              <w:left w:val="nil"/>
              <w:bottom w:val="single" w:sz="4" w:space="0" w:color="auto"/>
              <w:right w:val="nil"/>
            </w:tcBorders>
            <w:shd w:val="clear" w:color="auto" w:fill="FFFFFF" w:themeFill="background1"/>
            <w:vAlign w:val="center"/>
            <w:hideMark/>
          </w:tcPr>
          <w:p w14:paraId="70A4E5EC" w14:textId="77777777" w:rsidR="007C6825" w:rsidRPr="00135A4F" w:rsidRDefault="007C6825" w:rsidP="007C6825">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Publicly funded in 2012 by PHA**** with support from Health and Social Care Board (PHA, 2020).</w:t>
            </w:r>
          </w:p>
        </w:tc>
        <w:tc>
          <w:tcPr>
            <w:tcW w:w="1853" w:type="dxa"/>
            <w:tcBorders>
              <w:top w:val="single" w:sz="4" w:space="0" w:color="auto"/>
              <w:left w:val="nil"/>
              <w:bottom w:val="single" w:sz="4" w:space="0" w:color="auto"/>
              <w:right w:val="nil"/>
            </w:tcBorders>
            <w:shd w:val="clear" w:color="auto" w:fill="FFFFFF" w:themeFill="background1"/>
            <w:vAlign w:val="center"/>
          </w:tcPr>
          <w:p w14:paraId="011583DA" w14:textId="77777777" w:rsidR="007C6825" w:rsidRPr="00135A4F" w:rsidRDefault="007C6825" w:rsidP="007C6825">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p>
          <w:p w14:paraId="316FF213" w14:textId="77777777" w:rsidR="007C6825" w:rsidRPr="00135A4F" w:rsidRDefault="007C6825" w:rsidP="007C6825">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highlight w:val="yellow"/>
              </w:rPr>
            </w:pPr>
            <w:r w:rsidRPr="00135A4F">
              <w:rPr>
                <w:rFonts w:asciiTheme="majorHAnsi" w:eastAsia="Calibri" w:hAnsiTheme="majorHAnsi" w:cstheme="majorHAnsi"/>
                <w:sz w:val="18"/>
                <w:szCs w:val="18"/>
              </w:rPr>
              <w:t>Take Home Naloxone programme (PHA, 2020).</w:t>
            </w:r>
          </w:p>
        </w:tc>
        <w:tc>
          <w:tcPr>
            <w:tcW w:w="1766" w:type="dxa"/>
            <w:tcBorders>
              <w:top w:val="single" w:sz="4" w:space="0" w:color="auto"/>
              <w:left w:val="nil"/>
              <w:bottom w:val="single" w:sz="4" w:space="0" w:color="auto"/>
              <w:right w:val="nil"/>
            </w:tcBorders>
            <w:shd w:val="clear" w:color="auto" w:fill="FFFFFF" w:themeFill="background1"/>
            <w:vAlign w:val="center"/>
            <w:hideMark/>
          </w:tcPr>
          <w:p w14:paraId="2EA69F5E" w14:textId="77777777" w:rsidR="007C6825" w:rsidRPr="00135A4F" w:rsidRDefault="007C6825" w:rsidP="007C6825">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xml:space="preserve"> community outreach and addictions treatment clients, prisoners service clients, potential witnesses.</w:t>
            </w:r>
          </w:p>
        </w:tc>
        <w:tc>
          <w:tcPr>
            <w:tcW w:w="2126" w:type="dxa"/>
            <w:tcBorders>
              <w:top w:val="single" w:sz="4" w:space="0" w:color="auto"/>
              <w:left w:val="nil"/>
              <w:bottom w:val="single" w:sz="4" w:space="0" w:color="auto"/>
              <w:right w:val="nil"/>
            </w:tcBorders>
            <w:shd w:val="clear" w:color="auto" w:fill="FFFFFF" w:themeFill="background1"/>
            <w:vAlign w:val="center"/>
          </w:tcPr>
          <w:p w14:paraId="493C9DAC"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Community Addictions Team within each Health and Social Care Trust, prison service, community drug treatment services (PHA, 2020).</w:t>
            </w:r>
          </w:p>
          <w:p w14:paraId="35799A60" w14:textId="77777777" w:rsidR="007C6825" w:rsidRPr="00135A4F" w:rsidRDefault="007C6825" w:rsidP="007C6825">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p>
        </w:tc>
        <w:tc>
          <w:tcPr>
            <w:tcW w:w="4961" w:type="dxa"/>
            <w:tcBorders>
              <w:top w:val="single" w:sz="4" w:space="0" w:color="auto"/>
              <w:left w:val="nil"/>
              <w:bottom w:val="single" w:sz="4" w:space="0" w:color="auto"/>
              <w:right w:val="nil"/>
            </w:tcBorders>
            <w:shd w:val="clear" w:color="auto" w:fill="FFFFFF" w:themeFill="background1"/>
            <w:vAlign w:val="center"/>
            <w:hideMark/>
          </w:tcPr>
          <w:p w14:paraId="15243097" w14:textId="77777777" w:rsidR="007C6825" w:rsidRPr="00135A4F" w:rsidRDefault="007C6825" w:rsidP="007C6825">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Number of times naloxone supplied has been steadily increasing since 2012 (except for 1% decrease in 2019-20) – 1,321 pack in 2019-20, 807 in 2017-18, 247 in 2015-16, 139 in 2012-13.</w:t>
            </w:r>
          </w:p>
          <w:p w14:paraId="2868D0EC" w14:textId="77777777" w:rsidR="007C6825" w:rsidRPr="00135A4F" w:rsidRDefault="007C6825" w:rsidP="007C6825">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Reported uses of naloxone to reverse OD increase overtime (except for decrease in 2019-20) – 180 in 2019-20, 240 in 2018-19, 127 in 2017-18, 34 in 2015-16, &lt;5 in 2012-13 (PHA, 2020).</w:t>
            </w:r>
          </w:p>
        </w:tc>
      </w:tr>
      <w:tr w:rsidR="007C6825" w:rsidRPr="00695609" w14:paraId="1D83FE28" w14:textId="77777777" w:rsidTr="007C6825">
        <w:trPr>
          <w:trHeight w:val="729"/>
          <w:jc w:val="center"/>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auto"/>
              <w:left w:val="nil"/>
              <w:bottom w:val="single" w:sz="4" w:space="0" w:color="auto"/>
              <w:right w:val="nil"/>
            </w:tcBorders>
            <w:shd w:val="clear" w:color="auto" w:fill="FFFFFF" w:themeFill="background1"/>
            <w:vAlign w:val="center"/>
            <w:hideMark/>
          </w:tcPr>
          <w:p w14:paraId="6BA9F23E" w14:textId="77777777" w:rsidR="007C6825" w:rsidRPr="00135A4F" w:rsidRDefault="007C6825" w:rsidP="007C6825">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lastRenderedPageBreak/>
              <w:t>Scotland</w:t>
            </w:r>
          </w:p>
        </w:tc>
        <w:tc>
          <w:tcPr>
            <w:tcW w:w="2052" w:type="dxa"/>
            <w:tcBorders>
              <w:top w:val="single" w:sz="4" w:space="0" w:color="auto"/>
              <w:left w:val="nil"/>
              <w:bottom w:val="single" w:sz="4" w:space="0" w:color="auto"/>
              <w:right w:val="nil"/>
            </w:tcBorders>
            <w:shd w:val="clear" w:color="auto" w:fill="FFFFFF" w:themeFill="background1"/>
            <w:vAlign w:val="center"/>
            <w:hideMark/>
          </w:tcPr>
          <w:p w14:paraId="71BF1B53"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2011 – First country in the world to introduce a national program (Bird et al., 2016). </w:t>
            </w:r>
          </w:p>
        </w:tc>
        <w:tc>
          <w:tcPr>
            <w:tcW w:w="1853" w:type="dxa"/>
            <w:tcBorders>
              <w:top w:val="single" w:sz="4" w:space="0" w:color="auto"/>
              <w:left w:val="nil"/>
              <w:bottom w:val="single" w:sz="4" w:space="0" w:color="auto"/>
              <w:right w:val="nil"/>
            </w:tcBorders>
            <w:shd w:val="clear" w:color="auto" w:fill="FFFFFF" w:themeFill="background1"/>
            <w:vAlign w:val="center"/>
            <w:hideMark/>
          </w:tcPr>
          <w:p w14:paraId="4B882115"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National Naloxone Programme (Public Health Scotland, 2020). </w:t>
            </w:r>
          </w:p>
        </w:tc>
        <w:tc>
          <w:tcPr>
            <w:tcW w:w="1766" w:type="dxa"/>
            <w:tcBorders>
              <w:top w:val="single" w:sz="4" w:space="0" w:color="auto"/>
              <w:left w:val="nil"/>
              <w:bottom w:val="single" w:sz="4" w:space="0" w:color="auto"/>
              <w:right w:val="nil"/>
            </w:tcBorders>
            <w:shd w:val="clear" w:color="auto" w:fill="FFFFFF" w:themeFill="background1"/>
            <w:vAlign w:val="center"/>
            <w:hideMark/>
          </w:tcPr>
          <w:p w14:paraId="406A0C0E"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community outlet clients, prisoner upon release, potential witnesses.</w:t>
            </w:r>
          </w:p>
        </w:tc>
        <w:tc>
          <w:tcPr>
            <w:tcW w:w="2126" w:type="dxa"/>
            <w:tcBorders>
              <w:top w:val="single" w:sz="4" w:space="0" w:color="auto"/>
              <w:left w:val="nil"/>
              <w:bottom w:val="single" w:sz="4" w:space="0" w:color="auto"/>
              <w:right w:val="nil"/>
            </w:tcBorders>
            <w:shd w:val="clear" w:color="auto" w:fill="FFFFFF" w:themeFill="background1"/>
            <w:vAlign w:val="center"/>
            <w:hideMark/>
          </w:tcPr>
          <w:p w14:paraId="3F5D3E5E"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Community outlets (usually specialist drug treatment services), prisons at prisoner release, community pharmacies via prescription (Public Health Scotland, 2020).</w:t>
            </w:r>
          </w:p>
        </w:tc>
        <w:tc>
          <w:tcPr>
            <w:tcW w:w="4961" w:type="dxa"/>
            <w:tcBorders>
              <w:top w:val="single" w:sz="4" w:space="0" w:color="auto"/>
              <w:left w:val="nil"/>
              <w:bottom w:val="single" w:sz="4" w:space="0" w:color="auto"/>
              <w:right w:val="nil"/>
            </w:tcBorders>
            <w:shd w:val="clear" w:color="auto" w:fill="FFFFFF" w:themeFill="background1"/>
            <w:vAlign w:val="center"/>
            <w:hideMark/>
          </w:tcPr>
          <w:p w14:paraId="772E6859"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Programme associated with 36% reduction in opioid-related deaths which occurred within 4 weeks following an individual’s release from prison (Bird et al., 2016).</w:t>
            </w:r>
          </w:p>
          <w:p w14:paraId="4A66141E"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1:1 training viewed as more effective compared to group training.</w:t>
            </w:r>
          </w:p>
          <w:p w14:paraId="491EB16B"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Supplying naloxone is most effective when dispersed </w:t>
            </w:r>
            <w:proofErr w:type="gramStart"/>
            <w:r w:rsidRPr="00135A4F">
              <w:rPr>
                <w:rFonts w:asciiTheme="majorHAnsi" w:eastAsia="Calibri" w:hAnsiTheme="majorHAnsi" w:cstheme="majorHAnsi"/>
                <w:sz w:val="18"/>
                <w:szCs w:val="18"/>
              </w:rPr>
              <w:t>in close proximity to</w:t>
            </w:r>
            <w:proofErr w:type="gramEnd"/>
            <w:r w:rsidRPr="00135A4F">
              <w:rPr>
                <w:rFonts w:asciiTheme="majorHAnsi" w:eastAsia="Calibri" w:hAnsiTheme="majorHAnsi" w:cstheme="majorHAnsi"/>
                <w:sz w:val="18"/>
                <w:szCs w:val="18"/>
              </w:rPr>
              <w:t xml:space="preserve"> training.</w:t>
            </w:r>
          </w:p>
          <w:p w14:paraId="39892CA4"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Peer training is effective, but demand on peer trainers is high which can contribute to high drop-off rate (Watt et al., 2014). </w:t>
            </w:r>
          </w:p>
          <w:p w14:paraId="5E825017"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12,135 THN kits issued in 2018/19, a 42% increase from the previous year (8,555). </w:t>
            </w:r>
          </w:p>
          <w:p w14:paraId="48476B41"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58,377 kits supplied between 2011/2012 and 2018/19.</w:t>
            </w:r>
          </w:p>
          <w:p w14:paraId="76EA81D7" w14:textId="77777777" w:rsidR="007C6825" w:rsidRPr="00135A4F" w:rsidRDefault="007C6825" w:rsidP="007C6825">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Majority issued from community outlets (10,609 in 2018/19), compared in 844 in prisons upon releases and 682 via community prescription (Public Health Scotland, 2020).</w:t>
            </w:r>
          </w:p>
        </w:tc>
      </w:tr>
      <w:tr w:rsidR="007C6825" w:rsidRPr="00695609" w14:paraId="742FB627" w14:textId="77777777" w:rsidTr="007C6825">
        <w:trPr>
          <w:cnfStyle w:val="000000100000" w:firstRow="0" w:lastRow="0" w:firstColumn="0" w:lastColumn="0" w:oddVBand="0" w:evenVBand="0" w:oddHBand="1" w:evenHBand="0" w:firstRowFirstColumn="0" w:firstRowLastColumn="0" w:lastRowFirstColumn="0" w:lastRowLastColumn="0"/>
          <w:trHeight w:val="729"/>
          <w:jc w:val="center"/>
        </w:trPr>
        <w:tc>
          <w:tcPr>
            <w:cnfStyle w:val="001000000000" w:firstRow="0" w:lastRow="0" w:firstColumn="1" w:lastColumn="0" w:oddVBand="0" w:evenVBand="0" w:oddHBand="0" w:evenHBand="0" w:firstRowFirstColumn="0" w:firstRowLastColumn="0" w:lastRowFirstColumn="0" w:lastRowLastColumn="0"/>
            <w:tcW w:w="1559" w:type="dxa"/>
            <w:tcBorders>
              <w:top w:val="single" w:sz="4" w:space="0" w:color="auto"/>
              <w:left w:val="nil"/>
              <w:bottom w:val="single" w:sz="4" w:space="0" w:color="auto"/>
              <w:right w:val="nil"/>
            </w:tcBorders>
            <w:shd w:val="clear" w:color="auto" w:fill="FFFFFF" w:themeFill="background1"/>
            <w:vAlign w:val="center"/>
            <w:hideMark/>
          </w:tcPr>
          <w:p w14:paraId="6BBA117B" w14:textId="77777777" w:rsidR="007C6825" w:rsidRPr="00135A4F" w:rsidRDefault="007C6825" w:rsidP="007C6825">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t>Wales</w:t>
            </w:r>
          </w:p>
        </w:tc>
        <w:tc>
          <w:tcPr>
            <w:tcW w:w="2052" w:type="dxa"/>
            <w:tcBorders>
              <w:top w:val="single" w:sz="4" w:space="0" w:color="auto"/>
              <w:left w:val="nil"/>
              <w:bottom w:val="single" w:sz="4" w:space="0" w:color="auto"/>
              <w:right w:val="nil"/>
            </w:tcBorders>
            <w:shd w:val="clear" w:color="auto" w:fill="FFFFFF" w:themeFill="background1"/>
            <w:vAlign w:val="center"/>
          </w:tcPr>
          <w:p w14:paraId="5C3D8A6D"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THN demonstration project launched in 2009 (Bennett &amp; Holloway, 2011). </w:t>
            </w:r>
          </w:p>
          <w:p w14:paraId="3FF4636B"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p>
          <w:p w14:paraId="1D96E853"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Publicly funded in 2011 (Bennett &amp; Holloway, 2012). </w:t>
            </w:r>
          </w:p>
        </w:tc>
        <w:tc>
          <w:tcPr>
            <w:tcW w:w="1853" w:type="dxa"/>
            <w:tcBorders>
              <w:top w:val="single" w:sz="4" w:space="0" w:color="auto"/>
              <w:left w:val="nil"/>
              <w:bottom w:val="single" w:sz="4" w:space="0" w:color="auto"/>
              <w:right w:val="nil"/>
            </w:tcBorders>
            <w:shd w:val="clear" w:color="auto" w:fill="FFFFFF" w:themeFill="background1"/>
            <w:vAlign w:val="center"/>
            <w:hideMark/>
          </w:tcPr>
          <w:p w14:paraId="415B7392"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National Take Home Naloxone Programme</w:t>
            </w:r>
          </w:p>
          <w:p w14:paraId="6C6D8373"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(Public Health Wales, 2020).</w:t>
            </w:r>
          </w:p>
        </w:tc>
        <w:tc>
          <w:tcPr>
            <w:tcW w:w="1766" w:type="dxa"/>
            <w:tcBorders>
              <w:top w:val="single" w:sz="4" w:space="0" w:color="auto"/>
              <w:left w:val="nil"/>
              <w:bottom w:val="single" w:sz="4" w:space="0" w:color="auto"/>
              <w:right w:val="nil"/>
            </w:tcBorders>
            <w:shd w:val="clear" w:color="auto" w:fill="FFFFFF" w:themeFill="background1"/>
            <w:vAlign w:val="center"/>
            <w:hideMark/>
          </w:tcPr>
          <w:p w14:paraId="4058C3B2"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substance misuse service clients, offenders and prisoners, homeless population, potential witnesses.</w:t>
            </w:r>
          </w:p>
        </w:tc>
        <w:tc>
          <w:tcPr>
            <w:tcW w:w="2126" w:type="dxa"/>
            <w:tcBorders>
              <w:top w:val="single" w:sz="4" w:space="0" w:color="auto"/>
              <w:left w:val="nil"/>
              <w:bottom w:val="single" w:sz="4" w:space="0" w:color="auto"/>
              <w:right w:val="nil"/>
            </w:tcBorders>
            <w:shd w:val="clear" w:color="auto" w:fill="FFFFFF" w:themeFill="background1"/>
            <w:vAlign w:val="center"/>
            <w:hideMark/>
          </w:tcPr>
          <w:p w14:paraId="28585351"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Substance misuse services, offender services, prisons, approved homelessness services/hostels (Public Health Wales, 2020).</w:t>
            </w:r>
          </w:p>
        </w:tc>
        <w:tc>
          <w:tcPr>
            <w:tcW w:w="4961" w:type="dxa"/>
            <w:tcBorders>
              <w:top w:val="single" w:sz="4" w:space="0" w:color="auto"/>
              <w:left w:val="nil"/>
              <w:bottom w:val="single" w:sz="4" w:space="0" w:color="auto"/>
              <w:right w:val="nil"/>
            </w:tcBorders>
            <w:shd w:val="clear" w:color="auto" w:fill="FFFFFF" w:themeFill="background1"/>
            <w:vAlign w:val="center"/>
          </w:tcPr>
          <w:p w14:paraId="5F81011F"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135A4F">
              <w:rPr>
                <w:rFonts w:asciiTheme="majorHAnsi" w:hAnsiTheme="majorHAnsi" w:cstheme="majorHAnsi"/>
                <w:sz w:val="18"/>
                <w:szCs w:val="18"/>
              </w:rPr>
              <w:t xml:space="preserve">Since April 2013, THN has been used in 2855 opioid drug poisoning events, with a fatal opioid poisoning only reported in 1.3 per cent of case where THN was administered. </w:t>
            </w:r>
            <w:r w:rsidRPr="00135A4F">
              <w:rPr>
                <w:rFonts w:asciiTheme="majorHAnsi" w:hAnsiTheme="majorHAnsi" w:cstheme="majorHAnsi"/>
                <w:color w:val="000000"/>
                <w:sz w:val="18"/>
                <w:szCs w:val="18"/>
              </w:rPr>
              <w:t>(Public Health Wales, 2020).</w:t>
            </w:r>
          </w:p>
          <w:p w14:paraId="7314F307"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lang w:val="en-GB"/>
              </w:rPr>
            </w:pPr>
            <w:r w:rsidRPr="00135A4F">
              <w:rPr>
                <w:rFonts w:asciiTheme="majorHAnsi" w:eastAsia="Calibri" w:hAnsiTheme="majorHAnsi" w:cstheme="majorHAnsi"/>
                <w:sz w:val="18"/>
                <w:szCs w:val="18"/>
              </w:rPr>
              <w:t xml:space="preserve">2011 evaluation showed that survival rates across THN and non-THN sites were similar, with almost all deaths occurring when user was alone. This demonstrates the importance of witnesses being present and being able to take effective action </w:t>
            </w:r>
            <w:r w:rsidRPr="00135A4F">
              <w:rPr>
                <w:rFonts w:asciiTheme="majorHAnsi" w:hAnsiTheme="majorHAnsi" w:cstheme="majorHAnsi"/>
                <w:sz w:val="18"/>
                <w:szCs w:val="18"/>
              </w:rPr>
              <w:t>(Bennett &amp; Holloway, 2011).</w:t>
            </w:r>
          </w:p>
          <w:p w14:paraId="05BC3B8C"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Training increased confidence and willingness to use </w:t>
            </w:r>
            <w:proofErr w:type="gramStart"/>
            <w:r w:rsidRPr="00135A4F">
              <w:rPr>
                <w:rFonts w:asciiTheme="majorHAnsi" w:eastAsia="Calibri" w:hAnsiTheme="majorHAnsi" w:cstheme="majorHAnsi"/>
                <w:sz w:val="18"/>
                <w:szCs w:val="18"/>
              </w:rPr>
              <w:t>take action</w:t>
            </w:r>
            <w:proofErr w:type="gramEnd"/>
            <w:r w:rsidRPr="00135A4F">
              <w:rPr>
                <w:rFonts w:asciiTheme="majorHAnsi" w:eastAsia="Calibri" w:hAnsiTheme="majorHAnsi" w:cstheme="majorHAnsi"/>
                <w:sz w:val="18"/>
                <w:szCs w:val="18"/>
              </w:rPr>
              <w:t>, as well as improvements in knowledge and skills (</w:t>
            </w:r>
            <w:r w:rsidRPr="00135A4F">
              <w:rPr>
                <w:rFonts w:asciiTheme="majorHAnsi" w:hAnsiTheme="majorHAnsi" w:cstheme="majorHAnsi"/>
                <w:sz w:val="18"/>
                <w:szCs w:val="18"/>
              </w:rPr>
              <w:t xml:space="preserve">Bennett &amp; Holloway, 2011; 2012). </w:t>
            </w:r>
          </w:p>
          <w:p w14:paraId="214521D5" w14:textId="77777777" w:rsidR="007C6825" w:rsidRPr="00135A4F" w:rsidRDefault="007C6825" w:rsidP="007C6825">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p>
        </w:tc>
      </w:tr>
    </w:tbl>
    <w:p w14:paraId="656BE4D6" w14:textId="3F271E2E" w:rsidR="009301AF" w:rsidRDefault="007C6825" w:rsidP="007C6825">
      <w:pPr>
        <w:tabs>
          <w:tab w:val="left" w:pos="3765"/>
        </w:tabs>
        <w:rPr>
          <w:i/>
          <w:sz w:val="20"/>
          <w:szCs w:val="20"/>
        </w:rPr>
      </w:pPr>
      <w:r>
        <w:rPr>
          <w:i/>
          <w:sz w:val="20"/>
          <w:szCs w:val="20"/>
        </w:rPr>
        <w:t>*HR – Harm Reduction; **LEA – Essential Levels of Assistance; ***OTC – Over the counter; ****PHA – Public Health Agency</w:t>
      </w:r>
    </w:p>
    <w:p w14:paraId="5ABD9484" w14:textId="77777777" w:rsidR="009301AF" w:rsidRDefault="009301AF">
      <w:pPr>
        <w:spacing w:after="160" w:line="259" w:lineRule="auto"/>
        <w:rPr>
          <w:i/>
          <w:sz w:val="20"/>
          <w:szCs w:val="20"/>
        </w:rPr>
      </w:pPr>
      <w:r>
        <w:rPr>
          <w:i/>
          <w:sz w:val="20"/>
          <w:szCs w:val="20"/>
        </w:rPr>
        <w:br w:type="page"/>
      </w:r>
    </w:p>
    <w:p w14:paraId="560F07E0" w14:textId="38A6BB2D" w:rsidR="00CA5EEA" w:rsidRPr="009301AF" w:rsidRDefault="00CA5EEA" w:rsidP="009301AF">
      <w:pPr>
        <w:pStyle w:val="Heading3"/>
      </w:pPr>
      <w:bookmarkStart w:id="388" w:name="_Appendix_B:_Australian"/>
      <w:bookmarkStart w:id="389" w:name="_Toc85456061"/>
      <w:bookmarkStart w:id="390" w:name="_Toc94794183"/>
      <w:bookmarkStart w:id="391" w:name="_Toc94794327"/>
      <w:bookmarkEnd w:id="388"/>
      <w:r w:rsidRPr="00135A4F">
        <w:lastRenderedPageBreak/>
        <w:t xml:space="preserve">Appendix </w:t>
      </w:r>
      <w:r w:rsidR="007C6825">
        <w:t>B</w:t>
      </w:r>
      <w:r w:rsidRPr="00135A4F">
        <w:t>: Australian Naloxone Programs</w:t>
      </w:r>
      <w:r w:rsidR="00D87F72">
        <w:t xml:space="preserve"> other than PBS Subsidised THN Pilot</w:t>
      </w:r>
      <w:bookmarkEnd w:id="389"/>
      <w:bookmarkEnd w:id="390"/>
      <w:bookmarkEnd w:id="391"/>
    </w:p>
    <w:tbl>
      <w:tblPr>
        <w:tblStyle w:val="PlainTable11"/>
        <w:tblW w:w="12892" w:type="dxa"/>
        <w:jc w:val="center"/>
        <w:tblInd w:w="0" w:type="dxa"/>
        <w:tblBorders>
          <w:top w:val="none" w:sz="0"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1402"/>
        <w:gridCol w:w="2709"/>
        <w:gridCol w:w="2160"/>
        <w:gridCol w:w="2234"/>
        <w:gridCol w:w="1393"/>
        <w:gridCol w:w="1576"/>
        <w:gridCol w:w="1418"/>
      </w:tblGrid>
      <w:tr w:rsidR="00B22BE1" w:rsidRPr="00695609" w14:paraId="422D9BC3" w14:textId="77777777" w:rsidTr="00B07F3B">
        <w:trPr>
          <w:cnfStyle w:val="100000000000" w:firstRow="1" w:lastRow="0" w:firstColumn="0" w:lastColumn="0" w:oddVBand="0" w:evenVBand="0" w:oddHBand="0" w:evenHBand="0" w:firstRowFirstColumn="0" w:firstRowLastColumn="0" w:lastRowFirstColumn="0" w:lastRowLastColumn="0"/>
          <w:trHeight w:val="729"/>
          <w:jc w:val="center"/>
        </w:trPr>
        <w:tc>
          <w:tcPr>
            <w:cnfStyle w:val="001000000000" w:firstRow="0" w:lastRow="0" w:firstColumn="1" w:lastColumn="0" w:oddVBand="0" w:evenVBand="0" w:oddHBand="0" w:evenHBand="0" w:firstRowFirstColumn="0" w:firstRowLastColumn="0" w:lastRowFirstColumn="0" w:lastRowLastColumn="0"/>
            <w:tcW w:w="1402" w:type="dxa"/>
            <w:tcBorders>
              <w:top w:val="nil"/>
              <w:left w:val="nil"/>
              <w:bottom w:val="single" w:sz="4" w:space="0" w:color="auto"/>
              <w:right w:val="nil"/>
            </w:tcBorders>
            <w:shd w:val="clear" w:color="auto" w:fill="51247A" w:themeFill="accent1"/>
            <w:vAlign w:val="center"/>
            <w:hideMark/>
          </w:tcPr>
          <w:p w14:paraId="19AE0DE5" w14:textId="77777777" w:rsidR="00B22BE1" w:rsidRPr="00135A4F" w:rsidRDefault="00B22BE1" w:rsidP="003A511B">
            <w:pPr>
              <w:spacing w:after="0" w:line="240" w:lineRule="auto"/>
              <w:rPr>
                <w:rFonts w:asciiTheme="majorHAnsi" w:eastAsia="Calibri" w:hAnsiTheme="majorHAnsi" w:cstheme="majorHAnsi"/>
                <w:color w:val="FFFFFF"/>
                <w:sz w:val="18"/>
                <w:szCs w:val="18"/>
              </w:rPr>
            </w:pPr>
            <w:r w:rsidRPr="00135A4F">
              <w:rPr>
                <w:rFonts w:asciiTheme="majorHAnsi" w:eastAsia="Calibri" w:hAnsiTheme="majorHAnsi" w:cstheme="majorHAnsi"/>
                <w:color w:val="FFFFFF" w:themeColor="background1"/>
                <w:sz w:val="18"/>
                <w:szCs w:val="18"/>
              </w:rPr>
              <w:t>State</w:t>
            </w:r>
          </w:p>
        </w:tc>
        <w:tc>
          <w:tcPr>
            <w:tcW w:w="2709" w:type="dxa"/>
            <w:tcBorders>
              <w:top w:val="nil"/>
              <w:left w:val="nil"/>
              <w:bottom w:val="single" w:sz="4" w:space="0" w:color="auto"/>
              <w:right w:val="nil"/>
            </w:tcBorders>
            <w:shd w:val="clear" w:color="auto" w:fill="51247A" w:themeFill="accent1"/>
            <w:vAlign w:val="center"/>
          </w:tcPr>
          <w:p w14:paraId="431EE90C" w14:textId="127D7AF5" w:rsidR="00B22BE1" w:rsidRPr="00135A4F" w:rsidRDefault="00B22BE1" w:rsidP="003A511B">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sidRPr="00135A4F">
              <w:rPr>
                <w:rFonts w:asciiTheme="majorHAnsi" w:eastAsia="Calibri" w:hAnsiTheme="majorHAnsi" w:cstheme="majorHAnsi"/>
                <w:color w:val="FFFFFF"/>
                <w:sz w:val="18"/>
                <w:szCs w:val="18"/>
              </w:rPr>
              <w:t>Project title</w:t>
            </w:r>
          </w:p>
        </w:tc>
        <w:tc>
          <w:tcPr>
            <w:tcW w:w="2160" w:type="dxa"/>
            <w:tcBorders>
              <w:top w:val="nil"/>
              <w:left w:val="nil"/>
              <w:bottom w:val="single" w:sz="4" w:space="0" w:color="auto"/>
              <w:right w:val="nil"/>
            </w:tcBorders>
            <w:shd w:val="clear" w:color="auto" w:fill="51247A" w:themeFill="accent1"/>
            <w:vAlign w:val="center"/>
            <w:hideMark/>
          </w:tcPr>
          <w:p w14:paraId="4557C4C9" w14:textId="291B6C43" w:rsidR="00B22BE1" w:rsidRPr="00135A4F" w:rsidRDefault="00B22BE1" w:rsidP="003A511B">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sidRPr="00135A4F">
              <w:rPr>
                <w:rFonts w:asciiTheme="majorHAnsi" w:eastAsia="Calibri" w:hAnsiTheme="majorHAnsi" w:cstheme="majorHAnsi"/>
                <w:color w:val="FFFFFF"/>
                <w:sz w:val="18"/>
                <w:szCs w:val="18"/>
              </w:rPr>
              <w:t>Lead Organisation</w:t>
            </w:r>
            <w:r w:rsidR="00EF1110">
              <w:rPr>
                <w:rFonts w:asciiTheme="majorHAnsi" w:eastAsia="Calibri" w:hAnsiTheme="majorHAnsi" w:cstheme="majorHAnsi"/>
                <w:color w:val="FFFFFF"/>
                <w:sz w:val="18"/>
                <w:szCs w:val="18"/>
              </w:rPr>
              <w:t xml:space="preserve"> *</w:t>
            </w:r>
          </w:p>
        </w:tc>
        <w:tc>
          <w:tcPr>
            <w:tcW w:w="2234" w:type="dxa"/>
            <w:tcBorders>
              <w:top w:val="nil"/>
              <w:left w:val="nil"/>
              <w:bottom w:val="single" w:sz="4" w:space="0" w:color="auto"/>
              <w:right w:val="nil"/>
            </w:tcBorders>
            <w:shd w:val="clear" w:color="auto" w:fill="51247A" w:themeFill="accent1"/>
            <w:vAlign w:val="center"/>
            <w:hideMark/>
          </w:tcPr>
          <w:p w14:paraId="547602BF" w14:textId="265B1897" w:rsidR="00B22BE1" w:rsidRPr="00135A4F" w:rsidRDefault="00B22BE1" w:rsidP="003A511B">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sidRPr="00135A4F">
              <w:rPr>
                <w:rFonts w:asciiTheme="majorHAnsi" w:eastAsia="Calibri" w:hAnsiTheme="majorHAnsi" w:cstheme="majorHAnsi"/>
                <w:color w:val="FFFFFF"/>
                <w:sz w:val="18"/>
                <w:szCs w:val="18"/>
              </w:rPr>
              <w:t>Target audience</w:t>
            </w:r>
            <w:r w:rsidR="0017576E">
              <w:rPr>
                <w:rFonts w:asciiTheme="majorHAnsi" w:eastAsia="Calibri" w:hAnsiTheme="majorHAnsi" w:cstheme="majorHAnsi"/>
                <w:color w:val="FFFFFF"/>
                <w:sz w:val="18"/>
                <w:szCs w:val="18"/>
              </w:rPr>
              <w:t xml:space="preserve"> **</w:t>
            </w:r>
          </w:p>
        </w:tc>
        <w:tc>
          <w:tcPr>
            <w:tcW w:w="1393" w:type="dxa"/>
            <w:tcBorders>
              <w:top w:val="nil"/>
              <w:left w:val="nil"/>
              <w:bottom w:val="single" w:sz="4" w:space="0" w:color="auto"/>
              <w:right w:val="nil"/>
            </w:tcBorders>
            <w:shd w:val="clear" w:color="auto" w:fill="51247A" w:themeFill="accent1"/>
            <w:vAlign w:val="center"/>
            <w:hideMark/>
          </w:tcPr>
          <w:p w14:paraId="4E544B34" w14:textId="77777777" w:rsidR="00B22BE1" w:rsidRPr="00135A4F" w:rsidRDefault="00B22BE1" w:rsidP="003A511B">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sidRPr="00135A4F">
              <w:rPr>
                <w:rFonts w:asciiTheme="majorHAnsi" w:eastAsia="Calibri" w:hAnsiTheme="majorHAnsi" w:cstheme="majorHAnsi"/>
                <w:color w:val="FFFFFF"/>
                <w:sz w:val="18"/>
                <w:szCs w:val="18"/>
              </w:rPr>
              <w:t>Training duration</w:t>
            </w:r>
          </w:p>
        </w:tc>
        <w:tc>
          <w:tcPr>
            <w:tcW w:w="1576" w:type="dxa"/>
            <w:tcBorders>
              <w:top w:val="nil"/>
              <w:left w:val="nil"/>
              <w:bottom w:val="single" w:sz="4" w:space="0" w:color="auto"/>
              <w:right w:val="nil"/>
            </w:tcBorders>
            <w:shd w:val="clear" w:color="auto" w:fill="51247A" w:themeFill="accent1"/>
            <w:vAlign w:val="center"/>
            <w:hideMark/>
          </w:tcPr>
          <w:p w14:paraId="12D5E05C" w14:textId="77777777" w:rsidR="00B22BE1" w:rsidRPr="00135A4F" w:rsidRDefault="00B22BE1" w:rsidP="003A511B">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sidRPr="00135A4F">
              <w:rPr>
                <w:rFonts w:asciiTheme="majorHAnsi" w:eastAsia="Calibri" w:hAnsiTheme="majorHAnsi" w:cstheme="majorHAnsi"/>
                <w:color w:val="FFFFFF" w:themeColor="background1"/>
                <w:sz w:val="18"/>
                <w:szCs w:val="18"/>
              </w:rPr>
              <w:t>Commenced</w:t>
            </w:r>
          </w:p>
        </w:tc>
        <w:tc>
          <w:tcPr>
            <w:tcW w:w="1418" w:type="dxa"/>
            <w:tcBorders>
              <w:top w:val="nil"/>
              <w:left w:val="nil"/>
              <w:bottom w:val="single" w:sz="4" w:space="0" w:color="auto"/>
              <w:right w:val="nil"/>
            </w:tcBorders>
            <w:shd w:val="clear" w:color="auto" w:fill="51247A" w:themeFill="accent1"/>
            <w:vAlign w:val="center"/>
            <w:hideMark/>
          </w:tcPr>
          <w:p w14:paraId="320CF46D" w14:textId="0B5A9D85" w:rsidR="00B22BE1" w:rsidRPr="00135A4F" w:rsidRDefault="00B07F3B" w:rsidP="003A511B">
            <w:pPr>
              <w:spacing w:after="0" w:line="240" w:lineRule="auto"/>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color w:val="FFFFFF"/>
                <w:sz w:val="18"/>
                <w:szCs w:val="18"/>
              </w:rPr>
            </w:pPr>
            <w:r>
              <w:rPr>
                <w:rFonts w:asciiTheme="majorHAnsi" w:eastAsia="Calibri" w:hAnsiTheme="majorHAnsi" w:cstheme="majorHAnsi"/>
                <w:color w:val="FFFFFF"/>
                <w:sz w:val="18"/>
                <w:szCs w:val="18"/>
              </w:rPr>
              <w:t>A</w:t>
            </w:r>
            <w:r w:rsidR="00B22BE1" w:rsidRPr="00135A4F">
              <w:rPr>
                <w:rFonts w:asciiTheme="majorHAnsi" w:eastAsia="Calibri" w:hAnsiTheme="majorHAnsi" w:cstheme="majorHAnsi"/>
                <w:color w:val="FFFFFF"/>
                <w:sz w:val="18"/>
                <w:szCs w:val="18"/>
              </w:rPr>
              <w:t>ctive</w:t>
            </w:r>
            <w:r>
              <w:rPr>
                <w:rFonts w:asciiTheme="majorHAnsi" w:eastAsia="Calibri" w:hAnsiTheme="majorHAnsi" w:cstheme="majorHAnsi"/>
                <w:color w:val="FFFFFF"/>
                <w:sz w:val="18"/>
                <w:szCs w:val="18"/>
              </w:rPr>
              <w:t xml:space="preserve"> July 2021</w:t>
            </w:r>
          </w:p>
        </w:tc>
      </w:tr>
      <w:tr w:rsidR="00B22BE1" w:rsidRPr="00695609" w14:paraId="55E44D92" w14:textId="77777777" w:rsidTr="00EF1110">
        <w:trPr>
          <w:cnfStyle w:val="000000100000" w:firstRow="0" w:lastRow="0" w:firstColumn="0" w:lastColumn="0" w:oddVBand="0" w:evenVBand="0" w:oddHBand="1" w:evenHBand="0" w:firstRowFirstColumn="0" w:firstRowLastColumn="0" w:lastRowFirstColumn="0" w:lastRowLastColumn="0"/>
          <w:trHeight w:val="729"/>
          <w:jc w:val="center"/>
        </w:trPr>
        <w:tc>
          <w:tcPr>
            <w:cnfStyle w:val="001000000000" w:firstRow="0" w:lastRow="0" w:firstColumn="1" w:lastColumn="0" w:oddVBand="0" w:evenVBand="0" w:oddHBand="0" w:evenHBand="0" w:firstRowFirstColumn="0" w:firstRowLastColumn="0" w:lastRowFirstColumn="0" w:lastRowLastColumn="0"/>
            <w:tcW w:w="1402" w:type="dxa"/>
            <w:tcBorders>
              <w:top w:val="single" w:sz="4" w:space="0" w:color="auto"/>
              <w:left w:val="nil"/>
              <w:bottom w:val="single" w:sz="4" w:space="0" w:color="auto"/>
              <w:right w:val="nil"/>
            </w:tcBorders>
            <w:shd w:val="clear" w:color="auto" w:fill="FFFFFF" w:themeFill="background1"/>
            <w:vAlign w:val="center"/>
            <w:hideMark/>
          </w:tcPr>
          <w:p w14:paraId="6ABD5A55" w14:textId="77777777" w:rsidR="00B22BE1" w:rsidRPr="00135A4F" w:rsidRDefault="00B22BE1" w:rsidP="003A511B">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t>ACT</w:t>
            </w:r>
          </w:p>
        </w:tc>
        <w:tc>
          <w:tcPr>
            <w:tcW w:w="2709" w:type="dxa"/>
            <w:tcBorders>
              <w:top w:val="single" w:sz="4" w:space="0" w:color="auto"/>
              <w:left w:val="nil"/>
              <w:bottom w:val="single" w:sz="4" w:space="0" w:color="auto"/>
              <w:right w:val="nil"/>
            </w:tcBorders>
            <w:shd w:val="clear" w:color="auto" w:fill="FFFFFF" w:themeFill="background1"/>
            <w:vAlign w:val="center"/>
          </w:tcPr>
          <w:p w14:paraId="5DF19954" w14:textId="021BBD21"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Implementing Expanded Naloxone Availability in the ACT (IENAACT)</w:t>
            </w:r>
          </w:p>
        </w:tc>
        <w:tc>
          <w:tcPr>
            <w:tcW w:w="2160" w:type="dxa"/>
            <w:tcBorders>
              <w:top w:val="single" w:sz="4" w:space="0" w:color="auto"/>
              <w:left w:val="nil"/>
              <w:bottom w:val="single" w:sz="4" w:space="0" w:color="auto"/>
              <w:right w:val="nil"/>
            </w:tcBorders>
            <w:shd w:val="clear" w:color="auto" w:fill="FFFFFF" w:themeFill="background1"/>
            <w:vAlign w:val="center"/>
            <w:hideMark/>
          </w:tcPr>
          <w:p w14:paraId="7D3F6E8E" w14:textId="18D89725"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CAHMA</w:t>
            </w:r>
          </w:p>
        </w:tc>
        <w:tc>
          <w:tcPr>
            <w:tcW w:w="2234" w:type="dxa"/>
            <w:tcBorders>
              <w:top w:val="single" w:sz="4" w:space="0" w:color="auto"/>
              <w:left w:val="nil"/>
              <w:bottom w:val="single" w:sz="4" w:space="0" w:color="auto"/>
              <w:right w:val="nil"/>
            </w:tcBorders>
            <w:shd w:val="clear" w:color="auto" w:fill="FFFFFF" w:themeFill="background1"/>
            <w:vAlign w:val="center"/>
            <w:hideMark/>
          </w:tcPr>
          <w:p w14:paraId="47636034" w14:textId="5ADCAD4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family members/friends</w:t>
            </w:r>
          </w:p>
        </w:tc>
        <w:tc>
          <w:tcPr>
            <w:tcW w:w="1393" w:type="dxa"/>
            <w:tcBorders>
              <w:top w:val="single" w:sz="4" w:space="0" w:color="auto"/>
              <w:left w:val="nil"/>
              <w:bottom w:val="single" w:sz="4" w:space="0" w:color="auto"/>
              <w:right w:val="nil"/>
            </w:tcBorders>
            <w:shd w:val="clear" w:color="auto" w:fill="FFFFFF" w:themeFill="background1"/>
            <w:vAlign w:val="center"/>
            <w:hideMark/>
          </w:tcPr>
          <w:p w14:paraId="4A6E7D76"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2 hours, brief intervention also offered</w:t>
            </w:r>
          </w:p>
        </w:tc>
        <w:tc>
          <w:tcPr>
            <w:tcW w:w="1576" w:type="dxa"/>
            <w:tcBorders>
              <w:top w:val="single" w:sz="4" w:space="0" w:color="auto"/>
              <w:left w:val="nil"/>
              <w:bottom w:val="single" w:sz="4" w:space="0" w:color="auto"/>
              <w:right w:val="nil"/>
            </w:tcBorders>
            <w:shd w:val="clear" w:color="auto" w:fill="FFFFFF" w:themeFill="background1"/>
            <w:vAlign w:val="center"/>
            <w:hideMark/>
          </w:tcPr>
          <w:p w14:paraId="0BCFF827"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Dec 2011</w:t>
            </w:r>
          </w:p>
        </w:tc>
        <w:tc>
          <w:tcPr>
            <w:tcW w:w="1418" w:type="dxa"/>
            <w:tcBorders>
              <w:top w:val="single" w:sz="4" w:space="0" w:color="auto"/>
              <w:left w:val="nil"/>
              <w:bottom w:val="single" w:sz="4" w:space="0" w:color="auto"/>
              <w:right w:val="nil"/>
            </w:tcBorders>
            <w:shd w:val="clear" w:color="auto" w:fill="FFFFFF" w:themeFill="background1"/>
            <w:vAlign w:val="center"/>
            <w:hideMark/>
          </w:tcPr>
          <w:p w14:paraId="446FB34E"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tc>
      </w:tr>
      <w:tr w:rsidR="00B22BE1" w:rsidRPr="00695609" w14:paraId="75C80A61" w14:textId="77777777" w:rsidTr="00CB048A">
        <w:trPr>
          <w:trHeight w:val="1587"/>
          <w:jc w:val="center"/>
        </w:trPr>
        <w:tc>
          <w:tcPr>
            <w:cnfStyle w:val="001000000000" w:firstRow="0" w:lastRow="0" w:firstColumn="1" w:lastColumn="0" w:oddVBand="0" w:evenVBand="0" w:oddHBand="0" w:evenHBand="0" w:firstRowFirstColumn="0" w:firstRowLastColumn="0" w:lastRowFirstColumn="0" w:lastRowLastColumn="0"/>
            <w:tcW w:w="1402" w:type="dxa"/>
            <w:tcBorders>
              <w:top w:val="single" w:sz="4" w:space="0" w:color="auto"/>
              <w:left w:val="nil"/>
              <w:bottom w:val="single" w:sz="4" w:space="0" w:color="auto"/>
              <w:right w:val="nil"/>
            </w:tcBorders>
            <w:shd w:val="clear" w:color="auto" w:fill="FFFFFF" w:themeFill="background1"/>
            <w:vAlign w:val="center"/>
            <w:hideMark/>
          </w:tcPr>
          <w:p w14:paraId="3280D034" w14:textId="6ADD6AA7" w:rsidR="00B22BE1" w:rsidRPr="00135A4F" w:rsidRDefault="00B22BE1" w:rsidP="003A511B">
            <w:pPr>
              <w:spacing w:after="0" w:line="240" w:lineRule="auto"/>
              <w:rPr>
                <w:rFonts w:asciiTheme="majorHAnsi" w:eastAsia="Calibri" w:hAnsiTheme="majorHAnsi" w:cstheme="majorHAnsi"/>
                <w:b w:val="0"/>
                <w:sz w:val="18"/>
                <w:szCs w:val="18"/>
              </w:rPr>
            </w:pPr>
            <w:r w:rsidRPr="00135A4F">
              <w:rPr>
                <w:rFonts w:asciiTheme="majorHAnsi" w:eastAsia="Calibri" w:hAnsiTheme="majorHAnsi" w:cstheme="majorHAnsi"/>
                <w:sz w:val="18"/>
                <w:szCs w:val="18"/>
              </w:rPr>
              <w:t>NSW</w:t>
            </w:r>
          </w:p>
        </w:tc>
        <w:tc>
          <w:tcPr>
            <w:tcW w:w="2709" w:type="dxa"/>
            <w:tcBorders>
              <w:top w:val="single" w:sz="4" w:space="0" w:color="auto"/>
              <w:left w:val="nil"/>
              <w:bottom w:val="single" w:sz="4" w:space="0" w:color="auto"/>
              <w:right w:val="nil"/>
            </w:tcBorders>
            <w:shd w:val="clear" w:color="auto" w:fill="FFFFFF" w:themeFill="background1"/>
            <w:vAlign w:val="center"/>
          </w:tcPr>
          <w:p w14:paraId="7D333D14"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The </w:t>
            </w:r>
            <w:proofErr w:type="spellStart"/>
            <w:r w:rsidRPr="00135A4F">
              <w:rPr>
                <w:rFonts w:asciiTheme="majorHAnsi" w:eastAsia="Calibri" w:hAnsiTheme="majorHAnsi" w:cstheme="majorHAnsi"/>
                <w:sz w:val="18"/>
                <w:szCs w:val="18"/>
              </w:rPr>
              <w:t>Kirketon</w:t>
            </w:r>
            <w:proofErr w:type="spellEnd"/>
            <w:r w:rsidRPr="00135A4F">
              <w:rPr>
                <w:rFonts w:asciiTheme="majorHAnsi" w:eastAsia="Calibri" w:hAnsiTheme="majorHAnsi" w:cstheme="majorHAnsi"/>
                <w:sz w:val="18"/>
                <w:szCs w:val="18"/>
              </w:rPr>
              <w:t xml:space="preserve"> Road Centre Take-home Naloxone Program</w:t>
            </w:r>
          </w:p>
          <w:p w14:paraId="31BB1AE9"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The Langton Centre Naloxone Program</w:t>
            </w:r>
          </w:p>
          <w:p w14:paraId="720423C0" w14:textId="77777777" w:rsidR="00B22BE1"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MSIC Naloxone program</w:t>
            </w:r>
          </w:p>
          <w:p w14:paraId="1A9CED97" w14:textId="7AB6F691" w:rsidR="00B22BE1" w:rsidRPr="00135A4F" w:rsidRDefault="008864C5"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O</w:t>
            </w:r>
            <w:r w:rsidR="00B35D30">
              <w:rPr>
                <w:rFonts w:asciiTheme="majorHAnsi" w:eastAsia="Calibri" w:hAnsiTheme="majorHAnsi" w:cstheme="majorHAnsi"/>
                <w:sz w:val="18"/>
                <w:szCs w:val="18"/>
              </w:rPr>
              <w:t>verdose Response with Take Home Naloxone (ORTHN) Trial</w:t>
            </w:r>
          </w:p>
        </w:tc>
        <w:tc>
          <w:tcPr>
            <w:tcW w:w="2160" w:type="dxa"/>
            <w:tcBorders>
              <w:top w:val="single" w:sz="4" w:space="0" w:color="auto"/>
              <w:left w:val="nil"/>
              <w:bottom w:val="single" w:sz="4" w:space="0" w:color="auto"/>
              <w:right w:val="nil"/>
            </w:tcBorders>
            <w:shd w:val="clear" w:color="auto" w:fill="FFFFFF" w:themeFill="background1"/>
            <w:vAlign w:val="center"/>
            <w:hideMark/>
          </w:tcPr>
          <w:p w14:paraId="12C01F87" w14:textId="3BD157E1"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SESLHD/KRC</w:t>
            </w:r>
          </w:p>
          <w:p w14:paraId="6F864034"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SESLHD/St George DOA</w:t>
            </w:r>
          </w:p>
          <w:p w14:paraId="3CAF2D4E" w14:textId="77777777" w:rsidR="00B22BE1"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Sydney MSIC</w:t>
            </w:r>
          </w:p>
          <w:p w14:paraId="62089256" w14:textId="6167EAF3" w:rsidR="004D22B6" w:rsidRDefault="00680E84"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SESLHD/MSIC/NUAA, NSW Ministry of Health</w:t>
            </w:r>
          </w:p>
          <w:p w14:paraId="0C59F3A5" w14:textId="46F83FAA"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p>
        </w:tc>
        <w:tc>
          <w:tcPr>
            <w:tcW w:w="2234" w:type="dxa"/>
            <w:tcBorders>
              <w:top w:val="single" w:sz="4" w:space="0" w:color="auto"/>
              <w:left w:val="nil"/>
              <w:bottom w:val="single" w:sz="4" w:space="0" w:color="auto"/>
              <w:right w:val="nil"/>
            </w:tcBorders>
            <w:shd w:val="clear" w:color="auto" w:fill="FFFFFF" w:themeFill="background1"/>
            <w:vAlign w:val="center"/>
            <w:hideMark/>
          </w:tcPr>
          <w:p w14:paraId="0B451305" w14:textId="0737A52E"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family members, friends, health workers</w:t>
            </w:r>
          </w:p>
          <w:p w14:paraId="73F76EE5"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Overdose prevention &amp; education programs</w:t>
            </w:r>
          </w:p>
          <w:p w14:paraId="7349CB3C" w14:textId="77777777" w:rsidR="00B22BE1"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MSIC</w:t>
            </w:r>
            <w:r w:rsidR="00CB048A" w:rsidRPr="00135A4F">
              <w:rPr>
                <w:rFonts w:asciiTheme="majorHAnsi" w:eastAsia="Calibri" w:hAnsiTheme="majorHAnsi" w:cstheme="majorHAnsi"/>
                <w:sz w:val="18"/>
                <w:szCs w:val="18"/>
              </w:rPr>
              <w:t xml:space="preserve"> </w:t>
            </w:r>
            <w:proofErr w:type="gramStart"/>
            <w:r w:rsidR="00CB048A">
              <w:rPr>
                <w:rFonts w:asciiTheme="majorHAnsi" w:eastAsia="Calibri" w:hAnsiTheme="majorHAnsi" w:cstheme="majorHAnsi"/>
                <w:sz w:val="18"/>
                <w:szCs w:val="18"/>
              </w:rPr>
              <w:t>c</w:t>
            </w:r>
            <w:r w:rsidR="00CB048A" w:rsidRPr="00135A4F">
              <w:rPr>
                <w:rFonts w:asciiTheme="majorHAnsi" w:eastAsia="Calibri" w:hAnsiTheme="majorHAnsi" w:cstheme="majorHAnsi"/>
                <w:sz w:val="18"/>
                <w:szCs w:val="18"/>
              </w:rPr>
              <w:t xml:space="preserve">lients </w:t>
            </w:r>
            <w:r w:rsidRPr="00135A4F">
              <w:rPr>
                <w:rFonts w:asciiTheme="majorHAnsi" w:eastAsia="Calibri" w:hAnsiTheme="majorHAnsi" w:cstheme="majorHAnsi"/>
                <w:sz w:val="18"/>
                <w:szCs w:val="18"/>
              </w:rPr>
              <w:t>,</w:t>
            </w:r>
            <w:proofErr w:type="gramEnd"/>
            <w:r w:rsidRPr="00135A4F">
              <w:rPr>
                <w:rFonts w:asciiTheme="majorHAnsi" w:eastAsia="Calibri" w:hAnsiTheme="majorHAnsi" w:cstheme="majorHAnsi"/>
                <w:sz w:val="18"/>
                <w:szCs w:val="18"/>
              </w:rPr>
              <w:t xml:space="preserve"> </w:t>
            </w: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potential witnesses</w:t>
            </w:r>
          </w:p>
          <w:p w14:paraId="76663D5A" w14:textId="6F7679F6" w:rsidR="00B22BE1" w:rsidRPr="00135A4F" w:rsidRDefault="006149BF"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 xml:space="preserve">PWID, </w:t>
            </w:r>
            <w:r w:rsidR="00AA327F">
              <w:rPr>
                <w:rFonts w:asciiTheme="majorHAnsi" w:eastAsia="Calibri" w:hAnsiTheme="majorHAnsi" w:cstheme="majorHAnsi"/>
                <w:sz w:val="18"/>
                <w:szCs w:val="18"/>
              </w:rPr>
              <w:t>people with opioid use disorders</w:t>
            </w:r>
          </w:p>
        </w:tc>
        <w:tc>
          <w:tcPr>
            <w:tcW w:w="1393" w:type="dxa"/>
            <w:tcBorders>
              <w:top w:val="single" w:sz="4" w:space="0" w:color="auto"/>
              <w:left w:val="nil"/>
              <w:bottom w:val="single" w:sz="4" w:space="0" w:color="auto"/>
              <w:right w:val="nil"/>
            </w:tcBorders>
            <w:shd w:val="clear" w:color="auto" w:fill="FFFFFF" w:themeFill="background1"/>
            <w:vAlign w:val="center"/>
            <w:hideMark/>
          </w:tcPr>
          <w:p w14:paraId="4B4C90C4"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15-20 minutes</w:t>
            </w:r>
          </w:p>
          <w:p w14:paraId="535A9EC5"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Client: 20 mins Services: 2 sessions</w:t>
            </w:r>
          </w:p>
          <w:p w14:paraId="228382E9" w14:textId="77777777" w:rsidR="00B22BE1"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10-15 minutes</w:t>
            </w:r>
          </w:p>
          <w:p w14:paraId="5689D72A" w14:textId="686F3B44" w:rsidR="00B22BE1" w:rsidRPr="00135A4F" w:rsidRDefault="007F0342"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10-30 minutes</w:t>
            </w:r>
          </w:p>
        </w:tc>
        <w:tc>
          <w:tcPr>
            <w:tcW w:w="1576" w:type="dxa"/>
            <w:tcBorders>
              <w:top w:val="single" w:sz="4" w:space="0" w:color="auto"/>
              <w:left w:val="nil"/>
              <w:bottom w:val="single" w:sz="4" w:space="0" w:color="auto"/>
              <w:right w:val="nil"/>
            </w:tcBorders>
            <w:shd w:val="clear" w:color="auto" w:fill="FFFFFF" w:themeFill="background1"/>
            <w:vAlign w:val="center"/>
            <w:hideMark/>
          </w:tcPr>
          <w:p w14:paraId="011039CF"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July 2012</w:t>
            </w:r>
          </w:p>
          <w:p w14:paraId="66865B9D"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Oct 2014</w:t>
            </w:r>
          </w:p>
          <w:p w14:paraId="40479947" w14:textId="77777777" w:rsidR="00B22BE1"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Jan 2015</w:t>
            </w:r>
          </w:p>
          <w:p w14:paraId="4B7596B0" w14:textId="2B1ADFCF" w:rsidR="00B22BE1" w:rsidRPr="00135A4F" w:rsidRDefault="006738FE"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2016</w:t>
            </w:r>
          </w:p>
        </w:tc>
        <w:tc>
          <w:tcPr>
            <w:tcW w:w="1418" w:type="dxa"/>
            <w:tcBorders>
              <w:top w:val="single" w:sz="4" w:space="0" w:color="auto"/>
              <w:left w:val="nil"/>
              <w:bottom w:val="single" w:sz="4" w:space="0" w:color="auto"/>
              <w:right w:val="nil"/>
            </w:tcBorders>
            <w:shd w:val="clear" w:color="auto" w:fill="FFFFFF" w:themeFill="background1"/>
            <w:vAlign w:val="center"/>
            <w:hideMark/>
          </w:tcPr>
          <w:p w14:paraId="7922BE84"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Yes/THNP#</w:t>
            </w:r>
          </w:p>
          <w:p w14:paraId="44F3D353"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Yes/THNP#</w:t>
            </w:r>
          </w:p>
          <w:p w14:paraId="6B776018" w14:textId="77777777" w:rsidR="00B22BE1"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Yes/THNP#</w:t>
            </w:r>
          </w:p>
          <w:p w14:paraId="58FEFD47" w14:textId="5DAE5D45"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Yes/THNP#</w:t>
            </w:r>
          </w:p>
        </w:tc>
      </w:tr>
      <w:tr w:rsidR="00B22BE1" w:rsidRPr="00695609" w14:paraId="0BA4850B" w14:textId="77777777" w:rsidTr="008F6F49">
        <w:trPr>
          <w:cnfStyle w:val="000000100000" w:firstRow="0" w:lastRow="0" w:firstColumn="0" w:lastColumn="0" w:oddVBand="0" w:evenVBand="0" w:oddHBand="1" w:evenHBand="0" w:firstRowFirstColumn="0" w:firstRowLastColumn="0" w:lastRowFirstColumn="0" w:lastRowLastColumn="0"/>
          <w:trHeight w:val="729"/>
          <w:jc w:val="center"/>
        </w:trPr>
        <w:tc>
          <w:tcPr>
            <w:cnfStyle w:val="001000000000" w:firstRow="0" w:lastRow="0" w:firstColumn="1" w:lastColumn="0" w:oddVBand="0" w:evenVBand="0" w:oddHBand="0" w:evenHBand="0" w:firstRowFirstColumn="0" w:firstRowLastColumn="0" w:lastRowFirstColumn="0" w:lastRowLastColumn="0"/>
            <w:tcW w:w="1402" w:type="dxa"/>
            <w:tcBorders>
              <w:top w:val="single" w:sz="4" w:space="0" w:color="auto"/>
              <w:left w:val="nil"/>
              <w:bottom w:val="single" w:sz="4" w:space="0" w:color="auto"/>
              <w:right w:val="nil"/>
            </w:tcBorders>
            <w:shd w:val="clear" w:color="auto" w:fill="FFFFFF" w:themeFill="background1"/>
            <w:vAlign w:val="center"/>
            <w:hideMark/>
          </w:tcPr>
          <w:p w14:paraId="16431BA2" w14:textId="77777777" w:rsidR="00B22BE1" w:rsidRPr="00135A4F" w:rsidRDefault="00B22BE1" w:rsidP="003A511B">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t>NT</w:t>
            </w:r>
          </w:p>
        </w:tc>
        <w:tc>
          <w:tcPr>
            <w:tcW w:w="2709" w:type="dxa"/>
            <w:tcBorders>
              <w:top w:val="single" w:sz="4" w:space="0" w:color="auto"/>
              <w:left w:val="nil"/>
              <w:bottom w:val="single" w:sz="4" w:space="0" w:color="auto"/>
              <w:right w:val="nil"/>
            </w:tcBorders>
            <w:shd w:val="clear" w:color="auto" w:fill="FFFFFF" w:themeFill="background1"/>
            <w:vAlign w:val="center"/>
          </w:tcPr>
          <w:p w14:paraId="591D7791"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Naloxone Access Program</w:t>
            </w:r>
          </w:p>
          <w:p w14:paraId="5A80D954"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AOD Opioid Pharmacotherapy Program</w:t>
            </w:r>
          </w:p>
          <w:p w14:paraId="3E578A5A" w14:textId="1C1E5BB0"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Free </w:t>
            </w:r>
            <w:proofErr w:type="spellStart"/>
            <w:r w:rsidRPr="00135A4F">
              <w:rPr>
                <w:rFonts w:asciiTheme="majorHAnsi" w:eastAsia="Calibri" w:hAnsiTheme="majorHAnsi" w:cstheme="majorHAnsi"/>
                <w:sz w:val="18"/>
                <w:szCs w:val="18"/>
              </w:rPr>
              <w:t>Nyxoid</w:t>
            </w:r>
            <w:proofErr w:type="spellEnd"/>
            <w:r w:rsidRPr="00135A4F">
              <w:rPr>
                <w:rFonts w:asciiTheme="majorHAnsi" w:hAnsiTheme="majorHAnsi" w:cstheme="majorHAnsi"/>
                <w:sz w:val="18"/>
                <w:szCs w:val="18"/>
              </w:rPr>
              <w:t>®</w:t>
            </w:r>
            <w:r w:rsidRPr="00135A4F">
              <w:rPr>
                <w:rFonts w:asciiTheme="majorHAnsi" w:eastAsia="Calibri" w:hAnsiTheme="majorHAnsi" w:cstheme="majorHAnsi"/>
                <w:sz w:val="18"/>
                <w:szCs w:val="18"/>
              </w:rPr>
              <w:t xml:space="preserve"> Program</w:t>
            </w:r>
          </w:p>
        </w:tc>
        <w:tc>
          <w:tcPr>
            <w:tcW w:w="2160" w:type="dxa"/>
            <w:tcBorders>
              <w:top w:val="single" w:sz="4" w:space="0" w:color="auto"/>
              <w:left w:val="nil"/>
              <w:bottom w:val="single" w:sz="4" w:space="0" w:color="auto"/>
              <w:right w:val="nil"/>
            </w:tcBorders>
            <w:shd w:val="clear" w:color="auto" w:fill="FFFFFF" w:themeFill="background1"/>
            <w:vAlign w:val="center"/>
            <w:hideMark/>
          </w:tcPr>
          <w:p w14:paraId="2787DB03" w14:textId="0A8EE9AB"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NTAHC</w:t>
            </w:r>
          </w:p>
          <w:p w14:paraId="21E9CEAB"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Royal Darwin Hospital</w:t>
            </w:r>
          </w:p>
          <w:p w14:paraId="21AA4207" w14:textId="692513EC"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ADSCA</w:t>
            </w:r>
          </w:p>
        </w:tc>
        <w:tc>
          <w:tcPr>
            <w:tcW w:w="2234" w:type="dxa"/>
            <w:tcBorders>
              <w:top w:val="single" w:sz="4" w:space="0" w:color="auto"/>
              <w:left w:val="nil"/>
              <w:bottom w:val="single" w:sz="4" w:space="0" w:color="auto"/>
              <w:right w:val="nil"/>
            </w:tcBorders>
            <w:shd w:val="clear" w:color="auto" w:fill="FFFFFF" w:themeFill="background1"/>
            <w:vAlign w:val="center"/>
            <w:hideMark/>
          </w:tcPr>
          <w:p w14:paraId="5B6F15E6"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NSP clients</w:t>
            </w:r>
          </w:p>
          <w:p w14:paraId="4FA80726" w14:textId="1266BBFB"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OAT</w:t>
            </w:r>
            <w:r w:rsidRPr="00135A4F">
              <w:rPr>
                <w:rFonts w:asciiTheme="majorHAnsi" w:eastAsia="Calibri" w:hAnsiTheme="majorHAnsi" w:cstheme="majorHAnsi"/>
                <w:sz w:val="18"/>
                <w:szCs w:val="18"/>
              </w:rPr>
              <w:t xml:space="preserve"> clients</w:t>
            </w:r>
          </w:p>
          <w:p w14:paraId="7C271A89"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AOD clients</w:t>
            </w:r>
          </w:p>
        </w:tc>
        <w:tc>
          <w:tcPr>
            <w:tcW w:w="1393" w:type="dxa"/>
            <w:tcBorders>
              <w:top w:val="single" w:sz="4" w:space="0" w:color="auto"/>
              <w:left w:val="nil"/>
              <w:bottom w:val="single" w:sz="4" w:space="0" w:color="auto"/>
              <w:right w:val="nil"/>
            </w:tcBorders>
            <w:shd w:val="clear" w:color="auto" w:fill="FFFFFF" w:themeFill="background1"/>
            <w:vAlign w:val="center"/>
            <w:hideMark/>
          </w:tcPr>
          <w:p w14:paraId="033202E4"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Information not available</w:t>
            </w:r>
          </w:p>
        </w:tc>
        <w:tc>
          <w:tcPr>
            <w:tcW w:w="1576" w:type="dxa"/>
            <w:tcBorders>
              <w:top w:val="single" w:sz="4" w:space="0" w:color="auto"/>
              <w:left w:val="nil"/>
              <w:bottom w:val="single" w:sz="4" w:space="0" w:color="auto"/>
              <w:right w:val="nil"/>
            </w:tcBorders>
            <w:shd w:val="clear" w:color="auto" w:fill="FFFFFF" w:themeFill="background1"/>
            <w:vAlign w:val="center"/>
            <w:hideMark/>
          </w:tcPr>
          <w:p w14:paraId="30A5A7E4"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2016</w:t>
            </w:r>
          </w:p>
          <w:p w14:paraId="5E269F1C"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Unknown</w:t>
            </w:r>
          </w:p>
          <w:p w14:paraId="0AB2D861"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Unknown </w:t>
            </w:r>
          </w:p>
        </w:tc>
        <w:tc>
          <w:tcPr>
            <w:tcW w:w="1418" w:type="dxa"/>
            <w:tcBorders>
              <w:top w:val="single" w:sz="4" w:space="0" w:color="auto"/>
              <w:left w:val="nil"/>
              <w:bottom w:val="single" w:sz="4" w:space="0" w:color="auto"/>
              <w:right w:val="nil"/>
            </w:tcBorders>
            <w:shd w:val="clear" w:color="auto" w:fill="FFFFFF" w:themeFill="background1"/>
            <w:vAlign w:val="center"/>
            <w:hideMark/>
          </w:tcPr>
          <w:p w14:paraId="0A23C799"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p w14:paraId="19AD0191"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Yes </w:t>
            </w:r>
          </w:p>
          <w:p w14:paraId="1D21C802"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tc>
      </w:tr>
      <w:tr w:rsidR="00B22BE1" w:rsidRPr="00695609" w14:paraId="5184AF99" w14:textId="77777777" w:rsidTr="008F6F49">
        <w:trPr>
          <w:trHeight w:val="729"/>
          <w:jc w:val="center"/>
        </w:trPr>
        <w:tc>
          <w:tcPr>
            <w:cnfStyle w:val="001000000000" w:firstRow="0" w:lastRow="0" w:firstColumn="1" w:lastColumn="0" w:oddVBand="0" w:evenVBand="0" w:oddHBand="0" w:evenHBand="0" w:firstRowFirstColumn="0" w:firstRowLastColumn="0" w:lastRowFirstColumn="0" w:lastRowLastColumn="0"/>
            <w:tcW w:w="1402" w:type="dxa"/>
            <w:tcBorders>
              <w:top w:val="single" w:sz="4" w:space="0" w:color="auto"/>
              <w:left w:val="nil"/>
              <w:bottom w:val="single" w:sz="4" w:space="0" w:color="auto"/>
              <w:right w:val="nil"/>
            </w:tcBorders>
            <w:shd w:val="clear" w:color="auto" w:fill="FFFFFF" w:themeFill="background1"/>
            <w:vAlign w:val="center"/>
            <w:hideMark/>
          </w:tcPr>
          <w:p w14:paraId="4190B20A" w14:textId="77777777" w:rsidR="00B22BE1" w:rsidRPr="00135A4F" w:rsidRDefault="00B22BE1" w:rsidP="003A511B">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t>QLD</w:t>
            </w:r>
          </w:p>
        </w:tc>
        <w:tc>
          <w:tcPr>
            <w:tcW w:w="2709" w:type="dxa"/>
            <w:tcBorders>
              <w:top w:val="single" w:sz="4" w:space="0" w:color="auto"/>
              <w:left w:val="nil"/>
              <w:bottom w:val="single" w:sz="4" w:space="0" w:color="auto"/>
              <w:right w:val="nil"/>
            </w:tcBorders>
            <w:shd w:val="clear" w:color="auto" w:fill="FFFFFF" w:themeFill="background1"/>
            <w:vAlign w:val="center"/>
          </w:tcPr>
          <w:p w14:paraId="53B01F31"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Pilot Take Home Naloxone Program – script needed</w:t>
            </w:r>
          </w:p>
          <w:p w14:paraId="26A973BE"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Harm Reduction Take Home Naloxone Program – no script, free supply</w:t>
            </w:r>
          </w:p>
          <w:p w14:paraId="4DCA0ACD"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Pilot Take Home Naloxone Program – script needed</w:t>
            </w:r>
          </w:p>
          <w:p w14:paraId="03843D1A" w14:textId="7EBE1AF4"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Pilot Take</w:t>
            </w:r>
            <w:r w:rsidR="0012578E">
              <w:rPr>
                <w:rFonts w:asciiTheme="majorHAnsi" w:eastAsia="Calibri" w:hAnsiTheme="majorHAnsi" w:cstheme="majorHAnsi"/>
                <w:sz w:val="18"/>
                <w:szCs w:val="18"/>
              </w:rPr>
              <w:t xml:space="preserve"> </w:t>
            </w:r>
            <w:r w:rsidRPr="00135A4F">
              <w:rPr>
                <w:rFonts w:asciiTheme="majorHAnsi" w:eastAsia="Calibri" w:hAnsiTheme="majorHAnsi" w:cstheme="majorHAnsi"/>
                <w:sz w:val="18"/>
                <w:szCs w:val="18"/>
              </w:rPr>
              <w:t>Home Naloxone Program – script needed</w:t>
            </w:r>
          </w:p>
        </w:tc>
        <w:tc>
          <w:tcPr>
            <w:tcW w:w="2160" w:type="dxa"/>
            <w:tcBorders>
              <w:top w:val="single" w:sz="4" w:space="0" w:color="auto"/>
              <w:left w:val="nil"/>
              <w:bottom w:val="single" w:sz="4" w:space="0" w:color="auto"/>
              <w:right w:val="nil"/>
            </w:tcBorders>
            <w:shd w:val="clear" w:color="auto" w:fill="FFFFFF" w:themeFill="background1"/>
            <w:vAlign w:val="center"/>
          </w:tcPr>
          <w:p w14:paraId="670B0891" w14:textId="24687721"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Metro North HHS/BCHCC</w:t>
            </w:r>
          </w:p>
          <w:p w14:paraId="2D5481D6"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proofErr w:type="spellStart"/>
            <w:r w:rsidRPr="00135A4F">
              <w:rPr>
                <w:rFonts w:asciiTheme="majorHAnsi" w:eastAsia="Calibri" w:hAnsiTheme="majorHAnsi" w:cstheme="majorHAnsi"/>
                <w:sz w:val="18"/>
                <w:szCs w:val="18"/>
              </w:rPr>
              <w:t>QuIHN</w:t>
            </w:r>
            <w:proofErr w:type="spellEnd"/>
          </w:p>
          <w:p w14:paraId="1E05BC72" w14:textId="56AEEDCD"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Melaleuca Opioid Treatment Clinic</w:t>
            </w:r>
          </w:p>
          <w:p w14:paraId="5D1B22C0" w14:textId="0FE5AFE3"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Cairns Sexual Health Clinic</w:t>
            </w:r>
          </w:p>
          <w:p w14:paraId="75110892"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p>
        </w:tc>
        <w:tc>
          <w:tcPr>
            <w:tcW w:w="2234" w:type="dxa"/>
            <w:tcBorders>
              <w:top w:val="single" w:sz="4" w:space="0" w:color="auto"/>
              <w:left w:val="nil"/>
              <w:bottom w:val="single" w:sz="4" w:space="0" w:color="auto"/>
              <w:right w:val="nil"/>
            </w:tcBorders>
            <w:shd w:val="clear" w:color="auto" w:fill="FFFFFF" w:themeFill="background1"/>
            <w:vAlign w:val="center"/>
            <w:hideMark/>
          </w:tcPr>
          <w:p w14:paraId="477CCF7E" w14:textId="18CFD521"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opioid treatment, withdrawal and NSP clients</w:t>
            </w:r>
          </w:p>
          <w:p w14:paraId="1A30E5A0" w14:textId="536BB705"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xml:space="preserve">, opioid treatment; withdrawal, NSP clients, potential witnesses </w:t>
            </w:r>
          </w:p>
          <w:p w14:paraId="60E5DE39" w14:textId="4421C6C6"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O</w:t>
            </w:r>
            <w:r>
              <w:rPr>
                <w:rFonts w:asciiTheme="majorHAnsi" w:eastAsia="Calibri" w:hAnsiTheme="majorHAnsi" w:cstheme="majorHAnsi"/>
                <w:sz w:val="18"/>
                <w:szCs w:val="18"/>
              </w:rPr>
              <w:t>AT</w:t>
            </w:r>
            <w:r w:rsidRPr="00135A4F">
              <w:rPr>
                <w:rFonts w:asciiTheme="majorHAnsi" w:eastAsia="Calibri" w:hAnsiTheme="majorHAnsi" w:cstheme="majorHAnsi"/>
                <w:sz w:val="18"/>
                <w:szCs w:val="18"/>
              </w:rPr>
              <w:t xml:space="preserve"> clients only</w:t>
            </w:r>
          </w:p>
          <w:p w14:paraId="6D8B2C43"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Sexual health and NSP clients</w:t>
            </w:r>
          </w:p>
        </w:tc>
        <w:tc>
          <w:tcPr>
            <w:tcW w:w="1393" w:type="dxa"/>
            <w:tcBorders>
              <w:top w:val="single" w:sz="4" w:space="0" w:color="auto"/>
              <w:left w:val="nil"/>
              <w:bottom w:val="single" w:sz="4" w:space="0" w:color="auto"/>
              <w:right w:val="nil"/>
            </w:tcBorders>
            <w:shd w:val="clear" w:color="auto" w:fill="FFFFFF" w:themeFill="background1"/>
            <w:vAlign w:val="center"/>
            <w:hideMark/>
          </w:tcPr>
          <w:p w14:paraId="0F2DF456"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10 minutes</w:t>
            </w:r>
          </w:p>
          <w:p w14:paraId="71035397"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15 minutes</w:t>
            </w:r>
          </w:p>
          <w:p w14:paraId="27AACB95"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15 minutes</w:t>
            </w:r>
          </w:p>
          <w:p w14:paraId="5E50D331"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15 minutes</w:t>
            </w:r>
          </w:p>
        </w:tc>
        <w:tc>
          <w:tcPr>
            <w:tcW w:w="1576" w:type="dxa"/>
            <w:tcBorders>
              <w:top w:val="single" w:sz="4" w:space="0" w:color="auto"/>
              <w:left w:val="nil"/>
              <w:bottom w:val="single" w:sz="4" w:space="0" w:color="auto"/>
              <w:right w:val="nil"/>
            </w:tcBorders>
            <w:shd w:val="clear" w:color="auto" w:fill="FFFFFF" w:themeFill="background1"/>
            <w:vAlign w:val="center"/>
            <w:hideMark/>
          </w:tcPr>
          <w:p w14:paraId="5DC2E441"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Jan 2014</w:t>
            </w:r>
          </w:p>
          <w:p w14:paraId="18BB6935"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March 2020</w:t>
            </w:r>
          </w:p>
          <w:p w14:paraId="68BFD6B1"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Unknown </w:t>
            </w:r>
          </w:p>
          <w:p w14:paraId="229C263C"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Unknown</w:t>
            </w:r>
          </w:p>
        </w:tc>
        <w:tc>
          <w:tcPr>
            <w:tcW w:w="1418" w:type="dxa"/>
            <w:tcBorders>
              <w:top w:val="single" w:sz="4" w:space="0" w:color="auto"/>
              <w:left w:val="nil"/>
              <w:bottom w:val="single" w:sz="4" w:space="0" w:color="auto"/>
              <w:right w:val="nil"/>
            </w:tcBorders>
            <w:shd w:val="clear" w:color="auto" w:fill="FFFFFF" w:themeFill="background1"/>
            <w:vAlign w:val="center"/>
            <w:hideMark/>
          </w:tcPr>
          <w:p w14:paraId="5B738EC8"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p w14:paraId="7B397754"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p w14:paraId="66A3C833"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p w14:paraId="344441F1" w14:textId="77777777" w:rsidR="00B22BE1" w:rsidRPr="00135A4F" w:rsidRDefault="00B22BE1" w:rsidP="003A511B">
            <w:pPr>
              <w:spacing w:before="60"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tc>
      </w:tr>
      <w:tr w:rsidR="00B22BE1" w:rsidRPr="00695609" w14:paraId="5F5CA672" w14:textId="77777777" w:rsidTr="008F6F49">
        <w:trPr>
          <w:cnfStyle w:val="000000100000" w:firstRow="0" w:lastRow="0" w:firstColumn="0" w:lastColumn="0" w:oddVBand="0" w:evenVBand="0" w:oddHBand="1" w:evenHBand="0" w:firstRowFirstColumn="0" w:firstRowLastColumn="0" w:lastRowFirstColumn="0" w:lastRowLastColumn="0"/>
          <w:trHeight w:val="729"/>
          <w:jc w:val="center"/>
        </w:trPr>
        <w:tc>
          <w:tcPr>
            <w:cnfStyle w:val="001000000000" w:firstRow="0" w:lastRow="0" w:firstColumn="1" w:lastColumn="0" w:oddVBand="0" w:evenVBand="0" w:oddHBand="0" w:evenHBand="0" w:firstRowFirstColumn="0" w:firstRowLastColumn="0" w:lastRowFirstColumn="0" w:lastRowLastColumn="0"/>
            <w:tcW w:w="1402" w:type="dxa"/>
            <w:tcBorders>
              <w:top w:val="single" w:sz="4" w:space="0" w:color="auto"/>
              <w:left w:val="nil"/>
              <w:bottom w:val="single" w:sz="4" w:space="0" w:color="auto"/>
              <w:right w:val="nil"/>
            </w:tcBorders>
            <w:shd w:val="clear" w:color="auto" w:fill="FFFFFF" w:themeFill="background1"/>
            <w:vAlign w:val="center"/>
            <w:hideMark/>
          </w:tcPr>
          <w:p w14:paraId="6A516043" w14:textId="77777777" w:rsidR="00B22BE1" w:rsidRPr="00135A4F" w:rsidRDefault="00B22BE1" w:rsidP="003A511B">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t>SA</w:t>
            </w:r>
          </w:p>
        </w:tc>
        <w:tc>
          <w:tcPr>
            <w:tcW w:w="2709" w:type="dxa"/>
            <w:tcBorders>
              <w:top w:val="single" w:sz="4" w:space="0" w:color="auto"/>
              <w:left w:val="nil"/>
              <w:bottom w:val="single" w:sz="4" w:space="0" w:color="auto"/>
              <w:right w:val="nil"/>
            </w:tcBorders>
            <w:shd w:val="clear" w:color="auto" w:fill="FFFFFF" w:themeFill="background1"/>
            <w:vAlign w:val="center"/>
          </w:tcPr>
          <w:p w14:paraId="061A1AF6" w14:textId="2634E05F"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Peer Administration of Naloxone Trial</w:t>
            </w:r>
          </w:p>
        </w:tc>
        <w:tc>
          <w:tcPr>
            <w:tcW w:w="2160" w:type="dxa"/>
            <w:tcBorders>
              <w:top w:val="single" w:sz="4" w:space="0" w:color="auto"/>
              <w:left w:val="nil"/>
              <w:bottom w:val="single" w:sz="4" w:space="0" w:color="auto"/>
              <w:right w:val="nil"/>
            </w:tcBorders>
            <w:shd w:val="clear" w:color="auto" w:fill="FFFFFF" w:themeFill="background1"/>
            <w:vAlign w:val="center"/>
            <w:hideMark/>
          </w:tcPr>
          <w:p w14:paraId="4EE6E8D1" w14:textId="2638328B"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SA Health</w:t>
            </w:r>
          </w:p>
        </w:tc>
        <w:tc>
          <w:tcPr>
            <w:tcW w:w="2234" w:type="dxa"/>
            <w:tcBorders>
              <w:top w:val="single" w:sz="4" w:space="0" w:color="auto"/>
              <w:left w:val="nil"/>
              <w:bottom w:val="single" w:sz="4" w:space="0" w:color="auto"/>
              <w:right w:val="nil"/>
            </w:tcBorders>
            <w:shd w:val="clear" w:color="auto" w:fill="FFFFFF" w:themeFill="background1"/>
            <w:vAlign w:val="center"/>
            <w:hideMark/>
          </w:tcPr>
          <w:p w14:paraId="10ACCF87" w14:textId="71C4A631"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family members/friends</w:t>
            </w:r>
          </w:p>
        </w:tc>
        <w:tc>
          <w:tcPr>
            <w:tcW w:w="1393" w:type="dxa"/>
            <w:tcBorders>
              <w:top w:val="single" w:sz="4" w:space="0" w:color="auto"/>
              <w:left w:val="nil"/>
              <w:bottom w:val="single" w:sz="4" w:space="0" w:color="auto"/>
              <w:right w:val="nil"/>
            </w:tcBorders>
            <w:shd w:val="clear" w:color="auto" w:fill="FFFFFF" w:themeFill="background1"/>
            <w:vAlign w:val="center"/>
            <w:hideMark/>
          </w:tcPr>
          <w:p w14:paraId="50A233A7"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Information not available</w:t>
            </w:r>
          </w:p>
        </w:tc>
        <w:tc>
          <w:tcPr>
            <w:tcW w:w="1576" w:type="dxa"/>
            <w:tcBorders>
              <w:top w:val="single" w:sz="4" w:space="0" w:color="auto"/>
              <w:left w:val="nil"/>
              <w:bottom w:val="single" w:sz="4" w:space="0" w:color="auto"/>
              <w:right w:val="nil"/>
            </w:tcBorders>
            <w:shd w:val="clear" w:color="auto" w:fill="FFFFFF" w:themeFill="background1"/>
            <w:vAlign w:val="center"/>
            <w:hideMark/>
          </w:tcPr>
          <w:p w14:paraId="79A45DB0"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Nov 2012</w:t>
            </w:r>
          </w:p>
        </w:tc>
        <w:tc>
          <w:tcPr>
            <w:tcW w:w="1418" w:type="dxa"/>
            <w:tcBorders>
              <w:top w:val="single" w:sz="4" w:space="0" w:color="auto"/>
              <w:left w:val="nil"/>
              <w:bottom w:val="single" w:sz="4" w:space="0" w:color="auto"/>
              <w:right w:val="nil"/>
            </w:tcBorders>
            <w:shd w:val="clear" w:color="auto" w:fill="FFFFFF" w:themeFill="background1"/>
            <w:vAlign w:val="center"/>
            <w:hideMark/>
          </w:tcPr>
          <w:p w14:paraId="31AB28D7" w14:textId="77777777" w:rsidR="00B22BE1" w:rsidRPr="00135A4F" w:rsidRDefault="00B22BE1" w:rsidP="003A511B">
            <w:pPr>
              <w:spacing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No/THNP#</w:t>
            </w:r>
          </w:p>
        </w:tc>
      </w:tr>
      <w:tr w:rsidR="00B22BE1" w:rsidRPr="00695609" w14:paraId="15FB3386" w14:textId="77777777" w:rsidTr="008F6F49">
        <w:trPr>
          <w:trHeight w:val="729"/>
          <w:jc w:val="center"/>
        </w:trPr>
        <w:tc>
          <w:tcPr>
            <w:cnfStyle w:val="001000000000" w:firstRow="0" w:lastRow="0" w:firstColumn="1" w:lastColumn="0" w:oddVBand="0" w:evenVBand="0" w:oddHBand="0" w:evenHBand="0" w:firstRowFirstColumn="0" w:firstRowLastColumn="0" w:lastRowFirstColumn="0" w:lastRowLastColumn="0"/>
            <w:tcW w:w="1402" w:type="dxa"/>
            <w:tcBorders>
              <w:top w:val="single" w:sz="4" w:space="0" w:color="auto"/>
              <w:left w:val="nil"/>
              <w:bottom w:val="single" w:sz="4" w:space="0" w:color="auto"/>
              <w:right w:val="nil"/>
            </w:tcBorders>
            <w:shd w:val="clear" w:color="auto" w:fill="FFFFFF" w:themeFill="background1"/>
            <w:vAlign w:val="center"/>
            <w:hideMark/>
          </w:tcPr>
          <w:p w14:paraId="006A5263" w14:textId="77777777" w:rsidR="00B22BE1" w:rsidRPr="00135A4F" w:rsidRDefault="00B22BE1" w:rsidP="003A511B">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t>TAS</w:t>
            </w:r>
          </w:p>
        </w:tc>
        <w:tc>
          <w:tcPr>
            <w:tcW w:w="2709" w:type="dxa"/>
            <w:tcBorders>
              <w:top w:val="single" w:sz="4" w:space="0" w:color="auto"/>
              <w:left w:val="nil"/>
              <w:bottom w:val="single" w:sz="4" w:space="0" w:color="auto"/>
              <w:right w:val="nil"/>
            </w:tcBorders>
            <w:shd w:val="clear" w:color="auto" w:fill="FFFFFF" w:themeFill="background1"/>
            <w:vAlign w:val="center"/>
          </w:tcPr>
          <w:p w14:paraId="4EF768A8" w14:textId="55906C29"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Take Home Naloxone</w:t>
            </w:r>
          </w:p>
        </w:tc>
        <w:tc>
          <w:tcPr>
            <w:tcW w:w="2160" w:type="dxa"/>
            <w:tcBorders>
              <w:top w:val="single" w:sz="4" w:space="0" w:color="auto"/>
              <w:left w:val="nil"/>
              <w:bottom w:val="single" w:sz="4" w:space="0" w:color="auto"/>
              <w:right w:val="nil"/>
            </w:tcBorders>
            <w:shd w:val="clear" w:color="auto" w:fill="FFFFFF" w:themeFill="background1"/>
            <w:vAlign w:val="center"/>
            <w:hideMark/>
          </w:tcPr>
          <w:p w14:paraId="09E753D2" w14:textId="7EEDEE29"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TAS Health</w:t>
            </w:r>
          </w:p>
        </w:tc>
        <w:tc>
          <w:tcPr>
            <w:tcW w:w="2234" w:type="dxa"/>
            <w:tcBorders>
              <w:top w:val="single" w:sz="4" w:space="0" w:color="auto"/>
              <w:left w:val="nil"/>
              <w:bottom w:val="single" w:sz="4" w:space="0" w:color="auto"/>
              <w:right w:val="nil"/>
            </w:tcBorders>
            <w:shd w:val="clear" w:color="auto" w:fill="FFFFFF" w:themeFill="background1"/>
            <w:vAlign w:val="center"/>
            <w:hideMark/>
          </w:tcPr>
          <w:p w14:paraId="02BE9A8E" w14:textId="77777777"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Clients of NSPs &amp; AOD services</w:t>
            </w:r>
          </w:p>
        </w:tc>
        <w:tc>
          <w:tcPr>
            <w:tcW w:w="1393" w:type="dxa"/>
            <w:tcBorders>
              <w:top w:val="single" w:sz="4" w:space="0" w:color="auto"/>
              <w:left w:val="nil"/>
              <w:bottom w:val="single" w:sz="4" w:space="0" w:color="auto"/>
              <w:right w:val="nil"/>
            </w:tcBorders>
            <w:shd w:val="clear" w:color="auto" w:fill="FFFFFF" w:themeFill="background1"/>
            <w:vAlign w:val="center"/>
            <w:hideMark/>
          </w:tcPr>
          <w:p w14:paraId="653BF1F8" w14:textId="77777777"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Information not available</w:t>
            </w:r>
          </w:p>
        </w:tc>
        <w:tc>
          <w:tcPr>
            <w:tcW w:w="1576" w:type="dxa"/>
            <w:tcBorders>
              <w:top w:val="single" w:sz="4" w:space="0" w:color="auto"/>
              <w:left w:val="nil"/>
              <w:bottom w:val="single" w:sz="4" w:space="0" w:color="auto"/>
              <w:right w:val="nil"/>
            </w:tcBorders>
            <w:shd w:val="clear" w:color="auto" w:fill="FFFFFF" w:themeFill="background1"/>
            <w:vAlign w:val="center"/>
            <w:hideMark/>
          </w:tcPr>
          <w:p w14:paraId="47BE9804" w14:textId="77777777"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July 2020</w:t>
            </w:r>
          </w:p>
        </w:tc>
        <w:tc>
          <w:tcPr>
            <w:tcW w:w="1418" w:type="dxa"/>
            <w:tcBorders>
              <w:top w:val="single" w:sz="4" w:space="0" w:color="auto"/>
              <w:left w:val="nil"/>
              <w:bottom w:val="single" w:sz="4" w:space="0" w:color="auto"/>
              <w:right w:val="nil"/>
            </w:tcBorders>
            <w:shd w:val="clear" w:color="auto" w:fill="FFFFFF" w:themeFill="background1"/>
            <w:vAlign w:val="center"/>
            <w:hideMark/>
          </w:tcPr>
          <w:p w14:paraId="75DAAD3D" w14:textId="2E599D88" w:rsidR="00B22BE1" w:rsidRPr="00135A4F" w:rsidRDefault="00B07F3B"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No</w:t>
            </w:r>
          </w:p>
        </w:tc>
      </w:tr>
      <w:tr w:rsidR="00B22BE1" w:rsidRPr="00695609" w14:paraId="4236424C" w14:textId="77777777" w:rsidTr="008F6F49">
        <w:trPr>
          <w:cnfStyle w:val="000000100000" w:firstRow="0" w:lastRow="0" w:firstColumn="0" w:lastColumn="0" w:oddVBand="0" w:evenVBand="0" w:oddHBand="1" w:evenHBand="0" w:firstRowFirstColumn="0" w:firstRowLastColumn="0" w:lastRowFirstColumn="0" w:lastRowLastColumn="0"/>
          <w:trHeight w:val="1247"/>
          <w:jc w:val="center"/>
        </w:trPr>
        <w:tc>
          <w:tcPr>
            <w:cnfStyle w:val="001000000000" w:firstRow="0" w:lastRow="0" w:firstColumn="1" w:lastColumn="0" w:oddVBand="0" w:evenVBand="0" w:oddHBand="0" w:evenHBand="0" w:firstRowFirstColumn="0" w:firstRowLastColumn="0" w:lastRowFirstColumn="0" w:lastRowLastColumn="0"/>
            <w:tcW w:w="1402" w:type="dxa"/>
            <w:tcBorders>
              <w:top w:val="single" w:sz="4" w:space="0" w:color="auto"/>
              <w:left w:val="nil"/>
              <w:bottom w:val="single" w:sz="4" w:space="0" w:color="auto"/>
              <w:right w:val="nil"/>
            </w:tcBorders>
            <w:shd w:val="clear" w:color="auto" w:fill="FFFFFF" w:themeFill="background1"/>
            <w:vAlign w:val="center"/>
            <w:hideMark/>
          </w:tcPr>
          <w:p w14:paraId="60F46902" w14:textId="77777777" w:rsidR="00B22BE1" w:rsidRPr="00135A4F" w:rsidRDefault="00B22BE1" w:rsidP="003A511B">
            <w:pPr>
              <w:spacing w:after="0" w:line="240" w:lineRule="auto"/>
              <w:rPr>
                <w:rFonts w:asciiTheme="majorHAnsi" w:eastAsia="Calibri" w:hAnsiTheme="majorHAnsi" w:cstheme="majorHAnsi"/>
                <w:b w:val="0"/>
                <w:sz w:val="18"/>
                <w:szCs w:val="18"/>
              </w:rPr>
            </w:pPr>
            <w:r w:rsidRPr="00135A4F">
              <w:rPr>
                <w:rFonts w:asciiTheme="majorHAnsi" w:eastAsia="Calibri" w:hAnsiTheme="majorHAnsi" w:cstheme="majorHAnsi"/>
                <w:sz w:val="18"/>
                <w:szCs w:val="18"/>
              </w:rPr>
              <w:lastRenderedPageBreak/>
              <w:t>VIC</w:t>
            </w:r>
          </w:p>
        </w:tc>
        <w:tc>
          <w:tcPr>
            <w:tcW w:w="2709" w:type="dxa"/>
            <w:tcBorders>
              <w:top w:val="single" w:sz="4" w:space="0" w:color="auto"/>
              <w:left w:val="nil"/>
              <w:bottom w:val="single" w:sz="4" w:space="0" w:color="auto"/>
              <w:right w:val="nil"/>
            </w:tcBorders>
            <w:shd w:val="clear" w:color="auto" w:fill="FFFFFF" w:themeFill="background1"/>
            <w:vAlign w:val="center"/>
          </w:tcPr>
          <w:p w14:paraId="20923DF5"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The Drug Overdose Prevention and Education (DOPE)</w:t>
            </w:r>
          </w:p>
          <w:p w14:paraId="255FAA69"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Community Overdose Prevention and Education (COPE)</w:t>
            </w:r>
          </w:p>
          <w:p w14:paraId="62193FC8"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Naloxone Subsidy Initiative</w:t>
            </w:r>
          </w:p>
          <w:p w14:paraId="44A416CC" w14:textId="7DB0B9FD"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Naloxone Pilot Program</w:t>
            </w:r>
          </w:p>
        </w:tc>
        <w:tc>
          <w:tcPr>
            <w:tcW w:w="2160" w:type="dxa"/>
            <w:tcBorders>
              <w:top w:val="single" w:sz="4" w:space="0" w:color="auto"/>
              <w:left w:val="nil"/>
              <w:bottom w:val="single" w:sz="4" w:space="0" w:color="auto"/>
              <w:right w:val="nil"/>
            </w:tcBorders>
            <w:shd w:val="clear" w:color="auto" w:fill="FFFFFF" w:themeFill="background1"/>
            <w:vAlign w:val="center"/>
            <w:hideMark/>
          </w:tcPr>
          <w:p w14:paraId="1B6D4D97" w14:textId="107D71AA"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Harm Reduction VIC</w:t>
            </w:r>
          </w:p>
          <w:p w14:paraId="4B4667DB"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proofErr w:type="spellStart"/>
            <w:r w:rsidRPr="00135A4F">
              <w:rPr>
                <w:rFonts w:asciiTheme="majorHAnsi" w:eastAsia="Calibri" w:hAnsiTheme="majorHAnsi" w:cstheme="majorHAnsi"/>
                <w:sz w:val="18"/>
                <w:szCs w:val="18"/>
              </w:rPr>
              <w:t>Penington</w:t>
            </w:r>
            <w:proofErr w:type="spellEnd"/>
            <w:r w:rsidRPr="00135A4F">
              <w:rPr>
                <w:rFonts w:asciiTheme="majorHAnsi" w:eastAsia="Calibri" w:hAnsiTheme="majorHAnsi" w:cstheme="majorHAnsi"/>
                <w:sz w:val="18"/>
                <w:szCs w:val="18"/>
              </w:rPr>
              <w:t xml:space="preserve"> Institute</w:t>
            </w:r>
          </w:p>
          <w:p w14:paraId="670B19C4" w14:textId="799945D8"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VIC Gov</w:t>
            </w:r>
          </w:p>
          <w:p w14:paraId="2FE872E8" w14:textId="08195A05"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Justice Health</w:t>
            </w:r>
          </w:p>
        </w:tc>
        <w:tc>
          <w:tcPr>
            <w:tcW w:w="2234" w:type="dxa"/>
            <w:tcBorders>
              <w:top w:val="single" w:sz="4" w:space="0" w:color="auto"/>
              <w:left w:val="nil"/>
              <w:bottom w:val="single" w:sz="4" w:space="0" w:color="auto"/>
              <w:right w:val="nil"/>
            </w:tcBorders>
            <w:shd w:val="clear" w:color="auto" w:fill="FFFFFF" w:themeFill="background1"/>
            <w:vAlign w:val="center"/>
            <w:hideMark/>
          </w:tcPr>
          <w:p w14:paraId="4BBEDF3B" w14:textId="298FEA5B"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potential witnesses</w:t>
            </w:r>
          </w:p>
          <w:p w14:paraId="7486C32E"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Primary health and community organisation staff</w:t>
            </w:r>
          </w:p>
          <w:p w14:paraId="70FAB95D"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NSP clients in 6 ‘OD hotspots’ in Melbourne</w:t>
            </w:r>
          </w:p>
          <w:p w14:paraId="5DA61626"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Prisoners on-release</w:t>
            </w:r>
          </w:p>
        </w:tc>
        <w:tc>
          <w:tcPr>
            <w:tcW w:w="1393" w:type="dxa"/>
            <w:tcBorders>
              <w:top w:val="single" w:sz="4" w:space="0" w:color="auto"/>
              <w:left w:val="nil"/>
              <w:bottom w:val="single" w:sz="4" w:space="0" w:color="auto"/>
              <w:right w:val="nil"/>
            </w:tcBorders>
            <w:shd w:val="clear" w:color="auto" w:fill="FFFFFF" w:themeFill="background1"/>
            <w:vAlign w:val="center"/>
            <w:hideMark/>
          </w:tcPr>
          <w:p w14:paraId="47ACA943"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1-3 hours or brief 15-20 minutes</w:t>
            </w:r>
          </w:p>
          <w:p w14:paraId="45E65A0A"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1 hour</w:t>
            </w:r>
          </w:p>
          <w:p w14:paraId="3118FE49"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Information not available</w:t>
            </w:r>
          </w:p>
          <w:p w14:paraId="26E00964"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Information not available</w:t>
            </w:r>
          </w:p>
        </w:tc>
        <w:tc>
          <w:tcPr>
            <w:tcW w:w="1576" w:type="dxa"/>
            <w:tcBorders>
              <w:top w:val="single" w:sz="4" w:space="0" w:color="auto"/>
              <w:left w:val="nil"/>
              <w:bottom w:val="single" w:sz="4" w:space="0" w:color="auto"/>
              <w:right w:val="nil"/>
            </w:tcBorders>
            <w:shd w:val="clear" w:color="auto" w:fill="FFFFFF" w:themeFill="background1"/>
            <w:vAlign w:val="center"/>
            <w:hideMark/>
          </w:tcPr>
          <w:p w14:paraId="7BD5171E"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Aug 2013</w:t>
            </w:r>
          </w:p>
          <w:p w14:paraId="38E4D947"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Aug 2014</w:t>
            </w:r>
          </w:p>
          <w:p w14:paraId="3E704A8A"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Feb 2017</w:t>
            </w:r>
          </w:p>
          <w:p w14:paraId="74E8707D"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May 2020</w:t>
            </w:r>
          </w:p>
        </w:tc>
        <w:tc>
          <w:tcPr>
            <w:tcW w:w="1418" w:type="dxa"/>
            <w:tcBorders>
              <w:top w:val="single" w:sz="4" w:space="0" w:color="auto"/>
              <w:left w:val="nil"/>
              <w:bottom w:val="single" w:sz="4" w:space="0" w:color="auto"/>
              <w:right w:val="nil"/>
            </w:tcBorders>
            <w:shd w:val="clear" w:color="auto" w:fill="FFFFFF" w:themeFill="background1"/>
            <w:vAlign w:val="center"/>
            <w:hideMark/>
          </w:tcPr>
          <w:p w14:paraId="14305BE1"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p w14:paraId="1E4192F1"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p w14:paraId="54AEF6F9"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p w14:paraId="57459CFA" w14:textId="77777777" w:rsidR="00B22BE1" w:rsidRPr="00135A4F" w:rsidRDefault="00B22BE1" w:rsidP="003A511B">
            <w:pPr>
              <w:spacing w:before="60" w:after="0" w:line="240" w:lineRule="auto"/>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w:t>
            </w:r>
          </w:p>
        </w:tc>
      </w:tr>
      <w:tr w:rsidR="00B22BE1" w:rsidRPr="00695609" w14:paraId="718B2705" w14:textId="77777777" w:rsidTr="008F6F49">
        <w:trPr>
          <w:trHeight w:val="729"/>
          <w:jc w:val="center"/>
        </w:trPr>
        <w:tc>
          <w:tcPr>
            <w:cnfStyle w:val="001000000000" w:firstRow="0" w:lastRow="0" w:firstColumn="1" w:lastColumn="0" w:oddVBand="0" w:evenVBand="0" w:oddHBand="0" w:evenHBand="0" w:firstRowFirstColumn="0" w:firstRowLastColumn="0" w:lastRowFirstColumn="0" w:lastRowLastColumn="0"/>
            <w:tcW w:w="1402" w:type="dxa"/>
            <w:tcBorders>
              <w:top w:val="single" w:sz="4" w:space="0" w:color="auto"/>
              <w:left w:val="nil"/>
              <w:bottom w:val="single" w:sz="4" w:space="0" w:color="auto"/>
              <w:right w:val="nil"/>
            </w:tcBorders>
            <w:shd w:val="clear" w:color="auto" w:fill="FFFFFF" w:themeFill="background1"/>
            <w:vAlign w:val="center"/>
            <w:hideMark/>
          </w:tcPr>
          <w:p w14:paraId="369A3E6B" w14:textId="77777777" w:rsidR="00B22BE1" w:rsidRPr="00135A4F" w:rsidRDefault="00B22BE1" w:rsidP="003A511B">
            <w:pPr>
              <w:spacing w:after="0" w:line="240" w:lineRule="auto"/>
              <w:rPr>
                <w:rFonts w:asciiTheme="majorHAnsi" w:eastAsia="Calibri" w:hAnsiTheme="majorHAnsi" w:cstheme="majorHAnsi"/>
                <w:sz w:val="18"/>
                <w:szCs w:val="18"/>
              </w:rPr>
            </w:pPr>
            <w:r w:rsidRPr="00135A4F">
              <w:rPr>
                <w:rFonts w:asciiTheme="majorHAnsi" w:eastAsia="Calibri" w:hAnsiTheme="majorHAnsi" w:cstheme="majorHAnsi"/>
                <w:sz w:val="18"/>
                <w:szCs w:val="18"/>
              </w:rPr>
              <w:t>WA</w:t>
            </w:r>
          </w:p>
        </w:tc>
        <w:tc>
          <w:tcPr>
            <w:tcW w:w="2709" w:type="dxa"/>
            <w:tcBorders>
              <w:top w:val="single" w:sz="4" w:space="0" w:color="auto"/>
              <w:left w:val="nil"/>
              <w:bottom w:val="single" w:sz="4" w:space="0" w:color="auto"/>
              <w:right w:val="nil"/>
            </w:tcBorders>
            <w:shd w:val="clear" w:color="auto" w:fill="FFFFFF" w:themeFill="background1"/>
            <w:vAlign w:val="center"/>
          </w:tcPr>
          <w:p w14:paraId="58515447" w14:textId="7FDC130C"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The Western Australian Peer Naloxone Education Project</w:t>
            </w:r>
          </w:p>
        </w:tc>
        <w:tc>
          <w:tcPr>
            <w:tcW w:w="2160" w:type="dxa"/>
            <w:tcBorders>
              <w:top w:val="single" w:sz="4" w:space="0" w:color="auto"/>
              <w:left w:val="nil"/>
              <w:bottom w:val="single" w:sz="4" w:space="0" w:color="auto"/>
              <w:right w:val="nil"/>
            </w:tcBorders>
            <w:shd w:val="clear" w:color="auto" w:fill="FFFFFF" w:themeFill="background1"/>
            <w:vAlign w:val="center"/>
            <w:hideMark/>
          </w:tcPr>
          <w:p w14:paraId="56595C6C" w14:textId="2126233C"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WA Mental Health Commission + Peer Based Harm Reduction WA</w:t>
            </w:r>
          </w:p>
        </w:tc>
        <w:tc>
          <w:tcPr>
            <w:tcW w:w="2234" w:type="dxa"/>
            <w:tcBorders>
              <w:top w:val="single" w:sz="4" w:space="0" w:color="auto"/>
              <w:left w:val="nil"/>
              <w:bottom w:val="single" w:sz="4" w:space="0" w:color="auto"/>
              <w:right w:val="nil"/>
            </w:tcBorders>
            <w:shd w:val="clear" w:color="auto" w:fill="FFFFFF" w:themeFill="background1"/>
            <w:vAlign w:val="center"/>
            <w:hideMark/>
          </w:tcPr>
          <w:p w14:paraId="2D044BB4" w14:textId="1FF9A35C"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Pr>
                <w:rFonts w:asciiTheme="majorHAnsi" w:eastAsia="Calibri" w:hAnsiTheme="majorHAnsi" w:cstheme="majorHAnsi"/>
                <w:sz w:val="18"/>
                <w:szCs w:val="18"/>
              </w:rPr>
              <w:t>PUIO</w:t>
            </w:r>
            <w:r w:rsidRPr="00135A4F">
              <w:rPr>
                <w:rFonts w:asciiTheme="majorHAnsi" w:eastAsia="Calibri" w:hAnsiTheme="majorHAnsi" w:cstheme="majorHAnsi"/>
                <w:sz w:val="18"/>
                <w:szCs w:val="18"/>
              </w:rPr>
              <w:t>, agency workers, family member, overdose witnesses</w:t>
            </w:r>
          </w:p>
        </w:tc>
        <w:tc>
          <w:tcPr>
            <w:tcW w:w="1393" w:type="dxa"/>
            <w:tcBorders>
              <w:top w:val="single" w:sz="4" w:space="0" w:color="auto"/>
              <w:left w:val="nil"/>
              <w:bottom w:val="single" w:sz="4" w:space="0" w:color="auto"/>
              <w:right w:val="nil"/>
            </w:tcBorders>
            <w:shd w:val="clear" w:color="auto" w:fill="FFFFFF" w:themeFill="background1"/>
            <w:vAlign w:val="center"/>
            <w:hideMark/>
          </w:tcPr>
          <w:p w14:paraId="18D915E7" w14:textId="77777777"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2 hours</w:t>
            </w:r>
          </w:p>
        </w:tc>
        <w:tc>
          <w:tcPr>
            <w:tcW w:w="1576" w:type="dxa"/>
            <w:tcBorders>
              <w:top w:val="single" w:sz="4" w:space="0" w:color="auto"/>
              <w:left w:val="nil"/>
              <w:bottom w:val="single" w:sz="4" w:space="0" w:color="auto"/>
              <w:right w:val="nil"/>
            </w:tcBorders>
            <w:shd w:val="clear" w:color="auto" w:fill="FFFFFF" w:themeFill="background1"/>
            <w:vAlign w:val="center"/>
            <w:hideMark/>
          </w:tcPr>
          <w:p w14:paraId="5B2A0CC4" w14:textId="77777777"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 xml:space="preserve">Jan 2013 </w:t>
            </w:r>
          </w:p>
        </w:tc>
        <w:tc>
          <w:tcPr>
            <w:tcW w:w="1418" w:type="dxa"/>
            <w:tcBorders>
              <w:top w:val="single" w:sz="4" w:space="0" w:color="auto"/>
              <w:left w:val="nil"/>
              <w:bottom w:val="single" w:sz="4" w:space="0" w:color="auto"/>
              <w:right w:val="nil"/>
            </w:tcBorders>
            <w:shd w:val="clear" w:color="auto" w:fill="FFFFFF" w:themeFill="background1"/>
            <w:vAlign w:val="center"/>
            <w:hideMark/>
          </w:tcPr>
          <w:p w14:paraId="7738B0D6" w14:textId="77777777" w:rsidR="00B22BE1" w:rsidRPr="00135A4F" w:rsidRDefault="00B22BE1" w:rsidP="003A511B">
            <w:pPr>
              <w:spacing w:after="0" w:line="240" w:lineRule="auto"/>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18"/>
                <w:szCs w:val="18"/>
              </w:rPr>
            </w:pPr>
            <w:r w:rsidRPr="00135A4F">
              <w:rPr>
                <w:rFonts w:asciiTheme="majorHAnsi" w:eastAsia="Calibri" w:hAnsiTheme="majorHAnsi" w:cstheme="majorHAnsi"/>
                <w:sz w:val="18"/>
                <w:szCs w:val="18"/>
              </w:rPr>
              <w:t>Yes/THNP#</w:t>
            </w:r>
          </w:p>
        </w:tc>
      </w:tr>
    </w:tbl>
    <w:p w14:paraId="0264D7EB" w14:textId="77777777" w:rsidR="00CA5EEA" w:rsidRDefault="00CA5EEA" w:rsidP="003D0F16">
      <w:pPr>
        <w:pStyle w:val="FigureStyle"/>
      </w:pPr>
    </w:p>
    <w:p w14:paraId="71BBF177" w14:textId="77777777" w:rsidR="00CA5EEA" w:rsidRPr="00A107D9" w:rsidRDefault="00CA5EEA" w:rsidP="003D0F16">
      <w:pPr>
        <w:pStyle w:val="BodyText"/>
      </w:pPr>
    </w:p>
    <w:p w14:paraId="0729E946" w14:textId="7FCD32FB" w:rsidR="0002279A" w:rsidRDefault="00CA5EEA" w:rsidP="00B22BE1">
      <w:pPr>
        <w:tabs>
          <w:tab w:val="left" w:pos="3765"/>
        </w:tabs>
        <w:spacing w:line="240" w:lineRule="auto"/>
        <w:rPr>
          <w:i/>
          <w:sz w:val="20"/>
          <w:szCs w:val="20"/>
        </w:rPr>
      </w:pPr>
      <w:r>
        <w:rPr>
          <w:i/>
          <w:sz w:val="20"/>
          <w:szCs w:val="20"/>
        </w:rPr>
        <w:t xml:space="preserve">* SESLHD – South Eastern Sydney Local Health </w:t>
      </w:r>
      <w:proofErr w:type="gramStart"/>
      <w:r>
        <w:rPr>
          <w:i/>
          <w:sz w:val="20"/>
          <w:szCs w:val="20"/>
        </w:rPr>
        <w:t>District;  HHS</w:t>
      </w:r>
      <w:proofErr w:type="gramEnd"/>
      <w:r>
        <w:rPr>
          <w:i/>
          <w:sz w:val="20"/>
          <w:szCs w:val="20"/>
        </w:rPr>
        <w:t xml:space="preserve"> = Hospital Health Service,  BCHCC = Biala Community Health Centre Clinic</w:t>
      </w:r>
      <w:r>
        <w:rPr>
          <w:i/>
          <w:iCs/>
          <w:sz w:val="20"/>
          <w:szCs w:val="20"/>
        </w:rPr>
        <w:t xml:space="preserve">; </w:t>
      </w:r>
      <w:r w:rsidR="003E3F21" w:rsidRPr="00E5692F">
        <w:rPr>
          <w:i/>
          <w:sz w:val="20"/>
          <w:szCs w:val="20"/>
        </w:rPr>
        <w:t>CAHMA = Canberra Alliance for Harm Minimisation and Advocacy</w:t>
      </w:r>
      <w:r w:rsidR="00EF1110">
        <w:rPr>
          <w:i/>
          <w:sz w:val="20"/>
          <w:szCs w:val="20"/>
        </w:rPr>
        <w:t>;</w:t>
      </w:r>
      <w:r w:rsidR="003E3F21" w:rsidRPr="00E5692F">
        <w:rPr>
          <w:i/>
          <w:sz w:val="20"/>
          <w:szCs w:val="20"/>
        </w:rPr>
        <w:t xml:space="preserve"> </w:t>
      </w:r>
      <w:r w:rsidR="0002279A" w:rsidRPr="00E5692F">
        <w:rPr>
          <w:i/>
          <w:sz w:val="20"/>
          <w:szCs w:val="20"/>
        </w:rPr>
        <w:t xml:space="preserve">KRC </w:t>
      </w:r>
      <w:r w:rsidR="004D0F26" w:rsidRPr="00E5692F">
        <w:rPr>
          <w:i/>
          <w:sz w:val="20"/>
          <w:szCs w:val="20"/>
        </w:rPr>
        <w:t>=</w:t>
      </w:r>
      <w:r w:rsidR="0002279A" w:rsidRPr="00E5692F">
        <w:rPr>
          <w:i/>
          <w:sz w:val="20"/>
          <w:szCs w:val="20"/>
        </w:rPr>
        <w:t xml:space="preserve"> </w:t>
      </w:r>
      <w:proofErr w:type="spellStart"/>
      <w:r w:rsidR="0002279A" w:rsidRPr="00E5692F">
        <w:rPr>
          <w:i/>
          <w:sz w:val="20"/>
          <w:szCs w:val="20"/>
        </w:rPr>
        <w:t>Kirketon</w:t>
      </w:r>
      <w:proofErr w:type="spellEnd"/>
      <w:r w:rsidR="0002279A" w:rsidRPr="00E5692F">
        <w:rPr>
          <w:i/>
          <w:sz w:val="20"/>
          <w:szCs w:val="20"/>
        </w:rPr>
        <w:t xml:space="preserve"> Road</w:t>
      </w:r>
      <w:r w:rsidR="00EF1110">
        <w:rPr>
          <w:i/>
          <w:sz w:val="20"/>
          <w:szCs w:val="20"/>
        </w:rPr>
        <w:t xml:space="preserve">; </w:t>
      </w:r>
      <w:r w:rsidR="004D0F26" w:rsidRPr="00E5692F">
        <w:rPr>
          <w:i/>
          <w:sz w:val="20"/>
          <w:szCs w:val="20"/>
        </w:rPr>
        <w:t>MSIC = Medically Supervised Injecting Centre</w:t>
      </w:r>
      <w:r w:rsidR="00EF1110">
        <w:rPr>
          <w:i/>
          <w:sz w:val="20"/>
          <w:szCs w:val="20"/>
        </w:rPr>
        <w:t>;</w:t>
      </w:r>
      <w:r w:rsidR="00BB3D35" w:rsidRPr="00E5692F">
        <w:rPr>
          <w:i/>
          <w:sz w:val="20"/>
          <w:szCs w:val="20"/>
        </w:rPr>
        <w:t xml:space="preserve"> NTAHC = Northern Territory AIDS and </w:t>
      </w:r>
      <w:r w:rsidR="003E3F21" w:rsidRPr="00E5692F">
        <w:rPr>
          <w:i/>
          <w:sz w:val="20"/>
          <w:szCs w:val="20"/>
        </w:rPr>
        <w:t>Hepatis</w:t>
      </w:r>
      <w:r w:rsidR="00BB3D35" w:rsidRPr="00E5692F">
        <w:rPr>
          <w:i/>
          <w:sz w:val="20"/>
          <w:szCs w:val="20"/>
        </w:rPr>
        <w:t xml:space="preserve"> Council</w:t>
      </w:r>
      <w:r w:rsidR="00EF1110">
        <w:rPr>
          <w:i/>
          <w:sz w:val="20"/>
          <w:szCs w:val="20"/>
        </w:rPr>
        <w:t>;</w:t>
      </w:r>
      <w:r w:rsidR="00EF1110" w:rsidRPr="00E5692F">
        <w:rPr>
          <w:i/>
          <w:sz w:val="20"/>
          <w:szCs w:val="20"/>
        </w:rPr>
        <w:t xml:space="preserve"> </w:t>
      </w:r>
      <w:r w:rsidR="00BB3D35" w:rsidRPr="00E5692F">
        <w:rPr>
          <w:i/>
          <w:sz w:val="20"/>
          <w:szCs w:val="20"/>
        </w:rPr>
        <w:t>ADSCA = Alcohol and other Drugs Service</w:t>
      </w:r>
      <w:r w:rsidR="003E3F21" w:rsidRPr="00E5692F">
        <w:rPr>
          <w:i/>
          <w:sz w:val="20"/>
          <w:szCs w:val="20"/>
        </w:rPr>
        <w:t>s Central Australia</w:t>
      </w:r>
      <w:r w:rsidR="00EF1110">
        <w:rPr>
          <w:i/>
          <w:sz w:val="20"/>
          <w:szCs w:val="20"/>
        </w:rPr>
        <w:t>;</w:t>
      </w:r>
      <w:r w:rsidR="003E3F21" w:rsidRPr="00E5692F">
        <w:rPr>
          <w:i/>
          <w:sz w:val="20"/>
          <w:szCs w:val="20"/>
        </w:rPr>
        <w:t xml:space="preserve"> </w:t>
      </w:r>
      <w:proofErr w:type="spellStart"/>
      <w:r w:rsidR="00433831" w:rsidRPr="00E5692F">
        <w:rPr>
          <w:i/>
          <w:sz w:val="20"/>
          <w:szCs w:val="20"/>
        </w:rPr>
        <w:t>QuIHN</w:t>
      </w:r>
      <w:proofErr w:type="spellEnd"/>
      <w:r w:rsidR="00433831" w:rsidRPr="00E5692F">
        <w:rPr>
          <w:i/>
          <w:sz w:val="20"/>
          <w:szCs w:val="20"/>
        </w:rPr>
        <w:t xml:space="preserve"> = Queensland Injectors Heath Network</w:t>
      </w:r>
    </w:p>
    <w:p w14:paraId="00AF907D" w14:textId="45F59966" w:rsidR="0017576E" w:rsidRPr="00E5692F" w:rsidRDefault="0017576E" w:rsidP="00B22BE1">
      <w:pPr>
        <w:tabs>
          <w:tab w:val="left" w:pos="3765"/>
        </w:tabs>
        <w:spacing w:line="240" w:lineRule="auto"/>
        <w:rPr>
          <w:i/>
          <w:sz w:val="20"/>
          <w:szCs w:val="20"/>
        </w:rPr>
      </w:pPr>
      <w:r>
        <w:rPr>
          <w:i/>
          <w:sz w:val="20"/>
          <w:szCs w:val="20"/>
        </w:rPr>
        <w:t>**</w:t>
      </w:r>
      <w:r w:rsidR="00AF56B7">
        <w:rPr>
          <w:i/>
          <w:sz w:val="20"/>
          <w:szCs w:val="20"/>
        </w:rPr>
        <w:t>PUIO = people who use illicit opioids; PWID = people who inject drugs; NSP = Needle and Syringe Program; OAT = opioid agonist therapy; AOD = alcohol and other drugs</w:t>
      </w:r>
      <w:r w:rsidR="00EB047C">
        <w:rPr>
          <w:i/>
          <w:sz w:val="20"/>
          <w:szCs w:val="20"/>
        </w:rPr>
        <w:t>; OD = overdose</w:t>
      </w:r>
    </w:p>
    <w:p w14:paraId="61DCEE12" w14:textId="7E47A882" w:rsidR="00CA5EEA" w:rsidRDefault="00EF1110" w:rsidP="003D0F16">
      <w:pPr>
        <w:spacing w:after="160" w:line="259" w:lineRule="auto"/>
        <w:rPr>
          <w:lang w:eastAsia="en-AU"/>
        </w:rPr>
      </w:pPr>
      <w:r>
        <w:rPr>
          <w:i/>
          <w:iCs/>
          <w:sz w:val="20"/>
          <w:szCs w:val="20"/>
        </w:rPr>
        <w:t xml:space="preserve"># </w:t>
      </w:r>
      <w:r w:rsidR="00825CBB">
        <w:rPr>
          <w:i/>
          <w:iCs/>
          <w:sz w:val="20"/>
          <w:szCs w:val="20"/>
        </w:rPr>
        <w:t xml:space="preserve">Activities </w:t>
      </w:r>
      <w:r>
        <w:rPr>
          <w:i/>
          <w:iCs/>
          <w:sz w:val="20"/>
          <w:szCs w:val="20"/>
        </w:rPr>
        <w:t>rolled into PBS-</w:t>
      </w:r>
      <w:r w:rsidR="00825CBB">
        <w:rPr>
          <w:i/>
          <w:iCs/>
          <w:sz w:val="20"/>
          <w:szCs w:val="20"/>
        </w:rPr>
        <w:t xml:space="preserve">Subsidised </w:t>
      </w:r>
      <w:r>
        <w:rPr>
          <w:i/>
          <w:iCs/>
          <w:sz w:val="20"/>
          <w:szCs w:val="20"/>
        </w:rPr>
        <w:t>THN Pilot</w:t>
      </w:r>
    </w:p>
    <w:p w14:paraId="05DCA094" w14:textId="77777777" w:rsidR="00CA5EEA" w:rsidRDefault="00CA5EEA" w:rsidP="003D0F16">
      <w:pPr>
        <w:tabs>
          <w:tab w:val="left" w:pos="3765"/>
        </w:tabs>
        <w:rPr>
          <w:i/>
          <w:sz w:val="20"/>
          <w:szCs w:val="20"/>
        </w:rPr>
      </w:pPr>
    </w:p>
    <w:p w14:paraId="4F7978CF" w14:textId="77777777" w:rsidR="00CA5EEA" w:rsidRPr="00F00263" w:rsidRDefault="00CA5EEA" w:rsidP="003D0F16">
      <w:pPr>
        <w:rPr>
          <w:lang w:eastAsia="en-AU"/>
        </w:rPr>
      </w:pPr>
    </w:p>
    <w:p w14:paraId="72F486DD" w14:textId="77777777" w:rsidR="00CA5EEA" w:rsidRDefault="00CA5EEA" w:rsidP="003D0F16">
      <w:pPr>
        <w:rPr>
          <w:lang w:eastAsia="en-AU"/>
        </w:rPr>
        <w:sectPr w:rsidR="00CA5EEA" w:rsidSect="00DE7AD7">
          <w:footerReference w:type="default" r:id="rId89"/>
          <w:footnotePr>
            <w:numFmt w:val="lowerLetter"/>
          </w:footnotePr>
          <w:pgSz w:w="16838" w:h="11906" w:orient="landscape" w:code="9"/>
          <w:pgMar w:top="1134" w:right="2268" w:bottom="1416" w:left="1134" w:header="567" w:footer="510" w:gutter="0"/>
          <w:cols w:space="708"/>
          <w:docGrid w:linePitch="360"/>
        </w:sectPr>
      </w:pPr>
    </w:p>
    <w:p w14:paraId="1456FF25" w14:textId="6F9FFB34" w:rsidR="00CA5EEA" w:rsidRPr="00135A4F" w:rsidRDefault="00CA5EEA" w:rsidP="005E55A2">
      <w:pPr>
        <w:pStyle w:val="Heading3"/>
        <w:ind w:left="-1276"/>
      </w:pPr>
      <w:bookmarkStart w:id="392" w:name="_Appendix_C:_Indicator"/>
      <w:bookmarkStart w:id="393" w:name="_Toc85456062"/>
      <w:bookmarkStart w:id="394" w:name="_Toc94794184"/>
      <w:bookmarkStart w:id="395" w:name="_Toc94794328"/>
      <w:bookmarkEnd w:id="392"/>
      <w:r w:rsidRPr="00135A4F">
        <w:lastRenderedPageBreak/>
        <w:t xml:space="preserve">Appendix </w:t>
      </w:r>
      <w:r>
        <w:t>C</w:t>
      </w:r>
      <w:r w:rsidRPr="00135A4F">
        <w:t>: Indicator Matrix for Evaluation of the PBS-Subsidised THN Pilot</w:t>
      </w:r>
      <w:bookmarkEnd w:id="393"/>
      <w:bookmarkEnd w:id="394"/>
      <w:bookmarkEnd w:id="395"/>
    </w:p>
    <w:tbl>
      <w:tblPr>
        <w:tblW w:w="15168" w:type="dxa"/>
        <w:tblInd w:w="-1423" w:type="dxa"/>
        <w:tblBorders>
          <w:top w:val="single" w:sz="4" w:space="0" w:color="51247A" w:themeColor="accent1"/>
          <w:bottom w:val="single" w:sz="4" w:space="0" w:color="51247A" w:themeColor="accent1"/>
          <w:insideH w:val="single" w:sz="4" w:space="0" w:color="51247A" w:themeColor="accent1"/>
        </w:tblBorders>
        <w:tblLook w:val="04A0" w:firstRow="1" w:lastRow="0" w:firstColumn="1" w:lastColumn="0" w:noHBand="0" w:noVBand="1"/>
      </w:tblPr>
      <w:tblGrid>
        <w:gridCol w:w="2274"/>
        <w:gridCol w:w="3397"/>
        <w:gridCol w:w="3118"/>
        <w:gridCol w:w="2415"/>
        <w:gridCol w:w="3964"/>
      </w:tblGrid>
      <w:tr w:rsidR="003722D0" w:rsidRPr="006432C4" w14:paraId="692571E2" w14:textId="77777777" w:rsidTr="003D0F16">
        <w:trPr>
          <w:trHeight w:val="20"/>
          <w:tblHeader/>
        </w:trPr>
        <w:tc>
          <w:tcPr>
            <w:tcW w:w="2274" w:type="dxa"/>
            <w:shd w:val="clear" w:color="000000" w:fill="51247A" w:themeFill="accent1"/>
            <w:noWrap/>
            <w:vAlign w:val="center"/>
            <w:hideMark/>
          </w:tcPr>
          <w:p w14:paraId="6886F279" w14:textId="77777777" w:rsidR="00CA5EEA" w:rsidRPr="00135A4F" w:rsidRDefault="00CA5EEA" w:rsidP="003D0F16">
            <w:pPr>
              <w:spacing w:before="240" w:after="240" w:line="240" w:lineRule="auto"/>
              <w:rPr>
                <w:rFonts w:asciiTheme="majorHAnsi" w:eastAsia="Times New Roman" w:hAnsiTheme="majorHAnsi" w:cstheme="majorHAnsi"/>
                <w:b/>
                <w:bCs/>
                <w:sz w:val="18"/>
                <w:szCs w:val="18"/>
                <w:lang w:eastAsia="en-AU"/>
              </w:rPr>
            </w:pPr>
            <w:r w:rsidRPr="00135A4F">
              <w:rPr>
                <w:rFonts w:asciiTheme="majorHAnsi" w:eastAsia="Times New Roman" w:hAnsiTheme="majorHAnsi" w:cstheme="majorHAnsi"/>
                <w:b/>
                <w:bCs/>
                <w:sz w:val="18"/>
                <w:szCs w:val="18"/>
                <w:lang w:eastAsia="en-AU"/>
              </w:rPr>
              <w:t>Program Logic</w:t>
            </w:r>
          </w:p>
        </w:tc>
        <w:tc>
          <w:tcPr>
            <w:tcW w:w="3397" w:type="dxa"/>
            <w:shd w:val="clear" w:color="000000" w:fill="51247A" w:themeFill="accent1"/>
            <w:noWrap/>
            <w:vAlign w:val="center"/>
            <w:hideMark/>
          </w:tcPr>
          <w:p w14:paraId="1C110977" w14:textId="77777777" w:rsidR="00CA5EEA" w:rsidRPr="00135A4F" w:rsidRDefault="00CA5EEA" w:rsidP="003D0F16">
            <w:pPr>
              <w:spacing w:before="240" w:after="240" w:line="240" w:lineRule="auto"/>
              <w:rPr>
                <w:rFonts w:asciiTheme="majorHAnsi" w:eastAsia="Times New Roman" w:hAnsiTheme="majorHAnsi" w:cstheme="majorHAnsi"/>
                <w:b/>
                <w:bCs/>
                <w:sz w:val="18"/>
                <w:szCs w:val="18"/>
                <w:lang w:eastAsia="en-AU"/>
              </w:rPr>
            </w:pPr>
            <w:r w:rsidRPr="00135A4F">
              <w:rPr>
                <w:rFonts w:asciiTheme="majorHAnsi" w:eastAsia="Times New Roman" w:hAnsiTheme="majorHAnsi" w:cstheme="majorHAnsi"/>
                <w:b/>
                <w:bCs/>
                <w:sz w:val="18"/>
                <w:szCs w:val="18"/>
                <w:lang w:eastAsia="en-AU"/>
              </w:rPr>
              <w:t>Components</w:t>
            </w:r>
          </w:p>
        </w:tc>
        <w:tc>
          <w:tcPr>
            <w:tcW w:w="3118" w:type="dxa"/>
            <w:shd w:val="clear" w:color="000000" w:fill="51247A" w:themeFill="accent1"/>
            <w:vAlign w:val="center"/>
            <w:hideMark/>
          </w:tcPr>
          <w:p w14:paraId="54A4D739" w14:textId="77777777" w:rsidR="00CA5EEA" w:rsidRPr="00135A4F" w:rsidRDefault="00CA5EEA" w:rsidP="003D0F16">
            <w:pPr>
              <w:spacing w:before="240" w:after="240" w:line="240" w:lineRule="auto"/>
              <w:rPr>
                <w:rFonts w:asciiTheme="majorHAnsi" w:eastAsia="Times New Roman" w:hAnsiTheme="majorHAnsi" w:cstheme="majorHAnsi"/>
                <w:b/>
                <w:bCs/>
                <w:sz w:val="18"/>
                <w:szCs w:val="18"/>
                <w:lang w:eastAsia="en-AU"/>
              </w:rPr>
            </w:pPr>
            <w:r w:rsidRPr="00135A4F">
              <w:rPr>
                <w:rFonts w:asciiTheme="majorHAnsi" w:eastAsia="Times New Roman" w:hAnsiTheme="majorHAnsi" w:cstheme="majorHAnsi"/>
                <w:b/>
                <w:bCs/>
                <w:sz w:val="18"/>
                <w:szCs w:val="18"/>
                <w:lang w:eastAsia="en-AU"/>
              </w:rPr>
              <w:t>Indicators</w:t>
            </w:r>
          </w:p>
        </w:tc>
        <w:tc>
          <w:tcPr>
            <w:tcW w:w="2415" w:type="dxa"/>
            <w:shd w:val="clear" w:color="000000" w:fill="51247A" w:themeFill="accent1"/>
            <w:vAlign w:val="center"/>
            <w:hideMark/>
          </w:tcPr>
          <w:p w14:paraId="52E17A00" w14:textId="77777777" w:rsidR="00CA5EEA" w:rsidRPr="00135A4F" w:rsidRDefault="00CA5EEA" w:rsidP="003D0F16">
            <w:pPr>
              <w:spacing w:before="240" w:after="240" w:line="240" w:lineRule="auto"/>
              <w:rPr>
                <w:rFonts w:asciiTheme="majorHAnsi" w:eastAsia="Times New Roman" w:hAnsiTheme="majorHAnsi" w:cstheme="majorHAnsi"/>
                <w:b/>
                <w:bCs/>
                <w:sz w:val="18"/>
                <w:szCs w:val="18"/>
                <w:lang w:eastAsia="en-AU"/>
              </w:rPr>
            </w:pPr>
            <w:r w:rsidRPr="00135A4F">
              <w:rPr>
                <w:rFonts w:asciiTheme="majorHAnsi" w:eastAsia="Times New Roman" w:hAnsiTheme="majorHAnsi" w:cstheme="majorHAnsi"/>
                <w:b/>
                <w:bCs/>
                <w:sz w:val="18"/>
                <w:szCs w:val="18"/>
                <w:lang w:eastAsia="en-AU"/>
              </w:rPr>
              <w:t>Methods</w:t>
            </w:r>
          </w:p>
        </w:tc>
        <w:tc>
          <w:tcPr>
            <w:tcW w:w="3964" w:type="dxa"/>
            <w:shd w:val="clear" w:color="000000" w:fill="51247A" w:themeFill="accent1"/>
            <w:vAlign w:val="center"/>
            <w:hideMark/>
          </w:tcPr>
          <w:p w14:paraId="2F12391A" w14:textId="77777777" w:rsidR="00CA5EEA" w:rsidRPr="00135A4F" w:rsidRDefault="00CA5EEA" w:rsidP="003D0F16">
            <w:pPr>
              <w:spacing w:before="240" w:after="240" w:line="240" w:lineRule="auto"/>
              <w:rPr>
                <w:rFonts w:asciiTheme="majorHAnsi" w:eastAsia="Times New Roman" w:hAnsiTheme="majorHAnsi" w:cstheme="majorHAnsi"/>
                <w:b/>
                <w:bCs/>
                <w:sz w:val="18"/>
                <w:szCs w:val="18"/>
                <w:lang w:eastAsia="en-AU"/>
              </w:rPr>
            </w:pPr>
            <w:r w:rsidRPr="00135A4F">
              <w:rPr>
                <w:rFonts w:asciiTheme="majorHAnsi" w:eastAsia="Times New Roman" w:hAnsiTheme="majorHAnsi" w:cstheme="majorHAnsi"/>
                <w:b/>
                <w:bCs/>
                <w:sz w:val="18"/>
                <w:szCs w:val="18"/>
                <w:lang w:eastAsia="en-AU"/>
              </w:rPr>
              <w:t>Data Source</w:t>
            </w:r>
          </w:p>
        </w:tc>
      </w:tr>
      <w:tr w:rsidR="00804EDD" w:rsidRPr="006432C4" w14:paraId="49900E13" w14:textId="77777777" w:rsidTr="003D0F16">
        <w:trPr>
          <w:trHeight w:val="20"/>
        </w:trPr>
        <w:tc>
          <w:tcPr>
            <w:tcW w:w="2274" w:type="dxa"/>
            <w:shd w:val="clear" w:color="auto" w:fill="auto"/>
            <w:noWrap/>
            <w:vAlign w:val="center"/>
            <w:hideMark/>
          </w:tcPr>
          <w:p w14:paraId="5C8EEA5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Impact</w:t>
            </w:r>
          </w:p>
        </w:tc>
        <w:tc>
          <w:tcPr>
            <w:tcW w:w="3397" w:type="dxa"/>
            <w:shd w:val="clear" w:color="auto" w:fill="auto"/>
            <w:noWrap/>
            <w:vAlign w:val="center"/>
            <w:hideMark/>
          </w:tcPr>
          <w:p w14:paraId="71C082B0"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Reduction of opioid overdose deaths</w:t>
            </w:r>
          </w:p>
        </w:tc>
        <w:tc>
          <w:tcPr>
            <w:tcW w:w="3118" w:type="dxa"/>
            <w:shd w:val="clear" w:color="auto" w:fill="auto"/>
            <w:vAlign w:val="center"/>
            <w:hideMark/>
          </w:tcPr>
          <w:p w14:paraId="0162828B" w14:textId="4CCA3A76"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Rate of deaths due to </w:t>
            </w:r>
            <w:r w:rsidR="00A90B85" w:rsidRPr="00A82D08">
              <w:rPr>
                <w:sz w:val="18"/>
                <w:szCs w:val="18"/>
              </w:rPr>
              <w:t>unintentional</w:t>
            </w:r>
            <w:r w:rsidR="00A90B85" w:rsidRPr="00A90B85" w:rsidDel="000068C5">
              <w:rPr>
                <w:sz w:val="20"/>
                <w:szCs w:val="20"/>
              </w:rPr>
              <w:t xml:space="preserve"> </w:t>
            </w:r>
            <w:r w:rsidRPr="00135A4F">
              <w:rPr>
                <w:rFonts w:asciiTheme="majorHAnsi" w:eastAsia="Times New Roman" w:hAnsiTheme="majorHAnsi" w:cstheme="majorHAnsi"/>
                <w:sz w:val="18"/>
                <w:szCs w:val="18"/>
                <w:lang w:eastAsia="en-AU"/>
              </w:rPr>
              <w:t>opioid overdose</w:t>
            </w:r>
          </w:p>
        </w:tc>
        <w:tc>
          <w:tcPr>
            <w:tcW w:w="2415" w:type="dxa"/>
            <w:shd w:val="clear" w:color="auto" w:fill="auto"/>
            <w:vAlign w:val="center"/>
            <w:hideMark/>
          </w:tcPr>
          <w:p w14:paraId="3B36B17D" w14:textId="31713554"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Administrative data</w:t>
            </w:r>
            <w:r w:rsidR="00A82D08">
              <w:rPr>
                <w:rStyle w:val="FootnoteReference"/>
                <w:rFonts w:asciiTheme="majorHAnsi" w:eastAsia="Times New Roman" w:hAnsiTheme="majorHAnsi" w:cstheme="majorHAnsi"/>
                <w:sz w:val="18"/>
                <w:szCs w:val="18"/>
                <w:lang w:eastAsia="en-AU"/>
              </w:rPr>
              <w:footnoteReference w:id="38"/>
            </w:r>
          </w:p>
        </w:tc>
        <w:tc>
          <w:tcPr>
            <w:tcW w:w="3964" w:type="dxa"/>
            <w:shd w:val="clear" w:color="auto" w:fill="auto"/>
            <w:vAlign w:val="center"/>
            <w:hideMark/>
          </w:tcPr>
          <w:p w14:paraId="3C43DB95" w14:textId="7DED8585" w:rsidR="00CA5EEA"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sidDel="00E635FC">
              <w:rPr>
                <w:rFonts w:asciiTheme="majorHAnsi" w:eastAsia="Times New Roman" w:hAnsiTheme="majorHAnsi" w:cstheme="majorHAnsi"/>
                <w:sz w:val="18"/>
                <w:szCs w:val="18"/>
                <w:lang w:eastAsia="en-AU"/>
              </w:rPr>
              <w:t xml:space="preserve"> </w:t>
            </w:r>
            <w:r w:rsidR="00EC36A8">
              <w:rPr>
                <w:rFonts w:asciiTheme="majorHAnsi" w:eastAsia="Times New Roman" w:hAnsiTheme="majorHAnsi" w:cstheme="majorHAnsi"/>
                <w:sz w:val="18"/>
                <w:szCs w:val="18"/>
                <w:lang w:eastAsia="en-AU"/>
              </w:rPr>
              <w:t>National Hospital Morbidity Database</w:t>
            </w:r>
          </w:p>
          <w:p w14:paraId="124BB9E6" w14:textId="40F2E963" w:rsidR="00CA5EEA" w:rsidRDefault="00EC36A8"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Pr>
                <w:rFonts w:asciiTheme="majorHAnsi" w:eastAsia="Times New Roman" w:hAnsiTheme="majorHAnsi" w:cstheme="majorHAnsi"/>
                <w:sz w:val="18"/>
                <w:szCs w:val="18"/>
                <w:lang w:eastAsia="en-AU"/>
              </w:rPr>
              <w:t xml:space="preserve">Jurisdictional </w:t>
            </w:r>
            <w:r w:rsidR="00CA5EEA" w:rsidRPr="00135A4F">
              <w:rPr>
                <w:rFonts w:asciiTheme="majorHAnsi" w:eastAsia="Times New Roman" w:hAnsiTheme="majorHAnsi" w:cstheme="majorHAnsi"/>
                <w:sz w:val="18"/>
                <w:szCs w:val="18"/>
                <w:lang w:eastAsia="en-AU"/>
              </w:rPr>
              <w:t>Ambulance Data</w:t>
            </w:r>
          </w:p>
          <w:p w14:paraId="7E276D11"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Australian Bureau of Statistics (</w:t>
            </w:r>
            <w:proofErr w:type="gramStart"/>
            <w:r w:rsidRPr="00135A4F">
              <w:rPr>
                <w:rFonts w:asciiTheme="majorHAnsi" w:eastAsia="Times New Roman" w:hAnsiTheme="majorHAnsi" w:cstheme="majorHAnsi"/>
                <w:sz w:val="18"/>
                <w:szCs w:val="18"/>
                <w:lang w:eastAsia="en-AU"/>
              </w:rPr>
              <w:t>ABS)  Cause</w:t>
            </w:r>
            <w:proofErr w:type="gramEnd"/>
            <w:r w:rsidRPr="00135A4F">
              <w:rPr>
                <w:rFonts w:asciiTheme="majorHAnsi" w:eastAsia="Times New Roman" w:hAnsiTheme="majorHAnsi" w:cstheme="majorHAnsi"/>
                <w:sz w:val="18"/>
                <w:szCs w:val="18"/>
                <w:lang w:eastAsia="en-AU"/>
              </w:rPr>
              <w:t xml:space="preserve"> of Death Data</w:t>
            </w:r>
          </w:p>
        </w:tc>
      </w:tr>
      <w:tr w:rsidR="00804EDD" w:rsidRPr="006432C4" w14:paraId="2A750EAF" w14:textId="77777777" w:rsidTr="003D0F16">
        <w:trPr>
          <w:trHeight w:val="20"/>
        </w:trPr>
        <w:tc>
          <w:tcPr>
            <w:tcW w:w="2274" w:type="dxa"/>
            <w:shd w:val="clear" w:color="auto" w:fill="auto"/>
            <w:noWrap/>
            <w:vAlign w:val="center"/>
            <w:hideMark/>
          </w:tcPr>
          <w:p w14:paraId="3678D42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Impact</w:t>
            </w:r>
          </w:p>
        </w:tc>
        <w:tc>
          <w:tcPr>
            <w:tcW w:w="3397" w:type="dxa"/>
            <w:shd w:val="clear" w:color="auto" w:fill="auto"/>
            <w:noWrap/>
            <w:vAlign w:val="center"/>
            <w:hideMark/>
          </w:tcPr>
          <w:p w14:paraId="546EDF0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Change in patterns of opioid use</w:t>
            </w:r>
          </w:p>
        </w:tc>
        <w:tc>
          <w:tcPr>
            <w:tcW w:w="3118" w:type="dxa"/>
            <w:shd w:val="clear" w:color="auto" w:fill="auto"/>
            <w:vAlign w:val="center"/>
            <w:hideMark/>
          </w:tcPr>
          <w:p w14:paraId="3C6F4F6F"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Prevalence of prescribed opioid use over time</w:t>
            </w:r>
          </w:p>
        </w:tc>
        <w:tc>
          <w:tcPr>
            <w:tcW w:w="2415" w:type="dxa"/>
            <w:shd w:val="clear" w:color="auto" w:fill="auto"/>
            <w:vAlign w:val="center"/>
            <w:hideMark/>
          </w:tcPr>
          <w:p w14:paraId="15473622"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Administrative data</w:t>
            </w:r>
          </w:p>
        </w:tc>
        <w:tc>
          <w:tcPr>
            <w:tcW w:w="3964" w:type="dxa"/>
            <w:shd w:val="clear" w:color="auto" w:fill="auto"/>
            <w:vAlign w:val="center"/>
            <w:hideMark/>
          </w:tcPr>
          <w:p w14:paraId="67F483E6"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Pharmaceutical Benefit Scheme (PBS) Data</w:t>
            </w:r>
          </w:p>
        </w:tc>
      </w:tr>
      <w:tr w:rsidR="00804EDD" w:rsidRPr="006432C4" w14:paraId="233AC2EE" w14:textId="77777777" w:rsidTr="003D0F16">
        <w:trPr>
          <w:trHeight w:val="20"/>
        </w:trPr>
        <w:tc>
          <w:tcPr>
            <w:tcW w:w="2274" w:type="dxa"/>
            <w:shd w:val="clear" w:color="auto" w:fill="auto"/>
            <w:noWrap/>
            <w:vAlign w:val="center"/>
            <w:hideMark/>
          </w:tcPr>
          <w:p w14:paraId="67C11A4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Impact</w:t>
            </w:r>
          </w:p>
        </w:tc>
        <w:tc>
          <w:tcPr>
            <w:tcW w:w="3397" w:type="dxa"/>
            <w:shd w:val="clear" w:color="auto" w:fill="auto"/>
            <w:noWrap/>
            <w:vAlign w:val="center"/>
            <w:hideMark/>
          </w:tcPr>
          <w:p w14:paraId="7619F34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Change in patterns of opioid use</w:t>
            </w:r>
          </w:p>
        </w:tc>
        <w:tc>
          <w:tcPr>
            <w:tcW w:w="3118" w:type="dxa"/>
            <w:shd w:val="clear" w:color="auto" w:fill="auto"/>
            <w:vAlign w:val="center"/>
            <w:hideMark/>
          </w:tcPr>
          <w:p w14:paraId="5C97C52F"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Patterns of illicit opioid use over time</w:t>
            </w:r>
          </w:p>
        </w:tc>
        <w:tc>
          <w:tcPr>
            <w:tcW w:w="2415" w:type="dxa"/>
            <w:shd w:val="clear" w:color="auto" w:fill="auto"/>
            <w:vAlign w:val="center"/>
            <w:hideMark/>
          </w:tcPr>
          <w:p w14:paraId="457491C9"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Existing survey data</w:t>
            </w:r>
          </w:p>
        </w:tc>
        <w:tc>
          <w:tcPr>
            <w:tcW w:w="3964" w:type="dxa"/>
            <w:shd w:val="clear" w:color="auto" w:fill="auto"/>
            <w:vAlign w:val="center"/>
            <w:hideMark/>
          </w:tcPr>
          <w:p w14:paraId="2409B393"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Illicit Drug Reporting System (IDRS) Survey</w:t>
            </w:r>
          </w:p>
        </w:tc>
      </w:tr>
      <w:tr w:rsidR="00804EDD" w:rsidRPr="006432C4" w14:paraId="77ADFD08" w14:textId="77777777" w:rsidTr="003D0F16">
        <w:trPr>
          <w:trHeight w:val="20"/>
        </w:trPr>
        <w:tc>
          <w:tcPr>
            <w:tcW w:w="2274" w:type="dxa"/>
            <w:shd w:val="clear" w:color="auto" w:fill="auto"/>
            <w:noWrap/>
            <w:vAlign w:val="center"/>
            <w:hideMark/>
          </w:tcPr>
          <w:p w14:paraId="2054E49A"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noWrap/>
            <w:vAlign w:val="center"/>
            <w:hideMark/>
          </w:tcPr>
          <w:p w14:paraId="73D2AE00"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Consumers/witnesses are fairly treated at access sites &amp; feel comfortable acquiring/refilling THN</w:t>
            </w:r>
          </w:p>
        </w:tc>
        <w:tc>
          <w:tcPr>
            <w:tcW w:w="3118" w:type="dxa"/>
            <w:shd w:val="clear" w:color="auto" w:fill="auto"/>
            <w:vAlign w:val="center"/>
            <w:hideMark/>
          </w:tcPr>
          <w:p w14:paraId="746A2FD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proofErr w:type="gramStart"/>
            <w:r w:rsidRPr="00135A4F">
              <w:rPr>
                <w:rFonts w:asciiTheme="majorHAnsi" w:eastAsia="Times New Roman" w:hAnsiTheme="majorHAnsi" w:cstheme="majorHAnsi"/>
                <w:sz w:val="18"/>
                <w:szCs w:val="18"/>
                <w:lang w:eastAsia="en-AU"/>
              </w:rPr>
              <w:t>Consumers</w:t>
            </w:r>
            <w:proofErr w:type="gramEnd"/>
            <w:r w:rsidRPr="00135A4F">
              <w:rPr>
                <w:rFonts w:asciiTheme="majorHAnsi" w:eastAsia="Times New Roman" w:hAnsiTheme="majorHAnsi" w:cstheme="majorHAnsi"/>
                <w:sz w:val="18"/>
                <w:szCs w:val="18"/>
                <w:lang w:eastAsia="en-AU"/>
              </w:rPr>
              <w:t xml:space="preserve"> report feeling they were treated fairly at the access sites</w:t>
            </w:r>
          </w:p>
        </w:tc>
        <w:tc>
          <w:tcPr>
            <w:tcW w:w="2415" w:type="dxa"/>
            <w:shd w:val="clear" w:color="auto" w:fill="auto"/>
            <w:vAlign w:val="center"/>
            <w:hideMark/>
          </w:tcPr>
          <w:p w14:paraId="28B9E5B5"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Semi-structured Interview with consumers</w:t>
            </w:r>
          </w:p>
        </w:tc>
        <w:tc>
          <w:tcPr>
            <w:tcW w:w="3964" w:type="dxa"/>
            <w:shd w:val="clear" w:color="auto" w:fill="auto"/>
            <w:vAlign w:val="center"/>
            <w:hideMark/>
          </w:tcPr>
          <w:p w14:paraId="7EAE16CF"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631E96AE" w14:textId="77777777" w:rsidTr="003D0F16">
        <w:trPr>
          <w:trHeight w:val="20"/>
        </w:trPr>
        <w:tc>
          <w:tcPr>
            <w:tcW w:w="2274" w:type="dxa"/>
            <w:shd w:val="clear" w:color="auto" w:fill="auto"/>
            <w:noWrap/>
            <w:vAlign w:val="center"/>
            <w:hideMark/>
          </w:tcPr>
          <w:p w14:paraId="68D1033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vAlign w:val="center"/>
            <w:hideMark/>
          </w:tcPr>
          <w:p w14:paraId="3575DAD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Community attitude to THN/opioid overdose treatment is less stigmatizing</w:t>
            </w:r>
          </w:p>
        </w:tc>
        <w:tc>
          <w:tcPr>
            <w:tcW w:w="3118" w:type="dxa"/>
            <w:shd w:val="clear" w:color="auto" w:fill="auto"/>
            <w:vAlign w:val="center"/>
            <w:hideMark/>
          </w:tcPr>
          <w:p w14:paraId="0559D70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Staff from access point are comfortable providing THN across types of users</w:t>
            </w:r>
          </w:p>
        </w:tc>
        <w:tc>
          <w:tcPr>
            <w:tcW w:w="2415" w:type="dxa"/>
            <w:shd w:val="clear" w:color="auto" w:fill="auto"/>
            <w:vAlign w:val="center"/>
            <w:hideMark/>
          </w:tcPr>
          <w:p w14:paraId="629B0EB8" w14:textId="77777777" w:rsidR="00CA5EEA"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Semi-structured Interview</w:t>
            </w:r>
          </w:p>
          <w:p w14:paraId="71908740"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tables with stakeholders</w:t>
            </w:r>
          </w:p>
        </w:tc>
        <w:tc>
          <w:tcPr>
            <w:tcW w:w="3964" w:type="dxa"/>
            <w:shd w:val="clear" w:color="auto" w:fill="auto"/>
            <w:vAlign w:val="center"/>
            <w:hideMark/>
          </w:tcPr>
          <w:p w14:paraId="50A19D5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5D7A720C" w14:textId="77777777" w:rsidTr="003D0F16">
        <w:trPr>
          <w:trHeight w:val="20"/>
        </w:trPr>
        <w:tc>
          <w:tcPr>
            <w:tcW w:w="2274" w:type="dxa"/>
            <w:shd w:val="clear" w:color="auto" w:fill="auto"/>
            <w:noWrap/>
            <w:vAlign w:val="center"/>
            <w:hideMark/>
          </w:tcPr>
          <w:p w14:paraId="27877D4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vAlign w:val="center"/>
            <w:hideMark/>
          </w:tcPr>
          <w:p w14:paraId="13DD23F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Community attitude to THN/opioid overdose treatment is less stigmatizing</w:t>
            </w:r>
          </w:p>
        </w:tc>
        <w:tc>
          <w:tcPr>
            <w:tcW w:w="3118" w:type="dxa"/>
            <w:shd w:val="clear" w:color="auto" w:fill="auto"/>
            <w:vAlign w:val="center"/>
            <w:hideMark/>
          </w:tcPr>
          <w:p w14:paraId="25B9B68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Consumers and witnesses reported less stigmatising experience when accessing THN from access points</w:t>
            </w:r>
          </w:p>
        </w:tc>
        <w:tc>
          <w:tcPr>
            <w:tcW w:w="2415" w:type="dxa"/>
            <w:shd w:val="clear" w:color="auto" w:fill="auto"/>
            <w:vAlign w:val="center"/>
            <w:hideMark/>
          </w:tcPr>
          <w:p w14:paraId="609B9C20" w14:textId="77777777" w:rsidR="00CA5EEA"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with consumers</w:t>
            </w:r>
          </w:p>
          <w:p w14:paraId="4CC15DFA" w14:textId="78790494"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Mystery shopp</w:t>
            </w:r>
            <w:r w:rsidR="00B8345A">
              <w:rPr>
                <w:rFonts w:asciiTheme="majorHAnsi" w:eastAsia="Times New Roman" w:hAnsiTheme="majorHAnsi" w:cstheme="majorHAnsi"/>
                <w:sz w:val="18"/>
                <w:szCs w:val="18"/>
                <w:lang w:eastAsia="en-AU"/>
              </w:rPr>
              <w:t>ing</w:t>
            </w:r>
          </w:p>
        </w:tc>
        <w:tc>
          <w:tcPr>
            <w:tcW w:w="3964" w:type="dxa"/>
            <w:shd w:val="clear" w:color="auto" w:fill="auto"/>
            <w:vAlign w:val="center"/>
            <w:hideMark/>
          </w:tcPr>
          <w:p w14:paraId="313F1E4E"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5E9ABA64" w14:textId="77777777" w:rsidTr="003D0F16">
        <w:trPr>
          <w:trHeight w:val="20"/>
        </w:trPr>
        <w:tc>
          <w:tcPr>
            <w:tcW w:w="2274" w:type="dxa"/>
            <w:shd w:val="clear" w:color="auto" w:fill="auto"/>
            <w:noWrap/>
            <w:vAlign w:val="center"/>
            <w:hideMark/>
          </w:tcPr>
          <w:p w14:paraId="3D761CC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vAlign w:val="center"/>
            <w:hideMark/>
          </w:tcPr>
          <w:p w14:paraId="773B307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Community attitude to THN/opioid overdose treatment is less stigmatizing</w:t>
            </w:r>
          </w:p>
        </w:tc>
        <w:tc>
          <w:tcPr>
            <w:tcW w:w="3118" w:type="dxa"/>
            <w:shd w:val="clear" w:color="auto" w:fill="auto"/>
            <w:vAlign w:val="center"/>
            <w:hideMark/>
          </w:tcPr>
          <w:p w14:paraId="34BF698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people who use illicit opioids reported less stigmatising experience when accessing THN from access points</w:t>
            </w:r>
          </w:p>
        </w:tc>
        <w:tc>
          <w:tcPr>
            <w:tcW w:w="2415" w:type="dxa"/>
            <w:shd w:val="clear" w:color="auto" w:fill="auto"/>
            <w:vAlign w:val="center"/>
            <w:hideMark/>
          </w:tcPr>
          <w:p w14:paraId="2E4106BD"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Existing survey data</w:t>
            </w:r>
          </w:p>
        </w:tc>
        <w:tc>
          <w:tcPr>
            <w:tcW w:w="3964" w:type="dxa"/>
            <w:shd w:val="clear" w:color="auto" w:fill="auto"/>
            <w:vAlign w:val="center"/>
            <w:hideMark/>
          </w:tcPr>
          <w:p w14:paraId="0FAC4333"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IDRS Survey</w:t>
            </w:r>
          </w:p>
        </w:tc>
      </w:tr>
      <w:tr w:rsidR="00804EDD" w:rsidRPr="006432C4" w14:paraId="66425706" w14:textId="77777777" w:rsidTr="003D0F16">
        <w:trPr>
          <w:trHeight w:val="20"/>
        </w:trPr>
        <w:tc>
          <w:tcPr>
            <w:tcW w:w="2274" w:type="dxa"/>
            <w:shd w:val="clear" w:color="auto" w:fill="auto"/>
            <w:noWrap/>
            <w:vAlign w:val="center"/>
            <w:hideMark/>
          </w:tcPr>
          <w:p w14:paraId="70ED7760"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noWrap/>
            <w:vAlign w:val="center"/>
            <w:hideMark/>
          </w:tcPr>
          <w:p w14:paraId="6109910A"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Access sites assist consumers/witnesses to make safety plan for THN use</w:t>
            </w:r>
          </w:p>
        </w:tc>
        <w:tc>
          <w:tcPr>
            <w:tcW w:w="3118" w:type="dxa"/>
            <w:shd w:val="clear" w:color="auto" w:fill="auto"/>
            <w:vAlign w:val="center"/>
            <w:hideMark/>
          </w:tcPr>
          <w:p w14:paraId="470E0D8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people who use prescribed opioids discuss their feelings around their use of opioid medication (feeling in control of their use)</w:t>
            </w:r>
          </w:p>
        </w:tc>
        <w:tc>
          <w:tcPr>
            <w:tcW w:w="2415" w:type="dxa"/>
            <w:shd w:val="clear" w:color="auto" w:fill="auto"/>
            <w:vAlign w:val="center"/>
            <w:hideMark/>
          </w:tcPr>
          <w:p w14:paraId="0129557A"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with consumers</w:t>
            </w:r>
          </w:p>
        </w:tc>
        <w:tc>
          <w:tcPr>
            <w:tcW w:w="3964" w:type="dxa"/>
            <w:shd w:val="clear" w:color="auto" w:fill="auto"/>
            <w:vAlign w:val="center"/>
            <w:hideMark/>
          </w:tcPr>
          <w:p w14:paraId="29C0D89A"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5E18F445" w14:textId="77777777" w:rsidTr="003D0F16">
        <w:trPr>
          <w:trHeight w:val="20"/>
        </w:trPr>
        <w:tc>
          <w:tcPr>
            <w:tcW w:w="2274" w:type="dxa"/>
            <w:shd w:val="clear" w:color="auto" w:fill="auto"/>
            <w:noWrap/>
            <w:vAlign w:val="center"/>
            <w:hideMark/>
          </w:tcPr>
          <w:p w14:paraId="1A1166A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lastRenderedPageBreak/>
              <w:t>Intermediate Outcome</w:t>
            </w:r>
          </w:p>
        </w:tc>
        <w:tc>
          <w:tcPr>
            <w:tcW w:w="3397" w:type="dxa"/>
            <w:shd w:val="clear" w:color="auto" w:fill="auto"/>
            <w:noWrap/>
            <w:vAlign w:val="center"/>
            <w:hideMark/>
          </w:tcPr>
          <w:p w14:paraId="289C9C6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Access sites assist consumers/witnesses to make safety plan for THN use</w:t>
            </w:r>
          </w:p>
        </w:tc>
        <w:tc>
          <w:tcPr>
            <w:tcW w:w="3118" w:type="dxa"/>
            <w:shd w:val="clear" w:color="auto" w:fill="auto"/>
            <w:vAlign w:val="center"/>
            <w:hideMark/>
          </w:tcPr>
          <w:p w14:paraId="1B2976B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people who use illicit opioids report their feelings around their use of opioid (feeling in control of their use)</w:t>
            </w:r>
          </w:p>
        </w:tc>
        <w:tc>
          <w:tcPr>
            <w:tcW w:w="2415" w:type="dxa"/>
            <w:shd w:val="clear" w:color="auto" w:fill="auto"/>
            <w:vAlign w:val="center"/>
            <w:hideMark/>
          </w:tcPr>
          <w:p w14:paraId="20BCD72D"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with consumers</w:t>
            </w:r>
          </w:p>
        </w:tc>
        <w:tc>
          <w:tcPr>
            <w:tcW w:w="3964" w:type="dxa"/>
            <w:shd w:val="clear" w:color="auto" w:fill="auto"/>
            <w:vAlign w:val="center"/>
            <w:hideMark/>
          </w:tcPr>
          <w:p w14:paraId="07979AC4"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02501BD2" w14:textId="77777777" w:rsidTr="003D0F16">
        <w:trPr>
          <w:trHeight w:val="20"/>
        </w:trPr>
        <w:tc>
          <w:tcPr>
            <w:tcW w:w="2274" w:type="dxa"/>
            <w:shd w:val="clear" w:color="auto" w:fill="auto"/>
            <w:noWrap/>
            <w:vAlign w:val="center"/>
            <w:hideMark/>
          </w:tcPr>
          <w:p w14:paraId="7E5FD53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noWrap/>
            <w:vAlign w:val="center"/>
            <w:hideMark/>
          </w:tcPr>
          <w:p w14:paraId="3D831970"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Access sites assist consumers/witnesses to make safety plan for THN use</w:t>
            </w:r>
          </w:p>
        </w:tc>
        <w:tc>
          <w:tcPr>
            <w:tcW w:w="3118" w:type="dxa"/>
            <w:shd w:val="clear" w:color="auto" w:fill="auto"/>
            <w:vAlign w:val="center"/>
            <w:hideMark/>
          </w:tcPr>
          <w:p w14:paraId="6973A6BE"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consumers/witnesses who were given resources upon THN access</w:t>
            </w:r>
          </w:p>
        </w:tc>
        <w:tc>
          <w:tcPr>
            <w:tcW w:w="2415" w:type="dxa"/>
            <w:shd w:val="clear" w:color="auto" w:fill="auto"/>
            <w:vAlign w:val="center"/>
            <w:hideMark/>
          </w:tcPr>
          <w:p w14:paraId="14D0A4B0"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Administrative data</w:t>
            </w:r>
          </w:p>
        </w:tc>
        <w:tc>
          <w:tcPr>
            <w:tcW w:w="3964" w:type="dxa"/>
            <w:shd w:val="clear" w:color="auto" w:fill="auto"/>
            <w:vAlign w:val="center"/>
            <w:hideMark/>
          </w:tcPr>
          <w:p w14:paraId="234AA95D" w14:textId="44E572DB" w:rsidR="00CA5EEA" w:rsidRPr="00135A4F" w:rsidRDefault="00865613"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Pr>
                <w:rFonts w:asciiTheme="majorHAnsi" w:eastAsia="Times New Roman" w:hAnsiTheme="majorHAnsi" w:cstheme="majorHAnsi"/>
                <w:sz w:val="18"/>
                <w:szCs w:val="18"/>
                <w:lang w:eastAsia="en-AU"/>
              </w:rPr>
              <w:t>Pilot Program Administrator</w:t>
            </w:r>
            <w:r w:rsidRPr="00135A4F">
              <w:rPr>
                <w:rFonts w:asciiTheme="majorHAnsi" w:eastAsia="Times New Roman" w:hAnsiTheme="majorHAnsi" w:cstheme="majorHAnsi"/>
                <w:sz w:val="18"/>
                <w:szCs w:val="18"/>
                <w:lang w:eastAsia="en-AU"/>
              </w:rPr>
              <w:t xml:space="preserve"> (</w:t>
            </w:r>
            <w:r>
              <w:rPr>
                <w:rFonts w:asciiTheme="majorHAnsi" w:eastAsia="Times New Roman" w:hAnsiTheme="majorHAnsi" w:cstheme="majorHAnsi"/>
                <w:sz w:val="18"/>
                <w:szCs w:val="18"/>
                <w:lang w:eastAsia="en-AU"/>
              </w:rPr>
              <w:t>PP</w:t>
            </w:r>
            <w:r w:rsidRPr="00135A4F">
              <w:rPr>
                <w:rFonts w:asciiTheme="majorHAnsi" w:eastAsia="Times New Roman" w:hAnsiTheme="majorHAnsi" w:cstheme="majorHAnsi"/>
                <w:sz w:val="18"/>
                <w:szCs w:val="18"/>
                <w:lang w:eastAsia="en-AU"/>
              </w:rPr>
              <w:t xml:space="preserve">A) </w:t>
            </w:r>
            <w:r w:rsidR="00CA5EEA" w:rsidRPr="00135A4F">
              <w:rPr>
                <w:rFonts w:asciiTheme="majorHAnsi" w:eastAsia="Times New Roman" w:hAnsiTheme="majorHAnsi" w:cstheme="majorHAnsi"/>
                <w:sz w:val="18"/>
                <w:szCs w:val="18"/>
                <w:lang w:eastAsia="en-AU"/>
              </w:rPr>
              <w:t>Data Portal</w:t>
            </w:r>
          </w:p>
        </w:tc>
      </w:tr>
      <w:tr w:rsidR="00804EDD" w:rsidRPr="006432C4" w14:paraId="0BD55D81" w14:textId="77777777" w:rsidTr="003D0F16">
        <w:trPr>
          <w:trHeight w:val="20"/>
        </w:trPr>
        <w:tc>
          <w:tcPr>
            <w:tcW w:w="2274" w:type="dxa"/>
            <w:shd w:val="clear" w:color="auto" w:fill="auto"/>
            <w:noWrap/>
            <w:vAlign w:val="center"/>
            <w:hideMark/>
          </w:tcPr>
          <w:p w14:paraId="5648024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noWrap/>
            <w:vAlign w:val="center"/>
            <w:hideMark/>
          </w:tcPr>
          <w:p w14:paraId="238B75F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Consumers/witnesses are more confident using THN to counteract overdose</w:t>
            </w:r>
          </w:p>
        </w:tc>
        <w:tc>
          <w:tcPr>
            <w:tcW w:w="3118" w:type="dxa"/>
            <w:shd w:val="clear" w:color="auto" w:fill="auto"/>
            <w:vAlign w:val="center"/>
            <w:hideMark/>
          </w:tcPr>
          <w:p w14:paraId="383898D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Witnesses expressed increased confidence in using THN on others</w:t>
            </w:r>
          </w:p>
        </w:tc>
        <w:tc>
          <w:tcPr>
            <w:tcW w:w="2415" w:type="dxa"/>
            <w:shd w:val="clear" w:color="auto" w:fill="auto"/>
            <w:vAlign w:val="center"/>
            <w:hideMark/>
          </w:tcPr>
          <w:p w14:paraId="6E4C0E00"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Semi-structured Interview with witnesses</w:t>
            </w:r>
          </w:p>
        </w:tc>
        <w:tc>
          <w:tcPr>
            <w:tcW w:w="3964" w:type="dxa"/>
            <w:shd w:val="clear" w:color="auto" w:fill="auto"/>
            <w:vAlign w:val="center"/>
            <w:hideMark/>
          </w:tcPr>
          <w:p w14:paraId="76C2020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38138477" w14:textId="77777777" w:rsidTr="003D0F16">
        <w:trPr>
          <w:trHeight w:val="20"/>
        </w:trPr>
        <w:tc>
          <w:tcPr>
            <w:tcW w:w="2274" w:type="dxa"/>
            <w:shd w:val="clear" w:color="auto" w:fill="auto"/>
            <w:noWrap/>
            <w:vAlign w:val="center"/>
            <w:hideMark/>
          </w:tcPr>
          <w:p w14:paraId="1370DAEF"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noWrap/>
            <w:vAlign w:val="center"/>
            <w:hideMark/>
          </w:tcPr>
          <w:p w14:paraId="6B8BB7B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Consumers/witnesses are more confident using THN to counteract overdose</w:t>
            </w:r>
          </w:p>
        </w:tc>
        <w:tc>
          <w:tcPr>
            <w:tcW w:w="3118" w:type="dxa"/>
            <w:shd w:val="clear" w:color="auto" w:fill="auto"/>
            <w:vAlign w:val="center"/>
            <w:hideMark/>
          </w:tcPr>
          <w:p w14:paraId="6A14172F"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Consumers express confidence possessing THN for others to administer during an overdose</w:t>
            </w:r>
          </w:p>
        </w:tc>
        <w:tc>
          <w:tcPr>
            <w:tcW w:w="2415" w:type="dxa"/>
            <w:shd w:val="clear" w:color="auto" w:fill="auto"/>
            <w:vAlign w:val="center"/>
            <w:hideMark/>
          </w:tcPr>
          <w:p w14:paraId="1FCA6455"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Semi-structured Interview with consumers</w:t>
            </w:r>
          </w:p>
        </w:tc>
        <w:tc>
          <w:tcPr>
            <w:tcW w:w="3964" w:type="dxa"/>
            <w:shd w:val="clear" w:color="auto" w:fill="auto"/>
            <w:vAlign w:val="center"/>
            <w:hideMark/>
          </w:tcPr>
          <w:p w14:paraId="3277C6D4"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60E0A87B" w14:textId="77777777" w:rsidTr="003D0F16">
        <w:trPr>
          <w:trHeight w:val="20"/>
        </w:trPr>
        <w:tc>
          <w:tcPr>
            <w:tcW w:w="2274" w:type="dxa"/>
            <w:shd w:val="clear" w:color="auto" w:fill="auto"/>
            <w:noWrap/>
            <w:vAlign w:val="center"/>
            <w:hideMark/>
          </w:tcPr>
          <w:p w14:paraId="5FCD8DB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noWrap/>
            <w:vAlign w:val="center"/>
            <w:hideMark/>
          </w:tcPr>
          <w:p w14:paraId="6BC28011" w14:textId="74BA74A0"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THN is used in a range of settings to prevent </w:t>
            </w:r>
            <w:r w:rsidR="00814BA4">
              <w:rPr>
                <w:rFonts w:asciiTheme="majorHAnsi" w:eastAsia="Times New Roman" w:hAnsiTheme="majorHAnsi" w:cstheme="majorHAnsi"/>
                <w:sz w:val="18"/>
                <w:szCs w:val="18"/>
                <w:lang w:eastAsia="en-AU"/>
              </w:rPr>
              <w:t>unintentional</w:t>
            </w:r>
            <w:r w:rsidR="00814BA4"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opioid overdose deaths</w:t>
            </w:r>
          </w:p>
        </w:tc>
        <w:tc>
          <w:tcPr>
            <w:tcW w:w="3118" w:type="dxa"/>
            <w:shd w:val="clear" w:color="auto" w:fill="auto"/>
            <w:vAlign w:val="center"/>
            <w:hideMark/>
          </w:tcPr>
          <w:p w14:paraId="1FB7FD2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consumers and witnesses who used THN provided by credentialed access sites to resuscitate a consumer for the second time</w:t>
            </w:r>
          </w:p>
        </w:tc>
        <w:tc>
          <w:tcPr>
            <w:tcW w:w="2415" w:type="dxa"/>
            <w:shd w:val="clear" w:color="auto" w:fill="auto"/>
            <w:vAlign w:val="center"/>
            <w:hideMark/>
          </w:tcPr>
          <w:p w14:paraId="70783129"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Semi-structured Interview with consumers and witnesses</w:t>
            </w:r>
          </w:p>
        </w:tc>
        <w:tc>
          <w:tcPr>
            <w:tcW w:w="3964" w:type="dxa"/>
            <w:shd w:val="clear" w:color="auto" w:fill="auto"/>
            <w:vAlign w:val="center"/>
            <w:hideMark/>
          </w:tcPr>
          <w:p w14:paraId="4E02EA3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632233B6" w14:textId="77777777" w:rsidTr="003D0F16">
        <w:trPr>
          <w:trHeight w:val="20"/>
        </w:trPr>
        <w:tc>
          <w:tcPr>
            <w:tcW w:w="2274" w:type="dxa"/>
            <w:shd w:val="clear" w:color="auto" w:fill="auto"/>
            <w:noWrap/>
            <w:vAlign w:val="center"/>
            <w:hideMark/>
          </w:tcPr>
          <w:p w14:paraId="25AC68BA"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noWrap/>
            <w:vAlign w:val="center"/>
            <w:hideMark/>
          </w:tcPr>
          <w:p w14:paraId="623A6C94" w14:textId="4DDE5793"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THN is used in a range of settings to prevent </w:t>
            </w:r>
            <w:r w:rsidR="00814BA4">
              <w:rPr>
                <w:rFonts w:asciiTheme="majorHAnsi" w:eastAsia="Times New Roman" w:hAnsiTheme="majorHAnsi" w:cstheme="majorHAnsi"/>
                <w:sz w:val="18"/>
                <w:szCs w:val="18"/>
                <w:lang w:eastAsia="en-AU"/>
              </w:rPr>
              <w:t>unintentional</w:t>
            </w:r>
            <w:r w:rsidR="00814BA4"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opioid overdose deaths</w:t>
            </w:r>
          </w:p>
        </w:tc>
        <w:tc>
          <w:tcPr>
            <w:tcW w:w="3118" w:type="dxa"/>
            <w:shd w:val="clear" w:color="auto" w:fill="auto"/>
            <w:vAlign w:val="center"/>
            <w:hideMark/>
          </w:tcPr>
          <w:p w14:paraId="76644EC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consumers who experienced subsequent resuscitation with THN refilled by credentialed access sites</w:t>
            </w:r>
          </w:p>
        </w:tc>
        <w:tc>
          <w:tcPr>
            <w:tcW w:w="2415" w:type="dxa"/>
            <w:shd w:val="clear" w:color="auto" w:fill="auto"/>
            <w:vAlign w:val="center"/>
            <w:hideMark/>
          </w:tcPr>
          <w:p w14:paraId="012EAFB7"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Semi-structured Interview with consumers and witnesses</w:t>
            </w:r>
          </w:p>
        </w:tc>
        <w:tc>
          <w:tcPr>
            <w:tcW w:w="3964" w:type="dxa"/>
            <w:shd w:val="clear" w:color="auto" w:fill="auto"/>
            <w:vAlign w:val="center"/>
            <w:hideMark/>
          </w:tcPr>
          <w:p w14:paraId="7717B25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64C8D0A8" w14:textId="77777777" w:rsidTr="003D0F16">
        <w:trPr>
          <w:trHeight w:val="20"/>
        </w:trPr>
        <w:tc>
          <w:tcPr>
            <w:tcW w:w="2274" w:type="dxa"/>
            <w:shd w:val="clear" w:color="auto" w:fill="auto"/>
            <w:noWrap/>
            <w:vAlign w:val="center"/>
            <w:hideMark/>
          </w:tcPr>
          <w:p w14:paraId="3226ACA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noWrap/>
            <w:vAlign w:val="center"/>
            <w:hideMark/>
          </w:tcPr>
          <w:p w14:paraId="10BA4CDA" w14:textId="65D27891"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THN is used in a range of settings to prevent </w:t>
            </w:r>
            <w:r w:rsidR="00814BA4">
              <w:rPr>
                <w:rFonts w:asciiTheme="majorHAnsi" w:eastAsia="Times New Roman" w:hAnsiTheme="majorHAnsi" w:cstheme="majorHAnsi"/>
                <w:sz w:val="18"/>
                <w:szCs w:val="18"/>
                <w:lang w:eastAsia="en-AU"/>
              </w:rPr>
              <w:t>unintentional</w:t>
            </w:r>
            <w:r w:rsidR="00814BA4"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opioid overdose deaths</w:t>
            </w:r>
          </w:p>
        </w:tc>
        <w:tc>
          <w:tcPr>
            <w:tcW w:w="3118" w:type="dxa"/>
            <w:shd w:val="clear" w:color="auto" w:fill="auto"/>
            <w:vAlign w:val="center"/>
            <w:hideMark/>
          </w:tcPr>
          <w:p w14:paraId="5622F3E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consumers and witnesses who refilled THN at credentialed access sites</w:t>
            </w:r>
          </w:p>
        </w:tc>
        <w:tc>
          <w:tcPr>
            <w:tcW w:w="2415" w:type="dxa"/>
            <w:shd w:val="clear" w:color="auto" w:fill="auto"/>
            <w:vAlign w:val="center"/>
            <w:hideMark/>
          </w:tcPr>
          <w:p w14:paraId="15F4B5CC" w14:textId="77777777" w:rsidR="00CA5EEA"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with consumers and witnesses</w:t>
            </w:r>
          </w:p>
          <w:p w14:paraId="67EF1FC2"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Administrative data</w:t>
            </w:r>
          </w:p>
        </w:tc>
        <w:tc>
          <w:tcPr>
            <w:tcW w:w="3964" w:type="dxa"/>
            <w:shd w:val="clear" w:color="auto" w:fill="auto"/>
            <w:vAlign w:val="center"/>
            <w:hideMark/>
          </w:tcPr>
          <w:p w14:paraId="5BA24EB6" w14:textId="77777777" w:rsidR="00CA5EEA"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p w14:paraId="7CB271E8" w14:textId="49494264" w:rsidR="00CA5EEA" w:rsidRPr="00135A4F" w:rsidRDefault="00865613"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Pr>
                <w:rFonts w:asciiTheme="majorHAnsi" w:eastAsia="Times New Roman" w:hAnsiTheme="majorHAnsi" w:cstheme="majorHAnsi"/>
                <w:sz w:val="18"/>
                <w:szCs w:val="18"/>
                <w:lang w:eastAsia="en-AU"/>
              </w:rPr>
              <w:t>PPA</w:t>
            </w:r>
            <w:r w:rsidR="00CA5EEA" w:rsidRPr="00135A4F">
              <w:rPr>
                <w:rFonts w:asciiTheme="majorHAnsi" w:eastAsia="Times New Roman" w:hAnsiTheme="majorHAnsi" w:cstheme="majorHAnsi"/>
                <w:sz w:val="18"/>
                <w:szCs w:val="18"/>
                <w:lang w:eastAsia="en-AU"/>
              </w:rPr>
              <w:t xml:space="preserve"> Data Portal</w:t>
            </w:r>
          </w:p>
        </w:tc>
      </w:tr>
      <w:tr w:rsidR="00804EDD" w:rsidRPr="006432C4" w14:paraId="092BFBBC" w14:textId="77777777" w:rsidTr="003D0F16">
        <w:trPr>
          <w:trHeight w:val="20"/>
        </w:trPr>
        <w:tc>
          <w:tcPr>
            <w:tcW w:w="2274" w:type="dxa"/>
            <w:shd w:val="clear" w:color="auto" w:fill="auto"/>
            <w:noWrap/>
            <w:vAlign w:val="center"/>
            <w:hideMark/>
          </w:tcPr>
          <w:p w14:paraId="06F9B52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noWrap/>
            <w:vAlign w:val="center"/>
            <w:hideMark/>
          </w:tcPr>
          <w:p w14:paraId="34A70670" w14:textId="56684E88"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THN is used in a range of settings to prevent </w:t>
            </w:r>
            <w:r w:rsidR="00814BA4">
              <w:rPr>
                <w:rFonts w:asciiTheme="majorHAnsi" w:eastAsia="Times New Roman" w:hAnsiTheme="majorHAnsi" w:cstheme="majorHAnsi"/>
                <w:sz w:val="18"/>
                <w:szCs w:val="18"/>
                <w:lang w:eastAsia="en-AU"/>
              </w:rPr>
              <w:t>unintentional</w:t>
            </w:r>
            <w:r w:rsidR="00814BA4"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opioid overdose deaths</w:t>
            </w:r>
          </w:p>
        </w:tc>
        <w:tc>
          <w:tcPr>
            <w:tcW w:w="3118" w:type="dxa"/>
            <w:shd w:val="clear" w:color="auto" w:fill="auto"/>
            <w:vAlign w:val="center"/>
            <w:hideMark/>
          </w:tcPr>
          <w:p w14:paraId="06AEC0C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people who use illicit opioids who used THN to resuscitate at least twice</w:t>
            </w:r>
          </w:p>
        </w:tc>
        <w:tc>
          <w:tcPr>
            <w:tcW w:w="2415" w:type="dxa"/>
            <w:shd w:val="clear" w:color="auto" w:fill="auto"/>
            <w:vAlign w:val="center"/>
            <w:hideMark/>
          </w:tcPr>
          <w:p w14:paraId="7926F7DF"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Existing survey data</w:t>
            </w:r>
          </w:p>
        </w:tc>
        <w:tc>
          <w:tcPr>
            <w:tcW w:w="3964" w:type="dxa"/>
            <w:shd w:val="clear" w:color="auto" w:fill="auto"/>
            <w:vAlign w:val="center"/>
            <w:hideMark/>
          </w:tcPr>
          <w:p w14:paraId="670014D4"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IDRS Survey</w:t>
            </w:r>
          </w:p>
        </w:tc>
      </w:tr>
      <w:tr w:rsidR="00804EDD" w:rsidRPr="006432C4" w14:paraId="29B10D02" w14:textId="77777777" w:rsidTr="003D0F16">
        <w:trPr>
          <w:trHeight w:val="20"/>
        </w:trPr>
        <w:tc>
          <w:tcPr>
            <w:tcW w:w="2274" w:type="dxa"/>
            <w:shd w:val="clear" w:color="auto" w:fill="auto"/>
            <w:noWrap/>
            <w:vAlign w:val="center"/>
            <w:hideMark/>
          </w:tcPr>
          <w:p w14:paraId="7765124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Intermediate Outcome</w:t>
            </w:r>
          </w:p>
        </w:tc>
        <w:tc>
          <w:tcPr>
            <w:tcW w:w="3397" w:type="dxa"/>
            <w:shd w:val="clear" w:color="auto" w:fill="auto"/>
            <w:noWrap/>
            <w:vAlign w:val="center"/>
            <w:hideMark/>
          </w:tcPr>
          <w:p w14:paraId="7B7BAD85" w14:textId="7A999AE8"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THN is used in a range of settings to prevent </w:t>
            </w:r>
            <w:r w:rsidR="00814BA4">
              <w:rPr>
                <w:rFonts w:asciiTheme="majorHAnsi" w:eastAsia="Times New Roman" w:hAnsiTheme="majorHAnsi" w:cstheme="majorHAnsi"/>
                <w:sz w:val="18"/>
                <w:szCs w:val="18"/>
                <w:lang w:eastAsia="en-AU"/>
              </w:rPr>
              <w:t>unintentional</w:t>
            </w:r>
            <w:r w:rsidR="00814BA4"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opioid overdose deaths</w:t>
            </w:r>
          </w:p>
        </w:tc>
        <w:tc>
          <w:tcPr>
            <w:tcW w:w="3118" w:type="dxa"/>
            <w:shd w:val="clear" w:color="auto" w:fill="auto"/>
            <w:vAlign w:val="center"/>
            <w:hideMark/>
          </w:tcPr>
          <w:p w14:paraId="52BCC54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of THN refills dispensed </w:t>
            </w:r>
          </w:p>
        </w:tc>
        <w:tc>
          <w:tcPr>
            <w:tcW w:w="2415" w:type="dxa"/>
            <w:shd w:val="clear" w:color="auto" w:fill="auto"/>
            <w:vAlign w:val="center"/>
            <w:hideMark/>
          </w:tcPr>
          <w:p w14:paraId="2EE8CEF2"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Administrative data</w:t>
            </w:r>
          </w:p>
        </w:tc>
        <w:tc>
          <w:tcPr>
            <w:tcW w:w="3964" w:type="dxa"/>
            <w:shd w:val="clear" w:color="auto" w:fill="auto"/>
            <w:vAlign w:val="center"/>
            <w:hideMark/>
          </w:tcPr>
          <w:p w14:paraId="3457DC74" w14:textId="1A84E3F3"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w:t>
            </w:r>
            <w:r w:rsidR="005C69BB">
              <w:rPr>
                <w:rFonts w:asciiTheme="majorHAnsi" w:eastAsia="Times New Roman" w:hAnsiTheme="majorHAnsi" w:cstheme="majorHAnsi"/>
                <w:sz w:val="18"/>
                <w:szCs w:val="18"/>
                <w:lang w:eastAsia="en-AU"/>
              </w:rPr>
              <w:t>PP</w:t>
            </w:r>
            <w:r w:rsidRPr="00135A4F">
              <w:rPr>
                <w:rFonts w:asciiTheme="majorHAnsi" w:eastAsia="Times New Roman" w:hAnsiTheme="majorHAnsi" w:cstheme="majorHAnsi"/>
                <w:sz w:val="18"/>
                <w:szCs w:val="18"/>
                <w:lang w:eastAsia="en-AU"/>
              </w:rPr>
              <w:t>A Data Portal</w:t>
            </w:r>
          </w:p>
        </w:tc>
      </w:tr>
      <w:tr w:rsidR="00804EDD" w:rsidRPr="006432C4" w14:paraId="62D4A827" w14:textId="77777777" w:rsidTr="003D0F16">
        <w:trPr>
          <w:trHeight w:val="20"/>
        </w:trPr>
        <w:tc>
          <w:tcPr>
            <w:tcW w:w="2274" w:type="dxa"/>
            <w:shd w:val="clear" w:color="auto" w:fill="auto"/>
            <w:noWrap/>
            <w:vAlign w:val="center"/>
            <w:hideMark/>
          </w:tcPr>
          <w:p w14:paraId="084CC86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04B15750" w14:textId="71D8BEDF"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THN is used in a range of settings to prevent </w:t>
            </w:r>
            <w:r w:rsidR="00814BA4">
              <w:rPr>
                <w:rFonts w:asciiTheme="majorHAnsi" w:eastAsia="Times New Roman" w:hAnsiTheme="majorHAnsi" w:cstheme="majorHAnsi"/>
                <w:sz w:val="18"/>
                <w:szCs w:val="18"/>
                <w:lang w:eastAsia="en-AU"/>
              </w:rPr>
              <w:t>unintentional</w:t>
            </w:r>
            <w:r w:rsidR="00814BA4"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opioid overdose deaths</w:t>
            </w:r>
          </w:p>
        </w:tc>
        <w:tc>
          <w:tcPr>
            <w:tcW w:w="3118" w:type="dxa"/>
            <w:shd w:val="clear" w:color="auto" w:fill="auto"/>
            <w:vAlign w:val="center"/>
            <w:hideMark/>
          </w:tcPr>
          <w:p w14:paraId="226F528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consumers and witnesses who used TNH provided by credentialed access sites (includes both first time and repeated users) to resuscitate a consumer</w:t>
            </w:r>
          </w:p>
        </w:tc>
        <w:tc>
          <w:tcPr>
            <w:tcW w:w="2415" w:type="dxa"/>
            <w:shd w:val="clear" w:color="auto" w:fill="auto"/>
            <w:vAlign w:val="center"/>
            <w:hideMark/>
          </w:tcPr>
          <w:p w14:paraId="23BD12C8"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with consumers and witnesses</w:t>
            </w:r>
          </w:p>
        </w:tc>
        <w:tc>
          <w:tcPr>
            <w:tcW w:w="3964" w:type="dxa"/>
            <w:shd w:val="clear" w:color="auto" w:fill="auto"/>
            <w:vAlign w:val="center"/>
            <w:hideMark/>
          </w:tcPr>
          <w:p w14:paraId="2786360F"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3A976F46" w14:textId="77777777" w:rsidTr="003D0F16">
        <w:trPr>
          <w:trHeight w:val="20"/>
        </w:trPr>
        <w:tc>
          <w:tcPr>
            <w:tcW w:w="2274" w:type="dxa"/>
            <w:shd w:val="clear" w:color="auto" w:fill="auto"/>
            <w:noWrap/>
            <w:vAlign w:val="center"/>
            <w:hideMark/>
          </w:tcPr>
          <w:p w14:paraId="1343BDAE"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lastRenderedPageBreak/>
              <w:t>Immediate Outcome</w:t>
            </w:r>
          </w:p>
        </w:tc>
        <w:tc>
          <w:tcPr>
            <w:tcW w:w="3397" w:type="dxa"/>
            <w:shd w:val="clear" w:color="auto" w:fill="auto"/>
            <w:noWrap/>
            <w:vAlign w:val="center"/>
            <w:hideMark/>
          </w:tcPr>
          <w:p w14:paraId="28D08A10" w14:textId="6C73BD90"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THN is used in a range of settings to prevent </w:t>
            </w:r>
            <w:r w:rsidR="00814BA4">
              <w:rPr>
                <w:rFonts w:asciiTheme="majorHAnsi" w:eastAsia="Times New Roman" w:hAnsiTheme="majorHAnsi" w:cstheme="majorHAnsi"/>
                <w:sz w:val="18"/>
                <w:szCs w:val="18"/>
                <w:lang w:eastAsia="en-AU"/>
              </w:rPr>
              <w:t>unintentional</w:t>
            </w:r>
            <w:r w:rsidR="00814BA4"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opioid overdose deaths</w:t>
            </w:r>
          </w:p>
        </w:tc>
        <w:tc>
          <w:tcPr>
            <w:tcW w:w="3118" w:type="dxa"/>
            <w:shd w:val="clear" w:color="auto" w:fill="auto"/>
            <w:vAlign w:val="center"/>
            <w:hideMark/>
          </w:tcPr>
          <w:p w14:paraId="634D571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consumers who were resuscitated with THN provided by credentialed access sites (includes first time and repeat users)</w:t>
            </w:r>
          </w:p>
        </w:tc>
        <w:tc>
          <w:tcPr>
            <w:tcW w:w="2415" w:type="dxa"/>
            <w:shd w:val="clear" w:color="auto" w:fill="auto"/>
            <w:vAlign w:val="center"/>
            <w:hideMark/>
          </w:tcPr>
          <w:p w14:paraId="2912C794"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with consumers and witnesses</w:t>
            </w:r>
          </w:p>
        </w:tc>
        <w:tc>
          <w:tcPr>
            <w:tcW w:w="3964" w:type="dxa"/>
            <w:shd w:val="clear" w:color="auto" w:fill="auto"/>
            <w:vAlign w:val="center"/>
            <w:hideMark/>
          </w:tcPr>
          <w:p w14:paraId="507F3169"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7B3F8C2F" w14:textId="77777777" w:rsidTr="003D0F16">
        <w:trPr>
          <w:trHeight w:val="20"/>
        </w:trPr>
        <w:tc>
          <w:tcPr>
            <w:tcW w:w="2274" w:type="dxa"/>
            <w:shd w:val="clear" w:color="auto" w:fill="auto"/>
            <w:noWrap/>
            <w:vAlign w:val="center"/>
            <w:hideMark/>
          </w:tcPr>
          <w:p w14:paraId="5E949A0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05E526CE" w14:textId="2F3C2072"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THN is used in a range of settings to prevent </w:t>
            </w:r>
            <w:r w:rsidR="00814BA4">
              <w:rPr>
                <w:rFonts w:asciiTheme="majorHAnsi" w:eastAsia="Times New Roman" w:hAnsiTheme="majorHAnsi" w:cstheme="majorHAnsi"/>
                <w:sz w:val="18"/>
                <w:szCs w:val="18"/>
                <w:lang w:eastAsia="en-AU"/>
              </w:rPr>
              <w:t>unintentional</w:t>
            </w:r>
            <w:r w:rsidR="00814BA4"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opioid overdose deaths</w:t>
            </w:r>
          </w:p>
        </w:tc>
        <w:tc>
          <w:tcPr>
            <w:tcW w:w="3118" w:type="dxa"/>
            <w:shd w:val="clear" w:color="auto" w:fill="auto"/>
            <w:vAlign w:val="center"/>
            <w:hideMark/>
          </w:tcPr>
          <w:p w14:paraId="430E6BC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people who use illicit opioids who were resuscitated by a witness using THN</w:t>
            </w:r>
          </w:p>
        </w:tc>
        <w:tc>
          <w:tcPr>
            <w:tcW w:w="2415" w:type="dxa"/>
            <w:shd w:val="clear" w:color="auto" w:fill="auto"/>
            <w:vAlign w:val="center"/>
            <w:hideMark/>
          </w:tcPr>
          <w:p w14:paraId="1B497AF3"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Existing survey data</w:t>
            </w:r>
          </w:p>
        </w:tc>
        <w:tc>
          <w:tcPr>
            <w:tcW w:w="3964" w:type="dxa"/>
            <w:shd w:val="clear" w:color="auto" w:fill="auto"/>
            <w:vAlign w:val="center"/>
            <w:hideMark/>
          </w:tcPr>
          <w:p w14:paraId="6CFE84F5"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IDRS Survey</w:t>
            </w:r>
          </w:p>
        </w:tc>
      </w:tr>
      <w:tr w:rsidR="00804EDD" w:rsidRPr="006432C4" w14:paraId="62272AC0" w14:textId="77777777" w:rsidTr="003D0F16">
        <w:trPr>
          <w:trHeight w:val="20"/>
        </w:trPr>
        <w:tc>
          <w:tcPr>
            <w:tcW w:w="2274" w:type="dxa"/>
            <w:shd w:val="clear" w:color="auto" w:fill="auto"/>
            <w:noWrap/>
            <w:vAlign w:val="center"/>
            <w:hideMark/>
          </w:tcPr>
          <w:p w14:paraId="4FF1D78A"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0BE6BBB4" w14:textId="30B574E1"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THN is used in a range of settings to prevent </w:t>
            </w:r>
            <w:r w:rsidR="00814BA4">
              <w:rPr>
                <w:rFonts w:asciiTheme="majorHAnsi" w:eastAsia="Times New Roman" w:hAnsiTheme="majorHAnsi" w:cstheme="majorHAnsi"/>
                <w:sz w:val="18"/>
                <w:szCs w:val="18"/>
                <w:lang w:eastAsia="en-AU"/>
              </w:rPr>
              <w:t>unintentional</w:t>
            </w:r>
            <w:r w:rsidR="00814BA4"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opioid overdose deaths</w:t>
            </w:r>
          </w:p>
        </w:tc>
        <w:tc>
          <w:tcPr>
            <w:tcW w:w="3118" w:type="dxa"/>
            <w:shd w:val="clear" w:color="auto" w:fill="auto"/>
            <w:vAlign w:val="center"/>
            <w:hideMark/>
          </w:tcPr>
          <w:p w14:paraId="2DBB917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people who use illicit opioids who resuscitated someone else using THN</w:t>
            </w:r>
          </w:p>
        </w:tc>
        <w:tc>
          <w:tcPr>
            <w:tcW w:w="2415" w:type="dxa"/>
            <w:shd w:val="clear" w:color="auto" w:fill="auto"/>
            <w:vAlign w:val="center"/>
            <w:hideMark/>
          </w:tcPr>
          <w:p w14:paraId="0FC7D74D"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Existing survey data</w:t>
            </w:r>
          </w:p>
        </w:tc>
        <w:tc>
          <w:tcPr>
            <w:tcW w:w="3964" w:type="dxa"/>
            <w:shd w:val="clear" w:color="auto" w:fill="auto"/>
            <w:vAlign w:val="center"/>
            <w:hideMark/>
          </w:tcPr>
          <w:p w14:paraId="009B5561"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IDRS Survey</w:t>
            </w:r>
          </w:p>
        </w:tc>
      </w:tr>
      <w:tr w:rsidR="00804EDD" w:rsidRPr="006432C4" w14:paraId="5A5E5B57" w14:textId="77777777" w:rsidTr="003D0F16">
        <w:trPr>
          <w:trHeight w:val="20"/>
        </w:trPr>
        <w:tc>
          <w:tcPr>
            <w:tcW w:w="2274" w:type="dxa"/>
            <w:shd w:val="clear" w:color="auto" w:fill="auto"/>
            <w:noWrap/>
            <w:vAlign w:val="center"/>
            <w:hideMark/>
          </w:tcPr>
          <w:p w14:paraId="139FF0A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79E000FE"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Between-state and within-state coordination of THN pilot</w:t>
            </w:r>
          </w:p>
        </w:tc>
        <w:tc>
          <w:tcPr>
            <w:tcW w:w="3118" w:type="dxa"/>
            <w:shd w:val="clear" w:color="auto" w:fill="auto"/>
            <w:vAlign w:val="center"/>
            <w:hideMark/>
          </w:tcPr>
          <w:p w14:paraId="219317A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Timely delivery of THN to credentialed access sites</w:t>
            </w:r>
          </w:p>
        </w:tc>
        <w:tc>
          <w:tcPr>
            <w:tcW w:w="2415" w:type="dxa"/>
            <w:shd w:val="clear" w:color="auto" w:fill="auto"/>
            <w:vAlign w:val="center"/>
            <w:hideMark/>
          </w:tcPr>
          <w:p w14:paraId="22FFDDA7"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w:t>
            </w:r>
          </w:p>
        </w:tc>
        <w:tc>
          <w:tcPr>
            <w:tcW w:w="3964" w:type="dxa"/>
            <w:shd w:val="clear" w:color="auto" w:fill="auto"/>
            <w:vAlign w:val="center"/>
            <w:hideMark/>
          </w:tcPr>
          <w:p w14:paraId="4CE72409"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2D89B3E3" w14:textId="77777777" w:rsidTr="003D0F16">
        <w:trPr>
          <w:trHeight w:val="20"/>
        </w:trPr>
        <w:tc>
          <w:tcPr>
            <w:tcW w:w="2274" w:type="dxa"/>
            <w:shd w:val="clear" w:color="auto" w:fill="auto"/>
            <w:noWrap/>
            <w:vAlign w:val="center"/>
            <w:hideMark/>
          </w:tcPr>
          <w:p w14:paraId="70E2EBE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4C81BC5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Between-state and within-state coordination of THN pilot</w:t>
            </w:r>
          </w:p>
        </w:tc>
        <w:tc>
          <w:tcPr>
            <w:tcW w:w="3118" w:type="dxa"/>
            <w:shd w:val="clear" w:color="auto" w:fill="auto"/>
            <w:vAlign w:val="center"/>
            <w:hideMark/>
          </w:tcPr>
          <w:p w14:paraId="282315F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Network across credentialed access sites established</w:t>
            </w:r>
          </w:p>
        </w:tc>
        <w:tc>
          <w:tcPr>
            <w:tcW w:w="2415" w:type="dxa"/>
            <w:shd w:val="clear" w:color="auto" w:fill="auto"/>
            <w:vAlign w:val="center"/>
            <w:hideMark/>
          </w:tcPr>
          <w:p w14:paraId="650EA60E"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w:t>
            </w:r>
          </w:p>
        </w:tc>
        <w:tc>
          <w:tcPr>
            <w:tcW w:w="3964" w:type="dxa"/>
            <w:shd w:val="clear" w:color="auto" w:fill="auto"/>
            <w:vAlign w:val="center"/>
            <w:hideMark/>
          </w:tcPr>
          <w:p w14:paraId="7E05548D"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0CF29DB4" w14:textId="77777777" w:rsidTr="003D0F16">
        <w:trPr>
          <w:trHeight w:val="20"/>
        </w:trPr>
        <w:tc>
          <w:tcPr>
            <w:tcW w:w="2274" w:type="dxa"/>
            <w:shd w:val="clear" w:color="auto" w:fill="auto"/>
            <w:noWrap/>
            <w:vAlign w:val="center"/>
            <w:hideMark/>
          </w:tcPr>
          <w:p w14:paraId="16C6DF50"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6671BD5A"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Between-state and within-state coordination of THN pilot</w:t>
            </w:r>
          </w:p>
        </w:tc>
        <w:tc>
          <w:tcPr>
            <w:tcW w:w="3118" w:type="dxa"/>
            <w:shd w:val="clear" w:color="auto" w:fill="auto"/>
            <w:vAlign w:val="center"/>
            <w:hideMark/>
          </w:tcPr>
          <w:p w14:paraId="347A15D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Network with other support agencies within the state established</w:t>
            </w:r>
          </w:p>
        </w:tc>
        <w:tc>
          <w:tcPr>
            <w:tcW w:w="2415" w:type="dxa"/>
            <w:shd w:val="clear" w:color="auto" w:fill="auto"/>
            <w:vAlign w:val="center"/>
            <w:hideMark/>
          </w:tcPr>
          <w:p w14:paraId="4AA595E7"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w:t>
            </w:r>
          </w:p>
        </w:tc>
        <w:tc>
          <w:tcPr>
            <w:tcW w:w="3964" w:type="dxa"/>
            <w:shd w:val="clear" w:color="auto" w:fill="auto"/>
            <w:vAlign w:val="center"/>
            <w:hideMark/>
          </w:tcPr>
          <w:p w14:paraId="4D7497D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1DE8783F" w14:textId="77777777" w:rsidTr="003D0F16">
        <w:trPr>
          <w:trHeight w:val="20"/>
        </w:trPr>
        <w:tc>
          <w:tcPr>
            <w:tcW w:w="2274" w:type="dxa"/>
            <w:shd w:val="clear" w:color="auto" w:fill="auto"/>
            <w:noWrap/>
            <w:vAlign w:val="center"/>
            <w:hideMark/>
          </w:tcPr>
          <w:p w14:paraId="5298C081"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491E04F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Between-state and within-state coordination of THN pilot</w:t>
            </w:r>
          </w:p>
        </w:tc>
        <w:tc>
          <w:tcPr>
            <w:tcW w:w="3118" w:type="dxa"/>
            <w:shd w:val="clear" w:color="auto" w:fill="auto"/>
            <w:vAlign w:val="center"/>
            <w:hideMark/>
          </w:tcPr>
          <w:p w14:paraId="1FB0FAA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Credentialed access sites able to provide feedback to suppliers and/or state coordinators</w:t>
            </w:r>
          </w:p>
        </w:tc>
        <w:tc>
          <w:tcPr>
            <w:tcW w:w="2415" w:type="dxa"/>
            <w:shd w:val="clear" w:color="auto" w:fill="auto"/>
            <w:vAlign w:val="center"/>
            <w:hideMark/>
          </w:tcPr>
          <w:p w14:paraId="638CB5BA"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w:t>
            </w:r>
          </w:p>
        </w:tc>
        <w:tc>
          <w:tcPr>
            <w:tcW w:w="3964" w:type="dxa"/>
            <w:shd w:val="clear" w:color="auto" w:fill="auto"/>
            <w:vAlign w:val="center"/>
            <w:hideMark/>
          </w:tcPr>
          <w:p w14:paraId="28249157"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2B89F1E5" w14:textId="77777777" w:rsidTr="003D0F16">
        <w:trPr>
          <w:trHeight w:val="20"/>
        </w:trPr>
        <w:tc>
          <w:tcPr>
            <w:tcW w:w="2274" w:type="dxa"/>
            <w:shd w:val="clear" w:color="auto" w:fill="auto"/>
            <w:noWrap/>
            <w:vAlign w:val="center"/>
            <w:hideMark/>
          </w:tcPr>
          <w:p w14:paraId="7A59C0D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604885B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Between-state and within-state coordination of THN pilot</w:t>
            </w:r>
          </w:p>
        </w:tc>
        <w:tc>
          <w:tcPr>
            <w:tcW w:w="3118" w:type="dxa"/>
            <w:shd w:val="clear" w:color="auto" w:fill="auto"/>
            <w:vAlign w:val="center"/>
            <w:hideMark/>
          </w:tcPr>
          <w:p w14:paraId="593DEC7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Credentialed access sites felt supported in the supply process</w:t>
            </w:r>
          </w:p>
        </w:tc>
        <w:tc>
          <w:tcPr>
            <w:tcW w:w="2415" w:type="dxa"/>
            <w:shd w:val="clear" w:color="auto" w:fill="auto"/>
            <w:vAlign w:val="center"/>
            <w:hideMark/>
          </w:tcPr>
          <w:p w14:paraId="37A61D53"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w:t>
            </w:r>
          </w:p>
        </w:tc>
        <w:tc>
          <w:tcPr>
            <w:tcW w:w="3964" w:type="dxa"/>
            <w:shd w:val="clear" w:color="auto" w:fill="auto"/>
            <w:vAlign w:val="center"/>
            <w:hideMark/>
          </w:tcPr>
          <w:p w14:paraId="7ABFCF8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4DF7E2C8" w14:textId="77777777" w:rsidTr="003D0F16">
        <w:trPr>
          <w:trHeight w:val="20"/>
        </w:trPr>
        <w:tc>
          <w:tcPr>
            <w:tcW w:w="2274" w:type="dxa"/>
            <w:shd w:val="clear" w:color="auto" w:fill="auto"/>
            <w:noWrap/>
            <w:vAlign w:val="center"/>
            <w:hideMark/>
          </w:tcPr>
          <w:p w14:paraId="6611B55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5066613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Between-state and within-state coordination of THN pilot</w:t>
            </w:r>
          </w:p>
        </w:tc>
        <w:tc>
          <w:tcPr>
            <w:tcW w:w="3118" w:type="dxa"/>
            <w:shd w:val="clear" w:color="auto" w:fill="auto"/>
            <w:vAlign w:val="center"/>
            <w:hideMark/>
          </w:tcPr>
          <w:p w14:paraId="02AD0F18" w14:textId="06EA1943"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State coordinators felt supported by </w:t>
            </w:r>
            <w:r w:rsidR="000929E3">
              <w:rPr>
                <w:rFonts w:asciiTheme="majorHAnsi" w:eastAsia="Times New Roman" w:hAnsiTheme="majorHAnsi" w:cstheme="majorHAnsi"/>
                <w:sz w:val="18"/>
                <w:szCs w:val="18"/>
                <w:lang w:eastAsia="en-AU"/>
              </w:rPr>
              <w:t>the Department</w:t>
            </w:r>
          </w:p>
        </w:tc>
        <w:tc>
          <w:tcPr>
            <w:tcW w:w="2415" w:type="dxa"/>
            <w:shd w:val="clear" w:color="auto" w:fill="auto"/>
            <w:vAlign w:val="center"/>
            <w:hideMark/>
          </w:tcPr>
          <w:p w14:paraId="4428CC75"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w:t>
            </w:r>
          </w:p>
        </w:tc>
        <w:tc>
          <w:tcPr>
            <w:tcW w:w="3964" w:type="dxa"/>
            <w:shd w:val="clear" w:color="auto" w:fill="auto"/>
            <w:vAlign w:val="center"/>
            <w:hideMark/>
          </w:tcPr>
          <w:p w14:paraId="6C387BF2"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6DE88726" w14:textId="77777777" w:rsidTr="003D0F16">
        <w:trPr>
          <w:trHeight w:val="20"/>
        </w:trPr>
        <w:tc>
          <w:tcPr>
            <w:tcW w:w="2274" w:type="dxa"/>
            <w:shd w:val="clear" w:color="auto" w:fill="auto"/>
            <w:noWrap/>
            <w:vAlign w:val="center"/>
            <w:hideMark/>
          </w:tcPr>
          <w:p w14:paraId="39C3F3D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2D6E4923"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Between-state and within-state coordination of THN pilot</w:t>
            </w:r>
          </w:p>
        </w:tc>
        <w:tc>
          <w:tcPr>
            <w:tcW w:w="3118" w:type="dxa"/>
            <w:shd w:val="clear" w:color="auto" w:fill="auto"/>
            <w:vAlign w:val="center"/>
            <w:hideMark/>
          </w:tcPr>
          <w:p w14:paraId="7AF888DF"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Good relationship across state coordinators</w:t>
            </w:r>
          </w:p>
        </w:tc>
        <w:tc>
          <w:tcPr>
            <w:tcW w:w="2415" w:type="dxa"/>
            <w:shd w:val="clear" w:color="auto" w:fill="auto"/>
            <w:vAlign w:val="center"/>
            <w:hideMark/>
          </w:tcPr>
          <w:p w14:paraId="2BA7C5F4"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w:t>
            </w:r>
          </w:p>
        </w:tc>
        <w:tc>
          <w:tcPr>
            <w:tcW w:w="3964" w:type="dxa"/>
            <w:shd w:val="clear" w:color="auto" w:fill="auto"/>
            <w:vAlign w:val="center"/>
            <w:hideMark/>
          </w:tcPr>
          <w:p w14:paraId="5E61EDB1"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58715103" w14:textId="77777777" w:rsidTr="003D0F16">
        <w:trPr>
          <w:trHeight w:val="20"/>
        </w:trPr>
        <w:tc>
          <w:tcPr>
            <w:tcW w:w="2274" w:type="dxa"/>
            <w:shd w:val="clear" w:color="auto" w:fill="auto"/>
            <w:noWrap/>
            <w:vAlign w:val="center"/>
            <w:hideMark/>
          </w:tcPr>
          <w:p w14:paraId="0C95B39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661697C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Between-state and within-state coordination of THN pilot</w:t>
            </w:r>
          </w:p>
        </w:tc>
        <w:tc>
          <w:tcPr>
            <w:tcW w:w="3118" w:type="dxa"/>
            <w:shd w:val="clear" w:color="auto" w:fill="auto"/>
            <w:vAlign w:val="center"/>
            <w:hideMark/>
          </w:tcPr>
          <w:p w14:paraId="0BC92F18" w14:textId="5DD7CA1F" w:rsidR="00CA5EEA" w:rsidRPr="00135A4F" w:rsidRDefault="00D64076" w:rsidP="003D0F16">
            <w:pPr>
              <w:spacing w:after="0" w:line="240" w:lineRule="auto"/>
              <w:rPr>
                <w:rFonts w:asciiTheme="majorHAnsi" w:eastAsia="Times New Roman" w:hAnsiTheme="majorHAnsi" w:cstheme="majorHAnsi"/>
                <w:sz w:val="18"/>
                <w:szCs w:val="18"/>
                <w:lang w:eastAsia="en-AU"/>
              </w:rPr>
            </w:pPr>
            <w:r>
              <w:rPr>
                <w:rFonts w:asciiTheme="majorHAnsi" w:eastAsia="Times New Roman" w:hAnsiTheme="majorHAnsi" w:cstheme="majorHAnsi"/>
                <w:sz w:val="18"/>
                <w:szCs w:val="18"/>
                <w:lang w:eastAsia="en-AU"/>
              </w:rPr>
              <w:t>The Department</w:t>
            </w:r>
            <w:r w:rsidRPr="00135A4F">
              <w:rPr>
                <w:rFonts w:asciiTheme="majorHAnsi" w:eastAsia="Times New Roman" w:hAnsiTheme="majorHAnsi" w:cstheme="majorHAnsi"/>
                <w:sz w:val="18"/>
                <w:szCs w:val="18"/>
                <w:lang w:eastAsia="en-AU"/>
              </w:rPr>
              <w:t xml:space="preserve"> </w:t>
            </w:r>
            <w:r w:rsidR="00CA5EEA" w:rsidRPr="00135A4F">
              <w:rPr>
                <w:rFonts w:asciiTheme="majorHAnsi" w:eastAsia="Times New Roman" w:hAnsiTheme="majorHAnsi" w:cstheme="majorHAnsi"/>
                <w:sz w:val="18"/>
                <w:szCs w:val="18"/>
                <w:lang w:eastAsia="en-AU"/>
              </w:rPr>
              <w:t>are well-informed about THN implementation in each state</w:t>
            </w:r>
          </w:p>
        </w:tc>
        <w:tc>
          <w:tcPr>
            <w:tcW w:w="2415" w:type="dxa"/>
            <w:shd w:val="clear" w:color="auto" w:fill="auto"/>
            <w:vAlign w:val="center"/>
            <w:hideMark/>
          </w:tcPr>
          <w:p w14:paraId="40206CF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w:t>
            </w:r>
          </w:p>
        </w:tc>
        <w:tc>
          <w:tcPr>
            <w:tcW w:w="3964" w:type="dxa"/>
            <w:shd w:val="clear" w:color="auto" w:fill="auto"/>
            <w:vAlign w:val="center"/>
            <w:hideMark/>
          </w:tcPr>
          <w:p w14:paraId="3701BB0A"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186FB154" w14:textId="77777777" w:rsidTr="003D0F16">
        <w:trPr>
          <w:trHeight w:val="20"/>
        </w:trPr>
        <w:tc>
          <w:tcPr>
            <w:tcW w:w="2274" w:type="dxa"/>
            <w:shd w:val="clear" w:color="auto" w:fill="auto"/>
            <w:noWrap/>
            <w:vAlign w:val="center"/>
            <w:hideMark/>
          </w:tcPr>
          <w:p w14:paraId="0E3DCCE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73E9F06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Increased community awareness of THN: health providers, prescription/non-prescription consumers, witnesses </w:t>
            </w:r>
          </w:p>
        </w:tc>
        <w:tc>
          <w:tcPr>
            <w:tcW w:w="3118" w:type="dxa"/>
            <w:shd w:val="clear" w:color="auto" w:fill="auto"/>
            <w:vAlign w:val="center"/>
            <w:hideMark/>
          </w:tcPr>
          <w:p w14:paraId="70B8E513"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consumers and witnesses who are aware of the THN Pilot</w:t>
            </w:r>
          </w:p>
        </w:tc>
        <w:tc>
          <w:tcPr>
            <w:tcW w:w="2415" w:type="dxa"/>
            <w:shd w:val="clear" w:color="auto" w:fill="auto"/>
            <w:vAlign w:val="center"/>
            <w:hideMark/>
          </w:tcPr>
          <w:p w14:paraId="003910B4"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with consumers and witnesses</w:t>
            </w:r>
          </w:p>
        </w:tc>
        <w:tc>
          <w:tcPr>
            <w:tcW w:w="3964" w:type="dxa"/>
            <w:shd w:val="clear" w:color="auto" w:fill="auto"/>
            <w:vAlign w:val="center"/>
            <w:hideMark/>
          </w:tcPr>
          <w:p w14:paraId="2842742D"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7284C092" w14:textId="77777777" w:rsidTr="003D0F16">
        <w:trPr>
          <w:trHeight w:val="20"/>
        </w:trPr>
        <w:tc>
          <w:tcPr>
            <w:tcW w:w="2274" w:type="dxa"/>
            <w:shd w:val="clear" w:color="auto" w:fill="auto"/>
            <w:noWrap/>
            <w:vAlign w:val="center"/>
            <w:hideMark/>
          </w:tcPr>
          <w:p w14:paraId="0FF29040"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6794AB9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Increased community awareness of THN: health providers, </w:t>
            </w:r>
            <w:r w:rsidRPr="00135A4F">
              <w:rPr>
                <w:rFonts w:asciiTheme="majorHAnsi" w:eastAsia="Times New Roman" w:hAnsiTheme="majorHAnsi" w:cstheme="majorHAnsi"/>
                <w:sz w:val="18"/>
                <w:szCs w:val="18"/>
                <w:lang w:eastAsia="en-AU"/>
              </w:rPr>
              <w:lastRenderedPageBreak/>
              <w:t xml:space="preserve">prescription/non-prescription consumers, witnesses </w:t>
            </w:r>
          </w:p>
        </w:tc>
        <w:tc>
          <w:tcPr>
            <w:tcW w:w="3118" w:type="dxa"/>
            <w:shd w:val="clear" w:color="auto" w:fill="auto"/>
            <w:vAlign w:val="center"/>
            <w:hideMark/>
          </w:tcPr>
          <w:p w14:paraId="4D87662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lastRenderedPageBreak/>
              <w:t># of consumers and witnesses who are knowledgeable on how to administer Naloxone</w:t>
            </w:r>
          </w:p>
        </w:tc>
        <w:tc>
          <w:tcPr>
            <w:tcW w:w="2415" w:type="dxa"/>
            <w:shd w:val="clear" w:color="auto" w:fill="auto"/>
            <w:vAlign w:val="center"/>
            <w:hideMark/>
          </w:tcPr>
          <w:p w14:paraId="5E666C50"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Semi-structured Interview with </w:t>
            </w:r>
            <w:r w:rsidRPr="00135A4F">
              <w:rPr>
                <w:rFonts w:asciiTheme="majorHAnsi" w:eastAsia="Times New Roman" w:hAnsiTheme="majorHAnsi" w:cstheme="majorHAnsi"/>
                <w:sz w:val="18"/>
                <w:szCs w:val="18"/>
                <w:lang w:eastAsia="en-AU"/>
              </w:rPr>
              <w:lastRenderedPageBreak/>
              <w:t>consumers and witnesses</w:t>
            </w:r>
          </w:p>
        </w:tc>
        <w:tc>
          <w:tcPr>
            <w:tcW w:w="3964" w:type="dxa"/>
            <w:shd w:val="clear" w:color="auto" w:fill="auto"/>
            <w:vAlign w:val="center"/>
            <w:hideMark/>
          </w:tcPr>
          <w:p w14:paraId="1A560EDC"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lastRenderedPageBreak/>
              <w:t>THN Pilot Evaluation Data</w:t>
            </w:r>
          </w:p>
        </w:tc>
      </w:tr>
      <w:tr w:rsidR="00804EDD" w:rsidRPr="006432C4" w14:paraId="36A760E1" w14:textId="77777777" w:rsidTr="003D0F16">
        <w:trPr>
          <w:trHeight w:val="20"/>
        </w:trPr>
        <w:tc>
          <w:tcPr>
            <w:tcW w:w="2274" w:type="dxa"/>
            <w:shd w:val="clear" w:color="auto" w:fill="auto"/>
            <w:noWrap/>
            <w:vAlign w:val="center"/>
            <w:hideMark/>
          </w:tcPr>
          <w:p w14:paraId="69DC992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4EEC273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Increased community awareness of THN: health providers, prescription/non-prescription consumers, witnesses </w:t>
            </w:r>
          </w:p>
        </w:tc>
        <w:tc>
          <w:tcPr>
            <w:tcW w:w="3118" w:type="dxa"/>
            <w:shd w:val="clear" w:color="auto" w:fill="auto"/>
            <w:vAlign w:val="center"/>
            <w:hideMark/>
          </w:tcPr>
          <w:p w14:paraId="54AA203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people who use illicit opioids who have heard of THN Pilot</w:t>
            </w:r>
          </w:p>
        </w:tc>
        <w:tc>
          <w:tcPr>
            <w:tcW w:w="2415" w:type="dxa"/>
            <w:shd w:val="clear" w:color="auto" w:fill="auto"/>
            <w:vAlign w:val="center"/>
            <w:hideMark/>
          </w:tcPr>
          <w:p w14:paraId="1DA365CE"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Existing survey data</w:t>
            </w:r>
          </w:p>
        </w:tc>
        <w:tc>
          <w:tcPr>
            <w:tcW w:w="3964" w:type="dxa"/>
            <w:shd w:val="clear" w:color="auto" w:fill="auto"/>
            <w:vAlign w:val="center"/>
            <w:hideMark/>
          </w:tcPr>
          <w:p w14:paraId="208558A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IDRS Survey</w:t>
            </w:r>
          </w:p>
        </w:tc>
      </w:tr>
      <w:tr w:rsidR="00804EDD" w:rsidRPr="006432C4" w14:paraId="2D17E60E" w14:textId="77777777" w:rsidTr="003D0F16">
        <w:trPr>
          <w:trHeight w:val="20"/>
        </w:trPr>
        <w:tc>
          <w:tcPr>
            <w:tcW w:w="2274" w:type="dxa"/>
            <w:shd w:val="clear" w:color="auto" w:fill="auto"/>
            <w:noWrap/>
            <w:vAlign w:val="center"/>
            <w:hideMark/>
          </w:tcPr>
          <w:p w14:paraId="4E3C598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7C4355F3"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Increased community awareness of THN: health providers, prescription/non-prescription consumers, witnesses </w:t>
            </w:r>
          </w:p>
        </w:tc>
        <w:tc>
          <w:tcPr>
            <w:tcW w:w="3118" w:type="dxa"/>
            <w:shd w:val="clear" w:color="auto" w:fill="auto"/>
            <w:vAlign w:val="center"/>
            <w:hideMark/>
          </w:tcPr>
          <w:p w14:paraId="3E45372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Staff (health providers) are aware of the policies and procedures of the Pilot and THN distribution</w:t>
            </w:r>
          </w:p>
        </w:tc>
        <w:tc>
          <w:tcPr>
            <w:tcW w:w="2415" w:type="dxa"/>
            <w:shd w:val="clear" w:color="auto" w:fill="auto"/>
            <w:vAlign w:val="center"/>
            <w:hideMark/>
          </w:tcPr>
          <w:p w14:paraId="00628268"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Semi-structured interview</w:t>
            </w:r>
          </w:p>
        </w:tc>
        <w:tc>
          <w:tcPr>
            <w:tcW w:w="3964" w:type="dxa"/>
            <w:shd w:val="clear" w:color="auto" w:fill="auto"/>
            <w:vAlign w:val="center"/>
            <w:hideMark/>
          </w:tcPr>
          <w:p w14:paraId="5E318714"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4F52F0EF" w14:textId="77777777" w:rsidTr="003D0F16">
        <w:trPr>
          <w:trHeight w:val="20"/>
        </w:trPr>
        <w:tc>
          <w:tcPr>
            <w:tcW w:w="2274" w:type="dxa"/>
            <w:shd w:val="clear" w:color="auto" w:fill="auto"/>
            <w:noWrap/>
            <w:vAlign w:val="center"/>
            <w:hideMark/>
          </w:tcPr>
          <w:p w14:paraId="08E17C8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4D723D6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More access sites are credentialed to supply THN</w:t>
            </w:r>
          </w:p>
        </w:tc>
        <w:tc>
          <w:tcPr>
            <w:tcW w:w="3118" w:type="dxa"/>
            <w:shd w:val="clear" w:color="auto" w:fill="auto"/>
            <w:vAlign w:val="center"/>
            <w:hideMark/>
          </w:tcPr>
          <w:p w14:paraId="32AA586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credentialed access sites</w:t>
            </w:r>
          </w:p>
        </w:tc>
        <w:tc>
          <w:tcPr>
            <w:tcW w:w="2415" w:type="dxa"/>
            <w:shd w:val="clear" w:color="auto" w:fill="auto"/>
            <w:vAlign w:val="center"/>
            <w:hideMark/>
          </w:tcPr>
          <w:p w14:paraId="4C0E6C44"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Administrative data</w:t>
            </w:r>
          </w:p>
        </w:tc>
        <w:tc>
          <w:tcPr>
            <w:tcW w:w="3964" w:type="dxa"/>
            <w:shd w:val="clear" w:color="auto" w:fill="auto"/>
            <w:vAlign w:val="center"/>
            <w:hideMark/>
          </w:tcPr>
          <w:p w14:paraId="605C486A" w14:textId="7729B126"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697738" w:rsidRPr="006432C4" w14:paraId="184EBEE3" w14:textId="77777777" w:rsidTr="003D0F16">
        <w:trPr>
          <w:trHeight w:val="20"/>
        </w:trPr>
        <w:tc>
          <w:tcPr>
            <w:tcW w:w="2274" w:type="dxa"/>
            <w:shd w:val="clear" w:color="auto" w:fill="auto"/>
            <w:noWrap/>
            <w:vAlign w:val="center"/>
            <w:hideMark/>
          </w:tcPr>
          <w:p w14:paraId="3BF1E64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vAlign w:val="center"/>
            <w:hideMark/>
          </w:tcPr>
          <w:p w14:paraId="4A1C0962" w14:textId="5B2FFAA1"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Consistent delivery of B</w:t>
            </w:r>
            <w:r w:rsidR="001E0DC1">
              <w:rPr>
                <w:rFonts w:asciiTheme="majorHAnsi" w:eastAsia="Times New Roman" w:hAnsiTheme="majorHAnsi" w:cstheme="majorHAnsi"/>
                <w:sz w:val="18"/>
                <w:szCs w:val="18"/>
                <w:lang w:eastAsia="en-AU"/>
              </w:rPr>
              <w:t>rief intervention</w:t>
            </w:r>
            <w:r w:rsidRPr="00135A4F">
              <w:rPr>
                <w:rFonts w:asciiTheme="majorHAnsi" w:eastAsia="Times New Roman" w:hAnsiTheme="majorHAnsi" w:cstheme="majorHAnsi"/>
                <w:sz w:val="18"/>
                <w:szCs w:val="18"/>
                <w:lang w:eastAsia="en-AU"/>
              </w:rPr>
              <w:t>/advice to consumers/witnesses</w:t>
            </w:r>
          </w:p>
        </w:tc>
        <w:tc>
          <w:tcPr>
            <w:tcW w:w="3118" w:type="dxa"/>
            <w:shd w:val="clear" w:color="auto" w:fill="FFFFFF" w:themeFill="background1"/>
            <w:vAlign w:val="center"/>
            <w:hideMark/>
          </w:tcPr>
          <w:p w14:paraId="30A0DB68" w14:textId="3AF81AFC"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of consumers/witnesses who received </w:t>
            </w:r>
            <w:r w:rsidR="001E0DC1">
              <w:rPr>
                <w:rFonts w:asciiTheme="majorHAnsi" w:eastAsia="Times New Roman" w:hAnsiTheme="majorHAnsi" w:cstheme="majorHAnsi"/>
                <w:sz w:val="18"/>
                <w:szCs w:val="18"/>
                <w:lang w:eastAsia="en-AU"/>
              </w:rPr>
              <w:t>brief intervention</w:t>
            </w:r>
            <w:r w:rsidRPr="00135A4F">
              <w:rPr>
                <w:rFonts w:asciiTheme="majorHAnsi" w:eastAsia="Times New Roman" w:hAnsiTheme="majorHAnsi" w:cstheme="majorHAnsi"/>
                <w:sz w:val="18"/>
                <w:szCs w:val="18"/>
                <w:lang w:eastAsia="en-AU"/>
              </w:rPr>
              <w:t xml:space="preserve"> at credentialled access site</w:t>
            </w:r>
          </w:p>
        </w:tc>
        <w:tc>
          <w:tcPr>
            <w:tcW w:w="2415" w:type="dxa"/>
            <w:shd w:val="clear" w:color="auto" w:fill="auto"/>
            <w:vAlign w:val="center"/>
            <w:hideMark/>
          </w:tcPr>
          <w:p w14:paraId="260DE05A"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Administrative data</w:t>
            </w:r>
          </w:p>
        </w:tc>
        <w:tc>
          <w:tcPr>
            <w:tcW w:w="3964" w:type="dxa"/>
            <w:shd w:val="clear" w:color="auto" w:fill="auto"/>
            <w:vAlign w:val="center"/>
            <w:hideMark/>
          </w:tcPr>
          <w:p w14:paraId="7D649FAE" w14:textId="157DF0C6" w:rsidR="00CA5EEA" w:rsidRPr="00135A4F" w:rsidRDefault="005C69BB"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Pr>
                <w:rFonts w:asciiTheme="majorHAnsi" w:eastAsia="Times New Roman" w:hAnsiTheme="majorHAnsi" w:cstheme="majorHAnsi"/>
                <w:sz w:val="18"/>
                <w:szCs w:val="18"/>
                <w:lang w:eastAsia="en-AU"/>
              </w:rPr>
              <w:t>PP</w:t>
            </w:r>
            <w:r w:rsidR="00CA5EEA" w:rsidRPr="00135A4F">
              <w:rPr>
                <w:rFonts w:asciiTheme="majorHAnsi" w:eastAsia="Times New Roman" w:hAnsiTheme="majorHAnsi" w:cstheme="majorHAnsi"/>
                <w:sz w:val="18"/>
                <w:szCs w:val="18"/>
                <w:lang w:eastAsia="en-AU"/>
              </w:rPr>
              <w:t>A Data Portal</w:t>
            </w:r>
          </w:p>
        </w:tc>
      </w:tr>
      <w:tr w:rsidR="00804EDD" w:rsidRPr="006432C4" w14:paraId="21F9F42F" w14:textId="77777777" w:rsidTr="003D0F16">
        <w:trPr>
          <w:trHeight w:val="20"/>
        </w:trPr>
        <w:tc>
          <w:tcPr>
            <w:tcW w:w="2274" w:type="dxa"/>
            <w:shd w:val="clear" w:color="auto" w:fill="auto"/>
            <w:noWrap/>
            <w:vAlign w:val="center"/>
            <w:hideMark/>
          </w:tcPr>
          <w:p w14:paraId="1FFDDAD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vAlign w:val="center"/>
            <w:hideMark/>
          </w:tcPr>
          <w:p w14:paraId="68C2264D" w14:textId="6332C45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Consistent delivery of B</w:t>
            </w:r>
            <w:r w:rsidR="00563C8E">
              <w:rPr>
                <w:rFonts w:asciiTheme="majorHAnsi" w:eastAsia="Times New Roman" w:hAnsiTheme="majorHAnsi" w:cstheme="majorHAnsi"/>
                <w:sz w:val="18"/>
                <w:szCs w:val="18"/>
                <w:lang w:eastAsia="en-AU"/>
              </w:rPr>
              <w:t xml:space="preserve">rief </w:t>
            </w:r>
            <w:r w:rsidRPr="00135A4F">
              <w:rPr>
                <w:rFonts w:asciiTheme="majorHAnsi" w:eastAsia="Times New Roman" w:hAnsiTheme="majorHAnsi" w:cstheme="majorHAnsi"/>
                <w:sz w:val="18"/>
                <w:szCs w:val="18"/>
                <w:lang w:eastAsia="en-AU"/>
              </w:rPr>
              <w:t>I</w:t>
            </w:r>
            <w:r w:rsidR="00563C8E">
              <w:rPr>
                <w:rFonts w:asciiTheme="majorHAnsi" w:eastAsia="Times New Roman" w:hAnsiTheme="majorHAnsi" w:cstheme="majorHAnsi"/>
                <w:sz w:val="18"/>
                <w:szCs w:val="18"/>
                <w:lang w:eastAsia="en-AU"/>
              </w:rPr>
              <w:t>ntervention</w:t>
            </w:r>
            <w:r w:rsidRPr="00135A4F">
              <w:rPr>
                <w:rFonts w:asciiTheme="majorHAnsi" w:eastAsia="Times New Roman" w:hAnsiTheme="majorHAnsi" w:cstheme="majorHAnsi"/>
                <w:sz w:val="18"/>
                <w:szCs w:val="18"/>
                <w:lang w:eastAsia="en-AU"/>
              </w:rPr>
              <w:t>/advice to consumers/witnesses</w:t>
            </w:r>
          </w:p>
        </w:tc>
        <w:tc>
          <w:tcPr>
            <w:tcW w:w="3118" w:type="dxa"/>
            <w:shd w:val="clear" w:color="auto" w:fill="auto"/>
            <w:vAlign w:val="center"/>
            <w:hideMark/>
          </w:tcPr>
          <w:p w14:paraId="7B4445E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Brief intervention/advice/education given to all consumers/witnesses who were given THN</w:t>
            </w:r>
          </w:p>
        </w:tc>
        <w:tc>
          <w:tcPr>
            <w:tcW w:w="2415" w:type="dxa"/>
            <w:shd w:val="clear" w:color="auto" w:fill="auto"/>
            <w:vAlign w:val="center"/>
            <w:hideMark/>
          </w:tcPr>
          <w:p w14:paraId="053A2794" w14:textId="77777777" w:rsidR="00CA5EEA"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with consumers and witnesses</w:t>
            </w:r>
          </w:p>
          <w:p w14:paraId="230D1409" w14:textId="40CB00E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Mystery </w:t>
            </w:r>
            <w:r w:rsidR="005E4188" w:rsidRPr="00135A4F">
              <w:rPr>
                <w:rFonts w:asciiTheme="majorHAnsi" w:eastAsia="Times New Roman" w:hAnsiTheme="majorHAnsi" w:cstheme="majorHAnsi"/>
                <w:sz w:val="18"/>
                <w:szCs w:val="18"/>
                <w:lang w:eastAsia="en-AU"/>
              </w:rPr>
              <w:t>shopp</w:t>
            </w:r>
            <w:r w:rsidR="005E4188">
              <w:rPr>
                <w:rFonts w:asciiTheme="majorHAnsi" w:eastAsia="Times New Roman" w:hAnsiTheme="majorHAnsi" w:cstheme="majorHAnsi"/>
                <w:sz w:val="18"/>
                <w:szCs w:val="18"/>
                <w:lang w:eastAsia="en-AU"/>
              </w:rPr>
              <w:t>ing</w:t>
            </w:r>
          </w:p>
        </w:tc>
        <w:tc>
          <w:tcPr>
            <w:tcW w:w="3964" w:type="dxa"/>
            <w:shd w:val="clear" w:color="auto" w:fill="auto"/>
            <w:vAlign w:val="center"/>
            <w:hideMark/>
          </w:tcPr>
          <w:p w14:paraId="47C66ABF"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24DF2265" w14:textId="77777777" w:rsidTr="003D0F16">
        <w:trPr>
          <w:trHeight w:val="20"/>
        </w:trPr>
        <w:tc>
          <w:tcPr>
            <w:tcW w:w="2274" w:type="dxa"/>
            <w:shd w:val="clear" w:color="auto" w:fill="auto"/>
            <w:noWrap/>
            <w:vAlign w:val="center"/>
            <w:hideMark/>
          </w:tcPr>
          <w:p w14:paraId="0D197DE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25FFBDB1"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Good practice in THN provision across access sites</w:t>
            </w:r>
          </w:p>
        </w:tc>
        <w:tc>
          <w:tcPr>
            <w:tcW w:w="3118" w:type="dxa"/>
            <w:shd w:val="clear" w:color="auto" w:fill="auto"/>
            <w:vAlign w:val="center"/>
            <w:hideMark/>
          </w:tcPr>
          <w:p w14:paraId="5F1D00AC" w14:textId="47712FED"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Mystery </w:t>
            </w:r>
            <w:r w:rsidR="009228F3">
              <w:rPr>
                <w:rFonts w:asciiTheme="majorHAnsi" w:eastAsia="Times New Roman" w:hAnsiTheme="majorHAnsi" w:cstheme="majorHAnsi"/>
                <w:sz w:val="18"/>
                <w:szCs w:val="18"/>
                <w:lang w:eastAsia="en-AU"/>
              </w:rPr>
              <w:t>shopping</w:t>
            </w:r>
            <w:r w:rsidRPr="00135A4F">
              <w:rPr>
                <w:rFonts w:asciiTheme="majorHAnsi" w:eastAsia="Times New Roman" w:hAnsiTheme="majorHAnsi" w:cstheme="majorHAnsi"/>
                <w:sz w:val="18"/>
                <w:szCs w:val="18"/>
                <w:lang w:eastAsia="en-AU"/>
              </w:rPr>
              <w:t xml:space="preserve"> report the standard of service across access sites*</w:t>
            </w:r>
          </w:p>
        </w:tc>
        <w:tc>
          <w:tcPr>
            <w:tcW w:w="2415" w:type="dxa"/>
            <w:shd w:val="clear" w:color="auto" w:fill="auto"/>
            <w:vAlign w:val="center"/>
            <w:hideMark/>
          </w:tcPr>
          <w:p w14:paraId="76AFAA5C" w14:textId="51C9658F"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Mystery </w:t>
            </w:r>
            <w:r w:rsidR="005E4188">
              <w:rPr>
                <w:rFonts w:asciiTheme="majorHAnsi" w:eastAsia="Times New Roman" w:hAnsiTheme="majorHAnsi" w:cstheme="majorHAnsi"/>
                <w:sz w:val="18"/>
                <w:szCs w:val="18"/>
                <w:lang w:eastAsia="en-AU"/>
              </w:rPr>
              <w:t>shopping</w:t>
            </w:r>
            <w:r w:rsidRPr="00135A4F">
              <w:rPr>
                <w:rFonts w:asciiTheme="majorHAnsi" w:eastAsia="Times New Roman" w:hAnsiTheme="majorHAnsi" w:cstheme="majorHAnsi"/>
                <w:sz w:val="18"/>
                <w:szCs w:val="18"/>
                <w:lang w:eastAsia="en-AU"/>
              </w:rPr>
              <w:t xml:space="preserve"> </w:t>
            </w:r>
          </w:p>
        </w:tc>
        <w:tc>
          <w:tcPr>
            <w:tcW w:w="3964" w:type="dxa"/>
            <w:shd w:val="clear" w:color="auto" w:fill="auto"/>
            <w:vAlign w:val="center"/>
            <w:hideMark/>
          </w:tcPr>
          <w:p w14:paraId="4C27907E"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4C3FE988" w14:textId="77777777" w:rsidTr="003D0F16">
        <w:trPr>
          <w:trHeight w:val="20"/>
        </w:trPr>
        <w:tc>
          <w:tcPr>
            <w:tcW w:w="2274" w:type="dxa"/>
            <w:shd w:val="clear" w:color="auto" w:fill="auto"/>
            <w:noWrap/>
            <w:vAlign w:val="center"/>
            <w:hideMark/>
          </w:tcPr>
          <w:p w14:paraId="1F37306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234852E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Good practice in THN provision across access sites</w:t>
            </w:r>
          </w:p>
        </w:tc>
        <w:tc>
          <w:tcPr>
            <w:tcW w:w="3118" w:type="dxa"/>
            <w:shd w:val="clear" w:color="auto" w:fill="auto"/>
            <w:vAlign w:val="center"/>
            <w:hideMark/>
          </w:tcPr>
          <w:p w14:paraId="28A15B4F"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Consumers and witnesses report the treatment they experienced at the access sites</w:t>
            </w:r>
          </w:p>
        </w:tc>
        <w:tc>
          <w:tcPr>
            <w:tcW w:w="2415" w:type="dxa"/>
            <w:shd w:val="clear" w:color="auto" w:fill="auto"/>
            <w:vAlign w:val="center"/>
            <w:hideMark/>
          </w:tcPr>
          <w:p w14:paraId="5138B50C"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with consumers and witnesses</w:t>
            </w:r>
          </w:p>
        </w:tc>
        <w:tc>
          <w:tcPr>
            <w:tcW w:w="3964" w:type="dxa"/>
            <w:shd w:val="clear" w:color="auto" w:fill="auto"/>
            <w:vAlign w:val="center"/>
            <w:hideMark/>
          </w:tcPr>
          <w:p w14:paraId="078674EA"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5E83FE84" w14:textId="77777777" w:rsidTr="003D0F16">
        <w:trPr>
          <w:trHeight w:val="20"/>
        </w:trPr>
        <w:tc>
          <w:tcPr>
            <w:tcW w:w="2274" w:type="dxa"/>
            <w:shd w:val="clear" w:color="auto" w:fill="auto"/>
            <w:noWrap/>
            <w:vAlign w:val="center"/>
            <w:hideMark/>
          </w:tcPr>
          <w:p w14:paraId="4AEEECE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4B036CB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Continuous/sufficient supply of THN to access sites is maintained</w:t>
            </w:r>
          </w:p>
        </w:tc>
        <w:tc>
          <w:tcPr>
            <w:tcW w:w="3118" w:type="dxa"/>
            <w:shd w:val="clear" w:color="auto" w:fill="auto"/>
            <w:vAlign w:val="center"/>
            <w:hideMark/>
          </w:tcPr>
          <w:p w14:paraId="5D6E08D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credentialed access sites without any backorders</w:t>
            </w:r>
          </w:p>
        </w:tc>
        <w:tc>
          <w:tcPr>
            <w:tcW w:w="2415" w:type="dxa"/>
            <w:shd w:val="clear" w:color="auto" w:fill="auto"/>
            <w:vAlign w:val="center"/>
            <w:hideMark/>
          </w:tcPr>
          <w:p w14:paraId="6156C719"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w:t>
            </w:r>
          </w:p>
        </w:tc>
        <w:tc>
          <w:tcPr>
            <w:tcW w:w="3964" w:type="dxa"/>
            <w:shd w:val="clear" w:color="auto" w:fill="auto"/>
            <w:vAlign w:val="center"/>
            <w:hideMark/>
          </w:tcPr>
          <w:p w14:paraId="5920E87E"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74B4E812" w14:textId="77777777" w:rsidTr="003D0F16">
        <w:trPr>
          <w:trHeight w:val="20"/>
        </w:trPr>
        <w:tc>
          <w:tcPr>
            <w:tcW w:w="2274" w:type="dxa"/>
            <w:shd w:val="clear" w:color="auto" w:fill="auto"/>
            <w:noWrap/>
            <w:vAlign w:val="center"/>
            <w:hideMark/>
          </w:tcPr>
          <w:p w14:paraId="08C7F881"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7A952B93"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Continuous/sufficient supply of THN to access sites is maintained</w:t>
            </w:r>
          </w:p>
        </w:tc>
        <w:tc>
          <w:tcPr>
            <w:tcW w:w="3118" w:type="dxa"/>
            <w:shd w:val="clear" w:color="auto" w:fill="auto"/>
            <w:vAlign w:val="center"/>
            <w:hideMark/>
          </w:tcPr>
          <w:p w14:paraId="47B5A7E1"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Access sites report the status of THN supply in their facility</w:t>
            </w:r>
          </w:p>
        </w:tc>
        <w:tc>
          <w:tcPr>
            <w:tcW w:w="2415" w:type="dxa"/>
            <w:shd w:val="clear" w:color="auto" w:fill="auto"/>
            <w:vAlign w:val="center"/>
            <w:hideMark/>
          </w:tcPr>
          <w:p w14:paraId="1EF637C9"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w:t>
            </w:r>
          </w:p>
        </w:tc>
        <w:tc>
          <w:tcPr>
            <w:tcW w:w="3964" w:type="dxa"/>
            <w:shd w:val="clear" w:color="auto" w:fill="auto"/>
            <w:vAlign w:val="center"/>
            <w:hideMark/>
          </w:tcPr>
          <w:p w14:paraId="66C6D3B6"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0E3E6173" w14:textId="77777777" w:rsidTr="003D0F16">
        <w:trPr>
          <w:trHeight w:val="20"/>
        </w:trPr>
        <w:tc>
          <w:tcPr>
            <w:tcW w:w="2274" w:type="dxa"/>
            <w:shd w:val="clear" w:color="auto" w:fill="auto"/>
            <w:noWrap/>
            <w:vAlign w:val="center"/>
            <w:hideMark/>
          </w:tcPr>
          <w:p w14:paraId="5B37FD83"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Immediate Outcome</w:t>
            </w:r>
          </w:p>
        </w:tc>
        <w:tc>
          <w:tcPr>
            <w:tcW w:w="3397" w:type="dxa"/>
            <w:shd w:val="clear" w:color="auto" w:fill="auto"/>
            <w:noWrap/>
            <w:vAlign w:val="center"/>
            <w:hideMark/>
          </w:tcPr>
          <w:p w14:paraId="0E0577EA"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Consumers and witnesses possess Naloxone</w:t>
            </w:r>
          </w:p>
        </w:tc>
        <w:tc>
          <w:tcPr>
            <w:tcW w:w="3118" w:type="dxa"/>
            <w:shd w:val="clear" w:color="auto" w:fill="auto"/>
            <w:vAlign w:val="center"/>
            <w:hideMark/>
          </w:tcPr>
          <w:p w14:paraId="02D60003" w14:textId="65E907E3"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consumers and witnesses who accessed THN provided by credentialed access sites (includes both first time and repeated users)</w:t>
            </w:r>
          </w:p>
        </w:tc>
        <w:tc>
          <w:tcPr>
            <w:tcW w:w="2415" w:type="dxa"/>
            <w:shd w:val="clear" w:color="auto" w:fill="auto"/>
            <w:vAlign w:val="center"/>
            <w:hideMark/>
          </w:tcPr>
          <w:p w14:paraId="66CB28D0"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with consumers and witnesses</w:t>
            </w:r>
            <w:r w:rsidRPr="00135A4F">
              <w:rPr>
                <w:rFonts w:asciiTheme="majorHAnsi" w:eastAsia="Times New Roman" w:hAnsiTheme="majorHAnsi" w:cstheme="majorHAnsi"/>
                <w:sz w:val="18"/>
                <w:szCs w:val="18"/>
                <w:lang w:eastAsia="en-AU"/>
              </w:rPr>
              <w:br/>
              <w:t xml:space="preserve"> -Administrative data</w:t>
            </w:r>
          </w:p>
        </w:tc>
        <w:tc>
          <w:tcPr>
            <w:tcW w:w="3964" w:type="dxa"/>
            <w:shd w:val="clear" w:color="auto" w:fill="auto"/>
            <w:vAlign w:val="center"/>
            <w:hideMark/>
          </w:tcPr>
          <w:p w14:paraId="1AE99679" w14:textId="774CF7BD"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r w:rsidRPr="00135A4F">
              <w:rPr>
                <w:rFonts w:asciiTheme="majorHAnsi" w:eastAsia="Times New Roman" w:hAnsiTheme="majorHAnsi" w:cstheme="majorHAnsi"/>
                <w:sz w:val="18"/>
                <w:szCs w:val="18"/>
                <w:lang w:eastAsia="en-AU"/>
              </w:rPr>
              <w:br/>
              <w:t xml:space="preserve"> -</w:t>
            </w:r>
            <w:r w:rsidR="00F9751C">
              <w:rPr>
                <w:rFonts w:asciiTheme="majorHAnsi" w:eastAsia="Times New Roman" w:hAnsiTheme="majorHAnsi" w:cstheme="majorHAnsi"/>
                <w:sz w:val="18"/>
                <w:szCs w:val="18"/>
                <w:lang w:eastAsia="en-AU"/>
              </w:rPr>
              <w:t>PPA</w:t>
            </w:r>
            <w:r w:rsidRPr="00135A4F">
              <w:rPr>
                <w:rFonts w:asciiTheme="majorHAnsi" w:eastAsia="Times New Roman" w:hAnsiTheme="majorHAnsi" w:cstheme="majorHAnsi"/>
                <w:sz w:val="18"/>
                <w:szCs w:val="18"/>
                <w:lang w:eastAsia="en-AU"/>
              </w:rPr>
              <w:t xml:space="preserve"> Data Portal</w:t>
            </w:r>
          </w:p>
        </w:tc>
      </w:tr>
      <w:tr w:rsidR="00804EDD" w:rsidRPr="006432C4" w14:paraId="32F98549" w14:textId="77777777" w:rsidTr="003D0F16">
        <w:trPr>
          <w:trHeight w:val="20"/>
        </w:trPr>
        <w:tc>
          <w:tcPr>
            <w:tcW w:w="2274" w:type="dxa"/>
            <w:shd w:val="clear" w:color="auto" w:fill="auto"/>
            <w:noWrap/>
            <w:vAlign w:val="center"/>
            <w:hideMark/>
          </w:tcPr>
          <w:p w14:paraId="0A2D22D1"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lastRenderedPageBreak/>
              <w:t>Immediate Outcome</w:t>
            </w:r>
          </w:p>
        </w:tc>
        <w:tc>
          <w:tcPr>
            <w:tcW w:w="3397" w:type="dxa"/>
            <w:shd w:val="clear" w:color="auto" w:fill="auto"/>
            <w:noWrap/>
            <w:vAlign w:val="center"/>
            <w:hideMark/>
          </w:tcPr>
          <w:p w14:paraId="009D5B9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Consumers and witnesses possess Naloxone</w:t>
            </w:r>
          </w:p>
        </w:tc>
        <w:tc>
          <w:tcPr>
            <w:tcW w:w="3118" w:type="dxa"/>
            <w:shd w:val="clear" w:color="auto" w:fill="auto"/>
            <w:vAlign w:val="center"/>
            <w:hideMark/>
          </w:tcPr>
          <w:p w14:paraId="2FCF2AB0"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Consumer home postcode is adjacent/near access site postcode</w:t>
            </w:r>
          </w:p>
        </w:tc>
        <w:tc>
          <w:tcPr>
            <w:tcW w:w="2415" w:type="dxa"/>
            <w:shd w:val="clear" w:color="auto" w:fill="auto"/>
            <w:vAlign w:val="center"/>
            <w:hideMark/>
          </w:tcPr>
          <w:p w14:paraId="39A56753" w14:textId="77777777" w:rsidR="00CA5EEA"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Semi-structured Interview with consumers and witnesses</w:t>
            </w:r>
          </w:p>
          <w:p w14:paraId="1979A1C6"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Administrative data</w:t>
            </w:r>
          </w:p>
        </w:tc>
        <w:tc>
          <w:tcPr>
            <w:tcW w:w="3964" w:type="dxa"/>
            <w:shd w:val="clear" w:color="auto" w:fill="auto"/>
            <w:vAlign w:val="center"/>
            <w:hideMark/>
          </w:tcPr>
          <w:p w14:paraId="6A3FF727" w14:textId="0882DC61"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r w:rsidRPr="00135A4F">
              <w:rPr>
                <w:rFonts w:asciiTheme="majorHAnsi" w:eastAsia="Times New Roman" w:hAnsiTheme="majorHAnsi" w:cstheme="majorHAnsi"/>
                <w:sz w:val="18"/>
                <w:szCs w:val="18"/>
                <w:lang w:eastAsia="en-AU"/>
              </w:rPr>
              <w:br/>
              <w:t xml:space="preserve"> -</w:t>
            </w:r>
            <w:r w:rsidR="00F9751C">
              <w:rPr>
                <w:rFonts w:asciiTheme="majorHAnsi" w:eastAsia="Times New Roman" w:hAnsiTheme="majorHAnsi" w:cstheme="majorHAnsi"/>
                <w:sz w:val="18"/>
                <w:szCs w:val="18"/>
                <w:lang w:eastAsia="en-AU"/>
              </w:rPr>
              <w:t>PP</w:t>
            </w:r>
            <w:r w:rsidRPr="00135A4F">
              <w:rPr>
                <w:rFonts w:asciiTheme="majorHAnsi" w:eastAsia="Times New Roman" w:hAnsiTheme="majorHAnsi" w:cstheme="majorHAnsi"/>
                <w:sz w:val="18"/>
                <w:szCs w:val="18"/>
                <w:lang w:eastAsia="en-AU"/>
              </w:rPr>
              <w:t>A Data Portal</w:t>
            </w:r>
          </w:p>
        </w:tc>
      </w:tr>
      <w:tr w:rsidR="00804EDD" w:rsidRPr="006432C4" w14:paraId="4F0D7F7C" w14:textId="77777777" w:rsidTr="003D0F16">
        <w:trPr>
          <w:trHeight w:val="20"/>
        </w:trPr>
        <w:tc>
          <w:tcPr>
            <w:tcW w:w="2274" w:type="dxa"/>
            <w:shd w:val="clear" w:color="auto" w:fill="auto"/>
            <w:noWrap/>
            <w:vAlign w:val="center"/>
            <w:hideMark/>
          </w:tcPr>
          <w:p w14:paraId="297B0D80"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70C1A20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Implementation meetings</w:t>
            </w:r>
          </w:p>
        </w:tc>
        <w:tc>
          <w:tcPr>
            <w:tcW w:w="3118" w:type="dxa"/>
            <w:shd w:val="clear" w:color="auto" w:fill="auto"/>
            <w:vAlign w:val="center"/>
            <w:hideMark/>
          </w:tcPr>
          <w:p w14:paraId="4F716E5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stakeholder meetings conducted at national level</w:t>
            </w:r>
          </w:p>
        </w:tc>
        <w:tc>
          <w:tcPr>
            <w:tcW w:w="2415" w:type="dxa"/>
            <w:shd w:val="clear" w:color="auto" w:fill="auto"/>
            <w:vAlign w:val="center"/>
            <w:hideMark/>
          </w:tcPr>
          <w:p w14:paraId="4DA2AEE2"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Administrative Data </w:t>
            </w:r>
          </w:p>
        </w:tc>
        <w:tc>
          <w:tcPr>
            <w:tcW w:w="3964" w:type="dxa"/>
            <w:shd w:val="clear" w:color="auto" w:fill="auto"/>
            <w:vAlign w:val="center"/>
            <w:hideMark/>
          </w:tcPr>
          <w:p w14:paraId="751C058A" w14:textId="1B8A9A0C"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49D81ADC" w14:textId="77777777" w:rsidTr="003D0F16">
        <w:trPr>
          <w:trHeight w:val="20"/>
        </w:trPr>
        <w:tc>
          <w:tcPr>
            <w:tcW w:w="2274" w:type="dxa"/>
            <w:shd w:val="clear" w:color="auto" w:fill="auto"/>
            <w:noWrap/>
            <w:vAlign w:val="center"/>
            <w:hideMark/>
          </w:tcPr>
          <w:p w14:paraId="53E097B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6A29B90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Implementation meetings</w:t>
            </w:r>
          </w:p>
        </w:tc>
        <w:tc>
          <w:tcPr>
            <w:tcW w:w="3118" w:type="dxa"/>
            <w:shd w:val="clear" w:color="auto" w:fill="auto"/>
            <w:vAlign w:val="center"/>
            <w:hideMark/>
          </w:tcPr>
          <w:p w14:paraId="5DACF293"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stakeholder meetings conducted at state level</w:t>
            </w:r>
          </w:p>
        </w:tc>
        <w:tc>
          <w:tcPr>
            <w:tcW w:w="2415" w:type="dxa"/>
            <w:shd w:val="clear" w:color="auto" w:fill="auto"/>
            <w:vAlign w:val="center"/>
            <w:hideMark/>
          </w:tcPr>
          <w:p w14:paraId="4EE2DCD9"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Administrative Data </w:t>
            </w:r>
          </w:p>
        </w:tc>
        <w:tc>
          <w:tcPr>
            <w:tcW w:w="3964" w:type="dxa"/>
            <w:shd w:val="clear" w:color="auto" w:fill="auto"/>
            <w:vAlign w:val="center"/>
            <w:hideMark/>
          </w:tcPr>
          <w:p w14:paraId="703F5CCD" w14:textId="2F44881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2C6ED557" w14:textId="77777777" w:rsidTr="003D0F16">
        <w:trPr>
          <w:trHeight w:val="20"/>
        </w:trPr>
        <w:tc>
          <w:tcPr>
            <w:tcW w:w="2274" w:type="dxa"/>
            <w:shd w:val="clear" w:color="auto" w:fill="auto"/>
            <w:noWrap/>
            <w:vAlign w:val="center"/>
            <w:hideMark/>
          </w:tcPr>
          <w:p w14:paraId="028B437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33A7E20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Leveraging of existing programs</w:t>
            </w:r>
          </w:p>
        </w:tc>
        <w:tc>
          <w:tcPr>
            <w:tcW w:w="3118" w:type="dxa"/>
            <w:shd w:val="clear" w:color="auto" w:fill="auto"/>
            <w:vAlign w:val="center"/>
            <w:hideMark/>
          </w:tcPr>
          <w:p w14:paraId="4A97106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Stakeholders identified aspects of the current THN program that were based on existing programs</w:t>
            </w:r>
          </w:p>
        </w:tc>
        <w:tc>
          <w:tcPr>
            <w:tcW w:w="2415" w:type="dxa"/>
            <w:shd w:val="clear" w:color="auto" w:fill="auto"/>
            <w:vAlign w:val="center"/>
            <w:hideMark/>
          </w:tcPr>
          <w:p w14:paraId="205DBC9A"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 (national level stakeholders and local stakeholders)</w:t>
            </w:r>
          </w:p>
        </w:tc>
        <w:tc>
          <w:tcPr>
            <w:tcW w:w="3964" w:type="dxa"/>
            <w:shd w:val="clear" w:color="auto" w:fill="auto"/>
            <w:vAlign w:val="center"/>
            <w:hideMark/>
          </w:tcPr>
          <w:p w14:paraId="471930B8"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THN Pilot Evaluation Data</w:t>
            </w:r>
          </w:p>
        </w:tc>
      </w:tr>
      <w:tr w:rsidR="00804EDD" w:rsidRPr="006432C4" w14:paraId="6F7B09FA" w14:textId="77777777" w:rsidTr="003D0F16">
        <w:trPr>
          <w:trHeight w:val="20"/>
        </w:trPr>
        <w:tc>
          <w:tcPr>
            <w:tcW w:w="2274" w:type="dxa"/>
            <w:shd w:val="clear" w:color="auto" w:fill="auto"/>
            <w:noWrap/>
            <w:vAlign w:val="center"/>
            <w:hideMark/>
          </w:tcPr>
          <w:p w14:paraId="32FB43E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6C697BF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Leveraging of existing programs</w:t>
            </w:r>
          </w:p>
        </w:tc>
        <w:tc>
          <w:tcPr>
            <w:tcW w:w="3118" w:type="dxa"/>
            <w:shd w:val="clear" w:color="auto" w:fill="auto"/>
            <w:vAlign w:val="center"/>
            <w:hideMark/>
          </w:tcPr>
          <w:p w14:paraId="25C68F2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Current program protocol extends on existing programs</w:t>
            </w:r>
          </w:p>
        </w:tc>
        <w:tc>
          <w:tcPr>
            <w:tcW w:w="2415" w:type="dxa"/>
            <w:shd w:val="clear" w:color="auto" w:fill="auto"/>
            <w:vAlign w:val="center"/>
            <w:hideMark/>
          </w:tcPr>
          <w:p w14:paraId="4D6E708F"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Document review</w:t>
            </w:r>
          </w:p>
        </w:tc>
        <w:tc>
          <w:tcPr>
            <w:tcW w:w="3964" w:type="dxa"/>
            <w:shd w:val="clear" w:color="auto" w:fill="auto"/>
            <w:vAlign w:val="center"/>
            <w:hideMark/>
          </w:tcPr>
          <w:p w14:paraId="20E0E9EE" w14:textId="7325AA00"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798AC012" w14:textId="77777777" w:rsidTr="003D0F16">
        <w:trPr>
          <w:trHeight w:val="20"/>
        </w:trPr>
        <w:tc>
          <w:tcPr>
            <w:tcW w:w="2274" w:type="dxa"/>
            <w:shd w:val="clear" w:color="auto" w:fill="auto"/>
            <w:noWrap/>
            <w:vAlign w:val="center"/>
            <w:hideMark/>
          </w:tcPr>
          <w:p w14:paraId="5E3AB6B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0D7FED0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Reporting to Department of Health</w:t>
            </w:r>
          </w:p>
        </w:tc>
        <w:tc>
          <w:tcPr>
            <w:tcW w:w="3118" w:type="dxa"/>
            <w:shd w:val="clear" w:color="auto" w:fill="auto"/>
            <w:vAlign w:val="center"/>
            <w:hideMark/>
          </w:tcPr>
          <w:p w14:paraId="7FB53D58" w14:textId="4DE52956"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 of progress reports received by </w:t>
            </w:r>
            <w:r w:rsidR="00D64076">
              <w:rPr>
                <w:rFonts w:asciiTheme="majorHAnsi" w:eastAsia="Times New Roman" w:hAnsiTheme="majorHAnsi" w:cstheme="majorHAnsi"/>
                <w:sz w:val="18"/>
                <w:szCs w:val="18"/>
                <w:lang w:eastAsia="en-AU"/>
              </w:rPr>
              <w:t xml:space="preserve">the Department </w:t>
            </w:r>
            <w:r w:rsidRPr="00135A4F">
              <w:rPr>
                <w:rFonts w:asciiTheme="majorHAnsi" w:eastAsia="Times New Roman" w:hAnsiTheme="majorHAnsi" w:cstheme="majorHAnsi"/>
                <w:sz w:val="18"/>
                <w:szCs w:val="18"/>
                <w:lang w:eastAsia="en-AU"/>
              </w:rPr>
              <w:t>from States and/or access sites</w:t>
            </w:r>
          </w:p>
        </w:tc>
        <w:tc>
          <w:tcPr>
            <w:tcW w:w="2415" w:type="dxa"/>
            <w:shd w:val="clear" w:color="auto" w:fill="auto"/>
            <w:vAlign w:val="center"/>
            <w:hideMark/>
          </w:tcPr>
          <w:p w14:paraId="66FF5952"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Document review</w:t>
            </w:r>
          </w:p>
        </w:tc>
        <w:tc>
          <w:tcPr>
            <w:tcW w:w="3964" w:type="dxa"/>
            <w:shd w:val="clear" w:color="auto" w:fill="auto"/>
            <w:vAlign w:val="center"/>
            <w:hideMark/>
          </w:tcPr>
          <w:p w14:paraId="6D127E78" w14:textId="06F7C56E"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p>
        </w:tc>
      </w:tr>
      <w:tr w:rsidR="00B04C3A" w:rsidRPr="006432C4" w14:paraId="7E9548FB" w14:textId="77777777" w:rsidTr="003D0F16">
        <w:trPr>
          <w:trHeight w:val="20"/>
        </w:trPr>
        <w:tc>
          <w:tcPr>
            <w:tcW w:w="2274" w:type="dxa"/>
            <w:shd w:val="clear" w:color="auto" w:fill="auto"/>
            <w:noWrap/>
            <w:vAlign w:val="center"/>
            <w:hideMark/>
          </w:tcPr>
          <w:p w14:paraId="5AF763C1"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5FBACEA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Promotion of THN Pilot to consumers and community</w:t>
            </w:r>
          </w:p>
        </w:tc>
        <w:tc>
          <w:tcPr>
            <w:tcW w:w="3118" w:type="dxa"/>
            <w:shd w:val="clear" w:color="auto" w:fill="auto"/>
            <w:vAlign w:val="center"/>
            <w:hideMark/>
          </w:tcPr>
          <w:p w14:paraId="1C960FCB" w14:textId="3D5A5537" w:rsidR="00CA5EEA" w:rsidRPr="00135A4F" w:rsidRDefault="00B04C3A" w:rsidP="003D0F16">
            <w:pPr>
              <w:spacing w:after="0" w:line="240" w:lineRule="auto"/>
              <w:rPr>
                <w:rFonts w:asciiTheme="majorHAnsi" w:eastAsia="Times New Roman" w:hAnsiTheme="majorHAnsi" w:cstheme="majorHAnsi"/>
                <w:sz w:val="18"/>
                <w:szCs w:val="18"/>
                <w:lang w:eastAsia="en-AU"/>
              </w:rPr>
            </w:pPr>
            <w:r>
              <w:rPr>
                <w:rFonts w:asciiTheme="majorHAnsi" w:eastAsia="Times New Roman" w:hAnsiTheme="majorHAnsi" w:cstheme="majorHAnsi"/>
                <w:sz w:val="18"/>
                <w:szCs w:val="18"/>
                <w:lang w:eastAsia="en-AU"/>
              </w:rPr>
              <w:t>T</w:t>
            </w:r>
            <w:r w:rsidR="00D64076">
              <w:rPr>
                <w:rFonts w:asciiTheme="majorHAnsi" w:eastAsia="Times New Roman" w:hAnsiTheme="majorHAnsi" w:cstheme="majorHAnsi"/>
                <w:sz w:val="18"/>
                <w:szCs w:val="18"/>
                <w:lang w:eastAsia="en-AU"/>
              </w:rPr>
              <w:t xml:space="preserve">he Department </w:t>
            </w:r>
            <w:r w:rsidR="00CA5EEA" w:rsidRPr="00135A4F">
              <w:rPr>
                <w:rFonts w:asciiTheme="majorHAnsi" w:eastAsia="Times New Roman" w:hAnsiTheme="majorHAnsi" w:cstheme="majorHAnsi"/>
                <w:sz w:val="18"/>
                <w:szCs w:val="18"/>
                <w:lang w:eastAsia="en-AU"/>
              </w:rPr>
              <w:t>identifies the different promotion activities conducted targeting potential access sites</w:t>
            </w:r>
          </w:p>
        </w:tc>
        <w:tc>
          <w:tcPr>
            <w:tcW w:w="2415" w:type="dxa"/>
            <w:shd w:val="clear" w:color="auto" w:fill="auto"/>
            <w:vAlign w:val="center"/>
            <w:hideMark/>
          </w:tcPr>
          <w:p w14:paraId="43E8AAA6"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w:t>
            </w:r>
          </w:p>
        </w:tc>
        <w:tc>
          <w:tcPr>
            <w:tcW w:w="3964" w:type="dxa"/>
            <w:shd w:val="clear" w:color="auto" w:fill="auto"/>
            <w:vAlign w:val="center"/>
            <w:hideMark/>
          </w:tcPr>
          <w:p w14:paraId="4FE77C38"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2F0E231A" w14:textId="77777777" w:rsidTr="003D0F16">
        <w:trPr>
          <w:trHeight w:val="20"/>
        </w:trPr>
        <w:tc>
          <w:tcPr>
            <w:tcW w:w="2274" w:type="dxa"/>
            <w:shd w:val="clear" w:color="auto" w:fill="auto"/>
            <w:noWrap/>
            <w:vAlign w:val="center"/>
            <w:hideMark/>
          </w:tcPr>
          <w:p w14:paraId="401DC0D1"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507AE0A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Promotion of THN Pilot to consumers and community</w:t>
            </w:r>
          </w:p>
        </w:tc>
        <w:tc>
          <w:tcPr>
            <w:tcW w:w="3118" w:type="dxa"/>
            <w:shd w:val="clear" w:color="auto" w:fill="auto"/>
            <w:vAlign w:val="center"/>
            <w:hideMark/>
          </w:tcPr>
          <w:p w14:paraId="150A230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Access sites bring awareness to consumers and witnesses</w:t>
            </w:r>
          </w:p>
        </w:tc>
        <w:tc>
          <w:tcPr>
            <w:tcW w:w="2415" w:type="dxa"/>
            <w:shd w:val="clear" w:color="auto" w:fill="auto"/>
            <w:vAlign w:val="center"/>
            <w:hideMark/>
          </w:tcPr>
          <w:p w14:paraId="40EE25F2"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Semi-structured Interview (with access sites, </w:t>
            </w:r>
            <w:proofErr w:type="gramStart"/>
            <w:r w:rsidRPr="00135A4F">
              <w:rPr>
                <w:rFonts w:asciiTheme="majorHAnsi" w:eastAsia="Times New Roman" w:hAnsiTheme="majorHAnsi" w:cstheme="majorHAnsi"/>
                <w:sz w:val="18"/>
                <w:szCs w:val="18"/>
                <w:lang w:eastAsia="en-AU"/>
              </w:rPr>
              <w:t>consumers</w:t>
            </w:r>
            <w:proofErr w:type="gramEnd"/>
            <w:r w:rsidRPr="00135A4F">
              <w:rPr>
                <w:rFonts w:asciiTheme="majorHAnsi" w:eastAsia="Times New Roman" w:hAnsiTheme="majorHAnsi" w:cstheme="majorHAnsi"/>
                <w:sz w:val="18"/>
                <w:szCs w:val="18"/>
                <w:lang w:eastAsia="en-AU"/>
              </w:rPr>
              <w:t xml:space="preserve"> and witnesses)</w:t>
            </w:r>
          </w:p>
        </w:tc>
        <w:tc>
          <w:tcPr>
            <w:tcW w:w="3964" w:type="dxa"/>
            <w:shd w:val="clear" w:color="auto" w:fill="auto"/>
            <w:vAlign w:val="center"/>
            <w:hideMark/>
          </w:tcPr>
          <w:p w14:paraId="0B32986C"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7B899551" w14:textId="77777777" w:rsidTr="003D0F16">
        <w:trPr>
          <w:trHeight w:val="20"/>
        </w:trPr>
        <w:tc>
          <w:tcPr>
            <w:tcW w:w="2274" w:type="dxa"/>
            <w:shd w:val="clear" w:color="auto" w:fill="auto"/>
            <w:noWrap/>
            <w:vAlign w:val="center"/>
            <w:hideMark/>
          </w:tcPr>
          <w:p w14:paraId="4C657B4E"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6C38378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Promotion of THN Pilot to consumers and community</w:t>
            </w:r>
          </w:p>
        </w:tc>
        <w:tc>
          <w:tcPr>
            <w:tcW w:w="3118" w:type="dxa"/>
            <w:shd w:val="clear" w:color="auto" w:fill="auto"/>
            <w:vAlign w:val="center"/>
            <w:hideMark/>
          </w:tcPr>
          <w:p w14:paraId="43B707D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promotion and engagement activities conducted</w:t>
            </w:r>
          </w:p>
        </w:tc>
        <w:tc>
          <w:tcPr>
            <w:tcW w:w="2415" w:type="dxa"/>
            <w:shd w:val="clear" w:color="auto" w:fill="auto"/>
            <w:vAlign w:val="center"/>
            <w:hideMark/>
          </w:tcPr>
          <w:p w14:paraId="5FB5909C"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Administrative Data </w:t>
            </w:r>
          </w:p>
        </w:tc>
        <w:tc>
          <w:tcPr>
            <w:tcW w:w="3964" w:type="dxa"/>
            <w:shd w:val="clear" w:color="auto" w:fill="auto"/>
            <w:vAlign w:val="center"/>
            <w:hideMark/>
          </w:tcPr>
          <w:p w14:paraId="53799D04" w14:textId="6A5DB126"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5D49AF07" w14:textId="77777777" w:rsidTr="003D0F16">
        <w:trPr>
          <w:trHeight w:val="20"/>
        </w:trPr>
        <w:tc>
          <w:tcPr>
            <w:tcW w:w="2274" w:type="dxa"/>
            <w:shd w:val="clear" w:color="auto" w:fill="auto"/>
            <w:noWrap/>
            <w:vAlign w:val="center"/>
            <w:hideMark/>
          </w:tcPr>
          <w:p w14:paraId="68322FB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685DAA3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Promotion of THN Pilot to consumers and community</w:t>
            </w:r>
          </w:p>
        </w:tc>
        <w:tc>
          <w:tcPr>
            <w:tcW w:w="3118" w:type="dxa"/>
            <w:shd w:val="clear" w:color="auto" w:fill="auto"/>
            <w:vAlign w:val="center"/>
            <w:hideMark/>
          </w:tcPr>
          <w:p w14:paraId="6C58E4C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potential access sites identified</w:t>
            </w:r>
          </w:p>
        </w:tc>
        <w:tc>
          <w:tcPr>
            <w:tcW w:w="2415" w:type="dxa"/>
            <w:shd w:val="clear" w:color="auto" w:fill="auto"/>
            <w:vAlign w:val="center"/>
            <w:hideMark/>
          </w:tcPr>
          <w:p w14:paraId="294DF22D"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Administrative Data </w:t>
            </w:r>
          </w:p>
        </w:tc>
        <w:tc>
          <w:tcPr>
            <w:tcW w:w="3964" w:type="dxa"/>
            <w:shd w:val="clear" w:color="auto" w:fill="auto"/>
            <w:vAlign w:val="center"/>
            <w:hideMark/>
          </w:tcPr>
          <w:p w14:paraId="2E506544" w14:textId="2761F4BE"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1FAD8F6F" w14:textId="77777777" w:rsidTr="003D0F16">
        <w:trPr>
          <w:trHeight w:val="20"/>
        </w:trPr>
        <w:tc>
          <w:tcPr>
            <w:tcW w:w="2274" w:type="dxa"/>
            <w:shd w:val="clear" w:color="auto" w:fill="auto"/>
            <w:noWrap/>
            <w:vAlign w:val="center"/>
            <w:hideMark/>
          </w:tcPr>
          <w:p w14:paraId="6ECC8AC3"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37F4584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Stakeholders, </w:t>
            </w:r>
            <w:proofErr w:type="gramStart"/>
            <w:r w:rsidRPr="00135A4F">
              <w:rPr>
                <w:rFonts w:asciiTheme="majorHAnsi" w:eastAsia="Times New Roman" w:hAnsiTheme="majorHAnsi" w:cstheme="majorHAnsi"/>
                <w:sz w:val="18"/>
                <w:szCs w:val="18"/>
                <w:lang w:eastAsia="en-AU"/>
              </w:rPr>
              <w:t>partner</w:t>
            </w:r>
            <w:proofErr w:type="gramEnd"/>
            <w:r w:rsidRPr="00135A4F">
              <w:rPr>
                <w:rFonts w:asciiTheme="majorHAnsi" w:eastAsia="Times New Roman" w:hAnsiTheme="majorHAnsi" w:cstheme="majorHAnsi"/>
                <w:sz w:val="18"/>
                <w:szCs w:val="18"/>
                <w:lang w:eastAsia="en-AU"/>
              </w:rPr>
              <w:t xml:space="preserve"> and peak bodies recruited</w:t>
            </w:r>
          </w:p>
        </w:tc>
        <w:tc>
          <w:tcPr>
            <w:tcW w:w="3118" w:type="dxa"/>
            <w:shd w:val="clear" w:color="auto" w:fill="auto"/>
            <w:vAlign w:val="center"/>
            <w:hideMark/>
          </w:tcPr>
          <w:p w14:paraId="33EB2B9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engagement meetings conducted with stakeholders and peak bodies</w:t>
            </w:r>
          </w:p>
        </w:tc>
        <w:tc>
          <w:tcPr>
            <w:tcW w:w="2415" w:type="dxa"/>
            <w:shd w:val="clear" w:color="auto" w:fill="auto"/>
            <w:vAlign w:val="center"/>
            <w:hideMark/>
          </w:tcPr>
          <w:p w14:paraId="5FF4994C"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Administrative Data </w:t>
            </w:r>
          </w:p>
        </w:tc>
        <w:tc>
          <w:tcPr>
            <w:tcW w:w="3964" w:type="dxa"/>
            <w:shd w:val="clear" w:color="auto" w:fill="auto"/>
            <w:vAlign w:val="center"/>
            <w:hideMark/>
          </w:tcPr>
          <w:p w14:paraId="45A9D718" w14:textId="73F6F31D"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4B1BCF12" w14:textId="77777777" w:rsidTr="003D0F16">
        <w:trPr>
          <w:trHeight w:val="20"/>
        </w:trPr>
        <w:tc>
          <w:tcPr>
            <w:tcW w:w="2274" w:type="dxa"/>
            <w:shd w:val="clear" w:color="auto" w:fill="auto"/>
            <w:noWrap/>
            <w:vAlign w:val="center"/>
            <w:hideMark/>
          </w:tcPr>
          <w:p w14:paraId="60645563"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042C9C6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Credentialling process undertaken</w:t>
            </w:r>
          </w:p>
        </w:tc>
        <w:tc>
          <w:tcPr>
            <w:tcW w:w="3118" w:type="dxa"/>
            <w:shd w:val="clear" w:color="auto" w:fill="auto"/>
            <w:vAlign w:val="center"/>
            <w:hideMark/>
          </w:tcPr>
          <w:p w14:paraId="3E798C7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potential access sites confirmed to undertake training</w:t>
            </w:r>
          </w:p>
        </w:tc>
        <w:tc>
          <w:tcPr>
            <w:tcW w:w="2415" w:type="dxa"/>
            <w:shd w:val="clear" w:color="auto" w:fill="auto"/>
            <w:vAlign w:val="center"/>
            <w:hideMark/>
          </w:tcPr>
          <w:p w14:paraId="580E71A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Administrative Data </w:t>
            </w:r>
          </w:p>
        </w:tc>
        <w:tc>
          <w:tcPr>
            <w:tcW w:w="3964" w:type="dxa"/>
            <w:shd w:val="clear" w:color="auto" w:fill="auto"/>
            <w:vAlign w:val="center"/>
            <w:hideMark/>
          </w:tcPr>
          <w:p w14:paraId="3D2B8F0E" w14:textId="63D9946C"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58C51D48" w14:textId="77777777" w:rsidTr="003D0F16">
        <w:trPr>
          <w:trHeight w:val="20"/>
        </w:trPr>
        <w:tc>
          <w:tcPr>
            <w:tcW w:w="2274" w:type="dxa"/>
            <w:shd w:val="clear" w:color="auto" w:fill="auto"/>
            <w:noWrap/>
            <w:vAlign w:val="center"/>
            <w:hideMark/>
          </w:tcPr>
          <w:p w14:paraId="04E3CE3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326AE44E"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Credentialling process undertaken</w:t>
            </w:r>
          </w:p>
        </w:tc>
        <w:tc>
          <w:tcPr>
            <w:tcW w:w="3118" w:type="dxa"/>
            <w:shd w:val="clear" w:color="auto" w:fill="auto"/>
            <w:vAlign w:val="center"/>
            <w:hideMark/>
          </w:tcPr>
          <w:p w14:paraId="49C55363"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existing access sites engaged</w:t>
            </w:r>
          </w:p>
        </w:tc>
        <w:tc>
          <w:tcPr>
            <w:tcW w:w="2415" w:type="dxa"/>
            <w:shd w:val="clear" w:color="auto" w:fill="auto"/>
            <w:vAlign w:val="center"/>
            <w:hideMark/>
          </w:tcPr>
          <w:p w14:paraId="321CC8A5"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Administrative Data </w:t>
            </w:r>
          </w:p>
        </w:tc>
        <w:tc>
          <w:tcPr>
            <w:tcW w:w="3964" w:type="dxa"/>
            <w:shd w:val="clear" w:color="auto" w:fill="auto"/>
            <w:vAlign w:val="center"/>
            <w:hideMark/>
          </w:tcPr>
          <w:p w14:paraId="154A26F4" w14:textId="2D1FDADD"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6A740430" w14:textId="77777777" w:rsidTr="003D0F16">
        <w:trPr>
          <w:trHeight w:val="20"/>
        </w:trPr>
        <w:tc>
          <w:tcPr>
            <w:tcW w:w="2274" w:type="dxa"/>
            <w:shd w:val="clear" w:color="auto" w:fill="auto"/>
            <w:noWrap/>
            <w:vAlign w:val="center"/>
            <w:hideMark/>
          </w:tcPr>
          <w:p w14:paraId="1D01274E"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lastRenderedPageBreak/>
              <w:t>Output</w:t>
            </w:r>
          </w:p>
        </w:tc>
        <w:tc>
          <w:tcPr>
            <w:tcW w:w="3397" w:type="dxa"/>
            <w:shd w:val="clear" w:color="auto" w:fill="auto"/>
            <w:noWrap/>
            <w:vAlign w:val="center"/>
            <w:hideMark/>
          </w:tcPr>
          <w:p w14:paraId="504D8E23"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Communication processes in place</w:t>
            </w:r>
          </w:p>
        </w:tc>
        <w:tc>
          <w:tcPr>
            <w:tcW w:w="3118" w:type="dxa"/>
            <w:shd w:val="clear" w:color="auto" w:fill="auto"/>
            <w:vAlign w:val="center"/>
            <w:hideMark/>
          </w:tcPr>
          <w:p w14:paraId="4A52B46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Stakeholders identified communication mechanisms within and across states</w:t>
            </w:r>
          </w:p>
        </w:tc>
        <w:tc>
          <w:tcPr>
            <w:tcW w:w="2415" w:type="dxa"/>
            <w:shd w:val="clear" w:color="auto" w:fill="auto"/>
            <w:vAlign w:val="center"/>
            <w:hideMark/>
          </w:tcPr>
          <w:p w14:paraId="61DF852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 (national level stakeholders and local stakeholders)</w:t>
            </w:r>
          </w:p>
        </w:tc>
        <w:tc>
          <w:tcPr>
            <w:tcW w:w="3964" w:type="dxa"/>
            <w:shd w:val="clear" w:color="auto" w:fill="auto"/>
            <w:vAlign w:val="center"/>
            <w:hideMark/>
          </w:tcPr>
          <w:p w14:paraId="5704B3D6"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05B9ECD7" w14:textId="77777777" w:rsidTr="003D0F16">
        <w:trPr>
          <w:trHeight w:val="20"/>
        </w:trPr>
        <w:tc>
          <w:tcPr>
            <w:tcW w:w="2274" w:type="dxa"/>
            <w:shd w:val="clear" w:color="auto" w:fill="auto"/>
            <w:noWrap/>
            <w:vAlign w:val="center"/>
            <w:hideMark/>
          </w:tcPr>
          <w:p w14:paraId="7FD1916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25C4392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Communication processes in place</w:t>
            </w:r>
          </w:p>
        </w:tc>
        <w:tc>
          <w:tcPr>
            <w:tcW w:w="3118" w:type="dxa"/>
            <w:shd w:val="clear" w:color="auto" w:fill="auto"/>
            <w:vAlign w:val="center"/>
            <w:hideMark/>
          </w:tcPr>
          <w:p w14:paraId="73D2002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Communication protocols agreed by stakeholders</w:t>
            </w:r>
          </w:p>
        </w:tc>
        <w:tc>
          <w:tcPr>
            <w:tcW w:w="2415" w:type="dxa"/>
            <w:shd w:val="clear" w:color="auto" w:fill="auto"/>
            <w:vAlign w:val="center"/>
            <w:hideMark/>
          </w:tcPr>
          <w:p w14:paraId="5A5D010E"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 (national level stakeholders and local stakeholders)</w:t>
            </w:r>
          </w:p>
        </w:tc>
        <w:tc>
          <w:tcPr>
            <w:tcW w:w="3964" w:type="dxa"/>
            <w:shd w:val="clear" w:color="auto" w:fill="auto"/>
            <w:vAlign w:val="center"/>
            <w:hideMark/>
          </w:tcPr>
          <w:p w14:paraId="3CFE601C"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04774723" w14:textId="77777777" w:rsidTr="003D0F16">
        <w:trPr>
          <w:trHeight w:val="20"/>
        </w:trPr>
        <w:tc>
          <w:tcPr>
            <w:tcW w:w="2274" w:type="dxa"/>
            <w:shd w:val="clear" w:color="auto" w:fill="auto"/>
            <w:noWrap/>
            <w:vAlign w:val="center"/>
            <w:hideMark/>
          </w:tcPr>
          <w:p w14:paraId="48BF9F5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7A509F0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Training provided for access sites</w:t>
            </w:r>
          </w:p>
        </w:tc>
        <w:tc>
          <w:tcPr>
            <w:tcW w:w="3118" w:type="dxa"/>
            <w:shd w:val="clear" w:color="auto" w:fill="auto"/>
            <w:vAlign w:val="center"/>
            <w:hideMark/>
          </w:tcPr>
          <w:p w14:paraId="01F1A1E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training sessions conducted</w:t>
            </w:r>
          </w:p>
        </w:tc>
        <w:tc>
          <w:tcPr>
            <w:tcW w:w="2415" w:type="dxa"/>
            <w:shd w:val="clear" w:color="auto" w:fill="auto"/>
            <w:vAlign w:val="center"/>
            <w:hideMark/>
          </w:tcPr>
          <w:p w14:paraId="2DDC7348"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Administrative Data </w:t>
            </w:r>
          </w:p>
        </w:tc>
        <w:tc>
          <w:tcPr>
            <w:tcW w:w="3964" w:type="dxa"/>
            <w:shd w:val="clear" w:color="auto" w:fill="auto"/>
            <w:vAlign w:val="center"/>
            <w:hideMark/>
          </w:tcPr>
          <w:p w14:paraId="7D3F679F" w14:textId="3A1C0BC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77680F59" w14:textId="77777777" w:rsidTr="003D0F16">
        <w:trPr>
          <w:trHeight w:val="20"/>
        </w:trPr>
        <w:tc>
          <w:tcPr>
            <w:tcW w:w="2274" w:type="dxa"/>
            <w:shd w:val="clear" w:color="auto" w:fill="auto"/>
            <w:noWrap/>
            <w:vAlign w:val="center"/>
            <w:hideMark/>
          </w:tcPr>
          <w:p w14:paraId="6EF0AD4E"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22356DE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Training provided for access sites</w:t>
            </w:r>
          </w:p>
        </w:tc>
        <w:tc>
          <w:tcPr>
            <w:tcW w:w="3118" w:type="dxa"/>
            <w:shd w:val="clear" w:color="auto" w:fill="auto"/>
            <w:vAlign w:val="center"/>
            <w:hideMark/>
          </w:tcPr>
          <w:p w14:paraId="76C594A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potential access sites trained</w:t>
            </w:r>
          </w:p>
        </w:tc>
        <w:tc>
          <w:tcPr>
            <w:tcW w:w="2415" w:type="dxa"/>
            <w:shd w:val="clear" w:color="auto" w:fill="auto"/>
            <w:vAlign w:val="center"/>
            <w:hideMark/>
          </w:tcPr>
          <w:p w14:paraId="14E58A51"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Administrative Data </w:t>
            </w:r>
          </w:p>
        </w:tc>
        <w:tc>
          <w:tcPr>
            <w:tcW w:w="3964" w:type="dxa"/>
            <w:shd w:val="clear" w:color="auto" w:fill="auto"/>
            <w:vAlign w:val="center"/>
            <w:hideMark/>
          </w:tcPr>
          <w:p w14:paraId="44F7F468" w14:textId="60FCB3AC"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6CD7818A" w14:textId="77777777" w:rsidTr="003D0F16">
        <w:trPr>
          <w:trHeight w:val="20"/>
        </w:trPr>
        <w:tc>
          <w:tcPr>
            <w:tcW w:w="2274" w:type="dxa"/>
            <w:shd w:val="clear" w:color="auto" w:fill="auto"/>
            <w:noWrap/>
            <w:vAlign w:val="center"/>
            <w:hideMark/>
          </w:tcPr>
          <w:p w14:paraId="6E21B3C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1DFBC406"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System level support at access sites</w:t>
            </w:r>
          </w:p>
        </w:tc>
        <w:tc>
          <w:tcPr>
            <w:tcW w:w="3118" w:type="dxa"/>
            <w:shd w:val="clear" w:color="auto" w:fill="auto"/>
            <w:vAlign w:val="center"/>
            <w:hideMark/>
          </w:tcPr>
          <w:p w14:paraId="5E9BDA1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Support mechanisms established across access sites at state-level</w:t>
            </w:r>
          </w:p>
        </w:tc>
        <w:tc>
          <w:tcPr>
            <w:tcW w:w="2415" w:type="dxa"/>
            <w:shd w:val="clear" w:color="auto" w:fill="auto"/>
            <w:vAlign w:val="center"/>
            <w:hideMark/>
          </w:tcPr>
          <w:p w14:paraId="1C0AA23D"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 (national level stakeholders and local stakeholders)</w:t>
            </w:r>
          </w:p>
        </w:tc>
        <w:tc>
          <w:tcPr>
            <w:tcW w:w="3964" w:type="dxa"/>
            <w:shd w:val="clear" w:color="auto" w:fill="auto"/>
            <w:vAlign w:val="center"/>
            <w:hideMark/>
          </w:tcPr>
          <w:p w14:paraId="5EFEB7A1"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25ACEDFF" w14:textId="77777777" w:rsidTr="003D0F16">
        <w:trPr>
          <w:trHeight w:val="20"/>
        </w:trPr>
        <w:tc>
          <w:tcPr>
            <w:tcW w:w="2274" w:type="dxa"/>
            <w:shd w:val="clear" w:color="auto" w:fill="auto"/>
            <w:noWrap/>
            <w:vAlign w:val="center"/>
            <w:hideMark/>
          </w:tcPr>
          <w:p w14:paraId="2291741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41201C1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System level support at access sites</w:t>
            </w:r>
          </w:p>
        </w:tc>
        <w:tc>
          <w:tcPr>
            <w:tcW w:w="3118" w:type="dxa"/>
            <w:shd w:val="clear" w:color="auto" w:fill="auto"/>
            <w:vAlign w:val="center"/>
            <w:hideMark/>
          </w:tcPr>
          <w:p w14:paraId="07E2172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Support mechanisms established across states</w:t>
            </w:r>
          </w:p>
        </w:tc>
        <w:tc>
          <w:tcPr>
            <w:tcW w:w="2415" w:type="dxa"/>
            <w:shd w:val="clear" w:color="auto" w:fill="auto"/>
            <w:vAlign w:val="center"/>
            <w:hideMark/>
          </w:tcPr>
          <w:p w14:paraId="079F6F51"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 (national level stakeholders and local stakeholders)</w:t>
            </w:r>
          </w:p>
        </w:tc>
        <w:tc>
          <w:tcPr>
            <w:tcW w:w="3964" w:type="dxa"/>
            <w:shd w:val="clear" w:color="auto" w:fill="auto"/>
            <w:vAlign w:val="center"/>
            <w:hideMark/>
          </w:tcPr>
          <w:p w14:paraId="0A7E2DBA"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0F23A9A4" w14:textId="77777777" w:rsidTr="003D0F16">
        <w:trPr>
          <w:trHeight w:val="20"/>
        </w:trPr>
        <w:tc>
          <w:tcPr>
            <w:tcW w:w="2274" w:type="dxa"/>
            <w:shd w:val="clear" w:color="auto" w:fill="auto"/>
            <w:noWrap/>
            <w:vAlign w:val="center"/>
            <w:hideMark/>
          </w:tcPr>
          <w:p w14:paraId="763316AA"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20F97F7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System level support at access sites</w:t>
            </w:r>
          </w:p>
        </w:tc>
        <w:tc>
          <w:tcPr>
            <w:tcW w:w="3118" w:type="dxa"/>
            <w:shd w:val="clear" w:color="auto" w:fill="auto"/>
            <w:vAlign w:val="center"/>
            <w:hideMark/>
          </w:tcPr>
          <w:p w14:paraId="1E9B5D2F"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Policies/agreements are made to involve other agencies to support the implementation</w:t>
            </w:r>
          </w:p>
        </w:tc>
        <w:tc>
          <w:tcPr>
            <w:tcW w:w="2415" w:type="dxa"/>
            <w:shd w:val="clear" w:color="auto" w:fill="auto"/>
            <w:vAlign w:val="center"/>
            <w:hideMark/>
          </w:tcPr>
          <w:p w14:paraId="495297F6"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 (national level stakeholders and local stakeholders)</w:t>
            </w:r>
          </w:p>
        </w:tc>
        <w:tc>
          <w:tcPr>
            <w:tcW w:w="3964" w:type="dxa"/>
            <w:shd w:val="clear" w:color="auto" w:fill="auto"/>
            <w:vAlign w:val="center"/>
            <w:hideMark/>
          </w:tcPr>
          <w:p w14:paraId="009C8194"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6F998CDD" w14:textId="77777777" w:rsidTr="003D0F16">
        <w:trPr>
          <w:trHeight w:val="20"/>
        </w:trPr>
        <w:tc>
          <w:tcPr>
            <w:tcW w:w="2274" w:type="dxa"/>
            <w:shd w:val="clear" w:color="auto" w:fill="auto"/>
            <w:noWrap/>
            <w:vAlign w:val="center"/>
            <w:hideMark/>
          </w:tcPr>
          <w:p w14:paraId="662FA5C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4CF6FD1F"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Database of supply chain established</w:t>
            </w:r>
          </w:p>
        </w:tc>
        <w:tc>
          <w:tcPr>
            <w:tcW w:w="3118" w:type="dxa"/>
            <w:shd w:val="clear" w:color="auto" w:fill="auto"/>
            <w:vAlign w:val="center"/>
            <w:hideMark/>
          </w:tcPr>
          <w:p w14:paraId="3A59772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Working database of supply chain in use</w:t>
            </w:r>
          </w:p>
        </w:tc>
        <w:tc>
          <w:tcPr>
            <w:tcW w:w="2415" w:type="dxa"/>
            <w:shd w:val="clear" w:color="auto" w:fill="auto"/>
            <w:vAlign w:val="center"/>
            <w:hideMark/>
          </w:tcPr>
          <w:p w14:paraId="153D4520"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Round Table Discussions (national level stakeholders and local stakeholders)</w:t>
            </w:r>
          </w:p>
        </w:tc>
        <w:tc>
          <w:tcPr>
            <w:tcW w:w="3964" w:type="dxa"/>
            <w:shd w:val="clear" w:color="auto" w:fill="auto"/>
            <w:vAlign w:val="center"/>
            <w:hideMark/>
          </w:tcPr>
          <w:p w14:paraId="6A919F4F"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431934DF" w14:textId="77777777" w:rsidTr="003D0F16">
        <w:trPr>
          <w:trHeight w:val="20"/>
        </w:trPr>
        <w:tc>
          <w:tcPr>
            <w:tcW w:w="2274" w:type="dxa"/>
            <w:shd w:val="clear" w:color="auto" w:fill="auto"/>
            <w:noWrap/>
            <w:vAlign w:val="center"/>
            <w:hideMark/>
          </w:tcPr>
          <w:p w14:paraId="70BDDB1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3E8AF54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Appropriate supply chain logistics</w:t>
            </w:r>
          </w:p>
        </w:tc>
        <w:tc>
          <w:tcPr>
            <w:tcW w:w="3118" w:type="dxa"/>
            <w:shd w:val="clear" w:color="auto" w:fill="auto"/>
            <w:vAlign w:val="center"/>
            <w:hideMark/>
          </w:tcPr>
          <w:p w14:paraId="73F031E7"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Distributors have functional equipment to facilitate proper handling</w:t>
            </w:r>
          </w:p>
        </w:tc>
        <w:tc>
          <w:tcPr>
            <w:tcW w:w="2415" w:type="dxa"/>
            <w:shd w:val="clear" w:color="auto" w:fill="auto"/>
            <w:vAlign w:val="center"/>
            <w:hideMark/>
          </w:tcPr>
          <w:p w14:paraId="60B762F4"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w:t>
            </w:r>
          </w:p>
        </w:tc>
        <w:tc>
          <w:tcPr>
            <w:tcW w:w="3964" w:type="dxa"/>
            <w:shd w:val="clear" w:color="auto" w:fill="auto"/>
            <w:vAlign w:val="center"/>
            <w:hideMark/>
          </w:tcPr>
          <w:p w14:paraId="765C042D"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3832BC82" w14:textId="77777777" w:rsidTr="003D0F16">
        <w:trPr>
          <w:trHeight w:val="20"/>
        </w:trPr>
        <w:tc>
          <w:tcPr>
            <w:tcW w:w="2274" w:type="dxa"/>
            <w:shd w:val="clear" w:color="auto" w:fill="auto"/>
            <w:noWrap/>
            <w:vAlign w:val="center"/>
            <w:hideMark/>
          </w:tcPr>
          <w:p w14:paraId="390E390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71AEE8EE"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Appropriate supply chain logistics</w:t>
            </w:r>
          </w:p>
        </w:tc>
        <w:tc>
          <w:tcPr>
            <w:tcW w:w="3118" w:type="dxa"/>
            <w:shd w:val="clear" w:color="auto" w:fill="auto"/>
            <w:vAlign w:val="center"/>
            <w:hideMark/>
          </w:tcPr>
          <w:p w14:paraId="5E2AEA6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Naloxone delivered in good condition (</w:t>
            </w:r>
            <w:proofErr w:type="gramStart"/>
            <w:r w:rsidRPr="00135A4F">
              <w:rPr>
                <w:rFonts w:asciiTheme="majorHAnsi" w:eastAsia="Times New Roman" w:hAnsiTheme="majorHAnsi" w:cstheme="majorHAnsi"/>
                <w:sz w:val="18"/>
                <w:szCs w:val="18"/>
                <w:lang w:eastAsia="en-AU"/>
              </w:rPr>
              <w:t>i.e.</w:t>
            </w:r>
            <w:proofErr w:type="gramEnd"/>
            <w:r w:rsidRPr="00135A4F">
              <w:rPr>
                <w:rFonts w:asciiTheme="majorHAnsi" w:eastAsia="Times New Roman" w:hAnsiTheme="majorHAnsi" w:cstheme="majorHAnsi"/>
                <w:sz w:val="18"/>
                <w:szCs w:val="18"/>
                <w:lang w:eastAsia="en-AU"/>
              </w:rPr>
              <w:t xml:space="preserve"> refrigerated, packaged well)</w:t>
            </w:r>
          </w:p>
        </w:tc>
        <w:tc>
          <w:tcPr>
            <w:tcW w:w="2415" w:type="dxa"/>
            <w:shd w:val="clear" w:color="auto" w:fill="auto"/>
            <w:vAlign w:val="center"/>
            <w:hideMark/>
          </w:tcPr>
          <w:p w14:paraId="2F7003B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w:t>
            </w:r>
          </w:p>
        </w:tc>
        <w:tc>
          <w:tcPr>
            <w:tcW w:w="3964" w:type="dxa"/>
            <w:shd w:val="clear" w:color="auto" w:fill="auto"/>
            <w:vAlign w:val="center"/>
            <w:hideMark/>
          </w:tcPr>
          <w:p w14:paraId="774BF63F"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22687E85" w14:textId="77777777" w:rsidTr="003D0F16">
        <w:trPr>
          <w:trHeight w:val="20"/>
        </w:trPr>
        <w:tc>
          <w:tcPr>
            <w:tcW w:w="2274" w:type="dxa"/>
            <w:shd w:val="clear" w:color="auto" w:fill="auto"/>
            <w:noWrap/>
            <w:vAlign w:val="center"/>
            <w:hideMark/>
          </w:tcPr>
          <w:p w14:paraId="0D76972E"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19926BEC"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Supplying and monitoring THN distribution</w:t>
            </w:r>
          </w:p>
        </w:tc>
        <w:tc>
          <w:tcPr>
            <w:tcW w:w="3118" w:type="dxa"/>
            <w:shd w:val="clear" w:color="auto" w:fill="auto"/>
            <w:vAlign w:val="center"/>
            <w:hideMark/>
          </w:tcPr>
          <w:p w14:paraId="2142F6A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Naloxone packs distributed to/received by access sites</w:t>
            </w:r>
          </w:p>
        </w:tc>
        <w:tc>
          <w:tcPr>
            <w:tcW w:w="2415" w:type="dxa"/>
            <w:shd w:val="clear" w:color="auto" w:fill="auto"/>
            <w:vAlign w:val="center"/>
            <w:hideMark/>
          </w:tcPr>
          <w:p w14:paraId="20FD4E2B"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Administrative Data </w:t>
            </w:r>
          </w:p>
        </w:tc>
        <w:tc>
          <w:tcPr>
            <w:tcW w:w="3964" w:type="dxa"/>
            <w:shd w:val="clear" w:color="auto" w:fill="auto"/>
            <w:vAlign w:val="center"/>
            <w:hideMark/>
          </w:tcPr>
          <w:p w14:paraId="30AC97DF" w14:textId="622A6436" w:rsidR="00CA5EEA" w:rsidRDefault="00F9751C"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Pr>
                <w:rFonts w:asciiTheme="majorHAnsi" w:eastAsia="Times New Roman" w:hAnsiTheme="majorHAnsi" w:cstheme="majorHAnsi"/>
                <w:sz w:val="18"/>
                <w:szCs w:val="18"/>
                <w:lang w:eastAsia="en-AU"/>
              </w:rPr>
              <w:t>PP</w:t>
            </w:r>
            <w:r w:rsidR="00CA5EEA" w:rsidRPr="00135A4F">
              <w:rPr>
                <w:rFonts w:asciiTheme="majorHAnsi" w:eastAsia="Times New Roman" w:hAnsiTheme="majorHAnsi" w:cstheme="majorHAnsi"/>
                <w:sz w:val="18"/>
                <w:szCs w:val="18"/>
                <w:lang w:eastAsia="en-AU"/>
              </w:rPr>
              <w:t xml:space="preserve">A </w:t>
            </w:r>
            <w:r w:rsidR="00865613">
              <w:rPr>
                <w:rFonts w:asciiTheme="majorHAnsi" w:eastAsia="Times New Roman" w:hAnsiTheme="majorHAnsi" w:cstheme="majorHAnsi"/>
                <w:sz w:val="18"/>
                <w:szCs w:val="18"/>
                <w:lang w:eastAsia="en-AU"/>
              </w:rPr>
              <w:t>Data</w:t>
            </w:r>
            <w:r w:rsidR="00CA5EEA" w:rsidRPr="00135A4F">
              <w:rPr>
                <w:rFonts w:asciiTheme="majorHAnsi" w:eastAsia="Times New Roman" w:hAnsiTheme="majorHAnsi" w:cstheme="majorHAnsi"/>
                <w:sz w:val="18"/>
                <w:szCs w:val="18"/>
                <w:lang w:eastAsia="en-AU"/>
              </w:rPr>
              <w:t xml:space="preserve"> Portal</w:t>
            </w:r>
          </w:p>
          <w:p w14:paraId="684B0E17" w14:textId="7A482C1A"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F9751C">
              <w:rPr>
                <w:rFonts w:asciiTheme="majorHAnsi" w:eastAsia="Times New Roman" w:hAnsiTheme="majorHAnsi" w:cstheme="majorHAnsi"/>
                <w:sz w:val="18"/>
                <w:szCs w:val="18"/>
                <w:lang w:eastAsia="en-AU"/>
              </w:rPr>
              <w:t>the Department</w:t>
            </w:r>
            <w:r w:rsidR="00F9751C"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4CF7CD4B" w14:textId="77777777" w:rsidTr="003D0F16">
        <w:trPr>
          <w:trHeight w:val="20"/>
        </w:trPr>
        <w:tc>
          <w:tcPr>
            <w:tcW w:w="2274" w:type="dxa"/>
            <w:shd w:val="clear" w:color="auto" w:fill="auto"/>
            <w:noWrap/>
            <w:vAlign w:val="center"/>
            <w:hideMark/>
          </w:tcPr>
          <w:p w14:paraId="1DCA78F4"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lastRenderedPageBreak/>
              <w:t>Output</w:t>
            </w:r>
          </w:p>
        </w:tc>
        <w:tc>
          <w:tcPr>
            <w:tcW w:w="3397" w:type="dxa"/>
            <w:shd w:val="clear" w:color="auto" w:fill="auto"/>
            <w:noWrap/>
            <w:vAlign w:val="center"/>
            <w:hideMark/>
          </w:tcPr>
          <w:p w14:paraId="7B8EEACD"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Supplying and monitoring THN distribution</w:t>
            </w:r>
          </w:p>
        </w:tc>
        <w:tc>
          <w:tcPr>
            <w:tcW w:w="3118" w:type="dxa"/>
            <w:shd w:val="clear" w:color="auto" w:fill="auto"/>
            <w:vAlign w:val="center"/>
            <w:hideMark/>
          </w:tcPr>
          <w:p w14:paraId="34D2A33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Appropriate amount for each access site (Supply-Demand Offset)</w:t>
            </w:r>
          </w:p>
        </w:tc>
        <w:tc>
          <w:tcPr>
            <w:tcW w:w="2415" w:type="dxa"/>
            <w:shd w:val="clear" w:color="auto" w:fill="auto"/>
            <w:vAlign w:val="center"/>
            <w:hideMark/>
          </w:tcPr>
          <w:p w14:paraId="0FCC9927"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Semi-structured Interview (access sites)</w:t>
            </w:r>
          </w:p>
        </w:tc>
        <w:tc>
          <w:tcPr>
            <w:tcW w:w="3964" w:type="dxa"/>
            <w:shd w:val="clear" w:color="auto" w:fill="auto"/>
            <w:vAlign w:val="center"/>
            <w:hideMark/>
          </w:tcPr>
          <w:p w14:paraId="371C1FAC"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THN Pilot Evaluation Data</w:t>
            </w:r>
          </w:p>
        </w:tc>
      </w:tr>
      <w:tr w:rsidR="00804EDD" w:rsidRPr="006432C4" w14:paraId="7D08DDE2" w14:textId="77777777" w:rsidTr="003D0F16">
        <w:trPr>
          <w:trHeight w:val="20"/>
        </w:trPr>
        <w:tc>
          <w:tcPr>
            <w:tcW w:w="2274" w:type="dxa"/>
            <w:shd w:val="clear" w:color="auto" w:fill="auto"/>
            <w:noWrap/>
            <w:vAlign w:val="center"/>
            <w:hideMark/>
          </w:tcPr>
          <w:p w14:paraId="598B9ED8"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5C59B42F"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Supplying and monitoring THN distribution</w:t>
            </w:r>
          </w:p>
        </w:tc>
        <w:tc>
          <w:tcPr>
            <w:tcW w:w="3118" w:type="dxa"/>
            <w:shd w:val="clear" w:color="auto" w:fill="auto"/>
            <w:vAlign w:val="center"/>
            <w:hideMark/>
          </w:tcPr>
          <w:p w14:paraId="7862689B"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regular supply status reports received by States</w:t>
            </w:r>
          </w:p>
        </w:tc>
        <w:tc>
          <w:tcPr>
            <w:tcW w:w="2415" w:type="dxa"/>
            <w:shd w:val="clear" w:color="auto" w:fill="auto"/>
            <w:vAlign w:val="center"/>
            <w:hideMark/>
          </w:tcPr>
          <w:p w14:paraId="7253F3F9"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Document review</w:t>
            </w:r>
          </w:p>
        </w:tc>
        <w:tc>
          <w:tcPr>
            <w:tcW w:w="3964" w:type="dxa"/>
            <w:shd w:val="clear" w:color="auto" w:fill="auto"/>
            <w:vAlign w:val="center"/>
            <w:hideMark/>
          </w:tcPr>
          <w:p w14:paraId="19C3866E" w14:textId="3DD0DA61"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Records from </w:t>
            </w:r>
            <w:r w:rsidR="005C69BB">
              <w:rPr>
                <w:rFonts w:asciiTheme="majorHAnsi" w:eastAsia="Times New Roman" w:hAnsiTheme="majorHAnsi" w:cstheme="majorHAnsi"/>
                <w:sz w:val="18"/>
                <w:szCs w:val="18"/>
                <w:lang w:eastAsia="en-AU"/>
              </w:rPr>
              <w:t>the Department</w:t>
            </w:r>
            <w:r w:rsidR="005C69BB" w:rsidRPr="00135A4F">
              <w:rPr>
                <w:rFonts w:asciiTheme="majorHAnsi" w:eastAsia="Times New Roman" w:hAnsiTheme="majorHAnsi" w:cstheme="majorHAnsi"/>
                <w:sz w:val="18"/>
                <w:szCs w:val="18"/>
                <w:lang w:eastAsia="en-AU"/>
              </w:rPr>
              <w:t xml:space="preserve"> </w:t>
            </w:r>
            <w:r w:rsidRPr="00135A4F">
              <w:rPr>
                <w:rFonts w:asciiTheme="majorHAnsi" w:eastAsia="Times New Roman" w:hAnsiTheme="majorHAnsi" w:cstheme="majorHAnsi"/>
                <w:sz w:val="18"/>
                <w:szCs w:val="18"/>
                <w:lang w:eastAsia="en-AU"/>
              </w:rPr>
              <w:t>and States</w:t>
            </w:r>
          </w:p>
        </w:tc>
      </w:tr>
      <w:tr w:rsidR="00804EDD" w:rsidRPr="006432C4" w14:paraId="4348291C" w14:textId="77777777" w:rsidTr="003D0F16">
        <w:trPr>
          <w:trHeight w:val="20"/>
        </w:trPr>
        <w:tc>
          <w:tcPr>
            <w:tcW w:w="2274" w:type="dxa"/>
            <w:shd w:val="clear" w:color="auto" w:fill="auto"/>
            <w:noWrap/>
            <w:vAlign w:val="center"/>
            <w:hideMark/>
          </w:tcPr>
          <w:p w14:paraId="58352295"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Output</w:t>
            </w:r>
          </w:p>
        </w:tc>
        <w:tc>
          <w:tcPr>
            <w:tcW w:w="3397" w:type="dxa"/>
            <w:shd w:val="clear" w:color="auto" w:fill="auto"/>
            <w:noWrap/>
            <w:vAlign w:val="center"/>
            <w:hideMark/>
          </w:tcPr>
          <w:p w14:paraId="097C9529"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Supplying and monitoring THN distribution</w:t>
            </w:r>
          </w:p>
        </w:tc>
        <w:tc>
          <w:tcPr>
            <w:tcW w:w="3118" w:type="dxa"/>
            <w:shd w:val="clear" w:color="auto" w:fill="auto"/>
            <w:vAlign w:val="center"/>
            <w:hideMark/>
          </w:tcPr>
          <w:p w14:paraId="0B72F002" w14:textId="77777777" w:rsidR="00CA5EEA" w:rsidRPr="00135A4F" w:rsidRDefault="00CA5EEA" w:rsidP="003D0F16">
            <w:pPr>
              <w:spacing w:after="0" w:line="240" w:lineRule="auto"/>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of claims submitted through the PPA System</w:t>
            </w:r>
          </w:p>
        </w:tc>
        <w:tc>
          <w:tcPr>
            <w:tcW w:w="2415" w:type="dxa"/>
            <w:shd w:val="clear" w:color="auto" w:fill="auto"/>
            <w:vAlign w:val="center"/>
            <w:hideMark/>
          </w:tcPr>
          <w:p w14:paraId="536E3359" w14:textId="77777777"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 xml:space="preserve">Administrative Data </w:t>
            </w:r>
          </w:p>
        </w:tc>
        <w:tc>
          <w:tcPr>
            <w:tcW w:w="3964" w:type="dxa"/>
            <w:shd w:val="clear" w:color="auto" w:fill="auto"/>
            <w:vAlign w:val="center"/>
            <w:hideMark/>
          </w:tcPr>
          <w:p w14:paraId="45B4C721" w14:textId="3E0D56D6" w:rsidR="00CA5EEA" w:rsidRPr="00135A4F" w:rsidRDefault="00CA5EEA" w:rsidP="003D0F16">
            <w:pPr>
              <w:pStyle w:val="ListParagraph"/>
              <w:numPr>
                <w:ilvl w:val="0"/>
                <w:numId w:val="159"/>
              </w:numPr>
              <w:spacing w:after="0"/>
              <w:ind w:left="200" w:hanging="200"/>
              <w:rPr>
                <w:rFonts w:asciiTheme="majorHAnsi" w:eastAsia="Times New Roman" w:hAnsiTheme="majorHAnsi" w:cstheme="majorHAnsi"/>
                <w:sz w:val="18"/>
                <w:szCs w:val="18"/>
                <w:lang w:eastAsia="en-AU"/>
              </w:rPr>
            </w:pPr>
            <w:r w:rsidRPr="00135A4F">
              <w:rPr>
                <w:rFonts w:asciiTheme="majorHAnsi" w:eastAsia="Times New Roman" w:hAnsiTheme="majorHAnsi" w:cstheme="majorHAnsi"/>
                <w:sz w:val="18"/>
                <w:szCs w:val="18"/>
                <w:lang w:eastAsia="en-AU"/>
              </w:rPr>
              <w:t>PPA Data</w:t>
            </w:r>
            <w:r w:rsidR="005C69BB">
              <w:rPr>
                <w:rFonts w:asciiTheme="majorHAnsi" w:eastAsia="Times New Roman" w:hAnsiTheme="majorHAnsi" w:cstheme="majorHAnsi"/>
                <w:sz w:val="18"/>
                <w:szCs w:val="18"/>
                <w:lang w:eastAsia="en-AU"/>
              </w:rPr>
              <w:t xml:space="preserve"> portal</w:t>
            </w:r>
          </w:p>
        </w:tc>
      </w:tr>
    </w:tbl>
    <w:p w14:paraId="425DF522" w14:textId="3438EFF2" w:rsidR="00CA5EEA" w:rsidRPr="00D00F8B" w:rsidRDefault="00122779" w:rsidP="00122779">
      <w:pPr>
        <w:pStyle w:val="Heading3"/>
      </w:pPr>
      <w:bookmarkStart w:id="396" w:name="_Appendix_D:_Comparative"/>
      <w:bookmarkStart w:id="397" w:name="_Toc85456063"/>
      <w:bookmarkEnd w:id="396"/>
      <w:r>
        <w:br w:type="page"/>
      </w:r>
      <w:bookmarkStart w:id="398" w:name="_Toc94794185"/>
      <w:bookmarkStart w:id="399" w:name="_Toc94794329"/>
      <w:r w:rsidR="00CA5EEA">
        <w:lastRenderedPageBreak/>
        <w:t xml:space="preserve">Appendix D: Comparative </w:t>
      </w:r>
      <w:r w:rsidR="0035599B">
        <w:t>provision</w:t>
      </w:r>
      <w:r w:rsidR="00CA5EEA">
        <w:t xml:space="preserve"> of medic</w:t>
      </w:r>
      <w:r w:rsidR="231BCAB9">
        <w:t>ines</w:t>
      </w:r>
      <w:r w:rsidR="00CA5EEA">
        <w:t xml:space="preserve"> prior to and during the Pilot</w:t>
      </w:r>
      <w:bookmarkEnd w:id="397"/>
      <w:bookmarkEnd w:id="398"/>
      <w:bookmarkEnd w:id="399"/>
    </w:p>
    <w:p w14:paraId="2991EAA7" w14:textId="442082E7" w:rsidR="00CA5EEA" w:rsidRDefault="00CA5EEA" w:rsidP="003D0F16">
      <w:pPr>
        <w:pStyle w:val="Caption"/>
        <w:rPr>
          <w:lang w:eastAsia="en-AU"/>
        </w:rPr>
      </w:pPr>
      <w:bookmarkStart w:id="400" w:name="_Ref81312948"/>
      <w:bookmarkStart w:id="401" w:name="_Toc81401881"/>
      <w:bookmarkStart w:id="402" w:name="_Toc94794358"/>
      <w:r>
        <w:t xml:space="preserve">Figure </w:t>
      </w:r>
      <w:r w:rsidR="005C211A">
        <w:fldChar w:fldCharType="begin"/>
      </w:r>
      <w:r w:rsidR="005C211A">
        <w:instrText xml:space="preserve"> SEQ Figure \* ARABIC </w:instrText>
      </w:r>
      <w:r w:rsidR="005C211A">
        <w:fldChar w:fldCharType="separate"/>
      </w:r>
      <w:r w:rsidR="00EE19AD">
        <w:rPr>
          <w:noProof/>
        </w:rPr>
        <w:t>22</w:t>
      </w:r>
      <w:r w:rsidR="005C211A">
        <w:rPr>
          <w:noProof/>
        </w:rPr>
        <w:fldChar w:fldCharType="end"/>
      </w:r>
      <w:bookmarkEnd w:id="400"/>
      <w:r w:rsidR="004A3E36">
        <w:t>.</w:t>
      </w:r>
      <w:r>
        <w:t xml:space="preserve"> Trends in </w:t>
      </w:r>
      <w:r w:rsidR="004A3E36">
        <w:t>dispensing</w:t>
      </w:r>
      <w:r w:rsidR="00DF7024">
        <w:t xml:space="preserve"> of</w:t>
      </w:r>
      <w:r>
        <w:t xml:space="preserve"> naloxone, opioids and statins, NSW, </w:t>
      </w:r>
      <w:proofErr w:type="gramStart"/>
      <w:r>
        <w:t>SA</w:t>
      </w:r>
      <w:proofErr w:type="gramEnd"/>
      <w:r>
        <w:t xml:space="preserve"> and WA, 2017-2021</w:t>
      </w:r>
      <w:bookmarkStart w:id="403" w:name="Endnote"/>
      <w:bookmarkEnd w:id="401"/>
      <w:bookmarkEnd w:id="402"/>
    </w:p>
    <w:p w14:paraId="5DE3BF37" w14:textId="3D0C1E0D" w:rsidR="00CA5EEA" w:rsidRPr="002A2333" w:rsidRDefault="00CA5EEA" w:rsidP="003D0F16">
      <w:pPr>
        <w:rPr>
          <w:sz w:val="18"/>
          <w:szCs w:val="18"/>
          <w:lang w:eastAsia="en-AU"/>
        </w:rPr>
      </w:pPr>
      <w:r w:rsidRPr="002A2333">
        <w:rPr>
          <w:sz w:val="18"/>
          <w:szCs w:val="18"/>
          <w:lang w:eastAsia="en-AU"/>
        </w:rPr>
        <w:t>Source: PBS data</w:t>
      </w:r>
      <w:r w:rsidR="00412262">
        <w:rPr>
          <w:sz w:val="18"/>
          <w:szCs w:val="18"/>
          <w:lang w:eastAsia="en-AU"/>
        </w:rPr>
        <w:t xml:space="preserve">, </w:t>
      </w:r>
      <w:r w:rsidR="001A2056">
        <w:rPr>
          <w:sz w:val="18"/>
          <w:szCs w:val="18"/>
          <w:lang w:eastAsia="en-AU"/>
        </w:rPr>
        <w:t>PPA</w:t>
      </w:r>
      <w:r w:rsidR="00412262">
        <w:rPr>
          <w:sz w:val="18"/>
          <w:szCs w:val="18"/>
          <w:lang w:eastAsia="en-AU"/>
        </w:rPr>
        <w:t xml:space="preserve"> </w:t>
      </w:r>
      <w:r w:rsidR="00FC1B38">
        <w:rPr>
          <w:sz w:val="18"/>
          <w:szCs w:val="18"/>
          <w:lang w:eastAsia="en-AU"/>
        </w:rPr>
        <w:t>portal data</w:t>
      </w:r>
    </w:p>
    <w:p w14:paraId="716C8C70" w14:textId="27B6BAD6" w:rsidR="00CA5EEA" w:rsidRDefault="00F62D60" w:rsidP="003D0F16">
      <w:pPr>
        <w:rPr>
          <w:lang w:eastAsia="en-AU"/>
        </w:rPr>
      </w:pPr>
      <w:r>
        <w:rPr>
          <w:noProof/>
        </w:rPr>
        <w:drawing>
          <wp:inline distT="0" distB="0" distL="0" distR="0" wp14:anchorId="278114EF" wp14:editId="2BE6E13A">
            <wp:extent cx="8846820" cy="3693226"/>
            <wp:effectExtent l="0" t="0" r="0" b="2540"/>
            <wp:docPr id="262" name="Chart 262" descr="Line graph of frends in dispensing of naloxone, opioids and statins, NSW, SA and WA, 2017-2021">
              <a:extLst xmlns:a="http://schemas.openxmlformats.org/drawingml/2006/main">
                <a:ext uri="{FF2B5EF4-FFF2-40B4-BE49-F238E27FC236}">
                  <a16:creationId xmlns:a16="http://schemas.microsoft.com/office/drawing/2014/main" id="{E4893F0D-77E1-49A6-A9BB-464FBF93F0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6A5DDECC" w14:textId="14516B75" w:rsidR="008940C0" w:rsidRPr="002A2333" w:rsidRDefault="008940C0" w:rsidP="008940C0">
      <w:pPr>
        <w:rPr>
          <w:sz w:val="18"/>
          <w:szCs w:val="18"/>
          <w:lang w:eastAsia="en-AU"/>
        </w:rPr>
      </w:pPr>
      <w:r w:rsidRPr="002A2333">
        <w:rPr>
          <w:sz w:val="18"/>
          <w:szCs w:val="18"/>
          <w:lang w:eastAsia="en-AU"/>
        </w:rPr>
        <w:t>Dual axis is used to improve visibility of trends</w:t>
      </w:r>
      <w:r w:rsidR="00FC0F81">
        <w:rPr>
          <w:sz w:val="18"/>
          <w:szCs w:val="18"/>
          <w:lang w:eastAsia="en-AU"/>
        </w:rPr>
        <w:t>; naloxone supplies include PBS dispensing and Pilot provision</w:t>
      </w:r>
    </w:p>
    <w:p w14:paraId="6C54A8A2" w14:textId="45B4AE40" w:rsidR="00CA5EEA" w:rsidRDefault="00AE4010" w:rsidP="003D0F16">
      <w:pPr>
        <w:rPr>
          <w:lang w:eastAsia="en-AU"/>
        </w:rPr>
      </w:pPr>
      <w:r>
        <w:rPr>
          <w:lang w:eastAsia="en-AU"/>
        </w:rPr>
        <w:t xml:space="preserve">This graph </w:t>
      </w:r>
      <w:r w:rsidR="00CA5EEA">
        <w:rPr>
          <w:lang w:eastAsia="en-AU"/>
        </w:rPr>
        <w:t xml:space="preserve">shows that the sharp increase in naloxone </w:t>
      </w:r>
      <w:r w:rsidR="008940C0">
        <w:rPr>
          <w:lang w:eastAsia="en-AU"/>
        </w:rPr>
        <w:t xml:space="preserve">supply </w:t>
      </w:r>
      <w:r w:rsidR="00CA5EEA">
        <w:rPr>
          <w:lang w:eastAsia="en-AU"/>
        </w:rPr>
        <w:t xml:space="preserve">(right axis) that coincides with commencement of the Pilot in December 2019 is not reflected in either opioid dispensing patterns (left axis), or the patterns for a </w:t>
      </w:r>
      <w:proofErr w:type="gramStart"/>
      <w:r w:rsidR="00CA5EEA">
        <w:rPr>
          <w:lang w:eastAsia="en-AU"/>
        </w:rPr>
        <w:t>widely-used</w:t>
      </w:r>
      <w:proofErr w:type="gramEnd"/>
      <w:r w:rsidR="00CA5EEA">
        <w:rPr>
          <w:lang w:eastAsia="en-AU"/>
        </w:rPr>
        <w:t xml:space="preserve"> but unrelated (statin) medication (left axis), but is specific to naloxone.</w:t>
      </w:r>
      <w:r w:rsidR="00811FBA">
        <w:rPr>
          <w:lang w:eastAsia="en-AU"/>
        </w:rPr>
        <w:t xml:space="preserve"> A spike </w:t>
      </w:r>
      <w:r w:rsidR="00893F2D">
        <w:rPr>
          <w:lang w:eastAsia="en-AU"/>
        </w:rPr>
        <w:t xml:space="preserve">followed by a sudden drop </w:t>
      </w:r>
      <w:r w:rsidR="00811FBA">
        <w:rPr>
          <w:lang w:eastAsia="en-AU"/>
        </w:rPr>
        <w:t xml:space="preserve">in statin </w:t>
      </w:r>
      <w:proofErr w:type="spellStart"/>
      <w:r w:rsidR="00811FBA" w:rsidRPr="5E6F575A">
        <w:rPr>
          <w:lang w:eastAsia="en-AU"/>
        </w:rPr>
        <w:t>dispensing</w:t>
      </w:r>
      <w:r w:rsidR="340E9015" w:rsidRPr="5E6F575A">
        <w:rPr>
          <w:lang w:eastAsia="en-AU"/>
        </w:rPr>
        <w:t>s</w:t>
      </w:r>
      <w:proofErr w:type="spellEnd"/>
      <w:r w:rsidR="00811FBA">
        <w:rPr>
          <w:lang w:eastAsia="en-AU"/>
        </w:rPr>
        <w:t xml:space="preserve"> </w:t>
      </w:r>
      <w:r w:rsidR="00893F2D">
        <w:rPr>
          <w:lang w:eastAsia="en-AU"/>
        </w:rPr>
        <w:t xml:space="preserve">during </w:t>
      </w:r>
      <w:r w:rsidR="00E77961">
        <w:rPr>
          <w:lang w:eastAsia="en-AU"/>
        </w:rPr>
        <w:t>the initial phase of the pandemic (</w:t>
      </w:r>
      <w:r w:rsidR="00893F2D">
        <w:rPr>
          <w:lang w:eastAsia="en-AU"/>
        </w:rPr>
        <w:t>Q1 2020</w:t>
      </w:r>
      <w:r w:rsidR="00E77961">
        <w:rPr>
          <w:lang w:eastAsia="en-AU"/>
        </w:rPr>
        <w:t>)</w:t>
      </w:r>
      <w:r w:rsidR="00893F2D">
        <w:rPr>
          <w:lang w:eastAsia="en-AU"/>
        </w:rPr>
        <w:t xml:space="preserve"> was also observed in naloxone</w:t>
      </w:r>
      <w:r w:rsidR="00E77961">
        <w:rPr>
          <w:lang w:eastAsia="en-AU"/>
        </w:rPr>
        <w:t xml:space="preserve">. This was not seen in opioid </w:t>
      </w:r>
      <w:proofErr w:type="spellStart"/>
      <w:r w:rsidR="00E77961" w:rsidRPr="5E6F575A">
        <w:rPr>
          <w:lang w:eastAsia="en-AU"/>
        </w:rPr>
        <w:t>dispensing</w:t>
      </w:r>
      <w:r w:rsidR="53008834" w:rsidRPr="5E6F575A">
        <w:rPr>
          <w:lang w:eastAsia="en-AU"/>
        </w:rPr>
        <w:t>s</w:t>
      </w:r>
      <w:proofErr w:type="spellEnd"/>
      <w:r w:rsidR="00F85C75">
        <w:rPr>
          <w:lang w:eastAsia="en-AU"/>
        </w:rPr>
        <w:t>.</w:t>
      </w:r>
    </w:p>
    <w:p w14:paraId="06D64A1D" w14:textId="77777777" w:rsidR="00CA5EEA" w:rsidRDefault="00CA5EEA" w:rsidP="00FB4D40">
      <w:pPr>
        <w:pStyle w:val="BodyText"/>
        <w:rPr>
          <w:lang w:eastAsia="en-AU"/>
        </w:rPr>
      </w:pPr>
    </w:p>
    <w:p w14:paraId="3FC387F4" w14:textId="77777777" w:rsidR="00CA5EEA" w:rsidRDefault="00CA5EEA" w:rsidP="00FB4D40">
      <w:pPr>
        <w:pStyle w:val="BodyText"/>
        <w:rPr>
          <w:lang w:eastAsia="en-AU"/>
        </w:rPr>
        <w:sectPr w:rsidR="00CA5EEA" w:rsidSect="00695609">
          <w:footnotePr>
            <w:numFmt w:val="lowerLetter"/>
          </w:footnotePr>
          <w:pgSz w:w="16838" w:h="11906" w:orient="landscape" w:code="9"/>
          <w:pgMar w:top="1416" w:right="1134" w:bottom="1134" w:left="2268" w:header="567" w:footer="510" w:gutter="0"/>
          <w:cols w:space="708"/>
          <w:docGrid w:linePitch="360"/>
        </w:sectPr>
      </w:pPr>
    </w:p>
    <w:p w14:paraId="67C69EE9" w14:textId="71F73B8A" w:rsidR="00283E62" w:rsidRPr="00C5027D" w:rsidRDefault="00D86933" w:rsidP="007A6273">
      <w:pPr>
        <w:pStyle w:val="Heading3"/>
        <w:rPr>
          <w:szCs w:val="32"/>
        </w:rPr>
      </w:pPr>
      <w:bookmarkStart w:id="404" w:name="_Appendix_E:_Stories"/>
      <w:bookmarkStart w:id="405" w:name="_Toc85456064"/>
      <w:bookmarkStart w:id="406" w:name="_Toc94794186"/>
      <w:bookmarkStart w:id="407" w:name="_Toc94794330"/>
      <w:bookmarkEnd w:id="404"/>
      <w:r w:rsidRPr="00C5027D">
        <w:rPr>
          <w:szCs w:val="32"/>
        </w:rPr>
        <w:lastRenderedPageBreak/>
        <w:t>Appendix E</w:t>
      </w:r>
      <w:r w:rsidR="000E1EAE" w:rsidRPr="00C5027D">
        <w:rPr>
          <w:szCs w:val="32"/>
        </w:rPr>
        <w:t xml:space="preserve">: </w:t>
      </w:r>
      <w:bookmarkStart w:id="408" w:name="_Hlk81836374"/>
      <w:r w:rsidR="000E1EAE" w:rsidRPr="00C5027D">
        <w:rPr>
          <w:szCs w:val="32"/>
        </w:rPr>
        <w:t xml:space="preserve">Stories </w:t>
      </w:r>
      <w:r w:rsidR="008C7BEE">
        <w:rPr>
          <w:szCs w:val="32"/>
        </w:rPr>
        <w:t>from consumers about</w:t>
      </w:r>
      <w:r w:rsidR="000E1EAE">
        <w:rPr>
          <w:szCs w:val="32"/>
        </w:rPr>
        <w:t xml:space="preserve"> </w:t>
      </w:r>
      <w:r w:rsidR="000E1EAE" w:rsidRPr="00C5027D">
        <w:rPr>
          <w:szCs w:val="32"/>
        </w:rPr>
        <w:t xml:space="preserve">the use of THN </w:t>
      </w:r>
      <w:r w:rsidR="000E1EAE" w:rsidRPr="007A6273">
        <w:t>for</w:t>
      </w:r>
      <w:r w:rsidR="000E1EAE" w:rsidRPr="00C5027D">
        <w:rPr>
          <w:szCs w:val="32"/>
        </w:rPr>
        <w:t xml:space="preserve"> overdose reversals</w:t>
      </w:r>
      <w:bookmarkEnd w:id="405"/>
      <w:bookmarkEnd w:id="406"/>
      <w:bookmarkEnd w:id="407"/>
    </w:p>
    <w:bookmarkEnd w:id="408"/>
    <w:p w14:paraId="5D04A6F6" w14:textId="2B170DAE" w:rsidR="00316698" w:rsidRPr="00316698" w:rsidRDefault="00316698" w:rsidP="00316698">
      <w:pPr>
        <w:pStyle w:val="Quote"/>
        <w:ind w:left="0"/>
        <w:rPr>
          <w:i w:val="0"/>
          <w:iCs w:val="0"/>
        </w:rPr>
      </w:pPr>
      <w:r>
        <w:rPr>
          <w:i w:val="0"/>
          <w:iCs w:val="0"/>
        </w:rPr>
        <w:t>More than</w:t>
      </w:r>
      <w:r w:rsidR="000C28FD">
        <w:rPr>
          <w:i w:val="0"/>
          <w:iCs w:val="0"/>
        </w:rPr>
        <w:t xml:space="preserve"> 60 individual </w:t>
      </w:r>
      <w:r>
        <w:rPr>
          <w:i w:val="0"/>
          <w:iCs w:val="0"/>
        </w:rPr>
        <w:t xml:space="preserve">stories of opioid overdose reversal were collected </w:t>
      </w:r>
      <w:r w:rsidR="000C28FD">
        <w:rPr>
          <w:i w:val="0"/>
          <w:iCs w:val="0"/>
        </w:rPr>
        <w:t>across the three waves</w:t>
      </w:r>
      <w:r>
        <w:rPr>
          <w:i w:val="0"/>
          <w:iCs w:val="0"/>
        </w:rPr>
        <w:t xml:space="preserve"> of Evaluation data collection. </w:t>
      </w:r>
      <w:r w:rsidR="00566E4E">
        <w:rPr>
          <w:i w:val="0"/>
          <w:iCs w:val="0"/>
        </w:rPr>
        <w:t>Below, some of the stories of participants are recounted.</w:t>
      </w:r>
    </w:p>
    <w:p w14:paraId="166B17B5" w14:textId="57B750B6" w:rsidR="00283E62" w:rsidRDefault="00283E62" w:rsidP="00EC565F">
      <w:pPr>
        <w:pStyle w:val="Quote"/>
      </w:pPr>
      <w:r>
        <w:t>W</w:t>
      </w:r>
      <w:r w:rsidRPr="00B63FC7">
        <w:t xml:space="preserve">e’ve had one OD in the neighbourhood where the bloke died, but we’ve had two others, where thank f- if it wasn’t for the Naloxone, you know, those guys would’ve probably been, you know, 50/50 you know, probably would’ve been two out of the three. You know, instead of only one out of three. But yeah, </w:t>
      </w:r>
      <w:r w:rsidRPr="00EC565F">
        <w:t>it’s lifesaving stuff</w:t>
      </w:r>
      <w:r w:rsidRPr="00B63FC7">
        <w:t xml:space="preserve"> and</w:t>
      </w:r>
      <w:r>
        <w:t xml:space="preserve"> n</w:t>
      </w:r>
      <w:r w:rsidRPr="00B63FC7">
        <w:t>eeds to be around.</w:t>
      </w:r>
      <w:r>
        <w:t xml:space="preserve"> </w:t>
      </w:r>
      <w:r w:rsidRPr="00EC565F">
        <w:t>(SA, PUI</w:t>
      </w:r>
      <w:r w:rsidR="00656682" w:rsidRPr="00EC565F">
        <w:t>O</w:t>
      </w:r>
      <w:r w:rsidRPr="00EC565F">
        <w:t>,</w:t>
      </w:r>
      <w:r w:rsidR="0092508D">
        <w:t xml:space="preserve"> Recruited from</w:t>
      </w:r>
      <w:r w:rsidR="00A42CAE">
        <w:t xml:space="preserve"> </w:t>
      </w:r>
      <w:r w:rsidR="00D341BC">
        <w:t>C</w:t>
      </w:r>
      <w:r w:rsidR="00A42CAE">
        <w:t xml:space="preserve">ommunity </w:t>
      </w:r>
      <w:r w:rsidR="00D341BC">
        <w:t>P</w:t>
      </w:r>
      <w:r w:rsidR="00A42CAE">
        <w:t>harmacy</w:t>
      </w:r>
      <w:r w:rsidR="0092508D">
        <w:t xml:space="preserve">, Interviewed </w:t>
      </w:r>
      <w:r w:rsidR="00A42CAE">
        <w:t>August 2020</w:t>
      </w:r>
      <w:r w:rsidRPr="00EC565F">
        <w:t>).</w:t>
      </w:r>
    </w:p>
    <w:p w14:paraId="3684ACDF" w14:textId="740BBF03" w:rsidR="00283E62" w:rsidRDefault="00283E62" w:rsidP="00EC565F">
      <w:pPr>
        <w:pStyle w:val="Quote"/>
      </w:pPr>
      <w:r w:rsidRPr="00EC565F">
        <w:t xml:space="preserve">You </w:t>
      </w:r>
      <w:proofErr w:type="gramStart"/>
      <w:r w:rsidRPr="00EC565F">
        <w:t>actually don’t</w:t>
      </w:r>
      <w:proofErr w:type="gramEnd"/>
      <w:r w:rsidRPr="00EC565F">
        <w:t xml:space="preserve"> need to be a heroin user. You only </w:t>
      </w:r>
      <w:proofErr w:type="gramStart"/>
      <w:r w:rsidRPr="00EC565F">
        <w:t>have to</w:t>
      </w:r>
      <w:proofErr w:type="gramEnd"/>
      <w:r w:rsidRPr="00EC565F">
        <w:t xml:space="preserve"> be somebody who could be around people that might overdose. And where I live, there are a few people I know in this block of units that use heroin, so I’ve made it known that I’ve always got naloxone in the house, if it need be. (WA, PUI</w:t>
      </w:r>
      <w:r w:rsidR="00656682" w:rsidRPr="00EC565F">
        <w:t>O</w:t>
      </w:r>
      <w:r w:rsidRPr="00EC565F">
        <w:t xml:space="preserve">, </w:t>
      </w:r>
      <w:r w:rsidR="00FE5F46">
        <w:t xml:space="preserve">Recruited from </w:t>
      </w:r>
      <w:r w:rsidRPr="00EC565F">
        <w:t>NSP,</w:t>
      </w:r>
      <w:r w:rsidR="00FE5F46">
        <w:t xml:space="preserve"> Interview</w:t>
      </w:r>
      <w:r w:rsidR="00D341BC">
        <w:t>ed September 2020</w:t>
      </w:r>
      <w:r w:rsidRPr="00EC565F">
        <w:t>)</w:t>
      </w:r>
    </w:p>
    <w:p w14:paraId="6D526757" w14:textId="55F23E3A" w:rsidR="00283E62" w:rsidRDefault="00283E62" w:rsidP="00EC565F">
      <w:pPr>
        <w:pStyle w:val="Quote"/>
      </w:pPr>
      <w:r w:rsidRPr="00EC565F">
        <w:t xml:space="preserve">We tried to wake him, tried to wake him and he didn’t wake up.  We jabbed him on the upper </w:t>
      </w:r>
      <w:proofErr w:type="gramStart"/>
      <w:r w:rsidRPr="00EC565F">
        <w:t>thigh</w:t>
      </w:r>
      <w:proofErr w:type="gramEnd"/>
      <w:r w:rsidRPr="00EC565F">
        <w:t xml:space="preserve"> and you know, injected it and within 5-10 seconds, I don’t even know, he was awake. And yeah, he survived thanks to naloxone so yeah it saved his life. (WA,</w:t>
      </w:r>
      <w:r w:rsidR="00BF09D1">
        <w:t xml:space="preserve"> PUIO</w:t>
      </w:r>
      <w:r w:rsidRPr="00EC565F">
        <w:t xml:space="preserve">, </w:t>
      </w:r>
      <w:r w:rsidR="00FE5F46">
        <w:t xml:space="preserve">Recruited from </w:t>
      </w:r>
      <w:r w:rsidRPr="00EC565F">
        <w:t xml:space="preserve">NSP, </w:t>
      </w:r>
      <w:r w:rsidR="00D341BC">
        <w:t>Interviewed</w:t>
      </w:r>
      <w:r w:rsidRPr="00EC565F">
        <w:t xml:space="preserve"> </w:t>
      </w:r>
      <w:r w:rsidR="00D341BC">
        <w:t>September 2020</w:t>
      </w:r>
      <w:r w:rsidRPr="00EC565F">
        <w:t>)</w:t>
      </w:r>
    </w:p>
    <w:p w14:paraId="1D4D51CA" w14:textId="0775AC68" w:rsidR="00283E62" w:rsidRPr="00D7509B" w:rsidRDefault="00283E62" w:rsidP="00EC565F">
      <w:pPr>
        <w:pStyle w:val="Quote"/>
      </w:pPr>
      <w:proofErr w:type="gramStart"/>
      <w:r>
        <w:t>So</w:t>
      </w:r>
      <w:proofErr w:type="gramEnd"/>
      <w:r>
        <w:t xml:space="preserve"> I came across a guy lying in the park on his back. It was in the sun so he could have been just resting. But he looked blue. He wasn’t moving. Something was not right. And I carry gloves and intra-nasal naloxone in my </w:t>
      </w:r>
      <w:proofErr w:type="gramStart"/>
      <w:r>
        <w:t>back-pack</w:t>
      </w:r>
      <w:proofErr w:type="gramEnd"/>
      <w:r>
        <w:t xml:space="preserve">. </w:t>
      </w:r>
      <w:proofErr w:type="gramStart"/>
      <w:r>
        <w:t>So</w:t>
      </w:r>
      <w:proofErr w:type="gramEnd"/>
      <w:r>
        <w:t xml:space="preserve"> I immediately turned him on his side and didn’t get a response. And put my phone on the ground and dialled 000. And started administering naloxone whilst I was talking to the operator on 000. (NSW, Witness, </w:t>
      </w:r>
      <w:r w:rsidR="00FE5F46">
        <w:t xml:space="preserve">Recruited from </w:t>
      </w:r>
      <w:r>
        <w:t xml:space="preserve">NSP, </w:t>
      </w:r>
      <w:r w:rsidR="005817EE">
        <w:t xml:space="preserve">Interviewed </w:t>
      </w:r>
      <w:r w:rsidR="00AC6DC4">
        <w:t>October 2020</w:t>
      </w:r>
      <w:r w:rsidRPr="00EC565F">
        <w:t>)</w:t>
      </w:r>
    </w:p>
    <w:p w14:paraId="5D9F7888" w14:textId="3D47F282" w:rsidR="008517BA" w:rsidRPr="00EC565F" w:rsidRDefault="00885C9B" w:rsidP="00656682">
      <w:pPr>
        <w:pStyle w:val="Quote"/>
      </w:pPr>
      <w:r>
        <w:rPr>
          <w:rFonts w:eastAsia="Times New Roman"/>
        </w:rPr>
        <w:t xml:space="preserve">They shared with me the most incredible story... I </w:t>
      </w:r>
      <w:proofErr w:type="gramStart"/>
      <w:r>
        <w:rPr>
          <w:rFonts w:eastAsia="Times New Roman"/>
        </w:rPr>
        <w:t>have to</w:t>
      </w:r>
      <w:proofErr w:type="gramEnd"/>
      <w:r>
        <w:rPr>
          <w:rFonts w:eastAsia="Times New Roman"/>
        </w:rPr>
        <w:t xml:space="preserve"> tell you all. </w:t>
      </w:r>
      <w:r w:rsidR="008517BA" w:rsidRPr="00EC565F">
        <w:t>In the last two weeks, they resuscitated two of their friends using the Naloxone nasal spray. They told me that one of their friends was in such a critical condition, if they didn't have the Naloxone, he wouldn't have made it in time for the ambulance to arrive. They said it was one of the scariest and most petrifying experiences they have ever had, but they knew how to act quickly because they had been trained on how to use Naloxone.</w:t>
      </w:r>
      <w:r w:rsidR="0092508D">
        <w:t xml:space="preserve"> </w:t>
      </w:r>
    </w:p>
    <w:p w14:paraId="49DFF483" w14:textId="12AD62F9" w:rsidR="009F50F7" w:rsidRPr="009F50F7" w:rsidRDefault="008517BA" w:rsidP="009F50F7">
      <w:pPr>
        <w:pStyle w:val="Quote"/>
      </w:pPr>
      <w:r w:rsidRPr="00EC565F">
        <w:t xml:space="preserve">They extended the biggest appreciation to me … for interviewing them about THN and spreading awareness about its use and access. They told me that because I was so open to talking about Naloxone and promoting the efficacy of the nasal spray, it's made them more comfortable accessing it regularly from their pharmacist (who they say is fantastic) and because of this it has </w:t>
      </w:r>
      <w:r w:rsidRPr="001A5390">
        <w:t>saved TWO LIVES.</w:t>
      </w:r>
      <w:r w:rsidR="0092508D">
        <w:t xml:space="preserve"> </w:t>
      </w:r>
      <w:r w:rsidR="00D71101" w:rsidRPr="00EC565F">
        <w:t>(</w:t>
      </w:r>
      <w:r w:rsidR="00885C9B">
        <w:t>Email</w:t>
      </w:r>
      <w:r w:rsidR="00D71101">
        <w:t xml:space="preserve"> from an interviewer in SA)</w:t>
      </w:r>
    </w:p>
    <w:p w14:paraId="22EBCC40" w14:textId="56B4C8EF" w:rsidR="00885C9B" w:rsidRPr="006945CD" w:rsidRDefault="00885C9B" w:rsidP="00885C9B">
      <w:pPr>
        <w:pStyle w:val="Quote"/>
      </w:pPr>
      <w:r w:rsidRPr="006945CD">
        <w:t xml:space="preserve">We had the naloxone in our fridge, and we had both sorts, and within a week of all this knowledge coming into us from you guys, </w:t>
      </w:r>
      <w:r w:rsidRPr="001A5390">
        <w:t>we saved two people’s</w:t>
      </w:r>
      <w:r w:rsidRPr="006945CD">
        <w:rPr>
          <w:b/>
          <w:bCs/>
        </w:rPr>
        <w:t xml:space="preserve"> </w:t>
      </w:r>
      <w:r w:rsidRPr="001A5390">
        <w:t>lives</w:t>
      </w:r>
      <w:r w:rsidRPr="006945CD">
        <w:rPr>
          <w:b/>
          <w:bCs/>
        </w:rPr>
        <w:t xml:space="preserve"> </w:t>
      </w:r>
      <w:r w:rsidRPr="00EC565F">
        <w:t>(</w:t>
      </w:r>
      <w:r w:rsidR="009D20EE">
        <w:t>SA</w:t>
      </w:r>
      <w:r w:rsidRPr="00EC565F">
        <w:t xml:space="preserve">, </w:t>
      </w:r>
      <w:r w:rsidR="009D20EE">
        <w:t>PUIO</w:t>
      </w:r>
      <w:r w:rsidRPr="00EC565F">
        <w:t>,</w:t>
      </w:r>
      <w:r>
        <w:t xml:space="preserve"> Recruited from</w:t>
      </w:r>
      <w:r w:rsidR="009D20EE">
        <w:t xml:space="preserve"> Community Pharmacy</w:t>
      </w:r>
      <w:r>
        <w:t xml:space="preserve">, Interviewed </w:t>
      </w:r>
      <w:r w:rsidR="009D20EE">
        <w:t>August 2020</w:t>
      </w:r>
      <w:r w:rsidRPr="00EC565F">
        <w:t>).</w:t>
      </w:r>
    </w:p>
    <w:p w14:paraId="48B06D16" w14:textId="4C38E027" w:rsidR="00B87A67" w:rsidRDefault="00626FAB" w:rsidP="00822298">
      <w:pPr>
        <w:pStyle w:val="Quote"/>
      </w:pPr>
      <w:r w:rsidRPr="006945CD">
        <w:lastRenderedPageBreak/>
        <w:t>She had an overdose and her partner, that is a non-user, gave her naloxone... it’s a positive thing, to have it in your place and be comfortable giving it</w:t>
      </w:r>
      <w:r>
        <w:t xml:space="preserve"> (</w:t>
      </w:r>
      <w:r w:rsidRPr="00EC565F">
        <w:t xml:space="preserve">WA, </w:t>
      </w:r>
      <w:r w:rsidR="003F6C85">
        <w:t xml:space="preserve">PUIO, </w:t>
      </w:r>
      <w:r>
        <w:t xml:space="preserve">Recruited from </w:t>
      </w:r>
      <w:r w:rsidRPr="00EC565F">
        <w:t>NSP,</w:t>
      </w:r>
      <w:r>
        <w:t xml:space="preserve"> Interviewed</w:t>
      </w:r>
      <w:r w:rsidRPr="00EC565F">
        <w:t xml:space="preserve"> </w:t>
      </w:r>
      <w:r>
        <w:t>September 2020</w:t>
      </w:r>
      <w:r w:rsidRPr="00EC565F">
        <w:t>)</w:t>
      </w:r>
    </w:p>
    <w:p w14:paraId="05C4E8AD" w14:textId="209F2F0E" w:rsidR="00B87A67" w:rsidRPr="00626BD5" w:rsidRDefault="00C90603" w:rsidP="0081261B">
      <w:pPr>
        <w:pStyle w:val="Quote"/>
      </w:pPr>
      <w:r>
        <w:t xml:space="preserve">Interviewer: </w:t>
      </w:r>
      <w:r w:rsidR="00B87A67">
        <w:t>You mentioned that you were resuscitated BY someone, can you tell me more about that?</w:t>
      </w:r>
    </w:p>
    <w:p w14:paraId="3E8C244C" w14:textId="64424462" w:rsidR="00794103" w:rsidRPr="00626BD5" w:rsidRDefault="00C90603" w:rsidP="00822298">
      <w:pPr>
        <w:pStyle w:val="Quote"/>
      </w:pPr>
      <w:r w:rsidRPr="00626BD5">
        <w:t xml:space="preserve">Participant: </w:t>
      </w:r>
      <w:r w:rsidRPr="009B7145">
        <w:t>E</w:t>
      </w:r>
      <w:r w:rsidR="00B87A67" w:rsidRPr="009B7145">
        <w:t xml:space="preserve">arlier on that day we had a shot, </w:t>
      </w:r>
      <w:r w:rsidRPr="009B7145">
        <w:t xml:space="preserve">I </w:t>
      </w:r>
      <w:r w:rsidR="00B87A67" w:rsidRPr="009B7145">
        <w:t>hadn</w:t>
      </w:r>
      <w:r w:rsidRPr="009B7145">
        <w:t>’</w:t>
      </w:r>
      <w:r w:rsidR="00B87A67" w:rsidRPr="00626BD5">
        <w:t>t had any for quite a while, well no, maybe a week or more or maybe two, so the tolerance level was low</w:t>
      </w:r>
      <w:r w:rsidRPr="00626BD5">
        <w:t>. S</w:t>
      </w:r>
      <w:r w:rsidR="00B87A67" w:rsidRPr="00626BD5">
        <w:t xml:space="preserve">o </w:t>
      </w:r>
      <w:r w:rsidR="00E44CDB" w:rsidRPr="00626BD5">
        <w:t>I</w:t>
      </w:r>
      <w:r w:rsidR="00B87A67" w:rsidRPr="00626BD5">
        <w:t xml:space="preserve"> had a shot then next thing </w:t>
      </w:r>
      <w:r w:rsidRPr="00626BD5">
        <w:t>I</w:t>
      </w:r>
      <w:r w:rsidR="00B87A67" w:rsidRPr="00626BD5">
        <w:t xml:space="preserve"> know </w:t>
      </w:r>
      <w:r w:rsidRPr="00626BD5">
        <w:t>I</w:t>
      </w:r>
      <w:r w:rsidR="00B87A67" w:rsidRPr="00626BD5">
        <w:t xml:space="preserve"> wake up to him saying stay where you are, he just said basically </w:t>
      </w:r>
      <w:r w:rsidRPr="00626BD5">
        <w:t>I</w:t>
      </w:r>
      <w:r w:rsidR="00B87A67" w:rsidRPr="00626BD5">
        <w:t xml:space="preserve"> dropped or </w:t>
      </w:r>
      <w:r w:rsidRPr="00626BD5">
        <w:t>I</w:t>
      </w:r>
      <w:r w:rsidR="00B87A67" w:rsidRPr="00626BD5">
        <w:t xml:space="preserve"> sat, </w:t>
      </w:r>
      <w:r w:rsidRPr="00626BD5">
        <w:t>I</w:t>
      </w:r>
      <w:r w:rsidR="00B87A67" w:rsidRPr="00626BD5">
        <w:t xml:space="preserve"> was going blue, and I explained it to him, this guy 50 years he’s been a heroin addict, so I told him about this stuff, I had the pen or the thing whatever it is the syringe, told him where it was, so he bolted in and just did what I told him to</w:t>
      </w:r>
      <w:r w:rsidR="00D43585" w:rsidRPr="00626BD5">
        <w:t>.</w:t>
      </w:r>
      <w:r w:rsidR="00B87A67" w:rsidRPr="00626BD5">
        <w:t xml:space="preserve"> </w:t>
      </w:r>
      <w:proofErr w:type="gramStart"/>
      <w:r w:rsidR="00D43585" w:rsidRPr="00626BD5">
        <w:t>S</w:t>
      </w:r>
      <w:r w:rsidR="00B87A67" w:rsidRPr="00626BD5">
        <w:t>o</w:t>
      </w:r>
      <w:proofErr w:type="gramEnd"/>
      <w:r w:rsidR="00B87A67" w:rsidRPr="00626BD5">
        <w:t xml:space="preserve"> he was on the phone to the ambulance at the same time and they said they were listening and they were talking to him as he was doing it, giving him some instructions</w:t>
      </w:r>
      <w:r w:rsidR="00D43585" w:rsidRPr="00626BD5">
        <w:t>.</w:t>
      </w:r>
      <w:r w:rsidR="00B87A67" w:rsidRPr="00626BD5">
        <w:t xml:space="preserve"> </w:t>
      </w:r>
      <w:r w:rsidR="00D43585" w:rsidRPr="00626BD5">
        <w:t>A</w:t>
      </w:r>
      <w:r w:rsidR="00B87A67" w:rsidRPr="00626BD5">
        <w:t xml:space="preserve">fter </w:t>
      </w:r>
      <w:r w:rsidR="00D43585" w:rsidRPr="00626BD5">
        <w:t>I</w:t>
      </w:r>
      <w:r w:rsidR="00B87A67" w:rsidRPr="00626BD5">
        <w:t xml:space="preserve"> came around</w:t>
      </w:r>
      <w:r w:rsidR="0081261B" w:rsidRPr="00626BD5">
        <w:t>,</w:t>
      </w:r>
      <w:r w:rsidR="00B87A67" w:rsidRPr="00626BD5">
        <w:t xml:space="preserve"> he said </w:t>
      </w:r>
      <w:r w:rsidR="00D43585" w:rsidRPr="00626BD5">
        <w:t>‘</w:t>
      </w:r>
      <w:r w:rsidR="00B87A67" w:rsidRPr="00626BD5">
        <w:t>ah ok he’s come around</w:t>
      </w:r>
      <w:r w:rsidR="00D43585" w:rsidRPr="00626BD5">
        <w:t>,</w:t>
      </w:r>
      <w:r w:rsidR="00B87A67" w:rsidRPr="00626BD5">
        <w:t xml:space="preserve"> just cancel the ambulance</w:t>
      </w:r>
      <w:r w:rsidR="00D43585" w:rsidRPr="00626BD5">
        <w:t>’</w:t>
      </w:r>
      <w:r w:rsidR="0081261B" w:rsidRPr="00626BD5">
        <w:t>…</w:t>
      </w:r>
      <w:r w:rsidR="00B87A67" w:rsidRPr="00626BD5">
        <w:t xml:space="preserve"> basically laughed you don’t really need the ambulance after that in a sense, so they cancelled the ambulance, he hung up and it was that side of the story, the very same day. (NSW, PUI</w:t>
      </w:r>
      <w:r w:rsidRPr="00626BD5">
        <w:t xml:space="preserve">O, Recruited from AOD Service, Interviewed </w:t>
      </w:r>
      <w:r w:rsidR="0081261B" w:rsidRPr="00626BD5">
        <w:t>February 2021).</w:t>
      </w:r>
      <w:bookmarkEnd w:id="403"/>
    </w:p>
    <w:p w14:paraId="73002804" w14:textId="4486A734" w:rsidR="00794103" w:rsidRDefault="00794103" w:rsidP="00794103">
      <w:pPr>
        <w:pStyle w:val="Quote"/>
      </w:pPr>
      <w:r>
        <w:t>Interviewer: You mentioned that you have recently used naloxone TO resuscitate someone else since the last time you were interviewed, can you tell me more about that?</w:t>
      </w:r>
    </w:p>
    <w:p w14:paraId="33B3645E" w14:textId="1A190D0F" w:rsidR="00D24569" w:rsidRPr="00D24569" w:rsidRDefault="00794103" w:rsidP="00BF5DF5">
      <w:pPr>
        <w:pStyle w:val="Quote"/>
      </w:pPr>
      <w:r>
        <w:t xml:space="preserve">Participant: Since the last interview, twice I've had to use that nasal thing and the first time was I knew I was </w:t>
      </w:r>
      <w:proofErr w:type="spellStart"/>
      <w:r>
        <w:t>gonna</w:t>
      </w:r>
      <w:proofErr w:type="spellEnd"/>
      <w:r>
        <w:t xml:space="preserve"> use, so I took the one from the kitchen and took it with me just to be safe and he was having the dose with me and he </w:t>
      </w:r>
      <w:proofErr w:type="gramStart"/>
      <w:r>
        <w:t>overdosed</w:t>
      </w:r>
      <w:proofErr w:type="gramEnd"/>
      <w:r>
        <w:t xml:space="preserve"> and I used it on him. The second time again I took one from home</w:t>
      </w:r>
      <w:r w:rsidR="00CF0D57">
        <w:t>,</w:t>
      </w:r>
      <w:r>
        <w:t xml:space="preserve"> and my friend </w:t>
      </w:r>
      <w:proofErr w:type="spellStart"/>
      <w:r>
        <w:t>ODed</w:t>
      </w:r>
      <w:proofErr w:type="spellEnd"/>
      <w:r>
        <w:t xml:space="preserve"> but that was not enough</w:t>
      </w:r>
      <w:r w:rsidR="00CF0D57">
        <w:t>.</w:t>
      </w:r>
      <w:r>
        <w:t xml:space="preserve"> </w:t>
      </w:r>
      <w:r w:rsidR="00CF0D57">
        <w:t>B</w:t>
      </w:r>
      <w:r>
        <w:t>ut lucky there was a chemist just around the corner, about 100m or so, then I had to send a friend running to grab it while I kept him in the sideway position and cleared his airway and all of that and waited for an ambulance</w:t>
      </w:r>
      <w:r w:rsidR="00CF0D57">
        <w:t>.</w:t>
      </w:r>
      <w:r>
        <w:t xml:space="preserve"> </w:t>
      </w:r>
      <w:r w:rsidR="00CF0D57">
        <w:t>N</w:t>
      </w:r>
      <w:r>
        <w:t xml:space="preserve">ow I always have a stock where I keep the glasses and all that, in the top draw cupboard in the kitchen where all the glasses </w:t>
      </w:r>
      <w:r w:rsidR="00CF0D57">
        <w:t>are</w:t>
      </w:r>
      <w:r>
        <w:t>.</w:t>
      </w:r>
      <w:r w:rsidR="00CF0D57">
        <w:t xml:space="preserve"> (NSW, PUIO, </w:t>
      </w:r>
      <w:proofErr w:type="gramStart"/>
      <w:r w:rsidR="00CF0D57">
        <w:t>Recruited</w:t>
      </w:r>
      <w:proofErr w:type="gramEnd"/>
      <w:r w:rsidR="00CF0D57">
        <w:t xml:space="preserve"> from an NSP, Interviewed March 2021).</w:t>
      </w:r>
    </w:p>
    <w:p w14:paraId="3A4ED48D" w14:textId="38BAD763" w:rsidR="001A5390" w:rsidRDefault="00017747" w:rsidP="00822298">
      <w:pPr>
        <w:pStyle w:val="Quote"/>
      </w:pPr>
      <w:r>
        <w:t xml:space="preserve">Yep, a friend, we got the gear, heroin, and a friend she went in the bathroom and had it and didn't respond. My daughter went in there and I remembered that we had it we didn't know how to use it but. I was reading how to use it through the door to </w:t>
      </w:r>
      <w:proofErr w:type="gramStart"/>
      <w:r>
        <w:t>my the</w:t>
      </w:r>
      <w:proofErr w:type="gramEnd"/>
      <w:r>
        <w:t xml:space="preserve"> daughter cause only one of us could fit in through the bathroom to the friend. Not long after she gave her the spray she came around, </w:t>
      </w:r>
      <w:proofErr w:type="gramStart"/>
      <w:r>
        <w:t>cause</w:t>
      </w:r>
      <w:proofErr w:type="gramEnd"/>
      <w:r>
        <w:t xml:space="preserve"> she was blue. Then not long after that the ambulance came. (NSW, PUPO, </w:t>
      </w:r>
      <w:r w:rsidR="00BF5DF5">
        <w:t>Recruited from AOD Service, Interviewed February 2021).</w:t>
      </w:r>
    </w:p>
    <w:p w14:paraId="68212F6A" w14:textId="4F351F87" w:rsidR="001A5390" w:rsidRDefault="001A5390" w:rsidP="001A5390">
      <w:pPr>
        <w:pStyle w:val="Quote"/>
        <w:rPr>
          <w:rStyle w:val="eop"/>
        </w:rPr>
      </w:pPr>
      <w:r>
        <w:rPr>
          <w:rStyle w:val="normaltextrun"/>
        </w:rPr>
        <w:t>So yeah, I gave him one dose of naloxone in the nose and within 10 minutes he started to improve so it like, it didn't really need to go any further.</w:t>
      </w:r>
      <w:r>
        <w:rPr>
          <w:rStyle w:val="eop"/>
        </w:rPr>
        <w:t xml:space="preserve"> I was </w:t>
      </w:r>
      <w:proofErr w:type="gramStart"/>
      <w:r>
        <w:rPr>
          <w:rStyle w:val="eop"/>
        </w:rPr>
        <w:t>pretty confident</w:t>
      </w:r>
      <w:proofErr w:type="gramEnd"/>
      <w:r>
        <w:rPr>
          <w:rStyle w:val="eop"/>
        </w:rPr>
        <w:t xml:space="preserve"> with you know, how he was going to react, I’ve used it before, so, I didn’t have the same noise as I did the first time. (SA, PUPO, Recruited from Community Pharmacy, Interviewed January 2021).</w:t>
      </w:r>
    </w:p>
    <w:p w14:paraId="5C24E60C" w14:textId="77777777" w:rsidR="00172481" w:rsidRPr="00172481" w:rsidRDefault="00172481" w:rsidP="00172481">
      <w:pPr>
        <w:pStyle w:val="paragraph"/>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0" w:after="0" w:line="360" w:lineRule="auto"/>
        <w:rPr>
          <w:rStyle w:val="eop"/>
        </w:rPr>
      </w:pPr>
    </w:p>
    <w:p w14:paraId="1805EC13" w14:textId="28907D13" w:rsidR="00D557BA" w:rsidRDefault="00D557BA" w:rsidP="00822298">
      <w:pPr>
        <w:pStyle w:val="Quote"/>
      </w:pPr>
      <w:r>
        <w:lastRenderedPageBreak/>
        <w:t>S</w:t>
      </w:r>
      <w:r w:rsidR="00DE7E92">
        <w:t>o it was when alcohol was also involved and um, somebody that did not, who sort of irregularly used opioids, and she had a very small amount and misjudged and then we realised, she wasn’t responding, um and sort of was snoring in a way that was strange, and we couldn’t get a response, and so then yeah just using the naloxone, sort of put in the first I think…I think it was 2 and waited a minute, and then nothing, and then put in another one, and then she came back (SA, Witness, Recruited from Community Pharmacy, Interviewed</w:t>
      </w:r>
      <w:r>
        <w:t xml:space="preserve"> June 2021).</w:t>
      </w:r>
    </w:p>
    <w:p w14:paraId="1F841B30" w14:textId="666DB719" w:rsidR="000256D2" w:rsidRDefault="00D557BA" w:rsidP="00822298">
      <w:pPr>
        <w:pStyle w:val="Quote"/>
      </w:pPr>
      <w:r>
        <w:t>Yes, well, we said he was going down </w:t>
      </w:r>
      <w:proofErr w:type="gramStart"/>
      <w:r>
        <w:t>pretty quick</w:t>
      </w:r>
      <w:proofErr w:type="gramEnd"/>
      <w:r w:rsidR="007F6CAF">
        <w:t>…</w:t>
      </w:r>
      <w:r>
        <w:t xml:space="preserve">instead of worrying about, you know, putting him under water and the rest of it, we went straight to the naloxone spray. You know, no mucking around. And then, you know, yeah, he was fine, within about four minutes, I’d say, he was cursing me [laughs] (SA, PUPO, </w:t>
      </w:r>
      <w:r w:rsidR="007F6CAF">
        <w:t>Recruited from Community Pharmacy, Interviewed January 2021).</w:t>
      </w:r>
    </w:p>
    <w:p w14:paraId="0637C012" w14:textId="7C164E9B" w:rsidR="000256D2" w:rsidRDefault="00555D0D" w:rsidP="00555D0D">
      <w:pPr>
        <w:pStyle w:val="Quote"/>
      </w:pPr>
      <w:r>
        <w:t xml:space="preserve">Participant: </w:t>
      </w:r>
      <w:r w:rsidR="000256D2">
        <w:t xml:space="preserve">After that, when the ambulance came, they </w:t>
      </w:r>
      <w:proofErr w:type="gramStart"/>
      <w:r w:rsidR="000256D2">
        <w:t>actually then</w:t>
      </w:r>
      <w:proofErr w:type="gramEnd"/>
      <w:r w:rsidR="000256D2">
        <w:t xml:space="preserve"> did come to, so the person decided not to go with the ambulance, because they were still awake enough and, yeah, we just made sure that he was OK. </w:t>
      </w:r>
    </w:p>
    <w:p w14:paraId="23D023C5" w14:textId="07AFDF9D" w:rsidR="000256D2" w:rsidRDefault="000256D2" w:rsidP="00555D0D">
      <w:pPr>
        <w:pStyle w:val="Quote"/>
      </w:pPr>
      <w:r>
        <w:t>I</w:t>
      </w:r>
      <w:r w:rsidR="00555D0D">
        <w:t>nterviewer</w:t>
      </w:r>
      <w:r>
        <w:t xml:space="preserve">: And how did you feel? </w:t>
      </w:r>
    </w:p>
    <w:p w14:paraId="25C774DE" w14:textId="5871F2A0" w:rsidR="001A5390" w:rsidRPr="001A5390" w:rsidRDefault="00555D0D" w:rsidP="009E38E2">
      <w:pPr>
        <w:pStyle w:val="Quote"/>
      </w:pPr>
      <w:r>
        <w:t xml:space="preserve">Participant: </w:t>
      </w:r>
      <w:r w:rsidR="000256D2">
        <w:t xml:space="preserve">Um, I was </w:t>
      </w:r>
      <w:proofErr w:type="gramStart"/>
      <w:r w:rsidR="000256D2">
        <w:t>actually well</w:t>
      </w:r>
      <w:proofErr w:type="gramEnd"/>
      <w:r w:rsidR="000256D2">
        <w:t xml:space="preserve">...how did I feel about saving his life? Relieved. (WA, </w:t>
      </w:r>
      <w:r>
        <w:t>Witness, Recruited from NSP, Interviewed May 2021).</w:t>
      </w:r>
    </w:p>
    <w:p w14:paraId="24E90D2A" w14:textId="77777777" w:rsidR="0086199C" w:rsidRDefault="0086199C" w:rsidP="0086199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60" w:line="259" w:lineRule="auto"/>
        <w:ind w:left="720" w:hanging="720"/>
      </w:pPr>
    </w:p>
    <w:p w14:paraId="782B293D" w14:textId="77777777" w:rsidR="00090AF9" w:rsidRPr="00411B3E" w:rsidRDefault="00090AF9" w:rsidP="00FB4D40">
      <w:pPr>
        <w:pStyle w:val="BodyText"/>
        <w:rPr>
          <w:lang w:eastAsia="en-AU"/>
        </w:rPr>
        <w:sectPr w:rsidR="00090AF9" w:rsidRPr="00411B3E" w:rsidSect="00BF71F8">
          <w:headerReference w:type="even" r:id="rId91"/>
          <w:headerReference w:type="default" r:id="rId92"/>
          <w:footerReference w:type="even" r:id="rId93"/>
          <w:footerReference w:type="default" r:id="rId94"/>
          <w:headerReference w:type="first" r:id="rId95"/>
          <w:footerReference w:type="first" r:id="rId96"/>
          <w:footnotePr>
            <w:numFmt w:val="lowerLetter"/>
          </w:footnotePr>
          <w:pgSz w:w="11906" w:h="16838" w:code="9"/>
          <w:pgMar w:top="1134" w:right="1134" w:bottom="2268" w:left="1416" w:header="567" w:footer="510" w:gutter="0"/>
          <w:cols w:space="708"/>
          <w:docGrid w:linePitch="360"/>
        </w:sectPr>
      </w:pPr>
    </w:p>
    <w:p w14:paraId="71F706A7" w14:textId="1D40C27D" w:rsidR="00CA5EEA" w:rsidRDefault="00CA5EEA" w:rsidP="00F6713B">
      <w:pPr>
        <w:pStyle w:val="BodyText"/>
        <w:jc w:val="right"/>
      </w:pPr>
      <w:r w:rsidDel="00BF71F8">
        <w:rPr>
          <w:noProof/>
        </w:rPr>
        <w:lastRenderedPageBreak/>
        <w:drawing>
          <wp:inline distT="0" distB="0" distL="0" distR="0" wp14:anchorId="01951A21" wp14:editId="7484277F">
            <wp:extent cx="1836000" cy="759600"/>
            <wp:effectExtent l="0" t="0" r="0" b="2540"/>
            <wp:docPr id="212" name="Picture 212" descr="Logo. The University of Queensland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Logo. The University of Queensland Australia"/>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36000" cy="759600"/>
                    </a:xfrm>
                    <a:prstGeom prst="rect">
                      <a:avLst/>
                    </a:prstGeom>
                  </pic:spPr>
                </pic:pic>
              </a:graphicData>
            </a:graphic>
          </wp:inline>
        </w:drawing>
      </w:r>
      <w:r w:rsidDel="00BF71F8">
        <w:rPr>
          <w:noProof/>
        </w:rPr>
        <mc:AlternateContent>
          <mc:Choice Requires="wps">
            <w:drawing>
              <wp:anchor distT="0" distB="0" distL="114300" distR="114300" simplePos="0" relativeHeight="251657227" behindDoc="0" locked="1" layoutInCell="1" allowOverlap="1" wp14:anchorId="056C8B06" wp14:editId="436838E9">
                <wp:simplePos x="0" y="0"/>
                <wp:positionH relativeFrom="margin">
                  <wp:align>left</wp:align>
                </wp:positionH>
                <wp:positionV relativeFrom="page">
                  <wp:posOffset>3971290</wp:posOffset>
                </wp:positionV>
                <wp:extent cx="6123600" cy="6328800"/>
                <wp:effectExtent l="0" t="0" r="0" b="0"/>
                <wp:wrapNone/>
                <wp:docPr id="9" name="Graphic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23600" cy="6328800"/>
                        </a:xfrm>
                        <a:custGeom>
                          <a:avLst/>
                          <a:gdLst>
                            <a:gd name="connsiteX0" fmla="*/ 6102039 w 6125165"/>
                            <a:gd name="connsiteY0" fmla="*/ 6323000 h 6328410"/>
                            <a:gd name="connsiteX1" fmla="*/ 4683380 w 6125165"/>
                            <a:gd name="connsiteY1" fmla="*/ 5869886 h 6328410"/>
                            <a:gd name="connsiteX2" fmla="*/ 3677283 w 6125165"/>
                            <a:gd name="connsiteY2" fmla="*/ 6047082 h 6328410"/>
                            <a:gd name="connsiteX3" fmla="*/ 4761843 w 6125165"/>
                            <a:gd name="connsiteY3" fmla="*/ 5130728 h 6328410"/>
                            <a:gd name="connsiteX4" fmla="*/ 6109632 w 6125165"/>
                            <a:gd name="connsiteY4" fmla="*/ 5095289 h 6328410"/>
                            <a:gd name="connsiteX5" fmla="*/ 6109632 w 6125165"/>
                            <a:gd name="connsiteY5" fmla="*/ 17372 h 6328410"/>
                            <a:gd name="connsiteX6" fmla="*/ 17370 w 6125165"/>
                            <a:gd name="connsiteY6" fmla="*/ 17372 h 6328410"/>
                            <a:gd name="connsiteX7" fmla="*/ 17370 w 6125165"/>
                            <a:gd name="connsiteY7" fmla="*/ 3141076 h 6328410"/>
                            <a:gd name="connsiteX8" fmla="*/ 2866079 w 6125165"/>
                            <a:gd name="connsiteY8" fmla="*/ 6323000 h 6328410"/>
                            <a:gd name="connsiteX9" fmla="*/ 6109632 w 6125165"/>
                            <a:gd name="connsiteY9" fmla="*/ 6323000 h 63284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6125165" h="6328410">
                              <a:moveTo>
                                <a:pt x="6102039" y="6323000"/>
                              </a:moveTo>
                              <a:cubicBezTo>
                                <a:pt x="5769205" y="6274905"/>
                                <a:pt x="5198451" y="6025565"/>
                                <a:pt x="4683380" y="5869886"/>
                              </a:cubicBezTo>
                              <a:cubicBezTo>
                                <a:pt x="4092377" y="5691425"/>
                                <a:pt x="3962027" y="5807868"/>
                                <a:pt x="3677283" y="6047082"/>
                              </a:cubicBezTo>
                              <a:cubicBezTo>
                                <a:pt x="3739294" y="5972407"/>
                                <a:pt x="4420150" y="5310455"/>
                                <a:pt x="4761843" y="5130728"/>
                              </a:cubicBezTo>
                              <a:cubicBezTo>
                                <a:pt x="5424980" y="4781400"/>
                                <a:pt x="6056480" y="5076304"/>
                                <a:pt x="6109632" y="5095289"/>
                              </a:cubicBezTo>
                              <a:lnTo>
                                <a:pt x="6109632" y="17372"/>
                              </a:lnTo>
                              <a:lnTo>
                                <a:pt x="17370" y="17372"/>
                              </a:lnTo>
                              <a:lnTo>
                                <a:pt x="17370" y="3141076"/>
                              </a:lnTo>
                              <a:cubicBezTo>
                                <a:pt x="61664" y="4490293"/>
                                <a:pt x="1236076" y="5825587"/>
                                <a:pt x="2866079" y="6323000"/>
                              </a:cubicBezTo>
                              <a:lnTo>
                                <a:pt x="6109632" y="6323000"/>
                              </a:lnTo>
                            </a:path>
                          </a:pathLst>
                        </a:custGeom>
                        <a:gradFill>
                          <a:gsLst>
                            <a:gs pos="0">
                              <a:schemeClr val="accent1"/>
                            </a:gs>
                            <a:gs pos="80000">
                              <a:srgbClr val="913493"/>
                            </a:gs>
                          </a:gsLst>
                          <a:lin ang="5400000" scaled="1"/>
                        </a:gradFill>
                        <a:ln w="17432" cap="flat">
                          <a:noFill/>
                          <a:prstDash val="solid"/>
                          <a:miter/>
                        </a:ln>
                      </wps:spPr>
                      <wps:txbx>
                        <w:txbxContent>
                          <w:p w14:paraId="337AC3AB" w14:textId="77777777" w:rsidR="00866910" w:rsidRPr="00EF60AF" w:rsidRDefault="00866910" w:rsidP="003D0F16">
                            <w:pPr>
                              <w:pStyle w:val="BackCoverDetails"/>
                              <w:spacing w:before="120" w:line="240" w:lineRule="auto"/>
                              <w:ind w:left="425" w:firstLine="0"/>
                              <w:rPr>
                                <w:b/>
                                <w:szCs w:val="20"/>
                              </w:rPr>
                            </w:pPr>
                            <w:r w:rsidRPr="00EF60AF">
                              <w:rPr>
                                <w:b/>
                                <w:szCs w:val="20"/>
                              </w:rPr>
                              <w:t>Contact details</w:t>
                            </w:r>
                          </w:p>
                          <w:p w14:paraId="07B15635" w14:textId="77777777" w:rsidR="00866910" w:rsidRPr="00D32971" w:rsidRDefault="00866910" w:rsidP="003D0F16">
                            <w:pPr>
                              <w:pStyle w:val="BackCoverDetails"/>
                              <w:spacing w:line="240" w:lineRule="auto"/>
                              <w:ind w:left="425" w:firstLine="0"/>
                            </w:pPr>
                            <w:r w:rsidRPr="00EF60AF">
                              <w:rPr>
                                <w:b/>
                                <w:bCs w:val="0"/>
                              </w:rPr>
                              <w:t>Dr Caroline Salom</w:t>
                            </w:r>
                            <w:r w:rsidRPr="00EF60AF">
                              <w:rPr>
                                <w:b/>
                                <w:bCs w:val="0"/>
                              </w:rPr>
                              <w:br/>
                            </w:r>
                            <w:r w:rsidRPr="00D32971">
                              <w:t>T</w:t>
                            </w:r>
                            <w:r w:rsidRPr="00D32971">
                              <w:tab/>
                              <w:t>+61 7 3</w:t>
                            </w:r>
                            <w:r>
                              <w:t>346 7695</w:t>
                            </w:r>
                            <w:r>
                              <w:br/>
                            </w:r>
                            <w:r w:rsidRPr="00D32971">
                              <w:t>E</w:t>
                            </w:r>
                            <w:r w:rsidRPr="00D32971">
                              <w:tab/>
                            </w:r>
                            <w:hyperlink r:id="rId97" w:history="1">
                              <w:r>
                                <w:t>c.salom</w:t>
                              </w:r>
                              <w:r w:rsidRPr="00D32971">
                                <w:t>@uq.edu.au</w:t>
                              </w:r>
                            </w:hyperlink>
                            <w:r>
                              <w:br/>
                            </w:r>
                            <w:r w:rsidRPr="00D32971">
                              <w:t>W</w:t>
                            </w:r>
                            <w:r w:rsidRPr="00D32971">
                              <w:tab/>
                            </w:r>
                            <w:hyperlink r:id="rId98" w:history="1">
                              <w:r>
                                <w:t>issr.uq.edu.au</w:t>
                              </w:r>
                            </w:hyperlink>
                            <w:r>
                              <w:t xml:space="preserve"> </w:t>
                            </w:r>
                          </w:p>
                          <w:p w14:paraId="3944F5FD" w14:textId="77777777" w:rsidR="00866910" w:rsidRPr="00D32971" w:rsidRDefault="00866910" w:rsidP="003D0F16">
                            <w:pPr>
                              <w:pStyle w:val="BackCoverDetails"/>
                              <w:ind w:left="425" w:firstLine="0"/>
                              <w:rPr>
                                <w:sz w:val="20"/>
                              </w:rPr>
                            </w:pPr>
                            <w:r w:rsidRPr="00D32971">
                              <w:rPr>
                                <w:sz w:val="20"/>
                              </w:rPr>
                              <w:t>CRICOS Provider Number 00025B</w:t>
                            </w:r>
                          </w:p>
                        </w:txbxContent>
                      </wps:txbx>
                      <wps:bodyPr rot="0" spcFirstLastPara="0" vertOverflow="overflow" horzOverflow="overflow" vert="horz" wrap="square" lIns="270000" tIns="270000" rIns="270000" bIns="27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C8B06" id="Graphic 6" o:spid="_x0000_s1026" alt="&quot;&quot;" style="position:absolute;left:0;text-align:left;margin-left:0;margin-top:312.7pt;width:482.15pt;height:498.35pt;z-index:251657227;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coordsize="6125165,6328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" adj="-11796480,,5400" path="m6102039,6323000c5769205,6274905,5198451,6025565,4683380,5869886v-591003,-178461,-721353,-62018,-1006097,177196c3739294,5972407,4420150,5310455,4761843,5130728v663137,-349328,1294637,-54424,1347789,-35439l6109632,17372r-6092262,l17370,3141076c61664,4490293,1236076,5825587,2866079,6323000r3243553,e" fillcolor="#51247a [3204]" stroked="f" strokeweight=".48422mm">
                <v:fill color2="#913493" colors="0 #51247a;52429f #913493" focus="100%" type="gradient"/>
                <v:stroke joinstyle="miter"/>
                <v:formulas/>
                <v:path arrowok="t" o:connecttype="custom" o:connectlocs="6100480,6323390;4682183,5870248;3676343,6047455;4760626,5131044;6108071,5095603;6108071,17373;17366,17373;17366,3141270;2865347,6323390;6108071,6323390" o:connectangles="0,0,0,0,0,0,0,0,0,0" textboxrect="0,0,6125165,6328410"/>
                <v:textbox inset="7.5mm,7.5mm,7.5mm,7.5mm">
                  <w:txbxContent>
                    <w:p w14:paraId="337AC3AB" w14:textId="77777777" w:rsidR="00866910" w:rsidRPr="00EF60AF" w:rsidRDefault="00866910" w:rsidP="003D0F16">
                      <w:pPr>
                        <w:pStyle w:val="BackCoverDetails"/>
                        <w:spacing w:before="120" w:line="240" w:lineRule="auto"/>
                        <w:ind w:left="425" w:firstLine="0"/>
                        <w:rPr>
                          <w:b/>
                          <w:szCs w:val="20"/>
                        </w:rPr>
                      </w:pPr>
                      <w:r w:rsidRPr="00EF60AF">
                        <w:rPr>
                          <w:b/>
                          <w:szCs w:val="20"/>
                        </w:rPr>
                        <w:t>Contact details</w:t>
                      </w:r>
                    </w:p>
                    <w:p w14:paraId="07B15635" w14:textId="77777777" w:rsidR="00866910" w:rsidRPr="00D32971" w:rsidRDefault="00866910" w:rsidP="003D0F16">
                      <w:pPr>
                        <w:pStyle w:val="BackCoverDetails"/>
                        <w:spacing w:line="240" w:lineRule="auto"/>
                        <w:ind w:left="425" w:firstLine="0"/>
                      </w:pPr>
                      <w:r w:rsidRPr="00EF60AF">
                        <w:rPr>
                          <w:b/>
                          <w:bCs w:val="0"/>
                        </w:rPr>
                        <w:t>Dr Caroline Salom</w:t>
                      </w:r>
                      <w:r w:rsidRPr="00EF60AF">
                        <w:rPr>
                          <w:b/>
                          <w:bCs w:val="0"/>
                        </w:rPr>
                        <w:br/>
                      </w:r>
                      <w:r w:rsidRPr="00D32971">
                        <w:t>T</w:t>
                      </w:r>
                      <w:r w:rsidRPr="00D32971">
                        <w:tab/>
                        <w:t>+61 7 3</w:t>
                      </w:r>
                      <w:r>
                        <w:t>346 7695</w:t>
                      </w:r>
                      <w:r>
                        <w:br/>
                      </w:r>
                      <w:r w:rsidRPr="00D32971">
                        <w:t>E</w:t>
                      </w:r>
                      <w:r w:rsidRPr="00D32971">
                        <w:tab/>
                      </w:r>
                      <w:hyperlink r:id="rId99" w:history="1">
                        <w:r>
                          <w:t>c.salom</w:t>
                        </w:r>
                        <w:r w:rsidRPr="00D32971">
                          <w:t>@uq.edu.au</w:t>
                        </w:r>
                      </w:hyperlink>
                      <w:r>
                        <w:br/>
                      </w:r>
                      <w:r w:rsidRPr="00D32971">
                        <w:t>W</w:t>
                      </w:r>
                      <w:r w:rsidRPr="00D32971">
                        <w:tab/>
                      </w:r>
                      <w:hyperlink r:id="rId100" w:history="1">
                        <w:r>
                          <w:t>issr.uq.edu.au</w:t>
                        </w:r>
                      </w:hyperlink>
                      <w:r>
                        <w:t xml:space="preserve"> </w:t>
                      </w:r>
                    </w:p>
                    <w:p w14:paraId="3944F5FD" w14:textId="77777777" w:rsidR="00866910" w:rsidRPr="00D32971" w:rsidRDefault="00866910" w:rsidP="003D0F16">
                      <w:pPr>
                        <w:pStyle w:val="BackCoverDetails"/>
                        <w:ind w:left="425" w:firstLine="0"/>
                        <w:rPr>
                          <w:sz w:val="20"/>
                        </w:rPr>
                      </w:pPr>
                      <w:r w:rsidRPr="00D32971">
                        <w:rPr>
                          <w:sz w:val="20"/>
                        </w:rPr>
                        <w:t>CRICOS Provider Number 00025B</w:t>
                      </w:r>
                    </w:p>
                  </w:txbxContent>
                </v:textbox>
                <w10:wrap anchorx="margin" anchory="page"/>
                <w10:anchorlock/>
              </v:shape>
            </w:pict>
          </mc:Fallback>
        </mc:AlternateContent>
      </w:r>
      <w:r w:rsidR="00FC2A47" w:rsidDel="00BF71F8">
        <w:rPr>
          <w:rFonts w:asciiTheme="majorHAnsi" w:eastAsiaTheme="majorEastAsia" w:hAnsiTheme="majorHAnsi" w:cstheme="majorBidi"/>
          <w:color w:val="51247A" w:themeColor="accent1"/>
          <w:sz w:val="36"/>
          <w:szCs w:val="32"/>
        </w:rPr>
        <w:fldChar w:fldCharType="begin"/>
      </w:r>
      <w:r w:rsidR="00FC2A47" w:rsidDel="00BF71F8">
        <w:rPr>
          <w:rFonts w:asciiTheme="majorHAnsi" w:eastAsiaTheme="majorEastAsia" w:hAnsiTheme="majorHAnsi" w:cstheme="majorBidi"/>
          <w:color w:val="51247A" w:themeColor="accent1"/>
          <w:sz w:val="36"/>
          <w:szCs w:val="32"/>
        </w:rPr>
        <w:fldChar w:fldCharType="end"/>
      </w:r>
    </w:p>
    <w:sectPr w:rsidR="00CA5EEA" w:rsidSect="00FE74AF">
      <w:footerReference w:type="default" r:id="rId101"/>
      <w:footnotePr>
        <w:numFmt w:val="lowerLetter"/>
      </w:footnotePr>
      <w:pgSz w:w="11906" w:h="16838" w:code="9"/>
      <w:pgMar w:top="1134" w:right="1440" w:bottom="2268" w:left="1416" w:header="567" w:footer="510"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1D2C12" w14:textId="77777777" w:rsidR="00D54486" w:rsidRDefault="00D54486" w:rsidP="00B170A4">
      <w:r>
        <w:separator/>
      </w:r>
    </w:p>
  </w:endnote>
  <w:endnote w:type="continuationSeparator" w:id="0">
    <w:p w14:paraId="0403ED64" w14:textId="77777777" w:rsidR="00D54486" w:rsidRDefault="00D54486" w:rsidP="00B170A4">
      <w:r>
        <w:continuationSeparator/>
      </w:r>
    </w:p>
  </w:endnote>
  <w:endnote w:type="continuationNotice" w:id="1">
    <w:p w14:paraId="6E7C2CF0" w14:textId="77777777" w:rsidR="00D54486" w:rsidRDefault="00D54486" w:rsidP="00B170A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otham Light">
    <w:altName w:val="Calibri"/>
    <w:panose1 w:val="00000000000000000000"/>
    <w:charset w:val="00"/>
    <w:family w:val="modern"/>
    <w:notTrueType/>
    <w:pitch w:val="variable"/>
    <w:sig w:usb0="A00002FF" w:usb1="4000005B"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Rounded MT">
    <w:altName w:val="Arial"/>
    <w:charset w:val="00"/>
    <w:family w:val="auto"/>
    <w:pitch w:val="variable"/>
    <w:sig w:usb0="80000027" w:usb1="00000000" w:usb2="00000000" w:usb3="00000000" w:csb0="00000001" w:csb1="00000000"/>
  </w:font>
  <w:font w:name="Noto Sans Symbols">
    <w:altName w:val="Calibri"/>
    <w:charset w:val="00"/>
    <w:family w:val="auto"/>
    <w:pitch w:val="default"/>
  </w:font>
  <w:font w:name="Lucida Grande">
    <w:altName w:val="Arial"/>
    <w:charset w:val="00"/>
    <w:family w:val="swiss"/>
    <w:pitch w:val="variable"/>
    <w:sig w:usb0="E1000AEF" w:usb1="5000A1FF" w:usb2="00000000" w:usb3="00000000" w:csb0="000001B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Arial Bold">
    <w:altName w:val="Arial"/>
    <w:panose1 w:val="00000000000000000000"/>
    <w:charset w:val="00"/>
    <w:family w:val="auto"/>
    <w:notTrueType/>
    <w:pitch w:val="default"/>
    <w:sig w:usb0="03000000" w:usb1="00000000" w:usb2="00000000" w:usb3="00000000" w:csb0="00000001" w:csb1="00000000"/>
  </w:font>
  <w:font w:name="Lato Medium">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egoe UI">
    <w:altName w:val="Sylfaen"/>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153B11" w14:textId="6D9119A7" w:rsidR="00866910" w:rsidRDefault="009E3F96" w:rsidP="000A687F">
    <w:pPr>
      <w:pStyle w:val="Footer"/>
      <w:jc w:val="right"/>
    </w:pPr>
    <w:sdt>
      <w:sdtPr>
        <w:id w:val="-927264533"/>
        <w:docPartObj>
          <w:docPartGallery w:val="Page Numbers (Bottom of Page)"/>
          <w:docPartUnique/>
        </w:docPartObj>
      </w:sdtPr>
      <w:sdtEndPr>
        <w:rPr>
          <w:noProof/>
        </w:rPr>
      </w:sdtEndPr>
      <w:sdtContent>
        <w:r w:rsidR="00866910">
          <w:fldChar w:fldCharType="begin"/>
        </w:r>
        <w:r w:rsidR="00866910">
          <w:instrText xml:space="preserve"> PAGE   \* MERGEFORMAT </w:instrText>
        </w:r>
        <w:r w:rsidR="00866910">
          <w:fldChar w:fldCharType="separate"/>
        </w:r>
        <w:r w:rsidR="00866910">
          <w:rPr>
            <w:noProof/>
          </w:rPr>
          <w:t>2</w:t>
        </w:r>
        <w:r w:rsidR="00866910">
          <w:rPr>
            <w:noProof/>
          </w:rPr>
          <w:fldChar w:fldCharType="end"/>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AC26E4" w14:textId="77777777" w:rsidR="00866910" w:rsidRDefault="0086691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F1B682" w14:textId="77777777" w:rsidR="00866910" w:rsidRDefault="00866910">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49E59E" w14:textId="77777777" w:rsidR="00866910" w:rsidRDefault="00866910">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83238316"/>
      <w:docPartObj>
        <w:docPartGallery w:val="Page Numbers (Bottom of Page)"/>
        <w:docPartUnique/>
      </w:docPartObj>
    </w:sdtPr>
    <w:sdtEndPr>
      <w:rPr>
        <w:noProof/>
      </w:rPr>
    </w:sdtEndPr>
    <w:sdtContent>
      <w:p w14:paraId="7267E299" w14:textId="29ABBA5C" w:rsidR="00866910" w:rsidRPr="00B042DF" w:rsidRDefault="009E3F96" w:rsidP="00B74131">
        <w:pPr>
          <w:pStyle w:val="Footer"/>
          <w:tabs>
            <w:tab w:val="clear" w:pos="851"/>
            <w:tab w:val="left" w:pos="0"/>
          </w:tabs>
          <w:jc w:val="right"/>
        </w:pPr>
        <w:sdt>
          <w:sdtPr>
            <w:alias w:val="Title"/>
            <w:tag w:val=""/>
            <w:id w:val="-720822652"/>
            <w:placeholder>
              <w:docPart w:val="7F52C22CEAB742F5ADAAA0D04EE89CBC"/>
            </w:placeholder>
            <w:dataBinding w:prefixMappings="xmlns:ns0='http://purl.org/dc/elements/1.1/' xmlns:ns1='http://schemas.openxmlformats.org/package/2006/metadata/core-properties' " w:xpath="/ns1:coreProperties[1]/ns0:title[1]" w:storeItemID="{6C3C8BC8-F283-45AE-878A-BAB7291924A1}"/>
            <w:text/>
          </w:sdtPr>
          <w:sdtEndPr/>
          <w:sdtContent>
            <w:r w:rsidR="00866910">
              <w:t>Evaluation of the Pharmaceutical Benefits Scheme Subsidised Take Home Naloxone Pilot</w:t>
            </w:r>
          </w:sdtContent>
        </w:sdt>
        <w:r w:rsidR="00866910">
          <w:tab/>
        </w:r>
        <w:r w:rsidR="00866910">
          <w:tab/>
        </w:r>
        <w:r w:rsidR="00866910">
          <w:tab/>
        </w:r>
        <w:r w:rsidR="00866910">
          <w:tab/>
          <w:t xml:space="preserve"> </w:t>
        </w:r>
        <w:r w:rsidR="00866910">
          <w:fldChar w:fldCharType="begin"/>
        </w:r>
        <w:r w:rsidR="00866910">
          <w:instrText xml:space="preserve"> PAGE   \* MERGEFORMAT </w:instrText>
        </w:r>
        <w:r w:rsidR="00866910">
          <w:fldChar w:fldCharType="separate"/>
        </w:r>
        <w:r w:rsidR="00866910">
          <w:rPr>
            <w:noProof/>
          </w:rPr>
          <w:t>2</w:t>
        </w:r>
        <w:r w:rsidR="00866910">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668866" w14:textId="77777777" w:rsidR="00866910" w:rsidRDefault="00866910">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83C456" w14:textId="77777777" w:rsidR="00866910" w:rsidRDefault="008669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B1A6E9" w14:textId="77777777" w:rsidR="00866910" w:rsidRDefault="0086691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75904743"/>
      <w:docPartObj>
        <w:docPartGallery w:val="Page Numbers (Bottom of Page)"/>
        <w:docPartUnique/>
      </w:docPartObj>
    </w:sdtPr>
    <w:sdtEndPr>
      <w:rPr>
        <w:noProof/>
      </w:rPr>
    </w:sdtEndPr>
    <w:sdtContent>
      <w:p w14:paraId="223BBCB6" w14:textId="1D08F1DE" w:rsidR="00866910" w:rsidRDefault="00866910" w:rsidP="007A6273">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C474D7" w14:textId="77777777" w:rsidR="00866910" w:rsidRDefault="00866910">
    <w:r>
      <w:cr/>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5F1CBB" w14:textId="77777777" w:rsidR="00866910" w:rsidRDefault="0086691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40123060"/>
      <w:docPartObj>
        <w:docPartGallery w:val="Page Numbers (Bottom of Page)"/>
        <w:docPartUnique/>
      </w:docPartObj>
    </w:sdtPr>
    <w:sdtEndPr>
      <w:rPr>
        <w:noProof/>
      </w:rPr>
    </w:sdtEndPr>
    <w:sdtContent>
      <w:p w14:paraId="30D4D5CE" w14:textId="77777777" w:rsidR="00866910" w:rsidRDefault="008669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1B1088" w14:textId="77777777" w:rsidR="00866910" w:rsidRDefault="00866910" w:rsidP="00B170A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23CEC" w14:textId="77777777" w:rsidR="00866910" w:rsidRDefault="0086691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9F960" w14:textId="77777777" w:rsidR="00866910" w:rsidRDefault="0086691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8577185"/>
      <w:docPartObj>
        <w:docPartGallery w:val="Page Numbers (Bottom of Page)"/>
        <w:docPartUnique/>
      </w:docPartObj>
    </w:sdtPr>
    <w:sdtEndPr>
      <w:rPr>
        <w:noProof/>
      </w:rPr>
    </w:sdtEndPr>
    <w:sdtContent>
      <w:p w14:paraId="0ACE7A9A" w14:textId="77777777" w:rsidR="00866910" w:rsidRDefault="008669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E422290" w14:textId="77777777" w:rsidR="00866910" w:rsidRDefault="008669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71D50E" w14:textId="77777777" w:rsidR="00D54486" w:rsidRDefault="00D54486" w:rsidP="00B170A4">
      <w:r>
        <w:separator/>
      </w:r>
    </w:p>
  </w:footnote>
  <w:footnote w:type="continuationSeparator" w:id="0">
    <w:p w14:paraId="14F2D8E9" w14:textId="77777777" w:rsidR="00D54486" w:rsidRDefault="00D54486" w:rsidP="00B170A4">
      <w:r>
        <w:continuationSeparator/>
      </w:r>
    </w:p>
  </w:footnote>
  <w:footnote w:type="continuationNotice" w:id="1">
    <w:p w14:paraId="709C58F1" w14:textId="77777777" w:rsidR="00D54486" w:rsidRDefault="00D54486" w:rsidP="00B170A4"/>
  </w:footnote>
  <w:footnote w:id="2">
    <w:p w14:paraId="4FBF23E9" w14:textId="208B0783" w:rsidR="00866910" w:rsidRDefault="00866910">
      <w:pPr>
        <w:pStyle w:val="FootnoteText"/>
      </w:pPr>
      <w:r w:rsidRPr="002620DA">
        <w:rPr>
          <w:rStyle w:val="FootnoteReference"/>
          <w:sz w:val="18"/>
          <w:szCs w:val="18"/>
        </w:rPr>
        <w:footnoteRef/>
      </w:r>
      <w:r>
        <w:t xml:space="preserve"> </w:t>
      </w:r>
      <w:r>
        <w:rPr>
          <w:rFonts w:ascii="Calibri" w:hAnsi="Calibri" w:cs="Calibri"/>
          <w:color w:val="201F1E"/>
          <w:sz w:val="15"/>
          <w:szCs w:val="15"/>
          <w:shd w:val="clear" w:color="auto" w:fill="FFFFFF"/>
        </w:rPr>
        <w:t>Causes of death data undergo a revision process. Data for 2018 and 2019 are preliminary and subject to another two rounds of revision. Data for 2017 are revised and subject to another round of revision. Data for 2016 and earlier years are final.</w:t>
      </w:r>
    </w:p>
  </w:footnote>
  <w:footnote w:id="3">
    <w:p w14:paraId="5CE3D954" w14:textId="4A532E19" w:rsidR="00866910" w:rsidRDefault="00866910">
      <w:pPr>
        <w:pStyle w:val="FootnoteText"/>
      </w:pPr>
      <w:r>
        <w:rPr>
          <w:rStyle w:val="FootnoteReference"/>
        </w:rPr>
        <w:footnoteRef/>
      </w:r>
      <w:r>
        <w:t xml:space="preserve"> For example, preliminary 2020 estimates for drug-induced deaths will be released in September 2021, with final 2017 numbers being released at the same time by ABS</w:t>
      </w:r>
    </w:p>
  </w:footnote>
  <w:footnote w:id="4">
    <w:p w14:paraId="68B3A971" w14:textId="6D154DB0" w:rsidR="00866910" w:rsidRDefault="00866910">
      <w:pPr>
        <w:pStyle w:val="FootnoteText"/>
      </w:pPr>
      <w:r>
        <w:rPr>
          <w:rStyle w:val="FootnoteReference"/>
        </w:rPr>
        <w:footnoteRef/>
      </w:r>
      <w:r>
        <w:t xml:space="preserve"> Health agencies in SA and justice/corrections agencies in SA and WA did not provide THN under the Pilot</w:t>
      </w:r>
    </w:p>
  </w:footnote>
  <w:footnote w:id="5">
    <w:p w14:paraId="6F617E86" w14:textId="5039D558" w:rsidR="00866910" w:rsidRDefault="00866910">
      <w:pPr>
        <w:pStyle w:val="FootnoteText"/>
      </w:pPr>
      <w:r>
        <w:rPr>
          <w:rStyle w:val="FootnoteReference"/>
        </w:rPr>
        <w:footnoteRef/>
      </w:r>
      <w:r>
        <w:t xml:space="preserve"> Unlike quantitative data analysis software, qualitative data analysis software does not analyse the qualitative data itself but provides an efficient way of storing, </w:t>
      </w:r>
      <w:proofErr w:type="gramStart"/>
      <w:r>
        <w:t>organising</w:t>
      </w:r>
      <w:proofErr w:type="gramEnd"/>
      <w:r>
        <w:t xml:space="preserve"> and coding the data (in this case, interview transcripts).</w:t>
      </w:r>
    </w:p>
  </w:footnote>
  <w:footnote w:id="6">
    <w:p w14:paraId="6558EBC7" w14:textId="02792425" w:rsidR="00866910" w:rsidRDefault="00866910">
      <w:pPr>
        <w:pStyle w:val="FootnoteText"/>
      </w:pPr>
      <w:r>
        <w:rPr>
          <w:rStyle w:val="FootnoteReference"/>
        </w:rPr>
        <w:footnoteRef/>
      </w:r>
      <w:r>
        <w:t xml:space="preserve"> “</w:t>
      </w:r>
      <w:proofErr w:type="spellStart"/>
      <w:r>
        <w:t>Dispensings</w:t>
      </w:r>
      <w:proofErr w:type="spellEnd"/>
      <w:r>
        <w:t>’ refers to dispensing events</w:t>
      </w:r>
    </w:p>
  </w:footnote>
  <w:footnote w:id="7">
    <w:p w14:paraId="1A3D2C10" w14:textId="0750CB70" w:rsidR="00866910" w:rsidRDefault="00866910">
      <w:pPr>
        <w:pStyle w:val="FootnoteText"/>
      </w:pPr>
      <w:r>
        <w:rPr>
          <w:rStyle w:val="FootnoteReference"/>
        </w:rPr>
        <w:footnoteRef/>
      </w:r>
      <w:r>
        <w:t xml:space="preserve"> Excluding medicines prescribed for Opioid Agonist Therapy (OAT)</w:t>
      </w:r>
    </w:p>
  </w:footnote>
  <w:footnote w:id="8">
    <w:p w14:paraId="71B5225F" w14:textId="77777777" w:rsidR="00866910" w:rsidRDefault="00866910" w:rsidP="003D0F16">
      <w:pPr>
        <w:pStyle w:val="FootnoteText"/>
      </w:pPr>
      <w:r>
        <w:rPr>
          <w:rStyle w:val="FootnoteReference"/>
        </w:rPr>
        <w:footnoteRef/>
      </w:r>
      <w:r>
        <w:t xml:space="preserve"> </w:t>
      </w:r>
      <w:hyperlink r:id="rId1" w:history="1">
        <w:r w:rsidRPr="007A5061">
          <w:rPr>
            <w:rStyle w:val="Hyperlink"/>
          </w:rPr>
          <w:t>https://www.ppaonline.com.au/naloxone-pilot</w:t>
        </w:r>
      </w:hyperlink>
    </w:p>
  </w:footnote>
  <w:footnote w:id="9">
    <w:p w14:paraId="5F61F194" w14:textId="13A1F83C" w:rsidR="00866910" w:rsidRDefault="00866910">
      <w:pPr>
        <w:pStyle w:val="FootnoteText"/>
      </w:pPr>
      <w:r>
        <w:rPr>
          <w:rStyle w:val="FootnoteReference"/>
        </w:rPr>
        <w:footnoteRef/>
      </w:r>
      <w:r>
        <w:t xml:space="preserve"> In June 2020, the Therapeutic Goods Administration (TGA) implemented regulatory changes </w:t>
      </w:r>
      <w:proofErr w:type="gramStart"/>
      <w:r>
        <w:t>in order to</w:t>
      </w:r>
      <w:proofErr w:type="gramEnd"/>
      <w:r>
        <w:t xml:space="preserve"> reduce harms from opioid prescription medicines; these included smaller pack sizes for immediate-release opioids for short-term pain relief, additional warning statements added to Product Information sheets for all opioids and updating of prescribing indications for opioids.   </w:t>
      </w:r>
    </w:p>
  </w:footnote>
  <w:footnote w:id="10">
    <w:p w14:paraId="3C5F5355" w14:textId="7310922C" w:rsidR="00866910" w:rsidRDefault="00866910">
      <w:pPr>
        <w:pStyle w:val="FootnoteText"/>
      </w:pPr>
      <w:r>
        <w:rPr>
          <w:rStyle w:val="FootnoteReference"/>
        </w:rPr>
        <w:footnoteRef/>
      </w:r>
      <w:r>
        <w:t xml:space="preserve"> </w:t>
      </w:r>
      <w:hyperlink r:id="rId2" w:history="1">
        <w:r w:rsidRPr="001E746A">
          <w:rPr>
            <w:rStyle w:val="Hyperlink"/>
          </w:rPr>
          <w:t>https://overdoselifesavers.org</w:t>
        </w:r>
      </w:hyperlink>
      <w:r>
        <w:t xml:space="preserve"> </w:t>
      </w:r>
    </w:p>
  </w:footnote>
  <w:footnote w:id="11">
    <w:p w14:paraId="63061C53" w14:textId="77777777" w:rsidR="00866910" w:rsidRDefault="00866910" w:rsidP="003D0F16">
      <w:pPr>
        <w:pStyle w:val="FootnoteText"/>
      </w:pPr>
      <w:r>
        <w:rPr>
          <w:rStyle w:val="FootnoteReference"/>
        </w:rPr>
        <w:footnoteRef/>
      </w:r>
      <w:r>
        <w:t xml:space="preserve"> </w:t>
      </w:r>
      <w:hyperlink r:id="rId3" w:history="1">
        <w:r w:rsidRPr="007A5061">
          <w:rPr>
            <w:rStyle w:val="Hyperlink"/>
          </w:rPr>
          <w:t>https://www.shpa.org.au/news/new-guidelines-support-opioid-overdose-intervention</w:t>
        </w:r>
      </w:hyperlink>
      <w:r>
        <w:t xml:space="preserve">;  </w:t>
      </w:r>
      <w:hyperlink r:id="rId4" w:history="1">
        <w:r w:rsidRPr="007A5061">
          <w:rPr>
            <w:rStyle w:val="Hyperlink"/>
          </w:rPr>
          <w:t>https://my.psa.org.au/s/article/Naloxone-S3-guidance-document</w:t>
        </w:r>
      </w:hyperlink>
      <w:r>
        <w:t xml:space="preserve"> </w:t>
      </w:r>
    </w:p>
  </w:footnote>
  <w:footnote w:id="12">
    <w:p w14:paraId="118ED1E6" w14:textId="04DA4C5A" w:rsidR="00866910" w:rsidRDefault="00866910">
      <w:pPr>
        <w:pStyle w:val="FootnoteText"/>
      </w:pPr>
      <w:r>
        <w:rPr>
          <w:rStyle w:val="FootnoteReference"/>
        </w:rPr>
        <w:footnoteRef/>
      </w:r>
      <w:r>
        <w:t xml:space="preserve"> This includes supplies recorded via PPA portal as individual supply (</w:t>
      </w:r>
      <w:r w:rsidRPr="00C36257">
        <w:t>23,876 with ethics</w:t>
      </w:r>
      <w:r>
        <w:t xml:space="preserve"> clearance; </w:t>
      </w:r>
      <w:r w:rsidRPr="00C36257">
        <w:t>1</w:t>
      </w:r>
      <w:r>
        <w:t>,</w:t>
      </w:r>
      <w:r w:rsidRPr="00C36257">
        <w:t xml:space="preserve">608 </w:t>
      </w:r>
      <w:r>
        <w:t>without ethics clearance) and manually by WA Mental Health Commission (</w:t>
      </w:r>
      <w:r w:rsidRPr="00C36257">
        <w:t>2</w:t>
      </w:r>
      <w:r>
        <w:t>,</w:t>
      </w:r>
      <w:r w:rsidRPr="00C36257">
        <w:t>471</w:t>
      </w:r>
      <w:r>
        <w:t>).</w:t>
      </w:r>
    </w:p>
  </w:footnote>
  <w:footnote w:id="13">
    <w:p w14:paraId="7C797D2E" w14:textId="77777777" w:rsidR="00866910" w:rsidRDefault="00866910" w:rsidP="003D0F16">
      <w:pPr>
        <w:pStyle w:val="FootnoteText"/>
      </w:pPr>
      <w:r>
        <w:rPr>
          <w:rStyle w:val="FootnoteReference"/>
        </w:rPr>
        <w:footnoteRef/>
      </w:r>
      <w:r>
        <w:t xml:space="preserve"> Naloxone dispensed as prescriber’s bag excluded.</w:t>
      </w:r>
    </w:p>
  </w:footnote>
  <w:footnote w:id="14">
    <w:p w14:paraId="5BC45687" w14:textId="77777777" w:rsidR="00866910" w:rsidRDefault="00866910" w:rsidP="003D0F16">
      <w:pPr>
        <w:pStyle w:val="FootnoteText"/>
      </w:pPr>
      <w:r>
        <w:rPr>
          <w:rStyle w:val="FootnoteReference"/>
        </w:rPr>
        <w:footnoteRef/>
      </w:r>
      <w:r>
        <w:t xml:space="preserve"> Regression coefficient=0; p&lt;0.001</w:t>
      </w:r>
    </w:p>
  </w:footnote>
  <w:footnote w:id="15">
    <w:p w14:paraId="0DB8CCC5" w14:textId="77777777" w:rsidR="00866910" w:rsidRDefault="00866910" w:rsidP="003D0F16">
      <w:pPr>
        <w:pStyle w:val="FootnoteText"/>
      </w:pPr>
      <w:r>
        <w:rPr>
          <w:rStyle w:val="FootnoteReference"/>
        </w:rPr>
        <w:footnoteRef/>
      </w:r>
      <w:r>
        <w:t xml:space="preserve"> Using 2020 population figures from the Australia Bureau of Statistics (ABS)</w:t>
      </w:r>
    </w:p>
  </w:footnote>
  <w:footnote w:id="16">
    <w:p w14:paraId="05946C46" w14:textId="77777777" w:rsidR="00866910" w:rsidRPr="00163FCB" w:rsidRDefault="00866910" w:rsidP="003D0F16">
      <w:pPr>
        <w:pStyle w:val="BodyText"/>
        <w:rPr>
          <w:sz w:val="16"/>
          <w:szCs w:val="16"/>
        </w:rPr>
      </w:pPr>
      <w:r w:rsidRPr="002C0465">
        <w:rPr>
          <w:sz w:val="16"/>
          <w:szCs w:val="20"/>
        </w:rPr>
        <w:footnoteRef/>
      </w:r>
      <w:r w:rsidRPr="002C0465">
        <w:rPr>
          <w:sz w:val="16"/>
          <w:szCs w:val="20"/>
        </w:rPr>
        <w:t xml:space="preserve"> Consenting participants (n=9,905) provided their home postcode at the point of provision to help us estimate whether they had to travel to access the naloxone. Access site postcodes were recorded at registration.</w:t>
      </w:r>
      <w:r w:rsidRPr="00163FCB">
        <w:rPr>
          <w:sz w:val="16"/>
          <w:szCs w:val="16"/>
        </w:rPr>
        <w:t xml:space="preserve"> </w:t>
      </w:r>
    </w:p>
  </w:footnote>
  <w:footnote w:id="17">
    <w:p w14:paraId="7D90EC21" w14:textId="77777777" w:rsidR="00866910" w:rsidRPr="002F68F7" w:rsidRDefault="00866910" w:rsidP="00D90663">
      <w:pPr>
        <w:pStyle w:val="FootnoteText"/>
        <w:rPr>
          <w:szCs w:val="16"/>
        </w:rPr>
      </w:pPr>
      <w:r w:rsidRPr="004261F5">
        <w:rPr>
          <w:rStyle w:val="FootnoteReference"/>
          <w:szCs w:val="16"/>
        </w:rPr>
        <w:footnoteRef/>
      </w:r>
      <w:r w:rsidRPr="004261F5">
        <w:rPr>
          <w:szCs w:val="16"/>
        </w:rPr>
        <w:t xml:space="preserve"> Clean Needle Programs (CNPs) in South Australia </w:t>
      </w:r>
    </w:p>
  </w:footnote>
  <w:footnote w:id="18">
    <w:p w14:paraId="7200A174" w14:textId="5D1FC018" w:rsidR="00866910" w:rsidRPr="002F68F7" w:rsidRDefault="00866910">
      <w:pPr>
        <w:pStyle w:val="FootnoteText"/>
        <w:rPr>
          <w:szCs w:val="16"/>
        </w:rPr>
      </w:pPr>
      <w:r w:rsidRPr="004261F5">
        <w:rPr>
          <w:rStyle w:val="FootnoteReference"/>
          <w:szCs w:val="16"/>
        </w:rPr>
        <w:footnoteRef/>
      </w:r>
      <w:r w:rsidRPr="004261F5">
        <w:rPr>
          <w:szCs w:val="16"/>
        </w:rPr>
        <w:t xml:space="preserve"> Source:</w:t>
      </w:r>
      <w:r w:rsidRPr="002F68F7">
        <w:rPr>
          <w:szCs w:val="16"/>
        </w:rPr>
        <w:t xml:space="preserve"> </w:t>
      </w:r>
      <w:hyperlink r:id="rId5" w:history="1">
        <w:r w:rsidRPr="002F68F7">
          <w:rPr>
            <w:rStyle w:val="Hyperlink"/>
            <w:szCs w:val="16"/>
          </w:rPr>
          <w:t>https:/</w:t>
        </w:r>
        <w:r w:rsidRPr="00A01527">
          <w:rPr>
            <w:rStyle w:val="Hyperlink"/>
            <w:szCs w:val="16"/>
          </w:rPr>
          <w:t>/www.pbs.gov.au/info/statistics/expenditure-prescriptions/pb-expenditure-and-prescriptions-report-1-july-2019</w:t>
        </w:r>
      </w:hyperlink>
      <w:r w:rsidRPr="004261F5">
        <w:rPr>
          <w:szCs w:val="16"/>
        </w:rPr>
        <w:t xml:space="preserve"> </w:t>
      </w:r>
    </w:p>
  </w:footnote>
  <w:footnote w:id="19">
    <w:p w14:paraId="68D306F4" w14:textId="3BBC877D" w:rsidR="00866910" w:rsidRDefault="00866910" w:rsidP="00D016ED">
      <w:pPr>
        <w:pStyle w:val="BodyText"/>
      </w:pPr>
      <w:r w:rsidRPr="0059259E">
        <w:rPr>
          <w:rStyle w:val="FootnoteReference"/>
        </w:rPr>
        <w:footnoteRef/>
      </w:r>
      <w:r w:rsidRPr="0059259E">
        <w:rPr>
          <w:sz w:val="16"/>
          <w:szCs w:val="16"/>
        </w:rPr>
        <w:t xml:space="preserve"> Although justice settings in WA had been approved in late 2019 for Pilot participation by the then Deputy Commissioner Offender Services, administrative issues precluded active naloxone provision during the evaluation period. </w:t>
      </w:r>
      <w:r w:rsidRPr="0059259E">
        <w:rPr>
          <w:i/>
          <w:iCs/>
          <w:sz w:val="16"/>
          <w:szCs w:val="16"/>
        </w:rPr>
        <w:t>(Please refer to Section 6.6)</w:t>
      </w:r>
    </w:p>
  </w:footnote>
  <w:footnote w:id="20">
    <w:p w14:paraId="6EFD9BAC" w14:textId="743501BA" w:rsidR="00866910" w:rsidRPr="00B16302" w:rsidRDefault="00866910" w:rsidP="003D0F16">
      <w:pPr>
        <w:pStyle w:val="FootnoteText"/>
        <w:rPr>
          <w:szCs w:val="16"/>
        </w:rPr>
      </w:pPr>
      <w:r w:rsidRPr="004261F5">
        <w:rPr>
          <w:rStyle w:val="FootnoteReference"/>
          <w:szCs w:val="16"/>
        </w:rPr>
        <w:footnoteRef/>
      </w:r>
      <w:r w:rsidRPr="004261F5">
        <w:rPr>
          <w:szCs w:val="16"/>
        </w:rPr>
        <w:t xml:space="preserve"> In SA, THN was </w:t>
      </w:r>
      <w:r>
        <w:rPr>
          <w:szCs w:val="16"/>
        </w:rPr>
        <w:t xml:space="preserve">primarily </w:t>
      </w:r>
      <w:r w:rsidRPr="002F68F7">
        <w:rPr>
          <w:szCs w:val="16"/>
        </w:rPr>
        <w:t>supplied under the Pilot by pharmacie</w:t>
      </w:r>
      <w:r w:rsidRPr="00A01527">
        <w:rPr>
          <w:szCs w:val="16"/>
        </w:rPr>
        <w:t>s</w:t>
      </w:r>
      <w:r w:rsidRPr="00B16302">
        <w:rPr>
          <w:szCs w:val="16"/>
        </w:rPr>
        <w:t>.</w:t>
      </w:r>
      <w:r>
        <w:rPr>
          <w:szCs w:val="16"/>
        </w:rPr>
        <w:t xml:space="preserve"> DASSA, as the sole registered AAS, was excluded from this graph.</w:t>
      </w:r>
      <w:r w:rsidRPr="00B16302">
        <w:rPr>
          <w:szCs w:val="16"/>
        </w:rPr>
        <w:t xml:space="preserve"> The large number of sites in WA represent individual service locations that each registered as separate access sites.</w:t>
      </w:r>
    </w:p>
  </w:footnote>
  <w:footnote w:id="21">
    <w:p w14:paraId="45C7792F" w14:textId="5378C53B" w:rsidR="00866910" w:rsidRPr="00F477AB" w:rsidRDefault="00866910">
      <w:pPr>
        <w:pStyle w:val="FootnoteText"/>
        <w:rPr>
          <w:szCs w:val="16"/>
        </w:rPr>
      </w:pPr>
      <w:r w:rsidRPr="004261F5">
        <w:rPr>
          <w:rStyle w:val="FootnoteReference"/>
          <w:szCs w:val="16"/>
        </w:rPr>
        <w:footnoteRef/>
      </w:r>
      <w:r w:rsidRPr="004261F5">
        <w:rPr>
          <w:szCs w:val="16"/>
        </w:rPr>
        <w:t xml:space="preserve"> Derived using PBS data. Estimates pertain to th</w:t>
      </w:r>
      <w:r w:rsidRPr="000A6DE9">
        <w:rPr>
          <w:szCs w:val="16"/>
        </w:rPr>
        <w:t xml:space="preserve">e number of patients receiving </w:t>
      </w:r>
      <w:r>
        <w:rPr>
          <w:szCs w:val="16"/>
        </w:rPr>
        <w:t>&gt;</w:t>
      </w:r>
      <w:r w:rsidRPr="000A6DE9">
        <w:rPr>
          <w:szCs w:val="16"/>
        </w:rPr>
        <w:t xml:space="preserve">50 MME/day dose of opioids in a month. </w:t>
      </w:r>
      <w:r w:rsidRPr="002F68F7">
        <w:rPr>
          <w:szCs w:val="16"/>
        </w:rPr>
        <w:t>P</w:t>
      </w:r>
      <w:r w:rsidRPr="00A01527">
        <w:rPr>
          <w:szCs w:val="16"/>
        </w:rPr>
        <w:t>atient</w:t>
      </w:r>
      <w:r>
        <w:rPr>
          <w:szCs w:val="16"/>
        </w:rPr>
        <w:t>s</w:t>
      </w:r>
      <w:r w:rsidRPr="003F748A">
        <w:rPr>
          <w:szCs w:val="16"/>
        </w:rPr>
        <w:t xml:space="preserve"> </w:t>
      </w:r>
      <w:r w:rsidRPr="00A01527">
        <w:rPr>
          <w:szCs w:val="16"/>
        </w:rPr>
        <w:t>receiv</w:t>
      </w:r>
      <w:r>
        <w:rPr>
          <w:szCs w:val="16"/>
        </w:rPr>
        <w:t>ing</w:t>
      </w:r>
      <w:r w:rsidRPr="003F748A">
        <w:rPr>
          <w:szCs w:val="16"/>
        </w:rPr>
        <w:t xml:space="preserve"> </w:t>
      </w:r>
      <w:r>
        <w:rPr>
          <w:szCs w:val="16"/>
        </w:rPr>
        <w:t>both</w:t>
      </w:r>
      <w:r w:rsidRPr="007020C8">
        <w:rPr>
          <w:szCs w:val="16"/>
        </w:rPr>
        <w:t xml:space="preserve"> 50-100 MME/day </w:t>
      </w:r>
      <w:r>
        <w:rPr>
          <w:szCs w:val="16"/>
        </w:rPr>
        <w:t>and</w:t>
      </w:r>
      <w:r w:rsidRPr="007020C8">
        <w:rPr>
          <w:szCs w:val="16"/>
        </w:rPr>
        <w:t xml:space="preserve"> &gt;100 MME/day in </w:t>
      </w:r>
      <w:r>
        <w:rPr>
          <w:szCs w:val="16"/>
        </w:rPr>
        <w:t xml:space="preserve">a </w:t>
      </w:r>
      <w:r w:rsidRPr="007020C8">
        <w:rPr>
          <w:szCs w:val="16"/>
        </w:rPr>
        <w:t xml:space="preserve">month were counted in the latter category. </w:t>
      </w:r>
      <w:r>
        <w:rPr>
          <w:szCs w:val="16"/>
        </w:rPr>
        <w:t>Opioids for OAT are excluded.</w:t>
      </w:r>
    </w:p>
  </w:footnote>
  <w:footnote w:id="22">
    <w:p w14:paraId="59640C96" w14:textId="74C68CF9" w:rsidR="00866910" w:rsidRPr="000A6DE9" w:rsidRDefault="00866910" w:rsidP="00AE334F">
      <w:pPr>
        <w:pStyle w:val="FootnoteText"/>
        <w:rPr>
          <w:szCs w:val="16"/>
        </w:rPr>
      </w:pPr>
      <w:r w:rsidRPr="004261F5">
        <w:rPr>
          <w:rStyle w:val="FootnoteReference"/>
          <w:szCs w:val="16"/>
        </w:rPr>
        <w:footnoteRef/>
      </w:r>
      <w:r w:rsidRPr="004261F5">
        <w:rPr>
          <w:szCs w:val="16"/>
        </w:rPr>
        <w:t xml:space="preserve"> Data from 2019 National </w:t>
      </w:r>
      <w:r>
        <w:rPr>
          <w:szCs w:val="16"/>
        </w:rPr>
        <w:t xml:space="preserve">Drug Strategy </w:t>
      </w:r>
      <w:r w:rsidRPr="004261F5">
        <w:rPr>
          <w:szCs w:val="16"/>
        </w:rPr>
        <w:t>Household Survey</w:t>
      </w:r>
    </w:p>
  </w:footnote>
  <w:footnote w:id="23">
    <w:p w14:paraId="6E43A996" w14:textId="77777777" w:rsidR="00866910" w:rsidRPr="000A6DE9" w:rsidRDefault="00866910" w:rsidP="00AE334F">
      <w:pPr>
        <w:pStyle w:val="FootnoteText"/>
        <w:rPr>
          <w:szCs w:val="16"/>
        </w:rPr>
      </w:pPr>
      <w:r w:rsidRPr="004261F5">
        <w:rPr>
          <w:rStyle w:val="FootnoteReference"/>
          <w:szCs w:val="16"/>
        </w:rPr>
        <w:footnoteRef/>
      </w:r>
      <w:r w:rsidRPr="004261F5">
        <w:rPr>
          <w:szCs w:val="16"/>
        </w:rPr>
        <w:t xml:space="preserve"> Data from the National Opioid Pharmacotherapy Statistics Annual Data</w:t>
      </w:r>
    </w:p>
  </w:footnote>
  <w:footnote w:id="24">
    <w:p w14:paraId="68FBE376" w14:textId="77777777" w:rsidR="00866910" w:rsidRPr="004261F5" w:rsidRDefault="00866910" w:rsidP="0087499D">
      <w:pPr>
        <w:pStyle w:val="FootnoteText"/>
        <w:rPr>
          <w:szCs w:val="16"/>
        </w:rPr>
      </w:pPr>
      <w:r w:rsidRPr="004261F5">
        <w:rPr>
          <w:rStyle w:val="FootnoteReference"/>
          <w:szCs w:val="16"/>
        </w:rPr>
        <w:footnoteRef/>
      </w:r>
      <w:r w:rsidRPr="004261F5">
        <w:rPr>
          <w:szCs w:val="16"/>
        </w:rPr>
        <w:t xml:space="preserve"> </w:t>
      </w:r>
      <w:r w:rsidRPr="00F53485">
        <w:rPr>
          <w:szCs w:val="16"/>
        </w:rPr>
        <w:t xml:space="preserve">Naloxone access rate is calculated by dividing the monthly number of naloxone supplies by the number of individuals who have been provided &gt;50 MME/day opioids each month via PBS. </w:t>
      </w:r>
    </w:p>
  </w:footnote>
  <w:footnote w:id="25">
    <w:p w14:paraId="7A45E7A6" w14:textId="7C09FB5F" w:rsidR="00866910" w:rsidRDefault="00866910">
      <w:pPr>
        <w:pStyle w:val="FootnoteText"/>
      </w:pPr>
      <w:r w:rsidRPr="004261F5">
        <w:rPr>
          <w:rStyle w:val="FootnoteReference"/>
          <w:szCs w:val="16"/>
        </w:rPr>
        <w:footnoteRef/>
      </w:r>
      <w:r>
        <w:rPr>
          <w:szCs w:val="16"/>
        </w:rPr>
        <w:t xml:space="preserve"> </w:t>
      </w:r>
      <w:r>
        <w:t xml:space="preserve"> Pre-Pilot access rate calculated using PBS data only</w:t>
      </w:r>
    </w:p>
  </w:footnote>
  <w:footnote w:id="26">
    <w:p w14:paraId="35A7CC0F" w14:textId="1A362C24" w:rsidR="00866910" w:rsidRDefault="00866910">
      <w:pPr>
        <w:pStyle w:val="FootnoteText"/>
      </w:pPr>
      <w:r>
        <w:rPr>
          <w:rStyle w:val="FootnoteReference"/>
        </w:rPr>
        <w:footnoteRef/>
      </w:r>
      <w:r>
        <w:t xml:space="preserve"> During-Pilot access rate calculated using PBS and Pilot data for naloxone provision for participating states</w:t>
      </w:r>
    </w:p>
  </w:footnote>
  <w:footnote w:id="27">
    <w:p w14:paraId="431BF941" w14:textId="2BBBCA0A" w:rsidR="00866910" w:rsidRPr="009246C8" w:rsidRDefault="00866910" w:rsidP="009C6AF1">
      <w:pPr>
        <w:pStyle w:val="FootnoteText"/>
        <w:spacing w:after="0"/>
        <w:rPr>
          <w:szCs w:val="16"/>
        </w:rPr>
      </w:pPr>
      <w:r w:rsidRPr="009246C8">
        <w:rPr>
          <w:rStyle w:val="FootnoteReference"/>
          <w:szCs w:val="16"/>
        </w:rPr>
        <w:footnoteRef/>
      </w:r>
      <w:r w:rsidRPr="009246C8">
        <w:rPr>
          <w:szCs w:val="16"/>
        </w:rPr>
        <w:t xml:space="preserve"> </w:t>
      </w:r>
      <w:r>
        <w:rPr>
          <w:szCs w:val="16"/>
        </w:rPr>
        <w:t xml:space="preserve">Naloxone access rate is determined </w:t>
      </w:r>
      <w:proofErr w:type="gramStart"/>
      <w:r>
        <w:rPr>
          <w:szCs w:val="16"/>
        </w:rPr>
        <w:t>on the basis of</w:t>
      </w:r>
      <w:proofErr w:type="gramEnd"/>
      <w:r>
        <w:rPr>
          <w:szCs w:val="16"/>
        </w:rPr>
        <w:t xml:space="preserve"> best available data but may overestimate the number of naloxone supplies and underestimate the population at risk of prescription opioid overdose. Naloxone supply (numerator) includes all naloxone supplied through the Pilot and dispensed via PBS. Number of people at risk of prescription opioid overdose includes individuals dispensed with prescription opioids (excluding OAT medicines) at an average dose of &gt;50 MME/day in each calendar month.</w:t>
      </w:r>
    </w:p>
    <w:p w14:paraId="6B7D1054" w14:textId="2B3E644A" w:rsidR="00866910" w:rsidRPr="004261F5" w:rsidRDefault="00866910" w:rsidP="009C6AF1">
      <w:pPr>
        <w:pStyle w:val="FootnoteText"/>
        <w:spacing w:after="0"/>
        <w:rPr>
          <w:szCs w:val="16"/>
        </w:rPr>
      </w:pPr>
    </w:p>
  </w:footnote>
  <w:footnote w:id="28">
    <w:p w14:paraId="72C87501" w14:textId="77777777" w:rsidR="00866910" w:rsidRPr="00032061" w:rsidRDefault="00866910" w:rsidP="00AA27C4">
      <w:pPr>
        <w:pStyle w:val="FootnoteText"/>
        <w:spacing w:after="0"/>
        <w:rPr>
          <w:szCs w:val="16"/>
        </w:rPr>
      </w:pPr>
      <w:r w:rsidRPr="00032061">
        <w:rPr>
          <w:rStyle w:val="FootnoteReference"/>
          <w:szCs w:val="16"/>
        </w:rPr>
        <w:footnoteRef/>
      </w:r>
      <w:r w:rsidRPr="00032061">
        <w:rPr>
          <w:szCs w:val="16"/>
        </w:rPr>
        <w:t>We re-assessed the overdose risk for all participants (including those who identified as ‘not at risk’ or as witnesses only) using additional information:</w:t>
      </w:r>
    </w:p>
    <w:p w14:paraId="0F3DA6F8" w14:textId="77777777" w:rsidR="00866910" w:rsidRPr="00032061" w:rsidRDefault="00866910" w:rsidP="00AA27C4">
      <w:pPr>
        <w:pStyle w:val="FootnoteText"/>
        <w:spacing w:after="0"/>
        <w:ind w:left="360" w:firstLine="0"/>
        <w:rPr>
          <w:szCs w:val="16"/>
        </w:rPr>
      </w:pPr>
      <w:r w:rsidRPr="00032061">
        <w:rPr>
          <w:szCs w:val="16"/>
          <w:u w:val="single"/>
        </w:rPr>
        <w:t>Type of opioid used.</w:t>
      </w:r>
      <w:r w:rsidRPr="00032061">
        <w:rPr>
          <w:szCs w:val="16"/>
        </w:rPr>
        <w:t xml:space="preserve"> Participants who declared use of prescribed opioids as well as ‘other’ types of opioid (e.g., illicit) were classified as at risk.</w:t>
      </w:r>
    </w:p>
    <w:p w14:paraId="4B3B3875" w14:textId="77777777" w:rsidR="00866910" w:rsidRPr="00032061" w:rsidRDefault="00866910" w:rsidP="00AA27C4">
      <w:pPr>
        <w:pStyle w:val="FootnoteText"/>
        <w:spacing w:after="0"/>
        <w:ind w:left="360" w:firstLine="0"/>
        <w:rPr>
          <w:szCs w:val="16"/>
        </w:rPr>
      </w:pPr>
      <w:r w:rsidRPr="00032061">
        <w:rPr>
          <w:szCs w:val="16"/>
          <w:u w:val="single"/>
        </w:rPr>
        <w:t>Other medications consumed.</w:t>
      </w:r>
      <w:r w:rsidRPr="00032061">
        <w:rPr>
          <w:szCs w:val="16"/>
        </w:rPr>
        <w:t xml:space="preserve"> Participants who declared use of illicit opioids (e.g., heroin), opioids such as morphine or suboxone, benzodiazepines or poly-substance use, in addition to their prescribed medications, were classified as at risk.</w:t>
      </w:r>
    </w:p>
    <w:p w14:paraId="39F1BB78" w14:textId="77777777" w:rsidR="00866910" w:rsidRPr="00032061" w:rsidRDefault="00866910" w:rsidP="00AA27C4">
      <w:pPr>
        <w:pStyle w:val="FootnoteText"/>
        <w:tabs>
          <w:tab w:val="clear" w:pos="284"/>
          <w:tab w:val="left" w:pos="142"/>
        </w:tabs>
        <w:rPr>
          <w:szCs w:val="16"/>
        </w:rPr>
      </w:pPr>
      <w:r w:rsidRPr="00032061">
        <w:rPr>
          <w:szCs w:val="16"/>
        </w:rPr>
        <w:tab/>
        <w:t>In this ‘assessed overdose risk’ measure, we categorised an individual as at risk of overdose if they perceived themselves at risk or they were assessed as at risk using the information above.</w:t>
      </w:r>
    </w:p>
  </w:footnote>
  <w:footnote w:id="29">
    <w:p w14:paraId="248DEBB1" w14:textId="6C478911" w:rsidR="00866910" w:rsidRPr="004261F5" w:rsidRDefault="00866910" w:rsidP="003942C0">
      <w:pPr>
        <w:pStyle w:val="FootnoteText"/>
        <w:ind w:left="0" w:firstLine="0"/>
        <w:rPr>
          <w:szCs w:val="16"/>
        </w:rPr>
      </w:pPr>
      <w:r w:rsidRPr="00A03A68">
        <w:rPr>
          <w:rStyle w:val="FootnoteReference"/>
          <w:szCs w:val="16"/>
        </w:rPr>
        <w:footnoteRef/>
      </w:r>
      <w:r w:rsidRPr="00A03A68">
        <w:rPr>
          <w:szCs w:val="16"/>
        </w:rPr>
        <w:t xml:space="preserve">Data from </w:t>
      </w:r>
      <w:r>
        <w:rPr>
          <w:szCs w:val="16"/>
        </w:rPr>
        <w:t>PPA</w:t>
      </w:r>
      <w:r w:rsidRPr="00A03A68">
        <w:rPr>
          <w:szCs w:val="16"/>
        </w:rPr>
        <w:t xml:space="preserve"> portal and manual</w:t>
      </w:r>
      <w:r>
        <w:rPr>
          <w:szCs w:val="16"/>
        </w:rPr>
        <w:t xml:space="preserve"> systems</w:t>
      </w:r>
      <w:r w:rsidRPr="00A03A68">
        <w:rPr>
          <w:szCs w:val="16"/>
        </w:rPr>
        <w:t xml:space="preserve"> from AAS in WA</w:t>
      </w:r>
      <w:r>
        <w:rPr>
          <w:szCs w:val="16"/>
        </w:rPr>
        <w:t xml:space="preserve"> recorded the number of naloxone units provided on each occasion of supply. On each occasion, a consumer could receive up to two naloxone units: nasal spray, pre-filled jets, ampoules, or a combination of these. One ‘unit’ comprised a pack of two nasal sprays, a single pre-filled </w:t>
      </w:r>
      <w:proofErr w:type="gramStart"/>
      <w:r>
        <w:rPr>
          <w:szCs w:val="16"/>
        </w:rPr>
        <w:t>jet</w:t>
      </w:r>
      <w:proofErr w:type="gramEnd"/>
      <w:r>
        <w:rPr>
          <w:szCs w:val="16"/>
        </w:rPr>
        <w:t xml:space="preserve"> or a pack of five ampoules.</w:t>
      </w:r>
    </w:p>
  </w:footnote>
  <w:footnote w:id="30">
    <w:p w14:paraId="55374281" w14:textId="6C654FC9" w:rsidR="00866910" w:rsidRDefault="00866910" w:rsidP="008B3EE6">
      <w:pPr>
        <w:pStyle w:val="FootnoteText"/>
      </w:pPr>
      <w:r>
        <w:rPr>
          <w:rStyle w:val="FootnoteReference"/>
        </w:rPr>
        <w:footnoteRef/>
      </w:r>
      <w:r>
        <w:t xml:space="preserve"> This refers to the number of units supplied to individuals.</w:t>
      </w:r>
    </w:p>
  </w:footnote>
  <w:footnote w:id="31">
    <w:p w14:paraId="1495EAE5" w14:textId="1B8F2110" w:rsidR="00866910" w:rsidRDefault="00866910">
      <w:pPr>
        <w:pStyle w:val="FootnoteText"/>
      </w:pPr>
      <w:r>
        <w:rPr>
          <w:rStyle w:val="FootnoteReference"/>
        </w:rPr>
        <w:footnoteRef/>
      </w:r>
      <w:r>
        <w:t xml:space="preserve"> </w:t>
      </w:r>
      <w:r w:rsidRPr="00F82B20">
        <w:t xml:space="preserve">Using </w:t>
      </w:r>
      <w:r>
        <w:t xml:space="preserve">the </w:t>
      </w:r>
      <w:r w:rsidRPr="00F82B20">
        <w:t>most recent interview of</w:t>
      </w:r>
      <w:r>
        <w:t xml:space="preserve"> each</w:t>
      </w:r>
      <w:r w:rsidRPr="00F82B20">
        <w:t xml:space="preserve"> participant</w:t>
      </w:r>
    </w:p>
  </w:footnote>
  <w:footnote w:id="32">
    <w:p w14:paraId="33BA05EC" w14:textId="61A97191" w:rsidR="00866910" w:rsidRPr="00C93C10" w:rsidRDefault="00866910" w:rsidP="003D0F16">
      <w:pPr>
        <w:pStyle w:val="FootnoteText"/>
        <w:rPr>
          <w:szCs w:val="16"/>
        </w:rPr>
      </w:pPr>
      <w:r w:rsidRPr="004261F5">
        <w:rPr>
          <w:rStyle w:val="FootnoteReference"/>
          <w:szCs w:val="16"/>
        </w:rPr>
        <w:footnoteRef/>
      </w:r>
      <w:r w:rsidRPr="004261F5">
        <w:rPr>
          <w:szCs w:val="16"/>
        </w:rPr>
        <w:t xml:space="preserve"> </w:t>
      </w:r>
      <w:r w:rsidRPr="00A01527">
        <w:rPr>
          <w:szCs w:val="16"/>
        </w:rPr>
        <w:t>C</w:t>
      </w:r>
      <w:r w:rsidRPr="00C901C5">
        <w:rPr>
          <w:szCs w:val="16"/>
        </w:rPr>
        <w:t>alculated</w:t>
      </w:r>
      <w:r w:rsidRPr="00CD5CD7">
        <w:rPr>
          <w:szCs w:val="16"/>
        </w:rPr>
        <w:t xml:space="preserve"> by averaging the </w:t>
      </w:r>
      <w:r w:rsidRPr="00F477AB">
        <w:rPr>
          <w:szCs w:val="16"/>
        </w:rPr>
        <w:t>total number of refill supplies attributed to use of previous THN supply to avert an overdose ev</w:t>
      </w:r>
      <w:r w:rsidRPr="006A240B">
        <w:rPr>
          <w:szCs w:val="16"/>
        </w:rPr>
        <w:t xml:space="preserve">ent across the number of days </w:t>
      </w:r>
      <w:r w:rsidRPr="00F53485">
        <w:rPr>
          <w:szCs w:val="16"/>
        </w:rPr>
        <w:t xml:space="preserve">of the Pilot </w:t>
      </w:r>
      <w:r w:rsidRPr="00E91ED1">
        <w:rPr>
          <w:i/>
          <w:szCs w:val="16"/>
        </w:rPr>
        <w:t>(total of 573 days</w:t>
      </w:r>
      <w:r w:rsidRPr="006B1BFB">
        <w:rPr>
          <w:i/>
          <w:szCs w:val="16"/>
        </w:rPr>
        <w:t>)</w:t>
      </w:r>
      <w:r w:rsidRPr="003F4E40">
        <w:rPr>
          <w:i/>
          <w:szCs w:val="16"/>
        </w:rPr>
        <w:t xml:space="preserve"> </w:t>
      </w:r>
      <w:r w:rsidRPr="004058A2">
        <w:rPr>
          <w:szCs w:val="16"/>
        </w:rPr>
        <w:t>to 30 J</w:t>
      </w:r>
      <w:r w:rsidRPr="00C93C10">
        <w:rPr>
          <w:szCs w:val="16"/>
        </w:rPr>
        <w:t>une 2021.</w:t>
      </w:r>
    </w:p>
  </w:footnote>
  <w:footnote w:id="33">
    <w:p w14:paraId="22485BFC" w14:textId="635C57D6" w:rsidR="00866910" w:rsidRPr="00C901C5" w:rsidRDefault="00866910" w:rsidP="0090564D">
      <w:pPr>
        <w:pStyle w:val="FootnoteText"/>
        <w:rPr>
          <w:szCs w:val="16"/>
        </w:rPr>
      </w:pPr>
      <w:r w:rsidRPr="004261F5">
        <w:rPr>
          <w:rStyle w:val="FootnoteReference"/>
          <w:szCs w:val="16"/>
        </w:rPr>
        <w:footnoteRef/>
      </w:r>
      <w:r w:rsidRPr="004261F5">
        <w:rPr>
          <w:szCs w:val="16"/>
        </w:rPr>
        <w:t xml:space="preserve"> W</w:t>
      </w:r>
      <w:r>
        <w:rPr>
          <w:szCs w:val="16"/>
        </w:rPr>
        <w:t>here participants were interviewed multiple times, w</w:t>
      </w:r>
      <w:r w:rsidRPr="004261F5">
        <w:rPr>
          <w:szCs w:val="16"/>
        </w:rPr>
        <w:t>e used the most recent interview</w:t>
      </w:r>
      <w:r w:rsidRPr="00A01527">
        <w:rPr>
          <w:szCs w:val="16"/>
        </w:rPr>
        <w:t>.</w:t>
      </w:r>
    </w:p>
  </w:footnote>
  <w:footnote w:id="34">
    <w:p w14:paraId="73561C59" w14:textId="77777777" w:rsidR="00866910" w:rsidRPr="00A01527" w:rsidRDefault="00866910" w:rsidP="00BD6166">
      <w:pPr>
        <w:pStyle w:val="FootnoteText"/>
        <w:rPr>
          <w:szCs w:val="16"/>
        </w:rPr>
      </w:pPr>
      <w:r w:rsidRPr="004261F5">
        <w:rPr>
          <w:rStyle w:val="FootnoteReference"/>
          <w:szCs w:val="16"/>
        </w:rPr>
        <w:footnoteRef/>
      </w:r>
      <w:r w:rsidRPr="004261F5">
        <w:rPr>
          <w:szCs w:val="16"/>
        </w:rPr>
        <w:t xml:space="preserve"> </w:t>
      </w:r>
      <w:hyperlink r:id="rId6" w:history="1">
        <w:r w:rsidRPr="00A01527">
          <w:rPr>
            <w:rStyle w:val="Hyperlink"/>
            <w:szCs w:val="16"/>
          </w:rPr>
          <w:t>https://www.mhc.wa.gov.au/reports-and-resources/resources/health-professional-resource</w:t>
        </w:r>
        <w:r w:rsidRPr="00C901C5">
          <w:rPr>
            <w:rStyle w:val="Hyperlink"/>
            <w:szCs w:val="16"/>
          </w:rPr>
          <w:t>s/take-home-naloxone/</w:t>
        </w:r>
      </w:hyperlink>
      <w:r w:rsidRPr="004261F5">
        <w:rPr>
          <w:szCs w:val="16"/>
        </w:rPr>
        <w:t xml:space="preserve"> </w:t>
      </w:r>
    </w:p>
  </w:footnote>
  <w:footnote w:id="35">
    <w:p w14:paraId="498A6563" w14:textId="6A411500" w:rsidR="00866910" w:rsidRPr="00A01527" w:rsidRDefault="00866910" w:rsidP="00BD6166">
      <w:pPr>
        <w:pStyle w:val="FootnoteText"/>
        <w:tabs>
          <w:tab w:val="clear" w:pos="284"/>
        </w:tabs>
        <w:ind w:left="142" w:hanging="142"/>
        <w:rPr>
          <w:szCs w:val="16"/>
        </w:rPr>
      </w:pPr>
      <w:r w:rsidRPr="004261F5">
        <w:rPr>
          <w:rStyle w:val="FootnoteReference"/>
          <w:szCs w:val="16"/>
        </w:rPr>
        <w:footnoteRef/>
      </w:r>
      <w:r w:rsidRPr="004261F5">
        <w:rPr>
          <w:szCs w:val="16"/>
        </w:rPr>
        <w:t xml:space="preserve"> </w:t>
      </w:r>
      <w:hyperlink r:id="rId7" w:history="1">
        <w:r w:rsidRPr="00A01527">
          <w:rPr>
            <w:rStyle w:val="Hyperlink"/>
            <w:szCs w:val="16"/>
          </w:rPr>
          <w:t>https://www.health.nsw.gov.au/aod/programs/Pages/naloxone-public-health-services.aspx</w:t>
        </w:r>
      </w:hyperlink>
      <w:r w:rsidRPr="004261F5">
        <w:rPr>
          <w:szCs w:val="16"/>
        </w:rPr>
        <w:t>;</w:t>
      </w:r>
      <w:hyperlink r:id="rId8" w:history="1">
        <w:r w:rsidRPr="00A01527">
          <w:rPr>
            <w:rStyle w:val="Hyperlink"/>
            <w:szCs w:val="16"/>
          </w:rPr>
          <w:t>https://www.health.nsw.gov.au/aod/programs/Pages/naloxone-ngo-an</w:t>
        </w:r>
        <w:r w:rsidRPr="00C901C5">
          <w:rPr>
            <w:rStyle w:val="Hyperlink"/>
            <w:szCs w:val="16"/>
          </w:rPr>
          <w:t>d-</w:t>
        </w:r>
        <w:r w:rsidRPr="00CD5CD7">
          <w:rPr>
            <w:rStyle w:val="Hyperlink"/>
            <w:szCs w:val="16"/>
          </w:rPr>
          <w:t>private-service.aspx</w:t>
        </w:r>
      </w:hyperlink>
      <w:r w:rsidRPr="004261F5">
        <w:rPr>
          <w:szCs w:val="16"/>
        </w:rPr>
        <w:t xml:space="preserve"> </w:t>
      </w:r>
    </w:p>
  </w:footnote>
  <w:footnote w:id="36">
    <w:p w14:paraId="4103EA9B" w14:textId="77777777" w:rsidR="00866910" w:rsidRDefault="00866910" w:rsidP="00745146">
      <w:pPr>
        <w:pStyle w:val="FootnoteText"/>
      </w:pPr>
      <w:r>
        <w:rPr>
          <w:rStyle w:val="FootnoteReference"/>
        </w:rPr>
        <w:footnoteRef/>
      </w:r>
      <w:r>
        <w:t xml:space="preserve"> This risk is regarded as relatively small: </w:t>
      </w:r>
      <w:r w:rsidRPr="005D5CCB">
        <w:t>https://www.acmt.net/_Library/Positions/Fentanyl_PPE_Emergency_Responders_.pdf</w:t>
      </w:r>
    </w:p>
  </w:footnote>
  <w:footnote w:id="37">
    <w:p w14:paraId="4EE85C92" w14:textId="796901A9" w:rsidR="00866910" w:rsidRDefault="00866910">
      <w:pPr>
        <w:pStyle w:val="FootnoteText"/>
      </w:pPr>
      <w:r>
        <w:rPr>
          <w:rStyle w:val="FootnoteReference"/>
        </w:rPr>
        <w:footnoteRef/>
      </w:r>
      <w:r>
        <w:t xml:space="preserve"> Note that the requirement for a prescription presents its own barriers, already discussed in Section 7.1.1.2. </w:t>
      </w:r>
    </w:p>
  </w:footnote>
  <w:footnote w:id="38">
    <w:p w14:paraId="5F179EC5" w14:textId="7CDD31BE" w:rsidR="00866910" w:rsidRDefault="00866910">
      <w:pPr>
        <w:pStyle w:val="FootnoteText"/>
      </w:pPr>
      <w:r>
        <w:rPr>
          <w:rStyle w:val="FootnoteReference"/>
        </w:rPr>
        <w:footnoteRef/>
      </w:r>
      <w:r>
        <w:t xml:space="preserve"> Note that these data were not yet available </w:t>
      </w:r>
      <w:proofErr w:type="gramStart"/>
      <w:r>
        <w:t>during the course of</w:t>
      </w:r>
      <w:proofErr w:type="gramEnd"/>
      <w:r>
        <w:t xml:space="preserve"> the evaluation for the period of the Pilot, but will need to be assessed once available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E3A63D" w14:textId="77777777" w:rsidR="00866910" w:rsidRDefault="0086691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A1B556" w14:textId="77777777" w:rsidR="00866910" w:rsidRDefault="0086691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A68E76" w14:textId="77777777" w:rsidR="00866910" w:rsidRDefault="0086691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BD666E" w14:textId="77777777" w:rsidR="00866910" w:rsidRDefault="0086691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6B5C4E" w14:textId="77777777" w:rsidR="00866910" w:rsidRDefault="0086691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AD48E" w14:textId="52CC2FBD" w:rsidR="00866910" w:rsidRDefault="0086691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7CF8C" w14:textId="77777777" w:rsidR="00866910" w:rsidRDefault="00866910" w:rsidP="00B170A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7BEE67" w14:textId="77777777" w:rsidR="00866910" w:rsidRDefault="00866910">
    <w:r>
      <w:cr/>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47C4F6" w14:textId="77777777" w:rsidR="00866910" w:rsidRDefault="0086691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8334BD" w14:textId="77777777" w:rsidR="00866910" w:rsidRDefault="00866910" w:rsidP="00B170A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94F80B" w14:textId="77777777" w:rsidR="00866910" w:rsidRDefault="0086691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52874C" w14:textId="77777777" w:rsidR="00866910" w:rsidRDefault="0086691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13AA35" w14:textId="77777777" w:rsidR="00866910" w:rsidRPr="00B57012" w:rsidRDefault="00866910" w:rsidP="00B570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A866D76E"/>
    <w:lvl w:ilvl="0">
      <w:numFmt w:val="decimal"/>
      <w:lvlText w:val="*"/>
      <w:lvlJc w:val="left"/>
    </w:lvl>
  </w:abstractNum>
  <w:abstractNum w:abstractNumId="1" w15:restartNumberingAfterBreak="0">
    <w:nsid w:val="013320F0"/>
    <w:multiLevelType w:val="multilevel"/>
    <w:tmpl w:val="9D625AA6"/>
    <w:styleLink w:val="ListNumberedHeadings"/>
    <w:lvl w:ilvl="0">
      <w:start w:val="1"/>
      <w:numFmt w:val="decimal"/>
      <w:lvlText w:val="%1"/>
      <w:lvlJc w:val="left"/>
      <w:pPr>
        <w:tabs>
          <w:tab w:val="num" w:pos="1134"/>
        </w:tabs>
        <w:ind w:left="1134" w:hanging="1134"/>
      </w:pPr>
      <w:rPr>
        <w:rFonts w:asciiTheme="majorHAnsi" w:hAnsiTheme="majorHAnsi" w:hint="default"/>
        <w:color w:val="E62645" w:themeColor="accent2"/>
      </w:rPr>
    </w:lvl>
    <w:lvl w:ilvl="1">
      <w:start w:val="1"/>
      <w:numFmt w:val="decimal"/>
      <w:lvlText w:val="%1.%2"/>
      <w:lvlJc w:val="left"/>
      <w:pPr>
        <w:tabs>
          <w:tab w:val="num" w:pos="1134"/>
        </w:tabs>
        <w:ind w:left="1134" w:hanging="1134"/>
      </w:pPr>
      <w:rPr>
        <w:rFonts w:ascii="Gotham Light" w:hAnsi="Gotham Light" w:hint="default"/>
        <w:color w:val="999490" w:themeColor="accent3"/>
      </w:rPr>
    </w:lvl>
    <w:lvl w:ilvl="2">
      <w:start w:val="1"/>
      <w:numFmt w:val="decimal"/>
      <w:lvlText w:val="%1.%2.%3"/>
      <w:lvlJc w:val="left"/>
      <w:pPr>
        <w:tabs>
          <w:tab w:val="num" w:pos="1134"/>
        </w:tabs>
        <w:ind w:left="1134" w:hanging="1134"/>
      </w:pPr>
      <w:rPr>
        <w:rFonts w:asciiTheme="majorHAnsi" w:hAnsiTheme="majorHAnsi" w:hint="default"/>
        <w:color w:val="51247A" w:themeColor="accent1"/>
      </w:rPr>
    </w:lvl>
    <w:lvl w:ilvl="3">
      <w:start w:val="1"/>
      <w:numFmt w:val="decimal"/>
      <w:lvlText w:val="%1.%2.%3.%4"/>
      <w:lvlJc w:val="left"/>
      <w:pPr>
        <w:tabs>
          <w:tab w:val="num" w:pos="1134"/>
        </w:tabs>
        <w:ind w:left="1134" w:hanging="1134"/>
      </w:pPr>
      <w:rPr>
        <w:rFonts w:asciiTheme="majorHAnsi" w:hAnsiTheme="majorHAnsi" w:hint="default"/>
        <w:color w:val="auto"/>
        <w:sz w:val="18"/>
      </w:rPr>
    </w:lvl>
    <w:lvl w:ilvl="4">
      <w:start w:val="1"/>
      <w:numFmt w:val="decimal"/>
      <w:lvlText w:val="%1.%2.%3.%4.%5"/>
      <w:lvlJc w:val="left"/>
      <w:pPr>
        <w:tabs>
          <w:tab w:val="num" w:pos="1134"/>
        </w:tabs>
        <w:ind w:left="1134" w:hanging="1134"/>
      </w:pPr>
      <w:rPr>
        <w:rFonts w:asciiTheme="majorHAnsi" w:hAnsiTheme="majorHAnsi" w:hint="default"/>
        <w:color w:val="E62645" w:themeColor="accent2"/>
        <w:sz w:val="18"/>
      </w:rPr>
    </w:lvl>
    <w:lvl w:ilvl="5">
      <w:start w:val="1"/>
      <w:numFmt w:val="none"/>
      <w:lvlText w:val=""/>
      <w:lvlJc w:val="left"/>
      <w:pPr>
        <w:ind w:left="-32767" w:firstLine="0"/>
      </w:pPr>
      <w:rPr>
        <w:rFonts w:hint="default"/>
      </w:rPr>
    </w:lvl>
    <w:lvl w:ilvl="6">
      <w:start w:val="1"/>
      <w:numFmt w:val="none"/>
      <w:lvlRestart w:val="1"/>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2" w15:restartNumberingAfterBreak="0">
    <w:nsid w:val="02466F7C"/>
    <w:multiLevelType w:val="hybridMultilevel"/>
    <w:tmpl w:val="7B8669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BF1648"/>
    <w:multiLevelType w:val="hybridMultilevel"/>
    <w:tmpl w:val="08E45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32976AF"/>
    <w:multiLevelType w:val="hybridMultilevel"/>
    <w:tmpl w:val="44606B66"/>
    <w:lvl w:ilvl="0" w:tplc="B1FC90F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41970F1"/>
    <w:multiLevelType w:val="hybridMultilevel"/>
    <w:tmpl w:val="1652AB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0428262A"/>
    <w:multiLevelType w:val="hybridMultilevel"/>
    <w:tmpl w:val="B0D8E842"/>
    <w:lvl w:ilvl="0" w:tplc="0C090001">
      <w:start w:val="1"/>
      <w:numFmt w:val="bullet"/>
      <w:lvlText w:val=""/>
      <w:lvlJc w:val="left"/>
      <w:pPr>
        <w:ind w:left="1800" w:hanging="360"/>
      </w:pPr>
      <w:rPr>
        <w:rFonts w:ascii="Symbol" w:hAnsi="Symbol" w:hint="default"/>
      </w:rPr>
    </w:lvl>
    <w:lvl w:ilvl="1" w:tplc="0C090003">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7" w15:restartNumberingAfterBreak="0">
    <w:nsid w:val="04352564"/>
    <w:multiLevelType w:val="hybridMultilevel"/>
    <w:tmpl w:val="31A631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4E97FEE"/>
    <w:multiLevelType w:val="hybridMultilevel"/>
    <w:tmpl w:val="2AAEAA90"/>
    <w:lvl w:ilvl="0" w:tplc="00806626">
      <w:start w:val="1"/>
      <w:numFmt w:val="bullet"/>
      <w:lvlText w:val="•"/>
      <w:lvlJc w:val="left"/>
      <w:pPr>
        <w:tabs>
          <w:tab w:val="num" w:pos="720"/>
        </w:tabs>
        <w:ind w:left="720" w:hanging="360"/>
      </w:pPr>
      <w:rPr>
        <w:rFonts w:ascii="Calibri" w:hAnsi="Calibri" w:hint="default"/>
      </w:rPr>
    </w:lvl>
    <w:lvl w:ilvl="1" w:tplc="26E6A30E" w:tentative="1">
      <w:start w:val="1"/>
      <w:numFmt w:val="bullet"/>
      <w:lvlText w:val="•"/>
      <w:lvlJc w:val="left"/>
      <w:pPr>
        <w:tabs>
          <w:tab w:val="num" w:pos="1440"/>
        </w:tabs>
        <w:ind w:left="1440" w:hanging="360"/>
      </w:pPr>
      <w:rPr>
        <w:rFonts w:ascii="Calibri" w:hAnsi="Calibri" w:hint="default"/>
      </w:rPr>
    </w:lvl>
    <w:lvl w:ilvl="2" w:tplc="F4BC7438" w:tentative="1">
      <w:start w:val="1"/>
      <w:numFmt w:val="bullet"/>
      <w:lvlText w:val="•"/>
      <w:lvlJc w:val="left"/>
      <w:pPr>
        <w:tabs>
          <w:tab w:val="num" w:pos="2160"/>
        </w:tabs>
        <w:ind w:left="2160" w:hanging="360"/>
      </w:pPr>
      <w:rPr>
        <w:rFonts w:ascii="Calibri" w:hAnsi="Calibri" w:hint="default"/>
      </w:rPr>
    </w:lvl>
    <w:lvl w:ilvl="3" w:tplc="2C6CB3A4" w:tentative="1">
      <w:start w:val="1"/>
      <w:numFmt w:val="bullet"/>
      <w:lvlText w:val="•"/>
      <w:lvlJc w:val="left"/>
      <w:pPr>
        <w:tabs>
          <w:tab w:val="num" w:pos="2880"/>
        </w:tabs>
        <w:ind w:left="2880" w:hanging="360"/>
      </w:pPr>
      <w:rPr>
        <w:rFonts w:ascii="Calibri" w:hAnsi="Calibri" w:hint="default"/>
      </w:rPr>
    </w:lvl>
    <w:lvl w:ilvl="4" w:tplc="513259BC" w:tentative="1">
      <w:start w:val="1"/>
      <w:numFmt w:val="bullet"/>
      <w:lvlText w:val="•"/>
      <w:lvlJc w:val="left"/>
      <w:pPr>
        <w:tabs>
          <w:tab w:val="num" w:pos="3600"/>
        </w:tabs>
        <w:ind w:left="3600" w:hanging="360"/>
      </w:pPr>
      <w:rPr>
        <w:rFonts w:ascii="Calibri" w:hAnsi="Calibri" w:hint="default"/>
      </w:rPr>
    </w:lvl>
    <w:lvl w:ilvl="5" w:tplc="14F66220" w:tentative="1">
      <w:start w:val="1"/>
      <w:numFmt w:val="bullet"/>
      <w:lvlText w:val="•"/>
      <w:lvlJc w:val="left"/>
      <w:pPr>
        <w:tabs>
          <w:tab w:val="num" w:pos="4320"/>
        </w:tabs>
        <w:ind w:left="4320" w:hanging="360"/>
      </w:pPr>
      <w:rPr>
        <w:rFonts w:ascii="Calibri" w:hAnsi="Calibri" w:hint="default"/>
      </w:rPr>
    </w:lvl>
    <w:lvl w:ilvl="6" w:tplc="F05A4890" w:tentative="1">
      <w:start w:val="1"/>
      <w:numFmt w:val="bullet"/>
      <w:lvlText w:val="•"/>
      <w:lvlJc w:val="left"/>
      <w:pPr>
        <w:tabs>
          <w:tab w:val="num" w:pos="5040"/>
        </w:tabs>
        <w:ind w:left="5040" w:hanging="360"/>
      </w:pPr>
      <w:rPr>
        <w:rFonts w:ascii="Calibri" w:hAnsi="Calibri" w:hint="default"/>
      </w:rPr>
    </w:lvl>
    <w:lvl w:ilvl="7" w:tplc="0CAC9878" w:tentative="1">
      <w:start w:val="1"/>
      <w:numFmt w:val="bullet"/>
      <w:lvlText w:val="•"/>
      <w:lvlJc w:val="left"/>
      <w:pPr>
        <w:tabs>
          <w:tab w:val="num" w:pos="5760"/>
        </w:tabs>
        <w:ind w:left="5760" w:hanging="360"/>
      </w:pPr>
      <w:rPr>
        <w:rFonts w:ascii="Calibri" w:hAnsi="Calibri" w:hint="default"/>
      </w:rPr>
    </w:lvl>
    <w:lvl w:ilvl="8" w:tplc="9824317C" w:tentative="1">
      <w:start w:val="1"/>
      <w:numFmt w:val="bullet"/>
      <w:lvlText w:val="•"/>
      <w:lvlJc w:val="left"/>
      <w:pPr>
        <w:tabs>
          <w:tab w:val="num" w:pos="6480"/>
        </w:tabs>
        <w:ind w:left="6480" w:hanging="360"/>
      </w:pPr>
      <w:rPr>
        <w:rFonts w:ascii="Calibri" w:hAnsi="Calibri" w:hint="default"/>
      </w:rPr>
    </w:lvl>
  </w:abstractNum>
  <w:abstractNum w:abstractNumId="9" w15:restartNumberingAfterBreak="0">
    <w:nsid w:val="05AF28AA"/>
    <w:multiLevelType w:val="hybridMultilevel"/>
    <w:tmpl w:val="50E2790E"/>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5EB4A6A"/>
    <w:multiLevelType w:val="hybridMultilevel"/>
    <w:tmpl w:val="3DF8BE16"/>
    <w:lvl w:ilvl="0" w:tplc="3BA0F64A">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11" w15:restartNumberingAfterBreak="0">
    <w:nsid w:val="06482EBE"/>
    <w:multiLevelType w:val="hybridMultilevel"/>
    <w:tmpl w:val="BC8863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69F3EDB"/>
    <w:multiLevelType w:val="hybridMultilevel"/>
    <w:tmpl w:val="38742546"/>
    <w:lvl w:ilvl="0" w:tplc="B1FC90FA">
      <w:start w:val="1"/>
      <w:numFmt w:val="decimal"/>
      <w:lvlText w:val="%1."/>
      <w:lvlJc w:val="left"/>
      <w:pPr>
        <w:ind w:left="1069" w:hanging="360"/>
      </w:pPr>
      <w:rPr>
        <w:rFonts w:cs="Times New Roman" w:hint="default"/>
      </w:rPr>
    </w:lvl>
    <w:lvl w:ilvl="1" w:tplc="0C090019" w:tentative="1">
      <w:start w:val="1"/>
      <w:numFmt w:val="lowerLetter"/>
      <w:lvlText w:val="%2."/>
      <w:lvlJc w:val="left"/>
      <w:pPr>
        <w:ind w:left="1440" w:hanging="360"/>
      </w:pPr>
      <w:rPr>
        <w:rFonts w:cs="Times New Roman"/>
      </w:rPr>
    </w:lvl>
    <w:lvl w:ilvl="2" w:tplc="0C09001B" w:tentative="1">
      <w:start w:val="1"/>
      <w:numFmt w:val="lowerRoman"/>
      <w:lvlText w:val="%3."/>
      <w:lvlJc w:val="right"/>
      <w:pPr>
        <w:ind w:left="2160" w:hanging="180"/>
      </w:pPr>
      <w:rPr>
        <w:rFonts w:cs="Times New Roman"/>
      </w:rPr>
    </w:lvl>
    <w:lvl w:ilvl="3" w:tplc="0C09000F" w:tentative="1">
      <w:start w:val="1"/>
      <w:numFmt w:val="decimal"/>
      <w:lvlText w:val="%4."/>
      <w:lvlJc w:val="left"/>
      <w:pPr>
        <w:ind w:left="2880" w:hanging="360"/>
      </w:pPr>
      <w:rPr>
        <w:rFonts w:cs="Times New Roman"/>
      </w:rPr>
    </w:lvl>
    <w:lvl w:ilvl="4" w:tplc="0C090019" w:tentative="1">
      <w:start w:val="1"/>
      <w:numFmt w:val="lowerLetter"/>
      <w:lvlText w:val="%5."/>
      <w:lvlJc w:val="left"/>
      <w:pPr>
        <w:ind w:left="3600" w:hanging="360"/>
      </w:pPr>
      <w:rPr>
        <w:rFonts w:cs="Times New Roman"/>
      </w:rPr>
    </w:lvl>
    <w:lvl w:ilvl="5" w:tplc="0C09001B" w:tentative="1">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13" w15:restartNumberingAfterBreak="0">
    <w:nsid w:val="075D213E"/>
    <w:multiLevelType w:val="multilevel"/>
    <w:tmpl w:val="F88E0C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89C073A"/>
    <w:multiLevelType w:val="hybridMultilevel"/>
    <w:tmpl w:val="DF92919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94E2DDB"/>
    <w:multiLevelType w:val="hybridMultilevel"/>
    <w:tmpl w:val="91D04C60"/>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9687CFF"/>
    <w:multiLevelType w:val="hybridMultilevel"/>
    <w:tmpl w:val="1F1E1634"/>
    <w:lvl w:ilvl="0" w:tplc="0C090001">
      <w:start w:val="1"/>
      <w:numFmt w:val="bullet"/>
      <w:lvlText w:val=""/>
      <w:lvlJc w:val="left"/>
      <w:pPr>
        <w:ind w:left="833" w:hanging="360"/>
      </w:pPr>
      <w:rPr>
        <w:rFonts w:ascii="Symbol" w:hAnsi="Symbol" w:hint="default"/>
      </w:rPr>
    </w:lvl>
    <w:lvl w:ilvl="1" w:tplc="0C090003" w:tentative="1">
      <w:start w:val="1"/>
      <w:numFmt w:val="bullet"/>
      <w:lvlText w:val="o"/>
      <w:lvlJc w:val="left"/>
      <w:pPr>
        <w:ind w:left="1553" w:hanging="360"/>
      </w:pPr>
      <w:rPr>
        <w:rFonts w:ascii="Courier New" w:hAnsi="Courier New" w:cs="Courier New" w:hint="default"/>
      </w:rPr>
    </w:lvl>
    <w:lvl w:ilvl="2" w:tplc="0C090005" w:tentative="1">
      <w:start w:val="1"/>
      <w:numFmt w:val="bullet"/>
      <w:lvlText w:val=""/>
      <w:lvlJc w:val="left"/>
      <w:pPr>
        <w:ind w:left="2273" w:hanging="360"/>
      </w:pPr>
      <w:rPr>
        <w:rFonts w:ascii="Wingdings" w:hAnsi="Wingdings" w:hint="default"/>
      </w:rPr>
    </w:lvl>
    <w:lvl w:ilvl="3" w:tplc="0C090001" w:tentative="1">
      <w:start w:val="1"/>
      <w:numFmt w:val="bullet"/>
      <w:lvlText w:val=""/>
      <w:lvlJc w:val="left"/>
      <w:pPr>
        <w:ind w:left="2993" w:hanging="360"/>
      </w:pPr>
      <w:rPr>
        <w:rFonts w:ascii="Symbol" w:hAnsi="Symbol" w:hint="default"/>
      </w:rPr>
    </w:lvl>
    <w:lvl w:ilvl="4" w:tplc="0C090003" w:tentative="1">
      <w:start w:val="1"/>
      <w:numFmt w:val="bullet"/>
      <w:lvlText w:val="o"/>
      <w:lvlJc w:val="left"/>
      <w:pPr>
        <w:ind w:left="3713" w:hanging="360"/>
      </w:pPr>
      <w:rPr>
        <w:rFonts w:ascii="Courier New" w:hAnsi="Courier New" w:cs="Courier New" w:hint="default"/>
      </w:rPr>
    </w:lvl>
    <w:lvl w:ilvl="5" w:tplc="0C090005" w:tentative="1">
      <w:start w:val="1"/>
      <w:numFmt w:val="bullet"/>
      <w:lvlText w:val=""/>
      <w:lvlJc w:val="left"/>
      <w:pPr>
        <w:ind w:left="4433" w:hanging="360"/>
      </w:pPr>
      <w:rPr>
        <w:rFonts w:ascii="Wingdings" w:hAnsi="Wingdings" w:hint="default"/>
      </w:rPr>
    </w:lvl>
    <w:lvl w:ilvl="6" w:tplc="0C090001" w:tentative="1">
      <w:start w:val="1"/>
      <w:numFmt w:val="bullet"/>
      <w:lvlText w:val=""/>
      <w:lvlJc w:val="left"/>
      <w:pPr>
        <w:ind w:left="5153" w:hanging="360"/>
      </w:pPr>
      <w:rPr>
        <w:rFonts w:ascii="Symbol" w:hAnsi="Symbol" w:hint="default"/>
      </w:rPr>
    </w:lvl>
    <w:lvl w:ilvl="7" w:tplc="0C090003" w:tentative="1">
      <w:start w:val="1"/>
      <w:numFmt w:val="bullet"/>
      <w:lvlText w:val="o"/>
      <w:lvlJc w:val="left"/>
      <w:pPr>
        <w:ind w:left="5873" w:hanging="360"/>
      </w:pPr>
      <w:rPr>
        <w:rFonts w:ascii="Courier New" w:hAnsi="Courier New" w:cs="Courier New" w:hint="default"/>
      </w:rPr>
    </w:lvl>
    <w:lvl w:ilvl="8" w:tplc="0C090005" w:tentative="1">
      <w:start w:val="1"/>
      <w:numFmt w:val="bullet"/>
      <w:lvlText w:val=""/>
      <w:lvlJc w:val="left"/>
      <w:pPr>
        <w:ind w:left="6593" w:hanging="360"/>
      </w:pPr>
      <w:rPr>
        <w:rFonts w:ascii="Wingdings" w:hAnsi="Wingdings" w:hint="default"/>
      </w:rPr>
    </w:lvl>
  </w:abstractNum>
  <w:abstractNum w:abstractNumId="17" w15:restartNumberingAfterBreak="0">
    <w:nsid w:val="097510D7"/>
    <w:multiLevelType w:val="multilevel"/>
    <w:tmpl w:val="2F6CA4A0"/>
    <w:styleLink w:val="ListAppendix"/>
    <w:lvl w:ilvl="0">
      <w:start w:val="1"/>
      <w:numFmt w:val="bullet"/>
      <w:pStyle w:val="ListBullet"/>
      <w:lvlText w:val=""/>
      <w:lvlJc w:val="left"/>
      <w:pPr>
        <w:tabs>
          <w:tab w:val="num" w:pos="425"/>
        </w:tabs>
        <w:ind w:left="425" w:hanging="425"/>
      </w:pPr>
      <w:rPr>
        <w:rFonts w:ascii="Symbol" w:hAnsi="Symbol" w:hint="default"/>
      </w:rPr>
    </w:lvl>
    <w:lvl w:ilvl="1">
      <w:start w:val="1"/>
      <w:numFmt w:val="bullet"/>
      <w:pStyle w:val="ListBullet2"/>
      <w:lvlText w:val="–"/>
      <w:lvlJc w:val="left"/>
      <w:pPr>
        <w:tabs>
          <w:tab w:val="num" w:pos="850"/>
        </w:tabs>
        <w:ind w:left="850" w:hanging="425"/>
      </w:pPr>
      <w:rPr>
        <w:rFonts w:ascii="Arial Rounded MT" w:hAnsi="Arial Rounded MT" w:hint="default"/>
        <w:color w:val="auto"/>
      </w:rPr>
    </w:lvl>
    <w:lvl w:ilvl="2">
      <w:start w:val="1"/>
      <w:numFmt w:val="bullet"/>
      <w:pStyle w:val="ListBullet3"/>
      <w:lvlText w:val=""/>
      <w:lvlJc w:val="left"/>
      <w:pPr>
        <w:tabs>
          <w:tab w:val="num" w:pos="1275"/>
        </w:tabs>
        <w:ind w:left="1275" w:hanging="425"/>
      </w:pPr>
      <w:rPr>
        <w:rFonts w:ascii="Symbol" w:hAnsi="Symbol" w:hint="default"/>
      </w:rPr>
    </w:lvl>
    <w:lvl w:ilvl="3">
      <w:start w:val="1"/>
      <w:numFmt w:val="bullet"/>
      <w:pStyle w:val="ListBullet4"/>
      <w:lvlText w:val="–"/>
      <w:lvlJc w:val="left"/>
      <w:pPr>
        <w:tabs>
          <w:tab w:val="num" w:pos="1700"/>
        </w:tabs>
        <w:ind w:left="1700" w:hanging="425"/>
      </w:pPr>
      <w:rPr>
        <w:rFonts w:ascii="Arial Rounded MT" w:hAnsi="Arial Rounded MT" w:hint="default"/>
      </w:rPr>
    </w:lvl>
    <w:lvl w:ilvl="4">
      <w:start w:val="1"/>
      <w:numFmt w:val="bullet"/>
      <w:pStyle w:val="ListBullet5"/>
      <w:lvlText w:val=""/>
      <w:lvlJc w:val="left"/>
      <w:pPr>
        <w:tabs>
          <w:tab w:val="num" w:pos="2125"/>
        </w:tabs>
        <w:ind w:left="2125" w:hanging="425"/>
      </w:pPr>
      <w:rPr>
        <w:rFonts w:ascii="Symbol" w:hAnsi="Symbol" w:hint="default"/>
        <w:color w:val="auto"/>
      </w:rPr>
    </w:lvl>
    <w:lvl w:ilvl="5">
      <w:start w:val="1"/>
      <w:numFmt w:val="bullet"/>
      <w:pStyle w:val="ListBullet6"/>
      <w:lvlText w:val="–"/>
      <w:lvlJc w:val="left"/>
      <w:pPr>
        <w:tabs>
          <w:tab w:val="num" w:pos="2550"/>
        </w:tabs>
        <w:ind w:left="2550" w:hanging="425"/>
      </w:pPr>
      <w:rPr>
        <w:rFonts w:ascii="Arial Rounded MT" w:hAnsi="Arial Rounded MT" w:hint="default"/>
      </w:rPr>
    </w:lvl>
    <w:lvl w:ilvl="6">
      <w:start w:val="1"/>
      <w:numFmt w:val="none"/>
      <w:lvlText w:val="%7"/>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8" w15:restartNumberingAfterBreak="0">
    <w:nsid w:val="09CF6EC7"/>
    <w:multiLevelType w:val="hybridMultilevel"/>
    <w:tmpl w:val="3A0E82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AF86F81"/>
    <w:multiLevelType w:val="hybridMultilevel"/>
    <w:tmpl w:val="F39EBE36"/>
    <w:lvl w:ilvl="0" w:tplc="B85ACAF6">
      <w:numFmt w:val="bullet"/>
      <w:lvlText w:val="-"/>
      <w:lvlJc w:val="left"/>
      <w:pPr>
        <w:ind w:left="720" w:hanging="36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B961A95"/>
    <w:multiLevelType w:val="hybridMultilevel"/>
    <w:tmpl w:val="E0D024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B9F747B"/>
    <w:multiLevelType w:val="hybridMultilevel"/>
    <w:tmpl w:val="AD8AFF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BEE6418"/>
    <w:multiLevelType w:val="multilevel"/>
    <w:tmpl w:val="123493D2"/>
    <w:lvl w:ilvl="0">
      <w:start w:val="1"/>
      <w:numFmt w:val="decimal"/>
      <w:lvlText w:val="C%1"/>
      <w:lvlJc w:val="left"/>
      <w:pPr>
        <w:tabs>
          <w:tab w:val="num" w:pos="924"/>
        </w:tabs>
        <w:ind w:left="924" w:hanging="924"/>
      </w:pPr>
    </w:lvl>
    <w:lvl w:ilvl="1">
      <w:start w:val="1"/>
      <w:numFmt w:val="decimal"/>
      <w:pStyle w:val="PFNumLevel2"/>
      <w:lvlText w:val="B%1.%2"/>
      <w:lvlJc w:val="left"/>
      <w:pPr>
        <w:tabs>
          <w:tab w:val="num" w:pos="924"/>
        </w:tabs>
        <w:ind w:left="924" w:hanging="924"/>
      </w:pPr>
    </w:lvl>
    <w:lvl w:ilvl="2">
      <w:start w:val="1"/>
      <w:numFmt w:val="decimal"/>
      <w:pStyle w:val="PFNumLevel3"/>
      <w:lvlText w:val="%1.%2.%3"/>
      <w:lvlJc w:val="left"/>
      <w:pPr>
        <w:tabs>
          <w:tab w:val="num" w:pos="1848"/>
        </w:tabs>
        <w:ind w:left="1848" w:hanging="924"/>
      </w:pPr>
    </w:lvl>
    <w:lvl w:ilvl="3">
      <w:start w:val="1"/>
      <w:numFmt w:val="lowerLetter"/>
      <w:pStyle w:val="PFNumLevel4"/>
      <w:lvlText w:val="(%4)"/>
      <w:lvlJc w:val="left"/>
      <w:pPr>
        <w:tabs>
          <w:tab w:val="num" w:pos="2773"/>
        </w:tabs>
        <w:ind w:left="2773" w:hanging="925"/>
      </w:pPr>
    </w:lvl>
    <w:lvl w:ilvl="4">
      <w:start w:val="1"/>
      <w:numFmt w:val="lowerLetter"/>
      <w:pStyle w:val="PFNumLevel5"/>
      <w:lvlText w:val="(%5)"/>
      <w:lvlJc w:val="left"/>
      <w:pPr>
        <w:tabs>
          <w:tab w:val="num" w:pos="1848"/>
        </w:tabs>
        <w:ind w:left="1848" w:hanging="924"/>
      </w:pPr>
    </w:lvl>
    <w:lvl w:ilvl="5">
      <w:start w:val="1"/>
      <w:numFmt w:val="lowerRoman"/>
      <w:lvlRestart w:val="4"/>
      <w:pStyle w:val="PFNumLevel6"/>
      <w:lvlText w:val="(%6)"/>
      <w:lvlJc w:val="left"/>
      <w:pPr>
        <w:tabs>
          <w:tab w:val="num" w:pos="3697"/>
        </w:tabs>
        <w:ind w:left="3697" w:hanging="924"/>
      </w:pPr>
    </w:lvl>
    <w:lvl w:ilvl="6">
      <w:start w:val="1"/>
      <w:numFmt w:val="none"/>
      <w:suff w:val="nothing"/>
      <w:lvlText w:val=""/>
      <w:lvlJc w:val="left"/>
      <w:pPr>
        <w:ind w:left="0" w:firstLine="0"/>
      </w:pPr>
    </w:lvl>
    <w:lvl w:ilvl="7">
      <w:start w:val="1"/>
      <w:numFmt w:val="none"/>
      <w:suff w:val="nothing"/>
      <w:lvlText w:val=""/>
      <w:lvlJc w:val="left"/>
      <w:pPr>
        <w:ind w:left="-32767" w:firstLine="32767"/>
      </w:pPr>
    </w:lvl>
    <w:lvl w:ilvl="8">
      <w:start w:val="1"/>
      <w:numFmt w:val="none"/>
      <w:suff w:val="nothing"/>
      <w:lvlText w:val=""/>
      <w:lvlJc w:val="left"/>
      <w:pPr>
        <w:ind w:left="0" w:firstLine="0"/>
      </w:pPr>
    </w:lvl>
  </w:abstractNum>
  <w:abstractNum w:abstractNumId="23" w15:restartNumberingAfterBreak="0">
    <w:nsid w:val="0CAB34BB"/>
    <w:multiLevelType w:val="hybridMultilevel"/>
    <w:tmpl w:val="998E6460"/>
    <w:lvl w:ilvl="0" w:tplc="AFACEE2C">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CFA0548"/>
    <w:multiLevelType w:val="hybridMultilevel"/>
    <w:tmpl w:val="4A6C925C"/>
    <w:lvl w:ilvl="0" w:tplc="0C090015">
      <w:start w:val="1"/>
      <w:numFmt w:val="upperLetter"/>
      <w:lvlText w:val="%1."/>
      <w:lvlJc w:val="left"/>
      <w:pPr>
        <w:ind w:left="786" w:hanging="360"/>
      </w:pPr>
      <w:rPr>
        <w:rFonts w:hint="default"/>
      </w:rPr>
    </w:lvl>
    <w:lvl w:ilvl="1" w:tplc="0C090019">
      <w:start w:val="1"/>
      <w:numFmt w:val="lowerLetter"/>
      <w:lvlText w:val="%2."/>
      <w:lvlJc w:val="left"/>
      <w:pPr>
        <w:ind w:left="1506" w:hanging="360"/>
      </w:pPr>
      <w:rPr>
        <w:rFonts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5" w15:restartNumberingAfterBreak="0">
    <w:nsid w:val="0DA059DB"/>
    <w:multiLevelType w:val="hybridMultilevel"/>
    <w:tmpl w:val="C0202C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DD726A9"/>
    <w:multiLevelType w:val="multilevel"/>
    <w:tmpl w:val="B5BC7C40"/>
    <w:lvl w:ilvl="0">
      <w:start w:val="1"/>
      <w:numFmt w:val="upperLetter"/>
      <w:lvlText w:val="Appendix %1"/>
      <w:lvlJc w:val="left"/>
      <w:pPr>
        <w:tabs>
          <w:tab w:val="num" w:pos="0"/>
        </w:tabs>
        <w:ind w:left="0" w:firstLine="0"/>
      </w:pPr>
      <w:rPr>
        <w:rFonts w:hint="default"/>
        <w:b w:val="0"/>
        <w:color w:val="51247A" w:themeColor="accent1"/>
      </w:rPr>
    </w:lvl>
    <w:lvl w:ilvl="1">
      <w:start w:val="1"/>
      <w:numFmt w:val="decimal"/>
      <w:lvlText w:val="%1-%2"/>
      <w:lvlJc w:val="left"/>
      <w:pPr>
        <w:tabs>
          <w:tab w:val="num" w:pos="1134"/>
        </w:tabs>
        <w:ind w:left="1134" w:hanging="1134"/>
      </w:pPr>
      <w:rPr>
        <w:rFonts w:hint="default"/>
        <w:color w:val="51247A" w:themeColor="accent1"/>
      </w:rPr>
    </w:lvl>
    <w:lvl w:ilvl="2">
      <w:start w:val="1"/>
      <w:numFmt w:val="decimal"/>
      <w:lvlText w:val="%1-%2-%3"/>
      <w:lvlJc w:val="left"/>
      <w:pPr>
        <w:tabs>
          <w:tab w:val="num" w:pos="1134"/>
        </w:tabs>
        <w:ind w:left="1134" w:hanging="1134"/>
      </w:pPr>
      <w:rPr>
        <w:rFonts w:hint="default"/>
        <w:color w:val="51247A"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7" w15:restartNumberingAfterBreak="0">
    <w:nsid w:val="0DEA00B5"/>
    <w:multiLevelType w:val="hybridMultilevel"/>
    <w:tmpl w:val="913062FC"/>
    <w:styleLink w:val="ListParagraph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E2969CC"/>
    <w:multiLevelType w:val="hybridMultilevel"/>
    <w:tmpl w:val="15ACC824"/>
    <w:lvl w:ilvl="0" w:tplc="0C090017">
      <w:start w:val="1"/>
      <w:numFmt w:val="lowerLetter"/>
      <w:lvlText w:val="%1)"/>
      <w:lvlJc w:val="left"/>
      <w:pPr>
        <w:ind w:left="360" w:hanging="360"/>
      </w:pPr>
      <w:rPr>
        <w:rFonts w:cs="Times New Roman"/>
      </w:rPr>
    </w:lvl>
    <w:lvl w:ilvl="1" w:tplc="0C090019" w:tentative="1">
      <w:start w:val="1"/>
      <w:numFmt w:val="lowerLetter"/>
      <w:lvlText w:val="%2."/>
      <w:lvlJc w:val="left"/>
      <w:pPr>
        <w:ind w:left="1080" w:hanging="360"/>
      </w:pPr>
      <w:rPr>
        <w:rFonts w:cs="Times New Roman"/>
      </w:rPr>
    </w:lvl>
    <w:lvl w:ilvl="2" w:tplc="0C09001B" w:tentative="1">
      <w:start w:val="1"/>
      <w:numFmt w:val="lowerRoman"/>
      <w:lvlText w:val="%3."/>
      <w:lvlJc w:val="right"/>
      <w:pPr>
        <w:ind w:left="1800" w:hanging="180"/>
      </w:pPr>
      <w:rPr>
        <w:rFonts w:cs="Times New Roman"/>
      </w:rPr>
    </w:lvl>
    <w:lvl w:ilvl="3" w:tplc="0C09000F" w:tentative="1">
      <w:start w:val="1"/>
      <w:numFmt w:val="decimal"/>
      <w:lvlText w:val="%4."/>
      <w:lvlJc w:val="left"/>
      <w:pPr>
        <w:ind w:left="2520" w:hanging="360"/>
      </w:pPr>
      <w:rPr>
        <w:rFonts w:cs="Times New Roman"/>
      </w:rPr>
    </w:lvl>
    <w:lvl w:ilvl="4" w:tplc="0C090019" w:tentative="1">
      <w:start w:val="1"/>
      <w:numFmt w:val="lowerLetter"/>
      <w:lvlText w:val="%5."/>
      <w:lvlJc w:val="left"/>
      <w:pPr>
        <w:ind w:left="3240" w:hanging="360"/>
      </w:pPr>
      <w:rPr>
        <w:rFonts w:cs="Times New Roman"/>
      </w:rPr>
    </w:lvl>
    <w:lvl w:ilvl="5" w:tplc="0C09001B" w:tentative="1">
      <w:start w:val="1"/>
      <w:numFmt w:val="lowerRoman"/>
      <w:lvlText w:val="%6."/>
      <w:lvlJc w:val="right"/>
      <w:pPr>
        <w:ind w:left="3960" w:hanging="180"/>
      </w:pPr>
      <w:rPr>
        <w:rFonts w:cs="Times New Roman"/>
      </w:rPr>
    </w:lvl>
    <w:lvl w:ilvl="6" w:tplc="0C09000F" w:tentative="1">
      <w:start w:val="1"/>
      <w:numFmt w:val="decimal"/>
      <w:lvlText w:val="%7."/>
      <w:lvlJc w:val="left"/>
      <w:pPr>
        <w:ind w:left="4680" w:hanging="360"/>
      </w:pPr>
      <w:rPr>
        <w:rFonts w:cs="Times New Roman"/>
      </w:rPr>
    </w:lvl>
    <w:lvl w:ilvl="7" w:tplc="0C090019" w:tentative="1">
      <w:start w:val="1"/>
      <w:numFmt w:val="lowerLetter"/>
      <w:lvlText w:val="%8."/>
      <w:lvlJc w:val="left"/>
      <w:pPr>
        <w:ind w:left="5400" w:hanging="360"/>
      </w:pPr>
      <w:rPr>
        <w:rFonts w:cs="Times New Roman"/>
      </w:rPr>
    </w:lvl>
    <w:lvl w:ilvl="8" w:tplc="0C09001B" w:tentative="1">
      <w:start w:val="1"/>
      <w:numFmt w:val="lowerRoman"/>
      <w:lvlText w:val="%9."/>
      <w:lvlJc w:val="right"/>
      <w:pPr>
        <w:ind w:left="6120" w:hanging="180"/>
      </w:pPr>
      <w:rPr>
        <w:rFonts w:cs="Times New Roman"/>
      </w:rPr>
    </w:lvl>
  </w:abstractNum>
  <w:abstractNum w:abstractNumId="29" w15:restartNumberingAfterBreak="0">
    <w:nsid w:val="0E615EDF"/>
    <w:multiLevelType w:val="hybridMultilevel"/>
    <w:tmpl w:val="CE40F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EF75435"/>
    <w:multiLevelType w:val="multilevel"/>
    <w:tmpl w:val="88B4D9D6"/>
    <w:lvl w:ilvl="0">
      <w:start w:val="1"/>
      <w:numFmt w:val="lowerLetter"/>
      <w:lvlText w:val="%1."/>
      <w:lvlJc w:val="left"/>
      <w:pPr>
        <w:tabs>
          <w:tab w:val="num" w:pos="425"/>
        </w:tabs>
        <w:ind w:left="425" w:hanging="425"/>
      </w:pPr>
      <w:rPr>
        <w:rFonts w:hint="default"/>
      </w:rPr>
    </w:lvl>
    <w:lvl w:ilvl="1">
      <w:start w:val="1"/>
      <w:numFmt w:val="lowerRoman"/>
      <w:lvlText w:val="%2."/>
      <w:lvlJc w:val="left"/>
      <w:pPr>
        <w:tabs>
          <w:tab w:val="num" w:pos="850"/>
        </w:tabs>
        <w:ind w:left="850" w:hanging="425"/>
      </w:pPr>
      <w:rPr>
        <w:rFonts w:hint="default"/>
      </w:rPr>
    </w:lvl>
    <w:lvl w:ilvl="2">
      <w:start w:val="1"/>
      <w:numFmt w:val="decimal"/>
      <w:lvlText w:val="%3."/>
      <w:lvlJc w:val="left"/>
      <w:pPr>
        <w:tabs>
          <w:tab w:val="num" w:pos="1275"/>
        </w:tabs>
        <w:ind w:left="1275" w:hanging="425"/>
      </w:pPr>
      <w:rPr>
        <w:rFonts w:hint="default"/>
      </w:rPr>
    </w:lvl>
    <w:lvl w:ilvl="3">
      <w:start w:val="1"/>
      <w:numFmt w:val="upperLetter"/>
      <w:lvlText w:val="%4."/>
      <w:lvlJc w:val="left"/>
      <w:pPr>
        <w:tabs>
          <w:tab w:val="num" w:pos="1700"/>
        </w:tabs>
        <w:ind w:left="1700" w:hanging="425"/>
      </w:pPr>
      <w:rPr>
        <w:rFonts w:hint="default"/>
      </w:rPr>
    </w:lvl>
    <w:lvl w:ilvl="4">
      <w:start w:val="1"/>
      <w:numFmt w:val="upperRoman"/>
      <w:lvlText w:val="%5."/>
      <w:lvlJc w:val="left"/>
      <w:pPr>
        <w:tabs>
          <w:tab w:val="num" w:pos="2125"/>
        </w:tabs>
        <w:ind w:left="2125" w:hanging="425"/>
      </w:pPr>
      <w:rPr>
        <w:rFonts w:hint="default"/>
      </w:rPr>
    </w:lvl>
    <w:lvl w:ilvl="5">
      <w:start w:val="1"/>
      <w:numFmt w:val="lowerLetter"/>
      <w:lvlText w:val="%6."/>
      <w:lvlJc w:val="left"/>
      <w:pPr>
        <w:tabs>
          <w:tab w:val="num" w:pos="2550"/>
        </w:tabs>
        <w:ind w:left="2550" w:hanging="425"/>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31" w15:restartNumberingAfterBreak="0">
    <w:nsid w:val="0F9463B5"/>
    <w:multiLevelType w:val="hybridMultilevel"/>
    <w:tmpl w:val="EA7EA6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FC7713C"/>
    <w:multiLevelType w:val="hybridMultilevel"/>
    <w:tmpl w:val="FFFFFFFF"/>
    <w:lvl w:ilvl="0" w:tplc="93CA453C">
      <w:start w:val="1"/>
      <w:numFmt w:val="bullet"/>
      <w:lvlText w:val=""/>
      <w:lvlJc w:val="left"/>
      <w:pPr>
        <w:ind w:left="720" w:hanging="360"/>
      </w:pPr>
      <w:rPr>
        <w:rFonts w:ascii="Symbol" w:hAnsi="Symbol" w:hint="default"/>
      </w:rPr>
    </w:lvl>
    <w:lvl w:ilvl="1" w:tplc="94145952">
      <w:start w:val="1"/>
      <w:numFmt w:val="bullet"/>
      <w:lvlText w:val="o"/>
      <w:lvlJc w:val="left"/>
      <w:pPr>
        <w:ind w:left="1440" w:hanging="360"/>
      </w:pPr>
      <w:rPr>
        <w:rFonts w:ascii="Courier New" w:hAnsi="Courier New" w:hint="default"/>
      </w:rPr>
    </w:lvl>
    <w:lvl w:ilvl="2" w:tplc="2A9046CE">
      <w:start w:val="1"/>
      <w:numFmt w:val="bullet"/>
      <w:lvlText w:val=""/>
      <w:lvlJc w:val="left"/>
      <w:pPr>
        <w:ind w:left="2160" w:hanging="360"/>
      </w:pPr>
      <w:rPr>
        <w:rFonts w:ascii="Wingdings" w:hAnsi="Wingdings" w:hint="default"/>
      </w:rPr>
    </w:lvl>
    <w:lvl w:ilvl="3" w:tplc="A25C3E8E">
      <w:start w:val="1"/>
      <w:numFmt w:val="bullet"/>
      <w:lvlText w:val=""/>
      <w:lvlJc w:val="left"/>
      <w:pPr>
        <w:ind w:left="2880" w:hanging="360"/>
      </w:pPr>
      <w:rPr>
        <w:rFonts w:ascii="Symbol" w:hAnsi="Symbol" w:hint="default"/>
      </w:rPr>
    </w:lvl>
    <w:lvl w:ilvl="4" w:tplc="2AF674C2">
      <w:start w:val="1"/>
      <w:numFmt w:val="bullet"/>
      <w:lvlText w:val="o"/>
      <w:lvlJc w:val="left"/>
      <w:pPr>
        <w:ind w:left="3600" w:hanging="360"/>
      </w:pPr>
      <w:rPr>
        <w:rFonts w:ascii="Courier New" w:hAnsi="Courier New" w:hint="default"/>
      </w:rPr>
    </w:lvl>
    <w:lvl w:ilvl="5" w:tplc="C90E9ADC">
      <w:start w:val="1"/>
      <w:numFmt w:val="bullet"/>
      <w:lvlText w:val=""/>
      <w:lvlJc w:val="left"/>
      <w:pPr>
        <w:ind w:left="4320" w:hanging="360"/>
      </w:pPr>
      <w:rPr>
        <w:rFonts w:ascii="Wingdings" w:hAnsi="Wingdings" w:hint="default"/>
      </w:rPr>
    </w:lvl>
    <w:lvl w:ilvl="6" w:tplc="6FEAF714">
      <w:start w:val="1"/>
      <w:numFmt w:val="bullet"/>
      <w:lvlText w:val=""/>
      <w:lvlJc w:val="left"/>
      <w:pPr>
        <w:ind w:left="5040" w:hanging="360"/>
      </w:pPr>
      <w:rPr>
        <w:rFonts w:ascii="Symbol" w:hAnsi="Symbol" w:hint="default"/>
      </w:rPr>
    </w:lvl>
    <w:lvl w:ilvl="7" w:tplc="7FB22F86">
      <w:start w:val="1"/>
      <w:numFmt w:val="bullet"/>
      <w:lvlText w:val="o"/>
      <w:lvlJc w:val="left"/>
      <w:pPr>
        <w:ind w:left="5760" w:hanging="360"/>
      </w:pPr>
      <w:rPr>
        <w:rFonts w:ascii="Courier New" w:hAnsi="Courier New" w:hint="default"/>
      </w:rPr>
    </w:lvl>
    <w:lvl w:ilvl="8" w:tplc="92A2D20C">
      <w:start w:val="1"/>
      <w:numFmt w:val="bullet"/>
      <w:lvlText w:val=""/>
      <w:lvlJc w:val="left"/>
      <w:pPr>
        <w:ind w:left="6480" w:hanging="360"/>
      </w:pPr>
      <w:rPr>
        <w:rFonts w:ascii="Wingdings" w:hAnsi="Wingdings" w:hint="default"/>
      </w:rPr>
    </w:lvl>
  </w:abstractNum>
  <w:abstractNum w:abstractNumId="33" w15:restartNumberingAfterBreak="0">
    <w:nsid w:val="0FFF5837"/>
    <w:multiLevelType w:val="hybridMultilevel"/>
    <w:tmpl w:val="02B40B1E"/>
    <w:lvl w:ilvl="0" w:tplc="0C09000F">
      <w:start w:val="1"/>
      <w:numFmt w:val="decimal"/>
      <w:lvlText w:val="%1."/>
      <w:lvlJc w:val="left"/>
      <w:pPr>
        <w:ind w:left="786" w:hanging="360"/>
      </w:pPr>
      <w:rPr>
        <w:rFonts w:hint="default"/>
      </w:rPr>
    </w:lvl>
    <w:lvl w:ilvl="1" w:tplc="0C090019">
      <w:start w:val="1"/>
      <w:numFmt w:val="lowerLetter"/>
      <w:lvlText w:val="%2."/>
      <w:lvlJc w:val="left"/>
      <w:pPr>
        <w:ind w:left="1506" w:hanging="360"/>
      </w:pPr>
      <w:rPr>
        <w:rFonts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34" w15:restartNumberingAfterBreak="0">
    <w:nsid w:val="10216666"/>
    <w:multiLevelType w:val="hybridMultilevel"/>
    <w:tmpl w:val="280EFBC4"/>
    <w:lvl w:ilvl="0" w:tplc="0C090015">
      <w:start w:val="1"/>
      <w:numFmt w:val="upperLetter"/>
      <w:lvlText w:val="%1."/>
      <w:lvlJc w:val="left"/>
      <w:pPr>
        <w:ind w:left="720" w:hanging="360"/>
      </w:pPr>
    </w:lvl>
    <w:lvl w:ilvl="1" w:tplc="0C090011">
      <w:start w:val="1"/>
      <w:numFmt w:val="decimal"/>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105B34FE"/>
    <w:multiLevelType w:val="hybridMultilevel"/>
    <w:tmpl w:val="878221B6"/>
    <w:lvl w:ilvl="0" w:tplc="0C09001B">
      <w:start w:val="1"/>
      <w:numFmt w:val="lowerRoman"/>
      <w:lvlText w:val="%1."/>
      <w:lvlJc w:val="right"/>
      <w:pPr>
        <w:ind w:left="2340" w:hanging="360"/>
      </w:pPr>
    </w:lvl>
    <w:lvl w:ilvl="1" w:tplc="0C090019" w:tentative="1">
      <w:start w:val="1"/>
      <w:numFmt w:val="lowerLetter"/>
      <w:lvlText w:val="%2."/>
      <w:lvlJc w:val="left"/>
      <w:pPr>
        <w:ind w:left="3060" w:hanging="360"/>
      </w:pPr>
    </w:lvl>
    <w:lvl w:ilvl="2" w:tplc="0C09001B" w:tentative="1">
      <w:start w:val="1"/>
      <w:numFmt w:val="lowerRoman"/>
      <w:lvlText w:val="%3."/>
      <w:lvlJc w:val="right"/>
      <w:pPr>
        <w:ind w:left="3780" w:hanging="180"/>
      </w:pPr>
    </w:lvl>
    <w:lvl w:ilvl="3" w:tplc="0C09000F" w:tentative="1">
      <w:start w:val="1"/>
      <w:numFmt w:val="decimal"/>
      <w:lvlText w:val="%4."/>
      <w:lvlJc w:val="left"/>
      <w:pPr>
        <w:ind w:left="4500" w:hanging="360"/>
      </w:pPr>
    </w:lvl>
    <w:lvl w:ilvl="4" w:tplc="0C090019" w:tentative="1">
      <w:start w:val="1"/>
      <w:numFmt w:val="lowerLetter"/>
      <w:lvlText w:val="%5."/>
      <w:lvlJc w:val="left"/>
      <w:pPr>
        <w:ind w:left="5220" w:hanging="360"/>
      </w:pPr>
    </w:lvl>
    <w:lvl w:ilvl="5" w:tplc="0C09001B" w:tentative="1">
      <w:start w:val="1"/>
      <w:numFmt w:val="lowerRoman"/>
      <w:lvlText w:val="%6."/>
      <w:lvlJc w:val="right"/>
      <w:pPr>
        <w:ind w:left="5940" w:hanging="180"/>
      </w:pPr>
    </w:lvl>
    <w:lvl w:ilvl="6" w:tplc="0C09000F" w:tentative="1">
      <w:start w:val="1"/>
      <w:numFmt w:val="decimal"/>
      <w:lvlText w:val="%7."/>
      <w:lvlJc w:val="left"/>
      <w:pPr>
        <w:ind w:left="6660" w:hanging="360"/>
      </w:pPr>
    </w:lvl>
    <w:lvl w:ilvl="7" w:tplc="0C090019" w:tentative="1">
      <w:start w:val="1"/>
      <w:numFmt w:val="lowerLetter"/>
      <w:lvlText w:val="%8."/>
      <w:lvlJc w:val="left"/>
      <w:pPr>
        <w:ind w:left="7380" w:hanging="360"/>
      </w:pPr>
    </w:lvl>
    <w:lvl w:ilvl="8" w:tplc="0C09001B" w:tentative="1">
      <w:start w:val="1"/>
      <w:numFmt w:val="lowerRoman"/>
      <w:lvlText w:val="%9."/>
      <w:lvlJc w:val="right"/>
      <w:pPr>
        <w:ind w:left="8100" w:hanging="180"/>
      </w:pPr>
    </w:lvl>
  </w:abstractNum>
  <w:abstractNum w:abstractNumId="36" w15:restartNumberingAfterBreak="0">
    <w:nsid w:val="11046741"/>
    <w:multiLevelType w:val="hybridMultilevel"/>
    <w:tmpl w:val="7B7600DA"/>
    <w:lvl w:ilvl="0" w:tplc="0C090011">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7" w15:restartNumberingAfterBreak="0">
    <w:nsid w:val="11DF4FAD"/>
    <w:multiLevelType w:val="multilevel"/>
    <w:tmpl w:val="E9B44B6A"/>
    <w:styleLink w:val="ListBullet0"/>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38" w15:restartNumberingAfterBreak="0">
    <w:nsid w:val="11EA77B6"/>
    <w:multiLevelType w:val="hybridMultilevel"/>
    <w:tmpl w:val="9EF83C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11F049C0"/>
    <w:multiLevelType w:val="hybridMultilevel"/>
    <w:tmpl w:val="260E5A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11F75C64"/>
    <w:multiLevelType w:val="hybridMultilevel"/>
    <w:tmpl w:val="A3A216DC"/>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21143CB"/>
    <w:multiLevelType w:val="hybridMultilevel"/>
    <w:tmpl w:val="FFFFFFFF"/>
    <w:lvl w:ilvl="0" w:tplc="175A48B6">
      <w:start w:val="1"/>
      <w:numFmt w:val="bullet"/>
      <w:lvlText w:val=""/>
      <w:lvlJc w:val="left"/>
      <w:pPr>
        <w:ind w:left="720" w:hanging="360"/>
      </w:pPr>
      <w:rPr>
        <w:rFonts w:ascii="Symbol" w:hAnsi="Symbol" w:hint="default"/>
      </w:rPr>
    </w:lvl>
    <w:lvl w:ilvl="1" w:tplc="C8760EC2">
      <w:start w:val="1"/>
      <w:numFmt w:val="bullet"/>
      <w:lvlText w:val="o"/>
      <w:lvlJc w:val="left"/>
      <w:pPr>
        <w:ind w:left="1440" w:hanging="360"/>
      </w:pPr>
      <w:rPr>
        <w:rFonts w:ascii="Courier New" w:hAnsi="Courier New" w:hint="default"/>
      </w:rPr>
    </w:lvl>
    <w:lvl w:ilvl="2" w:tplc="88D60278">
      <w:start w:val="1"/>
      <w:numFmt w:val="bullet"/>
      <w:lvlText w:val=""/>
      <w:lvlJc w:val="left"/>
      <w:pPr>
        <w:ind w:left="2160" w:hanging="360"/>
      </w:pPr>
      <w:rPr>
        <w:rFonts w:ascii="Wingdings" w:hAnsi="Wingdings" w:hint="default"/>
      </w:rPr>
    </w:lvl>
    <w:lvl w:ilvl="3" w:tplc="06323026">
      <w:start w:val="1"/>
      <w:numFmt w:val="bullet"/>
      <w:lvlText w:val=""/>
      <w:lvlJc w:val="left"/>
      <w:pPr>
        <w:ind w:left="2880" w:hanging="360"/>
      </w:pPr>
      <w:rPr>
        <w:rFonts w:ascii="Symbol" w:hAnsi="Symbol" w:hint="default"/>
      </w:rPr>
    </w:lvl>
    <w:lvl w:ilvl="4" w:tplc="80EC6D08">
      <w:start w:val="1"/>
      <w:numFmt w:val="bullet"/>
      <w:lvlText w:val="o"/>
      <w:lvlJc w:val="left"/>
      <w:pPr>
        <w:ind w:left="3600" w:hanging="360"/>
      </w:pPr>
      <w:rPr>
        <w:rFonts w:ascii="Courier New" w:hAnsi="Courier New" w:hint="default"/>
      </w:rPr>
    </w:lvl>
    <w:lvl w:ilvl="5" w:tplc="69D8EB84">
      <w:start w:val="1"/>
      <w:numFmt w:val="bullet"/>
      <w:lvlText w:val=""/>
      <w:lvlJc w:val="left"/>
      <w:pPr>
        <w:ind w:left="4320" w:hanging="360"/>
      </w:pPr>
      <w:rPr>
        <w:rFonts w:ascii="Wingdings" w:hAnsi="Wingdings" w:hint="default"/>
      </w:rPr>
    </w:lvl>
    <w:lvl w:ilvl="6" w:tplc="B614B8CA">
      <w:start w:val="1"/>
      <w:numFmt w:val="bullet"/>
      <w:lvlText w:val=""/>
      <w:lvlJc w:val="left"/>
      <w:pPr>
        <w:ind w:left="5040" w:hanging="360"/>
      </w:pPr>
      <w:rPr>
        <w:rFonts w:ascii="Symbol" w:hAnsi="Symbol" w:hint="default"/>
      </w:rPr>
    </w:lvl>
    <w:lvl w:ilvl="7" w:tplc="B2A02EB8">
      <w:start w:val="1"/>
      <w:numFmt w:val="bullet"/>
      <w:lvlText w:val="o"/>
      <w:lvlJc w:val="left"/>
      <w:pPr>
        <w:ind w:left="5760" w:hanging="360"/>
      </w:pPr>
      <w:rPr>
        <w:rFonts w:ascii="Courier New" w:hAnsi="Courier New" w:hint="default"/>
      </w:rPr>
    </w:lvl>
    <w:lvl w:ilvl="8" w:tplc="B20CFED6">
      <w:start w:val="1"/>
      <w:numFmt w:val="bullet"/>
      <w:lvlText w:val=""/>
      <w:lvlJc w:val="left"/>
      <w:pPr>
        <w:ind w:left="6480" w:hanging="360"/>
      </w:pPr>
      <w:rPr>
        <w:rFonts w:ascii="Wingdings" w:hAnsi="Wingdings" w:hint="default"/>
      </w:rPr>
    </w:lvl>
  </w:abstractNum>
  <w:abstractNum w:abstractNumId="42" w15:restartNumberingAfterBreak="0">
    <w:nsid w:val="12C838DF"/>
    <w:multiLevelType w:val="hybridMultilevel"/>
    <w:tmpl w:val="1A245DD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12FC04A1"/>
    <w:multiLevelType w:val="hybridMultilevel"/>
    <w:tmpl w:val="7B947A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147A5245"/>
    <w:multiLevelType w:val="hybridMultilevel"/>
    <w:tmpl w:val="0CAC7E42"/>
    <w:lvl w:ilvl="0" w:tplc="0C09000F">
      <w:start w:val="1"/>
      <w:numFmt w:val="decimal"/>
      <w:lvlText w:val="%1."/>
      <w:lvlJc w:val="left"/>
      <w:pPr>
        <w:ind w:left="720" w:hanging="360"/>
      </w:pPr>
      <w:rPr>
        <w:rFonts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15A1711F"/>
    <w:multiLevelType w:val="hybridMultilevel"/>
    <w:tmpl w:val="3A843562"/>
    <w:lvl w:ilvl="0" w:tplc="70B8BD62">
      <w:start w:val="1"/>
      <w:numFmt w:val="bullet"/>
      <w:pStyle w:val="Bodylist3"/>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15F17AB1"/>
    <w:multiLevelType w:val="hybridMultilevel"/>
    <w:tmpl w:val="745C54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17803538"/>
    <w:multiLevelType w:val="hybridMultilevel"/>
    <w:tmpl w:val="A232E7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1791452D"/>
    <w:multiLevelType w:val="multilevel"/>
    <w:tmpl w:val="1DFA5CC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18261457"/>
    <w:multiLevelType w:val="multilevel"/>
    <w:tmpl w:val="1982D1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183C5C39"/>
    <w:multiLevelType w:val="hybridMultilevel"/>
    <w:tmpl w:val="8B9086B2"/>
    <w:lvl w:ilvl="0" w:tplc="0C09000F">
      <w:start w:val="1"/>
      <w:numFmt w:val="decimal"/>
      <w:lvlText w:val="%1."/>
      <w:lvlJc w:val="left"/>
      <w:pPr>
        <w:ind w:left="1637" w:hanging="360"/>
      </w:pPr>
    </w:lvl>
    <w:lvl w:ilvl="1" w:tplc="0C090019" w:tentative="1">
      <w:start w:val="1"/>
      <w:numFmt w:val="lowerLetter"/>
      <w:lvlText w:val="%2."/>
      <w:lvlJc w:val="left"/>
      <w:pPr>
        <w:ind w:left="2357" w:hanging="360"/>
      </w:pPr>
    </w:lvl>
    <w:lvl w:ilvl="2" w:tplc="0C09001B" w:tentative="1">
      <w:start w:val="1"/>
      <w:numFmt w:val="lowerRoman"/>
      <w:lvlText w:val="%3."/>
      <w:lvlJc w:val="right"/>
      <w:pPr>
        <w:ind w:left="3077" w:hanging="180"/>
      </w:pPr>
    </w:lvl>
    <w:lvl w:ilvl="3" w:tplc="0C09000F" w:tentative="1">
      <w:start w:val="1"/>
      <w:numFmt w:val="decimal"/>
      <w:lvlText w:val="%4."/>
      <w:lvlJc w:val="left"/>
      <w:pPr>
        <w:ind w:left="3797" w:hanging="360"/>
      </w:pPr>
    </w:lvl>
    <w:lvl w:ilvl="4" w:tplc="0C090019" w:tentative="1">
      <w:start w:val="1"/>
      <w:numFmt w:val="lowerLetter"/>
      <w:lvlText w:val="%5."/>
      <w:lvlJc w:val="left"/>
      <w:pPr>
        <w:ind w:left="4517" w:hanging="360"/>
      </w:pPr>
    </w:lvl>
    <w:lvl w:ilvl="5" w:tplc="0C09001B" w:tentative="1">
      <w:start w:val="1"/>
      <w:numFmt w:val="lowerRoman"/>
      <w:lvlText w:val="%6."/>
      <w:lvlJc w:val="right"/>
      <w:pPr>
        <w:ind w:left="5237" w:hanging="180"/>
      </w:pPr>
    </w:lvl>
    <w:lvl w:ilvl="6" w:tplc="0C09000F" w:tentative="1">
      <w:start w:val="1"/>
      <w:numFmt w:val="decimal"/>
      <w:lvlText w:val="%7."/>
      <w:lvlJc w:val="left"/>
      <w:pPr>
        <w:ind w:left="5957" w:hanging="360"/>
      </w:pPr>
    </w:lvl>
    <w:lvl w:ilvl="7" w:tplc="0C090019" w:tentative="1">
      <w:start w:val="1"/>
      <w:numFmt w:val="lowerLetter"/>
      <w:lvlText w:val="%8."/>
      <w:lvlJc w:val="left"/>
      <w:pPr>
        <w:ind w:left="6677" w:hanging="360"/>
      </w:pPr>
    </w:lvl>
    <w:lvl w:ilvl="8" w:tplc="0C09001B" w:tentative="1">
      <w:start w:val="1"/>
      <w:numFmt w:val="lowerRoman"/>
      <w:lvlText w:val="%9."/>
      <w:lvlJc w:val="right"/>
      <w:pPr>
        <w:ind w:left="7397" w:hanging="180"/>
      </w:pPr>
    </w:lvl>
  </w:abstractNum>
  <w:abstractNum w:abstractNumId="51" w15:restartNumberingAfterBreak="0">
    <w:nsid w:val="18EB1E1C"/>
    <w:multiLevelType w:val="hybridMultilevel"/>
    <w:tmpl w:val="7FE63B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98C507D"/>
    <w:multiLevelType w:val="multilevel"/>
    <w:tmpl w:val="C778EB54"/>
    <w:styleLink w:val="StyleNumbered"/>
    <w:lvl w:ilvl="0">
      <w:start w:val="1"/>
      <w:numFmt w:val="decimal"/>
      <w:lvlText w:val="%1."/>
      <w:lvlJc w:val="left"/>
      <w:pPr>
        <w:tabs>
          <w:tab w:val="num" w:pos="340"/>
        </w:tabs>
        <w:ind w:left="340" w:hanging="340"/>
      </w:pPr>
      <w:rPr>
        <w:rFonts w:hint="default"/>
      </w:rPr>
    </w:lvl>
    <w:lvl w:ilvl="1">
      <w:start w:val="1"/>
      <w:numFmt w:val="lowerLetter"/>
      <w:lvlText w:val="%2."/>
      <w:lvlJc w:val="left"/>
      <w:pPr>
        <w:tabs>
          <w:tab w:val="num" w:pos="680"/>
        </w:tabs>
        <w:ind w:left="680" w:hanging="340"/>
      </w:pPr>
      <w:rPr>
        <w:rFonts w:ascii="Arial" w:hAnsi="Arial" w:hint="default"/>
        <w:sz w:val="22"/>
      </w:rPr>
    </w:lvl>
    <w:lvl w:ilvl="2">
      <w:start w:val="1"/>
      <w:numFmt w:val="lowerRoman"/>
      <w:lvlText w:val="%3."/>
      <w:lvlJc w:val="left"/>
      <w:pPr>
        <w:tabs>
          <w:tab w:val="num" w:pos="1021"/>
        </w:tabs>
        <w:ind w:left="1021" w:hanging="341"/>
      </w:pPr>
      <w:rPr>
        <w:rFonts w:hint="default"/>
      </w:rPr>
    </w:lvl>
    <w:lvl w:ilvl="3">
      <w:start w:val="1"/>
      <w:numFmt w:val="decimal"/>
      <w:lvlText w:val="%4."/>
      <w:lvlJc w:val="left"/>
      <w:pPr>
        <w:tabs>
          <w:tab w:val="num" w:pos="1361"/>
        </w:tabs>
        <w:ind w:left="1361" w:hanging="340"/>
      </w:pPr>
      <w:rPr>
        <w:rFonts w:hint="default"/>
      </w:rPr>
    </w:lvl>
    <w:lvl w:ilvl="4">
      <w:start w:val="1"/>
      <w:numFmt w:val="lowerLetter"/>
      <w:lvlText w:val="%5."/>
      <w:lvlJc w:val="left"/>
      <w:pPr>
        <w:tabs>
          <w:tab w:val="num" w:pos="1701"/>
        </w:tabs>
        <w:ind w:left="1701" w:hanging="340"/>
      </w:pPr>
      <w:rPr>
        <w:rFonts w:hint="default"/>
      </w:rPr>
    </w:lvl>
    <w:lvl w:ilvl="5">
      <w:start w:val="1"/>
      <w:numFmt w:val="none"/>
      <w:lvlText w:val="%6"/>
      <w:lvlJc w:val="right"/>
      <w:pPr>
        <w:tabs>
          <w:tab w:val="num" w:pos="4320"/>
        </w:tabs>
        <w:ind w:left="4320" w:hanging="180"/>
      </w:pPr>
      <w:rPr>
        <w:rFonts w:hint="default"/>
      </w:rPr>
    </w:lvl>
    <w:lvl w:ilvl="6">
      <w:start w:val="1"/>
      <w:numFmt w:val="none"/>
      <w:lvlText w:val="%7"/>
      <w:lvlJc w:val="left"/>
      <w:pPr>
        <w:tabs>
          <w:tab w:val="num" w:pos="5040"/>
        </w:tabs>
        <w:ind w:left="5040" w:hanging="360"/>
      </w:pPr>
      <w:rPr>
        <w:rFonts w:hint="default"/>
      </w:rPr>
    </w:lvl>
    <w:lvl w:ilvl="7">
      <w:start w:val="1"/>
      <w:numFmt w:val="none"/>
      <w:lvlText w:val="%8"/>
      <w:lvlJc w:val="left"/>
      <w:pPr>
        <w:tabs>
          <w:tab w:val="num" w:pos="5760"/>
        </w:tabs>
        <w:ind w:left="5760" w:hanging="360"/>
      </w:pPr>
      <w:rPr>
        <w:rFonts w:hint="default"/>
      </w:rPr>
    </w:lvl>
    <w:lvl w:ilvl="8">
      <w:start w:val="1"/>
      <w:numFmt w:val="none"/>
      <w:lvlText w:val="%9"/>
      <w:lvlJc w:val="right"/>
      <w:pPr>
        <w:tabs>
          <w:tab w:val="num" w:pos="6480"/>
        </w:tabs>
        <w:ind w:left="6480" w:hanging="180"/>
      </w:pPr>
      <w:rPr>
        <w:rFonts w:hint="default"/>
      </w:rPr>
    </w:lvl>
  </w:abstractNum>
  <w:abstractNum w:abstractNumId="53" w15:restartNumberingAfterBreak="0">
    <w:nsid w:val="1A4E610B"/>
    <w:multiLevelType w:val="multilevel"/>
    <w:tmpl w:val="0B76EB08"/>
    <w:lvl w:ilvl="0">
      <w:start w:val="1"/>
      <w:numFmt w:val="decimal"/>
      <w:pStyle w:val="ListNumber"/>
      <w:lvlText w:val="%1."/>
      <w:lvlJc w:val="left"/>
      <w:pPr>
        <w:tabs>
          <w:tab w:val="num" w:pos="0"/>
        </w:tabs>
        <w:ind w:left="425" w:hanging="425"/>
      </w:pPr>
      <w:rPr>
        <w:rFonts w:hint="default"/>
      </w:rPr>
    </w:lvl>
    <w:lvl w:ilvl="1">
      <w:start w:val="1"/>
      <w:numFmt w:val="lowerLetter"/>
      <w:pStyle w:val="ListNumber2"/>
      <w:lvlText w:val="%2."/>
      <w:lvlJc w:val="left"/>
      <w:pPr>
        <w:tabs>
          <w:tab w:val="num" w:pos="850"/>
        </w:tabs>
        <w:ind w:left="850" w:hanging="425"/>
      </w:pPr>
      <w:rPr>
        <w:rFonts w:hint="default"/>
      </w:rPr>
    </w:lvl>
    <w:lvl w:ilvl="2">
      <w:start w:val="1"/>
      <w:numFmt w:val="lowerRoman"/>
      <w:pStyle w:val="ListNumber3"/>
      <w:lvlText w:val="%3."/>
      <w:lvlJc w:val="left"/>
      <w:pPr>
        <w:tabs>
          <w:tab w:val="num" w:pos="1275"/>
        </w:tabs>
        <w:ind w:left="1275" w:hanging="425"/>
      </w:pPr>
      <w:rPr>
        <w:rFonts w:hint="default"/>
      </w:rPr>
    </w:lvl>
    <w:lvl w:ilvl="3">
      <w:start w:val="1"/>
      <w:numFmt w:val="upperLetter"/>
      <w:pStyle w:val="ListNumber4"/>
      <w:lvlText w:val="%4."/>
      <w:lvlJc w:val="left"/>
      <w:pPr>
        <w:tabs>
          <w:tab w:val="num" w:pos="1700"/>
        </w:tabs>
        <w:ind w:left="1700" w:hanging="425"/>
      </w:pPr>
      <w:rPr>
        <w:rFonts w:hint="default"/>
      </w:rPr>
    </w:lvl>
    <w:lvl w:ilvl="4">
      <w:start w:val="1"/>
      <w:numFmt w:val="upperRoman"/>
      <w:pStyle w:val="ListNumber5"/>
      <w:lvlText w:val="%5."/>
      <w:lvlJc w:val="left"/>
      <w:pPr>
        <w:tabs>
          <w:tab w:val="num" w:pos="2125"/>
        </w:tabs>
        <w:ind w:left="2125" w:hanging="425"/>
      </w:pPr>
      <w:rPr>
        <w:rFonts w:hint="default"/>
      </w:rPr>
    </w:lvl>
    <w:lvl w:ilvl="5">
      <w:start w:val="1"/>
      <w:numFmt w:val="decimal"/>
      <w:pStyle w:val="ListNumber6"/>
      <w:lvlText w:val="%6."/>
      <w:lvlJc w:val="left"/>
      <w:pPr>
        <w:tabs>
          <w:tab w:val="num" w:pos="2550"/>
        </w:tabs>
        <w:ind w:left="2550" w:hanging="425"/>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54" w15:restartNumberingAfterBreak="0">
    <w:nsid w:val="1A513E8F"/>
    <w:multiLevelType w:val="multilevel"/>
    <w:tmpl w:val="E9B44B6A"/>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55" w15:restartNumberingAfterBreak="0">
    <w:nsid w:val="1AD935CB"/>
    <w:multiLevelType w:val="multilevel"/>
    <w:tmpl w:val="D8EEA180"/>
    <w:lvl w:ilvl="0">
      <w:start w:val="1"/>
      <w:numFmt w:val="bullet"/>
      <w:lvlText w:val=""/>
      <w:lvlJc w:val="left"/>
      <w:pPr>
        <w:ind w:left="1440" w:hanging="360"/>
      </w:pPr>
      <w:rPr>
        <w:rFonts w:ascii="Symbol" w:hAnsi="Symbol" w:hint="default"/>
      </w:rPr>
    </w:lvl>
    <w:lvl w:ilvl="1">
      <w:start w:val="1"/>
      <w:numFmt w:val="bullet"/>
      <w:lvlText w:val=""/>
      <w:lvlJc w:val="left"/>
      <w:pPr>
        <w:ind w:left="785" w:hanging="360"/>
      </w:pPr>
      <w:rPr>
        <w:rFonts w:ascii="Symbol" w:hAnsi="Symbol" w:hint="default"/>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6" w15:restartNumberingAfterBreak="0">
    <w:nsid w:val="1AFB373D"/>
    <w:multiLevelType w:val="hybridMultilevel"/>
    <w:tmpl w:val="A31ABA0E"/>
    <w:lvl w:ilvl="0" w:tplc="0C090001">
      <w:start w:val="1"/>
      <w:numFmt w:val="bullet"/>
      <w:lvlText w:val=""/>
      <w:lvlJc w:val="left"/>
      <w:pPr>
        <w:ind w:left="757" w:hanging="360"/>
      </w:pPr>
      <w:rPr>
        <w:rFonts w:ascii="Symbol" w:hAnsi="Symbol" w:hint="default"/>
      </w:rPr>
    </w:lvl>
    <w:lvl w:ilvl="1" w:tplc="0C090003" w:tentative="1">
      <w:start w:val="1"/>
      <w:numFmt w:val="bullet"/>
      <w:lvlText w:val="o"/>
      <w:lvlJc w:val="left"/>
      <w:pPr>
        <w:ind w:left="1477" w:hanging="360"/>
      </w:pPr>
      <w:rPr>
        <w:rFonts w:ascii="Courier New" w:hAnsi="Courier New" w:cs="Courier New" w:hint="default"/>
      </w:rPr>
    </w:lvl>
    <w:lvl w:ilvl="2" w:tplc="0C090005" w:tentative="1">
      <w:start w:val="1"/>
      <w:numFmt w:val="bullet"/>
      <w:lvlText w:val=""/>
      <w:lvlJc w:val="left"/>
      <w:pPr>
        <w:ind w:left="2197" w:hanging="360"/>
      </w:pPr>
      <w:rPr>
        <w:rFonts w:ascii="Wingdings" w:hAnsi="Wingdings" w:hint="default"/>
      </w:rPr>
    </w:lvl>
    <w:lvl w:ilvl="3" w:tplc="0C090001" w:tentative="1">
      <w:start w:val="1"/>
      <w:numFmt w:val="bullet"/>
      <w:lvlText w:val=""/>
      <w:lvlJc w:val="left"/>
      <w:pPr>
        <w:ind w:left="2917" w:hanging="360"/>
      </w:pPr>
      <w:rPr>
        <w:rFonts w:ascii="Symbol" w:hAnsi="Symbol" w:hint="default"/>
      </w:rPr>
    </w:lvl>
    <w:lvl w:ilvl="4" w:tplc="0C090003" w:tentative="1">
      <w:start w:val="1"/>
      <w:numFmt w:val="bullet"/>
      <w:lvlText w:val="o"/>
      <w:lvlJc w:val="left"/>
      <w:pPr>
        <w:ind w:left="3637" w:hanging="360"/>
      </w:pPr>
      <w:rPr>
        <w:rFonts w:ascii="Courier New" w:hAnsi="Courier New" w:cs="Courier New" w:hint="default"/>
      </w:rPr>
    </w:lvl>
    <w:lvl w:ilvl="5" w:tplc="0C090005" w:tentative="1">
      <w:start w:val="1"/>
      <w:numFmt w:val="bullet"/>
      <w:lvlText w:val=""/>
      <w:lvlJc w:val="left"/>
      <w:pPr>
        <w:ind w:left="4357" w:hanging="360"/>
      </w:pPr>
      <w:rPr>
        <w:rFonts w:ascii="Wingdings" w:hAnsi="Wingdings" w:hint="default"/>
      </w:rPr>
    </w:lvl>
    <w:lvl w:ilvl="6" w:tplc="0C090001" w:tentative="1">
      <w:start w:val="1"/>
      <w:numFmt w:val="bullet"/>
      <w:lvlText w:val=""/>
      <w:lvlJc w:val="left"/>
      <w:pPr>
        <w:ind w:left="5077" w:hanging="360"/>
      </w:pPr>
      <w:rPr>
        <w:rFonts w:ascii="Symbol" w:hAnsi="Symbol" w:hint="default"/>
      </w:rPr>
    </w:lvl>
    <w:lvl w:ilvl="7" w:tplc="0C090003" w:tentative="1">
      <w:start w:val="1"/>
      <w:numFmt w:val="bullet"/>
      <w:lvlText w:val="o"/>
      <w:lvlJc w:val="left"/>
      <w:pPr>
        <w:ind w:left="5797" w:hanging="360"/>
      </w:pPr>
      <w:rPr>
        <w:rFonts w:ascii="Courier New" w:hAnsi="Courier New" w:cs="Courier New" w:hint="default"/>
      </w:rPr>
    </w:lvl>
    <w:lvl w:ilvl="8" w:tplc="0C090005" w:tentative="1">
      <w:start w:val="1"/>
      <w:numFmt w:val="bullet"/>
      <w:lvlText w:val=""/>
      <w:lvlJc w:val="left"/>
      <w:pPr>
        <w:ind w:left="6517" w:hanging="360"/>
      </w:pPr>
      <w:rPr>
        <w:rFonts w:ascii="Wingdings" w:hAnsi="Wingdings" w:hint="default"/>
      </w:rPr>
    </w:lvl>
  </w:abstractNum>
  <w:abstractNum w:abstractNumId="57" w15:restartNumberingAfterBreak="0">
    <w:nsid w:val="1B247881"/>
    <w:multiLevelType w:val="hybridMultilevel"/>
    <w:tmpl w:val="BCC20F78"/>
    <w:lvl w:ilvl="0" w:tplc="E496F5F2">
      <w:start w:val="27"/>
      <w:numFmt w:val="bullet"/>
      <w:lvlText w:val=""/>
      <w:lvlJc w:val="left"/>
      <w:pPr>
        <w:ind w:left="644"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8" w15:restartNumberingAfterBreak="0">
    <w:nsid w:val="1B524F5C"/>
    <w:multiLevelType w:val="hybridMultilevel"/>
    <w:tmpl w:val="49FEE3FA"/>
    <w:lvl w:ilvl="0" w:tplc="0C09000F">
      <w:start w:val="1"/>
      <w:numFmt w:val="decimal"/>
      <w:lvlText w:val="%1."/>
      <w:lvlJc w:val="left"/>
      <w:pPr>
        <w:ind w:left="720" w:hanging="360"/>
      </w:pPr>
      <w:rPr>
        <w:rFonts w:hint="default"/>
      </w:rPr>
    </w:lvl>
    <w:lvl w:ilvl="1" w:tplc="0C09000F">
      <w:start w:val="1"/>
      <w:numFmt w:val="decimal"/>
      <w:lvlText w:val="%2."/>
      <w:lvlJc w:val="left"/>
      <w:pPr>
        <w:ind w:left="1440" w:hanging="360"/>
      </w:pPr>
      <w:rPr>
        <w:rFonts w:hint="default"/>
      </w:rPr>
    </w:lvl>
    <w:lvl w:ilvl="2" w:tplc="5D12E18C">
      <w:start w:val="1"/>
      <w:numFmt w:val="lowerRoman"/>
      <w:lvlText w:val="%3."/>
      <w:lvlJc w:val="left"/>
      <w:pPr>
        <w:ind w:left="2520" w:hanging="720"/>
      </w:pPr>
      <w:rPr>
        <w:rFont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B5E1CC4"/>
    <w:multiLevelType w:val="hybridMultilevel"/>
    <w:tmpl w:val="83FA89D4"/>
    <w:lvl w:ilvl="0" w:tplc="B1FC90FA">
      <w:start w:val="1"/>
      <w:numFmt w:val="decimal"/>
      <w:lvlText w:val="%1."/>
      <w:lvlJc w:val="left"/>
      <w:pPr>
        <w:ind w:left="853" w:hanging="360"/>
      </w:pPr>
      <w:rPr>
        <w:rFonts w:cs="Times New Roman" w:hint="default"/>
      </w:rPr>
    </w:lvl>
    <w:lvl w:ilvl="1" w:tplc="0C090019" w:tentative="1">
      <w:start w:val="1"/>
      <w:numFmt w:val="lowerLetter"/>
      <w:lvlText w:val="%2."/>
      <w:lvlJc w:val="left"/>
      <w:pPr>
        <w:ind w:left="1573" w:hanging="360"/>
      </w:pPr>
    </w:lvl>
    <w:lvl w:ilvl="2" w:tplc="0C09001B" w:tentative="1">
      <w:start w:val="1"/>
      <w:numFmt w:val="lowerRoman"/>
      <w:lvlText w:val="%3."/>
      <w:lvlJc w:val="right"/>
      <w:pPr>
        <w:ind w:left="2293" w:hanging="180"/>
      </w:pPr>
    </w:lvl>
    <w:lvl w:ilvl="3" w:tplc="0C09000F" w:tentative="1">
      <w:start w:val="1"/>
      <w:numFmt w:val="decimal"/>
      <w:lvlText w:val="%4."/>
      <w:lvlJc w:val="left"/>
      <w:pPr>
        <w:ind w:left="3013" w:hanging="360"/>
      </w:pPr>
    </w:lvl>
    <w:lvl w:ilvl="4" w:tplc="0C090019" w:tentative="1">
      <w:start w:val="1"/>
      <w:numFmt w:val="lowerLetter"/>
      <w:lvlText w:val="%5."/>
      <w:lvlJc w:val="left"/>
      <w:pPr>
        <w:ind w:left="3733" w:hanging="360"/>
      </w:pPr>
    </w:lvl>
    <w:lvl w:ilvl="5" w:tplc="0C09001B" w:tentative="1">
      <w:start w:val="1"/>
      <w:numFmt w:val="lowerRoman"/>
      <w:lvlText w:val="%6."/>
      <w:lvlJc w:val="right"/>
      <w:pPr>
        <w:ind w:left="4453" w:hanging="180"/>
      </w:pPr>
    </w:lvl>
    <w:lvl w:ilvl="6" w:tplc="0C09000F" w:tentative="1">
      <w:start w:val="1"/>
      <w:numFmt w:val="decimal"/>
      <w:lvlText w:val="%7."/>
      <w:lvlJc w:val="left"/>
      <w:pPr>
        <w:ind w:left="5173" w:hanging="360"/>
      </w:pPr>
    </w:lvl>
    <w:lvl w:ilvl="7" w:tplc="0C090019" w:tentative="1">
      <w:start w:val="1"/>
      <w:numFmt w:val="lowerLetter"/>
      <w:lvlText w:val="%8."/>
      <w:lvlJc w:val="left"/>
      <w:pPr>
        <w:ind w:left="5893" w:hanging="360"/>
      </w:pPr>
    </w:lvl>
    <w:lvl w:ilvl="8" w:tplc="0C09001B" w:tentative="1">
      <w:start w:val="1"/>
      <w:numFmt w:val="lowerRoman"/>
      <w:lvlText w:val="%9."/>
      <w:lvlJc w:val="right"/>
      <w:pPr>
        <w:ind w:left="6613" w:hanging="180"/>
      </w:pPr>
    </w:lvl>
  </w:abstractNum>
  <w:abstractNum w:abstractNumId="60" w15:restartNumberingAfterBreak="0">
    <w:nsid w:val="1B780A8F"/>
    <w:multiLevelType w:val="hybridMultilevel"/>
    <w:tmpl w:val="7E447D7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1CE10AF8"/>
    <w:multiLevelType w:val="hybridMultilevel"/>
    <w:tmpl w:val="B4C0CF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1CF7703F"/>
    <w:multiLevelType w:val="hybridMultilevel"/>
    <w:tmpl w:val="D26E4CF8"/>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3" w15:restartNumberingAfterBreak="0">
    <w:nsid w:val="1D737170"/>
    <w:multiLevelType w:val="multilevel"/>
    <w:tmpl w:val="88B4D9D6"/>
    <w:styleLink w:val="ListAlpha"/>
    <w:lvl w:ilvl="0">
      <w:start w:val="1"/>
      <w:numFmt w:val="lowerLetter"/>
      <w:lvlText w:val="%1."/>
      <w:lvlJc w:val="left"/>
      <w:pPr>
        <w:tabs>
          <w:tab w:val="num" w:pos="425"/>
        </w:tabs>
        <w:ind w:left="425" w:hanging="425"/>
      </w:pPr>
      <w:rPr>
        <w:rFonts w:hint="default"/>
      </w:rPr>
    </w:lvl>
    <w:lvl w:ilvl="1">
      <w:start w:val="1"/>
      <w:numFmt w:val="lowerRoman"/>
      <w:lvlText w:val="%2."/>
      <w:lvlJc w:val="left"/>
      <w:pPr>
        <w:tabs>
          <w:tab w:val="num" w:pos="850"/>
        </w:tabs>
        <w:ind w:left="850" w:hanging="425"/>
      </w:pPr>
      <w:rPr>
        <w:rFonts w:hint="default"/>
      </w:rPr>
    </w:lvl>
    <w:lvl w:ilvl="2">
      <w:start w:val="1"/>
      <w:numFmt w:val="decimal"/>
      <w:lvlText w:val="%3."/>
      <w:lvlJc w:val="left"/>
      <w:pPr>
        <w:tabs>
          <w:tab w:val="num" w:pos="1275"/>
        </w:tabs>
        <w:ind w:left="1275" w:hanging="425"/>
      </w:pPr>
      <w:rPr>
        <w:rFonts w:hint="default"/>
      </w:rPr>
    </w:lvl>
    <w:lvl w:ilvl="3">
      <w:start w:val="1"/>
      <w:numFmt w:val="upperLetter"/>
      <w:lvlText w:val="%4."/>
      <w:lvlJc w:val="left"/>
      <w:pPr>
        <w:tabs>
          <w:tab w:val="num" w:pos="1700"/>
        </w:tabs>
        <w:ind w:left="1700" w:hanging="425"/>
      </w:pPr>
      <w:rPr>
        <w:rFonts w:hint="default"/>
      </w:rPr>
    </w:lvl>
    <w:lvl w:ilvl="4">
      <w:start w:val="1"/>
      <w:numFmt w:val="upperRoman"/>
      <w:lvlText w:val="%5."/>
      <w:lvlJc w:val="left"/>
      <w:pPr>
        <w:tabs>
          <w:tab w:val="num" w:pos="2125"/>
        </w:tabs>
        <w:ind w:left="2125" w:hanging="425"/>
      </w:pPr>
      <w:rPr>
        <w:rFonts w:hint="default"/>
      </w:rPr>
    </w:lvl>
    <w:lvl w:ilvl="5">
      <w:start w:val="1"/>
      <w:numFmt w:val="lowerLetter"/>
      <w:lvlText w:val="%6."/>
      <w:lvlJc w:val="left"/>
      <w:pPr>
        <w:tabs>
          <w:tab w:val="num" w:pos="2550"/>
        </w:tabs>
        <w:ind w:left="2550" w:hanging="425"/>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64" w15:restartNumberingAfterBreak="0">
    <w:nsid w:val="1E002126"/>
    <w:multiLevelType w:val="multilevel"/>
    <w:tmpl w:val="194CC966"/>
    <w:lvl w:ilvl="0">
      <w:start w:val="1"/>
      <w:numFmt w:val="bullet"/>
      <w:pStyle w:val="PFBulletMargin"/>
      <w:lvlText w:val=""/>
      <w:lvlJc w:val="left"/>
      <w:pPr>
        <w:tabs>
          <w:tab w:val="num" w:pos="924"/>
        </w:tabs>
        <w:ind w:left="924" w:hanging="924"/>
      </w:pPr>
      <w:rPr>
        <w:rFonts w:ascii="Symbol" w:hAnsi="Symbol" w:hint="default"/>
        <w:b w:val="0"/>
        <w:i w:val="0"/>
        <w:color w:val="auto"/>
        <w:sz w:val="16"/>
      </w:rPr>
    </w:lvl>
    <w:lvl w:ilvl="1">
      <w:start w:val="1"/>
      <w:numFmt w:val="bullet"/>
      <w:pStyle w:val="PFBulletLevel1"/>
      <w:lvlText w:val=""/>
      <w:lvlJc w:val="left"/>
      <w:pPr>
        <w:tabs>
          <w:tab w:val="num" w:pos="1848"/>
        </w:tabs>
        <w:ind w:left="1848" w:hanging="924"/>
      </w:pPr>
      <w:rPr>
        <w:rFonts w:ascii="Symbol" w:hAnsi="Symbol" w:hint="default"/>
        <w:b w:val="0"/>
        <w:i w:val="0"/>
        <w:color w:val="auto"/>
        <w:sz w:val="16"/>
      </w:rPr>
    </w:lvl>
    <w:lvl w:ilvl="2">
      <w:start w:val="1"/>
      <w:numFmt w:val="bullet"/>
      <w:pStyle w:val="PFBulletLevel2"/>
      <w:lvlText w:val=""/>
      <w:lvlJc w:val="left"/>
      <w:pPr>
        <w:tabs>
          <w:tab w:val="num" w:pos="2773"/>
        </w:tabs>
        <w:ind w:left="2773" w:hanging="925"/>
      </w:pPr>
      <w:rPr>
        <w:rFonts w:ascii="Symbol" w:hAnsi="Symbol" w:hint="default"/>
        <w:b w:val="0"/>
        <w:i w:val="0"/>
        <w:color w:val="auto"/>
        <w:sz w:val="16"/>
      </w:rPr>
    </w:lvl>
    <w:lvl w:ilvl="3">
      <w:start w:val="1"/>
      <w:numFmt w:val="bullet"/>
      <w:pStyle w:val="PFBulletLevel3"/>
      <w:lvlText w:val=""/>
      <w:lvlJc w:val="left"/>
      <w:pPr>
        <w:tabs>
          <w:tab w:val="num" w:pos="3697"/>
        </w:tabs>
        <w:ind w:left="3697" w:hanging="924"/>
      </w:pPr>
      <w:rPr>
        <w:rFonts w:ascii="Symbol" w:hAnsi="Symbol" w:hint="default"/>
        <w:b w:val="0"/>
        <w:i w:val="0"/>
        <w:color w:val="auto"/>
        <w:sz w:val="16"/>
      </w:rPr>
    </w:lvl>
    <w:lvl w:ilvl="4">
      <w:start w:val="1"/>
      <w:numFmt w:val="none"/>
      <w:suff w:val="nothing"/>
      <w:lvlText w:val=""/>
      <w:lvlJc w:val="left"/>
      <w:pPr>
        <w:ind w:left="2268" w:firstLine="0"/>
      </w:pPr>
      <w:rPr>
        <w:rFonts w:hint="default"/>
      </w:rPr>
    </w:lvl>
    <w:lvl w:ilvl="5">
      <w:start w:val="1"/>
      <w:numFmt w:val="none"/>
      <w:suff w:val="nothing"/>
      <w:lvlText w:val=""/>
      <w:lvlJc w:val="left"/>
      <w:pPr>
        <w:ind w:left="2268" w:firstLine="0"/>
      </w:pPr>
      <w:rPr>
        <w:rFonts w:hint="default"/>
      </w:rPr>
    </w:lvl>
    <w:lvl w:ilvl="6">
      <w:start w:val="1"/>
      <w:numFmt w:val="none"/>
      <w:lvlText w:val="%7."/>
      <w:lvlJc w:val="left"/>
      <w:pPr>
        <w:tabs>
          <w:tab w:val="num" w:pos="4788"/>
        </w:tabs>
        <w:ind w:left="4788" w:hanging="360"/>
      </w:pPr>
      <w:rPr>
        <w:rFonts w:hint="default"/>
      </w:rPr>
    </w:lvl>
    <w:lvl w:ilvl="7">
      <w:start w:val="1"/>
      <w:numFmt w:val="lowerLetter"/>
      <w:lvlText w:val="%8."/>
      <w:lvlJc w:val="left"/>
      <w:pPr>
        <w:tabs>
          <w:tab w:val="num" w:pos="5148"/>
        </w:tabs>
        <w:ind w:left="5148" w:hanging="360"/>
      </w:pPr>
      <w:rPr>
        <w:rFonts w:hint="default"/>
      </w:rPr>
    </w:lvl>
    <w:lvl w:ilvl="8">
      <w:start w:val="1"/>
      <w:numFmt w:val="lowerRoman"/>
      <w:lvlText w:val="%9."/>
      <w:lvlJc w:val="left"/>
      <w:pPr>
        <w:tabs>
          <w:tab w:val="num" w:pos="5508"/>
        </w:tabs>
        <w:ind w:left="5508" w:hanging="360"/>
      </w:pPr>
      <w:rPr>
        <w:rFonts w:hint="default"/>
      </w:rPr>
    </w:lvl>
  </w:abstractNum>
  <w:abstractNum w:abstractNumId="65" w15:restartNumberingAfterBreak="0">
    <w:nsid w:val="1E36437C"/>
    <w:multiLevelType w:val="hybridMultilevel"/>
    <w:tmpl w:val="6B6455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1E7A5E8B"/>
    <w:multiLevelType w:val="hybridMultilevel"/>
    <w:tmpl w:val="64AA2D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1F496541"/>
    <w:multiLevelType w:val="hybridMultilevel"/>
    <w:tmpl w:val="142E7A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1F4D0788"/>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69" w15:restartNumberingAfterBreak="0">
    <w:nsid w:val="1FA53F22"/>
    <w:multiLevelType w:val="multilevel"/>
    <w:tmpl w:val="2724FD34"/>
    <w:styleLink w:val="Schedule"/>
    <w:lvl w:ilvl="0">
      <w:start w:val="1"/>
      <w:numFmt w:val="decimal"/>
      <w:pStyle w:val="ScheduleL1"/>
      <w:suff w:val="nothing"/>
      <w:lvlText w:val="Schedule %1"/>
      <w:lvlJc w:val="left"/>
      <w:pPr>
        <w:ind w:left="0" w:firstLine="0"/>
      </w:pPr>
      <w:rPr>
        <w:rFonts w:hint="default"/>
      </w:rPr>
    </w:lvl>
    <w:lvl w:ilvl="1">
      <w:start w:val="1"/>
      <w:numFmt w:val="decimal"/>
      <w:pStyle w:val="ScheduleL2"/>
      <w:lvlText w:val="%2."/>
      <w:lvlJc w:val="left"/>
      <w:pPr>
        <w:ind w:left="680" w:hanging="680"/>
      </w:pPr>
      <w:rPr>
        <w:rFonts w:hint="default"/>
      </w:rPr>
    </w:lvl>
    <w:lvl w:ilvl="2">
      <w:start w:val="1"/>
      <w:numFmt w:val="decimal"/>
      <w:pStyle w:val="ScheduleL3"/>
      <w:lvlText w:val="%2.%3"/>
      <w:lvlJc w:val="left"/>
      <w:pPr>
        <w:ind w:left="680" w:hanging="680"/>
      </w:pPr>
      <w:rPr>
        <w:rFonts w:hint="default"/>
      </w:rPr>
    </w:lvl>
    <w:lvl w:ilvl="3">
      <w:start w:val="1"/>
      <w:numFmt w:val="lowerLetter"/>
      <w:pStyle w:val="ScheduleL4"/>
      <w:lvlText w:val="(%4)"/>
      <w:lvlJc w:val="left"/>
      <w:pPr>
        <w:ind w:left="1361" w:hanging="681"/>
      </w:pPr>
      <w:rPr>
        <w:rFonts w:hint="default"/>
      </w:rPr>
    </w:lvl>
    <w:lvl w:ilvl="4">
      <w:start w:val="1"/>
      <w:numFmt w:val="lowerRoman"/>
      <w:pStyle w:val="ScheduleL5"/>
      <w:lvlText w:val="(%5)"/>
      <w:lvlJc w:val="left"/>
      <w:pPr>
        <w:ind w:left="2041" w:hanging="680"/>
      </w:pPr>
      <w:rPr>
        <w:rFonts w:hint="default"/>
      </w:rPr>
    </w:lvl>
    <w:lvl w:ilvl="5">
      <w:start w:val="1"/>
      <w:numFmt w:val="upperLetter"/>
      <w:pStyle w:val="ScheduleL6"/>
      <w:lvlText w:val="(%6)"/>
      <w:lvlJc w:val="left"/>
      <w:pPr>
        <w:ind w:left="2722" w:hanging="681"/>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70" w15:restartNumberingAfterBreak="0">
    <w:nsid w:val="1FF35538"/>
    <w:multiLevelType w:val="hybridMultilevel"/>
    <w:tmpl w:val="2F7C1E7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20187DFA"/>
    <w:multiLevelType w:val="hybridMultilevel"/>
    <w:tmpl w:val="4C1A07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21045532"/>
    <w:multiLevelType w:val="hybridMultilevel"/>
    <w:tmpl w:val="475277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21062305"/>
    <w:multiLevelType w:val="hybridMultilevel"/>
    <w:tmpl w:val="4B509C4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74" w15:restartNumberingAfterBreak="0">
    <w:nsid w:val="230355CE"/>
    <w:multiLevelType w:val="hybridMultilevel"/>
    <w:tmpl w:val="FFFFFFFF"/>
    <w:lvl w:ilvl="0" w:tplc="041C1FC0">
      <w:start w:val="1"/>
      <w:numFmt w:val="bullet"/>
      <w:lvlText w:val=""/>
      <w:lvlJc w:val="left"/>
      <w:pPr>
        <w:ind w:left="720" w:hanging="360"/>
      </w:pPr>
      <w:rPr>
        <w:rFonts w:ascii="Symbol" w:hAnsi="Symbol" w:hint="default"/>
      </w:rPr>
    </w:lvl>
    <w:lvl w:ilvl="1" w:tplc="7B723076">
      <w:start w:val="1"/>
      <w:numFmt w:val="bullet"/>
      <w:lvlText w:val="o"/>
      <w:lvlJc w:val="left"/>
      <w:pPr>
        <w:ind w:left="1440" w:hanging="360"/>
      </w:pPr>
      <w:rPr>
        <w:rFonts w:ascii="Courier New" w:hAnsi="Courier New" w:hint="default"/>
      </w:rPr>
    </w:lvl>
    <w:lvl w:ilvl="2" w:tplc="88546B12">
      <w:start w:val="1"/>
      <w:numFmt w:val="bullet"/>
      <w:lvlText w:val=""/>
      <w:lvlJc w:val="left"/>
      <w:pPr>
        <w:ind w:left="2160" w:hanging="360"/>
      </w:pPr>
      <w:rPr>
        <w:rFonts w:ascii="Wingdings" w:hAnsi="Wingdings" w:hint="default"/>
      </w:rPr>
    </w:lvl>
    <w:lvl w:ilvl="3" w:tplc="F356CF00">
      <w:start w:val="1"/>
      <w:numFmt w:val="bullet"/>
      <w:lvlText w:val=""/>
      <w:lvlJc w:val="left"/>
      <w:pPr>
        <w:ind w:left="2880" w:hanging="360"/>
      </w:pPr>
      <w:rPr>
        <w:rFonts w:ascii="Symbol" w:hAnsi="Symbol" w:hint="default"/>
      </w:rPr>
    </w:lvl>
    <w:lvl w:ilvl="4" w:tplc="C9821222">
      <w:start w:val="1"/>
      <w:numFmt w:val="bullet"/>
      <w:lvlText w:val="o"/>
      <w:lvlJc w:val="left"/>
      <w:pPr>
        <w:ind w:left="3600" w:hanging="360"/>
      </w:pPr>
      <w:rPr>
        <w:rFonts w:ascii="Courier New" w:hAnsi="Courier New" w:hint="default"/>
      </w:rPr>
    </w:lvl>
    <w:lvl w:ilvl="5" w:tplc="265AAC1A">
      <w:start w:val="1"/>
      <w:numFmt w:val="bullet"/>
      <w:lvlText w:val=""/>
      <w:lvlJc w:val="left"/>
      <w:pPr>
        <w:ind w:left="4320" w:hanging="360"/>
      </w:pPr>
      <w:rPr>
        <w:rFonts w:ascii="Wingdings" w:hAnsi="Wingdings" w:hint="default"/>
      </w:rPr>
    </w:lvl>
    <w:lvl w:ilvl="6" w:tplc="D04231DE">
      <w:start w:val="1"/>
      <w:numFmt w:val="bullet"/>
      <w:lvlText w:val=""/>
      <w:lvlJc w:val="left"/>
      <w:pPr>
        <w:ind w:left="5040" w:hanging="360"/>
      </w:pPr>
      <w:rPr>
        <w:rFonts w:ascii="Symbol" w:hAnsi="Symbol" w:hint="default"/>
      </w:rPr>
    </w:lvl>
    <w:lvl w:ilvl="7" w:tplc="5F64FCE0">
      <w:start w:val="1"/>
      <w:numFmt w:val="bullet"/>
      <w:lvlText w:val="o"/>
      <w:lvlJc w:val="left"/>
      <w:pPr>
        <w:ind w:left="5760" w:hanging="360"/>
      </w:pPr>
      <w:rPr>
        <w:rFonts w:ascii="Courier New" w:hAnsi="Courier New" w:hint="default"/>
      </w:rPr>
    </w:lvl>
    <w:lvl w:ilvl="8" w:tplc="D1928490">
      <w:start w:val="1"/>
      <w:numFmt w:val="bullet"/>
      <w:lvlText w:val=""/>
      <w:lvlJc w:val="left"/>
      <w:pPr>
        <w:ind w:left="6480" w:hanging="360"/>
      </w:pPr>
      <w:rPr>
        <w:rFonts w:ascii="Wingdings" w:hAnsi="Wingdings" w:hint="default"/>
      </w:rPr>
    </w:lvl>
  </w:abstractNum>
  <w:abstractNum w:abstractNumId="75" w15:restartNumberingAfterBreak="0">
    <w:nsid w:val="2419167D"/>
    <w:multiLevelType w:val="hybridMultilevel"/>
    <w:tmpl w:val="0980D9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24E75BD4"/>
    <w:multiLevelType w:val="hybridMultilevel"/>
    <w:tmpl w:val="44CA575C"/>
    <w:lvl w:ilvl="0" w:tplc="ED3CD38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257655FF"/>
    <w:multiLevelType w:val="hybridMultilevel"/>
    <w:tmpl w:val="CD40BD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26357969"/>
    <w:multiLevelType w:val="multilevel"/>
    <w:tmpl w:val="E5245ABA"/>
    <w:lvl w:ilvl="0">
      <w:start w:val="1"/>
      <w:numFmt w:val="bullet"/>
      <w:lvlText w:val=""/>
      <w:lvlJc w:val="left"/>
      <w:pPr>
        <w:tabs>
          <w:tab w:val="num" w:pos="425"/>
        </w:tabs>
        <w:ind w:left="425" w:hanging="425"/>
      </w:pPr>
      <w:rPr>
        <w:rFonts w:ascii="Symbol" w:hAnsi="Symbol" w:hint="default"/>
      </w:rPr>
    </w:lvl>
    <w:lvl w:ilvl="1">
      <w:start w:val="1"/>
      <w:numFmt w:val="bullet"/>
      <w:lvlText w:val="–"/>
      <w:lvlJc w:val="left"/>
      <w:pPr>
        <w:tabs>
          <w:tab w:val="num" w:pos="850"/>
        </w:tabs>
        <w:ind w:left="850" w:hanging="425"/>
      </w:pPr>
      <w:rPr>
        <w:rFonts w:ascii="Arial Rounded MT" w:hAnsi="Arial Rounded MT" w:hint="default"/>
        <w:color w:val="auto"/>
      </w:rPr>
    </w:lvl>
    <w:lvl w:ilvl="2">
      <w:start w:val="1"/>
      <w:numFmt w:val="bullet"/>
      <w:lvlText w:val="-"/>
      <w:lvlJc w:val="left"/>
      <w:pPr>
        <w:tabs>
          <w:tab w:val="num" w:pos="1275"/>
        </w:tabs>
        <w:ind w:left="1275" w:hanging="425"/>
      </w:pPr>
      <w:rPr>
        <w:rFonts w:ascii="Calibri" w:eastAsiaTheme="minorHAnsi" w:hAnsi="Calibri" w:cs="Calibri" w:hint="default"/>
      </w:rPr>
    </w:lvl>
    <w:lvl w:ilvl="3">
      <w:start w:val="1"/>
      <w:numFmt w:val="bullet"/>
      <w:lvlText w:val="–"/>
      <w:lvlJc w:val="left"/>
      <w:pPr>
        <w:tabs>
          <w:tab w:val="num" w:pos="1700"/>
        </w:tabs>
        <w:ind w:left="1700" w:hanging="425"/>
      </w:pPr>
      <w:rPr>
        <w:rFonts w:ascii="Arial Rounded MT" w:hAnsi="Arial Rounded MT" w:hint="default"/>
      </w:rPr>
    </w:lvl>
    <w:lvl w:ilvl="4">
      <w:start w:val="1"/>
      <w:numFmt w:val="bullet"/>
      <w:lvlText w:val=""/>
      <w:lvlJc w:val="left"/>
      <w:pPr>
        <w:tabs>
          <w:tab w:val="num" w:pos="2125"/>
        </w:tabs>
        <w:ind w:left="2125" w:hanging="425"/>
      </w:pPr>
      <w:rPr>
        <w:rFonts w:ascii="Symbol" w:hAnsi="Symbol" w:hint="default"/>
        <w:color w:val="auto"/>
      </w:rPr>
    </w:lvl>
    <w:lvl w:ilvl="5">
      <w:start w:val="1"/>
      <w:numFmt w:val="bullet"/>
      <w:lvlText w:val="–"/>
      <w:lvlJc w:val="left"/>
      <w:pPr>
        <w:tabs>
          <w:tab w:val="num" w:pos="2550"/>
        </w:tabs>
        <w:ind w:left="2550" w:hanging="425"/>
      </w:pPr>
      <w:rPr>
        <w:rFonts w:ascii="Arial Rounded MT" w:hAnsi="Arial Rounded MT" w:hint="default"/>
      </w:rPr>
    </w:lvl>
    <w:lvl w:ilvl="6">
      <w:start w:val="1"/>
      <w:numFmt w:val="none"/>
      <w:lvlText w:val="%7"/>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79" w15:restartNumberingAfterBreak="0">
    <w:nsid w:val="27286C1A"/>
    <w:multiLevelType w:val="hybridMultilevel"/>
    <w:tmpl w:val="E75C3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27B57907"/>
    <w:multiLevelType w:val="multilevel"/>
    <w:tmpl w:val="A906D87A"/>
    <w:styleLink w:val="ListTableBullet"/>
    <w:lvl w:ilvl="0">
      <w:start w:val="1"/>
      <w:numFmt w:val="bullet"/>
      <w:pStyle w:val="TableBullet"/>
      <w:lvlText w:val=""/>
      <w:lvlJc w:val="left"/>
      <w:pPr>
        <w:tabs>
          <w:tab w:val="num" w:pos="397"/>
        </w:tabs>
        <w:ind w:left="397" w:hanging="284"/>
      </w:pPr>
      <w:rPr>
        <w:rFonts w:ascii="Symbol" w:hAnsi="Symbol" w:hint="default"/>
      </w:rPr>
    </w:lvl>
    <w:lvl w:ilvl="1">
      <w:start w:val="1"/>
      <w:numFmt w:val="bullet"/>
      <w:pStyle w:val="TableBullet2"/>
      <w:lvlText w:val="–"/>
      <w:lvlJc w:val="left"/>
      <w:pPr>
        <w:tabs>
          <w:tab w:val="num" w:pos="680"/>
        </w:tabs>
        <w:ind w:left="680" w:hanging="283"/>
      </w:pPr>
      <w:rPr>
        <w:rFonts w:ascii="Arial Rounded MT" w:hAnsi="Arial Rounded MT"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81" w15:restartNumberingAfterBreak="0">
    <w:nsid w:val="2847552C"/>
    <w:multiLevelType w:val="hybridMultilevel"/>
    <w:tmpl w:val="8604B13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2" w15:restartNumberingAfterBreak="0">
    <w:nsid w:val="29973E80"/>
    <w:multiLevelType w:val="multilevel"/>
    <w:tmpl w:val="158E6EC6"/>
    <w:styleLink w:val="ListNbrHeading"/>
    <w:lvl w:ilvl="0">
      <w:start w:val="1"/>
      <w:numFmt w:val="decimal"/>
      <w:pStyle w:val="NbrHeading1"/>
      <w:lvlText w:val="%1."/>
      <w:lvlJc w:val="left"/>
      <w:pPr>
        <w:tabs>
          <w:tab w:val="num" w:pos="1134"/>
        </w:tabs>
        <w:ind w:left="1134" w:hanging="1134"/>
      </w:pPr>
      <w:rPr>
        <w:rFonts w:asciiTheme="majorHAnsi" w:eastAsia="Times New Roman" w:hAnsiTheme="majorHAnsi" w:cstheme="majorBidi"/>
      </w:rPr>
    </w:lvl>
    <w:lvl w:ilvl="1">
      <w:start w:val="1"/>
      <w:numFmt w:val="decimal"/>
      <w:pStyle w:val="NbrHeading2"/>
      <w:lvlText w:val="%1.%2"/>
      <w:lvlJc w:val="left"/>
      <w:pPr>
        <w:tabs>
          <w:tab w:val="num" w:pos="1134"/>
        </w:tabs>
        <w:ind w:left="1134" w:hanging="1134"/>
      </w:pPr>
      <w:rPr>
        <w:rFonts w:hint="default"/>
      </w:rPr>
    </w:lvl>
    <w:lvl w:ilvl="2">
      <w:start w:val="1"/>
      <w:numFmt w:val="decimal"/>
      <w:pStyle w:val="NbrHeading3"/>
      <w:lvlText w:val="%1.%2.%3"/>
      <w:lvlJc w:val="left"/>
      <w:pPr>
        <w:tabs>
          <w:tab w:val="num" w:pos="7939"/>
        </w:tabs>
        <w:ind w:left="7939" w:hanging="1134"/>
      </w:pPr>
      <w:rPr>
        <w:rFonts w:hint="default"/>
      </w:rPr>
    </w:lvl>
    <w:lvl w:ilvl="3">
      <w:start w:val="1"/>
      <w:numFmt w:val="decimal"/>
      <w:pStyle w:val="NbrHeading4"/>
      <w:lvlText w:val="%1.%2.%3.%4"/>
      <w:lvlJc w:val="left"/>
      <w:pPr>
        <w:tabs>
          <w:tab w:val="num" w:pos="2977"/>
        </w:tabs>
        <w:ind w:left="2977" w:hanging="1134"/>
      </w:pPr>
      <w:rPr>
        <w:rFonts w:hint="default"/>
      </w:rPr>
    </w:lvl>
    <w:lvl w:ilvl="4">
      <w:start w:val="1"/>
      <w:numFmt w:val="decimal"/>
      <w:pStyle w:val="NbrHeading5"/>
      <w:lvlText w:val="%1.%2.%3.%4.%5"/>
      <w:lvlJc w:val="left"/>
      <w:pPr>
        <w:tabs>
          <w:tab w:val="num" w:pos="1134"/>
        </w:tabs>
        <w:ind w:left="1134" w:hanging="1134"/>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83" w15:restartNumberingAfterBreak="0">
    <w:nsid w:val="2A0672B2"/>
    <w:multiLevelType w:val="hybridMultilevel"/>
    <w:tmpl w:val="BA8C3C7A"/>
    <w:lvl w:ilvl="0" w:tplc="0C09000F">
      <w:start w:val="1"/>
      <w:numFmt w:val="decimal"/>
      <w:lvlText w:val="%1."/>
      <w:lvlJc w:val="left"/>
      <w:pPr>
        <w:ind w:left="720" w:hanging="360"/>
      </w:pPr>
      <w:rPr>
        <w:rFonts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2A094D9F"/>
    <w:multiLevelType w:val="hybridMultilevel"/>
    <w:tmpl w:val="136C66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2C545F17"/>
    <w:multiLevelType w:val="hybridMultilevel"/>
    <w:tmpl w:val="0AD0380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2C5D2A6D"/>
    <w:multiLevelType w:val="hybridMultilevel"/>
    <w:tmpl w:val="5E848590"/>
    <w:lvl w:ilvl="0" w:tplc="EDDE129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7" w15:restartNumberingAfterBreak="0">
    <w:nsid w:val="2D136071"/>
    <w:multiLevelType w:val="hybridMultilevel"/>
    <w:tmpl w:val="2422A1AC"/>
    <w:lvl w:ilvl="0" w:tplc="0C090001">
      <w:start w:val="1"/>
      <w:numFmt w:val="bullet"/>
      <w:lvlText w:val=""/>
      <w:lvlJc w:val="left"/>
      <w:pPr>
        <w:ind w:left="643" w:hanging="360"/>
      </w:pPr>
      <w:rPr>
        <w:rFonts w:ascii="Symbol" w:hAnsi="Symbol" w:hint="default"/>
      </w:rPr>
    </w:lvl>
    <w:lvl w:ilvl="1" w:tplc="0C090003" w:tentative="1">
      <w:start w:val="1"/>
      <w:numFmt w:val="bullet"/>
      <w:lvlText w:val="o"/>
      <w:lvlJc w:val="left"/>
      <w:pPr>
        <w:ind w:left="2520" w:hanging="360"/>
      </w:pPr>
      <w:rPr>
        <w:rFonts w:ascii="Courier New" w:hAnsi="Courier New" w:cs="Symbol"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Symbol"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Symbol" w:hint="default"/>
      </w:rPr>
    </w:lvl>
    <w:lvl w:ilvl="8" w:tplc="0C090005" w:tentative="1">
      <w:start w:val="1"/>
      <w:numFmt w:val="bullet"/>
      <w:lvlText w:val=""/>
      <w:lvlJc w:val="left"/>
      <w:pPr>
        <w:ind w:left="7560" w:hanging="360"/>
      </w:pPr>
      <w:rPr>
        <w:rFonts w:ascii="Wingdings" w:hAnsi="Wingdings" w:hint="default"/>
      </w:rPr>
    </w:lvl>
  </w:abstractNum>
  <w:abstractNum w:abstractNumId="88" w15:restartNumberingAfterBreak="0">
    <w:nsid w:val="2D597AAF"/>
    <w:multiLevelType w:val="hybridMultilevel"/>
    <w:tmpl w:val="A67EC976"/>
    <w:lvl w:ilvl="0" w:tplc="3CB2E77E">
      <w:start w:val="1"/>
      <w:numFmt w:val="bullet"/>
      <w:lvlText w:val="•"/>
      <w:lvlJc w:val="left"/>
      <w:pPr>
        <w:tabs>
          <w:tab w:val="num" w:pos="720"/>
        </w:tabs>
        <w:ind w:left="720" w:hanging="360"/>
      </w:pPr>
      <w:rPr>
        <w:rFonts w:ascii="Calibri" w:hAnsi="Calibri" w:hint="default"/>
      </w:rPr>
    </w:lvl>
    <w:lvl w:ilvl="1" w:tplc="813EC2BE" w:tentative="1">
      <w:start w:val="1"/>
      <w:numFmt w:val="bullet"/>
      <w:lvlText w:val="•"/>
      <w:lvlJc w:val="left"/>
      <w:pPr>
        <w:tabs>
          <w:tab w:val="num" w:pos="1440"/>
        </w:tabs>
        <w:ind w:left="1440" w:hanging="360"/>
      </w:pPr>
      <w:rPr>
        <w:rFonts w:ascii="Calibri" w:hAnsi="Calibri" w:hint="default"/>
      </w:rPr>
    </w:lvl>
    <w:lvl w:ilvl="2" w:tplc="75082B0E" w:tentative="1">
      <w:start w:val="1"/>
      <w:numFmt w:val="bullet"/>
      <w:lvlText w:val="•"/>
      <w:lvlJc w:val="left"/>
      <w:pPr>
        <w:tabs>
          <w:tab w:val="num" w:pos="2160"/>
        </w:tabs>
        <w:ind w:left="2160" w:hanging="360"/>
      </w:pPr>
      <w:rPr>
        <w:rFonts w:ascii="Calibri" w:hAnsi="Calibri" w:hint="default"/>
      </w:rPr>
    </w:lvl>
    <w:lvl w:ilvl="3" w:tplc="14DC8D52" w:tentative="1">
      <w:start w:val="1"/>
      <w:numFmt w:val="bullet"/>
      <w:lvlText w:val="•"/>
      <w:lvlJc w:val="left"/>
      <w:pPr>
        <w:tabs>
          <w:tab w:val="num" w:pos="2880"/>
        </w:tabs>
        <w:ind w:left="2880" w:hanging="360"/>
      </w:pPr>
      <w:rPr>
        <w:rFonts w:ascii="Calibri" w:hAnsi="Calibri" w:hint="default"/>
      </w:rPr>
    </w:lvl>
    <w:lvl w:ilvl="4" w:tplc="14B606C6" w:tentative="1">
      <w:start w:val="1"/>
      <w:numFmt w:val="bullet"/>
      <w:lvlText w:val="•"/>
      <w:lvlJc w:val="left"/>
      <w:pPr>
        <w:tabs>
          <w:tab w:val="num" w:pos="3600"/>
        </w:tabs>
        <w:ind w:left="3600" w:hanging="360"/>
      </w:pPr>
      <w:rPr>
        <w:rFonts w:ascii="Calibri" w:hAnsi="Calibri" w:hint="default"/>
      </w:rPr>
    </w:lvl>
    <w:lvl w:ilvl="5" w:tplc="1228FFF0" w:tentative="1">
      <w:start w:val="1"/>
      <w:numFmt w:val="bullet"/>
      <w:lvlText w:val="•"/>
      <w:lvlJc w:val="left"/>
      <w:pPr>
        <w:tabs>
          <w:tab w:val="num" w:pos="4320"/>
        </w:tabs>
        <w:ind w:left="4320" w:hanging="360"/>
      </w:pPr>
      <w:rPr>
        <w:rFonts w:ascii="Calibri" w:hAnsi="Calibri" w:hint="default"/>
      </w:rPr>
    </w:lvl>
    <w:lvl w:ilvl="6" w:tplc="20B06C74" w:tentative="1">
      <w:start w:val="1"/>
      <w:numFmt w:val="bullet"/>
      <w:lvlText w:val="•"/>
      <w:lvlJc w:val="left"/>
      <w:pPr>
        <w:tabs>
          <w:tab w:val="num" w:pos="5040"/>
        </w:tabs>
        <w:ind w:left="5040" w:hanging="360"/>
      </w:pPr>
      <w:rPr>
        <w:rFonts w:ascii="Calibri" w:hAnsi="Calibri" w:hint="default"/>
      </w:rPr>
    </w:lvl>
    <w:lvl w:ilvl="7" w:tplc="37B4693E" w:tentative="1">
      <w:start w:val="1"/>
      <w:numFmt w:val="bullet"/>
      <w:lvlText w:val="•"/>
      <w:lvlJc w:val="left"/>
      <w:pPr>
        <w:tabs>
          <w:tab w:val="num" w:pos="5760"/>
        </w:tabs>
        <w:ind w:left="5760" w:hanging="360"/>
      </w:pPr>
      <w:rPr>
        <w:rFonts w:ascii="Calibri" w:hAnsi="Calibri" w:hint="default"/>
      </w:rPr>
    </w:lvl>
    <w:lvl w:ilvl="8" w:tplc="0024A552" w:tentative="1">
      <w:start w:val="1"/>
      <w:numFmt w:val="bullet"/>
      <w:lvlText w:val="•"/>
      <w:lvlJc w:val="left"/>
      <w:pPr>
        <w:tabs>
          <w:tab w:val="num" w:pos="6480"/>
        </w:tabs>
        <w:ind w:left="6480" w:hanging="360"/>
      </w:pPr>
      <w:rPr>
        <w:rFonts w:ascii="Calibri" w:hAnsi="Calibri" w:hint="default"/>
      </w:rPr>
    </w:lvl>
  </w:abstractNum>
  <w:abstractNum w:abstractNumId="89" w15:restartNumberingAfterBreak="0">
    <w:nsid w:val="2E4552CA"/>
    <w:multiLevelType w:val="hybridMultilevel"/>
    <w:tmpl w:val="B75251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2EB22458"/>
    <w:multiLevelType w:val="multilevel"/>
    <w:tmpl w:val="DFD80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2F4225C9"/>
    <w:multiLevelType w:val="hybridMultilevel"/>
    <w:tmpl w:val="FFFFFFFF"/>
    <w:lvl w:ilvl="0" w:tplc="A3907750">
      <w:start w:val="1"/>
      <w:numFmt w:val="bullet"/>
      <w:lvlText w:val=""/>
      <w:lvlJc w:val="left"/>
      <w:pPr>
        <w:ind w:left="720" w:hanging="360"/>
      </w:pPr>
      <w:rPr>
        <w:rFonts w:ascii="Symbol" w:hAnsi="Symbol" w:hint="default"/>
      </w:rPr>
    </w:lvl>
    <w:lvl w:ilvl="1" w:tplc="A58EB18A">
      <w:start w:val="1"/>
      <w:numFmt w:val="bullet"/>
      <w:lvlText w:val="o"/>
      <w:lvlJc w:val="left"/>
      <w:pPr>
        <w:ind w:left="1440" w:hanging="360"/>
      </w:pPr>
      <w:rPr>
        <w:rFonts w:ascii="Courier New" w:hAnsi="Courier New" w:hint="default"/>
      </w:rPr>
    </w:lvl>
    <w:lvl w:ilvl="2" w:tplc="785CDE2A">
      <w:start w:val="1"/>
      <w:numFmt w:val="bullet"/>
      <w:lvlText w:val=""/>
      <w:lvlJc w:val="left"/>
      <w:pPr>
        <w:ind w:left="2160" w:hanging="360"/>
      </w:pPr>
      <w:rPr>
        <w:rFonts w:ascii="Wingdings" w:hAnsi="Wingdings" w:hint="default"/>
      </w:rPr>
    </w:lvl>
    <w:lvl w:ilvl="3" w:tplc="95A08598">
      <w:start w:val="1"/>
      <w:numFmt w:val="bullet"/>
      <w:lvlText w:val=""/>
      <w:lvlJc w:val="left"/>
      <w:pPr>
        <w:ind w:left="2880" w:hanging="360"/>
      </w:pPr>
      <w:rPr>
        <w:rFonts w:ascii="Symbol" w:hAnsi="Symbol" w:hint="default"/>
      </w:rPr>
    </w:lvl>
    <w:lvl w:ilvl="4" w:tplc="B6D6D266">
      <w:start w:val="1"/>
      <w:numFmt w:val="bullet"/>
      <w:lvlText w:val="o"/>
      <w:lvlJc w:val="left"/>
      <w:pPr>
        <w:ind w:left="3600" w:hanging="360"/>
      </w:pPr>
      <w:rPr>
        <w:rFonts w:ascii="Courier New" w:hAnsi="Courier New" w:hint="default"/>
      </w:rPr>
    </w:lvl>
    <w:lvl w:ilvl="5" w:tplc="108ADE96">
      <w:start w:val="1"/>
      <w:numFmt w:val="bullet"/>
      <w:lvlText w:val=""/>
      <w:lvlJc w:val="left"/>
      <w:pPr>
        <w:ind w:left="4320" w:hanging="360"/>
      </w:pPr>
      <w:rPr>
        <w:rFonts w:ascii="Wingdings" w:hAnsi="Wingdings" w:hint="default"/>
      </w:rPr>
    </w:lvl>
    <w:lvl w:ilvl="6" w:tplc="AC328216">
      <w:start w:val="1"/>
      <w:numFmt w:val="bullet"/>
      <w:lvlText w:val=""/>
      <w:lvlJc w:val="left"/>
      <w:pPr>
        <w:ind w:left="5040" w:hanging="360"/>
      </w:pPr>
      <w:rPr>
        <w:rFonts w:ascii="Symbol" w:hAnsi="Symbol" w:hint="default"/>
      </w:rPr>
    </w:lvl>
    <w:lvl w:ilvl="7" w:tplc="EF44B584">
      <w:start w:val="1"/>
      <w:numFmt w:val="bullet"/>
      <w:lvlText w:val="o"/>
      <w:lvlJc w:val="left"/>
      <w:pPr>
        <w:ind w:left="5760" w:hanging="360"/>
      </w:pPr>
      <w:rPr>
        <w:rFonts w:ascii="Courier New" w:hAnsi="Courier New" w:hint="default"/>
      </w:rPr>
    </w:lvl>
    <w:lvl w:ilvl="8" w:tplc="405C7E50">
      <w:start w:val="1"/>
      <w:numFmt w:val="bullet"/>
      <w:lvlText w:val=""/>
      <w:lvlJc w:val="left"/>
      <w:pPr>
        <w:ind w:left="6480" w:hanging="360"/>
      </w:pPr>
      <w:rPr>
        <w:rFonts w:ascii="Wingdings" w:hAnsi="Wingdings" w:hint="default"/>
      </w:rPr>
    </w:lvl>
  </w:abstractNum>
  <w:abstractNum w:abstractNumId="92" w15:restartNumberingAfterBreak="0">
    <w:nsid w:val="2F5636D0"/>
    <w:multiLevelType w:val="hybridMultilevel"/>
    <w:tmpl w:val="2B6ACBD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3" w15:restartNumberingAfterBreak="0">
    <w:nsid w:val="2FA57750"/>
    <w:multiLevelType w:val="multilevel"/>
    <w:tmpl w:val="E9B44B6A"/>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94" w15:restartNumberingAfterBreak="0">
    <w:nsid w:val="322F7EB5"/>
    <w:multiLevelType w:val="hybridMultilevel"/>
    <w:tmpl w:val="8AC2B9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5" w15:restartNumberingAfterBreak="0">
    <w:nsid w:val="32982977"/>
    <w:multiLevelType w:val="hybridMultilevel"/>
    <w:tmpl w:val="E22663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33870B73"/>
    <w:multiLevelType w:val="hybridMultilevel"/>
    <w:tmpl w:val="EB1E77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347C27AF"/>
    <w:multiLevelType w:val="hybridMultilevel"/>
    <w:tmpl w:val="2E420C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34AF4B5F"/>
    <w:multiLevelType w:val="hybridMultilevel"/>
    <w:tmpl w:val="941ECEE0"/>
    <w:lvl w:ilvl="0" w:tplc="33F24158">
      <w:start w:val="1"/>
      <w:numFmt w:val="bullet"/>
      <w:lvlText w:val=""/>
      <w:lvlJc w:val="left"/>
      <w:pPr>
        <w:tabs>
          <w:tab w:val="num" w:pos="1276"/>
        </w:tabs>
        <w:ind w:left="1276" w:hanging="425"/>
      </w:pPr>
      <w:rPr>
        <w:rFonts w:ascii="Symbol" w:hAnsi="Symbol" w:hint="default"/>
        <w:b/>
        <w:i w:val="0"/>
        <w:color w:val="000000"/>
        <w:sz w:val="24"/>
      </w:rPr>
    </w:lvl>
    <w:lvl w:ilvl="1" w:tplc="FFFFFFFF">
      <w:start w:val="1"/>
      <w:numFmt w:val="bullet"/>
      <w:lvlText w:val="o"/>
      <w:lvlJc w:val="left"/>
      <w:pPr>
        <w:tabs>
          <w:tab w:val="num" w:pos="3556"/>
        </w:tabs>
        <w:ind w:left="3556" w:hanging="360"/>
      </w:pPr>
      <w:rPr>
        <w:rFonts w:ascii="Courier New" w:hAnsi="Courier New" w:hint="default"/>
      </w:rPr>
    </w:lvl>
    <w:lvl w:ilvl="2" w:tplc="FFFFFFFF" w:tentative="1">
      <w:start w:val="1"/>
      <w:numFmt w:val="bullet"/>
      <w:lvlText w:val=""/>
      <w:lvlJc w:val="left"/>
      <w:pPr>
        <w:tabs>
          <w:tab w:val="num" w:pos="4276"/>
        </w:tabs>
        <w:ind w:left="4276" w:hanging="360"/>
      </w:pPr>
      <w:rPr>
        <w:rFonts w:ascii="Wingdings" w:hAnsi="Wingdings" w:hint="default"/>
      </w:rPr>
    </w:lvl>
    <w:lvl w:ilvl="3" w:tplc="FFFFFFFF" w:tentative="1">
      <w:start w:val="1"/>
      <w:numFmt w:val="bullet"/>
      <w:lvlText w:val=""/>
      <w:lvlJc w:val="left"/>
      <w:pPr>
        <w:tabs>
          <w:tab w:val="num" w:pos="4996"/>
        </w:tabs>
        <w:ind w:left="4996" w:hanging="360"/>
      </w:pPr>
      <w:rPr>
        <w:rFonts w:ascii="Symbol" w:hAnsi="Symbol" w:hint="default"/>
      </w:rPr>
    </w:lvl>
    <w:lvl w:ilvl="4" w:tplc="FFFFFFFF" w:tentative="1">
      <w:start w:val="1"/>
      <w:numFmt w:val="bullet"/>
      <w:lvlText w:val="o"/>
      <w:lvlJc w:val="left"/>
      <w:pPr>
        <w:tabs>
          <w:tab w:val="num" w:pos="5716"/>
        </w:tabs>
        <w:ind w:left="5716" w:hanging="360"/>
      </w:pPr>
      <w:rPr>
        <w:rFonts w:ascii="Courier New" w:hAnsi="Courier New" w:hint="default"/>
      </w:rPr>
    </w:lvl>
    <w:lvl w:ilvl="5" w:tplc="FFFFFFFF" w:tentative="1">
      <w:start w:val="1"/>
      <w:numFmt w:val="bullet"/>
      <w:lvlText w:val=""/>
      <w:lvlJc w:val="left"/>
      <w:pPr>
        <w:tabs>
          <w:tab w:val="num" w:pos="6436"/>
        </w:tabs>
        <w:ind w:left="6436" w:hanging="360"/>
      </w:pPr>
      <w:rPr>
        <w:rFonts w:ascii="Wingdings" w:hAnsi="Wingdings" w:hint="default"/>
      </w:rPr>
    </w:lvl>
    <w:lvl w:ilvl="6" w:tplc="FFFFFFFF" w:tentative="1">
      <w:start w:val="1"/>
      <w:numFmt w:val="bullet"/>
      <w:lvlText w:val=""/>
      <w:lvlJc w:val="left"/>
      <w:pPr>
        <w:tabs>
          <w:tab w:val="num" w:pos="7156"/>
        </w:tabs>
        <w:ind w:left="7156" w:hanging="360"/>
      </w:pPr>
      <w:rPr>
        <w:rFonts w:ascii="Symbol" w:hAnsi="Symbol" w:hint="default"/>
      </w:rPr>
    </w:lvl>
    <w:lvl w:ilvl="7" w:tplc="FFFFFFFF" w:tentative="1">
      <w:start w:val="1"/>
      <w:numFmt w:val="bullet"/>
      <w:lvlText w:val="o"/>
      <w:lvlJc w:val="left"/>
      <w:pPr>
        <w:tabs>
          <w:tab w:val="num" w:pos="7876"/>
        </w:tabs>
        <w:ind w:left="7876" w:hanging="360"/>
      </w:pPr>
      <w:rPr>
        <w:rFonts w:ascii="Courier New" w:hAnsi="Courier New" w:hint="default"/>
      </w:rPr>
    </w:lvl>
    <w:lvl w:ilvl="8" w:tplc="FFFFFFFF" w:tentative="1">
      <w:start w:val="1"/>
      <w:numFmt w:val="bullet"/>
      <w:lvlText w:val=""/>
      <w:lvlJc w:val="left"/>
      <w:pPr>
        <w:tabs>
          <w:tab w:val="num" w:pos="8596"/>
        </w:tabs>
        <w:ind w:left="8596" w:hanging="360"/>
      </w:pPr>
      <w:rPr>
        <w:rFonts w:ascii="Wingdings" w:hAnsi="Wingdings" w:hint="default"/>
      </w:rPr>
    </w:lvl>
  </w:abstractNum>
  <w:abstractNum w:abstractNumId="99" w15:restartNumberingAfterBreak="0">
    <w:nsid w:val="35215F56"/>
    <w:multiLevelType w:val="hybridMultilevel"/>
    <w:tmpl w:val="E738D85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0" w15:restartNumberingAfterBreak="0">
    <w:nsid w:val="358A354D"/>
    <w:multiLevelType w:val="multilevel"/>
    <w:tmpl w:val="12163C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37711BE2"/>
    <w:multiLevelType w:val="hybridMultilevel"/>
    <w:tmpl w:val="A610661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02" w15:restartNumberingAfterBreak="0">
    <w:nsid w:val="37DF3615"/>
    <w:multiLevelType w:val="hybridMultilevel"/>
    <w:tmpl w:val="07C203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388866B0"/>
    <w:multiLevelType w:val="hybridMultilevel"/>
    <w:tmpl w:val="9A24FC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38891205"/>
    <w:multiLevelType w:val="hybridMultilevel"/>
    <w:tmpl w:val="B90822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39A352E7"/>
    <w:multiLevelType w:val="hybridMultilevel"/>
    <w:tmpl w:val="225809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3A133769"/>
    <w:multiLevelType w:val="hybridMultilevel"/>
    <w:tmpl w:val="831678F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3A9C3B26"/>
    <w:multiLevelType w:val="hybridMultilevel"/>
    <w:tmpl w:val="D18EDD28"/>
    <w:lvl w:ilvl="0" w:tplc="0C090015">
      <w:start w:val="1"/>
      <w:numFmt w:val="upperLetter"/>
      <w:lvlText w:val="%1."/>
      <w:lvlJc w:val="left"/>
      <w:pPr>
        <w:ind w:left="786" w:hanging="360"/>
      </w:pPr>
      <w:rPr>
        <w:rFonts w:hint="default"/>
      </w:rPr>
    </w:lvl>
    <w:lvl w:ilvl="1" w:tplc="0C09000F">
      <w:start w:val="1"/>
      <w:numFmt w:val="decimal"/>
      <w:lvlText w:val="%2."/>
      <w:lvlJc w:val="left"/>
      <w:pPr>
        <w:ind w:left="1506" w:hanging="360"/>
      </w:pPr>
      <w:rPr>
        <w:rFonts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08" w15:restartNumberingAfterBreak="0">
    <w:nsid w:val="3AD06E8E"/>
    <w:multiLevelType w:val="multilevel"/>
    <w:tmpl w:val="E9B44B6A"/>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09" w15:restartNumberingAfterBreak="0">
    <w:nsid w:val="3B2C45CB"/>
    <w:multiLevelType w:val="multilevel"/>
    <w:tmpl w:val="968E37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3BF26A71"/>
    <w:multiLevelType w:val="multilevel"/>
    <w:tmpl w:val="E9B44B6A"/>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11" w15:restartNumberingAfterBreak="0">
    <w:nsid w:val="3DFB7D19"/>
    <w:multiLevelType w:val="hybridMultilevel"/>
    <w:tmpl w:val="01E6176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2" w15:restartNumberingAfterBreak="0">
    <w:nsid w:val="3E590D13"/>
    <w:multiLevelType w:val="hybridMultilevel"/>
    <w:tmpl w:val="825EB6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3FD059E1"/>
    <w:multiLevelType w:val="hybridMultilevel"/>
    <w:tmpl w:val="03A8A716"/>
    <w:lvl w:ilvl="0" w:tplc="0C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114" w15:restartNumberingAfterBreak="0">
    <w:nsid w:val="40071FAE"/>
    <w:multiLevelType w:val="multilevel"/>
    <w:tmpl w:val="D442603C"/>
    <w:styleLink w:val="ListTableNumber"/>
    <w:lvl w:ilvl="0">
      <w:start w:val="1"/>
      <w:numFmt w:val="decimal"/>
      <w:pStyle w:val="TableNumber"/>
      <w:lvlText w:val="%1."/>
      <w:lvlJc w:val="left"/>
      <w:pPr>
        <w:tabs>
          <w:tab w:val="num" w:pos="397"/>
        </w:tabs>
        <w:ind w:left="397" w:hanging="284"/>
      </w:pPr>
      <w:rPr>
        <w:rFonts w:hint="default"/>
      </w:rPr>
    </w:lvl>
    <w:lvl w:ilvl="1">
      <w:start w:val="1"/>
      <w:numFmt w:val="lowerLetter"/>
      <w:pStyle w:val="TableNumber2"/>
      <w:lvlText w:val="%2."/>
      <w:lvlJc w:val="left"/>
      <w:pPr>
        <w:tabs>
          <w:tab w:val="num" w:pos="680"/>
        </w:tabs>
        <w:ind w:left="680" w:hanging="283"/>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15" w15:restartNumberingAfterBreak="0">
    <w:nsid w:val="402E6424"/>
    <w:multiLevelType w:val="hybridMultilevel"/>
    <w:tmpl w:val="7D3261F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40873355"/>
    <w:multiLevelType w:val="multilevel"/>
    <w:tmpl w:val="E9B44B6A"/>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17" w15:restartNumberingAfterBreak="0">
    <w:nsid w:val="41C97085"/>
    <w:multiLevelType w:val="hybridMultilevel"/>
    <w:tmpl w:val="F180704E"/>
    <w:lvl w:ilvl="0" w:tplc="EDB491FC">
      <w:start w:val="1"/>
      <w:numFmt w:val="bullet"/>
      <w:lvlText w:val="•"/>
      <w:lvlJc w:val="left"/>
      <w:pPr>
        <w:tabs>
          <w:tab w:val="num" w:pos="720"/>
        </w:tabs>
        <w:ind w:left="720" w:hanging="360"/>
      </w:pPr>
      <w:rPr>
        <w:rFonts w:ascii="Calibri" w:hAnsi="Calibri" w:hint="default"/>
      </w:rPr>
    </w:lvl>
    <w:lvl w:ilvl="1" w:tplc="D40C8EF2" w:tentative="1">
      <w:start w:val="1"/>
      <w:numFmt w:val="bullet"/>
      <w:lvlText w:val="•"/>
      <w:lvlJc w:val="left"/>
      <w:pPr>
        <w:tabs>
          <w:tab w:val="num" w:pos="1440"/>
        </w:tabs>
        <w:ind w:left="1440" w:hanging="360"/>
      </w:pPr>
      <w:rPr>
        <w:rFonts w:ascii="Calibri" w:hAnsi="Calibri" w:hint="default"/>
      </w:rPr>
    </w:lvl>
    <w:lvl w:ilvl="2" w:tplc="727EEC12" w:tentative="1">
      <w:start w:val="1"/>
      <w:numFmt w:val="bullet"/>
      <w:lvlText w:val="•"/>
      <w:lvlJc w:val="left"/>
      <w:pPr>
        <w:tabs>
          <w:tab w:val="num" w:pos="2160"/>
        </w:tabs>
        <w:ind w:left="2160" w:hanging="360"/>
      </w:pPr>
      <w:rPr>
        <w:rFonts w:ascii="Calibri" w:hAnsi="Calibri" w:hint="default"/>
      </w:rPr>
    </w:lvl>
    <w:lvl w:ilvl="3" w:tplc="0898218A" w:tentative="1">
      <w:start w:val="1"/>
      <w:numFmt w:val="bullet"/>
      <w:lvlText w:val="•"/>
      <w:lvlJc w:val="left"/>
      <w:pPr>
        <w:tabs>
          <w:tab w:val="num" w:pos="2880"/>
        </w:tabs>
        <w:ind w:left="2880" w:hanging="360"/>
      </w:pPr>
      <w:rPr>
        <w:rFonts w:ascii="Calibri" w:hAnsi="Calibri" w:hint="default"/>
      </w:rPr>
    </w:lvl>
    <w:lvl w:ilvl="4" w:tplc="245077A4" w:tentative="1">
      <w:start w:val="1"/>
      <w:numFmt w:val="bullet"/>
      <w:lvlText w:val="•"/>
      <w:lvlJc w:val="left"/>
      <w:pPr>
        <w:tabs>
          <w:tab w:val="num" w:pos="3600"/>
        </w:tabs>
        <w:ind w:left="3600" w:hanging="360"/>
      </w:pPr>
      <w:rPr>
        <w:rFonts w:ascii="Calibri" w:hAnsi="Calibri" w:hint="default"/>
      </w:rPr>
    </w:lvl>
    <w:lvl w:ilvl="5" w:tplc="64B02F3E" w:tentative="1">
      <w:start w:val="1"/>
      <w:numFmt w:val="bullet"/>
      <w:lvlText w:val="•"/>
      <w:lvlJc w:val="left"/>
      <w:pPr>
        <w:tabs>
          <w:tab w:val="num" w:pos="4320"/>
        </w:tabs>
        <w:ind w:left="4320" w:hanging="360"/>
      </w:pPr>
      <w:rPr>
        <w:rFonts w:ascii="Calibri" w:hAnsi="Calibri" w:hint="default"/>
      </w:rPr>
    </w:lvl>
    <w:lvl w:ilvl="6" w:tplc="EDBAB292" w:tentative="1">
      <w:start w:val="1"/>
      <w:numFmt w:val="bullet"/>
      <w:lvlText w:val="•"/>
      <w:lvlJc w:val="left"/>
      <w:pPr>
        <w:tabs>
          <w:tab w:val="num" w:pos="5040"/>
        </w:tabs>
        <w:ind w:left="5040" w:hanging="360"/>
      </w:pPr>
      <w:rPr>
        <w:rFonts w:ascii="Calibri" w:hAnsi="Calibri" w:hint="default"/>
      </w:rPr>
    </w:lvl>
    <w:lvl w:ilvl="7" w:tplc="29FC2D56" w:tentative="1">
      <w:start w:val="1"/>
      <w:numFmt w:val="bullet"/>
      <w:lvlText w:val="•"/>
      <w:lvlJc w:val="left"/>
      <w:pPr>
        <w:tabs>
          <w:tab w:val="num" w:pos="5760"/>
        </w:tabs>
        <w:ind w:left="5760" w:hanging="360"/>
      </w:pPr>
      <w:rPr>
        <w:rFonts w:ascii="Calibri" w:hAnsi="Calibri" w:hint="default"/>
      </w:rPr>
    </w:lvl>
    <w:lvl w:ilvl="8" w:tplc="846A4E50" w:tentative="1">
      <w:start w:val="1"/>
      <w:numFmt w:val="bullet"/>
      <w:lvlText w:val="•"/>
      <w:lvlJc w:val="left"/>
      <w:pPr>
        <w:tabs>
          <w:tab w:val="num" w:pos="6480"/>
        </w:tabs>
        <w:ind w:left="6480" w:hanging="360"/>
      </w:pPr>
      <w:rPr>
        <w:rFonts w:ascii="Calibri" w:hAnsi="Calibri" w:hint="default"/>
      </w:rPr>
    </w:lvl>
  </w:abstractNum>
  <w:abstractNum w:abstractNumId="118" w15:restartNumberingAfterBreak="0">
    <w:nsid w:val="42114B69"/>
    <w:multiLevelType w:val="hybridMultilevel"/>
    <w:tmpl w:val="5C688E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43E43200"/>
    <w:multiLevelType w:val="multilevel"/>
    <w:tmpl w:val="1DCECEB8"/>
    <w:lvl w:ilvl="0">
      <w:start w:val="1"/>
      <w:numFmt w:val="bullet"/>
      <w:lvlText w:val=""/>
      <w:lvlJc w:val="left"/>
      <w:pPr>
        <w:tabs>
          <w:tab w:val="num" w:pos="425"/>
        </w:tabs>
        <w:ind w:left="425" w:hanging="425"/>
      </w:pPr>
      <w:rPr>
        <w:rFonts w:ascii="Symbol" w:hAnsi="Symbol" w:hint="default"/>
      </w:rPr>
    </w:lvl>
    <w:lvl w:ilvl="1">
      <w:start w:val="1"/>
      <w:numFmt w:val="bullet"/>
      <w:lvlText w:val="–"/>
      <w:lvlJc w:val="left"/>
      <w:pPr>
        <w:tabs>
          <w:tab w:val="num" w:pos="850"/>
        </w:tabs>
        <w:ind w:left="850" w:hanging="425"/>
      </w:pPr>
      <w:rPr>
        <w:rFonts w:ascii="Arial Rounded MT" w:hAnsi="Arial Rounded MT" w:hint="default"/>
        <w:color w:val="auto"/>
      </w:rPr>
    </w:lvl>
    <w:lvl w:ilvl="2">
      <w:start w:val="1"/>
      <w:numFmt w:val="bullet"/>
      <w:lvlText w:val="-"/>
      <w:lvlJc w:val="left"/>
      <w:pPr>
        <w:tabs>
          <w:tab w:val="num" w:pos="1275"/>
        </w:tabs>
        <w:ind w:left="1275" w:hanging="425"/>
      </w:pPr>
      <w:rPr>
        <w:rFonts w:ascii="Calibri" w:eastAsiaTheme="minorHAnsi" w:hAnsi="Calibri" w:cs="Calibri" w:hint="default"/>
      </w:rPr>
    </w:lvl>
    <w:lvl w:ilvl="3">
      <w:start w:val="1"/>
      <w:numFmt w:val="bullet"/>
      <w:lvlText w:val="–"/>
      <w:lvlJc w:val="left"/>
      <w:pPr>
        <w:tabs>
          <w:tab w:val="num" w:pos="1700"/>
        </w:tabs>
        <w:ind w:left="1700" w:hanging="425"/>
      </w:pPr>
      <w:rPr>
        <w:rFonts w:ascii="Arial Rounded MT" w:hAnsi="Arial Rounded MT" w:hint="default"/>
      </w:rPr>
    </w:lvl>
    <w:lvl w:ilvl="4">
      <w:start w:val="1"/>
      <w:numFmt w:val="bullet"/>
      <w:lvlText w:val=""/>
      <w:lvlJc w:val="left"/>
      <w:pPr>
        <w:tabs>
          <w:tab w:val="num" w:pos="2125"/>
        </w:tabs>
        <w:ind w:left="2125" w:hanging="425"/>
      </w:pPr>
      <w:rPr>
        <w:rFonts w:ascii="Symbol" w:hAnsi="Symbol" w:hint="default"/>
        <w:color w:val="auto"/>
      </w:rPr>
    </w:lvl>
    <w:lvl w:ilvl="5">
      <w:start w:val="1"/>
      <w:numFmt w:val="bullet"/>
      <w:lvlText w:val="–"/>
      <w:lvlJc w:val="left"/>
      <w:pPr>
        <w:tabs>
          <w:tab w:val="num" w:pos="2550"/>
        </w:tabs>
        <w:ind w:left="2550" w:hanging="425"/>
      </w:pPr>
      <w:rPr>
        <w:rFonts w:ascii="Arial Rounded MT" w:hAnsi="Arial Rounded MT" w:hint="default"/>
      </w:rPr>
    </w:lvl>
    <w:lvl w:ilvl="6">
      <w:start w:val="1"/>
      <w:numFmt w:val="none"/>
      <w:lvlText w:val="%7"/>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20" w15:restartNumberingAfterBreak="0">
    <w:nsid w:val="445C43AA"/>
    <w:multiLevelType w:val="hybridMultilevel"/>
    <w:tmpl w:val="1F94D9CA"/>
    <w:lvl w:ilvl="0" w:tplc="0C090001">
      <w:start w:val="1"/>
      <w:numFmt w:val="bullet"/>
      <w:lvlText w:val=""/>
      <w:lvlJc w:val="left"/>
      <w:pPr>
        <w:ind w:left="643" w:hanging="360"/>
      </w:pPr>
      <w:rPr>
        <w:rFonts w:ascii="Symbol" w:hAnsi="Symbol" w:hint="default"/>
      </w:rPr>
    </w:lvl>
    <w:lvl w:ilvl="1" w:tplc="0C090003" w:tentative="1">
      <w:start w:val="1"/>
      <w:numFmt w:val="bullet"/>
      <w:lvlText w:val="o"/>
      <w:lvlJc w:val="left"/>
      <w:pPr>
        <w:ind w:left="2160" w:hanging="360"/>
      </w:pPr>
      <w:rPr>
        <w:rFonts w:ascii="Courier New" w:hAnsi="Courier New" w:cs="Symbol"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Symbol"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Symbol" w:hint="default"/>
      </w:rPr>
    </w:lvl>
    <w:lvl w:ilvl="8" w:tplc="0C090005" w:tentative="1">
      <w:start w:val="1"/>
      <w:numFmt w:val="bullet"/>
      <w:lvlText w:val=""/>
      <w:lvlJc w:val="left"/>
      <w:pPr>
        <w:ind w:left="7200" w:hanging="360"/>
      </w:pPr>
      <w:rPr>
        <w:rFonts w:ascii="Wingdings" w:hAnsi="Wingdings" w:hint="default"/>
      </w:rPr>
    </w:lvl>
  </w:abstractNum>
  <w:abstractNum w:abstractNumId="121" w15:restartNumberingAfterBreak="0">
    <w:nsid w:val="45E47B17"/>
    <w:multiLevelType w:val="multilevel"/>
    <w:tmpl w:val="B046E20A"/>
    <w:lvl w:ilvl="0">
      <w:numFmt w:val="bullet"/>
      <w:lvlText w:val="-"/>
      <w:lvlJc w:val="left"/>
      <w:pPr>
        <w:ind w:left="420" w:hanging="360"/>
      </w:pPr>
      <w:rPr>
        <w:rFonts w:ascii="Times New Roman" w:eastAsia="Times New Roman" w:hAnsi="Times New Roman" w:cs="Times New Roman"/>
        <w:sz w:val="24"/>
        <w:szCs w:val="24"/>
        <w:vertAlign w:val="baseline"/>
      </w:rPr>
    </w:lvl>
    <w:lvl w:ilvl="1">
      <w:start w:val="1"/>
      <w:numFmt w:val="bullet"/>
      <w:lvlText w:val="o"/>
      <w:lvlJc w:val="left"/>
      <w:pPr>
        <w:ind w:left="1140" w:hanging="360"/>
      </w:pPr>
      <w:rPr>
        <w:rFonts w:ascii="Courier New" w:eastAsia="Courier New" w:hAnsi="Courier New" w:cs="Symbol"/>
        <w:vertAlign w:val="baseline"/>
      </w:rPr>
    </w:lvl>
    <w:lvl w:ilvl="2">
      <w:start w:val="1"/>
      <w:numFmt w:val="bullet"/>
      <w:lvlText w:val=""/>
      <w:lvlJc w:val="left"/>
      <w:pPr>
        <w:ind w:left="643" w:hanging="360"/>
      </w:pPr>
      <w:rPr>
        <w:rFonts w:ascii="Symbol" w:hAnsi="Symbol" w:hint="default"/>
        <w:vertAlign w:val="baseline"/>
      </w:rPr>
    </w:lvl>
    <w:lvl w:ilvl="3">
      <w:start w:val="1"/>
      <w:numFmt w:val="bullet"/>
      <w:lvlText w:val="●"/>
      <w:lvlJc w:val="left"/>
      <w:pPr>
        <w:ind w:left="2580" w:hanging="360"/>
      </w:pPr>
      <w:rPr>
        <w:rFonts w:ascii="Noto Sans Symbols" w:eastAsia="Noto Sans Symbols" w:hAnsi="Noto Sans Symbols" w:cs="Lucida Grande"/>
        <w:vertAlign w:val="baseline"/>
      </w:rPr>
    </w:lvl>
    <w:lvl w:ilvl="4">
      <w:start w:val="1"/>
      <w:numFmt w:val="bullet"/>
      <w:lvlText w:val="o"/>
      <w:lvlJc w:val="left"/>
      <w:pPr>
        <w:ind w:left="3300" w:hanging="360"/>
      </w:pPr>
      <w:rPr>
        <w:rFonts w:ascii="Courier New" w:eastAsia="Courier New" w:hAnsi="Courier New" w:cs="Symbol"/>
        <w:vertAlign w:val="baseline"/>
      </w:rPr>
    </w:lvl>
    <w:lvl w:ilvl="5">
      <w:start w:val="1"/>
      <w:numFmt w:val="bullet"/>
      <w:lvlText w:val="▪"/>
      <w:lvlJc w:val="left"/>
      <w:pPr>
        <w:ind w:left="4020" w:hanging="360"/>
      </w:pPr>
      <w:rPr>
        <w:rFonts w:ascii="Noto Sans Symbols" w:eastAsia="Noto Sans Symbols" w:hAnsi="Noto Sans Symbols" w:cs="Lucida Grande"/>
        <w:vertAlign w:val="baseline"/>
      </w:rPr>
    </w:lvl>
    <w:lvl w:ilvl="6">
      <w:start w:val="1"/>
      <w:numFmt w:val="bullet"/>
      <w:lvlText w:val="●"/>
      <w:lvlJc w:val="left"/>
      <w:pPr>
        <w:ind w:left="4740" w:hanging="360"/>
      </w:pPr>
      <w:rPr>
        <w:rFonts w:ascii="Noto Sans Symbols" w:eastAsia="Noto Sans Symbols" w:hAnsi="Noto Sans Symbols" w:cs="Lucida Grande"/>
        <w:vertAlign w:val="baseline"/>
      </w:rPr>
    </w:lvl>
    <w:lvl w:ilvl="7">
      <w:start w:val="1"/>
      <w:numFmt w:val="bullet"/>
      <w:lvlText w:val="o"/>
      <w:lvlJc w:val="left"/>
      <w:pPr>
        <w:ind w:left="5460" w:hanging="360"/>
      </w:pPr>
      <w:rPr>
        <w:rFonts w:ascii="Courier New" w:eastAsia="Courier New" w:hAnsi="Courier New" w:cs="Symbol"/>
        <w:vertAlign w:val="baseline"/>
      </w:rPr>
    </w:lvl>
    <w:lvl w:ilvl="8">
      <w:start w:val="1"/>
      <w:numFmt w:val="bullet"/>
      <w:lvlText w:val="▪"/>
      <w:lvlJc w:val="left"/>
      <w:pPr>
        <w:ind w:left="6180" w:hanging="360"/>
      </w:pPr>
      <w:rPr>
        <w:rFonts w:ascii="Noto Sans Symbols" w:eastAsia="Noto Sans Symbols" w:hAnsi="Noto Sans Symbols" w:cs="Lucida Grande"/>
        <w:vertAlign w:val="baseline"/>
      </w:rPr>
    </w:lvl>
  </w:abstractNum>
  <w:abstractNum w:abstractNumId="122" w15:restartNumberingAfterBreak="0">
    <w:nsid w:val="45F33372"/>
    <w:multiLevelType w:val="multilevel"/>
    <w:tmpl w:val="D88C2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6840A50"/>
    <w:multiLevelType w:val="hybridMultilevel"/>
    <w:tmpl w:val="AB8216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47D4642A"/>
    <w:multiLevelType w:val="hybridMultilevel"/>
    <w:tmpl w:val="C8FC1B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482B4B21"/>
    <w:multiLevelType w:val="hybridMultilevel"/>
    <w:tmpl w:val="EFC4E65A"/>
    <w:lvl w:ilvl="0" w:tplc="0C090015">
      <w:start w:val="1"/>
      <w:numFmt w:val="upperLetter"/>
      <w:lvlText w:val="%1."/>
      <w:lvlJc w:val="left"/>
      <w:pPr>
        <w:ind w:left="720" w:hanging="360"/>
      </w:pPr>
    </w:lvl>
    <w:lvl w:ilvl="1" w:tplc="0C090011">
      <w:start w:val="1"/>
      <w:numFmt w:val="decimal"/>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6" w15:restartNumberingAfterBreak="0">
    <w:nsid w:val="48570104"/>
    <w:multiLevelType w:val="hybridMultilevel"/>
    <w:tmpl w:val="F1027C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7" w15:restartNumberingAfterBreak="0">
    <w:nsid w:val="48C90D8A"/>
    <w:multiLevelType w:val="multilevel"/>
    <w:tmpl w:val="B5BC7C40"/>
    <w:numStyleLink w:val="ListSectionTitle"/>
  </w:abstractNum>
  <w:abstractNum w:abstractNumId="128" w15:restartNumberingAfterBreak="0">
    <w:nsid w:val="4939640E"/>
    <w:multiLevelType w:val="hybridMultilevel"/>
    <w:tmpl w:val="5D7243E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9" w15:restartNumberingAfterBreak="0">
    <w:nsid w:val="4965607E"/>
    <w:multiLevelType w:val="hybridMultilevel"/>
    <w:tmpl w:val="3EE411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497E3724"/>
    <w:multiLevelType w:val="multilevel"/>
    <w:tmpl w:val="40E4C35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1" w15:restartNumberingAfterBreak="0">
    <w:nsid w:val="4A9A41BE"/>
    <w:multiLevelType w:val="multilevel"/>
    <w:tmpl w:val="B028610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2" w15:restartNumberingAfterBreak="0">
    <w:nsid w:val="4D086516"/>
    <w:multiLevelType w:val="hybridMultilevel"/>
    <w:tmpl w:val="738064B6"/>
    <w:lvl w:ilvl="0" w:tplc="0C090015">
      <w:start w:val="1"/>
      <w:numFmt w:val="upperLetter"/>
      <w:lvlText w:val="%1."/>
      <w:lvlJc w:val="left"/>
      <w:pPr>
        <w:ind w:left="1506" w:hanging="360"/>
      </w:pPr>
    </w:lvl>
    <w:lvl w:ilvl="1" w:tplc="0C090019" w:tentative="1">
      <w:start w:val="1"/>
      <w:numFmt w:val="lowerLetter"/>
      <w:lvlText w:val="%2."/>
      <w:lvlJc w:val="left"/>
      <w:pPr>
        <w:ind w:left="2226" w:hanging="360"/>
      </w:pPr>
    </w:lvl>
    <w:lvl w:ilvl="2" w:tplc="0C09001B" w:tentative="1">
      <w:start w:val="1"/>
      <w:numFmt w:val="lowerRoman"/>
      <w:lvlText w:val="%3."/>
      <w:lvlJc w:val="right"/>
      <w:pPr>
        <w:ind w:left="2946" w:hanging="180"/>
      </w:pPr>
    </w:lvl>
    <w:lvl w:ilvl="3" w:tplc="0C09000F" w:tentative="1">
      <w:start w:val="1"/>
      <w:numFmt w:val="decimal"/>
      <w:lvlText w:val="%4."/>
      <w:lvlJc w:val="left"/>
      <w:pPr>
        <w:ind w:left="3666" w:hanging="360"/>
      </w:pPr>
    </w:lvl>
    <w:lvl w:ilvl="4" w:tplc="0C090019" w:tentative="1">
      <w:start w:val="1"/>
      <w:numFmt w:val="lowerLetter"/>
      <w:lvlText w:val="%5."/>
      <w:lvlJc w:val="left"/>
      <w:pPr>
        <w:ind w:left="4386" w:hanging="360"/>
      </w:pPr>
    </w:lvl>
    <w:lvl w:ilvl="5" w:tplc="0C09001B" w:tentative="1">
      <w:start w:val="1"/>
      <w:numFmt w:val="lowerRoman"/>
      <w:lvlText w:val="%6."/>
      <w:lvlJc w:val="right"/>
      <w:pPr>
        <w:ind w:left="5106" w:hanging="180"/>
      </w:pPr>
    </w:lvl>
    <w:lvl w:ilvl="6" w:tplc="0C09000F" w:tentative="1">
      <w:start w:val="1"/>
      <w:numFmt w:val="decimal"/>
      <w:lvlText w:val="%7."/>
      <w:lvlJc w:val="left"/>
      <w:pPr>
        <w:ind w:left="5826" w:hanging="360"/>
      </w:pPr>
    </w:lvl>
    <w:lvl w:ilvl="7" w:tplc="0C090019" w:tentative="1">
      <w:start w:val="1"/>
      <w:numFmt w:val="lowerLetter"/>
      <w:lvlText w:val="%8."/>
      <w:lvlJc w:val="left"/>
      <w:pPr>
        <w:ind w:left="6546" w:hanging="360"/>
      </w:pPr>
    </w:lvl>
    <w:lvl w:ilvl="8" w:tplc="0C09001B" w:tentative="1">
      <w:start w:val="1"/>
      <w:numFmt w:val="lowerRoman"/>
      <w:lvlText w:val="%9."/>
      <w:lvlJc w:val="right"/>
      <w:pPr>
        <w:ind w:left="7266" w:hanging="180"/>
      </w:pPr>
    </w:lvl>
  </w:abstractNum>
  <w:abstractNum w:abstractNumId="133" w15:restartNumberingAfterBreak="0">
    <w:nsid w:val="4D5E4A7D"/>
    <w:multiLevelType w:val="hybridMultilevel"/>
    <w:tmpl w:val="CB82D0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4DCE2330"/>
    <w:multiLevelType w:val="hybridMultilevel"/>
    <w:tmpl w:val="28B62E2C"/>
    <w:lvl w:ilvl="0" w:tplc="0C090015">
      <w:start w:val="1"/>
      <w:numFmt w:val="upp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5" w15:restartNumberingAfterBreak="0">
    <w:nsid w:val="4EBB256D"/>
    <w:multiLevelType w:val="hybridMultilevel"/>
    <w:tmpl w:val="22102F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4ECA65A3"/>
    <w:multiLevelType w:val="hybridMultilevel"/>
    <w:tmpl w:val="DB54C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50493F9D"/>
    <w:multiLevelType w:val="hybridMultilevel"/>
    <w:tmpl w:val="7C40328E"/>
    <w:lvl w:ilvl="0" w:tplc="0C09001B">
      <w:start w:val="1"/>
      <w:numFmt w:val="lowerRoman"/>
      <w:lvlText w:val="%1."/>
      <w:lvlJc w:val="right"/>
      <w:pPr>
        <w:ind w:left="2340" w:hanging="360"/>
      </w:pPr>
    </w:lvl>
    <w:lvl w:ilvl="1" w:tplc="0C090019" w:tentative="1">
      <w:start w:val="1"/>
      <w:numFmt w:val="lowerLetter"/>
      <w:lvlText w:val="%2."/>
      <w:lvlJc w:val="left"/>
      <w:pPr>
        <w:ind w:left="3060" w:hanging="360"/>
      </w:pPr>
    </w:lvl>
    <w:lvl w:ilvl="2" w:tplc="0C09001B" w:tentative="1">
      <w:start w:val="1"/>
      <w:numFmt w:val="lowerRoman"/>
      <w:lvlText w:val="%3."/>
      <w:lvlJc w:val="right"/>
      <w:pPr>
        <w:ind w:left="3780" w:hanging="180"/>
      </w:pPr>
    </w:lvl>
    <w:lvl w:ilvl="3" w:tplc="0C09000F" w:tentative="1">
      <w:start w:val="1"/>
      <w:numFmt w:val="decimal"/>
      <w:lvlText w:val="%4."/>
      <w:lvlJc w:val="left"/>
      <w:pPr>
        <w:ind w:left="4500" w:hanging="360"/>
      </w:pPr>
    </w:lvl>
    <w:lvl w:ilvl="4" w:tplc="0C090019" w:tentative="1">
      <w:start w:val="1"/>
      <w:numFmt w:val="lowerLetter"/>
      <w:lvlText w:val="%5."/>
      <w:lvlJc w:val="left"/>
      <w:pPr>
        <w:ind w:left="5220" w:hanging="360"/>
      </w:pPr>
    </w:lvl>
    <w:lvl w:ilvl="5" w:tplc="0C09001B" w:tentative="1">
      <w:start w:val="1"/>
      <w:numFmt w:val="lowerRoman"/>
      <w:lvlText w:val="%6."/>
      <w:lvlJc w:val="right"/>
      <w:pPr>
        <w:ind w:left="5940" w:hanging="180"/>
      </w:pPr>
    </w:lvl>
    <w:lvl w:ilvl="6" w:tplc="0C09000F" w:tentative="1">
      <w:start w:val="1"/>
      <w:numFmt w:val="decimal"/>
      <w:lvlText w:val="%7."/>
      <w:lvlJc w:val="left"/>
      <w:pPr>
        <w:ind w:left="6660" w:hanging="360"/>
      </w:pPr>
    </w:lvl>
    <w:lvl w:ilvl="7" w:tplc="0C090019" w:tentative="1">
      <w:start w:val="1"/>
      <w:numFmt w:val="lowerLetter"/>
      <w:lvlText w:val="%8."/>
      <w:lvlJc w:val="left"/>
      <w:pPr>
        <w:ind w:left="7380" w:hanging="360"/>
      </w:pPr>
    </w:lvl>
    <w:lvl w:ilvl="8" w:tplc="0C09001B" w:tentative="1">
      <w:start w:val="1"/>
      <w:numFmt w:val="lowerRoman"/>
      <w:lvlText w:val="%9."/>
      <w:lvlJc w:val="right"/>
      <w:pPr>
        <w:ind w:left="8100" w:hanging="180"/>
      </w:pPr>
    </w:lvl>
  </w:abstractNum>
  <w:abstractNum w:abstractNumId="138" w15:restartNumberingAfterBreak="0">
    <w:nsid w:val="515D16E3"/>
    <w:multiLevelType w:val="hybridMultilevel"/>
    <w:tmpl w:val="91D04C60"/>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51916ADD"/>
    <w:multiLevelType w:val="hybridMultilevel"/>
    <w:tmpl w:val="F7306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521B2AF4"/>
    <w:multiLevelType w:val="multilevel"/>
    <w:tmpl w:val="E9B44B6A"/>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41" w15:restartNumberingAfterBreak="0">
    <w:nsid w:val="525418CB"/>
    <w:multiLevelType w:val="hybridMultilevel"/>
    <w:tmpl w:val="C9765DBE"/>
    <w:lvl w:ilvl="0" w:tplc="0C090001">
      <w:start w:val="1"/>
      <w:numFmt w:val="bullet"/>
      <w:lvlText w:val=""/>
      <w:lvlJc w:val="left"/>
      <w:pPr>
        <w:ind w:left="766" w:hanging="360"/>
      </w:pPr>
      <w:rPr>
        <w:rFonts w:ascii="Symbol" w:hAnsi="Symbol" w:hint="default"/>
      </w:rPr>
    </w:lvl>
    <w:lvl w:ilvl="1" w:tplc="0C090003" w:tentative="1">
      <w:start w:val="1"/>
      <w:numFmt w:val="bullet"/>
      <w:lvlText w:val="o"/>
      <w:lvlJc w:val="left"/>
      <w:pPr>
        <w:ind w:left="1486" w:hanging="360"/>
      </w:pPr>
      <w:rPr>
        <w:rFonts w:ascii="Courier New" w:hAnsi="Courier New" w:cs="Courier New" w:hint="default"/>
      </w:rPr>
    </w:lvl>
    <w:lvl w:ilvl="2" w:tplc="0C090005" w:tentative="1">
      <w:start w:val="1"/>
      <w:numFmt w:val="bullet"/>
      <w:lvlText w:val=""/>
      <w:lvlJc w:val="left"/>
      <w:pPr>
        <w:ind w:left="2206" w:hanging="360"/>
      </w:pPr>
      <w:rPr>
        <w:rFonts w:ascii="Wingdings" w:hAnsi="Wingdings" w:hint="default"/>
      </w:rPr>
    </w:lvl>
    <w:lvl w:ilvl="3" w:tplc="0C090001" w:tentative="1">
      <w:start w:val="1"/>
      <w:numFmt w:val="bullet"/>
      <w:lvlText w:val=""/>
      <w:lvlJc w:val="left"/>
      <w:pPr>
        <w:ind w:left="2926" w:hanging="360"/>
      </w:pPr>
      <w:rPr>
        <w:rFonts w:ascii="Symbol" w:hAnsi="Symbol" w:hint="default"/>
      </w:rPr>
    </w:lvl>
    <w:lvl w:ilvl="4" w:tplc="0C090003" w:tentative="1">
      <w:start w:val="1"/>
      <w:numFmt w:val="bullet"/>
      <w:lvlText w:val="o"/>
      <w:lvlJc w:val="left"/>
      <w:pPr>
        <w:ind w:left="3646" w:hanging="360"/>
      </w:pPr>
      <w:rPr>
        <w:rFonts w:ascii="Courier New" w:hAnsi="Courier New" w:cs="Courier New" w:hint="default"/>
      </w:rPr>
    </w:lvl>
    <w:lvl w:ilvl="5" w:tplc="0C090005" w:tentative="1">
      <w:start w:val="1"/>
      <w:numFmt w:val="bullet"/>
      <w:lvlText w:val=""/>
      <w:lvlJc w:val="left"/>
      <w:pPr>
        <w:ind w:left="4366" w:hanging="360"/>
      </w:pPr>
      <w:rPr>
        <w:rFonts w:ascii="Wingdings" w:hAnsi="Wingdings" w:hint="default"/>
      </w:rPr>
    </w:lvl>
    <w:lvl w:ilvl="6" w:tplc="0C090001" w:tentative="1">
      <w:start w:val="1"/>
      <w:numFmt w:val="bullet"/>
      <w:lvlText w:val=""/>
      <w:lvlJc w:val="left"/>
      <w:pPr>
        <w:ind w:left="5086" w:hanging="360"/>
      </w:pPr>
      <w:rPr>
        <w:rFonts w:ascii="Symbol" w:hAnsi="Symbol" w:hint="default"/>
      </w:rPr>
    </w:lvl>
    <w:lvl w:ilvl="7" w:tplc="0C090003" w:tentative="1">
      <w:start w:val="1"/>
      <w:numFmt w:val="bullet"/>
      <w:lvlText w:val="o"/>
      <w:lvlJc w:val="left"/>
      <w:pPr>
        <w:ind w:left="5806" w:hanging="360"/>
      </w:pPr>
      <w:rPr>
        <w:rFonts w:ascii="Courier New" w:hAnsi="Courier New" w:cs="Courier New" w:hint="default"/>
      </w:rPr>
    </w:lvl>
    <w:lvl w:ilvl="8" w:tplc="0C090005" w:tentative="1">
      <w:start w:val="1"/>
      <w:numFmt w:val="bullet"/>
      <w:lvlText w:val=""/>
      <w:lvlJc w:val="left"/>
      <w:pPr>
        <w:ind w:left="6526" w:hanging="360"/>
      </w:pPr>
      <w:rPr>
        <w:rFonts w:ascii="Wingdings" w:hAnsi="Wingdings" w:hint="default"/>
      </w:rPr>
    </w:lvl>
  </w:abstractNum>
  <w:abstractNum w:abstractNumId="142" w15:restartNumberingAfterBreak="0">
    <w:nsid w:val="52AA0A7D"/>
    <w:multiLevelType w:val="multilevel"/>
    <w:tmpl w:val="913062FC"/>
    <w:numStyleLink w:val="ListParagraph0"/>
  </w:abstractNum>
  <w:abstractNum w:abstractNumId="143" w15:restartNumberingAfterBreak="0">
    <w:nsid w:val="53FA7487"/>
    <w:multiLevelType w:val="hybridMultilevel"/>
    <w:tmpl w:val="F5183356"/>
    <w:lvl w:ilvl="0" w:tplc="0C090011">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44" w15:restartNumberingAfterBreak="0">
    <w:nsid w:val="53FE7795"/>
    <w:multiLevelType w:val="multilevel"/>
    <w:tmpl w:val="B5BC7C40"/>
    <w:styleLink w:val="ListSectionTitle"/>
    <w:lvl w:ilvl="0">
      <w:start w:val="1"/>
      <w:numFmt w:val="upperLetter"/>
      <w:lvlText w:val="Appendix %1"/>
      <w:lvlJc w:val="left"/>
      <w:pPr>
        <w:tabs>
          <w:tab w:val="num" w:pos="0"/>
        </w:tabs>
        <w:ind w:left="0" w:firstLine="0"/>
      </w:pPr>
      <w:rPr>
        <w:rFonts w:hint="default"/>
        <w:b w:val="0"/>
        <w:color w:val="51247A" w:themeColor="accent1"/>
      </w:rPr>
    </w:lvl>
    <w:lvl w:ilvl="1">
      <w:start w:val="1"/>
      <w:numFmt w:val="decimal"/>
      <w:lvlText w:val="%1-%2"/>
      <w:lvlJc w:val="left"/>
      <w:pPr>
        <w:tabs>
          <w:tab w:val="num" w:pos="1134"/>
        </w:tabs>
        <w:ind w:left="1134" w:hanging="1134"/>
      </w:pPr>
      <w:rPr>
        <w:rFonts w:hint="default"/>
        <w:color w:val="51247A" w:themeColor="accent1"/>
      </w:rPr>
    </w:lvl>
    <w:lvl w:ilvl="2">
      <w:start w:val="1"/>
      <w:numFmt w:val="decimal"/>
      <w:lvlText w:val="%1-%2-%3"/>
      <w:lvlJc w:val="left"/>
      <w:pPr>
        <w:tabs>
          <w:tab w:val="num" w:pos="1134"/>
        </w:tabs>
        <w:ind w:left="1134" w:hanging="1134"/>
      </w:pPr>
      <w:rPr>
        <w:rFonts w:hint="default"/>
        <w:color w:val="51247A" w:themeColor="accent1"/>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45" w15:restartNumberingAfterBreak="0">
    <w:nsid w:val="53FE77D7"/>
    <w:multiLevelType w:val="multilevel"/>
    <w:tmpl w:val="7F5C7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54174934"/>
    <w:multiLevelType w:val="hybridMultilevel"/>
    <w:tmpl w:val="326255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15:restartNumberingAfterBreak="0">
    <w:nsid w:val="552B09D0"/>
    <w:multiLevelType w:val="hybridMultilevel"/>
    <w:tmpl w:val="2AA443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8" w15:restartNumberingAfterBreak="0">
    <w:nsid w:val="56C62D70"/>
    <w:multiLevelType w:val="hybridMultilevel"/>
    <w:tmpl w:val="C47EAE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57B035D4"/>
    <w:multiLevelType w:val="hybridMultilevel"/>
    <w:tmpl w:val="9920056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0" w15:restartNumberingAfterBreak="0">
    <w:nsid w:val="58922780"/>
    <w:multiLevelType w:val="hybridMultilevel"/>
    <w:tmpl w:val="76B6BF7C"/>
    <w:lvl w:ilvl="0" w:tplc="0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99A3A43"/>
    <w:multiLevelType w:val="hybridMultilevel"/>
    <w:tmpl w:val="ABA099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5A2A44E4"/>
    <w:multiLevelType w:val="hybridMultilevel"/>
    <w:tmpl w:val="33083F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15:restartNumberingAfterBreak="0">
    <w:nsid w:val="5A513062"/>
    <w:multiLevelType w:val="hybridMultilevel"/>
    <w:tmpl w:val="61E653AA"/>
    <w:lvl w:ilvl="0" w:tplc="44944A10">
      <w:start w:val="1"/>
      <w:numFmt w:val="decimal"/>
      <w:pStyle w:val="Subhead2list3"/>
      <w:lvlText w:val="3.%1"/>
      <w:lvlJc w:val="left"/>
      <w:pPr>
        <w:ind w:left="360" w:hanging="360"/>
      </w:pPr>
      <w:rPr>
        <w:rFonts w:hint="default"/>
        <w:b/>
        <w:i w:val="0"/>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54" w15:restartNumberingAfterBreak="0">
    <w:nsid w:val="5A732405"/>
    <w:multiLevelType w:val="hybridMultilevel"/>
    <w:tmpl w:val="3F864B4A"/>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5" w15:restartNumberingAfterBreak="0">
    <w:nsid w:val="5A844413"/>
    <w:multiLevelType w:val="hybridMultilevel"/>
    <w:tmpl w:val="8E34F4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5AE013D0"/>
    <w:multiLevelType w:val="hybridMultilevel"/>
    <w:tmpl w:val="B6160158"/>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7" w15:restartNumberingAfterBreak="0">
    <w:nsid w:val="5B2021AB"/>
    <w:multiLevelType w:val="hybridMultilevel"/>
    <w:tmpl w:val="B6A421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8" w15:restartNumberingAfterBreak="0">
    <w:nsid w:val="5BF92EBD"/>
    <w:multiLevelType w:val="hybridMultilevel"/>
    <w:tmpl w:val="7BD07C22"/>
    <w:lvl w:ilvl="0" w:tplc="0C090001">
      <w:start w:val="1"/>
      <w:numFmt w:val="bullet"/>
      <w:lvlText w:val=""/>
      <w:lvlJc w:val="left"/>
      <w:pPr>
        <w:ind w:left="2862" w:hanging="360"/>
      </w:pPr>
      <w:rPr>
        <w:rFonts w:ascii="Symbol" w:hAnsi="Symbol" w:hint="default"/>
      </w:rPr>
    </w:lvl>
    <w:lvl w:ilvl="1" w:tplc="0C090003">
      <w:start w:val="1"/>
      <w:numFmt w:val="bullet"/>
      <w:lvlText w:val="o"/>
      <w:lvlJc w:val="left"/>
      <w:pPr>
        <w:ind w:left="3582" w:hanging="360"/>
      </w:pPr>
      <w:rPr>
        <w:rFonts w:ascii="Courier New" w:hAnsi="Courier New" w:cs="Courier New" w:hint="default"/>
      </w:rPr>
    </w:lvl>
    <w:lvl w:ilvl="2" w:tplc="0C090005" w:tentative="1">
      <w:start w:val="1"/>
      <w:numFmt w:val="bullet"/>
      <w:lvlText w:val=""/>
      <w:lvlJc w:val="left"/>
      <w:pPr>
        <w:ind w:left="4302" w:hanging="360"/>
      </w:pPr>
      <w:rPr>
        <w:rFonts w:ascii="Wingdings" w:hAnsi="Wingdings" w:hint="default"/>
      </w:rPr>
    </w:lvl>
    <w:lvl w:ilvl="3" w:tplc="0C090001" w:tentative="1">
      <w:start w:val="1"/>
      <w:numFmt w:val="bullet"/>
      <w:lvlText w:val=""/>
      <w:lvlJc w:val="left"/>
      <w:pPr>
        <w:ind w:left="5022" w:hanging="360"/>
      </w:pPr>
      <w:rPr>
        <w:rFonts w:ascii="Symbol" w:hAnsi="Symbol" w:hint="default"/>
      </w:rPr>
    </w:lvl>
    <w:lvl w:ilvl="4" w:tplc="0C090003" w:tentative="1">
      <w:start w:val="1"/>
      <w:numFmt w:val="bullet"/>
      <w:lvlText w:val="o"/>
      <w:lvlJc w:val="left"/>
      <w:pPr>
        <w:ind w:left="5742" w:hanging="360"/>
      </w:pPr>
      <w:rPr>
        <w:rFonts w:ascii="Courier New" w:hAnsi="Courier New" w:cs="Courier New" w:hint="default"/>
      </w:rPr>
    </w:lvl>
    <w:lvl w:ilvl="5" w:tplc="0C090005" w:tentative="1">
      <w:start w:val="1"/>
      <w:numFmt w:val="bullet"/>
      <w:lvlText w:val=""/>
      <w:lvlJc w:val="left"/>
      <w:pPr>
        <w:ind w:left="6462" w:hanging="360"/>
      </w:pPr>
      <w:rPr>
        <w:rFonts w:ascii="Wingdings" w:hAnsi="Wingdings" w:hint="default"/>
      </w:rPr>
    </w:lvl>
    <w:lvl w:ilvl="6" w:tplc="0C090001" w:tentative="1">
      <w:start w:val="1"/>
      <w:numFmt w:val="bullet"/>
      <w:lvlText w:val=""/>
      <w:lvlJc w:val="left"/>
      <w:pPr>
        <w:ind w:left="7182" w:hanging="360"/>
      </w:pPr>
      <w:rPr>
        <w:rFonts w:ascii="Symbol" w:hAnsi="Symbol" w:hint="default"/>
      </w:rPr>
    </w:lvl>
    <w:lvl w:ilvl="7" w:tplc="0C090003" w:tentative="1">
      <w:start w:val="1"/>
      <w:numFmt w:val="bullet"/>
      <w:lvlText w:val="o"/>
      <w:lvlJc w:val="left"/>
      <w:pPr>
        <w:ind w:left="7902" w:hanging="360"/>
      </w:pPr>
      <w:rPr>
        <w:rFonts w:ascii="Courier New" w:hAnsi="Courier New" w:cs="Courier New" w:hint="default"/>
      </w:rPr>
    </w:lvl>
    <w:lvl w:ilvl="8" w:tplc="0C090005" w:tentative="1">
      <w:start w:val="1"/>
      <w:numFmt w:val="bullet"/>
      <w:lvlText w:val=""/>
      <w:lvlJc w:val="left"/>
      <w:pPr>
        <w:ind w:left="8622" w:hanging="360"/>
      </w:pPr>
      <w:rPr>
        <w:rFonts w:ascii="Wingdings" w:hAnsi="Wingdings" w:hint="default"/>
      </w:rPr>
    </w:lvl>
  </w:abstractNum>
  <w:abstractNum w:abstractNumId="159" w15:restartNumberingAfterBreak="0">
    <w:nsid w:val="5C0B6E88"/>
    <w:multiLevelType w:val="multilevel"/>
    <w:tmpl w:val="E9B44B6A"/>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60" w15:restartNumberingAfterBreak="0">
    <w:nsid w:val="5C5D15D5"/>
    <w:multiLevelType w:val="hybridMultilevel"/>
    <w:tmpl w:val="83FA89D4"/>
    <w:lvl w:ilvl="0" w:tplc="B1FC90FA">
      <w:start w:val="1"/>
      <w:numFmt w:val="decimal"/>
      <w:lvlText w:val="%1."/>
      <w:lvlJc w:val="left"/>
      <w:pPr>
        <w:ind w:left="853" w:hanging="360"/>
      </w:pPr>
      <w:rPr>
        <w:rFonts w:cs="Times New Roman" w:hint="default"/>
      </w:rPr>
    </w:lvl>
    <w:lvl w:ilvl="1" w:tplc="0C090019" w:tentative="1">
      <w:start w:val="1"/>
      <w:numFmt w:val="lowerLetter"/>
      <w:lvlText w:val="%2."/>
      <w:lvlJc w:val="left"/>
      <w:pPr>
        <w:ind w:left="1573" w:hanging="360"/>
      </w:pPr>
    </w:lvl>
    <w:lvl w:ilvl="2" w:tplc="0C09001B" w:tentative="1">
      <w:start w:val="1"/>
      <w:numFmt w:val="lowerRoman"/>
      <w:lvlText w:val="%3."/>
      <w:lvlJc w:val="right"/>
      <w:pPr>
        <w:ind w:left="2293" w:hanging="180"/>
      </w:pPr>
    </w:lvl>
    <w:lvl w:ilvl="3" w:tplc="0C09000F" w:tentative="1">
      <w:start w:val="1"/>
      <w:numFmt w:val="decimal"/>
      <w:lvlText w:val="%4."/>
      <w:lvlJc w:val="left"/>
      <w:pPr>
        <w:ind w:left="3013" w:hanging="360"/>
      </w:pPr>
    </w:lvl>
    <w:lvl w:ilvl="4" w:tplc="0C090019" w:tentative="1">
      <w:start w:val="1"/>
      <w:numFmt w:val="lowerLetter"/>
      <w:lvlText w:val="%5."/>
      <w:lvlJc w:val="left"/>
      <w:pPr>
        <w:ind w:left="3733" w:hanging="360"/>
      </w:pPr>
    </w:lvl>
    <w:lvl w:ilvl="5" w:tplc="0C09001B" w:tentative="1">
      <w:start w:val="1"/>
      <w:numFmt w:val="lowerRoman"/>
      <w:lvlText w:val="%6."/>
      <w:lvlJc w:val="right"/>
      <w:pPr>
        <w:ind w:left="4453" w:hanging="180"/>
      </w:pPr>
    </w:lvl>
    <w:lvl w:ilvl="6" w:tplc="0C09000F" w:tentative="1">
      <w:start w:val="1"/>
      <w:numFmt w:val="decimal"/>
      <w:lvlText w:val="%7."/>
      <w:lvlJc w:val="left"/>
      <w:pPr>
        <w:ind w:left="5173" w:hanging="360"/>
      </w:pPr>
    </w:lvl>
    <w:lvl w:ilvl="7" w:tplc="0C090019" w:tentative="1">
      <w:start w:val="1"/>
      <w:numFmt w:val="lowerLetter"/>
      <w:lvlText w:val="%8."/>
      <w:lvlJc w:val="left"/>
      <w:pPr>
        <w:ind w:left="5893" w:hanging="360"/>
      </w:pPr>
    </w:lvl>
    <w:lvl w:ilvl="8" w:tplc="0C09001B" w:tentative="1">
      <w:start w:val="1"/>
      <w:numFmt w:val="lowerRoman"/>
      <w:lvlText w:val="%9."/>
      <w:lvlJc w:val="right"/>
      <w:pPr>
        <w:ind w:left="6613" w:hanging="180"/>
      </w:pPr>
    </w:lvl>
  </w:abstractNum>
  <w:abstractNum w:abstractNumId="161" w15:restartNumberingAfterBreak="0">
    <w:nsid w:val="5F1A3798"/>
    <w:multiLevelType w:val="hybridMultilevel"/>
    <w:tmpl w:val="FAD8B8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5FC54384"/>
    <w:multiLevelType w:val="hybridMultilevel"/>
    <w:tmpl w:val="C23E64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15:restartNumberingAfterBreak="0">
    <w:nsid w:val="620C2930"/>
    <w:multiLevelType w:val="hybridMultilevel"/>
    <w:tmpl w:val="9A5059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621346FB"/>
    <w:multiLevelType w:val="hybridMultilevel"/>
    <w:tmpl w:val="62FCF776"/>
    <w:lvl w:ilvl="0" w:tplc="ED069070">
      <w:start w:val="1"/>
      <w:numFmt w:val="decimal"/>
      <w:lvlText w:val="%1."/>
      <w:lvlJc w:val="left"/>
      <w:pPr>
        <w:ind w:left="360" w:hanging="360"/>
      </w:pPr>
      <w:rPr>
        <w:i w:val="0"/>
        <w:iCs w:val="0"/>
      </w:rPr>
    </w:lvl>
    <w:lvl w:ilvl="1" w:tplc="0C090019" w:tentative="1">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5" w15:restartNumberingAfterBreak="0">
    <w:nsid w:val="626E50DB"/>
    <w:multiLevelType w:val="hybridMultilevel"/>
    <w:tmpl w:val="312AA7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6" w15:restartNumberingAfterBreak="0">
    <w:nsid w:val="62AB7F26"/>
    <w:multiLevelType w:val="hybridMultilevel"/>
    <w:tmpl w:val="3620EC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7" w15:restartNumberingAfterBreak="0">
    <w:nsid w:val="62B206DE"/>
    <w:multiLevelType w:val="multilevel"/>
    <w:tmpl w:val="E9B44B6A"/>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68" w15:restartNumberingAfterBreak="0">
    <w:nsid w:val="62D0175C"/>
    <w:multiLevelType w:val="multilevel"/>
    <w:tmpl w:val="C71C031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9" w15:restartNumberingAfterBreak="0">
    <w:nsid w:val="62FB0CCD"/>
    <w:multiLevelType w:val="hybridMultilevel"/>
    <w:tmpl w:val="4CF822EA"/>
    <w:lvl w:ilvl="0" w:tplc="E42AC0FA">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0" w15:restartNumberingAfterBreak="0">
    <w:nsid w:val="643F1EC6"/>
    <w:multiLevelType w:val="hybridMultilevel"/>
    <w:tmpl w:val="9168EC5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1" w15:restartNumberingAfterBreak="0">
    <w:nsid w:val="64B9599E"/>
    <w:multiLevelType w:val="hybridMultilevel"/>
    <w:tmpl w:val="91D04C60"/>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64F66D48"/>
    <w:multiLevelType w:val="hybridMultilevel"/>
    <w:tmpl w:val="0764F31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3" w15:restartNumberingAfterBreak="0">
    <w:nsid w:val="65775E49"/>
    <w:multiLevelType w:val="hybridMultilevel"/>
    <w:tmpl w:val="E4147A04"/>
    <w:lvl w:ilvl="0" w:tplc="0C090015">
      <w:start w:val="1"/>
      <w:numFmt w:val="upperLetter"/>
      <w:lvlText w:val="%1."/>
      <w:lvlJc w:val="left"/>
      <w:pPr>
        <w:ind w:left="1506" w:hanging="360"/>
      </w:pPr>
    </w:lvl>
    <w:lvl w:ilvl="1" w:tplc="0C090019" w:tentative="1">
      <w:start w:val="1"/>
      <w:numFmt w:val="lowerLetter"/>
      <w:lvlText w:val="%2."/>
      <w:lvlJc w:val="left"/>
      <w:pPr>
        <w:ind w:left="2226" w:hanging="360"/>
      </w:pPr>
    </w:lvl>
    <w:lvl w:ilvl="2" w:tplc="0C09001B" w:tentative="1">
      <w:start w:val="1"/>
      <w:numFmt w:val="lowerRoman"/>
      <w:lvlText w:val="%3."/>
      <w:lvlJc w:val="right"/>
      <w:pPr>
        <w:ind w:left="2946" w:hanging="180"/>
      </w:pPr>
    </w:lvl>
    <w:lvl w:ilvl="3" w:tplc="0C09000F" w:tentative="1">
      <w:start w:val="1"/>
      <w:numFmt w:val="decimal"/>
      <w:lvlText w:val="%4."/>
      <w:lvlJc w:val="left"/>
      <w:pPr>
        <w:ind w:left="3666" w:hanging="360"/>
      </w:pPr>
    </w:lvl>
    <w:lvl w:ilvl="4" w:tplc="0C090019" w:tentative="1">
      <w:start w:val="1"/>
      <w:numFmt w:val="lowerLetter"/>
      <w:lvlText w:val="%5."/>
      <w:lvlJc w:val="left"/>
      <w:pPr>
        <w:ind w:left="4386" w:hanging="360"/>
      </w:pPr>
    </w:lvl>
    <w:lvl w:ilvl="5" w:tplc="0C09001B" w:tentative="1">
      <w:start w:val="1"/>
      <w:numFmt w:val="lowerRoman"/>
      <w:lvlText w:val="%6."/>
      <w:lvlJc w:val="right"/>
      <w:pPr>
        <w:ind w:left="5106" w:hanging="180"/>
      </w:pPr>
    </w:lvl>
    <w:lvl w:ilvl="6" w:tplc="0C09000F" w:tentative="1">
      <w:start w:val="1"/>
      <w:numFmt w:val="decimal"/>
      <w:lvlText w:val="%7."/>
      <w:lvlJc w:val="left"/>
      <w:pPr>
        <w:ind w:left="5826" w:hanging="360"/>
      </w:pPr>
    </w:lvl>
    <w:lvl w:ilvl="7" w:tplc="0C090019" w:tentative="1">
      <w:start w:val="1"/>
      <w:numFmt w:val="lowerLetter"/>
      <w:lvlText w:val="%8."/>
      <w:lvlJc w:val="left"/>
      <w:pPr>
        <w:ind w:left="6546" w:hanging="360"/>
      </w:pPr>
    </w:lvl>
    <w:lvl w:ilvl="8" w:tplc="0C09001B" w:tentative="1">
      <w:start w:val="1"/>
      <w:numFmt w:val="lowerRoman"/>
      <w:lvlText w:val="%9."/>
      <w:lvlJc w:val="right"/>
      <w:pPr>
        <w:ind w:left="7266" w:hanging="180"/>
      </w:pPr>
    </w:lvl>
  </w:abstractNum>
  <w:abstractNum w:abstractNumId="174" w15:restartNumberingAfterBreak="0">
    <w:nsid w:val="65D147A3"/>
    <w:multiLevelType w:val="hybridMultilevel"/>
    <w:tmpl w:val="F51E311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5" w15:restartNumberingAfterBreak="0">
    <w:nsid w:val="65F528E7"/>
    <w:multiLevelType w:val="hybridMultilevel"/>
    <w:tmpl w:val="C3960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66B90C88"/>
    <w:multiLevelType w:val="multilevel"/>
    <w:tmpl w:val="EBB649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7" w15:restartNumberingAfterBreak="0">
    <w:nsid w:val="675B584E"/>
    <w:multiLevelType w:val="hybridMultilevel"/>
    <w:tmpl w:val="91D04C60"/>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8" w15:restartNumberingAfterBreak="0">
    <w:nsid w:val="678F2503"/>
    <w:multiLevelType w:val="hybridMultilevel"/>
    <w:tmpl w:val="5D3AE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67B83A27"/>
    <w:multiLevelType w:val="multilevel"/>
    <w:tmpl w:val="7172B2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0" w15:restartNumberingAfterBreak="0">
    <w:nsid w:val="688A3244"/>
    <w:multiLevelType w:val="hybridMultilevel"/>
    <w:tmpl w:val="4F9C942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68961037"/>
    <w:multiLevelType w:val="multilevel"/>
    <w:tmpl w:val="4D924392"/>
    <w:lvl w:ilvl="0">
      <w:start w:val="1"/>
      <w:numFmt w:val="bullet"/>
      <w:lvlText w:val=""/>
      <w:lvlJc w:val="left"/>
      <w:pPr>
        <w:ind w:left="720" w:hanging="360"/>
      </w:pPr>
      <w:rPr>
        <w:rFonts w:ascii="Symbol" w:hAnsi="Symbol" w:hint="default"/>
      </w:rPr>
    </w:lvl>
    <w:lvl w:ilvl="1">
      <w:start w:val="1"/>
      <w:numFmt w:val="bullet"/>
      <w:lvlText w:val=""/>
      <w:lvlJc w:val="left"/>
      <w:pPr>
        <w:ind w:left="785" w:hanging="360"/>
      </w:pPr>
      <w:rPr>
        <w:rFonts w:ascii="Symbol" w:hAnsi="Symbol" w:hint="default"/>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15:restartNumberingAfterBreak="0">
    <w:nsid w:val="699B395C"/>
    <w:multiLevelType w:val="hybridMultilevel"/>
    <w:tmpl w:val="6ACC7A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3" w15:restartNumberingAfterBreak="0">
    <w:nsid w:val="6AEA6EE4"/>
    <w:multiLevelType w:val="hybridMultilevel"/>
    <w:tmpl w:val="EE167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4" w15:restartNumberingAfterBreak="0">
    <w:nsid w:val="6B586FD9"/>
    <w:multiLevelType w:val="hybridMultilevel"/>
    <w:tmpl w:val="6D54AC4A"/>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5" w15:restartNumberingAfterBreak="0">
    <w:nsid w:val="6CD1638D"/>
    <w:multiLevelType w:val="hybridMultilevel"/>
    <w:tmpl w:val="0A245466"/>
    <w:lvl w:ilvl="0" w:tplc="5BA40F7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6" w15:restartNumberingAfterBreak="0">
    <w:nsid w:val="6F665EA7"/>
    <w:multiLevelType w:val="hybridMultilevel"/>
    <w:tmpl w:val="91D04C60"/>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7" w15:restartNumberingAfterBreak="0">
    <w:nsid w:val="702C04FB"/>
    <w:multiLevelType w:val="hybridMultilevel"/>
    <w:tmpl w:val="9F1A34D8"/>
    <w:lvl w:ilvl="0" w:tplc="0C09000F">
      <w:start w:val="1"/>
      <w:numFmt w:val="decimal"/>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88" w15:restartNumberingAfterBreak="0">
    <w:nsid w:val="70BB12B8"/>
    <w:multiLevelType w:val="hybridMultilevel"/>
    <w:tmpl w:val="B83A1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9" w15:restartNumberingAfterBreak="0">
    <w:nsid w:val="71004F02"/>
    <w:multiLevelType w:val="multilevel"/>
    <w:tmpl w:val="8F7AA0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0" w15:restartNumberingAfterBreak="0">
    <w:nsid w:val="71D828C9"/>
    <w:multiLevelType w:val="hybridMultilevel"/>
    <w:tmpl w:val="CD048EF0"/>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1" w15:restartNumberingAfterBreak="0">
    <w:nsid w:val="71EC2BBB"/>
    <w:multiLevelType w:val="hybridMultilevel"/>
    <w:tmpl w:val="2C229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2" w15:restartNumberingAfterBreak="0">
    <w:nsid w:val="721D02EB"/>
    <w:multiLevelType w:val="hybridMultilevel"/>
    <w:tmpl w:val="38AA3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3" w15:restartNumberingAfterBreak="0">
    <w:nsid w:val="725B532E"/>
    <w:multiLevelType w:val="multilevel"/>
    <w:tmpl w:val="E9B44B6A"/>
    <w:styleLink w:val="ListNumber0"/>
    <w:lvl w:ilvl="0">
      <w:start w:val="1"/>
      <w:numFmt w:val="none"/>
      <w:lvlText w:val=""/>
      <w:lvlJc w:val="left"/>
      <w:pPr>
        <w:ind w:left="425" w:firstLine="0"/>
      </w:pPr>
      <w:rPr>
        <w:rFonts w:hint="default"/>
      </w:rPr>
    </w:lvl>
    <w:lvl w:ilvl="1">
      <w:start w:val="1"/>
      <w:numFmt w:val="none"/>
      <w:lvlText w:val=""/>
      <w:lvlJc w:val="left"/>
      <w:pPr>
        <w:ind w:left="851" w:hanging="1"/>
      </w:pPr>
      <w:rPr>
        <w:rFonts w:hint="default"/>
      </w:rPr>
    </w:lvl>
    <w:lvl w:ilvl="2">
      <w:start w:val="1"/>
      <w:numFmt w:val="none"/>
      <w:lvlText w:val=""/>
      <w:lvlJc w:val="left"/>
      <w:pPr>
        <w:ind w:left="1276" w:hanging="1"/>
      </w:pPr>
      <w:rPr>
        <w:rFonts w:hint="default"/>
      </w:rPr>
    </w:lvl>
    <w:lvl w:ilvl="3">
      <w:start w:val="1"/>
      <w:numFmt w:val="none"/>
      <w:lvlText w:val=""/>
      <w:lvlJc w:val="left"/>
      <w:pPr>
        <w:ind w:left="1701" w:hanging="1"/>
      </w:pPr>
      <w:rPr>
        <w:rFonts w:hint="default"/>
      </w:rPr>
    </w:lvl>
    <w:lvl w:ilvl="4">
      <w:start w:val="1"/>
      <w:numFmt w:val="none"/>
      <w:lvlText w:val=""/>
      <w:lvlJc w:val="left"/>
      <w:pPr>
        <w:ind w:left="2126" w:hanging="1"/>
      </w:pPr>
      <w:rPr>
        <w:rFonts w:hint="default"/>
      </w:rPr>
    </w:lvl>
    <w:lvl w:ilvl="5">
      <w:start w:val="1"/>
      <w:numFmt w:val="none"/>
      <w:lvlText w:val=""/>
      <w:lvlJc w:val="left"/>
      <w:pPr>
        <w:ind w:left="2552" w:hanging="2"/>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94" w15:restartNumberingAfterBreak="0">
    <w:nsid w:val="73D1638A"/>
    <w:multiLevelType w:val="multilevel"/>
    <w:tmpl w:val="FFFFFFFF"/>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5" w15:restartNumberingAfterBreak="0">
    <w:nsid w:val="73DA5183"/>
    <w:multiLevelType w:val="hybridMultilevel"/>
    <w:tmpl w:val="C9C28D22"/>
    <w:lvl w:ilvl="0" w:tplc="0C09000F">
      <w:start w:val="1"/>
      <w:numFmt w:val="decimal"/>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6" w15:restartNumberingAfterBreak="0">
    <w:nsid w:val="741E67AC"/>
    <w:multiLevelType w:val="hybridMultilevel"/>
    <w:tmpl w:val="22BCE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7" w15:restartNumberingAfterBreak="0">
    <w:nsid w:val="742622B1"/>
    <w:multiLevelType w:val="hybridMultilevel"/>
    <w:tmpl w:val="1C30C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15:restartNumberingAfterBreak="0">
    <w:nsid w:val="74B6491E"/>
    <w:multiLevelType w:val="hybridMultilevel"/>
    <w:tmpl w:val="B5CCD0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76130987"/>
    <w:multiLevelType w:val="hybridMultilevel"/>
    <w:tmpl w:val="78D29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777E780F"/>
    <w:multiLevelType w:val="hybridMultilevel"/>
    <w:tmpl w:val="314C7A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1" w15:restartNumberingAfterBreak="0">
    <w:nsid w:val="781C15E2"/>
    <w:multiLevelType w:val="multilevel"/>
    <w:tmpl w:val="4A6C85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2" w15:restartNumberingAfterBreak="0">
    <w:nsid w:val="789E20FC"/>
    <w:multiLevelType w:val="hybridMultilevel"/>
    <w:tmpl w:val="3536C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3" w15:restartNumberingAfterBreak="0">
    <w:nsid w:val="7A60014D"/>
    <w:multiLevelType w:val="multilevel"/>
    <w:tmpl w:val="2B6AF2D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4" w15:restartNumberingAfterBreak="0">
    <w:nsid w:val="7A764B3B"/>
    <w:multiLevelType w:val="hybridMultilevel"/>
    <w:tmpl w:val="BE740B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5" w15:restartNumberingAfterBreak="0">
    <w:nsid w:val="7AAD077B"/>
    <w:multiLevelType w:val="hybridMultilevel"/>
    <w:tmpl w:val="669E3292"/>
    <w:lvl w:ilvl="0" w:tplc="2B9ECCCA">
      <w:start w:val="1"/>
      <w:numFmt w:val="decimal"/>
      <w:lvlText w:val="%1."/>
      <w:lvlJc w:val="left"/>
      <w:pPr>
        <w:ind w:left="720" w:hanging="360"/>
      </w:pPr>
      <w:rPr>
        <w:i w:val="0"/>
        <w:iCs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6" w15:restartNumberingAfterBreak="0">
    <w:nsid w:val="7CCD0D3E"/>
    <w:multiLevelType w:val="hybridMultilevel"/>
    <w:tmpl w:val="54747F2C"/>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7" w15:restartNumberingAfterBreak="0">
    <w:nsid w:val="7FAB294C"/>
    <w:multiLevelType w:val="hybridMultilevel"/>
    <w:tmpl w:val="EF481F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8" w15:restartNumberingAfterBreak="0">
    <w:nsid w:val="7FD9727B"/>
    <w:multiLevelType w:val="hybridMultilevel"/>
    <w:tmpl w:val="B3C4E76E"/>
    <w:lvl w:ilvl="0" w:tplc="4318547C">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53"/>
  </w:num>
  <w:num w:numId="2">
    <w:abstractNumId w:val="37"/>
  </w:num>
  <w:num w:numId="3">
    <w:abstractNumId w:val="30"/>
  </w:num>
  <w:num w:numId="4">
    <w:abstractNumId w:val="63"/>
  </w:num>
  <w:num w:numId="5">
    <w:abstractNumId w:val="80"/>
  </w:num>
  <w:num w:numId="6">
    <w:abstractNumId w:val="82"/>
  </w:num>
  <w:num w:numId="7">
    <w:abstractNumId w:val="26"/>
  </w:num>
  <w:num w:numId="8">
    <w:abstractNumId w:val="114"/>
  </w:num>
  <w:num w:numId="9">
    <w:abstractNumId w:val="17"/>
  </w:num>
  <w:num w:numId="10">
    <w:abstractNumId w:val="1"/>
  </w:num>
  <w:num w:numId="11">
    <w:abstractNumId w:val="127"/>
    <w:lvlOverride w:ilvl="0">
      <w:lvl w:ilvl="0">
        <w:start w:val="1"/>
        <w:numFmt w:val="upperLetter"/>
        <w:lvlText w:val="Appendix %1"/>
        <w:lvlJc w:val="left"/>
        <w:pPr>
          <w:tabs>
            <w:tab w:val="num" w:pos="0"/>
          </w:tabs>
          <w:ind w:left="0" w:firstLine="0"/>
        </w:pPr>
        <w:rPr>
          <w:rFonts w:hint="default"/>
          <w:b w:val="0"/>
          <w:color w:val="51247A" w:themeColor="accent1"/>
        </w:rPr>
      </w:lvl>
    </w:lvlOverride>
  </w:num>
  <w:num w:numId="12">
    <w:abstractNumId w:val="144"/>
  </w:num>
  <w:num w:numId="13">
    <w:abstractNumId w:val="76"/>
  </w:num>
  <w:num w:numId="14">
    <w:abstractNumId w:val="142"/>
  </w:num>
  <w:num w:numId="15">
    <w:abstractNumId w:val="27"/>
  </w:num>
  <w:num w:numId="16">
    <w:abstractNumId w:val="139"/>
  </w:num>
  <w:num w:numId="17">
    <w:abstractNumId w:val="101"/>
  </w:num>
  <w:num w:numId="18">
    <w:abstractNumId w:val="84"/>
  </w:num>
  <w:num w:numId="19">
    <w:abstractNumId w:val="86"/>
  </w:num>
  <w:num w:numId="20">
    <w:abstractNumId w:val="46"/>
  </w:num>
  <w:num w:numId="21">
    <w:abstractNumId w:val="126"/>
  </w:num>
  <w:num w:numId="22">
    <w:abstractNumId w:val="2"/>
  </w:num>
  <w:num w:numId="23">
    <w:abstractNumId w:val="166"/>
  </w:num>
  <w:num w:numId="24">
    <w:abstractNumId w:val="65"/>
  </w:num>
  <w:num w:numId="25">
    <w:abstractNumId w:val="191"/>
  </w:num>
  <w:num w:numId="26">
    <w:abstractNumId w:val="148"/>
  </w:num>
  <w:num w:numId="27">
    <w:abstractNumId w:val="14"/>
  </w:num>
  <w:num w:numId="28">
    <w:abstractNumId w:val="20"/>
  </w:num>
  <w:num w:numId="29">
    <w:abstractNumId w:val="202"/>
  </w:num>
  <w:num w:numId="30">
    <w:abstractNumId w:val="90"/>
  </w:num>
  <w:num w:numId="31">
    <w:abstractNumId w:val="91"/>
  </w:num>
  <w:num w:numId="32">
    <w:abstractNumId w:val="74"/>
  </w:num>
  <w:num w:numId="33">
    <w:abstractNumId w:val="41"/>
  </w:num>
  <w:num w:numId="34">
    <w:abstractNumId w:val="32"/>
  </w:num>
  <w:num w:numId="35">
    <w:abstractNumId w:val="116"/>
  </w:num>
  <w:num w:numId="36">
    <w:abstractNumId w:val="112"/>
  </w:num>
  <w:num w:numId="37">
    <w:abstractNumId w:val="146"/>
  </w:num>
  <w:num w:numId="38">
    <w:abstractNumId w:val="179"/>
  </w:num>
  <w:num w:numId="39">
    <w:abstractNumId w:val="163"/>
  </w:num>
  <w:num w:numId="40">
    <w:abstractNumId w:val="93"/>
  </w:num>
  <w:num w:numId="41">
    <w:abstractNumId w:val="159"/>
  </w:num>
  <w:num w:numId="42">
    <w:abstractNumId w:val="54"/>
  </w:num>
  <w:num w:numId="43">
    <w:abstractNumId w:val="108"/>
  </w:num>
  <w:num w:numId="44">
    <w:abstractNumId w:val="208"/>
  </w:num>
  <w:num w:numId="45">
    <w:abstractNumId w:val="104"/>
  </w:num>
  <w:num w:numId="46">
    <w:abstractNumId w:val="5"/>
  </w:num>
  <w:num w:numId="47">
    <w:abstractNumId w:val="5"/>
  </w:num>
  <w:num w:numId="48">
    <w:abstractNumId w:val="193"/>
  </w:num>
  <w:num w:numId="49">
    <w:abstractNumId w:val="182"/>
  </w:num>
  <w:num w:numId="50">
    <w:abstractNumId w:val="115"/>
  </w:num>
  <w:num w:numId="51">
    <w:abstractNumId w:val="5"/>
  </w:num>
  <w:num w:numId="52">
    <w:abstractNumId w:val="175"/>
  </w:num>
  <w:num w:numId="53">
    <w:abstractNumId w:val="21"/>
  </w:num>
  <w:num w:numId="54">
    <w:abstractNumId w:val="135"/>
  </w:num>
  <w:num w:numId="55">
    <w:abstractNumId w:val="161"/>
  </w:num>
  <w:num w:numId="56">
    <w:abstractNumId w:val="5"/>
  </w:num>
  <w:num w:numId="57">
    <w:abstractNumId w:val="85"/>
  </w:num>
  <w:num w:numId="58">
    <w:abstractNumId w:val="133"/>
  </w:num>
  <w:num w:numId="59">
    <w:abstractNumId w:val="105"/>
  </w:num>
  <w:num w:numId="60">
    <w:abstractNumId w:val="155"/>
  </w:num>
  <w:num w:numId="61">
    <w:abstractNumId w:val="192"/>
  </w:num>
  <w:num w:numId="62">
    <w:abstractNumId w:val="170"/>
  </w:num>
  <w:num w:numId="63">
    <w:abstractNumId w:val="94"/>
  </w:num>
  <w:num w:numId="64">
    <w:abstractNumId w:val="5"/>
  </w:num>
  <w:num w:numId="65">
    <w:abstractNumId w:val="36"/>
  </w:num>
  <w:num w:numId="66">
    <w:abstractNumId w:val="38"/>
  </w:num>
  <w:num w:numId="67">
    <w:abstractNumId w:val="29"/>
  </w:num>
  <w:num w:numId="68">
    <w:abstractNumId w:val="122"/>
  </w:num>
  <w:num w:numId="69">
    <w:abstractNumId w:val="129"/>
  </w:num>
  <w:num w:numId="70">
    <w:abstractNumId w:val="56"/>
  </w:num>
  <w:num w:numId="71">
    <w:abstractNumId w:val="197"/>
  </w:num>
  <w:num w:numId="72">
    <w:abstractNumId w:val="5"/>
  </w:num>
  <w:num w:numId="73">
    <w:abstractNumId w:val="5"/>
  </w:num>
  <w:num w:numId="74">
    <w:abstractNumId w:val="79"/>
  </w:num>
  <w:num w:numId="75">
    <w:abstractNumId w:val="47"/>
  </w:num>
  <w:num w:numId="7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19"/>
  </w:num>
  <w:num w:numId="78">
    <w:abstractNumId w:val="98"/>
  </w:num>
  <w:num w:numId="79">
    <w:abstractNumId w:val="71"/>
  </w:num>
  <w:num w:numId="80">
    <w:abstractNumId w:val="121"/>
  </w:num>
  <w:num w:numId="81">
    <w:abstractNumId w:val="181"/>
  </w:num>
  <w:num w:numId="82">
    <w:abstractNumId w:val="55"/>
  </w:num>
  <w:num w:numId="83">
    <w:abstractNumId w:val="150"/>
  </w:num>
  <w:num w:numId="84">
    <w:abstractNumId w:val="40"/>
  </w:num>
  <w:num w:numId="85">
    <w:abstractNumId w:val="113"/>
  </w:num>
  <w:num w:numId="86">
    <w:abstractNumId w:val="75"/>
  </w:num>
  <w:num w:numId="87">
    <w:abstractNumId w:val="120"/>
  </w:num>
  <w:num w:numId="88">
    <w:abstractNumId w:val="87"/>
  </w:num>
  <w:num w:numId="89">
    <w:abstractNumId w:val="151"/>
  </w:num>
  <w:num w:numId="90">
    <w:abstractNumId w:val="172"/>
  </w:num>
  <w:num w:numId="91">
    <w:abstractNumId w:val="12"/>
  </w:num>
  <w:num w:numId="92">
    <w:abstractNumId w:val="28"/>
  </w:num>
  <w:num w:numId="93">
    <w:abstractNumId w:val="196"/>
  </w:num>
  <w:num w:numId="94">
    <w:abstractNumId w:val="18"/>
  </w:num>
  <w:num w:numId="95">
    <w:abstractNumId w:val="72"/>
  </w:num>
  <w:num w:numId="96">
    <w:abstractNumId w:val="157"/>
  </w:num>
  <w:num w:numId="97">
    <w:abstractNumId w:val="174"/>
  </w:num>
  <w:num w:numId="98">
    <w:abstractNumId w:val="39"/>
  </w:num>
  <w:num w:numId="99">
    <w:abstractNumId w:val="118"/>
  </w:num>
  <w:num w:numId="100">
    <w:abstractNumId w:val="152"/>
  </w:num>
  <w:num w:numId="101">
    <w:abstractNumId w:val="123"/>
  </w:num>
  <w:num w:numId="102">
    <w:abstractNumId w:val="88"/>
  </w:num>
  <w:num w:numId="103">
    <w:abstractNumId w:val="117"/>
  </w:num>
  <w:num w:numId="104">
    <w:abstractNumId w:val="8"/>
  </w:num>
  <w:num w:numId="105">
    <w:abstractNumId w:val="199"/>
  </w:num>
  <w:num w:numId="106">
    <w:abstractNumId w:val="25"/>
  </w:num>
  <w:num w:numId="107">
    <w:abstractNumId w:val="11"/>
  </w:num>
  <w:num w:numId="108">
    <w:abstractNumId w:val="59"/>
  </w:num>
  <w:num w:numId="109">
    <w:abstractNumId w:val="188"/>
  </w:num>
  <w:num w:numId="110">
    <w:abstractNumId w:val="4"/>
  </w:num>
  <w:num w:numId="111">
    <w:abstractNumId w:val="61"/>
  </w:num>
  <w:num w:numId="112">
    <w:abstractNumId w:val="165"/>
  </w:num>
  <w:num w:numId="113">
    <w:abstractNumId w:val="204"/>
  </w:num>
  <w:num w:numId="114">
    <w:abstractNumId w:val="31"/>
  </w:num>
  <w:num w:numId="115">
    <w:abstractNumId w:val="96"/>
  </w:num>
  <w:num w:numId="116">
    <w:abstractNumId w:val="95"/>
  </w:num>
  <w:num w:numId="117">
    <w:abstractNumId w:val="134"/>
  </w:num>
  <w:num w:numId="118">
    <w:abstractNumId w:val="34"/>
  </w:num>
  <w:num w:numId="119">
    <w:abstractNumId w:val="125"/>
  </w:num>
  <w:num w:numId="120">
    <w:abstractNumId w:val="143"/>
  </w:num>
  <w:num w:numId="121">
    <w:abstractNumId w:val="16"/>
  </w:num>
  <w:num w:numId="122">
    <w:abstractNumId w:val="52"/>
  </w:num>
  <w:num w:numId="123">
    <w:abstractNumId w:val="68"/>
  </w:num>
  <w:num w:numId="124">
    <w:abstractNumId w:val="169"/>
  </w:num>
  <w:num w:numId="125">
    <w:abstractNumId w:val="64"/>
  </w:num>
  <w:num w:numId="126">
    <w:abstractNumId w:val="69"/>
    <w:lvlOverride w:ilvl="0">
      <w:lvl w:ilvl="0">
        <w:start w:val="1"/>
        <w:numFmt w:val="decimal"/>
        <w:pStyle w:val="ScheduleL1"/>
        <w:suff w:val="nothing"/>
        <w:lvlText w:val="Schedule %1"/>
        <w:lvlJc w:val="left"/>
        <w:pPr>
          <w:ind w:left="0" w:firstLine="0"/>
        </w:pPr>
        <w:rPr>
          <w:rFonts w:hint="default"/>
        </w:rPr>
      </w:lvl>
    </w:lvlOverride>
    <w:lvlOverride w:ilvl="1">
      <w:lvl w:ilvl="1">
        <w:start w:val="1"/>
        <w:numFmt w:val="decimal"/>
        <w:pStyle w:val="ScheduleL2"/>
        <w:lvlText w:val="%2."/>
        <w:lvlJc w:val="left"/>
        <w:pPr>
          <w:ind w:left="680" w:hanging="680"/>
        </w:pPr>
        <w:rPr>
          <w:rFonts w:hint="default"/>
          <w:b w:val="0"/>
          <w:i w:val="0"/>
        </w:rPr>
      </w:lvl>
    </w:lvlOverride>
    <w:lvlOverride w:ilvl="2">
      <w:lvl w:ilvl="2">
        <w:start w:val="1"/>
        <w:numFmt w:val="decimal"/>
        <w:pStyle w:val="ScheduleL3"/>
        <w:lvlText w:val="%2.%3"/>
        <w:lvlJc w:val="left"/>
        <w:pPr>
          <w:ind w:left="680" w:hanging="680"/>
        </w:pPr>
        <w:rPr>
          <w:rFonts w:hint="default"/>
        </w:rPr>
      </w:lvl>
    </w:lvlOverride>
    <w:lvlOverride w:ilvl="3">
      <w:lvl w:ilvl="3">
        <w:start w:val="1"/>
        <w:numFmt w:val="lowerLetter"/>
        <w:pStyle w:val="ScheduleL4"/>
        <w:lvlText w:val="(%4)"/>
        <w:lvlJc w:val="left"/>
        <w:pPr>
          <w:ind w:left="1361" w:hanging="681"/>
        </w:pPr>
        <w:rPr>
          <w:rFonts w:ascii="Arial" w:hAnsi="Arial" w:cs="Arial" w:hint="default"/>
          <w:b w:val="0"/>
        </w:rPr>
      </w:lvl>
    </w:lvlOverride>
    <w:lvlOverride w:ilvl="4">
      <w:lvl w:ilvl="4">
        <w:start w:val="1"/>
        <w:numFmt w:val="lowerRoman"/>
        <w:pStyle w:val="ScheduleL5"/>
        <w:lvlText w:val="(%5)"/>
        <w:lvlJc w:val="left"/>
        <w:pPr>
          <w:ind w:left="2041" w:hanging="680"/>
        </w:pPr>
        <w:rPr>
          <w:rFonts w:ascii="Arial" w:hAnsi="Arial" w:cs="Arial" w:hint="default"/>
        </w:rPr>
      </w:lvl>
    </w:lvlOverride>
    <w:lvlOverride w:ilvl="5">
      <w:lvl w:ilvl="5">
        <w:start w:val="1"/>
        <w:numFmt w:val="upperLetter"/>
        <w:pStyle w:val="ScheduleL6"/>
        <w:lvlText w:val="(%6)"/>
        <w:lvlJc w:val="left"/>
        <w:pPr>
          <w:ind w:left="2722" w:hanging="681"/>
        </w:pPr>
        <w:rPr>
          <w:rFonts w:ascii="Arial" w:hAnsi="Arial" w:cs="Arial"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left"/>
        <w:pPr>
          <w:ind w:left="0" w:firstLine="0"/>
        </w:pPr>
        <w:rPr>
          <w:rFonts w:hint="default"/>
        </w:rPr>
      </w:lvl>
    </w:lvlOverride>
  </w:num>
  <w:num w:numId="127">
    <w:abstractNumId w:val="57"/>
  </w:num>
  <w:num w:numId="128">
    <w:abstractNumId w:val="0"/>
    <w:lvlOverride w:ilvl="0">
      <w:lvl w:ilvl="0">
        <w:start w:val="1"/>
        <w:numFmt w:val="bullet"/>
        <w:lvlText w:val=""/>
        <w:legacy w:legacy="1" w:legacySpace="0" w:legacyIndent="240"/>
        <w:lvlJc w:val="left"/>
        <w:pPr>
          <w:ind w:left="240" w:hanging="240"/>
        </w:pPr>
        <w:rPr>
          <w:rFonts w:ascii="Wingdings" w:hAnsi="Wingdings"/>
          <w:sz w:val="12"/>
        </w:rPr>
      </w:lvl>
    </w:lvlOverride>
  </w:num>
  <w:num w:numId="129">
    <w:abstractNumId w:val="185"/>
  </w:num>
  <w:num w:numId="130">
    <w:abstractNumId w:val="45"/>
  </w:num>
  <w:num w:numId="131">
    <w:abstractNumId w:val="153"/>
  </w:num>
  <w:num w:numId="132">
    <w:abstractNumId w:val="9"/>
  </w:num>
  <w:num w:numId="133">
    <w:abstractNumId w:val="15"/>
  </w:num>
  <w:num w:numId="134">
    <w:abstractNumId w:val="171"/>
  </w:num>
  <w:num w:numId="135">
    <w:abstractNumId w:val="69"/>
  </w:num>
  <w:num w:numId="136">
    <w:abstractNumId w:val="78"/>
  </w:num>
  <w:num w:numId="137">
    <w:abstractNumId w:val="42"/>
  </w:num>
  <w:num w:numId="138">
    <w:abstractNumId w:val="137"/>
  </w:num>
  <w:num w:numId="139">
    <w:abstractNumId w:val="35"/>
  </w:num>
  <w:num w:numId="140">
    <w:abstractNumId w:val="158"/>
  </w:num>
  <w:num w:numId="141">
    <w:abstractNumId w:val="138"/>
  </w:num>
  <w:num w:numId="142">
    <w:abstractNumId w:val="149"/>
  </w:num>
  <w:num w:numId="143">
    <w:abstractNumId w:val="89"/>
  </w:num>
  <w:num w:numId="144">
    <w:abstractNumId w:val="3"/>
  </w:num>
  <w:num w:numId="145">
    <w:abstractNumId w:val="190"/>
  </w:num>
  <w:num w:numId="146">
    <w:abstractNumId w:val="128"/>
  </w:num>
  <w:num w:numId="147">
    <w:abstractNumId w:val="186"/>
  </w:num>
  <w:num w:numId="148">
    <w:abstractNumId w:val="177"/>
  </w:num>
  <w:num w:numId="149">
    <w:abstractNumId w:val="60"/>
  </w:num>
  <w:num w:numId="150">
    <w:abstractNumId w:val="127"/>
  </w:num>
  <w:num w:numId="151">
    <w:abstractNumId w:val="102"/>
  </w:num>
  <w:num w:numId="152">
    <w:abstractNumId w:val="66"/>
  </w:num>
  <w:num w:numId="153">
    <w:abstractNumId w:val="5"/>
  </w:num>
  <w:num w:numId="154">
    <w:abstractNumId w:val="97"/>
  </w:num>
  <w:num w:numId="155">
    <w:abstractNumId w:val="147"/>
  </w:num>
  <w:num w:numId="156">
    <w:abstractNumId w:val="24"/>
  </w:num>
  <w:num w:numId="157">
    <w:abstractNumId w:val="195"/>
  </w:num>
  <w:num w:numId="158">
    <w:abstractNumId w:val="164"/>
  </w:num>
  <w:num w:numId="159">
    <w:abstractNumId w:val="141"/>
  </w:num>
  <w:num w:numId="160">
    <w:abstractNumId w:val="140"/>
  </w:num>
  <w:num w:numId="161">
    <w:abstractNumId w:val="110"/>
  </w:num>
  <w:num w:numId="162">
    <w:abstractNumId w:val="167"/>
  </w:num>
  <w:num w:numId="163">
    <w:abstractNumId w:val="82"/>
  </w:num>
  <w:num w:numId="164">
    <w:abstractNumId w:val="82"/>
  </w:num>
  <w:num w:numId="165">
    <w:abstractNumId w:val="82"/>
  </w:num>
  <w:num w:numId="166">
    <w:abstractNumId w:val="7"/>
  </w:num>
  <w:num w:numId="167">
    <w:abstractNumId w:val="6"/>
  </w:num>
  <w:num w:numId="168">
    <w:abstractNumId w:val="154"/>
  </w:num>
  <w:num w:numId="169">
    <w:abstractNumId w:val="83"/>
  </w:num>
  <w:num w:numId="170">
    <w:abstractNumId w:val="58"/>
  </w:num>
  <w:num w:numId="171">
    <w:abstractNumId w:val="44"/>
  </w:num>
  <w:num w:numId="172">
    <w:abstractNumId w:val="136"/>
  </w:num>
  <w:num w:numId="173">
    <w:abstractNumId w:val="51"/>
  </w:num>
  <w:num w:numId="174">
    <w:abstractNumId w:val="206"/>
  </w:num>
  <w:num w:numId="175">
    <w:abstractNumId w:val="106"/>
  </w:num>
  <w:num w:numId="176">
    <w:abstractNumId w:val="111"/>
  </w:num>
  <w:num w:numId="177">
    <w:abstractNumId w:val="160"/>
  </w:num>
  <w:num w:numId="178">
    <w:abstractNumId w:val="198"/>
  </w:num>
  <w:num w:numId="179">
    <w:abstractNumId w:val="82"/>
  </w:num>
  <w:num w:numId="180">
    <w:abstractNumId w:val="82"/>
  </w:num>
  <w:num w:numId="181">
    <w:abstractNumId w:val="82"/>
  </w:num>
  <w:num w:numId="182">
    <w:abstractNumId w:val="82"/>
  </w:num>
  <w:num w:numId="183">
    <w:abstractNumId w:val="82"/>
  </w:num>
  <w:num w:numId="184">
    <w:abstractNumId w:val="82"/>
  </w:num>
  <w:num w:numId="185">
    <w:abstractNumId w:val="82"/>
  </w:num>
  <w:num w:numId="186">
    <w:abstractNumId w:val="82"/>
  </w:num>
  <w:num w:numId="187">
    <w:abstractNumId w:val="82"/>
  </w:num>
  <w:num w:numId="188">
    <w:abstractNumId w:val="82"/>
  </w:num>
  <w:num w:numId="189">
    <w:abstractNumId w:val="82"/>
  </w:num>
  <w:num w:numId="190">
    <w:abstractNumId w:val="82"/>
  </w:num>
  <w:num w:numId="191">
    <w:abstractNumId w:val="82"/>
  </w:num>
  <w:num w:numId="192">
    <w:abstractNumId w:val="82"/>
  </w:num>
  <w:num w:numId="193">
    <w:abstractNumId w:val="82"/>
  </w:num>
  <w:num w:numId="194">
    <w:abstractNumId w:val="82"/>
  </w:num>
  <w:num w:numId="195">
    <w:abstractNumId w:val="82"/>
  </w:num>
  <w:num w:numId="196">
    <w:abstractNumId w:val="82"/>
  </w:num>
  <w:num w:numId="197">
    <w:abstractNumId w:val="82"/>
  </w:num>
  <w:num w:numId="198">
    <w:abstractNumId w:val="145"/>
  </w:num>
  <w:num w:numId="199">
    <w:abstractNumId w:val="99"/>
  </w:num>
  <w:num w:numId="200">
    <w:abstractNumId w:val="82"/>
  </w:num>
  <w:num w:numId="201">
    <w:abstractNumId w:val="82"/>
  </w:num>
  <w:num w:numId="202">
    <w:abstractNumId w:val="82"/>
  </w:num>
  <w:num w:numId="203">
    <w:abstractNumId w:val="173"/>
  </w:num>
  <w:num w:numId="204">
    <w:abstractNumId w:val="187"/>
  </w:num>
  <w:num w:numId="205">
    <w:abstractNumId w:val="132"/>
  </w:num>
  <w:num w:numId="206">
    <w:abstractNumId w:val="107"/>
  </w:num>
  <w:num w:numId="207">
    <w:abstractNumId w:val="107"/>
    <w:lvlOverride w:ilvl="0">
      <w:lvl w:ilvl="0" w:tplc="0C090015">
        <w:start w:val="1"/>
        <w:numFmt w:val="decimal"/>
        <w:lvlText w:val="%1."/>
        <w:lvlJc w:val="left"/>
        <w:pPr>
          <w:ind w:left="1506" w:hanging="360"/>
        </w:pPr>
        <w:rPr>
          <w:rFonts w:hint="default"/>
        </w:rPr>
      </w:lvl>
    </w:lvlOverride>
    <w:lvlOverride w:ilvl="1">
      <w:lvl w:ilvl="1" w:tplc="0C09000F">
        <w:start w:val="1"/>
        <w:numFmt w:val="lowerLetter"/>
        <w:lvlText w:val="%2."/>
        <w:lvlJc w:val="left"/>
        <w:pPr>
          <w:ind w:left="1440" w:hanging="360"/>
        </w:pPr>
      </w:lvl>
    </w:lvlOverride>
    <w:lvlOverride w:ilvl="2">
      <w:lvl w:ilvl="2" w:tplc="0C090005" w:tentative="1">
        <w:start w:val="1"/>
        <w:numFmt w:val="lowerRoman"/>
        <w:lvlText w:val="%3."/>
        <w:lvlJc w:val="right"/>
        <w:pPr>
          <w:ind w:left="2160" w:hanging="180"/>
        </w:pPr>
      </w:lvl>
    </w:lvlOverride>
    <w:lvlOverride w:ilvl="3">
      <w:lvl w:ilvl="3" w:tplc="0C090001" w:tentative="1">
        <w:start w:val="1"/>
        <w:numFmt w:val="decimal"/>
        <w:lvlText w:val="%4."/>
        <w:lvlJc w:val="left"/>
        <w:pPr>
          <w:ind w:left="2880" w:hanging="360"/>
        </w:pPr>
      </w:lvl>
    </w:lvlOverride>
    <w:lvlOverride w:ilvl="4">
      <w:lvl w:ilvl="4" w:tplc="0C090003" w:tentative="1">
        <w:start w:val="1"/>
        <w:numFmt w:val="lowerLetter"/>
        <w:lvlText w:val="%5."/>
        <w:lvlJc w:val="left"/>
        <w:pPr>
          <w:ind w:left="3600" w:hanging="360"/>
        </w:pPr>
      </w:lvl>
    </w:lvlOverride>
    <w:lvlOverride w:ilvl="5">
      <w:lvl w:ilvl="5" w:tplc="0C090005" w:tentative="1">
        <w:start w:val="1"/>
        <w:numFmt w:val="lowerRoman"/>
        <w:lvlText w:val="%6."/>
        <w:lvlJc w:val="right"/>
        <w:pPr>
          <w:ind w:left="4320" w:hanging="180"/>
        </w:pPr>
      </w:lvl>
    </w:lvlOverride>
    <w:lvlOverride w:ilvl="6">
      <w:lvl w:ilvl="6" w:tplc="0C090001" w:tentative="1">
        <w:start w:val="1"/>
        <w:numFmt w:val="decimal"/>
        <w:lvlText w:val="%7."/>
        <w:lvlJc w:val="left"/>
        <w:pPr>
          <w:ind w:left="5040" w:hanging="360"/>
        </w:pPr>
      </w:lvl>
    </w:lvlOverride>
    <w:lvlOverride w:ilvl="7">
      <w:lvl w:ilvl="7" w:tplc="0C090003" w:tentative="1">
        <w:start w:val="1"/>
        <w:numFmt w:val="lowerLetter"/>
        <w:lvlText w:val="%8."/>
        <w:lvlJc w:val="left"/>
        <w:pPr>
          <w:ind w:left="5760" w:hanging="360"/>
        </w:pPr>
      </w:lvl>
    </w:lvlOverride>
    <w:lvlOverride w:ilvl="8">
      <w:lvl w:ilvl="8" w:tplc="0C090005" w:tentative="1">
        <w:start w:val="1"/>
        <w:numFmt w:val="lowerRoman"/>
        <w:lvlText w:val="%9."/>
        <w:lvlJc w:val="right"/>
        <w:pPr>
          <w:ind w:left="6480" w:hanging="180"/>
        </w:pPr>
      </w:lvl>
    </w:lvlOverride>
  </w:num>
  <w:num w:numId="208">
    <w:abstractNumId w:val="50"/>
  </w:num>
  <w:num w:numId="209">
    <w:abstractNumId w:val="82"/>
  </w:num>
  <w:num w:numId="210">
    <w:abstractNumId w:val="82"/>
  </w:num>
  <w:num w:numId="211">
    <w:abstractNumId w:val="82"/>
  </w:num>
  <w:num w:numId="212">
    <w:abstractNumId w:val="82"/>
  </w:num>
  <w:num w:numId="213">
    <w:abstractNumId w:val="82"/>
  </w:num>
  <w:num w:numId="214">
    <w:abstractNumId w:val="82"/>
  </w:num>
  <w:num w:numId="215">
    <w:abstractNumId w:val="33"/>
  </w:num>
  <w:num w:numId="216">
    <w:abstractNumId w:val="62"/>
  </w:num>
  <w:num w:numId="217">
    <w:abstractNumId w:val="180"/>
  </w:num>
  <w:num w:numId="218">
    <w:abstractNumId w:val="19"/>
  </w:num>
  <w:num w:numId="219">
    <w:abstractNumId w:val="82"/>
  </w:num>
  <w:num w:numId="220">
    <w:abstractNumId w:val="82"/>
  </w:num>
  <w:num w:numId="221">
    <w:abstractNumId w:val="82"/>
  </w:num>
  <w:num w:numId="222">
    <w:abstractNumId w:val="103"/>
  </w:num>
  <w:num w:numId="223">
    <w:abstractNumId w:val="67"/>
  </w:num>
  <w:num w:numId="224">
    <w:abstractNumId w:val="77"/>
  </w:num>
  <w:num w:numId="225">
    <w:abstractNumId w:val="194"/>
  </w:num>
  <w:num w:numId="226">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73"/>
  </w:num>
  <w:num w:numId="228">
    <w:abstractNumId w:val="10"/>
  </w:num>
  <w:num w:numId="229">
    <w:abstractNumId w:val="70"/>
  </w:num>
  <w:num w:numId="230">
    <w:abstractNumId w:val="184"/>
  </w:num>
  <w:num w:numId="231">
    <w:abstractNumId w:val="49"/>
  </w:num>
  <w:num w:numId="232">
    <w:abstractNumId w:val="100"/>
  </w:num>
  <w:num w:numId="233">
    <w:abstractNumId w:val="130"/>
  </w:num>
  <w:num w:numId="234">
    <w:abstractNumId w:val="48"/>
  </w:num>
  <w:num w:numId="235">
    <w:abstractNumId w:val="131"/>
  </w:num>
  <w:num w:numId="236">
    <w:abstractNumId w:val="109"/>
  </w:num>
  <w:num w:numId="237">
    <w:abstractNumId w:val="189"/>
  </w:num>
  <w:num w:numId="238">
    <w:abstractNumId w:val="168"/>
  </w:num>
  <w:num w:numId="239">
    <w:abstractNumId w:val="201"/>
  </w:num>
  <w:num w:numId="240">
    <w:abstractNumId w:val="203"/>
  </w:num>
  <w:num w:numId="241">
    <w:abstractNumId w:val="49"/>
  </w:num>
  <w:num w:numId="242">
    <w:abstractNumId w:val="100"/>
  </w:num>
  <w:num w:numId="243">
    <w:abstractNumId w:val="130"/>
  </w:num>
  <w:num w:numId="244">
    <w:abstractNumId w:val="48"/>
  </w:num>
  <w:num w:numId="245">
    <w:abstractNumId w:val="131"/>
  </w:num>
  <w:num w:numId="246">
    <w:abstractNumId w:val="109"/>
  </w:num>
  <w:num w:numId="247">
    <w:abstractNumId w:val="189"/>
  </w:num>
  <w:num w:numId="248">
    <w:abstractNumId w:val="168"/>
  </w:num>
  <w:num w:numId="249">
    <w:abstractNumId w:val="201"/>
  </w:num>
  <w:num w:numId="250">
    <w:abstractNumId w:val="203"/>
  </w:num>
  <w:num w:numId="251">
    <w:abstractNumId w:val="13"/>
  </w:num>
  <w:num w:numId="252">
    <w:abstractNumId w:val="176"/>
  </w:num>
  <w:num w:numId="253">
    <w:abstractNumId w:val="13"/>
  </w:num>
  <w:num w:numId="254">
    <w:abstractNumId w:val="176"/>
  </w:num>
  <w:num w:numId="255">
    <w:abstractNumId w:val="92"/>
  </w:num>
  <w:num w:numId="256">
    <w:abstractNumId w:val="81"/>
  </w:num>
  <w:num w:numId="257">
    <w:abstractNumId w:val="205"/>
  </w:num>
  <w:num w:numId="258">
    <w:abstractNumId w:val="207"/>
  </w:num>
  <w:num w:numId="259">
    <w:abstractNumId w:val="124"/>
  </w:num>
  <w:num w:numId="260">
    <w:abstractNumId w:val="156"/>
  </w:num>
  <w:num w:numId="261">
    <w:abstractNumId w:val="23"/>
  </w:num>
  <w:num w:numId="262">
    <w:abstractNumId w:val="162"/>
  </w:num>
  <w:num w:numId="263">
    <w:abstractNumId w:val="183"/>
  </w:num>
  <w:num w:numId="264">
    <w:abstractNumId w:val="200"/>
  </w:num>
  <w:num w:numId="265">
    <w:abstractNumId w:val="178"/>
  </w:num>
  <w:num w:numId="266">
    <w:abstractNumId w:val="43"/>
  </w:num>
  <w:numIdMacAtCleanup w:val="2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4097"/>
  </w:hdrShapeDefaults>
  <w:footnotePr>
    <w:numFmt w:val="lowerLette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00v9zw27zzswpe25phxpead0asdt50td92p&quot;&gt;THN EndNote Copy Copy&lt;record-ids&gt;&lt;item&gt;1&lt;/item&gt;&lt;item&gt;6&lt;/item&gt;&lt;item&gt;22&lt;/item&gt;&lt;item&gt;23&lt;/item&gt;&lt;item&gt;25&lt;/item&gt;&lt;item&gt;26&lt;/item&gt;&lt;item&gt;31&lt;/item&gt;&lt;item&gt;36&lt;/item&gt;&lt;item&gt;37&lt;/item&gt;&lt;item&gt;43&lt;/item&gt;&lt;item&gt;47&lt;/item&gt;&lt;item&gt;52&lt;/item&gt;&lt;item&gt;66&lt;/item&gt;&lt;item&gt;68&lt;/item&gt;&lt;item&gt;69&lt;/item&gt;&lt;item&gt;70&lt;/item&gt;&lt;item&gt;71&lt;/item&gt;&lt;item&gt;73&lt;/item&gt;&lt;item&gt;75&lt;/item&gt;&lt;item&gt;82&lt;/item&gt;&lt;item&gt;83&lt;/item&gt;&lt;item&gt;103&lt;/item&gt;&lt;item&gt;104&lt;/item&gt;&lt;item&gt;105&lt;/item&gt;&lt;item&gt;106&lt;/item&gt;&lt;item&gt;110&lt;/item&gt;&lt;item&gt;111&lt;/item&gt;&lt;item&gt;112&lt;/item&gt;&lt;item&gt;113&lt;/item&gt;&lt;item&gt;115&lt;/item&gt;&lt;item&gt;116&lt;/item&gt;&lt;item&gt;117&lt;/item&gt;&lt;item&gt;118&lt;/item&gt;&lt;item&gt;119&lt;/item&gt;&lt;item&gt;120&lt;/item&gt;&lt;item&gt;121&lt;/item&gt;&lt;item&gt;122&lt;/item&gt;&lt;item&gt;124&lt;/item&gt;&lt;item&gt;125&lt;/item&gt;&lt;item&gt;126&lt;/item&gt;&lt;item&gt;127&lt;/item&gt;&lt;item&gt;128&lt;/item&gt;&lt;item&gt;129&lt;/item&gt;&lt;item&gt;130&lt;/item&gt;&lt;item&gt;131&lt;/item&gt;&lt;item&gt;136&lt;/item&gt;&lt;item&gt;137&lt;/item&gt;&lt;item&gt;139&lt;/item&gt;&lt;item&gt;142&lt;/item&gt;&lt;item&gt;143&lt;/item&gt;&lt;item&gt;144&lt;/item&gt;&lt;item&gt;145&lt;/item&gt;&lt;item&gt;146&lt;/item&gt;&lt;item&gt;147&lt;/item&gt;&lt;item&gt;148&lt;/item&gt;&lt;item&gt;149&lt;/item&gt;&lt;item&gt;150&lt;/item&gt;&lt;item&gt;151&lt;/item&gt;&lt;item&gt;152&lt;/item&gt;&lt;/record-ids&gt;&lt;/item&gt;&lt;/Libraries&gt;"/>
  </w:docVars>
  <w:rsids>
    <w:rsidRoot w:val="00BC47E0"/>
    <w:rsid w:val="000001BF"/>
    <w:rsid w:val="000002DB"/>
    <w:rsid w:val="00000508"/>
    <w:rsid w:val="00000516"/>
    <w:rsid w:val="00000523"/>
    <w:rsid w:val="00000533"/>
    <w:rsid w:val="00000534"/>
    <w:rsid w:val="00000780"/>
    <w:rsid w:val="00000800"/>
    <w:rsid w:val="00000843"/>
    <w:rsid w:val="0000091C"/>
    <w:rsid w:val="00000B55"/>
    <w:rsid w:val="00000D09"/>
    <w:rsid w:val="00000D5B"/>
    <w:rsid w:val="00000E9B"/>
    <w:rsid w:val="00000EB9"/>
    <w:rsid w:val="00000F46"/>
    <w:rsid w:val="000010BE"/>
    <w:rsid w:val="00001106"/>
    <w:rsid w:val="000011F4"/>
    <w:rsid w:val="0000123F"/>
    <w:rsid w:val="000012A9"/>
    <w:rsid w:val="00001323"/>
    <w:rsid w:val="0000139E"/>
    <w:rsid w:val="000013D5"/>
    <w:rsid w:val="00001486"/>
    <w:rsid w:val="00001493"/>
    <w:rsid w:val="0000160E"/>
    <w:rsid w:val="0000161F"/>
    <w:rsid w:val="00001706"/>
    <w:rsid w:val="00001747"/>
    <w:rsid w:val="0000175A"/>
    <w:rsid w:val="000018AD"/>
    <w:rsid w:val="00001971"/>
    <w:rsid w:val="00001A28"/>
    <w:rsid w:val="00001A8D"/>
    <w:rsid w:val="00001AB4"/>
    <w:rsid w:val="00001ABF"/>
    <w:rsid w:val="00001CAF"/>
    <w:rsid w:val="00001CE6"/>
    <w:rsid w:val="00001D5C"/>
    <w:rsid w:val="00001E77"/>
    <w:rsid w:val="00001E87"/>
    <w:rsid w:val="00001EFE"/>
    <w:rsid w:val="00001F83"/>
    <w:rsid w:val="00001FF5"/>
    <w:rsid w:val="000020A9"/>
    <w:rsid w:val="00002330"/>
    <w:rsid w:val="0000241B"/>
    <w:rsid w:val="00002429"/>
    <w:rsid w:val="00002437"/>
    <w:rsid w:val="000026DF"/>
    <w:rsid w:val="0000292D"/>
    <w:rsid w:val="000029AA"/>
    <w:rsid w:val="00002AA8"/>
    <w:rsid w:val="00002CD6"/>
    <w:rsid w:val="0000326E"/>
    <w:rsid w:val="00003320"/>
    <w:rsid w:val="00003470"/>
    <w:rsid w:val="000034C5"/>
    <w:rsid w:val="000035AE"/>
    <w:rsid w:val="00003655"/>
    <w:rsid w:val="00003658"/>
    <w:rsid w:val="00003695"/>
    <w:rsid w:val="000036C7"/>
    <w:rsid w:val="000036CC"/>
    <w:rsid w:val="00003874"/>
    <w:rsid w:val="00003AC1"/>
    <w:rsid w:val="00003AFD"/>
    <w:rsid w:val="00003B3B"/>
    <w:rsid w:val="00003C47"/>
    <w:rsid w:val="00003CCE"/>
    <w:rsid w:val="00003FE9"/>
    <w:rsid w:val="00004190"/>
    <w:rsid w:val="00004224"/>
    <w:rsid w:val="00004631"/>
    <w:rsid w:val="00004923"/>
    <w:rsid w:val="00004957"/>
    <w:rsid w:val="000049F2"/>
    <w:rsid w:val="00004A9C"/>
    <w:rsid w:val="00004CDF"/>
    <w:rsid w:val="00004D4D"/>
    <w:rsid w:val="00004E64"/>
    <w:rsid w:val="00004F90"/>
    <w:rsid w:val="00004F98"/>
    <w:rsid w:val="000051AD"/>
    <w:rsid w:val="00005388"/>
    <w:rsid w:val="000054BF"/>
    <w:rsid w:val="000055BF"/>
    <w:rsid w:val="00005753"/>
    <w:rsid w:val="0000576A"/>
    <w:rsid w:val="00005807"/>
    <w:rsid w:val="00005A71"/>
    <w:rsid w:val="00005AF5"/>
    <w:rsid w:val="00005BDC"/>
    <w:rsid w:val="00005C7B"/>
    <w:rsid w:val="00005E30"/>
    <w:rsid w:val="00005E68"/>
    <w:rsid w:val="00005F07"/>
    <w:rsid w:val="00006161"/>
    <w:rsid w:val="000063D1"/>
    <w:rsid w:val="0000642F"/>
    <w:rsid w:val="00006681"/>
    <w:rsid w:val="00006691"/>
    <w:rsid w:val="0000675A"/>
    <w:rsid w:val="000067C1"/>
    <w:rsid w:val="0000683D"/>
    <w:rsid w:val="000068B4"/>
    <w:rsid w:val="000068C5"/>
    <w:rsid w:val="000069B3"/>
    <w:rsid w:val="00006ADB"/>
    <w:rsid w:val="00006B66"/>
    <w:rsid w:val="00006D04"/>
    <w:rsid w:val="00007134"/>
    <w:rsid w:val="0000715B"/>
    <w:rsid w:val="000071E2"/>
    <w:rsid w:val="000073D4"/>
    <w:rsid w:val="00007414"/>
    <w:rsid w:val="000075B0"/>
    <w:rsid w:val="00007687"/>
    <w:rsid w:val="00007949"/>
    <w:rsid w:val="00007A57"/>
    <w:rsid w:val="00007AEE"/>
    <w:rsid w:val="00007EA9"/>
    <w:rsid w:val="00007F58"/>
    <w:rsid w:val="00010250"/>
    <w:rsid w:val="000102D5"/>
    <w:rsid w:val="00010303"/>
    <w:rsid w:val="00010494"/>
    <w:rsid w:val="00010585"/>
    <w:rsid w:val="000106FC"/>
    <w:rsid w:val="00010949"/>
    <w:rsid w:val="00010BAF"/>
    <w:rsid w:val="00010C29"/>
    <w:rsid w:val="00010C3B"/>
    <w:rsid w:val="00010CDD"/>
    <w:rsid w:val="00010D9A"/>
    <w:rsid w:val="00010FDF"/>
    <w:rsid w:val="00011159"/>
    <w:rsid w:val="00011267"/>
    <w:rsid w:val="0001158B"/>
    <w:rsid w:val="000115C4"/>
    <w:rsid w:val="0001188B"/>
    <w:rsid w:val="00011A75"/>
    <w:rsid w:val="00011AAB"/>
    <w:rsid w:val="00011CB1"/>
    <w:rsid w:val="00011CCF"/>
    <w:rsid w:val="00011DC5"/>
    <w:rsid w:val="00011E6D"/>
    <w:rsid w:val="00012078"/>
    <w:rsid w:val="00012112"/>
    <w:rsid w:val="000123AF"/>
    <w:rsid w:val="000126B5"/>
    <w:rsid w:val="0001290C"/>
    <w:rsid w:val="00012A2D"/>
    <w:rsid w:val="00012A8E"/>
    <w:rsid w:val="00012B0C"/>
    <w:rsid w:val="00012C22"/>
    <w:rsid w:val="00012C2A"/>
    <w:rsid w:val="00012D03"/>
    <w:rsid w:val="00012F72"/>
    <w:rsid w:val="00012FE3"/>
    <w:rsid w:val="0001306D"/>
    <w:rsid w:val="00013114"/>
    <w:rsid w:val="00013217"/>
    <w:rsid w:val="0001359E"/>
    <w:rsid w:val="000135E6"/>
    <w:rsid w:val="00013732"/>
    <w:rsid w:val="00013A55"/>
    <w:rsid w:val="00013E39"/>
    <w:rsid w:val="00013FB3"/>
    <w:rsid w:val="000141EB"/>
    <w:rsid w:val="000141FD"/>
    <w:rsid w:val="0001420B"/>
    <w:rsid w:val="0001420C"/>
    <w:rsid w:val="0001426E"/>
    <w:rsid w:val="00014386"/>
    <w:rsid w:val="00014457"/>
    <w:rsid w:val="000148C5"/>
    <w:rsid w:val="00014984"/>
    <w:rsid w:val="00014987"/>
    <w:rsid w:val="000149BF"/>
    <w:rsid w:val="00014A7A"/>
    <w:rsid w:val="00014BA7"/>
    <w:rsid w:val="00014CD8"/>
    <w:rsid w:val="00014D01"/>
    <w:rsid w:val="00014D0D"/>
    <w:rsid w:val="00014F2D"/>
    <w:rsid w:val="00014F49"/>
    <w:rsid w:val="00014F74"/>
    <w:rsid w:val="0001501B"/>
    <w:rsid w:val="0001503E"/>
    <w:rsid w:val="0001505C"/>
    <w:rsid w:val="0001524F"/>
    <w:rsid w:val="000152AD"/>
    <w:rsid w:val="000155B4"/>
    <w:rsid w:val="000155C0"/>
    <w:rsid w:val="00015606"/>
    <w:rsid w:val="00015611"/>
    <w:rsid w:val="000156DD"/>
    <w:rsid w:val="00015809"/>
    <w:rsid w:val="000158DA"/>
    <w:rsid w:val="00015A11"/>
    <w:rsid w:val="00015B76"/>
    <w:rsid w:val="00015C38"/>
    <w:rsid w:val="00015E7F"/>
    <w:rsid w:val="0001603C"/>
    <w:rsid w:val="000160B8"/>
    <w:rsid w:val="00016125"/>
    <w:rsid w:val="000161FE"/>
    <w:rsid w:val="0001636E"/>
    <w:rsid w:val="00016417"/>
    <w:rsid w:val="00016470"/>
    <w:rsid w:val="000165AD"/>
    <w:rsid w:val="0001660B"/>
    <w:rsid w:val="00016644"/>
    <w:rsid w:val="00016743"/>
    <w:rsid w:val="0001679E"/>
    <w:rsid w:val="000167A4"/>
    <w:rsid w:val="000167E6"/>
    <w:rsid w:val="00016880"/>
    <w:rsid w:val="00016A36"/>
    <w:rsid w:val="00016CF4"/>
    <w:rsid w:val="00016D50"/>
    <w:rsid w:val="00016D88"/>
    <w:rsid w:val="00016DE9"/>
    <w:rsid w:val="00016E55"/>
    <w:rsid w:val="00016E77"/>
    <w:rsid w:val="00016EF5"/>
    <w:rsid w:val="00016F12"/>
    <w:rsid w:val="00016F3B"/>
    <w:rsid w:val="00017001"/>
    <w:rsid w:val="00017079"/>
    <w:rsid w:val="00017195"/>
    <w:rsid w:val="00017222"/>
    <w:rsid w:val="000172E0"/>
    <w:rsid w:val="0001740D"/>
    <w:rsid w:val="00017588"/>
    <w:rsid w:val="00017747"/>
    <w:rsid w:val="0001780E"/>
    <w:rsid w:val="00017A33"/>
    <w:rsid w:val="00017DA5"/>
    <w:rsid w:val="00017F0B"/>
    <w:rsid w:val="00017F3E"/>
    <w:rsid w:val="000200DE"/>
    <w:rsid w:val="000201E1"/>
    <w:rsid w:val="000201E4"/>
    <w:rsid w:val="000205B3"/>
    <w:rsid w:val="00020675"/>
    <w:rsid w:val="00020715"/>
    <w:rsid w:val="000207DE"/>
    <w:rsid w:val="0002089D"/>
    <w:rsid w:val="00020921"/>
    <w:rsid w:val="00020B48"/>
    <w:rsid w:val="00020C74"/>
    <w:rsid w:val="00020D32"/>
    <w:rsid w:val="00020DF6"/>
    <w:rsid w:val="00020E2E"/>
    <w:rsid w:val="00020F3D"/>
    <w:rsid w:val="000210C7"/>
    <w:rsid w:val="00021143"/>
    <w:rsid w:val="0002126B"/>
    <w:rsid w:val="000212B4"/>
    <w:rsid w:val="000216A7"/>
    <w:rsid w:val="0002192E"/>
    <w:rsid w:val="000219A4"/>
    <w:rsid w:val="00021A98"/>
    <w:rsid w:val="00021B77"/>
    <w:rsid w:val="00021B91"/>
    <w:rsid w:val="00021C11"/>
    <w:rsid w:val="00021D2D"/>
    <w:rsid w:val="00021E8F"/>
    <w:rsid w:val="00021F6A"/>
    <w:rsid w:val="00021FF7"/>
    <w:rsid w:val="0002229A"/>
    <w:rsid w:val="000222CB"/>
    <w:rsid w:val="0002230F"/>
    <w:rsid w:val="00022521"/>
    <w:rsid w:val="0002278C"/>
    <w:rsid w:val="0002279A"/>
    <w:rsid w:val="0002286A"/>
    <w:rsid w:val="00022B20"/>
    <w:rsid w:val="00022B71"/>
    <w:rsid w:val="00022CCA"/>
    <w:rsid w:val="00022D0E"/>
    <w:rsid w:val="00022D55"/>
    <w:rsid w:val="00022E4D"/>
    <w:rsid w:val="00023005"/>
    <w:rsid w:val="000230FD"/>
    <w:rsid w:val="00023149"/>
    <w:rsid w:val="000235DD"/>
    <w:rsid w:val="00023742"/>
    <w:rsid w:val="00023A3D"/>
    <w:rsid w:val="00023AF3"/>
    <w:rsid w:val="00023BE5"/>
    <w:rsid w:val="00023C5A"/>
    <w:rsid w:val="00023C7E"/>
    <w:rsid w:val="00023E41"/>
    <w:rsid w:val="00023EE5"/>
    <w:rsid w:val="00023F55"/>
    <w:rsid w:val="00023F5A"/>
    <w:rsid w:val="000241DD"/>
    <w:rsid w:val="000241E4"/>
    <w:rsid w:val="000241E6"/>
    <w:rsid w:val="000243BE"/>
    <w:rsid w:val="00024426"/>
    <w:rsid w:val="0002445A"/>
    <w:rsid w:val="00024686"/>
    <w:rsid w:val="0002475F"/>
    <w:rsid w:val="000247E0"/>
    <w:rsid w:val="00024A5D"/>
    <w:rsid w:val="00024B10"/>
    <w:rsid w:val="00024B7B"/>
    <w:rsid w:val="00024BF6"/>
    <w:rsid w:val="00024CA5"/>
    <w:rsid w:val="00024CBD"/>
    <w:rsid w:val="00024EBA"/>
    <w:rsid w:val="00024F66"/>
    <w:rsid w:val="00025066"/>
    <w:rsid w:val="0002512B"/>
    <w:rsid w:val="0002525F"/>
    <w:rsid w:val="0002562D"/>
    <w:rsid w:val="0002563F"/>
    <w:rsid w:val="000256D2"/>
    <w:rsid w:val="00025880"/>
    <w:rsid w:val="00025AF6"/>
    <w:rsid w:val="00025C7D"/>
    <w:rsid w:val="00025C8E"/>
    <w:rsid w:val="00025FC6"/>
    <w:rsid w:val="00025FEC"/>
    <w:rsid w:val="00025FF6"/>
    <w:rsid w:val="0002641A"/>
    <w:rsid w:val="000265DA"/>
    <w:rsid w:val="000265E0"/>
    <w:rsid w:val="00026611"/>
    <w:rsid w:val="0002667E"/>
    <w:rsid w:val="00026702"/>
    <w:rsid w:val="000267EC"/>
    <w:rsid w:val="000268F5"/>
    <w:rsid w:val="00026A31"/>
    <w:rsid w:val="00026A72"/>
    <w:rsid w:val="00026BAC"/>
    <w:rsid w:val="00026C0B"/>
    <w:rsid w:val="00026D5E"/>
    <w:rsid w:val="00026D65"/>
    <w:rsid w:val="00026E10"/>
    <w:rsid w:val="00026F3B"/>
    <w:rsid w:val="000270FF"/>
    <w:rsid w:val="00027141"/>
    <w:rsid w:val="000271AC"/>
    <w:rsid w:val="000271B6"/>
    <w:rsid w:val="000271EC"/>
    <w:rsid w:val="00027238"/>
    <w:rsid w:val="00027418"/>
    <w:rsid w:val="00027542"/>
    <w:rsid w:val="000275D1"/>
    <w:rsid w:val="000277CD"/>
    <w:rsid w:val="00027825"/>
    <w:rsid w:val="00027840"/>
    <w:rsid w:val="000279B2"/>
    <w:rsid w:val="00027A3C"/>
    <w:rsid w:val="00027BC7"/>
    <w:rsid w:val="00027BCF"/>
    <w:rsid w:val="00027C4C"/>
    <w:rsid w:val="00027D77"/>
    <w:rsid w:val="00027D9B"/>
    <w:rsid w:val="00027DFC"/>
    <w:rsid w:val="00030052"/>
    <w:rsid w:val="000300D4"/>
    <w:rsid w:val="00030410"/>
    <w:rsid w:val="00030539"/>
    <w:rsid w:val="00030756"/>
    <w:rsid w:val="000308F3"/>
    <w:rsid w:val="00030BA8"/>
    <w:rsid w:val="00030BFA"/>
    <w:rsid w:val="00030EF3"/>
    <w:rsid w:val="00030F15"/>
    <w:rsid w:val="00030FC8"/>
    <w:rsid w:val="000310B2"/>
    <w:rsid w:val="000312EF"/>
    <w:rsid w:val="00031444"/>
    <w:rsid w:val="0003161B"/>
    <w:rsid w:val="00031628"/>
    <w:rsid w:val="0003169C"/>
    <w:rsid w:val="000317DF"/>
    <w:rsid w:val="000319E9"/>
    <w:rsid w:val="00031A1C"/>
    <w:rsid w:val="00031B94"/>
    <w:rsid w:val="00031BEC"/>
    <w:rsid w:val="00031CA9"/>
    <w:rsid w:val="00031CC2"/>
    <w:rsid w:val="00031CDF"/>
    <w:rsid w:val="00031D53"/>
    <w:rsid w:val="00031D85"/>
    <w:rsid w:val="00031EBC"/>
    <w:rsid w:val="00031F7A"/>
    <w:rsid w:val="00032061"/>
    <w:rsid w:val="0003215A"/>
    <w:rsid w:val="00032203"/>
    <w:rsid w:val="00032223"/>
    <w:rsid w:val="000323DC"/>
    <w:rsid w:val="000325C9"/>
    <w:rsid w:val="00032875"/>
    <w:rsid w:val="000329C9"/>
    <w:rsid w:val="00032A76"/>
    <w:rsid w:val="00032AD7"/>
    <w:rsid w:val="00032E13"/>
    <w:rsid w:val="000331C9"/>
    <w:rsid w:val="00033210"/>
    <w:rsid w:val="000332A1"/>
    <w:rsid w:val="00033404"/>
    <w:rsid w:val="000337AE"/>
    <w:rsid w:val="000337EA"/>
    <w:rsid w:val="00033846"/>
    <w:rsid w:val="000339C8"/>
    <w:rsid w:val="00033B7E"/>
    <w:rsid w:val="00033C20"/>
    <w:rsid w:val="00033D87"/>
    <w:rsid w:val="00033E2F"/>
    <w:rsid w:val="00033E5B"/>
    <w:rsid w:val="000343A5"/>
    <w:rsid w:val="00034468"/>
    <w:rsid w:val="00034A57"/>
    <w:rsid w:val="00034B71"/>
    <w:rsid w:val="00034C10"/>
    <w:rsid w:val="00034C58"/>
    <w:rsid w:val="00034D79"/>
    <w:rsid w:val="00034DE3"/>
    <w:rsid w:val="00034ED7"/>
    <w:rsid w:val="00034F1D"/>
    <w:rsid w:val="00035260"/>
    <w:rsid w:val="000354CC"/>
    <w:rsid w:val="00035591"/>
    <w:rsid w:val="000355C0"/>
    <w:rsid w:val="000355CB"/>
    <w:rsid w:val="0003564A"/>
    <w:rsid w:val="0003574C"/>
    <w:rsid w:val="000357C3"/>
    <w:rsid w:val="0003594E"/>
    <w:rsid w:val="00035AA2"/>
    <w:rsid w:val="00035B3C"/>
    <w:rsid w:val="00035C68"/>
    <w:rsid w:val="00035E2A"/>
    <w:rsid w:val="00035EF6"/>
    <w:rsid w:val="00035FA3"/>
    <w:rsid w:val="0003626D"/>
    <w:rsid w:val="000362E3"/>
    <w:rsid w:val="00036476"/>
    <w:rsid w:val="0003647B"/>
    <w:rsid w:val="000365DB"/>
    <w:rsid w:val="000365E5"/>
    <w:rsid w:val="0003661F"/>
    <w:rsid w:val="00036675"/>
    <w:rsid w:val="0003667B"/>
    <w:rsid w:val="0003679A"/>
    <w:rsid w:val="00036837"/>
    <w:rsid w:val="00036880"/>
    <w:rsid w:val="0003692F"/>
    <w:rsid w:val="00036C6F"/>
    <w:rsid w:val="00036CAE"/>
    <w:rsid w:val="00036CCE"/>
    <w:rsid w:val="00036DDB"/>
    <w:rsid w:val="00036DF0"/>
    <w:rsid w:val="00036DF5"/>
    <w:rsid w:val="00036EEF"/>
    <w:rsid w:val="00036F31"/>
    <w:rsid w:val="000371E4"/>
    <w:rsid w:val="0003726F"/>
    <w:rsid w:val="00037282"/>
    <w:rsid w:val="0003735F"/>
    <w:rsid w:val="000374DC"/>
    <w:rsid w:val="0003766E"/>
    <w:rsid w:val="000377F2"/>
    <w:rsid w:val="00037837"/>
    <w:rsid w:val="0003786E"/>
    <w:rsid w:val="000378F6"/>
    <w:rsid w:val="00037970"/>
    <w:rsid w:val="00037A4B"/>
    <w:rsid w:val="00037AD7"/>
    <w:rsid w:val="00037C5B"/>
    <w:rsid w:val="00037E04"/>
    <w:rsid w:val="00037F54"/>
    <w:rsid w:val="0004025B"/>
    <w:rsid w:val="00040470"/>
    <w:rsid w:val="00040886"/>
    <w:rsid w:val="00040AC5"/>
    <w:rsid w:val="00040B4C"/>
    <w:rsid w:val="00040BDF"/>
    <w:rsid w:val="00040C71"/>
    <w:rsid w:val="00040ECF"/>
    <w:rsid w:val="00040F5A"/>
    <w:rsid w:val="0004115E"/>
    <w:rsid w:val="00041185"/>
    <w:rsid w:val="00041235"/>
    <w:rsid w:val="0004146C"/>
    <w:rsid w:val="000414E5"/>
    <w:rsid w:val="000415B1"/>
    <w:rsid w:val="000415F7"/>
    <w:rsid w:val="000417DB"/>
    <w:rsid w:val="000418D4"/>
    <w:rsid w:val="00041908"/>
    <w:rsid w:val="00041972"/>
    <w:rsid w:val="000419B8"/>
    <w:rsid w:val="00041A58"/>
    <w:rsid w:val="00041B0A"/>
    <w:rsid w:val="00041BC1"/>
    <w:rsid w:val="00041C46"/>
    <w:rsid w:val="00041CF4"/>
    <w:rsid w:val="00041E3E"/>
    <w:rsid w:val="00041F73"/>
    <w:rsid w:val="00041FA4"/>
    <w:rsid w:val="000421AD"/>
    <w:rsid w:val="00042347"/>
    <w:rsid w:val="00042364"/>
    <w:rsid w:val="00042392"/>
    <w:rsid w:val="00042469"/>
    <w:rsid w:val="000424B4"/>
    <w:rsid w:val="000424D5"/>
    <w:rsid w:val="000424FB"/>
    <w:rsid w:val="00042631"/>
    <w:rsid w:val="00042814"/>
    <w:rsid w:val="000428BE"/>
    <w:rsid w:val="000428DF"/>
    <w:rsid w:val="000429BC"/>
    <w:rsid w:val="00042B59"/>
    <w:rsid w:val="00042C10"/>
    <w:rsid w:val="00042C4F"/>
    <w:rsid w:val="00042D6E"/>
    <w:rsid w:val="00042D73"/>
    <w:rsid w:val="000430E5"/>
    <w:rsid w:val="00043133"/>
    <w:rsid w:val="00043220"/>
    <w:rsid w:val="000435F8"/>
    <w:rsid w:val="0004361F"/>
    <w:rsid w:val="000438FA"/>
    <w:rsid w:val="00043A28"/>
    <w:rsid w:val="00043A3A"/>
    <w:rsid w:val="00043A41"/>
    <w:rsid w:val="00043B5B"/>
    <w:rsid w:val="00043B82"/>
    <w:rsid w:val="00043C50"/>
    <w:rsid w:val="00043D53"/>
    <w:rsid w:val="00043EE6"/>
    <w:rsid w:val="0004409E"/>
    <w:rsid w:val="000440C8"/>
    <w:rsid w:val="0004427C"/>
    <w:rsid w:val="000443C4"/>
    <w:rsid w:val="00044404"/>
    <w:rsid w:val="00044440"/>
    <w:rsid w:val="0004477A"/>
    <w:rsid w:val="00044829"/>
    <w:rsid w:val="000449EF"/>
    <w:rsid w:val="00044ABE"/>
    <w:rsid w:val="00044AE6"/>
    <w:rsid w:val="00044B4E"/>
    <w:rsid w:val="00044BD1"/>
    <w:rsid w:val="00044DA4"/>
    <w:rsid w:val="0004542E"/>
    <w:rsid w:val="00045627"/>
    <w:rsid w:val="0004569D"/>
    <w:rsid w:val="00045722"/>
    <w:rsid w:val="00045750"/>
    <w:rsid w:val="0004579A"/>
    <w:rsid w:val="00045AE7"/>
    <w:rsid w:val="00045B9A"/>
    <w:rsid w:val="00045B9C"/>
    <w:rsid w:val="00045C2C"/>
    <w:rsid w:val="00045D5F"/>
    <w:rsid w:val="00045D9B"/>
    <w:rsid w:val="00045EE4"/>
    <w:rsid w:val="0004604A"/>
    <w:rsid w:val="0004624E"/>
    <w:rsid w:val="00046259"/>
    <w:rsid w:val="0004647A"/>
    <w:rsid w:val="000464F7"/>
    <w:rsid w:val="000466C7"/>
    <w:rsid w:val="0004677E"/>
    <w:rsid w:val="00046782"/>
    <w:rsid w:val="00046787"/>
    <w:rsid w:val="000467F5"/>
    <w:rsid w:val="00046850"/>
    <w:rsid w:val="00046D0B"/>
    <w:rsid w:val="00046FCE"/>
    <w:rsid w:val="00047076"/>
    <w:rsid w:val="00047096"/>
    <w:rsid w:val="00047165"/>
    <w:rsid w:val="00047202"/>
    <w:rsid w:val="00047258"/>
    <w:rsid w:val="0004736F"/>
    <w:rsid w:val="0004753F"/>
    <w:rsid w:val="0004756C"/>
    <w:rsid w:val="000476DA"/>
    <w:rsid w:val="000476DC"/>
    <w:rsid w:val="000478D1"/>
    <w:rsid w:val="00047C1E"/>
    <w:rsid w:val="00047C92"/>
    <w:rsid w:val="00047E6C"/>
    <w:rsid w:val="00047F19"/>
    <w:rsid w:val="00050078"/>
    <w:rsid w:val="00050164"/>
    <w:rsid w:val="000501B9"/>
    <w:rsid w:val="000502D1"/>
    <w:rsid w:val="0005047A"/>
    <w:rsid w:val="00050516"/>
    <w:rsid w:val="0005082A"/>
    <w:rsid w:val="0005084E"/>
    <w:rsid w:val="00050B72"/>
    <w:rsid w:val="00050B97"/>
    <w:rsid w:val="00050BE5"/>
    <w:rsid w:val="00050C37"/>
    <w:rsid w:val="00050C66"/>
    <w:rsid w:val="00050EC3"/>
    <w:rsid w:val="00050ECB"/>
    <w:rsid w:val="00050FB6"/>
    <w:rsid w:val="000510A9"/>
    <w:rsid w:val="00051153"/>
    <w:rsid w:val="000511A2"/>
    <w:rsid w:val="000511F1"/>
    <w:rsid w:val="00051366"/>
    <w:rsid w:val="000513F4"/>
    <w:rsid w:val="000514B9"/>
    <w:rsid w:val="000514C7"/>
    <w:rsid w:val="000514DC"/>
    <w:rsid w:val="0005156F"/>
    <w:rsid w:val="0005158F"/>
    <w:rsid w:val="000517A6"/>
    <w:rsid w:val="000517D9"/>
    <w:rsid w:val="0005192E"/>
    <w:rsid w:val="00051A0A"/>
    <w:rsid w:val="00051ABC"/>
    <w:rsid w:val="00051B83"/>
    <w:rsid w:val="00051F12"/>
    <w:rsid w:val="00052135"/>
    <w:rsid w:val="00052148"/>
    <w:rsid w:val="00052205"/>
    <w:rsid w:val="00052210"/>
    <w:rsid w:val="000522BF"/>
    <w:rsid w:val="000523B5"/>
    <w:rsid w:val="000523F5"/>
    <w:rsid w:val="000526B2"/>
    <w:rsid w:val="000527FE"/>
    <w:rsid w:val="0005292E"/>
    <w:rsid w:val="00052988"/>
    <w:rsid w:val="0005298F"/>
    <w:rsid w:val="000529BB"/>
    <w:rsid w:val="00052A22"/>
    <w:rsid w:val="00052A47"/>
    <w:rsid w:val="00052A7E"/>
    <w:rsid w:val="00052AFB"/>
    <w:rsid w:val="00052DEA"/>
    <w:rsid w:val="00052E67"/>
    <w:rsid w:val="00052E85"/>
    <w:rsid w:val="00052E8F"/>
    <w:rsid w:val="00052F19"/>
    <w:rsid w:val="0005300D"/>
    <w:rsid w:val="000530E0"/>
    <w:rsid w:val="000535D5"/>
    <w:rsid w:val="00053759"/>
    <w:rsid w:val="00053831"/>
    <w:rsid w:val="00053909"/>
    <w:rsid w:val="00053B9D"/>
    <w:rsid w:val="00053C69"/>
    <w:rsid w:val="00053E16"/>
    <w:rsid w:val="00053E4E"/>
    <w:rsid w:val="00053FF1"/>
    <w:rsid w:val="00054052"/>
    <w:rsid w:val="000542F1"/>
    <w:rsid w:val="000544C8"/>
    <w:rsid w:val="000548B7"/>
    <w:rsid w:val="000548D0"/>
    <w:rsid w:val="00054AB7"/>
    <w:rsid w:val="00054D52"/>
    <w:rsid w:val="00054DB0"/>
    <w:rsid w:val="00054E9F"/>
    <w:rsid w:val="00054F43"/>
    <w:rsid w:val="00054F52"/>
    <w:rsid w:val="00054FB3"/>
    <w:rsid w:val="00055264"/>
    <w:rsid w:val="000552BB"/>
    <w:rsid w:val="0005536B"/>
    <w:rsid w:val="00055483"/>
    <w:rsid w:val="000554C0"/>
    <w:rsid w:val="0005550B"/>
    <w:rsid w:val="0005567D"/>
    <w:rsid w:val="0005574C"/>
    <w:rsid w:val="00055848"/>
    <w:rsid w:val="000559AF"/>
    <w:rsid w:val="00055C25"/>
    <w:rsid w:val="00055C52"/>
    <w:rsid w:val="00055E07"/>
    <w:rsid w:val="00056000"/>
    <w:rsid w:val="00056056"/>
    <w:rsid w:val="00056156"/>
    <w:rsid w:val="00056173"/>
    <w:rsid w:val="00056290"/>
    <w:rsid w:val="000562E4"/>
    <w:rsid w:val="00056308"/>
    <w:rsid w:val="000563AD"/>
    <w:rsid w:val="0005657C"/>
    <w:rsid w:val="000565C2"/>
    <w:rsid w:val="000565CC"/>
    <w:rsid w:val="00056A6D"/>
    <w:rsid w:val="00056A80"/>
    <w:rsid w:val="00056F10"/>
    <w:rsid w:val="00056FFC"/>
    <w:rsid w:val="0005737A"/>
    <w:rsid w:val="000573CB"/>
    <w:rsid w:val="0005744B"/>
    <w:rsid w:val="0005754A"/>
    <w:rsid w:val="0005780D"/>
    <w:rsid w:val="00057895"/>
    <w:rsid w:val="000578CB"/>
    <w:rsid w:val="000578D8"/>
    <w:rsid w:val="00057BF4"/>
    <w:rsid w:val="00057C4A"/>
    <w:rsid w:val="00057C5C"/>
    <w:rsid w:val="00057E0B"/>
    <w:rsid w:val="00057F42"/>
    <w:rsid w:val="00060111"/>
    <w:rsid w:val="0006014F"/>
    <w:rsid w:val="000601BA"/>
    <w:rsid w:val="00060245"/>
    <w:rsid w:val="00060436"/>
    <w:rsid w:val="00060561"/>
    <w:rsid w:val="00060590"/>
    <w:rsid w:val="00060599"/>
    <w:rsid w:val="000607DB"/>
    <w:rsid w:val="000607DD"/>
    <w:rsid w:val="00060B88"/>
    <w:rsid w:val="00060C85"/>
    <w:rsid w:val="00060CF4"/>
    <w:rsid w:val="00060D6A"/>
    <w:rsid w:val="00060E42"/>
    <w:rsid w:val="00060E51"/>
    <w:rsid w:val="00060EF9"/>
    <w:rsid w:val="00061048"/>
    <w:rsid w:val="000612ED"/>
    <w:rsid w:val="000613C4"/>
    <w:rsid w:val="000613FD"/>
    <w:rsid w:val="0006180E"/>
    <w:rsid w:val="0006181B"/>
    <w:rsid w:val="00061891"/>
    <w:rsid w:val="00061A2E"/>
    <w:rsid w:val="00061ADB"/>
    <w:rsid w:val="00061FEE"/>
    <w:rsid w:val="000620ED"/>
    <w:rsid w:val="00062331"/>
    <w:rsid w:val="00062370"/>
    <w:rsid w:val="000623CC"/>
    <w:rsid w:val="000623CF"/>
    <w:rsid w:val="000624E8"/>
    <w:rsid w:val="000625B9"/>
    <w:rsid w:val="00062650"/>
    <w:rsid w:val="000627F1"/>
    <w:rsid w:val="00062B53"/>
    <w:rsid w:val="00062B8C"/>
    <w:rsid w:val="00062BA9"/>
    <w:rsid w:val="00062C45"/>
    <w:rsid w:val="00062C7C"/>
    <w:rsid w:val="00062CAE"/>
    <w:rsid w:val="00062D38"/>
    <w:rsid w:val="00062D3A"/>
    <w:rsid w:val="00062D5C"/>
    <w:rsid w:val="00062F08"/>
    <w:rsid w:val="00062F51"/>
    <w:rsid w:val="00062FEF"/>
    <w:rsid w:val="000630A6"/>
    <w:rsid w:val="000630B0"/>
    <w:rsid w:val="00063101"/>
    <w:rsid w:val="00063155"/>
    <w:rsid w:val="000632AD"/>
    <w:rsid w:val="00063364"/>
    <w:rsid w:val="000633FA"/>
    <w:rsid w:val="00063434"/>
    <w:rsid w:val="00063453"/>
    <w:rsid w:val="000634CE"/>
    <w:rsid w:val="0006355E"/>
    <w:rsid w:val="00063597"/>
    <w:rsid w:val="00063609"/>
    <w:rsid w:val="0006365A"/>
    <w:rsid w:val="0006424C"/>
    <w:rsid w:val="000644EF"/>
    <w:rsid w:val="00064514"/>
    <w:rsid w:val="0006452E"/>
    <w:rsid w:val="000645A8"/>
    <w:rsid w:val="000646FA"/>
    <w:rsid w:val="000647ED"/>
    <w:rsid w:val="000647F7"/>
    <w:rsid w:val="0006484B"/>
    <w:rsid w:val="0006484E"/>
    <w:rsid w:val="000648CF"/>
    <w:rsid w:val="000648D4"/>
    <w:rsid w:val="000648E0"/>
    <w:rsid w:val="00064A4C"/>
    <w:rsid w:val="00064CA8"/>
    <w:rsid w:val="00064DA2"/>
    <w:rsid w:val="00065175"/>
    <w:rsid w:val="000651E2"/>
    <w:rsid w:val="0006533D"/>
    <w:rsid w:val="000653A3"/>
    <w:rsid w:val="0006553F"/>
    <w:rsid w:val="0006564A"/>
    <w:rsid w:val="000657B5"/>
    <w:rsid w:val="00065986"/>
    <w:rsid w:val="00065AE6"/>
    <w:rsid w:val="00065B88"/>
    <w:rsid w:val="00065D62"/>
    <w:rsid w:val="00065DA7"/>
    <w:rsid w:val="00065DC3"/>
    <w:rsid w:val="00066059"/>
    <w:rsid w:val="00066098"/>
    <w:rsid w:val="00066167"/>
    <w:rsid w:val="000661B4"/>
    <w:rsid w:val="000662E3"/>
    <w:rsid w:val="0006633F"/>
    <w:rsid w:val="000664CA"/>
    <w:rsid w:val="0006674C"/>
    <w:rsid w:val="000667AE"/>
    <w:rsid w:val="00066A6B"/>
    <w:rsid w:val="00066A7F"/>
    <w:rsid w:val="00066A9B"/>
    <w:rsid w:val="00066AF5"/>
    <w:rsid w:val="00066D8D"/>
    <w:rsid w:val="00066E0B"/>
    <w:rsid w:val="00066F0A"/>
    <w:rsid w:val="00066FEE"/>
    <w:rsid w:val="00067129"/>
    <w:rsid w:val="00067153"/>
    <w:rsid w:val="00067292"/>
    <w:rsid w:val="000674D9"/>
    <w:rsid w:val="000674E3"/>
    <w:rsid w:val="0006754E"/>
    <w:rsid w:val="00067561"/>
    <w:rsid w:val="0006757C"/>
    <w:rsid w:val="00067AA0"/>
    <w:rsid w:val="00067CA3"/>
    <w:rsid w:val="0007004C"/>
    <w:rsid w:val="00070275"/>
    <w:rsid w:val="000702E3"/>
    <w:rsid w:val="000703A3"/>
    <w:rsid w:val="000703D3"/>
    <w:rsid w:val="00070474"/>
    <w:rsid w:val="0007048E"/>
    <w:rsid w:val="00070491"/>
    <w:rsid w:val="0007056B"/>
    <w:rsid w:val="0007056C"/>
    <w:rsid w:val="000705EA"/>
    <w:rsid w:val="00070624"/>
    <w:rsid w:val="00070697"/>
    <w:rsid w:val="00070A39"/>
    <w:rsid w:val="00070B1C"/>
    <w:rsid w:val="00070B71"/>
    <w:rsid w:val="00070D63"/>
    <w:rsid w:val="00070F26"/>
    <w:rsid w:val="00070F56"/>
    <w:rsid w:val="00071070"/>
    <w:rsid w:val="00071085"/>
    <w:rsid w:val="0007118A"/>
    <w:rsid w:val="000711EB"/>
    <w:rsid w:val="00071378"/>
    <w:rsid w:val="0007144E"/>
    <w:rsid w:val="0007150F"/>
    <w:rsid w:val="00071596"/>
    <w:rsid w:val="0007165B"/>
    <w:rsid w:val="00071676"/>
    <w:rsid w:val="00071801"/>
    <w:rsid w:val="00071A3A"/>
    <w:rsid w:val="00071D3F"/>
    <w:rsid w:val="00071DDC"/>
    <w:rsid w:val="00071EB6"/>
    <w:rsid w:val="00072017"/>
    <w:rsid w:val="00072073"/>
    <w:rsid w:val="000721C6"/>
    <w:rsid w:val="0007227E"/>
    <w:rsid w:val="000724ED"/>
    <w:rsid w:val="000726F4"/>
    <w:rsid w:val="00072938"/>
    <w:rsid w:val="000729B3"/>
    <w:rsid w:val="00072B9E"/>
    <w:rsid w:val="00072C6D"/>
    <w:rsid w:val="00073063"/>
    <w:rsid w:val="0007307F"/>
    <w:rsid w:val="00073309"/>
    <w:rsid w:val="000735F4"/>
    <w:rsid w:val="0007376F"/>
    <w:rsid w:val="000737B5"/>
    <w:rsid w:val="000739BE"/>
    <w:rsid w:val="000739F9"/>
    <w:rsid w:val="00073B93"/>
    <w:rsid w:val="00073BA8"/>
    <w:rsid w:val="00073C08"/>
    <w:rsid w:val="00073CB4"/>
    <w:rsid w:val="00073DA2"/>
    <w:rsid w:val="00073F71"/>
    <w:rsid w:val="00073F77"/>
    <w:rsid w:val="0007408C"/>
    <w:rsid w:val="00074188"/>
    <w:rsid w:val="000741DA"/>
    <w:rsid w:val="00074206"/>
    <w:rsid w:val="0007423F"/>
    <w:rsid w:val="0007430C"/>
    <w:rsid w:val="0007439C"/>
    <w:rsid w:val="000744CD"/>
    <w:rsid w:val="000744F8"/>
    <w:rsid w:val="00074652"/>
    <w:rsid w:val="00074928"/>
    <w:rsid w:val="00074A96"/>
    <w:rsid w:val="00074AF8"/>
    <w:rsid w:val="00074CAB"/>
    <w:rsid w:val="00074E6C"/>
    <w:rsid w:val="00074F50"/>
    <w:rsid w:val="000750C4"/>
    <w:rsid w:val="000752EF"/>
    <w:rsid w:val="000753AB"/>
    <w:rsid w:val="0007543A"/>
    <w:rsid w:val="00075466"/>
    <w:rsid w:val="000756C2"/>
    <w:rsid w:val="00075799"/>
    <w:rsid w:val="0007586A"/>
    <w:rsid w:val="0007588D"/>
    <w:rsid w:val="00075987"/>
    <w:rsid w:val="000759D9"/>
    <w:rsid w:val="00075AD2"/>
    <w:rsid w:val="00075B65"/>
    <w:rsid w:val="00075C05"/>
    <w:rsid w:val="00075C9B"/>
    <w:rsid w:val="00075CE0"/>
    <w:rsid w:val="00075D17"/>
    <w:rsid w:val="00075E7C"/>
    <w:rsid w:val="00075F72"/>
    <w:rsid w:val="0007608A"/>
    <w:rsid w:val="000761A2"/>
    <w:rsid w:val="00076397"/>
    <w:rsid w:val="0007644F"/>
    <w:rsid w:val="0007649E"/>
    <w:rsid w:val="00076729"/>
    <w:rsid w:val="00076923"/>
    <w:rsid w:val="00076A3F"/>
    <w:rsid w:val="00076AED"/>
    <w:rsid w:val="00076AFC"/>
    <w:rsid w:val="00076B9F"/>
    <w:rsid w:val="00076BA8"/>
    <w:rsid w:val="00076D35"/>
    <w:rsid w:val="00076EB8"/>
    <w:rsid w:val="00076F19"/>
    <w:rsid w:val="0007705A"/>
    <w:rsid w:val="0007732F"/>
    <w:rsid w:val="00077445"/>
    <w:rsid w:val="000775CB"/>
    <w:rsid w:val="0007782A"/>
    <w:rsid w:val="000778B8"/>
    <w:rsid w:val="000779B5"/>
    <w:rsid w:val="00077ADB"/>
    <w:rsid w:val="00077BA6"/>
    <w:rsid w:val="00077BF7"/>
    <w:rsid w:val="00077D1A"/>
    <w:rsid w:val="00077DF3"/>
    <w:rsid w:val="00077FBA"/>
    <w:rsid w:val="00077FD8"/>
    <w:rsid w:val="00080010"/>
    <w:rsid w:val="00080303"/>
    <w:rsid w:val="00080472"/>
    <w:rsid w:val="0008083C"/>
    <w:rsid w:val="000808E7"/>
    <w:rsid w:val="00080B6D"/>
    <w:rsid w:val="00080BD7"/>
    <w:rsid w:val="00080C5E"/>
    <w:rsid w:val="00080C74"/>
    <w:rsid w:val="00080CB2"/>
    <w:rsid w:val="00080D6F"/>
    <w:rsid w:val="00080E2E"/>
    <w:rsid w:val="00080EF3"/>
    <w:rsid w:val="00080F37"/>
    <w:rsid w:val="00081169"/>
    <w:rsid w:val="00081313"/>
    <w:rsid w:val="00081530"/>
    <w:rsid w:val="00081620"/>
    <w:rsid w:val="00081763"/>
    <w:rsid w:val="00081836"/>
    <w:rsid w:val="00081983"/>
    <w:rsid w:val="00081984"/>
    <w:rsid w:val="00081CBD"/>
    <w:rsid w:val="00081D59"/>
    <w:rsid w:val="00081E17"/>
    <w:rsid w:val="00081E2A"/>
    <w:rsid w:val="00081FB4"/>
    <w:rsid w:val="00082103"/>
    <w:rsid w:val="00082180"/>
    <w:rsid w:val="00082230"/>
    <w:rsid w:val="0008246F"/>
    <w:rsid w:val="000824CF"/>
    <w:rsid w:val="000824D1"/>
    <w:rsid w:val="00082568"/>
    <w:rsid w:val="000825BD"/>
    <w:rsid w:val="000825E6"/>
    <w:rsid w:val="000827F6"/>
    <w:rsid w:val="00082852"/>
    <w:rsid w:val="00082854"/>
    <w:rsid w:val="00082976"/>
    <w:rsid w:val="00082990"/>
    <w:rsid w:val="00082A25"/>
    <w:rsid w:val="00082AC3"/>
    <w:rsid w:val="00082B37"/>
    <w:rsid w:val="00082D18"/>
    <w:rsid w:val="00082D20"/>
    <w:rsid w:val="00082EF5"/>
    <w:rsid w:val="00082F94"/>
    <w:rsid w:val="000830A2"/>
    <w:rsid w:val="00083361"/>
    <w:rsid w:val="000833B8"/>
    <w:rsid w:val="00083422"/>
    <w:rsid w:val="000834DE"/>
    <w:rsid w:val="000837C2"/>
    <w:rsid w:val="00083832"/>
    <w:rsid w:val="00083A47"/>
    <w:rsid w:val="00083BEC"/>
    <w:rsid w:val="00083C55"/>
    <w:rsid w:val="00083F25"/>
    <w:rsid w:val="0008418B"/>
    <w:rsid w:val="000841C6"/>
    <w:rsid w:val="0008423E"/>
    <w:rsid w:val="0008442B"/>
    <w:rsid w:val="000845CD"/>
    <w:rsid w:val="0008469D"/>
    <w:rsid w:val="00084840"/>
    <w:rsid w:val="000848BB"/>
    <w:rsid w:val="00084961"/>
    <w:rsid w:val="00084A14"/>
    <w:rsid w:val="00084ABA"/>
    <w:rsid w:val="00084B1A"/>
    <w:rsid w:val="00084CE9"/>
    <w:rsid w:val="00084DC3"/>
    <w:rsid w:val="00084E35"/>
    <w:rsid w:val="00084E8B"/>
    <w:rsid w:val="00084FE2"/>
    <w:rsid w:val="00085058"/>
    <w:rsid w:val="0008507D"/>
    <w:rsid w:val="000850B2"/>
    <w:rsid w:val="0008531B"/>
    <w:rsid w:val="00085360"/>
    <w:rsid w:val="000853BB"/>
    <w:rsid w:val="000854FF"/>
    <w:rsid w:val="00085525"/>
    <w:rsid w:val="000855E1"/>
    <w:rsid w:val="0008585C"/>
    <w:rsid w:val="00085892"/>
    <w:rsid w:val="000858FF"/>
    <w:rsid w:val="00085908"/>
    <w:rsid w:val="00085A4E"/>
    <w:rsid w:val="00085A62"/>
    <w:rsid w:val="00085B7F"/>
    <w:rsid w:val="00085C83"/>
    <w:rsid w:val="00085D28"/>
    <w:rsid w:val="00085D3F"/>
    <w:rsid w:val="00085D77"/>
    <w:rsid w:val="00085E07"/>
    <w:rsid w:val="00085E7A"/>
    <w:rsid w:val="00085FC0"/>
    <w:rsid w:val="00086396"/>
    <w:rsid w:val="000863E0"/>
    <w:rsid w:val="000863EE"/>
    <w:rsid w:val="0008650F"/>
    <w:rsid w:val="0008651D"/>
    <w:rsid w:val="00086761"/>
    <w:rsid w:val="000867EC"/>
    <w:rsid w:val="0008688F"/>
    <w:rsid w:val="000869FA"/>
    <w:rsid w:val="00086AED"/>
    <w:rsid w:val="00086B00"/>
    <w:rsid w:val="00086CCA"/>
    <w:rsid w:val="00086D8B"/>
    <w:rsid w:val="00086EC6"/>
    <w:rsid w:val="00086FF6"/>
    <w:rsid w:val="0008704A"/>
    <w:rsid w:val="00087108"/>
    <w:rsid w:val="00087110"/>
    <w:rsid w:val="00087266"/>
    <w:rsid w:val="000873AD"/>
    <w:rsid w:val="0008753A"/>
    <w:rsid w:val="00087548"/>
    <w:rsid w:val="0008778E"/>
    <w:rsid w:val="00087889"/>
    <w:rsid w:val="00087956"/>
    <w:rsid w:val="000879AE"/>
    <w:rsid w:val="00087AA0"/>
    <w:rsid w:val="00087D43"/>
    <w:rsid w:val="00087D90"/>
    <w:rsid w:val="00087E92"/>
    <w:rsid w:val="0009029F"/>
    <w:rsid w:val="0009030E"/>
    <w:rsid w:val="00090850"/>
    <w:rsid w:val="00090896"/>
    <w:rsid w:val="00090923"/>
    <w:rsid w:val="00090939"/>
    <w:rsid w:val="00090AF9"/>
    <w:rsid w:val="00090BB0"/>
    <w:rsid w:val="00090C50"/>
    <w:rsid w:val="00090D17"/>
    <w:rsid w:val="00090D61"/>
    <w:rsid w:val="00090DE3"/>
    <w:rsid w:val="00090F27"/>
    <w:rsid w:val="00091039"/>
    <w:rsid w:val="0009110F"/>
    <w:rsid w:val="000911BC"/>
    <w:rsid w:val="000912E2"/>
    <w:rsid w:val="00091329"/>
    <w:rsid w:val="0009134D"/>
    <w:rsid w:val="00091369"/>
    <w:rsid w:val="00091558"/>
    <w:rsid w:val="000917DF"/>
    <w:rsid w:val="000918F7"/>
    <w:rsid w:val="00091986"/>
    <w:rsid w:val="0009199A"/>
    <w:rsid w:val="00091BE2"/>
    <w:rsid w:val="00091C35"/>
    <w:rsid w:val="00091C42"/>
    <w:rsid w:val="00091E69"/>
    <w:rsid w:val="00091F5A"/>
    <w:rsid w:val="00091F62"/>
    <w:rsid w:val="00091F72"/>
    <w:rsid w:val="000920DF"/>
    <w:rsid w:val="000921FF"/>
    <w:rsid w:val="000923BC"/>
    <w:rsid w:val="00092624"/>
    <w:rsid w:val="00092687"/>
    <w:rsid w:val="000926B4"/>
    <w:rsid w:val="0009272E"/>
    <w:rsid w:val="00092864"/>
    <w:rsid w:val="0009293E"/>
    <w:rsid w:val="000929E3"/>
    <w:rsid w:val="00092A50"/>
    <w:rsid w:val="00092E2F"/>
    <w:rsid w:val="00092FEB"/>
    <w:rsid w:val="000930C7"/>
    <w:rsid w:val="000930E2"/>
    <w:rsid w:val="0009322A"/>
    <w:rsid w:val="00093288"/>
    <w:rsid w:val="00093499"/>
    <w:rsid w:val="000934E5"/>
    <w:rsid w:val="00093892"/>
    <w:rsid w:val="00093B7F"/>
    <w:rsid w:val="00093C8B"/>
    <w:rsid w:val="00093C91"/>
    <w:rsid w:val="00093CE1"/>
    <w:rsid w:val="00093E4D"/>
    <w:rsid w:val="00093E90"/>
    <w:rsid w:val="00093F07"/>
    <w:rsid w:val="00093F42"/>
    <w:rsid w:val="00094049"/>
    <w:rsid w:val="000941F8"/>
    <w:rsid w:val="00094214"/>
    <w:rsid w:val="0009440C"/>
    <w:rsid w:val="000946B8"/>
    <w:rsid w:val="00094755"/>
    <w:rsid w:val="00094796"/>
    <w:rsid w:val="0009481E"/>
    <w:rsid w:val="0009496E"/>
    <w:rsid w:val="00094A15"/>
    <w:rsid w:val="00094A16"/>
    <w:rsid w:val="00094AAB"/>
    <w:rsid w:val="00094AFB"/>
    <w:rsid w:val="00094B5D"/>
    <w:rsid w:val="00094C61"/>
    <w:rsid w:val="00094FA0"/>
    <w:rsid w:val="0009504E"/>
    <w:rsid w:val="00095154"/>
    <w:rsid w:val="000951D7"/>
    <w:rsid w:val="000953E6"/>
    <w:rsid w:val="00095491"/>
    <w:rsid w:val="0009550A"/>
    <w:rsid w:val="0009563E"/>
    <w:rsid w:val="000956BE"/>
    <w:rsid w:val="00095703"/>
    <w:rsid w:val="00095A44"/>
    <w:rsid w:val="00095BBB"/>
    <w:rsid w:val="00095BC8"/>
    <w:rsid w:val="00095C3C"/>
    <w:rsid w:val="00095FB3"/>
    <w:rsid w:val="00095FE4"/>
    <w:rsid w:val="000962B5"/>
    <w:rsid w:val="000964E0"/>
    <w:rsid w:val="00096503"/>
    <w:rsid w:val="00096741"/>
    <w:rsid w:val="00096822"/>
    <w:rsid w:val="00096951"/>
    <w:rsid w:val="000969AB"/>
    <w:rsid w:val="000969CE"/>
    <w:rsid w:val="00096A28"/>
    <w:rsid w:val="00096AA9"/>
    <w:rsid w:val="00096B3C"/>
    <w:rsid w:val="00096C3D"/>
    <w:rsid w:val="00096CF1"/>
    <w:rsid w:val="00096D46"/>
    <w:rsid w:val="00096D71"/>
    <w:rsid w:val="000970BF"/>
    <w:rsid w:val="0009712B"/>
    <w:rsid w:val="000971D9"/>
    <w:rsid w:val="00097293"/>
    <w:rsid w:val="000972DA"/>
    <w:rsid w:val="000972E0"/>
    <w:rsid w:val="00097357"/>
    <w:rsid w:val="0009737D"/>
    <w:rsid w:val="0009742B"/>
    <w:rsid w:val="0009748E"/>
    <w:rsid w:val="000974C6"/>
    <w:rsid w:val="00097650"/>
    <w:rsid w:val="00097729"/>
    <w:rsid w:val="00097861"/>
    <w:rsid w:val="00097A77"/>
    <w:rsid w:val="00097BBB"/>
    <w:rsid w:val="00097CF9"/>
    <w:rsid w:val="000A0122"/>
    <w:rsid w:val="000A0208"/>
    <w:rsid w:val="000A032A"/>
    <w:rsid w:val="000A06BE"/>
    <w:rsid w:val="000A075A"/>
    <w:rsid w:val="000A079B"/>
    <w:rsid w:val="000A0874"/>
    <w:rsid w:val="000A08F6"/>
    <w:rsid w:val="000A0A08"/>
    <w:rsid w:val="000A0A65"/>
    <w:rsid w:val="000A0B18"/>
    <w:rsid w:val="000A0BB4"/>
    <w:rsid w:val="000A0BF9"/>
    <w:rsid w:val="000A0D1A"/>
    <w:rsid w:val="000A0D43"/>
    <w:rsid w:val="000A0D51"/>
    <w:rsid w:val="000A0D7D"/>
    <w:rsid w:val="000A0D97"/>
    <w:rsid w:val="000A0DD4"/>
    <w:rsid w:val="000A0FBC"/>
    <w:rsid w:val="000A0FD8"/>
    <w:rsid w:val="000A102D"/>
    <w:rsid w:val="000A1243"/>
    <w:rsid w:val="000A1282"/>
    <w:rsid w:val="000A1303"/>
    <w:rsid w:val="000A136B"/>
    <w:rsid w:val="000A1423"/>
    <w:rsid w:val="000A14CA"/>
    <w:rsid w:val="000A173B"/>
    <w:rsid w:val="000A17C7"/>
    <w:rsid w:val="000A181B"/>
    <w:rsid w:val="000A1879"/>
    <w:rsid w:val="000A18D1"/>
    <w:rsid w:val="000A18E9"/>
    <w:rsid w:val="000A1989"/>
    <w:rsid w:val="000A1B71"/>
    <w:rsid w:val="000A1D3E"/>
    <w:rsid w:val="000A1E68"/>
    <w:rsid w:val="000A1E6B"/>
    <w:rsid w:val="000A203A"/>
    <w:rsid w:val="000A22EF"/>
    <w:rsid w:val="000A2328"/>
    <w:rsid w:val="000A2634"/>
    <w:rsid w:val="000A265A"/>
    <w:rsid w:val="000A2673"/>
    <w:rsid w:val="000A2805"/>
    <w:rsid w:val="000A2849"/>
    <w:rsid w:val="000A2887"/>
    <w:rsid w:val="000A28FC"/>
    <w:rsid w:val="000A29B7"/>
    <w:rsid w:val="000A2A02"/>
    <w:rsid w:val="000A2BFA"/>
    <w:rsid w:val="000A2C75"/>
    <w:rsid w:val="000A2CB9"/>
    <w:rsid w:val="000A2E35"/>
    <w:rsid w:val="000A2ED5"/>
    <w:rsid w:val="000A3027"/>
    <w:rsid w:val="000A3173"/>
    <w:rsid w:val="000A3181"/>
    <w:rsid w:val="000A31FD"/>
    <w:rsid w:val="000A3299"/>
    <w:rsid w:val="000A32B0"/>
    <w:rsid w:val="000A3312"/>
    <w:rsid w:val="000A349F"/>
    <w:rsid w:val="000A3568"/>
    <w:rsid w:val="000A3585"/>
    <w:rsid w:val="000A3705"/>
    <w:rsid w:val="000A3778"/>
    <w:rsid w:val="000A3BEA"/>
    <w:rsid w:val="000A3DDC"/>
    <w:rsid w:val="000A3E09"/>
    <w:rsid w:val="000A3E68"/>
    <w:rsid w:val="000A40B9"/>
    <w:rsid w:val="000A40DA"/>
    <w:rsid w:val="000A41CC"/>
    <w:rsid w:val="000A4622"/>
    <w:rsid w:val="000A4647"/>
    <w:rsid w:val="000A49F1"/>
    <w:rsid w:val="000A4AD0"/>
    <w:rsid w:val="000A4B9B"/>
    <w:rsid w:val="000A4C3E"/>
    <w:rsid w:val="000A4D66"/>
    <w:rsid w:val="000A4E2E"/>
    <w:rsid w:val="000A4EE1"/>
    <w:rsid w:val="000A4F4A"/>
    <w:rsid w:val="000A4F99"/>
    <w:rsid w:val="000A50DA"/>
    <w:rsid w:val="000A5272"/>
    <w:rsid w:val="000A5480"/>
    <w:rsid w:val="000A550C"/>
    <w:rsid w:val="000A562C"/>
    <w:rsid w:val="000A57B1"/>
    <w:rsid w:val="000A5802"/>
    <w:rsid w:val="000A58F8"/>
    <w:rsid w:val="000A5B16"/>
    <w:rsid w:val="000A5C73"/>
    <w:rsid w:val="000A5EC5"/>
    <w:rsid w:val="000A5FFF"/>
    <w:rsid w:val="000A6019"/>
    <w:rsid w:val="000A6088"/>
    <w:rsid w:val="000A6098"/>
    <w:rsid w:val="000A60A1"/>
    <w:rsid w:val="000A625B"/>
    <w:rsid w:val="000A63D3"/>
    <w:rsid w:val="000A64B0"/>
    <w:rsid w:val="000A6567"/>
    <w:rsid w:val="000A65DF"/>
    <w:rsid w:val="000A687F"/>
    <w:rsid w:val="000A68C7"/>
    <w:rsid w:val="000A6A5C"/>
    <w:rsid w:val="000A6B54"/>
    <w:rsid w:val="000A6B91"/>
    <w:rsid w:val="000A6C8A"/>
    <w:rsid w:val="000A6D47"/>
    <w:rsid w:val="000A6DE9"/>
    <w:rsid w:val="000A6E97"/>
    <w:rsid w:val="000A6FA5"/>
    <w:rsid w:val="000A7017"/>
    <w:rsid w:val="000A7029"/>
    <w:rsid w:val="000A7050"/>
    <w:rsid w:val="000A7247"/>
    <w:rsid w:val="000A7286"/>
    <w:rsid w:val="000A72FB"/>
    <w:rsid w:val="000A7304"/>
    <w:rsid w:val="000A734A"/>
    <w:rsid w:val="000A74D9"/>
    <w:rsid w:val="000A755A"/>
    <w:rsid w:val="000A783F"/>
    <w:rsid w:val="000A7C48"/>
    <w:rsid w:val="000A7E46"/>
    <w:rsid w:val="000A7EC0"/>
    <w:rsid w:val="000A7EEC"/>
    <w:rsid w:val="000B0271"/>
    <w:rsid w:val="000B0362"/>
    <w:rsid w:val="000B0711"/>
    <w:rsid w:val="000B0757"/>
    <w:rsid w:val="000B0767"/>
    <w:rsid w:val="000B0775"/>
    <w:rsid w:val="000B0861"/>
    <w:rsid w:val="000B0A65"/>
    <w:rsid w:val="000B0AA7"/>
    <w:rsid w:val="000B0B7C"/>
    <w:rsid w:val="000B0E1C"/>
    <w:rsid w:val="000B11A9"/>
    <w:rsid w:val="000B11D4"/>
    <w:rsid w:val="000B137A"/>
    <w:rsid w:val="000B1484"/>
    <w:rsid w:val="000B15B6"/>
    <w:rsid w:val="000B165A"/>
    <w:rsid w:val="000B16E4"/>
    <w:rsid w:val="000B1782"/>
    <w:rsid w:val="000B18C3"/>
    <w:rsid w:val="000B19FD"/>
    <w:rsid w:val="000B1A36"/>
    <w:rsid w:val="000B1A67"/>
    <w:rsid w:val="000B1B29"/>
    <w:rsid w:val="000B1BD7"/>
    <w:rsid w:val="000B1C72"/>
    <w:rsid w:val="000B219B"/>
    <w:rsid w:val="000B219F"/>
    <w:rsid w:val="000B2270"/>
    <w:rsid w:val="000B242F"/>
    <w:rsid w:val="000B2521"/>
    <w:rsid w:val="000B2545"/>
    <w:rsid w:val="000B2A7B"/>
    <w:rsid w:val="000B2AF4"/>
    <w:rsid w:val="000B2C2D"/>
    <w:rsid w:val="000B2E5D"/>
    <w:rsid w:val="000B2E7E"/>
    <w:rsid w:val="000B2F2B"/>
    <w:rsid w:val="000B3105"/>
    <w:rsid w:val="000B326C"/>
    <w:rsid w:val="000B3365"/>
    <w:rsid w:val="000B33C7"/>
    <w:rsid w:val="000B33CE"/>
    <w:rsid w:val="000B3523"/>
    <w:rsid w:val="000B359D"/>
    <w:rsid w:val="000B35F0"/>
    <w:rsid w:val="000B36C1"/>
    <w:rsid w:val="000B3789"/>
    <w:rsid w:val="000B37D1"/>
    <w:rsid w:val="000B3900"/>
    <w:rsid w:val="000B39D7"/>
    <w:rsid w:val="000B3A7F"/>
    <w:rsid w:val="000B3AA3"/>
    <w:rsid w:val="000B3BCD"/>
    <w:rsid w:val="000B3D46"/>
    <w:rsid w:val="000B3DD8"/>
    <w:rsid w:val="000B3E75"/>
    <w:rsid w:val="000B3E7E"/>
    <w:rsid w:val="000B3EFB"/>
    <w:rsid w:val="000B40E9"/>
    <w:rsid w:val="000B411D"/>
    <w:rsid w:val="000B4131"/>
    <w:rsid w:val="000B415F"/>
    <w:rsid w:val="000B433D"/>
    <w:rsid w:val="000B448C"/>
    <w:rsid w:val="000B4560"/>
    <w:rsid w:val="000B45CA"/>
    <w:rsid w:val="000B4770"/>
    <w:rsid w:val="000B4779"/>
    <w:rsid w:val="000B484A"/>
    <w:rsid w:val="000B490F"/>
    <w:rsid w:val="000B4967"/>
    <w:rsid w:val="000B4A0F"/>
    <w:rsid w:val="000B4A33"/>
    <w:rsid w:val="000B4A4F"/>
    <w:rsid w:val="000B4C7A"/>
    <w:rsid w:val="000B4D18"/>
    <w:rsid w:val="000B4D20"/>
    <w:rsid w:val="000B4DDA"/>
    <w:rsid w:val="000B4FA4"/>
    <w:rsid w:val="000B4FB1"/>
    <w:rsid w:val="000B4FBD"/>
    <w:rsid w:val="000B500F"/>
    <w:rsid w:val="000B50A1"/>
    <w:rsid w:val="000B51D9"/>
    <w:rsid w:val="000B54F6"/>
    <w:rsid w:val="000B56D5"/>
    <w:rsid w:val="000B572E"/>
    <w:rsid w:val="000B5877"/>
    <w:rsid w:val="000B58AB"/>
    <w:rsid w:val="000B5C11"/>
    <w:rsid w:val="000B5D0D"/>
    <w:rsid w:val="000B5D25"/>
    <w:rsid w:val="000B5E7F"/>
    <w:rsid w:val="000B5F10"/>
    <w:rsid w:val="000B602D"/>
    <w:rsid w:val="000B60FF"/>
    <w:rsid w:val="000B62B4"/>
    <w:rsid w:val="000B6351"/>
    <w:rsid w:val="000B6459"/>
    <w:rsid w:val="000B6462"/>
    <w:rsid w:val="000B6509"/>
    <w:rsid w:val="000B66A6"/>
    <w:rsid w:val="000B67EE"/>
    <w:rsid w:val="000B6988"/>
    <w:rsid w:val="000B69FE"/>
    <w:rsid w:val="000B6A1D"/>
    <w:rsid w:val="000B6AF9"/>
    <w:rsid w:val="000B6B72"/>
    <w:rsid w:val="000B6ED8"/>
    <w:rsid w:val="000B6FD0"/>
    <w:rsid w:val="000B70DE"/>
    <w:rsid w:val="000B738A"/>
    <w:rsid w:val="000B74A7"/>
    <w:rsid w:val="000B74C9"/>
    <w:rsid w:val="000B7586"/>
    <w:rsid w:val="000B770E"/>
    <w:rsid w:val="000B7778"/>
    <w:rsid w:val="000B77C9"/>
    <w:rsid w:val="000B77D3"/>
    <w:rsid w:val="000B7B7E"/>
    <w:rsid w:val="000B7BA8"/>
    <w:rsid w:val="000B7BD5"/>
    <w:rsid w:val="000B7C2B"/>
    <w:rsid w:val="000B7C79"/>
    <w:rsid w:val="000B7CDB"/>
    <w:rsid w:val="000B7E6A"/>
    <w:rsid w:val="000B7E9C"/>
    <w:rsid w:val="000B7F3F"/>
    <w:rsid w:val="000C014C"/>
    <w:rsid w:val="000C016A"/>
    <w:rsid w:val="000C0279"/>
    <w:rsid w:val="000C02AA"/>
    <w:rsid w:val="000C0396"/>
    <w:rsid w:val="000C04A1"/>
    <w:rsid w:val="000C0559"/>
    <w:rsid w:val="000C05B6"/>
    <w:rsid w:val="000C0615"/>
    <w:rsid w:val="000C0701"/>
    <w:rsid w:val="000C0B13"/>
    <w:rsid w:val="000C0D3A"/>
    <w:rsid w:val="000C0F2D"/>
    <w:rsid w:val="000C11BC"/>
    <w:rsid w:val="000C11D1"/>
    <w:rsid w:val="000C125D"/>
    <w:rsid w:val="000C1344"/>
    <w:rsid w:val="000C1371"/>
    <w:rsid w:val="000C1388"/>
    <w:rsid w:val="000C14E2"/>
    <w:rsid w:val="000C1546"/>
    <w:rsid w:val="000C1825"/>
    <w:rsid w:val="000C19C9"/>
    <w:rsid w:val="000C1A12"/>
    <w:rsid w:val="000C1A67"/>
    <w:rsid w:val="000C1AC9"/>
    <w:rsid w:val="000C1C1A"/>
    <w:rsid w:val="000C1D25"/>
    <w:rsid w:val="000C1EB4"/>
    <w:rsid w:val="000C2060"/>
    <w:rsid w:val="000C2107"/>
    <w:rsid w:val="000C2148"/>
    <w:rsid w:val="000C21ED"/>
    <w:rsid w:val="000C2220"/>
    <w:rsid w:val="000C237D"/>
    <w:rsid w:val="000C23D8"/>
    <w:rsid w:val="000C242C"/>
    <w:rsid w:val="000C24F4"/>
    <w:rsid w:val="000C26F6"/>
    <w:rsid w:val="000C2706"/>
    <w:rsid w:val="000C278C"/>
    <w:rsid w:val="000C27C9"/>
    <w:rsid w:val="000C28FD"/>
    <w:rsid w:val="000C2A2D"/>
    <w:rsid w:val="000C2A87"/>
    <w:rsid w:val="000C2CBA"/>
    <w:rsid w:val="000C2F12"/>
    <w:rsid w:val="000C2F5E"/>
    <w:rsid w:val="000C301E"/>
    <w:rsid w:val="000C3127"/>
    <w:rsid w:val="000C3194"/>
    <w:rsid w:val="000C32E9"/>
    <w:rsid w:val="000C32EE"/>
    <w:rsid w:val="000C336A"/>
    <w:rsid w:val="000C33D3"/>
    <w:rsid w:val="000C3499"/>
    <w:rsid w:val="000C3598"/>
    <w:rsid w:val="000C359F"/>
    <w:rsid w:val="000C3693"/>
    <w:rsid w:val="000C36F9"/>
    <w:rsid w:val="000C3730"/>
    <w:rsid w:val="000C37DA"/>
    <w:rsid w:val="000C39CC"/>
    <w:rsid w:val="000C3AC9"/>
    <w:rsid w:val="000C3B53"/>
    <w:rsid w:val="000C3D8E"/>
    <w:rsid w:val="000C3FDE"/>
    <w:rsid w:val="000C41DC"/>
    <w:rsid w:val="000C4250"/>
    <w:rsid w:val="000C4469"/>
    <w:rsid w:val="000C4485"/>
    <w:rsid w:val="000C44C0"/>
    <w:rsid w:val="000C454C"/>
    <w:rsid w:val="000C4806"/>
    <w:rsid w:val="000C48CE"/>
    <w:rsid w:val="000C495D"/>
    <w:rsid w:val="000C497E"/>
    <w:rsid w:val="000C4A66"/>
    <w:rsid w:val="000C4D0B"/>
    <w:rsid w:val="000C4E1C"/>
    <w:rsid w:val="000C51BF"/>
    <w:rsid w:val="000C5237"/>
    <w:rsid w:val="000C5286"/>
    <w:rsid w:val="000C528C"/>
    <w:rsid w:val="000C52A2"/>
    <w:rsid w:val="000C561D"/>
    <w:rsid w:val="000C58E7"/>
    <w:rsid w:val="000C597D"/>
    <w:rsid w:val="000C5A15"/>
    <w:rsid w:val="000C5B0C"/>
    <w:rsid w:val="000C5C93"/>
    <w:rsid w:val="000C5F8A"/>
    <w:rsid w:val="000C6410"/>
    <w:rsid w:val="000C65D6"/>
    <w:rsid w:val="000C673B"/>
    <w:rsid w:val="000C67A1"/>
    <w:rsid w:val="000C67B3"/>
    <w:rsid w:val="000C6990"/>
    <w:rsid w:val="000C6A2D"/>
    <w:rsid w:val="000C6A2F"/>
    <w:rsid w:val="000C6A72"/>
    <w:rsid w:val="000C6A80"/>
    <w:rsid w:val="000C6B62"/>
    <w:rsid w:val="000C6C3B"/>
    <w:rsid w:val="000C6D91"/>
    <w:rsid w:val="000C6DA4"/>
    <w:rsid w:val="000C6FF0"/>
    <w:rsid w:val="000C7014"/>
    <w:rsid w:val="000C7106"/>
    <w:rsid w:val="000C7135"/>
    <w:rsid w:val="000C7203"/>
    <w:rsid w:val="000C7211"/>
    <w:rsid w:val="000C73E1"/>
    <w:rsid w:val="000C753D"/>
    <w:rsid w:val="000C7548"/>
    <w:rsid w:val="000C7588"/>
    <w:rsid w:val="000C75AE"/>
    <w:rsid w:val="000C7865"/>
    <w:rsid w:val="000C786D"/>
    <w:rsid w:val="000C79C4"/>
    <w:rsid w:val="000C7BB1"/>
    <w:rsid w:val="000C7BE9"/>
    <w:rsid w:val="000C7E9A"/>
    <w:rsid w:val="000D00A3"/>
    <w:rsid w:val="000D02E4"/>
    <w:rsid w:val="000D0316"/>
    <w:rsid w:val="000D0358"/>
    <w:rsid w:val="000D089F"/>
    <w:rsid w:val="000D09D0"/>
    <w:rsid w:val="000D0A44"/>
    <w:rsid w:val="000D0B7D"/>
    <w:rsid w:val="000D0BCA"/>
    <w:rsid w:val="000D0F45"/>
    <w:rsid w:val="000D124A"/>
    <w:rsid w:val="000D1296"/>
    <w:rsid w:val="000D13E3"/>
    <w:rsid w:val="000D152A"/>
    <w:rsid w:val="000D15AE"/>
    <w:rsid w:val="000D15CC"/>
    <w:rsid w:val="000D1669"/>
    <w:rsid w:val="000D17C8"/>
    <w:rsid w:val="000D17DB"/>
    <w:rsid w:val="000D18D3"/>
    <w:rsid w:val="000D191D"/>
    <w:rsid w:val="000D1A92"/>
    <w:rsid w:val="000D1C20"/>
    <w:rsid w:val="000D1C37"/>
    <w:rsid w:val="000D1D4E"/>
    <w:rsid w:val="000D1D54"/>
    <w:rsid w:val="000D1D75"/>
    <w:rsid w:val="000D1DBC"/>
    <w:rsid w:val="000D1DDB"/>
    <w:rsid w:val="000D1DFA"/>
    <w:rsid w:val="000D1E2F"/>
    <w:rsid w:val="000D1EC8"/>
    <w:rsid w:val="000D1EF5"/>
    <w:rsid w:val="000D211A"/>
    <w:rsid w:val="000D21D7"/>
    <w:rsid w:val="000D22B5"/>
    <w:rsid w:val="000D244B"/>
    <w:rsid w:val="000D2538"/>
    <w:rsid w:val="000D2547"/>
    <w:rsid w:val="000D257C"/>
    <w:rsid w:val="000D2653"/>
    <w:rsid w:val="000D2659"/>
    <w:rsid w:val="000D27F7"/>
    <w:rsid w:val="000D2BFE"/>
    <w:rsid w:val="000D2DEF"/>
    <w:rsid w:val="000D3118"/>
    <w:rsid w:val="000D3169"/>
    <w:rsid w:val="000D3340"/>
    <w:rsid w:val="000D3538"/>
    <w:rsid w:val="000D38A4"/>
    <w:rsid w:val="000D38D2"/>
    <w:rsid w:val="000D38F3"/>
    <w:rsid w:val="000D3AF2"/>
    <w:rsid w:val="000D3C97"/>
    <w:rsid w:val="000D3CE7"/>
    <w:rsid w:val="000D411B"/>
    <w:rsid w:val="000D4171"/>
    <w:rsid w:val="000D46E3"/>
    <w:rsid w:val="000D4760"/>
    <w:rsid w:val="000D4928"/>
    <w:rsid w:val="000D4AF2"/>
    <w:rsid w:val="000D4B72"/>
    <w:rsid w:val="000D4D60"/>
    <w:rsid w:val="000D4F31"/>
    <w:rsid w:val="000D5151"/>
    <w:rsid w:val="000D535E"/>
    <w:rsid w:val="000D5517"/>
    <w:rsid w:val="000D5844"/>
    <w:rsid w:val="000D58BC"/>
    <w:rsid w:val="000D5D00"/>
    <w:rsid w:val="000D5EBF"/>
    <w:rsid w:val="000D5F82"/>
    <w:rsid w:val="000D6070"/>
    <w:rsid w:val="000D62AF"/>
    <w:rsid w:val="000D6398"/>
    <w:rsid w:val="000D63F9"/>
    <w:rsid w:val="000D64A1"/>
    <w:rsid w:val="000D64C2"/>
    <w:rsid w:val="000D65A8"/>
    <w:rsid w:val="000D662B"/>
    <w:rsid w:val="000D68CF"/>
    <w:rsid w:val="000D699F"/>
    <w:rsid w:val="000D69BD"/>
    <w:rsid w:val="000D6CAB"/>
    <w:rsid w:val="000D6D2C"/>
    <w:rsid w:val="000D6D6B"/>
    <w:rsid w:val="000D6D80"/>
    <w:rsid w:val="000D6F69"/>
    <w:rsid w:val="000D7007"/>
    <w:rsid w:val="000D7014"/>
    <w:rsid w:val="000D72A4"/>
    <w:rsid w:val="000D72B2"/>
    <w:rsid w:val="000D73A6"/>
    <w:rsid w:val="000D73C4"/>
    <w:rsid w:val="000D75D4"/>
    <w:rsid w:val="000D7664"/>
    <w:rsid w:val="000D77F8"/>
    <w:rsid w:val="000D790F"/>
    <w:rsid w:val="000D7979"/>
    <w:rsid w:val="000D7C95"/>
    <w:rsid w:val="000D7DE7"/>
    <w:rsid w:val="000D7E5D"/>
    <w:rsid w:val="000D7E7D"/>
    <w:rsid w:val="000D7F00"/>
    <w:rsid w:val="000D7F3C"/>
    <w:rsid w:val="000E0115"/>
    <w:rsid w:val="000E0339"/>
    <w:rsid w:val="000E04A6"/>
    <w:rsid w:val="000E0686"/>
    <w:rsid w:val="000E07E2"/>
    <w:rsid w:val="000E0970"/>
    <w:rsid w:val="000E0A61"/>
    <w:rsid w:val="000E0C5C"/>
    <w:rsid w:val="000E0D40"/>
    <w:rsid w:val="000E0FFE"/>
    <w:rsid w:val="000E118C"/>
    <w:rsid w:val="000E11BB"/>
    <w:rsid w:val="000E154E"/>
    <w:rsid w:val="000E15F2"/>
    <w:rsid w:val="000E1767"/>
    <w:rsid w:val="000E180D"/>
    <w:rsid w:val="000E1931"/>
    <w:rsid w:val="000E19DF"/>
    <w:rsid w:val="000E1B10"/>
    <w:rsid w:val="000E1CA1"/>
    <w:rsid w:val="000E1D40"/>
    <w:rsid w:val="000E1D59"/>
    <w:rsid w:val="000E1D6A"/>
    <w:rsid w:val="000E1EAE"/>
    <w:rsid w:val="000E1FDD"/>
    <w:rsid w:val="000E1FEC"/>
    <w:rsid w:val="000E21E9"/>
    <w:rsid w:val="000E28B4"/>
    <w:rsid w:val="000E2B9B"/>
    <w:rsid w:val="000E2BB8"/>
    <w:rsid w:val="000E2C20"/>
    <w:rsid w:val="000E2CD1"/>
    <w:rsid w:val="000E2D0E"/>
    <w:rsid w:val="000E2F74"/>
    <w:rsid w:val="000E30C3"/>
    <w:rsid w:val="000E31D0"/>
    <w:rsid w:val="000E32CD"/>
    <w:rsid w:val="000E34E9"/>
    <w:rsid w:val="000E35C3"/>
    <w:rsid w:val="000E36F4"/>
    <w:rsid w:val="000E3708"/>
    <w:rsid w:val="000E3713"/>
    <w:rsid w:val="000E3778"/>
    <w:rsid w:val="000E385C"/>
    <w:rsid w:val="000E3C17"/>
    <w:rsid w:val="000E3C95"/>
    <w:rsid w:val="000E3E66"/>
    <w:rsid w:val="000E3E9A"/>
    <w:rsid w:val="000E3FB9"/>
    <w:rsid w:val="000E4166"/>
    <w:rsid w:val="000E42E1"/>
    <w:rsid w:val="000E4468"/>
    <w:rsid w:val="000E4492"/>
    <w:rsid w:val="000E4514"/>
    <w:rsid w:val="000E45D7"/>
    <w:rsid w:val="000E46A5"/>
    <w:rsid w:val="000E4786"/>
    <w:rsid w:val="000E48B2"/>
    <w:rsid w:val="000E498E"/>
    <w:rsid w:val="000E4BAE"/>
    <w:rsid w:val="000E4C49"/>
    <w:rsid w:val="000E4FDE"/>
    <w:rsid w:val="000E5320"/>
    <w:rsid w:val="000E55F5"/>
    <w:rsid w:val="000E5791"/>
    <w:rsid w:val="000E5906"/>
    <w:rsid w:val="000E595A"/>
    <w:rsid w:val="000E5B74"/>
    <w:rsid w:val="000E5B81"/>
    <w:rsid w:val="000E6038"/>
    <w:rsid w:val="000E6151"/>
    <w:rsid w:val="000E6337"/>
    <w:rsid w:val="000E6440"/>
    <w:rsid w:val="000E64D2"/>
    <w:rsid w:val="000E65A4"/>
    <w:rsid w:val="000E6687"/>
    <w:rsid w:val="000E67E6"/>
    <w:rsid w:val="000E68B9"/>
    <w:rsid w:val="000E692F"/>
    <w:rsid w:val="000E6C41"/>
    <w:rsid w:val="000E6D1B"/>
    <w:rsid w:val="000E6D60"/>
    <w:rsid w:val="000E6D89"/>
    <w:rsid w:val="000E6EB5"/>
    <w:rsid w:val="000E700E"/>
    <w:rsid w:val="000E7057"/>
    <w:rsid w:val="000E71A4"/>
    <w:rsid w:val="000E71D3"/>
    <w:rsid w:val="000E72EA"/>
    <w:rsid w:val="000E7312"/>
    <w:rsid w:val="000E7452"/>
    <w:rsid w:val="000E74AB"/>
    <w:rsid w:val="000E7770"/>
    <w:rsid w:val="000E77CB"/>
    <w:rsid w:val="000E787C"/>
    <w:rsid w:val="000E7909"/>
    <w:rsid w:val="000E792A"/>
    <w:rsid w:val="000E798D"/>
    <w:rsid w:val="000E79C5"/>
    <w:rsid w:val="000E7A50"/>
    <w:rsid w:val="000E7A71"/>
    <w:rsid w:val="000E7BF3"/>
    <w:rsid w:val="000E7C0C"/>
    <w:rsid w:val="000E7F24"/>
    <w:rsid w:val="000F0000"/>
    <w:rsid w:val="000F00BB"/>
    <w:rsid w:val="000F048E"/>
    <w:rsid w:val="000F04BE"/>
    <w:rsid w:val="000F0527"/>
    <w:rsid w:val="000F08E5"/>
    <w:rsid w:val="000F0AE3"/>
    <w:rsid w:val="000F0AFA"/>
    <w:rsid w:val="000F0BBC"/>
    <w:rsid w:val="000F0CA9"/>
    <w:rsid w:val="000F0D90"/>
    <w:rsid w:val="000F0DED"/>
    <w:rsid w:val="000F0E31"/>
    <w:rsid w:val="000F0F6B"/>
    <w:rsid w:val="000F0F7F"/>
    <w:rsid w:val="000F0FE1"/>
    <w:rsid w:val="000F108F"/>
    <w:rsid w:val="000F111B"/>
    <w:rsid w:val="000F1126"/>
    <w:rsid w:val="000F116E"/>
    <w:rsid w:val="000F118E"/>
    <w:rsid w:val="000F14B2"/>
    <w:rsid w:val="000F152F"/>
    <w:rsid w:val="000F1578"/>
    <w:rsid w:val="000F165F"/>
    <w:rsid w:val="000F1835"/>
    <w:rsid w:val="000F1841"/>
    <w:rsid w:val="000F1A83"/>
    <w:rsid w:val="000F1AA1"/>
    <w:rsid w:val="000F1ABE"/>
    <w:rsid w:val="000F1DF7"/>
    <w:rsid w:val="000F2065"/>
    <w:rsid w:val="000F206C"/>
    <w:rsid w:val="000F2204"/>
    <w:rsid w:val="000F2256"/>
    <w:rsid w:val="000F23D8"/>
    <w:rsid w:val="000F26F8"/>
    <w:rsid w:val="000F2705"/>
    <w:rsid w:val="000F27A7"/>
    <w:rsid w:val="000F2A8F"/>
    <w:rsid w:val="000F2CAB"/>
    <w:rsid w:val="000F2DC6"/>
    <w:rsid w:val="000F2E8C"/>
    <w:rsid w:val="000F2EB9"/>
    <w:rsid w:val="000F2EBC"/>
    <w:rsid w:val="000F2EBE"/>
    <w:rsid w:val="000F2F67"/>
    <w:rsid w:val="000F30E5"/>
    <w:rsid w:val="000F310C"/>
    <w:rsid w:val="000F31F8"/>
    <w:rsid w:val="000F3263"/>
    <w:rsid w:val="000F32B3"/>
    <w:rsid w:val="000F350A"/>
    <w:rsid w:val="000F36C6"/>
    <w:rsid w:val="000F3756"/>
    <w:rsid w:val="000F3796"/>
    <w:rsid w:val="000F39C9"/>
    <w:rsid w:val="000F39DF"/>
    <w:rsid w:val="000F3AD2"/>
    <w:rsid w:val="000F3B1F"/>
    <w:rsid w:val="000F3C5A"/>
    <w:rsid w:val="000F3ED5"/>
    <w:rsid w:val="000F4189"/>
    <w:rsid w:val="000F4196"/>
    <w:rsid w:val="000F41CD"/>
    <w:rsid w:val="000F430A"/>
    <w:rsid w:val="000F431C"/>
    <w:rsid w:val="000F44CB"/>
    <w:rsid w:val="000F44D2"/>
    <w:rsid w:val="000F4796"/>
    <w:rsid w:val="000F4986"/>
    <w:rsid w:val="000F4B55"/>
    <w:rsid w:val="000F4B61"/>
    <w:rsid w:val="000F4B72"/>
    <w:rsid w:val="000F508B"/>
    <w:rsid w:val="000F51C5"/>
    <w:rsid w:val="000F53DA"/>
    <w:rsid w:val="000F5442"/>
    <w:rsid w:val="000F5504"/>
    <w:rsid w:val="000F551F"/>
    <w:rsid w:val="000F56AB"/>
    <w:rsid w:val="000F5748"/>
    <w:rsid w:val="000F5884"/>
    <w:rsid w:val="000F598C"/>
    <w:rsid w:val="000F5AC7"/>
    <w:rsid w:val="000F5ADB"/>
    <w:rsid w:val="000F5B38"/>
    <w:rsid w:val="000F5B76"/>
    <w:rsid w:val="000F5CDD"/>
    <w:rsid w:val="000F5D0A"/>
    <w:rsid w:val="000F5E22"/>
    <w:rsid w:val="000F5E90"/>
    <w:rsid w:val="000F5FB8"/>
    <w:rsid w:val="000F6032"/>
    <w:rsid w:val="000F6044"/>
    <w:rsid w:val="000F6118"/>
    <w:rsid w:val="000F6249"/>
    <w:rsid w:val="000F628C"/>
    <w:rsid w:val="000F63E9"/>
    <w:rsid w:val="000F64E8"/>
    <w:rsid w:val="000F65A5"/>
    <w:rsid w:val="000F6817"/>
    <w:rsid w:val="000F6964"/>
    <w:rsid w:val="000F6D43"/>
    <w:rsid w:val="000F6E5B"/>
    <w:rsid w:val="000F6FD5"/>
    <w:rsid w:val="000F7084"/>
    <w:rsid w:val="000F71C5"/>
    <w:rsid w:val="000F739A"/>
    <w:rsid w:val="000F749A"/>
    <w:rsid w:val="000F74E9"/>
    <w:rsid w:val="000F74EC"/>
    <w:rsid w:val="000F7720"/>
    <w:rsid w:val="000F773A"/>
    <w:rsid w:val="000F77B1"/>
    <w:rsid w:val="000F77E5"/>
    <w:rsid w:val="000F7876"/>
    <w:rsid w:val="000F7953"/>
    <w:rsid w:val="000F7ABB"/>
    <w:rsid w:val="000F7AEB"/>
    <w:rsid w:val="000F7B32"/>
    <w:rsid w:val="000F7DD6"/>
    <w:rsid w:val="00100013"/>
    <w:rsid w:val="00100069"/>
    <w:rsid w:val="00100073"/>
    <w:rsid w:val="0010012D"/>
    <w:rsid w:val="00100420"/>
    <w:rsid w:val="001004EA"/>
    <w:rsid w:val="00100529"/>
    <w:rsid w:val="001005DE"/>
    <w:rsid w:val="0010061A"/>
    <w:rsid w:val="001008B4"/>
    <w:rsid w:val="00100A73"/>
    <w:rsid w:val="00100B76"/>
    <w:rsid w:val="00100E4B"/>
    <w:rsid w:val="00100F97"/>
    <w:rsid w:val="00101070"/>
    <w:rsid w:val="001011BF"/>
    <w:rsid w:val="0010125D"/>
    <w:rsid w:val="0010130E"/>
    <w:rsid w:val="00101402"/>
    <w:rsid w:val="00101480"/>
    <w:rsid w:val="00101536"/>
    <w:rsid w:val="00101912"/>
    <w:rsid w:val="00101AB0"/>
    <w:rsid w:val="00101BD5"/>
    <w:rsid w:val="00101C49"/>
    <w:rsid w:val="00101D3C"/>
    <w:rsid w:val="00101E7D"/>
    <w:rsid w:val="00101E9D"/>
    <w:rsid w:val="00101EFE"/>
    <w:rsid w:val="00101FD6"/>
    <w:rsid w:val="001020C7"/>
    <w:rsid w:val="00102141"/>
    <w:rsid w:val="00102400"/>
    <w:rsid w:val="00102456"/>
    <w:rsid w:val="0010251C"/>
    <w:rsid w:val="001027BF"/>
    <w:rsid w:val="00102A1B"/>
    <w:rsid w:val="00102A4E"/>
    <w:rsid w:val="00102B12"/>
    <w:rsid w:val="00102D5D"/>
    <w:rsid w:val="00102FDD"/>
    <w:rsid w:val="001030BF"/>
    <w:rsid w:val="00103193"/>
    <w:rsid w:val="00103246"/>
    <w:rsid w:val="0010342F"/>
    <w:rsid w:val="0010344A"/>
    <w:rsid w:val="001035B0"/>
    <w:rsid w:val="001036AE"/>
    <w:rsid w:val="001036C9"/>
    <w:rsid w:val="001037DD"/>
    <w:rsid w:val="0010382F"/>
    <w:rsid w:val="001038E6"/>
    <w:rsid w:val="001039F4"/>
    <w:rsid w:val="00103A9B"/>
    <w:rsid w:val="00103AC5"/>
    <w:rsid w:val="00103FE0"/>
    <w:rsid w:val="00103FFE"/>
    <w:rsid w:val="00104012"/>
    <w:rsid w:val="001040C6"/>
    <w:rsid w:val="0010427B"/>
    <w:rsid w:val="001042E9"/>
    <w:rsid w:val="001043B1"/>
    <w:rsid w:val="0010455E"/>
    <w:rsid w:val="0010456A"/>
    <w:rsid w:val="0010475A"/>
    <w:rsid w:val="001047A0"/>
    <w:rsid w:val="001047B8"/>
    <w:rsid w:val="0010487B"/>
    <w:rsid w:val="001048E5"/>
    <w:rsid w:val="00104960"/>
    <w:rsid w:val="00104A75"/>
    <w:rsid w:val="00104AE3"/>
    <w:rsid w:val="00104CE4"/>
    <w:rsid w:val="00104E88"/>
    <w:rsid w:val="00104E94"/>
    <w:rsid w:val="00104ED2"/>
    <w:rsid w:val="00104EF4"/>
    <w:rsid w:val="00104EF6"/>
    <w:rsid w:val="00105024"/>
    <w:rsid w:val="0010503C"/>
    <w:rsid w:val="001050B6"/>
    <w:rsid w:val="00105189"/>
    <w:rsid w:val="001051BA"/>
    <w:rsid w:val="001051D8"/>
    <w:rsid w:val="0010529A"/>
    <w:rsid w:val="001052DF"/>
    <w:rsid w:val="001052E5"/>
    <w:rsid w:val="0010532C"/>
    <w:rsid w:val="00105451"/>
    <w:rsid w:val="0010597A"/>
    <w:rsid w:val="001059B8"/>
    <w:rsid w:val="00105C8D"/>
    <w:rsid w:val="00105FFC"/>
    <w:rsid w:val="0010619A"/>
    <w:rsid w:val="001062BA"/>
    <w:rsid w:val="00106385"/>
    <w:rsid w:val="0010658A"/>
    <w:rsid w:val="0010660E"/>
    <w:rsid w:val="0010676B"/>
    <w:rsid w:val="001068E3"/>
    <w:rsid w:val="001069DC"/>
    <w:rsid w:val="00106B69"/>
    <w:rsid w:val="00106C70"/>
    <w:rsid w:val="00106DB9"/>
    <w:rsid w:val="0010703D"/>
    <w:rsid w:val="0010712A"/>
    <w:rsid w:val="00107136"/>
    <w:rsid w:val="00107215"/>
    <w:rsid w:val="001074F1"/>
    <w:rsid w:val="00107570"/>
    <w:rsid w:val="001075B0"/>
    <w:rsid w:val="001075BF"/>
    <w:rsid w:val="001076E5"/>
    <w:rsid w:val="001077A0"/>
    <w:rsid w:val="001077BC"/>
    <w:rsid w:val="001077C6"/>
    <w:rsid w:val="001078D8"/>
    <w:rsid w:val="001079A0"/>
    <w:rsid w:val="00107B08"/>
    <w:rsid w:val="00107BA7"/>
    <w:rsid w:val="00107D4C"/>
    <w:rsid w:val="00107D84"/>
    <w:rsid w:val="00107E94"/>
    <w:rsid w:val="00107F00"/>
    <w:rsid w:val="00107F69"/>
    <w:rsid w:val="00110037"/>
    <w:rsid w:val="001100D7"/>
    <w:rsid w:val="00110195"/>
    <w:rsid w:val="001108FA"/>
    <w:rsid w:val="0011090A"/>
    <w:rsid w:val="00110BA2"/>
    <w:rsid w:val="00110BA8"/>
    <w:rsid w:val="00110C08"/>
    <w:rsid w:val="00110E99"/>
    <w:rsid w:val="00110F0F"/>
    <w:rsid w:val="00110F45"/>
    <w:rsid w:val="00110F52"/>
    <w:rsid w:val="00110F82"/>
    <w:rsid w:val="00111022"/>
    <w:rsid w:val="00111220"/>
    <w:rsid w:val="00111347"/>
    <w:rsid w:val="0011167A"/>
    <w:rsid w:val="0011185E"/>
    <w:rsid w:val="001119AA"/>
    <w:rsid w:val="00111C52"/>
    <w:rsid w:val="00111E42"/>
    <w:rsid w:val="00111E55"/>
    <w:rsid w:val="00111F85"/>
    <w:rsid w:val="00111FB8"/>
    <w:rsid w:val="00112073"/>
    <w:rsid w:val="0011215C"/>
    <w:rsid w:val="001122CF"/>
    <w:rsid w:val="00112506"/>
    <w:rsid w:val="0011253D"/>
    <w:rsid w:val="001125D9"/>
    <w:rsid w:val="00112605"/>
    <w:rsid w:val="001126A8"/>
    <w:rsid w:val="001126E9"/>
    <w:rsid w:val="001129D9"/>
    <w:rsid w:val="00112B8F"/>
    <w:rsid w:val="00112C19"/>
    <w:rsid w:val="00112C2C"/>
    <w:rsid w:val="00112D31"/>
    <w:rsid w:val="00112DB5"/>
    <w:rsid w:val="00112F0E"/>
    <w:rsid w:val="00112F15"/>
    <w:rsid w:val="00112F5C"/>
    <w:rsid w:val="00112F64"/>
    <w:rsid w:val="00113120"/>
    <w:rsid w:val="0011319F"/>
    <w:rsid w:val="0011341D"/>
    <w:rsid w:val="00113433"/>
    <w:rsid w:val="00113473"/>
    <w:rsid w:val="001134CF"/>
    <w:rsid w:val="001134F7"/>
    <w:rsid w:val="00113889"/>
    <w:rsid w:val="00113B20"/>
    <w:rsid w:val="00113BB8"/>
    <w:rsid w:val="00113D6D"/>
    <w:rsid w:val="00113DE7"/>
    <w:rsid w:val="00113EBD"/>
    <w:rsid w:val="00113F5D"/>
    <w:rsid w:val="001141AE"/>
    <w:rsid w:val="00114202"/>
    <w:rsid w:val="0011421A"/>
    <w:rsid w:val="0011458E"/>
    <w:rsid w:val="001145D8"/>
    <w:rsid w:val="001147C3"/>
    <w:rsid w:val="001149BE"/>
    <w:rsid w:val="001149F3"/>
    <w:rsid w:val="00114A39"/>
    <w:rsid w:val="00114A4E"/>
    <w:rsid w:val="00114B9A"/>
    <w:rsid w:val="00114BE0"/>
    <w:rsid w:val="00114C5E"/>
    <w:rsid w:val="00114E13"/>
    <w:rsid w:val="00114E63"/>
    <w:rsid w:val="00115078"/>
    <w:rsid w:val="0011517A"/>
    <w:rsid w:val="001153E5"/>
    <w:rsid w:val="001154EF"/>
    <w:rsid w:val="0011553C"/>
    <w:rsid w:val="001155BC"/>
    <w:rsid w:val="0011592F"/>
    <w:rsid w:val="00115933"/>
    <w:rsid w:val="00115A91"/>
    <w:rsid w:val="00115A96"/>
    <w:rsid w:val="00115A97"/>
    <w:rsid w:val="00115AC1"/>
    <w:rsid w:val="00115AF9"/>
    <w:rsid w:val="00115B7A"/>
    <w:rsid w:val="00115D86"/>
    <w:rsid w:val="00115DC5"/>
    <w:rsid w:val="00116078"/>
    <w:rsid w:val="0011607F"/>
    <w:rsid w:val="00116190"/>
    <w:rsid w:val="00116283"/>
    <w:rsid w:val="001164D5"/>
    <w:rsid w:val="00116555"/>
    <w:rsid w:val="00116571"/>
    <w:rsid w:val="0011661E"/>
    <w:rsid w:val="001166CA"/>
    <w:rsid w:val="00116A21"/>
    <w:rsid w:val="00116A8D"/>
    <w:rsid w:val="00116AD0"/>
    <w:rsid w:val="00116EBF"/>
    <w:rsid w:val="00116F4A"/>
    <w:rsid w:val="001170D0"/>
    <w:rsid w:val="0011719D"/>
    <w:rsid w:val="001171C4"/>
    <w:rsid w:val="0011761F"/>
    <w:rsid w:val="001176EB"/>
    <w:rsid w:val="001177B5"/>
    <w:rsid w:val="00117A52"/>
    <w:rsid w:val="00117AE7"/>
    <w:rsid w:val="00117B67"/>
    <w:rsid w:val="00117B6A"/>
    <w:rsid w:val="00117F63"/>
    <w:rsid w:val="00120125"/>
    <w:rsid w:val="00120155"/>
    <w:rsid w:val="0012019A"/>
    <w:rsid w:val="00120433"/>
    <w:rsid w:val="001204F0"/>
    <w:rsid w:val="0012050A"/>
    <w:rsid w:val="001205F4"/>
    <w:rsid w:val="0012060E"/>
    <w:rsid w:val="001207D3"/>
    <w:rsid w:val="00120843"/>
    <w:rsid w:val="00120891"/>
    <w:rsid w:val="00120989"/>
    <w:rsid w:val="001209BE"/>
    <w:rsid w:val="00120BA4"/>
    <w:rsid w:val="00120D97"/>
    <w:rsid w:val="00120E1C"/>
    <w:rsid w:val="00120E40"/>
    <w:rsid w:val="00120EC1"/>
    <w:rsid w:val="0012105A"/>
    <w:rsid w:val="0012110D"/>
    <w:rsid w:val="00121159"/>
    <w:rsid w:val="00121198"/>
    <w:rsid w:val="00121445"/>
    <w:rsid w:val="00121535"/>
    <w:rsid w:val="00121548"/>
    <w:rsid w:val="00121692"/>
    <w:rsid w:val="0012189B"/>
    <w:rsid w:val="00121999"/>
    <w:rsid w:val="00121C26"/>
    <w:rsid w:val="00121C88"/>
    <w:rsid w:val="00121D60"/>
    <w:rsid w:val="00121DA4"/>
    <w:rsid w:val="00121DBD"/>
    <w:rsid w:val="00121E8F"/>
    <w:rsid w:val="00121E91"/>
    <w:rsid w:val="00121F1B"/>
    <w:rsid w:val="00121FD7"/>
    <w:rsid w:val="00122250"/>
    <w:rsid w:val="0012228F"/>
    <w:rsid w:val="00122531"/>
    <w:rsid w:val="00122648"/>
    <w:rsid w:val="00122671"/>
    <w:rsid w:val="00122779"/>
    <w:rsid w:val="0012280D"/>
    <w:rsid w:val="00122866"/>
    <w:rsid w:val="001228E6"/>
    <w:rsid w:val="00122A05"/>
    <w:rsid w:val="00122B0A"/>
    <w:rsid w:val="00122B1E"/>
    <w:rsid w:val="00122C6C"/>
    <w:rsid w:val="00122C7F"/>
    <w:rsid w:val="00122CE5"/>
    <w:rsid w:val="00122D1F"/>
    <w:rsid w:val="00122E3E"/>
    <w:rsid w:val="001230AD"/>
    <w:rsid w:val="001230B3"/>
    <w:rsid w:val="00123102"/>
    <w:rsid w:val="0012315E"/>
    <w:rsid w:val="00123200"/>
    <w:rsid w:val="001233E8"/>
    <w:rsid w:val="001234B5"/>
    <w:rsid w:val="0012355B"/>
    <w:rsid w:val="0012366F"/>
    <w:rsid w:val="00123704"/>
    <w:rsid w:val="00123772"/>
    <w:rsid w:val="001237C7"/>
    <w:rsid w:val="00123801"/>
    <w:rsid w:val="00123855"/>
    <w:rsid w:val="0012385E"/>
    <w:rsid w:val="00123954"/>
    <w:rsid w:val="00123A75"/>
    <w:rsid w:val="00123BE4"/>
    <w:rsid w:val="00123CD3"/>
    <w:rsid w:val="00123D20"/>
    <w:rsid w:val="00123D57"/>
    <w:rsid w:val="00123F2C"/>
    <w:rsid w:val="00123FFB"/>
    <w:rsid w:val="00124092"/>
    <w:rsid w:val="0012421F"/>
    <w:rsid w:val="001247F1"/>
    <w:rsid w:val="00124915"/>
    <w:rsid w:val="00124B9E"/>
    <w:rsid w:val="00124CD7"/>
    <w:rsid w:val="00124D0D"/>
    <w:rsid w:val="00124D37"/>
    <w:rsid w:val="00124D47"/>
    <w:rsid w:val="00125154"/>
    <w:rsid w:val="00125221"/>
    <w:rsid w:val="00125274"/>
    <w:rsid w:val="0012537B"/>
    <w:rsid w:val="001254C0"/>
    <w:rsid w:val="001255FB"/>
    <w:rsid w:val="0012578E"/>
    <w:rsid w:val="0012586E"/>
    <w:rsid w:val="001258F1"/>
    <w:rsid w:val="00125BAD"/>
    <w:rsid w:val="00125C2C"/>
    <w:rsid w:val="00125C39"/>
    <w:rsid w:val="00125CCF"/>
    <w:rsid w:val="00125F08"/>
    <w:rsid w:val="00125F15"/>
    <w:rsid w:val="0012612A"/>
    <w:rsid w:val="0012613D"/>
    <w:rsid w:val="0012633D"/>
    <w:rsid w:val="0012651A"/>
    <w:rsid w:val="001268F0"/>
    <w:rsid w:val="001268F8"/>
    <w:rsid w:val="00126A3E"/>
    <w:rsid w:val="00126B04"/>
    <w:rsid w:val="00126B30"/>
    <w:rsid w:val="00126B93"/>
    <w:rsid w:val="00126C23"/>
    <w:rsid w:val="00126CAC"/>
    <w:rsid w:val="00126D3B"/>
    <w:rsid w:val="00126D43"/>
    <w:rsid w:val="00126D67"/>
    <w:rsid w:val="0012707F"/>
    <w:rsid w:val="00127434"/>
    <w:rsid w:val="0012751B"/>
    <w:rsid w:val="001275D6"/>
    <w:rsid w:val="0012772C"/>
    <w:rsid w:val="0012774B"/>
    <w:rsid w:val="001278E9"/>
    <w:rsid w:val="00127A3E"/>
    <w:rsid w:val="00127C38"/>
    <w:rsid w:val="00127C47"/>
    <w:rsid w:val="00127C86"/>
    <w:rsid w:val="00127D32"/>
    <w:rsid w:val="00130043"/>
    <w:rsid w:val="0013013B"/>
    <w:rsid w:val="001307CD"/>
    <w:rsid w:val="001307D8"/>
    <w:rsid w:val="00130AD0"/>
    <w:rsid w:val="00130D64"/>
    <w:rsid w:val="00130E99"/>
    <w:rsid w:val="00130F79"/>
    <w:rsid w:val="00131220"/>
    <w:rsid w:val="001314A2"/>
    <w:rsid w:val="0013188A"/>
    <w:rsid w:val="001318BD"/>
    <w:rsid w:val="00131924"/>
    <w:rsid w:val="00131B45"/>
    <w:rsid w:val="00131CB6"/>
    <w:rsid w:val="00131F03"/>
    <w:rsid w:val="00131F6E"/>
    <w:rsid w:val="00132387"/>
    <w:rsid w:val="001323F1"/>
    <w:rsid w:val="00132412"/>
    <w:rsid w:val="0013250B"/>
    <w:rsid w:val="001326EC"/>
    <w:rsid w:val="001326EF"/>
    <w:rsid w:val="0013273C"/>
    <w:rsid w:val="001329AC"/>
    <w:rsid w:val="001329F8"/>
    <w:rsid w:val="00132A7A"/>
    <w:rsid w:val="00132B66"/>
    <w:rsid w:val="00132D67"/>
    <w:rsid w:val="00132FCC"/>
    <w:rsid w:val="00133122"/>
    <w:rsid w:val="0013368F"/>
    <w:rsid w:val="001336C8"/>
    <w:rsid w:val="00133781"/>
    <w:rsid w:val="001338A9"/>
    <w:rsid w:val="0013392F"/>
    <w:rsid w:val="00133B9A"/>
    <w:rsid w:val="00133BB6"/>
    <w:rsid w:val="00133C33"/>
    <w:rsid w:val="00133D0D"/>
    <w:rsid w:val="00133D4C"/>
    <w:rsid w:val="00133D5C"/>
    <w:rsid w:val="0013400E"/>
    <w:rsid w:val="0013406C"/>
    <w:rsid w:val="00134115"/>
    <w:rsid w:val="00134279"/>
    <w:rsid w:val="00134319"/>
    <w:rsid w:val="001344EC"/>
    <w:rsid w:val="001346FE"/>
    <w:rsid w:val="0013486B"/>
    <w:rsid w:val="00134897"/>
    <w:rsid w:val="001348A4"/>
    <w:rsid w:val="001348E5"/>
    <w:rsid w:val="00134938"/>
    <w:rsid w:val="00134A61"/>
    <w:rsid w:val="00134BC6"/>
    <w:rsid w:val="00134C53"/>
    <w:rsid w:val="00134CAC"/>
    <w:rsid w:val="00134D12"/>
    <w:rsid w:val="00134E2B"/>
    <w:rsid w:val="00135046"/>
    <w:rsid w:val="00135097"/>
    <w:rsid w:val="001350F3"/>
    <w:rsid w:val="001350FA"/>
    <w:rsid w:val="00135204"/>
    <w:rsid w:val="0013522D"/>
    <w:rsid w:val="0013524B"/>
    <w:rsid w:val="001352E6"/>
    <w:rsid w:val="00135337"/>
    <w:rsid w:val="001355A2"/>
    <w:rsid w:val="001355FC"/>
    <w:rsid w:val="0013563C"/>
    <w:rsid w:val="00135641"/>
    <w:rsid w:val="00135894"/>
    <w:rsid w:val="00135A4F"/>
    <w:rsid w:val="00135A87"/>
    <w:rsid w:val="00135B14"/>
    <w:rsid w:val="00135C5E"/>
    <w:rsid w:val="00135CCD"/>
    <w:rsid w:val="00135D33"/>
    <w:rsid w:val="00135E29"/>
    <w:rsid w:val="00135F39"/>
    <w:rsid w:val="00136045"/>
    <w:rsid w:val="00136177"/>
    <w:rsid w:val="00136193"/>
    <w:rsid w:val="00136234"/>
    <w:rsid w:val="001363A0"/>
    <w:rsid w:val="001365D2"/>
    <w:rsid w:val="001367E2"/>
    <w:rsid w:val="00136807"/>
    <w:rsid w:val="00136962"/>
    <w:rsid w:val="00136AC3"/>
    <w:rsid w:val="00136C39"/>
    <w:rsid w:val="00136C5E"/>
    <w:rsid w:val="00136D91"/>
    <w:rsid w:val="00136DDC"/>
    <w:rsid w:val="00136EBF"/>
    <w:rsid w:val="0013734E"/>
    <w:rsid w:val="0013736E"/>
    <w:rsid w:val="00137435"/>
    <w:rsid w:val="00137486"/>
    <w:rsid w:val="001375CD"/>
    <w:rsid w:val="001377FB"/>
    <w:rsid w:val="00137820"/>
    <w:rsid w:val="00137879"/>
    <w:rsid w:val="001378C5"/>
    <w:rsid w:val="00137A32"/>
    <w:rsid w:val="00137A4A"/>
    <w:rsid w:val="00137B47"/>
    <w:rsid w:val="00137C00"/>
    <w:rsid w:val="00137C5D"/>
    <w:rsid w:val="00137C68"/>
    <w:rsid w:val="00137DB2"/>
    <w:rsid w:val="00137DC6"/>
    <w:rsid w:val="00137E5F"/>
    <w:rsid w:val="00137EFB"/>
    <w:rsid w:val="00137FCD"/>
    <w:rsid w:val="00140164"/>
    <w:rsid w:val="00140251"/>
    <w:rsid w:val="001403A4"/>
    <w:rsid w:val="001403CB"/>
    <w:rsid w:val="00140471"/>
    <w:rsid w:val="00140614"/>
    <w:rsid w:val="0014065F"/>
    <w:rsid w:val="001407FA"/>
    <w:rsid w:val="001408CF"/>
    <w:rsid w:val="00140A14"/>
    <w:rsid w:val="00140BB3"/>
    <w:rsid w:val="00140C0E"/>
    <w:rsid w:val="00140C5B"/>
    <w:rsid w:val="00140E23"/>
    <w:rsid w:val="00141110"/>
    <w:rsid w:val="001411D4"/>
    <w:rsid w:val="00141336"/>
    <w:rsid w:val="00141356"/>
    <w:rsid w:val="00141411"/>
    <w:rsid w:val="00141603"/>
    <w:rsid w:val="0014164D"/>
    <w:rsid w:val="0014172B"/>
    <w:rsid w:val="001418E1"/>
    <w:rsid w:val="001419D6"/>
    <w:rsid w:val="00141B5B"/>
    <w:rsid w:val="00141BE7"/>
    <w:rsid w:val="00141D10"/>
    <w:rsid w:val="00141E40"/>
    <w:rsid w:val="00141EE1"/>
    <w:rsid w:val="001420FA"/>
    <w:rsid w:val="0014220E"/>
    <w:rsid w:val="00142228"/>
    <w:rsid w:val="0014228B"/>
    <w:rsid w:val="00142342"/>
    <w:rsid w:val="001424DA"/>
    <w:rsid w:val="001424E0"/>
    <w:rsid w:val="001425EF"/>
    <w:rsid w:val="0014263B"/>
    <w:rsid w:val="001426FC"/>
    <w:rsid w:val="00142796"/>
    <w:rsid w:val="001427E5"/>
    <w:rsid w:val="00142838"/>
    <w:rsid w:val="0014296D"/>
    <w:rsid w:val="00142C10"/>
    <w:rsid w:val="00142D8C"/>
    <w:rsid w:val="00142D9A"/>
    <w:rsid w:val="00142EBC"/>
    <w:rsid w:val="0014322D"/>
    <w:rsid w:val="00143267"/>
    <w:rsid w:val="0014356B"/>
    <w:rsid w:val="00143614"/>
    <w:rsid w:val="00143688"/>
    <w:rsid w:val="00143705"/>
    <w:rsid w:val="00143860"/>
    <w:rsid w:val="001438B1"/>
    <w:rsid w:val="001438B6"/>
    <w:rsid w:val="001438E5"/>
    <w:rsid w:val="00143A2A"/>
    <w:rsid w:val="00143B9B"/>
    <w:rsid w:val="00143BDB"/>
    <w:rsid w:val="00143C04"/>
    <w:rsid w:val="00143C19"/>
    <w:rsid w:val="00143E43"/>
    <w:rsid w:val="00143E88"/>
    <w:rsid w:val="00143F2F"/>
    <w:rsid w:val="0014403C"/>
    <w:rsid w:val="00144134"/>
    <w:rsid w:val="00144141"/>
    <w:rsid w:val="0014414B"/>
    <w:rsid w:val="001441DF"/>
    <w:rsid w:val="001441EC"/>
    <w:rsid w:val="001447D6"/>
    <w:rsid w:val="001449A7"/>
    <w:rsid w:val="001449E3"/>
    <w:rsid w:val="00144A3B"/>
    <w:rsid w:val="00144AEB"/>
    <w:rsid w:val="00144B27"/>
    <w:rsid w:val="00144EAA"/>
    <w:rsid w:val="001450F6"/>
    <w:rsid w:val="0014529A"/>
    <w:rsid w:val="001452BE"/>
    <w:rsid w:val="001452C7"/>
    <w:rsid w:val="0014543E"/>
    <w:rsid w:val="0014545A"/>
    <w:rsid w:val="001457CA"/>
    <w:rsid w:val="001459F6"/>
    <w:rsid w:val="00145A4C"/>
    <w:rsid w:val="00145A9B"/>
    <w:rsid w:val="00145B9C"/>
    <w:rsid w:val="00145D46"/>
    <w:rsid w:val="00145D4A"/>
    <w:rsid w:val="00145D6C"/>
    <w:rsid w:val="00145F3A"/>
    <w:rsid w:val="00146048"/>
    <w:rsid w:val="00146050"/>
    <w:rsid w:val="001462D5"/>
    <w:rsid w:val="001463DE"/>
    <w:rsid w:val="0014643E"/>
    <w:rsid w:val="00146601"/>
    <w:rsid w:val="0014660E"/>
    <w:rsid w:val="0014662E"/>
    <w:rsid w:val="0014679C"/>
    <w:rsid w:val="00146840"/>
    <w:rsid w:val="001468D4"/>
    <w:rsid w:val="001469A5"/>
    <w:rsid w:val="00146A41"/>
    <w:rsid w:val="00146AE1"/>
    <w:rsid w:val="00146B3F"/>
    <w:rsid w:val="00146C13"/>
    <w:rsid w:val="00146C27"/>
    <w:rsid w:val="00146D82"/>
    <w:rsid w:val="00146DAF"/>
    <w:rsid w:val="00146DCF"/>
    <w:rsid w:val="00147036"/>
    <w:rsid w:val="001472D5"/>
    <w:rsid w:val="00147432"/>
    <w:rsid w:val="001475D8"/>
    <w:rsid w:val="001477E4"/>
    <w:rsid w:val="00147B73"/>
    <w:rsid w:val="00147DAC"/>
    <w:rsid w:val="00147E29"/>
    <w:rsid w:val="00147E59"/>
    <w:rsid w:val="00147F32"/>
    <w:rsid w:val="00147F42"/>
    <w:rsid w:val="00147F67"/>
    <w:rsid w:val="00150045"/>
    <w:rsid w:val="00150046"/>
    <w:rsid w:val="001501F9"/>
    <w:rsid w:val="00150236"/>
    <w:rsid w:val="001503FF"/>
    <w:rsid w:val="001507CD"/>
    <w:rsid w:val="001508B2"/>
    <w:rsid w:val="001508DB"/>
    <w:rsid w:val="0015091E"/>
    <w:rsid w:val="00150999"/>
    <w:rsid w:val="00150A05"/>
    <w:rsid w:val="00150A50"/>
    <w:rsid w:val="00150ABE"/>
    <w:rsid w:val="00150F69"/>
    <w:rsid w:val="00150F97"/>
    <w:rsid w:val="00151013"/>
    <w:rsid w:val="001510F3"/>
    <w:rsid w:val="00151158"/>
    <w:rsid w:val="00151353"/>
    <w:rsid w:val="00151567"/>
    <w:rsid w:val="001515F6"/>
    <w:rsid w:val="00151652"/>
    <w:rsid w:val="0015180A"/>
    <w:rsid w:val="0015183F"/>
    <w:rsid w:val="001519CF"/>
    <w:rsid w:val="00151A22"/>
    <w:rsid w:val="00151A6D"/>
    <w:rsid w:val="00151ADA"/>
    <w:rsid w:val="00151B6D"/>
    <w:rsid w:val="00151CA2"/>
    <w:rsid w:val="00151EA1"/>
    <w:rsid w:val="00151EAD"/>
    <w:rsid w:val="00151F4F"/>
    <w:rsid w:val="00152005"/>
    <w:rsid w:val="0015209E"/>
    <w:rsid w:val="001521B7"/>
    <w:rsid w:val="0015223B"/>
    <w:rsid w:val="00152427"/>
    <w:rsid w:val="001524CB"/>
    <w:rsid w:val="00152629"/>
    <w:rsid w:val="00152634"/>
    <w:rsid w:val="001527B0"/>
    <w:rsid w:val="001528C9"/>
    <w:rsid w:val="001528F8"/>
    <w:rsid w:val="00152997"/>
    <w:rsid w:val="00152B96"/>
    <w:rsid w:val="00152D54"/>
    <w:rsid w:val="00153201"/>
    <w:rsid w:val="00153346"/>
    <w:rsid w:val="001534B1"/>
    <w:rsid w:val="001535A0"/>
    <w:rsid w:val="001535B6"/>
    <w:rsid w:val="001535B8"/>
    <w:rsid w:val="001535FE"/>
    <w:rsid w:val="001536EC"/>
    <w:rsid w:val="00153A17"/>
    <w:rsid w:val="00153A31"/>
    <w:rsid w:val="00153BCA"/>
    <w:rsid w:val="00153C02"/>
    <w:rsid w:val="00153D9C"/>
    <w:rsid w:val="00153FEC"/>
    <w:rsid w:val="0015403C"/>
    <w:rsid w:val="00154182"/>
    <w:rsid w:val="0015419F"/>
    <w:rsid w:val="001542B2"/>
    <w:rsid w:val="0015436E"/>
    <w:rsid w:val="0015438C"/>
    <w:rsid w:val="001543C0"/>
    <w:rsid w:val="00154429"/>
    <w:rsid w:val="001544A2"/>
    <w:rsid w:val="001544DD"/>
    <w:rsid w:val="001544F1"/>
    <w:rsid w:val="00154517"/>
    <w:rsid w:val="001545A0"/>
    <w:rsid w:val="00154703"/>
    <w:rsid w:val="0015472C"/>
    <w:rsid w:val="0015492A"/>
    <w:rsid w:val="00154B52"/>
    <w:rsid w:val="00154C3B"/>
    <w:rsid w:val="00154C89"/>
    <w:rsid w:val="00154DC1"/>
    <w:rsid w:val="00154EC5"/>
    <w:rsid w:val="00155034"/>
    <w:rsid w:val="00155046"/>
    <w:rsid w:val="00155148"/>
    <w:rsid w:val="001551CB"/>
    <w:rsid w:val="00155362"/>
    <w:rsid w:val="00155621"/>
    <w:rsid w:val="00155661"/>
    <w:rsid w:val="0015571C"/>
    <w:rsid w:val="00155885"/>
    <w:rsid w:val="00155956"/>
    <w:rsid w:val="00155A10"/>
    <w:rsid w:val="00155BB6"/>
    <w:rsid w:val="001560B1"/>
    <w:rsid w:val="001561EE"/>
    <w:rsid w:val="00156356"/>
    <w:rsid w:val="00156379"/>
    <w:rsid w:val="00156428"/>
    <w:rsid w:val="001564F1"/>
    <w:rsid w:val="00156679"/>
    <w:rsid w:val="00156710"/>
    <w:rsid w:val="0015673A"/>
    <w:rsid w:val="0015674E"/>
    <w:rsid w:val="0015682C"/>
    <w:rsid w:val="001568A9"/>
    <w:rsid w:val="00156B99"/>
    <w:rsid w:val="00156CCE"/>
    <w:rsid w:val="00156DB7"/>
    <w:rsid w:val="00156E07"/>
    <w:rsid w:val="00156E21"/>
    <w:rsid w:val="00157042"/>
    <w:rsid w:val="001571CD"/>
    <w:rsid w:val="0015758B"/>
    <w:rsid w:val="001575C7"/>
    <w:rsid w:val="00157760"/>
    <w:rsid w:val="0015782D"/>
    <w:rsid w:val="001578CA"/>
    <w:rsid w:val="00157900"/>
    <w:rsid w:val="00157951"/>
    <w:rsid w:val="00157A30"/>
    <w:rsid w:val="00157E1F"/>
    <w:rsid w:val="00157E3A"/>
    <w:rsid w:val="0016003B"/>
    <w:rsid w:val="001601BA"/>
    <w:rsid w:val="00160453"/>
    <w:rsid w:val="0016064E"/>
    <w:rsid w:val="00160705"/>
    <w:rsid w:val="00160840"/>
    <w:rsid w:val="0016089B"/>
    <w:rsid w:val="00160A84"/>
    <w:rsid w:val="00160B1F"/>
    <w:rsid w:val="00160BA3"/>
    <w:rsid w:val="00160C6E"/>
    <w:rsid w:val="00161183"/>
    <w:rsid w:val="0016120D"/>
    <w:rsid w:val="00161282"/>
    <w:rsid w:val="00161525"/>
    <w:rsid w:val="00161596"/>
    <w:rsid w:val="001615B2"/>
    <w:rsid w:val="001617F9"/>
    <w:rsid w:val="00161857"/>
    <w:rsid w:val="00161870"/>
    <w:rsid w:val="00161A68"/>
    <w:rsid w:val="00161AAF"/>
    <w:rsid w:val="00161F33"/>
    <w:rsid w:val="00161F6D"/>
    <w:rsid w:val="00161FFD"/>
    <w:rsid w:val="0016200C"/>
    <w:rsid w:val="0016235D"/>
    <w:rsid w:val="001623DD"/>
    <w:rsid w:val="0016248F"/>
    <w:rsid w:val="0016250D"/>
    <w:rsid w:val="0016256A"/>
    <w:rsid w:val="001625AB"/>
    <w:rsid w:val="00162761"/>
    <w:rsid w:val="0016277F"/>
    <w:rsid w:val="00162817"/>
    <w:rsid w:val="0016287D"/>
    <w:rsid w:val="00162B17"/>
    <w:rsid w:val="00162CCA"/>
    <w:rsid w:val="00162E57"/>
    <w:rsid w:val="0016305B"/>
    <w:rsid w:val="0016311F"/>
    <w:rsid w:val="001631A5"/>
    <w:rsid w:val="0016325D"/>
    <w:rsid w:val="001632BF"/>
    <w:rsid w:val="00163432"/>
    <w:rsid w:val="0016346D"/>
    <w:rsid w:val="00163604"/>
    <w:rsid w:val="0016368E"/>
    <w:rsid w:val="001636A3"/>
    <w:rsid w:val="001637F4"/>
    <w:rsid w:val="001637F9"/>
    <w:rsid w:val="001638DF"/>
    <w:rsid w:val="001639EC"/>
    <w:rsid w:val="00163A18"/>
    <w:rsid w:val="00163A29"/>
    <w:rsid w:val="00163A87"/>
    <w:rsid w:val="00163B41"/>
    <w:rsid w:val="00163BA5"/>
    <w:rsid w:val="00163C47"/>
    <w:rsid w:val="00163E3E"/>
    <w:rsid w:val="00163F5B"/>
    <w:rsid w:val="00163FCB"/>
    <w:rsid w:val="00164003"/>
    <w:rsid w:val="00164070"/>
    <w:rsid w:val="001640AE"/>
    <w:rsid w:val="0016421A"/>
    <w:rsid w:val="001644D2"/>
    <w:rsid w:val="00164567"/>
    <w:rsid w:val="001649AD"/>
    <w:rsid w:val="00164DBC"/>
    <w:rsid w:val="00164DE0"/>
    <w:rsid w:val="00164EAC"/>
    <w:rsid w:val="00164FCD"/>
    <w:rsid w:val="001651E9"/>
    <w:rsid w:val="00165268"/>
    <w:rsid w:val="0016530D"/>
    <w:rsid w:val="0016536D"/>
    <w:rsid w:val="0016536E"/>
    <w:rsid w:val="00165468"/>
    <w:rsid w:val="001654F0"/>
    <w:rsid w:val="00165516"/>
    <w:rsid w:val="00165567"/>
    <w:rsid w:val="0016572C"/>
    <w:rsid w:val="0016577E"/>
    <w:rsid w:val="001657BB"/>
    <w:rsid w:val="00165845"/>
    <w:rsid w:val="001658A2"/>
    <w:rsid w:val="00165923"/>
    <w:rsid w:val="001659AB"/>
    <w:rsid w:val="001659D5"/>
    <w:rsid w:val="00165A17"/>
    <w:rsid w:val="00165A8E"/>
    <w:rsid w:val="00165C26"/>
    <w:rsid w:val="00165E56"/>
    <w:rsid w:val="00166058"/>
    <w:rsid w:val="00166158"/>
    <w:rsid w:val="00166177"/>
    <w:rsid w:val="001661A0"/>
    <w:rsid w:val="001661D9"/>
    <w:rsid w:val="001663B7"/>
    <w:rsid w:val="00166427"/>
    <w:rsid w:val="0016647E"/>
    <w:rsid w:val="001664F3"/>
    <w:rsid w:val="00166577"/>
    <w:rsid w:val="00166598"/>
    <w:rsid w:val="0016660D"/>
    <w:rsid w:val="001667AF"/>
    <w:rsid w:val="001668A9"/>
    <w:rsid w:val="00166944"/>
    <w:rsid w:val="00166B1A"/>
    <w:rsid w:val="00166D09"/>
    <w:rsid w:val="00166D14"/>
    <w:rsid w:val="00166D63"/>
    <w:rsid w:val="00166E54"/>
    <w:rsid w:val="00166E77"/>
    <w:rsid w:val="00167006"/>
    <w:rsid w:val="0016700A"/>
    <w:rsid w:val="001672AD"/>
    <w:rsid w:val="001673D9"/>
    <w:rsid w:val="00167535"/>
    <w:rsid w:val="00167598"/>
    <w:rsid w:val="00167800"/>
    <w:rsid w:val="001679F4"/>
    <w:rsid w:val="00167A9B"/>
    <w:rsid w:val="00167AD2"/>
    <w:rsid w:val="00167CFD"/>
    <w:rsid w:val="00167F3F"/>
    <w:rsid w:val="00167F5B"/>
    <w:rsid w:val="0017001E"/>
    <w:rsid w:val="00170077"/>
    <w:rsid w:val="001702F7"/>
    <w:rsid w:val="001703BA"/>
    <w:rsid w:val="00170411"/>
    <w:rsid w:val="00170453"/>
    <w:rsid w:val="001705ED"/>
    <w:rsid w:val="00170627"/>
    <w:rsid w:val="0017074C"/>
    <w:rsid w:val="0017088F"/>
    <w:rsid w:val="001708B1"/>
    <w:rsid w:val="00170A87"/>
    <w:rsid w:val="00170A88"/>
    <w:rsid w:val="00170AB5"/>
    <w:rsid w:val="00170B70"/>
    <w:rsid w:val="00170BF6"/>
    <w:rsid w:val="00170C12"/>
    <w:rsid w:val="00170C59"/>
    <w:rsid w:val="00170CCA"/>
    <w:rsid w:val="00170DD2"/>
    <w:rsid w:val="00170E7D"/>
    <w:rsid w:val="001712BF"/>
    <w:rsid w:val="00171314"/>
    <w:rsid w:val="001716DA"/>
    <w:rsid w:val="00171752"/>
    <w:rsid w:val="001717AF"/>
    <w:rsid w:val="00171974"/>
    <w:rsid w:val="001719AC"/>
    <w:rsid w:val="00171A1C"/>
    <w:rsid w:val="00171A6E"/>
    <w:rsid w:val="00171B46"/>
    <w:rsid w:val="0017207F"/>
    <w:rsid w:val="00172322"/>
    <w:rsid w:val="00172435"/>
    <w:rsid w:val="00172481"/>
    <w:rsid w:val="001724BF"/>
    <w:rsid w:val="001724E5"/>
    <w:rsid w:val="001724E6"/>
    <w:rsid w:val="001726FD"/>
    <w:rsid w:val="00172795"/>
    <w:rsid w:val="001727C5"/>
    <w:rsid w:val="00172952"/>
    <w:rsid w:val="00172A2A"/>
    <w:rsid w:val="00172AB5"/>
    <w:rsid w:val="00172AE5"/>
    <w:rsid w:val="00172B80"/>
    <w:rsid w:val="00172CE9"/>
    <w:rsid w:val="001730E2"/>
    <w:rsid w:val="00173291"/>
    <w:rsid w:val="00173417"/>
    <w:rsid w:val="0017344C"/>
    <w:rsid w:val="001735AC"/>
    <w:rsid w:val="0017374A"/>
    <w:rsid w:val="0017377B"/>
    <w:rsid w:val="00173863"/>
    <w:rsid w:val="00173A58"/>
    <w:rsid w:val="00173B48"/>
    <w:rsid w:val="00173DB6"/>
    <w:rsid w:val="00173F2A"/>
    <w:rsid w:val="00174014"/>
    <w:rsid w:val="00174056"/>
    <w:rsid w:val="001741BF"/>
    <w:rsid w:val="001741CF"/>
    <w:rsid w:val="001741E9"/>
    <w:rsid w:val="001743B9"/>
    <w:rsid w:val="001744B9"/>
    <w:rsid w:val="00174552"/>
    <w:rsid w:val="00174582"/>
    <w:rsid w:val="00174688"/>
    <w:rsid w:val="0017470A"/>
    <w:rsid w:val="0017484B"/>
    <w:rsid w:val="001748BC"/>
    <w:rsid w:val="00174D6B"/>
    <w:rsid w:val="00174DE9"/>
    <w:rsid w:val="00174EBB"/>
    <w:rsid w:val="00174FDF"/>
    <w:rsid w:val="00175079"/>
    <w:rsid w:val="0017507F"/>
    <w:rsid w:val="001750C2"/>
    <w:rsid w:val="001752E0"/>
    <w:rsid w:val="00175580"/>
    <w:rsid w:val="00175737"/>
    <w:rsid w:val="0017576E"/>
    <w:rsid w:val="00175835"/>
    <w:rsid w:val="00175A52"/>
    <w:rsid w:val="00175B54"/>
    <w:rsid w:val="00175CE5"/>
    <w:rsid w:val="00175E27"/>
    <w:rsid w:val="00175EBA"/>
    <w:rsid w:val="00175F80"/>
    <w:rsid w:val="00176060"/>
    <w:rsid w:val="001760CE"/>
    <w:rsid w:val="001761DD"/>
    <w:rsid w:val="00176247"/>
    <w:rsid w:val="0017655A"/>
    <w:rsid w:val="001766FA"/>
    <w:rsid w:val="00176799"/>
    <w:rsid w:val="001767BC"/>
    <w:rsid w:val="0017682E"/>
    <w:rsid w:val="001768D6"/>
    <w:rsid w:val="00176A03"/>
    <w:rsid w:val="00176A26"/>
    <w:rsid w:val="00176A82"/>
    <w:rsid w:val="00176A9E"/>
    <w:rsid w:val="00176D2E"/>
    <w:rsid w:val="00176EEB"/>
    <w:rsid w:val="00176F21"/>
    <w:rsid w:val="00176F52"/>
    <w:rsid w:val="0017718A"/>
    <w:rsid w:val="0017720A"/>
    <w:rsid w:val="00177551"/>
    <w:rsid w:val="001776BE"/>
    <w:rsid w:val="0017776B"/>
    <w:rsid w:val="00177B81"/>
    <w:rsid w:val="00177C47"/>
    <w:rsid w:val="00177C6A"/>
    <w:rsid w:val="00177C88"/>
    <w:rsid w:val="00177C92"/>
    <w:rsid w:val="00177E79"/>
    <w:rsid w:val="00180023"/>
    <w:rsid w:val="001801E6"/>
    <w:rsid w:val="001801F0"/>
    <w:rsid w:val="0018023C"/>
    <w:rsid w:val="00180253"/>
    <w:rsid w:val="00180383"/>
    <w:rsid w:val="001804FE"/>
    <w:rsid w:val="00180936"/>
    <w:rsid w:val="00180986"/>
    <w:rsid w:val="00180B02"/>
    <w:rsid w:val="00180B1A"/>
    <w:rsid w:val="00180B9E"/>
    <w:rsid w:val="00180C08"/>
    <w:rsid w:val="00180C0A"/>
    <w:rsid w:val="00180CBB"/>
    <w:rsid w:val="00180F9D"/>
    <w:rsid w:val="00180FC3"/>
    <w:rsid w:val="001811FC"/>
    <w:rsid w:val="00181203"/>
    <w:rsid w:val="00181350"/>
    <w:rsid w:val="0018144D"/>
    <w:rsid w:val="0018148A"/>
    <w:rsid w:val="0018160D"/>
    <w:rsid w:val="0018165C"/>
    <w:rsid w:val="001816CE"/>
    <w:rsid w:val="001816DF"/>
    <w:rsid w:val="00181761"/>
    <w:rsid w:val="00181878"/>
    <w:rsid w:val="001818CD"/>
    <w:rsid w:val="0018192C"/>
    <w:rsid w:val="00181B3C"/>
    <w:rsid w:val="00181EC5"/>
    <w:rsid w:val="00181F0E"/>
    <w:rsid w:val="00182195"/>
    <w:rsid w:val="001821CF"/>
    <w:rsid w:val="0018227B"/>
    <w:rsid w:val="001822CC"/>
    <w:rsid w:val="001826A7"/>
    <w:rsid w:val="001826E8"/>
    <w:rsid w:val="0018278E"/>
    <w:rsid w:val="001827C0"/>
    <w:rsid w:val="00182BD4"/>
    <w:rsid w:val="00182CA1"/>
    <w:rsid w:val="00182CD7"/>
    <w:rsid w:val="00182D31"/>
    <w:rsid w:val="00183050"/>
    <w:rsid w:val="00183250"/>
    <w:rsid w:val="001832E2"/>
    <w:rsid w:val="0018331E"/>
    <w:rsid w:val="00183512"/>
    <w:rsid w:val="00183623"/>
    <w:rsid w:val="00183745"/>
    <w:rsid w:val="001838BF"/>
    <w:rsid w:val="00183A35"/>
    <w:rsid w:val="00183AA5"/>
    <w:rsid w:val="00183BDE"/>
    <w:rsid w:val="00183BEE"/>
    <w:rsid w:val="00183C64"/>
    <w:rsid w:val="00183D38"/>
    <w:rsid w:val="00183D85"/>
    <w:rsid w:val="00183E14"/>
    <w:rsid w:val="00183ED2"/>
    <w:rsid w:val="0018401F"/>
    <w:rsid w:val="0018421B"/>
    <w:rsid w:val="0018430E"/>
    <w:rsid w:val="00184385"/>
    <w:rsid w:val="00184781"/>
    <w:rsid w:val="0018497F"/>
    <w:rsid w:val="00184A85"/>
    <w:rsid w:val="00184BEF"/>
    <w:rsid w:val="00184C26"/>
    <w:rsid w:val="00184E0A"/>
    <w:rsid w:val="00184F18"/>
    <w:rsid w:val="00184F20"/>
    <w:rsid w:val="00184F51"/>
    <w:rsid w:val="00184FED"/>
    <w:rsid w:val="001854BD"/>
    <w:rsid w:val="001856CF"/>
    <w:rsid w:val="001856E3"/>
    <w:rsid w:val="00185917"/>
    <w:rsid w:val="001859BA"/>
    <w:rsid w:val="00185AC2"/>
    <w:rsid w:val="00185AFB"/>
    <w:rsid w:val="00185BF7"/>
    <w:rsid w:val="00185EBD"/>
    <w:rsid w:val="001861A2"/>
    <w:rsid w:val="001862E9"/>
    <w:rsid w:val="001863AF"/>
    <w:rsid w:val="001864F5"/>
    <w:rsid w:val="001866E2"/>
    <w:rsid w:val="00186768"/>
    <w:rsid w:val="001868A7"/>
    <w:rsid w:val="001868AB"/>
    <w:rsid w:val="00186920"/>
    <w:rsid w:val="00186A24"/>
    <w:rsid w:val="00186A57"/>
    <w:rsid w:val="00186B0E"/>
    <w:rsid w:val="00186CA5"/>
    <w:rsid w:val="00186CC6"/>
    <w:rsid w:val="00186DC0"/>
    <w:rsid w:val="00186E6E"/>
    <w:rsid w:val="0018710F"/>
    <w:rsid w:val="00187356"/>
    <w:rsid w:val="001873AE"/>
    <w:rsid w:val="001874D1"/>
    <w:rsid w:val="001875CD"/>
    <w:rsid w:val="00187673"/>
    <w:rsid w:val="00187879"/>
    <w:rsid w:val="00187913"/>
    <w:rsid w:val="00187A5D"/>
    <w:rsid w:val="00187AB7"/>
    <w:rsid w:val="00187B0E"/>
    <w:rsid w:val="00187BA0"/>
    <w:rsid w:val="00187C55"/>
    <w:rsid w:val="00187D4D"/>
    <w:rsid w:val="00187D6C"/>
    <w:rsid w:val="00187E3D"/>
    <w:rsid w:val="00187E44"/>
    <w:rsid w:val="00187EB5"/>
    <w:rsid w:val="00187F64"/>
    <w:rsid w:val="0019007D"/>
    <w:rsid w:val="001901BE"/>
    <w:rsid w:val="001902B8"/>
    <w:rsid w:val="001902E1"/>
    <w:rsid w:val="00190407"/>
    <w:rsid w:val="001906B7"/>
    <w:rsid w:val="001906BA"/>
    <w:rsid w:val="0019074C"/>
    <w:rsid w:val="001907E6"/>
    <w:rsid w:val="00190A00"/>
    <w:rsid w:val="00190A48"/>
    <w:rsid w:val="00190A64"/>
    <w:rsid w:val="00190D98"/>
    <w:rsid w:val="00190DA3"/>
    <w:rsid w:val="00190E3A"/>
    <w:rsid w:val="00190E61"/>
    <w:rsid w:val="00190EF8"/>
    <w:rsid w:val="001910DD"/>
    <w:rsid w:val="001910E7"/>
    <w:rsid w:val="001912D9"/>
    <w:rsid w:val="00191388"/>
    <w:rsid w:val="0019154B"/>
    <w:rsid w:val="00191705"/>
    <w:rsid w:val="00191844"/>
    <w:rsid w:val="0019184F"/>
    <w:rsid w:val="00191AFE"/>
    <w:rsid w:val="00191B61"/>
    <w:rsid w:val="00191BDD"/>
    <w:rsid w:val="00191CA9"/>
    <w:rsid w:val="00191CC2"/>
    <w:rsid w:val="00191E4D"/>
    <w:rsid w:val="00191F88"/>
    <w:rsid w:val="00192085"/>
    <w:rsid w:val="001923D9"/>
    <w:rsid w:val="001925B0"/>
    <w:rsid w:val="0019271C"/>
    <w:rsid w:val="0019297D"/>
    <w:rsid w:val="00192BE6"/>
    <w:rsid w:val="00192BFA"/>
    <w:rsid w:val="00192C71"/>
    <w:rsid w:val="00192D54"/>
    <w:rsid w:val="00192DF2"/>
    <w:rsid w:val="00192E2E"/>
    <w:rsid w:val="00192ED3"/>
    <w:rsid w:val="00192F32"/>
    <w:rsid w:val="00193098"/>
    <w:rsid w:val="001930C3"/>
    <w:rsid w:val="00193129"/>
    <w:rsid w:val="0019343B"/>
    <w:rsid w:val="00193459"/>
    <w:rsid w:val="001934C7"/>
    <w:rsid w:val="001936A0"/>
    <w:rsid w:val="001936E3"/>
    <w:rsid w:val="0019375C"/>
    <w:rsid w:val="00193819"/>
    <w:rsid w:val="00193914"/>
    <w:rsid w:val="00193966"/>
    <w:rsid w:val="00193A08"/>
    <w:rsid w:val="00193CA3"/>
    <w:rsid w:val="00193CD2"/>
    <w:rsid w:val="00193D18"/>
    <w:rsid w:val="00193D54"/>
    <w:rsid w:val="00193D61"/>
    <w:rsid w:val="00193D63"/>
    <w:rsid w:val="00193D96"/>
    <w:rsid w:val="00194145"/>
    <w:rsid w:val="0019414E"/>
    <w:rsid w:val="00194500"/>
    <w:rsid w:val="0019452B"/>
    <w:rsid w:val="00194669"/>
    <w:rsid w:val="001946A4"/>
    <w:rsid w:val="0019500C"/>
    <w:rsid w:val="001953BC"/>
    <w:rsid w:val="00195497"/>
    <w:rsid w:val="001954D6"/>
    <w:rsid w:val="00195506"/>
    <w:rsid w:val="0019567F"/>
    <w:rsid w:val="001957AF"/>
    <w:rsid w:val="0019590B"/>
    <w:rsid w:val="0019590C"/>
    <w:rsid w:val="00195978"/>
    <w:rsid w:val="00195B5D"/>
    <w:rsid w:val="00195CF8"/>
    <w:rsid w:val="00195D72"/>
    <w:rsid w:val="00195EF6"/>
    <w:rsid w:val="001960D3"/>
    <w:rsid w:val="0019615B"/>
    <w:rsid w:val="00196307"/>
    <w:rsid w:val="00196412"/>
    <w:rsid w:val="00196414"/>
    <w:rsid w:val="001964EA"/>
    <w:rsid w:val="001964F3"/>
    <w:rsid w:val="00196527"/>
    <w:rsid w:val="00196570"/>
    <w:rsid w:val="001967AD"/>
    <w:rsid w:val="00196A6B"/>
    <w:rsid w:val="00196B58"/>
    <w:rsid w:val="00196C1A"/>
    <w:rsid w:val="00196C64"/>
    <w:rsid w:val="00196E31"/>
    <w:rsid w:val="00196E46"/>
    <w:rsid w:val="00196EC6"/>
    <w:rsid w:val="00197059"/>
    <w:rsid w:val="001972D2"/>
    <w:rsid w:val="001973F1"/>
    <w:rsid w:val="001974C4"/>
    <w:rsid w:val="0019754A"/>
    <w:rsid w:val="00197852"/>
    <w:rsid w:val="0019786C"/>
    <w:rsid w:val="00197B0C"/>
    <w:rsid w:val="00197C00"/>
    <w:rsid w:val="00197E48"/>
    <w:rsid w:val="00197F16"/>
    <w:rsid w:val="00197FEA"/>
    <w:rsid w:val="001A012F"/>
    <w:rsid w:val="001A021E"/>
    <w:rsid w:val="001A0269"/>
    <w:rsid w:val="001A04D3"/>
    <w:rsid w:val="001A05D4"/>
    <w:rsid w:val="001A07A6"/>
    <w:rsid w:val="001A07AA"/>
    <w:rsid w:val="001A086B"/>
    <w:rsid w:val="001A09DA"/>
    <w:rsid w:val="001A0A0D"/>
    <w:rsid w:val="001A0BE8"/>
    <w:rsid w:val="001A0C1B"/>
    <w:rsid w:val="001A0C44"/>
    <w:rsid w:val="001A0D32"/>
    <w:rsid w:val="001A0DE8"/>
    <w:rsid w:val="001A0F97"/>
    <w:rsid w:val="001A10D0"/>
    <w:rsid w:val="001A10D4"/>
    <w:rsid w:val="001A11D2"/>
    <w:rsid w:val="001A1217"/>
    <w:rsid w:val="001A1233"/>
    <w:rsid w:val="001A136C"/>
    <w:rsid w:val="001A154B"/>
    <w:rsid w:val="001A15AB"/>
    <w:rsid w:val="001A15D6"/>
    <w:rsid w:val="001A18B2"/>
    <w:rsid w:val="001A1921"/>
    <w:rsid w:val="001A1989"/>
    <w:rsid w:val="001A1A57"/>
    <w:rsid w:val="001A1B8B"/>
    <w:rsid w:val="001A1BC6"/>
    <w:rsid w:val="001A1C20"/>
    <w:rsid w:val="001A1D49"/>
    <w:rsid w:val="001A1DC0"/>
    <w:rsid w:val="001A1E56"/>
    <w:rsid w:val="001A1EA1"/>
    <w:rsid w:val="001A1EB6"/>
    <w:rsid w:val="001A1F57"/>
    <w:rsid w:val="001A1FAA"/>
    <w:rsid w:val="001A2056"/>
    <w:rsid w:val="001A20E8"/>
    <w:rsid w:val="001A2123"/>
    <w:rsid w:val="001A2184"/>
    <w:rsid w:val="001A2404"/>
    <w:rsid w:val="001A2454"/>
    <w:rsid w:val="001A25AF"/>
    <w:rsid w:val="001A26E2"/>
    <w:rsid w:val="001A2C5A"/>
    <w:rsid w:val="001A2D69"/>
    <w:rsid w:val="001A2E3B"/>
    <w:rsid w:val="001A321A"/>
    <w:rsid w:val="001A33CA"/>
    <w:rsid w:val="001A33DC"/>
    <w:rsid w:val="001A35AE"/>
    <w:rsid w:val="001A360C"/>
    <w:rsid w:val="001A3650"/>
    <w:rsid w:val="001A3811"/>
    <w:rsid w:val="001A3D62"/>
    <w:rsid w:val="001A3F18"/>
    <w:rsid w:val="001A3F72"/>
    <w:rsid w:val="001A41E7"/>
    <w:rsid w:val="001A423C"/>
    <w:rsid w:val="001A437E"/>
    <w:rsid w:val="001A44A2"/>
    <w:rsid w:val="001A4556"/>
    <w:rsid w:val="001A4814"/>
    <w:rsid w:val="001A484A"/>
    <w:rsid w:val="001A48CD"/>
    <w:rsid w:val="001A4ACC"/>
    <w:rsid w:val="001A4BB0"/>
    <w:rsid w:val="001A4DA3"/>
    <w:rsid w:val="001A4DE5"/>
    <w:rsid w:val="001A4E83"/>
    <w:rsid w:val="001A4F20"/>
    <w:rsid w:val="001A5118"/>
    <w:rsid w:val="001A51DF"/>
    <w:rsid w:val="001A5390"/>
    <w:rsid w:val="001A5438"/>
    <w:rsid w:val="001A5505"/>
    <w:rsid w:val="001A552C"/>
    <w:rsid w:val="001A5537"/>
    <w:rsid w:val="001A564A"/>
    <w:rsid w:val="001A574C"/>
    <w:rsid w:val="001A5938"/>
    <w:rsid w:val="001A59B1"/>
    <w:rsid w:val="001A5A7A"/>
    <w:rsid w:val="001A5DE2"/>
    <w:rsid w:val="001A5EEF"/>
    <w:rsid w:val="001A5FC6"/>
    <w:rsid w:val="001A5FCE"/>
    <w:rsid w:val="001A61CC"/>
    <w:rsid w:val="001A622B"/>
    <w:rsid w:val="001A62C7"/>
    <w:rsid w:val="001A6324"/>
    <w:rsid w:val="001A6397"/>
    <w:rsid w:val="001A63AE"/>
    <w:rsid w:val="001A6964"/>
    <w:rsid w:val="001A6988"/>
    <w:rsid w:val="001A69F0"/>
    <w:rsid w:val="001A6A0B"/>
    <w:rsid w:val="001A6AD5"/>
    <w:rsid w:val="001A6BA9"/>
    <w:rsid w:val="001A6BB2"/>
    <w:rsid w:val="001A6BC5"/>
    <w:rsid w:val="001A6BE3"/>
    <w:rsid w:val="001A6C02"/>
    <w:rsid w:val="001A6CD8"/>
    <w:rsid w:val="001A6D0B"/>
    <w:rsid w:val="001A6E2B"/>
    <w:rsid w:val="001A7224"/>
    <w:rsid w:val="001A727D"/>
    <w:rsid w:val="001A72A0"/>
    <w:rsid w:val="001A744C"/>
    <w:rsid w:val="001A745C"/>
    <w:rsid w:val="001A7550"/>
    <w:rsid w:val="001A756A"/>
    <w:rsid w:val="001A76F5"/>
    <w:rsid w:val="001A77E9"/>
    <w:rsid w:val="001A7BD5"/>
    <w:rsid w:val="001A7D8D"/>
    <w:rsid w:val="001A7DCB"/>
    <w:rsid w:val="001A7E2F"/>
    <w:rsid w:val="001A7F55"/>
    <w:rsid w:val="001B00E1"/>
    <w:rsid w:val="001B02B5"/>
    <w:rsid w:val="001B03C4"/>
    <w:rsid w:val="001B03E9"/>
    <w:rsid w:val="001B03F0"/>
    <w:rsid w:val="001B054A"/>
    <w:rsid w:val="001B0556"/>
    <w:rsid w:val="001B0614"/>
    <w:rsid w:val="001B0688"/>
    <w:rsid w:val="001B0780"/>
    <w:rsid w:val="001B08AD"/>
    <w:rsid w:val="001B0965"/>
    <w:rsid w:val="001B09D0"/>
    <w:rsid w:val="001B0B81"/>
    <w:rsid w:val="001B0C50"/>
    <w:rsid w:val="001B0C7E"/>
    <w:rsid w:val="001B0C86"/>
    <w:rsid w:val="001B0D68"/>
    <w:rsid w:val="001B0DA9"/>
    <w:rsid w:val="001B0DDC"/>
    <w:rsid w:val="001B0DF1"/>
    <w:rsid w:val="001B0E47"/>
    <w:rsid w:val="001B0EF8"/>
    <w:rsid w:val="001B0FAC"/>
    <w:rsid w:val="001B115E"/>
    <w:rsid w:val="001B12C5"/>
    <w:rsid w:val="001B153E"/>
    <w:rsid w:val="001B15C9"/>
    <w:rsid w:val="001B18D3"/>
    <w:rsid w:val="001B18D6"/>
    <w:rsid w:val="001B19B6"/>
    <w:rsid w:val="001B1A40"/>
    <w:rsid w:val="001B1A89"/>
    <w:rsid w:val="001B1DC8"/>
    <w:rsid w:val="001B1E30"/>
    <w:rsid w:val="001B1EA1"/>
    <w:rsid w:val="001B260C"/>
    <w:rsid w:val="001B278D"/>
    <w:rsid w:val="001B2895"/>
    <w:rsid w:val="001B2EE9"/>
    <w:rsid w:val="001B3039"/>
    <w:rsid w:val="001B30A0"/>
    <w:rsid w:val="001B3122"/>
    <w:rsid w:val="001B31EF"/>
    <w:rsid w:val="001B3313"/>
    <w:rsid w:val="001B3481"/>
    <w:rsid w:val="001B34F1"/>
    <w:rsid w:val="001B3604"/>
    <w:rsid w:val="001B36E8"/>
    <w:rsid w:val="001B376A"/>
    <w:rsid w:val="001B3830"/>
    <w:rsid w:val="001B396E"/>
    <w:rsid w:val="001B3A10"/>
    <w:rsid w:val="001B3B03"/>
    <w:rsid w:val="001B3B81"/>
    <w:rsid w:val="001B3B86"/>
    <w:rsid w:val="001B3C00"/>
    <w:rsid w:val="001B3C17"/>
    <w:rsid w:val="001B3C5A"/>
    <w:rsid w:val="001B3C61"/>
    <w:rsid w:val="001B3E41"/>
    <w:rsid w:val="001B3F51"/>
    <w:rsid w:val="001B4019"/>
    <w:rsid w:val="001B40C2"/>
    <w:rsid w:val="001B4175"/>
    <w:rsid w:val="001B4255"/>
    <w:rsid w:val="001B4359"/>
    <w:rsid w:val="001B4680"/>
    <w:rsid w:val="001B4719"/>
    <w:rsid w:val="001B4822"/>
    <w:rsid w:val="001B48C0"/>
    <w:rsid w:val="001B48FD"/>
    <w:rsid w:val="001B4910"/>
    <w:rsid w:val="001B4A10"/>
    <w:rsid w:val="001B4B34"/>
    <w:rsid w:val="001B4D9D"/>
    <w:rsid w:val="001B4F1E"/>
    <w:rsid w:val="001B5069"/>
    <w:rsid w:val="001B5214"/>
    <w:rsid w:val="001B521D"/>
    <w:rsid w:val="001B531B"/>
    <w:rsid w:val="001B550A"/>
    <w:rsid w:val="001B5762"/>
    <w:rsid w:val="001B579E"/>
    <w:rsid w:val="001B5801"/>
    <w:rsid w:val="001B5986"/>
    <w:rsid w:val="001B5992"/>
    <w:rsid w:val="001B59C7"/>
    <w:rsid w:val="001B59CF"/>
    <w:rsid w:val="001B5A36"/>
    <w:rsid w:val="001B5A50"/>
    <w:rsid w:val="001B5AB8"/>
    <w:rsid w:val="001B5ACC"/>
    <w:rsid w:val="001B5AE1"/>
    <w:rsid w:val="001B5BDE"/>
    <w:rsid w:val="001B5F96"/>
    <w:rsid w:val="001B6329"/>
    <w:rsid w:val="001B6450"/>
    <w:rsid w:val="001B6457"/>
    <w:rsid w:val="001B647B"/>
    <w:rsid w:val="001B64C7"/>
    <w:rsid w:val="001B6512"/>
    <w:rsid w:val="001B6586"/>
    <w:rsid w:val="001B6A57"/>
    <w:rsid w:val="001B6B6E"/>
    <w:rsid w:val="001B7030"/>
    <w:rsid w:val="001B70E5"/>
    <w:rsid w:val="001B712C"/>
    <w:rsid w:val="001B7198"/>
    <w:rsid w:val="001B7304"/>
    <w:rsid w:val="001B7417"/>
    <w:rsid w:val="001B762D"/>
    <w:rsid w:val="001B76CF"/>
    <w:rsid w:val="001B775A"/>
    <w:rsid w:val="001B78E1"/>
    <w:rsid w:val="001B7988"/>
    <w:rsid w:val="001B7A1E"/>
    <w:rsid w:val="001B7CD8"/>
    <w:rsid w:val="001B7FA4"/>
    <w:rsid w:val="001C00A5"/>
    <w:rsid w:val="001C027E"/>
    <w:rsid w:val="001C03ED"/>
    <w:rsid w:val="001C045C"/>
    <w:rsid w:val="001C0548"/>
    <w:rsid w:val="001C0590"/>
    <w:rsid w:val="001C05FC"/>
    <w:rsid w:val="001C0770"/>
    <w:rsid w:val="001C081D"/>
    <w:rsid w:val="001C0F55"/>
    <w:rsid w:val="001C10D0"/>
    <w:rsid w:val="001C1167"/>
    <w:rsid w:val="001C1329"/>
    <w:rsid w:val="001C14FA"/>
    <w:rsid w:val="001C1673"/>
    <w:rsid w:val="001C18F9"/>
    <w:rsid w:val="001C1A0F"/>
    <w:rsid w:val="001C1A9A"/>
    <w:rsid w:val="001C1DDC"/>
    <w:rsid w:val="001C1F41"/>
    <w:rsid w:val="001C223D"/>
    <w:rsid w:val="001C2432"/>
    <w:rsid w:val="001C2452"/>
    <w:rsid w:val="001C2498"/>
    <w:rsid w:val="001C274F"/>
    <w:rsid w:val="001C2784"/>
    <w:rsid w:val="001C28A8"/>
    <w:rsid w:val="001C2947"/>
    <w:rsid w:val="001C2980"/>
    <w:rsid w:val="001C2AEA"/>
    <w:rsid w:val="001C2BDD"/>
    <w:rsid w:val="001C2C07"/>
    <w:rsid w:val="001C2FD3"/>
    <w:rsid w:val="001C3102"/>
    <w:rsid w:val="001C33FE"/>
    <w:rsid w:val="001C3412"/>
    <w:rsid w:val="001C3441"/>
    <w:rsid w:val="001C3560"/>
    <w:rsid w:val="001C3811"/>
    <w:rsid w:val="001C394A"/>
    <w:rsid w:val="001C395A"/>
    <w:rsid w:val="001C3A78"/>
    <w:rsid w:val="001C3AB6"/>
    <w:rsid w:val="001C3B4D"/>
    <w:rsid w:val="001C3C51"/>
    <w:rsid w:val="001C3CBA"/>
    <w:rsid w:val="001C3CEB"/>
    <w:rsid w:val="001C3D62"/>
    <w:rsid w:val="001C3DBD"/>
    <w:rsid w:val="001C3E68"/>
    <w:rsid w:val="001C3EEE"/>
    <w:rsid w:val="001C3F10"/>
    <w:rsid w:val="001C3F3C"/>
    <w:rsid w:val="001C3F5B"/>
    <w:rsid w:val="001C4053"/>
    <w:rsid w:val="001C409E"/>
    <w:rsid w:val="001C413C"/>
    <w:rsid w:val="001C4398"/>
    <w:rsid w:val="001C44A6"/>
    <w:rsid w:val="001C4638"/>
    <w:rsid w:val="001C4662"/>
    <w:rsid w:val="001C472D"/>
    <w:rsid w:val="001C474E"/>
    <w:rsid w:val="001C4A04"/>
    <w:rsid w:val="001C4B08"/>
    <w:rsid w:val="001C4B34"/>
    <w:rsid w:val="001C4B66"/>
    <w:rsid w:val="001C4C15"/>
    <w:rsid w:val="001C4C66"/>
    <w:rsid w:val="001C4D02"/>
    <w:rsid w:val="001C4E61"/>
    <w:rsid w:val="001C4E92"/>
    <w:rsid w:val="001C5381"/>
    <w:rsid w:val="001C5639"/>
    <w:rsid w:val="001C5816"/>
    <w:rsid w:val="001C5859"/>
    <w:rsid w:val="001C58F6"/>
    <w:rsid w:val="001C5AF6"/>
    <w:rsid w:val="001C5C99"/>
    <w:rsid w:val="001C5D1B"/>
    <w:rsid w:val="001C5DF4"/>
    <w:rsid w:val="001C61BC"/>
    <w:rsid w:val="001C62C7"/>
    <w:rsid w:val="001C633B"/>
    <w:rsid w:val="001C634A"/>
    <w:rsid w:val="001C63BD"/>
    <w:rsid w:val="001C6423"/>
    <w:rsid w:val="001C656B"/>
    <w:rsid w:val="001C660F"/>
    <w:rsid w:val="001C6879"/>
    <w:rsid w:val="001C68FE"/>
    <w:rsid w:val="001C6B5A"/>
    <w:rsid w:val="001C6C09"/>
    <w:rsid w:val="001C6C91"/>
    <w:rsid w:val="001C6D32"/>
    <w:rsid w:val="001C6E75"/>
    <w:rsid w:val="001C6F49"/>
    <w:rsid w:val="001C7079"/>
    <w:rsid w:val="001C718B"/>
    <w:rsid w:val="001C75B5"/>
    <w:rsid w:val="001C7A34"/>
    <w:rsid w:val="001C7B37"/>
    <w:rsid w:val="001C7BCC"/>
    <w:rsid w:val="001C7DB1"/>
    <w:rsid w:val="001C7FC6"/>
    <w:rsid w:val="001D0130"/>
    <w:rsid w:val="001D01A7"/>
    <w:rsid w:val="001D01AB"/>
    <w:rsid w:val="001D01B8"/>
    <w:rsid w:val="001D026F"/>
    <w:rsid w:val="001D02F8"/>
    <w:rsid w:val="001D050A"/>
    <w:rsid w:val="001D0555"/>
    <w:rsid w:val="001D0829"/>
    <w:rsid w:val="001D0836"/>
    <w:rsid w:val="001D0858"/>
    <w:rsid w:val="001D0971"/>
    <w:rsid w:val="001D098F"/>
    <w:rsid w:val="001D0A23"/>
    <w:rsid w:val="001D0B89"/>
    <w:rsid w:val="001D0C46"/>
    <w:rsid w:val="001D0E1D"/>
    <w:rsid w:val="001D0F86"/>
    <w:rsid w:val="001D10A2"/>
    <w:rsid w:val="001D10DC"/>
    <w:rsid w:val="001D1374"/>
    <w:rsid w:val="001D1528"/>
    <w:rsid w:val="001D162F"/>
    <w:rsid w:val="001D16FC"/>
    <w:rsid w:val="001D1979"/>
    <w:rsid w:val="001D1A29"/>
    <w:rsid w:val="001D1C4B"/>
    <w:rsid w:val="001D1E4D"/>
    <w:rsid w:val="001D1E91"/>
    <w:rsid w:val="001D2024"/>
    <w:rsid w:val="001D213B"/>
    <w:rsid w:val="001D22DA"/>
    <w:rsid w:val="001D2408"/>
    <w:rsid w:val="001D25BE"/>
    <w:rsid w:val="001D2603"/>
    <w:rsid w:val="001D2937"/>
    <w:rsid w:val="001D29DA"/>
    <w:rsid w:val="001D2A88"/>
    <w:rsid w:val="001D2ABE"/>
    <w:rsid w:val="001D2C2D"/>
    <w:rsid w:val="001D2E8C"/>
    <w:rsid w:val="001D3002"/>
    <w:rsid w:val="001D3164"/>
    <w:rsid w:val="001D31D2"/>
    <w:rsid w:val="001D3255"/>
    <w:rsid w:val="001D3348"/>
    <w:rsid w:val="001D379B"/>
    <w:rsid w:val="001D38B4"/>
    <w:rsid w:val="001D3A9C"/>
    <w:rsid w:val="001D3B10"/>
    <w:rsid w:val="001D3B4B"/>
    <w:rsid w:val="001D3B97"/>
    <w:rsid w:val="001D3EAE"/>
    <w:rsid w:val="001D3EC3"/>
    <w:rsid w:val="001D408A"/>
    <w:rsid w:val="001D42BF"/>
    <w:rsid w:val="001D42D2"/>
    <w:rsid w:val="001D44FF"/>
    <w:rsid w:val="001D459C"/>
    <w:rsid w:val="001D45A3"/>
    <w:rsid w:val="001D4675"/>
    <w:rsid w:val="001D4719"/>
    <w:rsid w:val="001D4801"/>
    <w:rsid w:val="001D4BC7"/>
    <w:rsid w:val="001D4CED"/>
    <w:rsid w:val="001D4E5A"/>
    <w:rsid w:val="001D4EB3"/>
    <w:rsid w:val="001D4F3E"/>
    <w:rsid w:val="001D4F43"/>
    <w:rsid w:val="001D504C"/>
    <w:rsid w:val="001D518E"/>
    <w:rsid w:val="001D5195"/>
    <w:rsid w:val="001D51DD"/>
    <w:rsid w:val="001D520E"/>
    <w:rsid w:val="001D53B9"/>
    <w:rsid w:val="001D54BF"/>
    <w:rsid w:val="001D55B3"/>
    <w:rsid w:val="001D55E7"/>
    <w:rsid w:val="001D5608"/>
    <w:rsid w:val="001D5698"/>
    <w:rsid w:val="001D5805"/>
    <w:rsid w:val="001D585B"/>
    <w:rsid w:val="001D58F6"/>
    <w:rsid w:val="001D59C3"/>
    <w:rsid w:val="001D5AB9"/>
    <w:rsid w:val="001D5E05"/>
    <w:rsid w:val="001D5E0D"/>
    <w:rsid w:val="001D5EC4"/>
    <w:rsid w:val="001D6093"/>
    <w:rsid w:val="001D61D0"/>
    <w:rsid w:val="001D6382"/>
    <w:rsid w:val="001D6426"/>
    <w:rsid w:val="001D646B"/>
    <w:rsid w:val="001D67B1"/>
    <w:rsid w:val="001D680C"/>
    <w:rsid w:val="001D6860"/>
    <w:rsid w:val="001D69DE"/>
    <w:rsid w:val="001D6A02"/>
    <w:rsid w:val="001D6A69"/>
    <w:rsid w:val="001D6BF4"/>
    <w:rsid w:val="001D6CC0"/>
    <w:rsid w:val="001D6CFC"/>
    <w:rsid w:val="001D6EC5"/>
    <w:rsid w:val="001D6F92"/>
    <w:rsid w:val="001D715B"/>
    <w:rsid w:val="001D7177"/>
    <w:rsid w:val="001D7260"/>
    <w:rsid w:val="001D7345"/>
    <w:rsid w:val="001D73A9"/>
    <w:rsid w:val="001D73D0"/>
    <w:rsid w:val="001D7504"/>
    <w:rsid w:val="001D770B"/>
    <w:rsid w:val="001D789C"/>
    <w:rsid w:val="001D79F5"/>
    <w:rsid w:val="001D7A80"/>
    <w:rsid w:val="001D7B7E"/>
    <w:rsid w:val="001D7C01"/>
    <w:rsid w:val="001D7CC6"/>
    <w:rsid w:val="001D7F05"/>
    <w:rsid w:val="001D7F63"/>
    <w:rsid w:val="001D7FE0"/>
    <w:rsid w:val="001E0138"/>
    <w:rsid w:val="001E021A"/>
    <w:rsid w:val="001E0498"/>
    <w:rsid w:val="001E0564"/>
    <w:rsid w:val="001E05CA"/>
    <w:rsid w:val="001E0723"/>
    <w:rsid w:val="001E07E7"/>
    <w:rsid w:val="001E07FF"/>
    <w:rsid w:val="001E091E"/>
    <w:rsid w:val="001E09D0"/>
    <w:rsid w:val="001E09F6"/>
    <w:rsid w:val="001E0B3F"/>
    <w:rsid w:val="001E0B4B"/>
    <w:rsid w:val="001E0C29"/>
    <w:rsid w:val="001E0CA7"/>
    <w:rsid w:val="001E0CE2"/>
    <w:rsid w:val="001E0DC1"/>
    <w:rsid w:val="001E0E53"/>
    <w:rsid w:val="001E0F45"/>
    <w:rsid w:val="001E0F6A"/>
    <w:rsid w:val="001E0FDC"/>
    <w:rsid w:val="001E1013"/>
    <w:rsid w:val="001E1047"/>
    <w:rsid w:val="001E10E9"/>
    <w:rsid w:val="001E126E"/>
    <w:rsid w:val="001E1305"/>
    <w:rsid w:val="001E1384"/>
    <w:rsid w:val="001E156E"/>
    <w:rsid w:val="001E15C5"/>
    <w:rsid w:val="001E163F"/>
    <w:rsid w:val="001E175A"/>
    <w:rsid w:val="001E187E"/>
    <w:rsid w:val="001E19A9"/>
    <w:rsid w:val="001E1AD0"/>
    <w:rsid w:val="001E1BF8"/>
    <w:rsid w:val="001E1C0F"/>
    <w:rsid w:val="001E1C13"/>
    <w:rsid w:val="001E1D49"/>
    <w:rsid w:val="001E1F9C"/>
    <w:rsid w:val="001E2001"/>
    <w:rsid w:val="001E200E"/>
    <w:rsid w:val="001E2014"/>
    <w:rsid w:val="001E2092"/>
    <w:rsid w:val="001E2197"/>
    <w:rsid w:val="001E2444"/>
    <w:rsid w:val="001E2446"/>
    <w:rsid w:val="001E24AB"/>
    <w:rsid w:val="001E2548"/>
    <w:rsid w:val="001E2594"/>
    <w:rsid w:val="001E26EC"/>
    <w:rsid w:val="001E28A2"/>
    <w:rsid w:val="001E291C"/>
    <w:rsid w:val="001E2939"/>
    <w:rsid w:val="001E2942"/>
    <w:rsid w:val="001E2A9A"/>
    <w:rsid w:val="001E2AD4"/>
    <w:rsid w:val="001E2CE3"/>
    <w:rsid w:val="001E2D24"/>
    <w:rsid w:val="001E2E51"/>
    <w:rsid w:val="001E3041"/>
    <w:rsid w:val="001E3059"/>
    <w:rsid w:val="001E3098"/>
    <w:rsid w:val="001E310F"/>
    <w:rsid w:val="001E33D2"/>
    <w:rsid w:val="001E3420"/>
    <w:rsid w:val="001E3432"/>
    <w:rsid w:val="001E359D"/>
    <w:rsid w:val="001E35D2"/>
    <w:rsid w:val="001E36D1"/>
    <w:rsid w:val="001E3758"/>
    <w:rsid w:val="001E37F0"/>
    <w:rsid w:val="001E3844"/>
    <w:rsid w:val="001E384F"/>
    <w:rsid w:val="001E3B32"/>
    <w:rsid w:val="001E3CEF"/>
    <w:rsid w:val="001E3FF0"/>
    <w:rsid w:val="001E41A6"/>
    <w:rsid w:val="001E4204"/>
    <w:rsid w:val="001E42AF"/>
    <w:rsid w:val="001E43F2"/>
    <w:rsid w:val="001E440B"/>
    <w:rsid w:val="001E4494"/>
    <w:rsid w:val="001E4609"/>
    <w:rsid w:val="001E479F"/>
    <w:rsid w:val="001E4863"/>
    <w:rsid w:val="001E486C"/>
    <w:rsid w:val="001E486E"/>
    <w:rsid w:val="001E48B8"/>
    <w:rsid w:val="001E4955"/>
    <w:rsid w:val="001E4979"/>
    <w:rsid w:val="001E4997"/>
    <w:rsid w:val="001E49E8"/>
    <w:rsid w:val="001E49EB"/>
    <w:rsid w:val="001E4A0A"/>
    <w:rsid w:val="001E4A29"/>
    <w:rsid w:val="001E4AA1"/>
    <w:rsid w:val="001E4C61"/>
    <w:rsid w:val="001E4C97"/>
    <w:rsid w:val="001E4DBE"/>
    <w:rsid w:val="001E4E42"/>
    <w:rsid w:val="001E4E6F"/>
    <w:rsid w:val="001E4EC7"/>
    <w:rsid w:val="001E5058"/>
    <w:rsid w:val="001E52B5"/>
    <w:rsid w:val="001E53E2"/>
    <w:rsid w:val="001E544B"/>
    <w:rsid w:val="001E5615"/>
    <w:rsid w:val="001E5793"/>
    <w:rsid w:val="001E58D3"/>
    <w:rsid w:val="001E59CB"/>
    <w:rsid w:val="001E5AFD"/>
    <w:rsid w:val="001E5C60"/>
    <w:rsid w:val="001E5F60"/>
    <w:rsid w:val="001E6173"/>
    <w:rsid w:val="001E62C9"/>
    <w:rsid w:val="001E6381"/>
    <w:rsid w:val="001E6608"/>
    <w:rsid w:val="001E6662"/>
    <w:rsid w:val="001E67E9"/>
    <w:rsid w:val="001E691B"/>
    <w:rsid w:val="001E69C2"/>
    <w:rsid w:val="001E6A3D"/>
    <w:rsid w:val="001E6A47"/>
    <w:rsid w:val="001E6A8B"/>
    <w:rsid w:val="001E6ADC"/>
    <w:rsid w:val="001E6B33"/>
    <w:rsid w:val="001E6B7B"/>
    <w:rsid w:val="001E6C21"/>
    <w:rsid w:val="001E6E70"/>
    <w:rsid w:val="001E6E72"/>
    <w:rsid w:val="001E6EDE"/>
    <w:rsid w:val="001E7081"/>
    <w:rsid w:val="001E7232"/>
    <w:rsid w:val="001E728C"/>
    <w:rsid w:val="001E74AE"/>
    <w:rsid w:val="001E74F2"/>
    <w:rsid w:val="001E76A6"/>
    <w:rsid w:val="001E775A"/>
    <w:rsid w:val="001E77BE"/>
    <w:rsid w:val="001E77C0"/>
    <w:rsid w:val="001E79BE"/>
    <w:rsid w:val="001E79D5"/>
    <w:rsid w:val="001E7C35"/>
    <w:rsid w:val="001E7D01"/>
    <w:rsid w:val="001E7D7D"/>
    <w:rsid w:val="001E7DB0"/>
    <w:rsid w:val="001E7F61"/>
    <w:rsid w:val="001F0071"/>
    <w:rsid w:val="001F00A5"/>
    <w:rsid w:val="001F021F"/>
    <w:rsid w:val="001F03F1"/>
    <w:rsid w:val="001F048C"/>
    <w:rsid w:val="001F0520"/>
    <w:rsid w:val="001F0657"/>
    <w:rsid w:val="001F06F8"/>
    <w:rsid w:val="001F0970"/>
    <w:rsid w:val="001F0A21"/>
    <w:rsid w:val="001F0A44"/>
    <w:rsid w:val="001F0AA3"/>
    <w:rsid w:val="001F0B8B"/>
    <w:rsid w:val="001F0BD2"/>
    <w:rsid w:val="001F0DB9"/>
    <w:rsid w:val="001F0DD8"/>
    <w:rsid w:val="001F116A"/>
    <w:rsid w:val="001F12F2"/>
    <w:rsid w:val="001F1341"/>
    <w:rsid w:val="001F13BF"/>
    <w:rsid w:val="001F1504"/>
    <w:rsid w:val="001F1623"/>
    <w:rsid w:val="001F16FA"/>
    <w:rsid w:val="001F1759"/>
    <w:rsid w:val="001F185C"/>
    <w:rsid w:val="001F1A37"/>
    <w:rsid w:val="001F1BED"/>
    <w:rsid w:val="001F1C48"/>
    <w:rsid w:val="001F1E27"/>
    <w:rsid w:val="001F2057"/>
    <w:rsid w:val="001F21D5"/>
    <w:rsid w:val="001F228C"/>
    <w:rsid w:val="001F22E6"/>
    <w:rsid w:val="001F2351"/>
    <w:rsid w:val="001F240F"/>
    <w:rsid w:val="001F241D"/>
    <w:rsid w:val="001F2666"/>
    <w:rsid w:val="001F26DB"/>
    <w:rsid w:val="001F2702"/>
    <w:rsid w:val="001F2782"/>
    <w:rsid w:val="001F27A0"/>
    <w:rsid w:val="001F27DB"/>
    <w:rsid w:val="001F28AE"/>
    <w:rsid w:val="001F2CF0"/>
    <w:rsid w:val="001F2D99"/>
    <w:rsid w:val="001F2FF2"/>
    <w:rsid w:val="001F3072"/>
    <w:rsid w:val="001F3153"/>
    <w:rsid w:val="001F3296"/>
    <w:rsid w:val="001F3410"/>
    <w:rsid w:val="001F3413"/>
    <w:rsid w:val="001F3428"/>
    <w:rsid w:val="001F362B"/>
    <w:rsid w:val="001F3750"/>
    <w:rsid w:val="001F376D"/>
    <w:rsid w:val="001F3793"/>
    <w:rsid w:val="001F37CC"/>
    <w:rsid w:val="001F383F"/>
    <w:rsid w:val="001F3892"/>
    <w:rsid w:val="001F38AC"/>
    <w:rsid w:val="001F38DC"/>
    <w:rsid w:val="001F3943"/>
    <w:rsid w:val="001F3C40"/>
    <w:rsid w:val="001F3CE6"/>
    <w:rsid w:val="001F3D62"/>
    <w:rsid w:val="001F3DED"/>
    <w:rsid w:val="001F3FFB"/>
    <w:rsid w:val="001F41A0"/>
    <w:rsid w:val="001F4374"/>
    <w:rsid w:val="001F4419"/>
    <w:rsid w:val="001F4427"/>
    <w:rsid w:val="001F4629"/>
    <w:rsid w:val="001F46E4"/>
    <w:rsid w:val="001F46EF"/>
    <w:rsid w:val="001F4796"/>
    <w:rsid w:val="001F47BC"/>
    <w:rsid w:val="001F4AE2"/>
    <w:rsid w:val="001F4B5C"/>
    <w:rsid w:val="001F4B61"/>
    <w:rsid w:val="001F4B7A"/>
    <w:rsid w:val="001F4BA4"/>
    <w:rsid w:val="001F4C1D"/>
    <w:rsid w:val="001F4C60"/>
    <w:rsid w:val="001F4CFA"/>
    <w:rsid w:val="001F4CFD"/>
    <w:rsid w:val="001F4D5A"/>
    <w:rsid w:val="001F4EFE"/>
    <w:rsid w:val="001F50AD"/>
    <w:rsid w:val="001F50C2"/>
    <w:rsid w:val="001F510E"/>
    <w:rsid w:val="001F5161"/>
    <w:rsid w:val="001F51BD"/>
    <w:rsid w:val="001F51F9"/>
    <w:rsid w:val="001F5205"/>
    <w:rsid w:val="001F5224"/>
    <w:rsid w:val="001F5268"/>
    <w:rsid w:val="001F5281"/>
    <w:rsid w:val="001F535D"/>
    <w:rsid w:val="001F5395"/>
    <w:rsid w:val="001F5455"/>
    <w:rsid w:val="001F545D"/>
    <w:rsid w:val="001F5618"/>
    <w:rsid w:val="001F5760"/>
    <w:rsid w:val="001F57FA"/>
    <w:rsid w:val="001F5980"/>
    <w:rsid w:val="001F5A9A"/>
    <w:rsid w:val="001F5B2D"/>
    <w:rsid w:val="001F5C4D"/>
    <w:rsid w:val="001F5CCA"/>
    <w:rsid w:val="001F5DEA"/>
    <w:rsid w:val="001F5FD3"/>
    <w:rsid w:val="001F622B"/>
    <w:rsid w:val="001F6244"/>
    <w:rsid w:val="001F6269"/>
    <w:rsid w:val="001F6318"/>
    <w:rsid w:val="001F6368"/>
    <w:rsid w:val="001F63C4"/>
    <w:rsid w:val="001F6442"/>
    <w:rsid w:val="001F64D7"/>
    <w:rsid w:val="001F64DE"/>
    <w:rsid w:val="001F67EB"/>
    <w:rsid w:val="001F6858"/>
    <w:rsid w:val="001F6932"/>
    <w:rsid w:val="001F6947"/>
    <w:rsid w:val="001F6A35"/>
    <w:rsid w:val="001F6A41"/>
    <w:rsid w:val="001F6C60"/>
    <w:rsid w:val="001F6C64"/>
    <w:rsid w:val="001F6EA0"/>
    <w:rsid w:val="001F6EC7"/>
    <w:rsid w:val="001F6ED0"/>
    <w:rsid w:val="001F70D3"/>
    <w:rsid w:val="001F743F"/>
    <w:rsid w:val="001F747D"/>
    <w:rsid w:val="001F74BE"/>
    <w:rsid w:val="001F7764"/>
    <w:rsid w:val="001F790C"/>
    <w:rsid w:val="001F79C4"/>
    <w:rsid w:val="001F7B03"/>
    <w:rsid w:val="001F7B4E"/>
    <w:rsid w:val="001F7BBB"/>
    <w:rsid w:val="001F7ED0"/>
    <w:rsid w:val="001F7EDB"/>
    <w:rsid w:val="001F7F5C"/>
    <w:rsid w:val="001F7F7E"/>
    <w:rsid w:val="001F7F97"/>
    <w:rsid w:val="002000CF"/>
    <w:rsid w:val="0020019A"/>
    <w:rsid w:val="002001AA"/>
    <w:rsid w:val="00200242"/>
    <w:rsid w:val="00200262"/>
    <w:rsid w:val="0020034F"/>
    <w:rsid w:val="00200398"/>
    <w:rsid w:val="00200471"/>
    <w:rsid w:val="00200682"/>
    <w:rsid w:val="00200A2B"/>
    <w:rsid w:val="00200A71"/>
    <w:rsid w:val="00200AFF"/>
    <w:rsid w:val="00200C1A"/>
    <w:rsid w:val="00200CFD"/>
    <w:rsid w:val="00200D5D"/>
    <w:rsid w:val="00200D6C"/>
    <w:rsid w:val="00200D91"/>
    <w:rsid w:val="00200E6F"/>
    <w:rsid w:val="00200FEF"/>
    <w:rsid w:val="00201138"/>
    <w:rsid w:val="0020124F"/>
    <w:rsid w:val="002012E5"/>
    <w:rsid w:val="0020131F"/>
    <w:rsid w:val="002013E4"/>
    <w:rsid w:val="0020147F"/>
    <w:rsid w:val="00201B3F"/>
    <w:rsid w:val="00201C1C"/>
    <w:rsid w:val="00201ECF"/>
    <w:rsid w:val="00201EE1"/>
    <w:rsid w:val="002020FF"/>
    <w:rsid w:val="0020218F"/>
    <w:rsid w:val="0020226C"/>
    <w:rsid w:val="00202273"/>
    <w:rsid w:val="002026D1"/>
    <w:rsid w:val="00202752"/>
    <w:rsid w:val="0020290C"/>
    <w:rsid w:val="002029D7"/>
    <w:rsid w:val="002029E6"/>
    <w:rsid w:val="00202B8D"/>
    <w:rsid w:val="00202D22"/>
    <w:rsid w:val="00202D88"/>
    <w:rsid w:val="00202DC3"/>
    <w:rsid w:val="00202E2D"/>
    <w:rsid w:val="00202F9F"/>
    <w:rsid w:val="00202FD8"/>
    <w:rsid w:val="002030B6"/>
    <w:rsid w:val="00203133"/>
    <w:rsid w:val="00203285"/>
    <w:rsid w:val="002033F0"/>
    <w:rsid w:val="002035DD"/>
    <w:rsid w:val="00203837"/>
    <w:rsid w:val="00203846"/>
    <w:rsid w:val="00203871"/>
    <w:rsid w:val="00203875"/>
    <w:rsid w:val="002039A0"/>
    <w:rsid w:val="00203C5C"/>
    <w:rsid w:val="00203CFE"/>
    <w:rsid w:val="00203D89"/>
    <w:rsid w:val="00203EA5"/>
    <w:rsid w:val="00203FFF"/>
    <w:rsid w:val="0020415D"/>
    <w:rsid w:val="00204297"/>
    <w:rsid w:val="0020443D"/>
    <w:rsid w:val="00204552"/>
    <w:rsid w:val="002045A7"/>
    <w:rsid w:val="002045DD"/>
    <w:rsid w:val="002047A4"/>
    <w:rsid w:val="002048C4"/>
    <w:rsid w:val="002048E9"/>
    <w:rsid w:val="0020494D"/>
    <w:rsid w:val="002049B2"/>
    <w:rsid w:val="00204A25"/>
    <w:rsid w:val="00204A37"/>
    <w:rsid w:val="00204AF0"/>
    <w:rsid w:val="00204BED"/>
    <w:rsid w:val="00204D62"/>
    <w:rsid w:val="00204DFF"/>
    <w:rsid w:val="00204E62"/>
    <w:rsid w:val="00204EEA"/>
    <w:rsid w:val="00204FA9"/>
    <w:rsid w:val="00205043"/>
    <w:rsid w:val="002050A1"/>
    <w:rsid w:val="002050D9"/>
    <w:rsid w:val="00205217"/>
    <w:rsid w:val="00205239"/>
    <w:rsid w:val="002052A1"/>
    <w:rsid w:val="0020541E"/>
    <w:rsid w:val="002054AD"/>
    <w:rsid w:val="002057DF"/>
    <w:rsid w:val="002058A8"/>
    <w:rsid w:val="00205A99"/>
    <w:rsid w:val="00205B19"/>
    <w:rsid w:val="00205D00"/>
    <w:rsid w:val="00205F23"/>
    <w:rsid w:val="00205F88"/>
    <w:rsid w:val="002061A7"/>
    <w:rsid w:val="00206260"/>
    <w:rsid w:val="002063EC"/>
    <w:rsid w:val="00206413"/>
    <w:rsid w:val="00206476"/>
    <w:rsid w:val="002064BC"/>
    <w:rsid w:val="002064F8"/>
    <w:rsid w:val="00206506"/>
    <w:rsid w:val="00206536"/>
    <w:rsid w:val="0020654A"/>
    <w:rsid w:val="002067D9"/>
    <w:rsid w:val="00206A6E"/>
    <w:rsid w:val="00206AA9"/>
    <w:rsid w:val="00206BE3"/>
    <w:rsid w:val="00206CC0"/>
    <w:rsid w:val="00206F1C"/>
    <w:rsid w:val="00207174"/>
    <w:rsid w:val="0020727F"/>
    <w:rsid w:val="002075F8"/>
    <w:rsid w:val="00207627"/>
    <w:rsid w:val="00207839"/>
    <w:rsid w:val="0020786C"/>
    <w:rsid w:val="00207871"/>
    <w:rsid w:val="00207877"/>
    <w:rsid w:val="00207905"/>
    <w:rsid w:val="0020795C"/>
    <w:rsid w:val="00207C40"/>
    <w:rsid w:val="00207CAD"/>
    <w:rsid w:val="00207CCC"/>
    <w:rsid w:val="00207D0F"/>
    <w:rsid w:val="00207E65"/>
    <w:rsid w:val="00207E6A"/>
    <w:rsid w:val="00207F13"/>
    <w:rsid w:val="00210075"/>
    <w:rsid w:val="00210096"/>
    <w:rsid w:val="002100D1"/>
    <w:rsid w:val="00210112"/>
    <w:rsid w:val="002102DA"/>
    <w:rsid w:val="00210331"/>
    <w:rsid w:val="002104A2"/>
    <w:rsid w:val="002104D4"/>
    <w:rsid w:val="00210516"/>
    <w:rsid w:val="0021052B"/>
    <w:rsid w:val="002105E9"/>
    <w:rsid w:val="002105F3"/>
    <w:rsid w:val="00210660"/>
    <w:rsid w:val="0021084B"/>
    <w:rsid w:val="002108E7"/>
    <w:rsid w:val="00210949"/>
    <w:rsid w:val="002109EF"/>
    <w:rsid w:val="00210D98"/>
    <w:rsid w:val="00210DDA"/>
    <w:rsid w:val="00210E5F"/>
    <w:rsid w:val="00211003"/>
    <w:rsid w:val="002110B5"/>
    <w:rsid w:val="002111C2"/>
    <w:rsid w:val="002111D2"/>
    <w:rsid w:val="00211433"/>
    <w:rsid w:val="0021148B"/>
    <w:rsid w:val="002114B0"/>
    <w:rsid w:val="00211557"/>
    <w:rsid w:val="0021165C"/>
    <w:rsid w:val="00211690"/>
    <w:rsid w:val="002118FC"/>
    <w:rsid w:val="002119AC"/>
    <w:rsid w:val="00211BA3"/>
    <w:rsid w:val="00211BD3"/>
    <w:rsid w:val="00211D37"/>
    <w:rsid w:val="00211E71"/>
    <w:rsid w:val="00211E8C"/>
    <w:rsid w:val="00211ED2"/>
    <w:rsid w:val="00211F8B"/>
    <w:rsid w:val="00212005"/>
    <w:rsid w:val="00212015"/>
    <w:rsid w:val="00212044"/>
    <w:rsid w:val="002120EB"/>
    <w:rsid w:val="002121E8"/>
    <w:rsid w:val="002122EE"/>
    <w:rsid w:val="00212339"/>
    <w:rsid w:val="00212499"/>
    <w:rsid w:val="00212672"/>
    <w:rsid w:val="002126E8"/>
    <w:rsid w:val="00212789"/>
    <w:rsid w:val="0021285F"/>
    <w:rsid w:val="0021291C"/>
    <w:rsid w:val="00212A59"/>
    <w:rsid w:val="00212B11"/>
    <w:rsid w:val="00212C4E"/>
    <w:rsid w:val="00212D7A"/>
    <w:rsid w:val="00212D83"/>
    <w:rsid w:val="0021332B"/>
    <w:rsid w:val="0021357E"/>
    <w:rsid w:val="00213673"/>
    <w:rsid w:val="002136C4"/>
    <w:rsid w:val="00213774"/>
    <w:rsid w:val="00213992"/>
    <w:rsid w:val="00213A14"/>
    <w:rsid w:val="00213A1A"/>
    <w:rsid w:val="00213B51"/>
    <w:rsid w:val="00213D3D"/>
    <w:rsid w:val="002142A7"/>
    <w:rsid w:val="002142AC"/>
    <w:rsid w:val="002142ED"/>
    <w:rsid w:val="0021456C"/>
    <w:rsid w:val="00214629"/>
    <w:rsid w:val="0021478C"/>
    <w:rsid w:val="0021478D"/>
    <w:rsid w:val="00214BD3"/>
    <w:rsid w:val="00214C0A"/>
    <w:rsid w:val="00214FF9"/>
    <w:rsid w:val="002151AE"/>
    <w:rsid w:val="00215285"/>
    <w:rsid w:val="00215302"/>
    <w:rsid w:val="00215449"/>
    <w:rsid w:val="00215553"/>
    <w:rsid w:val="0021556F"/>
    <w:rsid w:val="002155ED"/>
    <w:rsid w:val="002158C5"/>
    <w:rsid w:val="00215B76"/>
    <w:rsid w:val="00215BF5"/>
    <w:rsid w:val="00215C17"/>
    <w:rsid w:val="00215DCD"/>
    <w:rsid w:val="00215E15"/>
    <w:rsid w:val="00215E35"/>
    <w:rsid w:val="00215F0D"/>
    <w:rsid w:val="002160DC"/>
    <w:rsid w:val="002160FD"/>
    <w:rsid w:val="00216136"/>
    <w:rsid w:val="002161DC"/>
    <w:rsid w:val="002163D0"/>
    <w:rsid w:val="00216455"/>
    <w:rsid w:val="0021678E"/>
    <w:rsid w:val="00216827"/>
    <w:rsid w:val="0021684C"/>
    <w:rsid w:val="0021685E"/>
    <w:rsid w:val="00216864"/>
    <w:rsid w:val="00216A7A"/>
    <w:rsid w:val="00216BBE"/>
    <w:rsid w:val="00216D33"/>
    <w:rsid w:val="00216E20"/>
    <w:rsid w:val="00216E73"/>
    <w:rsid w:val="00216F23"/>
    <w:rsid w:val="00216F74"/>
    <w:rsid w:val="00216FE6"/>
    <w:rsid w:val="0021701E"/>
    <w:rsid w:val="00217069"/>
    <w:rsid w:val="00217465"/>
    <w:rsid w:val="0021750C"/>
    <w:rsid w:val="0021771F"/>
    <w:rsid w:val="00217798"/>
    <w:rsid w:val="0021790C"/>
    <w:rsid w:val="00217B04"/>
    <w:rsid w:val="00217B0B"/>
    <w:rsid w:val="00217BB4"/>
    <w:rsid w:val="00217BC7"/>
    <w:rsid w:val="00217C26"/>
    <w:rsid w:val="00217CCC"/>
    <w:rsid w:val="00217E19"/>
    <w:rsid w:val="00217ED2"/>
    <w:rsid w:val="00217F66"/>
    <w:rsid w:val="00217FF5"/>
    <w:rsid w:val="00220115"/>
    <w:rsid w:val="00220162"/>
    <w:rsid w:val="002202B6"/>
    <w:rsid w:val="00220472"/>
    <w:rsid w:val="00220512"/>
    <w:rsid w:val="002205F1"/>
    <w:rsid w:val="002208CE"/>
    <w:rsid w:val="002208DE"/>
    <w:rsid w:val="00220A14"/>
    <w:rsid w:val="00220B1D"/>
    <w:rsid w:val="00220B84"/>
    <w:rsid w:val="00220D1C"/>
    <w:rsid w:val="00220E93"/>
    <w:rsid w:val="00220F74"/>
    <w:rsid w:val="00220FD6"/>
    <w:rsid w:val="00221084"/>
    <w:rsid w:val="002210F0"/>
    <w:rsid w:val="0022116A"/>
    <w:rsid w:val="002211ED"/>
    <w:rsid w:val="0022128D"/>
    <w:rsid w:val="002213D4"/>
    <w:rsid w:val="002214A5"/>
    <w:rsid w:val="002214EC"/>
    <w:rsid w:val="002215DA"/>
    <w:rsid w:val="002216D3"/>
    <w:rsid w:val="002217A7"/>
    <w:rsid w:val="00221898"/>
    <w:rsid w:val="0022196A"/>
    <w:rsid w:val="00221B82"/>
    <w:rsid w:val="00221BA9"/>
    <w:rsid w:val="00221C46"/>
    <w:rsid w:val="00221CD6"/>
    <w:rsid w:val="00221E30"/>
    <w:rsid w:val="00221E36"/>
    <w:rsid w:val="00221EA4"/>
    <w:rsid w:val="00221FE1"/>
    <w:rsid w:val="002220D1"/>
    <w:rsid w:val="0022210C"/>
    <w:rsid w:val="0022216A"/>
    <w:rsid w:val="00222332"/>
    <w:rsid w:val="0022233B"/>
    <w:rsid w:val="00222389"/>
    <w:rsid w:val="002225F0"/>
    <w:rsid w:val="0022267D"/>
    <w:rsid w:val="00222793"/>
    <w:rsid w:val="00222860"/>
    <w:rsid w:val="00222BA7"/>
    <w:rsid w:val="00222C20"/>
    <w:rsid w:val="00222C38"/>
    <w:rsid w:val="00222D98"/>
    <w:rsid w:val="00222E77"/>
    <w:rsid w:val="00223093"/>
    <w:rsid w:val="002230C8"/>
    <w:rsid w:val="00223448"/>
    <w:rsid w:val="0022345F"/>
    <w:rsid w:val="0022348A"/>
    <w:rsid w:val="00223548"/>
    <w:rsid w:val="0022358E"/>
    <w:rsid w:val="0022367B"/>
    <w:rsid w:val="0022369C"/>
    <w:rsid w:val="0022374C"/>
    <w:rsid w:val="00223A8F"/>
    <w:rsid w:val="00223B2E"/>
    <w:rsid w:val="00223B8B"/>
    <w:rsid w:val="00223C21"/>
    <w:rsid w:val="00223D78"/>
    <w:rsid w:val="00223DC3"/>
    <w:rsid w:val="00223EEB"/>
    <w:rsid w:val="00223F4B"/>
    <w:rsid w:val="00224011"/>
    <w:rsid w:val="002240D5"/>
    <w:rsid w:val="002242FD"/>
    <w:rsid w:val="002243A4"/>
    <w:rsid w:val="0022453D"/>
    <w:rsid w:val="0022478C"/>
    <w:rsid w:val="00224890"/>
    <w:rsid w:val="002249CE"/>
    <w:rsid w:val="00224A31"/>
    <w:rsid w:val="00224B07"/>
    <w:rsid w:val="00224D30"/>
    <w:rsid w:val="00224EB1"/>
    <w:rsid w:val="0022506D"/>
    <w:rsid w:val="002251B0"/>
    <w:rsid w:val="00225285"/>
    <w:rsid w:val="002252F0"/>
    <w:rsid w:val="002253B4"/>
    <w:rsid w:val="002253F5"/>
    <w:rsid w:val="00225495"/>
    <w:rsid w:val="002254E0"/>
    <w:rsid w:val="002254F8"/>
    <w:rsid w:val="002255D4"/>
    <w:rsid w:val="0022562F"/>
    <w:rsid w:val="002257A1"/>
    <w:rsid w:val="00225875"/>
    <w:rsid w:val="00225A3B"/>
    <w:rsid w:val="00225C8E"/>
    <w:rsid w:val="00225CD7"/>
    <w:rsid w:val="00225FC3"/>
    <w:rsid w:val="00225FFA"/>
    <w:rsid w:val="0022619F"/>
    <w:rsid w:val="002262AB"/>
    <w:rsid w:val="002262AF"/>
    <w:rsid w:val="00226386"/>
    <w:rsid w:val="00226525"/>
    <w:rsid w:val="002265E6"/>
    <w:rsid w:val="0022696C"/>
    <w:rsid w:val="00226A6B"/>
    <w:rsid w:val="00226B83"/>
    <w:rsid w:val="00226E74"/>
    <w:rsid w:val="00226F95"/>
    <w:rsid w:val="0022707F"/>
    <w:rsid w:val="00227337"/>
    <w:rsid w:val="002273B1"/>
    <w:rsid w:val="002275BD"/>
    <w:rsid w:val="0022761C"/>
    <w:rsid w:val="002277E8"/>
    <w:rsid w:val="0022783A"/>
    <w:rsid w:val="00227CDB"/>
    <w:rsid w:val="00227E65"/>
    <w:rsid w:val="00227F52"/>
    <w:rsid w:val="00227F97"/>
    <w:rsid w:val="0023004E"/>
    <w:rsid w:val="0023006D"/>
    <w:rsid w:val="00230234"/>
    <w:rsid w:val="0023032F"/>
    <w:rsid w:val="00230403"/>
    <w:rsid w:val="0023048F"/>
    <w:rsid w:val="0023052F"/>
    <w:rsid w:val="0023055B"/>
    <w:rsid w:val="00230612"/>
    <w:rsid w:val="002308AC"/>
    <w:rsid w:val="00230922"/>
    <w:rsid w:val="00230923"/>
    <w:rsid w:val="002309FC"/>
    <w:rsid w:val="00230A1A"/>
    <w:rsid w:val="00230AE6"/>
    <w:rsid w:val="00230BAC"/>
    <w:rsid w:val="00230BAE"/>
    <w:rsid w:val="00230C57"/>
    <w:rsid w:val="00230E64"/>
    <w:rsid w:val="00230F00"/>
    <w:rsid w:val="00230F04"/>
    <w:rsid w:val="00230F44"/>
    <w:rsid w:val="00230F5B"/>
    <w:rsid w:val="002310FC"/>
    <w:rsid w:val="00231159"/>
    <w:rsid w:val="00231368"/>
    <w:rsid w:val="0023141D"/>
    <w:rsid w:val="00231475"/>
    <w:rsid w:val="0023150B"/>
    <w:rsid w:val="00231587"/>
    <w:rsid w:val="00231653"/>
    <w:rsid w:val="0023169D"/>
    <w:rsid w:val="00231763"/>
    <w:rsid w:val="002317D6"/>
    <w:rsid w:val="0023183B"/>
    <w:rsid w:val="002318C8"/>
    <w:rsid w:val="00231958"/>
    <w:rsid w:val="002319FF"/>
    <w:rsid w:val="00231C4C"/>
    <w:rsid w:val="00231D46"/>
    <w:rsid w:val="00231E50"/>
    <w:rsid w:val="00231EFD"/>
    <w:rsid w:val="0023222E"/>
    <w:rsid w:val="00232366"/>
    <w:rsid w:val="00232426"/>
    <w:rsid w:val="002325A1"/>
    <w:rsid w:val="00232669"/>
    <w:rsid w:val="002326AC"/>
    <w:rsid w:val="002326EA"/>
    <w:rsid w:val="00232794"/>
    <w:rsid w:val="0023284A"/>
    <w:rsid w:val="002328CD"/>
    <w:rsid w:val="00232D52"/>
    <w:rsid w:val="00232D7B"/>
    <w:rsid w:val="00232DBC"/>
    <w:rsid w:val="00232F02"/>
    <w:rsid w:val="00232F38"/>
    <w:rsid w:val="00232FAD"/>
    <w:rsid w:val="0023302B"/>
    <w:rsid w:val="00233196"/>
    <w:rsid w:val="00233281"/>
    <w:rsid w:val="002332D3"/>
    <w:rsid w:val="00233410"/>
    <w:rsid w:val="002335D4"/>
    <w:rsid w:val="0023376B"/>
    <w:rsid w:val="00233776"/>
    <w:rsid w:val="002337C7"/>
    <w:rsid w:val="002338D2"/>
    <w:rsid w:val="00233A0C"/>
    <w:rsid w:val="00233A75"/>
    <w:rsid w:val="00233AFC"/>
    <w:rsid w:val="00233B7A"/>
    <w:rsid w:val="00233BF9"/>
    <w:rsid w:val="00233DAB"/>
    <w:rsid w:val="00233EB0"/>
    <w:rsid w:val="0023408F"/>
    <w:rsid w:val="00234146"/>
    <w:rsid w:val="0023416B"/>
    <w:rsid w:val="00234209"/>
    <w:rsid w:val="00234227"/>
    <w:rsid w:val="00234234"/>
    <w:rsid w:val="002342A5"/>
    <w:rsid w:val="002342D6"/>
    <w:rsid w:val="00234372"/>
    <w:rsid w:val="002343B8"/>
    <w:rsid w:val="002346CC"/>
    <w:rsid w:val="00234775"/>
    <w:rsid w:val="00234788"/>
    <w:rsid w:val="002347AE"/>
    <w:rsid w:val="002347BE"/>
    <w:rsid w:val="0023480D"/>
    <w:rsid w:val="00234922"/>
    <w:rsid w:val="00234A89"/>
    <w:rsid w:val="00234B8F"/>
    <w:rsid w:val="00234C19"/>
    <w:rsid w:val="00234C73"/>
    <w:rsid w:val="00234CC2"/>
    <w:rsid w:val="00234DEA"/>
    <w:rsid w:val="00235217"/>
    <w:rsid w:val="00235231"/>
    <w:rsid w:val="002352B3"/>
    <w:rsid w:val="0023538D"/>
    <w:rsid w:val="00235488"/>
    <w:rsid w:val="0023557D"/>
    <w:rsid w:val="002356C7"/>
    <w:rsid w:val="00235881"/>
    <w:rsid w:val="002358D0"/>
    <w:rsid w:val="002359B0"/>
    <w:rsid w:val="00235A65"/>
    <w:rsid w:val="00235C68"/>
    <w:rsid w:val="00235D48"/>
    <w:rsid w:val="00235D66"/>
    <w:rsid w:val="002360BB"/>
    <w:rsid w:val="0023631E"/>
    <w:rsid w:val="002364D7"/>
    <w:rsid w:val="0023659B"/>
    <w:rsid w:val="0023672B"/>
    <w:rsid w:val="002367E2"/>
    <w:rsid w:val="002369DF"/>
    <w:rsid w:val="00236A61"/>
    <w:rsid w:val="00236B50"/>
    <w:rsid w:val="00236C37"/>
    <w:rsid w:val="00236CD5"/>
    <w:rsid w:val="00236E79"/>
    <w:rsid w:val="00236E9D"/>
    <w:rsid w:val="002370D9"/>
    <w:rsid w:val="002371B6"/>
    <w:rsid w:val="002372C4"/>
    <w:rsid w:val="0023757A"/>
    <w:rsid w:val="0023759A"/>
    <w:rsid w:val="002377A0"/>
    <w:rsid w:val="00237922"/>
    <w:rsid w:val="00237975"/>
    <w:rsid w:val="002379CE"/>
    <w:rsid w:val="00237BAF"/>
    <w:rsid w:val="00237D9C"/>
    <w:rsid w:val="00237E19"/>
    <w:rsid w:val="00237ED9"/>
    <w:rsid w:val="00237EE7"/>
    <w:rsid w:val="00237FFD"/>
    <w:rsid w:val="0024000D"/>
    <w:rsid w:val="002403A8"/>
    <w:rsid w:val="002407E3"/>
    <w:rsid w:val="00240909"/>
    <w:rsid w:val="00240B2D"/>
    <w:rsid w:val="00240C0F"/>
    <w:rsid w:val="00240CF3"/>
    <w:rsid w:val="00240D3C"/>
    <w:rsid w:val="00240DF1"/>
    <w:rsid w:val="00240EBA"/>
    <w:rsid w:val="00240EF3"/>
    <w:rsid w:val="002410DF"/>
    <w:rsid w:val="002412C7"/>
    <w:rsid w:val="0024131A"/>
    <w:rsid w:val="002413ED"/>
    <w:rsid w:val="0024151C"/>
    <w:rsid w:val="002415E3"/>
    <w:rsid w:val="002416B0"/>
    <w:rsid w:val="0024177C"/>
    <w:rsid w:val="002417CD"/>
    <w:rsid w:val="002418AE"/>
    <w:rsid w:val="00241A1F"/>
    <w:rsid w:val="00241DC4"/>
    <w:rsid w:val="00241DF1"/>
    <w:rsid w:val="00241EA7"/>
    <w:rsid w:val="0024204D"/>
    <w:rsid w:val="00242052"/>
    <w:rsid w:val="002422CD"/>
    <w:rsid w:val="002422EB"/>
    <w:rsid w:val="0024232D"/>
    <w:rsid w:val="00242344"/>
    <w:rsid w:val="00242528"/>
    <w:rsid w:val="00242AF0"/>
    <w:rsid w:val="00242DEE"/>
    <w:rsid w:val="00242E1B"/>
    <w:rsid w:val="00242E35"/>
    <w:rsid w:val="00242F99"/>
    <w:rsid w:val="00242FE8"/>
    <w:rsid w:val="002431B3"/>
    <w:rsid w:val="0024320B"/>
    <w:rsid w:val="0024342E"/>
    <w:rsid w:val="0024370C"/>
    <w:rsid w:val="0024380D"/>
    <w:rsid w:val="00243891"/>
    <w:rsid w:val="002438B8"/>
    <w:rsid w:val="00243969"/>
    <w:rsid w:val="00243D71"/>
    <w:rsid w:val="00243E53"/>
    <w:rsid w:val="00243EE9"/>
    <w:rsid w:val="0024402D"/>
    <w:rsid w:val="00244083"/>
    <w:rsid w:val="00244084"/>
    <w:rsid w:val="0024419D"/>
    <w:rsid w:val="002443CE"/>
    <w:rsid w:val="002443E5"/>
    <w:rsid w:val="00244516"/>
    <w:rsid w:val="00244590"/>
    <w:rsid w:val="002445E6"/>
    <w:rsid w:val="002445F1"/>
    <w:rsid w:val="00244658"/>
    <w:rsid w:val="00244864"/>
    <w:rsid w:val="002449C7"/>
    <w:rsid w:val="00244AC5"/>
    <w:rsid w:val="00244B28"/>
    <w:rsid w:val="00244B8F"/>
    <w:rsid w:val="00244CAC"/>
    <w:rsid w:val="00244D2B"/>
    <w:rsid w:val="00244E23"/>
    <w:rsid w:val="00244EDF"/>
    <w:rsid w:val="00244FB7"/>
    <w:rsid w:val="0024521D"/>
    <w:rsid w:val="00245335"/>
    <w:rsid w:val="002453A5"/>
    <w:rsid w:val="00245521"/>
    <w:rsid w:val="00245614"/>
    <w:rsid w:val="002456AB"/>
    <w:rsid w:val="002457C7"/>
    <w:rsid w:val="002457D9"/>
    <w:rsid w:val="00245993"/>
    <w:rsid w:val="00245B4A"/>
    <w:rsid w:val="00245C87"/>
    <w:rsid w:val="00245E3A"/>
    <w:rsid w:val="00245EBF"/>
    <w:rsid w:val="00245F6A"/>
    <w:rsid w:val="0024603F"/>
    <w:rsid w:val="00246259"/>
    <w:rsid w:val="002463F1"/>
    <w:rsid w:val="0024646F"/>
    <w:rsid w:val="002464D1"/>
    <w:rsid w:val="002466F0"/>
    <w:rsid w:val="00246731"/>
    <w:rsid w:val="002469EE"/>
    <w:rsid w:val="00246A59"/>
    <w:rsid w:val="00246C55"/>
    <w:rsid w:val="00246CEA"/>
    <w:rsid w:val="00246E24"/>
    <w:rsid w:val="00246E48"/>
    <w:rsid w:val="00246EAF"/>
    <w:rsid w:val="00246EB1"/>
    <w:rsid w:val="00246F27"/>
    <w:rsid w:val="0024707E"/>
    <w:rsid w:val="00247170"/>
    <w:rsid w:val="00247196"/>
    <w:rsid w:val="00247266"/>
    <w:rsid w:val="0024742E"/>
    <w:rsid w:val="0024743B"/>
    <w:rsid w:val="002474CA"/>
    <w:rsid w:val="002475F4"/>
    <w:rsid w:val="0024772D"/>
    <w:rsid w:val="00247828"/>
    <w:rsid w:val="002479C0"/>
    <w:rsid w:val="00247A39"/>
    <w:rsid w:val="00247A66"/>
    <w:rsid w:val="00247AEE"/>
    <w:rsid w:val="00247B2C"/>
    <w:rsid w:val="00247C47"/>
    <w:rsid w:val="00247CB8"/>
    <w:rsid w:val="00247D43"/>
    <w:rsid w:val="00247DA6"/>
    <w:rsid w:val="00250047"/>
    <w:rsid w:val="00250050"/>
    <w:rsid w:val="0025008F"/>
    <w:rsid w:val="002501EC"/>
    <w:rsid w:val="00250406"/>
    <w:rsid w:val="002504FD"/>
    <w:rsid w:val="002505AF"/>
    <w:rsid w:val="00250757"/>
    <w:rsid w:val="0025077C"/>
    <w:rsid w:val="002507FC"/>
    <w:rsid w:val="00250916"/>
    <w:rsid w:val="00250B96"/>
    <w:rsid w:val="00250BEB"/>
    <w:rsid w:val="00250DE0"/>
    <w:rsid w:val="00250E50"/>
    <w:rsid w:val="00250ED5"/>
    <w:rsid w:val="00250FA9"/>
    <w:rsid w:val="0025101F"/>
    <w:rsid w:val="002511EE"/>
    <w:rsid w:val="0025122E"/>
    <w:rsid w:val="00251273"/>
    <w:rsid w:val="0025127B"/>
    <w:rsid w:val="0025144B"/>
    <w:rsid w:val="00251525"/>
    <w:rsid w:val="00251763"/>
    <w:rsid w:val="00251786"/>
    <w:rsid w:val="0025183C"/>
    <w:rsid w:val="002518D2"/>
    <w:rsid w:val="00251A3A"/>
    <w:rsid w:val="00251BA4"/>
    <w:rsid w:val="00251E2E"/>
    <w:rsid w:val="00251F09"/>
    <w:rsid w:val="00251FE9"/>
    <w:rsid w:val="0025216F"/>
    <w:rsid w:val="0025224C"/>
    <w:rsid w:val="0025238D"/>
    <w:rsid w:val="00252689"/>
    <w:rsid w:val="002526B4"/>
    <w:rsid w:val="00252749"/>
    <w:rsid w:val="002527B9"/>
    <w:rsid w:val="002527F6"/>
    <w:rsid w:val="0025284B"/>
    <w:rsid w:val="002528C4"/>
    <w:rsid w:val="002528C9"/>
    <w:rsid w:val="00252A73"/>
    <w:rsid w:val="00252B02"/>
    <w:rsid w:val="00252C20"/>
    <w:rsid w:val="00252D3D"/>
    <w:rsid w:val="00252E8A"/>
    <w:rsid w:val="00253057"/>
    <w:rsid w:val="002530F1"/>
    <w:rsid w:val="002531E2"/>
    <w:rsid w:val="00253346"/>
    <w:rsid w:val="002533EE"/>
    <w:rsid w:val="00253C68"/>
    <w:rsid w:val="00253D40"/>
    <w:rsid w:val="00253DB5"/>
    <w:rsid w:val="00254018"/>
    <w:rsid w:val="00254043"/>
    <w:rsid w:val="00254086"/>
    <w:rsid w:val="0025418D"/>
    <w:rsid w:val="002541AF"/>
    <w:rsid w:val="0025432C"/>
    <w:rsid w:val="00254445"/>
    <w:rsid w:val="002544E6"/>
    <w:rsid w:val="00254554"/>
    <w:rsid w:val="0025455A"/>
    <w:rsid w:val="002545DA"/>
    <w:rsid w:val="00254642"/>
    <w:rsid w:val="0025481E"/>
    <w:rsid w:val="00254853"/>
    <w:rsid w:val="00254A49"/>
    <w:rsid w:val="00254B81"/>
    <w:rsid w:val="00254C04"/>
    <w:rsid w:val="00254C9F"/>
    <w:rsid w:val="00254F9A"/>
    <w:rsid w:val="00254FD2"/>
    <w:rsid w:val="002550F7"/>
    <w:rsid w:val="00255105"/>
    <w:rsid w:val="002551AB"/>
    <w:rsid w:val="00255209"/>
    <w:rsid w:val="002559D6"/>
    <w:rsid w:val="002559EF"/>
    <w:rsid w:val="00255A96"/>
    <w:rsid w:val="00255AFD"/>
    <w:rsid w:val="00255B63"/>
    <w:rsid w:val="00255C8F"/>
    <w:rsid w:val="00255CB4"/>
    <w:rsid w:val="00255D48"/>
    <w:rsid w:val="00256076"/>
    <w:rsid w:val="002562C7"/>
    <w:rsid w:val="0025630B"/>
    <w:rsid w:val="00256323"/>
    <w:rsid w:val="00256383"/>
    <w:rsid w:val="00256625"/>
    <w:rsid w:val="00256658"/>
    <w:rsid w:val="00256736"/>
    <w:rsid w:val="00256773"/>
    <w:rsid w:val="002567B6"/>
    <w:rsid w:val="00256850"/>
    <w:rsid w:val="0025685D"/>
    <w:rsid w:val="00256A2D"/>
    <w:rsid w:val="00256A84"/>
    <w:rsid w:val="00256D8F"/>
    <w:rsid w:val="00256D90"/>
    <w:rsid w:val="00256ED7"/>
    <w:rsid w:val="00256F76"/>
    <w:rsid w:val="00257097"/>
    <w:rsid w:val="002570D6"/>
    <w:rsid w:val="00257198"/>
    <w:rsid w:val="0025719B"/>
    <w:rsid w:val="002571B2"/>
    <w:rsid w:val="00257285"/>
    <w:rsid w:val="002572AB"/>
    <w:rsid w:val="00257372"/>
    <w:rsid w:val="0025747C"/>
    <w:rsid w:val="002574BA"/>
    <w:rsid w:val="0025751B"/>
    <w:rsid w:val="00257684"/>
    <w:rsid w:val="00257862"/>
    <w:rsid w:val="002579D9"/>
    <w:rsid w:val="00257BB3"/>
    <w:rsid w:val="00257D53"/>
    <w:rsid w:val="00257F2E"/>
    <w:rsid w:val="00260031"/>
    <w:rsid w:val="002600F2"/>
    <w:rsid w:val="0026017E"/>
    <w:rsid w:val="002602A6"/>
    <w:rsid w:val="00260365"/>
    <w:rsid w:val="00260544"/>
    <w:rsid w:val="002605DC"/>
    <w:rsid w:val="00260727"/>
    <w:rsid w:val="002607BF"/>
    <w:rsid w:val="002607C3"/>
    <w:rsid w:val="002607D6"/>
    <w:rsid w:val="002608D8"/>
    <w:rsid w:val="00260B80"/>
    <w:rsid w:val="00260C67"/>
    <w:rsid w:val="00260CD7"/>
    <w:rsid w:val="00260D72"/>
    <w:rsid w:val="00260E24"/>
    <w:rsid w:val="00260FA0"/>
    <w:rsid w:val="002611B5"/>
    <w:rsid w:val="002611C0"/>
    <w:rsid w:val="002612C7"/>
    <w:rsid w:val="002614F6"/>
    <w:rsid w:val="002615D6"/>
    <w:rsid w:val="002617C1"/>
    <w:rsid w:val="0026186C"/>
    <w:rsid w:val="002618CF"/>
    <w:rsid w:val="00261AD9"/>
    <w:rsid w:val="00261AF8"/>
    <w:rsid w:val="00261C12"/>
    <w:rsid w:val="00261C8F"/>
    <w:rsid w:val="00261DB3"/>
    <w:rsid w:val="00261E13"/>
    <w:rsid w:val="00261E71"/>
    <w:rsid w:val="0026203D"/>
    <w:rsid w:val="002620DA"/>
    <w:rsid w:val="002620FB"/>
    <w:rsid w:val="002621FF"/>
    <w:rsid w:val="00262228"/>
    <w:rsid w:val="002622BE"/>
    <w:rsid w:val="00262403"/>
    <w:rsid w:val="00262411"/>
    <w:rsid w:val="0026268C"/>
    <w:rsid w:val="002626BD"/>
    <w:rsid w:val="00262744"/>
    <w:rsid w:val="002628DD"/>
    <w:rsid w:val="002629A8"/>
    <w:rsid w:val="002629E1"/>
    <w:rsid w:val="002629E3"/>
    <w:rsid w:val="00262A29"/>
    <w:rsid w:val="00262A8B"/>
    <w:rsid w:val="00262AA9"/>
    <w:rsid w:val="00262AC7"/>
    <w:rsid w:val="00262C22"/>
    <w:rsid w:val="00262C8E"/>
    <w:rsid w:val="00262D6C"/>
    <w:rsid w:val="00262D8F"/>
    <w:rsid w:val="00262D92"/>
    <w:rsid w:val="00263054"/>
    <w:rsid w:val="002631A4"/>
    <w:rsid w:val="00263220"/>
    <w:rsid w:val="002632D5"/>
    <w:rsid w:val="00263407"/>
    <w:rsid w:val="0026353C"/>
    <w:rsid w:val="00263586"/>
    <w:rsid w:val="002635D2"/>
    <w:rsid w:val="002636FC"/>
    <w:rsid w:val="0026371A"/>
    <w:rsid w:val="0026374A"/>
    <w:rsid w:val="00263832"/>
    <w:rsid w:val="00263850"/>
    <w:rsid w:val="0026390B"/>
    <w:rsid w:val="0026392C"/>
    <w:rsid w:val="0026394C"/>
    <w:rsid w:val="00263965"/>
    <w:rsid w:val="00263A4C"/>
    <w:rsid w:val="00263B0E"/>
    <w:rsid w:val="00263C10"/>
    <w:rsid w:val="00263CDE"/>
    <w:rsid w:val="00263DC8"/>
    <w:rsid w:val="00263FA6"/>
    <w:rsid w:val="00264205"/>
    <w:rsid w:val="0026423E"/>
    <w:rsid w:val="002642F2"/>
    <w:rsid w:val="002643DD"/>
    <w:rsid w:val="00264450"/>
    <w:rsid w:val="002644AB"/>
    <w:rsid w:val="00264545"/>
    <w:rsid w:val="002645B5"/>
    <w:rsid w:val="00264637"/>
    <w:rsid w:val="00264669"/>
    <w:rsid w:val="002646BD"/>
    <w:rsid w:val="00264870"/>
    <w:rsid w:val="00264895"/>
    <w:rsid w:val="002648A7"/>
    <w:rsid w:val="0026495F"/>
    <w:rsid w:val="00264A47"/>
    <w:rsid w:val="00264AC4"/>
    <w:rsid w:val="00264AEF"/>
    <w:rsid w:val="00264B9B"/>
    <w:rsid w:val="00264BF5"/>
    <w:rsid w:val="00264C7C"/>
    <w:rsid w:val="00264CC7"/>
    <w:rsid w:val="00264EF5"/>
    <w:rsid w:val="00265015"/>
    <w:rsid w:val="0026513F"/>
    <w:rsid w:val="00265256"/>
    <w:rsid w:val="0026527D"/>
    <w:rsid w:val="002652BD"/>
    <w:rsid w:val="002652C6"/>
    <w:rsid w:val="00265385"/>
    <w:rsid w:val="002655BA"/>
    <w:rsid w:val="002656AB"/>
    <w:rsid w:val="002657FC"/>
    <w:rsid w:val="00265846"/>
    <w:rsid w:val="00265895"/>
    <w:rsid w:val="002659AF"/>
    <w:rsid w:val="00265B01"/>
    <w:rsid w:val="00265D22"/>
    <w:rsid w:val="00265FE3"/>
    <w:rsid w:val="002660BA"/>
    <w:rsid w:val="002660CA"/>
    <w:rsid w:val="0026641B"/>
    <w:rsid w:val="002667D7"/>
    <w:rsid w:val="00266886"/>
    <w:rsid w:val="00266B58"/>
    <w:rsid w:val="00266CB0"/>
    <w:rsid w:val="00266CC3"/>
    <w:rsid w:val="00266E59"/>
    <w:rsid w:val="00266F91"/>
    <w:rsid w:val="002670D7"/>
    <w:rsid w:val="00267536"/>
    <w:rsid w:val="00267580"/>
    <w:rsid w:val="0026767C"/>
    <w:rsid w:val="002676F4"/>
    <w:rsid w:val="002678C2"/>
    <w:rsid w:val="002679E1"/>
    <w:rsid w:val="002679E2"/>
    <w:rsid w:val="00267A47"/>
    <w:rsid w:val="00267AFE"/>
    <w:rsid w:val="00267B56"/>
    <w:rsid w:val="00267B90"/>
    <w:rsid w:val="00267BD2"/>
    <w:rsid w:val="00267CE2"/>
    <w:rsid w:val="00267CF7"/>
    <w:rsid w:val="00267E9F"/>
    <w:rsid w:val="00267F22"/>
    <w:rsid w:val="00267F6C"/>
    <w:rsid w:val="002700DE"/>
    <w:rsid w:val="002701B2"/>
    <w:rsid w:val="00270210"/>
    <w:rsid w:val="0027028B"/>
    <w:rsid w:val="002702A2"/>
    <w:rsid w:val="00270378"/>
    <w:rsid w:val="002704BD"/>
    <w:rsid w:val="00270505"/>
    <w:rsid w:val="00270542"/>
    <w:rsid w:val="0027067B"/>
    <w:rsid w:val="00270684"/>
    <w:rsid w:val="00270700"/>
    <w:rsid w:val="00270795"/>
    <w:rsid w:val="00270809"/>
    <w:rsid w:val="0027081D"/>
    <w:rsid w:val="0027083C"/>
    <w:rsid w:val="0027086A"/>
    <w:rsid w:val="002708C5"/>
    <w:rsid w:val="0027099B"/>
    <w:rsid w:val="00270A03"/>
    <w:rsid w:val="00270A58"/>
    <w:rsid w:val="00270E12"/>
    <w:rsid w:val="00270F1F"/>
    <w:rsid w:val="00271003"/>
    <w:rsid w:val="0027101F"/>
    <w:rsid w:val="00271071"/>
    <w:rsid w:val="0027119D"/>
    <w:rsid w:val="00271335"/>
    <w:rsid w:val="00271344"/>
    <w:rsid w:val="002715E9"/>
    <w:rsid w:val="00271686"/>
    <w:rsid w:val="0027171A"/>
    <w:rsid w:val="00271C57"/>
    <w:rsid w:val="00271D1C"/>
    <w:rsid w:val="00271F6C"/>
    <w:rsid w:val="00271FEB"/>
    <w:rsid w:val="00271FFF"/>
    <w:rsid w:val="002723B4"/>
    <w:rsid w:val="00272460"/>
    <w:rsid w:val="00272510"/>
    <w:rsid w:val="00272628"/>
    <w:rsid w:val="002726CF"/>
    <w:rsid w:val="002727FB"/>
    <w:rsid w:val="00272825"/>
    <w:rsid w:val="002729B6"/>
    <w:rsid w:val="00272C3A"/>
    <w:rsid w:val="00272CD6"/>
    <w:rsid w:val="00272CFB"/>
    <w:rsid w:val="00272D4F"/>
    <w:rsid w:val="00272E5A"/>
    <w:rsid w:val="00272E96"/>
    <w:rsid w:val="00272EB0"/>
    <w:rsid w:val="00272F33"/>
    <w:rsid w:val="00273035"/>
    <w:rsid w:val="002731DD"/>
    <w:rsid w:val="0027332B"/>
    <w:rsid w:val="002734BB"/>
    <w:rsid w:val="00273507"/>
    <w:rsid w:val="00273669"/>
    <w:rsid w:val="00273821"/>
    <w:rsid w:val="002738C9"/>
    <w:rsid w:val="00273939"/>
    <w:rsid w:val="0027396C"/>
    <w:rsid w:val="00273973"/>
    <w:rsid w:val="00273A7F"/>
    <w:rsid w:val="00273AFF"/>
    <w:rsid w:val="00273C56"/>
    <w:rsid w:val="00273CCE"/>
    <w:rsid w:val="00273E06"/>
    <w:rsid w:val="00273E66"/>
    <w:rsid w:val="00273EAA"/>
    <w:rsid w:val="00273ED4"/>
    <w:rsid w:val="00273FCA"/>
    <w:rsid w:val="00273FCB"/>
    <w:rsid w:val="0027402C"/>
    <w:rsid w:val="00274105"/>
    <w:rsid w:val="0027430E"/>
    <w:rsid w:val="0027451C"/>
    <w:rsid w:val="0027474B"/>
    <w:rsid w:val="00274897"/>
    <w:rsid w:val="002748C2"/>
    <w:rsid w:val="00274A42"/>
    <w:rsid w:val="00274A7C"/>
    <w:rsid w:val="00274AC4"/>
    <w:rsid w:val="00274BE7"/>
    <w:rsid w:val="00274D00"/>
    <w:rsid w:val="00274E0C"/>
    <w:rsid w:val="00274E25"/>
    <w:rsid w:val="00274FBA"/>
    <w:rsid w:val="002750C3"/>
    <w:rsid w:val="002752C9"/>
    <w:rsid w:val="0027534D"/>
    <w:rsid w:val="00275523"/>
    <w:rsid w:val="00275592"/>
    <w:rsid w:val="002755AA"/>
    <w:rsid w:val="0027560E"/>
    <w:rsid w:val="002756CE"/>
    <w:rsid w:val="002757C9"/>
    <w:rsid w:val="002758A7"/>
    <w:rsid w:val="00275A9C"/>
    <w:rsid w:val="00275A9F"/>
    <w:rsid w:val="00275AB8"/>
    <w:rsid w:val="00275B12"/>
    <w:rsid w:val="002761D8"/>
    <w:rsid w:val="0027623E"/>
    <w:rsid w:val="00276305"/>
    <w:rsid w:val="00276392"/>
    <w:rsid w:val="002765D7"/>
    <w:rsid w:val="0027661F"/>
    <w:rsid w:val="0027673A"/>
    <w:rsid w:val="002767FB"/>
    <w:rsid w:val="00276896"/>
    <w:rsid w:val="00276AC4"/>
    <w:rsid w:val="00276BC7"/>
    <w:rsid w:val="00276BE0"/>
    <w:rsid w:val="00276C18"/>
    <w:rsid w:val="00276C57"/>
    <w:rsid w:val="00276CC7"/>
    <w:rsid w:val="00276CD3"/>
    <w:rsid w:val="00276D54"/>
    <w:rsid w:val="00276DB5"/>
    <w:rsid w:val="00276F99"/>
    <w:rsid w:val="00276FD4"/>
    <w:rsid w:val="00277062"/>
    <w:rsid w:val="002770E4"/>
    <w:rsid w:val="00277194"/>
    <w:rsid w:val="0027723D"/>
    <w:rsid w:val="002772AB"/>
    <w:rsid w:val="002775AA"/>
    <w:rsid w:val="00277707"/>
    <w:rsid w:val="00277C2B"/>
    <w:rsid w:val="00277CC0"/>
    <w:rsid w:val="00277D0F"/>
    <w:rsid w:val="00277D28"/>
    <w:rsid w:val="00277DE8"/>
    <w:rsid w:val="00277E0D"/>
    <w:rsid w:val="00277EA6"/>
    <w:rsid w:val="00277EC5"/>
    <w:rsid w:val="00277FBC"/>
    <w:rsid w:val="0028016C"/>
    <w:rsid w:val="002801F1"/>
    <w:rsid w:val="00280255"/>
    <w:rsid w:val="00280448"/>
    <w:rsid w:val="00280492"/>
    <w:rsid w:val="0028079B"/>
    <w:rsid w:val="00280824"/>
    <w:rsid w:val="002808DC"/>
    <w:rsid w:val="0028099F"/>
    <w:rsid w:val="00280A0C"/>
    <w:rsid w:val="00280A4B"/>
    <w:rsid w:val="00280F5B"/>
    <w:rsid w:val="0028103F"/>
    <w:rsid w:val="002810D2"/>
    <w:rsid w:val="00281183"/>
    <w:rsid w:val="0028119E"/>
    <w:rsid w:val="002811C2"/>
    <w:rsid w:val="00281297"/>
    <w:rsid w:val="0028137D"/>
    <w:rsid w:val="0028138F"/>
    <w:rsid w:val="002815E3"/>
    <w:rsid w:val="0028166B"/>
    <w:rsid w:val="0028167B"/>
    <w:rsid w:val="002816D1"/>
    <w:rsid w:val="002817B1"/>
    <w:rsid w:val="002817FF"/>
    <w:rsid w:val="002819EC"/>
    <w:rsid w:val="00281C81"/>
    <w:rsid w:val="00281D5F"/>
    <w:rsid w:val="0028208D"/>
    <w:rsid w:val="002821E9"/>
    <w:rsid w:val="00282279"/>
    <w:rsid w:val="002822CC"/>
    <w:rsid w:val="00282333"/>
    <w:rsid w:val="00282900"/>
    <w:rsid w:val="002829C7"/>
    <w:rsid w:val="00282BCC"/>
    <w:rsid w:val="00282C7E"/>
    <w:rsid w:val="00282DA3"/>
    <w:rsid w:val="00282F51"/>
    <w:rsid w:val="00282FFC"/>
    <w:rsid w:val="00283064"/>
    <w:rsid w:val="0028325C"/>
    <w:rsid w:val="002832C4"/>
    <w:rsid w:val="002836ED"/>
    <w:rsid w:val="0028378A"/>
    <w:rsid w:val="0028378C"/>
    <w:rsid w:val="002838B0"/>
    <w:rsid w:val="0028395D"/>
    <w:rsid w:val="002839CD"/>
    <w:rsid w:val="00283AF5"/>
    <w:rsid w:val="00283E62"/>
    <w:rsid w:val="00284128"/>
    <w:rsid w:val="0028436C"/>
    <w:rsid w:val="0028443A"/>
    <w:rsid w:val="0028449C"/>
    <w:rsid w:val="002845AA"/>
    <w:rsid w:val="0028474C"/>
    <w:rsid w:val="002847BE"/>
    <w:rsid w:val="002847D2"/>
    <w:rsid w:val="002847F6"/>
    <w:rsid w:val="002849CC"/>
    <w:rsid w:val="00284ACF"/>
    <w:rsid w:val="00284AD8"/>
    <w:rsid w:val="00284F8C"/>
    <w:rsid w:val="00284FBE"/>
    <w:rsid w:val="00284FF7"/>
    <w:rsid w:val="00285078"/>
    <w:rsid w:val="002851A6"/>
    <w:rsid w:val="002852B3"/>
    <w:rsid w:val="002852C0"/>
    <w:rsid w:val="002853E2"/>
    <w:rsid w:val="00285489"/>
    <w:rsid w:val="00285573"/>
    <w:rsid w:val="002855EE"/>
    <w:rsid w:val="0028570F"/>
    <w:rsid w:val="002857B0"/>
    <w:rsid w:val="002859DB"/>
    <w:rsid w:val="00285AA9"/>
    <w:rsid w:val="00285E43"/>
    <w:rsid w:val="00285F81"/>
    <w:rsid w:val="0028602C"/>
    <w:rsid w:val="00286046"/>
    <w:rsid w:val="0028612E"/>
    <w:rsid w:val="0028615A"/>
    <w:rsid w:val="002861EE"/>
    <w:rsid w:val="0028642B"/>
    <w:rsid w:val="00286439"/>
    <w:rsid w:val="00286602"/>
    <w:rsid w:val="00286721"/>
    <w:rsid w:val="00286829"/>
    <w:rsid w:val="002868C9"/>
    <w:rsid w:val="00286A53"/>
    <w:rsid w:val="00286ACF"/>
    <w:rsid w:val="00286C57"/>
    <w:rsid w:val="00286DC6"/>
    <w:rsid w:val="00287110"/>
    <w:rsid w:val="0028717B"/>
    <w:rsid w:val="0028722B"/>
    <w:rsid w:val="0028725F"/>
    <w:rsid w:val="00287293"/>
    <w:rsid w:val="0028733D"/>
    <w:rsid w:val="0028754C"/>
    <w:rsid w:val="00287D0B"/>
    <w:rsid w:val="00287D13"/>
    <w:rsid w:val="00287D91"/>
    <w:rsid w:val="00287F46"/>
    <w:rsid w:val="00287F84"/>
    <w:rsid w:val="0029025A"/>
    <w:rsid w:val="0029025C"/>
    <w:rsid w:val="002902A0"/>
    <w:rsid w:val="00290729"/>
    <w:rsid w:val="0029082B"/>
    <w:rsid w:val="002909A6"/>
    <w:rsid w:val="00290CB0"/>
    <w:rsid w:val="00290D30"/>
    <w:rsid w:val="00290E81"/>
    <w:rsid w:val="00290E95"/>
    <w:rsid w:val="00290F24"/>
    <w:rsid w:val="002910E0"/>
    <w:rsid w:val="00291309"/>
    <w:rsid w:val="0029151C"/>
    <w:rsid w:val="00291561"/>
    <w:rsid w:val="00291735"/>
    <w:rsid w:val="002917F6"/>
    <w:rsid w:val="00291845"/>
    <w:rsid w:val="00291889"/>
    <w:rsid w:val="00291957"/>
    <w:rsid w:val="002919E6"/>
    <w:rsid w:val="00291A50"/>
    <w:rsid w:val="00291B3F"/>
    <w:rsid w:val="00291B87"/>
    <w:rsid w:val="00291CE9"/>
    <w:rsid w:val="00291D53"/>
    <w:rsid w:val="00291DAD"/>
    <w:rsid w:val="00291DF2"/>
    <w:rsid w:val="00291F15"/>
    <w:rsid w:val="00291F21"/>
    <w:rsid w:val="00291F22"/>
    <w:rsid w:val="00291FE5"/>
    <w:rsid w:val="0029212E"/>
    <w:rsid w:val="00292188"/>
    <w:rsid w:val="00292206"/>
    <w:rsid w:val="00292499"/>
    <w:rsid w:val="00292783"/>
    <w:rsid w:val="00292904"/>
    <w:rsid w:val="00292995"/>
    <w:rsid w:val="002929AD"/>
    <w:rsid w:val="00292BD4"/>
    <w:rsid w:val="00292DBA"/>
    <w:rsid w:val="00292DF8"/>
    <w:rsid w:val="00292EDB"/>
    <w:rsid w:val="00293160"/>
    <w:rsid w:val="00293293"/>
    <w:rsid w:val="002932F4"/>
    <w:rsid w:val="00293396"/>
    <w:rsid w:val="002935BA"/>
    <w:rsid w:val="002936B9"/>
    <w:rsid w:val="002936E4"/>
    <w:rsid w:val="002939E6"/>
    <w:rsid w:val="00293A12"/>
    <w:rsid w:val="00293AD8"/>
    <w:rsid w:val="00293B24"/>
    <w:rsid w:val="002940C3"/>
    <w:rsid w:val="002940C8"/>
    <w:rsid w:val="002940FE"/>
    <w:rsid w:val="0029419D"/>
    <w:rsid w:val="00294332"/>
    <w:rsid w:val="00294500"/>
    <w:rsid w:val="002946C0"/>
    <w:rsid w:val="002946C9"/>
    <w:rsid w:val="00294703"/>
    <w:rsid w:val="0029483C"/>
    <w:rsid w:val="00294898"/>
    <w:rsid w:val="002948A6"/>
    <w:rsid w:val="002948F9"/>
    <w:rsid w:val="002949DD"/>
    <w:rsid w:val="00294C2C"/>
    <w:rsid w:val="00294C82"/>
    <w:rsid w:val="00294DC3"/>
    <w:rsid w:val="00294E3C"/>
    <w:rsid w:val="00294EC2"/>
    <w:rsid w:val="00294F36"/>
    <w:rsid w:val="00295008"/>
    <w:rsid w:val="00295256"/>
    <w:rsid w:val="002952B1"/>
    <w:rsid w:val="002952D8"/>
    <w:rsid w:val="002955BD"/>
    <w:rsid w:val="00295712"/>
    <w:rsid w:val="00295836"/>
    <w:rsid w:val="0029585F"/>
    <w:rsid w:val="00295948"/>
    <w:rsid w:val="00295A13"/>
    <w:rsid w:val="00295B5B"/>
    <w:rsid w:val="00295B84"/>
    <w:rsid w:val="00295C5C"/>
    <w:rsid w:val="00295EFB"/>
    <w:rsid w:val="00295F2A"/>
    <w:rsid w:val="00296163"/>
    <w:rsid w:val="00296469"/>
    <w:rsid w:val="0029657F"/>
    <w:rsid w:val="002967A8"/>
    <w:rsid w:val="002967F0"/>
    <w:rsid w:val="002967F9"/>
    <w:rsid w:val="00296A7F"/>
    <w:rsid w:val="00296E07"/>
    <w:rsid w:val="00296ED9"/>
    <w:rsid w:val="00296F47"/>
    <w:rsid w:val="00297116"/>
    <w:rsid w:val="00297128"/>
    <w:rsid w:val="00297171"/>
    <w:rsid w:val="00297398"/>
    <w:rsid w:val="002973EB"/>
    <w:rsid w:val="002974F2"/>
    <w:rsid w:val="00297504"/>
    <w:rsid w:val="0029754C"/>
    <w:rsid w:val="002975E2"/>
    <w:rsid w:val="00297602"/>
    <w:rsid w:val="00297827"/>
    <w:rsid w:val="00297893"/>
    <w:rsid w:val="002978D2"/>
    <w:rsid w:val="002979E5"/>
    <w:rsid w:val="00297A39"/>
    <w:rsid w:val="00297A51"/>
    <w:rsid w:val="00297A99"/>
    <w:rsid w:val="00297B53"/>
    <w:rsid w:val="00297BD4"/>
    <w:rsid w:val="00297CD8"/>
    <w:rsid w:val="00297DDB"/>
    <w:rsid w:val="00297E02"/>
    <w:rsid w:val="002A0124"/>
    <w:rsid w:val="002A0198"/>
    <w:rsid w:val="002A0413"/>
    <w:rsid w:val="002A07CA"/>
    <w:rsid w:val="002A08B7"/>
    <w:rsid w:val="002A0A80"/>
    <w:rsid w:val="002A0CBC"/>
    <w:rsid w:val="002A0DD0"/>
    <w:rsid w:val="002A0F4E"/>
    <w:rsid w:val="002A0FFE"/>
    <w:rsid w:val="002A146D"/>
    <w:rsid w:val="002A14B0"/>
    <w:rsid w:val="002A15E9"/>
    <w:rsid w:val="002A171B"/>
    <w:rsid w:val="002A192B"/>
    <w:rsid w:val="002A1951"/>
    <w:rsid w:val="002A199F"/>
    <w:rsid w:val="002A1A52"/>
    <w:rsid w:val="002A1BBF"/>
    <w:rsid w:val="002A1C93"/>
    <w:rsid w:val="002A1EB9"/>
    <w:rsid w:val="002A200E"/>
    <w:rsid w:val="002A2060"/>
    <w:rsid w:val="002A20DF"/>
    <w:rsid w:val="002A2250"/>
    <w:rsid w:val="002A2298"/>
    <w:rsid w:val="002A22B0"/>
    <w:rsid w:val="002A22C7"/>
    <w:rsid w:val="002A22E3"/>
    <w:rsid w:val="002A2333"/>
    <w:rsid w:val="002A2864"/>
    <w:rsid w:val="002A2A74"/>
    <w:rsid w:val="002A2B24"/>
    <w:rsid w:val="002A2CDD"/>
    <w:rsid w:val="002A2D97"/>
    <w:rsid w:val="002A2E65"/>
    <w:rsid w:val="002A2ED4"/>
    <w:rsid w:val="002A2F18"/>
    <w:rsid w:val="002A2F8D"/>
    <w:rsid w:val="002A2FEB"/>
    <w:rsid w:val="002A304F"/>
    <w:rsid w:val="002A306E"/>
    <w:rsid w:val="002A30D4"/>
    <w:rsid w:val="002A30E3"/>
    <w:rsid w:val="002A310C"/>
    <w:rsid w:val="002A31CB"/>
    <w:rsid w:val="002A3223"/>
    <w:rsid w:val="002A330C"/>
    <w:rsid w:val="002A332F"/>
    <w:rsid w:val="002A3467"/>
    <w:rsid w:val="002A358E"/>
    <w:rsid w:val="002A38FF"/>
    <w:rsid w:val="002A3988"/>
    <w:rsid w:val="002A3CE6"/>
    <w:rsid w:val="002A3D16"/>
    <w:rsid w:val="002A3DC6"/>
    <w:rsid w:val="002A3FF5"/>
    <w:rsid w:val="002A413B"/>
    <w:rsid w:val="002A419A"/>
    <w:rsid w:val="002A41D4"/>
    <w:rsid w:val="002A42C4"/>
    <w:rsid w:val="002A4410"/>
    <w:rsid w:val="002A442B"/>
    <w:rsid w:val="002A4854"/>
    <w:rsid w:val="002A4900"/>
    <w:rsid w:val="002A4954"/>
    <w:rsid w:val="002A4B43"/>
    <w:rsid w:val="002A4B58"/>
    <w:rsid w:val="002A4E32"/>
    <w:rsid w:val="002A514A"/>
    <w:rsid w:val="002A53A6"/>
    <w:rsid w:val="002A5446"/>
    <w:rsid w:val="002A5706"/>
    <w:rsid w:val="002A57FB"/>
    <w:rsid w:val="002A58D8"/>
    <w:rsid w:val="002A590E"/>
    <w:rsid w:val="002A5C06"/>
    <w:rsid w:val="002A5C94"/>
    <w:rsid w:val="002A5D96"/>
    <w:rsid w:val="002A5DAB"/>
    <w:rsid w:val="002A5E16"/>
    <w:rsid w:val="002A5F11"/>
    <w:rsid w:val="002A5F24"/>
    <w:rsid w:val="002A5F7B"/>
    <w:rsid w:val="002A605D"/>
    <w:rsid w:val="002A60C3"/>
    <w:rsid w:val="002A6321"/>
    <w:rsid w:val="002A64F0"/>
    <w:rsid w:val="002A6560"/>
    <w:rsid w:val="002A6593"/>
    <w:rsid w:val="002A659B"/>
    <w:rsid w:val="002A6662"/>
    <w:rsid w:val="002A672D"/>
    <w:rsid w:val="002A6853"/>
    <w:rsid w:val="002A6911"/>
    <w:rsid w:val="002A69C9"/>
    <w:rsid w:val="002A69DC"/>
    <w:rsid w:val="002A6A36"/>
    <w:rsid w:val="002A6A39"/>
    <w:rsid w:val="002A6B36"/>
    <w:rsid w:val="002A6BFA"/>
    <w:rsid w:val="002A6DA8"/>
    <w:rsid w:val="002A6EAF"/>
    <w:rsid w:val="002A6F58"/>
    <w:rsid w:val="002A72DB"/>
    <w:rsid w:val="002A7302"/>
    <w:rsid w:val="002A73D1"/>
    <w:rsid w:val="002A75FA"/>
    <w:rsid w:val="002A7624"/>
    <w:rsid w:val="002A76A5"/>
    <w:rsid w:val="002A773E"/>
    <w:rsid w:val="002A774B"/>
    <w:rsid w:val="002A7766"/>
    <w:rsid w:val="002A7767"/>
    <w:rsid w:val="002A79C4"/>
    <w:rsid w:val="002A7B8F"/>
    <w:rsid w:val="002A7C92"/>
    <w:rsid w:val="002A7D5A"/>
    <w:rsid w:val="002A7DF6"/>
    <w:rsid w:val="002A7E89"/>
    <w:rsid w:val="002A7F6D"/>
    <w:rsid w:val="002A7FFA"/>
    <w:rsid w:val="002B02A6"/>
    <w:rsid w:val="002B02BE"/>
    <w:rsid w:val="002B0526"/>
    <w:rsid w:val="002B071D"/>
    <w:rsid w:val="002B076B"/>
    <w:rsid w:val="002B07B2"/>
    <w:rsid w:val="002B0947"/>
    <w:rsid w:val="002B0961"/>
    <w:rsid w:val="002B0AD1"/>
    <w:rsid w:val="002B0BC4"/>
    <w:rsid w:val="002B0BCA"/>
    <w:rsid w:val="002B0F59"/>
    <w:rsid w:val="002B0F5F"/>
    <w:rsid w:val="002B0F7E"/>
    <w:rsid w:val="002B10A4"/>
    <w:rsid w:val="002B1113"/>
    <w:rsid w:val="002B11E3"/>
    <w:rsid w:val="002B133E"/>
    <w:rsid w:val="002B1389"/>
    <w:rsid w:val="002B143B"/>
    <w:rsid w:val="002B1482"/>
    <w:rsid w:val="002B14E3"/>
    <w:rsid w:val="002B151E"/>
    <w:rsid w:val="002B156D"/>
    <w:rsid w:val="002B159A"/>
    <w:rsid w:val="002B19CD"/>
    <w:rsid w:val="002B19EF"/>
    <w:rsid w:val="002B19FE"/>
    <w:rsid w:val="002B1AA5"/>
    <w:rsid w:val="002B1B4A"/>
    <w:rsid w:val="002B1CD1"/>
    <w:rsid w:val="002B1D72"/>
    <w:rsid w:val="002B1D95"/>
    <w:rsid w:val="002B1F55"/>
    <w:rsid w:val="002B20B9"/>
    <w:rsid w:val="002B2373"/>
    <w:rsid w:val="002B23F4"/>
    <w:rsid w:val="002B2517"/>
    <w:rsid w:val="002B264F"/>
    <w:rsid w:val="002B27BB"/>
    <w:rsid w:val="002B27CB"/>
    <w:rsid w:val="002B2CA6"/>
    <w:rsid w:val="002B2DB3"/>
    <w:rsid w:val="002B2F0A"/>
    <w:rsid w:val="002B2FE3"/>
    <w:rsid w:val="002B3234"/>
    <w:rsid w:val="002B323B"/>
    <w:rsid w:val="002B3395"/>
    <w:rsid w:val="002B3409"/>
    <w:rsid w:val="002B355A"/>
    <w:rsid w:val="002B369A"/>
    <w:rsid w:val="002B37E7"/>
    <w:rsid w:val="002B387C"/>
    <w:rsid w:val="002B38DF"/>
    <w:rsid w:val="002B3917"/>
    <w:rsid w:val="002B392B"/>
    <w:rsid w:val="002B3A4A"/>
    <w:rsid w:val="002B3B55"/>
    <w:rsid w:val="002B3DBA"/>
    <w:rsid w:val="002B3DDD"/>
    <w:rsid w:val="002B3EED"/>
    <w:rsid w:val="002B3FC8"/>
    <w:rsid w:val="002B3FF0"/>
    <w:rsid w:val="002B4096"/>
    <w:rsid w:val="002B40F7"/>
    <w:rsid w:val="002B4162"/>
    <w:rsid w:val="002B43B0"/>
    <w:rsid w:val="002B4441"/>
    <w:rsid w:val="002B44A4"/>
    <w:rsid w:val="002B4687"/>
    <w:rsid w:val="002B4776"/>
    <w:rsid w:val="002B4AF7"/>
    <w:rsid w:val="002B4B4F"/>
    <w:rsid w:val="002B4C04"/>
    <w:rsid w:val="002B4C13"/>
    <w:rsid w:val="002B5072"/>
    <w:rsid w:val="002B5204"/>
    <w:rsid w:val="002B5311"/>
    <w:rsid w:val="002B535B"/>
    <w:rsid w:val="002B53EE"/>
    <w:rsid w:val="002B55C5"/>
    <w:rsid w:val="002B5631"/>
    <w:rsid w:val="002B5653"/>
    <w:rsid w:val="002B5829"/>
    <w:rsid w:val="002B59B6"/>
    <w:rsid w:val="002B5A98"/>
    <w:rsid w:val="002B5C4F"/>
    <w:rsid w:val="002B5CD7"/>
    <w:rsid w:val="002B5F2A"/>
    <w:rsid w:val="002B602D"/>
    <w:rsid w:val="002B6208"/>
    <w:rsid w:val="002B65D0"/>
    <w:rsid w:val="002B6619"/>
    <w:rsid w:val="002B66D0"/>
    <w:rsid w:val="002B68B9"/>
    <w:rsid w:val="002B6A8D"/>
    <w:rsid w:val="002B6C62"/>
    <w:rsid w:val="002B6C77"/>
    <w:rsid w:val="002B6E2C"/>
    <w:rsid w:val="002B6E58"/>
    <w:rsid w:val="002B6F9E"/>
    <w:rsid w:val="002B7022"/>
    <w:rsid w:val="002B710E"/>
    <w:rsid w:val="002B7356"/>
    <w:rsid w:val="002B74F4"/>
    <w:rsid w:val="002B7528"/>
    <w:rsid w:val="002B7555"/>
    <w:rsid w:val="002B757B"/>
    <w:rsid w:val="002B796A"/>
    <w:rsid w:val="002B7A1F"/>
    <w:rsid w:val="002B7A4E"/>
    <w:rsid w:val="002B7A5D"/>
    <w:rsid w:val="002B7DAC"/>
    <w:rsid w:val="002B7EFD"/>
    <w:rsid w:val="002B7F88"/>
    <w:rsid w:val="002C01BD"/>
    <w:rsid w:val="002C01D8"/>
    <w:rsid w:val="002C0313"/>
    <w:rsid w:val="002C0430"/>
    <w:rsid w:val="002C0462"/>
    <w:rsid w:val="002C0465"/>
    <w:rsid w:val="002C0743"/>
    <w:rsid w:val="002C093C"/>
    <w:rsid w:val="002C098C"/>
    <w:rsid w:val="002C0A7A"/>
    <w:rsid w:val="002C0B21"/>
    <w:rsid w:val="002C0C1E"/>
    <w:rsid w:val="002C0D24"/>
    <w:rsid w:val="002C10FD"/>
    <w:rsid w:val="002C136A"/>
    <w:rsid w:val="002C14A7"/>
    <w:rsid w:val="002C14EA"/>
    <w:rsid w:val="002C1631"/>
    <w:rsid w:val="002C165C"/>
    <w:rsid w:val="002C16DE"/>
    <w:rsid w:val="002C16FA"/>
    <w:rsid w:val="002C17F6"/>
    <w:rsid w:val="002C18ED"/>
    <w:rsid w:val="002C1A97"/>
    <w:rsid w:val="002C1BB9"/>
    <w:rsid w:val="002C1DC5"/>
    <w:rsid w:val="002C1EF4"/>
    <w:rsid w:val="002C1F8D"/>
    <w:rsid w:val="002C2045"/>
    <w:rsid w:val="002C2216"/>
    <w:rsid w:val="002C228D"/>
    <w:rsid w:val="002C244D"/>
    <w:rsid w:val="002C25E1"/>
    <w:rsid w:val="002C27A2"/>
    <w:rsid w:val="002C27A5"/>
    <w:rsid w:val="002C2CEE"/>
    <w:rsid w:val="002C2E4C"/>
    <w:rsid w:val="002C2F00"/>
    <w:rsid w:val="002C2FDA"/>
    <w:rsid w:val="002C300C"/>
    <w:rsid w:val="002C328A"/>
    <w:rsid w:val="002C32D8"/>
    <w:rsid w:val="002C347C"/>
    <w:rsid w:val="002C3491"/>
    <w:rsid w:val="002C379D"/>
    <w:rsid w:val="002C3861"/>
    <w:rsid w:val="002C39A8"/>
    <w:rsid w:val="002C3A1E"/>
    <w:rsid w:val="002C3A22"/>
    <w:rsid w:val="002C3BAD"/>
    <w:rsid w:val="002C3F06"/>
    <w:rsid w:val="002C4008"/>
    <w:rsid w:val="002C4147"/>
    <w:rsid w:val="002C42F6"/>
    <w:rsid w:val="002C43E0"/>
    <w:rsid w:val="002C4428"/>
    <w:rsid w:val="002C4498"/>
    <w:rsid w:val="002C4553"/>
    <w:rsid w:val="002C462C"/>
    <w:rsid w:val="002C4875"/>
    <w:rsid w:val="002C493B"/>
    <w:rsid w:val="002C49C0"/>
    <w:rsid w:val="002C4A3B"/>
    <w:rsid w:val="002C4AF3"/>
    <w:rsid w:val="002C4B44"/>
    <w:rsid w:val="002C4C9F"/>
    <w:rsid w:val="002C4F2E"/>
    <w:rsid w:val="002C4FE1"/>
    <w:rsid w:val="002C4FFA"/>
    <w:rsid w:val="002C50DF"/>
    <w:rsid w:val="002C5260"/>
    <w:rsid w:val="002C5389"/>
    <w:rsid w:val="002C53AF"/>
    <w:rsid w:val="002C5515"/>
    <w:rsid w:val="002C57CF"/>
    <w:rsid w:val="002C58F8"/>
    <w:rsid w:val="002C591B"/>
    <w:rsid w:val="002C596D"/>
    <w:rsid w:val="002C5C60"/>
    <w:rsid w:val="002C5C63"/>
    <w:rsid w:val="002C5FD8"/>
    <w:rsid w:val="002C600B"/>
    <w:rsid w:val="002C6026"/>
    <w:rsid w:val="002C6392"/>
    <w:rsid w:val="002C6599"/>
    <w:rsid w:val="002C6A3F"/>
    <w:rsid w:val="002C6A6C"/>
    <w:rsid w:val="002C6AC4"/>
    <w:rsid w:val="002C6C7B"/>
    <w:rsid w:val="002C7053"/>
    <w:rsid w:val="002C71F0"/>
    <w:rsid w:val="002C71F1"/>
    <w:rsid w:val="002C726B"/>
    <w:rsid w:val="002C737D"/>
    <w:rsid w:val="002C7476"/>
    <w:rsid w:val="002C749B"/>
    <w:rsid w:val="002C7714"/>
    <w:rsid w:val="002C77BF"/>
    <w:rsid w:val="002C77FB"/>
    <w:rsid w:val="002C78BF"/>
    <w:rsid w:val="002C793D"/>
    <w:rsid w:val="002C7AE5"/>
    <w:rsid w:val="002C7C10"/>
    <w:rsid w:val="002C7D77"/>
    <w:rsid w:val="002C7DC8"/>
    <w:rsid w:val="002C7DD9"/>
    <w:rsid w:val="002D01ED"/>
    <w:rsid w:val="002D03C9"/>
    <w:rsid w:val="002D05A2"/>
    <w:rsid w:val="002D072C"/>
    <w:rsid w:val="002D07B3"/>
    <w:rsid w:val="002D08AF"/>
    <w:rsid w:val="002D09B6"/>
    <w:rsid w:val="002D0B2F"/>
    <w:rsid w:val="002D0CAE"/>
    <w:rsid w:val="002D0DC5"/>
    <w:rsid w:val="002D0DFF"/>
    <w:rsid w:val="002D0E6F"/>
    <w:rsid w:val="002D0E75"/>
    <w:rsid w:val="002D0F23"/>
    <w:rsid w:val="002D0FA3"/>
    <w:rsid w:val="002D0FE0"/>
    <w:rsid w:val="002D102B"/>
    <w:rsid w:val="002D1074"/>
    <w:rsid w:val="002D1087"/>
    <w:rsid w:val="002D11F4"/>
    <w:rsid w:val="002D124D"/>
    <w:rsid w:val="002D12A1"/>
    <w:rsid w:val="002D13ED"/>
    <w:rsid w:val="002D1488"/>
    <w:rsid w:val="002D15D8"/>
    <w:rsid w:val="002D1765"/>
    <w:rsid w:val="002D17B6"/>
    <w:rsid w:val="002D18DD"/>
    <w:rsid w:val="002D1992"/>
    <w:rsid w:val="002D1A9B"/>
    <w:rsid w:val="002D1B1C"/>
    <w:rsid w:val="002D1B44"/>
    <w:rsid w:val="002D1C55"/>
    <w:rsid w:val="002D1D77"/>
    <w:rsid w:val="002D1DB4"/>
    <w:rsid w:val="002D1E61"/>
    <w:rsid w:val="002D1EB4"/>
    <w:rsid w:val="002D1F9B"/>
    <w:rsid w:val="002D201E"/>
    <w:rsid w:val="002D2072"/>
    <w:rsid w:val="002D20FD"/>
    <w:rsid w:val="002D216A"/>
    <w:rsid w:val="002D21FF"/>
    <w:rsid w:val="002D2338"/>
    <w:rsid w:val="002D237A"/>
    <w:rsid w:val="002D23B7"/>
    <w:rsid w:val="002D2440"/>
    <w:rsid w:val="002D2449"/>
    <w:rsid w:val="002D24FB"/>
    <w:rsid w:val="002D25C8"/>
    <w:rsid w:val="002D263D"/>
    <w:rsid w:val="002D2AA0"/>
    <w:rsid w:val="002D2AFA"/>
    <w:rsid w:val="002D2E97"/>
    <w:rsid w:val="002D2F7E"/>
    <w:rsid w:val="002D2F80"/>
    <w:rsid w:val="002D2FE1"/>
    <w:rsid w:val="002D30B5"/>
    <w:rsid w:val="002D312B"/>
    <w:rsid w:val="002D3173"/>
    <w:rsid w:val="002D3249"/>
    <w:rsid w:val="002D33D5"/>
    <w:rsid w:val="002D363D"/>
    <w:rsid w:val="002D36AF"/>
    <w:rsid w:val="002D376E"/>
    <w:rsid w:val="002D37EE"/>
    <w:rsid w:val="002D38CE"/>
    <w:rsid w:val="002D392C"/>
    <w:rsid w:val="002D3978"/>
    <w:rsid w:val="002D3AFA"/>
    <w:rsid w:val="002D3B12"/>
    <w:rsid w:val="002D3B3A"/>
    <w:rsid w:val="002D3BD9"/>
    <w:rsid w:val="002D3C4B"/>
    <w:rsid w:val="002D3D70"/>
    <w:rsid w:val="002D3DA8"/>
    <w:rsid w:val="002D4009"/>
    <w:rsid w:val="002D4085"/>
    <w:rsid w:val="002D41EE"/>
    <w:rsid w:val="002D4361"/>
    <w:rsid w:val="002D442C"/>
    <w:rsid w:val="002D44B1"/>
    <w:rsid w:val="002D4718"/>
    <w:rsid w:val="002D4731"/>
    <w:rsid w:val="002D4848"/>
    <w:rsid w:val="002D486C"/>
    <w:rsid w:val="002D4895"/>
    <w:rsid w:val="002D491C"/>
    <w:rsid w:val="002D4ACE"/>
    <w:rsid w:val="002D4BA9"/>
    <w:rsid w:val="002D4BD7"/>
    <w:rsid w:val="002D504B"/>
    <w:rsid w:val="002D50AB"/>
    <w:rsid w:val="002D50D7"/>
    <w:rsid w:val="002D50EB"/>
    <w:rsid w:val="002D521D"/>
    <w:rsid w:val="002D5414"/>
    <w:rsid w:val="002D5487"/>
    <w:rsid w:val="002D54DD"/>
    <w:rsid w:val="002D558B"/>
    <w:rsid w:val="002D5628"/>
    <w:rsid w:val="002D569F"/>
    <w:rsid w:val="002D56F1"/>
    <w:rsid w:val="002D57A5"/>
    <w:rsid w:val="002D57C3"/>
    <w:rsid w:val="002D57EA"/>
    <w:rsid w:val="002D57F9"/>
    <w:rsid w:val="002D5880"/>
    <w:rsid w:val="002D5A25"/>
    <w:rsid w:val="002D5ABC"/>
    <w:rsid w:val="002D5BDC"/>
    <w:rsid w:val="002D5CBD"/>
    <w:rsid w:val="002D5D7A"/>
    <w:rsid w:val="002D5ECE"/>
    <w:rsid w:val="002D5F1F"/>
    <w:rsid w:val="002D5F95"/>
    <w:rsid w:val="002D60F5"/>
    <w:rsid w:val="002D6417"/>
    <w:rsid w:val="002D64EB"/>
    <w:rsid w:val="002D6566"/>
    <w:rsid w:val="002D674E"/>
    <w:rsid w:val="002D67E6"/>
    <w:rsid w:val="002D6AAB"/>
    <w:rsid w:val="002D6DFE"/>
    <w:rsid w:val="002D6EBA"/>
    <w:rsid w:val="002D6F0C"/>
    <w:rsid w:val="002D6F41"/>
    <w:rsid w:val="002D6F5E"/>
    <w:rsid w:val="002D7134"/>
    <w:rsid w:val="002D71ED"/>
    <w:rsid w:val="002D7265"/>
    <w:rsid w:val="002D75C4"/>
    <w:rsid w:val="002D7661"/>
    <w:rsid w:val="002D77F1"/>
    <w:rsid w:val="002D78F7"/>
    <w:rsid w:val="002D79ED"/>
    <w:rsid w:val="002D7B08"/>
    <w:rsid w:val="002D7C85"/>
    <w:rsid w:val="002D7CE9"/>
    <w:rsid w:val="002D7F9D"/>
    <w:rsid w:val="002E01A2"/>
    <w:rsid w:val="002E01BF"/>
    <w:rsid w:val="002E02C2"/>
    <w:rsid w:val="002E02C8"/>
    <w:rsid w:val="002E0470"/>
    <w:rsid w:val="002E05A8"/>
    <w:rsid w:val="002E0663"/>
    <w:rsid w:val="002E073E"/>
    <w:rsid w:val="002E0A0E"/>
    <w:rsid w:val="002E0A92"/>
    <w:rsid w:val="002E0B7E"/>
    <w:rsid w:val="002E0C03"/>
    <w:rsid w:val="002E0C09"/>
    <w:rsid w:val="002E0D01"/>
    <w:rsid w:val="002E0DD2"/>
    <w:rsid w:val="002E0E26"/>
    <w:rsid w:val="002E0E56"/>
    <w:rsid w:val="002E0FA8"/>
    <w:rsid w:val="002E1057"/>
    <w:rsid w:val="002E10EF"/>
    <w:rsid w:val="002E125C"/>
    <w:rsid w:val="002E15C4"/>
    <w:rsid w:val="002E17CB"/>
    <w:rsid w:val="002E187A"/>
    <w:rsid w:val="002E1A4D"/>
    <w:rsid w:val="002E1AE0"/>
    <w:rsid w:val="002E1D89"/>
    <w:rsid w:val="002E1DDE"/>
    <w:rsid w:val="002E24E2"/>
    <w:rsid w:val="002E2624"/>
    <w:rsid w:val="002E2630"/>
    <w:rsid w:val="002E2655"/>
    <w:rsid w:val="002E2791"/>
    <w:rsid w:val="002E2911"/>
    <w:rsid w:val="002E2C18"/>
    <w:rsid w:val="002E2C1C"/>
    <w:rsid w:val="002E3009"/>
    <w:rsid w:val="002E307E"/>
    <w:rsid w:val="002E3222"/>
    <w:rsid w:val="002E3233"/>
    <w:rsid w:val="002E3339"/>
    <w:rsid w:val="002E33B9"/>
    <w:rsid w:val="002E33E3"/>
    <w:rsid w:val="002E33EA"/>
    <w:rsid w:val="002E3430"/>
    <w:rsid w:val="002E3459"/>
    <w:rsid w:val="002E3577"/>
    <w:rsid w:val="002E361C"/>
    <w:rsid w:val="002E3677"/>
    <w:rsid w:val="002E36A3"/>
    <w:rsid w:val="002E37B5"/>
    <w:rsid w:val="002E384A"/>
    <w:rsid w:val="002E39A4"/>
    <w:rsid w:val="002E3A9B"/>
    <w:rsid w:val="002E3D90"/>
    <w:rsid w:val="002E3DAD"/>
    <w:rsid w:val="002E3E26"/>
    <w:rsid w:val="002E407C"/>
    <w:rsid w:val="002E40A6"/>
    <w:rsid w:val="002E42BB"/>
    <w:rsid w:val="002E430A"/>
    <w:rsid w:val="002E43A0"/>
    <w:rsid w:val="002E4551"/>
    <w:rsid w:val="002E45AB"/>
    <w:rsid w:val="002E4A83"/>
    <w:rsid w:val="002E4B43"/>
    <w:rsid w:val="002E4C38"/>
    <w:rsid w:val="002E4D27"/>
    <w:rsid w:val="002E4DB6"/>
    <w:rsid w:val="002E4DD0"/>
    <w:rsid w:val="002E4E30"/>
    <w:rsid w:val="002E4EBE"/>
    <w:rsid w:val="002E4F65"/>
    <w:rsid w:val="002E52BA"/>
    <w:rsid w:val="002E52CE"/>
    <w:rsid w:val="002E52E4"/>
    <w:rsid w:val="002E5466"/>
    <w:rsid w:val="002E54A4"/>
    <w:rsid w:val="002E563D"/>
    <w:rsid w:val="002E5714"/>
    <w:rsid w:val="002E5720"/>
    <w:rsid w:val="002E5767"/>
    <w:rsid w:val="002E5815"/>
    <w:rsid w:val="002E5A2D"/>
    <w:rsid w:val="002E5AA0"/>
    <w:rsid w:val="002E5B96"/>
    <w:rsid w:val="002E5E7F"/>
    <w:rsid w:val="002E5F05"/>
    <w:rsid w:val="002E5F46"/>
    <w:rsid w:val="002E604D"/>
    <w:rsid w:val="002E60FF"/>
    <w:rsid w:val="002E617C"/>
    <w:rsid w:val="002E6199"/>
    <w:rsid w:val="002E6432"/>
    <w:rsid w:val="002E64D6"/>
    <w:rsid w:val="002E668E"/>
    <w:rsid w:val="002E6718"/>
    <w:rsid w:val="002E6765"/>
    <w:rsid w:val="002E69F4"/>
    <w:rsid w:val="002E6A81"/>
    <w:rsid w:val="002E6B58"/>
    <w:rsid w:val="002E6C10"/>
    <w:rsid w:val="002E6E4B"/>
    <w:rsid w:val="002E6F0A"/>
    <w:rsid w:val="002E722D"/>
    <w:rsid w:val="002E7262"/>
    <w:rsid w:val="002E7505"/>
    <w:rsid w:val="002E7755"/>
    <w:rsid w:val="002E7793"/>
    <w:rsid w:val="002E79D4"/>
    <w:rsid w:val="002E7ECF"/>
    <w:rsid w:val="002E7F2C"/>
    <w:rsid w:val="002E7FB8"/>
    <w:rsid w:val="002F0134"/>
    <w:rsid w:val="002F0139"/>
    <w:rsid w:val="002F0213"/>
    <w:rsid w:val="002F030B"/>
    <w:rsid w:val="002F03F8"/>
    <w:rsid w:val="002F0417"/>
    <w:rsid w:val="002F0420"/>
    <w:rsid w:val="002F04DC"/>
    <w:rsid w:val="002F05A8"/>
    <w:rsid w:val="002F0768"/>
    <w:rsid w:val="002F0BAA"/>
    <w:rsid w:val="002F0CA9"/>
    <w:rsid w:val="002F0E3A"/>
    <w:rsid w:val="002F0E49"/>
    <w:rsid w:val="002F0E8F"/>
    <w:rsid w:val="002F0E9A"/>
    <w:rsid w:val="002F0F09"/>
    <w:rsid w:val="002F0F56"/>
    <w:rsid w:val="002F1074"/>
    <w:rsid w:val="002F1155"/>
    <w:rsid w:val="002F118C"/>
    <w:rsid w:val="002F130D"/>
    <w:rsid w:val="002F13FF"/>
    <w:rsid w:val="002F14CF"/>
    <w:rsid w:val="002F1607"/>
    <w:rsid w:val="002F162C"/>
    <w:rsid w:val="002F185F"/>
    <w:rsid w:val="002F18C9"/>
    <w:rsid w:val="002F19FC"/>
    <w:rsid w:val="002F1AD6"/>
    <w:rsid w:val="002F1C5F"/>
    <w:rsid w:val="002F1EA3"/>
    <w:rsid w:val="002F1F8D"/>
    <w:rsid w:val="002F2077"/>
    <w:rsid w:val="002F2130"/>
    <w:rsid w:val="002F25C8"/>
    <w:rsid w:val="002F2672"/>
    <w:rsid w:val="002F2694"/>
    <w:rsid w:val="002F274F"/>
    <w:rsid w:val="002F2750"/>
    <w:rsid w:val="002F28BB"/>
    <w:rsid w:val="002F28CA"/>
    <w:rsid w:val="002F28E8"/>
    <w:rsid w:val="002F2904"/>
    <w:rsid w:val="002F2913"/>
    <w:rsid w:val="002F2964"/>
    <w:rsid w:val="002F29B0"/>
    <w:rsid w:val="002F29BF"/>
    <w:rsid w:val="002F2A90"/>
    <w:rsid w:val="002F2A98"/>
    <w:rsid w:val="002F2AA5"/>
    <w:rsid w:val="002F2D94"/>
    <w:rsid w:val="002F32FC"/>
    <w:rsid w:val="002F3430"/>
    <w:rsid w:val="002F34E0"/>
    <w:rsid w:val="002F3843"/>
    <w:rsid w:val="002F3AA3"/>
    <w:rsid w:val="002F3AFD"/>
    <w:rsid w:val="002F3E2B"/>
    <w:rsid w:val="002F3F15"/>
    <w:rsid w:val="002F4002"/>
    <w:rsid w:val="002F40AC"/>
    <w:rsid w:val="002F430D"/>
    <w:rsid w:val="002F4452"/>
    <w:rsid w:val="002F4498"/>
    <w:rsid w:val="002F44FD"/>
    <w:rsid w:val="002F45AB"/>
    <w:rsid w:val="002F4743"/>
    <w:rsid w:val="002F489C"/>
    <w:rsid w:val="002F4934"/>
    <w:rsid w:val="002F4AC2"/>
    <w:rsid w:val="002F4B82"/>
    <w:rsid w:val="002F4BDB"/>
    <w:rsid w:val="002F4CD9"/>
    <w:rsid w:val="002F4CE3"/>
    <w:rsid w:val="002F4F6D"/>
    <w:rsid w:val="002F50CB"/>
    <w:rsid w:val="002F50D9"/>
    <w:rsid w:val="002F5184"/>
    <w:rsid w:val="002F5339"/>
    <w:rsid w:val="002F5350"/>
    <w:rsid w:val="002F53A6"/>
    <w:rsid w:val="002F53C4"/>
    <w:rsid w:val="002F554C"/>
    <w:rsid w:val="002F55B6"/>
    <w:rsid w:val="002F5653"/>
    <w:rsid w:val="002F56C3"/>
    <w:rsid w:val="002F5754"/>
    <w:rsid w:val="002F57C3"/>
    <w:rsid w:val="002F5868"/>
    <w:rsid w:val="002F59A7"/>
    <w:rsid w:val="002F5B93"/>
    <w:rsid w:val="002F5D97"/>
    <w:rsid w:val="002F5F67"/>
    <w:rsid w:val="002F60D5"/>
    <w:rsid w:val="002F612F"/>
    <w:rsid w:val="002F6445"/>
    <w:rsid w:val="002F65F4"/>
    <w:rsid w:val="002F66B4"/>
    <w:rsid w:val="002F6829"/>
    <w:rsid w:val="002F68F7"/>
    <w:rsid w:val="002F6935"/>
    <w:rsid w:val="002F6954"/>
    <w:rsid w:val="002F6A9D"/>
    <w:rsid w:val="002F6CBB"/>
    <w:rsid w:val="002F6CCD"/>
    <w:rsid w:val="002F6D66"/>
    <w:rsid w:val="002F6FD1"/>
    <w:rsid w:val="002F7053"/>
    <w:rsid w:val="002F7103"/>
    <w:rsid w:val="002F7148"/>
    <w:rsid w:val="002F71E6"/>
    <w:rsid w:val="002F72F5"/>
    <w:rsid w:val="002F7470"/>
    <w:rsid w:val="002F75E0"/>
    <w:rsid w:val="002F761A"/>
    <w:rsid w:val="002F76E8"/>
    <w:rsid w:val="002F7880"/>
    <w:rsid w:val="002F792E"/>
    <w:rsid w:val="002F7A9E"/>
    <w:rsid w:val="002F7AED"/>
    <w:rsid w:val="002F7D04"/>
    <w:rsid w:val="002F7E51"/>
    <w:rsid w:val="00300025"/>
    <w:rsid w:val="0030002E"/>
    <w:rsid w:val="003001BE"/>
    <w:rsid w:val="0030024A"/>
    <w:rsid w:val="00300393"/>
    <w:rsid w:val="00300410"/>
    <w:rsid w:val="00300687"/>
    <w:rsid w:val="00300784"/>
    <w:rsid w:val="003007FC"/>
    <w:rsid w:val="00300A65"/>
    <w:rsid w:val="00300C35"/>
    <w:rsid w:val="00300CD2"/>
    <w:rsid w:val="00300DB9"/>
    <w:rsid w:val="00300DEB"/>
    <w:rsid w:val="00300E21"/>
    <w:rsid w:val="00300FD0"/>
    <w:rsid w:val="00301056"/>
    <w:rsid w:val="00301095"/>
    <w:rsid w:val="003010AB"/>
    <w:rsid w:val="0030116C"/>
    <w:rsid w:val="003011FC"/>
    <w:rsid w:val="00301345"/>
    <w:rsid w:val="003013A5"/>
    <w:rsid w:val="00301565"/>
    <w:rsid w:val="00301744"/>
    <w:rsid w:val="00301B2F"/>
    <w:rsid w:val="00301BCA"/>
    <w:rsid w:val="00301E8B"/>
    <w:rsid w:val="00301EB2"/>
    <w:rsid w:val="00301ECD"/>
    <w:rsid w:val="00302060"/>
    <w:rsid w:val="003020A3"/>
    <w:rsid w:val="003020C4"/>
    <w:rsid w:val="00302324"/>
    <w:rsid w:val="003023B0"/>
    <w:rsid w:val="003023E5"/>
    <w:rsid w:val="00302686"/>
    <w:rsid w:val="003026EC"/>
    <w:rsid w:val="003028B0"/>
    <w:rsid w:val="00302937"/>
    <w:rsid w:val="00302A7F"/>
    <w:rsid w:val="00302B09"/>
    <w:rsid w:val="00302C79"/>
    <w:rsid w:val="00302E20"/>
    <w:rsid w:val="00302E86"/>
    <w:rsid w:val="00302EC0"/>
    <w:rsid w:val="003031A2"/>
    <w:rsid w:val="00303270"/>
    <w:rsid w:val="003032C1"/>
    <w:rsid w:val="00303613"/>
    <w:rsid w:val="003037D6"/>
    <w:rsid w:val="00303823"/>
    <w:rsid w:val="00303888"/>
    <w:rsid w:val="00303956"/>
    <w:rsid w:val="0030397D"/>
    <w:rsid w:val="00303980"/>
    <w:rsid w:val="00303B2E"/>
    <w:rsid w:val="00304104"/>
    <w:rsid w:val="00304215"/>
    <w:rsid w:val="00304482"/>
    <w:rsid w:val="00304538"/>
    <w:rsid w:val="003047DE"/>
    <w:rsid w:val="0030482F"/>
    <w:rsid w:val="00304B51"/>
    <w:rsid w:val="00304BC3"/>
    <w:rsid w:val="00304D06"/>
    <w:rsid w:val="00304DB4"/>
    <w:rsid w:val="00304DF9"/>
    <w:rsid w:val="00304E43"/>
    <w:rsid w:val="00304FF4"/>
    <w:rsid w:val="00305254"/>
    <w:rsid w:val="0030533F"/>
    <w:rsid w:val="00305390"/>
    <w:rsid w:val="0030540F"/>
    <w:rsid w:val="00305683"/>
    <w:rsid w:val="003056BA"/>
    <w:rsid w:val="00305B0A"/>
    <w:rsid w:val="00305BA0"/>
    <w:rsid w:val="00305BF3"/>
    <w:rsid w:val="00305E33"/>
    <w:rsid w:val="00305E75"/>
    <w:rsid w:val="00305EA2"/>
    <w:rsid w:val="00305EAB"/>
    <w:rsid w:val="00306096"/>
    <w:rsid w:val="003060D6"/>
    <w:rsid w:val="003062BF"/>
    <w:rsid w:val="0030642C"/>
    <w:rsid w:val="00306440"/>
    <w:rsid w:val="003064A9"/>
    <w:rsid w:val="0030662F"/>
    <w:rsid w:val="003066A3"/>
    <w:rsid w:val="003066D0"/>
    <w:rsid w:val="0030676F"/>
    <w:rsid w:val="003069AC"/>
    <w:rsid w:val="003069DB"/>
    <w:rsid w:val="003069F9"/>
    <w:rsid w:val="00306AE5"/>
    <w:rsid w:val="00306D1A"/>
    <w:rsid w:val="00306D6D"/>
    <w:rsid w:val="00306DD6"/>
    <w:rsid w:val="00306E1B"/>
    <w:rsid w:val="00306E5E"/>
    <w:rsid w:val="00306E83"/>
    <w:rsid w:val="00306EAA"/>
    <w:rsid w:val="00306F8E"/>
    <w:rsid w:val="00307020"/>
    <w:rsid w:val="0030714F"/>
    <w:rsid w:val="0030718E"/>
    <w:rsid w:val="00307192"/>
    <w:rsid w:val="00307222"/>
    <w:rsid w:val="00307385"/>
    <w:rsid w:val="0030753C"/>
    <w:rsid w:val="0030754B"/>
    <w:rsid w:val="003077CE"/>
    <w:rsid w:val="00307920"/>
    <w:rsid w:val="00307A30"/>
    <w:rsid w:val="00307AC1"/>
    <w:rsid w:val="00307AF4"/>
    <w:rsid w:val="00307B42"/>
    <w:rsid w:val="00307B56"/>
    <w:rsid w:val="00307D86"/>
    <w:rsid w:val="00307E71"/>
    <w:rsid w:val="003101D0"/>
    <w:rsid w:val="0031022F"/>
    <w:rsid w:val="0031030F"/>
    <w:rsid w:val="00310461"/>
    <w:rsid w:val="00310673"/>
    <w:rsid w:val="00310681"/>
    <w:rsid w:val="00310741"/>
    <w:rsid w:val="003107D3"/>
    <w:rsid w:val="003109A9"/>
    <w:rsid w:val="00310A55"/>
    <w:rsid w:val="00310A7F"/>
    <w:rsid w:val="00310C9E"/>
    <w:rsid w:val="00310D98"/>
    <w:rsid w:val="00310DDB"/>
    <w:rsid w:val="00310E6D"/>
    <w:rsid w:val="00310E9F"/>
    <w:rsid w:val="00310EE5"/>
    <w:rsid w:val="00311010"/>
    <w:rsid w:val="0031107D"/>
    <w:rsid w:val="00311116"/>
    <w:rsid w:val="003111A0"/>
    <w:rsid w:val="003111AC"/>
    <w:rsid w:val="00311237"/>
    <w:rsid w:val="0031123B"/>
    <w:rsid w:val="003113B7"/>
    <w:rsid w:val="003113DB"/>
    <w:rsid w:val="003115F2"/>
    <w:rsid w:val="00311635"/>
    <w:rsid w:val="003116C0"/>
    <w:rsid w:val="0031170E"/>
    <w:rsid w:val="00311728"/>
    <w:rsid w:val="00311C5E"/>
    <w:rsid w:val="00311CD9"/>
    <w:rsid w:val="00311D60"/>
    <w:rsid w:val="00311E38"/>
    <w:rsid w:val="003120AE"/>
    <w:rsid w:val="003120FC"/>
    <w:rsid w:val="00312253"/>
    <w:rsid w:val="0031228A"/>
    <w:rsid w:val="0031253E"/>
    <w:rsid w:val="0031259B"/>
    <w:rsid w:val="00312653"/>
    <w:rsid w:val="003126E6"/>
    <w:rsid w:val="00312704"/>
    <w:rsid w:val="00312754"/>
    <w:rsid w:val="00312A3E"/>
    <w:rsid w:val="00313078"/>
    <w:rsid w:val="00313330"/>
    <w:rsid w:val="003133BD"/>
    <w:rsid w:val="003134F8"/>
    <w:rsid w:val="003135B0"/>
    <w:rsid w:val="003135F6"/>
    <w:rsid w:val="00313663"/>
    <w:rsid w:val="003136BB"/>
    <w:rsid w:val="0031379A"/>
    <w:rsid w:val="003138F4"/>
    <w:rsid w:val="00313C1D"/>
    <w:rsid w:val="00313C24"/>
    <w:rsid w:val="00313CB3"/>
    <w:rsid w:val="00313D26"/>
    <w:rsid w:val="00313D62"/>
    <w:rsid w:val="00313DB8"/>
    <w:rsid w:val="00313F44"/>
    <w:rsid w:val="00313F61"/>
    <w:rsid w:val="00313F8F"/>
    <w:rsid w:val="003141C4"/>
    <w:rsid w:val="003143AA"/>
    <w:rsid w:val="003144F0"/>
    <w:rsid w:val="003145DC"/>
    <w:rsid w:val="0031464F"/>
    <w:rsid w:val="00314687"/>
    <w:rsid w:val="003146F9"/>
    <w:rsid w:val="0031478C"/>
    <w:rsid w:val="003147C9"/>
    <w:rsid w:val="00314820"/>
    <w:rsid w:val="00314A0A"/>
    <w:rsid w:val="00314A58"/>
    <w:rsid w:val="00314B65"/>
    <w:rsid w:val="00314C37"/>
    <w:rsid w:val="00314C52"/>
    <w:rsid w:val="00314D27"/>
    <w:rsid w:val="00314E04"/>
    <w:rsid w:val="00314E51"/>
    <w:rsid w:val="00314F70"/>
    <w:rsid w:val="00314FA8"/>
    <w:rsid w:val="003150C9"/>
    <w:rsid w:val="0031532F"/>
    <w:rsid w:val="00315338"/>
    <w:rsid w:val="00315356"/>
    <w:rsid w:val="00315362"/>
    <w:rsid w:val="00315416"/>
    <w:rsid w:val="003154A2"/>
    <w:rsid w:val="00315666"/>
    <w:rsid w:val="003156B8"/>
    <w:rsid w:val="003157B8"/>
    <w:rsid w:val="003157DA"/>
    <w:rsid w:val="003159E3"/>
    <w:rsid w:val="00315B87"/>
    <w:rsid w:val="00315CAE"/>
    <w:rsid w:val="00315D3A"/>
    <w:rsid w:val="00315EC4"/>
    <w:rsid w:val="00315FFD"/>
    <w:rsid w:val="0031600A"/>
    <w:rsid w:val="003160BF"/>
    <w:rsid w:val="003160EA"/>
    <w:rsid w:val="00316326"/>
    <w:rsid w:val="00316420"/>
    <w:rsid w:val="00316547"/>
    <w:rsid w:val="0031655D"/>
    <w:rsid w:val="0031659C"/>
    <w:rsid w:val="003165B6"/>
    <w:rsid w:val="00316698"/>
    <w:rsid w:val="00316875"/>
    <w:rsid w:val="003168F8"/>
    <w:rsid w:val="00316959"/>
    <w:rsid w:val="003169A7"/>
    <w:rsid w:val="003169C2"/>
    <w:rsid w:val="00316A07"/>
    <w:rsid w:val="00316AEC"/>
    <w:rsid w:val="00316C0A"/>
    <w:rsid w:val="0031724A"/>
    <w:rsid w:val="003173B8"/>
    <w:rsid w:val="0031750B"/>
    <w:rsid w:val="003177E0"/>
    <w:rsid w:val="003178CA"/>
    <w:rsid w:val="003178D3"/>
    <w:rsid w:val="00317C2E"/>
    <w:rsid w:val="00317F45"/>
    <w:rsid w:val="00320061"/>
    <w:rsid w:val="003200ED"/>
    <w:rsid w:val="0032046F"/>
    <w:rsid w:val="0032047D"/>
    <w:rsid w:val="00320588"/>
    <w:rsid w:val="003205AF"/>
    <w:rsid w:val="00320634"/>
    <w:rsid w:val="003207E6"/>
    <w:rsid w:val="00320968"/>
    <w:rsid w:val="00320B8F"/>
    <w:rsid w:val="00320B99"/>
    <w:rsid w:val="00320CE9"/>
    <w:rsid w:val="00320D2E"/>
    <w:rsid w:val="00320E88"/>
    <w:rsid w:val="00320FEA"/>
    <w:rsid w:val="00321120"/>
    <w:rsid w:val="003213C8"/>
    <w:rsid w:val="003214A4"/>
    <w:rsid w:val="00321736"/>
    <w:rsid w:val="00321B50"/>
    <w:rsid w:val="00321B58"/>
    <w:rsid w:val="00321B79"/>
    <w:rsid w:val="00321C2D"/>
    <w:rsid w:val="00321CC4"/>
    <w:rsid w:val="00321DB7"/>
    <w:rsid w:val="00321EC2"/>
    <w:rsid w:val="00321F07"/>
    <w:rsid w:val="00321F65"/>
    <w:rsid w:val="00321F89"/>
    <w:rsid w:val="00321F8A"/>
    <w:rsid w:val="00322056"/>
    <w:rsid w:val="003220AC"/>
    <w:rsid w:val="003220B1"/>
    <w:rsid w:val="0032222D"/>
    <w:rsid w:val="003223BD"/>
    <w:rsid w:val="003224CF"/>
    <w:rsid w:val="00322513"/>
    <w:rsid w:val="0032252F"/>
    <w:rsid w:val="003225C2"/>
    <w:rsid w:val="00322841"/>
    <w:rsid w:val="003228BF"/>
    <w:rsid w:val="003229A2"/>
    <w:rsid w:val="00322B4F"/>
    <w:rsid w:val="00322B69"/>
    <w:rsid w:val="00322D6F"/>
    <w:rsid w:val="00322E41"/>
    <w:rsid w:val="00322E88"/>
    <w:rsid w:val="00322F10"/>
    <w:rsid w:val="00322FAA"/>
    <w:rsid w:val="00323215"/>
    <w:rsid w:val="003232FA"/>
    <w:rsid w:val="00323459"/>
    <w:rsid w:val="00323629"/>
    <w:rsid w:val="00323653"/>
    <w:rsid w:val="003238A9"/>
    <w:rsid w:val="003239F8"/>
    <w:rsid w:val="00323A7E"/>
    <w:rsid w:val="00323D68"/>
    <w:rsid w:val="00324072"/>
    <w:rsid w:val="00324186"/>
    <w:rsid w:val="003242CF"/>
    <w:rsid w:val="003242FA"/>
    <w:rsid w:val="0032436A"/>
    <w:rsid w:val="003243BF"/>
    <w:rsid w:val="003244A3"/>
    <w:rsid w:val="00324519"/>
    <w:rsid w:val="003245AE"/>
    <w:rsid w:val="00324685"/>
    <w:rsid w:val="003246BC"/>
    <w:rsid w:val="003246C8"/>
    <w:rsid w:val="003246E4"/>
    <w:rsid w:val="00324766"/>
    <w:rsid w:val="00324873"/>
    <w:rsid w:val="00324884"/>
    <w:rsid w:val="00324902"/>
    <w:rsid w:val="00324A3B"/>
    <w:rsid w:val="00324A63"/>
    <w:rsid w:val="00324A84"/>
    <w:rsid w:val="00324B7F"/>
    <w:rsid w:val="00324C02"/>
    <w:rsid w:val="00324C48"/>
    <w:rsid w:val="00324CCF"/>
    <w:rsid w:val="00324CDF"/>
    <w:rsid w:val="00324D27"/>
    <w:rsid w:val="00324E0F"/>
    <w:rsid w:val="00324E31"/>
    <w:rsid w:val="00324E8D"/>
    <w:rsid w:val="00324ED2"/>
    <w:rsid w:val="00324F79"/>
    <w:rsid w:val="003250C4"/>
    <w:rsid w:val="00325148"/>
    <w:rsid w:val="003253A1"/>
    <w:rsid w:val="003254CF"/>
    <w:rsid w:val="003254E5"/>
    <w:rsid w:val="0032561E"/>
    <w:rsid w:val="00325722"/>
    <w:rsid w:val="003257CA"/>
    <w:rsid w:val="003258C6"/>
    <w:rsid w:val="003259ED"/>
    <w:rsid w:val="00325A6B"/>
    <w:rsid w:val="00325CD0"/>
    <w:rsid w:val="00325DC9"/>
    <w:rsid w:val="0032600A"/>
    <w:rsid w:val="003260BE"/>
    <w:rsid w:val="0032620A"/>
    <w:rsid w:val="00326221"/>
    <w:rsid w:val="003262C2"/>
    <w:rsid w:val="003262F4"/>
    <w:rsid w:val="003264CD"/>
    <w:rsid w:val="003264EC"/>
    <w:rsid w:val="0032658E"/>
    <w:rsid w:val="003265A7"/>
    <w:rsid w:val="003265FB"/>
    <w:rsid w:val="003266F9"/>
    <w:rsid w:val="003267B5"/>
    <w:rsid w:val="00326866"/>
    <w:rsid w:val="003268D0"/>
    <w:rsid w:val="00326A55"/>
    <w:rsid w:val="00326BDA"/>
    <w:rsid w:val="00326BE9"/>
    <w:rsid w:val="00326E07"/>
    <w:rsid w:val="00326E16"/>
    <w:rsid w:val="00326EE5"/>
    <w:rsid w:val="00326EFA"/>
    <w:rsid w:val="003272C6"/>
    <w:rsid w:val="00327432"/>
    <w:rsid w:val="003275A5"/>
    <w:rsid w:val="00327626"/>
    <w:rsid w:val="00327707"/>
    <w:rsid w:val="003278AC"/>
    <w:rsid w:val="00327A01"/>
    <w:rsid w:val="00327AE3"/>
    <w:rsid w:val="00327B11"/>
    <w:rsid w:val="00327D65"/>
    <w:rsid w:val="00327DAE"/>
    <w:rsid w:val="00327F25"/>
    <w:rsid w:val="00327F44"/>
    <w:rsid w:val="00327FD0"/>
    <w:rsid w:val="00327FD9"/>
    <w:rsid w:val="00330039"/>
    <w:rsid w:val="003300C4"/>
    <w:rsid w:val="003301C3"/>
    <w:rsid w:val="00330378"/>
    <w:rsid w:val="003303CF"/>
    <w:rsid w:val="00330522"/>
    <w:rsid w:val="00330545"/>
    <w:rsid w:val="0033077F"/>
    <w:rsid w:val="003307BA"/>
    <w:rsid w:val="00330826"/>
    <w:rsid w:val="0033082D"/>
    <w:rsid w:val="00330A68"/>
    <w:rsid w:val="00330AAC"/>
    <w:rsid w:val="00330B17"/>
    <w:rsid w:val="00330E09"/>
    <w:rsid w:val="00331011"/>
    <w:rsid w:val="003310A9"/>
    <w:rsid w:val="0033113C"/>
    <w:rsid w:val="00331305"/>
    <w:rsid w:val="00331312"/>
    <w:rsid w:val="00331377"/>
    <w:rsid w:val="00331705"/>
    <w:rsid w:val="00331769"/>
    <w:rsid w:val="00331790"/>
    <w:rsid w:val="00331ACE"/>
    <w:rsid w:val="00331B89"/>
    <w:rsid w:val="00331C16"/>
    <w:rsid w:val="00331C8D"/>
    <w:rsid w:val="00331E44"/>
    <w:rsid w:val="00331F73"/>
    <w:rsid w:val="00331FAB"/>
    <w:rsid w:val="00331FE4"/>
    <w:rsid w:val="0033219A"/>
    <w:rsid w:val="003322E0"/>
    <w:rsid w:val="00332306"/>
    <w:rsid w:val="0033231C"/>
    <w:rsid w:val="0033248F"/>
    <w:rsid w:val="0033251D"/>
    <w:rsid w:val="00332620"/>
    <w:rsid w:val="0033265B"/>
    <w:rsid w:val="0033268A"/>
    <w:rsid w:val="0033296F"/>
    <w:rsid w:val="00332B1A"/>
    <w:rsid w:val="00332B6C"/>
    <w:rsid w:val="00332B78"/>
    <w:rsid w:val="00332C39"/>
    <w:rsid w:val="00332CA7"/>
    <w:rsid w:val="00332CC1"/>
    <w:rsid w:val="00332E02"/>
    <w:rsid w:val="00332F30"/>
    <w:rsid w:val="00332FB3"/>
    <w:rsid w:val="00332FCF"/>
    <w:rsid w:val="00332FE8"/>
    <w:rsid w:val="0033306A"/>
    <w:rsid w:val="003330B6"/>
    <w:rsid w:val="003330DA"/>
    <w:rsid w:val="003330F3"/>
    <w:rsid w:val="0033316C"/>
    <w:rsid w:val="00333197"/>
    <w:rsid w:val="00333298"/>
    <w:rsid w:val="0033346C"/>
    <w:rsid w:val="0033352E"/>
    <w:rsid w:val="00333574"/>
    <w:rsid w:val="0033363D"/>
    <w:rsid w:val="0033376C"/>
    <w:rsid w:val="003339EE"/>
    <w:rsid w:val="00333C24"/>
    <w:rsid w:val="00333F49"/>
    <w:rsid w:val="0033407E"/>
    <w:rsid w:val="00334145"/>
    <w:rsid w:val="0033421E"/>
    <w:rsid w:val="00334231"/>
    <w:rsid w:val="00334317"/>
    <w:rsid w:val="00334440"/>
    <w:rsid w:val="003344AE"/>
    <w:rsid w:val="003344F8"/>
    <w:rsid w:val="0033453A"/>
    <w:rsid w:val="003345CB"/>
    <w:rsid w:val="00334748"/>
    <w:rsid w:val="0033476C"/>
    <w:rsid w:val="0033477B"/>
    <w:rsid w:val="003347EB"/>
    <w:rsid w:val="00334AA7"/>
    <w:rsid w:val="00334B4A"/>
    <w:rsid w:val="00334B7A"/>
    <w:rsid w:val="00334D00"/>
    <w:rsid w:val="00334DBB"/>
    <w:rsid w:val="00334DF0"/>
    <w:rsid w:val="00334E94"/>
    <w:rsid w:val="00334F40"/>
    <w:rsid w:val="003350EF"/>
    <w:rsid w:val="00335152"/>
    <w:rsid w:val="0033525D"/>
    <w:rsid w:val="003352C0"/>
    <w:rsid w:val="00335306"/>
    <w:rsid w:val="00335503"/>
    <w:rsid w:val="00335570"/>
    <w:rsid w:val="00335603"/>
    <w:rsid w:val="003356C6"/>
    <w:rsid w:val="00335752"/>
    <w:rsid w:val="003357A9"/>
    <w:rsid w:val="00335945"/>
    <w:rsid w:val="003359ED"/>
    <w:rsid w:val="00335A40"/>
    <w:rsid w:val="00335A65"/>
    <w:rsid w:val="00335AA3"/>
    <w:rsid w:val="00335B43"/>
    <w:rsid w:val="00335BA6"/>
    <w:rsid w:val="00335BBE"/>
    <w:rsid w:val="00335CA5"/>
    <w:rsid w:val="00335D5F"/>
    <w:rsid w:val="00335D70"/>
    <w:rsid w:val="00335D8F"/>
    <w:rsid w:val="00335E4D"/>
    <w:rsid w:val="0033609F"/>
    <w:rsid w:val="00336480"/>
    <w:rsid w:val="0033650F"/>
    <w:rsid w:val="00336621"/>
    <w:rsid w:val="00336776"/>
    <w:rsid w:val="003367BC"/>
    <w:rsid w:val="003367F0"/>
    <w:rsid w:val="0033684B"/>
    <w:rsid w:val="003369EB"/>
    <w:rsid w:val="00336AF0"/>
    <w:rsid w:val="00336BFA"/>
    <w:rsid w:val="00336D14"/>
    <w:rsid w:val="00336F61"/>
    <w:rsid w:val="0033706E"/>
    <w:rsid w:val="0033709E"/>
    <w:rsid w:val="003370B9"/>
    <w:rsid w:val="0033723D"/>
    <w:rsid w:val="0033723F"/>
    <w:rsid w:val="00337417"/>
    <w:rsid w:val="0033750F"/>
    <w:rsid w:val="00337529"/>
    <w:rsid w:val="00337687"/>
    <w:rsid w:val="003376C9"/>
    <w:rsid w:val="003379EB"/>
    <w:rsid w:val="00337A59"/>
    <w:rsid w:val="00337AFE"/>
    <w:rsid w:val="00337B4A"/>
    <w:rsid w:val="00337B8A"/>
    <w:rsid w:val="00337B99"/>
    <w:rsid w:val="00337BA8"/>
    <w:rsid w:val="00337C48"/>
    <w:rsid w:val="00337CE0"/>
    <w:rsid w:val="00337E20"/>
    <w:rsid w:val="00337F2C"/>
    <w:rsid w:val="00340124"/>
    <w:rsid w:val="003401EF"/>
    <w:rsid w:val="00340215"/>
    <w:rsid w:val="003402C0"/>
    <w:rsid w:val="0034041E"/>
    <w:rsid w:val="0034044A"/>
    <w:rsid w:val="00340568"/>
    <w:rsid w:val="00340658"/>
    <w:rsid w:val="0034066F"/>
    <w:rsid w:val="003406B8"/>
    <w:rsid w:val="003408DF"/>
    <w:rsid w:val="00340A78"/>
    <w:rsid w:val="00340A9A"/>
    <w:rsid w:val="00340BC6"/>
    <w:rsid w:val="00340BC9"/>
    <w:rsid w:val="00340C30"/>
    <w:rsid w:val="00340DC0"/>
    <w:rsid w:val="00340FB2"/>
    <w:rsid w:val="00341016"/>
    <w:rsid w:val="0034102E"/>
    <w:rsid w:val="00341137"/>
    <w:rsid w:val="0034119D"/>
    <w:rsid w:val="00341213"/>
    <w:rsid w:val="00341233"/>
    <w:rsid w:val="003412DC"/>
    <w:rsid w:val="00341353"/>
    <w:rsid w:val="0034150C"/>
    <w:rsid w:val="00341510"/>
    <w:rsid w:val="00341539"/>
    <w:rsid w:val="0034171C"/>
    <w:rsid w:val="00341859"/>
    <w:rsid w:val="00341B38"/>
    <w:rsid w:val="00341E92"/>
    <w:rsid w:val="00341F89"/>
    <w:rsid w:val="00342042"/>
    <w:rsid w:val="00342097"/>
    <w:rsid w:val="00342462"/>
    <w:rsid w:val="003424DE"/>
    <w:rsid w:val="00342667"/>
    <w:rsid w:val="00342832"/>
    <w:rsid w:val="003429FE"/>
    <w:rsid w:val="00342E60"/>
    <w:rsid w:val="00343094"/>
    <w:rsid w:val="0034313D"/>
    <w:rsid w:val="003431DB"/>
    <w:rsid w:val="003432A2"/>
    <w:rsid w:val="00343386"/>
    <w:rsid w:val="003433BC"/>
    <w:rsid w:val="00343411"/>
    <w:rsid w:val="00343492"/>
    <w:rsid w:val="00343565"/>
    <w:rsid w:val="003437C6"/>
    <w:rsid w:val="00343811"/>
    <w:rsid w:val="003438BB"/>
    <w:rsid w:val="00343BD6"/>
    <w:rsid w:val="00343CDA"/>
    <w:rsid w:val="00343D65"/>
    <w:rsid w:val="00343E32"/>
    <w:rsid w:val="00344154"/>
    <w:rsid w:val="003441EE"/>
    <w:rsid w:val="003442BE"/>
    <w:rsid w:val="00344643"/>
    <w:rsid w:val="003447CD"/>
    <w:rsid w:val="00344865"/>
    <w:rsid w:val="00344A6D"/>
    <w:rsid w:val="00344D27"/>
    <w:rsid w:val="00344D7F"/>
    <w:rsid w:val="00344E08"/>
    <w:rsid w:val="00344E56"/>
    <w:rsid w:val="00345071"/>
    <w:rsid w:val="003451B5"/>
    <w:rsid w:val="003451EE"/>
    <w:rsid w:val="00345217"/>
    <w:rsid w:val="003452D7"/>
    <w:rsid w:val="00345304"/>
    <w:rsid w:val="00345442"/>
    <w:rsid w:val="0034558E"/>
    <w:rsid w:val="00345702"/>
    <w:rsid w:val="00345724"/>
    <w:rsid w:val="003457FF"/>
    <w:rsid w:val="00345A42"/>
    <w:rsid w:val="00345C65"/>
    <w:rsid w:val="00345CF4"/>
    <w:rsid w:val="00345D3F"/>
    <w:rsid w:val="00345D74"/>
    <w:rsid w:val="00345E01"/>
    <w:rsid w:val="003460E8"/>
    <w:rsid w:val="0034615E"/>
    <w:rsid w:val="00346312"/>
    <w:rsid w:val="00346378"/>
    <w:rsid w:val="00346599"/>
    <w:rsid w:val="00346758"/>
    <w:rsid w:val="00346906"/>
    <w:rsid w:val="0034698E"/>
    <w:rsid w:val="00346992"/>
    <w:rsid w:val="00346AEE"/>
    <w:rsid w:val="00346B28"/>
    <w:rsid w:val="00346B2B"/>
    <w:rsid w:val="00346B59"/>
    <w:rsid w:val="00346C19"/>
    <w:rsid w:val="00346C44"/>
    <w:rsid w:val="00346C54"/>
    <w:rsid w:val="00346CC2"/>
    <w:rsid w:val="00346CD7"/>
    <w:rsid w:val="00346F32"/>
    <w:rsid w:val="00346F3C"/>
    <w:rsid w:val="00347001"/>
    <w:rsid w:val="00347046"/>
    <w:rsid w:val="00347324"/>
    <w:rsid w:val="0034741C"/>
    <w:rsid w:val="0034743B"/>
    <w:rsid w:val="003474DE"/>
    <w:rsid w:val="003475CE"/>
    <w:rsid w:val="003475F1"/>
    <w:rsid w:val="00347637"/>
    <w:rsid w:val="00347826"/>
    <w:rsid w:val="003478A2"/>
    <w:rsid w:val="00347A20"/>
    <w:rsid w:val="00347BA6"/>
    <w:rsid w:val="00347C11"/>
    <w:rsid w:val="00347D9D"/>
    <w:rsid w:val="00347DE6"/>
    <w:rsid w:val="00347E89"/>
    <w:rsid w:val="00347EAF"/>
    <w:rsid w:val="00347F2F"/>
    <w:rsid w:val="00347F7D"/>
    <w:rsid w:val="00347FEF"/>
    <w:rsid w:val="00350168"/>
    <w:rsid w:val="003501FD"/>
    <w:rsid w:val="0035023C"/>
    <w:rsid w:val="00350289"/>
    <w:rsid w:val="003503D3"/>
    <w:rsid w:val="003503F9"/>
    <w:rsid w:val="003504E1"/>
    <w:rsid w:val="00350708"/>
    <w:rsid w:val="0035081E"/>
    <w:rsid w:val="003508A9"/>
    <w:rsid w:val="00350B88"/>
    <w:rsid w:val="00350C6A"/>
    <w:rsid w:val="00350D4C"/>
    <w:rsid w:val="00350D54"/>
    <w:rsid w:val="00350E75"/>
    <w:rsid w:val="00350F00"/>
    <w:rsid w:val="00350F44"/>
    <w:rsid w:val="0035108F"/>
    <w:rsid w:val="003510AE"/>
    <w:rsid w:val="003510BE"/>
    <w:rsid w:val="00351197"/>
    <w:rsid w:val="0035124A"/>
    <w:rsid w:val="003512FD"/>
    <w:rsid w:val="003513EA"/>
    <w:rsid w:val="003515DB"/>
    <w:rsid w:val="00351671"/>
    <w:rsid w:val="003517DA"/>
    <w:rsid w:val="00351A86"/>
    <w:rsid w:val="00351C7A"/>
    <w:rsid w:val="00351D82"/>
    <w:rsid w:val="00351EB9"/>
    <w:rsid w:val="00351F68"/>
    <w:rsid w:val="0035200A"/>
    <w:rsid w:val="003520E1"/>
    <w:rsid w:val="00352258"/>
    <w:rsid w:val="00352507"/>
    <w:rsid w:val="003528FC"/>
    <w:rsid w:val="0035297E"/>
    <w:rsid w:val="00352AC6"/>
    <w:rsid w:val="00352AE4"/>
    <w:rsid w:val="00352EDE"/>
    <w:rsid w:val="00352F73"/>
    <w:rsid w:val="00352FC4"/>
    <w:rsid w:val="003531C7"/>
    <w:rsid w:val="0035320D"/>
    <w:rsid w:val="00353225"/>
    <w:rsid w:val="00353238"/>
    <w:rsid w:val="003532B8"/>
    <w:rsid w:val="003532FF"/>
    <w:rsid w:val="00353456"/>
    <w:rsid w:val="003534B9"/>
    <w:rsid w:val="003534FF"/>
    <w:rsid w:val="0035351F"/>
    <w:rsid w:val="00353545"/>
    <w:rsid w:val="0035393E"/>
    <w:rsid w:val="00353AC2"/>
    <w:rsid w:val="00353D9A"/>
    <w:rsid w:val="003540CF"/>
    <w:rsid w:val="0035429A"/>
    <w:rsid w:val="00354824"/>
    <w:rsid w:val="00354918"/>
    <w:rsid w:val="00354BFC"/>
    <w:rsid w:val="00354D10"/>
    <w:rsid w:val="00354E31"/>
    <w:rsid w:val="00354EE6"/>
    <w:rsid w:val="003550E9"/>
    <w:rsid w:val="00355581"/>
    <w:rsid w:val="003556EA"/>
    <w:rsid w:val="0035599B"/>
    <w:rsid w:val="00355AF0"/>
    <w:rsid w:val="00355B1F"/>
    <w:rsid w:val="00355CF1"/>
    <w:rsid w:val="00355E2E"/>
    <w:rsid w:val="00355FAD"/>
    <w:rsid w:val="00355FB2"/>
    <w:rsid w:val="0035602E"/>
    <w:rsid w:val="00356049"/>
    <w:rsid w:val="00356142"/>
    <w:rsid w:val="00356149"/>
    <w:rsid w:val="00356264"/>
    <w:rsid w:val="0035629F"/>
    <w:rsid w:val="00356306"/>
    <w:rsid w:val="0035643A"/>
    <w:rsid w:val="0035645D"/>
    <w:rsid w:val="00356652"/>
    <w:rsid w:val="003566EF"/>
    <w:rsid w:val="00356769"/>
    <w:rsid w:val="003568A1"/>
    <w:rsid w:val="00356936"/>
    <w:rsid w:val="003569B4"/>
    <w:rsid w:val="00356B4C"/>
    <w:rsid w:val="00356BD4"/>
    <w:rsid w:val="00356CE0"/>
    <w:rsid w:val="00356D47"/>
    <w:rsid w:val="00356D9A"/>
    <w:rsid w:val="00356E37"/>
    <w:rsid w:val="00356F57"/>
    <w:rsid w:val="00356F83"/>
    <w:rsid w:val="00356F9A"/>
    <w:rsid w:val="00356FD9"/>
    <w:rsid w:val="00357020"/>
    <w:rsid w:val="0035709A"/>
    <w:rsid w:val="00357130"/>
    <w:rsid w:val="003572B6"/>
    <w:rsid w:val="0035759C"/>
    <w:rsid w:val="003575E4"/>
    <w:rsid w:val="00357679"/>
    <w:rsid w:val="003576D6"/>
    <w:rsid w:val="00357823"/>
    <w:rsid w:val="003579BB"/>
    <w:rsid w:val="00357A13"/>
    <w:rsid w:val="00357CD7"/>
    <w:rsid w:val="00357E9F"/>
    <w:rsid w:val="00357F32"/>
    <w:rsid w:val="00357F59"/>
    <w:rsid w:val="00357F88"/>
    <w:rsid w:val="003600DA"/>
    <w:rsid w:val="003601EF"/>
    <w:rsid w:val="003603A4"/>
    <w:rsid w:val="00360540"/>
    <w:rsid w:val="0036056E"/>
    <w:rsid w:val="00360936"/>
    <w:rsid w:val="00360944"/>
    <w:rsid w:val="00360966"/>
    <w:rsid w:val="00360DAE"/>
    <w:rsid w:val="00360FB5"/>
    <w:rsid w:val="00361034"/>
    <w:rsid w:val="00361055"/>
    <w:rsid w:val="00361245"/>
    <w:rsid w:val="003613DE"/>
    <w:rsid w:val="003613F9"/>
    <w:rsid w:val="003614E5"/>
    <w:rsid w:val="003616B7"/>
    <w:rsid w:val="003618E5"/>
    <w:rsid w:val="0036199F"/>
    <w:rsid w:val="00361AB4"/>
    <w:rsid w:val="00361ACB"/>
    <w:rsid w:val="00361B2A"/>
    <w:rsid w:val="00361BD1"/>
    <w:rsid w:val="00361C58"/>
    <w:rsid w:val="00361FDC"/>
    <w:rsid w:val="0036210E"/>
    <w:rsid w:val="0036220F"/>
    <w:rsid w:val="0036230E"/>
    <w:rsid w:val="00362498"/>
    <w:rsid w:val="003628EB"/>
    <w:rsid w:val="00362944"/>
    <w:rsid w:val="00362A2D"/>
    <w:rsid w:val="00362B6C"/>
    <w:rsid w:val="00362C34"/>
    <w:rsid w:val="00362C66"/>
    <w:rsid w:val="00362CA5"/>
    <w:rsid w:val="00362E03"/>
    <w:rsid w:val="00362FC4"/>
    <w:rsid w:val="00363058"/>
    <w:rsid w:val="003631E8"/>
    <w:rsid w:val="0036320E"/>
    <w:rsid w:val="003633B7"/>
    <w:rsid w:val="003633D3"/>
    <w:rsid w:val="003633F7"/>
    <w:rsid w:val="003636E2"/>
    <w:rsid w:val="0036385A"/>
    <w:rsid w:val="00363B4A"/>
    <w:rsid w:val="00363D58"/>
    <w:rsid w:val="00363E97"/>
    <w:rsid w:val="00363EF7"/>
    <w:rsid w:val="00363F35"/>
    <w:rsid w:val="00364028"/>
    <w:rsid w:val="00364063"/>
    <w:rsid w:val="003640E0"/>
    <w:rsid w:val="00364307"/>
    <w:rsid w:val="00364577"/>
    <w:rsid w:val="00364608"/>
    <w:rsid w:val="00364639"/>
    <w:rsid w:val="00364AD8"/>
    <w:rsid w:val="00364B09"/>
    <w:rsid w:val="00364D31"/>
    <w:rsid w:val="00365103"/>
    <w:rsid w:val="003654F3"/>
    <w:rsid w:val="003656FA"/>
    <w:rsid w:val="00365744"/>
    <w:rsid w:val="003657CB"/>
    <w:rsid w:val="00365860"/>
    <w:rsid w:val="0036595A"/>
    <w:rsid w:val="00365B10"/>
    <w:rsid w:val="00365BA5"/>
    <w:rsid w:val="00365D1D"/>
    <w:rsid w:val="00365D3A"/>
    <w:rsid w:val="00365FE1"/>
    <w:rsid w:val="0036634A"/>
    <w:rsid w:val="00366393"/>
    <w:rsid w:val="003663D3"/>
    <w:rsid w:val="00366478"/>
    <w:rsid w:val="00366545"/>
    <w:rsid w:val="0036675F"/>
    <w:rsid w:val="003667EE"/>
    <w:rsid w:val="00366802"/>
    <w:rsid w:val="0036689F"/>
    <w:rsid w:val="00366CBB"/>
    <w:rsid w:val="00366D87"/>
    <w:rsid w:val="00366DEE"/>
    <w:rsid w:val="00366FB8"/>
    <w:rsid w:val="0036706F"/>
    <w:rsid w:val="00367147"/>
    <w:rsid w:val="0036724B"/>
    <w:rsid w:val="00367250"/>
    <w:rsid w:val="003672A0"/>
    <w:rsid w:val="00367354"/>
    <w:rsid w:val="0036745D"/>
    <w:rsid w:val="003674AD"/>
    <w:rsid w:val="0036753F"/>
    <w:rsid w:val="00367786"/>
    <w:rsid w:val="0036796B"/>
    <w:rsid w:val="00367B7E"/>
    <w:rsid w:val="00367BE5"/>
    <w:rsid w:val="00367C17"/>
    <w:rsid w:val="00367C62"/>
    <w:rsid w:val="00367D02"/>
    <w:rsid w:val="00367E34"/>
    <w:rsid w:val="00367F4A"/>
    <w:rsid w:val="00367FE1"/>
    <w:rsid w:val="003700B8"/>
    <w:rsid w:val="003701A0"/>
    <w:rsid w:val="003701A9"/>
    <w:rsid w:val="00370260"/>
    <w:rsid w:val="003702A0"/>
    <w:rsid w:val="003702BE"/>
    <w:rsid w:val="00370394"/>
    <w:rsid w:val="0037054B"/>
    <w:rsid w:val="00370870"/>
    <w:rsid w:val="00370A11"/>
    <w:rsid w:val="00370AAD"/>
    <w:rsid w:val="00370ABC"/>
    <w:rsid w:val="00370B7D"/>
    <w:rsid w:val="00370D65"/>
    <w:rsid w:val="00370FBE"/>
    <w:rsid w:val="00370FEE"/>
    <w:rsid w:val="003711D6"/>
    <w:rsid w:val="00371208"/>
    <w:rsid w:val="00371276"/>
    <w:rsid w:val="0037127E"/>
    <w:rsid w:val="0037128F"/>
    <w:rsid w:val="00371375"/>
    <w:rsid w:val="00371482"/>
    <w:rsid w:val="003716BF"/>
    <w:rsid w:val="003717A3"/>
    <w:rsid w:val="003719E6"/>
    <w:rsid w:val="00371B8C"/>
    <w:rsid w:val="00371CAE"/>
    <w:rsid w:val="00371D08"/>
    <w:rsid w:val="00371D77"/>
    <w:rsid w:val="0037216F"/>
    <w:rsid w:val="003722B2"/>
    <w:rsid w:val="003722D0"/>
    <w:rsid w:val="00372422"/>
    <w:rsid w:val="0037268C"/>
    <w:rsid w:val="003726D5"/>
    <w:rsid w:val="00372747"/>
    <w:rsid w:val="00372791"/>
    <w:rsid w:val="003727E6"/>
    <w:rsid w:val="003728DC"/>
    <w:rsid w:val="003728E1"/>
    <w:rsid w:val="003729F8"/>
    <w:rsid w:val="00372C93"/>
    <w:rsid w:val="00372DE7"/>
    <w:rsid w:val="00372E2B"/>
    <w:rsid w:val="00372F3C"/>
    <w:rsid w:val="00372FEB"/>
    <w:rsid w:val="003730D6"/>
    <w:rsid w:val="00373199"/>
    <w:rsid w:val="003731ED"/>
    <w:rsid w:val="003731F3"/>
    <w:rsid w:val="003732AA"/>
    <w:rsid w:val="00373630"/>
    <w:rsid w:val="00373740"/>
    <w:rsid w:val="00373804"/>
    <w:rsid w:val="00373819"/>
    <w:rsid w:val="003738C7"/>
    <w:rsid w:val="003739B4"/>
    <w:rsid w:val="00373CA2"/>
    <w:rsid w:val="00373E5F"/>
    <w:rsid w:val="00374156"/>
    <w:rsid w:val="0037428A"/>
    <w:rsid w:val="003743D7"/>
    <w:rsid w:val="003746B6"/>
    <w:rsid w:val="003747B2"/>
    <w:rsid w:val="00374A95"/>
    <w:rsid w:val="00374B56"/>
    <w:rsid w:val="00374BDD"/>
    <w:rsid w:val="00374C1A"/>
    <w:rsid w:val="00374C30"/>
    <w:rsid w:val="00374C82"/>
    <w:rsid w:val="00374D01"/>
    <w:rsid w:val="00374E4D"/>
    <w:rsid w:val="00374EB1"/>
    <w:rsid w:val="00374EB6"/>
    <w:rsid w:val="00374EEE"/>
    <w:rsid w:val="00375258"/>
    <w:rsid w:val="00375370"/>
    <w:rsid w:val="003753C7"/>
    <w:rsid w:val="003754E2"/>
    <w:rsid w:val="003755DB"/>
    <w:rsid w:val="00375618"/>
    <w:rsid w:val="003756BE"/>
    <w:rsid w:val="003756CC"/>
    <w:rsid w:val="0037576F"/>
    <w:rsid w:val="003757C9"/>
    <w:rsid w:val="003759D6"/>
    <w:rsid w:val="00375B96"/>
    <w:rsid w:val="00375C5E"/>
    <w:rsid w:val="00375E67"/>
    <w:rsid w:val="00375EAB"/>
    <w:rsid w:val="003760F5"/>
    <w:rsid w:val="0037611F"/>
    <w:rsid w:val="00376234"/>
    <w:rsid w:val="00376312"/>
    <w:rsid w:val="003763CB"/>
    <w:rsid w:val="00376441"/>
    <w:rsid w:val="00376479"/>
    <w:rsid w:val="0037652D"/>
    <w:rsid w:val="003765E3"/>
    <w:rsid w:val="0037666B"/>
    <w:rsid w:val="003769A4"/>
    <w:rsid w:val="00376BD3"/>
    <w:rsid w:val="00376CB3"/>
    <w:rsid w:val="00376E46"/>
    <w:rsid w:val="00376E7D"/>
    <w:rsid w:val="00376EB9"/>
    <w:rsid w:val="00376ED2"/>
    <w:rsid w:val="00377073"/>
    <w:rsid w:val="003774FE"/>
    <w:rsid w:val="00377610"/>
    <w:rsid w:val="00377771"/>
    <w:rsid w:val="003778E8"/>
    <w:rsid w:val="003779E8"/>
    <w:rsid w:val="00377A47"/>
    <w:rsid w:val="00377AD9"/>
    <w:rsid w:val="00377E1C"/>
    <w:rsid w:val="00377E3A"/>
    <w:rsid w:val="00380033"/>
    <w:rsid w:val="003801B2"/>
    <w:rsid w:val="0038027B"/>
    <w:rsid w:val="003802CD"/>
    <w:rsid w:val="00380369"/>
    <w:rsid w:val="0038044E"/>
    <w:rsid w:val="003804C2"/>
    <w:rsid w:val="003804D2"/>
    <w:rsid w:val="00380503"/>
    <w:rsid w:val="003808D5"/>
    <w:rsid w:val="00380957"/>
    <w:rsid w:val="00380BB6"/>
    <w:rsid w:val="00380BD4"/>
    <w:rsid w:val="00380BED"/>
    <w:rsid w:val="00380BF6"/>
    <w:rsid w:val="00380EDF"/>
    <w:rsid w:val="00380F93"/>
    <w:rsid w:val="0038104E"/>
    <w:rsid w:val="003810C4"/>
    <w:rsid w:val="003810C6"/>
    <w:rsid w:val="00381240"/>
    <w:rsid w:val="00381375"/>
    <w:rsid w:val="00381447"/>
    <w:rsid w:val="003814C6"/>
    <w:rsid w:val="00381589"/>
    <w:rsid w:val="0038173B"/>
    <w:rsid w:val="00381859"/>
    <w:rsid w:val="00381CA2"/>
    <w:rsid w:val="00381CE5"/>
    <w:rsid w:val="00381D10"/>
    <w:rsid w:val="00381D45"/>
    <w:rsid w:val="00381E10"/>
    <w:rsid w:val="00381E89"/>
    <w:rsid w:val="00382277"/>
    <w:rsid w:val="00382337"/>
    <w:rsid w:val="003823A5"/>
    <w:rsid w:val="0038250A"/>
    <w:rsid w:val="00382558"/>
    <w:rsid w:val="00382586"/>
    <w:rsid w:val="00382742"/>
    <w:rsid w:val="0038282D"/>
    <w:rsid w:val="003829D0"/>
    <w:rsid w:val="003829D6"/>
    <w:rsid w:val="00382BA9"/>
    <w:rsid w:val="00382D20"/>
    <w:rsid w:val="00382E3B"/>
    <w:rsid w:val="00382EA0"/>
    <w:rsid w:val="00382F64"/>
    <w:rsid w:val="0038320B"/>
    <w:rsid w:val="0038325D"/>
    <w:rsid w:val="00383382"/>
    <w:rsid w:val="003833EB"/>
    <w:rsid w:val="0038366C"/>
    <w:rsid w:val="00383748"/>
    <w:rsid w:val="0038390A"/>
    <w:rsid w:val="00383917"/>
    <w:rsid w:val="00383A51"/>
    <w:rsid w:val="00383A9D"/>
    <w:rsid w:val="00383AAD"/>
    <w:rsid w:val="00383CA4"/>
    <w:rsid w:val="00383D27"/>
    <w:rsid w:val="00383D72"/>
    <w:rsid w:val="00383DD9"/>
    <w:rsid w:val="003840A1"/>
    <w:rsid w:val="0038411E"/>
    <w:rsid w:val="003842C4"/>
    <w:rsid w:val="00384308"/>
    <w:rsid w:val="00384336"/>
    <w:rsid w:val="003843A7"/>
    <w:rsid w:val="003843AB"/>
    <w:rsid w:val="0038445F"/>
    <w:rsid w:val="003844F6"/>
    <w:rsid w:val="00384752"/>
    <w:rsid w:val="00384979"/>
    <w:rsid w:val="00384A83"/>
    <w:rsid w:val="00384AFD"/>
    <w:rsid w:val="00384B3E"/>
    <w:rsid w:val="00384BEE"/>
    <w:rsid w:val="00384D17"/>
    <w:rsid w:val="00384D1B"/>
    <w:rsid w:val="00384D47"/>
    <w:rsid w:val="00384E9C"/>
    <w:rsid w:val="0038500B"/>
    <w:rsid w:val="00385086"/>
    <w:rsid w:val="00385092"/>
    <w:rsid w:val="0038509C"/>
    <w:rsid w:val="003850FF"/>
    <w:rsid w:val="00385250"/>
    <w:rsid w:val="0038529D"/>
    <w:rsid w:val="0038539C"/>
    <w:rsid w:val="003853F0"/>
    <w:rsid w:val="0038558E"/>
    <w:rsid w:val="003855E6"/>
    <w:rsid w:val="00385614"/>
    <w:rsid w:val="00385622"/>
    <w:rsid w:val="003856AC"/>
    <w:rsid w:val="00385780"/>
    <w:rsid w:val="00385827"/>
    <w:rsid w:val="0038584D"/>
    <w:rsid w:val="00385980"/>
    <w:rsid w:val="00385A93"/>
    <w:rsid w:val="00385B3A"/>
    <w:rsid w:val="00385BB1"/>
    <w:rsid w:val="00385C6E"/>
    <w:rsid w:val="00385D1A"/>
    <w:rsid w:val="00385D96"/>
    <w:rsid w:val="00385F0B"/>
    <w:rsid w:val="00385F2C"/>
    <w:rsid w:val="00385FE1"/>
    <w:rsid w:val="00386099"/>
    <w:rsid w:val="00386405"/>
    <w:rsid w:val="00386469"/>
    <w:rsid w:val="003867AB"/>
    <w:rsid w:val="00386851"/>
    <w:rsid w:val="003868E1"/>
    <w:rsid w:val="003869C5"/>
    <w:rsid w:val="003869DB"/>
    <w:rsid w:val="00386B6E"/>
    <w:rsid w:val="00386C11"/>
    <w:rsid w:val="00386D62"/>
    <w:rsid w:val="00387191"/>
    <w:rsid w:val="0038724F"/>
    <w:rsid w:val="00387386"/>
    <w:rsid w:val="00387432"/>
    <w:rsid w:val="0038765D"/>
    <w:rsid w:val="00387738"/>
    <w:rsid w:val="003878FA"/>
    <w:rsid w:val="00387966"/>
    <w:rsid w:val="00387978"/>
    <w:rsid w:val="00387B10"/>
    <w:rsid w:val="00387C71"/>
    <w:rsid w:val="00387C8D"/>
    <w:rsid w:val="00387D47"/>
    <w:rsid w:val="00387D5B"/>
    <w:rsid w:val="00387EA4"/>
    <w:rsid w:val="00387F32"/>
    <w:rsid w:val="00387FD9"/>
    <w:rsid w:val="00390168"/>
    <w:rsid w:val="00390269"/>
    <w:rsid w:val="00390418"/>
    <w:rsid w:val="00390563"/>
    <w:rsid w:val="00390680"/>
    <w:rsid w:val="0039079C"/>
    <w:rsid w:val="0039094C"/>
    <w:rsid w:val="00390B41"/>
    <w:rsid w:val="00390B58"/>
    <w:rsid w:val="00390BB1"/>
    <w:rsid w:val="00390C92"/>
    <w:rsid w:val="00390E2C"/>
    <w:rsid w:val="00390F3C"/>
    <w:rsid w:val="00390F42"/>
    <w:rsid w:val="00390F98"/>
    <w:rsid w:val="00391075"/>
    <w:rsid w:val="00391378"/>
    <w:rsid w:val="00391478"/>
    <w:rsid w:val="00391663"/>
    <w:rsid w:val="00391A71"/>
    <w:rsid w:val="00391B1D"/>
    <w:rsid w:val="00391DCD"/>
    <w:rsid w:val="00391EF7"/>
    <w:rsid w:val="00391F3F"/>
    <w:rsid w:val="00391FC4"/>
    <w:rsid w:val="00392112"/>
    <w:rsid w:val="003922C9"/>
    <w:rsid w:val="0039287D"/>
    <w:rsid w:val="00392895"/>
    <w:rsid w:val="003928D0"/>
    <w:rsid w:val="00392987"/>
    <w:rsid w:val="00392AC1"/>
    <w:rsid w:val="00392BA5"/>
    <w:rsid w:val="00392C83"/>
    <w:rsid w:val="00392CE3"/>
    <w:rsid w:val="00392D29"/>
    <w:rsid w:val="00392FFD"/>
    <w:rsid w:val="003930B1"/>
    <w:rsid w:val="00393101"/>
    <w:rsid w:val="00393286"/>
    <w:rsid w:val="003932A2"/>
    <w:rsid w:val="00393361"/>
    <w:rsid w:val="003933D4"/>
    <w:rsid w:val="00393426"/>
    <w:rsid w:val="0039350B"/>
    <w:rsid w:val="003935B2"/>
    <w:rsid w:val="00393974"/>
    <w:rsid w:val="0039397C"/>
    <w:rsid w:val="003939A9"/>
    <w:rsid w:val="00393A63"/>
    <w:rsid w:val="00393B18"/>
    <w:rsid w:val="00393B40"/>
    <w:rsid w:val="00393C4E"/>
    <w:rsid w:val="00393C6D"/>
    <w:rsid w:val="00393CBC"/>
    <w:rsid w:val="00393E98"/>
    <w:rsid w:val="00393FFE"/>
    <w:rsid w:val="0039406F"/>
    <w:rsid w:val="00394159"/>
    <w:rsid w:val="00394163"/>
    <w:rsid w:val="003941D4"/>
    <w:rsid w:val="00394296"/>
    <w:rsid w:val="003942C0"/>
    <w:rsid w:val="00394352"/>
    <w:rsid w:val="0039451E"/>
    <w:rsid w:val="003945D1"/>
    <w:rsid w:val="003945EF"/>
    <w:rsid w:val="00394620"/>
    <w:rsid w:val="00394649"/>
    <w:rsid w:val="0039469C"/>
    <w:rsid w:val="0039475E"/>
    <w:rsid w:val="003948C5"/>
    <w:rsid w:val="00394D47"/>
    <w:rsid w:val="00394DE1"/>
    <w:rsid w:val="00395112"/>
    <w:rsid w:val="0039520D"/>
    <w:rsid w:val="00395216"/>
    <w:rsid w:val="00395239"/>
    <w:rsid w:val="00395274"/>
    <w:rsid w:val="00395297"/>
    <w:rsid w:val="003953E5"/>
    <w:rsid w:val="003954A0"/>
    <w:rsid w:val="003954F5"/>
    <w:rsid w:val="00395522"/>
    <w:rsid w:val="003955F9"/>
    <w:rsid w:val="003956E1"/>
    <w:rsid w:val="0039578B"/>
    <w:rsid w:val="00395849"/>
    <w:rsid w:val="003959A9"/>
    <w:rsid w:val="00395AC9"/>
    <w:rsid w:val="00395B3D"/>
    <w:rsid w:val="00395B79"/>
    <w:rsid w:val="00395C65"/>
    <w:rsid w:val="00395D5C"/>
    <w:rsid w:val="00395D6F"/>
    <w:rsid w:val="00395D72"/>
    <w:rsid w:val="00395DE6"/>
    <w:rsid w:val="00395F26"/>
    <w:rsid w:val="00396030"/>
    <w:rsid w:val="003960AF"/>
    <w:rsid w:val="0039627F"/>
    <w:rsid w:val="00396542"/>
    <w:rsid w:val="0039655B"/>
    <w:rsid w:val="0039661A"/>
    <w:rsid w:val="00396816"/>
    <w:rsid w:val="00396AC2"/>
    <w:rsid w:val="00396C5A"/>
    <w:rsid w:val="00396D7D"/>
    <w:rsid w:val="00396E55"/>
    <w:rsid w:val="00397275"/>
    <w:rsid w:val="0039734F"/>
    <w:rsid w:val="00397444"/>
    <w:rsid w:val="0039760F"/>
    <w:rsid w:val="00397662"/>
    <w:rsid w:val="0039771D"/>
    <w:rsid w:val="00397783"/>
    <w:rsid w:val="003977F6"/>
    <w:rsid w:val="00397891"/>
    <w:rsid w:val="00397A7C"/>
    <w:rsid w:val="00397B9D"/>
    <w:rsid w:val="00397CFC"/>
    <w:rsid w:val="00397D1E"/>
    <w:rsid w:val="00397DA4"/>
    <w:rsid w:val="00397FDA"/>
    <w:rsid w:val="003A009C"/>
    <w:rsid w:val="003A017F"/>
    <w:rsid w:val="003A02F3"/>
    <w:rsid w:val="003A034E"/>
    <w:rsid w:val="003A037B"/>
    <w:rsid w:val="003A05EC"/>
    <w:rsid w:val="003A066E"/>
    <w:rsid w:val="003A091C"/>
    <w:rsid w:val="003A0AB7"/>
    <w:rsid w:val="003A0B82"/>
    <w:rsid w:val="003A0F7D"/>
    <w:rsid w:val="003A107F"/>
    <w:rsid w:val="003A10BB"/>
    <w:rsid w:val="003A1109"/>
    <w:rsid w:val="003A12B1"/>
    <w:rsid w:val="003A12B8"/>
    <w:rsid w:val="003A12C6"/>
    <w:rsid w:val="003A13ED"/>
    <w:rsid w:val="003A14E3"/>
    <w:rsid w:val="003A1562"/>
    <w:rsid w:val="003A15A9"/>
    <w:rsid w:val="003A1654"/>
    <w:rsid w:val="003A17CA"/>
    <w:rsid w:val="003A18B1"/>
    <w:rsid w:val="003A1957"/>
    <w:rsid w:val="003A19BC"/>
    <w:rsid w:val="003A1AA6"/>
    <w:rsid w:val="003A1AAE"/>
    <w:rsid w:val="003A1B4F"/>
    <w:rsid w:val="003A1DB1"/>
    <w:rsid w:val="003A1DB8"/>
    <w:rsid w:val="003A1E65"/>
    <w:rsid w:val="003A1EC7"/>
    <w:rsid w:val="003A1F4D"/>
    <w:rsid w:val="003A205E"/>
    <w:rsid w:val="003A212F"/>
    <w:rsid w:val="003A22F4"/>
    <w:rsid w:val="003A238C"/>
    <w:rsid w:val="003A23BE"/>
    <w:rsid w:val="003A2628"/>
    <w:rsid w:val="003A2638"/>
    <w:rsid w:val="003A26BE"/>
    <w:rsid w:val="003A2708"/>
    <w:rsid w:val="003A2AB2"/>
    <w:rsid w:val="003A2DB7"/>
    <w:rsid w:val="003A2EF2"/>
    <w:rsid w:val="003A2F01"/>
    <w:rsid w:val="003A2F17"/>
    <w:rsid w:val="003A30F7"/>
    <w:rsid w:val="003A31F2"/>
    <w:rsid w:val="003A3376"/>
    <w:rsid w:val="003A33D0"/>
    <w:rsid w:val="003A3517"/>
    <w:rsid w:val="003A3568"/>
    <w:rsid w:val="003A35B9"/>
    <w:rsid w:val="003A35FD"/>
    <w:rsid w:val="003A3699"/>
    <w:rsid w:val="003A3719"/>
    <w:rsid w:val="003A39F9"/>
    <w:rsid w:val="003A3B8C"/>
    <w:rsid w:val="003A3C23"/>
    <w:rsid w:val="003A3C3E"/>
    <w:rsid w:val="003A4317"/>
    <w:rsid w:val="003A43BF"/>
    <w:rsid w:val="003A4677"/>
    <w:rsid w:val="003A471B"/>
    <w:rsid w:val="003A4838"/>
    <w:rsid w:val="003A48BF"/>
    <w:rsid w:val="003A48CE"/>
    <w:rsid w:val="003A496E"/>
    <w:rsid w:val="003A4A61"/>
    <w:rsid w:val="003A4A7B"/>
    <w:rsid w:val="003A4C1D"/>
    <w:rsid w:val="003A511B"/>
    <w:rsid w:val="003A5158"/>
    <w:rsid w:val="003A51E0"/>
    <w:rsid w:val="003A51E3"/>
    <w:rsid w:val="003A5363"/>
    <w:rsid w:val="003A536C"/>
    <w:rsid w:val="003A54C5"/>
    <w:rsid w:val="003A5656"/>
    <w:rsid w:val="003A57BD"/>
    <w:rsid w:val="003A598F"/>
    <w:rsid w:val="003A59C3"/>
    <w:rsid w:val="003A5AB2"/>
    <w:rsid w:val="003A5CB3"/>
    <w:rsid w:val="003A5D60"/>
    <w:rsid w:val="003A5D81"/>
    <w:rsid w:val="003A5E4C"/>
    <w:rsid w:val="003A5E70"/>
    <w:rsid w:val="003A5F09"/>
    <w:rsid w:val="003A5F68"/>
    <w:rsid w:val="003A5F9C"/>
    <w:rsid w:val="003A61F2"/>
    <w:rsid w:val="003A6305"/>
    <w:rsid w:val="003A6509"/>
    <w:rsid w:val="003A669C"/>
    <w:rsid w:val="003A66EB"/>
    <w:rsid w:val="003A682D"/>
    <w:rsid w:val="003A6914"/>
    <w:rsid w:val="003A6A33"/>
    <w:rsid w:val="003A6A7F"/>
    <w:rsid w:val="003A6C02"/>
    <w:rsid w:val="003A6C92"/>
    <w:rsid w:val="003A6ED3"/>
    <w:rsid w:val="003A6F87"/>
    <w:rsid w:val="003A709C"/>
    <w:rsid w:val="003A70F4"/>
    <w:rsid w:val="003A7218"/>
    <w:rsid w:val="003A7265"/>
    <w:rsid w:val="003A72C4"/>
    <w:rsid w:val="003A7339"/>
    <w:rsid w:val="003A755E"/>
    <w:rsid w:val="003A75CC"/>
    <w:rsid w:val="003A76A2"/>
    <w:rsid w:val="003A7727"/>
    <w:rsid w:val="003A773C"/>
    <w:rsid w:val="003A77B5"/>
    <w:rsid w:val="003A781E"/>
    <w:rsid w:val="003A787D"/>
    <w:rsid w:val="003A79D4"/>
    <w:rsid w:val="003A7B11"/>
    <w:rsid w:val="003A7B31"/>
    <w:rsid w:val="003A7BA4"/>
    <w:rsid w:val="003A7CC5"/>
    <w:rsid w:val="003A7FDC"/>
    <w:rsid w:val="003B0077"/>
    <w:rsid w:val="003B00CD"/>
    <w:rsid w:val="003B0167"/>
    <w:rsid w:val="003B046E"/>
    <w:rsid w:val="003B05F5"/>
    <w:rsid w:val="003B0660"/>
    <w:rsid w:val="003B068E"/>
    <w:rsid w:val="003B06B3"/>
    <w:rsid w:val="003B0743"/>
    <w:rsid w:val="003B081D"/>
    <w:rsid w:val="003B0874"/>
    <w:rsid w:val="003B0957"/>
    <w:rsid w:val="003B095A"/>
    <w:rsid w:val="003B0972"/>
    <w:rsid w:val="003B0980"/>
    <w:rsid w:val="003B0B09"/>
    <w:rsid w:val="003B0B1D"/>
    <w:rsid w:val="003B0C39"/>
    <w:rsid w:val="003B0CA6"/>
    <w:rsid w:val="003B0CD7"/>
    <w:rsid w:val="003B0E3E"/>
    <w:rsid w:val="003B0FAF"/>
    <w:rsid w:val="003B0FED"/>
    <w:rsid w:val="003B1177"/>
    <w:rsid w:val="003B11F4"/>
    <w:rsid w:val="003B1236"/>
    <w:rsid w:val="003B12B6"/>
    <w:rsid w:val="003B142B"/>
    <w:rsid w:val="003B1461"/>
    <w:rsid w:val="003B151A"/>
    <w:rsid w:val="003B1561"/>
    <w:rsid w:val="003B15F3"/>
    <w:rsid w:val="003B16C5"/>
    <w:rsid w:val="003B1793"/>
    <w:rsid w:val="003B1BED"/>
    <w:rsid w:val="003B1C06"/>
    <w:rsid w:val="003B1C3C"/>
    <w:rsid w:val="003B1ED7"/>
    <w:rsid w:val="003B1FAB"/>
    <w:rsid w:val="003B2005"/>
    <w:rsid w:val="003B2155"/>
    <w:rsid w:val="003B2276"/>
    <w:rsid w:val="003B2291"/>
    <w:rsid w:val="003B22C8"/>
    <w:rsid w:val="003B234C"/>
    <w:rsid w:val="003B2481"/>
    <w:rsid w:val="003B24B4"/>
    <w:rsid w:val="003B25F5"/>
    <w:rsid w:val="003B2633"/>
    <w:rsid w:val="003B2651"/>
    <w:rsid w:val="003B28FB"/>
    <w:rsid w:val="003B29A7"/>
    <w:rsid w:val="003B2B64"/>
    <w:rsid w:val="003B2C1C"/>
    <w:rsid w:val="003B2DE5"/>
    <w:rsid w:val="003B2EE6"/>
    <w:rsid w:val="003B2F2E"/>
    <w:rsid w:val="003B2F34"/>
    <w:rsid w:val="003B2FB0"/>
    <w:rsid w:val="003B3082"/>
    <w:rsid w:val="003B3100"/>
    <w:rsid w:val="003B3182"/>
    <w:rsid w:val="003B325B"/>
    <w:rsid w:val="003B3576"/>
    <w:rsid w:val="003B35CE"/>
    <w:rsid w:val="003B35DA"/>
    <w:rsid w:val="003B3827"/>
    <w:rsid w:val="003B397B"/>
    <w:rsid w:val="003B3B7B"/>
    <w:rsid w:val="003B3DBB"/>
    <w:rsid w:val="003B3F3C"/>
    <w:rsid w:val="003B3FFD"/>
    <w:rsid w:val="003B4428"/>
    <w:rsid w:val="003B47E8"/>
    <w:rsid w:val="003B498A"/>
    <w:rsid w:val="003B4BC8"/>
    <w:rsid w:val="003B4C5C"/>
    <w:rsid w:val="003B4D33"/>
    <w:rsid w:val="003B4D4F"/>
    <w:rsid w:val="003B4DEF"/>
    <w:rsid w:val="003B4E1B"/>
    <w:rsid w:val="003B5378"/>
    <w:rsid w:val="003B5444"/>
    <w:rsid w:val="003B550C"/>
    <w:rsid w:val="003B567E"/>
    <w:rsid w:val="003B56A5"/>
    <w:rsid w:val="003B58AA"/>
    <w:rsid w:val="003B592E"/>
    <w:rsid w:val="003B5BA2"/>
    <w:rsid w:val="003B5D6B"/>
    <w:rsid w:val="003B5DD8"/>
    <w:rsid w:val="003B5F40"/>
    <w:rsid w:val="003B6083"/>
    <w:rsid w:val="003B6085"/>
    <w:rsid w:val="003B6185"/>
    <w:rsid w:val="003B623A"/>
    <w:rsid w:val="003B64CE"/>
    <w:rsid w:val="003B6529"/>
    <w:rsid w:val="003B657F"/>
    <w:rsid w:val="003B6719"/>
    <w:rsid w:val="003B6845"/>
    <w:rsid w:val="003B6988"/>
    <w:rsid w:val="003B6A7C"/>
    <w:rsid w:val="003B6BE3"/>
    <w:rsid w:val="003B6E42"/>
    <w:rsid w:val="003B6E72"/>
    <w:rsid w:val="003B6EF7"/>
    <w:rsid w:val="003B6FF5"/>
    <w:rsid w:val="003B70B3"/>
    <w:rsid w:val="003B7348"/>
    <w:rsid w:val="003B7451"/>
    <w:rsid w:val="003B7470"/>
    <w:rsid w:val="003B74CB"/>
    <w:rsid w:val="003B7925"/>
    <w:rsid w:val="003B7936"/>
    <w:rsid w:val="003B79AA"/>
    <w:rsid w:val="003B7C10"/>
    <w:rsid w:val="003B7C80"/>
    <w:rsid w:val="003B7CB9"/>
    <w:rsid w:val="003B7E4C"/>
    <w:rsid w:val="003B7FE1"/>
    <w:rsid w:val="003C035B"/>
    <w:rsid w:val="003C03CB"/>
    <w:rsid w:val="003C046C"/>
    <w:rsid w:val="003C0470"/>
    <w:rsid w:val="003C0644"/>
    <w:rsid w:val="003C08AC"/>
    <w:rsid w:val="003C0903"/>
    <w:rsid w:val="003C09D5"/>
    <w:rsid w:val="003C0ABB"/>
    <w:rsid w:val="003C0B85"/>
    <w:rsid w:val="003C0CFE"/>
    <w:rsid w:val="003C0D46"/>
    <w:rsid w:val="003C0DC5"/>
    <w:rsid w:val="003C1079"/>
    <w:rsid w:val="003C1203"/>
    <w:rsid w:val="003C13EA"/>
    <w:rsid w:val="003C16DB"/>
    <w:rsid w:val="003C1752"/>
    <w:rsid w:val="003C17CD"/>
    <w:rsid w:val="003C1847"/>
    <w:rsid w:val="003C18B7"/>
    <w:rsid w:val="003C1ACC"/>
    <w:rsid w:val="003C1B33"/>
    <w:rsid w:val="003C1D14"/>
    <w:rsid w:val="003C1D7F"/>
    <w:rsid w:val="003C1E4A"/>
    <w:rsid w:val="003C200C"/>
    <w:rsid w:val="003C203B"/>
    <w:rsid w:val="003C20A4"/>
    <w:rsid w:val="003C22DA"/>
    <w:rsid w:val="003C22DE"/>
    <w:rsid w:val="003C23CD"/>
    <w:rsid w:val="003C249A"/>
    <w:rsid w:val="003C256D"/>
    <w:rsid w:val="003C258D"/>
    <w:rsid w:val="003C2613"/>
    <w:rsid w:val="003C2694"/>
    <w:rsid w:val="003C270C"/>
    <w:rsid w:val="003C2723"/>
    <w:rsid w:val="003C281F"/>
    <w:rsid w:val="003C288A"/>
    <w:rsid w:val="003C29A2"/>
    <w:rsid w:val="003C2A5D"/>
    <w:rsid w:val="003C2A92"/>
    <w:rsid w:val="003C2AEA"/>
    <w:rsid w:val="003C2CF2"/>
    <w:rsid w:val="003C2E3A"/>
    <w:rsid w:val="003C307E"/>
    <w:rsid w:val="003C311E"/>
    <w:rsid w:val="003C3136"/>
    <w:rsid w:val="003C31FA"/>
    <w:rsid w:val="003C32B5"/>
    <w:rsid w:val="003C32EC"/>
    <w:rsid w:val="003C33A6"/>
    <w:rsid w:val="003C33A8"/>
    <w:rsid w:val="003C33FB"/>
    <w:rsid w:val="003C3538"/>
    <w:rsid w:val="003C3568"/>
    <w:rsid w:val="003C35B2"/>
    <w:rsid w:val="003C362E"/>
    <w:rsid w:val="003C3663"/>
    <w:rsid w:val="003C36DD"/>
    <w:rsid w:val="003C3A0C"/>
    <w:rsid w:val="003C3BE9"/>
    <w:rsid w:val="003C3DF7"/>
    <w:rsid w:val="003C3E37"/>
    <w:rsid w:val="003C3F31"/>
    <w:rsid w:val="003C4046"/>
    <w:rsid w:val="003C40BC"/>
    <w:rsid w:val="003C40DE"/>
    <w:rsid w:val="003C4177"/>
    <w:rsid w:val="003C4324"/>
    <w:rsid w:val="003C4421"/>
    <w:rsid w:val="003C450E"/>
    <w:rsid w:val="003C48C0"/>
    <w:rsid w:val="003C48D1"/>
    <w:rsid w:val="003C4D9E"/>
    <w:rsid w:val="003C4DEB"/>
    <w:rsid w:val="003C4E2B"/>
    <w:rsid w:val="003C4ED5"/>
    <w:rsid w:val="003C4F22"/>
    <w:rsid w:val="003C505D"/>
    <w:rsid w:val="003C5189"/>
    <w:rsid w:val="003C5192"/>
    <w:rsid w:val="003C52BB"/>
    <w:rsid w:val="003C58E8"/>
    <w:rsid w:val="003C59D3"/>
    <w:rsid w:val="003C5A5B"/>
    <w:rsid w:val="003C5B41"/>
    <w:rsid w:val="003C5ECC"/>
    <w:rsid w:val="003C5EE1"/>
    <w:rsid w:val="003C603A"/>
    <w:rsid w:val="003C6099"/>
    <w:rsid w:val="003C6113"/>
    <w:rsid w:val="003C633B"/>
    <w:rsid w:val="003C64D2"/>
    <w:rsid w:val="003C6518"/>
    <w:rsid w:val="003C6729"/>
    <w:rsid w:val="003C672F"/>
    <w:rsid w:val="003C6731"/>
    <w:rsid w:val="003C678D"/>
    <w:rsid w:val="003C67B0"/>
    <w:rsid w:val="003C68DC"/>
    <w:rsid w:val="003C68FF"/>
    <w:rsid w:val="003C69C4"/>
    <w:rsid w:val="003C6B38"/>
    <w:rsid w:val="003C6BD4"/>
    <w:rsid w:val="003C6C24"/>
    <w:rsid w:val="003C6D58"/>
    <w:rsid w:val="003C6EAD"/>
    <w:rsid w:val="003C7110"/>
    <w:rsid w:val="003C7166"/>
    <w:rsid w:val="003C72A6"/>
    <w:rsid w:val="003C7557"/>
    <w:rsid w:val="003C756F"/>
    <w:rsid w:val="003C758B"/>
    <w:rsid w:val="003C7741"/>
    <w:rsid w:val="003C7A2F"/>
    <w:rsid w:val="003C7C09"/>
    <w:rsid w:val="003C7C88"/>
    <w:rsid w:val="003C7F96"/>
    <w:rsid w:val="003D010A"/>
    <w:rsid w:val="003D0169"/>
    <w:rsid w:val="003D02C8"/>
    <w:rsid w:val="003D035E"/>
    <w:rsid w:val="003D046B"/>
    <w:rsid w:val="003D0719"/>
    <w:rsid w:val="003D0878"/>
    <w:rsid w:val="003D0B37"/>
    <w:rsid w:val="003D0C17"/>
    <w:rsid w:val="003D0E1A"/>
    <w:rsid w:val="003D0E3C"/>
    <w:rsid w:val="003D0ECC"/>
    <w:rsid w:val="003D0F16"/>
    <w:rsid w:val="003D0F55"/>
    <w:rsid w:val="003D0F59"/>
    <w:rsid w:val="003D0FBD"/>
    <w:rsid w:val="003D1044"/>
    <w:rsid w:val="003D10D1"/>
    <w:rsid w:val="003D1133"/>
    <w:rsid w:val="003D1139"/>
    <w:rsid w:val="003D12A5"/>
    <w:rsid w:val="003D13D9"/>
    <w:rsid w:val="003D1400"/>
    <w:rsid w:val="003D1513"/>
    <w:rsid w:val="003D16DE"/>
    <w:rsid w:val="003D17BF"/>
    <w:rsid w:val="003D18A2"/>
    <w:rsid w:val="003D197F"/>
    <w:rsid w:val="003D1AEA"/>
    <w:rsid w:val="003D1DAB"/>
    <w:rsid w:val="003D1FB6"/>
    <w:rsid w:val="003D1FCF"/>
    <w:rsid w:val="003D207D"/>
    <w:rsid w:val="003D2257"/>
    <w:rsid w:val="003D230F"/>
    <w:rsid w:val="003D23E4"/>
    <w:rsid w:val="003D23F8"/>
    <w:rsid w:val="003D247A"/>
    <w:rsid w:val="003D24CC"/>
    <w:rsid w:val="003D2647"/>
    <w:rsid w:val="003D291C"/>
    <w:rsid w:val="003D2945"/>
    <w:rsid w:val="003D29FD"/>
    <w:rsid w:val="003D30A2"/>
    <w:rsid w:val="003D3260"/>
    <w:rsid w:val="003D3388"/>
    <w:rsid w:val="003D34D6"/>
    <w:rsid w:val="003D36DC"/>
    <w:rsid w:val="003D3721"/>
    <w:rsid w:val="003D37CF"/>
    <w:rsid w:val="003D3933"/>
    <w:rsid w:val="003D3A6E"/>
    <w:rsid w:val="003D3AF8"/>
    <w:rsid w:val="003D4049"/>
    <w:rsid w:val="003D40CC"/>
    <w:rsid w:val="003D41D1"/>
    <w:rsid w:val="003D42BE"/>
    <w:rsid w:val="003D42EE"/>
    <w:rsid w:val="003D43FB"/>
    <w:rsid w:val="003D4524"/>
    <w:rsid w:val="003D4556"/>
    <w:rsid w:val="003D469C"/>
    <w:rsid w:val="003D4747"/>
    <w:rsid w:val="003D4852"/>
    <w:rsid w:val="003D488E"/>
    <w:rsid w:val="003D4A34"/>
    <w:rsid w:val="003D4A54"/>
    <w:rsid w:val="003D4AE5"/>
    <w:rsid w:val="003D4B01"/>
    <w:rsid w:val="003D4FE7"/>
    <w:rsid w:val="003D511A"/>
    <w:rsid w:val="003D5255"/>
    <w:rsid w:val="003D5380"/>
    <w:rsid w:val="003D5393"/>
    <w:rsid w:val="003D5548"/>
    <w:rsid w:val="003D5596"/>
    <w:rsid w:val="003D56AA"/>
    <w:rsid w:val="003D56BE"/>
    <w:rsid w:val="003D570F"/>
    <w:rsid w:val="003D57BF"/>
    <w:rsid w:val="003D5C25"/>
    <w:rsid w:val="003D5C45"/>
    <w:rsid w:val="003D5C79"/>
    <w:rsid w:val="003D5CF0"/>
    <w:rsid w:val="003D5D13"/>
    <w:rsid w:val="003D5D24"/>
    <w:rsid w:val="003D5E9A"/>
    <w:rsid w:val="003D5EB5"/>
    <w:rsid w:val="003D6098"/>
    <w:rsid w:val="003D60D0"/>
    <w:rsid w:val="003D613E"/>
    <w:rsid w:val="003D61A7"/>
    <w:rsid w:val="003D61FA"/>
    <w:rsid w:val="003D6253"/>
    <w:rsid w:val="003D631D"/>
    <w:rsid w:val="003D638C"/>
    <w:rsid w:val="003D63AF"/>
    <w:rsid w:val="003D6433"/>
    <w:rsid w:val="003D6469"/>
    <w:rsid w:val="003D64D8"/>
    <w:rsid w:val="003D654F"/>
    <w:rsid w:val="003D6973"/>
    <w:rsid w:val="003D699D"/>
    <w:rsid w:val="003D69CA"/>
    <w:rsid w:val="003D6A8F"/>
    <w:rsid w:val="003D6A90"/>
    <w:rsid w:val="003D6B05"/>
    <w:rsid w:val="003D6C22"/>
    <w:rsid w:val="003D6D2B"/>
    <w:rsid w:val="003D6E16"/>
    <w:rsid w:val="003D6FEB"/>
    <w:rsid w:val="003D7093"/>
    <w:rsid w:val="003D7121"/>
    <w:rsid w:val="003D71FB"/>
    <w:rsid w:val="003D735F"/>
    <w:rsid w:val="003D741B"/>
    <w:rsid w:val="003D7590"/>
    <w:rsid w:val="003D76FF"/>
    <w:rsid w:val="003D78C6"/>
    <w:rsid w:val="003D7B37"/>
    <w:rsid w:val="003D7BD9"/>
    <w:rsid w:val="003D7C84"/>
    <w:rsid w:val="003E0134"/>
    <w:rsid w:val="003E01A6"/>
    <w:rsid w:val="003E01E8"/>
    <w:rsid w:val="003E02FC"/>
    <w:rsid w:val="003E033E"/>
    <w:rsid w:val="003E047F"/>
    <w:rsid w:val="003E04DD"/>
    <w:rsid w:val="003E0588"/>
    <w:rsid w:val="003E06EA"/>
    <w:rsid w:val="003E08AD"/>
    <w:rsid w:val="003E09BE"/>
    <w:rsid w:val="003E0ABD"/>
    <w:rsid w:val="003E0AD6"/>
    <w:rsid w:val="003E0C18"/>
    <w:rsid w:val="003E0D03"/>
    <w:rsid w:val="003E0D38"/>
    <w:rsid w:val="003E0EBB"/>
    <w:rsid w:val="003E0EDC"/>
    <w:rsid w:val="003E10A8"/>
    <w:rsid w:val="003E115C"/>
    <w:rsid w:val="003E126B"/>
    <w:rsid w:val="003E1543"/>
    <w:rsid w:val="003E157F"/>
    <w:rsid w:val="003E1665"/>
    <w:rsid w:val="003E173C"/>
    <w:rsid w:val="003E1871"/>
    <w:rsid w:val="003E18D1"/>
    <w:rsid w:val="003E195A"/>
    <w:rsid w:val="003E19A5"/>
    <w:rsid w:val="003E1A02"/>
    <w:rsid w:val="003E1C4B"/>
    <w:rsid w:val="003E1E8A"/>
    <w:rsid w:val="003E1F44"/>
    <w:rsid w:val="003E20B6"/>
    <w:rsid w:val="003E235B"/>
    <w:rsid w:val="003E24BA"/>
    <w:rsid w:val="003E25C6"/>
    <w:rsid w:val="003E2855"/>
    <w:rsid w:val="003E2927"/>
    <w:rsid w:val="003E295A"/>
    <w:rsid w:val="003E2981"/>
    <w:rsid w:val="003E2A94"/>
    <w:rsid w:val="003E2D9A"/>
    <w:rsid w:val="003E2E14"/>
    <w:rsid w:val="003E2F7E"/>
    <w:rsid w:val="003E2FF2"/>
    <w:rsid w:val="003E30AA"/>
    <w:rsid w:val="003E30E8"/>
    <w:rsid w:val="003E32C3"/>
    <w:rsid w:val="003E3380"/>
    <w:rsid w:val="003E33FD"/>
    <w:rsid w:val="003E356A"/>
    <w:rsid w:val="003E3602"/>
    <w:rsid w:val="003E3747"/>
    <w:rsid w:val="003E379F"/>
    <w:rsid w:val="003E3973"/>
    <w:rsid w:val="003E39AD"/>
    <w:rsid w:val="003E3AF3"/>
    <w:rsid w:val="003E3B30"/>
    <w:rsid w:val="003E3C80"/>
    <w:rsid w:val="003E3D82"/>
    <w:rsid w:val="003E3D96"/>
    <w:rsid w:val="003E3DF6"/>
    <w:rsid w:val="003E3F21"/>
    <w:rsid w:val="003E412E"/>
    <w:rsid w:val="003E44EC"/>
    <w:rsid w:val="003E456A"/>
    <w:rsid w:val="003E4624"/>
    <w:rsid w:val="003E462A"/>
    <w:rsid w:val="003E463E"/>
    <w:rsid w:val="003E46A4"/>
    <w:rsid w:val="003E485D"/>
    <w:rsid w:val="003E48CB"/>
    <w:rsid w:val="003E4E5B"/>
    <w:rsid w:val="003E502C"/>
    <w:rsid w:val="003E5143"/>
    <w:rsid w:val="003E5149"/>
    <w:rsid w:val="003E5170"/>
    <w:rsid w:val="003E5191"/>
    <w:rsid w:val="003E52B4"/>
    <w:rsid w:val="003E53A6"/>
    <w:rsid w:val="003E53F8"/>
    <w:rsid w:val="003E53F9"/>
    <w:rsid w:val="003E53FE"/>
    <w:rsid w:val="003E5469"/>
    <w:rsid w:val="003E54C4"/>
    <w:rsid w:val="003E578B"/>
    <w:rsid w:val="003E5A3B"/>
    <w:rsid w:val="003E5B2C"/>
    <w:rsid w:val="003E5C61"/>
    <w:rsid w:val="003E5C98"/>
    <w:rsid w:val="003E5CA4"/>
    <w:rsid w:val="003E5E13"/>
    <w:rsid w:val="003E5E6A"/>
    <w:rsid w:val="003E5E89"/>
    <w:rsid w:val="003E5ECF"/>
    <w:rsid w:val="003E5F83"/>
    <w:rsid w:val="003E5FE4"/>
    <w:rsid w:val="003E60AE"/>
    <w:rsid w:val="003E62DB"/>
    <w:rsid w:val="003E62DF"/>
    <w:rsid w:val="003E63DB"/>
    <w:rsid w:val="003E64D4"/>
    <w:rsid w:val="003E64E0"/>
    <w:rsid w:val="003E65A8"/>
    <w:rsid w:val="003E665D"/>
    <w:rsid w:val="003E67FA"/>
    <w:rsid w:val="003E697E"/>
    <w:rsid w:val="003E6B49"/>
    <w:rsid w:val="003E6C6D"/>
    <w:rsid w:val="003E70C4"/>
    <w:rsid w:val="003E713B"/>
    <w:rsid w:val="003E7209"/>
    <w:rsid w:val="003E720E"/>
    <w:rsid w:val="003E747E"/>
    <w:rsid w:val="003E74AA"/>
    <w:rsid w:val="003E75AC"/>
    <w:rsid w:val="003E75F9"/>
    <w:rsid w:val="003E7618"/>
    <w:rsid w:val="003E7652"/>
    <w:rsid w:val="003E77AE"/>
    <w:rsid w:val="003E7823"/>
    <w:rsid w:val="003E78C4"/>
    <w:rsid w:val="003E7957"/>
    <w:rsid w:val="003E7996"/>
    <w:rsid w:val="003E7CA0"/>
    <w:rsid w:val="003E7ED1"/>
    <w:rsid w:val="003F0021"/>
    <w:rsid w:val="003F02A9"/>
    <w:rsid w:val="003F03D2"/>
    <w:rsid w:val="003F0495"/>
    <w:rsid w:val="003F049B"/>
    <w:rsid w:val="003F051B"/>
    <w:rsid w:val="003F0545"/>
    <w:rsid w:val="003F07D6"/>
    <w:rsid w:val="003F09BF"/>
    <w:rsid w:val="003F0C65"/>
    <w:rsid w:val="003F0D17"/>
    <w:rsid w:val="003F0D97"/>
    <w:rsid w:val="003F0E42"/>
    <w:rsid w:val="003F0E81"/>
    <w:rsid w:val="003F0EE2"/>
    <w:rsid w:val="003F0F50"/>
    <w:rsid w:val="003F147D"/>
    <w:rsid w:val="003F163B"/>
    <w:rsid w:val="003F1668"/>
    <w:rsid w:val="003F16DD"/>
    <w:rsid w:val="003F1786"/>
    <w:rsid w:val="003F1804"/>
    <w:rsid w:val="003F1A9F"/>
    <w:rsid w:val="003F1CB1"/>
    <w:rsid w:val="003F1E86"/>
    <w:rsid w:val="003F1FA0"/>
    <w:rsid w:val="003F1FFA"/>
    <w:rsid w:val="003F20B8"/>
    <w:rsid w:val="003F224A"/>
    <w:rsid w:val="003F2270"/>
    <w:rsid w:val="003F2319"/>
    <w:rsid w:val="003F23E5"/>
    <w:rsid w:val="003F258A"/>
    <w:rsid w:val="003F25C2"/>
    <w:rsid w:val="003F2783"/>
    <w:rsid w:val="003F2877"/>
    <w:rsid w:val="003F2885"/>
    <w:rsid w:val="003F295D"/>
    <w:rsid w:val="003F296B"/>
    <w:rsid w:val="003F2A32"/>
    <w:rsid w:val="003F2BBA"/>
    <w:rsid w:val="003F2BEF"/>
    <w:rsid w:val="003F2D48"/>
    <w:rsid w:val="003F2DF3"/>
    <w:rsid w:val="003F3032"/>
    <w:rsid w:val="003F3078"/>
    <w:rsid w:val="003F3118"/>
    <w:rsid w:val="003F31FB"/>
    <w:rsid w:val="003F3229"/>
    <w:rsid w:val="003F3318"/>
    <w:rsid w:val="003F3368"/>
    <w:rsid w:val="003F33E1"/>
    <w:rsid w:val="003F33E5"/>
    <w:rsid w:val="003F34A0"/>
    <w:rsid w:val="003F35CE"/>
    <w:rsid w:val="003F36D7"/>
    <w:rsid w:val="003F3730"/>
    <w:rsid w:val="003F3848"/>
    <w:rsid w:val="003F384E"/>
    <w:rsid w:val="003F3B18"/>
    <w:rsid w:val="003F3BA5"/>
    <w:rsid w:val="003F3C74"/>
    <w:rsid w:val="003F3C9D"/>
    <w:rsid w:val="003F3F61"/>
    <w:rsid w:val="003F3F7B"/>
    <w:rsid w:val="003F4150"/>
    <w:rsid w:val="003F44F9"/>
    <w:rsid w:val="003F469A"/>
    <w:rsid w:val="003F474E"/>
    <w:rsid w:val="003F485C"/>
    <w:rsid w:val="003F4C28"/>
    <w:rsid w:val="003F4C73"/>
    <w:rsid w:val="003F4CFC"/>
    <w:rsid w:val="003F4E03"/>
    <w:rsid w:val="003F4E40"/>
    <w:rsid w:val="003F50E9"/>
    <w:rsid w:val="003F51D1"/>
    <w:rsid w:val="003F539B"/>
    <w:rsid w:val="003F53E1"/>
    <w:rsid w:val="003F5431"/>
    <w:rsid w:val="003F544B"/>
    <w:rsid w:val="003F55FE"/>
    <w:rsid w:val="003F563E"/>
    <w:rsid w:val="003F5647"/>
    <w:rsid w:val="003F56D4"/>
    <w:rsid w:val="003F5B27"/>
    <w:rsid w:val="003F5C16"/>
    <w:rsid w:val="003F5D80"/>
    <w:rsid w:val="003F5E67"/>
    <w:rsid w:val="003F62CD"/>
    <w:rsid w:val="003F661F"/>
    <w:rsid w:val="003F6664"/>
    <w:rsid w:val="003F6741"/>
    <w:rsid w:val="003F688A"/>
    <w:rsid w:val="003F68E5"/>
    <w:rsid w:val="003F694A"/>
    <w:rsid w:val="003F6982"/>
    <w:rsid w:val="003F69BB"/>
    <w:rsid w:val="003F6A46"/>
    <w:rsid w:val="003F6C10"/>
    <w:rsid w:val="003F6C85"/>
    <w:rsid w:val="003F6C8D"/>
    <w:rsid w:val="003F6E24"/>
    <w:rsid w:val="003F7035"/>
    <w:rsid w:val="003F704F"/>
    <w:rsid w:val="003F720D"/>
    <w:rsid w:val="003F748A"/>
    <w:rsid w:val="003F748B"/>
    <w:rsid w:val="003F76C4"/>
    <w:rsid w:val="003F76D5"/>
    <w:rsid w:val="003F7BA0"/>
    <w:rsid w:val="003F7D3F"/>
    <w:rsid w:val="003F7D85"/>
    <w:rsid w:val="00400113"/>
    <w:rsid w:val="004001E6"/>
    <w:rsid w:val="0040037E"/>
    <w:rsid w:val="0040047B"/>
    <w:rsid w:val="004004F9"/>
    <w:rsid w:val="0040076C"/>
    <w:rsid w:val="0040085F"/>
    <w:rsid w:val="004008C5"/>
    <w:rsid w:val="00400905"/>
    <w:rsid w:val="00400A82"/>
    <w:rsid w:val="00400B70"/>
    <w:rsid w:val="00400D0D"/>
    <w:rsid w:val="00400DE7"/>
    <w:rsid w:val="00400DFE"/>
    <w:rsid w:val="00400E61"/>
    <w:rsid w:val="00400E67"/>
    <w:rsid w:val="004010BB"/>
    <w:rsid w:val="0040143C"/>
    <w:rsid w:val="00401478"/>
    <w:rsid w:val="00401486"/>
    <w:rsid w:val="00401674"/>
    <w:rsid w:val="004016A8"/>
    <w:rsid w:val="0040170A"/>
    <w:rsid w:val="00401759"/>
    <w:rsid w:val="004017BA"/>
    <w:rsid w:val="004017DF"/>
    <w:rsid w:val="00401907"/>
    <w:rsid w:val="00401C74"/>
    <w:rsid w:val="00401CA2"/>
    <w:rsid w:val="00401D1E"/>
    <w:rsid w:val="00401D9C"/>
    <w:rsid w:val="00401E08"/>
    <w:rsid w:val="00401EDE"/>
    <w:rsid w:val="00401EEE"/>
    <w:rsid w:val="00401F0F"/>
    <w:rsid w:val="00401F82"/>
    <w:rsid w:val="00402064"/>
    <w:rsid w:val="00402227"/>
    <w:rsid w:val="00402376"/>
    <w:rsid w:val="004024E8"/>
    <w:rsid w:val="004026AA"/>
    <w:rsid w:val="00402779"/>
    <w:rsid w:val="00402897"/>
    <w:rsid w:val="00402958"/>
    <w:rsid w:val="0040298A"/>
    <w:rsid w:val="00402CD2"/>
    <w:rsid w:val="00402D6A"/>
    <w:rsid w:val="00402E0F"/>
    <w:rsid w:val="00402E12"/>
    <w:rsid w:val="00402F60"/>
    <w:rsid w:val="004031E7"/>
    <w:rsid w:val="004034FE"/>
    <w:rsid w:val="00403582"/>
    <w:rsid w:val="0040362B"/>
    <w:rsid w:val="00403717"/>
    <w:rsid w:val="00403749"/>
    <w:rsid w:val="00403807"/>
    <w:rsid w:val="00403BD0"/>
    <w:rsid w:val="00403D17"/>
    <w:rsid w:val="00403E1E"/>
    <w:rsid w:val="00403E39"/>
    <w:rsid w:val="00404038"/>
    <w:rsid w:val="004040AF"/>
    <w:rsid w:val="0040426A"/>
    <w:rsid w:val="00404702"/>
    <w:rsid w:val="004047A3"/>
    <w:rsid w:val="0040497F"/>
    <w:rsid w:val="0040499A"/>
    <w:rsid w:val="00404A1B"/>
    <w:rsid w:val="00404BD0"/>
    <w:rsid w:val="00404CED"/>
    <w:rsid w:val="00404D2C"/>
    <w:rsid w:val="00404D56"/>
    <w:rsid w:val="00404E1E"/>
    <w:rsid w:val="00404E31"/>
    <w:rsid w:val="0040500B"/>
    <w:rsid w:val="00405113"/>
    <w:rsid w:val="0040524C"/>
    <w:rsid w:val="004052B6"/>
    <w:rsid w:val="004052D9"/>
    <w:rsid w:val="00405318"/>
    <w:rsid w:val="00405536"/>
    <w:rsid w:val="0040554F"/>
    <w:rsid w:val="00405613"/>
    <w:rsid w:val="004056A9"/>
    <w:rsid w:val="004058A2"/>
    <w:rsid w:val="00405963"/>
    <w:rsid w:val="00405B7F"/>
    <w:rsid w:val="00405C7F"/>
    <w:rsid w:val="0040606F"/>
    <w:rsid w:val="0040616B"/>
    <w:rsid w:val="00406178"/>
    <w:rsid w:val="004064DD"/>
    <w:rsid w:val="004065C2"/>
    <w:rsid w:val="004065FF"/>
    <w:rsid w:val="0040698A"/>
    <w:rsid w:val="00406B65"/>
    <w:rsid w:val="00406BD9"/>
    <w:rsid w:val="00406BDE"/>
    <w:rsid w:val="00406E38"/>
    <w:rsid w:val="00406E60"/>
    <w:rsid w:val="00406EF9"/>
    <w:rsid w:val="00406F93"/>
    <w:rsid w:val="00406F9D"/>
    <w:rsid w:val="004074C9"/>
    <w:rsid w:val="00407577"/>
    <w:rsid w:val="0040765A"/>
    <w:rsid w:val="004076FA"/>
    <w:rsid w:val="00407735"/>
    <w:rsid w:val="0040781A"/>
    <w:rsid w:val="004078BF"/>
    <w:rsid w:val="00407AF1"/>
    <w:rsid w:val="00407B9D"/>
    <w:rsid w:val="00407DD9"/>
    <w:rsid w:val="00407E31"/>
    <w:rsid w:val="00407EFA"/>
    <w:rsid w:val="00410027"/>
    <w:rsid w:val="0041006E"/>
    <w:rsid w:val="00410125"/>
    <w:rsid w:val="004101A3"/>
    <w:rsid w:val="00410257"/>
    <w:rsid w:val="0041052E"/>
    <w:rsid w:val="0041056C"/>
    <w:rsid w:val="004105E2"/>
    <w:rsid w:val="0041078A"/>
    <w:rsid w:val="00410864"/>
    <w:rsid w:val="00410986"/>
    <w:rsid w:val="004109CE"/>
    <w:rsid w:val="00410A32"/>
    <w:rsid w:val="00410A8D"/>
    <w:rsid w:val="00410BCA"/>
    <w:rsid w:val="00410BEC"/>
    <w:rsid w:val="00410C53"/>
    <w:rsid w:val="00410C54"/>
    <w:rsid w:val="00410EA6"/>
    <w:rsid w:val="00410F17"/>
    <w:rsid w:val="004110D5"/>
    <w:rsid w:val="00411187"/>
    <w:rsid w:val="00411230"/>
    <w:rsid w:val="0041137F"/>
    <w:rsid w:val="0041140B"/>
    <w:rsid w:val="004114FB"/>
    <w:rsid w:val="00411596"/>
    <w:rsid w:val="004115D7"/>
    <w:rsid w:val="004118B6"/>
    <w:rsid w:val="00411AC4"/>
    <w:rsid w:val="00411B3E"/>
    <w:rsid w:val="00411D37"/>
    <w:rsid w:val="00411EA3"/>
    <w:rsid w:val="00411F48"/>
    <w:rsid w:val="00411FE7"/>
    <w:rsid w:val="004120B0"/>
    <w:rsid w:val="00412148"/>
    <w:rsid w:val="00412248"/>
    <w:rsid w:val="00412262"/>
    <w:rsid w:val="0041231C"/>
    <w:rsid w:val="00412341"/>
    <w:rsid w:val="004124D7"/>
    <w:rsid w:val="004124F2"/>
    <w:rsid w:val="004126A3"/>
    <w:rsid w:val="004126EF"/>
    <w:rsid w:val="004128ED"/>
    <w:rsid w:val="00412A1A"/>
    <w:rsid w:val="00412B10"/>
    <w:rsid w:val="00412C42"/>
    <w:rsid w:val="00412F2A"/>
    <w:rsid w:val="00412F3F"/>
    <w:rsid w:val="004132E0"/>
    <w:rsid w:val="00413393"/>
    <w:rsid w:val="004133C7"/>
    <w:rsid w:val="00413409"/>
    <w:rsid w:val="00413470"/>
    <w:rsid w:val="00413536"/>
    <w:rsid w:val="0041353D"/>
    <w:rsid w:val="00413698"/>
    <w:rsid w:val="0041371D"/>
    <w:rsid w:val="0041385A"/>
    <w:rsid w:val="00413BCA"/>
    <w:rsid w:val="00413BCD"/>
    <w:rsid w:val="00413C2D"/>
    <w:rsid w:val="00413E12"/>
    <w:rsid w:val="00413FB3"/>
    <w:rsid w:val="00413FD3"/>
    <w:rsid w:val="0041402F"/>
    <w:rsid w:val="004140FA"/>
    <w:rsid w:val="0041412D"/>
    <w:rsid w:val="00414161"/>
    <w:rsid w:val="004142CF"/>
    <w:rsid w:val="0041439F"/>
    <w:rsid w:val="00414517"/>
    <w:rsid w:val="0041459D"/>
    <w:rsid w:val="004145B3"/>
    <w:rsid w:val="004145BF"/>
    <w:rsid w:val="00414613"/>
    <w:rsid w:val="0041490B"/>
    <w:rsid w:val="0041494E"/>
    <w:rsid w:val="00414A00"/>
    <w:rsid w:val="00414B0C"/>
    <w:rsid w:val="00414C3C"/>
    <w:rsid w:val="00414CE3"/>
    <w:rsid w:val="00414F54"/>
    <w:rsid w:val="00415267"/>
    <w:rsid w:val="004154CF"/>
    <w:rsid w:val="004157B0"/>
    <w:rsid w:val="004157C3"/>
    <w:rsid w:val="0041590F"/>
    <w:rsid w:val="0041597D"/>
    <w:rsid w:val="004159E1"/>
    <w:rsid w:val="00415AED"/>
    <w:rsid w:val="00415BC9"/>
    <w:rsid w:val="00415C58"/>
    <w:rsid w:val="00415D8E"/>
    <w:rsid w:val="00415DAB"/>
    <w:rsid w:val="00415E8C"/>
    <w:rsid w:val="00415EF7"/>
    <w:rsid w:val="00415FD9"/>
    <w:rsid w:val="0041611D"/>
    <w:rsid w:val="004161EB"/>
    <w:rsid w:val="0041625D"/>
    <w:rsid w:val="004162C1"/>
    <w:rsid w:val="004162C2"/>
    <w:rsid w:val="004162CC"/>
    <w:rsid w:val="0041690C"/>
    <w:rsid w:val="004169CC"/>
    <w:rsid w:val="00416A74"/>
    <w:rsid w:val="00416C9F"/>
    <w:rsid w:val="00416D46"/>
    <w:rsid w:val="00416FF4"/>
    <w:rsid w:val="0041706B"/>
    <w:rsid w:val="0041708D"/>
    <w:rsid w:val="004170BD"/>
    <w:rsid w:val="0041718D"/>
    <w:rsid w:val="00417222"/>
    <w:rsid w:val="00417526"/>
    <w:rsid w:val="004177C6"/>
    <w:rsid w:val="004177D3"/>
    <w:rsid w:val="0041788F"/>
    <w:rsid w:val="004178B3"/>
    <w:rsid w:val="0041790C"/>
    <w:rsid w:val="004179AF"/>
    <w:rsid w:val="004179C7"/>
    <w:rsid w:val="00417A0F"/>
    <w:rsid w:val="00417B17"/>
    <w:rsid w:val="00417C25"/>
    <w:rsid w:val="00417C67"/>
    <w:rsid w:val="00417C73"/>
    <w:rsid w:val="00417C93"/>
    <w:rsid w:val="00417D5F"/>
    <w:rsid w:val="00417D9C"/>
    <w:rsid w:val="00417DE8"/>
    <w:rsid w:val="00417DF4"/>
    <w:rsid w:val="00420076"/>
    <w:rsid w:val="00420118"/>
    <w:rsid w:val="00420127"/>
    <w:rsid w:val="00420236"/>
    <w:rsid w:val="00420350"/>
    <w:rsid w:val="00420360"/>
    <w:rsid w:val="0042037E"/>
    <w:rsid w:val="004203A0"/>
    <w:rsid w:val="00420415"/>
    <w:rsid w:val="004206D6"/>
    <w:rsid w:val="0042085E"/>
    <w:rsid w:val="00420A84"/>
    <w:rsid w:val="0042101A"/>
    <w:rsid w:val="00421215"/>
    <w:rsid w:val="0042123C"/>
    <w:rsid w:val="0042153A"/>
    <w:rsid w:val="004215E2"/>
    <w:rsid w:val="004216C7"/>
    <w:rsid w:val="00421762"/>
    <w:rsid w:val="0042177C"/>
    <w:rsid w:val="004217E0"/>
    <w:rsid w:val="00421807"/>
    <w:rsid w:val="00421856"/>
    <w:rsid w:val="00421913"/>
    <w:rsid w:val="0042199A"/>
    <w:rsid w:val="004219E0"/>
    <w:rsid w:val="00421A5A"/>
    <w:rsid w:val="00421AD3"/>
    <w:rsid w:val="00421B1A"/>
    <w:rsid w:val="00421C58"/>
    <w:rsid w:val="00421CCE"/>
    <w:rsid w:val="00421D83"/>
    <w:rsid w:val="00421E28"/>
    <w:rsid w:val="00421F2A"/>
    <w:rsid w:val="00421FB7"/>
    <w:rsid w:val="00422169"/>
    <w:rsid w:val="0042226F"/>
    <w:rsid w:val="00422787"/>
    <w:rsid w:val="00422854"/>
    <w:rsid w:val="004228B8"/>
    <w:rsid w:val="004229C6"/>
    <w:rsid w:val="00422C61"/>
    <w:rsid w:val="00422CAE"/>
    <w:rsid w:val="00422CCB"/>
    <w:rsid w:val="00422D27"/>
    <w:rsid w:val="00422D7E"/>
    <w:rsid w:val="00422FB7"/>
    <w:rsid w:val="00422FDB"/>
    <w:rsid w:val="004231F1"/>
    <w:rsid w:val="00423471"/>
    <w:rsid w:val="00423487"/>
    <w:rsid w:val="0042356C"/>
    <w:rsid w:val="0042378B"/>
    <w:rsid w:val="0042389C"/>
    <w:rsid w:val="004239E1"/>
    <w:rsid w:val="00423A16"/>
    <w:rsid w:val="00423AFD"/>
    <w:rsid w:val="00423C84"/>
    <w:rsid w:val="00423D60"/>
    <w:rsid w:val="00423DB1"/>
    <w:rsid w:val="00423DEA"/>
    <w:rsid w:val="00423E3C"/>
    <w:rsid w:val="00423E83"/>
    <w:rsid w:val="00424089"/>
    <w:rsid w:val="004240C5"/>
    <w:rsid w:val="004240C6"/>
    <w:rsid w:val="004240D2"/>
    <w:rsid w:val="0042434C"/>
    <w:rsid w:val="0042436F"/>
    <w:rsid w:val="00424376"/>
    <w:rsid w:val="004243CD"/>
    <w:rsid w:val="00424431"/>
    <w:rsid w:val="0042443A"/>
    <w:rsid w:val="00424512"/>
    <w:rsid w:val="00424551"/>
    <w:rsid w:val="0042457F"/>
    <w:rsid w:val="004245BB"/>
    <w:rsid w:val="004245F7"/>
    <w:rsid w:val="0042463E"/>
    <w:rsid w:val="0042464E"/>
    <w:rsid w:val="004246BD"/>
    <w:rsid w:val="004247D4"/>
    <w:rsid w:val="0042496D"/>
    <w:rsid w:val="00424B41"/>
    <w:rsid w:val="00424B5F"/>
    <w:rsid w:val="00424BC4"/>
    <w:rsid w:val="00424C1C"/>
    <w:rsid w:val="00424D5B"/>
    <w:rsid w:val="00424D61"/>
    <w:rsid w:val="00424DC3"/>
    <w:rsid w:val="00424E54"/>
    <w:rsid w:val="004250CC"/>
    <w:rsid w:val="0042520D"/>
    <w:rsid w:val="0042530C"/>
    <w:rsid w:val="00425430"/>
    <w:rsid w:val="00425454"/>
    <w:rsid w:val="004254EA"/>
    <w:rsid w:val="0042575D"/>
    <w:rsid w:val="004257D9"/>
    <w:rsid w:val="00425D24"/>
    <w:rsid w:val="00425E7F"/>
    <w:rsid w:val="00425EFC"/>
    <w:rsid w:val="00425F77"/>
    <w:rsid w:val="00425FFA"/>
    <w:rsid w:val="00426022"/>
    <w:rsid w:val="00426182"/>
    <w:rsid w:val="004261F5"/>
    <w:rsid w:val="004262C2"/>
    <w:rsid w:val="00426404"/>
    <w:rsid w:val="00426660"/>
    <w:rsid w:val="004267C6"/>
    <w:rsid w:val="00426952"/>
    <w:rsid w:val="00426963"/>
    <w:rsid w:val="00426B5C"/>
    <w:rsid w:val="00426EA4"/>
    <w:rsid w:val="00427202"/>
    <w:rsid w:val="0042735D"/>
    <w:rsid w:val="004273AD"/>
    <w:rsid w:val="004273EA"/>
    <w:rsid w:val="00427514"/>
    <w:rsid w:val="00427581"/>
    <w:rsid w:val="0042775F"/>
    <w:rsid w:val="004277FA"/>
    <w:rsid w:val="0042793F"/>
    <w:rsid w:val="00427A0D"/>
    <w:rsid w:val="00427AA9"/>
    <w:rsid w:val="00427B0D"/>
    <w:rsid w:val="00427BA2"/>
    <w:rsid w:val="00427CE2"/>
    <w:rsid w:val="00427E2E"/>
    <w:rsid w:val="00427E3A"/>
    <w:rsid w:val="00427E61"/>
    <w:rsid w:val="00427F47"/>
    <w:rsid w:val="004300D2"/>
    <w:rsid w:val="004300F9"/>
    <w:rsid w:val="004302BB"/>
    <w:rsid w:val="00430500"/>
    <w:rsid w:val="00430637"/>
    <w:rsid w:val="00430777"/>
    <w:rsid w:val="004307D1"/>
    <w:rsid w:val="0043080F"/>
    <w:rsid w:val="0043082B"/>
    <w:rsid w:val="004308CE"/>
    <w:rsid w:val="00430961"/>
    <w:rsid w:val="00430BF8"/>
    <w:rsid w:val="00430C0F"/>
    <w:rsid w:val="00430CF0"/>
    <w:rsid w:val="00430DEB"/>
    <w:rsid w:val="00430DFE"/>
    <w:rsid w:val="00430E70"/>
    <w:rsid w:val="00430E9D"/>
    <w:rsid w:val="00430F8E"/>
    <w:rsid w:val="00430FE9"/>
    <w:rsid w:val="004310E8"/>
    <w:rsid w:val="004310EC"/>
    <w:rsid w:val="004310F7"/>
    <w:rsid w:val="0043123C"/>
    <w:rsid w:val="00431490"/>
    <w:rsid w:val="00431712"/>
    <w:rsid w:val="004318B1"/>
    <w:rsid w:val="00432185"/>
    <w:rsid w:val="0043228D"/>
    <w:rsid w:val="004322A1"/>
    <w:rsid w:val="004322E0"/>
    <w:rsid w:val="00432350"/>
    <w:rsid w:val="00432455"/>
    <w:rsid w:val="004326E9"/>
    <w:rsid w:val="00432925"/>
    <w:rsid w:val="004329D4"/>
    <w:rsid w:val="00432A6B"/>
    <w:rsid w:val="00432AC8"/>
    <w:rsid w:val="00432C10"/>
    <w:rsid w:val="00432C4F"/>
    <w:rsid w:val="00432D4F"/>
    <w:rsid w:val="00432DAA"/>
    <w:rsid w:val="00432EAB"/>
    <w:rsid w:val="00432F82"/>
    <w:rsid w:val="00432F93"/>
    <w:rsid w:val="00432FB9"/>
    <w:rsid w:val="00433040"/>
    <w:rsid w:val="004330DE"/>
    <w:rsid w:val="00433224"/>
    <w:rsid w:val="00433231"/>
    <w:rsid w:val="004332E6"/>
    <w:rsid w:val="00433367"/>
    <w:rsid w:val="0043364C"/>
    <w:rsid w:val="0043366F"/>
    <w:rsid w:val="004336B9"/>
    <w:rsid w:val="00433831"/>
    <w:rsid w:val="004338F7"/>
    <w:rsid w:val="00433948"/>
    <w:rsid w:val="00433980"/>
    <w:rsid w:val="00433990"/>
    <w:rsid w:val="00433A6D"/>
    <w:rsid w:val="00433AB8"/>
    <w:rsid w:val="00433ABD"/>
    <w:rsid w:val="00433C9F"/>
    <w:rsid w:val="00433DF8"/>
    <w:rsid w:val="00433E08"/>
    <w:rsid w:val="00433FE8"/>
    <w:rsid w:val="00434069"/>
    <w:rsid w:val="004340A7"/>
    <w:rsid w:val="0043417D"/>
    <w:rsid w:val="0043441A"/>
    <w:rsid w:val="004344ED"/>
    <w:rsid w:val="0043452B"/>
    <w:rsid w:val="004345E8"/>
    <w:rsid w:val="00434A2F"/>
    <w:rsid w:val="00434A53"/>
    <w:rsid w:val="00434B35"/>
    <w:rsid w:val="00434BE5"/>
    <w:rsid w:val="00434BEA"/>
    <w:rsid w:val="00434CC2"/>
    <w:rsid w:val="00434F1B"/>
    <w:rsid w:val="00434F23"/>
    <w:rsid w:val="00434F87"/>
    <w:rsid w:val="00434FB8"/>
    <w:rsid w:val="00435356"/>
    <w:rsid w:val="00435373"/>
    <w:rsid w:val="004353C5"/>
    <w:rsid w:val="00435419"/>
    <w:rsid w:val="0043550D"/>
    <w:rsid w:val="004355CC"/>
    <w:rsid w:val="00435628"/>
    <w:rsid w:val="0043580D"/>
    <w:rsid w:val="00435835"/>
    <w:rsid w:val="00435902"/>
    <w:rsid w:val="00435A58"/>
    <w:rsid w:val="00435A9D"/>
    <w:rsid w:val="00435B25"/>
    <w:rsid w:val="00435B7D"/>
    <w:rsid w:val="00435BA5"/>
    <w:rsid w:val="0043608F"/>
    <w:rsid w:val="00436142"/>
    <w:rsid w:val="00436202"/>
    <w:rsid w:val="00436275"/>
    <w:rsid w:val="004362E1"/>
    <w:rsid w:val="004364E4"/>
    <w:rsid w:val="00436A46"/>
    <w:rsid w:val="00436A90"/>
    <w:rsid w:val="00436B7D"/>
    <w:rsid w:val="00436CFD"/>
    <w:rsid w:val="004370E5"/>
    <w:rsid w:val="0043711C"/>
    <w:rsid w:val="004374AF"/>
    <w:rsid w:val="00437522"/>
    <w:rsid w:val="004375C6"/>
    <w:rsid w:val="00437704"/>
    <w:rsid w:val="004377FB"/>
    <w:rsid w:val="00437868"/>
    <w:rsid w:val="0043798D"/>
    <w:rsid w:val="00437B5E"/>
    <w:rsid w:val="00437B65"/>
    <w:rsid w:val="00437C1A"/>
    <w:rsid w:val="00437DAC"/>
    <w:rsid w:val="00437E83"/>
    <w:rsid w:val="00437EAF"/>
    <w:rsid w:val="00437EB1"/>
    <w:rsid w:val="00437EE2"/>
    <w:rsid w:val="004400CF"/>
    <w:rsid w:val="0044013A"/>
    <w:rsid w:val="00440326"/>
    <w:rsid w:val="0044036D"/>
    <w:rsid w:val="004403D6"/>
    <w:rsid w:val="0044041A"/>
    <w:rsid w:val="00440594"/>
    <w:rsid w:val="00440630"/>
    <w:rsid w:val="00440793"/>
    <w:rsid w:val="00440845"/>
    <w:rsid w:val="0044086B"/>
    <w:rsid w:val="004408E7"/>
    <w:rsid w:val="004408EA"/>
    <w:rsid w:val="00440B31"/>
    <w:rsid w:val="00440B76"/>
    <w:rsid w:val="00441091"/>
    <w:rsid w:val="004410E3"/>
    <w:rsid w:val="00441167"/>
    <w:rsid w:val="0044116E"/>
    <w:rsid w:val="00441271"/>
    <w:rsid w:val="00441445"/>
    <w:rsid w:val="00441597"/>
    <w:rsid w:val="004415BD"/>
    <w:rsid w:val="004415BE"/>
    <w:rsid w:val="00441725"/>
    <w:rsid w:val="00441737"/>
    <w:rsid w:val="00441782"/>
    <w:rsid w:val="004417AC"/>
    <w:rsid w:val="004417D0"/>
    <w:rsid w:val="004417DF"/>
    <w:rsid w:val="0044195D"/>
    <w:rsid w:val="004419C1"/>
    <w:rsid w:val="00441B95"/>
    <w:rsid w:val="00441C1C"/>
    <w:rsid w:val="00441C35"/>
    <w:rsid w:val="00441C4E"/>
    <w:rsid w:val="00441C54"/>
    <w:rsid w:val="00441D29"/>
    <w:rsid w:val="00441DEE"/>
    <w:rsid w:val="00441F60"/>
    <w:rsid w:val="004420C3"/>
    <w:rsid w:val="004422BF"/>
    <w:rsid w:val="00442356"/>
    <w:rsid w:val="0044274A"/>
    <w:rsid w:val="004427C5"/>
    <w:rsid w:val="004427DD"/>
    <w:rsid w:val="00442844"/>
    <w:rsid w:val="0044297F"/>
    <w:rsid w:val="00442B33"/>
    <w:rsid w:val="00442C58"/>
    <w:rsid w:val="00442CB3"/>
    <w:rsid w:val="00442D58"/>
    <w:rsid w:val="00442E14"/>
    <w:rsid w:val="00442E43"/>
    <w:rsid w:val="00442ECB"/>
    <w:rsid w:val="00442EF8"/>
    <w:rsid w:val="00442FF5"/>
    <w:rsid w:val="00442FFE"/>
    <w:rsid w:val="00443082"/>
    <w:rsid w:val="00443151"/>
    <w:rsid w:val="004433E2"/>
    <w:rsid w:val="004434CA"/>
    <w:rsid w:val="004435E2"/>
    <w:rsid w:val="0044368B"/>
    <w:rsid w:val="00443698"/>
    <w:rsid w:val="004436A6"/>
    <w:rsid w:val="004436CA"/>
    <w:rsid w:val="0044378F"/>
    <w:rsid w:val="00443A09"/>
    <w:rsid w:val="00443A25"/>
    <w:rsid w:val="00443B08"/>
    <w:rsid w:val="00443B98"/>
    <w:rsid w:val="00443CCA"/>
    <w:rsid w:val="00443D43"/>
    <w:rsid w:val="00443D8D"/>
    <w:rsid w:val="00443DA1"/>
    <w:rsid w:val="00443E34"/>
    <w:rsid w:val="00443E90"/>
    <w:rsid w:val="00443FBF"/>
    <w:rsid w:val="00444213"/>
    <w:rsid w:val="0044436A"/>
    <w:rsid w:val="004445E7"/>
    <w:rsid w:val="00444674"/>
    <w:rsid w:val="00444716"/>
    <w:rsid w:val="00444791"/>
    <w:rsid w:val="00444853"/>
    <w:rsid w:val="004448C8"/>
    <w:rsid w:val="0044499E"/>
    <w:rsid w:val="00444B53"/>
    <w:rsid w:val="00444B7B"/>
    <w:rsid w:val="00444BB9"/>
    <w:rsid w:val="00444CAE"/>
    <w:rsid w:val="00444CE6"/>
    <w:rsid w:val="00444FC1"/>
    <w:rsid w:val="00444FC3"/>
    <w:rsid w:val="00445055"/>
    <w:rsid w:val="00445156"/>
    <w:rsid w:val="0044522B"/>
    <w:rsid w:val="0044536A"/>
    <w:rsid w:val="0044550B"/>
    <w:rsid w:val="00445521"/>
    <w:rsid w:val="004455F6"/>
    <w:rsid w:val="00445890"/>
    <w:rsid w:val="00445B01"/>
    <w:rsid w:val="00445B82"/>
    <w:rsid w:val="00445B93"/>
    <w:rsid w:val="00445CAB"/>
    <w:rsid w:val="00445CC0"/>
    <w:rsid w:val="00446148"/>
    <w:rsid w:val="004462D2"/>
    <w:rsid w:val="004463C9"/>
    <w:rsid w:val="00446544"/>
    <w:rsid w:val="00446750"/>
    <w:rsid w:val="0044678C"/>
    <w:rsid w:val="00446807"/>
    <w:rsid w:val="0044688F"/>
    <w:rsid w:val="004469B0"/>
    <w:rsid w:val="00446A88"/>
    <w:rsid w:val="00446A8B"/>
    <w:rsid w:val="00446B02"/>
    <w:rsid w:val="00446B04"/>
    <w:rsid w:val="00446BE1"/>
    <w:rsid w:val="00446DF2"/>
    <w:rsid w:val="004472B4"/>
    <w:rsid w:val="004473F2"/>
    <w:rsid w:val="00447462"/>
    <w:rsid w:val="004475E0"/>
    <w:rsid w:val="004475FE"/>
    <w:rsid w:val="00447674"/>
    <w:rsid w:val="00447842"/>
    <w:rsid w:val="004479AC"/>
    <w:rsid w:val="00447A92"/>
    <w:rsid w:val="00447AC8"/>
    <w:rsid w:val="00447F01"/>
    <w:rsid w:val="00447F52"/>
    <w:rsid w:val="00447F56"/>
    <w:rsid w:val="0045008D"/>
    <w:rsid w:val="00450396"/>
    <w:rsid w:val="004503F6"/>
    <w:rsid w:val="004505DE"/>
    <w:rsid w:val="00450709"/>
    <w:rsid w:val="004507AC"/>
    <w:rsid w:val="0045089E"/>
    <w:rsid w:val="004508CC"/>
    <w:rsid w:val="004508D6"/>
    <w:rsid w:val="00450963"/>
    <w:rsid w:val="004509FA"/>
    <w:rsid w:val="00450A78"/>
    <w:rsid w:val="00450C18"/>
    <w:rsid w:val="00450C25"/>
    <w:rsid w:val="00450E7F"/>
    <w:rsid w:val="00450E94"/>
    <w:rsid w:val="00451193"/>
    <w:rsid w:val="00451297"/>
    <w:rsid w:val="004513F5"/>
    <w:rsid w:val="00451522"/>
    <w:rsid w:val="0045153D"/>
    <w:rsid w:val="004515D7"/>
    <w:rsid w:val="00451680"/>
    <w:rsid w:val="004517A5"/>
    <w:rsid w:val="00451851"/>
    <w:rsid w:val="00451911"/>
    <w:rsid w:val="004519A6"/>
    <w:rsid w:val="00451B57"/>
    <w:rsid w:val="00451C47"/>
    <w:rsid w:val="00451D0A"/>
    <w:rsid w:val="00451E8E"/>
    <w:rsid w:val="00451ED1"/>
    <w:rsid w:val="00451F2B"/>
    <w:rsid w:val="0045203F"/>
    <w:rsid w:val="00452320"/>
    <w:rsid w:val="00452577"/>
    <w:rsid w:val="0045265A"/>
    <w:rsid w:val="00452660"/>
    <w:rsid w:val="00452873"/>
    <w:rsid w:val="00452928"/>
    <w:rsid w:val="00452978"/>
    <w:rsid w:val="0045298F"/>
    <w:rsid w:val="00452A88"/>
    <w:rsid w:val="00452ADD"/>
    <w:rsid w:val="00452AE4"/>
    <w:rsid w:val="00452B00"/>
    <w:rsid w:val="00452B53"/>
    <w:rsid w:val="00452C68"/>
    <w:rsid w:val="00452C77"/>
    <w:rsid w:val="00452E75"/>
    <w:rsid w:val="00452EDA"/>
    <w:rsid w:val="0045313E"/>
    <w:rsid w:val="004533AD"/>
    <w:rsid w:val="004533B3"/>
    <w:rsid w:val="00453452"/>
    <w:rsid w:val="004534A9"/>
    <w:rsid w:val="00453505"/>
    <w:rsid w:val="0045352D"/>
    <w:rsid w:val="004536E7"/>
    <w:rsid w:val="0045371A"/>
    <w:rsid w:val="00453734"/>
    <w:rsid w:val="004537C5"/>
    <w:rsid w:val="00453AB5"/>
    <w:rsid w:val="00453BF1"/>
    <w:rsid w:val="00453D56"/>
    <w:rsid w:val="00453E18"/>
    <w:rsid w:val="00453EF3"/>
    <w:rsid w:val="00453FD0"/>
    <w:rsid w:val="0045401F"/>
    <w:rsid w:val="0045422D"/>
    <w:rsid w:val="00454260"/>
    <w:rsid w:val="004542D2"/>
    <w:rsid w:val="00454301"/>
    <w:rsid w:val="00454644"/>
    <w:rsid w:val="004546F5"/>
    <w:rsid w:val="00454741"/>
    <w:rsid w:val="004547FC"/>
    <w:rsid w:val="00454A65"/>
    <w:rsid w:val="00454E7F"/>
    <w:rsid w:val="00454EFA"/>
    <w:rsid w:val="00455166"/>
    <w:rsid w:val="0045544E"/>
    <w:rsid w:val="004555B7"/>
    <w:rsid w:val="00455633"/>
    <w:rsid w:val="004556E5"/>
    <w:rsid w:val="00455B2E"/>
    <w:rsid w:val="00455B5C"/>
    <w:rsid w:val="00455C6A"/>
    <w:rsid w:val="00455D32"/>
    <w:rsid w:val="00455D51"/>
    <w:rsid w:val="00455EC5"/>
    <w:rsid w:val="00455EC8"/>
    <w:rsid w:val="00455EFD"/>
    <w:rsid w:val="0045605F"/>
    <w:rsid w:val="00456108"/>
    <w:rsid w:val="0045615A"/>
    <w:rsid w:val="004561DE"/>
    <w:rsid w:val="004562C7"/>
    <w:rsid w:val="0045649F"/>
    <w:rsid w:val="004564FA"/>
    <w:rsid w:val="004565EC"/>
    <w:rsid w:val="004566D8"/>
    <w:rsid w:val="004567ED"/>
    <w:rsid w:val="00456803"/>
    <w:rsid w:val="00456887"/>
    <w:rsid w:val="00456895"/>
    <w:rsid w:val="0045693F"/>
    <w:rsid w:val="00456984"/>
    <w:rsid w:val="00456AFA"/>
    <w:rsid w:val="00456BCA"/>
    <w:rsid w:val="00456CD9"/>
    <w:rsid w:val="00456DA3"/>
    <w:rsid w:val="00456F80"/>
    <w:rsid w:val="00457149"/>
    <w:rsid w:val="0045723E"/>
    <w:rsid w:val="004574A8"/>
    <w:rsid w:val="0045753D"/>
    <w:rsid w:val="00457598"/>
    <w:rsid w:val="004575ED"/>
    <w:rsid w:val="00457600"/>
    <w:rsid w:val="00457663"/>
    <w:rsid w:val="0045767B"/>
    <w:rsid w:val="00457681"/>
    <w:rsid w:val="00457757"/>
    <w:rsid w:val="0045791A"/>
    <w:rsid w:val="00457965"/>
    <w:rsid w:val="00457981"/>
    <w:rsid w:val="0045799C"/>
    <w:rsid w:val="004579E5"/>
    <w:rsid w:val="00457A21"/>
    <w:rsid w:val="00457AA9"/>
    <w:rsid w:val="00457CFC"/>
    <w:rsid w:val="00457D1B"/>
    <w:rsid w:val="00457ECC"/>
    <w:rsid w:val="00457F50"/>
    <w:rsid w:val="00457F91"/>
    <w:rsid w:val="0046009F"/>
    <w:rsid w:val="00460193"/>
    <w:rsid w:val="00460547"/>
    <w:rsid w:val="00460630"/>
    <w:rsid w:val="00460827"/>
    <w:rsid w:val="00460834"/>
    <w:rsid w:val="00460850"/>
    <w:rsid w:val="0046087E"/>
    <w:rsid w:val="00460A2F"/>
    <w:rsid w:val="00460A72"/>
    <w:rsid w:val="00460C12"/>
    <w:rsid w:val="00460C6A"/>
    <w:rsid w:val="00460DF4"/>
    <w:rsid w:val="00460F48"/>
    <w:rsid w:val="00461014"/>
    <w:rsid w:val="00461122"/>
    <w:rsid w:val="00461203"/>
    <w:rsid w:val="00461333"/>
    <w:rsid w:val="00461494"/>
    <w:rsid w:val="004614D9"/>
    <w:rsid w:val="004617F2"/>
    <w:rsid w:val="004618EA"/>
    <w:rsid w:val="00461A53"/>
    <w:rsid w:val="00461C0D"/>
    <w:rsid w:val="00461DBC"/>
    <w:rsid w:val="00461E9D"/>
    <w:rsid w:val="004620BF"/>
    <w:rsid w:val="0046223A"/>
    <w:rsid w:val="0046232F"/>
    <w:rsid w:val="0046236C"/>
    <w:rsid w:val="00462441"/>
    <w:rsid w:val="004624DA"/>
    <w:rsid w:val="00462578"/>
    <w:rsid w:val="00462660"/>
    <w:rsid w:val="0046288C"/>
    <w:rsid w:val="004628E4"/>
    <w:rsid w:val="0046291D"/>
    <w:rsid w:val="00462A3F"/>
    <w:rsid w:val="00462B56"/>
    <w:rsid w:val="00462BE6"/>
    <w:rsid w:val="00462C6C"/>
    <w:rsid w:val="00462FB8"/>
    <w:rsid w:val="00462FF3"/>
    <w:rsid w:val="0046300A"/>
    <w:rsid w:val="0046318E"/>
    <w:rsid w:val="00463248"/>
    <w:rsid w:val="004634BF"/>
    <w:rsid w:val="00463618"/>
    <w:rsid w:val="00463690"/>
    <w:rsid w:val="00463846"/>
    <w:rsid w:val="00463886"/>
    <w:rsid w:val="00463915"/>
    <w:rsid w:val="00463D08"/>
    <w:rsid w:val="00463D59"/>
    <w:rsid w:val="00463DB6"/>
    <w:rsid w:val="00463EAD"/>
    <w:rsid w:val="004640E1"/>
    <w:rsid w:val="004641D9"/>
    <w:rsid w:val="004642AB"/>
    <w:rsid w:val="0046435F"/>
    <w:rsid w:val="0046482B"/>
    <w:rsid w:val="0046484A"/>
    <w:rsid w:val="0046492F"/>
    <w:rsid w:val="0046496E"/>
    <w:rsid w:val="00464A98"/>
    <w:rsid w:val="00464AC4"/>
    <w:rsid w:val="00464AE7"/>
    <w:rsid w:val="00464CA6"/>
    <w:rsid w:val="00464CB0"/>
    <w:rsid w:val="00464D1D"/>
    <w:rsid w:val="00464D9A"/>
    <w:rsid w:val="00464DD7"/>
    <w:rsid w:val="00464E23"/>
    <w:rsid w:val="00464E53"/>
    <w:rsid w:val="00465000"/>
    <w:rsid w:val="004650FD"/>
    <w:rsid w:val="00465181"/>
    <w:rsid w:val="00465213"/>
    <w:rsid w:val="004653CF"/>
    <w:rsid w:val="004653E7"/>
    <w:rsid w:val="004654FF"/>
    <w:rsid w:val="00465596"/>
    <w:rsid w:val="004655EC"/>
    <w:rsid w:val="00465684"/>
    <w:rsid w:val="004659F1"/>
    <w:rsid w:val="00465A79"/>
    <w:rsid w:val="00465BDE"/>
    <w:rsid w:val="00465F4D"/>
    <w:rsid w:val="00466288"/>
    <w:rsid w:val="004662AC"/>
    <w:rsid w:val="004662D9"/>
    <w:rsid w:val="0046633A"/>
    <w:rsid w:val="00466492"/>
    <w:rsid w:val="00466654"/>
    <w:rsid w:val="004666C6"/>
    <w:rsid w:val="004667C8"/>
    <w:rsid w:val="004669A7"/>
    <w:rsid w:val="00466ACA"/>
    <w:rsid w:val="00466AD6"/>
    <w:rsid w:val="00466BB8"/>
    <w:rsid w:val="00466C08"/>
    <w:rsid w:val="00466D6F"/>
    <w:rsid w:val="00466ECD"/>
    <w:rsid w:val="00466F09"/>
    <w:rsid w:val="00466F31"/>
    <w:rsid w:val="004670C9"/>
    <w:rsid w:val="004673B0"/>
    <w:rsid w:val="004675A4"/>
    <w:rsid w:val="00467742"/>
    <w:rsid w:val="004679B1"/>
    <w:rsid w:val="00467A1C"/>
    <w:rsid w:val="00467AEB"/>
    <w:rsid w:val="00467B4B"/>
    <w:rsid w:val="00467C0E"/>
    <w:rsid w:val="00467CC1"/>
    <w:rsid w:val="00467CEE"/>
    <w:rsid w:val="00467F3C"/>
    <w:rsid w:val="00467F9E"/>
    <w:rsid w:val="0047005B"/>
    <w:rsid w:val="0047010C"/>
    <w:rsid w:val="0047012C"/>
    <w:rsid w:val="00470254"/>
    <w:rsid w:val="0047028B"/>
    <w:rsid w:val="00470329"/>
    <w:rsid w:val="004703F2"/>
    <w:rsid w:val="004705C7"/>
    <w:rsid w:val="00470749"/>
    <w:rsid w:val="004707F1"/>
    <w:rsid w:val="0047091D"/>
    <w:rsid w:val="00470C2B"/>
    <w:rsid w:val="00470D38"/>
    <w:rsid w:val="00470DEB"/>
    <w:rsid w:val="00470DFF"/>
    <w:rsid w:val="00470EAD"/>
    <w:rsid w:val="00470F5B"/>
    <w:rsid w:val="00470F90"/>
    <w:rsid w:val="00471002"/>
    <w:rsid w:val="004713C5"/>
    <w:rsid w:val="004714CB"/>
    <w:rsid w:val="00471640"/>
    <w:rsid w:val="00471894"/>
    <w:rsid w:val="00471A23"/>
    <w:rsid w:val="00471A59"/>
    <w:rsid w:val="00471BE7"/>
    <w:rsid w:val="00471D25"/>
    <w:rsid w:val="00471EB5"/>
    <w:rsid w:val="0047200C"/>
    <w:rsid w:val="00472030"/>
    <w:rsid w:val="004721D9"/>
    <w:rsid w:val="0047236C"/>
    <w:rsid w:val="0047239A"/>
    <w:rsid w:val="00472780"/>
    <w:rsid w:val="0047293A"/>
    <w:rsid w:val="00472981"/>
    <w:rsid w:val="00472A19"/>
    <w:rsid w:val="00472B41"/>
    <w:rsid w:val="00472B65"/>
    <w:rsid w:val="00472BAD"/>
    <w:rsid w:val="00472C23"/>
    <w:rsid w:val="00472C77"/>
    <w:rsid w:val="00472DED"/>
    <w:rsid w:val="00472E34"/>
    <w:rsid w:val="00472E52"/>
    <w:rsid w:val="00472E59"/>
    <w:rsid w:val="00472EEF"/>
    <w:rsid w:val="00473020"/>
    <w:rsid w:val="004730BC"/>
    <w:rsid w:val="00473143"/>
    <w:rsid w:val="004731DA"/>
    <w:rsid w:val="004731F1"/>
    <w:rsid w:val="00473213"/>
    <w:rsid w:val="004733D2"/>
    <w:rsid w:val="00473612"/>
    <w:rsid w:val="00473661"/>
    <w:rsid w:val="004739CF"/>
    <w:rsid w:val="00473C1B"/>
    <w:rsid w:val="00473E78"/>
    <w:rsid w:val="00473F0D"/>
    <w:rsid w:val="00473FBC"/>
    <w:rsid w:val="004740D3"/>
    <w:rsid w:val="00474261"/>
    <w:rsid w:val="004743D7"/>
    <w:rsid w:val="004743FA"/>
    <w:rsid w:val="00474481"/>
    <w:rsid w:val="0047450D"/>
    <w:rsid w:val="00474532"/>
    <w:rsid w:val="00474559"/>
    <w:rsid w:val="004745E3"/>
    <w:rsid w:val="00474635"/>
    <w:rsid w:val="004747DD"/>
    <w:rsid w:val="00474870"/>
    <w:rsid w:val="00474999"/>
    <w:rsid w:val="00474B7C"/>
    <w:rsid w:val="00474C7B"/>
    <w:rsid w:val="0047516D"/>
    <w:rsid w:val="0047525C"/>
    <w:rsid w:val="004754FC"/>
    <w:rsid w:val="0047553B"/>
    <w:rsid w:val="00475608"/>
    <w:rsid w:val="00475686"/>
    <w:rsid w:val="004757FA"/>
    <w:rsid w:val="00475866"/>
    <w:rsid w:val="00475917"/>
    <w:rsid w:val="0047591E"/>
    <w:rsid w:val="00475A68"/>
    <w:rsid w:val="00475D3A"/>
    <w:rsid w:val="00475D54"/>
    <w:rsid w:val="00475E03"/>
    <w:rsid w:val="00475E72"/>
    <w:rsid w:val="004760AF"/>
    <w:rsid w:val="004761E4"/>
    <w:rsid w:val="004762D0"/>
    <w:rsid w:val="00476324"/>
    <w:rsid w:val="00476335"/>
    <w:rsid w:val="0047643A"/>
    <w:rsid w:val="00476843"/>
    <w:rsid w:val="004768D5"/>
    <w:rsid w:val="00476918"/>
    <w:rsid w:val="00476943"/>
    <w:rsid w:val="004769A2"/>
    <w:rsid w:val="00476D87"/>
    <w:rsid w:val="00476F08"/>
    <w:rsid w:val="00476F70"/>
    <w:rsid w:val="00476FC6"/>
    <w:rsid w:val="00477144"/>
    <w:rsid w:val="004773C2"/>
    <w:rsid w:val="004776C8"/>
    <w:rsid w:val="0047787E"/>
    <w:rsid w:val="00477901"/>
    <w:rsid w:val="00477B54"/>
    <w:rsid w:val="00477F13"/>
    <w:rsid w:val="00480022"/>
    <w:rsid w:val="00480037"/>
    <w:rsid w:val="00480103"/>
    <w:rsid w:val="004801AD"/>
    <w:rsid w:val="0048024D"/>
    <w:rsid w:val="00480292"/>
    <w:rsid w:val="004803AC"/>
    <w:rsid w:val="0048067A"/>
    <w:rsid w:val="0048081F"/>
    <w:rsid w:val="00480AC7"/>
    <w:rsid w:val="00480BA0"/>
    <w:rsid w:val="00480EDB"/>
    <w:rsid w:val="0048121D"/>
    <w:rsid w:val="004812E3"/>
    <w:rsid w:val="00481448"/>
    <w:rsid w:val="004814B1"/>
    <w:rsid w:val="0048177F"/>
    <w:rsid w:val="00481806"/>
    <w:rsid w:val="00481B18"/>
    <w:rsid w:val="00481C58"/>
    <w:rsid w:val="00481D4E"/>
    <w:rsid w:val="00481D9F"/>
    <w:rsid w:val="00481E19"/>
    <w:rsid w:val="00481F0F"/>
    <w:rsid w:val="00481F49"/>
    <w:rsid w:val="00481FF1"/>
    <w:rsid w:val="004821A8"/>
    <w:rsid w:val="0048225E"/>
    <w:rsid w:val="0048234B"/>
    <w:rsid w:val="00482406"/>
    <w:rsid w:val="00482529"/>
    <w:rsid w:val="0048254D"/>
    <w:rsid w:val="0048276E"/>
    <w:rsid w:val="004829BE"/>
    <w:rsid w:val="00482CE7"/>
    <w:rsid w:val="00482E4E"/>
    <w:rsid w:val="00482EEE"/>
    <w:rsid w:val="00482F20"/>
    <w:rsid w:val="00483002"/>
    <w:rsid w:val="00483046"/>
    <w:rsid w:val="004830D8"/>
    <w:rsid w:val="0048315D"/>
    <w:rsid w:val="0048318B"/>
    <w:rsid w:val="004833C4"/>
    <w:rsid w:val="0048341E"/>
    <w:rsid w:val="00483555"/>
    <w:rsid w:val="004835D3"/>
    <w:rsid w:val="004839A7"/>
    <w:rsid w:val="00483A85"/>
    <w:rsid w:val="00483AB5"/>
    <w:rsid w:val="00483B1E"/>
    <w:rsid w:val="00483BF1"/>
    <w:rsid w:val="00483C2B"/>
    <w:rsid w:val="00483E47"/>
    <w:rsid w:val="00483F74"/>
    <w:rsid w:val="00484141"/>
    <w:rsid w:val="004843A6"/>
    <w:rsid w:val="00484766"/>
    <w:rsid w:val="0048496B"/>
    <w:rsid w:val="004849B0"/>
    <w:rsid w:val="00484A9D"/>
    <w:rsid w:val="00484BAF"/>
    <w:rsid w:val="00484C73"/>
    <w:rsid w:val="00484D19"/>
    <w:rsid w:val="00484D23"/>
    <w:rsid w:val="00484D64"/>
    <w:rsid w:val="00484F19"/>
    <w:rsid w:val="00484F72"/>
    <w:rsid w:val="00484F86"/>
    <w:rsid w:val="00484F8F"/>
    <w:rsid w:val="00484FAC"/>
    <w:rsid w:val="00484FEB"/>
    <w:rsid w:val="004850E7"/>
    <w:rsid w:val="00485127"/>
    <w:rsid w:val="0048516C"/>
    <w:rsid w:val="004851D3"/>
    <w:rsid w:val="004851EF"/>
    <w:rsid w:val="00485374"/>
    <w:rsid w:val="004854C2"/>
    <w:rsid w:val="004855A7"/>
    <w:rsid w:val="0048573F"/>
    <w:rsid w:val="004857E9"/>
    <w:rsid w:val="0048595B"/>
    <w:rsid w:val="004859C2"/>
    <w:rsid w:val="00485BE6"/>
    <w:rsid w:val="00485CF3"/>
    <w:rsid w:val="00485EB7"/>
    <w:rsid w:val="00486034"/>
    <w:rsid w:val="004863B1"/>
    <w:rsid w:val="004863C6"/>
    <w:rsid w:val="0048644B"/>
    <w:rsid w:val="00486507"/>
    <w:rsid w:val="0048674D"/>
    <w:rsid w:val="0048691A"/>
    <w:rsid w:val="00486BCA"/>
    <w:rsid w:val="00486C45"/>
    <w:rsid w:val="00486C68"/>
    <w:rsid w:val="00486D5A"/>
    <w:rsid w:val="00486D68"/>
    <w:rsid w:val="004870FA"/>
    <w:rsid w:val="004871E4"/>
    <w:rsid w:val="00487337"/>
    <w:rsid w:val="004874CC"/>
    <w:rsid w:val="0048751D"/>
    <w:rsid w:val="00487536"/>
    <w:rsid w:val="00487BF2"/>
    <w:rsid w:val="00487C36"/>
    <w:rsid w:val="00487E99"/>
    <w:rsid w:val="00487F06"/>
    <w:rsid w:val="00487FA3"/>
    <w:rsid w:val="00490022"/>
    <w:rsid w:val="00490067"/>
    <w:rsid w:val="00490086"/>
    <w:rsid w:val="004900B8"/>
    <w:rsid w:val="0049012C"/>
    <w:rsid w:val="004901AF"/>
    <w:rsid w:val="004903D3"/>
    <w:rsid w:val="00490604"/>
    <w:rsid w:val="00490621"/>
    <w:rsid w:val="00490885"/>
    <w:rsid w:val="0049088B"/>
    <w:rsid w:val="00490944"/>
    <w:rsid w:val="00490B19"/>
    <w:rsid w:val="00490BD0"/>
    <w:rsid w:val="00490BD1"/>
    <w:rsid w:val="00490CE5"/>
    <w:rsid w:val="00490F45"/>
    <w:rsid w:val="00490F78"/>
    <w:rsid w:val="0049102C"/>
    <w:rsid w:val="004911B7"/>
    <w:rsid w:val="0049154D"/>
    <w:rsid w:val="0049176B"/>
    <w:rsid w:val="00491CFC"/>
    <w:rsid w:val="00491FE1"/>
    <w:rsid w:val="0049200E"/>
    <w:rsid w:val="00492082"/>
    <w:rsid w:val="0049218A"/>
    <w:rsid w:val="0049228F"/>
    <w:rsid w:val="004922F2"/>
    <w:rsid w:val="00492742"/>
    <w:rsid w:val="004927B6"/>
    <w:rsid w:val="0049292D"/>
    <w:rsid w:val="00492969"/>
    <w:rsid w:val="00492B04"/>
    <w:rsid w:val="00492B47"/>
    <w:rsid w:val="00492B93"/>
    <w:rsid w:val="00492C1B"/>
    <w:rsid w:val="00492CDE"/>
    <w:rsid w:val="00492DA4"/>
    <w:rsid w:val="00492E01"/>
    <w:rsid w:val="00492F1F"/>
    <w:rsid w:val="00492F8F"/>
    <w:rsid w:val="004930C4"/>
    <w:rsid w:val="00493169"/>
    <w:rsid w:val="004932CC"/>
    <w:rsid w:val="004933BB"/>
    <w:rsid w:val="004933CB"/>
    <w:rsid w:val="00493412"/>
    <w:rsid w:val="004936DB"/>
    <w:rsid w:val="00493729"/>
    <w:rsid w:val="0049374D"/>
    <w:rsid w:val="00493751"/>
    <w:rsid w:val="004937C4"/>
    <w:rsid w:val="004939E6"/>
    <w:rsid w:val="004939FC"/>
    <w:rsid w:val="00493B45"/>
    <w:rsid w:val="00493CDD"/>
    <w:rsid w:val="00493DA3"/>
    <w:rsid w:val="00493DC6"/>
    <w:rsid w:val="00493E1A"/>
    <w:rsid w:val="00493E85"/>
    <w:rsid w:val="00493FFE"/>
    <w:rsid w:val="0049400D"/>
    <w:rsid w:val="00494049"/>
    <w:rsid w:val="00494284"/>
    <w:rsid w:val="00494581"/>
    <w:rsid w:val="004945C5"/>
    <w:rsid w:val="004946B5"/>
    <w:rsid w:val="00494745"/>
    <w:rsid w:val="004947F4"/>
    <w:rsid w:val="0049486A"/>
    <w:rsid w:val="004948E3"/>
    <w:rsid w:val="004948F2"/>
    <w:rsid w:val="00494965"/>
    <w:rsid w:val="00494A94"/>
    <w:rsid w:val="00494AF9"/>
    <w:rsid w:val="00494B55"/>
    <w:rsid w:val="00494B7B"/>
    <w:rsid w:val="00494B87"/>
    <w:rsid w:val="00494C43"/>
    <w:rsid w:val="00494C8B"/>
    <w:rsid w:val="00494C92"/>
    <w:rsid w:val="00494D5D"/>
    <w:rsid w:val="00494E14"/>
    <w:rsid w:val="00494EBA"/>
    <w:rsid w:val="00494FF1"/>
    <w:rsid w:val="004951D2"/>
    <w:rsid w:val="0049556B"/>
    <w:rsid w:val="0049577F"/>
    <w:rsid w:val="00495978"/>
    <w:rsid w:val="00495BD0"/>
    <w:rsid w:val="00495BD5"/>
    <w:rsid w:val="00495F08"/>
    <w:rsid w:val="00495F1C"/>
    <w:rsid w:val="00495FA5"/>
    <w:rsid w:val="00495FE1"/>
    <w:rsid w:val="00496307"/>
    <w:rsid w:val="0049634B"/>
    <w:rsid w:val="00496402"/>
    <w:rsid w:val="0049646C"/>
    <w:rsid w:val="0049655B"/>
    <w:rsid w:val="00496593"/>
    <w:rsid w:val="004965B1"/>
    <w:rsid w:val="00496652"/>
    <w:rsid w:val="00496678"/>
    <w:rsid w:val="004966BF"/>
    <w:rsid w:val="00496846"/>
    <w:rsid w:val="004968E2"/>
    <w:rsid w:val="004969FD"/>
    <w:rsid w:val="00496A8C"/>
    <w:rsid w:val="00496AEF"/>
    <w:rsid w:val="00496B9F"/>
    <w:rsid w:val="00496BC9"/>
    <w:rsid w:val="00496BE1"/>
    <w:rsid w:val="00496DC5"/>
    <w:rsid w:val="00496DF1"/>
    <w:rsid w:val="00497065"/>
    <w:rsid w:val="004970F4"/>
    <w:rsid w:val="00497131"/>
    <w:rsid w:val="00497153"/>
    <w:rsid w:val="004972A0"/>
    <w:rsid w:val="004972D9"/>
    <w:rsid w:val="00497364"/>
    <w:rsid w:val="00497374"/>
    <w:rsid w:val="004975E6"/>
    <w:rsid w:val="00497636"/>
    <w:rsid w:val="00497675"/>
    <w:rsid w:val="004976C1"/>
    <w:rsid w:val="00497790"/>
    <w:rsid w:val="004977B7"/>
    <w:rsid w:val="004977D3"/>
    <w:rsid w:val="0049788A"/>
    <w:rsid w:val="00497898"/>
    <w:rsid w:val="00497944"/>
    <w:rsid w:val="00497964"/>
    <w:rsid w:val="00497A8E"/>
    <w:rsid w:val="00497D54"/>
    <w:rsid w:val="00497DB6"/>
    <w:rsid w:val="00497FFC"/>
    <w:rsid w:val="004A0112"/>
    <w:rsid w:val="004A015F"/>
    <w:rsid w:val="004A033B"/>
    <w:rsid w:val="004A03C4"/>
    <w:rsid w:val="004A0529"/>
    <w:rsid w:val="004A059D"/>
    <w:rsid w:val="004A06C1"/>
    <w:rsid w:val="004A0798"/>
    <w:rsid w:val="004A0842"/>
    <w:rsid w:val="004A0B61"/>
    <w:rsid w:val="004A0B65"/>
    <w:rsid w:val="004A0C65"/>
    <w:rsid w:val="004A0CD1"/>
    <w:rsid w:val="004A0CF1"/>
    <w:rsid w:val="004A0D56"/>
    <w:rsid w:val="004A0DE8"/>
    <w:rsid w:val="004A0E0E"/>
    <w:rsid w:val="004A0FC5"/>
    <w:rsid w:val="004A1045"/>
    <w:rsid w:val="004A1146"/>
    <w:rsid w:val="004A1256"/>
    <w:rsid w:val="004A128F"/>
    <w:rsid w:val="004A131B"/>
    <w:rsid w:val="004A1579"/>
    <w:rsid w:val="004A1784"/>
    <w:rsid w:val="004A190A"/>
    <w:rsid w:val="004A1A3C"/>
    <w:rsid w:val="004A1B59"/>
    <w:rsid w:val="004A1D7C"/>
    <w:rsid w:val="004A206F"/>
    <w:rsid w:val="004A218E"/>
    <w:rsid w:val="004A2699"/>
    <w:rsid w:val="004A280C"/>
    <w:rsid w:val="004A2BCF"/>
    <w:rsid w:val="004A2F6D"/>
    <w:rsid w:val="004A30A7"/>
    <w:rsid w:val="004A3248"/>
    <w:rsid w:val="004A33F1"/>
    <w:rsid w:val="004A35CF"/>
    <w:rsid w:val="004A37FA"/>
    <w:rsid w:val="004A3AB6"/>
    <w:rsid w:val="004A3B9C"/>
    <w:rsid w:val="004A3C61"/>
    <w:rsid w:val="004A3E36"/>
    <w:rsid w:val="004A3EC7"/>
    <w:rsid w:val="004A3EE8"/>
    <w:rsid w:val="004A3F1C"/>
    <w:rsid w:val="004A3FE1"/>
    <w:rsid w:val="004A40A8"/>
    <w:rsid w:val="004A40DF"/>
    <w:rsid w:val="004A41B5"/>
    <w:rsid w:val="004A43BB"/>
    <w:rsid w:val="004A44D6"/>
    <w:rsid w:val="004A45AE"/>
    <w:rsid w:val="004A47C8"/>
    <w:rsid w:val="004A48A3"/>
    <w:rsid w:val="004A499A"/>
    <w:rsid w:val="004A4B15"/>
    <w:rsid w:val="004A4B4B"/>
    <w:rsid w:val="004A4C1D"/>
    <w:rsid w:val="004A4DA0"/>
    <w:rsid w:val="004A4EC4"/>
    <w:rsid w:val="004A4F19"/>
    <w:rsid w:val="004A4F72"/>
    <w:rsid w:val="004A4F75"/>
    <w:rsid w:val="004A4FE9"/>
    <w:rsid w:val="004A502A"/>
    <w:rsid w:val="004A520E"/>
    <w:rsid w:val="004A5258"/>
    <w:rsid w:val="004A548F"/>
    <w:rsid w:val="004A54BB"/>
    <w:rsid w:val="004A5556"/>
    <w:rsid w:val="004A5A1C"/>
    <w:rsid w:val="004A5A31"/>
    <w:rsid w:val="004A5A5E"/>
    <w:rsid w:val="004A5B44"/>
    <w:rsid w:val="004A5C85"/>
    <w:rsid w:val="004A5C9D"/>
    <w:rsid w:val="004A5CEB"/>
    <w:rsid w:val="004A5D68"/>
    <w:rsid w:val="004A5DBF"/>
    <w:rsid w:val="004A5E51"/>
    <w:rsid w:val="004A5FE6"/>
    <w:rsid w:val="004A60BF"/>
    <w:rsid w:val="004A64C9"/>
    <w:rsid w:val="004A660B"/>
    <w:rsid w:val="004A6634"/>
    <w:rsid w:val="004A6685"/>
    <w:rsid w:val="004A6963"/>
    <w:rsid w:val="004A6A96"/>
    <w:rsid w:val="004A6D66"/>
    <w:rsid w:val="004A6D73"/>
    <w:rsid w:val="004A6EE2"/>
    <w:rsid w:val="004A6F68"/>
    <w:rsid w:val="004A6FA0"/>
    <w:rsid w:val="004A6FA1"/>
    <w:rsid w:val="004A705D"/>
    <w:rsid w:val="004A77FC"/>
    <w:rsid w:val="004A7A13"/>
    <w:rsid w:val="004A7A2C"/>
    <w:rsid w:val="004A7BD8"/>
    <w:rsid w:val="004B0317"/>
    <w:rsid w:val="004B03A1"/>
    <w:rsid w:val="004B06BC"/>
    <w:rsid w:val="004B08D1"/>
    <w:rsid w:val="004B0A51"/>
    <w:rsid w:val="004B0AD6"/>
    <w:rsid w:val="004B0B29"/>
    <w:rsid w:val="004B0DD1"/>
    <w:rsid w:val="004B0E34"/>
    <w:rsid w:val="004B0F3E"/>
    <w:rsid w:val="004B10B7"/>
    <w:rsid w:val="004B10DC"/>
    <w:rsid w:val="004B11BE"/>
    <w:rsid w:val="004B1217"/>
    <w:rsid w:val="004B14C8"/>
    <w:rsid w:val="004B163E"/>
    <w:rsid w:val="004B164F"/>
    <w:rsid w:val="004B1662"/>
    <w:rsid w:val="004B17D7"/>
    <w:rsid w:val="004B187C"/>
    <w:rsid w:val="004B1892"/>
    <w:rsid w:val="004B1AC5"/>
    <w:rsid w:val="004B1C6D"/>
    <w:rsid w:val="004B1CA7"/>
    <w:rsid w:val="004B21BC"/>
    <w:rsid w:val="004B22CE"/>
    <w:rsid w:val="004B22EE"/>
    <w:rsid w:val="004B2336"/>
    <w:rsid w:val="004B234A"/>
    <w:rsid w:val="004B2488"/>
    <w:rsid w:val="004B25A9"/>
    <w:rsid w:val="004B268E"/>
    <w:rsid w:val="004B26B9"/>
    <w:rsid w:val="004B2734"/>
    <w:rsid w:val="004B28EC"/>
    <w:rsid w:val="004B2988"/>
    <w:rsid w:val="004B2B81"/>
    <w:rsid w:val="004B2D6C"/>
    <w:rsid w:val="004B2DE9"/>
    <w:rsid w:val="004B2E27"/>
    <w:rsid w:val="004B2E52"/>
    <w:rsid w:val="004B2EB7"/>
    <w:rsid w:val="004B307E"/>
    <w:rsid w:val="004B30B3"/>
    <w:rsid w:val="004B31AF"/>
    <w:rsid w:val="004B31C2"/>
    <w:rsid w:val="004B3486"/>
    <w:rsid w:val="004B351B"/>
    <w:rsid w:val="004B359F"/>
    <w:rsid w:val="004B36CE"/>
    <w:rsid w:val="004B37BA"/>
    <w:rsid w:val="004B3A4E"/>
    <w:rsid w:val="004B40A6"/>
    <w:rsid w:val="004B41EA"/>
    <w:rsid w:val="004B42FB"/>
    <w:rsid w:val="004B43D5"/>
    <w:rsid w:val="004B4407"/>
    <w:rsid w:val="004B441E"/>
    <w:rsid w:val="004B44F8"/>
    <w:rsid w:val="004B4771"/>
    <w:rsid w:val="004B478D"/>
    <w:rsid w:val="004B47D2"/>
    <w:rsid w:val="004B48C1"/>
    <w:rsid w:val="004B4BB1"/>
    <w:rsid w:val="004B4BC6"/>
    <w:rsid w:val="004B4E81"/>
    <w:rsid w:val="004B4EAB"/>
    <w:rsid w:val="004B4F5A"/>
    <w:rsid w:val="004B4F8D"/>
    <w:rsid w:val="004B507F"/>
    <w:rsid w:val="004B51FA"/>
    <w:rsid w:val="004B5326"/>
    <w:rsid w:val="004B536F"/>
    <w:rsid w:val="004B53FB"/>
    <w:rsid w:val="004B5402"/>
    <w:rsid w:val="004B555F"/>
    <w:rsid w:val="004B5855"/>
    <w:rsid w:val="004B58DE"/>
    <w:rsid w:val="004B599F"/>
    <w:rsid w:val="004B5A50"/>
    <w:rsid w:val="004B5B39"/>
    <w:rsid w:val="004B5B74"/>
    <w:rsid w:val="004B5B7C"/>
    <w:rsid w:val="004B5C55"/>
    <w:rsid w:val="004B5D11"/>
    <w:rsid w:val="004B5D13"/>
    <w:rsid w:val="004B5E8B"/>
    <w:rsid w:val="004B5F82"/>
    <w:rsid w:val="004B5FC7"/>
    <w:rsid w:val="004B6014"/>
    <w:rsid w:val="004B6019"/>
    <w:rsid w:val="004B6158"/>
    <w:rsid w:val="004B617E"/>
    <w:rsid w:val="004B6212"/>
    <w:rsid w:val="004B6622"/>
    <w:rsid w:val="004B6655"/>
    <w:rsid w:val="004B6674"/>
    <w:rsid w:val="004B66AB"/>
    <w:rsid w:val="004B6871"/>
    <w:rsid w:val="004B6934"/>
    <w:rsid w:val="004B6A65"/>
    <w:rsid w:val="004B6B4F"/>
    <w:rsid w:val="004B6DF7"/>
    <w:rsid w:val="004B710C"/>
    <w:rsid w:val="004B71C5"/>
    <w:rsid w:val="004B7465"/>
    <w:rsid w:val="004B75B9"/>
    <w:rsid w:val="004B75E2"/>
    <w:rsid w:val="004B7C0E"/>
    <w:rsid w:val="004B7F72"/>
    <w:rsid w:val="004C00B9"/>
    <w:rsid w:val="004C03C9"/>
    <w:rsid w:val="004C03E0"/>
    <w:rsid w:val="004C0459"/>
    <w:rsid w:val="004C04A8"/>
    <w:rsid w:val="004C04BB"/>
    <w:rsid w:val="004C060C"/>
    <w:rsid w:val="004C0700"/>
    <w:rsid w:val="004C0729"/>
    <w:rsid w:val="004C088E"/>
    <w:rsid w:val="004C091A"/>
    <w:rsid w:val="004C0A3C"/>
    <w:rsid w:val="004C0B70"/>
    <w:rsid w:val="004C0B72"/>
    <w:rsid w:val="004C0BAB"/>
    <w:rsid w:val="004C0BE7"/>
    <w:rsid w:val="004C0C26"/>
    <w:rsid w:val="004C0CE9"/>
    <w:rsid w:val="004C0D03"/>
    <w:rsid w:val="004C0E24"/>
    <w:rsid w:val="004C1031"/>
    <w:rsid w:val="004C1264"/>
    <w:rsid w:val="004C1299"/>
    <w:rsid w:val="004C16B3"/>
    <w:rsid w:val="004C16FF"/>
    <w:rsid w:val="004C1761"/>
    <w:rsid w:val="004C1965"/>
    <w:rsid w:val="004C1ABA"/>
    <w:rsid w:val="004C1BB3"/>
    <w:rsid w:val="004C1CC8"/>
    <w:rsid w:val="004C1D27"/>
    <w:rsid w:val="004C1E12"/>
    <w:rsid w:val="004C1F81"/>
    <w:rsid w:val="004C2028"/>
    <w:rsid w:val="004C216C"/>
    <w:rsid w:val="004C2239"/>
    <w:rsid w:val="004C274D"/>
    <w:rsid w:val="004C2846"/>
    <w:rsid w:val="004C28CB"/>
    <w:rsid w:val="004C29C3"/>
    <w:rsid w:val="004C2BF1"/>
    <w:rsid w:val="004C2D46"/>
    <w:rsid w:val="004C2E64"/>
    <w:rsid w:val="004C2E70"/>
    <w:rsid w:val="004C30F6"/>
    <w:rsid w:val="004C321C"/>
    <w:rsid w:val="004C322C"/>
    <w:rsid w:val="004C32A6"/>
    <w:rsid w:val="004C3322"/>
    <w:rsid w:val="004C332E"/>
    <w:rsid w:val="004C3350"/>
    <w:rsid w:val="004C3515"/>
    <w:rsid w:val="004C357F"/>
    <w:rsid w:val="004C365B"/>
    <w:rsid w:val="004C3837"/>
    <w:rsid w:val="004C38E1"/>
    <w:rsid w:val="004C394F"/>
    <w:rsid w:val="004C3B24"/>
    <w:rsid w:val="004C3B84"/>
    <w:rsid w:val="004C3C05"/>
    <w:rsid w:val="004C3CFB"/>
    <w:rsid w:val="004C3DA1"/>
    <w:rsid w:val="004C3FA7"/>
    <w:rsid w:val="004C413A"/>
    <w:rsid w:val="004C42E1"/>
    <w:rsid w:val="004C4375"/>
    <w:rsid w:val="004C43D9"/>
    <w:rsid w:val="004C44BC"/>
    <w:rsid w:val="004C4507"/>
    <w:rsid w:val="004C456E"/>
    <w:rsid w:val="004C466A"/>
    <w:rsid w:val="004C49EF"/>
    <w:rsid w:val="004C4B0B"/>
    <w:rsid w:val="004C4BFF"/>
    <w:rsid w:val="004C4D80"/>
    <w:rsid w:val="004C4E58"/>
    <w:rsid w:val="004C4FD7"/>
    <w:rsid w:val="004C50D0"/>
    <w:rsid w:val="004C5149"/>
    <w:rsid w:val="004C51BA"/>
    <w:rsid w:val="004C52BA"/>
    <w:rsid w:val="004C5390"/>
    <w:rsid w:val="004C543B"/>
    <w:rsid w:val="004C54B8"/>
    <w:rsid w:val="004C5702"/>
    <w:rsid w:val="004C5830"/>
    <w:rsid w:val="004C596C"/>
    <w:rsid w:val="004C5995"/>
    <w:rsid w:val="004C5A7E"/>
    <w:rsid w:val="004C5A9A"/>
    <w:rsid w:val="004C5A9C"/>
    <w:rsid w:val="004C5AB4"/>
    <w:rsid w:val="004C5B0A"/>
    <w:rsid w:val="004C5B1C"/>
    <w:rsid w:val="004C5BE4"/>
    <w:rsid w:val="004C5BF2"/>
    <w:rsid w:val="004C5EF7"/>
    <w:rsid w:val="004C5F9E"/>
    <w:rsid w:val="004C6034"/>
    <w:rsid w:val="004C615C"/>
    <w:rsid w:val="004C615F"/>
    <w:rsid w:val="004C62A9"/>
    <w:rsid w:val="004C637C"/>
    <w:rsid w:val="004C65BD"/>
    <w:rsid w:val="004C66DA"/>
    <w:rsid w:val="004C6967"/>
    <w:rsid w:val="004C6AE5"/>
    <w:rsid w:val="004C6B02"/>
    <w:rsid w:val="004C6C52"/>
    <w:rsid w:val="004C6C73"/>
    <w:rsid w:val="004C6D72"/>
    <w:rsid w:val="004C7121"/>
    <w:rsid w:val="004C719E"/>
    <w:rsid w:val="004C7298"/>
    <w:rsid w:val="004C72BD"/>
    <w:rsid w:val="004C7451"/>
    <w:rsid w:val="004C764C"/>
    <w:rsid w:val="004C770D"/>
    <w:rsid w:val="004C7763"/>
    <w:rsid w:val="004C779A"/>
    <w:rsid w:val="004C77A6"/>
    <w:rsid w:val="004C7872"/>
    <w:rsid w:val="004C7946"/>
    <w:rsid w:val="004C796A"/>
    <w:rsid w:val="004C7A2A"/>
    <w:rsid w:val="004C7BEB"/>
    <w:rsid w:val="004C7CA5"/>
    <w:rsid w:val="004C7CBA"/>
    <w:rsid w:val="004C7EC2"/>
    <w:rsid w:val="004C7FCC"/>
    <w:rsid w:val="004D0110"/>
    <w:rsid w:val="004D02B5"/>
    <w:rsid w:val="004D0334"/>
    <w:rsid w:val="004D08BB"/>
    <w:rsid w:val="004D09AC"/>
    <w:rsid w:val="004D0CDB"/>
    <w:rsid w:val="004D0F26"/>
    <w:rsid w:val="004D0F43"/>
    <w:rsid w:val="004D1012"/>
    <w:rsid w:val="004D114B"/>
    <w:rsid w:val="004D12D1"/>
    <w:rsid w:val="004D13D8"/>
    <w:rsid w:val="004D1455"/>
    <w:rsid w:val="004D1502"/>
    <w:rsid w:val="004D19E7"/>
    <w:rsid w:val="004D1A08"/>
    <w:rsid w:val="004D1BE7"/>
    <w:rsid w:val="004D1C10"/>
    <w:rsid w:val="004D1C15"/>
    <w:rsid w:val="004D1E90"/>
    <w:rsid w:val="004D1EC4"/>
    <w:rsid w:val="004D1FC6"/>
    <w:rsid w:val="004D2012"/>
    <w:rsid w:val="004D2040"/>
    <w:rsid w:val="004D208B"/>
    <w:rsid w:val="004D2097"/>
    <w:rsid w:val="004D210E"/>
    <w:rsid w:val="004D214B"/>
    <w:rsid w:val="004D2197"/>
    <w:rsid w:val="004D21EA"/>
    <w:rsid w:val="004D22B6"/>
    <w:rsid w:val="004D23DA"/>
    <w:rsid w:val="004D2528"/>
    <w:rsid w:val="004D25A7"/>
    <w:rsid w:val="004D25C2"/>
    <w:rsid w:val="004D2760"/>
    <w:rsid w:val="004D2852"/>
    <w:rsid w:val="004D2B4B"/>
    <w:rsid w:val="004D2BC4"/>
    <w:rsid w:val="004D3059"/>
    <w:rsid w:val="004D31E4"/>
    <w:rsid w:val="004D3251"/>
    <w:rsid w:val="004D3429"/>
    <w:rsid w:val="004D350A"/>
    <w:rsid w:val="004D380B"/>
    <w:rsid w:val="004D381A"/>
    <w:rsid w:val="004D397E"/>
    <w:rsid w:val="004D3A54"/>
    <w:rsid w:val="004D3BBF"/>
    <w:rsid w:val="004D3C50"/>
    <w:rsid w:val="004D3C96"/>
    <w:rsid w:val="004D3E0E"/>
    <w:rsid w:val="004D3E16"/>
    <w:rsid w:val="004D40C6"/>
    <w:rsid w:val="004D4335"/>
    <w:rsid w:val="004D444E"/>
    <w:rsid w:val="004D45C7"/>
    <w:rsid w:val="004D45EB"/>
    <w:rsid w:val="004D4652"/>
    <w:rsid w:val="004D467F"/>
    <w:rsid w:val="004D472E"/>
    <w:rsid w:val="004D478B"/>
    <w:rsid w:val="004D490C"/>
    <w:rsid w:val="004D4C10"/>
    <w:rsid w:val="004D4C17"/>
    <w:rsid w:val="004D4DCD"/>
    <w:rsid w:val="004D4EAA"/>
    <w:rsid w:val="004D4F78"/>
    <w:rsid w:val="004D4FB2"/>
    <w:rsid w:val="004D4FDC"/>
    <w:rsid w:val="004D4FE0"/>
    <w:rsid w:val="004D50E6"/>
    <w:rsid w:val="004D5106"/>
    <w:rsid w:val="004D5144"/>
    <w:rsid w:val="004D51D5"/>
    <w:rsid w:val="004D5338"/>
    <w:rsid w:val="004D550F"/>
    <w:rsid w:val="004D553E"/>
    <w:rsid w:val="004D5631"/>
    <w:rsid w:val="004D566F"/>
    <w:rsid w:val="004D5693"/>
    <w:rsid w:val="004D57B4"/>
    <w:rsid w:val="004D58CF"/>
    <w:rsid w:val="004D58ED"/>
    <w:rsid w:val="004D5A13"/>
    <w:rsid w:val="004D5A15"/>
    <w:rsid w:val="004D5A45"/>
    <w:rsid w:val="004D5BAD"/>
    <w:rsid w:val="004D615B"/>
    <w:rsid w:val="004D621B"/>
    <w:rsid w:val="004D63AE"/>
    <w:rsid w:val="004D64D8"/>
    <w:rsid w:val="004D6510"/>
    <w:rsid w:val="004D658D"/>
    <w:rsid w:val="004D6603"/>
    <w:rsid w:val="004D6859"/>
    <w:rsid w:val="004D6949"/>
    <w:rsid w:val="004D69B3"/>
    <w:rsid w:val="004D6D26"/>
    <w:rsid w:val="004D6D82"/>
    <w:rsid w:val="004D6E04"/>
    <w:rsid w:val="004D6EDC"/>
    <w:rsid w:val="004D73C6"/>
    <w:rsid w:val="004D756B"/>
    <w:rsid w:val="004D7979"/>
    <w:rsid w:val="004D7A69"/>
    <w:rsid w:val="004D7A9B"/>
    <w:rsid w:val="004D7B21"/>
    <w:rsid w:val="004D7D6D"/>
    <w:rsid w:val="004D7DA5"/>
    <w:rsid w:val="004D7E36"/>
    <w:rsid w:val="004D7EF3"/>
    <w:rsid w:val="004D7F71"/>
    <w:rsid w:val="004D7F75"/>
    <w:rsid w:val="004D7F88"/>
    <w:rsid w:val="004D7F89"/>
    <w:rsid w:val="004D7F96"/>
    <w:rsid w:val="004E037C"/>
    <w:rsid w:val="004E05BD"/>
    <w:rsid w:val="004E069F"/>
    <w:rsid w:val="004E06E5"/>
    <w:rsid w:val="004E0733"/>
    <w:rsid w:val="004E0B08"/>
    <w:rsid w:val="004E0B2A"/>
    <w:rsid w:val="004E0C49"/>
    <w:rsid w:val="004E0E61"/>
    <w:rsid w:val="004E107A"/>
    <w:rsid w:val="004E1090"/>
    <w:rsid w:val="004E1107"/>
    <w:rsid w:val="004E1160"/>
    <w:rsid w:val="004E1223"/>
    <w:rsid w:val="004E1323"/>
    <w:rsid w:val="004E1426"/>
    <w:rsid w:val="004E14CB"/>
    <w:rsid w:val="004E15C3"/>
    <w:rsid w:val="004E15E4"/>
    <w:rsid w:val="004E1619"/>
    <w:rsid w:val="004E16E1"/>
    <w:rsid w:val="004E195F"/>
    <w:rsid w:val="004E1D0C"/>
    <w:rsid w:val="004E1ECE"/>
    <w:rsid w:val="004E217B"/>
    <w:rsid w:val="004E21BD"/>
    <w:rsid w:val="004E22B5"/>
    <w:rsid w:val="004E22F5"/>
    <w:rsid w:val="004E249E"/>
    <w:rsid w:val="004E2552"/>
    <w:rsid w:val="004E256A"/>
    <w:rsid w:val="004E2625"/>
    <w:rsid w:val="004E2633"/>
    <w:rsid w:val="004E26BB"/>
    <w:rsid w:val="004E2904"/>
    <w:rsid w:val="004E2976"/>
    <w:rsid w:val="004E2A4F"/>
    <w:rsid w:val="004E2C1A"/>
    <w:rsid w:val="004E2C7D"/>
    <w:rsid w:val="004E2CA1"/>
    <w:rsid w:val="004E2DB5"/>
    <w:rsid w:val="004E2FFF"/>
    <w:rsid w:val="004E3108"/>
    <w:rsid w:val="004E346D"/>
    <w:rsid w:val="004E3632"/>
    <w:rsid w:val="004E36C6"/>
    <w:rsid w:val="004E36E9"/>
    <w:rsid w:val="004E38B1"/>
    <w:rsid w:val="004E3958"/>
    <w:rsid w:val="004E3D92"/>
    <w:rsid w:val="004E3E2C"/>
    <w:rsid w:val="004E3F62"/>
    <w:rsid w:val="004E3FBF"/>
    <w:rsid w:val="004E4020"/>
    <w:rsid w:val="004E4061"/>
    <w:rsid w:val="004E43B2"/>
    <w:rsid w:val="004E43BC"/>
    <w:rsid w:val="004E4626"/>
    <w:rsid w:val="004E463D"/>
    <w:rsid w:val="004E47AC"/>
    <w:rsid w:val="004E482E"/>
    <w:rsid w:val="004E48F9"/>
    <w:rsid w:val="004E4A87"/>
    <w:rsid w:val="004E4BEF"/>
    <w:rsid w:val="004E4CC5"/>
    <w:rsid w:val="004E4D25"/>
    <w:rsid w:val="004E4E57"/>
    <w:rsid w:val="004E4EC4"/>
    <w:rsid w:val="004E4F6E"/>
    <w:rsid w:val="004E4F99"/>
    <w:rsid w:val="004E5077"/>
    <w:rsid w:val="004E50AC"/>
    <w:rsid w:val="004E50CB"/>
    <w:rsid w:val="004E548E"/>
    <w:rsid w:val="004E5561"/>
    <w:rsid w:val="004E55EA"/>
    <w:rsid w:val="004E5782"/>
    <w:rsid w:val="004E57E2"/>
    <w:rsid w:val="004E5EA2"/>
    <w:rsid w:val="004E5EF2"/>
    <w:rsid w:val="004E60C9"/>
    <w:rsid w:val="004E60D2"/>
    <w:rsid w:val="004E60E8"/>
    <w:rsid w:val="004E62B1"/>
    <w:rsid w:val="004E62C4"/>
    <w:rsid w:val="004E6351"/>
    <w:rsid w:val="004E63B1"/>
    <w:rsid w:val="004E652E"/>
    <w:rsid w:val="004E6607"/>
    <w:rsid w:val="004E6811"/>
    <w:rsid w:val="004E689F"/>
    <w:rsid w:val="004E6A5F"/>
    <w:rsid w:val="004E6AB5"/>
    <w:rsid w:val="004E6C3C"/>
    <w:rsid w:val="004E6D8D"/>
    <w:rsid w:val="004E6DAB"/>
    <w:rsid w:val="004E6E89"/>
    <w:rsid w:val="004E6F15"/>
    <w:rsid w:val="004E70DD"/>
    <w:rsid w:val="004E710D"/>
    <w:rsid w:val="004E71A7"/>
    <w:rsid w:val="004E71DE"/>
    <w:rsid w:val="004E7277"/>
    <w:rsid w:val="004E72CF"/>
    <w:rsid w:val="004E73D1"/>
    <w:rsid w:val="004E744F"/>
    <w:rsid w:val="004E74F9"/>
    <w:rsid w:val="004E7563"/>
    <w:rsid w:val="004E761F"/>
    <w:rsid w:val="004E76FB"/>
    <w:rsid w:val="004E7A97"/>
    <w:rsid w:val="004E7DE0"/>
    <w:rsid w:val="004E7EA1"/>
    <w:rsid w:val="004E7F0B"/>
    <w:rsid w:val="004F0137"/>
    <w:rsid w:val="004F01AA"/>
    <w:rsid w:val="004F01BB"/>
    <w:rsid w:val="004F0304"/>
    <w:rsid w:val="004F0393"/>
    <w:rsid w:val="004F04C2"/>
    <w:rsid w:val="004F0503"/>
    <w:rsid w:val="004F0575"/>
    <w:rsid w:val="004F067E"/>
    <w:rsid w:val="004F075F"/>
    <w:rsid w:val="004F0893"/>
    <w:rsid w:val="004F08DB"/>
    <w:rsid w:val="004F0BE3"/>
    <w:rsid w:val="004F0C4D"/>
    <w:rsid w:val="004F0C4F"/>
    <w:rsid w:val="004F0CFC"/>
    <w:rsid w:val="004F0F8D"/>
    <w:rsid w:val="004F0FBB"/>
    <w:rsid w:val="004F1093"/>
    <w:rsid w:val="004F13E1"/>
    <w:rsid w:val="004F13EB"/>
    <w:rsid w:val="004F1570"/>
    <w:rsid w:val="004F15F1"/>
    <w:rsid w:val="004F1622"/>
    <w:rsid w:val="004F1657"/>
    <w:rsid w:val="004F173C"/>
    <w:rsid w:val="004F17F3"/>
    <w:rsid w:val="004F185A"/>
    <w:rsid w:val="004F1940"/>
    <w:rsid w:val="004F1A35"/>
    <w:rsid w:val="004F1AA2"/>
    <w:rsid w:val="004F1D06"/>
    <w:rsid w:val="004F1D0D"/>
    <w:rsid w:val="004F1F03"/>
    <w:rsid w:val="004F1F3C"/>
    <w:rsid w:val="004F1FBC"/>
    <w:rsid w:val="004F206B"/>
    <w:rsid w:val="004F20DD"/>
    <w:rsid w:val="004F2129"/>
    <w:rsid w:val="004F226C"/>
    <w:rsid w:val="004F230B"/>
    <w:rsid w:val="004F24A0"/>
    <w:rsid w:val="004F2610"/>
    <w:rsid w:val="004F26FF"/>
    <w:rsid w:val="004F2700"/>
    <w:rsid w:val="004F2939"/>
    <w:rsid w:val="004F29CD"/>
    <w:rsid w:val="004F2B6E"/>
    <w:rsid w:val="004F2BBB"/>
    <w:rsid w:val="004F2CB2"/>
    <w:rsid w:val="004F2D6A"/>
    <w:rsid w:val="004F2E5C"/>
    <w:rsid w:val="004F2E84"/>
    <w:rsid w:val="004F2FDF"/>
    <w:rsid w:val="004F30B6"/>
    <w:rsid w:val="004F31B6"/>
    <w:rsid w:val="004F32C1"/>
    <w:rsid w:val="004F346C"/>
    <w:rsid w:val="004F347B"/>
    <w:rsid w:val="004F351E"/>
    <w:rsid w:val="004F38A6"/>
    <w:rsid w:val="004F3E59"/>
    <w:rsid w:val="004F3FBB"/>
    <w:rsid w:val="004F407F"/>
    <w:rsid w:val="004F40FF"/>
    <w:rsid w:val="004F41B8"/>
    <w:rsid w:val="004F4297"/>
    <w:rsid w:val="004F46A1"/>
    <w:rsid w:val="004F4735"/>
    <w:rsid w:val="004F4857"/>
    <w:rsid w:val="004F485C"/>
    <w:rsid w:val="004F4938"/>
    <w:rsid w:val="004F4A52"/>
    <w:rsid w:val="004F4BB3"/>
    <w:rsid w:val="004F4E23"/>
    <w:rsid w:val="004F4E50"/>
    <w:rsid w:val="004F4EE1"/>
    <w:rsid w:val="004F4EE3"/>
    <w:rsid w:val="004F4F8A"/>
    <w:rsid w:val="004F4FA1"/>
    <w:rsid w:val="004F500F"/>
    <w:rsid w:val="004F506D"/>
    <w:rsid w:val="004F5153"/>
    <w:rsid w:val="004F51FD"/>
    <w:rsid w:val="004F5306"/>
    <w:rsid w:val="004F548C"/>
    <w:rsid w:val="004F55B9"/>
    <w:rsid w:val="004F5815"/>
    <w:rsid w:val="004F58BB"/>
    <w:rsid w:val="004F594B"/>
    <w:rsid w:val="004F595E"/>
    <w:rsid w:val="004F59E5"/>
    <w:rsid w:val="004F5CED"/>
    <w:rsid w:val="004F5DD5"/>
    <w:rsid w:val="004F5E8C"/>
    <w:rsid w:val="004F5EB3"/>
    <w:rsid w:val="004F5F6D"/>
    <w:rsid w:val="004F5FE8"/>
    <w:rsid w:val="004F608A"/>
    <w:rsid w:val="004F6302"/>
    <w:rsid w:val="004F6428"/>
    <w:rsid w:val="004F6550"/>
    <w:rsid w:val="004F6656"/>
    <w:rsid w:val="004F683E"/>
    <w:rsid w:val="004F6AB8"/>
    <w:rsid w:val="004F6B59"/>
    <w:rsid w:val="004F6B79"/>
    <w:rsid w:val="004F6E16"/>
    <w:rsid w:val="004F6F21"/>
    <w:rsid w:val="004F6FB7"/>
    <w:rsid w:val="004F7063"/>
    <w:rsid w:val="004F7122"/>
    <w:rsid w:val="004F7268"/>
    <w:rsid w:val="004F72AF"/>
    <w:rsid w:val="004F7446"/>
    <w:rsid w:val="004F744C"/>
    <w:rsid w:val="004F755D"/>
    <w:rsid w:val="004F76D6"/>
    <w:rsid w:val="004F784F"/>
    <w:rsid w:val="004F78A3"/>
    <w:rsid w:val="004F79B9"/>
    <w:rsid w:val="004F7B18"/>
    <w:rsid w:val="004F7BE6"/>
    <w:rsid w:val="004F7E9C"/>
    <w:rsid w:val="00500129"/>
    <w:rsid w:val="00500158"/>
    <w:rsid w:val="005001F7"/>
    <w:rsid w:val="005003CF"/>
    <w:rsid w:val="005004AD"/>
    <w:rsid w:val="00500530"/>
    <w:rsid w:val="00500833"/>
    <w:rsid w:val="005008E3"/>
    <w:rsid w:val="0050097C"/>
    <w:rsid w:val="00500B5D"/>
    <w:rsid w:val="00500DCA"/>
    <w:rsid w:val="00500F40"/>
    <w:rsid w:val="005010BC"/>
    <w:rsid w:val="00501159"/>
    <w:rsid w:val="00501170"/>
    <w:rsid w:val="00501270"/>
    <w:rsid w:val="005012C7"/>
    <w:rsid w:val="005012D9"/>
    <w:rsid w:val="005013A5"/>
    <w:rsid w:val="00501410"/>
    <w:rsid w:val="00501481"/>
    <w:rsid w:val="0050161F"/>
    <w:rsid w:val="00501761"/>
    <w:rsid w:val="005018AD"/>
    <w:rsid w:val="00501912"/>
    <w:rsid w:val="00501B3A"/>
    <w:rsid w:val="00501C71"/>
    <w:rsid w:val="00501D37"/>
    <w:rsid w:val="00502034"/>
    <w:rsid w:val="00502149"/>
    <w:rsid w:val="0050222C"/>
    <w:rsid w:val="0050225F"/>
    <w:rsid w:val="005022FB"/>
    <w:rsid w:val="0050250A"/>
    <w:rsid w:val="00502658"/>
    <w:rsid w:val="005026E4"/>
    <w:rsid w:val="005026F9"/>
    <w:rsid w:val="00502862"/>
    <w:rsid w:val="00502B32"/>
    <w:rsid w:val="00502C46"/>
    <w:rsid w:val="00502EC0"/>
    <w:rsid w:val="00502F1D"/>
    <w:rsid w:val="00502F6D"/>
    <w:rsid w:val="0050318B"/>
    <w:rsid w:val="005032FD"/>
    <w:rsid w:val="0050330E"/>
    <w:rsid w:val="0050351B"/>
    <w:rsid w:val="005035D5"/>
    <w:rsid w:val="0050364D"/>
    <w:rsid w:val="005036AD"/>
    <w:rsid w:val="00503987"/>
    <w:rsid w:val="005039D5"/>
    <w:rsid w:val="00503AE4"/>
    <w:rsid w:val="00503CE2"/>
    <w:rsid w:val="00503D30"/>
    <w:rsid w:val="00503D7B"/>
    <w:rsid w:val="00503F32"/>
    <w:rsid w:val="0050408F"/>
    <w:rsid w:val="00504242"/>
    <w:rsid w:val="00504252"/>
    <w:rsid w:val="005042AB"/>
    <w:rsid w:val="005043F7"/>
    <w:rsid w:val="005044BE"/>
    <w:rsid w:val="00504726"/>
    <w:rsid w:val="005049BF"/>
    <w:rsid w:val="00504A25"/>
    <w:rsid w:val="00504C64"/>
    <w:rsid w:val="00504D8E"/>
    <w:rsid w:val="00504F5B"/>
    <w:rsid w:val="00504F98"/>
    <w:rsid w:val="005053F7"/>
    <w:rsid w:val="00505496"/>
    <w:rsid w:val="005054CA"/>
    <w:rsid w:val="00505555"/>
    <w:rsid w:val="005055E8"/>
    <w:rsid w:val="0050561E"/>
    <w:rsid w:val="00505966"/>
    <w:rsid w:val="00505A3A"/>
    <w:rsid w:val="00505C87"/>
    <w:rsid w:val="00505D34"/>
    <w:rsid w:val="00505D95"/>
    <w:rsid w:val="00505EA6"/>
    <w:rsid w:val="00505FC2"/>
    <w:rsid w:val="00505FD2"/>
    <w:rsid w:val="0050608C"/>
    <w:rsid w:val="005062EA"/>
    <w:rsid w:val="0050641B"/>
    <w:rsid w:val="00506693"/>
    <w:rsid w:val="005067D8"/>
    <w:rsid w:val="005069CE"/>
    <w:rsid w:val="00506B91"/>
    <w:rsid w:val="00506C63"/>
    <w:rsid w:val="00506DD6"/>
    <w:rsid w:val="00506DFE"/>
    <w:rsid w:val="00506E3E"/>
    <w:rsid w:val="005072B5"/>
    <w:rsid w:val="00507344"/>
    <w:rsid w:val="005073BF"/>
    <w:rsid w:val="00507654"/>
    <w:rsid w:val="00507685"/>
    <w:rsid w:val="005076C0"/>
    <w:rsid w:val="005077B0"/>
    <w:rsid w:val="0050796D"/>
    <w:rsid w:val="005079C3"/>
    <w:rsid w:val="00507B05"/>
    <w:rsid w:val="00507B72"/>
    <w:rsid w:val="00507C31"/>
    <w:rsid w:val="00507E46"/>
    <w:rsid w:val="00507EA7"/>
    <w:rsid w:val="00507EDF"/>
    <w:rsid w:val="00507F83"/>
    <w:rsid w:val="0051003D"/>
    <w:rsid w:val="00510306"/>
    <w:rsid w:val="005104BD"/>
    <w:rsid w:val="005107A5"/>
    <w:rsid w:val="00510820"/>
    <w:rsid w:val="00510957"/>
    <w:rsid w:val="00510AD5"/>
    <w:rsid w:val="00510BFA"/>
    <w:rsid w:val="00510CB4"/>
    <w:rsid w:val="00510CE7"/>
    <w:rsid w:val="00510CEE"/>
    <w:rsid w:val="00510D96"/>
    <w:rsid w:val="00510E95"/>
    <w:rsid w:val="00511233"/>
    <w:rsid w:val="0051141C"/>
    <w:rsid w:val="00511432"/>
    <w:rsid w:val="005115A1"/>
    <w:rsid w:val="005116EC"/>
    <w:rsid w:val="005117BB"/>
    <w:rsid w:val="00511914"/>
    <w:rsid w:val="00511940"/>
    <w:rsid w:val="00511A66"/>
    <w:rsid w:val="00511AD4"/>
    <w:rsid w:val="00511B3C"/>
    <w:rsid w:val="00511B87"/>
    <w:rsid w:val="00511BDF"/>
    <w:rsid w:val="00511BFB"/>
    <w:rsid w:val="00511D33"/>
    <w:rsid w:val="00511E56"/>
    <w:rsid w:val="00511E98"/>
    <w:rsid w:val="00511ED2"/>
    <w:rsid w:val="00511F5C"/>
    <w:rsid w:val="00511F6F"/>
    <w:rsid w:val="005122C2"/>
    <w:rsid w:val="0051231A"/>
    <w:rsid w:val="005123EB"/>
    <w:rsid w:val="00512726"/>
    <w:rsid w:val="00512762"/>
    <w:rsid w:val="0051283F"/>
    <w:rsid w:val="0051285E"/>
    <w:rsid w:val="00512AEE"/>
    <w:rsid w:val="00512B1C"/>
    <w:rsid w:val="00512D01"/>
    <w:rsid w:val="00512D9B"/>
    <w:rsid w:val="00512DBF"/>
    <w:rsid w:val="00512EB7"/>
    <w:rsid w:val="00512F0E"/>
    <w:rsid w:val="00513195"/>
    <w:rsid w:val="005131E2"/>
    <w:rsid w:val="005131E9"/>
    <w:rsid w:val="0051328D"/>
    <w:rsid w:val="00513435"/>
    <w:rsid w:val="00513445"/>
    <w:rsid w:val="0051344E"/>
    <w:rsid w:val="0051359A"/>
    <w:rsid w:val="00513659"/>
    <w:rsid w:val="005136B0"/>
    <w:rsid w:val="005137CD"/>
    <w:rsid w:val="00513811"/>
    <w:rsid w:val="00513875"/>
    <w:rsid w:val="005138C2"/>
    <w:rsid w:val="005139E7"/>
    <w:rsid w:val="00513C16"/>
    <w:rsid w:val="00513C55"/>
    <w:rsid w:val="00513D2A"/>
    <w:rsid w:val="00513EB9"/>
    <w:rsid w:val="00513EC1"/>
    <w:rsid w:val="00513F1B"/>
    <w:rsid w:val="005140A3"/>
    <w:rsid w:val="005141EA"/>
    <w:rsid w:val="005142AB"/>
    <w:rsid w:val="00514309"/>
    <w:rsid w:val="00514337"/>
    <w:rsid w:val="005146B3"/>
    <w:rsid w:val="0051477B"/>
    <w:rsid w:val="00514834"/>
    <w:rsid w:val="005148D0"/>
    <w:rsid w:val="005148FD"/>
    <w:rsid w:val="00514A53"/>
    <w:rsid w:val="00514B8E"/>
    <w:rsid w:val="00514BE5"/>
    <w:rsid w:val="00514D4C"/>
    <w:rsid w:val="00514E5F"/>
    <w:rsid w:val="00514FF1"/>
    <w:rsid w:val="00515274"/>
    <w:rsid w:val="0051549A"/>
    <w:rsid w:val="0051556F"/>
    <w:rsid w:val="0051563F"/>
    <w:rsid w:val="005156EA"/>
    <w:rsid w:val="00515723"/>
    <w:rsid w:val="00515736"/>
    <w:rsid w:val="00515752"/>
    <w:rsid w:val="005157D6"/>
    <w:rsid w:val="005157EC"/>
    <w:rsid w:val="00515859"/>
    <w:rsid w:val="0051590E"/>
    <w:rsid w:val="0051619A"/>
    <w:rsid w:val="005164A9"/>
    <w:rsid w:val="00516613"/>
    <w:rsid w:val="00516641"/>
    <w:rsid w:val="00516643"/>
    <w:rsid w:val="0051664A"/>
    <w:rsid w:val="005166CD"/>
    <w:rsid w:val="00516785"/>
    <w:rsid w:val="00516826"/>
    <w:rsid w:val="005169B2"/>
    <w:rsid w:val="00516A66"/>
    <w:rsid w:val="00516BDB"/>
    <w:rsid w:val="00516BE0"/>
    <w:rsid w:val="00516C77"/>
    <w:rsid w:val="00516C78"/>
    <w:rsid w:val="00516F40"/>
    <w:rsid w:val="00517058"/>
    <w:rsid w:val="0051708F"/>
    <w:rsid w:val="00517309"/>
    <w:rsid w:val="00517328"/>
    <w:rsid w:val="0051738D"/>
    <w:rsid w:val="00517413"/>
    <w:rsid w:val="00517500"/>
    <w:rsid w:val="00517558"/>
    <w:rsid w:val="005176EA"/>
    <w:rsid w:val="005177C6"/>
    <w:rsid w:val="0051790C"/>
    <w:rsid w:val="00517979"/>
    <w:rsid w:val="00517B1D"/>
    <w:rsid w:val="00517B51"/>
    <w:rsid w:val="00517BC9"/>
    <w:rsid w:val="00517C34"/>
    <w:rsid w:val="00517C3E"/>
    <w:rsid w:val="00517D01"/>
    <w:rsid w:val="00517D71"/>
    <w:rsid w:val="00517DE9"/>
    <w:rsid w:val="00517E27"/>
    <w:rsid w:val="00520187"/>
    <w:rsid w:val="0052021A"/>
    <w:rsid w:val="0052031A"/>
    <w:rsid w:val="00520423"/>
    <w:rsid w:val="005204BE"/>
    <w:rsid w:val="00520614"/>
    <w:rsid w:val="005207F4"/>
    <w:rsid w:val="0052080C"/>
    <w:rsid w:val="00520AD3"/>
    <w:rsid w:val="00520ADF"/>
    <w:rsid w:val="00520C2D"/>
    <w:rsid w:val="00520D1B"/>
    <w:rsid w:val="00520D70"/>
    <w:rsid w:val="00520DC3"/>
    <w:rsid w:val="005211E0"/>
    <w:rsid w:val="005211E9"/>
    <w:rsid w:val="0052124B"/>
    <w:rsid w:val="005215EB"/>
    <w:rsid w:val="00521614"/>
    <w:rsid w:val="00521640"/>
    <w:rsid w:val="005216DE"/>
    <w:rsid w:val="0052172E"/>
    <w:rsid w:val="0052189F"/>
    <w:rsid w:val="00521967"/>
    <w:rsid w:val="005219CF"/>
    <w:rsid w:val="00521AE5"/>
    <w:rsid w:val="00521BE1"/>
    <w:rsid w:val="0052211D"/>
    <w:rsid w:val="00522163"/>
    <w:rsid w:val="0052216D"/>
    <w:rsid w:val="0052223C"/>
    <w:rsid w:val="00522294"/>
    <w:rsid w:val="00522407"/>
    <w:rsid w:val="005226BB"/>
    <w:rsid w:val="005226C1"/>
    <w:rsid w:val="005227F4"/>
    <w:rsid w:val="0052295B"/>
    <w:rsid w:val="00522965"/>
    <w:rsid w:val="00522A4C"/>
    <w:rsid w:val="00522B9E"/>
    <w:rsid w:val="00522BEC"/>
    <w:rsid w:val="00522D53"/>
    <w:rsid w:val="00522E44"/>
    <w:rsid w:val="00522E65"/>
    <w:rsid w:val="00522ED3"/>
    <w:rsid w:val="00523091"/>
    <w:rsid w:val="005232A2"/>
    <w:rsid w:val="005232F4"/>
    <w:rsid w:val="005234B6"/>
    <w:rsid w:val="005235CF"/>
    <w:rsid w:val="0052368E"/>
    <w:rsid w:val="005236C0"/>
    <w:rsid w:val="00523715"/>
    <w:rsid w:val="0052378B"/>
    <w:rsid w:val="005239F3"/>
    <w:rsid w:val="00523A05"/>
    <w:rsid w:val="00523A9A"/>
    <w:rsid w:val="00523AEA"/>
    <w:rsid w:val="00523CCB"/>
    <w:rsid w:val="00523CF3"/>
    <w:rsid w:val="00523DB5"/>
    <w:rsid w:val="00523EDB"/>
    <w:rsid w:val="00523F6F"/>
    <w:rsid w:val="00524077"/>
    <w:rsid w:val="0052432F"/>
    <w:rsid w:val="005244E8"/>
    <w:rsid w:val="0052465F"/>
    <w:rsid w:val="0052468A"/>
    <w:rsid w:val="005246A6"/>
    <w:rsid w:val="005247DB"/>
    <w:rsid w:val="0052490A"/>
    <w:rsid w:val="005249BC"/>
    <w:rsid w:val="005249DB"/>
    <w:rsid w:val="00524AAB"/>
    <w:rsid w:val="00524AFA"/>
    <w:rsid w:val="00524D0B"/>
    <w:rsid w:val="00524F78"/>
    <w:rsid w:val="00524FCF"/>
    <w:rsid w:val="005250CF"/>
    <w:rsid w:val="0052513B"/>
    <w:rsid w:val="005251EF"/>
    <w:rsid w:val="00525330"/>
    <w:rsid w:val="00525368"/>
    <w:rsid w:val="005256C9"/>
    <w:rsid w:val="00525778"/>
    <w:rsid w:val="0052597A"/>
    <w:rsid w:val="00525A0A"/>
    <w:rsid w:val="00525A76"/>
    <w:rsid w:val="00525BB3"/>
    <w:rsid w:val="00525C86"/>
    <w:rsid w:val="00525D43"/>
    <w:rsid w:val="00525F40"/>
    <w:rsid w:val="00526028"/>
    <w:rsid w:val="00526101"/>
    <w:rsid w:val="00526175"/>
    <w:rsid w:val="00526201"/>
    <w:rsid w:val="005262D8"/>
    <w:rsid w:val="0052637A"/>
    <w:rsid w:val="00526519"/>
    <w:rsid w:val="00526747"/>
    <w:rsid w:val="00526799"/>
    <w:rsid w:val="0052682B"/>
    <w:rsid w:val="005268D4"/>
    <w:rsid w:val="005268F1"/>
    <w:rsid w:val="00526910"/>
    <w:rsid w:val="00526977"/>
    <w:rsid w:val="00526A36"/>
    <w:rsid w:val="00526C1B"/>
    <w:rsid w:val="00526C75"/>
    <w:rsid w:val="00526D76"/>
    <w:rsid w:val="00526DA2"/>
    <w:rsid w:val="0052706F"/>
    <w:rsid w:val="00527198"/>
    <w:rsid w:val="005272C7"/>
    <w:rsid w:val="005274A6"/>
    <w:rsid w:val="00527600"/>
    <w:rsid w:val="00527605"/>
    <w:rsid w:val="00527650"/>
    <w:rsid w:val="00527828"/>
    <w:rsid w:val="00527A45"/>
    <w:rsid w:val="00527ADA"/>
    <w:rsid w:val="00527AEE"/>
    <w:rsid w:val="00527DA8"/>
    <w:rsid w:val="00527DCE"/>
    <w:rsid w:val="00527F96"/>
    <w:rsid w:val="00527FC6"/>
    <w:rsid w:val="005302B5"/>
    <w:rsid w:val="0053035A"/>
    <w:rsid w:val="005304E1"/>
    <w:rsid w:val="005304E9"/>
    <w:rsid w:val="00530539"/>
    <w:rsid w:val="00530612"/>
    <w:rsid w:val="005306C5"/>
    <w:rsid w:val="005307A9"/>
    <w:rsid w:val="00530912"/>
    <w:rsid w:val="00530992"/>
    <w:rsid w:val="00530EE7"/>
    <w:rsid w:val="00530F72"/>
    <w:rsid w:val="00531035"/>
    <w:rsid w:val="0053115D"/>
    <w:rsid w:val="0053118F"/>
    <w:rsid w:val="00531208"/>
    <w:rsid w:val="00531317"/>
    <w:rsid w:val="00531367"/>
    <w:rsid w:val="00531410"/>
    <w:rsid w:val="00531501"/>
    <w:rsid w:val="00531531"/>
    <w:rsid w:val="0053196A"/>
    <w:rsid w:val="00531A05"/>
    <w:rsid w:val="00531D20"/>
    <w:rsid w:val="00531E63"/>
    <w:rsid w:val="00531F46"/>
    <w:rsid w:val="00531F98"/>
    <w:rsid w:val="00532140"/>
    <w:rsid w:val="00532377"/>
    <w:rsid w:val="00532436"/>
    <w:rsid w:val="005325FD"/>
    <w:rsid w:val="00532600"/>
    <w:rsid w:val="00532654"/>
    <w:rsid w:val="005328F5"/>
    <w:rsid w:val="0053296E"/>
    <w:rsid w:val="005329A2"/>
    <w:rsid w:val="00532AAC"/>
    <w:rsid w:val="00532B30"/>
    <w:rsid w:val="00532BF9"/>
    <w:rsid w:val="00532D8F"/>
    <w:rsid w:val="00532D9B"/>
    <w:rsid w:val="00532DBF"/>
    <w:rsid w:val="00532DD9"/>
    <w:rsid w:val="00532E86"/>
    <w:rsid w:val="00532EAF"/>
    <w:rsid w:val="00532ED7"/>
    <w:rsid w:val="00532EDC"/>
    <w:rsid w:val="00532F24"/>
    <w:rsid w:val="005331BB"/>
    <w:rsid w:val="0053349B"/>
    <w:rsid w:val="0053350A"/>
    <w:rsid w:val="00533572"/>
    <w:rsid w:val="005335FD"/>
    <w:rsid w:val="005336A1"/>
    <w:rsid w:val="005337A5"/>
    <w:rsid w:val="005337C8"/>
    <w:rsid w:val="005337FC"/>
    <w:rsid w:val="00533A6B"/>
    <w:rsid w:val="00533AA2"/>
    <w:rsid w:val="00533AC1"/>
    <w:rsid w:val="00533ADD"/>
    <w:rsid w:val="00533DF4"/>
    <w:rsid w:val="00533FAB"/>
    <w:rsid w:val="005340AA"/>
    <w:rsid w:val="0053415D"/>
    <w:rsid w:val="00534189"/>
    <w:rsid w:val="00534233"/>
    <w:rsid w:val="0053428F"/>
    <w:rsid w:val="005342AB"/>
    <w:rsid w:val="00534430"/>
    <w:rsid w:val="005344D6"/>
    <w:rsid w:val="005347DA"/>
    <w:rsid w:val="0053488C"/>
    <w:rsid w:val="00534986"/>
    <w:rsid w:val="00534B4B"/>
    <w:rsid w:val="00534DA6"/>
    <w:rsid w:val="00534E02"/>
    <w:rsid w:val="0053502C"/>
    <w:rsid w:val="0053508C"/>
    <w:rsid w:val="00535238"/>
    <w:rsid w:val="00535305"/>
    <w:rsid w:val="00535321"/>
    <w:rsid w:val="00535533"/>
    <w:rsid w:val="00535581"/>
    <w:rsid w:val="00535585"/>
    <w:rsid w:val="0053563D"/>
    <w:rsid w:val="00535666"/>
    <w:rsid w:val="00535694"/>
    <w:rsid w:val="005357F2"/>
    <w:rsid w:val="0053584C"/>
    <w:rsid w:val="00535916"/>
    <w:rsid w:val="00535AE2"/>
    <w:rsid w:val="00535D16"/>
    <w:rsid w:val="00535D54"/>
    <w:rsid w:val="00535ED6"/>
    <w:rsid w:val="00535F12"/>
    <w:rsid w:val="00535FF2"/>
    <w:rsid w:val="00536058"/>
    <w:rsid w:val="00536217"/>
    <w:rsid w:val="00536335"/>
    <w:rsid w:val="005363D0"/>
    <w:rsid w:val="0053646A"/>
    <w:rsid w:val="005365FD"/>
    <w:rsid w:val="00536709"/>
    <w:rsid w:val="00536788"/>
    <w:rsid w:val="0053684A"/>
    <w:rsid w:val="00536943"/>
    <w:rsid w:val="0053696B"/>
    <w:rsid w:val="00536A92"/>
    <w:rsid w:val="00536B4A"/>
    <w:rsid w:val="00536D17"/>
    <w:rsid w:val="00536EFD"/>
    <w:rsid w:val="00536F5F"/>
    <w:rsid w:val="005370D2"/>
    <w:rsid w:val="00537119"/>
    <w:rsid w:val="00537222"/>
    <w:rsid w:val="00537301"/>
    <w:rsid w:val="0053760B"/>
    <w:rsid w:val="005376B2"/>
    <w:rsid w:val="0053785D"/>
    <w:rsid w:val="005378EC"/>
    <w:rsid w:val="00537A07"/>
    <w:rsid w:val="00537A3A"/>
    <w:rsid w:val="00537D40"/>
    <w:rsid w:val="00537DDA"/>
    <w:rsid w:val="00537E8E"/>
    <w:rsid w:val="00537EE0"/>
    <w:rsid w:val="00537F39"/>
    <w:rsid w:val="00540091"/>
    <w:rsid w:val="005400E4"/>
    <w:rsid w:val="00540193"/>
    <w:rsid w:val="005401CA"/>
    <w:rsid w:val="005404A1"/>
    <w:rsid w:val="005404F3"/>
    <w:rsid w:val="0054062D"/>
    <w:rsid w:val="005406C6"/>
    <w:rsid w:val="0054079B"/>
    <w:rsid w:val="00540816"/>
    <w:rsid w:val="005409AF"/>
    <w:rsid w:val="00540AD9"/>
    <w:rsid w:val="00540CC0"/>
    <w:rsid w:val="00540D4B"/>
    <w:rsid w:val="00540E9B"/>
    <w:rsid w:val="00540FB0"/>
    <w:rsid w:val="00541025"/>
    <w:rsid w:val="00541139"/>
    <w:rsid w:val="00541187"/>
    <w:rsid w:val="005414E3"/>
    <w:rsid w:val="0054153A"/>
    <w:rsid w:val="0054158F"/>
    <w:rsid w:val="00541599"/>
    <w:rsid w:val="0054159B"/>
    <w:rsid w:val="0054161A"/>
    <w:rsid w:val="005416CD"/>
    <w:rsid w:val="00541759"/>
    <w:rsid w:val="0054176E"/>
    <w:rsid w:val="00541871"/>
    <w:rsid w:val="005418D2"/>
    <w:rsid w:val="00541BD1"/>
    <w:rsid w:val="00541CAE"/>
    <w:rsid w:val="00541D8A"/>
    <w:rsid w:val="00541DB2"/>
    <w:rsid w:val="00541E12"/>
    <w:rsid w:val="00541EAC"/>
    <w:rsid w:val="00541FC9"/>
    <w:rsid w:val="00542016"/>
    <w:rsid w:val="005420B6"/>
    <w:rsid w:val="005421D7"/>
    <w:rsid w:val="005422F0"/>
    <w:rsid w:val="00542307"/>
    <w:rsid w:val="005423E3"/>
    <w:rsid w:val="005425B6"/>
    <w:rsid w:val="00542B27"/>
    <w:rsid w:val="00542BAC"/>
    <w:rsid w:val="00542C1C"/>
    <w:rsid w:val="00542C80"/>
    <w:rsid w:val="00542DCB"/>
    <w:rsid w:val="00542E1D"/>
    <w:rsid w:val="00542EF7"/>
    <w:rsid w:val="00542F2C"/>
    <w:rsid w:val="00542FDD"/>
    <w:rsid w:val="00543014"/>
    <w:rsid w:val="0054335A"/>
    <w:rsid w:val="005433D3"/>
    <w:rsid w:val="00543404"/>
    <w:rsid w:val="00543416"/>
    <w:rsid w:val="00543578"/>
    <w:rsid w:val="005437DB"/>
    <w:rsid w:val="00543823"/>
    <w:rsid w:val="0054383A"/>
    <w:rsid w:val="005438DD"/>
    <w:rsid w:val="00543A87"/>
    <w:rsid w:val="00543B28"/>
    <w:rsid w:val="00543B2C"/>
    <w:rsid w:val="00543B64"/>
    <w:rsid w:val="00543CC1"/>
    <w:rsid w:val="00543CE3"/>
    <w:rsid w:val="00544090"/>
    <w:rsid w:val="005440A8"/>
    <w:rsid w:val="005440B0"/>
    <w:rsid w:val="00544100"/>
    <w:rsid w:val="005443F6"/>
    <w:rsid w:val="00544516"/>
    <w:rsid w:val="005446AA"/>
    <w:rsid w:val="00544920"/>
    <w:rsid w:val="00544945"/>
    <w:rsid w:val="00544A76"/>
    <w:rsid w:val="00544AA1"/>
    <w:rsid w:val="00544AF9"/>
    <w:rsid w:val="00544B06"/>
    <w:rsid w:val="00544BAF"/>
    <w:rsid w:val="00544CE5"/>
    <w:rsid w:val="00544ED6"/>
    <w:rsid w:val="00544F9C"/>
    <w:rsid w:val="005452D5"/>
    <w:rsid w:val="005452EB"/>
    <w:rsid w:val="005452FC"/>
    <w:rsid w:val="00545391"/>
    <w:rsid w:val="0054545E"/>
    <w:rsid w:val="005454B0"/>
    <w:rsid w:val="005454E6"/>
    <w:rsid w:val="00545599"/>
    <w:rsid w:val="005456AD"/>
    <w:rsid w:val="005457DC"/>
    <w:rsid w:val="00545818"/>
    <w:rsid w:val="005459A6"/>
    <w:rsid w:val="005459FD"/>
    <w:rsid w:val="00545BBD"/>
    <w:rsid w:val="00545D43"/>
    <w:rsid w:val="00545E46"/>
    <w:rsid w:val="00545ED8"/>
    <w:rsid w:val="00545EEB"/>
    <w:rsid w:val="00545F65"/>
    <w:rsid w:val="00546156"/>
    <w:rsid w:val="005462BD"/>
    <w:rsid w:val="00546392"/>
    <w:rsid w:val="00546394"/>
    <w:rsid w:val="00546453"/>
    <w:rsid w:val="00546519"/>
    <w:rsid w:val="00546542"/>
    <w:rsid w:val="00546560"/>
    <w:rsid w:val="0054661B"/>
    <w:rsid w:val="00546816"/>
    <w:rsid w:val="0054698D"/>
    <w:rsid w:val="00546A6B"/>
    <w:rsid w:val="00546AA8"/>
    <w:rsid w:val="00546B78"/>
    <w:rsid w:val="00546BA3"/>
    <w:rsid w:val="00546BE6"/>
    <w:rsid w:val="00546C82"/>
    <w:rsid w:val="00546D3E"/>
    <w:rsid w:val="00546DB8"/>
    <w:rsid w:val="00546F7F"/>
    <w:rsid w:val="00546F8B"/>
    <w:rsid w:val="00546F9A"/>
    <w:rsid w:val="00546FC4"/>
    <w:rsid w:val="00547056"/>
    <w:rsid w:val="00547540"/>
    <w:rsid w:val="005475F9"/>
    <w:rsid w:val="0054768C"/>
    <w:rsid w:val="0054770D"/>
    <w:rsid w:val="00547741"/>
    <w:rsid w:val="00547948"/>
    <w:rsid w:val="00547A6C"/>
    <w:rsid w:val="00547A74"/>
    <w:rsid w:val="00547BBF"/>
    <w:rsid w:val="00547C9F"/>
    <w:rsid w:val="00547D88"/>
    <w:rsid w:val="00547D95"/>
    <w:rsid w:val="0055016B"/>
    <w:rsid w:val="0055043A"/>
    <w:rsid w:val="005504CB"/>
    <w:rsid w:val="00550539"/>
    <w:rsid w:val="0055067F"/>
    <w:rsid w:val="00550734"/>
    <w:rsid w:val="00550766"/>
    <w:rsid w:val="00550823"/>
    <w:rsid w:val="0055085C"/>
    <w:rsid w:val="005508B9"/>
    <w:rsid w:val="00550B95"/>
    <w:rsid w:val="00550BBA"/>
    <w:rsid w:val="00550CFE"/>
    <w:rsid w:val="00550D01"/>
    <w:rsid w:val="00550D0D"/>
    <w:rsid w:val="00550E52"/>
    <w:rsid w:val="00550F3F"/>
    <w:rsid w:val="00550F74"/>
    <w:rsid w:val="005513AD"/>
    <w:rsid w:val="005513DB"/>
    <w:rsid w:val="005514BB"/>
    <w:rsid w:val="005514F7"/>
    <w:rsid w:val="0055150D"/>
    <w:rsid w:val="0055184C"/>
    <w:rsid w:val="00551900"/>
    <w:rsid w:val="00551990"/>
    <w:rsid w:val="005519DD"/>
    <w:rsid w:val="00551C57"/>
    <w:rsid w:val="00551CB3"/>
    <w:rsid w:val="00551D0B"/>
    <w:rsid w:val="00551E6E"/>
    <w:rsid w:val="00552471"/>
    <w:rsid w:val="00552488"/>
    <w:rsid w:val="0055248D"/>
    <w:rsid w:val="00552652"/>
    <w:rsid w:val="005526FA"/>
    <w:rsid w:val="00552703"/>
    <w:rsid w:val="005528C8"/>
    <w:rsid w:val="0055294C"/>
    <w:rsid w:val="00552979"/>
    <w:rsid w:val="005529BA"/>
    <w:rsid w:val="00552A8A"/>
    <w:rsid w:val="00552B86"/>
    <w:rsid w:val="00552B8B"/>
    <w:rsid w:val="00552BBF"/>
    <w:rsid w:val="00552D9A"/>
    <w:rsid w:val="00552E3A"/>
    <w:rsid w:val="00552E3B"/>
    <w:rsid w:val="00552EE5"/>
    <w:rsid w:val="00553023"/>
    <w:rsid w:val="00553245"/>
    <w:rsid w:val="005532D0"/>
    <w:rsid w:val="005532F6"/>
    <w:rsid w:val="0055342A"/>
    <w:rsid w:val="0055355E"/>
    <w:rsid w:val="00553594"/>
    <w:rsid w:val="005537A5"/>
    <w:rsid w:val="005537B0"/>
    <w:rsid w:val="005537C4"/>
    <w:rsid w:val="005537D1"/>
    <w:rsid w:val="0055397B"/>
    <w:rsid w:val="005539F9"/>
    <w:rsid w:val="00553A2F"/>
    <w:rsid w:val="00553C86"/>
    <w:rsid w:val="00553CCC"/>
    <w:rsid w:val="00553F60"/>
    <w:rsid w:val="00553FF9"/>
    <w:rsid w:val="00554143"/>
    <w:rsid w:val="00554174"/>
    <w:rsid w:val="005541C4"/>
    <w:rsid w:val="00554299"/>
    <w:rsid w:val="005542B3"/>
    <w:rsid w:val="005543D4"/>
    <w:rsid w:val="005544EF"/>
    <w:rsid w:val="00554681"/>
    <w:rsid w:val="005546BB"/>
    <w:rsid w:val="005547AA"/>
    <w:rsid w:val="005548D9"/>
    <w:rsid w:val="00554A20"/>
    <w:rsid w:val="00554B88"/>
    <w:rsid w:val="00554C2B"/>
    <w:rsid w:val="00554C46"/>
    <w:rsid w:val="00554D13"/>
    <w:rsid w:val="00554FBF"/>
    <w:rsid w:val="005551B8"/>
    <w:rsid w:val="005552BF"/>
    <w:rsid w:val="005553A7"/>
    <w:rsid w:val="00555459"/>
    <w:rsid w:val="005554DB"/>
    <w:rsid w:val="00555567"/>
    <w:rsid w:val="005555FD"/>
    <w:rsid w:val="00555887"/>
    <w:rsid w:val="00555A58"/>
    <w:rsid w:val="00555B4F"/>
    <w:rsid w:val="00555C30"/>
    <w:rsid w:val="00555C45"/>
    <w:rsid w:val="00555D0D"/>
    <w:rsid w:val="00555DD4"/>
    <w:rsid w:val="00555E95"/>
    <w:rsid w:val="00555F80"/>
    <w:rsid w:val="0055603F"/>
    <w:rsid w:val="00556079"/>
    <w:rsid w:val="005561FB"/>
    <w:rsid w:val="0055633B"/>
    <w:rsid w:val="0055655E"/>
    <w:rsid w:val="00556683"/>
    <w:rsid w:val="0055676F"/>
    <w:rsid w:val="00556889"/>
    <w:rsid w:val="005568A5"/>
    <w:rsid w:val="00556914"/>
    <w:rsid w:val="005569BD"/>
    <w:rsid w:val="00556C1F"/>
    <w:rsid w:val="00556DC4"/>
    <w:rsid w:val="00556F62"/>
    <w:rsid w:val="00556FED"/>
    <w:rsid w:val="0055711E"/>
    <w:rsid w:val="00557217"/>
    <w:rsid w:val="0055731C"/>
    <w:rsid w:val="0055738B"/>
    <w:rsid w:val="00557406"/>
    <w:rsid w:val="005575B7"/>
    <w:rsid w:val="005575E1"/>
    <w:rsid w:val="005575F6"/>
    <w:rsid w:val="00557606"/>
    <w:rsid w:val="00557716"/>
    <w:rsid w:val="0055773D"/>
    <w:rsid w:val="005577B7"/>
    <w:rsid w:val="005577BD"/>
    <w:rsid w:val="005577C6"/>
    <w:rsid w:val="00557959"/>
    <w:rsid w:val="00557967"/>
    <w:rsid w:val="005579BA"/>
    <w:rsid w:val="005579E6"/>
    <w:rsid w:val="00557B6F"/>
    <w:rsid w:val="00557C47"/>
    <w:rsid w:val="00557C4F"/>
    <w:rsid w:val="00557C5B"/>
    <w:rsid w:val="00557CE7"/>
    <w:rsid w:val="00557D21"/>
    <w:rsid w:val="00557DD4"/>
    <w:rsid w:val="00557E2D"/>
    <w:rsid w:val="005601CA"/>
    <w:rsid w:val="005602ED"/>
    <w:rsid w:val="00560445"/>
    <w:rsid w:val="0056046F"/>
    <w:rsid w:val="005604BE"/>
    <w:rsid w:val="005604F9"/>
    <w:rsid w:val="00560642"/>
    <w:rsid w:val="0056068A"/>
    <w:rsid w:val="005608B0"/>
    <w:rsid w:val="00560C8F"/>
    <w:rsid w:val="00560ED2"/>
    <w:rsid w:val="00560EDE"/>
    <w:rsid w:val="00560F9E"/>
    <w:rsid w:val="00560FD2"/>
    <w:rsid w:val="0056103A"/>
    <w:rsid w:val="00561272"/>
    <w:rsid w:val="005612DE"/>
    <w:rsid w:val="00561407"/>
    <w:rsid w:val="00561458"/>
    <w:rsid w:val="0056148F"/>
    <w:rsid w:val="00561740"/>
    <w:rsid w:val="0056198E"/>
    <w:rsid w:val="005619B0"/>
    <w:rsid w:val="00561A18"/>
    <w:rsid w:val="00561B54"/>
    <w:rsid w:val="00561B6F"/>
    <w:rsid w:val="00561C3B"/>
    <w:rsid w:val="00561D4F"/>
    <w:rsid w:val="00561DCD"/>
    <w:rsid w:val="00561E32"/>
    <w:rsid w:val="005622BC"/>
    <w:rsid w:val="005622DD"/>
    <w:rsid w:val="0056233D"/>
    <w:rsid w:val="0056234F"/>
    <w:rsid w:val="0056241D"/>
    <w:rsid w:val="00562509"/>
    <w:rsid w:val="005626A9"/>
    <w:rsid w:val="00562913"/>
    <w:rsid w:val="00562952"/>
    <w:rsid w:val="00562986"/>
    <w:rsid w:val="00562B74"/>
    <w:rsid w:val="00562B7B"/>
    <w:rsid w:val="00562C09"/>
    <w:rsid w:val="00562E82"/>
    <w:rsid w:val="00562E90"/>
    <w:rsid w:val="00562EAC"/>
    <w:rsid w:val="00562EFA"/>
    <w:rsid w:val="00562EFC"/>
    <w:rsid w:val="00562F38"/>
    <w:rsid w:val="00562FFC"/>
    <w:rsid w:val="00563036"/>
    <w:rsid w:val="00563154"/>
    <w:rsid w:val="0056324B"/>
    <w:rsid w:val="005632ED"/>
    <w:rsid w:val="0056339A"/>
    <w:rsid w:val="00563544"/>
    <w:rsid w:val="005635CF"/>
    <w:rsid w:val="00563614"/>
    <w:rsid w:val="005636AD"/>
    <w:rsid w:val="005636B2"/>
    <w:rsid w:val="005637AF"/>
    <w:rsid w:val="00563831"/>
    <w:rsid w:val="0056399D"/>
    <w:rsid w:val="00563B3E"/>
    <w:rsid w:val="00563C36"/>
    <w:rsid w:val="00563C79"/>
    <w:rsid w:val="00563C8E"/>
    <w:rsid w:val="00563CE0"/>
    <w:rsid w:val="00563F36"/>
    <w:rsid w:val="005640DE"/>
    <w:rsid w:val="0056428E"/>
    <w:rsid w:val="00564329"/>
    <w:rsid w:val="005643AF"/>
    <w:rsid w:val="00564482"/>
    <w:rsid w:val="005645B5"/>
    <w:rsid w:val="005645D7"/>
    <w:rsid w:val="0056488F"/>
    <w:rsid w:val="00564A70"/>
    <w:rsid w:val="00564B48"/>
    <w:rsid w:val="00564C56"/>
    <w:rsid w:val="00564C65"/>
    <w:rsid w:val="00564C6C"/>
    <w:rsid w:val="00564CC2"/>
    <w:rsid w:val="00564D33"/>
    <w:rsid w:val="00564D6D"/>
    <w:rsid w:val="00565068"/>
    <w:rsid w:val="0056517F"/>
    <w:rsid w:val="00565214"/>
    <w:rsid w:val="00565415"/>
    <w:rsid w:val="0056549E"/>
    <w:rsid w:val="005654C4"/>
    <w:rsid w:val="0056551F"/>
    <w:rsid w:val="005655E9"/>
    <w:rsid w:val="005656E9"/>
    <w:rsid w:val="00565779"/>
    <w:rsid w:val="005657B5"/>
    <w:rsid w:val="00565828"/>
    <w:rsid w:val="005658C8"/>
    <w:rsid w:val="005658CE"/>
    <w:rsid w:val="00565983"/>
    <w:rsid w:val="00565A35"/>
    <w:rsid w:val="00565AB6"/>
    <w:rsid w:val="00565AF4"/>
    <w:rsid w:val="00565D00"/>
    <w:rsid w:val="00565D10"/>
    <w:rsid w:val="00565D52"/>
    <w:rsid w:val="00565FD2"/>
    <w:rsid w:val="0056613F"/>
    <w:rsid w:val="00566292"/>
    <w:rsid w:val="005663E9"/>
    <w:rsid w:val="005664D1"/>
    <w:rsid w:val="00566927"/>
    <w:rsid w:val="00566995"/>
    <w:rsid w:val="00566E2C"/>
    <w:rsid w:val="00566E4E"/>
    <w:rsid w:val="00566FEB"/>
    <w:rsid w:val="00567074"/>
    <w:rsid w:val="00567192"/>
    <w:rsid w:val="005672A8"/>
    <w:rsid w:val="0056731E"/>
    <w:rsid w:val="0056738D"/>
    <w:rsid w:val="0056746A"/>
    <w:rsid w:val="00567753"/>
    <w:rsid w:val="005678E7"/>
    <w:rsid w:val="00567960"/>
    <w:rsid w:val="00567993"/>
    <w:rsid w:val="00567EDF"/>
    <w:rsid w:val="00567F42"/>
    <w:rsid w:val="005701C8"/>
    <w:rsid w:val="005703C4"/>
    <w:rsid w:val="00570469"/>
    <w:rsid w:val="0057057A"/>
    <w:rsid w:val="0057061F"/>
    <w:rsid w:val="0057070D"/>
    <w:rsid w:val="005707F5"/>
    <w:rsid w:val="00570826"/>
    <w:rsid w:val="005709B5"/>
    <w:rsid w:val="00570A16"/>
    <w:rsid w:val="00570F0D"/>
    <w:rsid w:val="00571129"/>
    <w:rsid w:val="00571171"/>
    <w:rsid w:val="0057119B"/>
    <w:rsid w:val="00571436"/>
    <w:rsid w:val="00571659"/>
    <w:rsid w:val="00571761"/>
    <w:rsid w:val="00571777"/>
    <w:rsid w:val="0057178C"/>
    <w:rsid w:val="00571AAB"/>
    <w:rsid w:val="00571C48"/>
    <w:rsid w:val="00571DD7"/>
    <w:rsid w:val="00571E08"/>
    <w:rsid w:val="00571EE7"/>
    <w:rsid w:val="00571F21"/>
    <w:rsid w:val="00572012"/>
    <w:rsid w:val="0057203C"/>
    <w:rsid w:val="005721AF"/>
    <w:rsid w:val="00572290"/>
    <w:rsid w:val="00572372"/>
    <w:rsid w:val="00572408"/>
    <w:rsid w:val="00572695"/>
    <w:rsid w:val="005726D7"/>
    <w:rsid w:val="00572750"/>
    <w:rsid w:val="00572762"/>
    <w:rsid w:val="005727E4"/>
    <w:rsid w:val="00572888"/>
    <w:rsid w:val="00572915"/>
    <w:rsid w:val="00572917"/>
    <w:rsid w:val="0057291A"/>
    <w:rsid w:val="005729B8"/>
    <w:rsid w:val="005729ED"/>
    <w:rsid w:val="00572B8D"/>
    <w:rsid w:val="00572BCB"/>
    <w:rsid w:val="00572BFF"/>
    <w:rsid w:val="00572EEC"/>
    <w:rsid w:val="00572F41"/>
    <w:rsid w:val="00572F63"/>
    <w:rsid w:val="00573065"/>
    <w:rsid w:val="005730DA"/>
    <w:rsid w:val="005732CC"/>
    <w:rsid w:val="005734A1"/>
    <w:rsid w:val="0057383F"/>
    <w:rsid w:val="0057399E"/>
    <w:rsid w:val="00573A35"/>
    <w:rsid w:val="00573A7E"/>
    <w:rsid w:val="00573AB4"/>
    <w:rsid w:val="00573BCB"/>
    <w:rsid w:val="00573E8B"/>
    <w:rsid w:val="0057447C"/>
    <w:rsid w:val="00574560"/>
    <w:rsid w:val="00574628"/>
    <w:rsid w:val="00574665"/>
    <w:rsid w:val="005748A6"/>
    <w:rsid w:val="005749B7"/>
    <w:rsid w:val="00574A4A"/>
    <w:rsid w:val="00574C4B"/>
    <w:rsid w:val="00574DE6"/>
    <w:rsid w:val="00575504"/>
    <w:rsid w:val="00575719"/>
    <w:rsid w:val="00575784"/>
    <w:rsid w:val="005758EE"/>
    <w:rsid w:val="00575A06"/>
    <w:rsid w:val="00575AB0"/>
    <w:rsid w:val="00575AF8"/>
    <w:rsid w:val="00575BF9"/>
    <w:rsid w:val="00575D7C"/>
    <w:rsid w:val="00575DB5"/>
    <w:rsid w:val="00575E03"/>
    <w:rsid w:val="00575F56"/>
    <w:rsid w:val="005762A2"/>
    <w:rsid w:val="0057640F"/>
    <w:rsid w:val="005764D8"/>
    <w:rsid w:val="0057651D"/>
    <w:rsid w:val="0057657A"/>
    <w:rsid w:val="00576677"/>
    <w:rsid w:val="0057668A"/>
    <w:rsid w:val="005768D6"/>
    <w:rsid w:val="005768F1"/>
    <w:rsid w:val="00576916"/>
    <w:rsid w:val="005769B1"/>
    <w:rsid w:val="00576A05"/>
    <w:rsid w:val="00576ABC"/>
    <w:rsid w:val="00576B24"/>
    <w:rsid w:val="00576CC7"/>
    <w:rsid w:val="00576CEE"/>
    <w:rsid w:val="00576CFF"/>
    <w:rsid w:val="00576E0C"/>
    <w:rsid w:val="0057718C"/>
    <w:rsid w:val="00577287"/>
    <w:rsid w:val="00577476"/>
    <w:rsid w:val="005776CE"/>
    <w:rsid w:val="00577758"/>
    <w:rsid w:val="0057796A"/>
    <w:rsid w:val="00577A93"/>
    <w:rsid w:val="00577B66"/>
    <w:rsid w:val="00577BDA"/>
    <w:rsid w:val="00577C99"/>
    <w:rsid w:val="00577D1C"/>
    <w:rsid w:val="00577DAD"/>
    <w:rsid w:val="00577EEB"/>
    <w:rsid w:val="00577F44"/>
    <w:rsid w:val="00580154"/>
    <w:rsid w:val="0058024B"/>
    <w:rsid w:val="005802B6"/>
    <w:rsid w:val="00580412"/>
    <w:rsid w:val="00580496"/>
    <w:rsid w:val="005804CC"/>
    <w:rsid w:val="00580523"/>
    <w:rsid w:val="00580544"/>
    <w:rsid w:val="0058065D"/>
    <w:rsid w:val="00580783"/>
    <w:rsid w:val="005808BF"/>
    <w:rsid w:val="00580988"/>
    <w:rsid w:val="00580B97"/>
    <w:rsid w:val="00580E35"/>
    <w:rsid w:val="00580F44"/>
    <w:rsid w:val="00581018"/>
    <w:rsid w:val="005810A5"/>
    <w:rsid w:val="005812C9"/>
    <w:rsid w:val="00581489"/>
    <w:rsid w:val="00581524"/>
    <w:rsid w:val="0058153D"/>
    <w:rsid w:val="0058165F"/>
    <w:rsid w:val="005816DA"/>
    <w:rsid w:val="00581711"/>
    <w:rsid w:val="00581749"/>
    <w:rsid w:val="005817C6"/>
    <w:rsid w:val="005817EE"/>
    <w:rsid w:val="005819C5"/>
    <w:rsid w:val="00581A74"/>
    <w:rsid w:val="00581E39"/>
    <w:rsid w:val="00581EBD"/>
    <w:rsid w:val="005820BF"/>
    <w:rsid w:val="00582120"/>
    <w:rsid w:val="005821C8"/>
    <w:rsid w:val="0058221D"/>
    <w:rsid w:val="005824B1"/>
    <w:rsid w:val="005826F8"/>
    <w:rsid w:val="00582768"/>
    <w:rsid w:val="00582849"/>
    <w:rsid w:val="0058288F"/>
    <w:rsid w:val="00582946"/>
    <w:rsid w:val="00582B6A"/>
    <w:rsid w:val="00582BB3"/>
    <w:rsid w:val="00582CA9"/>
    <w:rsid w:val="00582D74"/>
    <w:rsid w:val="00582DB8"/>
    <w:rsid w:val="00582E68"/>
    <w:rsid w:val="00583045"/>
    <w:rsid w:val="005831BC"/>
    <w:rsid w:val="00583350"/>
    <w:rsid w:val="005833F3"/>
    <w:rsid w:val="0058345F"/>
    <w:rsid w:val="0058359A"/>
    <w:rsid w:val="0058365C"/>
    <w:rsid w:val="0058395C"/>
    <w:rsid w:val="00583BDA"/>
    <w:rsid w:val="00583D6A"/>
    <w:rsid w:val="00583FF4"/>
    <w:rsid w:val="0058418E"/>
    <w:rsid w:val="00584346"/>
    <w:rsid w:val="00584365"/>
    <w:rsid w:val="00584507"/>
    <w:rsid w:val="0058462F"/>
    <w:rsid w:val="005846C7"/>
    <w:rsid w:val="00584726"/>
    <w:rsid w:val="00584742"/>
    <w:rsid w:val="005847E9"/>
    <w:rsid w:val="00584879"/>
    <w:rsid w:val="0058493D"/>
    <w:rsid w:val="0058495F"/>
    <w:rsid w:val="00584B4E"/>
    <w:rsid w:val="00584C2E"/>
    <w:rsid w:val="00584D1E"/>
    <w:rsid w:val="00584E46"/>
    <w:rsid w:val="00584E84"/>
    <w:rsid w:val="0058507B"/>
    <w:rsid w:val="0058520C"/>
    <w:rsid w:val="005852C0"/>
    <w:rsid w:val="005852D5"/>
    <w:rsid w:val="005854BF"/>
    <w:rsid w:val="00585530"/>
    <w:rsid w:val="005856E8"/>
    <w:rsid w:val="005856EF"/>
    <w:rsid w:val="005859EA"/>
    <w:rsid w:val="00585A51"/>
    <w:rsid w:val="00585E8B"/>
    <w:rsid w:val="00585F83"/>
    <w:rsid w:val="00585FC1"/>
    <w:rsid w:val="005863B1"/>
    <w:rsid w:val="005863B7"/>
    <w:rsid w:val="00586644"/>
    <w:rsid w:val="00586725"/>
    <w:rsid w:val="0058690B"/>
    <w:rsid w:val="00586914"/>
    <w:rsid w:val="005869F8"/>
    <w:rsid w:val="00586BD8"/>
    <w:rsid w:val="00586C38"/>
    <w:rsid w:val="00586D8E"/>
    <w:rsid w:val="0058701B"/>
    <w:rsid w:val="00587047"/>
    <w:rsid w:val="00587294"/>
    <w:rsid w:val="00587305"/>
    <w:rsid w:val="005873EC"/>
    <w:rsid w:val="0058752E"/>
    <w:rsid w:val="0058757C"/>
    <w:rsid w:val="00587582"/>
    <w:rsid w:val="00587605"/>
    <w:rsid w:val="00587753"/>
    <w:rsid w:val="0058783F"/>
    <w:rsid w:val="005878A4"/>
    <w:rsid w:val="00587988"/>
    <w:rsid w:val="00587A2B"/>
    <w:rsid w:val="00587C5A"/>
    <w:rsid w:val="00587C7C"/>
    <w:rsid w:val="00587D9C"/>
    <w:rsid w:val="00587FB4"/>
    <w:rsid w:val="00590094"/>
    <w:rsid w:val="005900D2"/>
    <w:rsid w:val="00590191"/>
    <w:rsid w:val="00590322"/>
    <w:rsid w:val="005903B3"/>
    <w:rsid w:val="005903E6"/>
    <w:rsid w:val="00590471"/>
    <w:rsid w:val="00590516"/>
    <w:rsid w:val="005905A6"/>
    <w:rsid w:val="00590660"/>
    <w:rsid w:val="005907A0"/>
    <w:rsid w:val="005907C9"/>
    <w:rsid w:val="00590867"/>
    <w:rsid w:val="005909FC"/>
    <w:rsid w:val="00590A57"/>
    <w:rsid w:val="00590B21"/>
    <w:rsid w:val="00590E6B"/>
    <w:rsid w:val="00590F89"/>
    <w:rsid w:val="00591005"/>
    <w:rsid w:val="0059104F"/>
    <w:rsid w:val="005910E8"/>
    <w:rsid w:val="00591264"/>
    <w:rsid w:val="005912F6"/>
    <w:rsid w:val="0059168A"/>
    <w:rsid w:val="005916ED"/>
    <w:rsid w:val="00591A54"/>
    <w:rsid w:val="00591BCB"/>
    <w:rsid w:val="00591CB2"/>
    <w:rsid w:val="00591FB1"/>
    <w:rsid w:val="00592004"/>
    <w:rsid w:val="00592031"/>
    <w:rsid w:val="00592049"/>
    <w:rsid w:val="00592051"/>
    <w:rsid w:val="005920F0"/>
    <w:rsid w:val="005923EC"/>
    <w:rsid w:val="005924FC"/>
    <w:rsid w:val="0059259E"/>
    <w:rsid w:val="00592660"/>
    <w:rsid w:val="0059283C"/>
    <w:rsid w:val="00592CA0"/>
    <w:rsid w:val="00592CC9"/>
    <w:rsid w:val="00592CDF"/>
    <w:rsid w:val="00592F2E"/>
    <w:rsid w:val="00592FDD"/>
    <w:rsid w:val="0059305E"/>
    <w:rsid w:val="00593390"/>
    <w:rsid w:val="0059340E"/>
    <w:rsid w:val="00593540"/>
    <w:rsid w:val="0059368B"/>
    <w:rsid w:val="005938A4"/>
    <w:rsid w:val="00593AA8"/>
    <w:rsid w:val="00593AFA"/>
    <w:rsid w:val="00593B7F"/>
    <w:rsid w:val="00593E30"/>
    <w:rsid w:val="00593E83"/>
    <w:rsid w:val="00594016"/>
    <w:rsid w:val="00594086"/>
    <w:rsid w:val="0059425C"/>
    <w:rsid w:val="005943A6"/>
    <w:rsid w:val="005945F1"/>
    <w:rsid w:val="005946C0"/>
    <w:rsid w:val="005946E2"/>
    <w:rsid w:val="005948A9"/>
    <w:rsid w:val="0059490A"/>
    <w:rsid w:val="005949BB"/>
    <w:rsid w:val="005949E9"/>
    <w:rsid w:val="00594BBC"/>
    <w:rsid w:val="00594DAB"/>
    <w:rsid w:val="00594EFA"/>
    <w:rsid w:val="00594F08"/>
    <w:rsid w:val="00594F7A"/>
    <w:rsid w:val="00594FEA"/>
    <w:rsid w:val="005950A6"/>
    <w:rsid w:val="005950E7"/>
    <w:rsid w:val="00595146"/>
    <w:rsid w:val="00595220"/>
    <w:rsid w:val="00595376"/>
    <w:rsid w:val="005953EF"/>
    <w:rsid w:val="005954CD"/>
    <w:rsid w:val="005955DA"/>
    <w:rsid w:val="005956AB"/>
    <w:rsid w:val="0059570D"/>
    <w:rsid w:val="005957E8"/>
    <w:rsid w:val="005958DB"/>
    <w:rsid w:val="00595979"/>
    <w:rsid w:val="00595AD2"/>
    <w:rsid w:val="00595B0D"/>
    <w:rsid w:val="00595C85"/>
    <w:rsid w:val="00595CFE"/>
    <w:rsid w:val="00595F28"/>
    <w:rsid w:val="00595FCA"/>
    <w:rsid w:val="0059612C"/>
    <w:rsid w:val="0059619E"/>
    <w:rsid w:val="00596203"/>
    <w:rsid w:val="005962B0"/>
    <w:rsid w:val="00596487"/>
    <w:rsid w:val="005964AD"/>
    <w:rsid w:val="005964E5"/>
    <w:rsid w:val="005965CF"/>
    <w:rsid w:val="005967C5"/>
    <w:rsid w:val="005969DA"/>
    <w:rsid w:val="00596A07"/>
    <w:rsid w:val="00596A1B"/>
    <w:rsid w:val="00596BB1"/>
    <w:rsid w:val="00596D0B"/>
    <w:rsid w:val="00596DF6"/>
    <w:rsid w:val="00596E2F"/>
    <w:rsid w:val="00597193"/>
    <w:rsid w:val="0059727D"/>
    <w:rsid w:val="005972C1"/>
    <w:rsid w:val="00597390"/>
    <w:rsid w:val="0059740D"/>
    <w:rsid w:val="0059770D"/>
    <w:rsid w:val="00597AC3"/>
    <w:rsid w:val="00597ADE"/>
    <w:rsid w:val="00597B0D"/>
    <w:rsid w:val="00597EEE"/>
    <w:rsid w:val="005A0109"/>
    <w:rsid w:val="005A014E"/>
    <w:rsid w:val="005A017C"/>
    <w:rsid w:val="005A02FF"/>
    <w:rsid w:val="005A0437"/>
    <w:rsid w:val="005A05A2"/>
    <w:rsid w:val="005A05E4"/>
    <w:rsid w:val="005A08AF"/>
    <w:rsid w:val="005A0931"/>
    <w:rsid w:val="005A0A40"/>
    <w:rsid w:val="005A0BC1"/>
    <w:rsid w:val="005A0C0E"/>
    <w:rsid w:val="005A0DB6"/>
    <w:rsid w:val="005A0DDE"/>
    <w:rsid w:val="005A0E06"/>
    <w:rsid w:val="005A0F55"/>
    <w:rsid w:val="005A1008"/>
    <w:rsid w:val="005A1072"/>
    <w:rsid w:val="005A1793"/>
    <w:rsid w:val="005A185A"/>
    <w:rsid w:val="005A1A32"/>
    <w:rsid w:val="005A1C17"/>
    <w:rsid w:val="005A1E0C"/>
    <w:rsid w:val="005A1EFD"/>
    <w:rsid w:val="005A201F"/>
    <w:rsid w:val="005A20C2"/>
    <w:rsid w:val="005A2288"/>
    <w:rsid w:val="005A2347"/>
    <w:rsid w:val="005A23D3"/>
    <w:rsid w:val="005A23F0"/>
    <w:rsid w:val="005A2421"/>
    <w:rsid w:val="005A2470"/>
    <w:rsid w:val="005A259E"/>
    <w:rsid w:val="005A28C6"/>
    <w:rsid w:val="005A28DF"/>
    <w:rsid w:val="005A2A51"/>
    <w:rsid w:val="005A2C35"/>
    <w:rsid w:val="005A2C75"/>
    <w:rsid w:val="005A2E3C"/>
    <w:rsid w:val="005A2E43"/>
    <w:rsid w:val="005A2EAC"/>
    <w:rsid w:val="005A2EAF"/>
    <w:rsid w:val="005A322F"/>
    <w:rsid w:val="005A32CA"/>
    <w:rsid w:val="005A35E7"/>
    <w:rsid w:val="005A35FE"/>
    <w:rsid w:val="005A36A6"/>
    <w:rsid w:val="005A37C3"/>
    <w:rsid w:val="005A394B"/>
    <w:rsid w:val="005A3CDA"/>
    <w:rsid w:val="005A3D6E"/>
    <w:rsid w:val="005A3E06"/>
    <w:rsid w:val="005A3E20"/>
    <w:rsid w:val="005A3F83"/>
    <w:rsid w:val="005A3FA4"/>
    <w:rsid w:val="005A4000"/>
    <w:rsid w:val="005A40EF"/>
    <w:rsid w:val="005A40F1"/>
    <w:rsid w:val="005A410F"/>
    <w:rsid w:val="005A4188"/>
    <w:rsid w:val="005A42CA"/>
    <w:rsid w:val="005A42E9"/>
    <w:rsid w:val="005A4346"/>
    <w:rsid w:val="005A4384"/>
    <w:rsid w:val="005A47A1"/>
    <w:rsid w:val="005A4834"/>
    <w:rsid w:val="005A4A19"/>
    <w:rsid w:val="005A4A1C"/>
    <w:rsid w:val="005A4B46"/>
    <w:rsid w:val="005A4B84"/>
    <w:rsid w:val="005A510A"/>
    <w:rsid w:val="005A51DC"/>
    <w:rsid w:val="005A5230"/>
    <w:rsid w:val="005A5405"/>
    <w:rsid w:val="005A5492"/>
    <w:rsid w:val="005A55BD"/>
    <w:rsid w:val="005A56A2"/>
    <w:rsid w:val="005A57C7"/>
    <w:rsid w:val="005A5818"/>
    <w:rsid w:val="005A5854"/>
    <w:rsid w:val="005A5915"/>
    <w:rsid w:val="005A5A43"/>
    <w:rsid w:val="005A5B5B"/>
    <w:rsid w:val="005A5C1A"/>
    <w:rsid w:val="005A5C9C"/>
    <w:rsid w:val="005A5E1A"/>
    <w:rsid w:val="005A5E31"/>
    <w:rsid w:val="005A5EC6"/>
    <w:rsid w:val="005A5EEE"/>
    <w:rsid w:val="005A6089"/>
    <w:rsid w:val="005A60DE"/>
    <w:rsid w:val="005A62F7"/>
    <w:rsid w:val="005A6374"/>
    <w:rsid w:val="005A6528"/>
    <w:rsid w:val="005A6585"/>
    <w:rsid w:val="005A6615"/>
    <w:rsid w:val="005A66B1"/>
    <w:rsid w:val="005A6755"/>
    <w:rsid w:val="005A68DD"/>
    <w:rsid w:val="005A696B"/>
    <w:rsid w:val="005A69B6"/>
    <w:rsid w:val="005A69E0"/>
    <w:rsid w:val="005A6B3D"/>
    <w:rsid w:val="005A6C94"/>
    <w:rsid w:val="005A6D3F"/>
    <w:rsid w:val="005A6EF1"/>
    <w:rsid w:val="005A6F2F"/>
    <w:rsid w:val="005A6FEF"/>
    <w:rsid w:val="005A71EB"/>
    <w:rsid w:val="005A72AE"/>
    <w:rsid w:val="005A7428"/>
    <w:rsid w:val="005A7482"/>
    <w:rsid w:val="005A7534"/>
    <w:rsid w:val="005A7595"/>
    <w:rsid w:val="005A7608"/>
    <w:rsid w:val="005A76DE"/>
    <w:rsid w:val="005A787C"/>
    <w:rsid w:val="005A78A7"/>
    <w:rsid w:val="005A78C0"/>
    <w:rsid w:val="005A78DD"/>
    <w:rsid w:val="005A7A6B"/>
    <w:rsid w:val="005A7B1E"/>
    <w:rsid w:val="005A7EB9"/>
    <w:rsid w:val="005B011B"/>
    <w:rsid w:val="005B071A"/>
    <w:rsid w:val="005B08CF"/>
    <w:rsid w:val="005B0944"/>
    <w:rsid w:val="005B0A05"/>
    <w:rsid w:val="005B0B25"/>
    <w:rsid w:val="005B0B2B"/>
    <w:rsid w:val="005B0F44"/>
    <w:rsid w:val="005B1121"/>
    <w:rsid w:val="005B11A9"/>
    <w:rsid w:val="005B1289"/>
    <w:rsid w:val="005B129F"/>
    <w:rsid w:val="005B130F"/>
    <w:rsid w:val="005B138E"/>
    <w:rsid w:val="005B13A9"/>
    <w:rsid w:val="005B1513"/>
    <w:rsid w:val="005B15B3"/>
    <w:rsid w:val="005B1635"/>
    <w:rsid w:val="005B1735"/>
    <w:rsid w:val="005B18D5"/>
    <w:rsid w:val="005B1947"/>
    <w:rsid w:val="005B1C1A"/>
    <w:rsid w:val="005B1D91"/>
    <w:rsid w:val="005B1DB7"/>
    <w:rsid w:val="005B1EF6"/>
    <w:rsid w:val="005B2094"/>
    <w:rsid w:val="005B2219"/>
    <w:rsid w:val="005B24F3"/>
    <w:rsid w:val="005B2568"/>
    <w:rsid w:val="005B2644"/>
    <w:rsid w:val="005B264D"/>
    <w:rsid w:val="005B2686"/>
    <w:rsid w:val="005B26E1"/>
    <w:rsid w:val="005B2787"/>
    <w:rsid w:val="005B287C"/>
    <w:rsid w:val="005B294A"/>
    <w:rsid w:val="005B29D3"/>
    <w:rsid w:val="005B29ED"/>
    <w:rsid w:val="005B2A1F"/>
    <w:rsid w:val="005B2A3D"/>
    <w:rsid w:val="005B2A4B"/>
    <w:rsid w:val="005B2A90"/>
    <w:rsid w:val="005B2A97"/>
    <w:rsid w:val="005B2AAF"/>
    <w:rsid w:val="005B2BD6"/>
    <w:rsid w:val="005B2C08"/>
    <w:rsid w:val="005B2C2D"/>
    <w:rsid w:val="005B2C35"/>
    <w:rsid w:val="005B2C7B"/>
    <w:rsid w:val="005B2D31"/>
    <w:rsid w:val="005B2EAE"/>
    <w:rsid w:val="005B3371"/>
    <w:rsid w:val="005B3503"/>
    <w:rsid w:val="005B3660"/>
    <w:rsid w:val="005B36E8"/>
    <w:rsid w:val="005B3787"/>
    <w:rsid w:val="005B37D0"/>
    <w:rsid w:val="005B3922"/>
    <w:rsid w:val="005B3987"/>
    <w:rsid w:val="005B398F"/>
    <w:rsid w:val="005B39ED"/>
    <w:rsid w:val="005B3B9C"/>
    <w:rsid w:val="005B3BAD"/>
    <w:rsid w:val="005B3C95"/>
    <w:rsid w:val="005B3D8D"/>
    <w:rsid w:val="005B3EC8"/>
    <w:rsid w:val="005B3FC8"/>
    <w:rsid w:val="005B40BA"/>
    <w:rsid w:val="005B40C4"/>
    <w:rsid w:val="005B4198"/>
    <w:rsid w:val="005B41E5"/>
    <w:rsid w:val="005B420D"/>
    <w:rsid w:val="005B47B1"/>
    <w:rsid w:val="005B48B7"/>
    <w:rsid w:val="005B492A"/>
    <w:rsid w:val="005B49EE"/>
    <w:rsid w:val="005B4A9A"/>
    <w:rsid w:val="005B4B25"/>
    <w:rsid w:val="005B4B56"/>
    <w:rsid w:val="005B4CBD"/>
    <w:rsid w:val="005B4CDE"/>
    <w:rsid w:val="005B4DA2"/>
    <w:rsid w:val="005B511A"/>
    <w:rsid w:val="005B5122"/>
    <w:rsid w:val="005B524F"/>
    <w:rsid w:val="005B538E"/>
    <w:rsid w:val="005B5488"/>
    <w:rsid w:val="005B5498"/>
    <w:rsid w:val="005B54F0"/>
    <w:rsid w:val="005B5689"/>
    <w:rsid w:val="005B56A5"/>
    <w:rsid w:val="005B5775"/>
    <w:rsid w:val="005B587E"/>
    <w:rsid w:val="005B5BDE"/>
    <w:rsid w:val="005B5DAD"/>
    <w:rsid w:val="005B5E34"/>
    <w:rsid w:val="005B5E8E"/>
    <w:rsid w:val="005B5EA1"/>
    <w:rsid w:val="005B5EA7"/>
    <w:rsid w:val="005B5F4C"/>
    <w:rsid w:val="005B5FD4"/>
    <w:rsid w:val="005B5FFF"/>
    <w:rsid w:val="005B60CA"/>
    <w:rsid w:val="005B6118"/>
    <w:rsid w:val="005B61E5"/>
    <w:rsid w:val="005B61EA"/>
    <w:rsid w:val="005B62C5"/>
    <w:rsid w:val="005B63AC"/>
    <w:rsid w:val="005B6433"/>
    <w:rsid w:val="005B645C"/>
    <w:rsid w:val="005B65A2"/>
    <w:rsid w:val="005B65A7"/>
    <w:rsid w:val="005B66A4"/>
    <w:rsid w:val="005B66B4"/>
    <w:rsid w:val="005B66C9"/>
    <w:rsid w:val="005B670B"/>
    <w:rsid w:val="005B67FB"/>
    <w:rsid w:val="005B6971"/>
    <w:rsid w:val="005B6AEC"/>
    <w:rsid w:val="005B6AF5"/>
    <w:rsid w:val="005B6D81"/>
    <w:rsid w:val="005B6DE0"/>
    <w:rsid w:val="005B6EF5"/>
    <w:rsid w:val="005B7154"/>
    <w:rsid w:val="005B7311"/>
    <w:rsid w:val="005B7429"/>
    <w:rsid w:val="005B7610"/>
    <w:rsid w:val="005B7835"/>
    <w:rsid w:val="005B7936"/>
    <w:rsid w:val="005B7AC7"/>
    <w:rsid w:val="005B7AC9"/>
    <w:rsid w:val="005B7BF6"/>
    <w:rsid w:val="005B7CE3"/>
    <w:rsid w:val="005B7CEF"/>
    <w:rsid w:val="005B7CFB"/>
    <w:rsid w:val="005B7D95"/>
    <w:rsid w:val="005B7E5D"/>
    <w:rsid w:val="005B7EA9"/>
    <w:rsid w:val="005B7FF2"/>
    <w:rsid w:val="005BB746"/>
    <w:rsid w:val="005C0207"/>
    <w:rsid w:val="005C03FB"/>
    <w:rsid w:val="005C0451"/>
    <w:rsid w:val="005C04D0"/>
    <w:rsid w:val="005C04DD"/>
    <w:rsid w:val="005C0598"/>
    <w:rsid w:val="005C07FF"/>
    <w:rsid w:val="005C085A"/>
    <w:rsid w:val="005C0916"/>
    <w:rsid w:val="005C0944"/>
    <w:rsid w:val="005C0969"/>
    <w:rsid w:val="005C0A20"/>
    <w:rsid w:val="005C0A5D"/>
    <w:rsid w:val="005C0A7B"/>
    <w:rsid w:val="005C0B1E"/>
    <w:rsid w:val="005C0C1D"/>
    <w:rsid w:val="005C0C23"/>
    <w:rsid w:val="005C0C7A"/>
    <w:rsid w:val="005C1007"/>
    <w:rsid w:val="005C110A"/>
    <w:rsid w:val="005C11A5"/>
    <w:rsid w:val="005C1348"/>
    <w:rsid w:val="005C13E7"/>
    <w:rsid w:val="005C1586"/>
    <w:rsid w:val="005C1595"/>
    <w:rsid w:val="005C15B1"/>
    <w:rsid w:val="005C18C8"/>
    <w:rsid w:val="005C1966"/>
    <w:rsid w:val="005C19A1"/>
    <w:rsid w:val="005C1AC2"/>
    <w:rsid w:val="005C1AD3"/>
    <w:rsid w:val="005C1B03"/>
    <w:rsid w:val="005C1C2C"/>
    <w:rsid w:val="005C1DD0"/>
    <w:rsid w:val="005C1F43"/>
    <w:rsid w:val="005C211A"/>
    <w:rsid w:val="005C217F"/>
    <w:rsid w:val="005C2232"/>
    <w:rsid w:val="005C2451"/>
    <w:rsid w:val="005C24E4"/>
    <w:rsid w:val="005C25D2"/>
    <w:rsid w:val="005C25F3"/>
    <w:rsid w:val="005C2637"/>
    <w:rsid w:val="005C26CD"/>
    <w:rsid w:val="005C2721"/>
    <w:rsid w:val="005C27B8"/>
    <w:rsid w:val="005C27D6"/>
    <w:rsid w:val="005C27EF"/>
    <w:rsid w:val="005C282A"/>
    <w:rsid w:val="005C289A"/>
    <w:rsid w:val="005C2A12"/>
    <w:rsid w:val="005C2A27"/>
    <w:rsid w:val="005C2C21"/>
    <w:rsid w:val="005C2D71"/>
    <w:rsid w:val="005C2D72"/>
    <w:rsid w:val="005C2F0D"/>
    <w:rsid w:val="005C32B9"/>
    <w:rsid w:val="005C349E"/>
    <w:rsid w:val="005C357D"/>
    <w:rsid w:val="005C3660"/>
    <w:rsid w:val="005C38B7"/>
    <w:rsid w:val="005C398E"/>
    <w:rsid w:val="005C3AE4"/>
    <w:rsid w:val="005C3ED4"/>
    <w:rsid w:val="005C3F63"/>
    <w:rsid w:val="005C4153"/>
    <w:rsid w:val="005C4200"/>
    <w:rsid w:val="005C4272"/>
    <w:rsid w:val="005C43EE"/>
    <w:rsid w:val="005C43F1"/>
    <w:rsid w:val="005C46F3"/>
    <w:rsid w:val="005C4804"/>
    <w:rsid w:val="005C4977"/>
    <w:rsid w:val="005C4B3C"/>
    <w:rsid w:val="005C4BD1"/>
    <w:rsid w:val="005C4BE1"/>
    <w:rsid w:val="005C4BF8"/>
    <w:rsid w:val="005C4C67"/>
    <w:rsid w:val="005C4CBD"/>
    <w:rsid w:val="005C4D0C"/>
    <w:rsid w:val="005C4D73"/>
    <w:rsid w:val="005C4EA3"/>
    <w:rsid w:val="005C4F47"/>
    <w:rsid w:val="005C4FF9"/>
    <w:rsid w:val="005C501C"/>
    <w:rsid w:val="005C501F"/>
    <w:rsid w:val="005C50B7"/>
    <w:rsid w:val="005C5103"/>
    <w:rsid w:val="005C53B4"/>
    <w:rsid w:val="005C5A22"/>
    <w:rsid w:val="005C5A23"/>
    <w:rsid w:val="005C5A96"/>
    <w:rsid w:val="005C5B30"/>
    <w:rsid w:val="005C5BBA"/>
    <w:rsid w:val="005C5BE7"/>
    <w:rsid w:val="005C5EC1"/>
    <w:rsid w:val="005C625F"/>
    <w:rsid w:val="005C6355"/>
    <w:rsid w:val="005C6548"/>
    <w:rsid w:val="005C658E"/>
    <w:rsid w:val="005C65C7"/>
    <w:rsid w:val="005C65EA"/>
    <w:rsid w:val="005C662A"/>
    <w:rsid w:val="005C666A"/>
    <w:rsid w:val="005C674C"/>
    <w:rsid w:val="005C68BB"/>
    <w:rsid w:val="005C69BB"/>
    <w:rsid w:val="005C6BFB"/>
    <w:rsid w:val="005C6CFB"/>
    <w:rsid w:val="005C6D53"/>
    <w:rsid w:val="005C6D88"/>
    <w:rsid w:val="005C6E0D"/>
    <w:rsid w:val="005C6E33"/>
    <w:rsid w:val="005C71E2"/>
    <w:rsid w:val="005C724F"/>
    <w:rsid w:val="005C734F"/>
    <w:rsid w:val="005C74C6"/>
    <w:rsid w:val="005C76DD"/>
    <w:rsid w:val="005C77EA"/>
    <w:rsid w:val="005C787F"/>
    <w:rsid w:val="005C798A"/>
    <w:rsid w:val="005C7EB1"/>
    <w:rsid w:val="005D014D"/>
    <w:rsid w:val="005D0167"/>
    <w:rsid w:val="005D0199"/>
    <w:rsid w:val="005D01F5"/>
    <w:rsid w:val="005D026E"/>
    <w:rsid w:val="005D0271"/>
    <w:rsid w:val="005D04F7"/>
    <w:rsid w:val="005D06FA"/>
    <w:rsid w:val="005D076E"/>
    <w:rsid w:val="005D0972"/>
    <w:rsid w:val="005D0A04"/>
    <w:rsid w:val="005D0A3A"/>
    <w:rsid w:val="005D0CEB"/>
    <w:rsid w:val="005D0DA8"/>
    <w:rsid w:val="005D0EF3"/>
    <w:rsid w:val="005D0F85"/>
    <w:rsid w:val="005D0FF0"/>
    <w:rsid w:val="005D11EB"/>
    <w:rsid w:val="005D13A1"/>
    <w:rsid w:val="005D13B0"/>
    <w:rsid w:val="005D1401"/>
    <w:rsid w:val="005D14ED"/>
    <w:rsid w:val="005D1555"/>
    <w:rsid w:val="005D166B"/>
    <w:rsid w:val="005D1A3B"/>
    <w:rsid w:val="005D1AAB"/>
    <w:rsid w:val="005D1BB3"/>
    <w:rsid w:val="005D1DAB"/>
    <w:rsid w:val="005D1F71"/>
    <w:rsid w:val="005D202C"/>
    <w:rsid w:val="005D209B"/>
    <w:rsid w:val="005D22D9"/>
    <w:rsid w:val="005D2436"/>
    <w:rsid w:val="005D2475"/>
    <w:rsid w:val="005D26E5"/>
    <w:rsid w:val="005D275A"/>
    <w:rsid w:val="005D27B1"/>
    <w:rsid w:val="005D289F"/>
    <w:rsid w:val="005D2A7F"/>
    <w:rsid w:val="005D2B1C"/>
    <w:rsid w:val="005D2DA1"/>
    <w:rsid w:val="005D2DBA"/>
    <w:rsid w:val="005D2F0C"/>
    <w:rsid w:val="005D30DA"/>
    <w:rsid w:val="005D3397"/>
    <w:rsid w:val="005D3488"/>
    <w:rsid w:val="005D3782"/>
    <w:rsid w:val="005D38CF"/>
    <w:rsid w:val="005D397E"/>
    <w:rsid w:val="005D39E7"/>
    <w:rsid w:val="005D3B1A"/>
    <w:rsid w:val="005D3CB0"/>
    <w:rsid w:val="005D3EB9"/>
    <w:rsid w:val="005D3F4E"/>
    <w:rsid w:val="005D41F4"/>
    <w:rsid w:val="005D4250"/>
    <w:rsid w:val="005D42A4"/>
    <w:rsid w:val="005D42E7"/>
    <w:rsid w:val="005D42F8"/>
    <w:rsid w:val="005D43E9"/>
    <w:rsid w:val="005D459C"/>
    <w:rsid w:val="005D4603"/>
    <w:rsid w:val="005D46D9"/>
    <w:rsid w:val="005D4766"/>
    <w:rsid w:val="005D479B"/>
    <w:rsid w:val="005D4815"/>
    <w:rsid w:val="005D4878"/>
    <w:rsid w:val="005D48AF"/>
    <w:rsid w:val="005D4903"/>
    <w:rsid w:val="005D4E5A"/>
    <w:rsid w:val="005D4FF5"/>
    <w:rsid w:val="005D5100"/>
    <w:rsid w:val="005D515F"/>
    <w:rsid w:val="005D516A"/>
    <w:rsid w:val="005D53C2"/>
    <w:rsid w:val="005D559B"/>
    <w:rsid w:val="005D56A1"/>
    <w:rsid w:val="005D570E"/>
    <w:rsid w:val="005D572C"/>
    <w:rsid w:val="005D57D3"/>
    <w:rsid w:val="005D59DD"/>
    <w:rsid w:val="005D5AE7"/>
    <w:rsid w:val="005D5BC1"/>
    <w:rsid w:val="005D5BCA"/>
    <w:rsid w:val="005D5CCB"/>
    <w:rsid w:val="005D60C3"/>
    <w:rsid w:val="005D6429"/>
    <w:rsid w:val="005D645D"/>
    <w:rsid w:val="005D65E6"/>
    <w:rsid w:val="005D67D6"/>
    <w:rsid w:val="005D67FE"/>
    <w:rsid w:val="005D6946"/>
    <w:rsid w:val="005D6953"/>
    <w:rsid w:val="005D69BD"/>
    <w:rsid w:val="005D6E2B"/>
    <w:rsid w:val="005D6E60"/>
    <w:rsid w:val="005D6EBE"/>
    <w:rsid w:val="005D70E1"/>
    <w:rsid w:val="005D70E9"/>
    <w:rsid w:val="005D7198"/>
    <w:rsid w:val="005D71C3"/>
    <w:rsid w:val="005D725D"/>
    <w:rsid w:val="005D72DB"/>
    <w:rsid w:val="005D74C8"/>
    <w:rsid w:val="005D74D6"/>
    <w:rsid w:val="005D769F"/>
    <w:rsid w:val="005D7898"/>
    <w:rsid w:val="005D7ACD"/>
    <w:rsid w:val="005D7B77"/>
    <w:rsid w:val="005D7BC0"/>
    <w:rsid w:val="005D7C2E"/>
    <w:rsid w:val="005D7C46"/>
    <w:rsid w:val="005D7CAC"/>
    <w:rsid w:val="005D7CC4"/>
    <w:rsid w:val="005D7F88"/>
    <w:rsid w:val="005D7FB7"/>
    <w:rsid w:val="005E01A4"/>
    <w:rsid w:val="005E01D8"/>
    <w:rsid w:val="005E02E3"/>
    <w:rsid w:val="005E02E9"/>
    <w:rsid w:val="005E02EB"/>
    <w:rsid w:val="005E033C"/>
    <w:rsid w:val="005E03E0"/>
    <w:rsid w:val="005E04A2"/>
    <w:rsid w:val="005E04EC"/>
    <w:rsid w:val="005E0636"/>
    <w:rsid w:val="005E073C"/>
    <w:rsid w:val="005E0869"/>
    <w:rsid w:val="005E0932"/>
    <w:rsid w:val="005E0A06"/>
    <w:rsid w:val="005E0B00"/>
    <w:rsid w:val="005E0B7D"/>
    <w:rsid w:val="005E0BB5"/>
    <w:rsid w:val="005E0BE4"/>
    <w:rsid w:val="005E0D75"/>
    <w:rsid w:val="005E0D90"/>
    <w:rsid w:val="005E0FD1"/>
    <w:rsid w:val="005E1064"/>
    <w:rsid w:val="005E1319"/>
    <w:rsid w:val="005E136D"/>
    <w:rsid w:val="005E14D7"/>
    <w:rsid w:val="005E1588"/>
    <w:rsid w:val="005E1597"/>
    <w:rsid w:val="005E1639"/>
    <w:rsid w:val="005E1750"/>
    <w:rsid w:val="005E176D"/>
    <w:rsid w:val="005E1893"/>
    <w:rsid w:val="005E18E5"/>
    <w:rsid w:val="005E194D"/>
    <w:rsid w:val="005E1DD0"/>
    <w:rsid w:val="005E1EBB"/>
    <w:rsid w:val="005E1F63"/>
    <w:rsid w:val="005E2119"/>
    <w:rsid w:val="005E21E1"/>
    <w:rsid w:val="005E2224"/>
    <w:rsid w:val="005E2281"/>
    <w:rsid w:val="005E2436"/>
    <w:rsid w:val="005E25EE"/>
    <w:rsid w:val="005E267B"/>
    <w:rsid w:val="005E26C9"/>
    <w:rsid w:val="005E26D8"/>
    <w:rsid w:val="005E2708"/>
    <w:rsid w:val="005E2A2F"/>
    <w:rsid w:val="005E2B0C"/>
    <w:rsid w:val="005E2B6C"/>
    <w:rsid w:val="005E2CEE"/>
    <w:rsid w:val="005E2D9E"/>
    <w:rsid w:val="005E2DF7"/>
    <w:rsid w:val="005E2E32"/>
    <w:rsid w:val="005E2E6C"/>
    <w:rsid w:val="005E2EB3"/>
    <w:rsid w:val="005E3086"/>
    <w:rsid w:val="005E3296"/>
    <w:rsid w:val="005E3511"/>
    <w:rsid w:val="005E365F"/>
    <w:rsid w:val="005E3888"/>
    <w:rsid w:val="005E3ACF"/>
    <w:rsid w:val="005E3DAA"/>
    <w:rsid w:val="005E3EEE"/>
    <w:rsid w:val="005E40C7"/>
    <w:rsid w:val="005E4172"/>
    <w:rsid w:val="005E4188"/>
    <w:rsid w:val="005E41C7"/>
    <w:rsid w:val="005E422C"/>
    <w:rsid w:val="005E42C9"/>
    <w:rsid w:val="005E4569"/>
    <w:rsid w:val="005E46B0"/>
    <w:rsid w:val="005E47B3"/>
    <w:rsid w:val="005E483C"/>
    <w:rsid w:val="005E48A6"/>
    <w:rsid w:val="005E49DA"/>
    <w:rsid w:val="005E4F02"/>
    <w:rsid w:val="005E4F0A"/>
    <w:rsid w:val="005E506F"/>
    <w:rsid w:val="005E508E"/>
    <w:rsid w:val="005E515B"/>
    <w:rsid w:val="005E5381"/>
    <w:rsid w:val="005E54F4"/>
    <w:rsid w:val="005E555F"/>
    <w:rsid w:val="005E55A2"/>
    <w:rsid w:val="005E5780"/>
    <w:rsid w:val="005E57B8"/>
    <w:rsid w:val="005E585F"/>
    <w:rsid w:val="005E588A"/>
    <w:rsid w:val="005E594B"/>
    <w:rsid w:val="005E59D3"/>
    <w:rsid w:val="005E5A59"/>
    <w:rsid w:val="005E5ADD"/>
    <w:rsid w:val="005E5B17"/>
    <w:rsid w:val="005E5C9F"/>
    <w:rsid w:val="005E5D2E"/>
    <w:rsid w:val="005E5EC1"/>
    <w:rsid w:val="005E5F90"/>
    <w:rsid w:val="005E614D"/>
    <w:rsid w:val="005E616A"/>
    <w:rsid w:val="005E6221"/>
    <w:rsid w:val="005E62EB"/>
    <w:rsid w:val="005E648F"/>
    <w:rsid w:val="005E6715"/>
    <w:rsid w:val="005E6977"/>
    <w:rsid w:val="005E697A"/>
    <w:rsid w:val="005E69D0"/>
    <w:rsid w:val="005E6BBB"/>
    <w:rsid w:val="005E6CBB"/>
    <w:rsid w:val="005E6DDF"/>
    <w:rsid w:val="005E6F68"/>
    <w:rsid w:val="005E6FAF"/>
    <w:rsid w:val="005E723D"/>
    <w:rsid w:val="005E72B9"/>
    <w:rsid w:val="005E735A"/>
    <w:rsid w:val="005E7363"/>
    <w:rsid w:val="005E7490"/>
    <w:rsid w:val="005E752E"/>
    <w:rsid w:val="005E75A6"/>
    <w:rsid w:val="005E760B"/>
    <w:rsid w:val="005E7634"/>
    <w:rsid w:val="005E776B"/>
    <w:rsid w:val="005E794B"/>
    <w:rsid w:val="005E7B36"/>
    <w:rsid w:val="005E7B7C"/>
    <w:rsid w:val="005E7D1A"/>
    <w:rsid w:val="005E7DD0"/>
    <w:rsid w:val="005F00F5"/>
    <w:rsid w:val="005F01F5"/>
    <w:rsid w:val="005F04C3"/>
    <w:rsid w:val="005F04F2"/>
    <w:rsid w:val="005F05CB"/>
    <w:rsid w:val="005F06F1"/>
    <w:rsid w:val="005F08A3"/>
    <w:rsid w:val="005F08B4"/>
    <w:rsid w:val="005F094F"/>
    <w:rsid w:val="005F098C"/>
    <w:rsid w:val="005F0997"/>
    <w:rsid w:val="005F0A0A"/>
    <w:rsid w:val="005F0A5B"/>
    <w:rsid w:val="005F0AE9"/>
    <w:rsid w:val="005F0C8F"/>
    <w:rsid w:val="005F0E2A"/>
    <w:rsid w:val="005F0E82"/>
    <w:rsid w:val="005F0FF7"/>
    <w:rsid w:val="005F1082"/>
    <w:rsid w:val="005F11F1"/>
    <w:rsid w:val="005F120F"/>
    <w:rsid w:val="005F1294"/>
    <w:rsid w:val="005F1392"/>
    <w:rsid w:val="005F15FB"/>
    <w:rsid w:val="005F168E"/>
    <w:rsid w:val="005F1764"/>
    <w:rsid w:val="005F188F"/>
    <w:rsid w:val="005F1A66"/>
    <w:rsid w:val="005F1CF1"/>
    <w:rsid w:val="005F1D04"/>
    <w:rsid w:val="005F1DF9"/>
    <w:rsid w:val="005F1E22"/>
    <w:rsid w:val="005F1EF7"/>
    <w:rsid w:val="005F1FA8"/>
    <w:rsid w:val="005F1FCF"/>
    <w:rsid w:val="005F1FDF"/>
    <w:rsid w:val="005F23F4"/>
    <w:rsid w:val="005F26D6"/>
    <w:rsid w:val="005F274E"/>
    <w:rsid w:val="005F28FF"/>
    <w:rsid w:val="005F29ED"/>
    <w:rsid w:val="005F2A3A"/>
    <w:rsid w:val="005F2B9F"/>
    <w:rsid w:val="005F2BE9"/>
    <w:rsid w:val="005F2D9B"/>
    <w:rsid w:val="005F2DD8"/>
    <w:rsid w:val="005F3002"/>
    <w:rsid w:val="005F3014"/>
    <w:rsid w:val="005F30FA"/>
    <w:rsid w:val="005F32AE"/>
    <w:rsid w:val="005F35C2"/>
    <w:rsid w:val="005F368D"/>
    <w:rsid w:val="005F36E3"/>
    <w:rsid w:val="005F3714"/>
    <w:rsid w:val="005F3832"/>
    <w:rsid w:val="005F3855"/>
    <w:rsid w:val="005F3982"/>
    <w:rsid w:val="005F3A28"/>
    <w:rsid w:val="005F3B4B"/>
    <w:rsid w:val="005F3B94"/>
    <w:rsid w:val="005F3D4D"/>
    <w:rsid w:val="005F3D89"/>
    <w:rsid w:val="005F3EE2"/>
    <w:rsid w:val="005F3FAA"/>
    <w:rsid w:val="005F4057"/>
    <w:rsid w:val="005F42D5"/>
    <w:rsid w:val="005F4395"/>
    <w:rsid w:val="005F43D1"/>
    <w:rsid w:val="005F440C"/>
    <w:rsid w:val="005F4543"/>
    <w:rsid w:val="005F45A9"/>
    <w:rsid w:val="005F4799"/>
    <w:rsid w:val="005F47D6"/>
    <w:rsid w:val="005F482F"/>
    <w:rsid w:val="005F4A32"/>
    <w:rsid w:val="005F4AA3"/>
    <w:rsid w:val="005F4AA4"/>
    <w:rsid w:val="005F4B3E"/>
    <w:rsid w:val="005F4B47"/>
    <w:rsid w:val="005F4B8C"/>
    <w:rsid w:val="005F4BD8"/>
    <w:rsid w:val="005F4EBC"/>
    <w:rsid w:val="005F4F08"/>
    <w:rsid w:val="005F4F6D"/>
    <w:rsid w:val="005F520E"/>
    <w:rsid w:val="005F52F0"/>
    <w:rsid w:val="005F5310"/>
    <w:rsid w:val="005F5320"/>
    <w:rsid w:val="005F5442"/>
    <w:rsid w:val="005F5464"/>
    <w:rsid w:val="005F5685"/>
    <w:rsid w:val="005F589C"/>
    <w:rsid w:val="005F597C"/>
    <w:rsid w:val="005F59FD"/>
    <w:rsid w:val="005F5A34"/>
    <w:rsid w:val="005F5BB9"/>
    <w:rsid w:val="005F5C01"/>
    <w:rsid w:val="005F5C3F"/>
    <w:rsid w:val="005F5C4A"/>
    <w:rsid w:val="005F5CD9"/>
    <w:rsid w:val="005F5D20"/>
    <w:rsid w:val="005F5D59"/>
    <w:rsid w:val="005F5E91"/>
    <w:rsid w:val="005F5FEE"/>
    <w:rsid w:val="005F6070"/>
    <w:rsid w:val="005F62F2"/>
    <w:rsid w:val="005F6498"/>
    <w:rsid w:val="005F65D4"/>
    <w:rsid w:val="005F6639"/>
    <w:rsid w:val="005F666B"/>
    <w:rsid w:val="005F6860"/>
    <w:rsid w:val="005F68A1"/>
    <w:rsid w:val="005F68B5"/>
    <w:rsid w:val="005F6978"/>
    <w:rsid w:val="005F6A24"/>
    <w:rsid w:val="005F6B2C"/>
    <w:rsid w:val="005F6B5F"/>
    <w:rsid w:val="005F6CA8"/>
    <w:rsid w:val="005F6E32"/>
    <w:rsid w:val="005F6E8F"/>
    <w:rsid w:val="005F6F09"/>
    <w:rsid w:val="005F6FFA"/>
    <w:rsid w:val="005F7152"/>
    <w:rsid w:val="005F7279"/>
    <w:rsid w:val="005F7305"/>
    <w:rsid w:val="005F74EC"/>
    <w:rsid w:val="005F7574"/>
    <w:rsid w:val="005F7608"/>
    <w:rsid w:val="005F7812"/>
    <w:rsid w:val="005F7908"/>
    <w:rsid w:val="005F79CA"/>
    <w:rsid w:val="005F79E2"/>
    <w:rsid w:val="005F7A1D"/>
    <w:rsid w:val="005F7BCB"/>
    <w:rsid w:val="005F7EE0"/>
    <w:rsid w:val="00600008"/>
    <w:rsid w:val="00600033"/>
    <w:rsid w:val="006000B1"/>
    <w:rsid w:val="00600123"/>
    <w:rsid w:val="00600246"/>
    <w:rsid w:val="00600329"/>
    <w:rsid w:val="0060044F"/>
    <w:rsid w:val="0060050F"/>
    <w:rsid w:val="0060056C"/>
    <w:rsid w:val="006005FD"/>
    <w:rsid w:val="0060065A"/>
    <w:rsid w:val="006006D4"/>
    <w:rsid w:val="00600749"/>
    <w:rsid w:val="0060082C"/>
    <w:rsid w:val="006009B6"/>
    <w:rsid w:val="00600A84"/>
    <w:rsid w:val="00600AD2"/>
    <w:rsid w:val="00600BBD"/>
    <w:rsid w:val="00600C38"/>
    <w:rsid w:val="00600D79"/>
    <w:rsid w:val="00600DBC"/>
    <w:rsid w:val="00600F73"/>
    <w:rsid w:val="00601086"/>
    <w:rsid w:val="006010C5"/>
    <w:rsid w:val="006010D3"/>
    <w:rsid w:val="00601248"/>
    <w:rsid w:val="006013A0"/>
    <w:rsid w:val="0060141E"/>
    <w:rsid w:val="00601485"/>
    <w:rsid w:val="00601537"/>
    <w:rsid w:val="00601687"/>
    <w:rsid w:val="00601809"/>
    <w:rsid w:val="00601879"/>
    <w:rsid w:val="00601894"/>
    <w:rsid w:val="00601B72"/>
    <w:rsid w:val="00601CCB"/>
    <w:rsid w:val="00601D16"/>
    <w:rsid w:val="00601F59"/>
    <w:rsid w:val="00601FB9"/>
    <w:rsid w:val="0060201C"/>
    <w:rsid w:val="0060219E"/>
    <w:rsid w:val="006021CC"/>
    <w:rsid w:val="006025EA"/>
    <w:rsid w:val="0060261C"/>
    <w:rsid w:val="0060287E"/>
    <w:rsid w:val="0060288F"/>
    <w:rsid w:val="006028EF"/>
    <w:rsid w:val="0060296B"/>
    <w:rsid w:val="00602A22"/>
    <w:rsid w:val="00602C1E"/>
    <w:rsid w:val="00602C47"/>
    <w:rsid w:val="00602D2C"/>
    <w:rsid w:val="00602DDD"/>
    <w:rsid w:val="00602FDF"/>
    <w:rsid w:val="0060310E"/>
    <w:rsid w:val="0060314A"/>
    <w:rsid w:val="00603154"/>
    <w:rsid w:val="006031FC"/>
    <w:rsid w:val="00603415"/>
    <w:rsid w:val="00603621"/>
    <w:rsid w:val="006036C3"/>
    <w:rsid w:val="00603758"/>
    <w:rsid w:val="00603851"/>
    <w:rsid w:val="00603899"/>
    <w:rsid w:val="00603936"/>
    <w:rsid w:val="00603D14"/>
    <w:rsid w:val="00603D7E"/>
    <w:rsid w:val="00603FB4"/>
    <w:rsid w:val="00604052"/>
    <w:rsid w:val="006040A5"/>
    <w:rsid w:val="006040FA"/>
    <w:rsid w:val="00604112"/>
    <w:rsid w:val="00604622"/>
    <w:rsid w:val="00604899"/>
    <w:rsid w:val="00604978"/>
    <w:rsid w:val="00604A2B"/>
    <w:rsid w:val="00604B2F"/>
    <w:rsid w:val="00604BFC"/>
    <w:rsid w:val="00604CC5"/>
    <w:rsid w:val="00604CD3"/>
    <w:rsid w:val="00604D42"/>
    <w:rsid w:val="00604F8C"/>
    <w:rsid w:val="006050C3"/>
    <w:rsid w:val="00605229"/>
    <w:rsid w:val="00605283"/>
    <w:rsid w:val="0060554C"/>
    <w:rsid w:val="006057B5"/>
    <w:rsid w:val="00605887"/>
    <w:rsid w:val="006058B5"/>
    <w:rsid w:val="0060597F"/>
    <w:rsid w:val="00605A53"/>
    <w:rsid w:val="00605B79"/>
    <w:rsid w:val="00605B7D"/>
    <w:rsid w:val="00605C1D"/>
    <w:rsid w:val="00605F4D"/>
    <w:rsid w:val="00605F56"/>
    <w:rsid w:val="00606139"/>
    <w:rsid w:val="006061C1"/>
    <w:rsid w:val="00606303"/>
    <w:rsid w:val="006063CD"/>
    <w:rsid w:val="00606460"/>
    <w:rsid w:val="006065AF"/>
    <w:rsid w:val="00606605"/>
    <w:rsid w:val="006066D0"/>
    <w:rsid w:val="00606704"/>
    <w:rsid w:val="0060673A"/>
    <w:rsid w:val="006067D2"/>
    <w:rsid w:val="006068F5"/>
    <w:rsid w:val="00606AF7"/>
    <w:rsid w:val="00606BB4"/>
    <w:rsid w:val="00606D73"/>
    <w:rsid w:val="00606D7E"/>
    <w:rsid w:val="00606E38"/>
    <w:rsid w:val="00606E5C"/>
    <w:rsid w:val="00607001"/>
    <w:rsid w:val="006070CC"/>
    <w:rsid w:val="006074DC"/>
    <w:rsid w:val="00607529"/>
    <w:rsid w:val="0060756B"/>
    <w:rsid w:val="00607751"/>
    <w:rsid w:val="00607903"/>
    <w:rsid w:val="006079B6"/>
    <w:rsid w:val="00607BE3"/>
    <w:rsid w:val="00607BFF"/>
    <w:rsid w:val="00607D8D"/>
    <w:rsid w:val="00607DF6"/>
    <w:rsid w:val="00607F30"/>
    <w:rsid w:val="00607F67"/>
    <w:rsid w:val="0061014C"/>
    <w:rsid w:val="00610192"/>
    <w:rsid w:val="0061019B"/>
    <w:rsid w:val="006101B6"/>
    <w:rsid w:val="00610236"/>
    <w:rsid w:val="00610291"/>
    <w:rsid w:val="0061045C"/>
    <w:rsid w:val="006104F4"/>
    <w:rsid w:val="006108A8"/>
    <w:rsid w:val="0061098E"/>
    <w:rsid w:val="00610A1B"/>
    <w:rsid w:val="00610A57"/>
    <w:rsid w:val="00610A8A"/>
    <w:rsid w:val="00610AA6"/>
    <w:rsid w:val="00610B3F"/>
    <w:rsid w:val="00610B9D"/>
    <w:rsid w:val="00610D32"/>
    <w:rsid w:val="00610F4C"/>
    <w:rsid w:val="00610F99"/>
    <w:rsid w:val="00611154"/>
    <w:rsid w:val="00611234"/>
    <w:rsid w:val="00611264"/>
    <w:rsid w:val="006112B2"/>
    <w:rsid w:val="006114D8"/>
    <w:rsid w:val="006116AC"/>
    <w:rsid w:val="0061178C"/>
    <w:rsid w:val="00611832"/>
    <w:rsid w:val="0061187A"/>
    <w:rsid w:val="00611A42"/>
    <w:rsid w:val="00611C42"/>
    <w:rsid w:val="00611F64"/>
    <w:rsid w:val="00611F6C"/>
    <w:rsid w:val="00612151"/>
    <w:rsid w:val="00612274"/>
    <w:rsid w:val="0061230D"/>
    <w:rsid w:val="00612394"/>
    <w:rsid w:val="006123AB"/>
    <w:rsid w:val="00612466"/>
    <w:rsid w:val="00612567"/>
    <w:rsid w:val="00612591"/>
    <w:rsid w:val="00612620"/>
    <w:rsid w:val="00612666"/>
    <w:rsid w:val="00612671"/>
    <w:rsid w:val="00612887"/>
    <w:rsid w:val="0061294B"/>
    <w:rsid w:val="00612A34"/>
    <w:rsid w:val="00612C31"/>
    <w:rsid w:val="00612DBA"/>
    <w:rsid w:val="00613116"/>
    <w:rsid w:val="00613261"/>
    <w:rsid w:val="00613320"/>
    <w:rsid w:val="0061345F"/>
    <w:rsid w:val="00613551"/>
    <w:rsid w:val="0061359D"/>
    <w:rsid w:val="0061379A"/>
    <w:rsid w:val="00613A99"/>
    <w:rsid w:val="00613B3D"/>
    <w:rsid w:val="00613C14"/>
    <w:rsid w:val="00613CF6"/>
    <w:rsid w:val="00613DEA"/>
    <w:rsid w:val="00613F3A"/>
    <w:rsid w:val="00614243"/>
    <w:rsid w:val="00614244"/>
    <w:rsid w:val="00614321"/>
    <w:rsid w:val="006143E0"/>
    <w:rsid w:val="00614407"/>
    <w:rsid w:val="0061440C"/>
    <w:rsid w:val="00614536"/>
    <w:rsid w:val="00614632"/>
    <w:rsid w:val="00614669"/>
    <w:rsid w:val="00614698"/>
    <w:rsid w:val="00614747"/>
    <w:rsid w:val="00614947"/>
    <w:rsid w:val="006149BF"/>
    <w:rsid w:val="00614A12"/>
    <w:rsid w:val="00614AB5"/>
    <w:rsid w:val="00614C3F"/>
    <w:rsid w:val="00614CE4"/>
    <w:rsid w:val="00614DD6"/>
    <w:rsid w:val="00614DD9"/>
    <w:rsid w:val="00614E0E"/>
    <w:rsid w:val="0061501E"/>
    <w:rsid w:val="00615027"/>
    <w:rsid w:val="0061506A"/>
    <w:rsid w:val="00615172"/>
    <w:rsid w:val="006153CD"/>
    <w:rsid w:val="00615450"/>
    <w:rsid w:val="00615486"/>
    <w:rsid w:val="00615503"/>
    <w:rsid w:val="00615597"/>
    <w:rsid w:val="00615846"/>
    <w:rsid w:val="00615859"/>
    <w:rsid w:val="00615864"/>
    <w:rsid w:val="0061587C"/>
    <w:rsid w:val="00615A07"/>
    <w:rsid w:val="00615B4F"/>
    <w:rsid w:val="00615BD2"/>
    <w:rsid w:val="00615CCC"/>
    <w:rsid w:val="00615D12"/>
    <w:rsid w:val="00615D45"/>
    <w:rsid w:val="00615D72"/>
    <w:rsid w:val="00615D8E"/>
    <w:rsid w:val="00615E9E"/>
    <w:rsid w:val="00615EDC"/>
    <w:rsid w:val="00615FFA"/>
    <w:rsid w:val="00616019"/>
    <w:rsid w:val="00616042"/>
    <w:rsid w:val="00616237"/>
    <w:rsid w:val="00616457"/>
    <w:rsid w:val="0061656D"/>
    <w:rsid w:val="006165A3"/>
    <w:rsid w:val="0061661A"/>
    <w:rsid w:val="0061663E"/>
    <w:rsid w:val="00616734"/>
    <w:rsid w:val="006167DA"/>
    <w:rsid w:val="006167EF"/>
    <w:rsid w:val="00616AAD"/>
    <w:rsid w:val="00616D17"/>
    <w:rsid w:val="00616D47"/>
    <w:rsid w:val="00616E11"/>
    <w:rsid w:val="00616E91"/>
    <w:rsid w:val="00616E9D"/>
    <w:rsid w:val="00616EEA"/>
    <w:rsid w:val="00616F3E"/>
    <w:rsid w:val="0061703F"/>
    <w:rsid w:val="006170AE"/>
    <w:rsid w:val="0061712E"/>
    <w:rsid w:val="006171F0"/>
    <w:rsid w:val="00617235"/>
    <w:rsid w:val="0061729B"/>
    <w:rsid w:val="006174F3"/>
    <w:rsid w:val="0061762A"/>
    <w:rsid w:val="0061763B"/>
    <w:rsid w:val="006178B1"/>
    <w:rsid w:val="0061799B"/>
    <w:rsid w:val="00617A74"/>
    <w:rsid w:val="00617CA6"/>
    <w:rsid w:val="00617CB6"/>
    <w:rsid w:val="00617F87"/>
    <w:rsid w:val="0062001A"/>
    <w:rsid w:val="006200F4"/>
    <w:rsid w:val="00620256"/>
    <w:rsid w:val="00620303"/>
    <w:rsid w:val="0062045C"/>
    <w:rsid w:val="00620472"/>
    <w:rsid w:val="006205EF"/>
    <w:rsid w:val="006207C0"/>
    <w:rsid w:val="00620866"/>
    <w:rsid w:val="00620AF6"/>
    <w:rsid w:val="00620B84"/>
    <w:rsid w:val="00620CBE"/>
    <w:rsid w:val="00620CEF"/>
    <w:rsid w:val="00620D08"/>
    <w:rsid w:val="00620DEB"/>
    <w:rsid w:val="00620DF3"/>
    <w:rsid w:val="00620EFA"/>
    <w:rsid w:val="00620FCC"/>
    <w:rsid w:val="006210C6"/>
    <w:rsid w:val="0062122C"/>
    <w:rsid w:val="006212DD"/>
    <w:rsid w:val="006213B1"/>
    <w:rsid w:val="006213DA"/>
    <w:rsid w:val="0062155A"/>
    <w:rsid w:val="006216EE"/>
    <w:rsid w:val="006217A4"/>
    <w:rsid w:val="006218BD"/>
    <w:rsid w:val="00621938"/>
    <w:rsid w:val="00621A59"/>
    <w:rsid w:val="00621C4B"/>
    <w:rsid w:val="00621D5E"/>
    <w:rsid w:val="00621EDA"/>
    <w:rsid w:val="00622099"/>
    <w:rsid w:val="00622209"/>
    <w:rsid w:val="006222B3"/>
    <w:rsid w:val="006222C7"/>
    <w:rsid w:val="0062246A"/>
    <w:rsid w:val="0062289D"/>
    <w:rsid w:val="0062303C"/>
    <w:rsid w:val="006230AF"/>
    <w:rsid w:val="006230F1"/>
    <w:rsid w:val="0062316B"/>
    <w:rsid w:val="00623209"/>
    <w:rsid w:val="006232AA"/>
    <w:rsid w:val="006233D7"/>
    <w:rsid w:val="00623554"/>
    <w:rsid w:val="006239C1"/>
    <w:rsid w:val="00623A51"/>
    <w:rsid w:val="00623B48"/>
    <w:rsid w:val="00623E98"/>
    <w:rsid w:val="0062401F"/>
    <w:rsid w:val="006240FB"/>
    <w:rsid w:val="00624131"/>
    <w:rsid w:val="006243AD"/>
    <w:rsid w:val="006243CC"/>
    <w:rsid w:val="0062454E"/>
    <w:rsid w:val="006249C0"/>
    <w:rsid w:val="00624B57"/>
    <w:rsid w:val="00624BCD"/>
    <w:rsid w:val="00624C3C"/>
    <w:rsid w:val="00624CD4"/>
    <w:rsid w:val="00624D33"/>
    <w:rsid w:val="00624D9A"/>
    <w:rsid w:val="00624E2D"/>
    <w:rsid w:val="00624EC6"/>
    <w:rsid w:val="00624F20"/>
    <w:rsid w:val="00624F3C"/>
    <w:rsid w:val="00625027"/>
    <w:rsid w:val="0062505C"/>
    <w:rsid w:val="006250B2"/>
    <w:rsid w:val="00625262"/>
    <w:rsid w:val="00625470"/>
    <w:rsid w:val="0062552D"/>
    <w:rsid w:val="0062556B"/>
    <w:rsid w:val="006255F5"/>
    <w:rsid w:val="00625740"/>
    <w:rsid w:val="006257C7"/>
    <w:rsid w:val="006259AE"/>
    <w:rsid w:val="00625A27"/>
    <w:rsid w:val="00625A3A"/>
    <w:rsid w:val="00625A9A"/>
    <w:rsid w:val="00625B73"/>
    <w:rsid w:val="00625BBB"/>
    <w:rsid w:val="00625DA8"/>
    <w:rsid w:val="00625F93"/>
    <w:rsid w:val="00626047"/>
    <w:rsid w:val="00626053"/>
    <w:rsid w:val="00626122"/>
    <w:rsid w:val="0062624F"/>
    <w:rsid w:val="0062631D"/>
    <w:rsid w:val="006263D6"/>
    <w:rsid w:val="006264DE"/>
    <w:rsid w:val="006265A4"/>
    <w:rsid w:val="0062661D"/>
    <w:rsid w:val="00626639"/>
    <w:rsid w:val="0062673A"/>
    <w:rsid w:val="00626833"/>
    <w:rsid w:val="00626955"/>
    <w:rsid w:val="006269DB"/>
    <w:rsid w:val="00626BD5"/>
    <w:rsid w:val="00626EEF"/>
    <w:rsid w:val="00626F11"/>
    <w:rsid w:val="00626F99"/>
    <w:rsid w:val="00626F9C"/>
    <w:rsid w:val="00626FAB"/>
    <w:rsid w:val="00627011"/>
    <w:rsid w:val="00627082"/>
    <w:rsid w:val="006270DD"/>
    <w:rsid w:val="0062728E"/>
    <w:rsid w:val="00627341"/>
    <w:rsid w:val="00627347"/>
    <w:rsid w:val="006276C9"/>
    <w:rsid w:val="00627787"/>
    <w:rsid w:val="006277E5"/>
    <w:rsid w:val="00627893"/>
    <w:rsid w:val="006279F6"/>
    <w:rsid w:val="00627CC1"/>
    <w:rsid w:val="00627D46"/>
    <w:rsid w:val="00627E30"/>
    <w:rsid w:val="00627F8E"/>
    <w:rsid w:val="00627FFC"/>
    <w:rsid w:val="0063001F"/>
    <w:rsid w:val="00630053"/>
    <w:rsid w:val="006300A9"/>
    <w:rsid w:val="00630179"/>
    <w:rsid w:val="00630195"/>
    <w:rsid w:val="0063058E"/>
    <w:rsid w:val="00630595"/>
    <w:rsid w:val="006306DE"/>
    <w:rsid w:val="0063072A"/>
    <w:rsid w:val="00630958"/>
    <w:rsid w:val="00630B20"/>
    <w:rsid w:val="00630BCC"/>
    <w:rsid w:val="00630CF2"/>
    <w:rsid w:val="00630D01"/>
    <w:rsid w:val="00630D33"/>
    <w:rsid w:val="00630D84"/>
    <w:rsid w:val="00630DEE"/>
    <w:rsid w:val="00630EB3"/>
    <w:rsid w:val="00630FB1"/>
    <w:rsid w:val="00631094"/>
    <w:rsid w:val="00631098"/>
    <w:rsid w:val="006311B7"/>
    <w:rsid w:val="0063127B"/>
    <w:rsid w:val="00631368"/>
    <w:rsid w:val="00631414"/>
    <w:rsid w:val="006316E3"/>
    <w:rsid w:val="0063172B"/>
    <w:rsid w:val="006317B1"/>
    <w:rsid w:val="00631A22"/>
    <w:rsid w:val="00631A7A"/>
    <w:rsid w:val="00631A92"/>
    <w:rsid w:val="00631AC9"/>
    <w:rsid w:val="00631EFD"/>
    <w:rsid w:val="00631FC2"/>
    <w:rsid w:val="00631FFA"/>
    <w:rsid w:val="00632170"/>
    <w:rsid w:val="006322FA"/>
    <w:rsid w:val="00632538"/>
    <w:rsid w:val="00632539"/>
    <w:rsid w:val="006325FD"/>
    <w:rsid w:val="0063279C"/>
    <w:rsid w:val="00632A5D"/>
    <w:rsid w:val="00632ADB"/>
    <w:rsid w:val="00632CCE"/>
    <w:rsid w:val="00632DBC"/>
    <w:rsid w:val="00632E7B"/>
    <w:rsid w:val="0063323D"/>
    <w:rsid w:val="0063339E"/>
    <w:rsid w:val="00633625"/>
    <w:rsid w:val="006336A8"/>
    <w:rsid w:val="006336AB"/>
    <w:rsid w:val="006336D8"/>
    <w:rsid w:val="0063381D"/>
    <w:rsid w:val="006339E5"/>
    <w:rsid w:val="00633A13"/>
    <w:rsid w:val="00633D16"/>
    <w:rsid w:val="00633DED"/>
    <w:rsid w:val="00633F5D"/>
    <w:rsid w:val="00634020"/>
    <w:rsid w:val="0063436B"/>
    <w:rsid w:val="00634443"/>
    <w:rsid w:val="00634652"/>
    <w:rsid w:val="00634724"/>
    <w:rsid w:val="0063486B"/>
    <w:rsid w:val="0063498C"/>
    <w:rsid w:val="006349B1"/>
    <w:rsid w:val="00634C49"/>
    <w:rsid w:val="00634E0B"/>
    <w:rsid w:val="00635073"/>
    <w:rsid w:val="00635178"/>
    <w:rsid w:val="0063518E"/>
    <w:rsid w:val="00635277"/>
    <w:rsid w:val="00635329"/>
    <w:rsid w:val="0063543B"/>
    <w:rsid w:val="006355AD"/>
    <w:rsid w:val="006355DD"/>
    <w:rsid w:val="00635670"/>
    <w:rsid w:val="00635728"/>
    <w:rsid w:val="006357C7"/>
    <w:rsid w:val="00635932"/>
    <w:rsid w:val="00635C14"/>
    <w:rsid w:val="00635E72"/>
    <w:rsid w:val="00635EB4"/>
    <w:rsid w:val="006360AE"/>
    <w:rsid w:val="0063613A"/>
    <w:rsid w:val="006361E1"/>
    <w:rsid w:val="00636741"/>
    <w:rsid w:val="0063680A"/>
    <w:rsid w:val="006369E6"/>
    <w:rsid w:val="00636A57"/>
    <w:rsid w:val="00636B45"/>
    <w:rsid w:val="00636B86"/>
    <w:rsid w:val="00636B8E"/>
    <w:rsid w:val="00637021"/>
    <w:rsid w:val="00637120"/>
    <w:rsid w:val="006373DD"/>
    <w:rsid w:val="006373E4"/>
    <w:rsid w:val="006373FA"/>
    <w:rsid w:val="006374F1"/>
    <w:rsid w:val="006375E4"/>
    <w:rsid w:val="00637602"/>
    <w:rsid w:val="006377A2"/>
    <w:rsid w:val="006377FF"/>
    <w:rsid w:val="0063787F"/>
    <w:rsid w:val="006378E6"/>
    <w:rsid w:val="00637B2D"/>
    <w:rsid w:val="00637B9B"/>
    <w:rsid w:val="00637F95"/>
    <w:rsid w:val="006401E4"/>
    <w:rsid w:val="006401ED"/>
    <w:rsid w:val="006402E9"/>
    <w:rsid w:val="00640336"/>
    <w:rsid w:val="0064034F"/>
    <w:rsid w:val="00640608"/>
    <w:rsid w:val="006406AE"/>
    <w:rsid w:val="006406BF"/>
    <w:rsid w:val="00640841"/>
    <w:rsid w:val="0064094A"/>
    <w:rsid w:val="00640E51"/>
    <w:rsid w:val="0064106F"/>
    <w:rsid w:val="00641164"/>
    <w:rsid w:val="006411A0"/>
    <w:rsid w:val="006412BD"/>
    <w:rsid w:val="0064132A"/>
    <w:rsid w:val="0064140C"/>
    <w:rsid w:val="00641514"/>
    <w:rsid w:val="006415D0"/>
    <w:rsid w:val="006417BD"/>
    <w:rsid w:val="00641A8D"/>
    <w:rsid w:val="00641AF6"/>
    <w:rsid w:val="00641BD3"/>
    <w:rsid w:val="00641D1E"/>
    <w:rsid w:val="00641DF3"/>
    <w:rsid w:val="00641EA9"/>
    <w:rsid w:val="00641F60"/>
    <w:rsid w:val="006420AE"/>
    <w:rsid w:val="006420AF"/>
    <w:rsid w:val="0064213B"/>
    <w:rsid w:val="0064224D"/>
    <w:rsid w:val="006425EF"/>
    <w:rsid w:val="00642635"/>
    <w:rsid w:val="0064266A"/>
    <w:rsid w:val="0064270C"/>
    <w:rsid w:val="00642733"/>
    <w:rsid w:val="00642822"/>
    <w:rsid w:val="00642947"/>
    <w:rsid w:val="00642B89"/>
    <w:rsid w:val="00642CBD"/>
    <w:rsid w:val="00642E7C"/>
    <w:rsid w:val="00642EE9"/>
    <w:rsid w:val="00642EF3"/>
    <w:rsid w:val="00642F10"/>
    <w:rsid w:val="00642F31"/>
    <w:rsid w:val="006431D8"/>
    <w:rsid w:val="0064332A"/>
    <w:rsid w:val="00643331"/>
    <w:rsid w:val="006433C8"/>
    <w:rsid w:val="00643402"/>
    <w:rsid w:val="0064340C"/>
    <w:rsid w:val="0064344F"/>
    <w:rsid w:val="006434DD"/>
    <w:rsid w:val="006436B4"/>
    <w:rsid w:val="006437E8"/>
    <w:rsid w:val="0064383C"/>
    <w:rsid w:val="00643870"/>
    <w:rsid w:val="006438F0"/>
    <w:rsid w:val="006439AD"/>
    <w:rsid w:val="00643A19"/>
    <w:rsid w:val="00643A3A"/>
    <w:rsid w:val="00643AAC"/>
    <w:rsid w:val="00643BD6"/>
    <w:rsid w:val="00643F25"/>
    <w:rsid w:val="00643FE2"/>
    <w:rsid w:val="00643FFE"/>
    <w:rsid w:val="00644042"/>
    <w:rsid w:val="006440D4"/>
    <w:rsid w:val="00644157"/>
    <w:rsid w:val="00644288"/>
    <w:rsid w:val="0064440A"/>
    <w:rsid w:val="00644441"/>
    <w:rsid w:val="00644610"/>
    <w:rsid w:val="0064461F"/>
    <w:rsid w:val="0064462E"/>
    <w:rsid w:val="0064470E"/>
    <w:rsid w:val="006447AE"/>
    <w:rsid w:val="006447E7"/>
    <w:rsid w:val="0064481D"/>
    <w:rsid w:val="0064491C"/>
    <w:rsid w:val="00644A02"/>
    <w:rsid w:val="00644D57"/>
    <w:rsid w:val="00644F03"/>
    <w:rsid w:val="0064512D"/>
    <w:rsid w:val="006451BD"/>
    <w:rsid w:val="0064530E"/>
    <w:rsid w:val="0064540D"/>
    <w:rsid w:val="0064544E"/>
    <w:rsid w:val="0064551C"/>
    <w:rsid w:val="00645854"/>
    <w:rsid w:val="006458B7"/>
    <w:rsid w:val="006459B4"/>
    <w:rsid w:val="00645AC6"/>
    <w:rsid w:val="00645CF0"/>
    <w:rsid w:val="00645D25"/>
    <w:rsid w:val="00645E57"/>
    <w:rsid w:val="00645E84"/>
    <w:rsid w:val="00645F55"/>
    <w:rsid w:val="00646004"/>
    <w:rsid w:val="00646020"/>
    <w:rsid w:val="006462D3"/>
    <w:rsid w:val="0064641D"/>
    <w:rsid w:val="0064646C"/>
    <w:rsid w:val="0064654C"/>
    <w:rsid w:val="006465AA"/>
    <w:rsid w:val="00646994"/>
    <w:rsid w:val="00646A2D"/>
    <w:rsid w:val="00646D05"/>
    <w:rsid w:val="00646ECE"/>
    <w:rsid w:val="006472DD"/>
    <w:rsid w:val="0064730B"/>
    <w:rsid w:val="006473B1"/>
    <w:rsid w:val="00647480"/>
    <w:rsid w:val="006474F3"/>
    <w:rsid w:val="00647611"/>
    <w:rsid w:val="006477C0"/>
    <w:rsid w:val="00647AE6"/>
    <w:rsid w:val="00647B00"/>
    <w:rsid w:val="00647B42"/>
    <w:rsid w:val="00647B9E"/>
    <w:rsid w:val="00647D14"/>
    <w:rsid w:val="00647D3C"/>
    <w:rsid w:val="00647E55"/>
    <w:rsid w:val="00647FFD"/>
    <w:rsid w:val="006500E9"/>
    <w:rsid w:val="006502AF"/>
    <w:rsid w:val="0065032F"/>
    <w:rsid w:val="006504C9"/>
    <w:rsid w:val="0065056B"/>
    <w:rsid w:val="0065058F"/>
    <w:rsid w:val="006505B0"/>
    <w:rsid w:val="006505B9"/>
    <w:rsid w:val="00650811"/>
    <w:rsid w:val="00650836"/>
    <w:rsid w:val="00650A1D"/>
    <w:rsid w:val="00650BD2"/>
    <w:rsid w:val="00650F28"/>
    <w:rsid w:val="00650F30"/>
    <w:rsid w:val="00650F49"/>
    <w:rsid w:val="00650F57"/>
    <w:rsid w:val="006510F6"/>
    <w:rsid w:val="00651212"/>
    <w:rsid w:val="00651297"/>
    <w:rsid w:val="006512C1"/>
    <w:rsid w:val="00651440"/>
    <w:rsid w:val="0065148D"/>
    <w:rsid w:val="006515E0"/>
    <w:rsid w:val="0065169F"/>
    <w:rsid w:val="00651A54"/>
    <w:rsid w:val="00651B09"/>
    <w:rsid w:val="00651C9B"/>
    <w:rsid w:val="00651DC3"/>
    <w:rsid w:val="00651E36"/>
    <w:rsid w:val="00651E9A"/>
    <w:rsid w:val="00651ECA"/>
    <w:rsid w:val="00651FAD"/>
    <w:rsid w:val="0065204A"/>
    <w:rsid w:val="0065222E"/>
    <w:rsid w:val="0065226D"/>
    <w:rsid w:val="006523B9"/>
    <w:rsid w:val="0065248D"/>
    <w:rsid w:val="00652494"/>
    <w:rsid w:val="006525CA"/>
    <w:rsid w:val="00652678"/>
    <w:rsid w:val="006527CA"/>
    <w:rsid w:val="00652880"/>
    <w:rsid w:val="006528F2"/>
    <w:rsid w:val="00652970"/>
    <w:rsid w:val="00652DE5"/>
    <w:rsid w:val="00652E3F"/>
    <w:rsid w:val="00652ECC"/>
    <w:rsid w:val="00652F50"/>
    <w:rsid w:val="00653022"/>
    <w:rsid w:val="00653567"/>
    <w:rsid w:val="00653693"/>
    <w:rsid w:val="00653779"/>
    <w:rsid w:val="0065387F"/>
    <w:rsid w:val="0065392D"/>
    <w:rsid w:val="006539E3"/>
    <w:rsid w:val="00653A57"/>
    <w:rsid w:val="00653D8A"/>
    <w:rsid w:val="00653E91"/>
    <w:rsid w:val="00654082"/>
    <w:rsid w:val="00654098"/>
    <w:rsid w:val="006541A4"/>
    <w:rsid w:val="00654450"/>
    <w:rsid w:val="00654452"/>
    <w:rsid w:val="0065446B"/>
    <w:rsid w:val="00654563"/>
    <w:rsid w:val="00654660"/>
    <w:rsid w:val="006547B9"/>
    <w:rsid w:val="0065495E"/>
    <w:rsid w:val="00654A02"/>
    <w:rsid w:val="00654A78"/>
    <w:rsid w:val="00654D06"/>
    <w:rsid w:val="00654DCF"/>
    <w:rsid w:val="00654E1D"/>
    <w:rsid w:val="00654E3D"/>
    <w:rsid w:val="00654FE1"/>
    <w:rsid w:val="00655188"/>
    <w:rsid w:val="00655360"/>
    <w:rsid w:val="00655390"/>
    <w:rsid w:val="00655478"/>
    <w:rsid w:val="00655665"/>
    <w:rsid w:val="006556C4"/>
    <w:rsid w:val="006558AF"/>
    <w:rsid w:val="006559B7"/>
    <w:rsid w:val="006559F4"/>
    <w:rsid w:val="00655B22"/>
    <w:rsid w:val="00655C1D"/>
    <w:rsid w:val="00655D1D"/>
    <w:rsid w:val="00655E8D"/>
    <w:rsid w:val="00655FE5"/>
    <w:rsid w:val="0065606F"/>
    <w:rsid w:val="00656118"/>
    <w:rsid w:val="00656138"/>
    <w:rsid w:val="00656276"/>
    <w:rsid w:val="006562A2"/>
    <w:rsid w:val="00656682"/>
    <w:rsid w:val="00656751"/>
    <w:rsid w:val="00656784"/>
    <w:rsid w:val="00656798"/>
    <w:rsid w:val="0065681E"/>
    <w:rsid w:val="00656896"/>
    <w:rsid w:val="006569A1"/>
    <w:rsid w:val="006569F6"/>
    <w:rsid w:val="00656A5E"/>
    <w:rsid w:val="00656A91"/>
    <w:rsid w:val="00656BD0"/>
    <w:rsid w:val="00656E5E"/>
    <w:rsid w:val="00656FFE"/>
    <w:rsid w:val="006570FE"/>
    <w:rsid w:val="006572F7"/>
    <w:rsid w:val="00657375"/>
    <w:rsid w:val="006573A7"/>
    <w:rsid w:val="006573F1"/>
    <w:rsid w:val="00657554"/>
    <w:rsid w:val="00657583"/>
    <w:rsid w:val="0065761F"/>
    <w:rsid w:val="0065793B"/>
    <w:rsid w:val="00657A25"/>
    <w:rsid w:val="00657BA1"/>
    <w:rsid w:val="00657E73"/>
    <w:rsid w:val="00657EB5"/>
    <w:rsid w:val="0066002E"/>
    <w:rsid w:val="00660035"/>
    <w:rsid w:val="006600B8"/>
    <w:rsid w:val="00660132"/>
    <w:rsid w:val="006601C3"/>
    <w:rsid w:val="006602D2"/>
    <w:rsid w:val="00660452"/>
    <w:rsid w:val="006604F9"/>
    <w:rsid w:val="006605C1"/>
    <w:rsid w:val="006605FB"/>
    <w:rsid w:val="006606C1"/>
    <w:rsid w:val="006607C2"/>
    <w:rsid w:val="006607FD"/>
    <w:rsid w:val="006608C3"/>
    <w:rsid w:val="0066091E"/>
    <w:rsid w:val="00660A1D"/>
    <w:rsid w:val="00660AEB"/>
    <w:rsid w:val="00660B41"/>
    <w:rsid w:val="00660B93"/>
    <w:rsid w:val="00660C4C"/>
    <w:rsid w:val="00660D7E"/>
    <w:rsid w:val="0066103F"/>
    <w:rsid w:val="0066107A"/>
    <w:rsid w:val="00661143"/>
    <w:rsid w:val="006613C0"/>
    <w:rsid w:val="00661580"/>
    <w:rsid w:val="006615BE"/>
    <w:rsid w:val="00661607"/>
    <w:rsid w:val="006616DA"/>
    <w:rsid w:val="006618CE"/>
    <w:rsid w:val="00661983"/>
    <w:rsid w:val="006619C4"/>
    <w:rsid w:val="00661AFB"/>
    <w:rsid w:val="00661C02"/>
    <w:rsid w:val="00661C13"/>
    <w:rsid w:val="00661C56"/>
    <w:rsid w:val="00661C6D"/>
    <w:rsid w:val="00661CA5"/>
    <w:rsid w:val="00661DF5"/>
    <w:rsid w:val="00662064"/>
    <w:rsid w:val="00662115"/>
    <w:rsid w:val="00662230"/>
    <w:rsid w:val="00662257"/>
    <w:rsid w:val="00662277"/>
    <w:rsid w:val="006622C1"/>
    <w:rsid w:val="00662381"/>
    <w:rsid w:val="00662534"/>
    <w:rsid w:val="00662626"/>
    <w:rsid w:val="00662811"/>
    <w:rsid w:val="00662AF3"/>
    <w:rsid w:val="00662B83"/>
    <w:rsid w:val="00662D7E"/>
    <w:rsid w:val="00662E33"/>
    <w:rsid w:val="00662FAA"/>
    <w:rsid w:val="00662FB7"/>
    <w:rsid w:val="00662FD2"/>
    <w:rsid w:val="006630DD"/>
    <w:rsid w:val="00663195"/>
    <w:rsid w:val="006631EA"/>
    <w:rsid w:val="0066328B"/>
    <w:rsid w:val="00663441"/>
    <w:rsid w:val="00663509"/>
    <w:rsid w:val="00663598"/>
    <w:rsid w:val="00663790"/>
    <w:rsid w:val="006637FE"/>
    <w:rsid w:val="00663896"/>
    <w:rsid w:val="00663AA0"/>
    <w:rsid w:val="00663B8C"/>
    <w:rsid w:val="00663D05"/>
    <w:rsid w:val="00663D35"/>
    <w:rsid w:val="00664647"/>
    <w:rsid w:val="006646AF"/>
    <w:rsid w:val="006646BA"/>
    <w:rsid w:val="006646E1"/>
    <w:rsid w:val="00664733"/>
    <w:rsid w:val="00664845"/>
    <w:rsid w:val="006648A8"/>
    <w:rsid w:val="006648BF"/>
    <w:rsid w:val="00664A16"/>
    <w:rsid w:val="00664A50"/>
    <w:rsid w:val="00664A5D"/>
    <w:rsid w:val="00664B62"/>
    <w:rsid w:val="00664C59"/>
    <w:rsid w:val="00664D21"/>
    <w:rsid w:val="00664DAC"/>
    <w:rsid w:val="00664E5E"/>
    <w:rsid w:val="00664ED5"/>
    <w:rsid w:val="00664EF4"/>
    <w:rsid w:val="00665201"/>
    <w:rsid w:val="006652F1"/>
    <w:rsid w:val="00665395"/>
    <w:rsid w:val="006656ED"/>
    <w:rsid w:val="006657DD"/>
    <w:rsid w:val="0066580F"/>
    <w:rsid w:val="0066582C"/>
    <w:rsid w:val="00665833"/>
    <w:rsid w:val="006658F6"/>
    <w:rsid w:val="0066590F"/>
    <w:rsid w:val="00665989"/>
    <w:rsid w:val="00665A7E"/>
    <w:rsid w:val="00665AAF"/>
    <w:rsid w:val="00665B0D"/>
    <w:rsid w:val="00665B8A"/>
    <w:rsid w:val="00665F08"/>
    <w:rsid w:val="00666009"/>
    <w:rsid w:val="006660BA"/>
    <w:rsid w:val="00666319"/>
    <w:rsid w:val="006663B3"/>
    <w:rsid w:val="00666449"/>
    <w:rsid w:val="00666548"/>
    <w:rsid w:val="006665A9"/>
    <w:rsid w:val="00666600"/>
    <w:rsid w:val="00666753"/>
    <w:rsid w:val="00666A5E"/>
    <w:rsid w:val="00666B0C"/>
    <w:rsid w:val="00666C59"/>
    <w:rsid w:val="00666E48"/>
    <w:rsid w:val="00666F01"/>
    <w:rsid w:val="00667006"/>
    <w:rsid w:val="006670F2"/>
    <w:rsid w:val="0066743E"/>
    <w:rsid w:val="006676F9"/>
    <w:rsid w:val="00667710"/>
    <w:rsid w:val="00667738"/>
    <w:rsid w:val="00667913"/>
    <w:rsid w:val="00667A65"/>
    <w:rsid w:val="00667B40"/>
    <w:rsid w:val="00667B67"/>
    <w:rsid w:val="00667CFF"/>
    <w:rsid w:val="00667D35"/>
    <w:rsid w:val="00667E5F"/>
    <w:rsid w:val="00667EB8"/>
    <w:rsid w:val="00667F2B"/>
    <w:rsid w:val="00667FAF"/>
    <w:rsid w:val="00670254"/>
    <w:rsid w:val="0067037A"/>
    <w:rsid w:val="00670600"/>
    <w:rsid w:val="006706CB"/>
    <w:rsid w:val="0067086D"/>
    <w:rsid w:val="00670A44"/>
    <w:rsid w:val="00670B05"/>
    <w:rsid w:val="00670B13"/>
    <w:rsid w:val="00670B22"/>
    <w:rsid w:val="00670E27"/>
    <w:rsid w:val="00670F2E"/>
    <w:rsid w:val="00670F4C"/>
    <w:rsid w:val="00670FA8"/>
    <w:rsid w:val="00670FC7"/>
    <w:rsid w:val="006714DF"/>
    <w:rsid w:val="00671527"/>
    <w:rsid w:val="006715C6"/>
    <w:rsid w:val="00671649"/>
    <w:rsid w:val="0067164E"/>
    <w:rsid w:val="00671777"/>
    <w:rsid w:val="006718DF"/>
    <w:rsid w:val="00671A08"/>
    <w:rsid w:val="00671C71"/>
    <w:rsid w:val="00671CC2"/>
    <w:rsid w:val="00671CE3"/>
    <w:rsid w:val="00671E2F"/>
    <w:rsid w:val="00672141"/>
    <w:rsid w:val="0067244B"/>
    <w:rsid w:val="00672460"/>
    <w:rsid w:val="0067248B"/>
    <w:rsid w:val="0067257B"/>
    <w:rsid w:val="006725B7"/>
    <w:rsid w:val="006725DC"/>
    <w:rsid w:val="0067273B"/>
    <w:rsid w:val="00672926"/>
    <w:rsid w:val="00672953"/>
    <w:rsid w:val="00672AC5"/>
    <w:rsid w:val="00672AC9"/>
    <w:rsid w:val="00672AEA"/>
    <w:rsid w:val="00672C10"/>
    <w:rsid w:val="00672D37"/>
    <w:rsid w:val="00672F08"/>
    <w:rsid w:val="00672F23"/>
    <w:rsid w:val="00672F34"/>
    <w:rsid w:val="00673141"/>
    <w:rsid w:val="00673186"/>
    <w:rsid w:val="00673202"/>
    <w:rsid w:val="0067332F"/>
    <w:rsid w:val="0067338D"/>
    <w:rsid w:val="00673395"/>
    <w:rsid w:val="0067341F"/>
    <w:rsid w:val="00673790"/>
    <w:rsid w:val="006737A3"/>
    <w:rsid w:val="006738FE"/>
    <w:rsid w:val="00673961"/>
    <w:rsid w:val="0067399F"/>
    <w:rsid w:val="00673A48"/>
    <w:rsid w:val="00673B95"/>
    <w:rsid w:val="00673BB8"/>
    <w:rsid w:val="00673F7F"/>
    <w:rsid w:val="0067407D"/>
    <w:rsid w:val="006740F7"/>
    <w:rsid w:val="0067478F"/>
    <w:rsid w:val="006747A8"/>
    <w:rsid w:val="00674823"/>
    <w:rsid w:val="00674903"/>
    <w:rsid w:val="006749CD"/>
    <w:rsid w:val="00674B5E"/>
    <w:rsid w:val="00674D48"/>
    <w:rsid w:val="00674FE3"/>
    <w:rsid w:val="00675251"/>
    <w:rsid w:val="00675275"/>
    <w:rsid w:val="006752A1"/>
    <w:rsid w:val="0067544B"/>
    <w:rsid w:val="006755AA"/>
    <w:rsid w:val="006756E4"/>
    <w:rsid w:val="006756F8"/>
    <w:rsid w:val="0067585A"/>
    <w:rsid w:val="00675894"/>
    <w:rsid w:val="00675920"/>
    <w:rsid w:val="0067598A"/>
    <w:rsid w:val="00675AB6"/>
    <w:rsid w:val="00675B70"/>
    <w:rsid w:val="00675C5C"/>
    <w:rsid w:val="00675D50"/>
    <w:rsid w:val="00675E43"/>
    <w:rsid w:val="00676156"/>
    <w:rsid w:val="00676184"/>
    <w:rsid w:val="006762B9"/>
    <w:rsid w:val="00676317"/>
    <w:rsid w:val="00676358"/>
    <w:rsid w:val="006763CD"/>
    <w:rsid w:val="006764DC"/>
    <w:rsid w:val="0067655C"/>
    <w:rsid w:val="006767E1"/>
    <w:rsid w:val="00676829"/>
    <w:rsid w:val="006768FB"/>
    <w:rsid w:val="00676A43"/>
    <w:rsid w:val="00676A83"/>
    <w:rsid w:val="00676ACA"/>
    <w:rsid w:val="00676DF2"/>
    <w:rsid w:val="006770DD"/>
    <w:rsid w:val="00677181"/>
    <w:rsid w:val="00677334"/>
    <w:rsid w:val="00677352"/>
    <w:rsid w:val="006773CE"/>
    <w:rsid w:val="006773EB"/>
    <w:rsid w:val="00677437"/>
    <w:rsid w:val="00677767"/>
    <w:rsid w:val="006777E8"/>
    <w:rsid w:val="00677A36"/>
    <w:rsid w:val="00677B16"/>
    <w:rsid w:val="00677C66"/>
    <w:rsid w:val="00677C68"/>
    <w:rsid w:val="00677C98"/>
    <w:rsid w:val="00677D4B"/>
    <w:rsid w:val="00677E23"/>
    <w:rsid w:val="00677FB3"/>
    <w:rsid w:val="00680067"/>
    <w:rsid w:val="006801D8"/>
    <w:rsid w:val="0068033E"/>
    <w:rsid w:val="0068066B"/>
    <w:rsid w:val="0068084B"/>
    <w:rsid w:val="0068085D"/>
    <w:rsid w:val="0068093B"/>
    <w:rsid w:val="00680BC2"/>
    <w:rsid w:val="00680E84"/>
    <w:rsid w:val="00680EB5"/>
    <w:rsid w:val="00680F45"/>
    <w:rsid w:val="00680F84"/>
    <w:rsid w:val="00680F9A"/>
    <w:rsid w:val="00680FC1"/>
    <w:rsid w:val="006810C6"/>
    <w:rsid w:val="0068110A"/>
    <w:rsid w:val="006812FD"/>
    <w:rsid w:val="00681330"/>
    <w:rsid w:val="0068145F"/>
    <w:rsid w:val="0068155A"/>
    <w:rsid w:val="006815A3"/>
    <w:rsid w:val="00681645"/>
    <w:rsid w:val="00681685"/>
    <w:rsid w:val="00681736"/>
    <w:rsid w:val="006817A4"/>
    <w:rsid w:val="006817C5"/>
    <w:rsid w:val="0068181E"/>
    <w:rsid w:val="0068191B"/>
    <w:rsid w:val="0068194D"/>
    <w:rsid w:val="00681B13"/>
    <w:rsid w:val="00681C17"/>
    <w:rsid w:val="00681D1E"/>
    <w:rsid w:val="00681F80"/>
    <w:rsid w:val="00682037"/>
    <w:rsid w:val="006820C8"/>
    <w:rsid w:val="00682147"/>
    <w:rsid w:val="006821AE"/>
    <w:rsid w:val="006822F4"/>
    <w:rsid w:val="006823BC"/>
    <w:rsid w:val="006823D4"/>
    <w:rsid w:val="0068244A"/>
    <w:rsid w:val="00682643"/>
    <w:rsid w:val="0068273B"/>
    <w:rsid w:val="006827AB"/>
    <w:rsid w:val="006829A8"/>
    <w:rsid w:val="00682A00"/>
    <w:rsid w:val="00682A71"/>
    <w:rsid w:val="00682ACF"/>
    <w:rsid w:val="00682B92"/>
    <w:rsid w:val="00682BDC"/>
    <w:rsid w:val="00683101"/>
    <w:rsid w:val="006831B1"/>
    <w:rsid w:val="006836E8"/>
    <w:rsid w:val="00683797"/>
    <w:rsid w:val="006838E7"/>
    <w:rsid w:val="00683AD0"/>
    <w:rsid w:val="00683EF6"/>
    <w:rsid w:val="00683F35"/>
    <w:rsid w:val="00683F95"/>
    <w:rsid w:val="00684225"/>
    <w:rsid w:val="00684363"/>
    <w:rsid w:val="006845FF"/>
    <w:rsid w:val="00684780"/>
    <w:rsid w:val="00684799"/>
    <w:rsid w:val="0068499C"/>
    <w:rsid w:val="00684A29"/>
    <w:rsid w:val="00684A2E"/>
    <w:rsid w:val="00684B7C"/>
    <w:rsid w:val="00684CB0"/>
    <w:rsid w:val="00684ED8"/>
    <w:rsid w:val="00684EF6"/>
    <w:rsid w:val="00684F58"/>
    <w:rsid w:val="006850C3"/>
    <w:rsid w:val="00685418"/>
    <w:rsid w:val="006854B6"/>
    <w:rsid w:val="0068550F"/>
    <w:rsid w:val="00685577"/>
    <w:rsid w:val="006856DA"/>
    <w:rsid w:val="006857CF"/>
    <w:rsid w:val="006858C4"/>
    <w:rsid w:val="006858D7"/>
    <w:rsid w:val="006859E5"/>
    <w:rsid w:val="00685AD4"/>
    <w:rsid w:val="00686019"/>
    <w:rsid w:val="00686094"/>
    <w:rsid w:val="00686105"/>
    <w:rsid w:val="0068614B"/>
    <w:rsid w:val="00686234"/>
    <w:rsid w:val="0068627A"/>
    <w:rsid w:val="00686346"/>
    <w:rsid w:val="00686423"/>
    <w:rsid w:val="006864C8"/>
    <w:rsid w:val="0068650A"/>
    <w:rsid w:val="006865B5"/>
    <w:rsid w:val="006865C7"/>
    <w:rsid w:val="006866F6"/>
    <w:rsid w:val="0068674C"/>
    <w:rsid w:val="006868CA"/>
    <w:rsid w:val="006869C5"/>
    <w:rsid w:val="00686C49"/>
    <w:rsid w:val="00686DA5"/>
    <w:rsid w:val="00686F3B"/>
    <w:rsid w:val="00686F73"/>
    <w:rsid w:val="00686FC4"/>
    <w:rsid w:val="00686FE7"/>
    <w:rsid w:val="00687170"/>
    <w:rsid w:val="00687279"/>
    <w:rsid w:val="00687547"/>
    <w:rsid w:val="0068757D"/>
    <w:rsid w:val="006875A5"/>
    <w:rsid w:val="0068770E"/>
    <w:rsid w:val="00687722"/>
    <w:rsid w:val="00687836"/>
    <w:rsid w:val="00687948"/>
    <w:rsid w:val="006879BD"/>
    <w:rsid w:val="00687BBA"/>
    <w:rsid w:val="00687F56"/>
    <w:rsid w:val="00690186"/>
    <w:rsid w:val="0069019B"/>
    <w:rsid w:val="0069028E"/>
    <w:rsid w:val="006903C4"/>
    <w:rsid w:val="006906D5"/>
    <w:rsid w:val="006906FF"/>
    <w:rsid w:val="006909BA"/>
    <w:rsid w:val="00690AF9"/>
    <w:rsid w:val="00690BA6"/>
    <w:rsid w:val="00690D06"/>
    <w:rsid w:val="00690D3A"/>
    <w:rsid w:val="00690DB0"/>
    <w:rsid w:val="00690F91"/>
    <w:rsid w:val="00691054"/>
    <w:rsid w:val="006911BA"/>
    <w:rsid w:val="006912EE"/>
    <w:rsid w:val="00691382"/>
    <w:rsid w:val="0069143A"/>
    <w:rsid w:val="00691540"/>
    <w:rsid w:val="006916E1"/>
    <w:rsid w:val="006916F3"/>
    <w:rsid w:val="006919C4"/>
    <w:rsid w:val="00691AF2"/>
    <w:rsid w:val="00691B14"/>
    <w:rsid w:val="00691B70"/>
    <w:rsid w:val="00691D12"/>
    <w:rsid w:val="00692224"/>
    <w:rsid w:val="00692514"/>
    <w:rsid w:val="00692540"/>
    <w:rsid w:val="0069257D"/>
    <w:rsid w:val="006925A9"/>
    <w:rsid w:val="006925D5"/>
    <w:rsid w:val="00692664"/>
    <w:rsid w:val="00692A54"/>
    <w:rsid w:val="00692A64"/>
    <w:rsid w:val="00692AB1"/>
    <w:rsid w:val="00692B54"/>
    <w:rsid w:val="00692B98"/>
    <w:rsid w:val="00692BFC"/>
    <w:rsid w:val="00692CA5"/>
    <w:rsid w:val="00692D3C"/>
    <w:rsid w:val="00693017"/>
    <w:rsid w:val="0069316E"/>
    <w:rsid w:val="006931BF"/>
    <w:rsid w:val="00693340"/>
    <w:rsid w:val="006933FC"/>
    <w:rsid w:val="0069349C"/>
    <w:rsid w:val="00693695"/>
    <w:rsid w:val="00693762"/>
    <w:rsid w:val="0069376A"/>
    <w:rsid w:val="006939E3"/>
    <w:rsid w:val="00693CB6"/>
    <w:rsid w:val="00693D61"/>
    <w:rsid w:val="00693E47"/>
    <w:rsid w:val="00693F1C"/>
    <w:rsid w:val="00693F4F"/>
    <w:rsid w:val="006940D7"/>
    <w:rsid w:val="00694355"/>
    <w:rsid w:val="006943AE"/>
    <w:rsid w:val="00694493"/>
    <w:rsid w:val="00694504"/>
    <w:rsid w:val="006945CD"/>
    <w:rsid w:val="006948D0"/>
    <w:rsid w:val="0069491D"/>
    <w:rsid w:val="00694952"/>
    <w:rsid w:val="006949FD"/>
    <w:rsid w:val="00694BBD"/>
    <w:rsid w:val="00694D3C"/>
    <w:rsid w:val="0069502C"/>
    <w:rsid w:val="00695218"/>
    <w:rsid w:val="00695458"/>
    <w:rsid w:val="00695477"/>
    <w:rsid w:val="00695609"/>
    <w:rsid w:val="0069573B"/>
    <w:rsid w:val="0069584E"/>
    <w:rsid w:val="006958C2"/>
    <w:rsid w:val="00695ACE"/>
    <w:rsid w:val="00695C4B"/>
    <w:rsid w:val="0069609C"/>
    <w:rsid w:val="00696184"/>
    <w:rsid w:val="0069623D"/>
    <w:rsid w:val="00696299"/>
    <w:rsid w:val="00696323"/>
    <w:rsid w:val="00696387"/>
    <w:rsid w:val="00696415"/>
    <w:rsid w:val="00696703"/>
    <w:rsid w:val="006968CE"/>
    <w:rsid w:val="006968DF"/>
    <w:rsid w:val="00696C7B"/>
    <w:rsid w:val="00696EE8"/>
    <w:rsid w:val="006970A2"/>
    <w:rsid w:val="006970FF"/>
    <w:rsid w:val="00697164"/>
    <w:rsid w:val="0069733D"/>
    <w:rsid w:val="00697407"/>
    <w:rsid w:val="00697561"/>
    <w:rsid w:val="006975D3"/>
    <w:rsid w:val="00697738"/>
    <w:rsid w:val="00697A97"/>
    <w:rsid w:val="00697AC1"/>
    <w:rsid w:val="00697BA8"/>
    <w:rsid w:val="00697E97"/>
    <w:rsid w:val="00697EAF"/>
    <w:rsid w:val="006A0047"/>
    <w:rsid w:val="006A0052"/>
    <w:rsid w:val="006A01B0"/>
    <w:rsid w:val="006A02E8"/>
    <w:rsid w:val="006A034C"/>
    <w:rsid w:val="006A05BD"/>
    <w:rsid w:val="006A0842"/>
    <w:rsid w:val="006A0901"/>
    <w:rsid w:val="006A0B11"/>
    <w:rsid w:val="006A0B4B"/>
    <w:rsid w:val="006A0D93"/>
    <w:rsid w:val="006A0E55"/>
    <w:rsid w:val="006A0F2D"/>
    <w:rsid w:val="006A0FE5"/>
    <w:rsid w:val="006A100B"/>
    <w:rsid w:val="006A11DE"/>
    <w:rsid w:val="006A11E1"/>
    <w:rsid w:val="006A13CE"/>
    <w:rsid w:val="006A1463"/>
    <w:rsid w:val="006A174F"/>
    <w:rsid w:val="006A17D0"/>
    <w:rsid w:val="006A18E7"/>
    <w:rsid w:val="006A1970"/>
    <w:rsid w:val="006A1A05"/>
    <w:rsid w:val="006A1A52"/>
    <w:rsid w:val="006A1B62"/>
    <w:rsid w:val="006A1C89"/>
    <w:rsid w:val="006A1D4E"/>
    <w:rsid w:val="006A1D68"/>
    <w:rsid w:val="006A1FA6"/>
    <w:rsid w:val="006A2059"/>
    <w:rsid w:val="006A2272"/>
    <w:rsid w:val="006A240B"/>
    <w:rsid w:val="006A242F"/>
    <w:rsid w:val="006A24A0"/>
    <w:rsid w:val="006A25AF"/>
    <w:rsid w:val="006A25E2"/>
    <w:rsid w:val="006A25EF"/>
    <w:rsid w:val="006A2741"/>
    <w:rsid w:val="006A2786"/>
    <w:rsid w:val="006A27C9"/>
    <w:rsid w:val="006A282E"/>
    <w:rsid w:val="006A2B99"/>
    <w:rsid w:val="006A2BFA"/>
    <w:rsid w:val="006A2C1D"/>
    <w:rsid w:val="006A2D38"/>
    <w:rsid w:val="006A3094"/>
    <w:rsid w:val="006A3099"/>
    <w:rsid w:val="006A33F0"/>
    <w:rsid w:val="006A3445"/>
    <w:rsid w:val="006A37D2"/>
    <w:rsid w:val="006A3807"/>
    <w:rsid w:val="006A3B42"/>
    <w:rsid w:val="006A3D24"/>
    <w:rsid w:val="006A3D8C"/>
    <w:rsid w:val="006A3DF1"/>
    <w:rsid w:val="006A3E2F"/>
    <w:rsid w:val="006A3F01"/>
    <w:rsid w:val="006A402C"/>
    <w:rsid w:val="006A4041"/>
    <w:rsid w:val="006A4047"/>
    <w:rsid w:val="006A4096"/>
    <w:rsid w:val="006A4207"/>
    <w:rsid w:val="006A423B"/>
    <w:rsid w:val="006A42DC"/>
    <w:rsid w:val="006A4481"/>
    <w:rsid w:val="006A44B7"/>
    <w:rsid w:val="006A45B2"/>
    <w:rsid w:val="006A45F6"/>
    <w:rsid w:val="006A462B"/>
    <w:rsid w:val="006A47E2"/>
    <w:rsid w:val="006A496B"/>
    <w:rsid w:val="006A49F9"/>
    <w:rsid w:val="006A4A08"/>
    <w:rsid w:val="006A4AB8"/>
    <w:rsid w:val="006A4B31"/>
    <w:rsid w:val="006A4B51"/>
    <w:rsid w:val="006A4B5A"/>
    <w:rsid w:val="006A4B64"/>
    <w:rsid w:val="006A4C15"/>
    <w:rsid w:val="006A4E25"/>
    <w:rsid w:val="006A5005"/>
    <w:rsid w:val="006A505B"/>
    <w:rsid w:val="006A50F4"/>
    <w:rsid w:val="006A5109"/>
    <w:rsid w:val="006A5552"/>
    <w:rsid w:val="006A5603"/>
    <w:rsid w:val="006A5671"/>
    <w:rsid w:val="006A568E"/>
    <w:rsid w:val="006A58F9"/>
    <w:rsid w:val="006A5BCA"/>
    <w:rsid w:val="006A5BE6"/>
    <w:rsid w:val="006A5C03"/>
    <w:rsid w:val="006A5C64"/>
    <w:rsid w:val="006A5D77"/>
    <w:rsid w:val="006A5E07"/>
    <w:rsid w:val="006A5E27"/>
    <w:rsid w:val="006A61E8"/>
    <w:rsid w:val="006A6391"/>
    <w:rsid w:val="006A6552"/>
    <w:rsid w:val="006A6592"/>
    <w:rsid w:val="006A65C4"/>
    <w:rsid w:val="006A6726"/>
    <w:rsid w:val="006A6736"/>
    <w:rsid w:val="006A67AB"/>
    <w:rsid w:val="006A6A1F"/>
    <w:rsid w:val="006A6A8F"/>
    <w:rsid w:val="006A6BBC"/>
    <w:rsid w:val="006A6D2E"/>
    <w:rsid w:val="006A6E62"/>
    <w:rsid w:val="006A6EF3"/>
    <w:rsid w:val="006A7057"/>
    <w:rsid w:val="006A709F"/>
    <w:rsid w:val="006A7377"/>
    <w:rsid w:val="006A75E2"/>
    <w:rsid w:val="006A76B4"/>
    <w:rsid w:val="006A778D"/>
    <w:rsid w:val="006A782D"/>
    <w:rsid w:val="006A782E"/>
    <w:rsid w:val="006A783A"/>
    <w:rsid w:val="006A7846"/>
    <w:rsid w:val="006A78B7"/>
    <w:rsid w:val="006A7C54"/>
    <w:rsid w:val="006A7CD2"/>
    <w:rsid w:val="006A7D0D"/>
    <w:rsid w:val="006A7E05"/>
    <w:rsid w:val="006A7E90"/>
    <w:rsid w:val="006A7FB4"/>
    <w:rsid w:val="006B0184"/>
    <w:rsid w:val="006B0447"/>
    <w:rsid w:val="006B054A"/>
    <w:rsid w:val="006B05AC"/>
    <w:rsid w:val="006B0660"/>
    <w:rsid w:val="006B0668"/>
    <w:rsid w:val="006B074F"/>
    <w:rsid w:val="006B07B2"/>
    <w:rsid w:val="006B0809"/>
    <w:rsid w:val="006B099A"/>
    <w:rsid w:val="006B09AF"/>
    <w:rsid w:val="006B0A09"/>
    <w:rsid w:val="006B0AA8"/>
    <w:rsid w:val="006B0D1C"/>
    <w:rsid w:val="006B0DB6"/>
    <w:rsid w:val="006B0F1C"/>
    <w:rsid w:val="006B0FC8"/>
    <w:rsid w:val="006B1072"/>
    <w:rsid w:val="006B15E8"/>
    <w:rsid w:val="006B1B58"/>
    <w:rsid w:val="006B1BFB"/>
    <w:rsid w:val="006B1C62"/>
    <w:rsid w:val="006B1CF0"/>
    <w:rsid w:val="006B1D9A"/>
    <w:rsid w:val="006B1E57"/>
    <w:rsid w:val="006B1EAA"/>
    <w:rsid w:val="006B1F18"/>
    <w:rsid w:val="006B1FD2"/>
    <w:rsid w:val="006B2009"/>
    <w:rsid w:val="006B2060"/>
    <w:rsid w:val="006B211F"/>
    <w:rsid w:val="006B214F"/>
    <w:rsid w:val="006B21DA"/>
    <w:rsid w:val="006B22D9"/>
    <w:rsid w:val="006B241D"/>
    <w:rsid w:val="006B242D"/>
    <w:rsid w:val="006B2555"/>
    <w:rsid w:val="006B25A3"/>
    <w:rsid w:val="006B25F2"/>
    <w:rsid w:val="006B2609"/>
    <w:rsid w:val="006B2798"/>
    <w:rsid w:val="006B295B"/>
    <w:rsid w:val="006B2A6C"/>
    <w:rsid w:val="006B2B00"/>
    <w:rsid w:val="006B2C0C"/>
    <w:rsid w:val="006B2C79"/>
    <w:rsid w:val="006B2E77"/>
    <w:rsid w:val="006B2EC0"/>
    <w:rsid w:val="006B303C"/>
    <w:rsid w:val="006B31E5"/>
    <w:rsid w:val="006B3342"/>
    <w:rsid w:val="006B33D7"/>
    <w:rsid w:val="006B33FF"/>
    <w:rsid w:val="006B3492"/>
    <w:rsid w:val="006B351D"/>
    <w:rsid w:val="006B3714"/>
    <w:rsid w:val="006B3749"/>
    <w:rsid w:val="006B39A6"/>
    <w:rsid w:val="006B3B39"/>
    <w:rsid w:val="006B3C5F"/>
    <w:rsid w:val="006B3DE9"/>
    <w:rsid w:val="006B3F1A"/>
    <w:rsid w:val="006B41F4"/>
    <w:rsid w:val="006B42CD"/>
    <w:rsid w:val="006B42D1"/>
    <w:rsid w:val="006B43BB"/>
    <w:rsid w:val="006B48B7"/>
    <w:rsid w:val="006B48D7"/>
    <w:rsid w:val="006B4994"/>
    <w:rsid w:val="006B49C1"/>
    <w:rsid w:val="006B4A73"/>
    <w:rsid w:val="006B4BA1"/>
    <w:rsid w:val="006B4D28"/>
    <w:rsid w:val="006B4FCB"/>
    <w:rsid w:val="006B5364"/>
    <w:rsid w:val="006B5366"/>
    <w:rsid w:val="006B553D"/>
    <w:rsid w:val="006B57D3"/>
    <w:rsid w:val="006B5814"/>
    <w:rsid w:val="006B5891"/>
    <w:rsid w:val="006B5A92"/>
    <w:rsid w:val="006B5AF5"/>
    <w:rsid w:val="006B5D33"/>
    <w:rsid w:val="006B5E3B"/>
    <w:rsid w:val="006B5E72"/>
    <w:rsid w:val="006B5F15"/>
    <w:rsid w:val="006B607E"/>
    <w:rsid w:val="006B6534"/>
    <w:rsid w:val="006B6584"/>
    <w:rsid w:val="006B6727"/>
    <w:rsid w:val="006B673C"/>
    <w:rsid w:val="006B679C"/>
    <w:rsid w:val="006B68E7"/>
    <w:rsid w:val="006B6918"/>
    <w:rsid w:val="006B691B"/>
    <w:rsid w:val="006B697C"/>
    <w:rsid w:val="006B6A91"/>
    <w:rsid w:val="006B6ACE"/>
    <w:rsid w:val="006B6BB3"/>
    <w:rsid w:val="006B6CCE"/>
    <w:rsid w:val="006B6F6A"/>
    <w:rsid w:val="006B6F90"/>
    <w:rsid w:val="006B7221"/>
    <w:rsid w:val="006B7242"/>
    <w:rsid w:val="006B741D"/>
    <w:rsid w:val="006B744C"/>
    <w:rsid w:val="006B74B6"/>
    <w:rsid w:val="006B7514"/>
    <w:rsid w:val="006B75B8"/>
    <w:rsid w:val="006B7656"/>
    <w:rsid w:val="006B76BA"/>
    <w:rsid w:val="006B78E0"/>
    <w:rsid w:val="006B7987"/>
    <w:rsid w:val="006B7A0F"/>
    <w:rsid w:val="006B7A4B"/>
    <w:rsid w:val="006B7ACF"/>
    <w:rsid w:val="006B7BB3"/>
    <w:rsid w:val="006B7CFE"/>
    <w:rsid w:val="006B7DB7"/>
    <w:rsid w:val="006B7E8B"/>
    <w:rsid w:val="006B7F77"/>
    <w:rsid w:val="006B7F7D"/>
    <w:rsid w:val="006C0424"/>
    <w:rsid w:val="006C04DA"/>
    <w:rsid w:val="006C0688"/>
    <w:rsid w:val="006C08A6"/>
    <w:rsid w:val="006C090F"/>
    <w:rsid w:val="006C0AFB"/>
    <w:rsid w:val="006C0C80"/>
    <w:rsid w:val="006C0CF8"/>
    <w:rsid w:val="006C0E44"/>
    <w:rsid w:val="006C0E99"/>
    <w:rsid w:val="006C0FDF"/>
    <w:rsid w:val="006C10E4"/>
    <w:rsid w:val="006C1115"/>
    <w:rsid w:val="006C117B"/>
    <w:rsid w:val="006C1269"/>
    <w:rsid w:val="006C1352"/>
    <w:rsid w:val="006C13C6"/>
    <w:rsid w:val="006C1639"/>
    <w:rsid w:val="006C1743"/>
    <w:rsid w:val="006C1906"/>
    <w:rsid w:val="006C19A7"/>
    <w:rsid w:val="006C19DA"/>
    <w:rsid w:val="006C1A51"/>
    <w:rsid w:val="006C1BB4"/>
    <w:rsid w:val="006C1C0C"/>
    <w:rsid w:val="006C1C61"/>
    <w:rsid w:val="006C1C83"/>
    <w:rsid w:val="006C1CBD"/>
    <w:rsid w:val="006C1DC3"/>
    <w:rsid w:val="006C1E09"/>
    <w:rsid w:val="006C1ECB"/>
    <w:rsid w:val="006C213E"/>
    <w:rsid w:val="006C219C"/>
    <w:rsid w:val="006C21D9"/>
    <w:rsid w:val="006C2308"/>
    <w:rsid w:val="006C2448"/>
    <w:rsid w:val="006C245C"/>
    <w:rsid w:val="006C2515"/>
    <w:rsid w:val="006C2626"/>
    <w:rsid w:val="006C275B"/>
    <w:rsid w:val="006C290C"/>
    <w:rsid w:val="006C291B"/>
    <w:rsid w:val="006C2A25"/>
    <w:rsid w:val="006C2BA4"/>
    <w:rsid w:val="006C2CA9"/>
    <w:rsid w:val="006C2CF2"/>
    <w:rsid w:val="006C2E77"/>
    <w:rsid w:val="006C2F5C"/>
    <w:rsid w:val="006C2FB8"/>
    <w:rsid w:val="006C2FBF"/>
    <w:rsid w:val="006C302B"/>
    <w:rsid w:val="006C3071"/>
    <w:rsid w:val="006C320E"/>
    <w:rsid w:val="006C3217"/>
    <w:rsid w:val="006C32C9"/>
    <w:rsid w:val="006C3418"/>
    <w:rsid w:val="006C3441"/>
    <w:rsid w:val="006C3526"/>
    <w:rsid w:val="006C35DB"/>
    <w:rsid w:val="006C36A2"/>
    <w:rsid w:val="006C36CE"/>
    <w:rsid w:val="006C371C"/>
    <w:rsid w:val="006C373C"/>
    <w:rsid w:val="006C388D"/>
    <w:rsid w:val="006C38C9"/>
    <w:rsid w:val="006C399B"/>
    <w:rsid w:val="006C3AA6"/>
    <w:rsid w:val="006C3AC7"/>
    <w:rsid w:val="006C3C72"/>
    <w:rsid w:val="006C4001"/>
    <w:rsid w:val="006C4011"/>
    <w:rsid w:val="006C4031"/>
    <w:rsid w:val="006C41BA"/>
    <w:rsid w:val="006C41BC"/>
    <w:rsid w:val="006C4211"/>
    <w:rsid w:val="006C42FD"/>
    <w:rsid w:val="006C442B"/>
    <w:rsid w:val="006C4591"/>
    <w:rsid w:val="006C465E"/>
    <w:rsid w:val="006C46B6"/>
    <w:rsid w:val="006C48BD"/>
    <w:rsid w:val="006C49F7"/>
    <w:rsid w:val="006C4BAA"/>
    <w:rsid w:val="006C4C65"/>
    <w:rsid w:val="006C4D5E"/>
    <w:rsid w:val="006C4F41"/>
    <w:rsid w:val="006C4FCC"/>
    <w:rsid w:val="006C5043"/>
    <w:rsid w:val="006C5137"/>
    <w:rsid w:val="006C5184"/>
    <w:rsid w:val="006C5237"/>
    <w:rsid w:val="006C525E"/>
    <w:rsid w:val="006C52A0"/>
    <w:rsid w:val="006C55BF"/>
    <w:rsid w:val="006C566A"/>
    <w:rsid w:val="006C56E3"/>
    <w:rsid w:val="006C574B"/>
    <w:rsid w:val="006C581B"/>
    <w:rsid w:val="006C594D"/>
    <w:rsid w:val="006C5D70"/>
    <w:rsid w:val="006C5DFB"/>
    <w:rsid w:val="006C5E41"/>
    <w:rsid w:val="006C5F5C"/>
    <w:rsid w:val="006C6105"/>
    <w:rsid w:val="006C6344"/>
    <w:rsid w:val="006C6525"/>
    <w:rsid w:val="006C6681"/>
    <w:rsid w:val="006C68B9"/>
    <w:rsid w:val="006C6953"/>
    <w:rsid w:val="006C6963"/>
    <w:rsid w:val="006C6ACE"/>
    <w:rsid w:val="006C6C48"/>
    <w:rsid w:val="006C6E6A"/>
    <w:rsid w:val="006C7035"/>
    <w:rsid w:val="006C73E3"/>
    <w:rsid w:val="006C743C"/>
    <w:rsid w:val="006C7528"/>
    <w:rsid w:val="006C7546"/>
    <w:rsid w:val="006C7560"/>
    <w:rsid w:val="006C77B3"/>
    <w:rsid w:val="006C7838"/>
    <w:rsid w:val="006C7956"/>
    <w:rsid w:val="006C79B0"/>
    <w:rsid w:val="006C7A98"/>
    <w:rsid w:val="006C7B00"/>
    <w:rsid w:val="006C7C07"/>
    <w:rsid w:val="006C7C3D"/>
    <w:rsid w:val="006C7E0B"/>
    <w:rsid w:val="006C7E44"/>
    <w:rsid w:val="006D00D4"/>
    <w:rsid w:val="006D00E8"/>
    <w:rsid w:val="006D0180"/>
    <w:rsid w:val="006D01F5"/>
    <w:rsid w:val="006D026B"/>
    <w:rsid w:val="006D04CF"/>
    <w:rsid w:val="006D05B9"/>
    <w:rsid w:val="006D07E4"/>
    <w:rsid w:val="006D0848"/>
    <w:rsid w:val="006D0A69"/>
    <w:rsid w:val="006D0B04"/>
    <w:rsid w:val="006D0BBC"/>
    <w:rsid w:val="006D0CFC"/>
    <w:rsid w:val="006D0FF2"/>
    <w:rsid w:val="006D1001"/>
    <w:rsid w:val="006D1145"/>
    <w:rsid w:val="006D115A"/>
    <w:rsid w:val="006D1194"/>
    <w:rsid w:val="006D11A1"/>
    <w:rsid w:val="006D1277"/>
    <w:rsid w:val="006D14F3"/>
    <w:rsid w:val="006D15E3"/>
    <w:rsid w:val="006D1645"/>
    <w:rsid w:val="006D1902"/>
    <w:rsid w:val="006D1B54"/>
    <w:rsid w:val="006D1DD8"/>
    <w:rsid w:val="006D1FB9"/>
    <w:rsid w:val="006D25DE"/>
    <w:rsid w:val="006D25F6"/>
    <w:rsid w:val="006D261A"/>
    <w:rsid w:val="006D2645"/>
    <w:rsid w:val="006D26F6"/>
    <w:rsid w:val="006D271E"/>
    <w:rsid w:val="006D2726"/>
    <w:rsid w:val="006D2827"/>
    <w:rsid w:val="006D2890"/>
    <w:rsid w:val="006D293F"/>
    <w:rsid w:val="006D29E9"/>
    <w:rsid w:val="006D2A9D"/>
    <w:rsid w:val="006D2BA5"/>
    <w:rsid w:val="006D2C17"/>
    <w:rsid w:val="006D2CC8"/>
    <w:rsid w:val="006D2D6B"/>
    <w:rsid w:val="006D2D80"/>
    <w:rsid w:val="006D2DE0"/>
    <w:rsid w:val="006D3038"/>
    <w:rsid w:val="006D3196"/>
    <w:rsid w:val="006D332E"/>
    <w:rsid w:val="006D3366"/>
    <w:rsid w:val="006D339C"/>
    <w:rsid w:val="006D34EF"/>
    <w:rsid w:val="006D3563"/>
    <w:rsid w:val="006D3594"/>
    <w:rsid w:val="006D36D0"/>
    <w:rsid w:val="006D3774"/>
    <w:rsid w:val="006D3866"/>
    <w:rsid w:val="006D3997"/>
    <w:rsid w:val="006D3AE8"/>
    <w:rsid w:val="006D3BE1"/>
    <w:rsid w:val="006D3D07"/>
    <w:rsid w:val="006D3D09"/>
    <w:rsid w:val="006D3F23"/>
    <w:rsid w:val="006D3FF5"/>
    <w:rsid w:val="006D4104"/>
    <w:rsid w:val="006D4248"/>
    <w:rsid w:val="006D4364"/>
    <w:rsid w:val="006D4719"/>
    <w:rsid w:val="006D4988"/>
    <w:rsid w:val="006D49B5"/>
    <w:rsid w:val="006D4A55"/>
    <w:rsid w:val="006D4AC6"/>
    <w:rsid w:val="006D4B04"/>
    <w:rsid w:val="006D4B55"/>
    <w:rsid w:val="006D4D74"/>
    <w:rsid w:val="006D4DE9"/>
    <w:rsid w:val="006D4E13"/>
    <w:rsid w:val="006D5147"/>
    <w:rsid w:val="006D517C"/>
    <w:rsid w:val="006D51A8"/>
    <w:rsid w:val="006D51EB"/>
    <w:rsid w:val="006D546F"/>
    <w:rsid w:val="006D5478"/>
    <w:rsid w:val="006D54C5"/>
    <w:rsid w:val="006D555D"/>
    <w:rsid w:val="006D55D6"/>
    <w:rsid w:val="006D55FB"/>
    <w:rsid w:val="006D5764"/>
    <w:rsid w:val="006D576D"/>
    <w:rsid w:val="006D579B"/>
    <w:rsid w:val="006D5848"/>
    <w:rsid w:val="006D5924"/>
    <w:rsid w:val="006D59C5"/>
    <w:rsid w:val="006D5A14"/>
    <w:rsid w:val="006D5A84"/>
    <w:rsid w:val="006D5AAA"/>
    <w:rsid w:val="006D5AE3"/>
    <w:rsid w:val="006D5B38"/>
    <w:rsid w:val="006D5F14"/>
    <w:rsid w:val="006D615D"/>
    <w:rsid w:val="006D65AA"/>
    <w:rsid w:val="006D6732"/>
    <w:rsid w:val="006D6741"/>
    <w:rsid w:val="006D6827"/>
    <w:rsid w:val="006D6840"/>
    <w:rsid w:val="006D69B6"/>
    <w:rsid w:val="006D6ACE"/>
    <w:rsid w:val="006D6B1F"/>
    <w:rsid w:val="006D6C4F"/>
    <w:rsid w:val="006D6DED"/>
    <w:rsid w:val="006D6FA8"/>
    <w:rsid w:val="006D7021"/>
    <w:rsid w:val="006D7130"/>
    <w:rsid w:val="006D719D"/>
    <w:rsid w:val="006D7220"/>
    <w:rsid w:val="006D73A3"/>
    <w:rsid w:val="006D7655"/>
    <w:rsid w:val="006D78AE"/>
    <w:rsid w:val="006D791E"/>
    <w:rsid w:val="006D7DB0"/>
    <w:rsid w:val="006D7E1B"/>
    <w:rsid w:val="006D7F4E"/>
    <w:rsid w:val="006D7F8B"/>
    <w:rsid w:val="006D7F8D"/>
    <w:rsid w:val="006E017D"/>
    <w:rsid w:val="006E01E0"/>
    <w:rsid w:val="006E030C"/>
    <w:rsid w:val="006E0464"/>
    <w:rsid w:val="006E0487"/>
    <w:rsid w:val="006E07A0"/>
    <w:rsid w:val="006E0AC1"/>
    <w:rsid w:val="006E0C2C"/>
    <w:rsid w:val="006E0CA4"/>
    <w:rsid w:val="006E0D03"/>
    <w:rsid w:val="006E0F9E"/>
    <w:rsid w:val="006E0FE2"/>
    <w:rsid w:val="006E1035"/>
    <w:rsid w:val="006E10A7"/>
    <w:rsid w:val="006E13FF"/>
    <w:rsid w:val="006E1454"/>
    <w:rsid w:val="006E14F9"/>
    <w:rsid w:val="006E1674"/>
    <w:rsid w:val="006E17DB"/>
    <w:rsid w:val="006E1978"/>
    <w:rsid w:val="006E1DF5"/>
    <w:rsid w:val="006E1EBD"/>
    <w:rsid w:val="006E206C"/>
    <w:rsid w:val="006E209C"/>
    <w:rsid w:val="006E2152"/>
    <w:rsid w:val="006E21B1"/>
    <w:rsid w:val="006E2380"/>
    <w:rsid w:val="006E239B"/>
    <w:rsid w:val="006E23E8"/>
    <w:rsid w:val="006E23FF"/>
    <w:rsid w:val="006E2696"/>
    <w:rsid w:val="006E2850"/>
    <w:rsid w:val="006E2A50"/>
    <w:rsid w:val="006E2BAD"/>
    <w:rsid w:val="006E2C57"/>
    <w:rsid w:val="006E2CF1"/>
    <w:rsid w:val="006E2E27"/>
    <w:rsid w:val="006E2E61"/>
    <w:rsid w:val="006E2F03"/>
    <w:rsid w:val="006E2F23"/>
    <w:rsid w:val="006E2F7B"/>
    <w:rsid w:val="006E30B1"/>
    <w:rsid w:val="006E3322"/>
    <w:rsid w:val="006E3384"/>
    <w:rsid w:val="006E3458"/>
    <w:rsid w:val="006E3468"/>
    <w:rsid w:val="006E352C"/>
    <w:rsid w:val="006E37FF"/>
    <w:rsid w:val="006E3ADE"/>
    <w:rsid w:val="006E3BF1"/>
    <w:rsid w:val="006E3EF8"/>
    <w:rsid w:val="006E3FD0"/>
    <w:rsid w:val="006E404E"/>
    <w:rsid w:val="006E4076"/>
    <w:rsid w:val="006E432D"/>
    <w:rsid w:val="006E435E"/>
    <w:rsid w:val="006E44E8"/>
    <w:rsid w:val="006E46BD"/>
    <w:rsid w:val="006E46DA"/>
    <w:rsid w:val="006E4759"/>
    <w:rsid w:val="006E487B"/>
    <w:rsid w:val="006E4926"/>
    <w:rsid w:val="006E499E"/>
    <w:rsid w:val="006E49CE"/>
    <w:rsid w:val="006E4BD3"/>
    <w:rsid w:val="006E4EB8"/>
    <w:rsid w:val="006E4FFA"/>
    <w:rsid w:val="006E504D"/>
    <w:rsid w:val="006E50F9"/>
    <w:rsid w:val="006E5183"/>
    <w:rsid w:val="006E524F"/>
    <w:rsid w:val="006E530D"/>
    <w:rsid w:val="006E5338"/>
    <w:rsid w:val="006E54D4"/>
    <w:rsid w:val="006E5545"/>
    <w:rsid w:val="006E56B6"/>
    <w:rsid w:val="006E57BC"/>
    <w:rsid w:val="006E57F0"/>
    <w:rsid w:val="006E5998"/>
    <w:rsid w:val="006E600D"/>
    <w:rsid w:val="006E6568"/>
    <w:rsid w:val="006E656F"/>
    <w:rsid w:val="006E6862"/>
    <w:rsid w:val="006E6ADF"/>
    <w:rsid w:val="006E6B11"/>
    <w:rsid w:val="006E6B50"/>
    <w:rsid w:val="006E6E01"/>
    <w:rsid w:val="006E6E46"/>
    <w:rsid w:val="006E6F3F"/>
    <w:rsid w:val="006E6F4F"/>
    <w:rsid w:val="006E6F9D"/>
    <w:rsid w:val="006E7132"/>
    <w:rsid w:val="006E71A4"/>
    <w:rsid w:val="006E7308"/>
    <w:rsid w:val="006E7383"/>
    <w:rsid w:val="006E74CE"/>
    <w:rsid w:val="006E764A"/>
    <w:rsid w:val="006E76A2"/>
    <w:rsid w:val="006E7795"/>
    <w:rsid w:val="006E78BE"/>
    <w:rsid w:val="006E78E4"/>
    <w:rsid w:val="006E793E"/>
    <w:rsid w:val="006E7AFE"/>
    <w:rsid w:val="006E7C61"/>
    <w:rsid w:val="006E7EAC"/>
    <w:rsid w:val="006E7F1F"/>
    <w:rsid w:val="006F0065"/>
    <w:rsid w:val="006F006E"/>
    <w:rsid w:val="006F0119"/>
    <w:rsid w:val="006F03AB"/>
    <w:rsid w:val="006F0402"/>
    <w:rsid w:val="006F0422"/>
    <w:rsid w:val="006F06F7"/>
    <w:rsid w:val="006F0753"/>
    <w:rsid w:val="006F0756"/>
    <w:rsid w:val="006F085C"/>
    <w:rsid w:val="006F0884"/>
    <w:rsid w:val="006F0983"/>
    <w:rsid w:val="006F0986"/>
    <w:rsid w:val="006F0BCD"/>
    <w:rsid w:val="006F0C3A"/>
    <w:rsid w:val="006F0C66"/>
    <w:rsid w:val="006F0CE3"/>
    <w:rsid w:val="006F10C3"/>
    <w:rsid w:val="006F11C5"/>
    <w:rsid w:val="006F1320"/>
    <w:rsid w:val="006F1338"/>
    <w:rsid w:val="006F142C"/>
    <w:rsid w:val="006F14A0"/>
    <w:rsid w:val="006F1536"/>
    <w:rsid w:val="006F163E"/>
    <w:rsid w:val="006F165C"/>
    <w:rsid w:val="006F1861"/>
    <w:rsid w:val="006F1AD1"/>
    <w:rsid w:val="006F1BBA"/>
    <w:rsid w:val="006F1D43"/>
    <w:rsid w:val="006F1D82"/>
    <w:rsid w:val="006F1EC0"/>
    <w:rsid w:val="006F1F04"/>
    <w:rsid w:val="006F203A"/>
    <w:rsid w:val="006F216D"/>
    <w:rsid w:val="006F21AE"/>
    <w:rsid w:val="006F2316"/>
    <w:rsid w:val="006F23A4"/>
    <w:rsid w:val="006F2483"/>
    <w:rsid w:val="006F252F"/>
    <w:rsid w:val="006F2532"/>
    <w:rsid w:val="006F261A"/>
    <w:rsid w:val="006F26A3"/>
    <w:rsid w:val="006F2768"/>
    <w:rsid w:val="006F2784"/>
    <w:rsid w:val="006F2A31"/>
    <w:rsid w:val="006F2A5B"/>
    <w:rsid w:val="006F2A9D"/>
    <w:rsid w:val="006F2AB1"/>
    <w:rsid w:val="006F2AF1"/>
    <w:rsid w:val="006F2B42"/>
    <w:rsid w:val="006F2D93"/>
    <w:rsid w:val="006F2E07"/>
    <w:rsid w:val="006F2FA6"/>
    <w:rsid w:val="006F30AC"/>
    <w:rsid w:val="006F3250"/>
    <w:rsid w:val="006F3335"/>
    <w:rsid w:val="006F34AD"/>
    <w:rsid w:val="006F3527"/>
    <w:rsid w:val="006F355D"/>
    <w:rsid w:val="006F35A4"/>
    <w:rsid w:val="006F368C"/>
    <w:rsid w:val="006F3690"/>
    <w:rsid w:val="006F36F0"/>
    <w:rsid w:val="006F3788"/>
    <w:rsid w:val="006F378C"/>
    <w:rsid w:val="006F37E3"/>
    <w:rsid w:val="006F3861"/>
    <w:rsid w:val="006F3935"/>
    <w:rsid w:val="006F3B73"/>
    <w:rsid w:val="006F3BA4"/>
    <w:rsid w:val="006F3C4E"/>
    <w:rsid w:val="006F3DCD"/>
    <w:rsid w:val="006F3E28"/>
    <w:rsid w:val="006F3E8A"/>
    <w:rsid w:val="006F4180"/>
    <w:rsid w:val="006F41A2"/>
    <w:rsid w:val="006F423F"/>
    <w:rsid w:val="006F4316"/>
    <w:rsid w:val="006F4411"/>
    <w:rsid w:val="006F4546"/>
    <w:rsid w:val="006F45B7"/>
    <w:rsid w:val="006F45FF"/>
    <w:rsid w:val="006F4634"/>
    <w:rsid w:val="006F475F"/>
    <w:rsid w:val="006F4870"/>
    <w:rsid w:val="006F49DC"/>
    <w:rsid w:val="006F4A63"/>
    <w:rsid w:val="006F4EEC"/>
    <w:rsid w:val="006F4F65"/>
    <w:rsid w:val="006F515D"/>
    <w:rsid w:val="006F52BE"/>
    <w:rsid w:val="006F5334"/>
    <w:rsid w:val="006F53E9"/>
    <w:rsid w:val="006F547B"/>
    <w:rsid w:val="006F5790"/>
    <w:rsid w:val="006F5798"/>
    <w:rsid w:val="006F586B"/>
    <w:rsid w:val="006F58B5"/>
    <w:rsid w:val="006F5AF6"/>
    <w:rsid w:val="006F5BED"/>
    <w:rsid w:val="006F5D93"/>
    <w:rsid w:val="006F5DB4"/>
    <w:rsid w:val="006F5E65"/>
    <w:rsid w:val="006F6054"/>
    <w:rsid w:val="006F6095"/>
    <w:rsid w:val="006F60EA"/>
    <w:rsid w:val="006F6140"/>
    <w:rsid w:val="006F6259"/>
    <w:rsid w:val="006F6264"/>
    <w:rsid w:val="006F62F2"/>
    <w:rsid w:val="006F658F"/>
    <w:rsid w:val="006F65D4"/>
    <w:rsid w:val="006F683E"/>
    <w:rsid w:val="006F6848"/>
    <w:rsid w:val="006F6907"/>
    <w:rsid w:val="006F69CF"/>
    <w:rsid w:val="006F6B7E"/>
    <w:rsid w:val="006F6C1C"/>
    <w:rsid w:val="006F6D78"/>
    <w:rsid w:val="006F6DCB"/>
    <w:rsid w:val="006F6F07"/>
    <w:rsid w:val="006F6FC1"/>
    <w:rsid w:val="006F73B3"/>
    <w:rsid w:val="006F76E3"/>
    <w:rsid w:val="006F7703"/>
    <w:rsid w:val="006F7894"/>
    <w:rsid w:val="006F791C"/>
    <w:rsid w:val="006F792C"/>
    <w:rsid w:val="006F795C"/>
    <w:rsid w:val="006F797C"/>
    <w:rsid w:val="006F7AAD"/>
    <w:rsid w:val="006F7AC7"/>
    <w:rsid w:val="006F7BD0"/>
    <w:rsid w:val="006F7CFA"/>
    <w:rsid w:val="006F7D04"/>
    <w:rsid w:val="006F7EE9"/>
    <w:rsid w:val="006F7F19"/>
    <w:rsid w:val="007000AD"/>
    <w:rsid w:val="007000D0"/>
    <w:rsid w:val="007000DC"/>
    <w:rsid w:val="00700243"/>
    <w:rsid w:val="007004B3"/>
    <w:rsid w:val="0070068C"/>
    <w:rsid w:val="00700885"/>
    <w:rsid w:val="00700936"/>
    <w:rsid w:val="00700C4D"/>
    <w:rsid w:val="00700D05"/>
    <w:rsid w:val="00700D60"/>
    <w:rsid w:val="00701054"/>
    <w:rsid w:val="007012E3"/>
    <w:rsid w:val="00701488"/>
    <w:rsid w:val="00701546"/>
    <w:rsid w:val="00701670"/>
    <w:rsid w:val="0070175C"/>
    <w:rsid w:val="007018E0"/>
    <w:rsid w:val="00701A8E"/>
    <w:rsid w:val="00701AD7"/>
    <w:rsid w:val="00701D9E"/>
    <w:rsid w:val="00701E30"/>
    <w:rsid w:val="00701E54"/>
    <w:rsid w:val="00701EB1"/>
    <w:rsid w:val="00701F03"/>
    <w:rsid w:val="00701F93"/>
    <w:rsid w:val="00701FD2"/>
    <w:rsid w:val="007020C8"/>
    <w:rsid w:val="00702238"/>
    <w:rsid w:val="007024A6"/>
    <w:rsid w:val="007025C7"/>
    <w:rsid w:val="007025D9"/>
    <w:rsid w:val="0070269A"/>
    <w:rsid w:val="0070269B"/>
    <w:rsid w:val="0070277E"/>
    <w:rsid w:val="00702903"/>
    <w:rsid w:val="0070296A"/>
    <w:rsid w:val="007029D5"/>
    <w:rsid w:val="007029F9"/>
    <w:rsid w:val="00702A38"/>
    <w:rsid w:val="00702B3E"/>
    <w:rsid w:val="00702C51"/>
    <w:rsid w:val="00702D5A"/>
    <w:rsid w:val="00702E93"/>
    <w:rsid w:val="00703200"/>
    <w:rsid w:val="0070325D"/>
    <w:rsid w:val="007034EE"/>
    <w:rsid w:val="007034FE"/>
    <w:rsid w:val="007036AC"/>
    <w:rsid w:val="00703812"/>
    <w:rsid w:val="00703BE8"/>
    <w:rsid w:val="00703E7E"/>
    <w:rsid w:val="00703ED1"/>
    <w:rsid w:val="007045DE"/>
    <w:rsid w:val="007046F3"/>
    <w:rsid w:val="00704921"/>
    <w:rsid w:val="00704923"/>
    <w:rsid w:val="007049D4"/>
    <w:rsid w:val="00704A4A"/>
    <w:rsid w:val="00704A62"/>
    <w:rsid w:val="00704A63"/>
    <w:rsid w:val="00704A69"/>
    <w:rsid w:val="00704CFF"/>
    <w:rsid w:val="00704D9C"/>
    <w:rsid w:val="00704EED"/>
    <w:rsid w:val="00704F91"/>
    <w:rsid w:val="00705127"/>
    <w:rsid w:val="00705147"/>
    <w:rsid w:val="007052CD"/>
    <w:rsid w:val="0070531D"/>
    <w:rsid w:val="00705375"/>
    <w:rsid w:val="007053F8"/>
    <w:rsid w:val="00705444"/>
    <w:rsid w:val="007054E5"/>
    <w:rsid w:val="00705745"/>
    <w:rsid w:val="0070574F"/>
    <w:rsid w:val="00705789"/>
    <w:rsid w:val="00705AC7"/>
    <w:rsid w:val="00705B06"/>
    <w:rsid w:val="00705DB2"/>
    <w:rsid w:val="00705DDB"/>
    <w:rsid w:val="00705E07"/>
    <w:rsid w:val="00705E1E"/>
    <w:rsid w:val="00705E6D"/>
    <w:rsid w:val="00705E99"/>
    <w:rsid w:val="00705F86"/>
    <w:rsid w:val="00705FA9"/>
    <w:rsid w:val="00705FEA"/>
    <w:rsid w:val="00706097"/>
    <w:rsid w:val="007060AE"/>
    <w:rsid w:val="00706266"/>
    <w:rsid w:val="0070646A"/>
    <w:rsid w:val="00706736"/>
    <w:rsid w:val="007067DD"/>
    <w:rsid w:val="00706804"/>
    <w:rsid w:val="007069BD"/>
    <w:rsid w:val="00706A32"/>
    <w:rsid w:val="00706B1C"/>
    <w:rsid w:val="00706E45"/>
    <w:rsid w:val="00706E6B"/>
    <w:rsid w:val="00706E82"/>
    <w:rsid w:val="00707068"/>
    <w:rsid w:val="00707272"/>
    <w:rsid w:val="007072F3"/>
    <w:rsid w:val="00707344"/>
    <w:rsid w:val="0070745E"/>
    <w:rsid w:val="007074CB"/>
    <w:rsid w:val="007074D6"/>
    <w:rsid w:val="00707714"/>
    <w:rsid w:val="007078BA"/>
    <w:rsid w:val="007078E9"/>
    <w:rsid w:val="007079A9"/>
    <w:rsid w:val="00707CF6"/>
    <w:rsid w:val="00707D64"/>
    <w:rsid w:val="00707DA4"/>
    <w:rsid w:val="00707EE1"/>
    <w:rsid w:val="00707EEB"/>
    <w:rsid w:val="00707EF7"/>
    <w:rsid w:val="007100DA"/>
    <w:rsid w:val="007101B5"/>
    <w:rsid w:val="00710289"/>
    <w:rsid w:val="00710304"/>
    <w:rsid w:val="0071038C"/>
    <w:rsid w:val="007103F6"/>
    <w:rsid w:val="00710483"/>
    <w:rsid w:val="007105EC"/>
    <w:rsid w:val="00710651"/>
    <w:rsid w:val="00710747"/>
    <w:rsid w:val="0071074F"/>
    <w:rsid w:val="0071079C"/>
    <w:rsid w:val="007107DE"/>
    <w:rsid w:val="007108A1"/>
    <w:rsid w:val="00710A87"/>
    <w:rsid w:val="00710A9E"/>
    <w:rsid w:val="00710CA5"/>
    <w:rsid w:val="00710D2C"/>
    <w:rsid w:val="00710D6A"/>
    <w:rsid w:val="00710DA5"/>
    <w:rsid w:val="00710E49"/>
    <w:rsid w:val="00710F61"/>
    <w:rsid w:val="00711165"/>
    <w:rsid w:val="00711297"/>
    <w:rsid w:val="007114B2"/>
    <w:rsid w:val="007114FB"/>
    <w:rsid w:val="0071150F"/>
    <w:rsid w:val="00711606"/>
    <w:rsid w:val="00711709"/>
    <w:rsid w:val="0071180A"/>
    <w:rsid w:val="007118A8"/>
    <w:rsid w:val="0071195F"/>
    <w:rsid w:val="007119C8"/>
    <w:rsid w:val="00711A4B"/>
    <w:rsid w:val="00711AEC"/>
    <w:rsid w:val="00711F45"/>
    <w:rsid w:val="00712057"/>
    <w:rsid w:val="00712129"/>
    <w:rsid w:val="00712199"/>
    <w:rsid w:val="007122F7"/>
    <w:rsid w:val="00712318"/>
    <w:rsid w:val="00712341"/>
    <w:rsid w:val="007123EF"/>
    <w:rsid w:val="00712415"/>
    <w:rsid w:val="0071241B"/>
    <w:rsid w:val="0071246C"/>
    <w:rsid w:val="00712535"/>
    <w:rsid w:val="0071254B"/>
    <w:rsid w:val="0071257C"/>
    <w:rsid w:val="00712581"/>
    <w:rsid w:val="00712592"/>
    <w:rsid w:val="00712595"/>
    <w:rsid w:val="00712715"/>
    <w:rsid w:val="007129D2"/>
    <w:rsid w:val="007129E4"/>
    <w:rsid w:val="00712A05"/>
    <w:rsid w:val="00712AE9"/>
    <w:rsid w:val="00712B00"/>
    <w:rsid w:val="00712C68"/>
    <w:rsid w:val="00712C92"/>
    <w:rsid w:val="00712D58"/>
    <w:rsid w:val="00712DA6"/>
    <w:rsid w:val="00712E27"/>
    <w:rsid w:val="00712E32"/>
    <w:rsid w:val="00712F81"/>
    <w:rsid w:val="007130C3"/>
    <w:rsid w:val="007130C8"/>
    <w:rsid w:val="0071312B"/>
    <w:rsid w:val="00713160"/>
    <w:rsid w:val="0071317E"/>
    <w:rsid w:val="0071318A"/>
    <w:rsid w:val="007131FF"/>
    <w:rsid w:val="0071327A"/>
    <w:rsid w:val="007133E2"/>
    <w:rsid w:val="007135D3"/>
    <w:rsid w:val="00713704"/>
    <w:rsid w:val="00713806"/>
    <w:rsid w:val="0071381C"/>
    <w:rsid w:val="00713835"/>
    <w:rsid w:val="00713A47"/>
    <w:rsid w:val="00713B3D"/>
    <w:rsid w:val="00713E29"/>
    <w:rsid w:val="00713E79"/>
    <w:rsid w:val="00713F54"/>
    <w:rsid w:val="007141BD"/>
    <w:rsid w:val="007141E0"/>
    <w:rsid w:val="007141EF"/>
    <w:rsid w:val="007141FE"/>
    <w:rsid w:val="00714304"/>
    <w:rsid w:val="00714383"/>
    <w:rsid w:val="00714717"/>
    <w:rsid w:val="00714797"/>
    <w:rsid w:val="0071479B"/>
    <w:rsid w:val="00714916"/>
    <w:rsid w:val="0071493D"/>
    <w:rsid w:val="0071499E"/>
    <w:rsid w:val="00714C5C"/>
    <w:rsid w:val="00714E9A"/>
    <w:rsid w:val="00714F93"/>
    <w:rsid w:val="007151D8"/>
    <w:rsid w:val="0071521D"/>
    <w:rsid w:val="00715276"/>
    <w:rsid w:val="007153F0"/>
    <w:rsid w:val="007154C3"/>
    <w:rsid w:val="007154E5"/>
    <w:rsid w:val="00715529"/>
    <w:rsid w:val="007158AD"/>
    <w:rsid w:val="007158DF"/>
    <w:rsid w:val="00715914"/>
    <w:rsid w:val="007159F0"/>
    <w:rsid w:val="00715AC0"/>
    <w:rsid w:val="00715C1B"/>
    <w:rsid w:val="00715C1C"/>
    <w:rsid w:val="00715EF3"/>
    <w:rsid w:val="00715F76"/>
    <w:rsid w:val="00715FC0"/>
    <w:rsid w:val="0071602F"/>
    <w:rsid w:val="00716032"/>
    <w:rsid w:val="0071606D"/>
    <w:rsid w:val="007162F2"/>
    <w:rsid w:val="0071637C"/>
    <w:rsid w:val="007163A9"/>
    <w:rsid w:val="00716432"/>
    <w:rsid w:val="007165F8"/>
    <w:rsid w:val="0071668C"/>
    <w:rsid w:val="0071673F"/>
    <w:rsid w:val="00716848"/>
    <w:rsid w:val="007168BD"/>
    <w:rsid w:val="00716942"/>
    <w:rsid w:val="00716BA0"/>
    <w:rsid w:val="00716E75"/>
    <w:rsid w:val="007171BF"/>
    <w:rsid w:val="007171F0"/>
    <w:rsid w:val="0071730A"/>
    <w:rsid w:val="007175B6"/>
    <w:rsid w:val="007176ED"/>
    <w:rsid w:val="007176FF"/>
    <w:rsid w:val="007177B9"/>
    <w:rsid w:val="007177F1"/>
    <w:rsid w:val="00717853"/>
    <w:rsid w:val="007179CA"/>
    <w:rsid w:val="00717A84"/>
    <w:rsid w:val="00717AE1"/>
    <w:rsid w:val="00717B2F"/>
    <w:rsid w:val="00717FA6"/>
    <w:rsid w:val="0072022E"/>
    <w:rsid w:val="0072048E"/>
    <w:rsid w:val="00720548"/>
    <w:rsid w:val="0072054E"/>
    <w:rsid w:val="00720725"/>
    <w:rsid w:val="0072099C"/>
    <w:rsid w:val="00720A24"/>
    <w:rsid w:val="00720AC8"/>
    <w:rsid w:val="00720ACA"/>
    <w:rsid w:val="00720B8B"/>
    <w:rsid w:val="00720C6D"/>
    <w:rsid w:val="00720DC7"/>
    <w:rsid w:val="00720E6C"/>
    <w:rsid w:val="00720E86"/>
    <w:rsid w:val="00721034"/>
    <w:rsid w:val="00721172"/>
    <w:rsid w:val="00721175"/>
    <w:rsid w:val="007211BC"/>
    <w:rsid w:val="007213A3"/>
    <w:rsid w:val="00721501"/>
    <w:rsid w:val="007215C6"/>
    <w:rsid w:val="0072162C"/>
    <w:rsid w:val="00721762"/>
    <w:rsid w:val="00721787"/>
    <w:rsid w:val="00721938"/>
    <w:rsid w:val="00721AE7"/>
    <w:rsid w:val="00721B59"/>
    <w:rsid w:val="00721C21"/>
    <w:rsid w:val="00721D07"/>
    <w:rsid w:val="00721D37"/>
    <w:rsid w:val="00721DD3"/>
    <w:rsid w:val="00721EDB"/>
    <w:rsid w:val="00722078"/>
    <w:rsid w:val="007220B3"/>
    <w:rsid w:val="00722178"/>
    <w:rsid w:val="007225D6"/>
    <w:rsid w:val="007225D9"/>
    <w:rsid w:val="00722704"/>
    <w:rsid w:val="007227F8"/>
    <w:rsid w:val="00722805"/>
    <w:rsid w:val="00722A46"/>
    <w:rsid w:val="00722AA7"/>
    <w:rsid w:val="00722AE3"/>
    <w:rsid w:val="00722BD1"/>
    <w:rsid w:val="00722C4C"/>
    <w:rsid w:val="00722CB5"/>
    <w:rsid w:val="00723204"/>
    <w:rsid w:val="00723212"/>
    <w:rsid w:val="00723232"/>
    <w:rsid w:val="0072339A"/>
    <w:rsid w:val="00723401"/>
    <w:rsid w:val="0072342A"/>
    <w:rsid w:val="00723458"/>
    <w:rsid w:val="007234D2"/>
    <w:rsid w:val="007237BC"/>
    <w:rsid w:val="007238AE"/>
    <w:rsid w:val="007239D4"/>
    <w:rsid w:val="00723A7B"/>
    <w:rsid w:val="00723C71"/>
    <w:rsid w:val="00723C7C"/>
    <w:rsid w:val="00723C88"/>
    <w:rsid w:val="00723E2D"/>
    <w:rsid w:val="00723F1B"/>
    <w:rsid w:val="00723F26"/>
    <w:rsid w:val="00723F38"/>
    <w:rsid w:val="00724188"/>
    <w:rsid w:val="007241B8"/>
    <w:rsid w:val="007241F0"/>
    <w:rsid w:val="00724219"/>
    <w:rsid w:val="00724342"/>
    <w:rsid w:val="007243D9"/>
    <w:rsid w:val="00724472"/>
    <w:rsid w:val="007244F8"/>
    <w:rsid w:val="007245F8"/>
    <w:rsid w:val="007246F8"/>
    <w:rsid w:val="0072474E"/>
    <w:rsid w:val="00724915"/>
    <w:rsid w:val="007249FB"/>
    <w:rsid w:val="00724A03"/>
    <w:rsid w:val="00724ADA"/>
    <w:rsid w:val="00724BF4"/>
    <w:rsid w:val="00724ECF"/>
    <w:rsid w:val="0072509E"/>
    <w:rsid w:val="007251A3"/>
    <w:rsid w:val="007251B0"/>
    <w:rsid w:val="0072529D"/>
    <w:rsid w:val="007252EE"/>
    <w:rsid w:val="00725341"/>
    <w:rsid w:val="00725546"/>
    <w:rsid w:val="007256EE"/>
    <w:rsid w:val="007256F5"/>
    <w:rsid w:val="007257B5"/>
    <w:rsid w:val="007257FF"/>
    <w:rsid w:val="00725887"/>
    <w:rsid w:val="007258F7"/>
    <w:rsid w:val="00725907"/>
    <w:rsid w:val="00725BD7"/>
    <w:rsid w:val="00725E08"/>
    <w:rsid w:val="00725E91"/>
    <w:rsid w:val="00725ECE"/>
    <w:rsid w:val="00725F1C"/>
    <w:rsid w:val="00726000"/>
    <w:rsid w:val="00726237"/>
    <w:rsid w:val="00726275"/>
    <w:rsid w:val="00726365"/>
    <w:rsid w:val="007263B0"/>
    <w:rsid w:val="007263F1"/>
    <w:rsid w:val="00726437"/>
    <w:rsid w:val="007264DD"/>
    <w:rsid w:val="0072665A"/>
    <w:rsid w:val="0072666A"/>
    <w:rsid w:val="007267F9"/>
    <w:rsid w:val="00726899"/>
    <w:rsid w:val="007268F1"/>
    <w:rsid w:val="0072692A"/>
    <w:rsid w:val="00726C71"/>
    <w:rsid w:val="00726E7F"/>
    <w:rsid w:val="00726ECF"/>
    <w:rsid w:val="00726FEE"/>
    <w:rsid w:val="00726FEF"/>
    <w:rsid w:val="007271B1"/>
    <w:rsid w:val="007271F2"/>
    <w:rsid w:val="007272B3"/>
    <w:rsid w:val="0072735A"/>
    <w:rsid w:val="007274B2"/>
    <w:rsid w:val="00727649"/>
    <w:rsid w:val="0072772B"/>
    <w:rsid w:val="0072777B"/>
    <w:rsid w:val="007278C2"/>
    <w:rsid w:val="007279AF"/>
    <w:rsid w:val="007279D5"/>
    <w:rsid w:val="00727CDA"/>
    <w:rsid w:val="00727D18"/>
    <w:rsid w:val="00727E38"/>
    <w:rsid w:val="00727F52"/>
    <w:rsid w:val="00730238"/>
    <w:rsid w:val="0073029A"/>
    <w:rsid w:val="007302C0"/>
    <w:rsid w:val="00730558"/>
    <w:rsid w:val="00730701"/>
    <w:rsid w:val="0073071A"/>
    <w:rsid w:val="00730773"/>
    <w:rsid w:val="007307B3"/>
    <w:rsid w:val="007307E2"/>
    <w:rsid w:val="00730815"/>
    <w:rsid w:val="0073098B"/>
    <w:rsid w:val="00730B0A"/>
    <w:rsid w:val="00730B95"/>
    <w:rsid w:val="00730D74"/>
    <w:rsid w:val="00730D7C"/>
    <w:rsid w:val="00730EF0"/>
    <w:rsid w:val="007311B6"/>
    <w:rsid w:val="00731616"/>
    <w:rsid w:val="00731771"/>
    <w:rsid w:val="00731EB5"/>
    <w:rsid w:val="00731FF8"/>
    <w:rsid w:val="0073202F"/>
    <w:rsid w:val="007321E2"/>
    <w:rsid w:val="00732236"/>
    <w:rsid w:val="007322B6"/>
    <w:rsid w:val="00732465"/>
    <w:rsid w:val="007324A9"/>
    <w:rsid w:val="007324FD"/>
    <w:rsid w:val="00732507"/>
    <w:rsid w:val="00732522"/>
    <w:rsid w:val="0073255B"/>
    <w:rsid w:val="007325A9"/>
    <w:rsid w:val="00732A1D"/>
    <w:rsid w:val="00732C14"/>
    <w:rsid w:val="00732CA3"/>
    <w:rsid w:val="00733171"/>
    <w:rsid w:val="0073322D"/>
    <w:rsid w:val="00733271"/>
    <w:rsid w:val="0073348A"/>
    <w:rsid w:val="007334F6"/>
    <w:rsid w:val="007335DB"/>
    <w:rsid w:val="0073361E"/>
    <w:rsid w:val="007336F3"/>
    <w:rsid w:val="007338C3"/>
    <w:rsid w:val="007338E9"/>
    <w:rsid w:val="00733A66"/>
    <w:rsid w:val="00733CEF"/>
    <w:rsid w:val="00733E8B"/>
    <w:rsid w:val="007340DF"/>
    <w:rsid w:val="0073418C"/>
    <w:rsid w:val="0073423B"/>
    <w:rsid w:val="00734292"/>
    <w:rsid w:val="00734474"/>
    <w:rsid w:val="00734475"/>
    <w:rsid w:val="007345EB"/>
    <w:rsid w:val="007347D2"/>
    <w:rsid w:val="0073485E"/>
    <w:rsid w:val="0073488D"/>
    <w:rsid w:val="0073496E"/>
    <w:rsid w:val="007349CC"/>
    <w:rsid w:val="00734AA1"/>
    <w:rsid w:val="00734B18"/>
    <w:rsid w:val="00734B9D"/>
    <w:rsid w:val="00734CC6"/>
    <w:rsid w:val="00734D27"/>
    <w:rsid w:val="00734D3A"/>
    <w:rsid w:val="00734EF7"/>
    <w:rsid w:val="00734FD9"/>
    <w:rsid w:val="007350F4"/>
    <w:rsid w:val="007354FF"/>
    <w:rsid w:val="0073562B"/>
    <w:rsid w:val="007357D3"/>
    <w:rsid w:val="007357F4"/>
    <w:rsid w:val="0073588D"/>
    <w:rsid w:val="00735C00"/>
    <w:rsid w:val="00735E0D"/>
    <w:rsid w:val="00735EE2"/>
    <w:rsid w:val="00735F00"/>
    <w:rsid w:val="00735F1A"/>
    <w:rsid w:val="0073601B"/>
    <w:rsid w:val="00736073"/>
    <w:rsid w:val="00736139"/>
    <w:rsid w:val="0073618B"/>
    <w:rsid w:val="007362D3"/>
    <w:rsid w:val="0073640D"/>
    <w:rsid w:val="00736831"/>
    <w:rsid w:val="00736856"/>
    <w:rsid w:val="00736975"/>
    <w:rsid w:val="00736B71"/>
    <w:rsid w:val="00736BC8"/>
    <w:rsid w:val="00736FD8"/>
    <w:rsid w:val="00737145"/>
    <w:rsid w:val="00737330"/>
    <w:rsid w:val="00737489"/>
    <w:rsid w:val="00737771"/>
    <w:rsid w:val="007377CE"/>
    <w:rsid w:val="007377F5"/>
    <w:rsid w:val="00737982"/>
    <w:rsid w:val="0073798A"/>
    <w:rsid w:val="00737B0F"/>
    <w:rsid w:val="00737B16"/>
    <w:rsid w:val="00737D14"/>
    <w:rsid w:val="00737F62"/>
    <w:rsid w:val="00737FD9"/>
    <w:rsid w:val="007400FE"/>
    <w:rsid w:val="007401E1"/>
    <w:rsid w:val="00740216"/>
    <w:rsid w:val="00740455"/>
    <w:rsid w:val="00740486"/>
    <w:rsid w:val="0074056E"/>
    <w:rsid w:val="00740640"/>
    <w:rsid w:val="007407B4"/>
    <w:rsid w:val="00740910"/>
    <w:rsid w:val="00740B15"/>
    <w:rsid w:val="00740B52"/>
    <w:rsid w:val="00740B6F"/>
    <w:rsid w:val="00740BF3"/>
    <w:rsid w:val="00740CA6"/>
    <w:rsid w:val="00740D24"/>
    <w:rsid w:val="00740EFA"/>
    <w:rsid w:val="00741163"/>
    <w:rsid w:val="00741352"/>
    <w:rsid w:val="007416B7"/>
    <w:rsid w:val="0074172F"/>
    <w:rsid w:val="00741754"/>
    <w:rsid w:val="00741755"/>
    <w:rsid w:val="0074182A"/>
    <w:rsid w:val="007418AB"/>
    <w:rsid w:val="007419F9"/>
    <w:rsid w:val="00741AAC"/>
    <w:rsid w:val="00741BE3"/>
    <w:rsid w:val="00741CA8"/>
    <w:rsid w:val="00741D0B"/>
    <w:rsid w:val="00741F32"/>
    <w:rsid w:val="0074204A"/>
    <w:rsid w:val="007421C7"/>
    <w:rsid w:val="007423A1"/>
    <w:rsid w:val="00742428"/>
    <w:rsid w:val="00742476"/>
    <w:rsid w:val="00742541"/>
    <w:rsid w:val="007425E2"/>
    <w:rsid w:val="0074268F"/>
    <w:rsid w:val="00742950"/>
    <w:rsid w:val="00742A6F"/>
    <w:rsid w:val="00742B39"/>
    <w:rsid w:val="00742BC0"/>
    <w:rsid w:val="00742BE5"/>
    <w:rsid w:val="00742D00"/>
    <w:rsid w:val="00742F5F"/>
    <w:rsid w:val="00742FE1"/>
    <w:rsid w:val="0074301D"/>
    <w:rsid w:val="0074310A"/>
    <w:rsid w:val="0074322C"/>
    <w:rsid w:val="00743333"/>
    <w:rsid w:val="007433DE"/>
    <w:rsid w:val="007434D6"/>
    <w:rsid w:val="00743500"/>
    <w:rsid w:val="0074356A"/>
    <w:rsid w:val="007437FA"/>
    <w:rsid w:val="00743AFC"/>
    <w:rsid w:val="00743B01"/>
    <w:rsid w:val="00743BF4"/>
    <w:rsid w:val="00743D5C"/>
    <w:rsid w:val="00743DB6"/>
    <w:rsid w:val="00743F2C"/>
    <w:rsid w:val="00743F40"/>
    <w:rsid w:val="0074406F"/>
    <w:rsid w:val="007440EA"/>
    <w:rsid w:val="00744121"/>
    <w:rsid w:val="00744294"/>
    <w:rsid w:val="007443C3"/>
    <w:rsid w:val="0074442B"/>
    <w:rsid w:val="0074455E"/>
    <w:rsid w:val="00744617"/>
    <w:rsid w:val="00744677"/>
    <w:rsid w:val="00744A17"/>
    <w:rsid w:val="00744B12"/>
    <w:rsid w:val="00744BF6"/>
    <w:rsid w:val="00744C92"/>
    <w:rsid w:val="00744CE7"/>
    <w:rsid w:val="00744D27"/>
    <w:rsid w:val="00744F01"/>
    <w:rsid w:val="00744F18"/>
    <w:rsid w:val="00744F6D"/>
    <w:rsid w:val="00744F9B"/>
    <w:rsid w:val="00745064"/>
    <w:rsid w:val="007450F8"/>
    <w:rsid w:val="00745131"/>
    <w:rsid w:val="00745146"/>
    <w:rsid w:val="00745334"/>
    <w:rsid w:val="00745466"/>
    <w:rsid w:val="00745520"/>
    <w:rsid w:val="00745596"/>
    <w:rsid w:val="007455BF"/>
    <w:rsid w:val="007455DE"/>
    <w:rsid w:val="007455FE"/>
    <w:rsid w:val="0074575D"/>
    <w:rsid w:val="0074577A"/>
    <w:rsid w:val="0074579D"/>
    <w:rsid w:val="007457B5"/>
    <w:rsid w:val="007457CA"/>
    <w:rsid w:val="00745803"/>
    <w:rsid w:val="00745833"/>
    <w:rsid w:val="00745872"/>
    <w:rsid w:val="007459AA"/>
    <w:rsid w:val="00745A71"/>
    <w:rsid w:val="00745AAD"/>
    <w:rsid w:val="00745B65"/>
    <w:rsid w:val="00745BE5"/>
    <w:rsid w:val="00745C3F"/>
    <w:rsid w:val="00745DE3"/>
    <w:rsid w:val="00745DED"/>
    <w:rsid w:val="00745E66"/>
    <w:rsid w:val="00745E8F"/>
    <w:rsid w:val="00745EA3"/>
    <w:rsid w:val="0074627F"/>
    <w:rsid w:val="007463F6"/>
    <w:rsid w:val="00746561"/>
    <w:rsid w:val="007466DF"/>
    <w:rsid w:val="00746734"/>
    <w:rsid w:val="00746AF6"/>
    <w:rsid w:val="00746BC7"/>
    <w:rsid w:val="00746C9D"/>
    <w:rsid w:val="00746D89"/>
    <w:rsid w:val="00746E98"/>
    <w:rsid w:val="00746F63"/>
    <w:rsid w:val="00746FCC"/>
    <w:rsid w:val="007471F0"/>
    <w:rsid w:val="00747295"/>
    <w:rsid w:val="007472CE"/>
    <w:rsid w:val="007473A1"/>
    <w:rsid w:val="0074742E"/>
    <w:rsid w:val="0074754F"/>
    <w:rsid w:val="007475D0"/>
    <w:rsid w:val="007476D8"/>
    <w:rsid w:val="007476F9"/>
    <w:rsid w:val="007477AD"/>
    <w:rsid w:val="007477E9"/>
    <w:rsid w:val="007478CF"/>
    <w:rsid w:val="007479D8"/>
    <w:rsid w:val="00747A37"/>
    <w:rsid w:val="00747A93"/>
    <w:rsid w:val="00747C1B"/>
    <w:rsid w:val="00747D2C"/>
    <w:rsid w:val="00747F26"/>
    <w:rsid w:val="00747F77"/>
    <w:rsid w:val="00747FF8"/>
    <w:rsid w:val="007501E9"/>
    <w:rsid w:val="0075025A"/>
    <w:rsid w:val="007502C6"/>
    <w:rsid w:val="0075034F"/>
    <w:rsid w:val="00750367"/>
    <w:rsid w:val="007503B8"/>
    <w:rsid w:val="007503BD"/>
    <w:rsid w:val="0075043F"/>
    <w:rsid w:val="0075045F"/>
    <w:rsid w:val="00750528"/>
    <w:rsid w:val="00750595"/>
    <w:rsid w:val="007505D7"/>
    <w:rsid w:val="0075068A"/>
    <w:rsid w:val="00750784"/>
    <w:rsid w:val="0075087D"/>
    <w:rsid w:val="00750AF2"/>
    <w:rsid w:val="00750CD4"/>
    <w:rsid w:val="00750CE0"/>
    <w:rsid w:val="00750D0B"/>
    <w:rsid w:val="00750D2B"/>
    <w:rsid w:val="00750E19"/>
    <w:rsid w:val="00750E30"/>
    <w:rsid w:val="00750E79"/>
    <w:rsid w:val="00750EBE"/>
    <w:rsid w:val="00750ECD"/>
    <w:rsid w:val="00751087"/>
    <w:rsid w:val="0075178C"/>
    <w:rsid w:val="007518D9"/>
    <w:rsid w:val="007519CF"/>
    <w:rsid w:val="007519D7"/>
    <w:rsid w:val="00751A3D"/>
    <w:rsid w:val="00751AD4"/>
    <w:rsid w:val="00751AF4"/>
    <w:rsid w:val="00751C8F"/>
    <w:rsid w:val="00751D16"/>
    <w:rsid w:val="00751EBA"/>
    <w:rsid w:val="0075201D"/>
    <w:rsid w:val="007522BA"/>
    <w:rsid w:val="00752332"/>
    <w:rsid w:val="007525AA"/>
    <w:rsid w:val="00752614"/>
    <w:rsid w:val="00752661"/>
    <w:rsid w:val="007526BC"/>
    <w:rsid w:val="00752C07"/>
    <w:rsid w:val="00752DBE"/>
    <w:rsid w:val="00752E44"/>
    <w:rsid w:val="00752EF3"/>
    <w:rsid w:val="007531B8"/>
    <w:rsid w:val="0075321B"/>
    <w:rsid w:val="0075344A"/>
    <w:rsid w:val="00753469"/>
    <w:rsid w:val="0075347D"/>
    <w:rsid w:val="007534EF"/>
    <w:rsid w:val="007534F5"/>
    <w:rsid w:val="00753570"/>
    <w:rsid w:val="0075374A"/>
    <w:rsid w:val="0075377E"/>
    <w:rsid w:val="00753870"/>
    <w:rsid w:val="00753927"/>
    <w:rsid w:val="00753A5B"/>
    <w:rsid w:val="00753AFE"/>
    <w:rsid w:val="00753B06"/>
    <w:rsid w:val="00753E6B"/>
    <w:rsid w:val="00753ECE"/>
    <w:rsid w:val="00753FCF"/>
    <w:rsid w:val="00753FD2"/>
    <w:rsid w:val="0075411B"/>
    <w:rsid w:val="00754121"/>
    <w:rsid w:val="00754142"/>
    <w:rsid w:val="007541B7"/>
    <w:rsid w:val="007541EC"/>
    <w:rsid w:val="00754214"/>
    <w:rsid w:val="00754220"/>
    <w:rsid w:val="007542D5"/>
    <w:rsid w:val="007543C4"/>
    <w:rsid w:val="007543C7"/>
    <w:rsid w:val="0075440C"/>
    <w:rsid w:val="00754425"/>
    <w:rsid w:val="007544F4"/>
    <w:rsid w:val="007545D0"/>
    <w:rsid w:val="00754643"/>
    <w:rsid w:val="0075469F"/>
    <w:rsid w:val="007546B9"/>
    <w:rsid w:val="0075471F"/>
    <w:rsid w:val="0075478C"/>
    <w:rsid w:val="00754847"/>
    <w:rsid w:val="007549C3"/>
    <w:rsid w:val="00754CDC"/>
    <w:rsid w:val="00754D20"/>
    <w:rsid w:val="00754E42"/>
    <w:rsid w:val="0075537F"/>
    <w:rsid w:val="00755470"/>
    <w:rsid w:val="007554ED"/>
    <w:rsid w:val="0075553D"/>
    <w:rsid w:val="007556BB"/>
    <w:rsid w:val="00755757"/>
    <w:rsid w:val="00755798"/>
    <w:rsid w:val="007557B9"/>
    <w:rsid w:val="007557F9"/>
    <w:rsid w:val="00755815"/>
    <w:rsid w:val="00755847"/>
    <w:rsid w:val="00755917"/>
    <w:rsid w:val="00755B9B"/>
    <w:rsid w:val="00755BD1"/>
    <w:rsid w:val="00755C70"/>
    <w:rsid w:val="0075609C"/>
    <w:rsid w:val="007560A1"/>
    <w:rsid w:val="007562B7"/>
    <w:rsid w:val="007562D8"/>
    <w:rsid w:val="007563BD"/>
    <w:rsid w:val="0075646A"/>
    <w:rsid w:val="00756678"/>
    <w:rsid w:val="007566AD"/>
    <w:rsid w:val="00756777"/>
    <w:rsid w:val="0075683C"/>
    <w:rsid w:val="007568BD"/>
    <w:rsid w:val="00756952"/>
    <w:rsid w:val="00756BC2"/>
    <w:rsid w:val="00756BF9"/>
    <w:rsid w:val="00756C58"/>
    <w:rsid w:val="00756D1A"/>
    <w:rsid w:val="00756E43"/>
    <w:rsid w:val="00756F35"/>
    <w:rsid w:val="00757046"/>
    <w:rsid w:val="0075712E"/>
    <w:rsid w:val="0075716D"/>
    <w:rsid w:val="007571A7"/>
    <w:rsid w:val="007571F9"/>
    <w:rsid w:val="007571FC"/>
    <w:rsid w:val="00757250"/>
    <w:rsid w:val="0075734B"/>
    <w:rsid w:val="00757427"/>
    <w:rsid w:val="00757497"/>
    <w:rsid w:val="00757522"/>
    <w:rsid w:val="007575E4"/>
    <w:rsid w:val="00757668"/>
    <w:rsid w:val="007576E6"/>
    <w:rsid w:val="0075770F"/>
    <w:rsid w:val="0075771D"/>
    <w:rsid w:val="00757867"/>
    <w:rsid w:val="007579B6"/>
    <w:rsid w:val="007579FC"/>
    <w:rsid w:val="00757A46"/>
    <w:rsid w:val="00757AE2"/>
    <w:rsid w:val="00757C0A"/>
    <w:rsid w:val="00757C76"/>
    <w:rsid w:val="00757C95"/>
    <w:rsid w:val="00757DD8"/>
    <w:rsid w:val="00757F9A"/>
    <w:rsid w:val="00760083"/>
    <w:rsid w:val="007601AC"/>
    <w:rsid w:val="00760473"/>
    <w:rsid w:val="0076079F"/>
    <w:rsid w:val="007607A4"/>
    <w:rsid w:val="007607E7"/>
    <w:rsid w:val="0076090A"/>
    <w:rsid w:val="00760943"/>
    <w:rsid w:val="00760AB4"/>
    <w:rsid w:val="00760BAD"/>
    <w:rsid w:val="00760C73"/>
    <w:rsid w:val="00760CE0"/>
    <w:rsid w:val="00760D63"/>
    <w:rsid w:val="00760E69"/>
    <w:rsid w:val="00760F26"/>
    <w:rsid w:val="00760FB9"/>
    <w:rsid w:val="00761169"/>
    <w:rsid w:val="0076116D"/>
    <w:rsid w:val="007611C2"/>
    <w:rsid w:val="0076129C"/>
    <w:rsid w:val="00761303"/>
    <w:rsid w:val="00761430"/>
    <w:rsid w:val="0076157B"/>
    <w:rsid w:val="007617C0"/>
    <w:rsid w:val="007617F6"/>
    <w:rsid w:val="00761824"/>
    <w:rsid w:val="00761838"/>
    <w:rsid w:val="00761A4B"/>
    <w:rsid w:val="00761A65"/>
    <w:rsid w:val="00761A98"/>
    <w:rsid w:val="00761B1D"/>
    <w:rsid w:val="00761C08"/>
    <w:rsid w:val="00761C18"/>
    <w:rsid w:val="00761C72"/>
    <w:rsid w:val="00761C83"/>
    <w:rsid w:val="00761D52"/>
    <w:rsid w:val="00761E33"/>
    <w:rsid w:val="00761F16"/>
    <w:rsid w:val="00761F76"/>
    <w:rsid w:val="00762061"/>
    <w:rsid w:val="00762097"/>
    <w:rsid w:val="007620A6"/>
    <w:rsid w:val="007622B4"/>
    <w:rsid w:val="007623BA"/>
    <w:rsid w:val="00762428"/>
    <w:rsid w:val="0076243D"/>
    <w:rsid w:val="007624D4"/>
    <w:rsid w:val="007625C4"/>
    <w:rsid w:val="00762637"/>
    <w:rsid w:val="00762700"/>
    <w:rsid w:val="0076273F"/>
    <w:rsid w:val="00762741"/>
    <w:rsid w:val="00762761"/>
    <w:rsid w:val="00762AF5"/>
    <w:rsid w:val="00762B96"/>
    <w:rsid w:val="00762C67"/>
    <w:rsid w:val="00762DD6"/>
    <w:rsid w:val="00762E3D"/>
    <w:rsid w:val="00762E7C"/>
    <w:rsid w:val="00762E7D"/>
    <w:rsid w:val="00762E88"/>
    <w:rsid w:val="00762FE0"/>
    <w:rsid w:val="00763012"/>
    <w:rsid w:val="00763229"/>
    <w:rsid w:val="007632E4"/>
    <w:rsid w:val="007632EB"/>
    <w:rsid w:val="007634D9"/>
    <w:rsid w:val="0076350A"/>
    <w:rsid w:val="0076350B"/>
    <w:rsid w:val="00763612"/>
    <w:rsid w:val="0076362A"/>
    <w:rsid w:val="007636B0"/>
    <w:rsid w:val="00763771"/>
    <w:rsid w:val="00763B2D"/>
    <w:rsid w:val="00763BDA"/>
    <w:rsid w:val="00763DC8"/>
    <w:rsid w:val="00763EB1"/>
    <w:rsid w:val="00763F52"/>
    <w:rsid w:val="0076408B"/>
    <w:rsid w:val="007640D0"/>
    <w:rsid w:val="007641F6"/>
    <w:rsid w:val="00764203"/>
    <w:rsid w:val="00764270"/>
    <w:rsid w:val="0076439C"/>
    <w:rsid w:val="007643A3"/>
    <w:rsid w:val="00764490"/>
    <w:rsid w:val="00764500"/>
    <w:rsid w:val="0076452F"/>
    <w:rsid w:val="00764530"/>
    <w:rsid w:val="00764531"/>
    <w:rsid w:val="007645A9"/>
    <w:rsid w:val="007647F3"/>
    <w:rsid w:val="00764974"/>
    <w:rsid w:val="00764978"/>
    <w:rsid w:val="00764AA1"/>
    <w:rsid w:val="00764DB0"/>
    <w:rsid w:val="00764E69"/>
    <w:rsid w:val="00764F6D"/>
    <w:rsid w:val="00765122"/>
    <w:rsid w:val="00765146"/>
    <w:rsid w:val="00765208"/>
    <w:rsid w:val="007652DC"/>
    <w:rsid w:val="007652E6"/>
    <w:rsid w:val="0076560A"/>
    <w:rsid w:val="00765686"/>
    <w:rsid w:val="007656CD"/>
    <w:rsid w:val="0076592A"/>
    <w:rsid w:val="00765933"/>
    <w:rsid w:val="00765986"/>
    <w:rsid w:val="00765B8D"/>
    <w:rsid w:val="00765B9A"/>
    <w:rsid w:val="00765D03"/>
    <w:rsid w:val="00765D7B"/>
    <w:rsid w:val="00765EB1"/>
    <w:rsid w:val="00765F53"/>
    <w:rsid w:val="00766040"/>
    <w:rsid w:val="007660BC"/>
    <w:rsid w:val="007661FD"/>
    <w:rsid w:val="00766209"/>
    <w:rsid w:val="0076620B"/>
    <w:rsid w:val="00766262"/>
    <w:rsid w:val="007662D7"/>
    <w:rsid w:val="00766377"/>
    <w:rsid w:val="0076647F"/>
    <w:rsid w:val="007664E5"/>
    <w:rsid w:val="00766734"/>
    <w:rsid w:val="007667E9"/>
    <w:rsid w:val="007667EE"/>
    <w:rsid w:val="00766D9E"/>
    <w:rsid w:val="00766DA2"/>
    <w:rsid w:val="00766EAB"/>
    <w:rsid w:val="00767101"/>
    <w:rsid w:val="00767146"/>
    <w:rsid w:val="00767152"/>
    <w:rsid w:val="007675A3"/>
    <w:rsid w:val="00767610"/>
    <w:rsid w:val="0076770D"/>
    <w:rsid w:val="0076794A"/>
    <w:rsid w:val="00767B19"/>
    <w:rsid w:val="00767B9B"/>
    <w:rsid w:val="00767C75"/>
    <w:rsid w:val="00767CCE"/>
    <w:rsid w:val="00767E4F"/>
    <w:rsid w:val="00767ED4"/>
    <w:rsid w:val="00767F4D"/>
    <w:rsid w:val="00767F73"/>
    <w:rsid w:val="00770172"/>
    <w:rsid w:val="00770241"/>
    <w:rsid w:val="00770337"/>
    <w:rsid w:val="0077039E"/>
    <w:rsid w:val="0077050A"/>
    <w:rsid w:val="00770566"/>
    <w:rsid w:val="0077078E"/>
    <w:rsid w:val="0077091C"/>
    <w:rsid w:val="00770970"/>
    <w:rsid w:val="00770E17"/>
    <w:rsid w:val="00771260"/>
    <w:rsid w:val="007712BF"/>
    <w:rsid w:val="00771326"/>
    <w:rsid w:val="0077136E"/>
    <w:rsid w:val="007714EE"/>
    <w:rsid w:val="0077169E"/>
    <w:rsid w:val="00771792"/>
    <w:rsid w:val="00771950"/>
    <w:rsid w:val="00771BBD"/>
    <w:rsid w:val="00771E0F"/>
    <w:rsid w:val="00771F6B"/>
    <w:rsid w:val="00771FA9"/>
    <w:rsid w:val="00772008"/>
    <w:rsid w:val="007721A8"/>
    <w:rsid w:val="007721B6"/>
    <w:rsid w:val="00772320"/>
    <w:rsid w:val="00772377"/>
    <w:rsid w:val="0077242E"/>
    <w:rsid w:val="0077251D"/>
    <w:rsid w:val="0077252D"/>
    <w:rsid w:val="00772566"/>
    <w:rsid w:val="007726C1"/>
    <w:rsid w:val="00772702"/>
    <w:rsid w:val="00772766"/>
    <w:rsid w:val="00772824"/>
    <w:rsid w:val="0077282B"/>
    <w:rsid w:val="00772AD7"/>
    <w:rsid w:val="00772C21"/>
    <w:rsid w:val="00772CDF"/>
    <w:rsid w:val="00772D90"/>
    <w:rsid w:val="00772DB7"/>
    <w:rsid w:val="00772E17"/>
    <w:rsid w:val="00772F89"/>
    <w:rsid w:val="007730C8"/>
    <w:rsid w:val="00773271"/>
    <w:rsid w:val="0077328D"/>
    <w:rsid w:val="007732A0"/>
    <w:rsid w:val="00773543"/>
    <w:rsid w:val="0077362C"/>
    <w:rsid w:val="0077382E"/>
    <w:rsid w:val="00773A36"/>
    <w:rsid w:val="00773A38"/>
    <w:rsid w:val="00773AA4"/>
    <w:rsid w:val="00773B60"/>
    <w:rsid w:val="00773CC7"/>
    <w:rsid w:val="00773CDD"/>
    <w:rsid w:val="00773EC0"/>
    <w:rsid w:val="00773EE7"/>
    <w:rsid w:val="0077408F"/>
    <w:rsid w:val="00774245"/>
    <w:rsid w:val="00774363"/>
    <w:rsid w:val="007745AD"/>
    <w:rsid w:val="00774646"/>
    <w:rsid w:val="007746F5"/>
    <w:rsid w:val="007746FF"/>
    <w:rsid w:val="00774859"/>
    <w:rsid w:val="00774886"/>
    <w:rsid w:val="00774982"/>
    <w:rsid w:val="007749F7"/>
    <w:rsid w:val="00774BB8"/>
    <w:rsid w:val="00774BC6"/>
    <w:rsid w:val="00774DF9"/>
    <w:rsid w:val="00774E55"/>
    <w:rsid w:val="00774F67"/>
    <w:rsid w:val="00774F80"/>
    <w:rsid w:val="0077500F"/>
    <w:rsid w:val="0077515A"/>
    <w:rsid w:val="00775497"/>
    <w:rsid w:val="00775569"/>
    <w:rsid w:val="00775663"/>
    <w:rsid w:val="007757B7"/>
    <w:rsid w:val="007757EA"/>
    <w:rsid w:val="00775893"/>
    <w:rsid w:val="0077598B"/>
    <w:rsid w:val="0077599D"/>
    <w:rsid w:val="007759A9"/>
    <w:rsid w:val="00775ACA"/>
    <w:rsid w:val="00775BCB"/>
    <w:rsid w:val="00775BD9"/>
    <w:rsid w:val="00775EBF"/>
    <w:rsid w:val="00775ED7"/>
    <w:rsid w:val="00775F45"/>
    <w:rsid w:val="007760A6"/>
    <w:rsid w:val="007760CB"/>
    <w:rsid w:val="007760E1"/>
    <w:rsid w:val="00776201"/>
    <w:rsid w:val="00776358"/>
    <w:rsid w:val="00776401"/>
    <w:rsid w:val="007765F1"/>
    <w:rsid w:val="00776668"/>
    <w:rsid w:val="007766A1"/>
    <w:rsid w:val="0077671E"/>
    <w:rsid w:val="007767AC"/>
    <w:rsid w:val="0077682F"/>
    <w:rsid w:val="00776957"/>
    <w:rsid w:val="00776975"/>
    <w:rsid w:val="00776A67"/>
    <w:rsid w:val="00776B50"/>
    <w:rsid w:val="00776D5E"/>
    <w:rsid w:val="00776E41"/>
    <w:rsid w:val="00776FAE"/>
    <w:rsid w:val="00776FB1"/>
    <w:rsid w:val="00777069"/>
    <w:rsid w:val="0077711D"/>
    <w:rsid w:val="00777272"/>
    <w:rsid w:val="0077740B"/>
    <w:rsid w:val="00777612"/>
    <w:rsid w:val="007778BD"/>
    <w:rsid w:val="007778EB"/>
    <w:rsid w:val="0077797F"/>
    <w:rsid w:val="00777B9E"/>
    <w:rsid w:val="00777D97"/>
    <w:rsid w:val="00777DC5"/>
    <w:rsid w:val="00777F3A"/>
    <w:rsid w:val="00777FB3"/>
    <w:rsid w:val="007800EC"/>
    <w:rsid w:val="007801F5"/>
    <w:rsid w:val="00780289"/>
    <w:rsid w:val="0078034C"/>
    <w:rsid w:val="00780590"/>
    <w:rsid w:val="007807E1"/>
    <w:rsid w:val="00780817"/>
    <w:rsid w:val="0078085D"/>
    <w:rsid w:val="007808BB"/>
    <w:rsid w:val="007808E8"/>
    <w:rsid w:val="0078092B"/>
    <w:rsid w:val="00780972"/>
    <w:rsid w:val="00780A57"/>
    <w:rsid w:val="00780ADB"/>
    <w:rsid w:val="00780C5F"/>
    <w:rsid w:val="00780C87"/>
    <w:rsid w:val="00780D56"/>
    <w:rsid w:val="00780E45"/>
    <w:rsid w:val="00780E71"/>
    <w:rsid w:val="00780F86"/>
    <w:rsid w:val="007811F9"/>
    <w:rsid w:val="0078121E"/>
    <w:rsid w:val="007816F7"/>
    <w:rsid w:val="0078172C"/>
    <w:rsid w:val="00781786"/>
    <w:rsid w:val="00781C42"/>
    <w:rsid w:val="00781C77"/>
    <w:rsid w:val="00781DE1"/>
    <w:rsid w:val="00781EFC"/>
    <w:rsid w:val="00781FA8"/>
    <w:rsid w:val="0078203E"/>
    <w:rsid w:val="0078213C"/>
    <w:rsid w:val="007824EE"/>
    <w:rsid w:val="007825D9"/>
    <w:rsid w:val="007827B8"/>
    <w:rsid w:val="007828F6"/>
    <w:rsid w:val="00782961"/>
    <w:rsid w:val="00782A1E"/>
    <w:rsid w:val="00782A2C"/>
    <w:rsid w:val="00782A9D"/>
    <w:rsid w:val="00782B20"/>
    <w:rsid w:val="00782B7F"/>
    <w:rsid w:val="00782C66"/>
    <w:rsid w:val="00782D27"/>
    <w:rsid w:val="00782E2F"/>
    <w:rsid w:val="007831FD"/>
    <w:rsid w:val="007833D2"/>
    <w:rsid w:val="00783429"/>
    <w:rsid w:val="007834CB"/>
    <w:rsid w:val="0078355D"/>
    <w:rsid w:val="00783814"/>
    <w:rsid w:val="00783C29"/>
    <w:rsid w:val="00783C35"/>
    <w:rsid w:val="00783C7D"/>
    <w:rsid w:val="00783CCC"/>
    <w:rsid w:val="00783D02"/>
    <w:rsid w:val="00783F54"/>
    <w:rsid w:val="00783FCE"/>
    <w:rsid w:val="0078419E"/>
    <w:rsid w:val="007842AA"/>
    <w:rsid w:val="00784329"/>
    <w:rsid w:val="007847A6"/>
    <w:rsid w:val="00784831"/>
    <w:rsid w:val="00784861"/>
    <w:rsid w:val="00784884"/>
    <w:rsid w:val="0078491D"/>
    <w:rsid w:val="00784A6A"/>
    <w:rsid w:val="00784B8A"/>
    <w:rsid w:val="00784B95"/>
    <w:rsid w:val="00785155"/>
    <w:rsid w:val="00785464"/>
    <w:rsid w:val="007856CB"/>
    <w:rsid w:val="0078579B"/>
    <w:rsid w:val="00785896"/>
    <w:rsid w:val="0078590C"/>
    <w:rsid w:val="00785940"/>
    <w:rsid w:val="00785A1D"/>
    <w:rsid w:val="00785A8E"/>
    <w:rsid w:val="00785B0A"/>
    <w:rsid w:val="00785D22"/>
    <w:rsid w:val="00785D2B"/>
    <w:rsid w:val="00785E7F"/>
    <w:rsid w:val="0078601B"/>
    <w:rsid w:val="0078605B"/>
    <w:rsid w:val="007861C7"/>
    <w:rsid w:val="007861DF"/>
    <w:rsid w:val="0078622C"/>
    <w:rsid w:val="00786299"/>
    <w:rsid w:val="007862C2"/>
    <w:rsid w:val="0078643A"/>
    <w:rsid w:val="00786695"/>
    <w:rsid w:val="00786A6C"/>
    <w:rsid w:val="00786C6E"/>
    <w:rsid w:val="00786CB5"/>
    <w:rsid w:val="00786E7A"/>
    <w:rsid w:val="00786E8C"/>
    <w:rsid w:val="00786F37"/>
    <w:rsid w:val="00786FB0"/>
    <w:rsid w:val="00786FB1"/>
    <w:rsid w:val="0078711F"/>
    <w:rsid w:val="007871B9"/>
    <w:rsid w:val="00787279"/>
    <w:rsid w:val="007872BD"/>
    <w:rsid w:val="00787573"/>
    <w:rsid w:val="00787592"/>
    <w:rsid w:val="00787767"/>
    <w:rsid w:val="00787816"/>
    <w:rsid w:val="0078781B"/>
    <w:rsid w:val="00787919"/>
    <w:rsid w:val="00787A37"/>
    <w:rsid w:val="00787A82"/>
    <w:rsid w:val="00787B64"/>
    <w:rsid w:val="00787BEC"/>
    <w:rsid w:val="00787BF3"/>
    <w:rsid w:val="00787D65"/>
    <w:rsid w:val="00787E7D"/>
    <w:rsid w:val="00787EBE"/>
    <w:rsid w:val="00787FEC"/>
    <w:rsid w:val="0079001B"/>
    <w:rsid w:val="0079047C"/>
    <w:rsid w:val="007904A5"/>
    <w:rsid w:val="00790594"/>
    <w:rsid w:val="007905BF"/>
    <w:rsid w:val="00790615"/>
    <w:rsid w:val="00790771"/>
    <w:rsid w:val="007908CC"/>
    <w:rsid w:val="00790A66"/>
    <w:rsid w:val="00790B15"/>
    <w:rsid w:val="00790B26"/>
    <w:rsid w:val="00790B73"/>
    <w:rsid w:val="00790BDF"/>
    <w:rsid w:val="00790DCF"/>
    <w:rsid w:val="00790E73"/>
    <w:rsid w:val="00790F3D"/>
    <w:rsid w:val="00790F52"/>
    <w:rsid w:val="00791003"/>
    <w:rsid w:val="00791245"/>
    <w:rsid w:val="0079124D"/>
    <w:rsid w:val="0079126F"/>
    <w:rsid w:val="00791306"/>
    <w:rsid w:val="00791420"/>
    <w:rsid w:val="00791786"/>
    <w:rsid w:val="00791807"/>
    <w:rsid w:val="007918FD"/>
    <w:rsid w:val="00791905"/>
    <w:rsid w:val="00791F71"/>
    <w:rsid w:val="00791FFF"/>
    <w:rsid w:val="0079202D"/>
    <w:rsid w:val="007920EB"/>
    <w:rsid w:val="007921B8"/>
    <w:rsid w:val="0079239B"/>
    <w:rsid w:val="007923A3"/>
    <w:rsid w:val="00792508"/>
    <w:rsid w:val="0079255B"/>
    <w:rsid w:val="0079263B"/>
    <w:rsid w:val="00792754"/>
    <w:rsid w:val="00792865"/>
    <w:rsid w:val="00792904"/>
    <w:rsid w:val="007929A1"/>
    <w:rsid w:val="007929E0"/>
    <w:rsid w:val="007929F2"/>
    <w:rsid w:val="00792AFB"/>
    <w:rsid w:val="00792B29"/>
    <w:rsid w:val="00792B2A"/>
    <w:rsid w:val="00792BCC"/>
    <w:rsid w:val="00792CE0"/>
    <w:rsid w:val="00792DBD"/>
    <w:rsid w:val="0079335A"/>
    <w:rsid w:val="007933B1"/>
    <w:rsid w:val="00793605"/>
    <w:rsid w:val="00793632"/>
    <w:rsid w:val="007937D6"/>
    <w:rsid w:val="00793904"/>
    <w:rsid w:val="00793A64"/>
    <w:rsid w:val="00793B81"/>
    <w:rsid w:val="00793BF5"/>
    <w:rsid w:val="00793C59"/>
    <w:rsid w:val="00793DE5"/>
    <w:rsid w:val="00793F18"/>
    <w:rsid w:val="00794010"/>
    <w:rsid w:val="00794103"/>
    <w:rsid w:val="007941FD"/>
    <w:rsid w:val="00794204"/>
    <w:rsid w:val="00794274"/>
    <w:rsid w:val="007942B2"/>
    <w:rsid w:val="007942B9"/>
    <w:rsid w:val="00794673"/>
    <w:rsid w:val="00794744"/>
    <w:rsid w:val="0079475C"/>
    <w:rsid w:val="00794A0B"/>
    <w:rsid w:val="00794ADF"/>
    <w:rsid w:val="00794B71"/>
    <w:rsid w:val="00794CFD"/>
    <w:rsid w:val="00794E94"/>
    <w:rsid w:val="00794EE6"/>
    <w:rsid w:val="00794FC3"/>
    <w:rsid w:val="0079505C"/>
    <w:rsid w:val="007951AD"/>
    <w:rsid w:val="00795210"/>
    <w:rsid w:val="0079528A"/>
    <w:rsid w:val="007952AA"/>
    <w:rsid w:val="0079549F"/>
    <w:rsid w:val="007955ED"/>
    <w:rsid w:val="007956C2"/>
    <w:rsid w:val="007956CB"/>
    <w:rsid w:val="00795846"/>
    <w:rsid w:val="007958C7"/>
    <w:rsid w:val="00795923"/>
    <w:rsid w:val="00795BAC"/>
    <w:rsid w:val="00795D76"/>
    <w:rsid w:val="00795F29"/>
    <w:rsid w:val="00796180"/>
    <w:rsid w:val="007961D3"/>
    <w:rsid w:val="0079631B"/>
    <w:rsid w:val="007964E9"/>
    <w:rsid w:val="00796506"/>
    <w:rsid w:val="0079665F"/>
    <w:rsid w:val="00796748"/>
    <w:rsid w:val="0079676C"/>
    <w:rsid w:val="00796817"/>
    <w:rsid w:val="0079681A"/>
    <w:rsid w:val="00796833"/>
    <w:rsid w:val="00796875"/>
    <w:rsid w:val="00796AFC"/>
    <w:rsid w:val="00796BD0"/>
    <w:rsid w:val="00796C61"/>
    <w:rsid w:val="00796C92"/>
    <w:rsid w:val="00797181"/>
    <w:rsid w:val="00797337"/>
    <w:rsid w:val="0079739E"/>
    <w:rsid w:val="007973A6"/>
    <w:rsid w:val="00797433"/>
    <w:rsid w:val="0079772E"/>
    <w:rsid w:val="007978DF"/>
    <w:rsid w:val="007978FA"/>
    <w:rsid w:val="00797986"/>
    <w:rsid w:val="00797A04"/>
    <w:rsid w:val="00797A08"/>
    <w:rsid w:val="00797AC8"/>
    <w:rsid w:val="00797CBA"/>
    <w:rsid w:val="00797CF4"/>
    <w:rsid w:val="00797E9D"/>
    <w:rsid w:val="00797EC4"/>
    <w:rsid w:val="00797F98"/>
    <w:rsid w:val="007A0120"/>
    <w:rsid w:val="007A0412"/>
    <w:rsid w:val="007A0537"/>
    <w:rsid w:val="007A0693"/>
    <w:rsid w:val="007A06CF"/>
    <w:rsid w:val="007A073C"/>
    <w:rsid w:val="007A07FF"/>
    <w:rsid w:val="007A081D"/>
    <w:rsid w:val="007A0A0D"/>
    <w:rsid w:val="007A0B05"/>
    <w:rsid w:val="007A0B3D"/>
    <w:rsid w:val="007A0D53"/>
    <w:rsid w:val="007A0E44"/>
    <w:rsid w:val="007A0F60"/>
    <w:rsid w:val="007A11CA"/>
    <w:rsid w:val="007A1246"/>
    <w:rsid w:val="007A1333"/>
    <w:rsid w:val="007A14D8"/>
    <w:rsid w:val="007A1542"/>
    <w:rsid w:val="007A154F"/>
    <w:rsid w:val="007A16FB"/>
    <w:rsid w:val="007A172F"/>
    <w:rsid w:val="007A17BC"/>
    <w:rsid w:val="007A1804"/>
    <w:rsid w:val="007A1A87"/>
    <w:rsid w:val="007A1B04"/>
    <w:rsid w:val="007A1B1D"/>
    <w:rsid w:val="007A1B79"/>
    <w:rsid w:val="007A1E96"/>
    <w:rsid w:val="007A1ECD"/>
    <w:rsid w:val="007A1F5B"/>
    <w:rsid w:val="007A1F8F"/>
    <w:rsid w:val="007A1F95"/>
    <w:rsid w:val="007A20D8"/>
    <w:rsid w:val="007A21F6"/>
    <w:rsid w:val="007A241E"/>
    <w:rsid w:val="007A247C"/>
    <w:rsid w:val="007A2606"/>
    <w:rsid w:val="007A26A8"/>
    <w:rsid w:val="007A2705"/>
    <w:rsid w:val="007A2788"/>
    <w:rsid w:val="007A279B"/>
    <w:rsid w:val="007A290E"/>
    <w:rsid w:val="007A2A55"/>
    <w:rsid w:val="007A2A7E"/>
    <w:rsid w:val="007A2D57"/>
    <w:rsid w:val="007A2DAF"/>
    <w:rsid w:val="007A2F08"/>
    <w:rsid w:val="007A2FE4"/>
    <w:rsid w:val="007A33B9"/>
    <w:rsid w:val="007A35FC"/>
    <w:rsid w:val="007A36C0"/>
    <w:rsid w:val="007A3797"/>
    <w:rsid w:val="007A387E"/>
    <w:rsid w:val="007A3893"/>
    <w:rsid w:val="007A3954"/>
    <w:rsid w:val="007A39D0"/>
    <w:rsid w:val="007A3C68"/>
    <w:rsid w:val="007A3D6F"/>
    <w:rsid w:val="007A3E78"/>
    <w:rsid w:val="007A3EAF"/>
    <w:rsid w:val="007A3F09"/>
    <w:rsid w:val="007A4032"/>
    <w:rsid w:val="007A4054"/>
    <w:rsid w:val="007A4179"/>
    <w:rsid w:val="007A41BC"/>
    <w:rsid w:val="007A41DD"/>
    <w:rsid w:val="007A4224"/>
    <w:rsid w:val="007A42E0"/>
    <w:rsid w:val="007A443F"/>
    <w:rsid w:val="007A44C3"/>
    <w:rsid w:val="007A478E"/>
    <w:rsid w:val="007A48B9"/>
    <w:rsid w:val="007A4A77"/>
    <w:rsid w:val="007A4B59"/>
    <w:rsid w:val="007A4CEF"/>
    <w:rsid w:val="007A4D0E"/>
    <w:rsid w:val="007A4D58"/>
    <w:rsid w:val="007A4F86"/>
    <w:rsid w:val="007A5038"/>
    <w:rsid w:val="007A5083"/>
    <w:rsid w:val="007A51F2"/>
    <w:rsid w:val="007A56C7"/>
    <w:rsid w:val="007A56F2"/>
    <w:rsid w:val="007A5733"/>
    <w:rsid w:val="007A5B19"/>
    <w:rsid w:val="007A5B5D"/>
    <w:rsid w:val="007A5BD5"/>
    <w:rsid w:val="007A5CC5"/>
    <w:rsid w:val="007A5CEC"/>
    <w:rsid w:val="007A5F9A"/>
    <w:rsid w:val="007A6005"/>
    <w:rsid w:val="007A605A"/>
    <w:rsid w:val="007A618E"/>
    <w:rsid w:val="007A61AF"/>
    <w:rsid w:val="007A6273"/>
    <w:rsid w:val="007A62B8"/>
    <w:rsid w:val="007A62F2"/>
    <w:rsid w:val="007A64C1"/>
    <w:rsid w:val="007A6518"/>
    <w:rsid w:val="007A6594"/>
    <w:rsid w:val="007A65B3"/>
    <w:rsid w:val="007A661C"/>
    <w:rsid w:val="007A67B8"/>
    <w:rsid w:val="007A67DA"/>
    <w:rsid w:val="007A6850"/>
    <w:rsid w:val="007A6957"/>
    <w:rsid w:val="007A696B"/>
    <w:rsid w:val="007A6BF2"/>
    <w:rsid w:val="007A6C4D"/>
    <w:rsid w:val="007A7017"/>
    <w:rsid w:val="007A707D"/>
    <w:rsid w:val="007A7084"/>
    <w:rsid w:val="007A719C"/>
    <w:rsid w:val="007A745D"/>
    <w:rsid w:val="007A750E"/>
    <w:rsid w:val="007A76B3"/>
    <w:rsid w:val="007A7795"/>
    <w:rsid w:val="007A7C6A"/>
    <w:rsid w:val="007A7CC9"/>
    <w:rsid w:val="007A7D70"/>
    <w:rsid w:val="007B01B8"/>
    <w:rsid w:val="007B024C"/>
    <w:rsid w:val="007B0346"/>
    <w:rsid w:val="007B0362"/>
    <w:rsid w:val="007B05F4"/>
    <w:rsid w:val="007B0613"/>
    <w:rsid w:val="007B06A4"/>
    <w:rsid w:val="007B0771"/>
    <w:rsid w:val="007B095B"/>
    <w:rsid w:val="007B0A96"/>
    <w:rsid w:val="007B0B88"/>
    <w:rsid w:val="007B0C7B"/>
    <w:rsid w:val="007B0D96"/>
    <w:rsid w:val="007B0DEC"/>
    <w:rsid w:val="007B0E21"/>
    <w:rsid w:val="007B0F48"/>
    <w:rsid w:val="007B0FB3"/>
    <w:rsid w:val="007B1194"/>
    <w:rsid w:val="007B12D5"/>
    <w:rsid w:val="007B1304"/>
    <w:rsid w:val="007B137F"/>
    <w:rsid w:val="007B13BB"/>
    <w:rsid w:val="007B14E7"/>
    <w:rsid w:val="007B15A5"/>
    <w:rsid w:val="007B1687"/>
    <w:rsid w:val="007B17AF"/>
    <w:rsid w:val="007B1841"/>
    <w:rsid w:val="007B19C9"/>
    <w:rsid w:val="007B1AEC"/>
    <w:rsid w:val="007B1B7B"/>
    <w:rsid w:val="007B1C4F"/>
    <w:rsid w:val="007B2028"/>
    <w:rsid w:val="007B205F"/>
    <w:rsid w:val="007B215D"/>
    <w:rsid w:val="007B217A"/>
    <w:rsid w:val="007B22F8"/>
    <w:rsid w:val="007B2333"/>
    <w:rsid w:val="007B234C"/>
    <w:rsid w:val="007B2549"/>
    <w:rsid w:val="007B2550"/>
    <w:rsid w:val="007B257E"/>
    <w:rsid w:val="007B258B"/>
    <w:rsid w:val="007B2AC2"/>
    <w:rsid w:val="007B2B3E"/>
    <w:rsid w:val="007B2B5B"/>
    <w:rsid w:val="007B2BBC"/>
    <w:rsid w:val="007B2BC8"/>
    <w:rsid w:val="007B2C1A"/>
    <w:rsid w:val="007B2E4D"/>
    <w:rsid w:val="007B31D3"/>
    <w:rsid w:val="007B3303"/>
    <w:rsid w:val="007B356A"/>
    <w:rsid w:val="007B365B"/>
    <w:rsid w:val="007B367F"/>
    <w:rsid w:val="007B3709"/>
    <w:rsid w:val="007B3817"/>
    <w:rsid w:val="007B38B4"/>
    <w:rsid w:val="007B38BA"/>
    <w:rsid w:val="007B3BCD"/>
    <w:rsid w:val="007B3BE7"/>
    <w:rsid w:val="007B3CD9"/>
    <w:rsid w:val="007B3D80"/>
    <w:rsid w:val="007B3E08"/>
    <w:rsid w:val="007B3F2D"/>
    <w:rsid w:val="007B3F4F"/>
    <w:rsid w:val="007B3F87"/>
    <w:rsid w:val="007B4030"/>
    <w:rsid w:val="007B4183"/>
    <w:rsid w:val="007B41AF"/>
    <w:rsid w:val="007B4337"/>
    <w:rsid w:val="007B43A6"/>
    <w:rsid w:val="007B43FD"/>
    <w:rsid w:val="007B4403"/>
    <w:rsid w:val="007B45C9"/>
    <w:rsid w:val="007B46BA"/>
    <w:rsid w:val="007B4751"/>
    <w:rsid w:val="007B493D"/>
    <w:rsid w:val="007B4BBB"/>
    <w:rsid w:val="007B4C46"/>
    <w:rsid w:val="007B4D34"/>
    <w:rsid w:val="007B52B7"/>
    <w:rsid w:val="007B532D"/>
    <w:rsid w:val="007B53FB"/>
    <w:rsid w:val="007B55A6"/>
    <w:rsid w:val="007B5642"/>
    <w:rsid w:val="007B56C7"/>
    <w:rsid w:val="007B5983"/>
    <w:rsid w:val="007B5B4F"/>
    <w:rsid w:val="007B5B7A"/>
    <w:rsid w:val="007B5C32"/>
    <w:rsid w:val="007B5C49"/>
    <w:rsid w:val="007B5D56"/>
    <w:rsid w:val="007B5E28"/>
    <w:rsid w:val="007B5E54"/>
    <w:rsid w:val="007B5E58"/>
    <w:rsid w:val="007B5E75"/>
    <w:rsid w:val="007B605E"/>
    <w:rsid w:val="007B607A"/>
    <w:rsid w:val="007B61A7"/>
    <w:rsid w:val="007B62C8"/>
    <w:rsid w:val="007B62CA"/>
    <w:rsid w:val="007B6645"/>
    <w:rsid w:val="007B66EF"/>
    <w:rsid w:val="007B684F"/>
    <w:rsid w:val="007B687F"/>
    <w:rsid w:val="007B6980"/>
    <w:rsid w:val="007B6B3B"/>
    <w:rsid w:val="007B6B9C"/>
    <w:rsid w:val="007B6C84"/>
    <w:rsid w:val="007B6CC3"/>
    <w:rsid w:val="007B6D0D"/>
    <w:rsid w:val="007B6D58"/>
    <w:rsid w:val="007B6EBE"/>
    <w:rsid w:val="007B6F03"/>
    <w:rsid w:val="007B70B3"/>
    <w:rsid w:val="007B71E0"/>
    <w:rsid w:val="007B7235"/>
    <w:rsid w:val="007B75EF"/>
    <w:rsid w:val="007B7767"/>
    <w:rsid w:val="007B785F"/>
    <w:rsid w:val="007B7913"/>
    <w:rsid w:val="007B7972"/>
    <w:rsid w:val="007B7A91"/>
    <w:rsid w:val="007B7AE6"/>
    <w:rsid w:val="007B7B3A"/>
    <w:rsid w:val="007B7C9C"/>
    <w:rsid w:val="007B7CE4"/>
    <w:rsid w:val="007B7E5E"/>
    <w:rsid w:val="007B7E82"/>
    <w:rsid w:val="007B7E85"/>
    <w:rsid w:val="007B7FA7"/>
    <w:rsid w:val="007B7FE5"/>
    <w:rsid w:val="007C011E"/>
    <w:rsid w:val="007C02F6"/>
    <w:rsid w:val="007C04C2"/>
    <w:rsid w:val="007C050E"/>
    <w:rsid w:val="007C052A"/>
    <w:rsid w:val="007C05BA"/>
    <w:rsid w:val="007C0792"/>
    <w:rsid w:val="007C087E"/>
    <w:rsid w:val="007C091A"/>
    <w:rsid w:val="007C0A71"/>
    <w:rsid w:val="007C0AD4"/>
    <w:rsid w:val="007C0B25"/>
    <w:rsid w:val="007C0B90"/>
    <w:rsid w:val="007C0C32"/>
    <w:rsid w:val="007C0C8B"/>
    <w:rsid w:val="007C0CC8"/>
    <w:rsid w:val="007C0E18"/>
    <w:rsid w:val="007C0E1C"/>
    <w:rsid w:val="007C1032"/>
    <w:rsid w:val="007C1118"/>
    <w:rsid w:val="007C1207"/>
    <w:rsid w:val="007C12D7"/>
    <w:rsid w:val="007C1431"/>
    <w:rsid w:val="007C14BC"/>
    <w:rsid w:val="007C15C2"/>
    <w:rsid w:val="007C1914"/>
    <w:rsid w:val="007C19C9"/>
    <w:rsid w:val="007C1B6A"/>
    <w:rsid w:val="007C1C71"/>
    <w:rsid w:val="007C1EFA"/>
    <w:rsid w:val="007C1F4E"/>
    <w:rsid w:val="007C1FC2"/>
    <w:rsid w:val="007C1FDA"/>
    <w:rsid w:val="007C215C"/>
    <w:rsid w:val="007C2255"/>
    <w:rsid w:val="007C22D3"/>
    <w:rsid w:val="007C2325"/>
    <w:rsid w:val="007C24FE"/>
    <w:rsid w:val="007C2A52"/>
    <w:rsid w:val="007C2B75"/>
    <w:rsid w:val="007C2BC7"/>
    <w:rsid w:val="007C2BD2"/>
    <w:rsid w:val="007C2D61"/>
    <w:rsid w:val="007C2DBC"/>
    <w:rsid w:val="007C2DC8"/>
    <w:rsid w:val="007C2E01"/>
    <w:rsid w:val="007C3030"/>
    <w:rsid w:val="007C3036"/>
    <w:rsid w:val="007C3379"/>
    <w:rsid w:val="007C33FF"/>
    <w:rsid w:val="007C34B9"/>
    <w:rsid w:val="007C35A0"/>
    <w:rsid w:val="007C364A"/>
    <w:rsid w:val="007C3675"/>
    <w:rsid w:val="007C38B8"/>
    <w:rsid w:val="007C3A1D"/>
    <w:rsid w:val="007C3A72"/>
    <w:rsid w:val="007C3BC2"/>
    <w:rsid w:val="007C3C16"/>
    <w:rsid w:val="007C3C48"/>
    <w:rsid w:val="007C3E08"/>
    <w:rsid w:val="007C3E1D"/>
    <w:rsid w:val="007C3EEB"/>
    <w:rsid w:val="007C410F"/>
    <w:rsid w:val="007C41B3"/>
    <w:rsid w:val="007C41BA"/>
    <w:rsid w:val="007C43C8"/>
    <w:rsid w:val="007C4406"/>
    <w:rsid w:val="007C443A"/>
    <w:rsid w:val="007C44E3"/>
    <w:rsid w:val="007C4545"/>
    <w:rsid w:val="007C478A"/>
    <w:rsid w:val="007C4809"/>
    <w:rsid w:val="007C485E"/>
    <w:rsid w:val="007C4879"/>
    <w:rsid w:val="007C48D5"/>
    <w:rsid w:val="007C493E"/>
    <w:rsid w:val="007C49BC"/>
    <w:rsid w:val="007C4A09"/>
    <w:rsid w:val="007C4C4D"/>
    <w:rsid w:val="007C4D71"/>
    <w:rsid w:val="007C4D8D"/>
    <w:rsid w:val="007C4DC3"/>
    <w:rsid w:val="007C4E20"/>
    <w:rsid w:val="007C4ED1"/>
    <w:rsid w:val="007C5487"/>
    <w:rsid w:val="007C5563"/>
    <w:rsid w:val="007C55A4"/>
    <w:rsid w:val="007C55C1"/>
    <w:rsid w:val="007C57C1"/>
    <w:rsid w:val="007C57CF"/>
    <w:rsid w:val="007C57D6"/>
    <w:rsid w:val="007C588D"/>
    <w:rsid w:val="007C58A7"/>
    <w:rsid w:val="007C5996"/>
    <w:rsid w:val="007C5AC3"/>
    <w:rsid w:val="007C5B94"/>
    <w:rsid w:val="007C5BA7"/>
    <w:rsid w:val="007C5C88"/>
    <w:rsid w:val="007C5CE5"/>
    <w:rsid w:val="007C5D32"/>
    <w:rsid w:val="007C5DE3"/>
    <w:rsid w:val="007C5E01"/>
    <w:rsid w:val="007C5ED5"/>
    <w:rsid w:val="007C5F80"/>
    <w:rsid w:val="007C5F99"/>
    <w:rsid w:val="007C6086"/>
    <w:rsid w:val="007C60ED"/>
    <w:rsid w:val="007C63D2"/>
    <w:rsid w:val="007C6547"/>
    <w:rsid w:val="007C6576"/>
    <w:rsid w:val="007C673F"/>
    <w:rsid w:val="007C6825"/>
    <w:rsid w:val="007C6A7E"/>
    <w:rsid w:val="007C6AC2"/>
    <w:rsid w:val="007C6B42"/>
    <w:rsid w:val="007C6B5B"/>
    <w:rsid w:val="007C6B94"/>
    <w:rsid w:val="007C6C27"/>
    <w:rsid w:val="007C6EAE"/>
    <w:rsid w:val="007C6FE8"/>
    <w:rsid w:val="007C708A"/>
    <w:rsid w:val="007C727A"/>
    <w:rsid w:val="007C73C2"/>
    <w:rsid w:val="007C7449"/>
    <w:rsid w:val="007C77A2"/>
    <w:rsid w:val="007C77C3"/>
    <w:rsid w:val="007C788C"/>
    <w:rsid w:val="007C7960"/>
    <w:rsid w:val="007C7998"/>
    <w:rsid w:val="007C7BC4"/>
    <w:rsid w:val="007C7DA5"/>
    <w:rsid w:val="007C7DE8"/>
    <w:rsid w:val="007C7DF6"/>
    <w:rsid w:val="007C7F52"/>
    <w:rsid w:val="007C7F8E"/>
    <w:rsid w:val="007D0006"/>
    <w:rsid w:val="007D00A4"/>
    <w:rsid w:val="007D00BA"/>
    <w:rsid w:val="007D0101"/>
    <w:rsid w:val="007D015D"/>
    <w:rsid w:val="007D01FB"/>
    <w:rsid w:val="007D029C"/>
    <w:rsid w:val="007D036D"/>
    <w:rsid w:val="007D0457"/>
    <w:rsid w:val="007D05F1"/>
    <w:rsid w:val="007D0642"/>
    <w:rsid w:val="007D06E8"/>
    <w:rsid w:val="007D0720"/>
    <w:rsid w:val="007D0845"/>
    <w:rsid w:val="007D093F"/>
    <w:rsid w:val="007D0C50"/>
    <w:rsid w:val="007D0C79"/>
    <w:rsid w:val="007D0CFD"/>
    <w:rsid w:val="007D0EC6"/>
    <w:rsid w:val="007D109E"/>
    <w:rsid w:val="007D1449"/>
    <w:rsid w:val="007D16E5"/>
    <w:rsid w:val="007D171F"/>
    <w:rsid w:val="007D177F"/>
    <w:rsid w:val="007D17EC"/>
    <w:rsid w:val="007D194B"/>
    <w:rsid w:val="007D1E02"/>
    <w:rsid w:val="007D1F21"/>
    <w:rsid w:val="007D2014"/>
    <w:rsid w:val="007D2129"/>
    <w:rsid w:val="007D214F"/>
    <w:rsid w:val="007D215D"/>
    <w:rsid w:val="007D216C"/>
    <w:rsid w:val="007D2330"/>
    <w:rsid w:val="007D2432"/>
    <w:rsid w:val="007D266B"/>
    <w:rsid w:val="007D2904"/>
    <w:rsid w:val="007D294D"/>
    <w:rsid w:val="007D2962"/>
    <w:rsid w:val="007D29A0"/>
    <w:rsid w:val="007D2A06"/>
    <w:rsid w:val="007D2A72"/>
    <w:rsid w:val="007D2B27"/>
    <w:rsid w:val="007D2BCA"/>
    <w:rsid w:val="007D2BD6"/>
    <w:rsid w:val="007D2C8E"/>
    <w:rsid w:val="007D3047"/>
    <w:rsid w:val="007D34B7"/>
    <w:rsid w:val="007D34B9"/>
    <w:rsid w:val="007D36B8"/>
    <w:rsid w:val="007D3838"/>
    <w:rsid w:val="007D3866"/>
    <w:rsid w:val="007D387A"/>
    <w:rsid w:val="007D38DC"/>
    <w:rsid w:val="007D3941"/>
    <w:rsid w:val="007D3973"/>
    <w:rsid w:val="007D3AC5"/>
    <w:rsid w:val="007D3AD2"/>
    <w:rsid w:val="007D3B65"/>
    <w:rsid w:val="007D3C20"/>
    <w:rsid w:val="007D3D64"/>
    <w:rsid w:val="007D3EE4"/>
    <w:rsid w:val="007D3FB1"/>
    <w:rsid w:val="007D4003"/>
    <w:rsid w:val="007D4258"/>
    <w:rsid w:val="007D42B7"/>
    <w:rsid w:val="007D44DA"/>
    <w:rsid w:val="007D4596"/>
    <w:rsid w:val="007D4612"/>
    <w:rsid w:val="007D462D"/>
    <w:rsid w:val="007D464D"/>
    <w:rsid w:val="007D478C"/>
    <w:rsid w:val="007D4857"/>
    <w:rsid w:val="007D486E"/>
    <w:rsid w:val="007D4B08"/>
    <w:rsid w:val="007D4B4A"/>
    <w:rsid w:val="007D4D3C"/>
    <w:rsid w:val="007D4DD0"/>
    <w:rsid w:val="007D50DB"/>
    <w:rsid w:val="007D5100"/>
    <w:rsid w:val="007D52DF"/>
    <w:rsid w:val="007D530C"/>
    <w:rsid w:val="007D533E"/>
    <w:rsid w:val="007D54E1"/>
    <w:rsid w:val="007D573C"/>
    <w:rsid w:val="007D5977"/>
    <w:rsid w:val="007D5B60"/>
    <w:rsid w:val="007D5C34"/>
    <w:rsid w:val="007D5DA5"/>
    <w:rsid w:val="007D5EC2"/>
    <w:rsid w:val="007D5EC9"/>
    <w:rsid w:val="007D5F5A"/>
    <w:rsid w:val="007D606C"/>
    <w:rsid w:val="007D612D"/>
    <w:rsid w:val="007D62DB"/>
    <w:rsid w:val="007D637E"/>
    <w:rsid w:val="007D638A"/>
    <w:rsid w:val="007D63A3"/>
    <w:rsid w:val="007D666B"/>
    <w:rsid w:val="007D684E"/>
    <w:rsid w:val="007D6C52"/>
    <w:rsid w:val="007D6C5E"/>
    <w:rsid w:val="007D6C85"/>
    <w:rsid w:val="007D6DDE"/>
    <w:rsid w:val="007D6DFC"/>
    <w:rsid w:val="007D7055"/>
    <w:rsid w:val="007D71C5"/>
    <w:rsid w:val="007D71D6"/>
    <w:rsid w:val="007D7302"/>
    <w:rsid w:val="007D7353"/>
    <w:rsid w:val="007D7429"/>
    <w:rsid w:val="007D7496"/>
    <w:rsid w:val="007D7542"/>
    <w:rsid w:val="007D75F6"/>
    <w:rsid w:val="007D76D3"/>
    <w:rsid w:val="007D77A3"/>
    <w:rsid w:val="007D77FD"/>
    <w:rsid w:val="007D7A4B"/>
    <w:rsid w:val="007D7B70"/>
    <w:rsid w:val="007D7B8D"/>
    <w:rsid w:val="007D7BDA"/>
    <w:rsid w:val="007D7C21"/>
    <w:rsid w:val="007D7C95"/>
    <w:rsid w:val="007D7EB6"/>
    <w:rsid w:val="007D7ED2"/>
    <w:rsid w:val="007E00BB"/>
    <w:rsid w:val="007E00ED"/>
    <w:rsid w:val="007E013C"/>
    <w:rsid w:val="007E01A9"/>
    <w:rsid w:val="007E0235"/>
    <w:rsid w:val="007E03A2"/>
    <w:rsid w:val="007E0447"/>
    <w:rsid w:val="007E04A4"/>
    <w:rsid w:val="007E050D"/>
    <w:rsid w:val="007E05F0"/>
    <w:rsid w:val="007E08B7"/>
    <w:rsid w:val="007E09FA"/>
    <w:rsid w:val="007E0BCF"/>
    <w:rsid w:val="007E0CB5"/>
    <w:rsid w:val="007E0D8B"/>
    <w:rsid w:val="007E115F"/>
    <w:rsid w:val="007E123F"/>
    <w:rsid w:val="007E125E"/>
    <w:rsid w:val="007E12D4"/>
    <w:rsid w:val="007E12EA"/>
    <w:rsid w:val="007E1398"/>
    <w:rsid w:val="007E14A6"/>
    <w:rsid w:val="007E1552"/>
    <w:rsid w:val="007E15C1"/>
    <w:rsid w:val="007E17A5"/>
    <w:rsid w:val="007E185D"/>
    <w:rsid w:val="007E1AE9"/>
    <w:rsid w:val="007E1BC5"/>
    <w:rsid w:val="007E1E14"/>
    <w:rsid w:val="007E1F03"/>
    <w:rsid w:val="007E1F1A"/>
    <w:rsid w:val="007E1F95"/>
    <w:rsid w:val="007E1FDB"/>
    <w:rsid w:val="007E1FE7"/>
    <w:rsid w:val="007E2042"/>
    <w:rsid w:val="007E2286"/>
    <w:rsid w:val="007E231A"/>
    <w:rsid w:val="007E23DE"/>
    <w:rsid w:val="007E248A"/>
    <w:rsid w:val="007E2754"/>
    <w:rsid w:val="007E279E"/>
    <w:rsid w:val="007E28F0"/>
    <w:rsid w:val="007E2960"/>
    <w:rsid w:val="007E29E4"/>
    <w:rsid w:val="007E2A07"/>
    <w:rsid w:val="007E2AE1"/>
    <w:rsid w:val="007E2E8E"/>
    <w:rsid w:val="007E2FCA"/>
    <w:rsid w:val="007E3031"/>
    <w:rsid w:val="007E303B"/>
    <w:rsid w:val="007E318A"/>
    <w:rsid w:val="007E33E4"/>
    <w:rsid w:val="007E3412"/>
    <w:rsid w:val="007E3812"/>
    <w:rsid w:val="007E39AD"/>
    <w:rsid w:val="007E3A59"/>
    <w:rsid w:val="007E3AB1"/>
    <w:rsid w:val="007E3B04"/>
    <w:rsid w:val="007E3CBB"/>
    <w:rsid w:val="007E3CC1"/>
    <w:rsid w:val="007E3D05"/>
    <w:rsid w:val="007E3D21"/>
    <w:rsid w:val="007E3DC0"/>
    <w:rsid w:val="007E3F54"/>
    <w:rsid w:val="007E4023"/>
    <w:rsid w:val="007E40A6"/>
    <w:rsid w:val="007E4122"/>
    <w:rsid w:val="007E43A7"/>
    <w:rsid w:val="007E4449"/>
    <w:rsid w:val="007E4459"/>
    <w:rsid w:val="007E48A0"/>
    <w:rsid w:val="007E4957"/>
    <w:rsid w:val="007E4979"/>
    <w:rsid w:val="007E4A3D"/>
    <w:rsid w:val="007E4A58"/>
    <w:rsid w:val="007E4ABB"/>
    <w:rsid w:val="007E4AED"/>
    <w:rsid w:val="007E4B71"/>
    <w:rsid w:val="007E4E29"/>
    <w:rsid w:val="007E5041"/>
    <w:rsid w:val="007E5287"/>
    <w:rsid w:val="007E5329"/>
    <w:rsid w:val="007E54BA"/>
    <w:rsid w:val="007E54FD"/>
    <w:rsid w:val="007E5D7C"/>
    <w:rsid w:val="007E5F7B"/>
    <w:rsid w:val="007E5F8D"/>
    <w:rsid w:val="007E5F9D"/>
    <w:rsid w:val="007E624C"/>
    <w:rsid w:val="007E6315"/>
    <w:rsid w:val="007E641D"/>
    <w:rsid w:val="007E64A4"/>
    <w:rsid w:val="007E6723"/>
    <w:rsid w:val="007E6912"/>
    <w:rsid w:val="007E6982"/>
    <w:rsid w:val="007E6B2E"/>
    <w:rsid w:val="007E6C1A"/>
    <w:rsid w:val="007E6D89"/>
    <w:rsid w:val="007E6DA4"/>
    <w:rsid w:val="007E6DB1"/>
    <w:rsid w:val="007E6F3B"/>
    <w:rsid w:val="007E6FC5"/>
    <w:rsid w:val="007E7173"/>
    <w:rsid w:val="007E71CC"/>
    <w:rsid w:val="007E71FE"/>
    <w:rsid w:val="007E72A1"/>
    <w:rsid w:val="007E7332"/>
    <w:rsid w:val="007E7457"/>
    <w:rsid w:val="007E7552"/>
    <w:rsid w:val="007E7609"/>
    <w:rsid w:val="007E768A"/>
    <w:rsid w:val="007E77DD"/>
    <w:rsid w:val="007E7944"/>
    <w:rsid w:val="007E794F"/>
    <w:rsid w:val="007E7990"/>
    <w:rsid w:val="007E7995"/>
    <w:rsid w:val="007E7A1B"/>
    <w:rsid w:val="007E7B58"/>
    <w:rsid w:val="007E7D1D"/>
    <w:rsid w:val="007E7E8D"/>
    <w:rsid w:val="007F01CC"/>
    <w:rsid w:val="007F0342"/>
    <w:rsid w:val="007F057D"/>
    <w:rsid w:val="007F0702"/>
    <w:rsid w:val="007F0852"/>
    <w:rsid w:val="007F08F6"/>
    <w:rsid w:val="007F0903"/>
    <w:rsid w:val="007F09B4"/>
    <w:rsid w:val="007F0A9A"/>
    <w:rsid w:val="007F0B6A"/>
    <w:rsid w:val="007F0BF2"/>
    <w:rsid w:val="007F0C7C"/>
    <w:rsid w:val="007F10B8"/>
    <w:rsid w:val="007F11A2"/>
    <w:rsid w:val="007F11D9"/>
    <w:rsid w:val="007F129B"/>
    <w:rsid w:val="007F13D1"/>
    <w:rsid w:val="007F16C1"/>
    <w:rsid w:val="007F174B"/>
    <w:rsid w:val="007F1BFF"/>
    <w:rsid w:val="007F1CFA"/>
    <w:rsid w:val="007F1DF0"/>
    <w:rsid w:val="007F1E0D"/>
    <w:rsid w:val="007F1E11"/>
    <w:rsid w:val="007F1E9A"/>
    <w:rsid w:val="007F1F01"/>
    <w:rsid w:val="007F1F3C"/>
    <w:rsid w:val="007F22E1"/>
    <w:rsid w:val="007F23A9"/>
    <w:rsid w:val="007F261A"/>
    <w:rsid w:val="007F26EA"/>
    <w:rsid w:val="007F27BA"/>
    <w:rsid w:val="007F2814"/>
    <w:rsid w:val="007F284E"/>
    <w:rsid w:val="007F2A75"/>
    <w:rsid w:val="007F2ABB"/>
    <w:rsid w:val="007F2C36"/>
    <w:rsid w:val="007F2C92"/>
    <w:rsid w:val="007F2CD2"/>
    <w:rsid w:val="007F2D4D"/>
    <w:rsid w:val="007F2DD8"/>
    <w:rsid w:val="007F2F0B"/>
    <w:rsid w:val="007F2F98"/>
    <w:rsid w:val="007F2FA8"/>
    <w:rsid w:val="007F2FEE"/>
    <w:rsid w:val="007F30AE"/>
    <w:rsid w:val="007F318B"/>
    <w:rsid w:val="007F31A0"/>
    <w:rsid w:val="007F344A"/>
    <w:rsid w:val="007F351D"/>
    <w:rsid w:val="007F35A1"/>
    <w:rsid w:val="007F37CC"/>
    <w:rsid w:val="007F38DA"/>
    <w:rsid w:val="007F39BA"/>
    <w:rsid w:val="007F3BB5"/>
    <w:rsid w:val="007F3C64"/>
    <w:rsid w:val="007F3CCB"/>
    <w:rsid w:val="007F3CD1"/>
    <w:rsid w:val="007F3CFC"/>
    <w:rsid w:val="007F3DB4"/>
    <w:rsid w:val="007F3E80"/>
    <w:rsid w:val="007F3EF6"/>
    <w:rsid w:val="007F4295"/>
    <w:rsid w:val="007F4446"/>
    <w:rsid w:val="007F44C7"/>
    <w:rsid w:val="007F4551"/>
    <w:rsid w:val="007F45E9"/>
    <w:rsid w:val="007F4668"/>
    <w:rsid w:val="007F46EC"/>
    <w:rsid w:val="007F481E"/>
    <w:rsid w:val="007F48EF"/>
    <w:rsid w:val="007F4A83"/>
    <w:rsid w:val="007F4CA8"/>
    <w:rsid w:val="007F4E98"/>
    <w:rsid w:val="007F4EC2"/>
    <w:rsid w:val="007F4EFA"/>
    <w:rsid w:val="007F4FE0"/>
    <w:rsid w:val="007F50FC"/>
    <w:rsid w:val="007F5144"/>
    <w:rsid w:val="007F52F3"/>
    <w:rsid w:val="007F54B8"/>
    <w:rsid w:val="007F5557"/>
    <w:rsid w:val="007F5579"/>
    <w:rsid w:val="007F55C1"/>
    <w:rsid w:val="007F5617"/>
    <w:rsid w:val="007F56EB"/>
    <w:rsid w:val="007F5905"/>
    <w:rsid w:val="007F59A9"/>
    <w:rsid w:val="007F59FA"/>
    <w:rsid w:val="007F5A17"/>
    <w:rsid w:val="007F5C2F"/>
    <w:rsid w:val="007F5C83"/>
    <w:rsid w:val="007F5D91"/>
    <w:rsid w:val="007F5EAE"/>
    <w:rsid w:val="007F5FA3"/>
    <w:rsid w:val="007F601E"/>
    <w:rsid w:val="007F6222"/>
    <w:rsid w:val="007F629A"/>
    <w:rsid w:val="007F62A1"/>
    <w:rsid w:val="007F636C"/>
    <w:rsid w:val="007F6380"/>
    <w:rsid w:val="007F6418"/>
    <w:rsid w:val="007F6534"/>
    <w:rsid w:val="007F6616"/>
    <w:rsid w:val="007F6654"/>
    <w:rsid w:val="007F667D"/>
    <w:rsid w:val="007F66FF"/>
    <w:rsid w:val="007F6737"/>
    <w:rsid w:val="007F694F"/>
    <w:rsid w:val="007F6AB2"/>
    <w:rsid w:val="007F6B82"/>
    <w:rsid w:val="007F6C0E"/>
    <w:rsid w:val="007F6C1E"/>
    <w:rsid w:val="007F6CAF"/>
    <w:rsid w:val="007F6E09"/>
    <w:rsid w:val="007F6EBA"/>
    <w:rsid w:val="007F6EDD"/>
    <w:rsid w:val="007F6FC7"/>
    <w:rsid w:val="007F72A7"/>
    <w:rsid w:val="007F72D5"/>
    <w:rsid w:val="007F73C2"/>
    <w:rsid w:val="007F7875"/>
    <w:rsid w:val="007F7A1B"/>
    <w:rsid w:val="007F7ABD"/>
    <w:rsid w:val="007F7B65"/>
    <w:rsid w:val="007F7B85"/>
    <w:rsid w:val="007F7CC7"/>
    <w:rsid w:val="007F7E42"/>
    <w:rsid w:val="007F7EA7"/>
    <w:rsid w:val="007F7FC2"/>
    <w:rsid w:val="00800010"/>
    <w:rsid w:val="008000E0"/>
    <w:rsid w:val="008002C1"/>
    <w:rsid w:val="00800532"/>
    <w:rsid w:val="00800566"/>
    <w:rsid w:val="00800755"/>
    <w:rsid w:val="0080087F"/>
    <w:rsid w:val="00800903"/>
    <w:rsid w:val="008009C5"/>
    <w:rsid w:val="00800CB8"/>
    <w:rsid w:val="00800E43"/>
    <w:rsid w:val="0080109C"/>
    <w:rsid w:val="00801252"/>
    <w:rsid w:val="00801259"/>
    <w:rsid w:val="0080130C"/>
    <w:rsid w:val="0080155F"/>
    <w:rsid w:val="008017D4"/>
    <w:rsid w:val="0080187E"/>
    <w:rsid w:val="00801932"/>
    <w:rsid w:val="00801AF4"/>
    <w:rsid w:val="00801B7C"/>
    <w:rsid w:val="00801D15"/>
    <w:rsid w:val="00801D94"/>
    <w:rsid w:val="00801E18"/>
    <w:rsid w:val="00801F6E"/>
    <w:rsid w:val="00802112"/>
    <w:rsid w:val="008025BF"/>
    <w:rsid w:val="008025EC"/>
    <w:rsid w:val="00802684"/>
    <w:rsid w:val="008026E2"/>
    <w:rsid w:val="00802A20"/>
    <w:rsid w:val="00802A41"/>
    <w:rsid w:val="00802C30"/>
    <w:rsid w:val="00802CBE"/>
    <w:rsid w:val="00802DBE"/>
    <w:rsid w:val="00802E7F"/>
    <w:rsid w:val="00802F15"/>
    <w:rsid w:val="008030F5"/>
    <w:rsid w:val="00803163"/>
    <w:rsid w:val="008031CD"/>
    <w:rsid w:val="008033C2"/>
    <w:rsid w:val="0080342B"/>
    <w:rsid w:val="00803457"/>
    <w:rsid w:val="008034EC"/>
    <w:rsid w:val="0080378B"/>
    <w:rsid w:val="008037DA"/>
    <w:rsid w:val="00803831"/>
    <w:rsid w:val="008039EE"/>
    <w:rsid w:val="00803A1F"/>
    <w:rsid w:val="00803A3F"/>
    <w:rsid w:val="00803AAB"/>
    <w:rsid w:val="00803B5B"/>
    <w:rsid w:val="00803CED"/>
    <w:rsid w:val="00803D02"/>
    <w:rsid w:val="008041D7"/>
    <w:rsid w:val="008041F4"/>
    <w:rsid w:val="00804402"/>
    <w:rsid w:val="0080442C"/>
    <w:rsid w:val="008044BA"/>
    <w:rsid w:val="00804562"/>
    <w:rsid w:val="00804693"/>
    <w:rsid w:val="008046D9"/>
    <w:rsid w:val="00804728"/>
    <w:rsid w:val="00804775"/>
    <w:rsid w:val="0080478E"/>
    <w:rsid w:val="008047AA"/>
    <w:rsid w:val="00804915"/>
    <w:rsid w:val="00804D73"/>
    <w:rsid w:val="00804DE2"/>
    <w:rsid w:val="00804DEB"/>
    <w:rsid w:val="00804EBB"/>
    <w:rsid w:val="00804EDD"/>
    <w:rsid w:val="00804F0A"/>
    <w:rsid w:val="00805035"/>
    <w:rsid w:val="008051BA"/>
    <w:rsid w:val="00805248"/>
    <w:rsid w:val="00805518"/>
    <w:rsid w:val="0080555D"/>
    <w:rsid w:val="008055F9"/>
    <w:rsid w:val="00805621"/>
    <w:rsid w:val="008057D6"/>
    <w:rsid w:val="0080580D"/>
    <w:rsid w:val="00805A21"/>
    <w:rsid w:val="00805DB2"/>
    <w:rsid w:val="00806072"/>
    <w:rsid w:val="0080607D"/>
    <w:rsid w:val="008061B2"/>
    <w:rsid w:val="00806270"/>
    <w:rsid w:val="008062BC"/>
    <w:rsid w:val="00806360"/>
    <w:rsid w:val="00806378"/>
    <w:rsid w:val="00806382"/>
    <w:rsid w:val="0080648C"/>
    <w:rsid w:val="008064BF"/>
    <w:rsid w:val="00806672"/>
    <w:rsid w:val="00806703"/>
    <w:rsid w:val="008068EA"/>
    <w:rsid w:val="00806955"/>
    <w:rsid w:val="008069B7"/>
    <w:rsid w:val="00806A77"/>
    <w:rsid w:val="00806BB0"/>
    <w:rsid w:val="00806DA5"/>
    <w:rsid w:val="00806E1D"/>
    <w:rsid w:val="00806F62"/>
    <w:rsid w:val="00806FC9"/>
    <w:rsid w:val="00807312"/>
    <w:rsid w:val="0080733B"/>
    <w:rsid w:val="00807372"/>
    <w:rsid w:val="008073D5"/>
    <w:rsid w:val="00807478"/>
    <w:rsid w:val="0080759C"/>
    <w:rsid w:val="008075C5"/>
    <w:rsid w:val="008078F8"/>
    <w:rsid w:val="00807948"/>
    <w:rsid w:val="008079FA"/>
    <w:rsid w:val="00807BFC"/>
    <w:rsid w:val="00807BFF"/>
    <w:rsid w:val="00807C1B"/>
    <w:rsid w:val="00807DD5"/>
    <w:rsid w:val="00807F51"/>
    <w:rsid w:val="00810260"/>
    <w:rsid w:val="008103A3"/>
    <w:rsid w:val="00810418"/>
    <w:rsid w:val="008104C5"/>
    <w:rsid w:val="008104EF"/>
    <w:rsid w:val="008105F0"/>
    <w:rsid w:val="008106BA"/>
    <w:rsid w:val="00810842"/>
    <w:rsid w:val="00810B42"/>
    <w:rsid w:val="00810BD5"/>
    <w:rsid w:val="00810BF2"/>
    <w:rsid w:val="00810C76"/>
    <w:rsid w:val="00810EAB"/>
    <w:rsid w:val="00810F3C"/>
    <w:rsid w:val="00810FE8"/>
    <w:rsid w:val="0081111E"/>
    <w:rsid w:val="0081114F"/>
    <w:rsid w:val="008111A2"/>
    <w:rsid w:val="00811267"/>
    <w:rsid w:val="00811289"/>
    <w:rsid w:val="008113F1"/>
    <w:rsid w:val="00811422"/>
    <w:rsid w:val="00811447"/>
    <w:rsid w:val="00811557"/>
    <w:rsid w:val="008115C8"/>
    <w:rsid w:val="00811771"/>
    <w:rsid w:val="0081187A"/>
    <w:rsid w:val="00811973"/>
    <w:rsid w:val="00811BF1"/>
    <w:rsid w:val="00811C21"/>
    <w:rsid w:val="00811D05"/>
    <w:rsid w:val="00811D0F"/>
    <w:rsid w:val="00811D6D"/>
    <w:rsid w:val="00811DCB"/>
    <w:rsid w:val="00811FBA"/>
    <w:rsid w:val="00811FDE"/>
    <w:rsid w:val="00811FF9"/>
    <w:rsid w:val="0081205B"/>
    <w:rsid w:val="008120CD"/>
    <w:rsid w:val="00812423"/>
    <w:rsid w:val="00812462"/>
    <w:rsid w:val="0081261B"/>
    <w:rsid w:val="00812633"/>
    <w:rsid w:val="008127CC"/>
    <w:rsid w:val="0081285B"/>
    <w:rsid w:val="008128EC"/>
    <w:rsid w:val="008128F0"/>
    <w:rsid w:val="00812955"/>
    <w:rsid w:val="00812A2C"/>
    <w:rsid w:val="00812B51"/>
    <w:rsid w:val="00812B78"/>
    <w:rsid w:val="00812FAD"/>
    <w:rsid w:val="008132A3"/>
    <w:rsid w:val="008133D7"/>
    <w:rsid w:val="00813459"/>
    <w:rsid w:val="00813514"/>
    <w:rsid w:val="008135CA"/>
    <w:rsid w:val="008135CF"/>
    <w:rsid w:val="00813621"/>
    <w:rsid w:val="00813655"/>
    <w:rsid w:val="0081368D"/>
    <w:rsid w:val="00813721"/>
    <w:rsid w:val="008137E8"/>
    <w:rsid w:val="00813875"/>
    <w:rsid w:val="00813936"/>
    <w:rsid w:val="008139A4"/>
    <w:rsid w:val="00813A75"/>
    <w:rsid w:val="00813B0D"/>
    <w:rsid w:val="00813BEE"/>
    <w:rsid w:val="00813C0C"/>
    <w:rsid w:val="00813C69"/>
    <w:rsid w:val="00813CB3"/>
    <w:rsid w:val="00813CF2"/>
    <w:rsid w:val="00813E95"/>
    <w:rsid w:val="00813EA7"/>
    <w:rsid w:val="00813EDE"/>
    <w:rsid w:val="00813F0A"/>
    <w:rsid w:val="00813F0F"/>
    <w:rsid w:val="0081402D"/>
    <w:rsid w:val="00814032"/>
    <w:rsid w:val="008140CA"/>
    <w:rsid w:val="008141C4"/>
    <w:rsid w:val="00814250"/>
    <w:rsid w:val="0081435D"/>
    <w:rsid w:val="008143B1"/>
    <w:rsid w:val="008144B0"/>
    <w:rsid w:val="008144D4"/>
    <w:rsid w:val="00814777"/>
    <w:rsid w:val="0081496A"/>
    <w:rsid w:val="008149F2"/>
    <w:rsid w:val="00814AC5"/>
    <w:rsid w:val="00814B64"/>
    <w:rsid w:val="00814BA4"/>
    <w:rsid w:val="00814CAE"/>
    <w:rsid w:val="00814CAF"/>
    <w:rsid w:val="00814CB6"/>
    <w:rsid w:val="00814E8E"/>
    <w:rsid w:val="00814EDA"/>
    <w:rsid w:val="00814F86"/>
    <w:rsid w:val="00814FB9"/>
    <w:rsid w:val="008152BD"/>
    <w:rsid w:val="008153CD"/>
    <w:rsid w:val="008155D7"/>
    <w:rsid w:val="00815683"/>
    <w:rsid w:val="00815727"/>
    <w:rsid w:val="008159A9"/>
    <w:rsid w:val="008159D0"/>
    <w:rsid w:val="00815CAB"/>
    <w:rsid w:val="00815CF7"/>
    <w:rsid w:val="00815E25"/>
    <w:rsid w:val="00815E34"/>
    <w:rsid w:val="00815EAE"/>
    <w:rsid w:val="008160B5"/>
    <w:rsid w:val="0081636E"/>
    <w:rsid w:val="00816372"/>
    <w:rsid w:val="008163F3"/>
    <w:rsid w:val="0081657C"/>
    <w:rsid w:val="008166CE"/>
    <w:rsid w:val="0081684B"/>
    <w:rsid w:val="008168CA"/>
    <w:rsid w:val="008168FB"/>
    <w:rsid w:val="00816A60"/>
    <w:rsid w:val="00816A76"/>
    <w:rsid w:val="00816AA5"/>
    <w:rsid w:val="00816AEA"/>
    <w:rsid w:val="00816AF3"/>
    <w:rsid w:val="00816F0B"/>
    <w:rsid w:val="00816FC5"/>
    <w:rsid w:val="0081704F"/>
    <w:rsid w:val="0081719E"/>
    <w:rsid w:val="00817353"/>
    <w:rsid w:val="00817406"/>
    <w:rsid w:val="008176BC"/>
    <w:rsid w:val="00817809"/>
    <w:rsid w:val="00817844"/>
    <w:rsid w:val="00817980"/>
    <w:rsid w:val="008179FA"/>
    <w:rsid w:val="00817CBD"/>
    <w:rsid w:val="00817CDD"/>
    <w:rsid w:val="00817DDB"/>
    <w:rsid w:val="0081A039"/>
    <w:rsid w:val="008200BC"/>
    <w:rsid w:val="00820114"/>
    <w:rsid w:val="00820121"/>
    <w:rsid w:val="008201CF"/>
    <w:rsid w:val="00820487"/>
    <w:rsid w:val="008204CD"/>
    <w:rsid w:val="00820847"/>
    <w:rsid w:val="0082095A"/>
    <w:rsid w:val="008209D6"/>
    <w:rsid w:val="00820B9A"/>
    <w:rsid w:val="00820E4B"/>
    <w:rsid w:val="00820EB7"/>
    <w:rsid w:val="008210AD"/>
    <w:rsid w:val="008211CE"/>
    <w:rsid w:val="0082122A"/>
    <w:rsid w:val="0082129A"/>
    <w:rsid w:val="0082143B"/>
    <w:rsid w:val="008214DB"/>
    <w:rsid w:val="008216C6"/>
    <w:rsid w:val="008216E1"/>
    <w:rsid w:val="0082179A"/>
    <w:rsid w:val="00821910"/>
    <w:rsid w:val="008219F4"/>
    <w:rsid w:val="00821B67"/>
    <w:rsid w:val="00821C03"/>
    <w:rsid w:val="00821E29"/>
    <w:rsid w:val="00821EBC"/>
    <w:rsid w:val="00821F76"/>
    <w:rsid w:val="00822035"/>
    <w:rsid w:val="008220F8"/>
    <w:rsid w:val="00822298"/>
    <w:rsid w:val="008223F8"/>
    <w:rsid w:val="00822407"/>
    <w:rsid w:val="0082240C"/>
    <w:rsid w:val="0082258F"/>
    <w:rsid w:val="008225AF"/>
    <w:rsid w:val="00822617"/>
    <w:rsid w:val="0082269E"/>
    <w:rsid w:val="00822B84"/>
    <w:rsid w:val="00822CED"/>
    <w:rsid w:val="00822D9E"/>
    <w:rsid w:val="00822F32"/>
    <w:rsid w:val="00822FD5"/>
    <w:rsid w:val="00822FE0"/>
    <w:rsid w:val="0082326B"/>
    <w:rsid w:val="008233DF"/>
    <w:rsid w:val="0082355D"/>
    <w:rsid w:val="00823572"/>
    <w:rsid w:val="008235B4"/>
    <w:rsid w:val="008235FA"/>
    <w:rsid w:val="00823860"/>
    <w:rsid w:val="008239B5"/>
    <w:rsid w:val="00823B77"/>
    <w:rsid w:val="00823B7C"/>
    <w:rsid w:val="00823E36"/>
    <w:rsid w:val="00823E5E"/>
    <w:rsid w:val="00823F4A"/>
    <w:rsid w:val="00823FA2"/>
    <w:rsid w:val="00824017"/>
    <w:rsid w:val="008240A2"/>
    <w:rsid w:val="00824121"/>
    <w:rsid w:val="00824264"/>
    <w:rsid w:val="008242F5"/>
    <w:rsid w:val="008244C0"/>
    <w:rsid w:val="00824620"/>
    <w:rsid w:val="00824636"/>
    <w:rsid w:val="0082463B"/>
    <w:rsid w:val="0082466E"/>
    <w:rsid w:val="0082476A"/>
    <w:rsid w:val="008247B9"/>
    <w:rsid w:val="00824805"/>
    <w:rsid w:val="00824A46"/>
    <w:rsid w:val="00824A82"/>
    <w:rsid w:val="00824B37"/>
    <w:rsid w:val="00824C6B"/>
    <w:rsid w:val="00824C7F"/>
    <w:rsid w:val="00824C96"/>
    <w:rsid w:val="00824D40"/>
    <w:rsid w:val="00824F10"/>
    <w:rsid w:val="00824F52"/>
    <w:rsid w:val="008250AB"/>
    <w:rsid w:val="008250EA"/>
    <w:rsid w:val="00825477"/>
    <w:rsid w:val="008255DD"/>
    <w:rsid w:val="00825691"/>
    <w:rsid w:val="00825755"/>
    <w:rsid w:val="0082581D"/>
    <w:rsid w:val="00825998"/>
    <w:rsid w:val="0082599E"/>
    <w:rsid w:val="00825B34"/>
    <w:rsid w:val="00825B46"/>
    <w:rsid w:val="00825C05"/>
    <w:rsid w:val="00825CBB"/>
    <w:rsid w:val="00825CCC"/>
    <w:rsid w:val="00825E5B"/>
    <w:rsid w:val="00825F6C"/>
    <w:rsid w:val="00826007"/>
    <w:rsid w:val="0082601B"/>
    <w:rsid w:val="00826046"/>
    <w:rsid w:val="008264E9"/>
    <w:rsid w:val="0082659D"/>
    <w:rsid w:val="008268E4"/>
    <w:rsid w:val="00826D40"/>
    <w:rsid w:val="00826E92"/>
    <w:rsid w:val="00826F7E"/>
    <w:rsid w:val="008270F6"/>
    <w:rsid w:val="00827194"/>
    <w:rsid w:val="008271F8"/>
    <w:rsid w:val="00827277"/>
    <w:rsid w:val="008272A5"/>
    <w:rsid w:val="008272D9"/>
    <w:rsid w:val="00827575"/>
    <w:rsid w:val="00827638"/>
    <w:rsid w:val="008276A7"/>
    <w:rsid w:val="00827745"/>
    <w:rsid w:val="00827A61"/>
    <w:rsid w:val="00827B54"/>
    <w:rsid w:val="00827D0A"/>
    <w:rsid w:val="00827D6D"/>
    <w:rsid w:val="00830018"/>
    <w:rsid w:val="00830197"/>
    <w:rsid w:val="0083035D"/>
    <w:rsid w:val="008309A7"/>
    <w:rsid w:val="008309C8"/>
    <w:rsid w:val="00830B44"/>
    <w:rsid w:val="00830C2A"/>
    <w:rsid w:val="00830C4F"/>
    <w:rsid w:val="00830CF0"/>
    <w:rsid w:val="00830DA0"/>
    <w:rsid w:val="00830E0D"/>
    <w:rsid w:val="00830FB8"/>
    <w:rsid w:val="00831077"/>
    <w:rsid w:val="00831335"/>
    <w:rsid w:val="00831419"/>
    <w:rsid w:val="0083158F"/>
    <w:rsid w:val="008318AD"/>
    <w:rsid w:val="0083195D"/>
    <w:rsid w:val="00831981"/>
    <w:rsid w:val="00831C93"/>
    <w:rsid w:val="00831E51"/>
    <w:rsid w:val="00831F2E"/>
    <w:rsid w:val="00831F50"/>
    <w:rsid w:val="00831F51"/>
    <w:rsid w:val="0083213D"/>
    <w:rsid w:val="008323D9"/>
    <w:rsid w:val="00832559"/>
    <w:rsid w:val="008325B7"/>
    <w:rsid w:val="00832717"/>
    <w:rsid w:val="00832992"/>
    <w:rsid w:val="00832B1F"/>
    <w:rsid w:val="00832BCC"/>
    <w:rsid w:val="00832C87"/>
    <w:rsid w:val="00832F4A"/>
    <w:rsid w:val="00832F98"/>
    <w:rsid w:val="0083304F"/>
    <w:rsid w:val="00833128"/>
    <w:rsid w:val="008332AC"/>
    <w:rsid w:val="0083342E"/>
    <w:rsid w:val="0083343F"/>
    <w:rsid w:val="00833471"/>
    <w:rsid w:val="0083357D"/>
    <w:rsid w:val="008335D8"/>
    <w:rsid w:val="00833609"/>
    <w:rsid w:val="008338E4"/>
    <w:rsid w:val="008339ED"/>
    <w:rsid w:val="00833AE6"/>
    <w:rsid w:val="00833B37"/>
    <w:rsid w:val="00833D4C"/>
    <w:rsid w:val="00833D4D"/>
    <w:rsid w:val="00834095"/>
    <w:rsid w:val="008340F5"/>
    <w:rsid w:val="00834296"/>
    <w:rsid w:val="00834584"/>
    <w:rsid w:val="0083462C"/>
    <w:rsid w:val="0083465E"/>
    <w:rsid w:val="00834699"/>
    <w:rsid w:val="008348D5"/>
    <w:rsid w:val="008348E5"/>
    <w:rsid w:val="008349C7"/>
    <w:rsid w:val="00834A09"/>
    <w:rsid w:val="00834A39"/>
    <w:rsid w:val="00834A6D"/>
    <w:rsid w:val="00834C0D"/>
    <w:rsid w:val="00834C5B"/>
    <w:rsid w:val="00834D1F"/>
    <w:rsid w:val="00834D4D"/>
    <w:rsid w:val="0083514A"/>
    <w:rsid w:val="008352FB"/>
    <w:rsid w:val="0083531F"/>
    <w:rsid w:val="008355FD"/>
    <w:rsid w:val="00835651"/>
    <w:rsid w:val="00835705"/>
    <w:rsid w:val="00835807"/>
    <w:rsid w:val="00835958"/>
    <w:rsid w:val="008359AC"/>
    <w:rsid w:val="008359AE"/>
    <w:rsid w:val="00835D8F"/>
    <w:rsid w:val="00835F04"/>
    <w:rsid w:val="00835F11"/>
    <w:rsid w:val="00835FB9"/>
    <w:rsid w:val="00836133"/>
    <w:rsid w:val="0083618E"/>
    <w:rsid w:val="0083626B"/>
    <w:rsid w:val="008362F2"/>
    <w:rsid w:val="008364A2"/>
    <w:rsid w:val="008364BE"/>
    <w:rsid w:val="00836554"/>
    <w:rsid w:val="0083665F"/>
    <w:rsid w:val="0083670E"/>
    <w:rsid w:val="00836942"/>
    <w:rsid w:val="00836A40"/>
    <w:rsid w:val="00836A9D"/>
    <w:rsid w:val="00836AFC"/>
    <w:rsid w:val="00836B42"/>
    <w:rsid w:val="00836C5C"/>
    <w:rsid w:val="00836CAB"/>
    <w:rsid w:val="00836F63"/>
    <w:rsid w:val="00837032"/>
    <w:rsid w:val="008370B5"/>
    <w:rsid w:val="00837181"/>
    <w:rsid w:val="0083731F"/>
    <w:rsid w:val="0083747F"/>
    <w:rsid w:val="00837586"/>
    <w:rsid w:val="008375E6"/>
    <w:rsid w:val="00837816"/>
    <w:rsid w:val="00837ADD"/>
    <w:rsid w:val="00837B09"/>
    <w:rsid w:val="00837BF8"/>
    <w:rsid w:val="00837ECF"/>
    <w:rsid w:val="00837F72"/>
    <w:rsid w:val="00837F7D"/>
    <w:rsid w:val="0084006D"/>
    <w:rsid w:val="00840193"/>
    <w:rsid w:val="00840267"/>
    <w:rsid w:val="00840354"/>
    <w:rsid w:val="008403D0"/>
    <w:rsid w:val="008403D3"/>
    <w:rsid w:val="008403E8"/>
    <w:rsid w:val="008405E9"/>
    <w:rsid w:val="00840611"/>
    <w:rsid w:val="00840698"/>
    <w:rsid w:val="00840820"/>
    <w:rsid w:val="008408E2"/>
    <w:rsid w:val="00840900"/>
    <w:rsid w:val="0084093F"/>
    <w:rsid w:val="00840A3F"/>
    <w:rsid w:val="00840A90"/>
    <w:rsid w:val="00840AFC"/>
    <w:rsid w:val="00840B2A"/>
    <w:rsid w:val="00840C40"/>
    <w:rsid w:val="00840D21"/>
    <w:rsid w:val="00840D99"/>
    <w:rsid w:val="00841263"/>
    <w:rsid w:val="00841272"/>
    <w:rsid w:val="008412B5"/>
    <w:rsid w:val="00841393"/>
    <w:rsid w:val="00841397"/>
    <w:rsid w:val="00841574"/>
    <w:rsid w:val="008416B1"/>
    <w:rsid w:val="008416C3"/>
    <w:rsid w:val="0084172C"/>
    <w:rsid w:val="00841A26"/>
    <w:rsid w:val="00841B5E"/>
    <w:rsid w:val="00841CFB"/>
    <w:rsid w:val="00841DC7"/>
    <w:rsid w:val="00841DD2"/>
    <w:rsid w:val="00841EC3"/>
    <w:rsid w:val="00841F35"/>
    <w:rsid w:val="00841F5F"/>
    <w:rsid w:val="00841F66"/>
    <w:rsid w:val="00841FE7"/>
    <w:rsid w:val="008420C7"/>
    <w:rsid w:val="0084210D"/>
    <w:rsid w:val="00842763"/>
    <w:rsid w:val="008427A2"/>
    <w:rsid w:val="00842861"/>
    <w:rsid w:val="00842862"/>
    <w:rsid w:val="008428EF"/>
    <w:rsid w:val="0084295A"/>
    <w:rsid w:val="00842A1F"/>
    <w:rsid w:val="00842C5D"/>
    <w:rsid w:val="00842CBC"/>
    <w:rsid w:val="00842CD4"/>
    <w:rsid w:val="00842E9A"/>
    <w:rsid w:val="008431A9"/>
    <w:rsid w:val="0084326E"/>
    <w:rsid w:val="00843340"/>
    <w:rsid w:val="008433F3"/>
    <w:rsid w:val="00843439"/>
    <w:rsid w:val="00843603"/>
    <w:rsid w:val="0084360A"/>
    <w:rsid w:val="008437AD"/>
    <w:rsid w:val="00843976"/>
    <w:rsid w:val="00843A06"/>
    <w:rsid w:val="00843BD7"/>
    <w:rsid w:val="00843BE1"/>
    <w:rsid w:val="00843CD2"/>
    <w:rsid w:val="00843D69"/>
    <w:rsid w:val="00844000"/>
    <w:rsid w:val="008442AB"/>
    <w:rsid w:val="00844442"/>
    <w:rsid w:val="0084448E"/>
    <w:rsid w:val="00844997"/>
    <w:rsid w:val="00844B45"/>
    <w:rsid w:val="00844D77"/>
    <w:rsid w:val="00844E6F"/>
    <w:rsid w:val="00844EA9"/>
    <w:rsid w:val="00844EE6"/>
    <w:rsid w:val="00844F45"/>
    <w:rsid w:val="00844FFF"/>
    <w:rsid w:val="008450E9"/>
    <w:rsid w:val="008451F6"/>
    <w:rsid w:val="00845276"/>
    <w:rsid w:val="00845281"/>
    <w:rsid w:val="0084538A"/>
    <w:rsid w:val="0084540D"/>
    <w:rsid w:val="0084547E"/>
    <w:rsid w:val="0084568B"/>
    <w:rsid w:val="008457EF"/>
    <w:rsid w:val="008459F0"/>
    <w:rsid w:val="00845AEB"/>
    <w:rsid w:val="00845B96"/>
    <w:rsid w:val="00845BF1"/>
    <w:rsid w:val="00845C47"/>
    <w:rsid w:val="00845C4A"/>
    <w:rsid w:val="00845C99"/>
    <w:rsid w:val="00845E91"/>
    <w:rsid w:val="00845EDF"/>
    <w:rsid w:val="00845EF2"/>
    <w:rsid w:val="00845F79"/>
    <w:rsid w:val="00845F89"/>
    <w:rsid w:val="00845FB5"/>
    <w:rsid w:val="0084602C"/>
    <w:rsid w:val="008460DB"/>
    <w:rsid w:val="008461D3"/>
    <w:rsid w:val="008465F0"/>
    <w:rsid w:val="00846613"/>
    <w:rsid w:val="00846874"/>
    <w:rsid w:val="0084690B"/>
    <w:rsid w:val="00846921"/>
    <w:rsid w:val="00846A69"/>
    <w:rsid w:val="00846AD2"/>
    <w:rsid w:val="00846C0B"/>
    <w:rsid w:val="00846D2B"/>
    <w:rsid w:val="00846D88"/>
    <w:rsid w:val="00847026"/>
    <w:rsid w:val="00847041"/>
    <w:rsid w:val="0084738F"/>
    <w:rsid w:val="00847412"/>
    <w:rsid w:val="00847420"/>
    <w:rsid w:val="00847946"/>
    <w:rsid w:val="00847ABF"/>
    <w:rsid w:val="00847B5E"/>
    <w:rsid w:val="00847B93"/>
    <w:rsid w:val="00847DE0"/>
    <w:rsid w:val="00847F5A"/>
    <w:rsid w:val="00847F5D"/>
    <w:rsid w:val="00847F5E"/>
    <w:rsid w:val="00847F97"/>
    <w:rsid w:val="0085004E"/>
    <w:rsid w:val="008500CE"/>
    <w:rsid w:val="0085022E"/>
    <w:rsid w:val="008503E3"/>
    <w:rsid w:val="008506FB"/>
    <w:rsid w:val="00850880"/>
    <w:rsid w:val="00850921"/>
    <w:rsid w:val="00850981"/>
    <w:rsid w:val="008509C6"/>
    <w:rsid w:val="00850ADB"/>
    <w:rsid w:val="00850C5C"/>
    <w:rsid w:val="00850DD1"/>
    <w:rsid w:val="00850F8D"/>
    <w:rsid w:val="00850FBE"/>
    <w:rsid w:val="008511CA"/>
    <w:rsid w:val="00851283"/>
    <w:rsid w:val="00851445"/>
    <w:rsid w:val="008514DB"/>
    <w:rsid w:val="008514EE"/>
    <w:rsid w:val="00851557"/>
    <w:rsid w:val="008516B5"/>
    <w:rsid w:val="0085177F"/>
    <w:rsid w:val="008517BA"/>
    <w:rsid w:val="00851856"/>
    <w:rsid w:val="00851AD5"/>
    <w:rsid w:val="00851DC7"/>
    <w:rsid w:val="00851ED6"/>
    <w:rsid w:val="00851F25"/>
    <w:rsid w:val="00852476"/>
    <w:rsid w:val="008524AF"/>
    <w:rsid w:val="00852625"/>
    <w:rsid w:val="008526B7"/>
    <w:rsid w:val="00852719"/>
    <w:rsid w:val="0085275A"/>
    <w:rsid w:val="008529F3"/>
    <w:rsid w:val="00852A7D"/>
    <w:rsid w:val="00852D60"/>
    <w:rsid w:val="00852F97"/>
    <w:rsid w:val="00852FF6"/>
    <w:rsid w:val="008530E0"/>
    <w:rsid w:val="0085318E"/>
    <w:rsid w:val="008531FF"/>
    <w:rsid w:val="0085330D"/>
    <w:rsid w:val="008534C7"/>
    <w:rsid w:val="00853639"/>
    <w:rsid w:val="008538EF"/>
    <w:rsid w:val="00853A1F"/>
    <w:rsid w:val="00853D16"/>
    <w:rsid w:val="00853ECA"/>
    <w:rsid w:val="00854048"/>
    <w:rsid w:val="00854079"/>
    <w:rsid w:val="00854080"/>
    <w:rsid w:val="008540A3"/>
    <w:rsid w:val="00854163"/>
    <w:rsid w:val="0085428C"/>
    <w:rsid w:val="00854410"/>
    <w:rsid w:val="0085456E"/>
    <w:rsid w:val="008545B2"/>
    <w:rsid w:val="008547EF"/>
    <w:rsid w:val="008548F1"/>
    <w:rsid w:val="00854A90"/>
    <w:rsid w:val="00854ACB"/>
    <w:rsid w:val="00854C04"/>
    <w:rsid w:val="00854C33"/>
    <w:rsid w:val="00854C95"/>
    <w:rsid w:val="00854CF1"/>
    <w:rsid w:val="00854D3D"/>
    <w:rsid w:val="00854D92"/>
    <w:rsid w:val="00854E86"/>
    <w:rsid w:val="00854F2F"/>
    <w:rsid w:val="0085504B"/>
    <w:rsid w:val="0085509E"/>
    <w:rsid w:val="00855102"/>
    <w:rsid w:val="0085514F"/>
    <w:rsid w:val="00855257"/>
    <w:rsid w:val="008553B3"/>
    <w:rsid w:val="008554BB"/>
    <w:rsid w:val="008554C8"/>
    <w:rsid w:val="0085560C"/>
    <w:rsid w:val="0085563E"/>
    <w:rsid w:val="00855A4A"/>
    <w:rsid w:val="00855A4B"/>
    <w:rsid w:val="00855A57"/>
    <w:rsid w:val="00855A78"/>
    <w:rsid w:val="00855B07"/>
    <w:rsid w:val="00855B64"/>
    <w:rsid w:val="00855BEF"/>
    <w:rsid w:val="00855DE0"/>
    <w:rsid w:val="00855F71"/>
    <w:rsid w:val="00855F75"/>
    <w:rsid w:val="00856070"/>
    <w:rsid w:val="00856098"/>
    <w:rsid w:val="00856219"/>
    <w:rsid w:val="0085622B"/>
    <w:rsid w:val="00856265"/>
    <w:rsid w:val="00856267"/>
    <w:rsid w:val="008563AC"/>
    <w:rsid w:val="00856458"/>
    <w:rsid w:val="00856946"/>
    <w:rsid w:val="00856966"/>
    <w:rsid w:val="00856A8C"/>
    <w:rsid w:val="00856C43"/>
    <w:rsid w:val="00856D61"/>
    <w:rsid w:val="00856E96"/>
    <w:rsid w:val="00856F4E"/>
    <w:rsid w:val="008572EC"/>
    <w:rsid w:val="008575C0"/>
    <w:rsid w:val="00857635"/>
    <w:rsid w:val="00857664"/>
    <w:rsid w:val="00857671"/>
    <w:rsid w:val="008576AA"/>
    <w:rsid w:val="00857757"/>
    <w:rsid w:val="008579EC"/>
    <w:rsid w:val="00857A5E"/>
    <w:rsid w:val="00857DA3"/>
    <w:rsid w:val="00857E16"/>
    <w:rsid w:val="00857E42"/>
    <w:rsid w:val="00857EA5"/>
    <w:rsid w:val="00860088"/>
    <w:rsid w:val="008601CE"/>
    <w:rsid w:val="008605B0"/>
    <w:rsid w:val="008605D6"/>
    <w:rsid w:val="0086076D"/>
    <w:rsid w:val="0086085F"/>
    <w:rsid w:val="00860BA5"/>
    <w:rsid w:val="00860BBA"/>
    <w:rsid w:val="00860C00"/>
    <w:rsid w:val="00860C16"/>
    <w:rsid w:val="00860DAB"/>
    <w:rsid w:val="00860E2A"/>
    <w:rsid w:val="00861135"/>
    <w:rsid w:val="0086115E"/>
    <w:rsid w:val="00861195"/>
    <w:rsid w:val="00861226"/>
    <w:rsid w:val="00861261"/>
    <w:rsid w:val="008612A3"/>
    <w:rsid w:val="0086159E"/>
    <w:rsid w:val="008615D1"/>
    <w:rsid w:val="00861926"/>
    <w:rsid w:val="00861951"/>
    <w:rsid w:val="00861991"/>
    <w:rsid w:val="00861995"/>
    <w:rsid w:val="0086199C"/>
    <w:rsid w:val="00861A70"/>
    <w:rsid w:val="00861B04"/>
    <w:rsid w:val="00861B93"/>
    <w:rsid w:val="00861C08"/>
    <w:rsid w:val="00861C2F"/>
    <w:rsid w:val="00861C42"/>
    <w:rsid w:val="00861C8D"/>
    <w:rsid w:val="00861D0C"/>
    <w:rsid w:val="00861D93"/>
    <w:rsid w:val="00861E1B"/>
    <w:rsid w:val="00861E70"/>
    <w:rsid w:val="00861E75"/>
    <w:rsid w:val="00861F07"/>
    <w:rsid w:val="0086200C"/>
    <w:rsid w:val="00862060"/>
    <w:rsid w:val="00862094"/>
    <w:rsid w:val="00862255"/>
    <w:rsid w:val="008622F6"/>
    <w:rsid w:val="00862453"/>
    <w:rsid w:val="00862468"/>
    <w:rsid w:val="00862573"/>
    <w:rsid w:val="008625F4"/>
    <w:rsid w:val="0086267A"/>
    <w:rsid w:val="00862690"/>
    <w:rsid w:val="008626B5"/>
    <w:rsid w:val="008626EF"/>
    <w:rsid w:val="0086276F"/>
    <w:rsid w:val="00862845"/>
    <w:rsid w:val="008628D6"/>
    <w:rsid w:val="008628F3"/>
    <w:rsid w:val="0086294A"/>
    <w:rsid w:val="008629E7"/>
    <w:rsid w:val="00862CDA"/>
    <w:rsid w:val="00862DB4"/>
    <w:rsid w:val="00862FF5"/>
    <w:rsid w:val="008630AF"/>
    <w:rsid w:val="00863167"/>
    <w:rsid w:val="0086317A"/>
    <w:rsid w:val="008631A4"/>
    <w:rsid w:val="008631DA"/>
    <w:rsid w:val="008631DC"/>
    <w:rsid w:val="008632ED"/>
    <w:rsid w:val="00863372"/>
    <w:rsid w:val="00863436"/>
    <w:rsid w:val="008634BB"/>
    <w:rsid w:val="00863501"/>
    <w:rsid w:val="00863543"/>
    <w:rsid w:val="008635CA"/>
    <w:rsid w:val="00863650"/>
    <w:rsid w:val="0086387E"/>
    <w:rsid w:val="008638A8"/>
    <w:rsid w:val="008638B1"/>
    <w:rsid w:val="0086390A"/>
    <w:rsid w:val="00863A0A"/>
    <w:rsid w:val="00863EDC"/>
    <w:rsid w:val="00863F9E"/>
    <w:rsid w:val="00863FD9"/>
    <w:rsid w:val="00864079"/>
    <w:rsid w:val="00864200"/>
    <w:rsid w:val="00864344"/>
    <w:rsid w:val="008644DD"/>
    <w:rsid w:val="0086456E"/>
    <w:rsid w:val="00864742"/>
    <w:rsid w:val="00864A14"/>
    <w:rsid w:val="00864C41"/>
    <w:rsid w:val="00864C93"/>
    <w:rsid w:val="00864EA0"/>
    <w:rsid w:val="00864FF4"/>
    <w:rsid w:val="0086502A"/>
    <w:rsid w:val="00865085"/>
    <w:rsid w:val="008652E4"/>
    <w:rsid w:val="008652FC"/>
    <w:rsid w:val="0086532E"/>
    <w:rsid w:val="00865397"/>
    <w:rsid w:val="0086560D"/>
    <w:rsid w:val="00865613"/>
    <w:rsid w:val="008658A0"/>
    <w:rsid w:val="00865943"/>
    <w:rsid w:val="008659E2"/>
    <w:rsid w:val="00865A74"/>
    <w:rsid w:val="00865B10"/>
    <w:rsid w:val="00865BD9"/>
    <w:rsid w:val="00865C0C"/>
    <w:rsid w:val="00865CF6"/>
    <w:rsid w:val="00865D4F"/>
    <w:rsid w:val="00865EEA"/>
    <w:rsid w:val="00866035"/>
    <w:rsid w:val="00866044"/>
    <w:rsid w:val="00866137"/>
    <w:rsid w:val="008662ED"/>
    <w:rsid w:val="008663B4"/>
    <w:rsid w:val="0086645B"/>
    <w:rsid w:val="008664AC"/>
    <w:rsid w:val="008665A3"/>
    <w:rsid w:val="00866667"/>
    <w:rsid w:val="00866778"/>
    <w:rsid w:val="00866910"/>
    <w:rsid w:val="00866963"/>
    <w:rsid w:val="00866985"/>
    <w:rsid w:val="008669C4"/>
    <w:rsid w:val="00866A36"/>
    <w:rsid w:val="00866AC1"/>
    <w:rsid w:val="00866AC3"/>
    <w:rsid w:val="00866B8B"/>
    <w:rsid w:val="00866C6A"/>
    <w:rsid w:val="00866C77"/>
    <w:rsid w:val="00866CD7"/>
    <w:rsid w:val="00866EC9"/>
    <w:rsid w:val="00867025"/>
    <w:rsid w:val="0086706B"/>
    <w:rsid w:val="00867164"/>
    <w:rsid w:val="008671BE"/>
    <w:rsid w:val="008673EB"/>
    <w:rsid w:val="00867569"/>
    <w:rsid w:val="0086768A"/>
    <w:rsid w:val="008676B9"/>
    <w:rsid w:val="00867879"/>
    <w:rsid w:val="00867B94"/>
    <w:rsid w:val="00867BA7"/>
    <w:rsid w:val="00867F79"/>
    <w:rsid w:val="00870182"/>
    <w:rsid w:val="0087049E"/>
    <w:rsid w:val="008704A8"/>
    <w:rsid w:val="0087052D"/>
    <w:rsid w:val="008706D4"/>
    <w:rsid w:val="0087088A"/>
    <w:rsid w:val="008709ED"/>
    <w:rsid w:val="00870A16"/>
    <w:rsid w:val="00870BA3"/>
    <w:rsid w:val="00870D6C"/>
    <w:rsid w:val="00870DDE"/>
    <w:rsid w:val="00870E86"/>
    <w:rsid w:val="00870EA7"/>
    <w:rsid w:val="00870F71"/>
    <w:rsid w:val="00870FBA"/>
    <w:rsid w:val="008711B1"/>
    <w:rsid w:val="00871214"/>
    <w:rsid w:val="00871228"/>
    <w:rsid w:val="008713BE"/>
    <w:rsid w:val="008714CC"/>
    <w:rsid w:val="008714FD"/>
    <w:rsid w:val="00871698"/>
    <w:rsid w:val="00871923"/>
    <w:rsid w:val="00871A34"/>
    <w:rsid w:val="00871EB4"/>
    <w:rsid w:val="00871F3E"/>
    <w:rsid w:val="00871FD3"/>
    <w:rsid w:val="00872039"/>
    <w:rsid w:val="00872125"/>
    <w:rsid w:val="0087230E"/>
    <w:rsid w:val="0087235D"/>
    <w:rsid w:val="0087238E"/>
    <w:rsid w:val="008725D4"/>
    <w:rsid w:val="00872624"/>
    <w:rsid w:val="0087266D"/>
    <w:rsid w:val="008726AD"/>
    <w:rsid w:val="008726CA"/>
    <w:rsid w:val="0087277C"/>
    <w:rsid w:val="008728EF"/>
    <w:rsid w:val="00872ACD"/>
    <w:rsid w:val="00872B80"/>
    <w:rsid w:val="00872BD3"/>
    <w:rsid w:val="00872EFE"/>
    <w:rsid w:val="00872F35"/>
    <w:rsid w:val="00872F84"/>
    <w:rsid w:val="00872FE6"/>
    <w:rsid w:val="00873098"/>
    <w:rsid w:val="0087327A"/>
    <w:rsid w:val="008732B3"/>
    <w:rsid w:val="008733C3"/>
    <w:rsid w:val="008733EB"/>
    <w:rsid w:val="0087340B"/>
    <w:rsid w:val="0087345A"/>
    <w:rsid w:val="00873496"/>
    <w:rsid w:val="0087353E"/>
    <w:rsid w:val="00873871"/>
    <w:rsid w:val="00873B14"/>
    <w:rsid w:val="00873C83"/>
    <w:rsid w:val="00873D18"/>
    <w:rsid w:val="00873D19"/>
    <w:rsid w:val="00873E56"/>
    <w:rsid w:val="00874014"/>
    <w:rsid w:val="0087419C"/>
    <w:rsid w:val="0087421D"/>
    <w:rsid w:val="008743CA"/>
    <w:rsid w:val="008743FB"/>
    <w:rsid w:val="00874551"/>
    <w:rsid w:val="00874568"/>
    <w:rsid w:val="0087466A"/>
    <w:rsid w:val="008746BA"/>
    <w:rsid w:val="008746FA"/>
    <w:rsid w:val="00874745"/>
    <w:rsid w:val="008747E9"/>
    <w:rsid w:val="00874876"/>
    <w:rsid w:val="00874945"/>
    <w:rsid w:val="0087499D"/>
    <w:rsid w:val="00874A23"/>
    <w:rsid w:val="00874AE9"/>
    <w:rsid w:val="00874BF0"/>
    <w:rsid w:val="00874C9D"/>
    <w:rsid w:val="00874D46"/>
    <w:rsid w:val="00874D6D"/>
    <w:rsid w:val="00874ED1"/>
    <w:rsid w:val="00875025"/>
    <w:rsid w:val="0087502A"/>
    <w:rsid w:val="008750AA"/>
    <w:rsid w:val="008752E0"/>
    <w:rsid w:val="00875361"/>
    <w:rsid w:val="0087536B"/>
    <w:rsid w:val="00875536"/>
    <w:rsid w:val="008755DB"/>
    <w:rsid w:val="0087563E"/>
    <w:rsid w:val="00875678"/>
    <w:rsid w:val="00875720"/>
    <w:rsid w:val="008757C7"/>
    <w:rsid w:val="008759C4"/>
    <w:rsid w:val="00875A55"/>
    <w:rsid w:val="00875C4F"/>
    <w:rsid w:val="00875E28"/>
    <w:rsid w:val="00875F6D"/>
    <w:rsid w:val="0087615E"/>
    <w:rsid w:val="0087619E"/>
    <w:rsid w:val="0087625B"/>
    <w:rsid w:val="00876290"/>
    <w:rsid w:val="008762A0"/>
    <w:rsid w:val="00876445"/>
    <w:rsid w:val="00876450"/>
    <w:rsid w:val="00876513"/>
    <w:rsid w:val="008765B2"/>
    <w:rsid w:val="0087661F"/>
    <w:rsid w:val="00876648"/>
    <w:rsid w:val="0087689B"/>
    <w:rsid w:val="008769D1"/>
    <w:rsid w:val="008769FE"/>
    <w:rsid w:val="00876A04"/>
    <w:rsid w:val="00876A1E"/>
    <w:rsid w:val="00876A9C"/>
    <w:rsid w:val="00876D24"/>
    <w:rsid w:val="00876FE8"/>
    <w:rsid w:val="00876FFC"/>
    <w:rsid w:val="0087704A"/>
    <w:rsid w:val="008771BF"/>
    <w:rsid w:val="008772BE"/>
    <w:rsid w:val="0087740F"/>
    <w:rsid w:val="008774E1"/>
    <w:rsid w:val="0087752E"/>
    <w:rsid w:val="00877530"/>
    <w:rsid w:val="008775DE"/>
    <w:rsid w:val="00877667"/>
    <w:rsid w:val="008778EB"/>
    <w:rsid w:val="00877B54"/>
    <w:rsid w:val="00877EAE"/>
    <w:rsid w:val="00877F4F"/>
    <w:rsid w:val="00877FB3"/>
    <w:rsid w:val="0088000B"/>
    <w:rsid w:val="0088006E"/>
    <w:rsid w:val="00880326"/>
    <w:rsid w:val="008804B1"/>
    <w:rsid w:val="0088054E"/>
    <w:rsid w:val="0088071A"/>
    <w:rsid w:val="00880C58"/>
    <w:rsid w:val="00880C7F"/>
    <w:rsid w:val="00880DD9"/>
    <w:rsid w:val="00881001"/>
    <w:rsid w:val="00881052"/>
    <w:rsid w:val="008811A3"/>
    <w:rsid w:val="00881771"/>
    <w:rsid w:val="00881860"/>
    <w:rsid w:val="008818ED"/>
    <w:rsid w:val="008819BB"/>
    <w:rsid w:val="00881BB5"/>
    <w:rsid w:val="00881CDA"/>
    <w:rsid w:val="00881D36"/>
    <w:rsid w:val="00881D51"/>
    <w:rsid w:val="00881E15"/>
    <w:rsid w:val="00881E74"/>
    <w:rsid w:val="00882233"/>
    <w:rsid w:val="0088240F"/>
    <w:rsid w:val="00882757"/>
    <w:rsid w:val="00882770"/>
    <w:rsid w:val="00882807"/>
    <w:rsid w:val="00882A28"/>
    <w:rsid w:val="00882B54"/>
    <w:rsid w:val="00882D54"/>
    <w:rsid w:val="00882DC1"/>
    <w:rsid w:val="00882E34"/>
    <w:rsid w:val="00883093"/>
    <w:rsid w:val="008830E5"/>
    <w:rsid w:val="008834FF"/>
    <w:rsid w:val="00883664"/>
    <w:rsid w:val="008836B1"/>
    <w:rsid w:val="00883760"/>
    <w:rsid w:val="008837F0"/>
    <w:rsid w:val="00883BF4"/>
    <w:rsid w:val="00883C62"/>
    <w:rsid w:val="00883D84"/>
    <w:rsid w:val="00883D9D"/>
    <w:rsid w:val="00883E19"/>
    <w:rsid w:val="00883FA2"/>
    <w:rsid w:val="00883FCE"/>
    <w:rsid w:val="00884325"/>
    <w:rsid w:val="0088448B"/>
    <w:rsid w:val="008844BA"/>
    <w:rsid w:val="00884529"/>
    <w:rsid w:val="008846D2"/>
    <w:rsid w:val="008847C2"/>
    <w:rsid w:val="008848C0"/>
    <w:rsid w:val="00884B03"/>
    <w:rsid w:val="00884C3C"/>
    <w:rsid w:val="00884CF9"/>
    <w:rsid w:val="00884ED5"/>
    <w:rsid w:val="00884F9A"/>
    <w:rsid w:val="00884FDD"/>
    <w:rsid w:val="008850A7"/>
    <w:rsid w:val="008851F6"/>
    <w:rsid w:val="00885200"/>
    <w:rsid w:val="0088539F"/>
    <w:rsid w:val="0088543C"/>
    <w:rsid w:val="00885513"/>
    <w:rsid w:val="00885600"/>
    <w:rsid w:val="00885678"/>
    <w:rsid w:val="00885715"/>
    <w:rsid w:val="008858F2"/>
    <w:rsid w:val="008859A2"/>
    <w:rsid w:val="00885B4E"/>
    <w:rsid w:val="00885B97"/>
    <w:rsid w:val="00885C9B"/>
    <w:rsid w:val="00885CFB"/>
    <w:rsid w:val="00885D40"/>
    <w:rsid w:val="00885EEC"/>
    <w:rsid w:val="008860D7"/>
    <w:rsid w:val="008860F9"/>
    <w:rsid w:val="00886156"/>
    <w:rsid w:val="00886197"/>
    <w:rsid w:val="008861EF"/>
    <w:rsid w:val="008864C5"/>
    <w:rsid w:val="008865E3"/>
    <w:rsid w:val="008866A6"/>
    <w:rsid w:val="008866BD"/>
    <w:rsid w:val="00886855"/>
    <w:rsid w:val="008869FB"/>
    <w:rsid w:val="00886A4D"/>
    <w:rsid w:val="00886AEF"/>
    <w:rsid w:val="00886B1E"/>
    <w:rsid w:val="00886C73"/>
    <w:rsid w:val="00886CAE"/>
    <w:rsid w:val="00886D8B"/>
    <w:rsid w:val="00886E32"/>
    <w:rsid w:val="00886F12"/>
    <w:rsid w:val="00887156"/>
    <w:rsid w:val="00887364"/>
    <w:rsid w:val="008874E2"/>
    <w:rsid w:val="0088750F"/>
    <w:rsid w:val="00887562"/>
    <w:rsid w:val="008878BD"/>
    <w:rsid w:val="0088792A"/>
    <w:rsid w:val="00887A74"/>
    <w:rsid w:val="00887AC5"/>
    <w:rsid w:val="00887C28"/>
    <w:rsid w:val="00887D06"/>
    <w:rsid w:val="00887EAB"/>
    <w:rsid w:val="0089003D"/>
    <w:rsid w:val="008901F5"/>
    <w:rsid w:val="008902B7"/>
    <w:rsid w:val="008903CF"/>
    <w:rsid w:val="00890429"/>
    <w:rsid w:val="00890437"/>
    <w:rsid w:val="00890450"/>
    <w:rsid w:val="008905DB"/>
    <w:rsid w:val="0089088D"/>
    <w:rsid w:val="00890A11"/>
    <w:rsid w:val="00890A42"/>
    <w:rsid w:val="00890AE3"/>
    <w:rsid w:val="00891095"/>
    <w:rsid w:val="008910A4"/>
    <w:rsid w:val="0089121A"/>
    <w:rsid w:val="0089129A"/>
    <w:rsid w:val="008913A0"/>
    <w:rsid w:val="0089184B"/>
    <w:rsid w:val="00891872"/>
    <w:rsid w:val="0089194D"/>
    <w:rsid w:val="00891950"/>
    <w:rsid w:val="00891CFE"/>
    <w:rsid w:val="00891D11"/>
    <w:rsid w:val="00891D23"/>
    <w:rsid w:val="00891F56"/>
    <w:rsid w:val="008920EF"/>
    <w:rsid w:val="008923C0"/>
    <w:rsid w:val="008926AB"/>
    <w:rsid w:val="00892751"/>
    <w:rsid w:val="008927F2"/>
    <w:rsid w:val="00892AB9"/>
    <w:rsid w:val="00892B85"/>
    <w:rsid w:val="00892BDD"/>
    <w:rsid w:val="00892C3A"/>
    <w:rsid w:val="00892D4D"/>
    <w:rsid w:val="0089311C"/>
    <w:rsid w:val="00893250"/>
    <w:rsid w:val="008932F1"/>
    <w:rsid w:val="008933E6"/>
    <w:rsid w:val="00893518"/>
    <w:rsid w:val="008935C3"/>
    <w:rsid w:val="008937C9"/>
    <w:rsid w:val="008938AB"/>
    <w:rsid w:val="0089399F"/>
    <w:rsid w:val="008939AC"/>
    <w:rsid w:val="00893AEC"/>
    <w:rsid w:val="00893B06"/>
    <w:rsid w:val="00893C1F"/>
    <w:rsid w:val="00893CA1"/>
    <w:rsid w:val="00893F2D"/>
    <w:rsid w:val="00893F99"/>
    <w:rsid w:val="008940C0"/>
    <w:rsid w:val="00894197"/>
    <w:rsid w:val="0089421A"/>
    <w:rsid w:val="008943BE"/>
    <w:rsid w:val="008945D8"/>
    <w:rsid w:val="008945FB"/>
    <w:rsid w:val="008946C6"/>
    <w:rsid w:val="008947F5"/>
    <w:rsid w:val="00894A0A"/>
    <w:rsid w:val="00894A2C"/>
    <w:rsid w:val="00894CCD"/>
    <w:rsid w:val="00894D77"/>
    <w:rsid w:val="00894D87"/>
    <w:rsid w:val="00894DCE"/>
    <w:rsid w:val="00894E80"/>
    <w:rsid w:val="00894F8D"/>
    <w:rsid w:val="00894F94"/>
    <w:rsid w:val="00895455"/>
    <w:rsid w:val="00895604"/>
    <w:rsid w:val="0089566A"/>
    <w:rsid w:val="0089570A"/>
    <w:rsid w:val="008957D6"/>
    <w:rsid w:val="0089585F"/>
    <w:rsid w:val="00895969"/>
    <w:rsid w:val="00895A0C"/>
    <w:rsid w:val="00895AF6"/>
    <w:rsid w:val="00895B2C"/>
    <w:rsid w:val="00895DF9"/>
    <w:rsid w:val="00895EC8"/>
    <w:rsid w:val="00895F47"/>
    <w:rsid w:val="00896008"/>
    <w:rsid w:val="0089644D"/>
    <w:rsid w:val="0089647C"/>
    <w:rsid w:val="0089683E"/>
    <w:rsid w:val="008968D1"/>
    <w:rsid w:val="00896AF0"/>
    <w:rsid w:val="00896C2D"/>
    <w:rsid w:val="00896C31"/>
    <w:rsid w:val="00896F78"/>
    <w:rsid w:val="00896FB7"/>
    <w:rsid w:val="008972CA"/>
    <w:rsid w:val="008973D5"/>
    <w:rsid w:val="008973F4"/>
    <w:rsid w:val="008974E4"/>
    <w:rsid w:val="00897659"/>
    <w:rsid w:val="008976D5"/>
    <w:rsid w:val="0089793F"/>
    <w:rsid w:val="00897A5F"/>
    <w:rsid w:val="00897C1A"/>
    <w:rsid w:val="00897CBE"/>
    <w:rsid w:val="00897D4D"/>
    <w:rsid w:val="00897DFA"/>
    <w:rsid w:val="00897E13"/>
    <w:rsid w:val="00897F8A"/>
    <w:rsid w:val="008A0227"/>
    <w:rsid w:val="008A0263"/>
    <w:rsid w:val="008A0274"/>
    <w:rsid w:val="008A02A7"/>
    <w:rsid w:val="008A0631"/>
    <w:rsid w:val="008A07C4"/>
    <w:rsid w:val="008A0887"/>
    <w:rsid w:val="008A08E4"/>
    <w:rsid w:val="008A0A01"/>
    <w:rsid w:val="008A0A8C"/>
    <w:rsid w:val="008A0B39"/>
    <w:rsid w:val="008A0B65"/>
    <w:rsid w:val="008A0D3E"/>
    <w:rsid w:val="008A0DB0"/>
    <w:rsid w:val="008A0DFA"/>
    <w:rsid w:val="008A110B"/>
    <w:rsid w:val="008A116A"/>
    <w:rsid w:val="008A1268"/>
    <w:rsid w:val="008A12DE"/>
    <w:rsid w:val="008A15FE"/>
    <w:rsid w:val="008A163A"/>
    <w:rsid w:val="008A1651"/>
    <w:rsid w:val="008A16ED"/>
    <w:rsid w:val="008A16FE"/>
    <w:rsid w:val="008A17D2"/>
    <w:rsid w:val="008A17F4"/>
    <w:rsid w:val="008A1898"/>
    <w:rsid w:val="008A1906"/>
    <w:rsid w:val="008A19AE"/>
    <w:rsid w:val="008A1A33"/>
    <w:rsid w:val="008A1B52"/>
    <w:rsid w:val="008A1CBC"/>
    <w:rsid w:val="008A1CEC"/>
    <w:rsid w:val="008A1D02"/>
    <w:rsid w:val="008A211C"/>
    <w:rsid w:val="008A24A0"/>
    <w:rsid w:val="008A2771"/>
    <w:rsid w:val="008A2789"/>
    <w:rsid w:val="008A2A14"/>
    <w:rsid w:val="008A2AC0"/>
    <w:rsid w:val="008A2B4F"/>
    <w:rsid w:val="008A2BEB"/>
    <w:rsid w:val="008A2C0C"/>
    <w:rsid w:val="008A2C74"/>
    <w:rsid w:val="008A2D53"/>
    <w:rsid w:val="008A2DCA"/>
    <w:rsid w:val="008A2E7C"/>
    <w:rsid w:val="008A3032"/>
    <w:rsid w:val="008A3049"/>
    <w:rsid w:val="008A317A"/>
    <w:rsid w:val="008A34B7"/>
    <w:rsid w:val="008A34E3"/>
    <w:rsid w:val="008A364A"/>
    <w:rsid w:val="008A3660"/>
    <w:rsid w:val="008A36D7"/>
    <w:rsid w:val="008A3862"/>
    <w:rsid w:val="008A38FF"/>
    <w:rsid w:val="008A3A0A"/>
    <w:rsid w:val="008A3AB6"/>
    <w:rsid w:val="008A3B2D"/>
    <w:rsid w:val="008A3B3E"/>
    <w:rsid w:val="008A3CB3"/>
    <w:rsid w:val="008A3CF7"/>
    <w:rsid w:val="008A3FF9"/>
    <w:rsid w:val="008A400B"/>
    <w:rsid w:val="008A412E"/>
    <w:rsid w:val="008A417D"/>
    <w:rsid w:val="008A41FD"/>
    <w:rsid w:val="008A4546"/>
    <w:rsid w:val="008A4557"/>
    <w:rsid w:val="008A4614"/>
    <w:rsid w:val="008A4683"/>
    <w:rsid w:val="008A4935"/>
    <w:rsid w:val="008A498B"/>
    <w:rsid w:val="008A4A3E"/>
    <w:rsid w:val="008A4A7B"/>
    <w:rsid w:val="008A4B77"/>
    <w:rsid w:val="008A4BDE"/>
    <w:rsid w:val="008A4C06"/>
    <w:rsid w:val="008A4D90"/>
    <w:rsid w:val="008A4EF2"/>
    <w:rsid w:val="008A51FC"/>
    <w:rsid w:val="008A5324"/>
    <w:rsid w:val="008A5358"/>
    <w:rsid w:val="008A5389"/>
    <w:rsid w:val="008A55DE"/>
    <w:rsid w:val="008A5633"/>
    <w:rsid w:val="008A580F"/>
    <w:rsid w:val="008A58AD"/>
    <w:rsid w:val="008A58F4"/>
    <w:rsid w:val="008A5C7A"/>
    <w:rsid w:val="008A5CD7"/>
    <w:rsid w:val="008A5D2B"/>
    <w:rsid w:val="008A5D4F"/>
    <w:rsid w:val="008A5D99"/>
    <w:rsid w:val="008A5DED"/>
    <w:rsid w:val="008A5E8C"/>
    <w:rsid w:val="008A5F36"/>
    <w:rsid w:val="008A607F"/>
    <w:rsid w:val="008A60A7"/>
    <w:rsid w:val="008A63F3"/>
    <w:rsid w:val="008A662B"/>
    <w:rsid w:val="008A6771"/>
    <w:rsid w:val="008A6992"/>
    <w:rsid w:val="008A699E"/>
    <w:rsid w:val="008A706E"/>
    <w:rsid w:val="008A70AE"/>
    <w:rsid w:val="008A726A"/>
    <w:rsid w:val="008A72C8"/>
    <w:rsid w:val="008A735A"/>
    <w:rsid w:val="008A73E9"/>
    <w:rsid w:val="008A740E"/>
    <w:rsid w:val="008A7437"/>
    <w:rsid w:val="008A7464"/>
    <w:rsid w:val="008A752F"/>
    <w:rsid w:val="008A7942"/>
    <w:rsid w:val="008A79EE"/>
    <w:rsid w:val="008A7A21"/>
    <w:rsid w:val="008A7A60"/>
    <w:rsid w:val="008A7EA7"/>
    <w:rsid w:val="008B00AE"/>
    <w:rsid w:val="008B00B3"/>
    <w:rsid w:val="008B016E"/>
    <w:rsid w:val="008B01BB"/>
    <w:rsid w:val="008B0292"/>
    <w:rsid w:val="008B0461"/>
    <w:rsid w:val="008B046B"/>
    <w:rsid w:val="008B04D1"/>
    <w:rsid w:val="008B0720"/>
    <w:rsid w:val="008B07B3"/>
    <w:rsid w:val="008B07D0"/>
    <w:rsid w:val="008B0A55"/>
    <w:rsid w:val="008B0D49"/>
    <w:rsid w:val="008B0D7D"/>
    <w:rsid w:val="008B0DED"/>
    <w:rsid w:val="008B0ED6"/>
    <w:rsid w:val="008B0FB2"/>
    <w:rsid w:val="008B0FC8"/>
    <w:rsid w:val="008B1096"/>
    <w:rsid w:val="008B11EF"/>
    <w:rsid w:val="008B126A"/>
    <w:rsid w:val="008B12B5"/>
    <w:rsid w:val="008B13D6"/>
    <w:rsid w:val="008B14AB"/>
    <w:rsid w:val="008B1501"/>
    <w:rsid w:val="008B17CC"/>
    <w:rsid w:val="008B1874"/>
    <w:rsid w:val="008B18E0"/>
    <w:rsid w:val="008B18FB"/>
    <w:rsid w:val="008B1AB2"/>
    <w:rsid w:val="008B1AC5"/>
    <w:rsid w:val="008B1B1F"/>
    <w:rsid w:val="008B1B3A"/>
    <w:rsid w:val="008B1BA0"/>
    <w:rsid w:val="008B1DBC"/>
    <w:rsid w:val="008B1EB2"/>
    <w:rsid w:val="008B2049"/>
    <w:rsid w:val="008B231B"/>
    <w:rsid w:val="008B2480"/>
    <w:rsid w:val="008B257C"/>
    <w:rsid w:val="008B2632"/>
    <w:rsid w:val="008B270F"/>
    <w:rsid w:val="008B27F3"/>
    <w:rsid w:val="008B2834"/>
    <w:rsid w:val="008B2A31"/>
    <w:rsid w:val="008B2B26"/>
    <w:rsid w:val="008B2B2D"/>
    <w:rsid w:val="008B2C49"/>
    <w:rsid w:val="008B2CD1"/>
    <w:rsid w:val="008B2CFC"/>
    <w:rsid w:val="008B2E6E"/>
    <w:rsid w:val="008B2E80"/>
    <w:rsid w:val="008B2F5F"/>
    <w:rsid w:val="008B2FA1"/>
    <w:rsid w:val="008B3092"/>
    <w:rsid w:val="008B3281"/>
    <w:rsid w:val="008B32BB"/>
    <w:rsid w:val="008B3567"/>
    <w:rsid w:val="008B37FF"/>
    <w:rsid w:val="008B3853"/>
    <w:rsid w:val="008B385A"/>
    <w:rsid w:val="008B396A"/>
    <w:rsid w:val="008B3B90"/>
    <w:rsid w:val="008B3BF0"/>
    <w:rsid w:val="008B3C0B"/>
    <w:rsid w:val="008B3CE1"/>
    <w:rsid w:val="008B3D9C"/>
    <w:rsid w:val="008B3E37"/>
    <w:rsid w:val="008B3EE6"/>
    <w:rsid w:val="008B3FF2"/>
    <w:rsid w:val="008B40FA"/>
    <w:rsid w:val="008B439F"/>
    <w:rsid w:val="008B4503"/>
    <w:rsid w:val="008B4513"/>
    <w:rsid w:val="008B455D"/>
    <w:rsid w:val="008B46D7"/>
    <w:rsid w:val="008B46EF"/>
    <w:rsid w:val="008B4871"/>
    <w:rsid w:val="008B48EB"/>
    <w:rsid w:val="008B4B6F"/>
    <w:rsid w:val="008B4DCF"/>
    <w:rsid w:val="008B4DF4"/>
    <w:rsid w:val="008B4E28"/>
    <w:rsid w:val="008B4F40"/>
    <w:rsid w:val="008B5338"/>
    <w:rsid w:val="008B5368"/>
    <w:rsid w:val="008B53C1"/>
    <w:rsid w:val="008B547D"/>
    <w:rsid w:val="008B54C6"/>
    <w:rsid w:val="008B554D"/>
    <w:rsid w:val="008B55C3"/>
    <w:rsid w:val="008B560F"/>
    <w:rsid w:val="008B56FE"/>
    <w:rsid w:val="008B5959"/>
    <w:rsid w:val="008B5A02"/>
    <w:rsid w:val="008B5AF5"/>
    <w:rsid w:val="008B5B1A"/>
    <w:rsid w:val="008B5B33"/>
    <w:rsid w:val="008B5F34"/>
    <w:rsid w:val="008B5F80"/>
    <w:rsid w:val="008B5FB2"/>
    <w:rsid w:val="008B5FED"/>
    <w:rsid w:val="008B6005"/>
    <w:rsid w:val="008B6264"/>
    <w:rsid w:val="008B62A9"/>
    <w:rsid w:val="008B6679"/>
    <w:rsid w:val="008B67D6"/>
    <w:rsid w:val="008B68EE"/>
    <w:rsid w:val="008B6B4D"/>
    <w:rsid w:val="008B6B87"/>
    <w:rsid w:val="008B6CB1"/>
    <w:rsid w:val="008B6D76"/>
    <w:rsid w:val="008B6E95"/>
    <w:rsid w:val="008B70B2"/>
    <w:rsid w:val="008B719E"/>
    <w:rsid w:val="008B71CD"/>
    <w:rsid w:val="008B728D"/>
    <w:rsid w:val="008B732D"/>
    <w:rsid w:val="008B742E"/>
    <w:rsid w:val="008B7446"/>
    <w:rsid w:val="008B74DA"/>
    <w:rsid w:val="008B754E"/>
    <w:rsid w:val="008B758E"/>
    <w:rsid w:val="008B75ED"/>
    <w:rsid w:val="008B7619"/>
    <w:rsid w:val="008B77E0"/>
    <w:rsid w:val="008B7A80"/>
    <w:rsid w:val="008B7B9A"/>
    <w:rsid w:val="008B7CDD"/>
    <w:rsid w:val="008B7F4A"/>
    <w:rsid w:val="008B7FC1"/>
    <w:rsid w:val="008BE6F7"/>
    <w:rsid w:val="008C005F"/>
    <w:rsid w:val="008C00A1"/>
    <w:rsid w:val="008C010A"/>
    <w:rsid w:val="008C0282"/>
    <w:rsid w:val="008C056B"/>
    <w:rsid w:val="008C0B45"/>
    <w:rsid w:val="008C0C5E"/>
    <w:rsid w:val="008C0E6E"/>
    <w:rsid w:val="008C0F8B"/>
    <w:rsid w:val="008C117A"/>
    <w:rsid w:val="008C11B6"/>
    <w:rsid w:val="008C12C3"/>
    <w:rsid w:val="008C1447"/>
    <w:rsid w:val="008C14A9"/>
    <w:rsid w:val="008C1504"/>
    <w:rsid w:val="008C170F"/>
    <w:rsid w:val="008C17EB"/>
    <w:rsid w:val="008C191B"/>
    <w:rsid w:val="008C19FF"/>
    <w:rsid w:val="008C1C06"/>
    <w:rsid w:val="008C1C27"/>
    <w:rsid w:val="008C1DE6"/>
    <w:rsid w:val="008C1E25"/>
    <w:rsid w:val="008C1F2A"/>
    <w:rsid w:val="008C20A9"/>
    <w:rsid w:val="008C21F0"/>
    <w:rsid w:val="008C2325"/>
    <w:rsid w:val="008C236B"/>
    <w:rsid w:val="008C23CF"/>
    <w:rsid w:val="008C242D"/>
    <w:rsid w:val="008C2598"/>
    <w:rsid w:val="008C262C"/>
    <w:rsid w:val="008C2725"/>
    <w:rsid w:val="008C27BF"/>
    <w:rsid w:val="008C284E"/>
    <w:rsid w:val="008C288B"/>
    <w:rsid w:val="008C2AC7"/>
    <w:rsid w:val="008C2BC5"/>
    <w:rsid w:val="008C2DEF"/>
    <w:rsid w:val="008C2E38"/>
    <w:rsid w:val="008C3097"/>
    <w:rsid w:val="008C30B9"/>
    <w:rsid w:val="008C3121"/>
    <w:rsid w:val="008C335B"/>
    <w:rsid w:val="008C3888"/>
    <w:rsid w:val="008C3894"/>
    <w:rsid w:val="008C389F"/>
    <w:rsid w:val="008C3B6F"/>
    <w:rsid w:val="008C3D1B"/>
    <w:rsid w:val="008C3DFD"/>
    <w:rsid w:val="008C4127"/>
    <w:rsid w:val="008C429F"/>
    <w:rsid w:val="008C435F"/>
    <w:rsid w:val="008C43CD"/>
    <w:rsid w:val="008C44E6"/>
    <w:rsid w:val="008C4536"/>
    <w:rsid w:val="008C46CF"/>
    <w:rsid w:val="008C474F"/>
    <w:rsid w:val="008C47C0"/>
    <w:rsid w:val="008C4833"/>
    <w:rsid w:val="008C4890"/>
    <w:rsid w:val="008C48F6"/>
    <w:rsid w:val="008C4A7B"/>
    <w:rsid w:val="008C4AD4"/>
    <w:rsid w:val="008C4CCB"/>
    <w:rsid w:val="008C5162"/>
    <w:rsid w:val="008C52B8"/>
    <w:rsid w:val="008C52DB"/>
    <w:rsid w:val="008C5358"/>
    <w:rsid w:val="008C542B"/>
    <w:rsid w:val="008C5620"/>
    <w:rsid w:val="008C565F"/>
    <w:rsid w:val="008C57C8"/>
    <w:rsid w:val="008C57DF"/>
    <w:rsid w:val="008C58BB"/>
    <w:rsid w:val="008C59E1"/>
    <w:rsid w:val="008C5ACD"/>
    <w:rsid w:val="008C5B0B"/>
    <w:rsid w:val="008C5D27"/>
    <w:rsid w:val="008C5EBA"/>
    <w:rsid w:val="008C62FA"/>
    <w:rsid w:val="008C63B2"/>
    <w:rsid w:val="008C65C6"/>
    <w:rsid w:val="008C66A6"/>
    <w:rsid w:val="008C69E0"/>
    <w:rsid w:val="008C6B3B"/>
    <w:rsid w:val="008C6D3B"/>
    <w:rsid w:val="008C6D6E"/>
    <w:rsid w:val="008C6E6B"/>
    <w:rsid w:val="008C6FA4"/>
    <w:rsid w:val="008C7033"/>
    <w:rsid w:val="008C722F"/>
    <w:rsid w:val="008C735B"/>
    <w:rsid w:val="008C73FA"/>
    <w:rsid w:val="008C778C"/>
    <w:rsid w:val="008C798C"/>
    <w:rsid w:val="008C7A27"/>
    <w:rsid w:val="008C7BEE"/>
    <w:rsid w:val="008C7FDF"/>
    <w:rsid w:val="008D007C"/>
    <w:rsid w:val="008D00C2"/>
    <w:rsid w:val="008D015F"/>
    <w:rsid w:val="008D01BC"/>
    <w:rsid w:val="008D01E6"/>
    <w:rsid w:val="008D02B8"/>
    <w:rsid w:val="008D030F"/>
    <w:rsid w:val="008D0349"/>
    <w:rsid w:val="008D0370"/>
    <w:rsid w:val="008D03ED"/>
    <w:rsid w:val="008D051A"/>
    <w:rsid w:val="008D061F"/>
    <w:rsid w:val="008D076F"/>
    <w:rsid w:val="008D0875"/>
    <w:rsid w:val="008D091B"/>
    <w:rsid w:val="008D0A72"/>
    <w:rsid w:val="008D0A7F"/>
    <w:rsid w:val="008D0ADF"/>
    <w:rsid w:val="008D0B35"/>
    <w:rsid w:val="008D0D21"/>
    <w:rsid w:val="008D0D7D"/>
    <w:rsid w:val="008D11E4"/>
    <w:rsid w:val="008D12D3"/>
    <w:rsid w:val="008D13F5"/>
    <w:rsid w:val="008D1437"/>
    <w:rsid w:val="008D1554"/>
    <w:rsid w:val="008D1801"/>
    <w:rsid w:val="008D1837"/>
    <w:rsid w:val="008D18E9"/>
    <w:rsid w:val="008D1AEF"/>
    <w:rsid w:val="008D1AF2"/>
    <w:rsid w:val="008D1C0B"/>
    <w:rsid w:val="008D1E0E"/>
    <w:rsid w:val="008D20E4"/>
    <w:rsid w:val="008D2141"/>
    <w:rsid w:val="008D218F"/>
    <w:rsid w:val="008D2315"/>
    <w:rsid w:val="008D23CD"/>
    <w:rsid w:val="008D2481"/>
    <w:rsid w:val="008D25AA"/>
    <w:rsid w:val="008D2694"/>
    <w:rsid w:val="008D2740"/>
    <w:rsid w:val="008D27AD"/>
    <w:rsid w:val="008D293B"/>
    <w:rsid w:val="008D2C3D"/>
    <w:rsid w:val="008D2D0D"/>
    <w:rsid w:val="008D2D78"/>
    <w:rsid w:val="008D2E6C"/>
    <w:rsid w:val="008D2F7B"/>
    <w:rsid w:val="008D30DF"/>
    <w:rsid w:val="008D31A2"/>
    <w:rsid w:val="008D32F2"/>
    <w:rsid w:val="008D349D"/>
    <w:rsid w:val="008D3560"/>
    <w:rsid w:val="008D365B"/>
    <w:rsid w:val="008D36B2"/>
    <w:rsid w:val="008D38B5"/>
    <w:rsid w:val="008D3A8A"/>
    <w:rsid w:val="008D3AA1"/>
    <w:rsid w:val="008D3AEF"/>
    <w:rsid w:val="008D3B20"/>
    <w:rsid w:val="008D3CCF"/>
    <w:rsid w:val="008D3DF6"/>
    <w:rsid w:val="008D3EBA"/>
    <w:rsid w:val="008D408C"/>
    <w:rsid w:val="008D4205"/>
    <w:rsid w:val="008D432B"/>
    <w:rsid w:val="008D43BC"/>
    <w:rsid w:val="008D44D3"/>
    <w:rsid w:val="008D45FF"/>
    <w:rsid w:val="008D4953"/>
    <w:rsid w:val="008D49A2"/>
    <w:rsid w:val="008D4B6D"/>
    <w:rsid w:val="008D4BBB"/>
    <w:rsid w:val="008D4C74"/>
    <w:rsid w:val="008D4CD0"/>
    <w:rsid w:val="008D4D32"/>
    <w:rsid w:val="008D4E77"/>
    <w:rsid w:val="008D4FE0"/>
    <w:rsid w:val="008D5336"/>
    <w:rsid w:val="008D5568"/>
    <w:rsid w:val="008D559D"/>
    <w:rsid w:val="008D5AC8"/>
    <w:rsid w:val="008D5ADB"/>
    <w:rsid w:val="008D5C23"/>
    <w:rsid w:val="008D5C34"/>
    <w:rsid w:val="008D5EF3"/>
    <w:rsid w:val="008D60A1"/>
    <w:rsid w:val="008D61AC"/>
    <w:rsid w:val="008D6219"/>
    <w:rsid w:val="008D641A"/>
    <w:rsid w:val="008D6518"/>
    <w:rsid w:val="008D6631"/>
    <w:rsid w:val="008D6665"/>
    <w:rsid w:val="008D679F"/>
    <w:rsid w:val="008D67B2"/>
    <w:rsid w:val="008D6874"/>
    <w:rsid w:val="008D68EA"/>
    <w:rsid w:val="008D6946"/>
    <w:rsid w:val="008D6BCF"/>
    <w:rsid w:val="008D6C3F"/>
    <w:rsid w:val="008D6C42"/>
    <w:rsid w:val="008D6E93"/>
    <w:rsid w:val="008D6F88"/>
    <w:rsid w:val="008D6FB0"/>
    <w:rsid w:val="008D6FDA"/>
    <w:rsid w:val="008D717F"/>
    <w:rsid w:val="008D71C3"/>
    <w:rsid w:val="008D741F"/>
    <w:rsid w:val="008D745F"/>
    <w:rsid w:val="008D75C5"/>
    <w:rsid w:val="008D75FC"/>
    <w:rsid w:val="008D77DD"/>
    <w:rsid w:val="008D7904"/>
    <w:rsid w:val="008D7948"/>
    <w:rsid w:val="008D798A"/>
    <w:rsid w:val="008D79C9"/>
    <w:rsid w:val="008D7B7F"/>
    <w:rsid w:val="008D7D88"/>
    <w:rsid w:val="008E00DA"/>
    <w:rsid w:val="008E00DB"/>
    <w:rsid w:val="008E0147"/>
    <w:rsid w:val="008E02E7"/>
    <w:rsid w:val="008E0356"/>
    <w:rsid w:val="008E0587"/>
    <w:rsid w:val="008E072F"/>
    <w:rsid w:val="008E077E"/>
    <w:rsid w:val="008E09EF"/>
    <w:rsid w:val="008E0A26"/>
    <w:rsid w:val="008E0A30"/>
    <w:rsid w:val="008E0AB0"/>
    <w:rsid w:val="008E0B0C"/>
    <w:rsid w:val="008E0CF3"/>
    <w:rsid w:val="008E0D02"/>
    <w:rsid w:val="008E0E77"/>
    <w:rsid w:val="008E0FC4"/>
    <w:rsid w:val="008E0FE1"/>
    <w:rsid w:val="008E10DA"/>
    <w:rsid w:val="008E1132"/>
    <w:rsid w:val="008E116F"/>
    <w:rsid w:val="008E1528"/>
    <w:rsid w:val="008E1590"/>
    <w:rsid w:val="008E15A9"/>
    <w:rsid w:val="008E1762"/>
    <w:rsid w:val="008E195F"/>
    <w:rsid w:val="008E1A98"/>
    <w:rsid w:val="008E1D46"/>
    <w:rsid w:val="008E1F71"/>
    <w:rsid w:val="008E2045"/>
    <w:rsid w:val="008E209C"/>
    <w:rsid w:val="008E20EB"/>
    <w:rsid w:val="008E2200"/>
    <w:rsid w:val="008E229C"/>
    <w:rsid w:val="008E22B7"/>
    <w:rsid w:val="008E24D9"/>
    <w:rsid w:val="008E25EE"/>
    <w:rsid w:val="008E2643"/>
    <w:rsid w:val="008E2697"/>
    <w:rsid w:val="008E27B2"/>
    <w:rsid w:val="008E27E1"/>
    <w:rsid w:val="008E2818"/>
    <w:rsid w:val="008E28C1"/>
    <w:rsid w:val="008E28C5"/>
    <w:rsid w:val="008E28F3"/>
    <w:rsid w:val="008E29EA"/>
    <w:rsid w:val="008E29EC"/>
    <w:rsid w:val="008E2A27"/>
    <w:rsid w:val="008E2AEB"/>
    <w:rsid w:val="008E2CA6"/>
    <w:rsid w:val="008E2D9A"/>
    <w:rsid w:val="008E2DB7"/>
    <w:rsid w:val="008E3065"/>
    <w:rsid w:val="008E328C"/>
    <w:rsid w:val="008E359A"/>
    <w:rsid w:val="008E3655"/>
    <w:rsid w:val="008E3667"/>
    <w:rsid w:val="008E37CF"/>
    <w:rsid w:val="008E3844"/>
    <w:rsid w:val="008E3912"/>
    <w:rsid w:val="008E3A72"/>
    <w:rsid w:val="008E3ACA"/>
    <w:rsid w:val="008E3AF7"/>
    <w:rsid w:val="008E3B1C"/>
    <w:rsid w:val="008E3D6C"/>
    <w:rsid w:val="008E3FD6"/>
    <w:rsid w:val="008E4128"/>
    <w:rsid w:val="008E4350"/>
    <w:rsid w:val="008E4456"/>
    <w:rsid w:val="008E446E"/>
    <w:rsid w:val="008E4480"/>
    <w:rsid w:val="008E4481"/>
    <w:rsid w:val="008E44D7"/>
    <w:rsid w:val="008E44F0"/>
    <w:rsid w:val="008E45A9"/>
    <w:rsid w:val="008E4691"/>
    <w:rsid w:val="008E46C0"/>
    <w:rsid w:val="008E46F9"/>
    <w:rsid w:val="008E4786"/>
    <w:rsid w:val="008E47A3"/>
    <w:rsid w:val="008E493A"/>
    <w:rsid w:val="008E4ADA"/>
    <w:rsid w:val="008E4BD0"/>
    <w:rsid w:val="008E4C37"/>
    <w:rsid w:val="008E4CD8"/>
    <w:rsid w:val="008E4FB2"/>
    <w:rsid w:val="008E52BA"/>
    <w:rsid w:val="008E52EC"/>
    <w:rsid w:val="008E5512"/>
    <w:rsid w:val="008E55C2"/>
    <w:rsid w:val="008E565F"/>
    <w:rsid w:val="008E5669"/>
    <w:rsid w:val="008E580C"/>
    <w:rsid w:val="008E5876"/>
    <w:rsid w:val="008E58E6"/>
    <w:rsid w:val="008E590D"/>
    <w:rsid w:val="008E59BD"/>
    <w:rsid w:val="008E5A6B"/>
    <w:rsid w:val="008E5B73"/>
    <w:rsid w:val="008E5BBB"/>
    <w:rsid w:val="008E5BDD"/>
    <w:rsid w:val="008E5C74"/>
    <w:rsid w:val="008E5C82"/>
    <w:rsid w:val="008E5CEC"/>
    <w:rsid w:val="008E5D88"/>
    <w:rsid w:val="008E5F25"/>
    <w:rsid w:val="008E609B"/>
    <w:rsid w:val="008E60CE"/>
    <w:rsid w:val="008E60EC"/>
    <w:rsid w:val="008E6120"/>
    <w:rsid w:val="008E61B0"/>
    <w:rsid w:val="008E6292"/>
    <w:rsid w:val="008E62D8"/>
    <w:rsid w:val="008E635F"/>
    <w:rsid w:val="008E636B"/>
    <w:rsid w:val="008E6393"/>
    <w:rsid w:val="008E6550"/>
    <w:rsid w:val="008E655A"/>
    <w:rsid w:val="008E66A4"/>
    <w:rsid w:val="008E6865"/>
    <w:rsid w:val="008E68B0"/>
    <w:rsid w:val="008E6AD9"/>
    <w:rsid w:val="008E6AE9"/>
    <w:rsid w:val="008E6AFF"/>
    <w:rsid w:val="008E6B55"/>
    <w:rsid w:val="008E6D87"/>
    <w:rsid w:val="008E70B2"/>
    <w:rsid w:val="008E71EC"/>
    <w:rsid w:val="008E7303"/>
    <w:rsid w:val="008E73B6"/>
    <w:rsid w:val="008E74E5"/>
    <w:rsid w:val="008E7645"/>
    <w:rsid w:val="008E77F1"/>
    <w:rsid w:val="008E79BC"/>
    <w:rsid w:val="008E79C6"/>
    <w:rsid w:val="008E79D9"/>
    <w:rsid w:val="008E7C9C"/>
    <w:rsid w:val="008E7CB8"/>
    <w:rsid w:val="008F00C1"/>
    <w:rsid w:val="008F01BE"/>
    <w:rsid w:val="008F0338"/>
    <w:rsid w:val="008F0527"/>
    <w:rsid w:val="008F0662"/>
    <w:rsid w:val="008F066E"/>
    <w:rsid w:val="008F06BB"/>
    <w:rsid w:val="008F074D"/>
    <w:rsid w:val="008F0984"/>
    <w:rsid w:val="008F0A60"/>
    <w:rsid w:val="008F0BCE"/>
    <w:rsid w:val="008F0C55"/>
    <w:rsid w:val="008F0E9E"/>
    <w:rsid w:val="008F0F4A"/>
    <w:rsid w:val="008F1008"/>
    <w:rsid w:val="008F114D"/>
    <w:rsid w:val="008F1334"/>
    <w:rsid w:val="008F13C7"/>
    <w:rsid w:val="008F1462"/>
    <w:rsid w:val="008F14A7"/>
    <w:rsid w:val="008F1537"/>
    <w:rsid w:val="008F1693"/>
    <w:rsid w:val="008F16A6"/>
    <w:rsid w:val="008F16AE"/>
    <w:rsid w:val="008F1889"/>
    <w:rsid w:val="008F1904"/>
    <w:rsid w:val="008F1B10"/>
    <w:rsid w:val="008F1CE1"/>
    <w:rsid w:val="008F1D13"/>
    <w:rsid w:val="008F1E21"/>
    <w:rsid w:val="008F1EB7"/>
    <w:rsid w:val="008F221E"/>
    <w:rsid w:val="008F237F"/>
    <w:rsid w:val="008F23EE"/>
    <w:rsid w:val="008F2497"/>
    <w:rsid w:val="008F253B"/>
    <w:rsid w:val="008F27B0"/>
    <w:rsid w:val="008F2A6E"/>
    <w:rsid w:val="008F2A8B"/>
    <w:rsid w:val="008F2BA3"/>
    <w:rsid w:val="008F2DAC"/>
    <w:rsid w:val="008F2EEE"/>
    <w:rsid w:val="008F2EFD"/>
    <w:rsid w:val="008F3178"/>
    <w:rsid w:val="008F3193"/>
    <w:rsid w:val="008F31D8"/>
    <w:rsid w:val="008F32F0"/>
    <w:rsid w:val="008F3340"/>
    <w:rsid w:val="008F3529"/>
    <w:rsid w:val="008F388E"/>
    <w:rsid w:val="008F39C0"/>
    <w:rsid w:val="008F3B56"/>
    <w:rsid w:val="008F3CC1"/>
    <w:rsid w:val="008F3CD2"/>
    <w:rsid w:val="008F3DF3"/>
    <w:rsid w:val="008F3EB6"/>
    <w:rsid w:val="008F41A8"/>
    <w:rsid w:val="008F41E9"/>
    <w:rsid w:val="008F4234"/>
    <w:rsid w:val="008F44CA"/>
    <w:rsid w:val="008F4506"/>
    <w:rsid w:val="008F46CB"/>
    <w:rsid w:val="008F46D0"/>
    <w:rsid w:val="008F4734"/>
    <w:rsid w:val="008F47D1"/>
    <w:rsid w:val="008F482A"/>
    <w:rsid w:val="008F4B0B"/>
    <w:rsid w:val="008F4B45"/>
    <w:rsid w:val="008F4C98"/>
    <w:rsid w:val="008F4D2E"/>
    <w:rsid w:val="008F4D30"/>
    <w:rsid w:val="008F4D69"/>
    <w:rsid w:val="008F4DE5"/>
    <w:rsid w:val="008F4FAE"/>
    <w:rsid w:val="008F4FC6"/>
    <w:rsid w:val="008F5102"/>
    <w:rsid w:val="008F526A"/>
    <w:rsid w:val="008F572B"/>
    <w:rsid w:val="008F5737"/>
    <w:rsid w:val="008F5847"/>
    <w:rsid w:val="008F59A9"/>
    <w:rsid w:val="008F5B4A"/>
    <w:rsid w:val="008F5CD0"/>
    <w:rsid w:val="008F5F4B"/>
    <w:rsid w:val="008F5F5B"/>
    <w:rsid w:val="008F5F88"/>
    <w:rsid w:val="008F6118"/>
    <w:rsid w:val="008F6119"/>
    <w:rsid w:val="008F6134"/>
    <w:rsid w:val="008F6182"/>
    <w:rsid w:val="008F6218"/>
    <w:rsid w:val="008F62A5"/>
    <w:rsid w:val="008F63D7"/>
    <w:rsid w:val="008F64FD"/>
    <w:rsid w:val="008F66DC"/>
    <w:rsid w:val="008F673B"/>
    <w:rsid w:val="008F67B2"/>
    <w:rsid w:val="008F67C5"/>
    <w:rsid w:val="008F69B9"/>
    <w:rsid w:val="008F6B88"/>
    <w:rsid w:val="008F6CFB"/>
    <w:rsid w:val="008F6D02"/>
    <w:rsid w:val="008F6D17"/>
    <w:rsid w:val="008F6F49"/>
    <w:rsid w:val="008F7007"/>
    <w:rsid w:val="008F70AE"/>
    <w:rsid w:val="008F7313"/>
    <w:rsid w:val="008F7353"/>
    <w:rsid w:val="008F73BA"/>
    <w:rsid w:val="008F73C7"/>
    <w:rsid w:val="008F7418"/>
    <w:rsid w:val="008F7504"/>
    <w:rsid w:val="008F7554"/>
    <w:rsid w:val="008F7784"/>
    <w:rsid w:val="008F77B7"/>
    <w:rsid w:val="008F77DA"/>
    <w:rsid w:val="008F7855"/>
    <w:rsid w:val="008F78DC"/>
    <w:rsid w:val="008F7950"/>
    <w:rsid w:val="008F7979"/>
    <w:rsid w:val="008F798C"/>
    <w:rsid w:val="008F7A50"/>
    <w:rsid w:val="008F7ADA"/>
    <w:rsid w:val="008F7B5B"/>
    <w:rsid w:val="008F7E45"/>
    <w:rsid w:val="00900216"/>
    <w:rsid w:val="00900311"/>
    <w:rsid w:val="009003C0"/>
    <w:rsid w:val="00900418"/>
    <w:rsid w:val="009006AB"/>
    <w:rsid w:val="00900960"/>
    <w:rsid w:val="00900A08"/>
    <w:rsid w:val="00900E21"/>
    <w:rsid w:val="00900F4A"/>
    <w:rsid w:val="0090101A"/>
    <w:rsid w:val="00901212"/>
    <w:rsid w:val="00901299"/>
    <w:rsid w:val="00901534"/>
    <w:rsid w:val="009015E2"/>
    <w:rsid w:val="00901667"/>
    <w:rsid w:val="00901726"/>
    <w:rsid w:val="009018B1"/>
    <w:rsid w:val="009019B3"/>
    <w:rsid w:val="00901A25"/>
    <w:rsid w:val="00901C87"/>
    <w:rsid w:val="00901DBB"/>
    <w:rsid w:val="00901E83"/>
    <w:rsid w:val="00901E88"/>
    <w:rsid w:val="00901ED7"/>
    <w:rsid w:val="0090203E"/>
    <w:rsid w:val="00902066"/>
    <w:rsid w:val="00902255"/>
    <w:rsid w:val="0090230D"/>
    <w:rsid w:val="00902339"/>
    <w:rsid w:val="009023FE"/>
    <w:rsid w:val="00902597"/>
    <w:rsid w:val="009025DC"/>
    <w:rsid w:val="00902665"/>
    <w:rsid w:val="0090266E"/>
    <w:rsid w:val="009026C6"/>
    <w:rsid w:val="00902A35"/>
    <w:rsid w:val="00902B51"/>
    <w:rsid w:val="00902BBC"/>
    <w:rsid w:val="00902C1F"/>
    <w:rsid w:val="00902D60"/>
    <w:rsid w:val="00902ED8"/>
    <w:rsid w:val="00902F45"/>
    <w:rsid w:val="00902FA9"/>
    <w:rsid w:val="00903064"/>
    <w:rsid w:val="009032B3"/>
    <w:rsid w:val="009032F8"/>
    <w:rsid w:val="0090334E"/>
    <w:rsid w:val="00903702"/>
    <w:rsid w:val="00903A25"/>
    <w:rsid w:val="00903C3B"/>
    <w:rsid w:val="00903C49"/>
    <w:rsid w:val="00903CD1"/>
    <w:rsid w:val="00903CD7"/>
    <w:rsid w:val="00903D0C"/>
    <w:rsid w:val="00903D15"/>
    <w:rsid w:val="00903D8D"/>
    <w:rsid w:val="00903DC4"/>
    <w:rsid w:val="00903EA4"/>
    <w:rsid w:val="00903EDA"/>
    <w:rsid w:val="00904130"/>
    <w:rsid w:val="0090413F"/>
    <w:rsid w:val="00904206"/>
    <w:rsid w:val="0090423D"/>
    <w:rsid w:val="00904367"/>
    <w:rsid w:val="009043F2"/>
    <w:rsid w:val="009044C5"/>
    <w:rsid w:val="00904779"/>
    <w:rsid w:val="00904AC6"/>
    <w:rsid w:val="00904ACF"/>
    <w:rsid w:val="00904C38"/>
    <w:rsid w:val="00904C73"/>
    <w:rsid w:val="00904C9B"/>
    <w:rsid w:val="00904EC5"/>
    <w:rsid w:val="00904F9E"/>
    <w:rsid w:val="00904FCC"/>
    <w:rsid w:val="0090503D"/>
    <w:rsid w:val="00905094"/>
    <w:rsid w:val="0090509C"/>
    <w:rsid w:val="00905188"/>
    <w:rsid w:val="00905264"/>
    <w:rsid w:val="0090529E"/>
    <w:rsid w:val="009052E5"/>
    <w:rsid w:val="009053CA"/>
    <w:rsid w:val="0090564D"/>
    <w:rsid w:val="009056BF"/>
    <w:rsid w:val="009056F0"/>
    <w:rsid w:val="00905715"/>
    <w:rsid w:val="0090577C"/>
    <w:rsid w:val="00905921"/>
    <w:rsid w:val="0090594B"/>
    <w:rsid w:val="00905A39"/>
    <w:rsid w:val="00905A96"/>
    <w:rsid w:val="00905A97"/>
    <w:rsid w:val="00905C10"/>
    <w:rsid w:val="00905C6F"/>
    <w:rsid w:val="00905FA0"/>
    <w:rsid w:val="00906006"/>
    <w:rsid w:val="009060B9"/>
    <w:rsid w:val="009062F0"/>
    <w:rsid w:val="009062FB"/>
    <w:rsid w:val="00906314"/>
    <w:rsid w:val="009063C2"/>
    <w:rsid w:val="009063F3"/>
    <w:rsid w:val="00906416"/>
    <w:rsid w:val="009065B2"/>
    <w:rsid w:val="0090683B"/>
    <w:rsid w:val="00906862"/>
    <w:rsid w:val="00906CB0"/>
    <w:rsid w:val="00906CC5"/>
    <w:rsid w:val="00906CCD"/>
    <w:rsid w:val="00906EFB"/>
    <w:rsid w:val="00906FAC"/>
    <w:rsid w:val="00907036"/>
    <w:rsid w:val="00907083"/>
    <w:rsid w:val="009071AC"/>
    <w:rsid w:val="009072CD"/>
    <w:rsid w:val="009073F9"/>
    <w:rsid w:val="00907433"/>
    <w:rsid w:val="00907440"/>
    <w:rsid w:val="00907641"/>
    <w:rsid w:val="00907951"/>
    <w:rsid w:val="00907963"/>
    <w:rsid w:val="00907B35"/>
    <w:rsid w:val="00907B66"/>
    <w:rsid w:val="00907C9E"/>
    <w:rsid w:val="00907EA7"/>
    <w:rsid w:val="00907F90"/>
    <w:rsid w:val="00907FAD"/>
    <w:rsid w:val="00910133"/>
    <w:rsid w:val="009102AD"/>
    <w:rsid w:val="00910537"/>
    <w:rsid w:val="00910547"/>
    <w:rsid w:val="009106FF"/>
    <w:rsid w:val="00910AA5"/>
    <w:rsid w:val="00910B12"/>
    <w:rsid w:val="00910B35"/>
    <w:rsid w:val="00910B63"/>
    <w:rsid w:val="00910C00"/>
    <w:rsid w:val="00910DEF"/>
    <w:rsid w:val="00910E04"/>
    <w:rsid w:val="00910E20"/>
    <w:rsid w:val="00910E70"/>
    <w:rsid w:val="00910E92"/>
    <w:rsid w:val="00910F39"/>
    <w:rsid w:val="00911010"/>
    <w:rsid w:val="0091102F"/>
    <w:rsid w:val="00911180"/>
    <w:rsid w:val="00911184"/>
    <w:rsid w:val="00911352"/>
    <w:rsid w:val="009113E0"/>
    <w:rsid w:val="0091149C"/>
    <w:rsid w:val="00911533"/>
    <w:rsid w:val="00911547"/>
    <w:rsid w:val="009115BD"/>
    <w:rsid w:val="009117A6"/>
    <w:rsid w:val="009117C7"/>
    <w:rsid w:val="00911B71"/>
    <w:rsid w:val="00911D66"/>
    <w:rsid w:val="009120CA"/>
    <w:rsid w:val="0091224C"/>
    <w:rsid w:val="00912321"/>
    <w:rsid w:val="00912418"/>
    <w:rsid w:val="0091282F"/>
    <w:rsid w:val="0091284F"/>
    <w:rsid w:val="00912861"/>
    <w:rsid w:val="00912895"/>
    <w:rsid w:val="00912A88"/>
    <w:rsid w:val="00912D04"/>
    <w:rsid w:val="00912D3E"/>
    <w:rsid w:val="00912D51"/>
    <w:rsid w:val="00912E23"/>
    <w:rsid w:val="0091308C"/>
    <w:rsid w:val="0091315A"/>
    <w:rsid w:val="009132B0"/>
    <w:rsid w:val="0091332C"/>
    <w:rsid w:val="0091339A"/>
    <w:rsid w:val="00913414"/>
    <w:rsid w:val="009135F1"/>
    <w:rsid w:val="009135FD"/>
    <w:rsid w:val="00913631"/>
    <w:rsid w:val="00913792"/>
    <w:rsid w:val="009139F4"/>
    <w:rsid w:val="00913C86"/>
    <w:rsid w:val="00913FB1"/>
    <w:rsid w:val="00914049"/>
    <w:rsid w:val="00914100"/>
    <w:rsid w:val="00914161"/>
    <w:rsid w:val="009141D4"/>
    <w:rsid w:val="00914290"/>
    <w:rsid w:val="00914296"/>
    <w:rsid w:val="0091431E"/>
    <w:rsid w:val="0091447B"/>
    <w:rsid w:val="0091448A"/>
    <w:rsid w:val="009146D8"/>
    <w:rsid w:val="00914703"/>
    <w:rsid w:val="0091484A"/>
    <w:rsid w:val="009148BF"/>
    <w:rsid w:val="00914A0A"/>
    <w:rsid w:val="00914A3C"/>
    <w:rsid w:val="00914A6D"/>
    <w:rsid w:val="00914B64"/>
    <w:rsid w:val="00914B92"/>
    <w:rsid w:val="00914BD8"/>
    <w:rsid w:val="00914C0F"/>
    <w:rsid w:val="00914E8B"/>
    <w:rsid w:val="00914EB4"/>
    <w:rsid w:val="00914F64"/>
    <w:rsid w:val="00914FE8"/>
    <w:rsid w:val="009150B2"/>
    <w:rsid w:val="009152A0"/>
    <w:rsid w:val="00915352"/>
    <w:rsid w:val="00915353"/>
    <w:rsid w:val="00915482"/>
    <w:rsid w:val="00915584"/>
    <w:rsid w:val="00915605"/>
    <w:rsid w:val="0091561D"/>
    <w:rsid w:val="0091588E"/>
    <w:rsid w:val="00915948"/>
    <w:rsid w:val="00915B28"/>
    <w:rsid w:val="00915E7A"/>
    <w:rsid w:val="00915E84"/>
    <w:rsid w:val="00915F8A"/>
    <w:rsid w:val="00915FCB"/>
    <w:rsid w:val="00915FFE"/>
    <w:rsid w:val="00916117"/>
    <w:rsid w:val="00916196"/>
    <w:rsid w:val="00916319"/>
    <w:rsid w:val="00916339"/>
    <w:rsid w:val="0091641B"/>
    <w:rsid w:val="00916482"/>
    <w:rsid w:val="009164BA"/>
    <w:rsid w:val="00916512"/>
    <w:rsid w:val="009165C8"/>
    <w:rsid w:val="00916719"/>
    <w:rsid w:val="009169B2"/>
    <w:rsid w:val="00916AA3"/>
    <w:rsid w:val="00916B9B"/>
    <w:rsid w:val="00916C0D"/>
    <w:rsid w:val="00916E0E"/>
    <w:rsid w:val="00916E7F"/>
    <w:rsid w:val="00916F71"/>
    <w:rsid w:val="00916FC2"/>
    <w:rsid w:val="00917056"/>
    <w:rsid w:val="009171C1"/>
    <w:rsid w:val="0091735D"/>
    <w:rsid w:val="00917375"/>
    <w:rsid w:val="009174AB"/>
    <w:rsid w:val="00917776"/>
    <w:rsid w:val="009177F1"/>
    <w:rsid w:val="00917A2B"/>
    <w:rsid w:val="00917C53"/>
    <w:rsid w:val="00917EC8"/>
    <w:rsid w:val="00917EDD"/>
    <w:rsid w:val="00920026"/>
    <w:rsid w:val="00920194"/>
    <w:rsid w:val="00920237"/>
    <w:rsid w:val="00920256"/>
    <w:rsid w:val="00920291"/>
    <w:rsid w:val="009203FA"/>
    <w:rsid w:val="00920615"/>
    <w:rsid w:val="009206F3"/>
    <w:rsid w:val="00920830"/>
    <w:rsid w:val="009208AA"/>
    <w:rsid w:val="00920948"/>
    <w:rsid w:val="00920AAF"/>
    <w:rsid w:val="00920B0B"/>
    <w:rsid w:val="00920B38"/>
    <w:rsid w:val="00920B4A"/>
    <w:rsid w:val="00920B8E"/>
    <w:rsid w:val="00920B9F"/>
    <w:rsid w:val="00920C20"/>
    <w:rsid w:val="00920C69"/>
    <w:rsid w:val="00920C73"/>
    <w:rsid w:val="00920DCA"/>
    <w:rsid w:val="00920F03"/>
    <w:rsid w:val="00921085"/>
    <w:rsid w:val="009211EA"/>
    <w:rsid w:val="00921457"/>
    <w:rsid w:val="009214D8"/>
    <w:rsid w:val="0092151E"/>
    <w:rsid w:val="00921543"/>
    <w:rsid w:val="009215B0"/>
    <w:rsid w:val="009216FA"/>
    <w:rsid w:val="009217D8"/>
    <w:rsid w:val="009218CE"/>
    <w:rsid w:val="009218E8"/>
    <w:rsid w:val="00921D58"/>
    <w:rsid w:val="00921E19"/>
    <w:rsid w:val="00921FF6"/>
    <w:rsid w:val="009220C6"/>
    <w:rsid w:val="0092213C"/>
    <w:rsid w:val="009222B9"/>
    <w:rsid w:val="0092232E"/>
    <w:rsid w:val="0092234A"/>
    <w:rsid w:val="009225D8"/>
    <w:rsid w:val="0092275F"/>
    <w:rsid w:val="009227BD"/>
    <w:rsid w:val="009228F3"/>
    <w:rsid w:val="00922943"/>
    <w:rsid w:val="00922956"/>
    <w:rsid w:val="00922AB5"/>
    <w:rsid w:val="00922AC5"/>
    <w:rsid w:val="00922BC2"/>
    <w:rsid w:val="00922BD1"/>
    <w:rsid w:val="00922BDB"/>
    <w:rsid w:val="00922EDE"/>
    <w:rsid w:val="009232B8"/>
    <w:rsid w:val="00923352"/>
    <w:rsid w:val="0092335E"/>
    <w:rsid w:val="00923407"/>
    <w:rsid w:val="009234A5"/>
    <w:rsid w:val="009234D5"/>
    <w:rsid w:val="00923686"/>
    <w:rsid w:val="009236CB"/>
    <w:rsid w:val="0092372E"/>
    <w:rsid w:val="00923732"/>
    <w:rsid w:val="00923850"/>
    <w:rsid w:val="00923926"/>
    <w:rsid w:val="0092393D"/>
    <w:rsid w:val="00923AAE"/>
    <w:rsid w:val="00923BAF"/>
    <w:rsid w:val="00923C05"/>
    <w:rsid w:val="00923DBC"/>
    <w:rsid w:val="00923E5E"/>
    <w:rsid w:val="00923EA0"/>
    <w:rsid w:val="00923ED9"/>
    <w:rsid w:val="009241D9"/>
    <w:rsid w:val="00924243"/>
    <w:rsid w:val="009243B5"/>
    <w:rsid w:val="0092458E"/>
    <w:rsid w:val="009245BC"/>
    <w:rsid w:val="009246C8"/>
    <w:rsid w:val="0092475A"/>
    <w:rsid w:val="009247E6"/>
    <w:rsid w:val="009248C8"/>
    <w:rsid w:val="00924906"/>
    <w:rsid w:val="009249F7"/>
    <w:rsid w:val="00924BF1"/>
    <w:rsid w:val="00924C3D"/>
    <w:rsid w:val="00924C8C"/>
    <w:rsid w:val="00924C94"/>
    <w:rsid w:val="00924D40"/>
    <w:rsid w:val="00924FD6"/>
    <w:rsid w:val="00924FE7"/>
    <w:rsid w:val="00925081"/>
    <w:rsid w:val="0092508D"/>
    <w:rsid w:val="009250AA"/>
    <w:rsid w:val="009252F2"/>
    <w:rsid w:val="00925364"/>
    <w:rsid w:val="00925683"/>
    <w:rsid w:val="009257A0"/>
    <w:rsid w:val="0092581D"/>
    <w:rsid w:val="009258DB"/>
    <w:rsid w:val="00925AEF"/>
    <w:rsid w:val="00925CA1"/>
    <w:rsid w:val="00925F54"/>
    <w:rsid w:val="009262E1"/>
    <w:rsid w:val="0092634F"/>
    <w:rsid w:val="009263ED"/>
    <w:rsid w:val="00926465"/>
    <w:rsid w:val="00926625"/>
    <w:rsid w:val="00926759"/>
    <w:rsid w:val="009267B6"/>
    <w:rsid w:val="0092688A"/>
    <w:rsid w:val="00926C6D"/>
    <w:rsid w:val="00926D8A"/>
    <w:rsid w:val="00926DB6"/>
    <w:rsid w:val="00926F61"/>
    <w:rsid w:val="009270B2"/>
    <w:rsid w:val="009270DA"/>
    <w:rsid w:val="00927213"/>
    <w:rsid w:val="0092724B"/>
    <w:rsid w:val="00927250"/>
    <w:rsid w:val="0092726D"/>
    <w:rsid w:val="009273C8"/>
    <w:rsid w:val="009273CF"/>
    <w:rsid w:val="00927455"/>
    <w:rsid w:val="00927561"/>
    <w:rsid w:val="00927706"/>
    <w:rsid w:val="00927843"/>
    <w:rsid w:val="00927E52"/>
    <w:rsid w:val="00927EB2"/>
    <w:rsid w:val="00927EEE"/>
    <w:rsid w:val="00927F1A"/>
    <w:rsid w:val="00927F26"/>
    <w:rsid w:val="009300FA"/>
    <w:rsid w:val="009301AF"/>
    <w:rsid w:val="00930292"/>
    <w:rsid w:val="00930364"/>
    <w:rsid w:val="0093039F"/>
    <w:rsid w:val="00930442"/>
    <w:rsid w:val="00930478"/>
    <w:rsid w:val="009308A7"/>
    <w:rsid w:val="00930985"/>
    <w:rsid w:val="009309D4"/>
    <w:rsid w:val="00930B14"/>
    <w:rsid w:val="00930C3B"/>
    <w:rsid w:val="00930C98"/>
    <w:rsid w:val="00930D7C"/>
    <w:rsid w:val="009311BC"/>
    <w:rsid w:val="0093129A"/>
    <w:rsid w:val="00931319"/>
    <w:rsid w:val="00931536"/>
    <w:rsid w:val="00931684"/>
    <w:rsid w:val="009317E4"/>
    <w:rsid w:val="00931904"/>
    <w:rsid w:val="00931982"/>
    <w:rsid w:val="009319E6"/>
    <w:rsid w:val="00931C30"/>
    <w:rsid w:val="00931CE4"/>
    <w:rsid w:val="00931D8A"/>
    <w:rsid w:val="00931DCE"/>
    <w:rsid w:val="00931F4F"/>
    <w:rsid w:val="0093213B"/>
    <w:rsid w:val="0093220A"/>
    <w:rsid w:val="00932394"/>
    <w:rsid w:val="00932397"/>
    <w:rsid w:val="0093241C"/>
    <w:rsid w:val="00932495"/>
    <w:rsid w:val="009324F6"/>
    <w:rsid w:val="009325D9"/>
    <w:rsid w:val="00932677"/>
    <w:rsid w:val="0093271E"/>
    <w:rsid w:val="009327E7"/>
    <w:rsid w:val="00932B3C"/>
    <w:rsid w:val="00932BA1"/>
    <w:rsid w:val="00932C9D"/>
    <w:rsid w:val="00932CF5"/>
    <w:rsid w:val="00932DDC"/>
    <w:rsid w:val="00933025"/>
    <w:rsid w:val="00933072"/>
    <w:rsid w:val="0093313D"/>
    <w:rsid w:val="009334E3"/>
    <w:rsid w:val="00933526"/>
    <w:rsid w:val="009335F7"/>
    <w:rsid w:val="00933651"/>
    <w:rsid w:val="00933658"/>
    <w:rsid w:val="00933858"/>
    <w:rsid w:val="00933AD2"/>
    <w:rsid w:val="00933B44"/>
    <w:rsid w:val="00933C2A"/>
    <w:rsid w:val="00933C41"/>
    <w:rsid w:val="00933C9B"/>
    <w:rsid w:val="00933CEF"/>
    <w:rsid w:val="00933E10"/>
    <w:rsid w:val="009340DE"/>
    <w:rsid w:val="00934120"/>
    <w:rsid w:val="00934530"/>
    <w:rsid w:val="009345FD"/>
    <w:rsid w:val="00934801"/>
    <w:rsid w:val="00934833"/>
    <w:rsid w:val="00934ADA"/>
    <w:rsid w:val="00934AE5"/>
    <w:rsid w:val="00934B24"/>
    <w:rsid w:val="00934DCB"/>
    <w:rsid w:val="00934E76"/>
    <w:rsid w:val="00934ECC"/>
    <w:rsid w:val="00935027"/>
    <w:rsid w:val="00935109"/>
    <w:rsid w:val="00935184"/>
    <w:rsid w:val="009351A2"/>
    <w:rsid w:val="009351A6"/>
    <w:rsid w:val="009352D5"/>
    <w:rsid w:val="00935374"/>
    <w:rsid w:val="00935375"/>
    <w:rsid w:val="0093538B"/>
    <w:rsid w:val="0093544E"/>
    <w:rsid w:val="009356CC"/>
    <w:rsid w:val="00935759"/>
    <w:rsid w:val="00935776"/>
    <w:rsid w:val="0093592A"/>
    <w:rsid w:val="00935957"/>
    <w:rsid w:val="00935A12"/>
    <w:rsid w:val="00935A48"/>
    <w:rsid w:val="00935A6B"/>
    <w:rsid w:val="00935B71"/>
    <w:rsid w:val="00935B9E"/>
    <w:rsid w:val="00935BB7"/>
    <w:rsid w:val="00935C7D"/>
    <w:rsid w:val="00935D95"/>
    <w:rsid w:val="00935E4F"/>
    <w:rsid w:val="00935EA4"/>
    <w:rsid w:val="00936017"/>
    <w:rsid w:val="009360DC"/>
    <w:rsid w:val="00936174"/>
    <w:rsid w:val="00936189"/>
    <w:rsid w:val="0093634E"/>
    <w:rsid w:val="0093644E"/>
    <w:rsid w:val="00936481"/>
    <w:rsid w:val="00936539"/>
    <w:rsid w:val="009365F7"/>
    <w:rsid w:val="0093673C"/>
    <w:rsid w:val="0093694D"/>
    <w:rsid w:val="009369B8"/>
    <w:rsid w:val="00936A0E"/>
    <w:rsid w:val="00936B4A"/>
    <w:rsid w:val="00936BAD"/>
    <w:rsid w:val="00936DF3"/>
    <w:rsid w:val="009371A4"/>
    <w:rsid w:val="00937275"/>
    <w:rsid w:val="0093730B"/>
    <w:rsid w:val="00937393"/>
    <w:rsid w:val="0093743A"/>
    <w:rsid w:val="00937497"/>
    <w:rsid w:val="009374F9"/>
    <w:rsid w:val="009374FF"/>
    <w:rsid w:val="009375F2"/>
    <w:rsid w:val="0093787E"/>
    <w:rsid w:val="009378D2"/>
    <w:rsid w:val="00937921"/>
    <w:rsid w:val="00937B62"/>
    <w:rsid w:val="00937D06"/>
    <w:rsid w:val="009401AA"/>
    <w:rsid w:val="009405C8"/>
    <w:rsid w:val="00940772"/>
    <w:rsid w:val="009407DF"/>
    <w:rsid w:val="0094090B"/>
    <w:rsid w:val="00940979"/>
    <w:rsid w:val="00940F31"/>
    <w:rsid w:val="00940FDD"/>
    <w:rsid w:val="00941049"/>
    <w:rsid w:val="009410D8"/>
    <w:rsid w:val="009412E9"/>
    <w:rsid w:val="00941306"/>
    <w:rsid w:val="009416E7"/>
    <w:rsid w:val="00941762"/>
    <w:rsid w:val="009417A6"/>
    <w:rsid w:val="009417E2"/>
    <w:rsid w:val="00941809"/>
    <w:rsid w:val="009418FF"/>
    <w:rsid w:val="0094195F"/>
    <w:rsid w:val="00941CF4"/>
    <w:rsid w:val="00941E92"/>
    <w:rsid w:val="00942096"/>
    <w:rsid w:val="009421E8"/>
    <w:rsid w:val="00942228"/>
    <w:rsid w:val="009423C3"/>
    <w:rsid w:val="0094252B"/>
    <w:rsid w:val="009425A9"/>
    <w:rsid w:val="009428B7"/>
    <w:rsid w:val="0094293A"/>
    <w:rsid w:val="0094297F"/>
    <w:rsid w:val="00942A1F"/>
    <w:rsid w:val="00942B3C"/>
    <w:rsid w:val="00942B55"/>
    <w:rsid w:val="00942DC4"/>
    <w:rsid w:val="00942E7A"/>
    <w:rsid w:val="00942FEA"/>
    <w:rsid w:val="00943009"/>
    <w:rsid w:val="0094306C"/>
    <w:rsid w:val="009430F7"/>
    <w:rsid w:val="0094314F"/>
    <w:rsid w:val="00943281"/>
    <w:rsid w:val="0094330B"/>
    <w:rsid w:val="00943369"/>
    <w:rsid w:val="009434F6"/>
    <w:rsid w:val="00943570"/>
    <w:rsid w:val="009436DD"/>
    <w:rsid w:val="0094377C"/>
    <w:rsid w:val="009437E5"/>
    <w:rsid w:val="009437EB"/>
    <w:rsid w:val="00943A3A"/>
    <w:rsid w:val="00943AB2"/>
    <w:rsid w:val="00943ACE"/>
    <w:rsid w:val="00943B11"/>
    <w:rsid w:val="00943B70"/>
    <w:rsid w:val="00943C19"/>
    <w:rsid w:val="00943E57"/>
    <w:rsid w:val="00943ED0"/>
    <w:rsid w:val="00943F02"/>
    <w:rsid w:val="00943FFE"/>
    <w:rsid w:val="009441D9"/>
    <w:rsid w:val="00944204"/>
    <w:rsid w:val="0094421F"/>
    <w:rsid w:val="0094423E"/>
    <w:rsid w:val="00944240"/>
    <w:rsid w:val="009442CF"/>
    <w:rsid w:val="0094431D"/>
    <w:rsid w:val="0094437D"/>
    <w:rsid w:val="009444A8"/>
    <w:rsid w:val="00944818"/>
    <w:rsid w:val="0094489C"/>
    <w:rsid w:val="009449F3"/>
    <w:rsid w:val="00944AAF"/>
    <w:rsid w:val="00944CE8"/>
    <w:rsid w:val="00944DDB"/>
    <w:rsid w:val="00944E1C"/>
    <w:rsid w:val="00945094"/>
    <w:rsid w:val="0094516F"/>
    <w:rsid w:val="009451D7"/>
    <w:rsid w:val="00945230"/>
    <w:rsid w:val="0094544B"/>
    <w:rsid w:val="009456AA"/>
    <w:rsid w:val="0094573B"/>
    <w:rsid w:val="0094583F"/>
    <w:rsid w:val="009458BF"/>
    <w:rsid w:val="00945A34"/>
    <w:rsid w:val="00945A4F"/>
    <w:rsid w:val="00945A5E"/>
    <w:rsid w:val="00945CE8"/>
    <w:rsid w:val="00945D9F"/>
    <w:rsid w:val="00945E6B"/>
    <w:rsid w:val="00945EAF"/>
    <w:rsid w:val="00946021"/>
    <w:rsid w:val="00946026"/>
    <w:rsid w:val="00946066"/>
    <w:rsid w:val="009461B4"/>
    <w:rsid w:val="009461EF"/>
    <w:rsid w:val="009465AA"/>
    <w:rsid w:val="0094663E"/>
    <w:rsid w:val="009466A8"/>
    <w:rsid w:val="009466C7"/>
    <w:rsid w:val="00946751"/>
    <w:rsid w:val="009467A0"/>
    <w:rsid w:val="009467B0"/>
    <w:rsid w:val="00946947"/>
    <w:rsid w:val="00946A6B"/>
    <w:rsid w:val="00946BC0"/>
    <w:rsid w:val="00946C29"/>
    <w:rsid w:val="00946C3C"/>
    <w:rsid w:val="00946C5E"/>
    <w:rsid w:val="00946DFB"/>
    <w:rsid w:val="00946EBD"/>
    <w:rsid w:val="0094708A"/>
    <w:rsid w:val="0094712E"/>
    <w:rsid w:val="00947382"/>
    <w:rsid w:val="009475A9"/>
    <w:rsid w:val="009475B8"/>
    <w:rsid w:val="00947605"/>
    <w:rsid w:val="0094760E"/>
    <w:rsid w:val="00947644"/>
    <w:rsid w:val="009477A3"/>
    <w:rsid w:val="009478A5"/>
    <w:rsid w:val="009478DF"/>
    <w:rsid w:val="0094791C"/>
    <w:rsid w:val="00947A5F"/>
    <w:rsid w:val="00947A89"/>
    <w:rsid w:val="00947B9D"/>
    <w:rsid w:val="00947C74"/>
    <w:rsid w:val="00947CBF"/>
    <w:rsid w:val="00947DE1"/>
    <w:rsid w:val="00947E60"/>
    <w:rsid w:val="00947EC3"/>
    <w:rsid w:val="00947FBB"/>
    <w:rsid w:val="009502AA"/>
    <w:rsid w:val="00950312"/>
    <w:rsid w:val="00950564"/>
    <w:rsid w:val="00950644"/>
    <w:rsid w:val="0095081D"/>
    <w:rsid w:val="0095091A"/>
    <w:rsid w:val="009509D9"/>
    <w:rsid w:val="00950A65"/>
    <w:rsid w:val="00950A7C"/>
    <w:rsid w:val="00950A90"/>
    <w:rsid w:val="00950BFD"/>
    <w:rsid w:val="00950C01"/>
    <w:rsid w:val="00950C8D"/>
    <w:rsid w:val="00950CA8"/>
    <w:rsid w:val="00950D98"/>
    <w:rsid w:val="00950DD8"/>
    <w:rsid w:val="00950E8C"/>
    <w:rsid w:val="00950F07"/>
    <w:rsid w:val="0095120E"/>
    <w:rsid w:val="0095123C"/>
    <w:rsid w:val="00951263"/>
    <w:rsid w:val="00951843"/>
    <w:rsid w:val="00951906"/>
    <w:rsid w:val="00951B45"/>
    <w:rsid w:val="00951C3C"/>
    <w:rsid w:val="00951C93"/>
    <w:rsid w:val="00951D45"/>
    <w:rsid w:val="00951F47"/>
    <w:rsid w:val="00951F77"/>
    <w:rsid w:val="0095287E"/>
    <w:rsid w:val="00952A77"/>
    <w:rsid w:val="00952AB3"/>
    <w:rsid w:val="00952B9A"/>
    <w:rsid w:val="00952C89"/>
    <w:rsid w:val="00952D30"/>
    <w:rsid w:val="00952F66"/>
    <w:rsid w:val="00952F7C"/>
    <w:rsid w:val="00952FF7"/>
    <w:rsid w:val="00953325"/>
    <w:rsid w:val="009536CA"/>
    <w:rsid w:val="009537E0"/>
    <w:rsid w:val="00953881"/>
    <w:rsid w:val="009539A3"/>
    <w:rsid w:val="00953AB6"/>
    <w:rsid w:val="00953BBE"/>
    <w:rsid w:val="00953CC7"/>
    <w:rsid w:val="00953D0D"/>
    <w:rsid w:val="00953E4E"/>
    <w:rsid w:val="00954031"/>
    <w:rsid w:val="0095416B"/>
    <w:rsid w:val="00954179"/>
    <w:rsid w:val="009541D3"/>
    <w:rsid w:val="00954217"/>
    <w:rsid w:val="00954365"/>
    <w:rsid w:val="009543A2"/>
    <w:rsid w:val="0095448E"/>
    <w:rsid w:val="0095448F"/>
    <w:rsid w:val="00954534"/>
    <w:rsid w:val="00954ABA"/>
    <w:rsid w:val="00954B06"/>
    <w:rsid w:val="00954D3B"/>
    <w:rsid w:val="00954D5D"/>
    <w:rsid w:val="00954DC8"/>
    <w:rsid w:val="00954E3C"/>
    <w:rsid w:val="00955048"/>
    <w:rsid w:val="00955204"/>
    <w:rsid w:val="00955613"/>
    <w:rsid w:val="00955769"/>
    <w:rsid w:val="0095578F"/>
    <w:rsid w:val="00955972"/>
    <w:rsid w:val="00955A40"/>
    <w:rsid w:val="00955AEC"/>
    <w:rsid w:val="00955BA1"/>
    <w:rsid w:val="00955C72"/>
    <w:rsid w:val="00955DE1"/>
    <w:rsid w:val="00955E38"/>
    <w:rsid w:val="00955E5F"/>
    <w:rsid w:val="00955F76"/>
    <w:rsid w:val="009561AA"/>
    <w:rsid w:val="00956260"/>
    <w:rsid w:val="009565C5"/>
    <w:rsid w:val="009565EF"/>
    <w:rsid w:val="00956653"/>
    <w:rsid w:val="0095676C"/>
    <w:rsid w:val="009567BF"/>
    <w:rsid w:val="0095695F"/>
    <w:rsid w:val="009569C0"/>
    <w:rsid w:val="00956A9B"/>
    <w:rsid w:val="00956D11"/>
    <w:rsid w:val="0095702D"/>
    <w:rsid w:val="009570D2"/>
    <w:rsid w:val="00957190"/>
    <w:rsid w:val="0095722F"/>
    <w:rsid w:val="00957309"/>
    <w:rsid w:val="00957330"/>
    <w:rsid w:val="009573B3"/>
    <w:rsid w:val="00957506"/>
    <w:rsid w:val="00957672"/>
    <w:rsid w:val="009576D5"/>
    <w:rsid w:val="0095792B"/>
    <w:rsid w:val="00957A63"/>
    <w:rsid w:val="00957A7D"/>
    <w:rsid w:val="00957CD5"/>
    <w:rsid w:val="00957F22"/>
    <w:rsid w:val="00957FE0"/>
    <w:rsid w:val="00960040"/>
    <w:rsid w:val="0096011C"/>
    <w:rsid w:val="0096019F"/>
    <w:rsid w:val="009602AA"/>
    <w:rsid w:val="0096034D"/>
    <w:rsid w:val="00960542"/>
    <w:rsid w:val="0096057C"/>
    <w:rsid w:val="00960677"/>
    <w:rsid w:val="00960717"/>
    <w:rsid w:val="0096078C"/>
    <w:rsid w:val="009607A5"/>
    <w:rsid w:val="00960821"/>
    <w:rsid w:val="00960871"/>
    <w:rsid w:val="00960AC3"/>
    <w:rsid w:val="00960BCB"/>
    <w:rsid w:val="00960CBA"/>
    <w:rsid w:val="00960D75"/>
    <w:rsid w:val="00960E76"/>
    <w:rsid w:val="00960E77"/>
    <w:rsid w:val="00960F72"/>
    <w:rsid w:val="0096104D"/>
    <w:rsid w:val="0096107A"/>
    <w:rsid w:val="009610C4"/>
    <w:rsid w:val="00961163"/>
    <w:rsid w:val="00961209"/>
    <w:rsid w:val="00961271"/>
    <w:rsid w:val="009612A4"/>
    <w:rsid w:val="009612CB"/>
    <w:rsid w:val="009613BE"/>
    <w:rsid w:val="00961469"/>
    <w:rsid w:val="00961484"/>
    <w:rsid w:val="009614C1"/>
    <w:rsid w:val="0096150B"/>
    <w:rsid w:val="009616EA"/>
    <w:rsid w:val="0096170D"/>
    <w:rsid w:val="00961722"/>
    <w:rsid w:val="00961794"/>
    <w:rsid w:val="00961799"/>
    <w:rsid w:val="00961951"/>
    <w:rsid w:val="009619A4"/>
    <w:rsid w:val="00961C26"/>
    <w:rsid w:val="00961D6E"/>
    <w:rsid w:val="00961EC7"/>
    <w:rsid w:val="00961EE1"/>
    <w:rsid w:val="00961F1E"/>
    <w:rsid w:val="00962222"/>
    <w:rsid w:val="00962242"/>
    <w:rsid w:val="009622E5"/>
    <w:rsid w:val="0096231D"/>
    <w:rsid w:val="00962466"/>
    <w:rsid w:val="00962529"/>
    <w:rsid w:val="0096256E"/>
    <w:rsid w:val="009626DC"/>
    <w:rsid w:val="00962958"/>
    <w:rsid w:val="00962994"/>
    <w:rsid w:val="009629BD"/>
    <w:rsid w:val="009629D3"/>
    <w:rsid w:val="00962B3A"/>
    <w:rsid w:val="00962B4B"/>
    <w:rsid w:val="00963270"/>
    <w:rsid w:val="0096333D"/>
    <w:rsid w:val="009633E4"/>
    <w:rsid w:val="009633EB"/>
    <w:rsid w:val="0096340B"/>
    <w:rsid w:val="0096352A"/>
    <w:rsid w:val="0096363E"/>
    <w:rsid w:val="0096372A"/>
    <w:rsid w:val="009637ED"/>
    <w:rsid w:val="009638B7"/>
    <w:rsid w:val="0096390C"/>
    <w:rsid w:val="009639CF"/>
    <w:rsid w:val="009639F2"/>
    <w:rsid w:val="00963B63"/>
    <w:rsid w:val="00963B75"/>
    <w:rsid w:val="00963C1D"/>
    <w:rsid w:val="00963CBB"/>
    <w:rsid w:val="00963E20"/>
    <w:rsid w:val="00963F37"/>
    <w:rsid w:val="00963F3C"/>
    <w:rsid w:val="00963F3F"/>
    <w:rsid w:val="0096400A"/>
    <w:rsid w:val="009641A8"/>
    <w:rsid w:val="009646AF"/>
    <w:rsid w:val="009647DB"/>
    <w:rsid w:val="009648E7"/>
    <w:rsid w:val="00964966"/>
    <w:rsid w:val="009649C0"/>
    <w:rsid w:val="00964A42"/>
    <w:rsid w:val="00964A71"/>
    <w:rsid w:val="00964D0B"/>
    <w:rsid w:val="00964E16"/>
    <w:rsid w:val="00964F85"/>
    <w:rsid w:val="00965025"/>
    <w:rsid w:val="0096509C"/>
    <w:rsid w:val="00965416"/>
    <w:rsid w:val="00965425"/>
    <w:rsid w:val="00965516"/>
    <w:rsid w:val="00965653"/>
    <w:rsid w:val="00965655"/>
    <w:rsid w:val="00965697"/>
    <w:rsid w:val="009656A2"/>
    <w:rsid w:val="009656C3"/>
    <w:rsid w:val="009658A5"/>
    <w:rsid w:val="009658A6"/>
    <w:rsid w:val="0096595A"/>
    <w:rsid w:val="0096596C"/>
    <w:rsid w:val="00965A55"/>
    <w:rsid w:val="00965BA9"/>
    <w:rsid w:val="00965BBE"/>
    <w:rsid w:val="00965E46"/>
    <w:rsid w:val="00965EC7"/>
    <w:rsid w:val="00965FAC"/>
    <w:rsid w:val="00965FEE"/>
    <w:rsid w:val="0096607B"/>
    <w:rsid w:val="009662A4"/>
    <w:rsid w:val="0096639D"/>
    <w:rsid w:val="009663BF"/>
    <w:rsid w:val="0096643A"/>
    <w:rsid w:val="00966485"/>
    <w:rsid w:val="009664E2"/>
    <w:rsid w:val="009665D2"/>
    <w:rsid w:val="009666CA"/>
    <w:rsid w:val="00966A5F"/>
    <w:rsid w:val="00966D3D"/>
    <w:rsid w:val="00966E4C"/>
    <w:rsid w:val="00966FC1"/>
    <w:rsid w:val="00966FC6"/>
    <w:rsid w:val="00966FD0"/>
    <w:rsid w:val="0096701F"/>
    <w:rsid w:val="00967186"/>
    <w:rsid w:val="00967313"/>
    <w:rsid w:val="00967323"/>
    <w:rsid w:val="009673A8"/>
    <w:rsid w:val="009673AD"/>
    <w:rsid w:val="009674EF"/>
    <w:rsid w:val="0096756C"/>
    <w:rsid w:val="009675F1"/>
    <w:rsid w:val="00967683"/>
    <w:rsid w:val="00967805"/>
    <w:rsid w:val="0096783A"/>
    <w:rsid w:val="00967958"/>
    <w:rsid w:val="009679F9"/>
    <w:rsid w:val="00967AC5"/>
    <w:rsid w:val="00967AE1"/>
    <w:rsid w:val="00967B7B"/>
    <w:rsid w:val="00967F34"/>
    <w:rsid w:val="00967F99"/>
    <w:rsid w:val="0097002D"/>
    <w:rsid w:val="00970166"/>
    <w:rsid w:val="00970240"/>
    <w:rsid w:val="009704B0"/>
    <w:rsid w:val="00970634"/>
    <w:rsid w:val="0097065B"/>
    <w:rsid w:val="00970945"/>
    <w:rsid w:val="00970950"/>
    <w:rsid w:val="00970954"/>
    <w:rsid w:val="00970B29"/>
    <w:rsid w:val="00970C88"/>
    <w:rsid w:val="00970CA0"/>
    <w:rsid w:val="00970E2F"/>
    <w:rsid w:val="00970E97"/>
    <w:rsid w:val="00970E99"/>
    <w:rsid w:val="00970EA0"/>
    <w:rsid w:val="00970F11"/>
    <w:rsid w:val="00970FFD"/>
    <w:rsid w:val="00971069"/>
    <w:rsid w:val="00971081"/>
    <w:rsid w:val="0097119C"/>
    <w:rsid w:val="0097137C"/>
    <w:rsid w:val="0097144B"/>
    <w:rsid w:val="00971594"/>
    <w:rsid w:val="009715CB"/>
    <w:rsid w:val="00971682"/>
    <w:rsid w:val="00971876"/>
    <w:rsid w:val="00971928"/>
    <w:rsid w:val="00971995"/>
    <w:rsid w:val="00971A9D"/>
    <w:rsid w:val="00971B59"/>
    <w:rsid w:val="00971DED"/>
    <w:rsid w:val="00971E03"/>
    <w:rsid w:val="00971EEE"/>
    <w:rsid w:val="00971F8C"/>
    <w:rsid w:val="009720E0"/>
    <w:rsid w:val="00972231"/>
    <w:rsid w:val="00972585"/>
    <w:rsid w:val="0097268C"/>
    <w:rsid w:val="0097270C"/>
    <w:rsid w:val="0097276F"/>
    <w:rsid w:val="00972784"/>
    <w:rsid w:val="0097280C"/>
    <w:rsid w:val="009728BC"/>
    <w:rsid w:val="0097293F"/>
    <w:rsid w:val="00972AF4"/>
    <w:rsid w:val="00972B1F"/>
    <w:rsid w:val="00972E51"/>
    <w:rsid w:val="00972E9F"/>
    <w:rsid w:val="00972EB1"/>
    <w:rsid w:val="00972ED4"/>
    <w:rsid w:val="0097339A"/>
    <w:rsid w:val="0097362E"/>
    <w:rsid w:val="0097371D"/>
    <w:rsid w:val="00973768"/>
    <w:rsid w:val="0097378F"/>
    <w:rsid w:val="00973858"/>
    <w:rsid w:val="009738B5"/>
    <w:rsid w:val="0097391E"/>
    <w:rsid w:val="00973AD7"/>
    <w:rsid w:val="00973CF1"/>
    <w:rsid w:val="00973DC6"/>
    <w:rsid w:val="00974000"/>
    <w:rsid w:val="0097405F"/>
    <w:rsid w:val="0097415C"/>
    <w:rsid w:val="009741E1"/>
    <w:rsid w:val="009741FA"/>
    <w:rsid w:val="0097448D"/>
    <w:rsid w:val="009744E5"/>
    <w:rsid w:val="0097486A"/>
    <w:rsid w:val="00974B83"/>
    <w:rsid w:val="00974D4D"/>
    <w:rsid w:val="00974DCB"/>
    <w:rsid w:val="00974E34"/>
    <w:rsid w:val="00974FD8"/>
    <w:rsid w:val="00975054"/>
    <w:rsid w:val="009750BF"/>
    <w:rsid w:val="009750DB"/>
    <w:rsid w:val="0097515F"/>
    <w:rsid w:val="009751F5"/>
    <w:rsid w:val="00975492"/>
    <w:rsid w:val="009754EC"/>
    <w:rsid w:val="009756AE"/>
    <w:rsid w:val="00975705"/>
    <w:rsid w:val="00975844"/>
    <w:rsid w:val="009758B0"/>
    <w:rsid w:val="00975A8F"/>
    <w:rsid w:val="00975EF6"/>
    <w:rsid w:val="00975F84"/>
    <w:rsid w:val="0097613F"/>
    <w:rsid w:val="009761C4"/>
    <w:rsid w:val="009762FB"/>
    <w:rsid w:val="00976354"/>
    <w:rsid w:val="009763D8"/>
    <w:rsid w:val="009765E8"/>
    <w:rsid w:val="0097664F"/>
    <w:rsid w:val="0097666D"/>
    <w:rsid w:val="009766F6"/>
    <w:rsid w:val="00976B7C"/>
    <w:rsid w:val="00976CF8"/>
    <w:rsid w:val="00976DE1"/>
    <w:rsid w:val="00976E31"/>
    <w:rsid w:val="00977196"/>
    <w:rsid w:val="00977264"/>
    <w:rsid w:val="009773E2"/>
    <w:rsid w:val="009774DC"/>
    <w:rsid w:val="0097778E"/>
    <w:rsid w:val="00977842"/>
    <w:rsid w:val="009778B3"/>
    <w:rsid w:val="00977D10"/>
    <w:rsid w:val="00977D2D"/>
    <w:rsid w:val="00977DD3"/>
    <w:rsid w:val="00980130"/>
    <w:rsid w:val="0098014B"/>
    <w:rsid w:val="00980232"/>
    <w:rsid w:val="00980265"/>
    <w:rsid w:val="00980434"/>
    <w:rsid w:val="009806FC"/>
    <w:rsid w:val="00980AFE"/>
    <w:rsid w:val="00980B4C"/>
    <w:rsid w:val="00980C5B"/>
    <w:rsid w:val="00980D4A"/>
    <w:rsid w:val="00980EB8"/>
    <w:rsid w:val="00980F71"/>
    <w:rsid w:val="0098106F"/>
    <w:rsid w:val="00981176"/>
    <w:rsid w:val="00981195"/>
    <w:rsid w:val="009811FD"/>
    <w:rsid w:val="009813FB"/>
    <w:rsid w:val="00981461"/>
    <w:rsid w:val="00981578"/>
    <w:rsid w:val="009816B2"/>
    <w:rsid w:val="009816E0"/>
    <w:rsid w:val="009818A7"/>
    <w:rsid w:val="009818D2"/>
    <w:rsid w:val="009819C4"/>
    <w:rsid w:val="00981A22"/>
    <w:rsid w:val="00981A84"/>
    <w:rsid w:val="00981AA4"/>
    <w:rsid w:val="00981B1E"/>
    <w:rsid w:val="00981BB6"/>
    <w:rsid w:val="00981E26"/>
    <w:rsid w:val="00981E28"/>
    <w:rsid w:val="00981FA8"/>
    <w:rsid w:val="00981FAE"/>
    <w:rsid w:val="00982050"/>
    <w:rsid w:val="00982411"/>
    <w:rsid w:val="00982650"/>
    <w:rsid w:val="009826FC"/>
    <w:rsid w:val="00982831"/>
    <w:rsid w:val="00982AA5"/>
    <w:rsid w:val="00982AAA"/>
    <w:rsid w:val="00982E5F"/>
    <w:rsid w:val="00982EED"/>
    <w:rsid w:val="00982FBA"/>
    <w:rsid w:val="009830C8"/>
    <w:rsid w:val="009831E6"/>
    <w:rsid w:val="00983209"/>
    <w:rsid w:val="00983339"/>
    <w:rsid w:val="0098337A"/>
    <w:rsid w:val="0098363E"/>
    <w:rsid w:val="009836BC"/>
    <w:rsid w:val="009838B8"/>
    <w:rsid w:val="009838DE"/>
    <w:rsid w:val="00983960"/>
    <w:rsid w:val="00983983"/>
    <w:rsid w:val="009839F1"/>
    <w:rsid w:val="00983A05"/>
    <w:rsid w:val="00983B49"/>
    <w:rsid w:val="00983C0C"/>
    <w:rsid w:val="00983C70"/>
    <w:rsid w:val="00983E29"/>
    <w:rsid w:val="00983F27"/>
    <w:rsid w:val="00983F3B"/>
    <w:rsid w:val="00984023"/>
    <w:rsid w:val="00984033"/>
    <w:rsid w:val="00984173"/>
    <w:rsid w:val="009843CC"/>
    <w:rsid w:val="009843F9"/>
    <w:rsid w:val="00984530"/>
    <w:rsid w:val="00984577"/>
    <w:rsid w:val="00984890"/>
    <w:rsid w:val="009848AF"/>
    <w:rsid w:val="00984A5F"/>
    <w:rsid w:val="00984B45"/>
    <w:rsid w:val="00984CBF"/>
    <w:rsid w:val="00984E60"/>
    <w:rsid w:val="00984F05"/>
    <w:rsid w:val="00984F93"/>
    <w:rsid w:val="00985285"/>
    <w:rsid w:val="00985343"/>
    <w:rsid w:val="00985398"/>
    <w:rsid w:val="009853AA"/>
    <w:rsid w:val="00985564"/>
    <w:rsid w:val="00985584"/>
    <w:rsid w:val="009856FA"/>
    <w:rsid w:val="00985733"/>
    <w:rsid w:val="00985868"/>
    <w:rsid w:val="009858DE"/>
    <w:rsid w:val="00985949"/>
    <w:rsid w:val="00985958"/>
    <w:rsid w:val="00985974"/>
    <w:rsid w:val="0098597A"/>
    <w:rsid w:val="00985A61"/>
    <w:rsid w:val="00985B05"/>
    <w:rsid w:val="0098607E"/>
    <w:rsid w:val="00986348"/>
    <w:rsid w:val="0098634A"/>
    <w:rsid w:val="00986351"/>
    <w:rsid w:val="00986523"/>
    <w:rsid w:val="009865E8"/>
    <w:rsid w:val="00986602"/>
    <w:rsid w:val="00986624"/>
    <w:rsid w:val="00986852"/>
    <w:rsid w:val="009869B4"/>
    <w:rsid w:val="009869C8"/>
    <w:rsid w:val="00986AFC"/>
    <w:rsid w:val="00986B99"/>
    <w:rsid w:val="00986C1D"/>
    <w:rsid w:val="00986D87"/>
    <w:rsid w:val="00986E85"/>
    <w:rsid w:val="00986F0E"/>
    <w:rsid w:val="00986F0F"/>
    <w:rsid w:val="00987012"/>
    <w:rsid w:val="009870C2"/>
    <w:rsid w:val="009870FD"/>
    <w:rsid w:val="00987108"/>
    <w:rsid w:val="009871A3"/>
    <w:rsid w:val="00987286"/>
    <w:rsid w:val="009873A7"/>
    <w:rsid w:val="009874A0"/>
    <w:rsid w:val="0098750D"/>
    <w:rsid w:val="009878C4"/>
    <w:rsid w:val="00987947"/>
    <w:rsid w:val="00987AC8"/>
    <w:rsid w:val="00987ADC"/>
    <w:rsid w:val="00987B6E"/>
    <w:rsid w:val="00987B90"/>
    <w:rsid w:val="00987BA7"/>
    <w:rsid w:val="00987C86"/>
    <w:rsid w:val="00987F2F"/>
    <w:rsid w:val="00987FA4"/>
    <w:rsid w:val="00987FF8"/>
    <w:rsid w:val="0099005E"/>
    <w:rsid w:val="00990395"/>
    <w:rsid w:val="00990915"/>
    <w:rsid w:val="00990A6E"/>
    <w:rsid w:val="00990B16"/>
    <w:rsid w:val="00990C73"/>
    <w:rsid w:val="00990CE8"/>
    <w:rsid w:val="00990D61"/>
    <w:rsid w:val="009910B1"/>
    <w:rsid w:val="009910BF"/>
    <w:rsid w:val="0099114C"/>
    <w:rsid w:val="00991289"/>
    <w:rsid w:val="0099139F"/>
    <w:rsid w:val="00991510"/>
    <w:rsid w:val="00991534"/>
    <w:rsid w:val="009915FD"/>
    <w:rsid w:val="00991716"/>
    <w:rsid w:val="009918F6"/>
    <w:rsid w:val="009919E6"/>
    <w:rsid w:val="009919FD"/>
    <w:rsid w:val="00991AB6"/>
    <w:rsid w:val="00991B7B"/>
    <w:rsid w:val="00991DF8"/>
    <w:rsid w:val="00991F86"/>
    <w:rsid w:val="009921E0"/>
    <w:rsid w:val="009921FC"/>
    <w:rsid w:val="009922DB"/>
    <w:rsid w:val="00992323"/>
    <w:rsid w:val="0099234D"/>
    <w:rsid w:val="00992351"/>
    <w:rsid w:val="00992391"/>
    <w:rsid w:val="00992635"/>
    <w:rsid w:val="00992A0B"/>
    <w:rsid w:val="00992A6D"/>
    <w:rsid w:val="00992A7C"/>
    <w:rsid w:val="00992B34"/>
    <w:rsid w:val="00992B37"/>
    <w:rsid w:val="00992EE8"/>
    <w:rsid w:val="00992F70"/>
    <w:rsid w:val="00993353"/>
    <w:rsid w:val="0099337E"/>
    <w:rsid w:val="00993499"/>
    <w:rsid w:val="009934A7"/>
    <w:rsid w:val="0099361D"/>
    <w:rsid w:val="0099395A"/>
    <w:rsid w:val="00993997"/>
    <w:rsid w:val="00993A92"/>
    <w:rsid w:val="00993C78"/>
    <w:rsid w:val="00993CCF"/>
    <w:rsid w:val="00993D5A"/>
    <w:rsid w:val="00993DA3"/>
    <w:rsid w:val="009940C1"/>
    <w:rsid w:val="009940C8"/>
    <w:rsid w:val="009943B4"/>
    <w:rsid w:val="009943C3"/>
    <w:rsid w:val="00994881"/>
    <w:rsid w:val="00994A17"/>
    <w:rsid w:val="00994A35"/>
    <w:rsid w:val="00994B08"/>
    <w:rsid w:val="00994B7C"/>
    <w:rsid w:val="00994C3B"/>
    <w:rsid w:val="00994CC6"/>
    <w:rsid w:val="00994F28"/>
    <w:rsid w:val="00994F34"/>
    <w:rsid w:val="00995115"/>
    <w:rsid w:val="009951B3"/>
    <w:rsid w:val="00995513"/>
    <w:rsid w:val="009955B8"/>
    <w:rsid w:val="00995605"/>
    <w:rsid w:val="009959BE"/>
    <w:rsid w:val="00995D24"/>
    <w:rsid w:val="00995E43"/>
    <w:rsid w:val="00995E72"/>
    <w:rsid w:val="00995F9D"/>
    <w:rsid w:val="00995FB9"/>
    <w:rsid w:val="00995FE9"/>
    <w:rsid w:val="0099606D"/>
    <w:rsid w:val="009962CC"/>
    <w:rsid w:val="00996319"/>
    <w:rsid w:val="00996321"/>
    <w:rsid w:val="009964E7"/>
    <w:rsid w:val="009965D3"/>
    <w:rsid w:val="009965E8"/>
    <w:rsid w:val="00996720"/>
    <w:rsid w:val="00996925"/>
    <w:rsid w:val="00996B6B"/>
    <w:rsid w:val="00996B85"/>
    <w:rsid w:val="00996B95"/>
    <w:rsid w:val="00996CFE"/>
    <w:rsid w:val="00996DE0"/>
    <w:rsid w:val="00996E8F"/>
    <w:rsid w:val="00996E9D"/>
    <w:rsid w:val="00996EA2"/>
    <w:rsid w:val="00996F08"/>
    <w:rsid w:val="00996FB1"/>
    <w:rsid w:val="00996FED"/>
    <w:rsid w:val="00997120"/>
    <w:rsid w:val="00997180"/>
    <w:rsid w:val="00997215"/>
    <w:rsid w:val="00997239"/>
    <w:rsid w:val="009972E9"/>
    <w:rsid w:val="009974BC"/>
    <w:rsid w:val="009974CA"/>
    <w:rsid w:val="009975AC"/>
    <w:rsid w:val="009975DB"/>
    <w:rsid w:val="009976C7"/>
    <w:rsid w:val="00997741"/>
    <w:rsid w:val="009978F4"/>
    <w:rsid w:val="00997A5D"/>
    <w:rsid w:val="00997DB0"/>
    <w:rsid w:val="00997DE6"/>
    <w:rsid w:val="00997E8F"/>
    <w:rsid w:val="00997ECA"/>
    <w:rsid w:val="00997F8E"/>
    <w:rsid w:val="009A005C"/>
    <w:rsid w:val="009A041E"/>
    <w:rsid w:val="009A049D"/>
    <w:rsid w:val="009A05CA"/>
    <w:rsid w:val="009A0606"/>
    <w:rsid w:val="009A0886"/>
    <w:rsid w:val="009A09CA"/>
    <w:rsid w:val="009A0A27"/>
    <w:rsid w:val="009A0D3F"/>
    <w:rsid w:val="009A0DDA"/>
    <w:rsid w:val="009A10FA"/>
    <w:rsid w:val="009A134F"/>
    <w:rsid w:val="009A13D9"/>
    <w:rsid w:val="009A15BD"/>
    <w:rsid w:val="009A166F"/>
    <w:rsid w:val="009A16B9"/>
    <w:rsid w:val="009A171E"/>
    <w:rsid w:val="009A1A96"/>
    <w:rsid w:val="009A1B5A"/>
    <w:rsid w:val="009A1B81"/>
    <w:rsid w:val="009A1C0B"/>
    <w:rsid w:val="009A1CE6"/>
    <w:rsid w:val="009A1CFF"/>
    <w:rsid w:val="009A1E33"/>
    <w:rsid w:val="009A1E76"/>
    <w:rsid w:val="009A2197"/>
    <w:rsid w:val="009A220F"/>
    <w:rsid w:val="009A2376"/>
    <w:rsid w:val="009A2414"/>
    <w:rsid w:val="009A2437"/>
    <w:rsid w:val="009A2534"/>
    <w:rsid w:val="009A26BC"/>
    <w:rsid w:val="009A2714"/>
    <w:rsid w:val="009A2740"/>
    <w:rsid w:val="009A282D"/>
    <w:rsid w:val="009A2866"/>
    <w:rsid w:val="009A2897"/>
    <w:rsid w:val="009A29DA"/>
    <w:rsid w:val="009A2AE5"/>
    <w:rsid w:val="009A2B01"/>
    <w:rsid w:val="009A2E04"/>
    <w:rsid w:val="009A2E27"/>
    <w:rsid w:val="009A2E68"/>
    <w:rsid w:val="009A2F47"/>
    <w:rsid w:val="009A3007"/>
    <w:rsid w:val="009A307E"/>
    <w:rsid w:val="009A3135"/>
    <w:rsid w:val="009A322C"/>
    <w:rsid w:val="009A322D"/>
    <w:rsid w:val="009A3355"/>
    <w:rsid w:val="009A3378"/>
    <w:rsid w:val="009A361A"/>
    <w:rsid w:val="009A3AE0"/>
    <w:rsid w:val="009A3B16"/>
    <w:rsid w:val="009A3BEC"/>
    <w:rsid w:val="009A3DE5"/>
    <w:rsid w:val="009A3FC2"/>
    <w:rsid w:val="009A4018"/>
    <w:rsid w:val="009A40DC"/>
    <w:rsid w:val="009A4242"/>
    <w:rsid w:val="009A42E6"/>
    <w:rsid w:val="009A441C"/>
    <w:rsid w:val="009A4479"/>
    <w:rsid w:val="009A466E"/>
    <w:rsid w:val="009A466F"/>
    <w:rsid w:val="009A477A"/>
    <w:rsid w:val="009A48B2"/>
    <w:rsid w:val="009A48F0"/>
    <w:rsid w:val="009A492E"/>
    <w:rsid w:val="009A49A4"/>
    <w:rsid w:val="009A4A48"/>
    <w:rsid w:val="009A4A7E"/>
    <w:rsid w:val="009A4A80"/>
    <w:rsid w:val="009A4AE4"/>
    <w:rsid w:val="009A4AFA"/>
    <w:rsid w:val="009A4C7B"/>
    <w:rsid w:val="009A4CD8"/>
    <w:rsid w:val="009A4D31"/>
    <w:rsid w:val="009A4E6C"/>
    <w:rsid w:val="009A526C"/>
    <w:rsid w:val="009A543B"/>
    <w:rsid w:val="009A5543"/>
    <w:rsid w:val="009A55B8"/>
    <w:rsid w:val="009A55FC"/>
    <w:rsid w:val="009A598F"/>
    <w:rsid w:val="009A5A3D"/>
    <w:rsid w:val="009A5CAC"/>
    <w:rsid w:val="009A5D04"/>
    <w:rsid w:val="009A5D63"/>
    <w:rsid w:val="009A5D86"/>
    <w:rsid w:val="009A5E5E"/>
    <w:rsid w:val="009A5F5F"/>
    <w:rsid w:val="009A600F"/>
    <w:rsid w:val="009A62D7"/>
    <w:rsid w:val="009A638B"/>
    <w:rsid w:val="009A668C"/>
    <w:rsid w:val="009A671F"/>
    <w:rsid w:val="009A6728"/>
    <w:rsid w:val="009A68A2"/>
    <w:rsid w:val="009A68E2"/>
    <w:rsid w:val="009A6A69"/>
    <w:rsid w:val="009A6A97"/>
    <w:rsid w:val="009A6B2F"/>
    <w:rsid w:val="009A6B98"/>
    <w:rsid w:val="009A6C9D"/>
    <w:rsid w:val="009A6F92"/>
    <w:rsid w:val="009A70BA"/>
    <w:rsid w:val="009A71C7"/>
    <w:rsid w:val="009A724C"/>
    <w:rsid w:val="009A741D"/>
    <w:rsid w:val="009A7507"/>
    <w:rsid w:val="009A7604"/>
    <w:rsid w:val="009A76F9"/>
    <w:rsid w:val="009A78B3"/>
    <w:rsid w:val="009A79DD"/>
    <w:rsid w:val="009A7C97"/>
    <w:rsid w:val="009A7CD1"/>
    <w:rsid w:val="009B00A2"/>
    <w:rsid w:val="009B018B"/>
    <w:rsid w:val="009B0222"/>
    <w:rsid w:val="009B02D2"/>
    <w:rsid w:val="009B03E1"/>
    <w:rsid w:val="009B0475"/>
    <w:rsid w:val="009B049C"/>
    <w:rsid w:val="009B05E4"/>
    <w:rsid w:val="009B0681"/>
    <w:rsid w:val="009B078D"/>
    <w:rsid w:val="009B0865"/>
    <w:rsid w:val="009B0CD1"/>
    <w:rsid w:val="009B0ECD"/>
    <w:rsid w:val="009B0EEB"/>
    <w:rsid w:val="009B1260"/>
    <w:rsid w:val="009B146E"/>
    <w:rsid w:val="009B1714"/>
    <w:rsid w:val="009B180C"/>
    <w:rsid w:val="009B1898"/>
    <w:rsid w:val="009B193A"/>
    <w:rsid w:val="009B1DA2"/>
    <w:rsid w:val="009B1E9A"/>
    <w:rsid w:val="009B1ECA"/>
    <w:rsid w:val="009B1F03"/>
    <w:rsid w:val="009B2012"/>
    <w:rsid w:val="009B220F"/>
    <w:rsid w:val="009B2283"/>
    <w:rsid w:val="009B2388"/>
    <w:rsid w:val="009B23CA"/>
    <w:rsid w:val="009B23CF"/>
    <w:rsid w:val="009B2449"/>
    <w:rsid w:val="009B246E"/>
    <w:rsid w:val="009B2565"/>
    <w:rsid w:val="009B25AD"/>
    <w:rsid w:val="009B2784"/>
    <w:rsid w:val="009B2845"/>
    <w:rsid w:val="009B2849"/>
    <w:rsid w:val="009B28C3"/>
    <w:rsid w:val="009B2CFD"/>
    <w:rsid w:val="009B2D5B"/>
    <w:rsid w:val="009B2E7D"/>
    <w:rsid w:val="009B2EBF"/>
    <w:rsid w:val="009B3036"/>
    <w:rsid w:val="009B30E0"/>
    <w:rsid w:val="009B310D"/>
    <w:rsid w:val="009B34CB"/>
    <w:rsid w:val="009B34D9"/>
    <w:rsid w:val="009B3522"/>
    <w:rsid w:val="009B3556"/>
    <w:rsid w:val="009B36CB"/>
    <w:rsid w:val="009B36E7"/>
    <w:rsid w:val="009B3717"/>
    <w:rsid w:val="009B37F1"/>
    <w:rsid w:val="009B3850"/>
    <w:rsid w:val="009B396F"/>
    <w:rsid w:val="009B39AC"/>
    <w:rsid w:val="009B39CE"/>
    <w:rsid w:val="009B3B06"/>
    <w:rsid w:val="009B3BA4"/>
    <w:rsid w:val="009B3D8E"/>
    <w:rsid w:val="009B3DE3"/>
    <w:rsid w:val="009B3EE9"/>
    <w:rsid w:val="009B3F72"/>
    <w:rsid w:val="009B3FD8"/>
    <w:rsid w:val="009B415D"/>
    <w:rsid w:val="009B4192"/>
    <w:rsid w:val="009B41CF"/>
    <w:rsid w:val="009B41DC"/>
    <w:rsid w:val="009B420A"/>
    <w:rsid w:val="009B424C"/>
    <w:rsid w:val="009B43A8"/>
    <w:rsid w:val="009B453E"/>
    <w:rsid w:val="009B464C"/>
    <w:rsid w:val="009B49CE"/>
    <w:rsid w:val="009B4A02"/>
    <w:rsid w:val="009B4A95"/>
    <w:rsid w:val="009B4AF7"/>
    <w:rsid w:val="009B4BA9"/>
    <w:rsid w:val="009B4E66"/>
    <w:rsid w:val="009B4F02"/>
    <w:rsid w:val="009B4F8D"/>
    <w:rsid w:val="009B5179"/>
    <w:rsid w:val="009B52C7"/>
    <w:rsid w:val="009B5409"/>
    <w:rsid w:val="009B551B"/>
    <w:rsid w:val="009B55B7"/>
    <w:rsid w:val="009B5661"/>
    <w:rsid w:val="009B569C"/>
    <w:rsid w:val="009B5720"/>
    <w:rsid w:val="009B57E9"/>
    <w:rsid w:val="009B593F"/>
    <w:rsid w:val="009B5D5D"/>
    <w:rsid w:val="009B5DC0"/>
    <w:rsid w:val="009B6023"/>
    <w:rsid w:val="009B607B"/>
    <w:rsid w:val="009B609E"/>
    <w:rsid w:val="009B60E9"/>
    <w:rsid w:val="009B61C6"/>
    <w:rsid w:val="009B6250"/>
    <w:rsid w:val="009B625E"/>
    <w:rsid w:val="009B6279"/>
    <w:rsid w:val="009B6414"/>
    <w:rsid w:val="009B6477"/>
    <w:rsid w:val="009B6754"/>
    <w:rsid w:val="009B67A8"/>
    <w:rsid w:val="009B67C4"/>
    <w:rsid w:val="009B67D5"/>
    <w:rsid w:val="009B68BD"/>
    <w:rsid w:val="009B6936"/>
    <w:rsid w:val="009B69D6"/>
    <w:rsid w:val="009B6CCB"/>
    <w:rsid w:val="009B6E01"/>
    <w:rsid w:val="009B6E20"/>
    <w:rsid w:val="009B6EBD"/>
    <w:rsid w:val="009B6F45"/>
    <w:rsid w:val="009B6F88"/>
    <w:rsid w:val="009B704E"/>
    <w:rsid w:val="009B70AE"/>
    <w:rsid w:val="009B7145"/>
    <w:rsid w:val="009B7306"/>
    <w:rsid w:val="009B751D"/>
    <w:rsid w:val="009B754C"/>
    <w:rsid w:val="009B7925"/>
    <w:rsid w:val="009B79DF"/>
    <w:rsid w:val="009B7B61"/>
    <w:rsid w:val="009B7BED"/>
    <w:rsid w:val="009B7D2E"/>
    <w:rsid w:val="009B7DAC"/>
    <w:rsid w:val="009B7ECB"/>
    <w:rsid w:val="009B7FA8"/>
    <w:rsid w:val="009C0417"/>
    <w:rsid w:val="009C076A"/>
    <w:rsid w:val="009C07F0"/>
    <w:rsid w:val="009C07F5"/>
    <w:rsid w:val="009C0849"/>
    <w:rsid w:val="009C0868"/>
    <w:rsid w:val="009C092C"/>
    <w:rsid w:val="009C09D6"/>
    <w:rsid w:val="009C0B75"/>
    <w:rsid w:val="009C0BAE"/>
    <w:rsid w:val="009C0BD7"/>
    <w:rsid w:val="009C0CC0"/>
    <w:rsid w:val="009C0CD5"/>
    <w:rsid w:val="009C0DDF"/>
    <w:rsid w:val="009C0DFD"/>
    <w:rsid w:val="009C1104"/>
    <w:rsid w:val="009C1115"/>
    <w:rsid w:val="009C1118"/>
    <w:rsid w:val="009C111A"/>
    <w:rsid w:val="009C122E"/>
    <w:rsid w:val="009C136F"/>
    <w:rsid w:val="009C1414"/>
    <w:rsid w:val="009C1471"/>
    <w:rsid w:val="009C166E"/>
    <w:rsid w:val="009C1770"/>
    <w:rsid w:val="009C1835"/>
    <w:rsid w:val="009C18E1"/>
    <w:rsid w:val="009C18E9"/>
    <w:rsid w:val="009C1A02"/>
    <w:rsid w:val="009C1ACA"/>
    <w:rsid w:val="009C1B42"/>
    <w:rsid w:val="009C1B80"/>
    <w:rsid w:val="009C1D15"/>
    <w:rsid w:val="009C1E7C"/>
    <w:rsid w:val="009C21A3"/>
    <w:rsid w:val="009C2203"/>
    <w:rsid w:val="009C2243"/>
    <w:rsid w:val="009C226B"/>
    <w:rsid w:val="009C22BE"/>
    <w:rsid w:val="009C24B0"/>
    <w:rsid w:val="009C25B0"/>
    <w:rsid w:val="009C2605"/>
    <w:rsid w:val="009C268D"/>
    <w:rsid w:val="009C2BC0"/>
    <w:rsid w:val="009C2BD3"/>
    <w:rsid w:val="009C2E4B"/>
    <w:rsid w:val="009C2EC3"/>
    <w:rsid w:val="009C2EC5"/>
    <w:rsid w:val="009C2ED6"/>
    <w:rsid w:val="009C2FA0"/>
    <w:rsid w:val="009C2FB2"/>
    <w:rsid w:val="009C303D"/>
    <w:rsid w:val="009C31B1"/>
    <w:rsid w:val="009C31FE"/>
    <w:rsid w:val="009C33F7"/>
    <w:rsid w:val="009C3481"/>
    <w:rsid w:val="009C34AF"/>
    <w:rsid w:val="009C35D8"/>
    <w:rsid w:val="009C3725"/>
    <w:rsid w:val="009C383C"/>
    <w:rsid w:val="009C38C4"/>
    <w:rsid w:val="009C3D92"/>
    <w:rsid w:val="009C3DF2"/>
    <w:rsid w:val="009C3E82"/>
    <w:rsid w:val="009C4033"/>
    <w:rsid w:val="009C40BD"/>
    <w:rsid w:val="009C40BE"/>
    <w:rsid w:val="009C426B"/>
    <w:rsid w:val="009C4318"/>
    <w:rsid w:val="009C4445"/>
    <w:rsid w:val="009C449A"/>
    <w:rsid w:val="009C4535"/>
    <w:rsid w:val="009C4579"/>
    <w:rsid w:val="009C45A2"/>
    <w:rsid w:val="009C45B4"/>
    <w:rsid w:val="009C461E"/>
    <w:rsid w:val="009C4625"/>
    <w:rsid w:val="009C4634"/>
    <w:rsid w:val="009C468F"/>
    <w:rsid w:val="009C4701"/>
    <w:rsid w:val="009C473E"/>
    <w:rsid w:val="009C479C"/>
    <w:rsid w:val="009C47BE"/>
    <w:rsid w:val="009C4B64"/>
    <w:rsid w:val="009C4B89"/>
    <w:rsid w:val="009C4BB4"/>
    <w:rsid w:val="009C4BCB"/>
    <w:rsid w:val="009C4BD6"/>
    <w:rsid w:val="009C4C6F"/>
    <w:rsid w:val="009C4CB3"/>
    <w:rsid w:val="009C4D2D"/>
    <w:rsid w:val="009C4DAA"/>
    <w:rsid w:val="009C502C"/>
    <w:rsid w:val="009C5041"/>
    <w:rsid w:val="009C528F"/>
    <w:rsid w:val="009C5330"/>
    <w:rsid w:val="009C5477"/>
    <w:rsid w:val="009C5515"/>
    <w:rsid w:val="009C5538"/>
    <w:rsid w:val="009C5612"/>
    <w:rsid w:val="009C5713"/>
    <w:rsid w:val="009C5747"/>
    <w:rsid w:val="009C579E"/>
    <w:rsid w:val="009C58A7"/>
    <w:rsid w:val="009C58BA"/>
    <w:rsid w:val="009C5BCF"/>
    <w:rsid w:val="009C5C56"/>
    <w:rsid w:val="009C5CB2"/>
    <w:rsid w:val="009C605C"/>
    <w:rsid w:val="009C622A"/>
    <w:rsid w:val="009C64E0"/>
    <w:rsid w:val="009C6592"/>
    <w:rsid w:val="009C673B"/>
    <w:rsid w:val="009C6764"/>
    <w:rsid w:val="009C680B"/>
    <w:rsid w:val="009C693C"/>
    <w:rsid w:val="009C6AD7"/>
    <w:rsid w:val="009C6AF1"/>
    <w:rsid w:val="009C6BAB"/>
    <w:rsid w:val="009C6CA8"/>
    <w:rsid w:val="009C6D43"/>
    <w:rsid w:val="009C6E5A"/>
    <w:rsid w:val="009C6E62"/>
    <w:rsid w:val="009C6E9D"/>
    <w:rsid w:val="009C6EFB"/>
    <w:rsid w:val="009C713F"/>
    <w:rsid w:val="009C7188"/>
    <w:rsid w:val="009C719B"/>
    <w:rsid w:val="009C71A6"/>
    <w:rsid w:val="009C71DC"/>
    <w:rsid w:val="009C7271"/>
    <w:rsid w:val="009C72D1"/>
    <w:rsid w:val="009C74A7"/>
    <w:rsid w:val="009C771B"/>
    <w:rsid w:val="009C79A7"/>
    <w:rsid w:val="009C79B5"/>
    <w:rsid w:val="009C7B61"/>
    <w:rsid w:val="009C7B9F"/>
    <w:rsid w:val="009C7BC8"/>
    <w:rsid w:val="009C7D1C"/>
    <w:rsid w:val="009C7D27"/>
    <w:rsid w:val="009C7D2C"/>
    <w:rsid w:val="009C7D46"/>
    <w:rsid w:val="009C7E3E"/>
    <w:rsid w:val="009C7E68"/>
    <w:rsid w:val="009C7E9C"/>
    <w:rsid w:val="009C7F05"/>
    <w:rsid w:val="009C7F09"/>
    <w:rsid w:val="009C7FA4"/>
    <w:rsid w:val="009D001F"/>
    <w:rsid w:val="009D003B"/>
    <w:rsid w:val="009D0272"/>
    <w:rsid w:val="009D0315"/>
    <w:rsid w:val="009D031D"/>
    <w:rsid w:val="009D036B"/>
    <w:rsid w:val="009D03E2"/>
    <w:rsid w:val="009D0505"/>
    <w:rsid w:val="009D059D"/>
    <w:rsid w:val="009D05A2"/>
    <w:rsid w:val="009D0810"/>
    <w:rsid w:val="009D0840"/>
    <w:rsid w:val="009D0992"/>
    <w:rsid w:val="009D0C2F"/>
    <w:rsid w:val="009D0CC6"/>
    <w:rsid w:val="009D0E8A"/>
    <w:rsid w:val="009D0EE4"/>
    <w:rsid w:val="009D10AE"/>
    <w:rsid w:val="009D1164"/>
    <w:rsid w:val="009D1342"/>
    <w:rsid w:val="009D138E"/>
    <w:rsid w:val="009D13A9"/>
    <w:rsid w:val="009D153E"/>
    <w:rsid w:val="009D1572"/>
    <w:rsid w:val="009D16EE"/>
    <w:rsid w:val="009D1736"/>
    <w:rsid w:val="009D1811"/>
    <w:rsid w:val="009D183F"/>
    <w:rsid w:val="009D1B2F"/>
    <w:rsid w:val="009D1B68"/>
    <w:rsid w:val="009D1B6A"/>
    <w:rsid w:val="009D1C22"/>
    <w:rsid w:val="009D1F32"/>
    <w:rsid w:val="009D20EE"/>
    <w:rsid w:val="009D2271"/>
    <w:rsid w:val="009D2435"/>
    <w:rsid w:val="009D243C"/>
    <w:rsid w:val="009D256E"/>
    <w:rsid w:val="009D25E7"/>
    <w:rsid w:val="009D2601"/>
    <w:rsid w:val="009D2661"/>
    <w:rsid w:val="009D2668"/>
    <w:rsid w:val="009D2673"/>
    <w:rsid w:val="009D27D7"/>
    <w:rsid w:val="009D29AC"/>
    <w:rsid w:val="009D2A48"/>
    <w:rsid w:val="009D2B1B"/>
    <w:rsid w:val="009D2C18"/>
    <w:rsid w:val="009D2C47"/>
    <w:rsid w:val="009D3078"/>
    <w:rsid w:val="009D30A4"/>
    <w:rsid w:val="009D31C3"/>
    <w:rsid w:val="009D3310"/>
    <w:rsid w:val="009D3313"/>
    <w:rsid w:val="009D335D"/>
    <w:rsid w:val="009D362D"/>
    <w:rsid w:val="009D385C"/>
    <w:rsid w:val="009D392B"/>
    <w:rsid w:val="009D39D0"/>
    <w:rsid w:val="009D3BD7"/>
    <w:rsid w:val="009D3C35"/>
    <w:rsid w:val="009D3CEF"/>
    <w:rsid w:val="009D3D36"/>
    <w:rsid w:val="009D3E4D"/>
    <w:rsid w:val="009D3F7D"/>
    <w:rsid w:val="009D41AD"/>
    <w:rsid w:val="009D42B9"/>
    <w:rsid w:val="009D43D1"/>
    <w:rsid w:val="009D443F"/>
    <w:rsid w:val="009D4478"/>
    <w:rsid w:val="009D467A"/>
    <w:rsid w:val="009D4699"/>
    <w:rsid w:val="009D46B4"/>
    <w:rsid w:val="009D4736"/>
    <w:rsid w:val="009D4B2C"/>
    <w:rsid w:val="009D4B5B"/>
    <w:rsid w:val="009D4D1F"/>
    <w:rsid w:val="009D4DE9"/>
    <w:rsid w:val="009D4EA3"/>
    <w:rsid w:val="009D4EAF"/>
    <w:rsid w:val="009D4FC2"/>
    <w:rsid w:val="009D5293"/>
    <w:rsid w:val="009D52F9"/>
    <w:rsid w:val="009D530B"/>
    <w:rsid w:val="009D533C"/>
    <w:rsid w:val="009D54DB"/>
    <w:rsid w:val="009D55E1"/>
    <w:rsid w:val="009D56BE"/>
    <w:rsid w:val="009D570B"/>
    <w:rsid w:val="009D58B1"/>
    <w:rsid w:val="009D59CE"/>
    <w:rsid w:val="009D59DD"/>
    <w:rsid w:val="009D5A33"/>
    <w:rsid w:val="009D5A69"/>
    <w:rsid w:val="009D5AB3"/>
    <w:rsid w:val="009D5B39"/>
    <w:rsid w:val="009D5B83"/>
    <w:rsid w:val="009D5BF3"/>
    <w:rsid w:val="009D5CC2"/>
    <w:rsid w:val="009D5D21"/>
    <w:rsid w:val="009D5E33"/>
    <w:rsid w:val="009D5EEE"/>
    <w:rsid w:val="009D6143"/>
    <w:rsid w:val="009D6159"/>
    <w:rsid w:val="009D61A3"/>
    <w:rsid w:val="009D654D"/>
    <w:rsid w:val="009D6699"/>
    <w:rsid w:val="009D67FC"/>
    <w:rsid w:val="009D6913"/>
    <w:rsid w:val="009D69A3"/>
    <w:rsid w:val="009D6C54"/>
    <w:rsid w:val="009D6DFB"/>
    <w:rsid w:val="009D6E1E"/>
    <w:rsid w:val="009D702D"/>
    <w:rsid w:val="009D71C1"/>
    <w:rsid w:val="009D7317"/>
    <w:rsid w:val="009D7320"/>
    <w:rsid w:val="009D7472"/>
    <w:rsid w:val="009D75BB"/>
    <w:rsid w:val="009D760B"/>
    <w:rsid w:val="009D7885"/>
    <w:rsid w:val="009D78EF"/>
    <w:rsid w:val="009D7A70"/>
    <w:rsid w:val="009D7A9C"/>
    <w:rsid w:val="009D7AAB"/>
    <w:rsid w:val="009D7BF7"/>
    <w:rsid w:val="009D7D14"/>
    <w:rsid w:val="009D7DA2"/>
    <w:rsid w:val="009D7E55"/>
    <w:rsid w:val="009D7ED7"/>
    <w:rsid w:val="009D7F71"/>
    <w:rsid w:val="009D8201"/>
    <w:rsid w:val="009E01C2"/>
    <w:rsid w:val="009E032E"/>
    <w:rsid w:val="009E0383"/>
    <w:rsid w:val="009E03A7"/>
    <w:rsid w:val="009E04B5"/>
    <w:rsid w:val="009E04D0"/>
    <w:rsid w:val="009E050D"/>
    <w:rsid w:val="009E06FD"/>
    <w:rsid w:val="009E0714"/>
    <w:rsid w:val="009E074D"/>
    <w:rsid w:val="009E075C"/>
    <w:rsid w:val="009E0822"/>
    <w:rsid w:val="009E0836"/>
    <w:rsid w:val="009E0A59"/>
    <w:rsid w:val="009E0A5D"/>
    <w:rsid w:val="009E0B0D"/>
    <w:rsid w:val="009E0B9E"/>
    <w:rsid w:val="009E1110"/>
    <w:rsid w:val="009E1125"/>
    <w:rsid w:val="009E11BD"/>
    <w:rsid w:val="009E131C"/>
    <w:rsid w:val="009E13BA"/>
    <w:rsid w:val="009E16AF"/>
    <w:rsid w:val="009E1700"/>
    <w:rsid w:val="009E1705"/>
    <w:rsid w:val="009E1781"/>
    <w:rsid w:val="009E17F0"/>
    <w:rsid w:val="009E17F5"/>
    <w:rsid w:val="009E17F8"/>
    <w:rsid w:val="009E18E6"/>
    <w:rsid w:val="009E195C"/>
    <w:rsid w:val="009E19DC"/>
    <w:rsid w:val="009E1AC9"/>
    <w:rsid w:val="009E1C72"/>
    <w:rsid w:val="009E1D1A"/>
    <w:rsid w:val="009E1DF8"/>
    <w:rsid w:val="009E1E16"/>
    <w:rsid w:val="009E1E97"/>
    <w:rsid w:val="009E2109"/>
    <w:rsid w:val="009E2155"/>
    <w:rsid w:val="009E226C"/>
    <w:rsid w:val="009E22D1"/>
    <w:rsid w:val="009E2481"/>
    <w:rsid w:val="009E25D5"/>
    <w:rsid w:val="009E26EC"/>
    <w:rsid w:val="009E270F"/>
    <w:rsid w:val="009E2746"/>
    <w:rsid w:val="009E2DBD"/>
    <w:rsid w:val="009E2EB5"/>
    <w:rsid w:val="009E2EE8"/>
    <w:rsid w:val="009E2EF5"/>
    <w:rsid w:val="009E30AE"/>
    <w:rsid w:val="009E318B"/>
    <w:rsid w:val="009E32C5"/>
    <w:rsid w:val="009E3392"/>
    <w:rsid w:val="009E33DF"/>
    <w:rsid w:val="009E3458"/>
    <w:rsid w:val="009E34C1"/>
    <w:rsid w:val="009E3530"/>
    <w:rsid w:val="009E3541"/>
    <w:rsid w:val="009E35B4"/>
    <w:rsid w:val="009E37AB"/>
    <w:rsid w:val="009E387E"/>
    <w:rsid w:val="009E38E2"/>
    <w:rsid w:val="009E3A3E"/>
    <w:rsid w:val="009E3B44"/>
    <w:rsid w:val="009E3DB3"/>
    <w:rsid w:val="009E3F96"/>
    <w:rsid w:val="009E4005"/>
    <w:rsid w:val="009E4123"/>
    <w:rsid w:val="009E4191"/>
    <w:rsid w:val="009E41A8"/>
    <w:rsid w:val="009E4237"/>
    <w:rsid w:val="009E43B4"/>
    <w:rsid w:val="009E4860"/>
    <w:rsid w:val="009E48F6"/>
    <w:rsid w:val="009E48F7"/>
    <w:rsid w:val="009E4AC5"/>
    <w:rsid w:val="009E4BE3"/>
    <w:rsid w:val="009E4BE7"/>
    <w:rsid w:val="009E4E58"/>
    <w:rsid w:val="009E4EB1"/>
    <w:rsid w:val="009E4F90"/>
    <w:rsid w:val="009E5018"/>
    <w:rsid w:val="009E50F9"/>
    <w:rsid w:val="009E52A7"/>
    <w:rsid w:val="009E5335"/>
    <w:rsid w:val="009E562C"/>
    <w:rsid w:val="009E565B"/>
    <w:rsid w:val="009E574D"/>
    <w:rsid w:val="009E57E0"/>
    <w:rsid w:val="009E5AF5"/>
    <w:rsid w:val="009E5B02"/>
    <w:rsid w:val="009E5D6B"/>
    <w:rsid w:val="009E5E88"/>
    <w:rsid w:val="009E5F0E"/>
    <w:rsid w:val="009E6360"/>
    <w:rsid w:val="009E6379"/>
    <w:rsid w:val="009E6514"/>
    <w:rsid w:val="009E65FD"/>
    <w:rsid w:val="009E6612"/>
    <w:rsid w:val="009E69DC"/>
    <w:rsid w:val="009E6AC2"/>
    <w:rsid w:val="009E6C9E"/>
    <w:rsid w:val="009E6E18"/>
    <w:rsid w:val="009E6E49"/>
    <w:rsid w:val="009E718A"/>
    <w:rsid w:val="009E72BA"/>
    <w:rsid w:val="009E735A"/>
    <w:rsid w:val="009E7372"/>
    <w:rsid w:val="009E73CF"/>
    <w:rsid w:val="009E750A"/>
    <w:rsid w:val="009E7522"/>
    <w:rsid w:val="009E7601"/>
    <w:rsid w:val="009E766D"/>
    <w:rsid w:val="009E799E"/>
    <w:rsid w:val="009E7A9C"/>
    <w:rsid w:val="009E7AEE"/>
    <w:rsid w:val="009E7B63"/>
    <w:rsid w:val="009E7C12"/>
    <w:rsid w:val="009F0233"/>
    <w:rsid w:val="009F03B0"/>
    <w:rsid w:val="009F047E"/>
    <w:rsid w:val="009F0490"/>
    <w:rsid w:val="009F074E"/>
    <w:rsid w:val="009F0B80"/>
    <w:rsid w:val="009F0B88"/>
    <w:rsid w:val="009F0BC1"/>
    <w:rsid w:val="009F0BD0"/>
    <w:rsid w:val="009F0C96"/>
    <w:rsid w:val="009F0D70"/>
    <w:rsid w:val="009F10AE"/>
    <w:rsid w:val="009F11CC"/>
    <w:rsid w:val="009F14AC"/>
    <w:rsid w:val="009F151B"/>
    <w:rsid w:val="009F1578"/>
    <w:rsid w:val="009F158B"/>
    <w:rsid w:val="009F15BF"/>
    <w:rsid w:val="009F1688"/>
    <w:rsid w:val="009F169B"/>
    <w:rsid w:val="009F16B9"/>
    <w:rsid w:val="009F16C3"/>
    <w:rsid w:val="009F1763"/>
    <w:rsid w:val="009F17FA"/>
    <w:rsid w:val="009F1AE4"/>
    <w:rsid w:val="009F1C9E"/>
    <w:rsid w:val="009F1D64"/>
    <w:rsid w:val="009F1FE1"/>
    <w:rsid w:val="009F2036"/>
    <w:rsid w:val="009F21E2"/>
    <w:rsid w:val="009F22C4"/>
    <w:rsid w:val="009F2567"/>
    <w:rsid w:val="009F2582"/>
    <w:rsid w:val="009F26A3"/>
    <w:rsid w:val="009F2754"/>
    <w:rsid w:val="009F2764"/>
    <w:rsid w:val="009F28B9"/>
    <w:rsid w:val="009F2A7B"/>
    <w:rsid w:val="009F2B4F"/>
    <w:rsid w:val="009F2B70"/>
    <w:rsid w:val="009F2C16"/>
    <w:rsid w:val="009F2C8C"/>
    <w:rsid w:val="009F2DA6"/>
    <w:rsid w:val="009F2EFA"/>
    <w:rsid w:val="009F2F62"/>
    <w:rsid w:val="009F2FA7"/>
    <w:rsid w:val="009F300E"/>
    <w:rsid w:val="009F3132"/>
    <w:rsid w:val="009F32CB"/>
    <w:rsid w:val="009F3539"/>
    <w:rsid w:val="009F3573"/>
    <w:rsid w:val="009F3633"/>
    <w:rsid w:val="009F3657"/>
    <w:rsid w:val="009F3669"/>
    <w:rsid w:val="009F37EF"/>
    <w:rsid w:val="009F3881"/>
    <w:rsid w:val="009F38AF"/>
    <w:rsid w:val="009F38B0"/>
    <w:rsid w:val="009F3A4F"/>
    <w:rsid w:val="009F3B45"/>
    <w:rsid w:val="009F3C1C"/>
    <w:rsid w:val="009F3C50"/>
    <w:rsid w:val="009F3CA9"/>
    <w:rsid w:val="009F3CD5"/>
    <w:rsid w:val="009F3CED"/>
    <w:rsid w:val="009F3E07"/>
    <w:rsid w:val="009F40B2"/>
    <w:rsid w:val="009F40C5"/>
    <w:rsid w:val="009F40DE"/>
    <w:rsid w:val="009F41DF"/>
    <w:rsid w:val="009F41FF"/>
    <w:rsid w:val="009F42E9"/>
    <w:rsid w:val="009F4410"/>
    <w:rsid w:val="009F4455"/>
    <w:rsid w:val="009F461F"/>
    <w:rsid w:val="009F4700"/>
    <w:rsid w:val="009F4903"/>
    <w:rsid w:val="009F4B5F"/>
    <w:rsid w:val="009F4E9C"/>
    <w:rsid w:val="009F4F4F"/>
    <w:rsid w:val="009F4F97"/>
    <w:rsid w:val="009F5021"/>
    <w:rsid w:val="009F50C0"/>
    <w:rsid w:val="009F50F7"/>
    <w:rsid w:val="009F5209"/>
    <w:rsid w:val="009F533A"/>
    <w:rsid w:val="009F54F0"/>
    <w:rsid w:val="009F5541"/>
    <w:rsid w:val="009F5741"/>
    <w:rsid w:val="009F59FD"/>
    <w:rsid w:val="009F5C26"/>
    <w:rsid w:val="009F5E51"/>
    <w:rsid w:val="009F600C"/>
    <w:rsid w:val="009F611C"/>
    <w:rsid w:val="009F6125"/>
    <w:rsid w:val="009F61F4"/>
    <w:rsid w:val="009F6243"/>
    <w:rsid w:val="009F634B"/>
    <w:rsid w:val="009F6425"/>
    <w:rsid w:val="009F6799"/>
    <w:rsid w:val="009F6874"/>
    <w:rsid w:val="009F6AB5"/>
    <w:rsid w:val="009F6B60"/>
    <w:rsid w:val="009F6C52"/>
    <w:rsid w:val="009F6C79"/>
    <w:rsid w:val="009F6D7F"/>
    <w:rsid w:val="009F6D89"/>
    <w:rsid w:val="009F6E16"/>
    <w:rsid w:val="009F6F2D"/>
    <w:rsid w:val="009F715C"/>
    <w:rsid w:val="009F7191"/>
    <w:rsid w:val="009F7280"/>
    <w:rsid w:val="009F736C"/>
    <w:rsid w:val="009F758E"/>
    <w:rsid w:val="009F772E"/>
    <w:rsid w:val="009F7765"/>
    <w:rsid w:val="009F7770"/>
    <w:rsid w:val="009F77DF"/>
    <w:rsid w:val="009F7839"/>
    <w:rsid w:val="009F7914"/>
    <w:rsid w:val="009F7A0F"/>
    <w:rsid w:val="009F7E48"/>
    <w:rsid w:val="009F7F6E"/>
    <w:rsid w:val="009F7F6F"/>
    <w:rsid w:val="00A002E9"/>
    <w:rsid w:val="00A003F3"/>
    <w:rsid w:val="00A003FA"/>
    <w:rsid w:val="00A00472"/>
    <w:rsid w:val="00A0054A"/>
    <w:rsid w:val="00A005BC"/>
    <w:rsid w:val="00A00616"/>
    <w:rsid w:val="00A00627"/>
    <w:rsid w:val="00A00629"/>
    <w:rsid w:val="00A00738"/>
    <w:rsid w:val="00A0099E"/>
    <w:rsid w:val="00A009A2"/>
    <w:rsid w:val="00A00A5E"/>
    <w:rsid w:val="00A00C18"/>
    <w:rsid w:val="00A00C87"/>
    <w:rsid w:val="00A00D18"/>
    <w:rsid w:val="00A00D1D"/>
    <w:rsid w:val="00A00D89"/>
    <w:rsid w:val="00A00F98"/>
    <w:rsid w:val="00A01026"/>
    <w:rsid w:val="00A012F7"/>
    <w:rsid w:val="00A01307"/>
    <w:rsid w:val="00A01527"/>
    <w:rsid w:val="00A018D4"/>
    <w:rsid w:val="00A019E2"/>
    <w:rsid w:val="00A01A34"/>
    <w:rsid w:val="00A01A74"/>
    <w:rsid w:val="00A01B2A"/>
    <w:rsid w:val="00A01B69"/>
    <w:rsid w:val="00A01BF8"/>
    <w:rsid w:val="00A01F01"/>
    <w:rsid w:val="00A021A6"/>
    <w:rsid w:val="00A02215"/>
    <w:rsid w:val="00A02258"/>
    <w:rsid w:val="00A0228F"/>
    <w:rsid w:val="00A023B9"/>
    <w:rsid w:val="00A024E8"/>
    <w:rsid w:val="00A02558"/>
    <w:rsid w:val="00A025D5"/>
    <w:rsid w:val="00A026DB"/>
    <w:rsid w:val="00A0282D"/>
    <w:rsid w:val="00A0283A"/>
    <w:rsid w:val="00A028FB"/>
    <w:rsid w:val="00A02AA1"/>
    <w:rsid w:val="00A02D78"/>
    <w:rsid w:val="00A03001"/>
    <w:rsid w:val="00A0306D"/>
    <w:rsid w:val="00A03090"/>
    <w:rsid w:val="00A03144"/>
    <w:rsid w:val="00A032E6"/>
    <w:rsid w:val="00A03695"/>
    <w:rsid w:val="00A0393B"/>
    <w:rsid w:val="00A03A68"/>
    <w:rsid w:val="00A03AD7"/>
    <w:rsid w:val="00A03E4F"/>
    <w:rsid w:val="00A03ECD"/>
    <w:rsid w:val="00A040B3"/>
    <w:rsid w:val="00A040DC"/>
    <w:rsid w:val="00A0452E"/>
    <w:rsid w:val="00A04695"/>
    <w:rsid w:val="00A047FB"/>
    <w:rsid w:val="00A04AA6"/>
    <w:rsid w:val="00A04AD4"/>
    <w:rsid w:val="00A04ADE"/>
    <w:rsid w:val="00A04D9F"/>
    <w:rsid w:val="00A04E13"/>
    <w:rsid w:val="00A05025"/>
    <w:rsid w:val="00A0505D"/>
    <w:rsid w:val="00A050A5"/>
    <w:rsid w:val="00A05137"/>
    <w:rsid w:val="00A0532F"/>
    <w:rsid w:val="00A053EF"/>
    <w:rsid w:val="00A054FB"/>
    <w:rsid w:val="00A05546"/>
    <w:rsid w:val="00A0570E"/>
    <w:rsid w:val="00A057C4"/>
    <w:rsid w:val="00A057C7"/>
    <w:rsid w:val="00A0585F"/>
    <w:rsid w:val="00A05903"/>
    <w:rsid w:val="00A05945"/>
    <w:rsid w:val="00A059B2"/>
    <w:rsid w:val="00A05A23"/>
    <w:rsid w:val="00A05AE6"/>
    <w:rsid w:val="00A05BD6"/>
    <w:rsid w:val="00A05C5E"/>
    <w:rsid w:val="00A05CEF"/>
    <w:rsid w:val="00A05E3F"/>
    <w:rsid w:val="00A05F55"/>
    <w:rsid w:val="00A06062"/>
    <w:rsid w:val="00A0621C"/>
    <w:rsid w:val="00A06227"/>
    <w:rsid w:val="00A062A4"/>
    <w:rsid w:val="00A062A5"/>
    <w:rsid w:val="00A064E9"/>
    <w:rsid w:val="00A06547"/>
    <w:rsid w:val="00A0667C"/>
    <w:rsid w:val="00A066E5"/>
    <w:rsid w:val="00A0676A"/>
    <w:rsid w:val="00A067AE"/>
    <w:rsid w:val="00A06A5A"/>
    <w:rsid w:val="00A06ACB"/>
    <w:rsid w:val="00A06B7B"/>
    <w:rsid w:val="00A06CE4"/>
    <w:rsid w:val="00A06CEA"/>
    <w:rsid w:val="00A06D95"/>
    <w:rsid w:val="00A06DEA"/>
    <w:rsid w:val="00A06E1A"/>
    <w:rsid w:val="00A06F63"/>
    <w:rsid w:val="00A06FF7"/>
    <w:rsid w:val="00A07032"/>
    <w:rsid w:val="00A0709A"/>
    <w:rsid w:val="00A07131"/>
    <w:rsid w:val="00A0719C"/>
    <w:rsid w:val="00A071DF"/>
    <w:rsid w:val="00A07249"/>
    <w:rsid w:val="00A0724F"/>
    <w:rsid w:val="00A072EC"/>
    <w:rsid w:val="00A07511"/>
    <w:rsid w:val="00A077F7"/>
    <w:rsid w:val="00A07900"/>
    <w:rsid w:val="00A079E7"/>
    <w:rsid w:val="00A07AF9"/>
    <w:rsid w:val="00A07CDC"/>
    <w:rsid w:val="00A07D38"/>
    <w:rsid w:val="00A07F60"/>
    <w:rsid w:val="00A07F66"/>
    <w:rsid w:val="00A101DE"/>
    <w:rsid w:val="00A104C2"/>
    <w:rsid w:val="00A105AC"/>
    <w:rsid w:val="00A1066D"/>
    <w:rsid w:val="00A107D9"/>
    <w:rsid w:val="00A10C4B"/>
    <w:rsid w:val="00A10D87"/>
    <w:rsid w:val="00A10DB1"/>
    <w:rsid w:val="00A10E3C"/>
    <w:rsid w:val="00A10EC1"/>
    <w:rsid w:val="00A10F2A"/>
    <w:rsid w:val="00A10F7B"/>
    <w:rsid w:val="00A10F7E"/>
    <w:rsid w:val="00A10FFF"/>
    <w:rsid w:val="00A111A9"/>
    <w:rsid w:val="00A11581"/>
    <w:rsid w:val="00A115E0"/>
    <w:rsid w:val="00A116F5"/>
    <w:rsid w:val="00A1180B"/>
    <w:rsid w:val="00A11B5E"/>
    <w:rsid w:val="00A11E77"/>
    <w:rsid w:val="00A11E90"/>
    <w:rsid w:val="00A11FA9"/>
    <w:rsid w:val="00A1219A"/>
    <w:rsid w:val="00A12399"/>
    <w:rsid w:val="00A123DF"/>
    <w:rsid w:val="00A12412"/>
    <w:rsid w:val="00A12421"/>
    <w:rsid w:val="00A124A3"/>
    <w:rsid w:val="00A125F2"/>
    <w:rsid w:val="00A126FF"/>
    <w:rsid w:val="00A12845"/>
    <w:rsid w:val="00A1287D"/>
    <w:rsid w:val="00A12A4A"/>
    <w:rsid w:val="00A12A76"/>
    <w:rsid w:val="00A12B5C"/>
    <w:rsid w:val="00A12EDC"/>
    <w:rsid w:val="00A12F05"/>
    <w:rsid w:val="00A12F2D"/>
    <w:rsid w:val="00A12F97"/>
    <w:rsid w:val="00A13295"/>
    <w:rsid w:val="00A1344C"/>
    <w:rsid w:val="00A13467"/>
    <w:rsid w:val="00A135E4"/>
    <w:rsid w:val="00A13613"/>
    <w:rsid w:val="00A136B0"/>
    <w:rsid w:val="00A13799"/>
    <w:rsid w:val="00A1386C"/>
    <w:rsid w:val="00A139CB"/>
    <w:rsid w:val="00A13A6F"/>
    <w:rsid w:val="00A13AB4"/>
    <w:rsid w:val="00A13AD9"/>
    <w:rsid w:val="00A13C67"/>
    <w:rsid w:val="00A13C7E"/>
    <w:rsid w:val="00A13CE3"/>
    <w:rsid w:val="00A13D2A"/>
    <w:rsid w:val="00A13D38"/>
    <w:rsid w:val="00A13DD1"/>
    <w:rsid w:val="00A14173"/>
    <w:rsid w:val="00A14185"/>
    <w:rsid w:val="00A141F3"/>
    <w:rsid w:val="00A1460C"/>
    <w:rsid w:val="00A1463A"/>
    <w:rsid w:val="00A14764"/>
    <w:rsid w:val="00A1492F"/>
    <w:rsid w:val="00A1497B"/>
    <w:rsid w:val="00A14988"/>
    <w:rsid w:val="00A1499E"/>
    <w:rsid w:val="00A14C4A"/>
    <w:rsid w:val="00A14C8D"/>
    <w:rsid w:val="00A14D36"/>
    <w:rsid w:val="00A14D43"/>
    <w:rsid w:val="00A14F43"/>
    <w:rsid w:val="00A14F51"/>
    <w:rsid w:val="00A150E8"/>
    <w:rsid w:val="00A151C4"/>
    <w:rsid w:val="00A15344"/>
    <w:rsid w:val="00A1568A"/>
    <w:rsid w:val="00A15933"/>
    <w:rsid w:val="00A15A5C"/>
    <w:rsid w:val="00A15A70"/>
    <w:rsid w:val="00A15BA1"/>
    <w:rsid w:val="00A15BA2"/>
    <w:rsid w:val="00A15BAF"/>
    <w:rsid w:val="00A15CB8"/>
    <w:rsid w:val="00A15D2D"/>
    <w:rsid w:val="00A15FFA"/>
    <w:rsid w:val="00A1605E"/>
    <w:rsid w:val="00A161D9"/>
    <w:rsid w:val="00A16273"/>
    <w:rsid w:val="00A16352"/>
    <w:rsid w:val="00A16490"/>
    <w:rsid w:val="00A1653B"/>
    <w:rsid w:val="00A1655B"/>
    <w:rsid w:val="00A16652"/>
    <w:rsid w:val="00A1675B"/>
    <w:rsid w:val="00A16812"/>
    <w:rsid w:val="00A16843"/>
    <w:rsid w:val="00A168AD"/>
    <w:rsid w:val="00A168B4"/>
    <w:rsid w:val="00A16953"/>
    <w:rsid w:val="00A1699B"/>
    <w:rsid w:val="00A16B1E"/>
    <w:rsid w:val="00A16B37"/>
    <w:rsid w:val="00A16B84"/>
    <w:rsid w:val="00A16D5D"/>
    <w:rsid w:val="00A16DA2"/>
    <w:rsid w:val="00A16DC2"/>
    <w:rsid w:val="00A16DE9"/>
    <w:rsid w:val="00A1712E"/>
    <w:rsid w:val="00A1718F"/>
    <w:rsid w:val="00A17191"/>
    <w:rsid w:val="00A17220"/>
    <w:rsid w:val="00A1726E"/>
    <w:rsid w:val="00A1728D"/>
    <w:rsid w:val="00A17322"/>
    <w:rsid w:val="00A1749E"/>
    <w:rsid w:val="00A175AB"/>
    <w:rsid w:val="00A1771E"/>
    <w:rsid w:val="00A17E54"/>
    <w:rsid w:val="00A17EF2"/>
    <w:rsid w:val="00A17F4A"/>
    <w:rsid w:val="00A17FC6"/>
    <w:rsid w:val="00A2005D"/>
    <w:rsid w:val="00A201DA"/>
    <w:rsid w:val="00A20395"/>
    <w:rsid w:val="00A20445"/>
    <w:rsid w:val="00A204BF"/>
    <w:rsid w:val="00A20507"/>
    <w:rsid w:val="00A20527"/>
    <w:rsid w:val="00A20725"/>
    <w:rsid w:val="00A20953"/>
    <w:rsid w:val="00A20A93"/>
    <w:rsid w:val="00A20CCA"/>
    <w:rsid w:val="00A20E6C"/>
    <w:rsid w:val="00A20F39"/>
    <w:rsid w:val="00A20F4A"/>
    <w:rsid w:val="00A211BC"/>
    <w:rsid w:val="00A2124C"/>
    <w:rsid w:val="00A212F2"/>
    <w:rsid w:val="00A213C8"/>
    <w:rsid w:val="00A21492"/>
    <w:rsid w:val="00A2156B"/>
    <w:rsid w:val="00A2159D"/>
    <w:rsid w:val="00A21711"/>
    <w:rsid w:val="00A219B3"/>
    <w:rsid w:val="00A21B30"/>
    <w:rsid w:val="00A21D40"/>
    <w:rsid w:val="00A21D65"/>
    <w:rsid w:val="00A21F8D"/>
    <w:rsid w:val="00A21FCA"/>
    <w:rsid w:val="00A21FD5"/>
    <w:rsid w:val="00A21FEB"/>
    <w:rsid w:val="00A2203A"/>
    <w:rsid w:val="00A2210C"/>
    <w:rsid w:val="00A22142"/>
    <w:rsid w:val="00A2215C"/>
    <w:rsid w:val="00A2252A"/>
    <w:rsid w:val="00A2253A"/>
    <w:rsid w:val="00A22621"/>
    <w:rsid w:val="00A22750"/>
    <w:rsid w:val="00A227E4"/>
    <w:rsid w:val="00A227ED"/>
    <w:rsid w:val="00A229FF"/>
    <w:rsid w:val="00A22ABE"/>
    <w:rsid w:val="00A22B09"/>
    <w:rsid w:val="00A22C8A"/>
    <w:rsid w:val="00A22D75"/>
    <w:rsid w:val="00A22D85"/>
    <w:rsid w:val="00A22ED4"/>
    <w:rsid w:val="00A22F1D"/>
    <w:rsid w:val="00A230B4"/>
    <w:rsid w:val="00A2310C"/>
    <w:rsid w:val="00A231FB"/>
    <w:rsid w:val="00A233C8"/>
    <w:rsid w:val="00A233E3"/>
    <w:rsid w:val="00A236EC"/>
    <w:rsid w:val="00A2375A"/>
    <w:rsid w:val="00A23A39"/>
    <w:rsid w:val="00A23A5C"/>
    <w:rsid w:val="00A23B1D"/>
    <w:rsid w:val="00A23B1F"/>
    <w:rsid w:val="00A23B97"/>
    <w:rsid w:val="00A23C9C"/>
    <w:rsid w:val="00A23CC9"/>
    <w:rsid w:val="00A23D64"/>
    <w:rsid w:val="00A23E1F"/>
    <w:rsid w:val="00A23E77"/>
    <w:rsid w:val="00A23F2F"/>
    <w:rsid w:val="00A23F82"/>
    <w:rsid w:val="00A240C2"/>
    <w:rsid w:val="00A24135"/>
    <w:rsid w:val="00A2421A"/>
    <w:rsid w:val="00A24356"/>
    <w:rsid w:val="00A243D2"/>
    <w:rsid w:val="00A24487"/>
    <w:rsid w:val="00A24566"/>
    <w:rsid w:val="00A245F2"/>
    <w:rsid w:val="00A24664"/>
    <w:rsid w:val="00A2483B"/>
    <w:rsid w:val="00A248E2"/>
    <w:rsid w:val="00A248E7"/>
    <w:rsid w:val="00A2499A"/>
    <w:rsid w:val="00A24A27"/>
    <w:rsid w:val="00A24A93"/>
    <w:rsid w:val="00A24ACB"/>
    <w:rsid w:val="00A24B40"/>
    <w:rsid w:val="00A24B94"/>
    <w:rsid w:val="00A24CF1"/>
    <w:rsid w:val="00A24D25"/>
    <w:rsid w:val="00A24F20"/>
    <w:rsid w:val="00A25070"/>
    <w:rsid w:val="00A251FA"/>
    <w:rsid w:val="00A25285"/>
    <w:rsid w:val="00A253B1"/>
    <w:rsid w:val="00A253C9"/>
    <w:rsid w:val="00A253E4"/>
    <w:rsid w:val="00A25501"/>
    <w:rsid w:val="00A2558A"/>
    <w:rsid w:val="00A255D1"/>
    <w:rsid w:val="00A25692"/>
    <w:rsid w:val="00A256E8"/>
    <w:rsid w:val="00A25910"/>
    <w:rsid w:val="00A2598F"/>
    <w:rsid w:val="00A25A10"/>
    <w:rsid w:val="00A25B4A"/>
    <w:rsid w:val="00A25C33"/>
    <w:rsid w:val="00A25CEF"/>
    <w:rsid w:val="00A25CF7"/>
    <w:rsid w:val="00A25CFB"/>
    <w:rsid w:val="00A25ECA"/>
    <w:rsid w:val="00A25F4B"/>
    <w:rsid w:val="00A25FFC"/>
    <w:rsid w:val="00A26051"/>
    <w:rsid w:val="00A260C2"/>
    <w:rsid w:val="00A261AD"/>
    <w:rsid w:val="00A2646A"/>
    <w:rsid w:val="00A2654E"/>
    <w:rsid w:val="00A265CD"/>
    <w:rsid w:val="00A26614"/>
    <w:rsid w:val="00A2670F"/>
    <w:rsid w:val="00A26806"/>
    <w:rsid w:val="00A26938"/>
    <w:rsid w:val="00A26941"/>
    <w:rsid w:val="00A26A03"/>
    <w:rsid w:val="00A26D23"/>
    <w:rsid w:val="00A26D39"/>
    <w:rsid w:val="00A26F6D"/>
    <w:rsid w:val="00A27206"/>
    <w:rsid w:val="00A27209"/>
    <w:rsid w:val="00A27282"/>
    <w:rsid w:val="00A272B0"/>
    <w:rsid w:val="00A27395"/>
    <w:rsid w:val="00A273EE"/>
    <w:rsid w:val="00A273F4"/>
    <w:rsid w:val="00A273F8"/>
    <w:rsid w:val="00A274F9"/>
    <w:rsid w:val="00A27648"/>
    <w:rsid w:val="00A27769"/>
    <w:rsid w:val="00A27777"/>
    <w:rsid w:val="00A27BC4"/>
    <w:rsid w:val="00A30011"/>
    <w:rsid w:val="00A3050C"/>
    <w:rsid w:val="00A30683"/>
    <w:rsid w:val="00A306D6"/>
    <w:rsid w:val="00A307B0"/>
    <w:rsid w:val="00A30872"/>
    <w:rsid w:val="00A309EA"/>
    <w:rsid w:val="00A30D48"/>
    <w:rsid w:val="00A30DCC"/>
    <w:rsid w:val="00A310D0"/>
    <w:rsid w:val="00A3114F"/>
    <w:rsid w:val="00A31216"/>
    <w:rsid w:val="00A314E9"/>
    <w:rsid w:val="00A31719"/>
    <w:rsid w:val="00A31934"/>
    <w:rsid w:val="00A31B92"/>
    <w:rsid w:val="00A31CD4"/>
    <w:rsid w:val="00A31D3E"/>
    <w:rsid w:val="00A31DB4"/>
    <w:rsid w:val="00A31DF3"/>
    <w:rsid w:val="00A31E36"/>
    <w:rsid w:val="00A31EA8"/>
    <w:rsid w:val="00A31FA8"/>
    <w:rsid w:val="00A31FFB"/>
    <w:rsid w:val="00A320A4"/>
    <w:rsid w:val="00A3215D"/>
    <w:rsid w:val="00A323A0"/>
    <w:rsid w:val="00A324C6"/>
    <w:rsid w:val="00A32507"/>
    <w:rsid w:val="00A32600"/>
    <w:rsid w:val="00A32630"/>
    <w:rsid w:val="00A3265C"/>
    <w:rsid w:val="00A32728"/>
    <w:rsid w:val="00A32820"/>
    <w:rsid w:val="00A32842"/>
    <w:rsid w:val="00A3284A"/>
    <w:rsid w:val="00A32B74"/>
    <w:rsid w:val="00A32D3C"/>
    <w:rsid w:val="00A32E53"/>
    <w:rsid w:val="00A332A6"/>
    <w:rsid w:val="00A333B1"/>
    <w:rsid w:val="00A337E5"/>
    <w:rsid w:val="00A338A3"/>
    <w:rsid w:val="00A33DAB"/>
    <w:rsid w:val="00A33DB2"/>
    <w:rsid w:val="00A33E08"/>
    <w:rsid w:val="00A3400B"/>
    <w:rsid w:val="00A3412C"/>
    <w:rsid w:val="00A3425B"/>
    <w:rsid w:val="00A34260"/>
    <w:rsid w:val="00A342C1"/>
    <w:rsid w:val="00A34371"/>
    <w:rsid w:val="00A343B5"/>
    <w:rsid w:val="00A343CC"/>
    <w:rsid w:val="00A34412"/>
    <w:rsid w:val="00A34437"/>
    <w:rsid w:val="00A344B2"/>
    <w:rsid w:val="00A34565"/>
    <w:rsid w:val="00A3461E"/>
    <w:rsid w:val="00A34763"/>
    <w:rsid w:val="00A34902"/>
    <w:rsid w:val="00A35050"/>
    <w:rsid w:val="00A35154"/>
    <w:rsid w:val="00A3516F"/>
    <w:rsid w:val="00A352F2"/>
    <w:rsid w:val="00A3540A"/>
    <w:rsid w:val="00A35632"/>
    <w:rsid w:val="00A35705"/>
    <w:rsid w:val="00A35877"/>
    <w:rsid w:val="00A35B05"/>
    <w:rsid w:val="00A35D66"/>
    <w:rsid w:val="00A35D72"/>
    <w:rsid w:val="00A35E7F"/>
    <w:rsid w:val="00A35EBF"/>
    <w:rsid w:val="00A35F4A"/>
    <w:rsid w:val="00A35F4C"/>
    <w:rsid w:val="00A35F7C"/>
    <w:rsid w:val="00A3607F"/>
    <w:rsid w:val="00A360B8"/>
    <w:rsid w:val="00A36254"/>
    <w:rsid w:val="00A364B8"/>
    <w:rsid w:val="00A36565"/>
    <w:rsid w:val="00A365A2"/>
    <w:rsid w:val="00A365C7"/>
    <w:rsid w:val="00A3663B"/>
    <w:rsid w:val="00A36810"/>
    <w:rsid w:val="00A36966"/>
    <w:rsid w:val="00A3699F"/>
    <w:rsid w:val="00A36A9B"/>
    <w:rsid w:val="00A36BB2"/>
    <w:rsid w:val="00A36D0D"/>
    <w:rsid w:val="00A36D3D"/>
    <w:rsid w:val="00A36DFD"/>
    <w:rsid w:val="00A36EAB"/>
    <w:rsid w:val="00A36FB0"/>
    <w:rsid w:val="00A3704B"/>
    <w:rsid w:val="00A3708F"/>
    <w:rsid w:val="00A3728D"/>
    <w:rsid w:val="00A372BD"/>
    <w:rsid w:val="00A3732C"/>
    <w:rsid w:val="00A37575"/>
    <w:rsid w:val="00A37579"/>
    <w:rsid w:val="00A37713"/>
    <w:rsid w:val="00A37773"/>
    <w:rsid w:val="00A37850"/>
    <w:rsid w:val="00A37873"/>
    <w:rsid w:val="00A378C4"/>
    <w:rsid w:val="00A37A4C"/>
    <w:rsid w:val="00A37DB4"/>
    <w:rsid w:val="00A37E08"/>
    <w:rsid w:val="00A37EBF"/>
    <w:rsid w:val="00A37F41"/>
    <w:rsid w:val="00A4003B"/>
    <w:rsid w:val="00A4029F"/>
    <w:rsid w:val="00A40372"/>
    <w:rsid w:val="00A40485"/>
    <w:rsid w:val="00A405E1"/>
    <w:rsid w:val="00A406C3"/>
    <w:rsid w:val="00A4071A"/>
    <w:rsid w:val="00A40819"/>
    <w:rsid w:val="00A4081E"/>
    <w:rsid w:val="00A408A5"/>
    <w:rsid w:val="00A40BA2"/>
    <w:rsid w:val="00A40CBD"/>
    <w:rsid w:val="00A40D50"/>
    <w:rsid w:val="00A40E0F"/>
    <w:rsid w:val="00A40EF9"/>
    <w:rsid w:val="00A40F51"/>
    <w:rsid w:val="00A41014"/>
    <w:rsid w:val="00A41048"/>
    <w:rsid w:val="00A411E6"/>
    <w:rsid w:val="00A4133B"/>
    <w:rsid w:val="00A4134C"/>
    <w:rsid w:val="00A41361"/>
    <w:rsid w:val="00A41624"/>
    <w:rsid w:val="00A4168E"/>
    <w:rsid w:val="00A41802"/>
    <w:rsid w:val="00A4198C"/>
    <w:rsid w:val="00A41A36"/>
    <w:rsid w:val="00A41B12"/>
    <w:rsid w:val="00A41B93"/>
    <w:rsid w:val="00A41C72"/>
    <w:rsid w:val="00A41C86"/>
    <w:rsid w:val="00A41CDF"/>
    <w:rsid w:val="00A41D82"/>
    <w:rsid w:val="00A41DEF"/>
    <w:rsid w:val="00A41ECE"/>
    <w:rsid w:val="00A41F28"/>
    <w:rsid w:val="00A42174"/>
    <w:rsid w:val="00A4218D"/>
    <w:rsid w:val="00A422C8"/>
    <w:rsid w:val="00A422CA"/>
    <w:rsid w:val="00A4237F"/>
    <w:rsid w:val="00A4258A"/>
    <w:rsid w:val="00A426D6"/>
    <w:rsid w:val="00A42714"/>
    <w:rsid w:val="00A4274B"/>
    <w:rsid w:val="00A42865"/>
    <w:rsid w:val="00A428AD"/>
    <w:rsid w:val="00A428B7"/>
    <w:rsid w:val="00A4290B"/>
    <w:rsid w:val="00A42AA2"/>
    <w:rsid w:val="00A42AE8"/>
    <w:rsid w:val="00A42B19"/>
    <w:rsid w:val="00A42C1F"/>
    <w:rsid w:val="00A42CAB"/>
    <w:rsid w:val="00A42CAE"/>
    <w:rsid w:val="00A42E84"/>
    <w:rsid w:val="00A42F12"/>
    <w:rsid w:val="00A431D3"/>
    <w:rsid w:val="00A43291"/>
    <w:rsid w:val="00A432DF"/>
    <w:rsid w:val="00A433E3"/>
    <w:rsid w:val="00A43574"/>
    <w:rsid w:val="00A4381F"/>
    <w:rsid w:val="00A43858"/>
    <w:rsid w:val="00A43899"/>
    <w:rsid w:val="00A4398E"/>
    <w:rsid w:val="00A43ADF"/>
    <w:rsid w:val="00A43C50"/>
    <w:rsid w:val="00A43CD0"/>
    <w:rsid w:val="00A43E62"/>
    <w:rsid w:val="00A43FBD"/>
    <w:rsid w:val="00A440E5"/>
    <w:rsid w:val="00A4411E"/>
    <w:rsid w:val="00A44183"/>
    <w:rsid w:val="00A444EC"/>
    <w:rsid w:val="00A447BE"/>
    <w:rsid w:val="00A44AF7"/>
    <w:rsid w:val="00A44BEA"/>
    <w:rsid w:val="00A44CB0"/>
    <w:rsid w:val="00A44CB6"/>
    <w:rsid w:val="00A44DA9"/>
    <w:rsid w:val="00A44EE6"/>
    <w:rsid w:val="00A44F04"/>
    <w:rsid w:val="00A451CC"/>
    <w:rsid w:val="00A45221"/>
    <w:rsid w:val="00A452A8"/>
    <w:rsid w:val="00A4535A"/>
    <w:rsid w:val="00A45419"/>
    <w:rsid w:val="00A454CE"/>
    <w:rsid w:val="00A4554D"/>
    <w:rsid w:val="00A455D6"/>
    <w:rsid w:val="00A456BA"/>
    <w:rsid w:val="00A456D7"/>
    <w:rsid w:val="00A45768"/>
    <w:rsid w:val="00A458D9"/>
    <w:rsid w:val="00A458EA"/>
    <w:rsid w:val="00A45AF9"/>
    <w:rsid w:val="00A45C3A"/>
    <w:rsid w:val="00A45D47"/>
    <w:rsid w:val="00A45DC6"/>
    <w:rsid w:val="00A45DE8"/>
    <w:rsid w:val="00A46191"/>
    <w:rsid w:val="00A4621D"/>
    <w:rsid w:val="00A4656F"/>
    <w:rsid w:val="00A46590"/>
    <w:rsid w:val="00A466D4"/>
    <w:rsid w:val="00A468C4"/>
    <w:rsid w:val="00A46D14"/>
    <w:rsid w:val="00A46D34"/>
    <w:rsid w:val="00A46F6D"/>
    <w:rsid w:val="00A46F71"/>
    <w:rsid w:val="00A47099"/>
    <w:rsid w:val="00A470B3"/>
    <w:rsid w:val="00A47330"/>
    <w:rsid w:val="00A473E4"/>
    <w:rsid w:val="00A47493"/>
    <w:rsid w:val="00A4752D"/>
    <w:rsid w:val="00A47548"/>
    <w:rsid w:val="00A4758B"/>
    <w:rsid w:val="00A475AF"/>
    <w:rsid w:val="00A475C5"/>
    <w:rsid w:val="00A478B4"/>
    <w:rsid w:val="00A47A27"/>
    <w:rsid w:val="00A47A53"/>
    <w:rsid w:val="00A47C3E"/>
    <w:rsid w:val="00A47C8C"/>
    <w:rsid w:val="00A47C98"/>
    <w:rsid w:val="00A47EBB"/>
    <w:rsid w:val="00A47EF7"/>
    <w:rsid w:val="00A47F2B"/>
    <w:rsid w:val="00A50024"/>
    <w:rsid w:val="00A501AB"/>
    <w:rsid w:val="00A502D9"/>
    <w:rsid w:val="00A502F2"/>
    <w:rsid w:val="00A50372"/>
    <w:rsid w:val="00A50461"/>
    <w:rsid w:val="00A506FC"/>
    <w:rsid w:val="00A5078C"/>
    <w:rsid w:val="00A507CF"/>
    <w:rsid w:val="00A50840"/>
    <w:rsid w:val="00A50897"/>
    <w:rsid w:val="00A509E1"/>
    <w:rsid w:val="00A50DA2"/>
    <w:rsid w:val="00A50E02"/>
    <w:rsid w:val="00A50E90"/>
    <w:rsid w:val="00A50ED2"/>
    <w:rsid w:val="00A50F52"/>
    <w:rsid w:val="00A51080"/>
    <w:rsid w:val="00A511F5"/>
    <w:rsid w:val="00A51308"/>
    <w:rsid w:val="00A51358"/>
    <w:rsid w:val="00A5147D"/>
    <w:rsid w:val="00A51637"/>
    <w:rsid w:val="00A51672"/>
    <w:rsid w:val="00A516C0"/>
    <w:rsid w:val="00A51717"/>
    <w:rsid w:val="00A51737"/>
    <w:rsid w:val="00A51818"/>
    <w:rsid w:val="00A51863"/>
    <w:rsid w:val="00A518B9"/>
    <w:rsid w:val="00A51AA2"/>
    <w:rsid w:val="00A51AE1"/>
    <w:rsid w:val="00A51AF8"/>
    <w:rsid w:val="00A51B1B"/>
    <w:rsid w:val="00A51B20"/>
    <w:rsid w:val="00A51C95"/>
    <w:rsid w:val="00A51D2A"/>
    <w:rsid w:val="00A51D9E"/>
    <w:rsid w:val="00A51DE1"/>
    <w:rsid w:val="00A51F9E"/>
    <w:rsid w:val="00A520C3"/>
    <w:rsid w:val="00A521E7"/>
    <w:rsid w:val="00A523D7"/>
    <w:rsid w:val="00A52467"/>
    <w:rsid w:val="00A525D2"/>
    <w:rsid w:val="00A525FC"/>
    <w:rsid w:val="00A52758"/>
    <w:rsid w:val="00A52892"/>
    <w:rsid w:val="00A529AE"/>
    <w:rsid w:val="00A529B0"/>
    <w:rsid w:val="00A52BA1"/>
    <w:rsid w:val="00A52BE2"/>
    <w:rsid w:val="00A52C54"/>
    <w:rsid w:val="00A52CC5"/>
    <w:rsid w:val="00A52DBB"/>
    <w:rsid w:val="00A52E06"/>
    <w:rsid w:val="00A52F22"/>
    <w:rsid w:val="00A5314F"/>
    <w:rsid w:val="00A53602"/>
    <w:rsid w:val="00A537B1"/>
    <w:rsid w:val="00A53909"/>
    <w:rsid w:val="00A539A6"/>
    <w:rsid w:val="00A53C65"/>
    <w:rsid w:val="00A53CA0"/>
    <w:rsid w:val="00A53D3E"/>
    <w:rsid w:val="00A54053"/>
    <w:rsid w:val="00A5439C"/>
    <w:rsid w:val="00A54422"/>
    <w:rsid w:val="00A54470"/>
    <w:rsid w:val="00A5453E"/>
    <w:rsid w:val="00A5482B"/>
    <w:rsid w:val="00A54AF2"/>
    <w:rsid w:val="00A54C42"/>
    <w:rsid w:val="00A54CBB"/>
    <w:rsid w:val="00A54D53"/>
    <w:rsid w:val="00A55050"/>
    <w:rsid w:val="00A5519B"/>
    <w:rsid w:val="00A55252"/>
    <w:rsid w:val="00A552E3"/>
    <w:rsid w:val="00A552F1"/>
    <w:rsid w:val="00A553D6"/>
    <w:rsid w:val="00A5544A"/>
    <w:rsid w:val="00A5544F"/>
    <w:rsid w:val="00A55465"/>
    <w:rsid w:val="00A55572"/>
    <w:rsid w:val="00A555BB"/>
    <w:rsid w:val="00A55667"/>
    <w:rsid w:val="00A557BA"/>
    <w:rsid w:val="00A557DF"/>
    <w:rsid w:val="00A558FF"/>
    <w:rsid w:val="00A55B01"/>
    <w:rsid w:val="00A55C18"/>
    <w:rsid w:val="00A55C9A"/>
    <w:rsid w:val="00A55D40"/>
    <w:rsid w:val="00A55D43"/>
    <w:rsid w:val="00A55D9D"/>
    <w:rsid w:val="00A55DD2"/>
    <w:rsid w:val="00A55DD8"/>
    <w:rsid w:val="00A55ED8"/>
    <w:rsid w:val="00A56059"/>
    <w:rsid w:val="00A5607F"/>
    <w:rsid w:val="00A561A6"/>
    <w:rsid w:val="00A5633F"/>
    <w:rsid w:val="00A56473"/>
    <w:rsid w:val="00A564E1"/>
    <w:rsid w:val="00A56533"/>
    <w:rsid w:val="00A5660A"/>
    <w:rsid w:val="00A5661E"/>
    <w:rsid w:val="00A5671C"/>
    <w:rsid w:val="00A56AD3"/>
    <w:rsid w:val="00A56B10"/>
    <w:rsid w:val="00A56B90"/>
    <w:rsid w:val="00A56C26"/>
    <w:rsid w:val="00A56E4D"/>
    <w:rsid w:val="00A56EB8"/>
    <w:rsid w:val="00A56ED0"/>
    <w:rsid w:val="00A57076"/>
    <w:rsid w:val="00A57168"/>
    <w:rsid w:val="00A571DC"/>
    <w:rsid w:val="00A5733F"/>
    <w:rsid w:val="00A57451"/>
    <w:rsid w:val="00A575D6"/>
    <w:rsid w:val="00A57861"/>
    <w:rsid w:val="00A5792D"/>
    <w:rsid w:val="00A57A8A"/>
    <w:rsid w:val="00A57C15"/>
    <w:rsid w:val="00A57C4C"/>
    <w:rsid w:val="00A57CD8"/>
    <w:rsid w:val="00A601E4"/>
    <w:rsid w:val="00A601E8"/>
    <w:rsid w:val="00A6023D"/>
    <w:rsid w:val="00A603AE"/>
    <w:rsid w:val="00A60457"/>
    <w:rsid w:val="00A604AB"/>
    <w:rsid w:val="00A60514"/>
    <w:rsid w:val="00A6053D"/>
    <w:rsid w:val="00A60687"/>
    <w:rsid w:val="00A609A0"/>
    <w:rsid w:val="00A60A61"/>
    <w:rsid w:val="00A60B5E"/>
    <w:rsid w:val="00A60BEF"/>
    <w:rsid w:val="00A60CFC"/>
    <w:rsid w:val="00A60DA6"/>
    <w:rsid w:val="00A60E76"/>
    <w:rsid w:val="00A60E95"/>
    <w:rsid w:val="00A60EF3"/>
    <w:rsid w:val="00A60F3E"/>
    <w:rsid w:val="00A60F9E"/>
    <w:rsid w:val="00A60FE8"/>
    <w:rsid w:val="00A60FF7"/>
    <w:rsid w:val="00A610B5"/>
    <w:rsid w:val="00A61143"/>
    <w:rsid w:val="00A61290"/>
    <w:rsid w:val="00A6130F"/>
    <w:rsid w:val="00A61374"/>
    <w:rsid w:val="00A614EA"/>
    <w:rsid w:val="00A61883"/>
    <w:rsid w:val="00A618D1"/>
    <w:rsid w:val="00A618F6"/>
    <w:rsid w:val="00A61906"/>
    <w:rsid w:val="00A61A05"/>
    <w:rsid w:val="00A61A41"/>
    <w:rsid w:val="00A61A4B"/>
    <w:rsid w:val="00A61AE2"/>
    <w:rsid w:val="00A61B0D"/>
    <w:rsid w:val="00A6208C"/>
    <w:rsid w:val="00A622F8"/>
    <w:rsid w:val="00A62363"/>
    <w:rsid w:val="00A62415"/>
    <w:rsid w:val="00A62630"/>
    <w:rsid w:val="00A62684"/>
    <w:rsid w:val="00A62739"/>
    <w:rsid w:val="00A62909"/>
    <w:rsid w:val="00A6290A"/>
    <w:rsid w:val="00A62A44"/>
    <w:rsid w:val="00A62A80"/>
    <w:rsid w:val="00A62B00"/>
    <w:rsid w:val="00A62B46"/>
    <w:rsid w:val="00A62D68"/>
    <w:rsid w:val="00A62DC1"/>
    <w:rsid w:val="00A62EE3"/>
    <w:rsid w:val="00A62FC8"/>
    <w:rsid w:val="00A630B1"/>
    <w:rsid w:val="00A631D3"/>
    <w:rsid w:val="00A631DD"/>
    <w:rsid w:val="00A63288"/>
    <w:rsid w:val="00A63377"/>
    <w:rsid w:val="00A633C6"/>
    <w:rsid w:val="00A6360C"/>
    <w:rsid w:val="00A6363C"/>
    <w:rsid w:val="00A636E9"/>
    <w:rsid w:val="00A638A6"/>
    <w:rsid w:val="00A63A43"/>
    <w:rsid w:val="00A63D12"/>
    <w:rsid w:val="00A63D3B"/>
    <w:rsid w:val="00A640C7"/>
    <w:rsid w:val="00A640E7"/>
    <w:rsid w:val="00A6416D"/>
    <w:rsid w:val="00A64256"/>
    <w:rsid w:val="00A642E2"/>
    <w:rsid w:val="00A64521"/>
    <w:rsid w:val="00A6475B"/>
    <w:rsid w:val="00A647A6"/>
    <w:rsid w:val="00A64810"/>
    <w:rsid w:val="00A64A3C"/>
    <w:rsid w:val="00A64A94"/>
    <w:rsid w:val="00A64AE4"/>
    <w:rsid w:val="00A65206"/>
    <w:rsid w:val="00A65408"/>
    <w:rsid w:val="00A65454"/>
    <w:rsid w:val="00A65545"/>
    <w:rsid w:val="00A65568"/>
    <w:rsid w:val="00A65703"/>
    <w:rsid w:val="00A657D3"/>
    <w:rsid w:val="00A658A3"/>
    <w:rsid w:val="00A6592C"/>
    <w:rsid w:val="00A65C34"/>
    <w:rsid w:val="00A65EC9"/>
    <w:rsid w:val="00A65ED5"/>
    <w:rsid w:val="00A65F71"/>
    <w:rsid w:val="00A65FF1"/>
    <w:rsid w:val="00A66119"/>
    <w:rsid w:val="00A6628F"/>
    <w:rsid w:val="00A664CF"/>
    <w:rsid w:val="00A66506"/>
    <w:rsid w:val="00A66618"/>
    <w:rsid w:val="00A66759"/>
    <w:rsid w:val="00A66A62"/>
    <w:rsid w:val="00A66A7D"/>
    <w:rsid w:val="00A66BC8"/>
    <w:rsid w:val="00A66CC1"/>
    <w:rsid w:val="00A66DBD"/>
    <w:rsid w:val="00A66E45"/>
    <w:rsid w:val="00A66F6F"/>
    <w:rsid w:val="00A66FC3"/>
    <w:rsid w:val="00A66FC5"/>
    <w:rsid w:val="00A6707A"/>
    <w:rsid w:val="00A67128"/>
    <w:rsid w:val="00A67134"/>
    <w:rsid w:val="00A67156"/>
    <w:rsid w:val="00A671A5"/>
    <w:rsid w:val="00A671B8"/>
    <w:rsid w:val="00A67263"/>
    <w:rsid w:val="00A673AC"/>
    <w:rsid w:val="00A674A6"/>
    <w:rsid w:val="00A674D6"/>
    <w:rsid w:val="00A67532"/>
    <w:rsid w:val="00A6756F"/>
    <w:rsid w:val="00A675E5"/>
    <w:rsid w:val="00A67866"/>
    <w:rsid w:val="00A679BB"/>
    <w:rsid w:val="00A67A2B"/>
    <w:rsid w:val="00A67AE4"/>
    <w:rsid w:val="00A67B6C"/>
    <w:rsid w:val="00A67F27"/>
    <w:rsid w:val="00A70029"/>
    <w:rsid w:val="00A7026A"/>
    <w:rsid w:val="00A702A1"/>
    <w:rsid w:val="00A7044E"/>
    <w:rsid w:val="00A704B1"/>
    <w:rsid w:val="00A7057F"/>
    <w:rsid w:val="00A70680"/>
    <w:rsid w:val="00A70727"/>
    <w:rsid w:val="00A707F5"/>
    <w:rsid w:val="00A708BA"/>
    <w:rsid w:val="00A708C6"/>
    <w:rsid w:val="00A708F2"/>
    <w:rsid w:val="00A7097C"/>
    <w:rsid w:val="00A70C67"/>
    <w:rsid w:val="00A70D09"/>
    <w:rsid w:val="00A70E68"/>
    <w:rsid w:val="00A70E7B"/>
    <w:rsid w:val="00A71165"/>
    <w:rsid w:val="00A712D7"/>
    <w:rsid w:val="00A71635"/>
    <w:rsid w:val="00A71685"/>
    <w:rsid w:val="00A716DA"/>
    <w:rsid w:val="00A717A4"/>
    <w:rsid w:val="00A71960"/>
    <w:rsid w:val="00A71A88"/>
    <w:rsid w:val="00A71AC5"/>
    <w:rsid w:val="00A71C51"/>
    <w:rsid w:val="00A71D1A"/>
    <w:rsid w:val="00A71E25"/>
    <w:rsid w:val="00A71FF6"/>
    <w:rsid w:val="00A72069"/>
    <w:rsid w:val="00A7215C"/>
    <w:rsid w:val="00A72201"/>
    <w:rsid w:val="00A72274"/>
    <w:rsid w:val="00A72278"/>
    <w:rsid w:val="00A723ED"/>
    <w:rsid w:val="00A72405"/>
    <w:rsid w:val="00A725A4"/>
    <w:rsid w:val="00A7274A"/>
    <w:rsid w:val="00A7274E"/>
    <w:rsid w:val="00A72980"/>
    <w:rsid w:val="00A72A12"/>
    <w:rsid w:val="00A72A1D"/>
    <w:rsid w:val="00A72A20"/>
    <w:rsid w:val="00A72AB0"/>
    <w:rsid w:val="00A72B86"/>
    <w:rsid w:val="00A72D31"/>
    <w:rsid w:val="00A72E12"/>
    <w:rsid w:val="00A72E6C"/>
    <w:rsid w:val="00A72FD6"/>
    <w:rsid w:val="00A73054"/>
    <w:rsid w:val="00A7314E"/>
    <w:rsid w:val="00A73268"/>
    <w:rsid w:val="00A732B8"/>
    <w:rsid w:val="00A73405"/>
    <w:rsid w:val="00A7343E"/>
    <w:rsid w:val="00A73469"/>
    <w:rsid w:val="00A7351C"/>
    <w:rsid w:val="00A7372B"/>
    <w:rsid w:val="00A73835"/>
    <w:rsid w:val="00A739DC"/>
    <w:rsid w:val="00A73A40"/>
    <w:rsid w:val="00A73C4F"/>
    <w:rsid w:val="00A73CD6"/>
    <w:rsid w:val="00A73E4D"/>
    <w:rsid w:val="00A73ECB"/>
    <w:rsid w:val="00A73F18"/>
    <w:rsid w:val="00A74010"/>
    <w:rsid w:val="00A7413B"/>
    <w:rsid w:val="00A74166"/>
    <w:rsid w:val="00A7417E"/>
    <w:rsid w:val="00A74216"/>
    <w:rsid w:val="00A74255"/>
    <w:rsid w:val="00A7430E"/>
    <w:rsid w:val="00A74482"/>
    <w:rsid w:val="00A7448C"/>
    <w:rsid w:val="00A746C2"/>
    <w:rsid w:val="00A74A9F"/>
    <w:rsid w:val="00A74AB5"/>
    <w:rsid w:val="00A74BE9"/>
    <w:rsid w:val="00A74EB5"/>
    <w:rsid w:val="00A74FE5"/>
    <w:rsid w:val="00A74FF9"/>
    <w:rsid w:val="00A7512B"/>
    <w:rsid w:val="00A75201"/>
    <w:rsid w:val="00A75221"/>
    <w:rsid w:val="00A75240"/>
    <w:rsid w:val="00A75244"/>
    <w:rsid w:val="00A752E7"/>
    <w:rsid w:val="00A753A3"/>
    <w:rsid w:val="00A753E5"/>
    <w:rsid w:val="00A75405"/>
    <w:rsid w:val="00A7552F"/>
    <w:rsid w:val="00A75574"/>
    <w:rsid w:val="00A7559C"/>
    <w:rsid w:val="00A756C0"/>
    <w:rsid w:val="00A757A0"/>
    <w:rsid w:val="00A75A6D"/>
    <w:rsid w:val="00A75A76"/>
    <w:rsid w:val="00A75ABF"/>
    <w:rsid w:val="00A75AFE"/>
    <w:rsid w:val="00A75C01"/>
    <w:rsid w:val="00A75C87"/>
    <w:rsid w:val="00A75E43"/>
    <w:rsid w:val="00A75E5C"/>
    <w:rsid w:val="00A75E96"/>
    <w:rsid w:val="00A75F48"/>
    <w:rsid w:val="00A761A0"/>
    <w:rsid w:val="00A761B2"/>
    <w:rsid w:val="00A762D4"/>
    <w:rsid w:val="00A763CA"/>
    <w:rsid w:val="00A76467"/>
    <w:rsid w:val="00A764EE"/>
    <w:rsid w:val="00A764FC"/>
    <w:rsid w:val="00A76513"/>
    <w:rsid w:val="00A76634"/>
    <w:rsid w:val="00A767D7"/>
    <w:rsid w:val="00A76AE4"/>
    <w:rsid w:val="00A76AE7"/>
    <w:rsid w:val="00A76C04"/>
    <w:rsid w:val="00A76CB8"/>
    <w:rsid w:val="00A76D1F"/>
    <w:rsid w:val="00A76FBD"/>
    <w:rsid w:val="00A77333"/>
    <w:rsid w:val="00A7736E"/>
    <w:rsid w:val="00A77385"/>
    <w:rsid w:val="00A773D5"/>
    <w:rsid w:val="00A774B5"/>
    <w:rsid w:val="00A778DD"/>
    <w:rsid w:val="00A77906"/>
    <w:rsid w:val="00A779AD"/>
    <w:rsid w:val="00A77AD8"/>
    <w:rsid w:val="00A77BBA"/>
    <w:rsid w:val="00A77C25"/>
    <w:rsid w:val="00A77C40"/>
    <w:rsid w:val="00A77CBA"/>
    <w:rsid w:val="00A77D68"/>
    <w:rsid w:val="00A77E9D"/>
    <w:rsid w:val="00A77F42"/>
    <w:rsid w:val="00A8013D"/>
    <w:rsid w:val="00A80308"/>
    <w:rsid w:val="00A803FB"/>
    <w:rsid w:val="00A803FC"/>
    <w:rsid w:val="00A804DB"/>
    <w:rsid w:val="00A8081E"/>
    <w:rsid w:val="00A80AFE"/>
    <w:rsid w:val="00A80B96"/>
    <w:rsid w:val="00A80BE2"/>
    <w:rsid w:val="00A80E7D"/>
    <w:rsid w:val="00A80F33"/>
    <w:rsid w:val="00A8101E"/>
    <w:rsid w:val="00A8115B"/>
    <w:rsid w:val="00A81230"/>
    <w:rsid w:val="00A813B4"/>
    <w:rsid w:val="00A81599"/>
    <w:rsid w:val="00A815C4"/>
    <w:rsid w:val="00A815CB"/>
    <w:rsid w:val="00A815E0"/>
    <w:rsid w:val="00A816F7"/>
    <w:rsid w:val="00A8172B"/>
    <w:rsid w:val="00A8197D"/>
    <w:rsid w:val="00A819C3"/>
    <w:rsid w:val="00A81BB3"/>
    <w:rsid w:val="00A81DAB"/>
    <w:rsid w:val="00A81EA2"/>
    <w:rsid w:val="00A81F61"/>
    <w:rsid w:val="00A8200E"/>
    <w:rsid w:val="00A82342"/>
    <w:rsid w:val="00A8235F"/>
    <w:rsid w:val="00A82513"/>
    <w:rsid w:val="00A825A1"/>
    <w:rsid w:val="00A82628"/>
    <w:rsid w:val="00A828AE"/>
    <w:rsid w:val="00A828D7"/>
    <w:rsid w:val="00A829E3"/>
    <w:rsid w:val="00A82AA6"/>
    <w:rsid w:val="00A82B34"/>
    <w:rsid w:val="00A82C5D"/>
    <w:rsid w:val="00A82D08"/>
    <w:rsid w:val="00A82D3D"/>
    <w:rsid w:val="00A82D73"/>
    <w:rsid w:val="00A82DA9"/>
    <w:rsid w:val="00A82DD2"/>
    <w:rsid w:val="00A82F78"/>
    <w:rsid w:val="00A82F8C"/>
    <w:rsid w:val="00A83016"/>
    <w:rsid w:val="00A830BC"/>
    <w:rsid w:val="00A8315E"/>
    <w:rsid w:val="00A8318F"/>
    <w:rsid w:val="00A83699"/>
    <w:rsid w:val="00A836BB"/>
    <w:rsid w:val="00A83785"/>
    <w:rsid w:val="00A837A6"/>
    <w:rsid w:val="00A837B1"/>
    <w:rsid w:val="00A839F3"/>
    <w:rsid w:val="00A83A4C"/>
    <w:rsid w:val="00A83D0B"/>
    <w:rsid w:val="00A83D90"/>
    <w:rsid w:val="00A83E70"/>
    <w:rsid w:val="00A83F6A"/>
    <w:rsid w:val="00A84075"/>
    <w:rsid w:val="00A84353"/>
    <w:rsid w:val="00A84368"/>
    <w:rsid w:val="00A844B6"/>
    <w:rsid w:val="00A8475F"/>
    <w:rsid w:val="00A84841"/>
    <w:rsid w:val="00A848D7"/>
    <w:rsid w:val="00A84AB1"/>
    <w:rsid w:val="00A84C0F"/>
    <w:rsid w:val="00A84EA4"/>
    <w:rsid w:val="00A850ED"/>
    <w:rsid w:val="00A8527C"/>
    <w:rsid w:val="00A853A2"/>
    <w:rsid w:val="00A85506"/>
    <w:rsid w:val="00A856A3"/>
    <w:rsid w:val="00A857DC"/>
    <w:rsid w:val="00A859EE"/>
    <w:rsid w:val="00A85B5C"/>
    <w:rsid w:val="00A85B6A"/>
    <w:rsid w:val="00A85BF5"/>
    <w:rsid w:val="00A85F18"/>
    <w:rsid w:val="00A85F68"/>
    <w:rsid w:val="00A85FB8"/>
    <w:rsid w:val="00A860E2"/>
    <w:rsid w:val="00A862CB"/>
    <w:rsid w:val="00A86353"/>
    <w:rsid w:val="00A86423"/>
    <w:rsid w:val="00A864AD"/>
    <w:rsid w:val="00A865A6"/>
    <w:rsid w:val="00A867E1"/>
    <w:rsid w:val="00A8681B"/>
    <w:rsid w:val="00A86847"/>
    <w:rsid w:val="00A868D4"/>
    <w:rsid w:val="00A8691F"/>
    <w:rsid w:val="00A86A3F"/>
    <w:rsid w:val="00A86AA6"/>
    <w:rsid w:val="00A86AB6"/>
    <w:rsid w:val="00A86AE2"/>
    <w:rsid w:val="00A86B4F"/>
    <w:rsid w:val="00A86BCD"/>
    <w:rsid w:val="00A86C5C"/>
    <w:rsid w:val="00A86DBC"/>
    <w:rsid w:val="00A86DE9"/>
    <w:rsid w:val="00A86ECB"/>
    <w:rsid w:val="00A86F87"/>
    <w:rsid w:val="00A871B9"/>
    <w:rsid w:val="00A8723F"/>
    <w:rsid w:val="00A872FE"/>
    <w:rsid w:val="00A876DD"/>
    <w:rsid w:val="00A87C00"/>
    <w:rsid w:val="00A87F3B"/>
    <w:rsid w:val="00A9012F"/>
    <w:rsid w:val="00A9028C"/>
    <w:rsid w:val="00A90419"/>
    <w:rsid w:val="00A905D6"/>
    <w:rsid w:val="00A90742"/>
    <w:rsid w:val="00A908ED"/>
    <w:rsid w:val="00A909EA"/>
    <w:rsid w:val="00A90A00"/>
    <w:rsid w:val="00A90AF6"/>
    <w:rsid w:val="00A90B85"/>
    <w:rsid w:val="00A90C01"/>
    <w:rsid w:val="00A90C76"/>
    <w:rsid w:val="00A90CCE"/>
    <w:rsid w:val="00A90D97"/>
    <w:rsid w:val="00A90EA6"/>
    <w:rsid w:val="00A90EEC"/>
    <w:rsid w:val="00A90EFC"/>
    <w:rsid w:val="00A90FF3"/>
    <w:rsid w:val="00A9108E"/>
    <w:rsid w:val="00A911D8"/>
    <w:rsid w:val="00A914EF"/>
    <w:rsid w:val="00A91522"/>
    <w:rsid w:val="00A9152B"/>
    <w:rsid w:val="00A916F9"/>
    <w:rsid w:val="00A917AB"/>
    <w:rsid w:val="00A917B7"/>
    <w:rsid w:val="00A917D5"/>
    <w:rsid w:val="00A91841"/>
    <w:rsid w:val="00A919B7"/>
    <w:rsid w:val="00A91AED"/>
    <w:rsid w:val="00A91B29"/>
    <w:rsid w:val="00A91C09"/>
    <w:rsid w:val="00A91C3A"/>
    <w:rsid w:val="00A91E2E"/>
    <w:rsid w:val="00A91EE4"/>
    <w:rsid w:val="00A91F16"/>
    <w:rsid w:val="00A920D9"/>
    <w:rsid w:val="00A92174"/>
    <w:rsid w:val="00A92590"/>
    <w:rsid w:val="00A9262C"/>
    <w:rsid w:val="00A92653"/>
    <w:rsid w:val="00A926A6"/>
    <w:rsid w:val="00A927A9"/>
    <w:rsid w:val="00A929A0"/>
    <w:rsid w:val="00A92A2D"/>
    <w:rsid w:val="00A92B45"/>
    <w:rsid w:val="00A92CF6"/>
    <w:rsid w:val="00A92D2F"/>
    <w:rsid w:val="00A92D67"/>
    <w:rsid w:val="00A92EC5"/>
    <w:rsid w:val="00A9307E"/>
    <w:rsid w:val="00A930DB"/>
    <w:rsid w:val="00A9329F"/>
    <w:rsid w:val="00A932A6"/>
    <w:rsid w:val="00A93495"/>
    <w:rsid w:val="00A93638"/>
    <w:rsid w:val="00A93666"/>
    <w:rsid w:val="00A937B9"/>
    <w:rsid w:val="00A939EC"/>
    <w:rsid w:val="00A93D1A"/>
    <w:rsid w:val="00A93D8E"/>
    <w:rsid w:val="00A93E2E"/>
    <w:rsid w:val="00A93E46"/>
    <w:rsid w:val="00A93EDF"/>
    <w:rsid w:val="00A94115"/>
    <w:rsid w:val="00A94495"/>
    <w:rsid w:val="00A9450E"/>
    <w:rsid w:val="00A94563"/>
    <w:rsid w:val="00A945B7"/>
    <w:rsid w:val="00A9469B"/>
    <w:rsid w:val="00A94928"/>
    <w:rsid w:val="00A94A08"/>
    <w:rsid w:val="00A94AA3"/>
    <w:rsid w:val="00A94BCB"/>
    <w:rsid w:val="00A94C81"/>
    <w:rsid w:val="00A94CA7"/>
    <w:rsid w:val="00A94E89"/>
    <w:rsid w:val="00A94EE1"/>
    <w:rsid w:val="00A95156"/>
    <w:rsid w:val="00A9534C"/>
    <w:rsid w:val="00A95396"/>
    <w:rsid w:val="00A9544A"/>
    <w:rsid w:val="00A954C7"/>
    <w:rsid w:val="00A955FF"/>
    <w:rsid w:val="00A956F4"/>
    <w:rsid w:val="00A95736"/>
    <w:rsid w:val="00A9577C"/>
    <w:rsid w:val="00A957DC"/>
    <w:rsid w:val="00A95947"/>
    <w:rsid w:val="00A959B4"/>
    <w:rsid w:val="00A95A98"/>
    <w:rsid w:val="00A95BAE"/>
    <w:rsid w:val="00A95C11"/>
    <w:rsid w:val="00A95CE5"/>
    <w:rsid w:val="00A95EC2"/>
    <w:rsid w:val="00A95F9C"/>
    <w:rsid w:val="00A95FC9"/>
    <w:rsid w:val="00A96466"/>
    <w:rsid w:val="00A964A6"/>
    <w:rsid w:val="00A9657E"/>
    <w:rsid w:val="00A96612"/>
    <w:rsid w:val="00A96762"/>
    <w:rsid w:val="00A967B6"/>
    <w:rsid w:val="00A967F1"/>
    <w:rsid w:val="00A96858"/>
    <w:rsid w:val="00A96AA4"/>
    <w:rsid w:val="00A96EA5"/>
    <w:rsid w:val="00A96EBF"/>
    <w:rsid w:val="00A9711C"/>
    <w:rsid w:val="00A9713D"/>
    <w:rsid w:val="00A9735F"/>
    <w:rsid w:val="00A975AB"/>
    <w:rsid w:val="00A97662"/>
    <w:rsid w:val="00A976AA"/>
    <w:rsid w:val="00A976B0"/>
    <w:rsid w:val="00A976D7"/>
    <w:rsid w:val="00A977EE"/>
    <w:rsid w:val="00A978DC"/>
    <w:rsid w:val="00A97925"/>
    <w:rsid w:val="00A97A3B"/>
    <w:rsid w:val="00A97ABD"/>
    <w:rsid w:val="00A97CB4"/>
    <w:rsid w:val="00A97CD9"/>
    <w:rsid w:val="00A97D91"/>
    <w:rsid w:val="00A97E0E"/>
    <w:rsid w:val="00A97E68"/>
    <w:rsid w:val="00AA0092"/>
    <w:rsid w:val="00AA0158"/>
    <w:rsid w:val="00AA021C"/>
    <w:rsid w:val="00AA024A"/>
    <w:rsid w:val="00AA053C"/>
    <w:rsid w:val="00AA0573"/>
    <w:rsid w:val="00AA061D"/>
    <w:rsid w:val="00AA06B0"/>
    <w:rsid w:val="00AA0842"/>
    <w:rsid w:val="00AA084A"/>
    <w:rsid w:val="00AA099B"/>
    <w:rsid w:val="00AA0C0F"/>
    <w:rsid w:val="00AA0E23"/>
    <w:rsid w:val="00AA0E49"/>
    <w:rsid w:val="00AA10C8"/>
    <w:rsid w:val="00AA115A"/>
    <w:rsid w:val="00AA1613"/>
    <w:rsid w:val="00AA1634"/>
    <w:rsid w:val="00AA17BD"/>
    <w:rsid w:val="00AA19A0"/>
    <w:rsid w:val="00AA19E9"/>
    <w:rsid w:val="00AA1D7A"/>
    <w:rsid w:val="00AA1E32"/>
    <w:rsid w:val="00AA1F40"/>
    <w:rsid w:val="00AA1F81"/>
    <w:rsid w:val="00AA1FA5"/>
    <w:rsid w:val="00AA1FE9"/>
    <w:rsid w:val="00AA2389"/>
    <w:rsid w:val="00AA23BC"/>
    <w:rsid w:val="00AA25E7"/>
    <w:rsid w:val="00AA25FE"/>
    <w:rsid w:val="00AA26D4"/>
    <w:rsid w:val="00AA27C4"/>
    <w:rsid w:val="00AA28C5"/>
    <w:rsid w:val="00AA291B"/>
    <w:rsid w:val="00AA293A"/>
    <w:rsid w:val="00AA2A50"/>
    <w:rsid w:val="00AA2AD8"/>
    <w:rsid w:val="00AA2C11"/>
    <w:rsid w:val="00AA2E04"/>
    <w:rsid w:val="00AA2E14"/>
    <w:rsid w:val="00AA2E22"/>
    <w:rsid w:val="00AA2E86"/>
    <w:rsid w:val="00AA2F6F"/>
    <w:rsid w:val="00AA2F9A"/>
    <w:rsid w:val="00AA304D"/>
    <w:rsid w:val="00AA30E7"/>
    <w:rsid w:val="00AA310D"/>
    <w:rsid w:val="00AA3115"/>
    <w:rsid w:val="00AA31C4"/>
    <w:rsid w:val="00AA327F"/>
    <w:rsid w:val="00AA3353"/>
    <w:rsid w:val="00AA34E8"/>
    <w:rsid w:val="00AA3520"/>
    <w:rsid w:val="00AA382A"/>
    <w:rsid w:val="00AA38B9"/>
    <w:rsid w:val="00AA39FB"/>
    <w:rsid w:val="00AA3A33"/>
    <w:rsid w:val="00AA3A68"/>
    <w:rsid w:val="00AA3E8C"/>
    <w:rsid w:val="00AA3F56"/>
    <w:rsid w:val="00AA403D"/>
    <w:rsid w:val="00AA40E2"/>
    <w:rsid w:val="00AA40E6"/>
    <w:rsid w:val="00AA4423"/>
    <w:rsid w:val="00AA4432"/>
    <w:rsid w:val="00AA45E6"/>
    <w:rsid w:val="00AA45F6"/>
    <w:rsid w:val="00AA4610"/>
    <w:rsid w:val="00AA4885"/>
    <w:rsid w:val="00AA4941"/>
    <w:rsid w:val="00AA4B46"/>
    <w:rsid w:val="00AA4E50"/>
    <w:rsid w:val="00AA4E66"/>
    <w:rsid w:val="00AA4EE1"/>
    <w:rsid w:val="00AA4F8E"/>
    <w:rsid w:val="00AA50D0"/>
    <w:rsid w:val="00AA50F1"/>
    <w:rsid w:val="00AA5152"/>
    <w:rsid w:val="00AA526E"/>
    <w:rsid w:val="00AA55C7"/>
    <w:rsid w:val="00AA575C"/>
    <w:rsid w:val="00AA588A"/>
    <w:rsid w:val="00AA5988"/>
    <w:rsid w:val="00AA5C4B"/>
    <w:rsid w:val="00AA5D28"/>
    <w:rsid w:val="00AA5D72"/>
    <w:rsid w:val="00AA5DA1"/>
    <w:rsid w:val="00AA5DE6"/>
    <w:rsid w:val="00AA5E99"/>
    <w:rsid w:val="00AA5F66"/>
    <w:rsid w:val="00AA5FDD"/>
    <w:rsid w:val="00AA6023"/>
    <w:rsid w:val="00AA6186"/>
    <w:rsid w:val="00AA64BA"/>
    <w:rsid w:val="00AA65BD"/>
    <w:rsid w:val="00AA6866"/>
    <w:rsid w:val="00AA688B"/>
    <w:rsid w:val="00AA6A5D"/>
    <w:rsid w:val="00AA6B9E"/>
    <w:rsid w:val="00AA6C0E"/>
    <w:rsid w:val="00AA6FDE"/>
    <w:rsid w:val="00AA70F3"/>
    <w:rsid w:val="00AA72AC"/>
    <w:rsid w:val="00AA735A"/>
    <w:rsid w:val="00AA74A1"/>
    <w:rsid w:val="00AA74B3"/>
    <w:rsid w:val="00AA75A0"/>
    <w:rsid w:val="00AA75F4"/>
    <w:rsid w:val="00AA7643"/>
    <w:rsid w:val="00AA7772"/>
    <w:rsid w:val="00AA7806"/>
    <w:rsid w:val="00AA7982"/>
    <w:rsid w:val="00AA7A27"/>
    <w:rsid w:val="00AA7B54"/>
    <w:rsid w:val="00AA7C8A"/>
    <w:rsid w:val="00AA7DA9"/>
    <w:rsid w:val="00AA7EB1"/>
    <w:rsid w:val="00AA7F04"/>
    <w:rsid w:val="00AB00D7"/>
    <w:rsid w:val="00AB014C"/>
    <w:rsid w:val="00AB01E5"/>
    <w:rsid w:val="00AB0447"/>
    <w:rsid w:val="00AB048B"/>
    <w:rsid w:val="00AB0518"/>
    <w:rsid w:val="00AB053A"/>
    <w:rsid w:val="00AB05F6"/>
    <w:rsid w:val="00AB06BF"/>
    <w:rsid w:val="00AB06DC"/>
    <w:rsid w:val="00AB0AC7"/>
    <w:rsid w:val="00AB0C1B"/>
    <w:rsid w:val="00AB0C7F"/>
    <w:rsid w:val="00AB0D88"/>
    <w:rsid w:val="00AB0DE9"/>
    <w:rsid w:val="00AB0E54"/>
    <w:rsid w:val="00AB0E72"/>
    <w:rsid w:val="00AB0EAF"/>
    <w:rsid w:val="00AB0ED2"/>
    <w:rsid w:val="00AB10E6"/>
    <w:rsid w:val="00AB12D2"/>
    <w:rsid w:val="00AB12E1"/>
    <w:rsid w:val="00AB1308"/>
    <w:rsid w:val="00AB13ED"/>
    <w:rsid w:val="00AB1500"/>
    <w:rsid w:val="00AB18D7"/>
    <w:rsid w:val="00AB1AB6"/>
    <w:rsid w:val="00AB1B68"/>
    <w:rsid w:val="00AB1DDB"/>
    <w:rsid w:val="00AB1FCB"/>
    <w:rsid w:val="00AB22BD"/>
    <w:rsid w:val="00AB23D2"/>
    <w:rsid w:val="00AB2419"/>
    <w:rsid w:val="00AB25FA"/>
    <w:rsid w:val="00AB2612"/>
    <w:rsid w:val="00AB275D"/>
    <w:rsid w:val="00AB27AF"/>
    <w:rsid w:val="00AB284D"/>
    <w:rsid w:val="00AB285A"/>
    <w:rsid w:val="00AB28AD"/>
    <w:rsid w:val="00AB2934"/>
    <w:rsid w:val="00AB299D"/>
    <w:rsid w:val="00AB2A71"/>
    <w:rsid w:val="00AB2F17"/>
    <w:rsid w:val="00AB3027"/>
    <w:rsid w:val="00AB3099"/>
    <w:rsid w:val="00AB3131"/>
    <w:rsid w:val="00AB315F"/>
    <w:rsid w:val="00AB3176"/>
    <w:rsid w:val="00AB318E"/>
    <w:rsid w:val="00AB32F1"/>
    <w:rsid w:val="00AB3334"/>
    <w:rsid w:val="00AB343E"/>
    <w:rsid w:val="00AB3550"/>
    <w:rsid w:val="00AB35B2"/>
    <w:rsid w:val="00AB35F0"/>
    <w:rsid w:val="00AB35FC"/>
    <w:rsid w:val="00AB369A"/>
    <w:rsid w:val="00AB380A"/>
    <w:rsid w:val="00AB3BA3"/>
    <w:rsid w:val="00AB3D32"/>
    <w:rsid w:val="00AB3EE0"/>
    <w:rsid w:val="00AB3FC2"/>
    <w:rsid w:val="00AB400E"/>
    <w:rsid w:val="00AB41D8"/>
    <w:rsid w:val="00AB4271"/>
    <w:rsid w:val="00AB4344"/>
    <w:rsid w:val="00AB43EA"/>
    <w:rsid w:val="00AB441F"/>
    <w:rsid w:val="00AB4596"/>
    <w:rsid w:val="00AB4696"/>
    <w:rsid w:val="00AB46A6"/>
    <w:rsid w:val="00AB47AA"/>
    <w:rsid w:val="00AB47E4"/>
    <w:rsid w:val="00AB497C"/>
    <w:rsid w:val="00AB4AA2"/>
    <w:rsid w:val="00AB4BBC"/>
    <w:rsid w:val="00AB4C85"/>
    <w:rsid w:val="00AB4DB2"/>
    <w:rsid w:val="00AB4EA0"/>
    <w:rsid w:val="00AB4EA8"/>
    <w:rsid w:val="00AB5111"/>
    <w:rsid w:val="00AB51A3"/>
    <w:rsid w:val="00AB5563"/>
    <w:rsid w:val="00AB5635"/>
    <w:rsid w:val="00AB5678"/>
    <w:rsid w:val="00AB56BD"/>
    <w:rsid w:val="00AB5714"/>
    <w:rsid w:val="00AB5900"/>
    <w:rsid w:val="00AB59F0"/>
    <w:rsid w:val="00AB5A9B"/>
    <w:rsid w:val="00AB5C19"/>
    <w:rsid w:val="00AB5CA9"/>
    <w:rsid w:val="00AB5DFC"/>
    <w:rsid w:val="00AB612D"/>
    <w:rsid w:val="00AB617A"/>
    <w:rsid w:val="00AB61E4"/>
    <w:rsid w:val="00AB6216"/>
    <w:rsid w:val="00AB6250"/>
    <w:rsid w:val="00AB6434"/>
    <w:rsid w:val="00AB66A0"/>
    <w:rsid w:val="00AB6C75"/>
    <w:rsid w:val="00AB6DFE"/>
    <w:rsid w:val="00AB6E0D"/>
    <w:rsid w:val="00AB6FDA"/>
    <w:rsid w:val="00AB704E"/>
    <w:rsid w:val="00AB7180"/>
    <w:rsid w:val="00AB71A7"/>
    <w:rsid w:val="00AB76A7"/>
    <w:rsid w:val="00AB76F0"/>
    <w:rsid w:val="00AB7713"/>
    <w:rsid w:val="00AB77E3"/>
    <w:rsid w:val="00AB7C71"/>
    <w:rsid w:val="00AB7CE8"/>
    <w:rsid w:val="00AB7D5E"/>
    <w:rsid w:val="00AB7F48"/>
    <w:rsid w:val="00ABB7BF"/>
    <w:rsid w:val="00AC002F"/>
    <w:rsid w:val="00AC00C6"/>
    <w:rsid w:val="00AC030A"/>
    <w:rsid w:val="00AC0377"/>
    <w:rsid w:val="00AC044B"/>
    <w:rsid w:val="00AC04AA"/>
    <w:rsid w:val="00AC0502"/>
    <w:rsid w:val="00AC05C0"/>
    <w:rsid w:val="00AC05C9"/>
    <w:rsid w:val="00AC0617"/>
    <w:rsid w:val="00AC069A"/>
    <w:rsid w:val="00AC06E5"/>
    <w:rsid w:val="00AC0743"/>
    <w:rsid w:val="00AC0753"/>
    <w:rsid w:val="00AC07FC"/>
    <w:rsid w:val="00AC0808"/>
    <w:rsid w:val="00AC0A81"/>
    <w:rsid w:val="00AC0A8B"/>
    <w:rsid w:val="00AC0B16"/>
    <w:rsid w:val="00AC0B9B"/>
    <w:rsid w:val="00AC0C5B"/>
    <w:rsid w:val="00AC0EB0"/>
    <w:rsid w:val="00AC0F38"/>
    <w:rsid w:val="00AC10B1"/>
    <w:rsid w:val="00AC11BF"/>
    <w:rsid w:val="00AC1218"/>
    <w:rsid w:val="00AC125B"/>
    <w:rsid w:val="00AC13E4"/>
    <w:rsid w:val="00AC14EE"/>
    <w:rsid w:val="00AC1536"/>
    <w:rsid w:val="00AC18A8"/>
    <w:rsid w:val="00AC19DC"/>
    <w:rsid w:val="00AC1A66"/>
    <w:rsid w:val="00AC1DB6"/>
    <w:rsid w:val="00AC1FB6"/>
    <w:rsid w:val="00AC20CA"/>
    <w:rsid w:val="00AC2114"/>
    <w:rsid w:val="00AC2399"/>
    <w:rsid w:val="00AC24B5"/>
    <w:rsid w:val="00AC2516"/>
    <w:rsid w:val="00AC251C"/>
    <w:rsid w:val="00AC2523"/>
    <w:rsid w:val="00AC2524"/>
    <w:rsid w:val="00AC2803"/>
    <w:rsid w:val="00AC2843"/>
    <w:rsid w:val="00AC29E6"/>
    <w:rsid w:val="00AC2AF5"/>
    <w:rsid w:val="00AC2B48"/>
    <w:rsid w:val="00AC2C2A"/>
    <w:rsid w:val="00AC2C65"/>
    <w:rsid w:val="00AC31BA"/>
    <w:rsid w:val="00AC3400"/>
    <w:rsid w:val="00AC340A"/>
    <w:rsid w:val="00AC3439"/>
    <w:rsid w:val="00AC34B3"/>
    <w:rsid w:val="00AC3641"/>
    <w:rsid w:val="00AC367A"/>
    <w:rsid w:val="00AC36C3"/>
    <w:rsid w:val="00AC39F6"/>
    <w:rsid w:val="00AC3A61"/>
    <w:rsid w:val="00AC3B7F"/>
    <w:rsid w:val="00AC3C8A"/>
    <w:rsid w:val="00AC3C90"/>
    <w:rsid w:val="00AC3CD6"/>
    <w:rsid w:val="00AC3EFB"/>
    <w:rsid w:val="00AC3FA1"/>
    <w:rsid w:val="00AC42E3"/>
    <w:rsid w:val="00AC4317"/>
    <w:rsid w:val="00AC4546"/>
    <w:rsid w:val="00AC457E"/>
    <w:rsid w:val="00AC45ED"/>
    <w:rsid w:val="00AC4A1C"/>
    <w:rsid w:val="00AC4A83"/>
    <w:rsid w:val="00AC4B19"/>
    <w:rsid w:val="00AC4C8F"/>
    <w:rsid w:val="00AC4D0E"/>
    <w:rsid w:val="00AC4D71"/>
    <w:rsid w:val="00AC4DBA"/>
    <w:rsid w:val="00AC4DE4"/>
    <w:rsid w:val="00AC4F70"/>
    <w:rsid w:val="00AC5018"/>
    <w:rsid w:val="00AC50CB"/>
    <w:rsid w:val="00AC5273"/>
    <w:rsid w:val="00AC5458"/>
    <w:rsid w:val="00AC54A3"/>
    <w:rsid w:val="00AC57E1"/>
    <w:rsid w:val="00AC5864"/>
    <w:rsid w:val="00AC590A"/>
    <w:rsid w:val="00AC5A0F"/>
    <w:rsid w:val="00AC5A65"/>
    <w:rsid w:val="00AC5BF0"/>
    <w:rsid w:val="00AC5C39"/>
    <w:rsid w:val="00AC5C50"/>
    <w:rsid w:val="00AC5DD1"/>
    <w:rsid w:val="00AC5F20"/>
    <w:rsid w:val="00AC5FC7"/>
    <w:rsid w:val="00AC62CE"/>
    <w:rsid w:val="00AC62FC"/>
    <w:rsid w:val="00AC642D"/>
    <w:rsid w:val="00AC64FD"/>
    <w:rsid w:val="00AC6873"/>
    <w:rsid w:val="00AC6A4D"/>
    <w:rsid w:val="00AC6A5E"/>
    <w:rsid w:val="00AC6BD2"/>
    <w:rsid w:val="00AC6C0C"/>
    <w:rsid w:val="00AC6CD2"/>
    <w:rsid w:val="00AC6DC4"/>
    <w:rsid w:val="00AC6E4A"/>
    <w:rsid w:val="00AC7402"/>
    <w:rsid w:val="00AC77F6"/>
    <w:rsid w:val="00AC7943"/>
    <w:rsid w:val="00AC79E3"/>
    <w:rsid w:val="00AC7B50"/>
    <w:rsid w:val="00AC7BAD"/>
    <w:rsid w:val="00AC7BDA"/>
    <w:rsid w:val="00AC7E38"/>
    <w:rsid w:val="00AD02AA"/>
    <w:rsid w:val="00AD038C"/>
    <w:rsid w:val="00AD0929"/>
    <w:rsid w:val="00AD0998"/>
    <w:rsid w:val="00AD0AE5"/>
    <w:rsid w:val="00AD0B11"/>
    <w:rsid w:val="00AD0BBC"/>
    <w:rsid w:val="00AD0C04"/>
    <w:rsid w:val="00AD0C92"/>
    <w:rsid w:val="00AD0DD4"/>
    <w:rsid w:val="00AD125D"/>
    <w:rsid w:val="00AD1345"/>
    <w:rsid w:val="00AD137F"/>
    <w:rsid w:val="00AD15D6"/>
    <w:rsid w:val="00AD1957"/>
    <w:rsid w:val="00AD1CD5"/>
    <w:rsid w:val="00AD1D87"/>
    <w:rsid w:val="00AD1DD1"/>
    <w:rsid w:val="00AD1E97"/>
    <w:rsid w:val="00AD1F6C"/>
    <w:rsid w:val="00AD20E1"/>
    <w:rsid w:val="00AD214D"/>
    <w:rsid w:val="00AD215F"/>
    <w:rsid w:val="00AD21B3"/>
    <w:rsid w:val="00AD21FB"/>
    <w:rsid w:val="00AD2360"/>
    <w:rsid w:val="00AD23D7"/>
    <w:rsid w:val="00AD2582"/>
    <w:rsid w:val="00AD283F"/>
    <w:rsid w:val="00AD2A89"/>
    <w:rsid w:val="00AD2B1C"/>
    <w:rsid w:val="00AD2B8B"/>
    <w:rsid w:val="00AD2CBC"/>
    <w:rsid w:val="00AD2E90"/>
    <w:rsid w:val="00AD3383"/>
    <w:rsid w:val="00AD3540"/>
    <w:rsid w:val="00AD35C5"/>
    <w:rsid w:val="00AD3771"/>
    <w:rsid w:val="00AD37A3"/>
    <w:rsid w:val="00AD37C0"/>
    <w:rsid w:val="00AD3904"/>
    <w:rsid w:val="00AD3C4A"/>
    <w:rsid w:val="00AD3CF2"/>
    <w:rsid w:val="00AD403B"/>
    <w:rsid w:val="00AD40DB"/>
    <w:rsid w:val="00AD41E8"/>
    <w:rsid w:val="00AD43DD"/>
    <w:rsid w:val="00AD455C"/>
    <w:rsid w:val="00AD457F"/>
    <w:rsid w:val="00AD4590"/>
    <w:rsid w:val="00AD4840"/>
    <w:rsid w:val="00AD4855"/>
    <w:rsid w:val="00AD489C"/>
    <w:rsid w:val="00AD4C41"/>
    <w:rsid w:val="00AD4D3E"/>
    <w:rsid w:val="00AD4D91"/>
    <w:rsid w:val="00AD4F41"/>
    <w:rsid w:val="00AD4F47"/>
    <w:rsid w:val="00AD4F85"/>
    <w:rsid w:val="00AD4F97"/>
    <w:rsid w:val="00AD51E1"/>
    <w:rsid w:val="00AD52BA"/>
    <w:rsid w:val="00AD5423"/>
    <w:rsid w:val="00AD5527"/>
    <w:rsid w:val="00AD55F6"/>
    <w:rsid w:val="00AD569A"/>
    <w:rsid w:val="00AD57EF"/>
    <w:rsid w:val="00AD5838"/>
    <w:rsid w:val="00AD59A3"/>
    <w:rsid w:val="00AD5A1F"/>
    <w:rsid w:val="00AD5C4E"/>
    <w:rsid w:val="00AD5CE2"/>
    <w:rsid w:val="00AD5CEC"/>
    <w:rsid w:val="00AD5F6D"/>
    <w:rsid w:val="00AD5FA3"/>
    <w:rsid w:val="00AD60AC"/>
    <w:rsid w:val="00AD6113"/>
    <w:rsid w:val="00AD611F"/>
    <w:rsid w:val="00AD6279"/>
    <w:rsid w:val="00AD6481"/>
    <w:rsid w:val="00AD64CB"/>
    <w:rsid w:val="00AD6579"/>
    <w:rsid w:val="00AD65ED"/>
    <w:rsid w:val="00AD6607"/>
    <w:rsid w:val="00AD6627"/>
    <w:rsid w:val="00AD66EF"/>
    <w:rsid w:val="00AD6718"/>
    <w:rsid w:val="00AD67E8"/>
    <w:rsid w:val="00AD6EB4"/>
    <w:rsid w:val="00AD6FAB"/>
    <w:rsid w:val="00AD71BD"/>
    <w:rsid w:val="00AD7237"/>
    <w:rsid w:val="00AD728E"/>
    <w:rsid w:val="00AD72F0"/>
    <w:rsid w:val="00AD74A3"/>
    <w:rsid w:val="00AD75F5"/>
    <w:rsid w:val="00AD763C"/>
    <w:rsid w:val="00AD76BE"/>
    <w:rsid w:val="00AD77DE"/>
    <w:rsid w:val="00AD78CD"/>
    <w:rsid w:val="00AD79C1"/>
    <w:rsid w:val="00AD7AAC"/>
    <w:rsid w:val="00AD7C5C"/>
    <w:rsid w:val="00AD7EBA"/>
    <w:rsid w:val="00AD7F27"/>
    <w:rsid w:val="00AD7F32"/>
    <w:rsid w:val="00AD7FA2"/>
    <w:rsid w:val="00AE0102"/>
    <w:rsid w:val="00AE0110"/>
    <w:rsid w:val="00AE021E"/>
    <w:rsid w:val="00AE025A"/>
    <w:rsid w:val="00AE02FD"/>
    <w:rsid w:val="00AE0719"/>
    <w:rsid w:val="00AE07AD"/>
    <w:rsid w:val="00AE0A44"/>
    <w:rsid w:val="00AE0A6B"/>
    <w:rsid w:val="00AE0ACF"/>
    <w:rsid w:val="00AE0C4B"/>
    <w:rsid w:val="00AE0CDB"/>
    <w:rsid w:val="00AE0F34"/>
    <w:rsid w:val="00AE114E"/>
    <w:rsid w:val="00AE120D"/>
    <w:rsid w:val="00AE130B"/>
    <w:rsid w:val="00AE13E5"/>
    <w:rsid w:val="00AE1646"/>
    <w:rsid w:val="00AE182B"/>
    <w:rsid w:val="00AE1A3B"/>
    <w:rsid w:val="00AE1A58"/>
    <w:rsid w:val="00AE1BB7"/>
    <w:rsid w:val="00AE1C30"/>
    <w:rsid w:val="00AE1D3C"/>
    <w:rsid w:val="00AE1FAF"/>
    <w:rsid w:val="00AE2014"/>
    <w:rsid w:val="00AE205E"/>
    <w:rsid w:val="00AE2076"/>
    <w:rsid w:val="00AE2210"/>
    <w:rsid w:val="00AE22BF"/>
    <w:rsid w:val="00AE24EA"/>
    <w:rsid w:val="00AE25D5"/>
    <w:rsid w:val="00AE2603"/>
    <w:rsid w:val="00AE260A"/>
    <w:rsid w:val="00AE281C"/>
    <w:rsid w:val="00AE2821"/>
    <w:rsid w:val="00AE2978"/>
    <w:rsid w:val="00AE2F46"/>
    <w:rsid w:val="00AE300A"/>
    <w:rsid w:val="00AE30CA"/>
    <w:rsid w:val="00AE318A"/>
    <w:rsid w:val="00AE31E2"/>
    <w:rsid w:val="00AE3282"/>
    <w:rsid w:val="00AE328F"/>
    <w:rsid w:val="00AE334F"/>
    <w:rsid w:val="00AE35DB"/>
    <w:rsid w:val="00AE3A17"/>
    <w:rsid w:val="00AE3A82"/>
    <w:rsid w:val="00AE3ADF"/>
    <w:rsid w:val="00AE3ED8"/>
    <w:rsid w:val="00AE4010"/>
    <w:rsid w:val="00AE42C6"/>
    <w:rsid w:val="00AE438E"/>
    <w:rsid w:val="00AE44C1"/>
    <w:rsid w:val="00AE470E"/>
    <w:rsid w:val="00AE4756"/>
    <w:rsid w:val="00AE47E0"/>
    <w:rsid w:val="00AE47F2"/>
    <w:rsid w:val="00AE4A04"/>
    <w:rsid w:val="00AE4AF2"/>
    <w:rsid w:val="00AE4C55"/>
    <w:rsid w:val="00AE4C84"/>
    <w:rsid w:val="00AE4C94"/>
    <w:rsid w:val="00AE4CA2"/>
    <w:rsid w:val="00AE4E48"/>
    <w:rsid w:val="00AE4F1A"/>
    <w:rsid w:val="00AE5049"/>
    <w:rsid w:val="00AE5090"/>
    <w:rsid w:val="00AE5269"/>
    <w:rsid w:val="00AE52EA"/>
    <w:rsid w:val="00AE57A0"/>
    <w:rsid w:val="00AE57A5"/>
    <w:rsid w:val="00AE57BA"/>
    <w:rsid w:val="00AE5A29"/>
    <w:rsid w:val="00AE5B52"/>
    <w:rsid w:val="00AE5C6F"/>
    <w:rsid w:val="00AE5DF0"/>
    <w:rsid w:val="00AE5F25"/>
    <w:rsid w:val="00AE601E"/>
    <w:rsid w:val="00AE60FE"/>
    <w:rsid w:val="00AE615B"/>
    <w:rsid w:val="00AE61D1"/>
    <w:rsid w:val="00AE620C"/>
    <w:rsid w:val="00AE63A1"/>
    <w:rsid w:val="00AE6632"/>
    <w:rsid w:val="00AE6781"/>
    <w:rsid w:val="00AE6812"/>
    <w:rsid w:val="00AE6892"/>
    <w:rsid w:val="00AE6B8D"/>
    <w:rsid w:val="00AE6CCE"/>
    <w:rsid w:val="00AE6D04"/>
    <w:rsid w:val="00AE6D2A"/>
    <w:rsid w:val="00AE70BF"/>
    <w:rsid w:val="00AE74CD"/>
    <w:rsid w:val="00AE74D7"/>
    <w:rsid w:val="00AE77A2"/>
    <w:rsid w:val="00AE7826"/>
    <w:rsid w:val="00AE78BA"/>
    <w:rsid w:val="00AE793F"/>
    <w:rsid w:val="00AE7943"/>
    <w:rsid w:val="00AE796B"/>
    <w:rsid w:val="00AE7ADD"/>
    <w:rsid w:val="00AE7B53"/>
    <w:rsid w:val="00AE7CFC"/>
    <w:rsid w:val="00AE7D1E"/>
    <w:rsid w:val="00AE7E5A"/>
    <w:rsid w:val="00AE7E68"/>
    <w:rsid w:val="00AE7F10"/>
    <w:rsid w:val="00AF0065"/>
    <w:rsid w:val="00AF0099"/>
    <w:rsid w:val="00AF02A2"/>
    <w:rsid w:val="00AF03D8"/>
    <w:rsid w:val="00AF04B3"/>
    <w:rsid w:val="00AF055F"/>
    <w:rsid w:val="00AF0618"/>
    <w:rsid w:val="00AF0627"/>
    <w:rsid w:val="00AF0733"/>
    <w:rsid w:val="00AF0835"/>
    <w:rsid w:val="00AF08CD"/>
    <w:rsid w:val="00AF08D7"/>
    <w:rsid w:val="00AF0963"/>
    <w:rsid w:val="00AF0C34"/>
    <w:rsid w:val="00AF0C3A"/>
    <w:rsid w:val="00AF0E82"/>
    <w:rsid w:val="00AF1231"/>
    <w:rsid w:val="00AF1243"/>
    <w:rsid w:val="00AF124A"/>
    <w:rsid w:val="00AF141E"/>
    <w:rsid w:val="00AF1506"/>
    <w:rsid w:val="00AF1569"/>
    <w:rsid w:val="00AF1576"/>
    <w:rsid w:val="00AF1597"/>
    <w:rsid w:val="00AF15AD"/>
    <w:rsid w:val="00AF15F1"/>
    <w:rsid w:val="00AF164C"/>
    <w:rsid w:val="00AF1672"/>
    <w:rsid w:val="00AF17F0"/>
    <w:rsid w:val="00AF1847"/>
    <w:rsid w:val="00AF1954"/>
    <w:rsid w:val="00AF19E8"/>
    <w:rsid w:val="00AF1A98"/>
    <w:rsid w:val="00AF1B7F"/>
    <w:rsid w:val="00AF1C31"/>
    <w:rsid w:val="00AF1ED0"/>
    <w:rsid w:val="00AF203A"/>
    <w:rsid w:val="00AF213C"/>
    <w:rsid w:val="00AF22F2"/>
    <w:rsid w:val="00AF23E1"/>
    <w:rsid w:val="00AF2460"/>
    <w:rsid w:val="00AF24A3"/>
    <w:rsid w:val="00AF250A"/>
    <w:rsid w:val="00AF2712"/>
    <w:rsid w:val="00AF2859"/>
    <w:rsid w:val="00AF28ED"/>
    <w:rsid w:val="00AF2A9A"/>
    <w:rsid w:val="00AF2A9E"/>
    <w:rsid w:val="00AF2C0F"/>
    <w:rsid w:val="00AF2DAA"/>
    <w:rsid w:val="00AF2DCF"/>
    <w:rsid w:val="00AF2EC3"/>
    <w:rsid w:val="00AF2F6C"/>
    <w:rsid w:val="00AF2F83"/>
    <w:rsid w:val="00AF2FC3"/>
    <w:rsid w:val="00AF312A"/>
    <w:rsid w:val="00AF3388"/>
    <w:rsid w:val="00AF3498"/>
    <w:rsid w:val="00AF3585"/>
    <w:rsid w:val="00AF3728"/>
    <w:rsid w:val="00AF38AA"/>
    <w:rsid w:val="00AF391C"/>
    <w:rsid w:val="00AF3A03"/>
    <w:rsid w:val="00AF3BF4"/>
    <w:rsid w:val="00AF3CD4"/>
    <w:rsid w:val="00AF3D30"/>
    <w:rsid w:val="00AF3D7C"/>
    <w:rsid w:val="00AF3E31"/>
    <w:rsid w:val="00AF3E63"/>
    <w:rsid w:val="00AF3F6C"/>
    <w:rsid w:val="00AF4034"/>
    <w:rsid w:val="00AF40DA"/>
    <w:rsid w:val="00AF4166"/>
    <w:rsid w:val="00AF42EA"/>
    <w:rsid w:val="00AF43EE"/>
    <w:rsid w:val="00AF44FD"/>
    <w:rsid w:val="00AF4861"/>
    <w:rsid w:val="00AF4BAC"/>
    <w:rsid w:val="00AF4D7F"/>
    <w:rsid w:val="00AF4E1E"/>
    <w:rsid w:val="00AF5063"/>
    <w:rsid w:val="00AF5161"/>
    <w:rsid w:val="00AF533D"/>
    <w:rsid w:val="00AF5355"/>
    <w:rsid w:val="00AF53EF"/>
    <w:rsid w:val="00AF544A"/>
    <w:rsid w:val="00AF54A0"/>
    <w:rsid w:val="00AF552F"/>
    <w:rsid w:val="00AF56B7"/>
    <w:rsid w:val="00AF572E"/>
    <w:rsid w:val="00AF575D"/>
    <w:rsid w:val="00AF5966"/>
    <w:rsid w:val="00AF59B5"/>
    <w:rsid w:val="00AF5A76"/>
    <w:rsid w:val="00AF5FAF"/>
    <w:rsid w:val="00AF6173"/>
    <w:rsid w:val="00AF635F"/>
    <w:rsid w:val="00AF6390"/>
    <w:rsid w:val="00AF66B0"/>
    <w:rsid w:val="00AF66C0"/>
    <w:rsid w:val="00AF67FA"/>
    <w:rsid w:val="00AF68DC"/>
    <w:rsid w:val="00AF68FE"/>
    <w:rsid w:val="00AF6955"/>
    <w:rsid w:val="00AF6AC4"/>
    <w:rsid w:val="00AF6B54"/>
    <w:rsid w:val="00AF6BF1"/>
    <w:rsid w:val="00AF6C73"/>
    <w:rsid w:val="00AF6DA2"/>
    <w:rsid w:val="00AF6FE1"/>
    <w:rsid w:val="00AF7073"/>
    <w:rsid w:val="00AF70C7"/>
    <w:rsid w:val="00AF7119"/>
    <w:rsid w:val="00AF7209"/>
    <w:rsid w:val="00AF72AA"/>
    <w:rsid w:val="00AF73E1"/>
    <w:rsid w:val="00AF7462"/>
    <w:rsid w:val="00AF760B"/>
    <w:rsid w:val="00AF7A49"/>
    <w:rsid w:val="00AF7D63"/>
    <w:rsid w:val="00AF7DC8"/>
    <w:rsid w:val="00AF7E1F"/>
    <w:rsid w:val="00AF7E97"/>
    <w:rsid w:val="00AF7EA6"/>
    <w:rsid w:val="00B00052"/>
    <w:rsid w:val="00B00058"/>
    <w:rsid w:val="00B000AA"/>
    <w:rsid w:val="00B00317"/>
    <w:rsid w:val="00B00429"/>
    <w:rsid w:val="00B005CB"/>
    <w:rsid w:val="00B005F6"/>
    <w:rsid w:val="00B00624"/>
    <w:rsid w:val="00B00A08"/>
    <w:rsid w:val="00B00A60"/>
    <w:rsid w:val="00B00B4A"/>
    <w:rsid w:val="00B00BC0"/>
    <w:rsid w:val="00B00BD8"/>
    <w:rsid w:val="00B00C01"/>
    <w:rsid w:val="00B00DC8"/>
    <w:rsid w:val="00B00E33"/>
    <w:rsid w:val="00B00E34"/>
    <w:rsid w:val="00B00F3F"/>
    <w:rsid w:val="00B00FA3"/>
    <w:rsid w:val="00B00FC5"/>
    <w:rsid w:val="00B00FE2"/>
    <w:rsid w:val="00B01078"/>
    <w:rsid w:val="00B010C6"/>
    <w:rsid w:val="00B011AD"/>
    <w:rsid w:val="00B011D7"/>
    <w:rsid w:val="00B011F6"/>
    <w:rsid w:val="00B012B4"/>
    <w:rsid w:val="00B01321"/>
    <w:rsid w:val="00B0145C"/>
    <w:rsid w:val="00B01496"/>
    <w:rsid w:val="00B01499"/>
    <w:rsid w:val="00B014F5"/>
    <w:rsid w:val="00B0154A"/>
    <w:rsid w:val="00B01595"/>
    <w:rsid w:val="00B016CE"/>
    <w:rsid w:val="00B016E0"/>
    <w:rsid w:val="00B0176E"/>
    <w:rsid w:val="00B0198B"/>
    <w:rsid w:val="00B01BA7"/>
    <w:rsid w:val="00B01D02"/>
    <w:rsid w:val="00B01D7D"/>
    <w:rsid w:val="00B01DA7"/>
    <w:rsid w:val="00B02124"/>
    <w:rsid w:val="00B0228F"/>
    <w:rsid w:val="00B022F1"/>
    <w:rsid w:val="00B023F8"/>
    <w:rsid w:val="00B02424"/>
    <w:rsid w:val="00B025B0"/>
    <w:rsid w:val="00B026EF"/>
    <w:rsid w:val="00B026F2"/>
    <w:rsid w:val="00B02726"/>
    <w:rsid w:val="00B02A02"/>
    <w:rsid w:val="00B02A18"/>
    <w:rsid w:val="00B02BA0"/>
    <w:rsid w:val="00B02C9E"/>
    <w:rsid w:val="00B02D41"/>
    <w:rsid w:val="00B02E47"/>
    <w:rsid w:val="00B02EF7"/>
    <w:rsid w:val="00B02F6D"/>
    <w:rsid w:val="00B0325A"/>
    <w:rsid w:val="00B032BB"/>
    <w:rsid w:val="00B032D3"/>
    <w:rsid w:val="00B032E2"/>
    <w:rsid w:val="00B03315"/>
    <w:rsid w:val="00B034B2"/>
    <w:rsid w:val="00B0357E"/>
    <w:rsid w:val="00B03592"/>
    <w:rsid w:val="00B03611"/>
    <w:rsid w:val="00B03667"/>
    <w:rsid w:val="00B036F7"/>
    <w:rsid w:val="00B0373D"/>
    <w:rsid w:val="00B037C1"/>
    <w:rsid w:val="00B0395C"/>
    <w:rsid w:val="00B03A7D"/>
    <w:rsid w:val="00B03A94"/>
    <w:rsid w:val="00B03B40"/>
    <w:rsid w:val="00B03CA1"/>
    <w:rsid w:val="00B03CA8"/>
    <w:rsid w:val="00B03D1A"/>
    <w:rsid w:val="00B03D5C"/>
    <w:rsid w:val="00B03DA0"/>
    <w:rsid w:val="00B0402E"/>
    <w:rsid w:val="00B04185"/>
    <w:rsid w:val="00B041A8"/>
    <w:rsid w:val="00B041F3"/>
    <w:rsid w:val="00B042DF"/>
    <w:rsid w:val="00B046A8"/>
    <w:rsid w:val="00B04727"/>
    <w:rsid w:val="00B04915"/>
    <w:rsid w:val="00B0491A"/>
    <w:rsid w:val="00B04972"/>
    <w:rsid w:val="00B04A0B"/>
    <w:rsid w:val="00B04A10"/>
    <w:rsid w:val="00B04BB1"/>
    <w:rsid w:val="00B04BD5"/>
    <w:rsid w:val="00B04C3A"/>
    <w:rsid w:val="00B04CE8"/>
    <w:rsid w:val="00B04EEC"/>
    <w:rsid w:val="00B04FF2"/>
    <w:rsid w:val="00B05276"/>
    <w:rsid w:val="00B053C4"/>
    <w:rsid w:val="00B05526"/>
    <w:rsid w:val="00B05529"/>
    <w:rsid w:val="00B055A6"/>
    <w:rsid w:val="00B056DC"/>
    <w:rsid w:val="00B0586E"/>
    <w:rsid w:val="00B05997"/>
    <w:rsid w:val="00B059E5"/>
    <w:rsid w:val="00B05A60"/>
    <w:rsid w:val="00B05C6B"/>
    <w:rsid w:val="00B05CC4"/>
    <w:rsid w:val="00B05E97"/>
    <w:rsid w:val="00B05ED7"/>
    <w:rsid w:val="00B06126"/>
    <w:rsid w:val="00B06281"/>
    <w:rsid w:val="00B064A8"/>
    <w:rsid w:val="00B064BA"/>
    <w:rsid w:val="00B06609"/>
    <w:rsid w:val="00B0662C"/>
    <w:rsid w:val="00B066B6"/>
    <w:rsid w:val="00B068D7"/>
    <w:rsid w:val="00B06974"/>
    <w:rsid w:val="00B06A9A"/>
    <w:rsid w:val="00B06D34"/>
    <w:rsid w:val="00B06D47"/>
    <w:rsid w:val="00B06E63"/>
    <w:rsid w:val="00B06ECA"/>
    <w:rsid w:val="00B06FB2"/>
    <w:rsid w:val="00B071E6"/>
    <w:rsid w:val="00B07376"/>
    <w:rsid w:val="00B0758C"/>
    <w:rsid w:val="00B0777C"/>
    <w:rsid w:val="00B079B8"/>
    <w:rsid w:val="00B079CC"/>
    <w:rsid w:val="00B07BAA"/>
    <w:rsid w:val="00B07EB3"/>
    <w:rsid w:val="00B07F27"/>
    <w:rsid w:val="00B07F3B"/>
    <w:rsid w:val="00B07FFA"/>
    <w:rsid w:val="00B10324"/>
    <w:rsid w:val="00B103CB"/>
    <w:rsid w:val="00B10620"/>
    <w:rsid w:val="00B1066F"/>
    <w:rsid w:val="00B10806"/>
    <w:rsid w:val="00B10938"/>
    <w:rsid w:val="00B109BD"/>
    <w:rsid w:val="00B10AAE"/>
    <w:rsid w:val="00B10B2A"/>
    <w:rsid w:val="00B10D84"/>
    <w:rsid w:val="00B10E6D"/>
    <w:rsid w:val="00B10F46"/>
    <w:rsid w:val="00B11168"/>
    <w:rsid w:val="00B111C1"/>
    <w:rsid w:val="00B11229"/>
    <w:rsid w:val="00B11544"/>
    <w:rsid w:val="00B117D6"/>
    <w:rsid w:val="00B1186A"/>
    <w:rsid w:val="00B11920"/>
    <w:rsid w:val="00B119C8"/>
    <w:rsid w:val="00B11ABD"/>
    <w:rsid w:val="00B11C40"/>
    <w:rsid w:val="00B11E27"/>
    <w:rsid w:val="00B1203A"/>
    <w:rsid w:val="00B12074"/>
    <w:rsid w:val="00B121EC"/>
    <w:rsid w:val="00B1243E"/>
    <w:rsid w:val="00B12550"/>
    <w:rsid w:val="00B125A7"/>
    <w:rsid w:val="00B125E5"/>
    <w:rsid w:val="00B12643"/>
    <w:rsid w:val="00B1264C"/>
    <w:rsid w:val="00B12735"/>
    <w:rsid w:val="00B128B7"/>
    <w:rsid w:val="00B12963"/>
    <w:rsid w:val="00B129A9"/>
    <w:rsid w:val="00B12AD9"/>
    <w:rsid w:val="00B12E24"/>
    <w:rsid w:val="00B12E6E"/>
    <w:rsid w:val="00B13066"/>
    <w:rsid w:val="00B13235"/>
    <w:rsid w:val="00B132BA"/>
    <w:rsid w:val="00B13609"/>
    <w:rsid w:val="00B13664"/>
    <w:rsid w:val="00B1368F"/>
    <w:rsid w:val="00B13955"/>
    <w:rsid w:val="00B13A22"/>
    <w:rsid w:val="00B13B79"/>
    <w:rsid w:val="00B13CBB"/>
    <w:rsid w:val="00B13DB5"/>
    <w:rsid w:val="00B13EB0"/>
    <w:rsid w:val="00B142A2"/>
    <w:rsid w:val="00B14337"/>
    <w:rsid w:val="00B14418"/>
    <w:rsid w:val="00B1459B"/>
    <w:rsid w:val="00B1461D"/>
    <w:rsid w:val="00B14636"/>
    <w:rsid w:val="00B146DD"/>
    <w:rsid w:val="00B14750"/>
    <w:rsid w:val="00B148A6"/>
    <w:rsid w:val="00B148EF"/>
    <w:rsid w:val="00B14955"/>
    <w:rsid w:val="00B149A0"/>
    <w:rsid w:val="00B149FA"/>
    <w:rsid w:val="00B14CAA"/>
    <w:rsid w:val="00B14EA3"/>
    <w:rsid w:val="00B1502D"/>
    <w:rsid w:val="00B15174"/>
    <w:rsid w:val="00B15360"/>
    <w:rsid w:val="00B154CB"/>
    <w:rsid w:val="00B154E6"/>
    <w:rsid w:val="00B158E0"/>
    <w:rsid w:val="00B158E6"/>
    <w:rsid w:val="00B15B80"/>
    <w:rsid w:val="00B15E7A"/>
    <w:rsid w:val="00B16064"/>
    <w:rsid w:val="00B16165"/>
    <w:rsid w:val="00B162FC"/>
    <w:rsid w:val="00B16302"/>
    <w:rsid w:val="00B163C8"/>
    <w:rsid w:val="00B16414"/>
    <w:rsid w:val="00B1641A"/>
    <w:rsid w:val="00B164EB"/>
    <w:rsid w:val="00B167B7"/>
    <w:rsid w:val="00B16972"/>
    <w:rsid w:val="00B16995"/>
    <w:rsid w:val="00B169FE"/>
    <w:rsid w:val="00B16A55"/>
    <w:rsid w:val="00B16A96"/>
    <w:rsid w:val="00B16AA5"/>
    <w:rsid w:val="00B16BA5"/>
    <w:rsid w:val="00B16C43"/>
    <w:rsid w:val="00B16C5B"/>
    <w:rsid w:val="00B16E94"/>
    <w:rsid w:val="00B16EB8"/>
    <w:rsid w:val="00B170A4"/>
    <w:rsid w:val="00B171E8"/>
    <w:rsid w:val="00B1735B"/>
    <w:rsid w:val="00B17463"/>
    <w:rsid w:val="00B17739"/>
    <w:rsid w:val="00B17771"/>
    <w:rsid w:val="00B178AE"/>
    <w:rsid w:val="00B1790A"/>
    <w:rsid w:val="00B17961"/>
    <w:rsid w:val="00B17998"/>
    <w:rsid w:val="00B179DB"/>
    <w:rsid w:val="00B17A80"/>
    <w:rsid w:val="00B17AE3"/>
    <w:rsid w:val="00B17F25"/>
    <w:rsid w:val="00B17F4F"/>
    <w:rsid w:val="00B201F7"/>
    <w:rsid w:val="00B2020A"/>
    <w:rsid w:val="00B2029B"/>
    <w:rsid w:val="00B204CD"/>
    <w:rsid w:val="00B2061C"/>
    <w:rsid w:val="00B2075E"/>
    <w:rsid w:val="00B208B0"/>
    <w:rsid w:val="00B208D7"/>
    <w:rsid w:val="00B20931"/>
    <w:rsid w:val="00B20C32"/>
    <w:rsid w:val="00B20D1C"/>
    <w:rsid w:val="00B20F2D"/>
    <w:rsid w:val="00B21147"/>
    <w:rsid w:val="00B212BA"/>
    <w:rsid w:val="00B2138E"/>
    <w:rsid w:val="00B215E8"/>
    <w:rsid w:val="00B21822"/>
    <w:rsid w:val="00B21878"/>
    <w:rsid w:val="00B21942"/>
    <w:rsid w:val="00B219AF"/>
    <w:rsid w:val="00B21A41"/>
    <w:rsid w:val="00B21A88"/>
    <w:rsid w:val="00B21A9A"/>
    <w:rsid w:val="00B21AF7"/>
    <w:rsid w:val="00B21B13"/>
    <w:rsid w:val="00B21B65"/>
    <w:rsid w:val="00B21E4E"/>
    <w:rsid w:val="00B21E5D"/>
    <w:rsid w:val="00B21EEB"/>
    <w:rsid w:val="00B21EFC"/>
    <w:rsid w:val="00B22234"/>
    <w:rsid w:val="00B222EF"/>
    <w:rsid w:val="00B223F7"/>
    <w:rsid w:val="00B22415"/>
    <w:rsid w:val="00B224A8"/>
    <w:rsid w:val="00B224E8"/>
    <w:rsid w:val="00B2257A"/>
    <w:rsid w:val="00B226A0"/>
    <w:rsid w:val="00B22B1B"/>
    <w:rsid w:val="00B22BD1"/>
    <w:rsid w:val="00B22BE1"/>
    <w:rsid w:val="00B22D60"/>
    <w:rsid w:val="00B22D61"/>
    <w:rsid w:val="00B22DCC"/>
    <w:rsid w:val="00B22DD6"/>
    <w:rsid w:val="00B22E12"/>
    <w:rsid w:val="00B22E1C"/>
    <w:rsid w:val="00B22E80"/>
    <w:rsid w:val="00B22EE1"/>
    <w:rsid w:val="00B22F00"/>
    <w:rsid w:val="00B22FE5"/>
    <w:rsid w:val="00B2310F"/>
    <w:rsid w:val="00B231C2"/>
    <w:rsid w:val="00B231E8"/>
    <w:rsid w:val="00B2328A"/>
    <w:rsid w:val="00B234E0"/>
    <w:rsid w:val="00B2352C"/>
    <w:rsid w:val="00B23748"/>
    <w:rsid w:val="00B23924"/>
    <w:rsid w:val="00B239C4"/>
    <w:rsid w:val="00B23ABB"/>
    <w:rsid w:val="00B23B5D"/>
    <w:rsid w:val="00B23E0C"/>
    <w:rsid w:val="00B23E59"/>
    <w:rsid w:val="00B240C8"/>
    <w:rsid w:val="00B240CE"/>
    <w:rsid w:val="00B2417F"/>
    <w:rsid w:val="00B24243"/>
    <w:rsid w:val="00B243F8"/>
    <w:rsid w:val="00B24514"/>
    <w:rsid w:val="00B245E0"/>
    <w:rsid w:val="00B2466F"/>
    <w:rsid w:val="00B24741"/>
    <w:rsid w:val="00B249D4"/>
    <w:rsid w:val="00B24AEC"/>
    <w:rsid w:val="00B24B60"/>
    <w:rsid w:val="00B24B64"/>
    <w:rsid w:val="00B24C1E"/>
    <w:rsid w:val="00B24D67"/>
    <w:rsid w:val="00B24FAA"/>
    <w:rsid w:val="00B2502B"/>
    <w:rsid w:val="00B25101"/>
    <w:rsid w:val="00B25394"/>
    <w:rsid w:val="00B254D1"/>
    <w:rsid w:val="00B25508"/>
    <w:rsid w:val="00B25617"/>
    <w:rsid w:val="00B256DF"/>
    <w:rsid w:val="00B2598D"/>
    <w:rsid w:val="00B25A32"/>
    <w:rsid w:val="00B25AA5"/>
    <w:rsid w:val="00B25AB6"/>
    <w:rsid w:val="00B25B7D"/>
    <w:rsid w:val="00B25DF7"/>
    <w:rsid w:val="00B25EE1"/>
    <w:rsid w:val="00B25F7B"/>
    <w:rsid w:val="00B2616C"/>
    <w:rsid w:val="00B26183"/>
    <w:rsid w:val="00B2620D"/>
    <w:rsid w:val="00B2628E"/>
    <w:rsid w:val="00B26332"/>
    <w:rsid w:val="00B2635B"/>
    <w:rsid w:val="00B263BD"/>
    <w:rsid w:val="00B264E5"/>
    <w:rsid w:val="00B2660C"/>
    <w:rsid w:val="00B26612"/>
    <w:rsid w:val="00B266B7"/>
    <w:rsid w:val="00B266E4"/>
    <w:rsid w:val="00B26823"/>
    <w:rsid w:val="00B269C9"/>
    <w:rsid w:val="00B26BDE"/>
    <w:rsid w:val="00B26C4F"/>
    <w:rsid w:val="00B26CC0"/>
    <w:rsid w:val="00B26E18"/>
    <w:rsid w:val="00B26EC1"/>
    <w:rsid w:val="00B26EE5"/>
    <w:rsid w:val="00B270C8"/>
    <w:rsid w:val="00B27133"/>
    <w:rsid w:val="00B272B2"/>
    <w:rsid w:val="00B272B6"/>
    <w:rsid w:val="00B274D8"/>
    <w:rsid w:val="00B275F7"/>
    <w:rsid w:val="00B27647"/>
    <w:rsid w:val="00B2765B"/>
    <w:rsid w:val="00B2767A"/>
    <w:rsid w:val="00B2787D"/>
    <w:rsid w:val="00B278CF"/>
    <w:rsid w:val="00B27BA0"/>
    <w:rsid w:val="00B27D03"/>
    <w:rsid w:val="00B27E08"/>
    <w:rsid w:val="00B27E66"/>
    <w:rsid w:val="00B27F76"/>
    <w:rsid w:val="00B30018"/>
    <w:rsid w:val="00B3006F"/>
    <w:rsid w:val="00B30072"/>
    <w:rsid w:val="00B301F8"/>
    <w:rsid w:val="00B3021C"/>
    <w:rsid w:val="00B30367"/>
    <w:rsid w:val="00B304BE"/>
    <w:rsid w:val="00B30512"/>
    <w:rsid w:val="00B306EE"/>
    <w:rsid w:val="00B3088A"/>
    <w:rsid w:val="00B308A5"/>
    <w:rsid w:val="00B30A48"/>
    <w:rsid w:val="00B30CC7"/>
    <w:rsid w:val="00B30DE3"/>
    <w:rsid w:val="00B30F88"/>
    <w:rsid w:val="00B30F99"/>
    <w:rsid w:val="00B3117E"/>
    <w:rsid w:val="00B31255"/>
    <w:rsid w:val="00B31384"/>
    <w:rsid w:val="00B3138A"/>
    <w:rsid w:val="00B31508"/>
    <w:rsid w:val="00B31539"/>
    <w:rsid w:val="00B31695"/>
    <w:rsid w:val="00B316F6"/>
    <w:rsid w:val="00B31843"/>
    <w:rsid w:val="00B3186A"/>
    <w:rsid w:val="00B318E4"/>
    <w:rsid w:val="00B31A29"/>
    <w:rsid w:val="00B31AF4"/>
    <w:rsid w:val="00B31BEF"/>
    <w:rsid w:val="00B31DC0"/>
    <w:rsid w:val="00B31DD4"/>
    <w:rsid w:val="00B31F38"/>
    <w:rsid w:val="00B31F47"/>
    <w:rsid w:val="00B320E9"/>
    <w:rsid w:val="00B3212A"/>
    <w:rsid w:val="00B322D6"/>
    <w:rsid w:val="00B322FC"/>
    <w:rsid w:val="00B32388"/>
    <w:rsid w:val="00B3246E"/>
    <w:rsid w:val="00B324C8"/>
    <w:rsid w:val="00B32533"/>
    <w:rsid w:val="00B325BB"/>
    <w:rsid w:val="00B325E6"/>
    <w:rsid w:val="00B326E3"/>
    <w:rsid w:val="00B3277E"/>
    <w:rsid w:val="00B3278F"/>
    <w:rsid w:val="00B32896"/>
    <w:rsid w:val="00B329FC"/>
    <w:rsid w:val="00B32A22"/>
    <w:rsid w:val="00B32C5A"/>
    <w:rsid w:val="00B32D00"/>
    <w:rsid w:val="00B32D39"/>
    <w:rsid w:val="00B32E84"/>
    <w:rsid w:val="00B32F1B"/>
    <w:rsid w:val="00B3305E"/>
    <w:rsid w:val="00B33124"/>
    <w:rsid w:val="00B3321E"/>
    <w:rsid w:val="00B3372C"/>
    <w:rsid w:val="00B33765"/>
    <w:rsid w:val="00B33776"/>
    <w:rsid w:val="00B338C2"/>
    <w:rsid w:val="00B338C9"/>
    <w:rsid w:val="00B33AEF"/>
    <w:rsid w:val="00B33BBE"/>
    <w:rsid w:val="00B33BFA"/>
    <w:rsid w:val="00B33C6B"/>
    <w:rsid w:val="00B33CDF"/>
    <w:rsid w:val="00B33CF7"/>
    <w:rsid w:val="00B33E86"/>
    <w:rsid w:val="00B33ED2"/>
    <w:rsid w:val="00B34224"/>
    <w:rsid w:val="00B34247"/>
    <w:rsid w:val="00B34305"/>
    <w:rsid w:val="00B344BD"/>
    <w:rsid w:val="00B346BB"/>
    <w:rsid w:val="00B347AF"/>
    <w:rsid w:val="00B3482C"/>
    <w:rsid w:val="00B34921"/>
    <w:rsid w:val="00B34A10"/>
    <w:rsid w:val="00B34A49"/>
    <w:rsid w:val="00B34B3D"/>
    <w:rsid w:val="00B34CE9"/>
    <w:rsid w:val="00B34DA9"/>
    <w:rsid w:val="00B34E18"/>
    <w:rsid w:val="00B35053"/>
    <w:rsid w:val="00B35110"/>
    <w:rsid w:val="00B35239"/>
    <w:rsid w:val="00B35688"/>
    <w:rsid w:val="00B356F1"/>
    <w:rsid w:val="00B35871"/>
    <w:rsid w:val="00B35B17"/>
    <w:rsid w:val="00B35B54"/>
    <w:rsid w:val="00B35CA9"/>
    <w:rsid w:val="00B35D30"/>
    <w:rsid w:val="00B35D39"/>
    <w:rsid w:val="00B35E70"/>
    <w:rsid w:val="00B35EB5"/>
    <w:rsid w:val="00B35F99"/>
    <w:rsid w:val="00B35F9D"/>
    <w:rsid w:val="00B36093"/>
    <w:rsid w:val="00B367D8"/>
    <w:rsid w:val="00B367F1"/>
    <w:rsid w:val="00B36A67"/>
    <w:rsid w:val="00B36AF3"/>
    <w:rsid w:val="00B36BFB"/>
    <w:rsid w:val="00B36DF2"/>
    <w:rsid w:val="00B36F8E"/>
    <w:rsid w:val="00B37043"/>
    <w:rsid w:val="00B37179"/>
    <w:rsid w:val="00B371EC"/>
    <w:rsid w:val="00B3730A"/>
    <w:rsid w:val="00B37334"/>
    <w:rsid w:val="00B3739F"/>
    <w:rsid w:val="00B373E8"/>
    <w:rsid w:val="00B373FE"/>
    <w:rsid w:val="00B37412"/>
    <w:rsid w:val="00B37615"/>
    <w:rsid w:val="00B377BE"/>
    <w:rsid w:val="00B378B3"/>
    <w:rsid w:val="00B3790A"/>
    <w:rsid w:val="00B37B17"/>
    <w:rsid w:val="00B37B5B"/>
    <w:rsid w:val="00B37C72"/>
    <w:rsid w:val="00B37CB4"/>
    <w:rsid w:val="00B37E72"/>
    <w:rsid w:val="00B37EC5"/>
    <w:rsid w:val="00B40227"/>
    <w:rsid w:val="00B40257"/>
    <w:rsid w:val="00B402B2"/>
    <w:rsid w:val="00B40390"/>
    <w:rsid w:val="00B4041D"/>
    <w:rsid w:val="00B4047C"/>
    <w:rsid w:val="00B405DE"/>
    <w:rsid w:val="00B4065E"/>
    <w:rsid w:val="00B4094D"/>
    <w:rsid w:val="00B40A7D"/>
    <w:rsid w:val="00B40AA1"/>
    <w:rsid w:val="00B40CA4"/>
    <w:rsid w:val="00B40D07"/>
    <w:rsid w:val="00B40DCC"/>
    <w:rsid w:val="00B40E00"/>
    <w:rsid w:val="00B40E72"/>
    <w:rsid w:val="00B40EBA"/>
    <w:rsid w:val="00B410AC"/>
    <w:rsid w:val="00B410F7"/>
    <w:rsid w:val="00B4112B"/>
    <w:rsid w:val="00B4116D"/>
    <w:rsid w:val="00B41195"/>
    <w:rsid w:val="00B413FD"/>
    <w:rsid w:val="00B41484"/>
    <w:rsid w:val="00B41488"/>
    <w:rsid w:val="00B414E0"/>
    <w:rsid w:val="00B41642"/>
    <w:rsid w:val="00B416F7"/>
    <w:rsid w:val="00B4191D"/>
    <w:rsid w:val="00B419D9"/>
    <w:rsid w:val="00B419FB"/>
    <w:rsid w:val="00B41D3D"/>
    <w:rsid w:val="00B41D56"/>
    <w:rsid w:val="00B4221E"/>
    <w:rsid w:val="00B4264F"/>
    <w:rsid w:val="00B4295A"/>
    <w:rsid w:val="00B42A72"/>
    <w:rsid w:val="00B42AA5"/>
    <w:rsid w:val="00B42B3C"/>
    <w:rsid w:val="00B42CE0"/>
    <w:rsid w:val="00B42D2F"/>
    <w:rsid w:val="00B42D89"/>
    <w:rsid w:val="00B42E51"/>
    <w:rsid w:val="00B42EAA"/>
    <w:rsid w:val="00B42ED4"/>
    <w:rsid w:val="00B42EEA"/>
    <w:rsid w:val="00B42F9B"/>
    <w:rsid w:val="00B43116"/>
    <w:rsid w:val="00B43163"/>
    <w:rsid w:val="00B431BF"/>
    <w:rsid w:val="00B432D7"/>
    <w:rsid w:val="00B43403"/>
    <w:rsid w:val="00B4347C"/>
    <w:rsid w:val="00B43614"/>
    <w:rsid w:val="00B43834"/>
    <w:rsid w:val="00B43959"/>
    <w:rsid w:val="00B43A15"/>
    <w:rsid w:val="00B43B61"/>
    <w:rsid w:val="00B43B71"/>
    <w:rsid w:val="00B43BF8"/>
    <w:rsid w:val="00B43D3F"/>
    <w:rsid w:val="00B43DF7"/>
    <w:rsid w:val="00B43F1F"/>
    <w:rsid w:val="00B441D8"/>
    <w:rsid w:val="00B441FD"/>
    <w:rsid w:val="00B4429E"/>
    <w:rsid w:val="00B44307"/>
    <w:rsid w:val="00B44340"/>
    <w:rsid w:val="00B444C0"/>
    <w:rsid w:val="00B4458A"/>
    <w:rsid w:val="00B446D1"/>
    <w:rsid w:val="00B447BB"/>
    <w:rsid w:val="00B44846"/>
    <w:rsid w:val="00B448EF"/>
    <w:rsid w:val="00B448F2"/>
    <w:rsid w:val="00B44911"/>
    <w:rsid w:val="00B44997"/>
    <w:rsid w:val="00B44CFE"/>
    <w:rsid w:val="00B44E3F"/>
    <w:rsid w:val="00B44E5A"/>
    <w:rsid w:val="00B44E6E"/>
    <w:rsid w:val="00B45100"/>
    <w:rsid w:val="00B45137"/>
    <w:rsid w:val="00B45169"/>
    <w:rsid w:val="00B45332"/>
    <w:rsid w:val="00B453DF"/>
    <w:rsid w:val="00B4542D"/>
    <w:rsid w:val="00B4546D"/>
    <w:rsid w:val="00B4548F"/>
    <w:rsid w:val="00B45551"/>
    <w:rsid w:val="00B455DA"/>
    <w:rsid w:val="00B455EF"/>
    <w:rsid w:val="00B45625"/>
    <w:rsid w:val="00B456E6"/>
    <w:rsid w:val="00B45750"/>
    <w:rsid w:val="00B45778"/>
    <w:rsid w:val="00B45793"/>
    <w:rsid w:val="00B457DB"/>
    <w:rsid w:val="00B4585A"/>
    <w:rsid w:val="00B45A04"/>
    <w:rsid w:val="00B45BBD"/>
    <w:rsid w:val="00B45BDA"/>
    <w:rsid w:val="00B45BF4"/>
    <w:rsid w:val="00B45D55"/>
    <w:rsid w:val="00B45EAB"/>
    <w:rsid w:val="00B4605F"/>
    <w:rsid w:val="00B4607A"/>
    <w:rsid w:val="00B4626D"/>
    <w:rsid w:val="00B462E8"/>
    <w:rsid w:val="00B46564"/>
    <w:rsid w:val="00B46620"/>
    <w:rsid w:val="00B46663"/>
    <w:rsid w:val="00B46779"/>
    <w:rsid w:val="00B468B1"/>
    <w:rsid w:val="00B46A26"/>
    <w:rsid w:val="00B46B6F"/>
    <w:rsid w:val="00B46C1A"/>
    <w:rsid w:val="00B46C4D"/>
    <w:rsid w:val="00B46C5D"/>
    <w:rsid w:val="00B46DAB"/>
    <w:rsid w:val="00B46E27"/>
    <w:rsid w:val="00B471A7"/>
    <w:rsid w:val="00B47255"/>
    <w:rsid w:val="00B472A4"/>
    <w:rsid w:val="00B4735C"/>
    <w:rsid w:val="00B4737A"/>
    <w:rsid w:val="00B474B3"/>
    <w:rsid w:val="00B47684"/>
    <w:rsid w:val="00B4772C"/>
    <w:rsid w:val="00B477B6"/>
    <w:rsid w:val="00B478DC"/>
    <w:rsid w:val="00B479E9"/>
    <w:rsid w:val="00B47A83"/>
    <w:rsid w:val="00B47A9E"/>
    <w:rsid w:val="00B47CAC"/>
    <w:rsid w:val="00B47D12"/>
    <w:rsid w:val="00B47E87"/>
    <w:rsid w:val="00B47FE8"/>
    <w:rsid w:val="00B50292"/>
    <w:rsid w:val="00B502E7"/>
    <w:rsid w:val="00B50334"/>
    <w:rsid w:val="00B504E3"/>
    <w:rsid w:val="00B50507"/>
    <w:rsid w:val="00B5056C"/>
    <w:rsid w:val="00B5071C"/>
    <w:rsid w:val="00B5085E"/>
    <w:rsid w:val="00B50B07"/>
    <w:rsid w:val="00B50BE1"/>
    <w:rsid w:val="00B50C17"/>
    <w:rsid w:val="00B50C92"/>
    <w:rsid w:val="00B50D8E"/>
    <w:rsid w:val="00B50E02"/>
    <w:rsid w:val="00B50E2D"/>
    <w:rsid w:val="00B50EB1"/>
    <w:rsid w:val="00B50ED7"/>
    <w:rsid w:val="00B510EA"/>
    <w:rsid w:val="00B511BC"/>
    <w:rsid w:val="00B51337"/>
    <w:rsid w:val="00B5143C"/>
    <w:rsid w:val="00B51447"/>
    <w:rsid w:val="00B5146D"/>
    <w:rsid w:val="00B515A4"/>
    <w:rsid w:val="00B515B7"/>
    <w:rsid w:val="00B51605"/>
    <w:rsid w:val="00B517C1"/>
    <w:rsid w:val="00B5183B"/>
    <w:rsid w:val="00B518F8"/>
    <w:rsid w:val="00B51A4E"/>
    <w:rsid w:val="00B51C05"/>
    <w:rsid w:val="00B51DEA"/>
    <w:rsid w:val="00B51E6B"/>
    <w:rsid w:val="00B5209C"/>
    <w:rsid w:val="00B5217B"/>
    <w:rsid w:val="00B5219E"/>
    <w:rsid w:val="00B52245"/>
    <w:rsid w:val="00B52443"/>
    <w:rsid w:val="00B524CB"/>
    <w:rsid w:val="00B52688"/>
    <w:rsid w:val="00B526BC"/>
    <w:rsid w:val="00B52780"/>
    <w:rsid w:val="00B528BB"/>
    <w:rsid w:val="00B52C40"/>
    <w:rsid w:val="00B52D22"/>
    <w:rsid w:val="00B52D69"/>
    <w:rsid w:val="00B52DC8"/>
    <w:rsid w:val="00B52FE5"/>
    <w:rsid w:val="00B53210"/>
    <w:rsid w:val="00B5322E"/>
    <w:rsid w:val="00B532A4"/>
    <w:rsid w:val="00B53587"/>
    <w:rsid w:val="00B535C0"/>
    <w:rsid w:val="00B53614"/>
    <w:rsid w:val="00B5387E"/>
    <w:rsid w:val="00B5397A"/>
    <w:rsid w:val="00B53B2D"/>
    <w:rsid w:val="00B53C0D"/>
    <w:rsid w:val="00B53C1A"/>
    <w:rsid w:val="00B53EEB"/>
    <w:rsid w:val="00B53F76"/>
    <w:rsid w:val="00B54106"/>
    <w:rsid w:val="00B54216"/>
    <w:rsid w:val="00B5441F"/>
    <w:rsid w:val="00B54615"/>
    <w:rsid w:val="00B5463D"/>
    <w:rsid w:val="00B54769"/>
    <w:rsid w:val="00B54778"/>
    <w:rsid w:val="00B547FD"/>
    <w:rsid w:val="00B5488A"/>
    <w:rsid w:val="00B54936"/>
    <w:rsid w:val="00B5499D"/>
    <w:rsid w:val="00B549C1"/>
    <w:rsid w:val="00B54A67"/>
    <w:rsid w:val="00B54A9F"/>
    <w:rsid w:val="00B54ACF"/>
    <w:rsid w:val="00B54CAA"/>
    <w:rsid w:val="00B54D00"/>
    <w:rsid w:val="00B54D51"/>
    <w:rsid w:val="00B54DFC"/>
    <w:rsid w:val="00B55171"/>
    <w:rsid w:val="00B55184"/>
    <w:rsid w:val="00B5540E"/>
    <w:rsid w:val="00B55441"/>
    <w:rsid w:val="00B555EB"/>
    <w:rsid w:val="00B5570E"/>
    <w:rsid w:val="00B55778"/>
    <w:rsid w:val="00B55A8D"/>
    <w:rsid w:val="00B55B0D"/>
    <w:rsid w:val="00B55DCE"/>
    <w:rsid w:val="00B56261"/>
    <w:rsid w:val="00B56290"/>
    <w:rsid w:val="00B56480"/>
    <w:rsid w:val="00B5656B"/>
    <w:rsid w:val="00B5660D"/>
    <w:rsid w:val="00B5662D"/>
    <w:rsid w:val="00B56639"/>
    <w:rsid w:val="00B56885"/>
    <w:rsid w:val="00B56BBE"/>
    <w:rsid w:val="00B56C15"/>
    <w:rsid w:val="00B57012"/>
    <w:rsid w:val="00B57056"/>
    <w:rsid w:val="00B57351"/>
    <w:rsid w:val="00B57510"/>
    <w:rsid w:val="00B5769C"/>
    <w:rsid w:val="00B578F0"/>
    <w:rsid w:val="00B579C8"/>
    <w:rsid w:val="00B57B2A"/>
    <w:rsid w:val="00B57BA4"/>
    <w:rsid w:val="00B57BA9"/>
    <w:rsid w:val="00B57CE7"/>
    <w:rsid w:val="00B57E4B"/>
    <w:rsid w:val="00B57E8D"/>
    <w:rsid w:val="00B60165"/>
    <w:rsid w:val="00B6019E"/>
    <w:rsid w:val="00B6021F"/>
    <w:rsid w:val="00B6056E"/>
    <w:rsid w:val="00B60578"/>
    <w:rsid w:val="00B60683"/>
    <w:rsid w:val="00B60694"/>
    <w:rsid w:val="00B606E8"/>
    <w:rsid w:val="00B60775"/>
    <w:rsid w:val="00B607D4"/>
    <w:rsid w:val="00B60813"/>
    <w:rsid w:val="00B60C0D"/>
    <w:rsid w:val="00B60CAC"/>
    <w:rsid w:val="00B60D81"/>
    <w:rsid w:val="00B60DFA"/>
    <w:rsid w:val="00B60E23"/>
    <w:rsid w:val="00B60F11"/>
    <w:rsid w:val="00B6121B"/>
    <w:rsid w:val="00B61345"/>
    <w:rsid w:val="00B6139A"/>
    <w:rsid w:val="00B613BB"/>
    <w:rsid w:val="00B6140A"/>
    <w:rsid w:val="00B6145D"/>
    <w:rsid w:val="00B6146C"/>
    <w:rsid w:val="00B615C6"/>
    <w:rsid w:val="00B615C9"/>
    <w:rsid w:val="00B615FC"/>
    <w:rsid w:val="00B6181C"/>
    <w:rsid w:val="00B618B7"/>
    <w:rsid w:val="00B61951"/>
    <w:rsid w:val="00B619C6"/>
    <w:rsid w:val="00B61A66"/>
    <w:rsid w:val="00B61C2F"/>
    <w:rsid w:val="00B61D04"/>
    <w:rsid w:val="00B61E5B"/>
    <w:rsid w:val="00B61FBA"/>
    <w:rsid w:val="00B62000"/>
    <w:rsid w:val="00B6218E"/>
    <w:rsid w:val="00B621D6"/>
    <w:rsid w:val="00B6232D"/>
    <w:rsid w:val="00B62369"/>
    <w:rsid w:val="00B623BB"/>
    <w:rsid w:val="00B624AB"/>
    <w:rsid w:val="00B62523"/>
    <w:rsid w:val="00B627C4"/>
    <w:rsid w:val="00B627EE"/>
    <w:rsid w:val="00B62987"/>
    <w:rsid w:val="00B62B23"/>
    <w:rsid w:val="00B62CE0"/>
    <w:rsid w:val="00B62D38"/>
    <w:rsid w:val="00B62F2C"/>
    <w:rsid w:val="00B631A9"/>
    <w:rsid w:val="00B63258"/>
    <w:rsid w:val="00B63272"/>
    <w:rsid w:val="00B63276"/>
    <w:rsid w:val="00B63400"/>
    <w:rsid w:val="00B63464"/>
    <w:rsid w:val="00B6350A"/>
    <w:rsid w:val="00B635FA"/>
    <w:rsid w:val="00B6368F"/>
    <w:rsid w:val="00B63733"/>
    <w:rsid w:val="00B63B6C"/>
    <w:rsid w:val="00B63B79"/>
    <w:rsid w:val="00B63CBE"/>
    <w:rsid w:val="00B63F73"/>
    <w:rsid w:val="00B64005"/>
    <w:rsid w:val="00B64248"/>
    <w:rsid w:val="00B643E9"/>
    <w:rsid w:val="00B644C7"/>
    <w:rsid w:val="00B6463F"/>
    <w:rsid w:val="00B646DC"/>
    <w:rsid w:val="00B64963"/>
    <w:rsid w:val="00B6497E"/>
    <w:rsid w:val="00B64CB7"/>
    <w:rsid w:val="00B64D9C"/>
    <w:rsid w:val="00B65276"/>
    <w:rsid w:val="00B652DC"/>
    <w:rsid w:val="00B65385"/>
    <w:rsid w:val="00B65406"/>
    <w:rsid w:val="00B658BC"/>
    <w:rsid w:val="00B658CC"/>
    <w:rsid w:val="00B658CD"/>
    <w:rsid w:val="00B65946"/>
    <w:rsid w:val="00B65B38"/>
    <w:rsid w:val="00B65BCE"/>
    <w:rsid w:val="00B65CE0"/>
    <w:rsid w:val="00B65DD4"/>
    <w:rsid w:val="00B65EAE"/>
    <w:rsid w:val="00B65FA6"/>
    <w:rsid w:val="00B66152"/>
    <w:rsid w:val="00B662DE"/>
    <w:rsid w:val="00B663CA"/>
    <w:rsid w:val="00B6641F"/>
    <w:rsid w:val="00B665D5"/>
    <w:rsid w:val="00B665F7"/>
    <w:rsid w:val="00B6661D"/>
    <w:rsid w:val="00B668D8"/>
    <w:rsid w:val="00B66A6E"/>
    <w:rsid w:val="00B66A72"/>
    <w:rsid w:val="00B66D04"/>
    <w:rsid w:val="00B66E30"/>
    <w:rsid w:val="00B66E4A"/>
    <w:rsid w:val="00B671D2"/>
    <w:rsid w:val="00B672BB"/>
    <w:rsid w:val="00B674A3"/>
    <w:rsid w:val="00B674E4"/>
    <w:rsid w:val="00B675C5"/>
    <w:rsid w:val="00B67944"/>
    <w:rsid w:val="00B67947"/>
    <w:rsid w:val="00B67961"/>
    <w:rsid w:val="00B67B27"/>
    <w:rsid w:val="00B67B91"/>
    <w:rsid w:val="00B67BE2"/>
    <w:rsid w:val="00B67C25"/>
    <w:rsid w:val="00B67D85"/>
    <w:rsid w:val="00B67DF6"/>
    <w:rsid w:val="00B700BD"/>
    <w:rsid w:val="00B700F3"/>
    <w:rsid w:val="00B7011F"/>
    <w:rsid w:val="00B704AE"/>
    <w:rsid w:val="00B704DA"/>
    <w:rsid w:val="00B7058F"/>
    <w:rsid w:val="00B705AE"/>
    <w:rsid w:val="00B707DB"/>
    <w:rsid w:val="00B707E2"/>
    <w:rsid w:val="00B70956"/>
    <w:rsid w:val="00B70A1F"/>
    <w:rsid w:val="00B70C77"/>
    <w:rsid w:val="00B70EFB"/>
    <w:rsid w:val="00B70F71"/>
    <w:rsid w:val="00B70FD4"/>
    <w:rsid w:val="00B7108F"/>
    <w:rsid w:val="00B710A3"/>
    <w:rsid w:val="00B714BF"/>
    <w:rsid w:val="00B71762"/>
    <w:rsid w:val="00B71A09"/>
    <w:rsid w:val="00B71A7A"/>
    <w:rsid w:val="00B71B38"/>
    <w:rsid w:val="00B71B7C"/>
    <w:rsid w:val="00B71BA0"/>
    <w:rsid w:val="00B71FC2"/>
    <w:rsid w:val="00B7208F"/>
    <w:rsid w:val="00B720D9"/>
    <w:rsid w:val="00B7210E"/>
    <w:rsid w:val="00B723EE"/>
    <w:rsid w:val="00B72484"/>
    <w:rsid w:val="00B724A3"/>
    <w:rsid w:val="00B724FA"/>
    <w:rsid w:val="00B7261F"/>
    <w:rsid w:val="00B726AE"/>
    <w:rsid w:val="00B726AF"/>
    <w:rsid w:val="00B72779"/>
    <w:rsid w:val="00B727A3"/>
    <w:rsid w:val="00B72834"/>
    <w:rsid w:val="00B728BC"/>
    <w:rsid w:val="00B72900"/>
    <w:rsid w:val="00B72A14"/>
    <w:rsid w:val="00B72AC1"/>
    <w:rsid w:val="00B72B63"/>
    <w:rsid w:val="00B72DC4"/>
    <w:rsid w:val="00B72E4B"/>
    <w:rsid w:val="00B72E70"/>
    <w:rsid w:val="00B72EBD"/>
    <w:rsid w:val="00B72F4C"/>
    <w:rsid w:val="00B72F9F"/>
    <w:rsid w:val="00B7312B"/>
    <w:rsid w:val="00B73295"/>
    <w:rsid w:val="00B73524"/>
    <w:rsid w:val="00B735F5"/>
    <w:rsid w:val="00B7362F"/>
    <w:rsid w:val="00B7368A"/>
    <w:rsid w:val="00B737E1"/>
    <w:rsid w:val="00B739AE"/>
    <w:rsid w:val="00B73AE6"/>
    <w:rsid w:val="00B73CDE"/>
    <w:rsid w:val="00B73E3B"/>
    <w:rsid w:val="00B7403D"/>
    <w:rsid w:val="00B7406D"/>
    <w:rsid w:val="00B740B4"/>
    <w:rsid w:val="00B740C6"/>
    <w:rsid w:val="00B74131"/>
    <w:rsid w:val="00B742A8"/>
    <w:rsid w:val="00B742E4"/>
    <w:rsid w:val="00B7434B"/>
    <w:rsid w:val="00B743AE"/>
    <w:rsid w:val="00B747CE"/>
    <w:rsid w:val="00B74AC8"/>
    <w:rsid w:val="00B74AD8"/>
    <w:rsid w:val="00B74BA7"/>
    <w:rsid w:val="00B74D7A"/>
    <w:rsid w:val="00B74DF6"/>
    <w:rsid w:val="00B74F41"/>
    <w:rsid w:val="00B75072"/>
    <w:rsid w:val="00B754EC"/>
    <w:rsid w:val="00B754ED"/>
    <w:rsid w:val="00B75535"/>
    <w:rsid w:val="00B7560B"/>
    <w:rsid w:val="00B75714"/>
    <w:rsid w:val="00B7581E"/>
    <w:rsid w:val="00B75938"/>
    <w:rsid w:val="00B75B9B"/>
    <w:rsid w:val="00B75D44"/>
    <w:rsid w:val="00B75F3D"/>
    <w:rsid w:val="00B75F46"/>
    <w:rsid w:val="00B7600D"/>
    <w:rsid w:val="00B760C6"/>
    <w:rsid w:val="00B761BA"/>
    <w:rsid w:val="00B76284"/>
    <w:rsid w:val="00B76483"/>
    <w:rsid w:val="00B7674C"/>
    <w:rsid w:val="00B767D5"/>
    <w:rsid w:val="00B767F4"/>
    <w:rsid w:val="00B769B2"/>
    <w:rsid w:val="00B769D4"/>
    <w:rsid w:val="00B76DEB"/>
    <w:rsid w:val="00B76E03"/>
    <w:rsid w:val="00B77037"/>
    <w:rsid w:val="00B7704E"/>
    <w:rsid w:val="00B77397"/>
    <w:rsid w:val="00B77625"/>
    <w:rsid w:val="00B776F4"/>
    <w:rsid w:val="00B7777E"/>
    <w:rsid w:val="00B77798"/>
    <w:rsid w:val="00B77C83"/>
    <w:rsid w:val="00B77D93"/>
    <w:rsid w:val="00B77E33"/>
    <w:rsid w:val="00B80182"/>
    <w:rsid w:val="00B801FE"/>
    <w:rsid w:val="00B8075C"/>
    <w:rsid w:val="00B807AA"/>
    <w:rsid w:val="00B809E3"/>
    <w:rsid w:val="00B80A4E"/>
    <w:rsid w:val="00B80E2E"/>
    <w:rsid w:val="00B80E84"/>
    <w:rsid w:val="00B81692"/>
    <w:rsid w:val="00B816A2"/>
    <w:rsid w:val="00B8181E"/>
    <w:rsid w:val="00B8192E"/>
    <w:rsid w:val="00B81991"/>
    <w:rsid w:val="00B819D1"/>
    <w:rsid w:val="00B819D3"/>
    <w:rsid w:val="00B81B0F"/>
    <w:rsid w:val="00B81B7D"/>
    <w:rsid w:val="00B81C0F"/>
    <w:rsid w:val="00B81C72"/>
    <w:rsid w:val="00B81EC8"/>
    <w:rsid w:val="00B81F54"/>
    <w:rsid w:val="00B81FC9"/>
    <w:rsid w:val="00B8207B"/>
    <w:rsid w:val="00B820BF"/>
    <w:rsid w:val="00B82321"/>
    <w:rsid w:val="00B824B3"/>
    <w:rsid w:val="00B825D2"/>
    <w:rsid w:val="00B82AD7"/>
    <w:rsid w:val="00B82C89"/>
    <w:rsid w:val="00B82DE2"/>
    <w:rsid w:val="00B82EBA"/>
    <w:rsid w:val="00B831BB"/>
    <w:rsid w:val="00B83219"/>
    <w:rsid w:val="00B83443"/>
    <w:rsid w:val="00B8345A"/>
    <w:rsid w:val="00B8350D"/>
    <w:rsid w:val="00B8361B"/>
    <w:rsid w:val="00B837A1"/>
    <w:rsid w:val="00B8388D"/>
    <w:rsid w:val="00B838DA"/>
    <w:rsid w:val="00B83951"/>
    <w:rsid w:val="00B8395F"/>
    <w:rsid w:val="00B83B92"/>
    <w:rsid w:val="00B83BCE"/>
    <w:rsid w:val="00B83C02"/>
    <w:rsid w:val="00B83C3D"/>
    <w:rsid w:val="00B83C92"/>
    <w:rsid w:val="00B83D26"/>
    <w:rsid w:val="00B83EC8"/>
    <w:rsid w:val="00B84247"/>
    <w:rsid w:val="00B84282"/>
    <w:rsid w:val="00B842D1"/>
    <w:rsid w:val="00B844C7"/>
    <w:rsid w:val="00B846D8"/>
    <w:rsid w:val="00B846EE"/>
    <w:rsid w:val="00B8471C"/>
    <w:rsid w:val="00B848E0"/>
    <w:rsid w:val="00B84926"/>
    <w:rsid w:val="00B84BF3"/>
    <w:rsid w:val="00B84E68"/>
    <w:rsid w:val="00B84EC0"/>
    <w:rsid w:val="00B84EE7"/>
    <w:rsid w:val="00B84F52"/>
    <w:rsid w:val="00B84FBF"/>
    <w:rsid w:val="00B85310"/>
    <w:rsid w:val="00B8539A"/>
    <w:rsid w:val="00B85422"/>
    <w:rsid w:val="00B8548E"/>
    <w:rsid w:val="00B854CC"/>
    <w:rsid w:val="00B8568C"/>
    <w:rsid w:val="00B85873"/>
    <w:rsid w:val="00B85944"/>
    <w:rsid w:val="00B85A19"/>
    <w:rsid w:val="00B85CDB"/>
    <w:rsid w:val="00B85D79"/>
    <w:rsid w:val="00B85E24"/>
    <w:rsid w:val="00B85E7F"/>
    <w:rsid w:val="00B85F24"/>
    <w:rsid w:val="00B85F8B"/>
    <w:rsid w:val="00B85FEF"/>
    <w:rsid w:val="00B865AC"/>
    <w:rsid w:val="00B86606"/>
    <w:rsid w:val="00B86649"/>
    <w:rsid w:val="00B86726"/>
    <w:rsid w:val="00B86734"/>
    <w:rsid w:val="00B86766"/>
    <w:rsid w:val="00B86797"/>
    <w:rsid w:val="00B86881"/>
    <w:rsid w:val="00B86B4D"/>
    <w:rsid w:val="00B86C19"/>
    <w:rsid w:val="00B86C6C"/>
    <w:rsid w:val="00B86C73"/>
    <w:rsid w:val="00B86E34"/>
    <w:rsid w:val="00B86EB1"/>
    <w:rsid w:val="00B86F54"/>
    <w:rsid w:val="00B87015"/>
    <w:rsid w:val="00B870E0"/>
    <w:rsid w:val="00B873CC"/>
    <w:rsid w:val="00B87507"/>
    <w:rsid w:val="00B87718"/>
    <w:rsid w:val="00B8797E"/>
    <w:rsid w:val="00B87A08"/>
    <w:rsid w:val="00B87A22"/>
    <w:rsid w:val="00B87A67"/>
    <w:rsid w:val="00B87B2F"/>
    <w:rsid w:val="00B87BB0"/>
    <w:rsid w:val="00B87F80"/>
    <w:rsid w:val="00B900DA"/>
    <w:rsid w:val="00B901C0"/>
    <w:rsid w:val="00B9044C"/>
    <w:rsid w:val="00B905AE"/>
    <w:rsid w:val="00B907C7"/>
    <w:rsid w:val="00B90841"/>
    <w:rsid w:val="00B90932"/>
    <w:rsid w:val="00B9093A"/>
    <w:rsid w:val="00B909CE"/>
    <w:rsid w:val="00B90A64"/>
    <w:rsid w:val="00B90C54"/>
    <w:rsid w:val="00B9106C"/>
    <w:rsid w:val="00B910FE"/>
    <w:rsid w:val="00B911A2"/>
    <w:rsid w:val="00B914EE"/>
    <w:rsid w:val="00B91601"/>
    <w:rsid w:val="00B91960"/>
    <w:rsid w:val="00B91AC0"/>
    <w:rsid w:val="00B91BA2"/>
    <w:rsid w:val="00B91BF5"/>
    <w:rsid w:val="00B91D59"/>
    <w:rsid w:val="00B92012"/>
    <w:rsid w:val="00B9209B"/>
    <w:rsid w:val="00B923F6"/>
    <w:rsid w:val="00B9241B"/>
    <w:rsid w:val="00B925BF"/>
    <w:rsid w:val="00B92685"/>
    <w:rsid w:val="00B927FC"/>
    <w:rsid w:val="00B92977"/>
    <w:rsid w:val="00B92A13"/>
    <w:rsid w:val="00B92A2F"/>
    <w:rsid w:val="00B92A62"/>
    <w:rsid w:val="00B92ADB"/>
    <w:rsid w:val="00B92C72"/>
    <w:rsid w:val="00B92C84"/>
    <w:rsid w:val="00B92CB3"/>
    <w:rsid w:val="00B92D2C"/>
    <w:rsid w:val="00B92F08"/>
    <w:rsid w:val="00B9316B"/>
    <w:rsid w:val="00B93307"/>
    <w:rsid w:val="00B9347F"/>
    <w:rsid w:val="00B935D7"/>
    <w:rsid w:val="00B93636"/>
    <w:rsid w:val="00B93675"/>
    <w:rsid w:val="00B93683"/>
    <w:rsid w:val="00B93793"/>
    <w:rsid w:val="00B937B3"/>
    <w:rsid w:val="00B938DA"/>
    <w:rsid w:val="00B93A4C"/>
    <w:rsid w:val="00B93AD6"/>
    <w:rsid w:val="00B93AF3"/>
    <w:rsid w:val="00B93C07"/>
    <w:rsid w:val="00B93EC1"/>
    <w:rsid w:val="00B93F4E"/>
    <w:rsid w:val="00B93FE4"/>
    <w:rsid w:val="00B94024"/>
    <w:rsid w:val="00B940AE"/>
    <w:rsid w:val="00B942B4"/>
    <w:rsid w:val="00B94454"/>
    <w:rsid w:val="00B94665"/>
    <w:rsid w:val="00B94679"/>
    <w:rsid w:val="00B94718"/>
    <w:rsid w:val="00B948EE"/>
    <w:rsid w:val="00B94D4E"/>
    <w:rsid w:val="00B94D60"/>
    <w:rsid w:val="00B94E74"/>
    <w:rsid w:val="00B94EBE"/>
    <w:rsid w:val="00B9515F"/>
    <w:rsid w:val="00B951E6"/>
    <w:rsid w:val="00B9521A"/>
    <w:rsid w:val="00B95311"/>
    <w:rsid w:val="00B95422"/>
    <w:rsid w:val="00B95554"/>
    <w:rsid w:val="00B95572"/>
    <w:rsid w:val="00B9558F"/>
    <w:rsid w:val="00B955B7"/>
    <w:rsid w:val="00B9562A"/>
    <w:rsid w:val="00B95632"/>
    <w:rsid w:val="00B9591A"/>
    <w:rsid w:val="00B95A0A"/>
    <w:rsid w:val="00B95ACA"/>
    <w:rsid w:val="00B95AEF"/>
    <w:rsid w:val="00B95B76"/>
    <w:rsid w:val="00B95CEE"/>
    <w:rsid w:val="00B95D21"/>
    <w:rsid w:val="00B95D4A"/>
    <w:rsid w:val="00B95ECF"/>
    <w:rsid w:val="00B95F1B"/>
    <w:rsid w:val="00B95F50"/>
    <w:rsid w:val="00B96017"/>
    <w:rsid w:val="00B96045"/>
    <w:rsid w:val="00B96053"/>
    <w:rsid w:val="00B9612A"/>
    <w:rsid w:val="00B96331"/>
    <w:rsid w:val="00B96620"/>
    <w:rsid w:val="00B967E1"/>
    <w:rsid w:val="00B96947"/>
    <w:rsid w:val="00B96AB8"/>
    <w:rsid w:val="00B96AC4"/>
    <w:rsid w:val="00B96ADE"/>
    <w:rsid w:val="00B96C3B"/>
    <w:rsid w:val="00B96D43"/>
    <w:rsid w:val="00B96D46"/>
    <w:rsid w:val="00B96E62"/>
    <w:rsid w:val="00B9714D"/>
    <w:rsid w:val="00B971EE"/>
    <w:rsid w:val="00B97385"/>
    <w:rsid w:val="00B973E7"/>
    <w:rsid w:val="00B973EC"/>
    <w:rsid w:val="00B973FB"/>
    <w:rsid w:val="00B97537"/>
    <w:rsid w:val="00B97781"/>
    <w:rsid w:val="00B977D6"/>
    <w:rsid w:val="00B9792E"/>
    <w:rsid w:val="00B97939"/>
    <w:rsid w:val="00B97D5D"/>
    <w:rsid w:val="00B97D72"/>
    <w:rsid w:val="00BA0100"/>
    <w:rsid w:val="00BA016A"/>
    <w:rsid w:val="00BA047F"/>
    <w:rsid w:val="00BA06AA"/>
    <w:rsid w:val="00BA0751"/>
    <w:rsid w:val="00BA07F2"/>
    <w:rsid w:val="00BA08D8"/>
    <w:rsid w:val="00BA0937"/>
    <w:rsid w:val="00BA0953"/>
    <w:rsid w:val="00BA0AD5"/>
    <w:rsid w:val="00BA0B5B"/>
    <w:rsid w:val="00BA0C35"/>
    <w:rsid w:val="00BA0D64"/>
    <w:rsid w:val="00BA0E35"/>
    <w:rsid w:val="00BA0E62"/>
    <w:rsid w:val="00BA0F24"/>
    <w:rsid w:val="00BA0F45"/>
    <w:rsid w:val="00BA1001"/>
    <w:rsid w:val="00BA123A"/>
    <w:rsid w:val="00BA125B"/>
    <w:rsid w:val="00BA144B"/>
    <w:rsid w:val="00BA1493"/>
    <w:rsid w:val="00BA1498"/>
    <w:rsid w:val="00BA14F0"/>
    <w:rsid w:val="00BA1682"/>
    <w:rsid w:val="00BA16AC"/>
    <w:rsid w:val="00BA182F"/>
    <w:rsid w:val="00BA195C"/>
    <w:rsid w:val="00BA1A3E"/>
    <w:rsid w:val="00BA1B06"/>
    <w:rsid w:val="00BA1B34"/>
    <w:rsid w:val="00BA1B75"/>
    <w:rsid w:val="00BA1D66"/>
    <w:rsid w:val="00BA1D67"/>
    <w:rsid w:val="00BA1D69"/>
    <w:rsid w:val="00BA1DAC"/>
    <w:rsid w:val="00BA1E73"/>
    <w:rsid w:val="00BA2010"/>
    <w:rsid w:val="00BA2049"/>
    <w:rsid w:val="00BA2061"/>
    <w:rsid w:val="00BA2230"/>
    <w:rsid w:val="00BA229B"/>
    <w:rsid w:val="00BA22E0"/>
    <w:rsid w:val="00BA240B"/>
    <w:rsid w:val="00BA24ED"/>
    <w:rsid w:val="00BA27B6"/>
    <w:rsid w:val="00BA27E9"/>
    <w:rsid w:val="00BA29AB"/>
    <w:rsid w:val="00BA2A14"/>
    <w:rsid w:val="00BA2BB5"/>
    <w:rsid w:val="00BA2D9B"/>
    <w:rsid w:val="00BA2E88"/>
    <w:rsid w:val="00BA2F3F"/>
    <w:rsid w:val="00BA3213"/>
    <w:rsid w:val="00BA326F"/>
    <w:rsid w:val="00BA32ED"/>
    <w:rsid w:val="00BA337B"/>
    <w:rsid w:val="00BA34C6"/>
    <w:rsid w:val="00BA37C4"/>
    <w:rsid w:val="00BA3A7F"/>
    <w:rsid w:val="00BA3AFE"/>
    <w:rsid w:val="00BA3B0D"/>
    <w:rsid w:val="00BA3B3B"/>
    <w:rsid w:val="00BA3BB7"/>
    <w:rsid w:val="00BA3C41"/>
    <w:rsid w:val="00BA3CCB"/>
    <w:rsid w:val="00BA3F99"/>
    <w:rsid w:val="00BA41A0"/>
    <w:rsid w:val="00BA423B"/>
    <w:rsid w:val="00BA429B"/>
    <w:rsid w:val="00BA44B5"/>
    <w:rsid w:val="00BA4554"/>
    <w:rsid w:val="00BA45E0"/>
    <w:rsid w:val="00BA47DA"/>
    <w:rsid w:val="00BA48BD"/>
    <w:rsid w:val="00BA48E2"/>
    <w:rsid w:val="00BA4A0E"/>
    <w:rsid w:val="00BA4ACF"/>
    <w:rsid w:val="00BA4B85"/>
    <w:rsid w:val="00BA4DE0"/>
    <w:rsid w:val="00BA4E2F"/>
    <w:rsid w:val="00BA4EB5"/>
    <w:rsid w:val="00BA4F6F"/>
    <w:rsid w:val="00BA4FDA"/>
    <w:rsid w:val="00BA523B"/>
    <w:rsid w:val="00BA5511"/>
    <w:rsid w:val="00BA5535"/>
    <w:rsid w:val="00BA56EF"/>
    <w:rsid w:val="00BA5772"/>
    <w:rsid w:val="00BA584F"/>
    <w:rsid w:val="00BA58BE"/>
    <w:rsid w:val="00BA5929"/>
    <w:rsid w:val="00BA5A94"/>
    <w:rsid w:val="00BA5C6C"/>
    <w:rsid w:val="00BA5D6D"/>
    <w:rsid w:val="00BA5F75"/>
    <w:rsid w:val="00BA5FA4"/>
    <w:rsid w:val="00BA5FD2"/>
    <w:rsid w:val="00BA61B9"/>
    <w:rsid w:val="00BA61C0"/>
    <w:rsid w:val="00BA6904"/>
    <w:rsid w:val="00BA6933"/>
    <w:rsid w:val="00BA695A"/>
    <w:rsid w:val="00BA69D9"/>
    <w:rsid w:val="00BA6A93"/>
    <w:rsid w:val="00BA6B69"/>
    <w:rsid w:val="00BA6C92"/>
    <w:rsid w:val="00BA6D54"/>
    <w:rsid w:val="00BA702F"/>
    <w:rsid w:val="00BA7168"/>
    <w:rsid w:val="00BA720B"/>
    <w:rsid w:val="00BA7227"/>
    <w:rsid w:val="00BA7374"/>
    <w:rsid w:val="00BA74AA"/>
    <w:rsid w:val="00BA7532"/>
    <w:rsid w:val="00BA76B5"/>
    <w:rsid w:val="00BA7704"/>
    <w:rsid w:val="00BA7780"/>
    <w:rsid w:val="00BA77FE"/>
    <w:rsid w:val="00BA781E"/>
    <w:rsid w:val="00BA7873"/>
    <w:rsid w:val="00BA7B06"/>
    <w:rsid w:val="00BA7B44"/>
    <w:rsid w:val="00BA7C90"/>
    <w:rsid w:val="00BA7D4D"/>
    <w:rsid w:val="00BA7DCD"/>
    <w:rsid w:val="00BA7E3E"/>
    <w:rsid w:val="00BA7EE3"/>
    <w:rsid w:val="00BA7F76"/>
    <w:rsid w:val="00BB00B3"/>
    <w:rsid w:val="00BB00F9"/>
    <w:rsid w:val="00BB03BB"/>
    <w:rsid w:val="00BB048C"/>
    <w:rsid w:val="00BB04CD"/>
    <w:rsid w:val="00BB0587"/>
    <w:rsid w:val="00BB0714"/>
    <w:rsid w:val="00BB075C"/>
    <w:rsid w:val="00BB087C"/>
    <w:rsid w:val="00BB0AD3"/>
    <w:rsid w:val="00BB0C05"/>
    <w:rsid w:val="00BB0C2E"/>
    <w:rsid w:val="00BB0C9E"/>
    <w:rsid w:val="00BB0DBE"/>
    <w:rsid w:val="00BB0DF8"/>
    <w:rsid w:val="00BB0FAB"/>
    <w:rsid w:val="00BB10D4"/>
    <w:rsid w:val="00BB11A7"/>
    <w:rsid w:val="00BB13B1"/>
    <w:rsid w:val="00BB1534"/>
    <w:rsid w:val="00BB161B"/>
    <w:rsid w:val="00BB1991"/>
    <w:rsid w:val="00BB1A19"/>
    <w:rsid w:val="00BB1A1F"/>
    <w:rsid w:val="00BB1C21"/>
    <w:rsid w:val="00BB1D16"/>
    <w:rsid w:val="00BB21D4"/>
    <w:rsid w:val="00BB2383"/>
    <w:rsid w:val="00BB24B1"/>
    <w:rsid w:val="00BB24D7"/>
    <w:rsid w:val="00BB24F7"/>
    <w:rsid w:val="00BB2562"/>
    <w:rsid w:val="00BB2592"/>
    <w:rsid w:val="00BB28CE"/>
    <w:rsid w:val="00BB2A05"/>
    <w:rsid w:val="00BB2A2D"/>
    <w:rsid w:val="00BB2C68"/>
    <w:rsid w:val="00BB2D37"/>
    <w:rsid w:val="00BB2ED5"/>
    <w:rsid w:val="00BB2F50"/>
    <w:rsid w:val="00BB3028"/>
    <w:rsid w:val="00BB302B"/>
    <w:rsid w:val="00BB30E8"/>
    <w:rsid w:val="00BB313C"/>
    <w:rsid w:val="00BB3264"/>
    <w:rsid w:val="00BB3466"/>
    <w:rsid w:val="00BB39E7"/>
    <w:rsid w:val="00BB3A1D"/>
    <w:rsid w:val="00BB3A47"/>
    <w:rsid w:val="00BB3D35"/>
    <w:rsid w:val="00BB3EFE"/>
    <w:rsid w:val="00BB3FB1"/>
    <w:rsid w:val="00BB3FC2"/>
    <w:rsid w:val="00BB4115"/>
    <w:rsid w:val="00BB43CE"/>
    <w:rsid w:val="00BB43E4"/>
    <w:rsid w:val="00BB4815"/>
    <w:rsid w:val="00BB4836"/>
    <w:rsid w:val="00BB48E0"/>
    <w:rsid w:val="00BB4A1D"/>
    <w:rsid w:val="00BB4A70"/>
    <w:rsid w:val="00BB4C74"/>
    <w:rsid w:val="00BB4CCE"/>
    <w:rsid w:val="00BB4CF4"/>
    <w:rsid w:val="00BB4D17"/>
    <w:rsid w:val="00BB51BF"/>
    <w:rsid w:val="00BB521F"/>
    <w:rsid w:val="00BB53B4"/>
    <w:rsid w:val="00BB5445"/>
    <w:rsid w:val="00BB5467"/>
    <w:rsid w:val="00BB5664"/>
    <w:rsid w:val="00BB5698"/>
    <w:rsid w:val="00BB5852"/>
    <w:rsid w:val="00BB5960"/>
    <w:rsid w:val="00BB5A75"/>
    <w:rsid w:val="00BB5C3B"/>
    <w:rsid w:val="00BB5C40"/>
    <w:rsid w:val="00BB5DCC"/>
    <w:rsid w:val="00BB5E6F"/>
    <w:rsid w:val="00BB5E7C"/>
    <w:rsid w:val="00BB5ED0"/>
    <w:rsid w:val="00BB5F0B"/>
    <w:rsid w:val="00BB6013"/>
    <w:rsid w:val="00BB62C2"/>
    <w:rsid w:val="00BB632D"/>
    <w:rsid w:val="00BB6343"/>
    <w:rsid w:val="00BB63E2"/>
    <w:rsid w:val="00BB643D"/>
    <w:rsid w:val="00BB6671"/>
    <w:rsid w:val="00BB6792"/>
    <w:rsid w:val="00BB6820"/>
    <w:rsid w:val="00BB6A3F"/>
    <w:rsid w:val="00BB6BE3"/>
    <w:rsid w:val="00BB6C7B"/>
    <w:rsid w:val="00BB6CC3"/>
    <w:rsid w:val="00BB6E7E"/>
    <w:rsid w:val="00BB6F0B"/>
    <w:rsid w:val="00BB70A6"/>
    <w:rsid w:val="00BB717E"/>
    <w:rsid w:val="00BB73C4"/>
    <w:rsid w:val="00BB757C"/>
    <w:rsid w:val="00BB77A6"/>
    <w:rsid w:val="00BB77DA"/>
    <w:rsid w:val="00BB7953"/>
    <w:rsid w:val="00BB7B54"/>
    <w:rsid w:val="00BB7BC6"/>
    <w:rsid w:val="00BB7E09"/>
    <w:rsid w:val="00BB7EDD"/>
    <w:rsid w:val="00BB7F21"/>
    <w:rsid w:val="00BC01BD"/>
    <w:rsid w:val="00BC03F9"/>
    <w:rsid w:val="00BC05C5"/>
    <w:rsid w:val="00BC0760"/>
    <w:rsid w:val="00BC07CF"/>
    <w:rsid w:val="00BC08B1"/>
    <w:rsid w:val="00BC08F0"/>
    <w:rsid w:val="00BC0E1E"/>
    <w:rsid w:val="00BC0E71"/>
    <w:rsid w:val="00BC0FAD"/>
    <w:rsid w:val="00BC0FDE"/>
    <w:rsid w:val="00BC11EE"/>
    <w:rsid w:val="00BC1259"/>
    <w:rsid w:val="00BC1431"/>
    <w:rsid w:val="00BC14C8"/>
    <w:rsid w:val="00BC14E0"/>
    <w:rsid w:val="00BC1783"/>
    <w:rsid w:val="00BC19FF"/>
    <w:rsid w:val="00BC1B7A"/>
    <w:rsid w:val="00BC1CEE"/>
    <w:rsid w:val="00BC2014"/>
    <w:rsid w:val="00BC20D7"/>
    <w:rsid w:val="00BC2175"/>
    <w:rsid w:val="00BC21B2"/>
    <w:rsid w:val="00BC220A"/>
    <w:rsid w:val="00BC24FC"/>
    <w:rsid w:val="00BC2676"/>
    <w:rsid w:val="00BC28BF"/>
    <w:rsid w:val="00BC2954"/>
    <w:rsid w:val="00BC29E1"/>
    <w:rsid w:val="00BC2A12"/>
    <w:rsid w:val="00BC2A64"/>
    <w:rsid w:val="00BC2AA3"/>
    <w:rsid w:val="00BC2BA9"/>
    <w:rsid w:val="00BC2DEF"/>
    <w:rsid w:val="00BC2FD1"/>
    <w:rsid w:val="00BC306A"/>
    <w:rsid w:val="00BC3172"/>
    <w:rsid w:val="00BC341F"/>
    <w:rsid w:val="00BC3939"/>
    <w:rsid w:val="00BC3A6E"/>
    <w:rsid w:val="00BC3D01"/>
    <w:rsid w:val="00BC3F2D"/>
    <w:rsid w:val="00BC3FFD"/>
    <w:rsid w:val="00BC409A"/>
    <w:rsid w:val="00BC4125"/>
    <w:rsid w:val="00BC421A"/>
    <w:rsid w:val="00BC42C6"/>
    <w:rsid w:val="00BC4338"/>
    <w:rsid w:val="00BC44A8"/>
    <w:rsid w:val="00BC4544"/>
    <w:rsid w:val="00BC462D"/>
    <w:rsid w:val="00BC4749"/>
    <w:rsid w:val="00BC47E0"/>
    <w:rsid w:val="00BC4829"/>
    <w:rsid w:val="00BC4A3D"/>
    <w:rsid w:val="00BC4F64"/>
    <w:rsid w:val="00BC4FBC"/>
    <w:rsid w:val="00BC5092"/>
    <w:rsid w:val="00BC52BA"/>
    <w:rsid w:val="00BC52CF"/>
    <w:rsid w:val="00BC537D"/>
    <w:rsid w:val="00BC54BC"/>
    <w:rsid w:val="00BC54F4"/>
    <w:rsid w:val="00BC5686"/>
    <w:rsid w:val="00BC57E2"/>
    <w:rsid w:val="00BC58FC"/>
    <w:rsid w:val="00BC5A17"/>
    <w:rsid w:val="00BC5A3B"/>
    <w:rsid w:val="00BC5A67"/>
    <w:rsid w:val="00BC5CB6"/>
    <w:rsid w:val="00BC5CD0"/>
    <w:rsid w:val="00BC5E37"/>
    <w:rsid w:val="00BC5E76"/>
    <w:rsid w:val="00BC5E7E"/>
    <w:rsid w:val="00BC5E9B"/>
    <w:rsid w:val="00BC6026"/>
    <w:rsid w:val="00BC60F1"/>
    <w:rsid w:val="00BC6215"/>
    <w:rsid w:val="00BC6251"/>
    <w:rsid w:val="00BC625C"/>
    <w:rsid w:val="00BC6473"/>
    <w:rsid w:val="00BC657D"/>
    <w:rsid w:val="00BC66E2"/>
    <w:rsid w:val="00BC6802"/>
    <w:rsid w:val="00BC683C"/>
    <w:rsid w:val="00BC6848"/>
    <w:rsid w:val="00BC68DB"/>
    <w:rsid w:val="00BC6B5F"/>
    <w:rsid w:val="00BC6B8E"/>
    <w:rsid w:val="00BC6B9F"/>
    <w:rsid w:val="00BC6BE2"/>
    <w:rsid w:val="00BC6C10"/>
    <w:rsid w:val="00BC6CDC"/>
    <w:rsid w:val="00BC6E34"/>
    <w:rsid w:val="00BC6F44"/>
    <w:rsid w:val="00BC6FA4"/>
    <w:rsid w:val="00BC6FB8"/>
    <w:rsid w:val="00BC701D"/>
    <w:rsid w:val="00BC719E"/>
    <w:rsid w:val="00BC7336"/>
    <w:rsid w:val="00BC734D"/>
    <w:rsid w:val="00BC73B0"/>
    <w:rsid w:val="00BC7434"/>
    <w:rsid w:val="00BC745B"/>
    <w:rsid w:val="00BC7572"/>
    <w:rsid w:val="00BC75B1"/>
    <w:rsid w:val="00BC767A"/>
    <w:rsid w:val="00BC78E3"/>
    <w:rsid w:val="00BC797B"/>
    <w:rsid w:val="00BC797E"/>
    <w:rsid w:val="00BC79A4"/>
    <w:rsid w:val="00BC79C0"/>
    <w:rsid w:val="00BC7AD5"/>
    <w:rsid w:val="00BC7B8C"/>
    <w:rsid w:val="00BC7CFA"/>
    <w:rsid w:val="00BC7E0B"/>
    <w:rsid w:val="00BC7F00"/>
    <w:rsid w:val="00BC7F11"/>
    <w:rsid w:val="00BC7FB1"/>
    <w:rsid w:val="00BD019F"/>
    <w:rsid w:val="00BD0326"/>
    <w:rsid w:val="00BD0355"/>
    <w:rsid w:val="00BD0454"/>
    <w:rsid w:val="00BD06EB"/>
    <w:rsid w:val="00BD0711"/>
    <w:rsid w:val="00BD07C9"/>
    <w:rsid w:val="00BD07F9"/>
    <w:rsid w:val="00BD08EB"/>
    <w:rsid w:val="00BD09A9"/>
    <w:rsid w:val="00BD09E3"/>
    <w:rsid w:val="00BD09E5"/>
    <w:rsid w:val="00BD09EE"/>
    <w:rsid w:val="00BD0B33"/>
    <w:rsid w:val="00BD0C8D"/>
    <w:rsid w:val="00BD0CA4"/>
    <w:rsid w:val="00BD0D23"/>
    <w:rsid w:val="00BD1072"/>
    <w:rsid w:val="00BD12C8"/>
    <w:rsid w:val="00BD1348"/>
    <w:rsid w:val="00BD1423"/>
    <w:rsid w:val="00BD15DF"/>
    <w:rsid w:val="00BD17D5"/>
    <w:rsid w:val="00BD184B"/>
    <w:rsid w:val="00BD1878"/>
    <w:rsid w:val="00BD190C"/>
    <w:rsid w:val="00BD1A6F"/>
    <w:rsid w:val="00BD1AC5"/>
    <w:rsid w:val="00BD1B1E"/>
    <w:rsid w:val="00BD1CC3"/>
    <w:rsid w:val="00BD1D48"/>
    <w:rsid w:val="00BD1FF5"/>
    <w:rsid w:val="00BD2035"/>
    <w:rsid w:val="00BD251E"/>
    <w:rsid w:val="00BD26EF"/>
    <w:rsid w:val="00BD276D"/>
    <w:rsid w:val="00BD2944"/>
    <w:rsid w:val="00BD2A3E"/>
    <w:rsid w:val="00BD2BC8"/>
    <w:rsid w:val="00BD2C58"/>
    <w:rsid w:val="00BD2C8E"/>
    <w:rsid w:val="00BD2CAD"/>
    <w:rsid w:val="00BD2DA7"/>
    <w:rsid w:val="00BD2DF1"/>
    <w:rsid w:val="00BD2EB9"/>
    <w:rsid w:val="00BD2FA3"/>
    <w:rsid w:val="00BD3106"/>
    <w:rsid w:val="00BD31FA"/>
    <w:rsid w:val="00BD350D"/>
    <w:rsid w:val="00BD358C"/>
    <w:rsid w:val="00BD3651"/>
    <w:rsid w:val="00BD38C2"/>
    <w:rsid w:val="00BD3B11"/>
    <w:rsid w:val="00BD3C7A"/>
    <w:rsid w:val="00BD3C8B"/>
    <w:rsid w:val="00BD3EDE"/>
    <w:rsid w:val="00BD3F24"/>
    <w:rsid w:val="00BD3F8A"/>
    <w:rsid w:val="00BD4078"/>
    <w:rsid w:val="00BD409B"/>
    <w:rsid w:val="00BD423F"/>
    <w:rsid w:val="00BD43D9"/>
    <w:rsid w:val="00BD4492"/>
    <w:rsid w:val="00BD44E2"/>
    <w:rsid w:val="00BD48A4"/>
    <w:rsid w:val="00BD50FD"/>
    <w:rsid w:val="00BD56FC"/>
    <w:rsid w:val="00BD57DF"/>
    <w:rsid w:val="00BD5837"/>
    <w:rsid w:val="00BD591F"/>
    <w:rsid w:val="00BD592D"/>
    <w:rsid w:val="00BD5BAF"/>
    <w:rsid w:val="00BD5BED"/>
    <w:rsid w:val="00BD5C18"/>
    <w:rsid w:val="00BD5C19"/>
    <w:rsid w:val="00BD5DBB"/>
    <w:rsid w:val="00BD615A"/>
    <w:rsid w:val="00BD6166"/>
    <w:rsid w:val="00BD6279"/>
    <w:rsid w:val="00BD6290"/>
    <w:rsid w:val="00BD6295"/>
    <w:rsid w:val="00BD62D7"/>
    <w:rsid w:val="00BD649C"/>
    <w:rsid w:val="00BD649F"/>
    <w:rsid w:val="00BD6565"/>
    <w:rsid w:val="00BD6773"/>
    <w:rsid w:val="00BD67DA"/>
    <w:rsid w:val="00BD6960"/>
    <w:rsid w:val="00BD6BAF"/>
    <w:rsid w:val="00BD6DD0"/>
    <w:rsid w:val="00BD6E29"/>
    <w:rsid w:val="00BD6F4B"/>
    <w:rsid w:val="00BD7000"/>
    <w:rsid w:val="00BD71AE"/>
    <w:rsid w:val="00BD71DF"/>
    <w:rsid w:val="00BD727B"/>
    <w:rsid w:val="00BD72F0"/>
    <w:rsid w:val="00BD7397"/>
    <w:rsid w:val="00BD739B"/>
    <w:rsid w:val="00BD76D1"/>
    <w:rsid w:val="00BD7713"/>
    <w:rsid w:val="00BD785F"/>
    <w:rsid w:val="00BD7B91"/>
    <w:rsid w:val="00BD7D58"/>
    <w:rsid w:val="00BD7F9D"/>
    <w:rsid w:val="00BE0035"/>
    <w:rsid w:val="00BE00BE"/>
    <w:rsid w:val="00BE01B9"/>
    <w:rsid w:val="00BE0303"/>
    <w:rsid w:val="00BE03EC"/>
    <w:rsid w:val="00BE0716"/>
    <w:rsid w:val="00BE0949"/>
    <w:rsid w:val="00BE0960"/>
    <w:rsid w:val="00BE0BDE"/>
    <w:rsid w:val="00BE0CD3"/>
    <w:rsid w:val="00BE0DC4"/>
    <w:rsid w:val="00BE0F48"/>
    <w:rsid w:val="00BE0F56"/>
    <w:rsid w:val="00BE0F8C"/>
    <w:rsid w:val="00BE1163"/>
    <w:rsid w:val="00BE11E2"/>
    <w:rsid w:val="00BE1206"/>
    <w:rsid w:val="00BE1209"/>
    <w:rsid w:val="00BE1340"/>
    <w:rsid w:val="00BE13A8"/>
    <w:rsid w:val="00BE14AD"/>
    <w:rsid w:val="00BE1549"/>
    <w:rsid w:val="00BE1621"/>
    <w:rsid w:val="00BE1670"/>
    <w:rsid w:val="00BE1681"/>
    <w:rsid w:val="00BE172D"/>
    <w:rsid w:val="00BE1A38"/>
    <w:rsid w:val="00BE1CBC"/>
    <w:rsid w:val="00BE1D03"/>
    <w:rsid w:val="00BE1E08"/>
    <w:rsid w:val="00BE1FBB"/>
    <w:rsid w:val="00BE23BB"/>
    <w:rsid w:val="00BE2448"/>
    <w:rsid w:val="00BE2450"/>
    <w:rsid w:val="00BE25AC"/>
    <w:rsid w:val="00BE2805"/>
    <w:rsid w:val="00BE2840"/>
    <w:rsid w:val="00BE294F"/>
    <w:rsid w:val="00BE29E3"/>
    <w:rsid w:val="00BE2A01"/>
    <w:rsid w:val="00BE2C7D"/>
    <w:rsid w:val="00BE2D0E"/>
    <w:rsid w:val="00BE2D60"/>
    <w:rsid w:val="00BE2EE2"/>
    <w:rsid w:val="00BE324F"/>
    <w:rsid w:val="00BE3339"/>
    <w:rsid w:val="00BE339F"/>
    <w:rsid w:val="00BE33AE"/>
    <w:rsid w:val="00BE344F"/>
    <w:rsid w:val="00BE3638"/>
    <w:rsid w:val="00BE3733"/>
    <w:rsid w:val="00BE37C1"/>
    <w:rsid w:val="00BE3926"/>
    <w:rsid w:val="00BE3A5A"/>
    <w:rsid w:val="00BE3C02"/>
    <w:rsid w:val="00BE3C4B"/>
    <w:rsid w:val="00BE3C5A"/>
    <w:rsid w:val="00BE3D1B"/>
    <w:rsid w:val="00BE3E96"/>
    <w:rsid w:val="00BE4060"/>
    <w:rsid w:val="00BE408F"/>
    <w:rsid w:val="00BE4153"/>
    <w:rsid w:val="00BE419F"/>
    <w:rsid w:val="00BE41EE"/>
    <w:rsid w:val="00BE432D"/>
    <w:rsid w:val="00BE4332"/>
    <w:rsid w:val="00BE43B7"/>
    <w:rsid w:val="00BE477E"/>
    <w:rsid w:val="00BE4ADA"/>
    <w:rsid w:val="00BE4EBD"/>
    <w:rsid w:val="00BE4F8E"/>
    <w:rsid w:val="00BE5177"/>
    <w:rsid w:val="00BE51DE"/>
    <w:rsid w:val="00BE51E7"/>
    <w:rsid w:val="00BE5390"/>
    <w:rsid w:val="00BE5494"/>
    <w:rsid w:val="00BE55E8"/>
    <w:rsid w:val="00BE5697"/>
    <w:rsid w:val="00BE56AD"/>
    <w:rsid w:val="00BE5794"/>
    <w:rsid w:val="00BE57C7"/>
    <w:rsid w:val="00BE59AA"/>
    <w:rsid w:val="00BE5A0B"/>
    <w:rsid w:val="00BE5A84"/>
    <w:rsid w:val="00BE5B2B"/>
    <w:rsid w:val="00BE5DB9"/>
    <w:rsid w:val="00BE5E89"/>
    <w:rsid w:val="00BE5F06"/>
    <w:rsid w:val="00BE6235"/>
    <w:rsid w:val="00BE63E0"/>
    <w:rsid w:val="00BE664C"/>
    <w:rsid w:val="00BE66AA"/>
    <w:rsid w:val="00BE6746"/>
    <w:rsid w:val="00BE6749"/>
    <w:rsid w:val="00BE67BA"/>
    <w:rsid w:val="00BE688C"/>
    <w:rsid w:val="00BE6CE2"/>
    <w:rsid w:val="00BE6F29"/>
    <w:rsid w:val="00BE702F"/>
    <w:rsid w:val="00BE704F"/>
    <w:rsid w:val="00BE7065"/>
    <w:rsid w:val="00BE71FB"/>
    <w:rsid w:val="00BE7380"/>
    <w:rsid w:val="00BE73C0"/>
    <w:rsid w:val="00BE7511"/>
    <w:rsid w:val="00BE7880"/>
    <w:rsid w:val="00BE7881"/>
    <w:rsid w:val="00BE7882"/>
    <w:rsid w:val="00BE7A15"/>
    <w:rsid w:val="00BE7BA9"/>
    <w:rsid w:val="00BE7DF5"/>
    <w:rsid w:val="00BE7F29"/>
    <w:rsid w:val="00BE7FFC"/>
    <w:rsid w:val="00BF0256"/>
    <w:rsid w:val="00BF0298"/>
    <w:rsid w:val="00BF0326"/>
    <w:rsid w:val="00BF0703"/>
    <w:rsid w:val="00BF09D1"/>
    <w:rsid w:val="00BF09DF"/>
    <w:rsid w:val="00BF0D32"/>
    <w:rsid w:val="00BF0E8B"/>
    <w:rsid w:val="00BF0F1E"/>
    <w:rsid w:val="00BF1054"/>
    <w:rsid w:val="00BF1077"/>
    <w:rsid w:val="00BF1168"/>
    <w:rsid w:val="00BF1173"/>
    <w:rsid w:val="00BF1176"/>
    <w:rsid w:val="00BF1179"/>
    <w:rsid w:val="00BF11A1"/>
    <w:rsid w:val="00BF14F2"/>
    <w:rsid w:val="00BF1593"/>
    <w:rsid w:val="00BF15BD"/>
    <w:rsid w:val="00BF15FE"/>
    <w:rsid w:val="00BF162D"/>
    <w:rsid w:val="00BF17D6"/>
    <w:rsid w:val="00BF1802"/>
    <w:rsid w:val="00BF1865"/>
    <w:rsid w:val="00BF1C52"/>
    <w:rsid w:val="00BF1DDB"/>
    <w:rsid w:val="00BF1F38"/>
    <w:rsid w:val="00BF205F"/>
    <w:rsid w:val="00BF206E"/>
    <w:rsid w:val="00BF2109"/>
    <w:rsid w:val="00BF21E3"/>
    <w:rsid w:val="00BF22C4"/>
    <w:rsid w:val="00BF236E"/>
    <w:rsid w:val="00BF2389"/>
    <w:rsid w:val="00BF25C7"/>
    <w:rsid w:val="00BF2687"/>
    <w:rsid w:val="00BF279E"/>
    <w:rsid w:val="00BF2819"/>
    <w:rsid w:val="00BF291E"/>
    <w:rsid w:val="00BF2A06"/>
    <w:rsid w:val="00BF2A40"/>
    <w:rsid w:val="00BF2C38"/>
    <w:rsid w:val="00BF2CA4"/>
    <w:rsid w:val="00BF2CFE"/>
    <w:rsid w:val="00BF2D9C"/>
    <w:rsid w:val="00BF2E30"/>
    <w:rsid w:val="00BF318B"/>
    <w:rsid w:val="00BF3299"/>
    <w:rsid w:val="00BF337B"/>
    <w:rsid w:val="00BF3385"/>
    <w:rsid w:val="00BF34EA"/>
    <w:rsid w:val="00BF38AF"/>
    <w:rsid w:val="00BF38DB"/>
    <w:rsid w:val="00BF38EA"/>
    <w:rsid w:val="00BF390E"/>
    <w:rsid w:val="00BF3A47"/>
    <w:rsid w:val="00BF3A68"/>
    <w:rsid w:val="00BF3AB7"/>
    <w:rsid w:val="00BF3B4C"/>
    <w:rsid w:val="00BF3B64"/>
    <w:rsid w:val="00BF3B6C"/>
    <w:rsid w:val="00BF3D4E"/>
    <w:rsid w:val="00BF40A9"/>
    <w:rsid w:val="00BF40D0"/>
    <w:rsid w:val="00BF4128"/>
    <w:rsid w:val="00BF415D"/>
    <w:rsid w:val="00BF416C"/>
    <w:rsid w:val="00BF4215"/>
    <w:rsid w:val="00BF443D"/>
    <w:rsid w:val="00BF44A3"/>
    <w:rsid w:val="00BF48B4"/>
    <w:rsid w:val="00BF4951"/>
    <w:rsid w:val="00BF49BF"/>
    <w:rsid w:val="00BF4B0E"/>
    <w:rsid w:val="00BF4B55"/>
    <w:rsid w:val="00BF5237"/>
    <w:rsid w:val="00BF559A"/>
    <w:rsid w:val="00BF55C1"/>
    <w:rsid w:val="00BF55CE"/>
    <w:rsid w:val="00BF5622"/>
    <w:rsid w:val="00BF570A"/>
    <w:rsid w:val="00BF5743"/>
    <w:rsid w:val="00BF57E9"/>
    <w:rsid w:val="00BF5855"/>
    <w:rsid w:val="00BF5975"/>
    <w:rsid w:val="00BF59D0"/>
    <w:rsid w:val="00BF5A18"/>
    <w:rsid w:val="00BF5A94"/>
    <w:rsid w:val="00BF5C9E"/>
    <w:rsid w:val="00BF5D99"/>
    <w:rsid w:val="00BF5DF5"/>
    <w:rsid w:val="00BF5DFD"/>
    <w:rsid w:val="00BF5E0B"/>
    <w:rsid w:val="00BF6033"/>
    <w:rsid w:val="00BF625D"/>
    <w:rsid w:val="00BF63E8"/>
    <w:rsid w:val="00BF6422"/>
    <w:rsid w:val="00BF6438"/>
    <w:rsid w:val="00BF65CA"/>
    <w:rsid w:val="00BF6606"/>
    <w:rsid w:val="00BF68B0"/>
    <w:rsid w:val="00BF68CD"/>
    <w:rsid w:val="00BF69AE"/>
    <w:rsid w:val="00BF6B90"/>
    <w:rsid w:val="00BF6BFE"/>
    <w:rsid w:val="00BF6C14"/>
    <w:rsid w:val="00BF6D86"/>
    <w:rsid w:val="00BF6DBB"/>
    <w:rsid w:val="00BF6EF4"/>
    <w:rsid w:val="00BF6FE2"/>
    <w:rsid w:val="00BF70A7"/>
    <w:rsid w:val="00BF71F8"/>
    <w:rsid w:val="00BF7409"/>
    <w:rsid w:val="00BF7451"/>
    <w:rsid w:val="00BF754D"/>
    <w:rsid w:val="00BF756A"/>
    <w:rsid w:val="00BF75DF"/>
    <w:rsid w:val="00BF7841"/>
    <w:rsid w:val="00BF7AC0"/>
    <w:rsid w:val="00BF7B31"/>
    <w:rsid w:val="00BF7B5E"/>
    <w:rsid w:val="00BF7D3F"/>
    <w:rsid w:val="00BF7F2A"/>
    <w:rsid w:val="00BF7FDB"/>
    <w:rsid w:val="00C0005A"/>
    <w:rsid w:val="00C0014C"/>
    <w:rsid w:val="00C00330"/>
    <w:rsid w:val="00C0042F"/>
    <w:rsid w:val="00C004C1"/>
    <w:rsid w:val="00C004C4"/>
    <w:rsid w:val="00C00577"/>
    <w:rsid w:val="00C0063B"/>
    <w:rsid w:val="00C006D4"/>
    <w:rsid w:val="00C00720"/>
    <w:rsid w:val="00C00892"/>
    <w:rsid w:val="00C008D0"/>
    <w:rsid w:val="00C009B8"/>
    <w:rsid w:val="00C00A19"/>
    <w:rsid w:val="00C00B2B"/>
    <w:rsid w:val="00C00EC9"/>
    <w:rsid w:val="00C00F95"/>
    <w:rsid w:val="00C012BF"/>
    <w:rsid w:val="00C0147F"/>
    <w:rsid w:val="00C014A1"/>
    <w:rsid w:val="00C014DC"/>
    <w:rsid w:val="00C0183C"/>
    <w:rsid w:val="00C01ACC"/>
    <w:rsid w:val="00C01BB5"/>
    <w:rsid w:val="00C01F91"/>
    <w:rsid w:val="00C020F0"/>
    <w:rsid w:val="00C02204"/>
    <w:rsid w:val="00C0224F"/>
    <w:rsid w:val="00C022AE"/>
    <w:rsid w:val="00C022C0"/>
    <w:rsid w:val="00C0243E"/>
    <w:rsid w:val="00C024C8"/>
    <w:rsid w:val="00C02502"/>
    <w:rsid w:val="00C0272C"/>
    <w:rsid w:val="00C0278E"/>
    <w:rsid w:val="00C02835"/>
    <w:rsid w:val="00C0292E"/>
    <w:rsid w:val="00C02AF9"/>
    <w:rsid w:val="00C02DF1"/>
    <w:rsid w:val="00C02F85"/>
    <w:rsid w:val="00C02FF8"/>
    <w:rsid w:val="00C03023"/>
    <w:rsid w:val="00C03162"/>
    <w:rsid w:val="00C032A3"/>
    <w:rsid w:val="00C033D5"/>
    <w:rsid w:val="00C03601"/>
    <w:rsid w:val="00C03BBD"/>
    <w:rsid w:val="00C03F1C"/>
    <w:rsid w:val="00C0407B"/>
    <w:rsid w:val="00C040A1"/>
    <w:rsid w:val="00C040A8"/>
    <w:rsid w:val="00C040AC"/>
    <w:rsid w:val="00C040C9"/>
    <w:rsid w:val="00C04101"/>
    <w:rsid w:val="00C04169"/>
    <w:rsid w:val="00C041B8"/>
    <w:rsid w:val="00C041FC"/>
    <w:rsid w:val="00C04364"/>
    <w:rsid w:val="00C0441D"/>
    <w:rsid w:val="00C047CB"/>
    <w:rsid w:val="00C048F0"/>
    <w:rsid w:val="00C04B21"/>
    <w:rsid w:val="00C04CE6"/>
    <w:rsid w:val="00C04DAE"/>
    <w:rsid w:val="00C05157"/>
    <w:rsid w:val="00C053F5"/>
    <w:rsid w:val="00C05483"/>
    <w:rsid w:val="00C05550"/>
    <w:rsid w:val="00C05652"/>
    <w:rsid w:val="00C05856"/>
    <w:rsid w:val="00C059C1"/>
    <w:rsid w:val="00C05A35"/>
    <w:rsid w:val="00C05CCE"/>
    <w:rsid w:val="00C05DD1"/>
    <w:rsid w:val="00C05E82"/>
    <w:rsid w:val="00C05FF6"/>
    <w:rsid w:val="00C0619A"/>
    <w:rsid w:val="00C06273"/>
    <w:rsid w:val="00C0639C"/>
    <w:rsid w:val="00C063BF"/>
    <w:rsid w:val="00C06474"/>
    <w:rsid w:val="00C06495"/>
    <w:rsid w:val="00C0649D"/>
    <w:rsid w:val="00C06556"/>
    <w:rsid w:val="00C06654"/>
    <w:rsid w:val="00C06728"/>
    <w:rsid w:val="00C0672A"/>
    <w:rsid w:val="00C067BC"/>
    <w:rsid w:val="00C068F6"/>
    <w:rsid w:val="00C06AFF"/>
    <w:rsid w:val="00C06C60"/>
    <w:rsid w:val="00C06C83"/>
    <w:rsid w:val="00C06D4E"/>
    <w:rsid w:val="00C06D5F"/>
    <w:rsid w:val="00C06DDC"/>
    <w:rsid w:val="00C06E00"/>
    <w:rsid w:val="00C06E21"/>
    <w:rsid w:val="00C06E42"/>
    <w:rsid w:val="00C06E6D"/>
    <w:rsid w:val="00C074FC"/>
    <w:rsid w:val="00C07513"/>
    <w:rsid w:val="00C0756B"/>
    <w:rsid w:val="00C07751"/>
    <w:rsid w:val="00C0777E"/>
    <w:rsid w:val="00C0778D"/>
    <w:rsid w:val="00C07950"/>
    <w:rsid w:val="00C07BFD"/>
    <w:rsid w:val="00C07D54"/>
    <w:rsid w:val="00C10033"/>
    <w:rsid w:val="00C1020E"/>
    <w:rsid w:val="00C105F5"/>
    <w:rsid w:val="00C1073D"/>
    <w:rsid w:val="00C1074E"/>
    <w:rsid w:val="00C10818"/>
    <w:rsid w:val="00C10920"/>
    <w:rsid w:val="00C109DF"/>
    <w:rsid w:val="00C109F7"/>
    <w:rsid w:val="00C10A0D"/>
    <w:rsid w:val="00C10A34"/>
    <w:rsid w:val="00C10BDE"/>
    <w:rsid w:val="00C10C68"/>
    <w:rsid w:val="00C10ECC"/>
    <w:rsid w:val="00C110C3"/>
    <w:rsid w:val="00C11292"/>
    <w:rsid w:val="00C11377"/>
    <w:rsid w:val="00C114CF"/>
    <w:rsid w:val="00C11540"/>
    <w:rsid w:val="00C1167A"/>
    <w:rsid w:val="00C116FF"/>
    <w:rsid w:val="00C11869"/>
    <w:rsid w:val="00C11A35"/>
    <w:rsid w:val="00C11A4B"/>
    <w:rsid w:val="00C11BA0"/>
    <w:rsid w:val="00C11E5A"/>
    <w:rsid w:val="00C11EB7"/>
    <w:rsid w:val="00C12156"/>
    <w:rsid w:val="00C12223"/>
    <w:rsid w:val="00C12260"/>
    <w:rsid w:val="00C12301"/>
    <w:rsid w:val="00C12334"/>
    <w:rsid w:val="00C12355"/>
    <w:rsid w:val="00C1244E"/>
    <w:rsid w:val="00C1246C"/>
    <w:rsid w:val="00C1248A"/>
    <w:rsid w:val="00C124A8"/>
    <w:rsid w:val="00C125FE"/>
    <w:rsid w:val="00C12694"/>
    <w:rsid w:val="00C12722"/>
    <w:rsid w:val="00C12735"/>
    <w:rsid w:val="00C1286D"/>
    <w:rsid w:val="00C1293B"/>
    <w:rsid w:val="00C12A77"/>
    <w:rsid w:val="00C12A7C"/>
    <w:rsid w:val="00C12AA9"/>
    <w:rsid w:val="00C12C1B"/>
    <w:rsid w:val="00C12E65"/>
    <w:rsid w:val="00C12F06"/>
    <w:rsid w:val="00C13031"/>
    <w:rsid w:val="00C130AB"/>
    <w:rsid w:val="00C1340E"/>
    <w:rsid w:val="00C1353D"/>
    <w:rsid w:val="00C13547"/>
    <w:rsid w:val="00C13552"/>
    <w:rsid w:val="00C136BE"/>
    <w:rsid w:val="00C13796"/>
    <w:rsid w:val="00C139C0"/>
    <w:rsid w:val="00C13A7B"/>
    <w:rsid w:val="00C13AD2"/>
    <w:rsid w:val="00C13ADC"/>
    <w:rsid w:val="00C13AEB"/>
    <w:rsid w:val="00C13B97"/>
    <w:rsid w:val="00C13F17"/>
    <w:rsid w:val="00C14051"/>
    <w:rsid w:val="00C140E5"/>
    <w:rsid w:val="00C141ED"/>
    <w:rsid w:val="00C1423D"/>
    <w:rsid w:val="00C14269"/>
    <w:rsid w:val="00C143CD"/>
    <w:rsid w:val="00C14455"/>
    <w:rsid w:val="00C14459"/>
    <w:rsid w:val="00C14513"/>
    <w:rsid w:val="00C1472A"/>
    <w:rsid w:val="00C14802"/>
    <w:rsid w:val="00C149F3"/>
    <w:rsid w:val="00C14A97"/>
    <w:rsid w:val="00C14C7D"/>
    <w:rsid w:val="00C14E70"/>
    <w:rsid w:val="00C14E89"/>
    <w:rsid w:val="00C15117"/>
    <w:rsid w:val="00C1519F"/>
    <w:rsid w:val="00C15215"/>
    <w:rsid w:val="00C152B6"/>
    <w:rsid w:val="00C15380"/>
    <w:rsid w:val="00C1543A"/>
    <w:rsid w:val="00C1574A"/>
    <w:rsid w:val="00C1579E"/>
    <w:rsid w:val="00C1599D"/>
    <w:rsid w:val="00C15A00"/>
    <w:rsid w:val="00C15AF7"/>
    <w:rsid w:val="00C15DCF"/>
    <w:rsid w:val="00C15DEB"/>
    <w:rsid w:val="00C15EC4"/>
    <w:rsid w:val="00C16081"/>
    <w:rsid w:val="00C161D5"/>
    <w:rsid w:val="00C16215"/>
    <w:rsid w:val="00C1623B"/>
    <w:rsid w:val="00C16246"/>
    <w:rsid w:val="00C16365"/>
    <w:rsid w:val="00C1641B"/>
    <w:rsid w:val="00C165C3"/>
    <w:rsid w:val="00C165CA"/>
    <w:rsid w:val="00C165E2"/>
    <w:rsid w:val="00C1675A"/>
    <w:rsid w:val="00C1683D"/>
    <w:rsid w:val="00C16852"/>
    <w:rsid w:val="00C16989"/>
    <w:rsid w:val="00C16C81"/>
    <w:rsid w:val="00C16DB0"/>
    <w:rsid w:val="00C16E50"/>
    <w:rsid w:val="00C17294"/>
    <w:rsid w:val="00C17315"/>
    <w:rsid w:val="00C17473"/>
    <w:rsid w:val="00C17479"/>
    <w:rsid w:val="00C174D3"/>
    <w:rsid w:val="00C17541"/>
    <w:rsid w:val="00C17721"/>
    <w:rsid w:val="00C17774"/>
    <w:rsid w:val="00C178D3"/>
    <w:rsid w:val="00C17A14"/>
    <w:rsid w:val="00C17A33"/>
    <w:rsid w:val="00C17E4E"/>
    <w:rsid w:val="00C17ED9"/>
    <w:rsid w:val="00C17F95"/>
    <w:rsid w:val="00C200EA"/>
    <w:rsid w:val="00C200F0"/>
    <w:rsid w:val="00C20153"/>
    <w:rsid w:val="00C202B1"/>
    <w:rsid w:val="00C202CD"/>
    <w:rsid w:val="00C20409"/>
    <w:rsid w:val="00C2040E"/>
    <w:rsid w:val="00C2046C"/>
    <w:rsid w:val="00C2058E"/>
    <w:rsid w:val="00C20814"/>
    <w:rsid w:val="00C20916"/>
    <w:rsid w:val="00C20ACB"/>
    <w:rsid w:val="00C20B7F"/>
    <w:rsid w:val="00C20BDE"/>
    <w:rsid w:val="00C20C17"/>
    <w:rsid w:val="00C20CDF"/>
    <w:rsid w:val="00C20DF5"/>
    <w:rsid w:val="00C20E75"/>
    <w:rsid w:val="00C20E9F"/>
    <w:rsid w:val="00C20FAB"/>
    <w:rsid w:val="00C20FFD"/>
    <w:rsid w:val="00C210A5"/>
    <w:rsid w:val="00C210AA"/>
    <w:rsid w:val="00C211E7"/>
    <w:rsid w:val="00C211F8"/>
    <w:rsid w:val="00C21448"/>
    <w:rsid w:val="00C21554"/>
    <w:rsid w:val="00C21767"/>
    <w:rsid w:val="00C2196E"/>
    <w:rsid w:val="00C21AF0"/>
    <w:rsid w:val="00C2204E"/>
    <w:rsid w:val="00C2214D"/>
    <w:rsid w:val="00C2229A"/>
    <w:rsid w:val="00C224C7"/>
    <w:rsid w:val="00C2252C"/>
    <w:rsid w:val="00C225E5"/>
    <w:rsid w:val="00C2262D"/>
    <w:rsid w:val="00C2268D"/>
    <w:rsid w:val="00C2283B"/>
    <w:rsid w:val="00C228FF"/>
    <w:rsid w:val="00C22D22"/>
    <w:rsid w:val="00C22D79"/>
    <w:rsid w:val="00C22DD5"/>
    <w:rsid w:val="00C22EBC"/>
    <w:rsid w:val="00C22FEC"/>
    <w:rsid w:val="00C230C7"/>
    <w:rsid w:val="00C2313F"/>
    <w:rsid w:val="00C23227"/>
    <w:rsid w:val="00C2334B"/>
    <w:rsid w:val="00C2338D"/>
    <w:rsid w:val="00C23589"/>
    <w:rsid w:val="00C236E8"/>
    <w:rsid w:val="00C2373E"/>
    <w:rsid w:val="00C23779"/>
    <w:rsid w:val="00C23870"/>
    <w:rsid w:val="00C23918"/>
    <w:rsid w:val="00C239C3"/>
    <w:rsid w:val="00C23A63"/>
    <w:rsid w:val="00C23C77"/>
    <w:rsid w:val="00C23C8B"/>
    <w:rsid w:val="00C23D53"/>
    <w:rsid w:val="00C23DC5"/>
    <w:rsid w:val="00C23EFA"/>
    <w:rsid w:val="00C23FC9"/>
    <w:rsid w:val="00C24168"/>
    <w:rsid w:val="00C24194"/>
    <w:rsid w:val="00C24249"/>
    <w:rsid w:val="00C243CC"/>
    <w:rsid w:val="00C244CA"/>
    <w:rsid w:val="00C2468C"/>
    <w:rsid w:val="00C2474A"/>
    <w:rsid w:val="00C247C7"/>
    <w:rsid w:val="00C24981"/>
    <w:rsid w:val="00C24A29"/>
    <w:rsid w:val="00C24A8F"/>
    <w:rsid w:val="00C24B6D"/>
    <w:rsid w:val="00C24C76"/>
    <w:rsid w:val="00C24CC5"/>
    <w:rsid w:val="00C24CC7"/>
    <w:rsid w:val="00C24E92"/>
    <w:rsid w:val="00C24ED5"/>
    <w:rsid w:val="00C25356"/>
    <w:rsid w:val="00C253C9"/>
    <w:rsid w:val="00C25641"/>
    <w:rsid w:val="00C258D8"/>
    <w:rsid w:val="00C25976"/>
    <w:rsid w:val="00C25B9E"/>
    <w:rsid w:val="00C25BDB"/>
    <w:rsid w:val="00C25C6F"/>
    <w:rsid w:val="00C25D81"/>
    <w:rsid w:val="00C25DE1"/>
    <w:rsid w:val="00C25E6E"/>
    <w:rsid w:val="00C25EEC"/>
    <w:rsid w:val="00C26379"/>
    <w:rsid w:val="00C263A1"/>
    <w:rsid w:val="00C263F8"/>
    <w:rsid w:val="00C265AB"/>
    <w:rsid w:val="00C267C2"/>
    <w:rsid w:val="00C269F5"/>
    <w:rsid w:val="00C269F9"/>
    <w:rsid w:val="00C26E7D"/>
    <w:rsid w:val="00C26F56"/>
    <w:rsid w:val="00C26FA0"/>
    <w:rsid w:val="00C26FAE"/>
    <w:rsid w:val="00C2736E"/>
    <w:rsid w:val="00C27480"/>
    <w:rsid w:val="00C276EC"/>
    <w:rsid w:val="00C27870"/>
    <w:rsid w:val="00C27AC9"/>
    <w:rsid w:val="00C27D28"/>
    <w:rsid w:val="00C27F0B"/>
    <w:rsid w:val="00C27F26"/>
    <w:rsid w:val="00C30099"/>
    <w:rsid w:val="00C3009C"/>
    <w:rsid w:val="00C300AF"/>
    <w:rsid w:val="00C3010C"/>
    <w:rsid w:val="00C30121"/>
    <w:rsid w:val="00C301E4"/>
    <w:rsid w:val="00C303C3"/>
    <w:rsid w:val="00C3078D"/>
    <w:rsid w:val="00C3095A"/>
    <w:rsid w:val="00C30D3D"/>
    <w:rsid w:val="00C30E81"/>
    <w:rsid w:val="00C30F45"/>
    <w:rsid w:val="00C3116D"/>
    <w:rsid w:val="00C3119E"/>
    <w:rsid w:val="00C31439"/>
    <w:rsid w:val="00C31447"/>
    <w:rsid w:val="00C31614"/>
    <w:rsid w:val="00C31686"/>
    <w:rsid w:val="00C316D9"/>
    <w:rsid w:val="00C316DD"/>
    <w:rsid w:val="00C3170C"/>
    <w:rsid w:val="00C31749"/>
    <w:rsid w:val="00C31767"/>
    <w:rsid w:val="00C317AF"/>
    <w:rsid w:val="00C31823"/>
    <w:rsid w:val="00C318D9"/>
    <w:rsid w:val="00C31A76"/>
    <w:rsid w:val="00C31BA2"/>
    <w:rsid w:val="00C31DF9"/>
    <w:rsid w:val="00C31F80"/>
    <w:rsid w:val="00C31F8D"/>
    <w:rsid w:val="00C32052"/>
    <w:rsid w:val="00C32110"/>
    <w:rsid w:val="00C322D4"/>
    <w:rsid w:val="00C325CC"/>
    <w:rsid w:val="00C32675"/>
    <w:rsid w:val="00C3285D"/>
    <w:rsid w:val="00C328D9"/>
    <w:rsid w:val="00C3294D"/>
    <w:rsid w:val="00C329B6"/>
    <w:rsid w:val="00C32A12"/>
    <w:rsid w:val="00C32AA3"/>
    <w:rsid w:val="00C32CB3"/>
    <w:rsid w:val="00C32CD6"/>
    <w:rsid w:val="00C32DD2"/>
    <w:rsid w:val="00C32FDC"/>
    <w:rsid w:val="00C32FF1"/>
    <w:rsid w:val="00C330E7"/>
    <w:rsid w:val="00C3330B"/>
    <w:rsid w:val="00C33312"/>
    <w:rsid w:val="00C3333A"/>
    <w:rsid w:val="00C334B0"/>
    <w:rsid w:val="00C336DC"/>
    <w:rsid w:val="00C33701"/>
    <w:rsid w:val="00C33932"/>
    <w:rsid w:val="00C33AFB"/>
    <w:rsid w:val="00C33B25"/>
    <w:rsid w:val="00C33B32"/>
    <w:rsid w:val="00C33BBA"/>
    <w:rsid w:val="00C33D35"/>
    <w:rsid w:val="00C33D93"/>
    <w:rsid w:val="00C33D9E"/>
    <w:rsid w:val="00C33E26"/>
    <w:rsid w:val="00C33EE5"/>
    <w:rsid w:val="00C34026"/>
    <w:rsid w:val="00C340D9"/>
    <w:rsid w:val="00C34155"/>
    <w:rsid w:val="00C34180"/>
    <w:rsid w:val="00C34237"/>
    <w:rsid w:val="00C342DD"/>
    <w:rsid w:val="00C34A44"/>
    <w:rsid w:val="00C34C1D"/>
    <w:rsid w:val="00C34D87"/>
    <w:rsid w:val="00C34E40"/>
    <w:rsid w:val="00C353AB"/>
    <w:rsid w:val="00C3540B"/>
    <w:rsid w:val="00C35565"/>
    <w:rsid w:val="00C355A4"/>
    <w:rsid w:val="00C355F4"/>
    <w:rsid w:val="00C35781"/>
    <w:rsid w:val="00C358D9"/>
    <w:rsid w:val="00C35920"/>
    <w:rsid w:val="00C35AD3"/>
    <w:rsid w:val="00C35B60"/>
    <w:rsid w:val="00C35CFC"/>
    <w:rsid w:val="00C35E24"/>
    <w:rsid w:val="00C35E3C"/>
    <w:rsid w:val="00C35E7D"/>
    <w:rsid w:val="00C36074"/>
    <w:rsid w:val="00C36257"/>
    <w:rsid w:val="00C36293"/>
    <w:rsid w:val="00C36382"/>
    <w:rsid w:val="00C36425"/>
    <w:rsid w:val="00C36495"/>
    <w:rsid w:val="00C36652"/>
    <w:rsid w:val="00C36660"/>
    <w:rsid w:val="00C36722"/>
    <w:rsid w:val="00C367C9"/>
    <w:rsid w:val="00C36A39"/>
    <w:rsid w:val="00C36AC2"/>
    <w:rsid w:val="00C36B77"/>
    <w:rsid w:val="00C36BF9"/>
    <w:rsid w:val="00C36D20"/>
    <w:rsid w:val="00C36F30"/>
    <w:rsid w:val="00C3721F"/>
    <w:rsid w:val="00C37387"/>
    <w:rsid w:val="00C373D1"/>
    <w:rsid w:val="00C376AA"/>
    <w:rsid w:val="00C37BB1"/>
    <w:rsid w:val="00C37D4E"/>
    <w:rsid w:val="00C37D64"/>
    <w:rsid w:val="00C37E55"/>
    <w:rsid w:val="00C40143"/>
    <w:rsid w:val="00C403A1"/>
    <w:rsid w:val="00C40687"/>
    <w:rsid w:val="00C40858"/>
    <w:rsid w:val="00C4090A"/>
    <w:rsid w:val="00C40969"/>
    <w:rsid w:val="00C40989"/>
    <w:rsid w:val="00C409DC"/>
    <w:rsid w:val="00C40A37"/>
    <w:rsid w:val="00C40B58"/>
    <w:rsid w:val="00C40C39"/>
    <w:rsid w:val="00C40DD4"/>
    <w:rsid w:val="00C41193"/>
    <w:rsid w:val="00C41377"/>
    <w:rsid w:val="00C4142B"/>
    <w:rsid w:val="00C415CE"/>
    <w:rsid w:val="00C416AB"/>
    <w:rsid w:val="00C41A64"/>
    <w:rsid w:val="00C41B69"/>
    <w:rsid w:val="00C41BBE"/>
    <w:rsid w:val="00C41E00"/>
    <w:rsid w:val="00C41EC0"/>
    <w:rsid w:val="00C420C8"/>
    <w:rsid w:val="00C420D4"/>
    <w:rsid w:val="00C4225B"/>
    <w:rsid w:val="00C422C8"/>
    <w:rsid w:val="00C42354"/>
    <w:rsid w:val="00C42377"/>
    <w:rsid w:val="00C423FB"/>
    <w:rsid w:val="00C4242E"/>
    <w:rsid w:val="00C4249B"/>
    <w:rsid w:val="00C426DA"/>
    <w:rsid w:val="00C426F2"/>
    <w:rsid w:val="00C42853"/>
    <w:rsid w:val="00C42901"/>
    <w:rsid w:val="00C42B0C"/>
    <w:rsid w:val="00C42B7E"/>
    <w:rsid w:val="00C42D7D"/>
    <w:rsid w:val="00C42DA0"/>
    <w:rsid w:val="00C42F63"/>
    <w:rsid w:val="00C4300A"/>
    <w:rsid w:val="00C43019"/>
    <w:rsid w:val="00C433E5"/>
    <w:rsid w:val="00C433F6"/>
    <w:rsid w:val="00C4347C"/>
    <w:rsid w:val="00C43490"/>
    <w:rsid w:val="00C434AB"/>
    <w:rsid w:val="00C4373F"/>
    <w:rsid w:val="00C43790"/>
    <w:rsid w:val="00C43840"/>
    <w:rsid w:val="00C43871"/>
    <w:rsid w:val="00C43938"/>
    <w:rsid w:val="00C43A17"/>
    <w:rsid w:val="00C43BE2"/>
    <w:rsid w:val="00C43CAD"/>
    <w:rsid w:val="00C43DA7"/>
    <w:rsid w:val="00C43E57"/>
    <w:rsid w:val="00C43E6A"/>
    <w:rsid w:val="00C4408B"/>
    <w:rsid w:val="00C44261"/>
    <w:rsid w:val="00C442CC"/>
    <w:rsid w:val="00C442FB"/>
    <w:rsid w:val="00C4440E"/>
    <w:rsid w:val="00C444E7"/>
    <w:rsid w:val="00C4454D"/>
    <w:rsid w:val="00C44622"/>
    <w:rsid w:val="00C44623"/>
    <w:rsid w:val="00C44678"/>
    <w:rsid w:val="00C447FE"/>
    <w:rsid w:val="00C448DC"/>
    <w:rsid w:val="00C4490A"/>
    <w:rsid w:val="00C449A9"/>
    <w:rsid w:val="00C44A28"/>
    <w:rsid w:val="00C44F8B"/>
    <w:rsid w:val="00C45058"/>
    <w:rsid w:val="00C45139"/>
    <w:rsid w:val="00C45230"/>
    <w:rsid w:val="00C453BB"/>
    <w:rsid w:val="00C4546B"/>
    <w:rsid w:val="00C455B4"/>
    <w:rsid w:val="00C45637"/>
    <w:rsid w:val="00C45705"/>
    <w:rsid w:val="00C4581A"/>
    <w:rsid w:val="00C45874"/>
    <w:rsid w:val="00C459A2"/>
    <w:rsid w:val="00C45C17"/>
    <w:rsid w:val="00C45D5D"/>
    <w:rsid w:val="00C45EB7"/>
    <w:rsid w:val="00C45EC4"/>
    <w:rsid w:val="00C45FCD"/>
    <w:rsid w:val="00C46008"/>
    <w:rsid w:val="00C462BD"/>
    <w:rsid w:val="00C464E9"/>
    <w:rsid w:val="00C46516"/>
    <w:rsid w:val="00C465E1"/>
    <w:rsid w:val="00C46657"/>
    <w:rsid w:val="00C4673E"/>
    <w:rsid w:val="00C467EB"/>
    <w:rsid w:val="00C46826"/>
    <w:rsid w:val="00C468F5"/>
    <w:rsid w:val="00C469B8"/>
    <w:rsid w:val="00C46AA0"/>
    <w:rsid w:val="00C46B18"/>
    <w:rsid w:val="00C46BDD"/>
    <w:rsid w:val="00C46C6C"/>
    <w:rsid w:val="00C46CA7"/>
    <w:rsid w:val="00C46E68"/>
    <w:rsid w:val="00C46E8A"/>
    <w:rsid w:val="00C46FB5"/>
    <w:rsid w:val="00C4717F"/>
    <w:rsid w:val="00C4730D"/>
    <w:rsid w:val="00C47398"/>
    <w:rsid w:val="00C474B7"/>
    <w:rsid w:val="00C4785F"/>
    <w:rsid w:val="00C47B23"/>
    <w:rsid w:val="00C47CB8"/>
    <w:rsid w:val="00C47E65"/>
    <w:rsid w:val="00C47F41"/>
    <w:rsid w:val="00C47F4E"/>
    <w:rsid w:val="00C50086"/>
    <w:rsid w:val="00C501F3"/>
    <w:rsid w:val="00C50247"/>
    <w:rsid w:val="00C5027D"/>
    <w:rsid w:val="00C50307"/>
    <w:rsid w:val="00C503B6"/>
    <w:rsid w:val="00C503C5"/>
    <w:rsid w:val="00C5046C"/>
    <w:rsid w:val="00C50676"/>
    <w:rsid w:val="00C506BB"/>
    <w:rsid w:val="00C507C4"/>
    <w:rsid w:val="00C50860"/>
    <w:rsid w:val="00C5098A"/>
    <w:rsid w:val="00C509D1"/>
    <w:rsid w:val="00C50C1C"/>
    <w:rsid w:val="00C50C2A"/>
    <w:rsid w:val="00C50D35"/>
    <w:rsid w:val="00C50D94"/>
    <w:rsid w:val="00C50F72"/>
    <w:rsid w:val="00C50F7D"/>
    <w:rsid w:val="00C50FAA"/>
    <w:rsid w:val="00C5104B"/>
    <w:rsid w:val="00C51050"/>
    <w:rsid w:val="00C51289"/>
    <w:rsid w:val="00C513A6"/>
    <w:rsid w:val="00C5155A"/>
    <w:rsid w:val="00C51585"/>
    <w:rsid w:val="00C515A3"/>
    <w:rsid w:val="00C51610"/>
    <w:rsid w:val="00C5176E"/>
    <w:rsid w:val="00C51970"/>
    <w:rsid w:val="00C51AF2"/>
    <w:rsid w:val="00C51B0A"/>
    <w:rsid w:val="00C51BD8"/>
    <w:rsid w:val="00C51BE3"/>
    <w:rsid w:val="00C51CDA"/>
    <w:rsid w:val="00C51DA4"/>
    <w:rsid w:val="00C51FE1"/>
    <w:rsid w:val="00C520B6"/>
    <w:rsid w:val="00C5219F"/>
    <w:rsid w:val="00C5245F"/>
    <w:rsid w:val="00C526AC"/>
    <w:rsid w:val="00C527F6"/>
    <w:rsid w:val="00C5280E"/>
    <w:rsid w:val="00C52844"/>
    <w:rsid w:val="00C528AF"/>
    <w:rsid w:val="00C52A13"/>
    <w:rsid w:val="00C52BA9"/>
    <w:rsid w:val="00C52C84"/>
    <w:rsid w:val="00C52D54"/>
    <w:rsid w:val="00C52E7D"/>
    <w:rsid w:val="00C52FEA"/>
    <w:rsid w:val="00C5300A"/>
    <w:rsid w:val="00C530BC"/>
    <w:rsid w:val="00C531B0"/>
    <w:rsid w:val="00C531B4"/>
    <w:rsid w:val="00C5332F"/>
    <w:rsid w:val="00C5346B"/>
    <w:rsid w:val="00C5384B"/>
    <w:rsid w:val="00C53B10"/>
    <w:rsid w:val="00C53B23"/>
    <w:rsid w:val="00C53DCE"/>
    <w:rsid w:val="00C53E01"/>
    <w:rsid w:val="00C541D2"/>
    <w:rsid w:val="00C5434B"/>
    <w:rsid w:val="00C543A3"/>
    <w:rsid w:val="00C543B2"/>
    <w:rsid w:val="00C544A6"/>
    <w:rsid w:val="00C5451B"/>
    <w:rsid w:val="00C546E8"/>
    <w:rsid w:val="00C54723"/>
    <w:rsid w:val="00C5484A"/>
    <w:rsid w:val="00C54883"/>
    <w:rsid w:val="00C5488A"/>
    <w:rsid w:val="00C549E1"/>
    <w:rsid w:val="00C54A21"/>
    <w:rsid w:val="00C54DB1"/>
    <w:rsid w:val="00C54EE2"/>
    <w:rsid w:val="00C553AE"/>
    <w:rsid w:val="00C55483"/>
    <w:rsid w:val="00C55533"/>
    <w:rsid w:val="00C5563A"/>
    <w:rsid w:val="00C55647"/>
    <w:rsid w:val="00C557BB"/>
    <w:rsid w:val="00C557BE"/>
    <w:rsid w:val="00C55AF7"/>
    <w:rsid w:val="00C55B5A"/>
    <w:rsid w:val="00C55C0A"/>
    <w:rsid w:val="00C55C49"/>
    <w:rsid w:val="00C55D32"/>
    <w:rsid w:val="00C55DC4"/>
    <w:rsid w:val="00C55E02"/>
    <w:rsid w:val="00C55F65"/>
    <w:rsid w:val="00C55FED"/>
    <w:rsid w:val="00C560FE"/>
    <w:rsid w:val="00C563B0"/>
    <w:rsid w:val="00C5660B"/>
    <w:rsid w:val="00C56967"/>
    <w:rsid w:val="00C569D0"/>
    <w:rsid w:val="00C56A0E"/>
    <w:rsid w:val="00C56ACF"/>
    <w:rsid w:val="00C56B24"/>
    <w:rsid w:val="00C56C39"/>
    <w:rsid w:val="00C56C43"/>
    <w:rsid w:val="00C56D8D"/>
    <w:rsid w:val="00C56DCF"/>
    <w:rsid w:val="00C56EC6"/>
    <w:rsid w:val="00C5709E"/>
    <w:rsid w:val="00C5714E"/>
    <w:rsid w:val="00C573AA"/>
    <w:rsid w:val="00C573C2"/>
    <w:rsid w:val="00C573C9"/>
    <w:rsid w:val="00C5754E"/>
    <w:rsid w:val="00C57660"/>
    <w:rsid w:val="00C5789B"/>
    <w:rsid w:val="00C57950"/>
    <w:rsid w:val="00C57992"/>
    <w:rsid w:val="00C579AF"/>
    <w:rsid w:val="00C57A20"/>
    <w:rsid w:val="00C57BBD"/>
    <w:rsid w:val="00C57CA4"/>
    <w:rsid w:val="00C57CA6"/>
    <w:rsid w:val="00C57E3E"/>
    <w:rsid w:val="00C60252"/>
    <w:rsid w:val="00C60420"/>
    <w:rsid w:val="00C60449"/>
    <w:rsid w:val="00C6058B"/>
    <w:rsid w:val="00C60633"/>
    <w:rsid w:val="00C606E8"/>
    <w:rsid w:val="00C60743"/>
    <w:rsid w:val="00C6079C"/>
    <w:rsid w:val="00C60A64"/>
    <w:rsid w:val="00C60C1F"/>
    <w:rsid w:val="00C60E29"/>
    <w:rsid w:val="00C60ECE"/>
    <w:rsid w:val="00C60F45"/>
    <w:rsid w:val="00C60FE2"/>
    <w:rsid w:val="00C6124C"/>
    <w:rsid w:val="00C61293"/>
    <w:rsid w:val="00C61302"/>
    <w:rsid w:val="00C613FC"/>
    <w:rsid w:val="00C614D8"/>
    <w:rsid w:val="00C614D9"/>
    <w:rsid w:val="00C616B8"/>
    <w:rsid w:val="00C61743"/>
    <w:rsid w:val="00C61864"/>
    <w:rsid w:val="00C618D2"/>
    <w:rsid w:val="00C61972"/>
    <w:rsid w:val="00C61B0B"/>
    <w:rsid w:val="00C61B78"/>
    <w:rsid w:val="00C61CB6"/>
    <w:rsid w:val="00C61CD2"/>
    <w:rsid w:val="00C61DB5"/>
    <w:rsid w:val="00C61E03"/>
    <w:rsid w:val="00C61EB6"/>
    <w:rsid w:val="00C61ED8"/>
    <w:rsid w:val="00C61F49"/>
    <w:rsid w:val="00C6207C"/>
    <w:rsid w:val="00C62340"/>
    <w:rsid w:val="00C62407"/>
    <w:rsid w:val="00C62554"/>
    <w:rsid w:val="00C62677"/>
    <w:rsid w:val="00C62866"/>
    <w:rsid w:val="00C62977"/>
    <w:rsid w:val="00C62B06"/>
    <w:rsid w:val="00C62B22"/>
    <w:rsid w:val="00C62B91"/>
    <w:rsid w:val="00C62CB3"/>
    <w:rsid w:val="00C62CC7"/>
    <w:rsid w:val="00C62CD3"/>
    <w:rsid w:val="00C62FDC"/>
    <w:rsid w:val="00C63097"/>
    <w:rsid w:val="00C630C7"/>
    <w:rsid w:val="00C63119"/>
    <w:rsid w:val="00C6317E"/>
    <w:rsid w:val="00C632BF"/>
    <w:rsid w:val="00C6341F"/>
    <w:rsid w:val="00C63A6D"/>
    <w:rsid w:val="00C63B42"/>
    <w:rsid w:val="00C63D4B"/>
    <w:rsid w:val="00C63D90"/>
    <w:rsid w:val="00C63F67"/>
    <w:rsid w:val="00C63FA0"/>
    <w:rsid w:val="00C64009"/>
    <w:rsid w:val="00C64097"/>
    <w:rsid w:val="00C640A0"/>
    <w:rsid w:val="00C640DB"/>
    <w:rsid w:val="00C641FD"/>
    <w:rsid w:val="00C64223"/>
    <w:rsid w:val="00C64246"/>
    <w:rsid w:val="00C64381"/>
    <w:rsid w:val="00C644A7"/>
    <w:rsid w:val="00C64589"/>
    <w:rsid w:val="00C645EB"/>
    <w:rsid w:val="00C64663"/>
    <w:rsid w:val="00C64668"/>
    <w:rsid w:val="00C646A5"/>
    <w:rsid w:val="00C647DF"/>
    <w:rsid w:val="00C648D6"/>
    <w:rsid w:val="00C64993"/>
    <w:rsid w:val="00C649A4"/>
    <w:rsid w:val="00C64A39"/>
    <w:rsid w:val="00C64AF3"/>
    <w:rsid w:val="00C64D96"/>
    <w:rsid w:val="00C64DCB"/>
    <w:rsid w:val="00C64EC4"/>
    <w:rsid w:val="00C64F62"/>
    <w:rsid w:val="00C64FF8"/>
    <w:rsid w:val="00C65351"/>
    <w:rsid w:val="00C653E2"/>
    <w:rsid w:val="00C6571B"/>
    <w:rsid w:val="00C65721"/>
    <w:rsid w:val="00C657E9"/>
    <w:rsid w:val="00C657EF"/>
    <w:rsid w:val="00C658AC"/>
    <w:rsid w:val="00C659D6"/>
    <w:rsid w:val="00C65A73"/>
    <w:rsid w:val="00C65B34"/>
    <w:rsid w:val="00C65D39"/>
    <w:rsid w:val="00C65D3E"/>
    <w:rsid w:val="00C65EA5"/>
    <w:rsid w:val="00C65F37"/>
    <w:rsid w:val="00C65F5C"/>
    <w:rsid w:val="00C66056"/>
    <w:rsid w:val="00C6618C"/>
    <w:rsid w:val="00C661F8"/>
    <w:rsid w:val="00C6621D"/>
    <w:rsid w:val="00C6626C"/>
    <w:rsid w:val="00C662D7"/>
    <w:rsid w:val="00C6636F"/>
    <w:rsid w:val="00C664A5"/>
    <w:rsid w:val="00C664D4"/>
    <w:rsid w:val="00C6653D"/>
    <w:rsid w:val="00C66659"/>
    <w:rsid w:val="00C66722"/>
    <w:rsid w:val="00C6683B"/>
    <w:rsid w:val="00C66A4A"/>
    <w:rsid w:val="00C66A7B"/>
    <w:rsid w:val="00C66B60"/>
    <w:rsid w:val="00C66D01"/>
    <w:rsid w:val="00C66D43"/>
    <w:rsid w:val="00C66E64"/>
    <w:rsid w:val="00C67157"/>
    <w:rsid w:val="00C671D3"/>
    <w:rsid w:val="00C67211"/>
    <w:rsid w:val="00C674F5"/>
    <w:rsid w:val="00C67518"/>
    <w:rsid w:val="00C675A5"/>
    <w:rsid w:val="00C67613"/>
    <w:rsid w:val="00C67642"/>
    <w:rsid w:val="00C6787A"/>
    <w:rsid w:val="00C6799F"/>
    <w:rsid w:val="00C679A0"/>
    <w:rsid w:val="00C67BA7"/>
    <w:rsid w:val="00C67DFD"/>
    <w:rsid w:val="00C67E01"/>
    <w:rsid w:val="00C67F1B"/>
    <w:rsid w:val="00C67F52"/>
    <w:rsid w:val="00C7004E"/>
    <w:rsid w:val="00C70059"/>
    <w:rsid w:val="00C70164"/>
    <w:rsid w:val="00C701AA"/>
    <w:rsid w:val="00C705A5"/>
    <w:rsid w:val="00C7060B"/>
    <w:rsid w:val="00C70620"/>
    <w:rsid w:val="00C7090C"/>
    <w:rsid w:val="00C709D3"/>
    <w:rsid w:val="00C70AB1"/>
    <w:rsid w:val="00C70B3B"/>
    <w:rsid w:val="00C70BB9"/>
    <w:rsid w:val="00C70FA6"/>
    <w:rsid w:val="00C710A8"/>
    <w:rsid w:val="00C7118E"/>
    <w:rsid w:val="00C711D9"/>
    <w:rsid w:val="00C71414"/>
    <w:rsid w:val="00C71432"/>
    <w:rsid w:val="00C714B8"/>
    <w:rsid w:val="00C714BC"/>
    <w:rsid w:val="00C714E5"/>
    <w:rsid w:val="00C717F2"/>
    <w:rsid w:val="00C71B0D"/>
    <w:rsid w:val="00C71CAD"/>
    <w:rsid w:val="00C71E4E"/>
    <w:rsid w:val="00C71FF6"/>
    <w:rsid w:val="00C72002"/>
    <w:rsid w:val="00C72323"/>
    <w:rsid w:val="00C72385"/>
    <w:rsid w:val="00C724CC"/>
    <w:rsid w:val="00C72603"/>
    <w:rsid w:val="00C728D1"/>
    <w:rsid w:val="00C72A18"/>
    <w:rsid w:val="00C72AA0"/>
    <w:rsid w:val="00C72B40"/>
    <w:rsid w:val="00C72BF8"/>
    <w:rsid w:val="00C72C37"/>
    <w:rsid w:val="00C72DF1"/>
    <w:rsid w:val="00C72E20"/>
    <w:rsid w:val="00C72E66"/>
    <w:rsid w:val="00C72ED3"/>
    <w:rsid w:val="00C72F00"/>
    <w:rsid w:val="00C730B1"/>
    <w:rsid w:val="00C7314B"/>
    <w:rsid w:val="00C7331C"/>
    <w:rsid w:val="00C733E1"/>
    <w:rsid w:val="00C7346D"/>
    <w:rsid w:val="00C7348E"/>
    <w:rsid w:val="00C73605"/>
    <w:rsid w:val="00C736BF"/>
    <w:rsid w:val="00C736CC"/>
    <w:rsid w:val="00C736DD"/>
    <w:rsid w:val="00C73906"/>
    <w:rsid w:val="00C73A17"/>
    <w:rsid w:val="00C73BC7"/>
    <w:rsid w:val="00C73D3D"/>
    <w:rsid w:val="00C73D73"/>
    <w:rsid w:val="00C73EE9"/>
    <w:rsid w:val="00C73EF4"/>
    <w:rsid w:val="00C73F34"/>
    <w:rsid w:val="00C73FBD"/>
    <w:rsid w:val="00C74103"/>
    <w:rsid w:val="00C7417B"/>
    <w:rsid w:val="00C74465"/>
    <w:rsid w:val="00C746C7"/>
    <w:rsid w:val="00C746ED"/>
    <w:rsid w:val="00C74A32"/>
    <w:rsid w:val="00C74A66"/>
    <w:rsid w:val="00C74C81"/>
    <w:rsid w:val="00C74DB2"/>
    <w:rsid w:val="00C74F30"/>
    <w:rsid w:val="00C752EA"/>
    <w:rsid w:val="00C75483"/>
    <w:rsid w:val="00C75825"/>
    <w:rsid w:val="00C75873"/>
    <w:rsid w:val="00C75875"/>
    <w:rsid w:val="00C758B4"/>
    <w:rsid w:val="00C758CF"/>
    <w:rsid w:val="00C75B4C"/>
    <w:rsid w:val="00C75B54"/>
    <w:rsid w:val="00C75F02"/>
    <w:rsid w:val="00C764A6"/>
    <w:rsid w:val="00C764E2"/>
    <w:rsid w:val="00C76752"/>
    <w:rsid w:val="00C767E5"/>
    <w:rsid w:val="00C767FF"/>
    <w:rsid w:val="00C76852"/>
    <w:rsid w:val="00C768DB"/>
    <w:rsid w:val="00C76971"/>
    <w:rsid w:val="00C76987"/>
    <w:rsid w:val="00C769F6"/>
    <w:rsid w:val="00C76A9B"/>
    <w:rsid w:val="00C76C00"/>
    <w:rsid w:val="00C76C65"/>
    <w:rsid w:val="00C76DE3"/>
    <w:rsid w:val="00C76E69"/>
    <w:rsid w:val="00C76EC0"/>
    <w:rsid w:val="00C76F30"/>
    <w:rsid w:val="00C76F39"/>
    <w:rsid w:val="00C76F9E"/>
    <w:rsid w:val="00C7702D"/>
    <w:rsid w:val="00C7713A"/>
    <w:rsid w:val="00C77290"/>
    <w:rsid w:val="00C77350"/>
    <w:rsid w:val="00C77434"/>
    <w:rsid w:val="00C774BC"/>
    <w:rsid w:val="00C775CA"/>
    <w:rsid w:val="00C775E7"/>
    <w:rsid w:val="00C77612"/>
    <w:rsid w:val="00C77648"/>
    <w:rsid w:val="00C778B8"/>
    <w:rsid w:val="00C778C3"/>
    <w:rsid w:val="00C7790C"/>
    <w:rsid w:val="00C77917"/>
    <w:rsid w:val="00C779D4"/>
    <w:rsid w:val="00C77B39"/>
    <w:rsid w:val="00C77BFA"/>
    <w:rsid w:val="00C77C14"/>
    <w:rsid w:val="00C77D4D"/>
    <w:rsid w:val="00C77F38"/>
    <w:rsid w:val="00C80073"/>
    <w:rsid w:val="00C80201"/>
    <w:rsid w:val="00C8049C"/>
    <w:rsid w:val="00C805C1"/>
    <w:rsid w:val="00C80745"/>
    <w:rsid w:val="00C80766"/>
    <w:rsid w:val="00C80817"/>
    <w:rsid w:val="00C80845"/>
    <w:rsid w:val="00C80D0C"/>
    <w:rsid w:val="00C80E56"/>
    <w:rsid w:val="00C80F2E"/>
    <w:rsid w:val="00C80F93"/>
    <w:rsid w:val="00C80FE8"/>
    <w:rsid w:val="00C81048"/>
    <w:rsid w:val="00C8118B"/>
    <w:rsid w:val="00C81276"/>
    <w:rsid w:val="00C81331"/>
    <w:rsid w:val="00C8140B"/>
    <w:rsid w:val="00C814B0"/>
    <w:rsid w:val="00C814B5"/>
    <w:rsid w:val="00C814EE"/>
    <w:rsid w:val="00C815F7"/>
    <w:rsid w:val="00C81683"/>
    <w:rsid w:val="00C8177A"/>
    <w:rsid w:val="00C81971"/>
    <w:rsid w:val="00C819AB"/>
    <w:rsid w:val="00C819BD"/>
    <w:rsid w:val="00C81C8E"/>
    <w:rsid w:val="00C81DCF"/>
    <w:rsid w:val="00C81DEC"/>
    <w:rsid w:val="00C81E3C"/>
    <w:rsid w:val="00C81F10"/>
    <w:rsid w:val="00C82127"/>
    <w:rsid w:val="00C82161"/>
    <w:rsid w:val="00C821AC"/>
    <w:rsid w:val="00C821B1"/>
    <w:rsid w:val="00C82256"/>
    <w:rsid w:val="00C822D0"/>
    <w:rsid w:val="00C82302"/>
    <w:rsid w:val="00C824C8"/>
    <w:rsid w:val="00C82570"/>
    <w:rsid w:val="00C82728"/>
    <w:rsid w:val="00C82824"/>
    <w:rsid w:val="00C82950"/>
    <w:rsid w:val="00C82993"/>
    <w:rsid w:val="00C829BB"/>
    <w:rsid w:val="00C82B0E"/>
    <w:rsid w:val="00C82BE3"/>
    <w:rsid w:val="00C82BEC"/>
    <w:rsid w:val="00C83108"/>
    <w:rsid w:val="00C83156"/>
    <w:rsid w:val="00C8334B"/>
    <w:rsid w:val="00C83377"/>
    <w:rsid w:val="00C833B1"/>
    <w:rsid w:val="00C834AB"/>
    <w:rsid w:val="00C834D8"/>
    <w:rsid w:val="00C83506"/>
    <w:rsid w:val="00C8353F"/>
    <w:rsid w:val="00C8354B"/>
    <w:rsid w:val="00C836DE"/>
    <w:rsid w:val="00C838F2"/>
    <w:rsid w:val="00C83911"/>
    <w:rsid w:val="00C8395B"/>
    <w:rsid w:val="00C83BA2"/>
    <w:rsid w:val="00C83BFA"/>
    <w:rsid w:val="00C83D25"/>
    <w:rsid w:val="00C83DA8"/>
    <w:rsid w:val="00C83E78"/>
    <w:rsid w:val="00C83F3B"/>
    <w:rsid w:val="00C8401C"/>
    <w:rsid w:val="00C8434D"/>
    <w:rsid w:val="00C843BF"/>
    <w:rsid w:val="00C84863"/>
    <w:rsid w:val="00C848AF"/>
    <w:rsid w:val="00C84956"/>
    <w:rsid w:val="00C84AD8"/>
    <w:rsid w:val="00C84B36"/>
    <w:rsid w:val="00C84B76"/>
    <w:rsid w:val="00C84D33"/>
    <w:rsid w:val="00C850CD"/>
    <w:rsid w:val="00C850F4"/>
    <w:rsid w:val="00C8510C"/>
    <w:rsid w:val="00C8511B"/>
    <w:rsid w:val="00C852AB"/>
    <w:rsid w:val="00C8547E"/>
    <w:rsid w:val="00C854F2"/>
    <w:rsid w:val="00C85655"/>
    <w:rsid w:val="00C856C9"/>
    <w:rsid w:val="00C85D32"/>
    <w:rsid w:val="00C85DBC"/>
    <w:rsid w:val="00C85DD1"/>
    <w:rsid w:val="00C85F58"/>
    <w:rsid w:val="00C85F91"/>
    <w:rsid w:val="00C85FA9"/>
    <w:rsid w:val="00C86049"/>
    <w:rsid w:val="00C8629A"/>
    <w:rsid w:val="00C86304"/>
    <w:rsid w:val="00C86490"/>
    <w:rsid w:val="00C86566"/>
    <w:rsid w:val="00C86592"/>
    <w:rsid w:val="00C86615"/>
    <w:rsid w:val="00C86731"/>
    <w:rsid w:val="00C86869"/>
    <w:rsid w:val="00C86A10"/>
    <w:rsid w:val="00C86B31"/>
    <w:rsid w:val="00C86B97"/>
    <w:rsid w:val="00C86CA2"/>
    <w:rsid w:val="00C86DAA"/>
    <w:rsid w:val="00C86E75"/>
    <w:rsid w:val="00C86FFD"/>
    <w:rsid w:val="00C8709B"/>
    <w:rsid w:val="00C8721C"/>
    <w:rsid w:val="00C8731B"/>
    <w:rsid w:val="00C87343"/>
    <w:rsid w:val="00C8742B"/>
    <w:rsid w:val="00C87554"/>
    <w:rsid w:val="00C875A0"/>
    <w:rsid w:val="00C87609"/>
    <w:rsid w:val="00C87758"/>
    <w:rsid w:val="00C878A4"/>
    <w:rsid w:val="00C87A60"/>
    <w:rsid w:val="00C87B1C"/>
    <w:rsid w:val="00C87B4B"/>
    <w:rsid w:val="00C87C07"/>
    <w:rsid w:val="00C87D38"/>
    <w:rsid w:val="00C901C5"/>
    <w:rsid w:val="00C903AC"/>
    <w:rsid w:val="00C903D6"/>
    <w:rsid w:val="00C903DB"/>
    <w:rsid w:val="00C903DD"/>
    <w:rsid w:val="00C90429"/>
    <w:rsid w:val="00C90603"/>
    <w:rsid w:val="00C90674"/>
    <w:rsid w:val="00C90783"/>
    <w:rsid w:val="00C9081C"/>
    <w:rsid w:val="00C90980"/>
    <w:rsid w:val="00C90B99"/>
    <w:rsid w:val="00C90D39"/>
    <w:rsid w:val="00C90DBB"/>
    <w:rsid w:val="00C90E64"/>
    <w:rsid w:val="00C90F78"/>
    <w:rsid w:val="00C911CF"/>
    <w:rsid w:val="00C91231"/>
    <w:rsid w:val="00C9127E"/>
    <w:rsid w:val="00C91396"/>
    <w:rsid w:val="00C91495"/>
    <w:rsid w:val="00C91517"/>
    <w:rsid w:val="00C9151F"/>
    <w:rsid w:val="00C915AE"/>
    <w:rsid w:val="00C915B9"/>
    <w:rsid w:val="00C91727"/>
    <w:rsid w:val="00C9181E"/>
    <w:rsid w:val="00C918E2"/>
    <w:rsid w:val="00C91999"/>
    <w:rsid w:val="00C91A38"/>
    <w:rsid w:val="00C91D9C"/>
    <w:rsid w:val="00C91DD0"/>
    <w:rsid w:val="00C91E67"/>
    <w:rsid w:val="00C91E95"/>
    <w:rsid w:val="00C91F02"/>
    <w:rsid w:val="00C91F89"/>
    <w:rsid w:val="00C9208B"/>
    <w:rsid w:val="00C9219F"/>
    <w:rsid w:val="00C9224D"/>
    <w:rsid w:val="00C92318"/>
    <w:rsid w:val="00C92341"/>
    <w:rsid w:val="00C92406"/>
    <w:rsid w:val="00C9240D"/>
    <w:rsid w:val="00C926B0"/>
    <w:rsid w:val="00C92713"/>
    <w:rsid w:val="00C92A7C"/>
    <w:rsid w:val="00C92B69"/>
    <w:rsid w:val="00C92C93"/>
    <w:rsid w:val="00C92ED1"/>
    <w:rsid w:val="00C92F47"/>
    <w:rsid w:val="00C92F70"/>
    <w:rsid w:val="00C92FB1"/>
    <w:rsid w:val="00C931AF"/>
    <w:rsid w:val="00C93257"/>
    <w:rsid w:val="00C93295"/>
    <w:rsid w:val="00C9340E"/>
    <w:rsid w:val="00C9353A"/>
    <w:rsid w:val="00C93681"/>
    <w:rsid w:val="00C9376F"/>
    <w:rsid w:val="00C9377E"/>
    <w:rsid w:val="00C938BE"/>
    <w:rsid w:val="00C93A55"/>
    <w:rsid w:val="00C93A84"/>
    <w:rsid w:val="00C93AF6"/>
    <w:rsid w:val="00C93C10"/>
    <w:rsid w:val="00C93D24"/>
    <w:rsid w:val="00C93FA8"/>
    <w:rsid w:val="00C94095"/>
    <w:rsid w:val="00C94423"/>
    <w:rsid w:val="00C94537"/>
    <w:rsid w:val="00C9464D"/>
    <w:rsid w:val="00C946B4"/>
    <w:rsid w:val="00C9488C"/>
    <w:rsid w:val="00C94916"/>
    <w:rsid w:val="00C9493B"/>
    <w:rsid w:val="00C94A05"/>
    <w:rsid w:val="00C94A57"/>
    <w:rsid w:val="00C94A5B"/>
    <w:rsid w:val="00C94A76"/>
    <w:rsid w:val="00C94BF9"/>
    <w:rsid w:val="00C94C25"/>
    <w:rsid w:val="00C94C99"/>
    <w:rsid w:val="00C94CCC"/>
    <w:rsid w:val="00C94CDE"/>
    <w:rsid w:val="00C94E8E"/>
    <w:rsid w:val="00C9519C"/>
    <w:rsid w:val="00C951C4"/>
    <w:rsid w:val="00C95221"/>
    <w:rsid w:val="00C9522B"/>
    <w:rsid w:val="00C95466"/>
    <w:rsid w:val="00C95677"/>
    <w:rsid w:val="00C956D2"/>
    <w:rsid w:val="00C95789"/>
    <w:rsid w:val="00C9589A"/>
    <w:rsid w:val="00C95999"/>
    <w:rsid w:val="00C95A35"/>
    <w:rsid w:val="00C95B9B"/>
    <w:rsid w:val="00C95BE3"/>
    <w:rsid w:val="00C95C82"/>
    <w:rsid w:val="00C95CB7"/>
    <w:rsid w:val="00C95DB7"/>
    <w:rsid w:val="00C95E97"/>
    <w:rsid w:val="00C95FAF"/>
    <w:rsid w:val="00C9603A"/>
    <w:rsid w:val="00C96091"/>
    <w:rsid w:val="00C960BC"/>
    <w:rsid w:val="00C960DA"/>
    <w:rsid w:val="00C960ED"/>
    <w:rsid w:val="00C96143"/>
    <w:rsid w:val="00C9667A"/>
    <w:rsid w:val="00C9669E"/>
    <w:rsid w:val="00C96A2A"/>
    <w:rsid w:val="00C96A2F"/>
    <w:rsid w:val="00C96A59"/>
    <w:rsid w:val="00C96AB3"/>
    <w:rsid w:val="00C96CFC"/>
    <w:rsid w:val="00C96D72"/>
    <w:rsid w:val="00C96E00"/>
    <w:rsid w:val="00C96E54"/>
    <w:rsid w:val="00C96E74"/>
    <w:rsid w:val="00C96EF5"/>
    <w:rsid w:val="00C97194"/>
    <w:rsid w:val="00C975D4"/>
    <w:rsid w:val="00C975F8"/>
    <w:rsid w:val="00C9779D"/>
    <w:rsid w:val="00C97A58"/>
    <w:rsid w:val="00C97AD2"/>
    <w:rsid w:val="00C97B49"/>
    <w:rsid w:val="00C97C0F"/>
    <w:rsid w:val="00C97C6F"/>
    <w:rsid w:val="00C97CA3"/>
    <w:rsid w:val="00C97D61"/>
    <w:rsid w:val="00C97DA0"/>
    <w:rsid w:val="00C97DC5"/>
    <w:rsid w:val="00C97E6C"/>
    <w:rsid w:val="00CA013E"/>
    <w:rsid w:val="00CA0571"/>
    <w:rsid w:val="00CA0644"/>
    <w:rsid w:val="00CA07C5"/>
    <w:rsid w:val="00CA0A92"/>
    <w:rsid w:val="00CA0AFC"/>
    <w:rsid w:val="00CA0B8B"/>
    <w:rsid w:val="00CA0BF7"/>
    <w:rsid w:val="00CA0E11"/>
    <w:rsid w:val="00CA0E5F"/>
    <w:rsid w:val="00CA0EDE"/>
    <w:rsid w:val="00CA0FB5"/>
    <w:rsid w:val="00CA100E"/>
    <w:rsid w:val="00CA1015"/>
    <w:rsid w:val="00CA1043"/>
    <w:rsid w:val="00CA12DC"/>
    <w:rsid w:val="00CA15F7"/>
    <w:rsid w:val="00CA1607"/>
    <w:rsid w:val="00CA1640"/>
    <w:rsid w:val="00CA1739"/>
    <w:rsid w:val="00CA1772"/>
    <w:rsid w:val="00CA1894"/>
    <w:rsid w:val="00CA19A2"/>
    <w:rsid w:val="00CA1A74"/>
    <w:rsid w:val="00CA1B69"/>
    <w:rsid w:val="00CA1FF9"/>
    <w:rsid w:val="00CA20C8"/>
    <w:rsid w:val="00CA2197"/>
    <w:rsid w:val="00CA226D"/>
    <w:rsid w:val="00CA238E"/>
    <w:rsid w:val="00CA2545"/>
    <w:rsid w:val="00CA27CE"/>
    <w:rsid w:val="00CA2814"/>
    <w:rsid w:val="00CA2882"/>
    <w:rsid w:val="00CA28B3"/>
    <w:rsid w:val="00CA2911"/>
    <w:rsid w:val="00CA29AC"/>
    <w:rsid w:val="00CA2A56"/>
    <w:rsid w:val="00CA2A79"/>
    <w:rsid w:val="00CA2B7E"/>
    <w:rsid w:val="00CA2E01"/>
    <w:rsid w:val="00CA2E0B"/>
    <w:rsid w:val="00CA335F"/>
    <w:rsid w:val="00CA3397"/>
    <w:rsid w:val="00CA376D"/>
    <w:rsid w:val="00CA37CD"/>
    <w:rsid w:val="00CA394A"/>
    <w:rsid w:val="00CA3AD4"/>
    <w:rsid w:val="00CA3AEF"/>
    <w:rsid w:val="00CA3B04"/>
    <w:rsid w:val="00CA3DD2"/>
    <w:rsid w:val="00CA3E47"/>
    <w:rsid w:val="00CA3EB6"/>
    <w:rsid w:val="00CA3F6B"/>
    <w:rsid w:val="00CA4179"/>
    <w:rsid w:val="00CA4264"/>
    <w:rsid w:val="00CA426C"/>
    <w:rsid w:val="00CA44E3"/>
    <w:rsid w:val="00CA46FB"/>
    <w:rsid w:val="00CA480F"/>
    <w:rsid w:val="00CA4BEC"/>
    <w:rsid w:val="00CA4CD7"/>
    <w:rsid w:val="00CA4CF1"/>
    <w:rsid w:val="00CA4FB2"/>
    <w:rsid w:val="00CA5022"/>
    <w:rsid w:val="00CA50D6"/>
    <w:rsid w:val="00CA5192"/>
    <w:rsid w:val="00CA51F3"/>
    <w:rsid w:val="00CA51FA"/>
    <w:rsid w:val="00CA521C"/>
    <w:rsid w:val="00CA534F"/>
    <w:rsid w:val="00CA5378"/>
    <w:rsid w:val="00CA5587"/>
    <w:rsid w:val="00CA5591"/>
    <w:rsid w:val="00CA57D0"/>
    <w:rsid w:val="00CA5809"/>
    <w:rsid w:val="00CA5980"/>
    <w:rsid w:val="00CA5A5D"/>
    <w:rsid w:val="00CA5AF8"/>
    <w:rsid w:val="00CA5B96"/>
    <w:rsid w:val="00CA5BEE"/>
    <w:rsid w:val="00CA5C46"/>
    <w:rsid w:val="00CA5C5F"/>
    <w:rsid w:val="00CA5E15"/>
    <w:rsid w:val="00CA5E94"/>
    <w:rsid w:val="00CA5EEA"/>
    <w:rsid w:val="00CA5FD1"/>
    <w:rsid w:val="00CA60F3"/>
    <w:rsid w:val="00CA6149"/>
    <w:rsid w:val="00CA62BF"/>
    <w:rsid w:val="00CA62D3"/>
    <w:rsid w:val="00CA633D"/>
    <w:rsid w:val="00CA635C"/>
    <w:rsid w:val="00CA63E1"/>
    <w:rsid w:val="00CA63F6"/>
    <w:rsid w:val="00CA6473"/>
    <w:rsid w:val="00CA64FB"/>
    <w:rsid w:val="00CA6691"/>
    <w:rsid w:val="00CA66BF"/>
    <w:rsid w:val="00CA678D"/>
    <w:rsid w:val="00CA67F0"/>
    <w:rsid w:val="00CA68E4"/>
    <w:rsid w:val="00CA6F55"/>
    <w:rsid w:val="00CA71E2"/>
    <w:rsid w:val="00CA76F4"/>
    <w:rsid w:val="00CA782C"/>
    <w:rsid w:val="00CA7853"/>
    <w:rsid w:val="00CA79B7"/>
    <w:rsid w:val="00CA79F3"/>
    <w:rsid w:val="00CA7AC9"/>
    <w:rsid w:val="00CA7C1F"/>
    <w:rsid w:val="00CA7D44"/>
    <w:rsid w:val="00CA7E1F"/>
    <w:rsid w:val="00CA7E51"/>
    <w:rsid w:val="00CB0028"/>
    <w:rsid w:val="00CB01A1"/>
    <w:rsid w:val="00CB033E"/>
    <w:rsid w:val="00CB036A"/>
    <w:rsid w:val="00CB048A"/>
    <w:rsid w:val="00CB0507"/>
    <w:rsid w:val="00CB075A"/>
    <w:rsid w:val="00CB07DF"/>
    <w:rsid w:val="00CB088D"/>
    <w:rsid w:val="00CB0C1D"/>
    <w:rsid w:val="00CB0DD8"/>
    <w:rsid w:val="00CB102D"/>
    <w:rsid w:val="00CB1091"/>
    <w:rsid w:val="00CB10E1"/>
    <w:rsid w:val="00CB1145"/>
    <w:rsid w:val="00CB11AB"/>
    <w:rsid w:val="00CB126B"/>
    <w:rsid w:val="00CB1304"/>
    <w:rsid w:val="00CB150F"/>
    <w:rsid w:val="00CB16D8"/>
    <w:rsid w:val="00CB177D"/>
    <w:rsid w:val="00CB17BA"/>
    <w:rsid w:val="00CB1813"/>
    <w:rsid w:val="00CB1815"/>
    <w:rsid w:val="00CB1856"/>
    <w:rsid w:val="00CB1953"/>
    <w:rsid w:val="00CB1977"/>
    <w:rsid w:val="00CB1DA2"/>
    <w:rsid w:val="00CB1E41"/>
    <w:rsid w:val="00CB21D1"/>
    <w:rsid w:val="00CB2205"/>
    <w:rsid w:val="00CB226A"/>
    <w:rsid w:val="00CB2270"/>
    <w:rsid w:val="00CB22B4"/>
    <w:rsid w:val="00CB239F"/>
    <w:rsid w:val="00CB2491"/>
    <w:rsid w:val="00CB251F"/>
    <w:rsid w:val="00CB25B9"/>
    <w:rsid w:val="00CB26D0"/>
    <w:rsid w:val="00CB26D7"/>
    <w:rsid w:val="00CB27BA"/>
    <w:rsid w:val="00CB27C4"/>
    <w:rsid w:val="00CB285F"/>
    <w:rsid w:val="00CB2946"/>
    <w:rsid w:val="00CB29BC"/>
    <w:rsid w:val="00CB29E0"/>
    <w:rsid w:val="00CB2A3F"/>
    <w:rsid w:val="00CB2AA2"/>
    <w:rsid w:val="00CB2B7D"/>
    <w:rsid w:val="00CB2C40"/>
    <w:rsid w:val="00CB2CAA"/>
    <w:rsid w:val="00CB2EDE"/>
    <w:rsid w:val="00CB30F2"/>
    <w:rsid w:val="00CB31D0"/>
    <w:rsid w:val="00CB3372"/>
    <w:rsid w:val="00CB33A6"/>
    <w:rsid w:val="00CB3440"/>
    <w:rsid w:val="00CB35D5"/>
    <w:rsid w:val="00CB3615"/>
    <w:rsid w:val="00CB3884"/>
    <w:rsid w:val="00CB392E"/>
    <w:rsid w:val="00CB39F2"/>
    <w:rsid w:val="00CB3A14"/>
    <w:rsid w:val="00CB3C13"/>
    <w:rsid w:val="00CB3EE7"/>
    <w:rsid w:val="00CB4009"/>
    <w:rsid w:val="00CB4184"/>
    <w:rsid w:val="00CB431C"/>
    <w:rsid w:val="00CB4404"/>
    <w:rsid w:val="00CB45A5"/>
    <w:rsid w:val="00CB4684"/>
    <w:rsid w:val="00CB47AE"/>
    <w:rsid w:val="00CB48EA"/>
    <w:rsid w:val="00CB49D8"/>
    <w:rsid w:val="00CB4A19"/>
    <w:rsid w:val="00CB4B3C"/>
    <w:rsid w:val="00CB4B8B"/>
    <w:rsid w:val="00CB4C74"/>
    <w:rsid w:val="00CB4CA5"/>
    <w:rsid w:val="00CB4D0E"/>
    <w:rsid w:val="00CB4E09"/>
    <w:rsid w:val="00CB4E94"/>
    <w:rsid w:val="00CB4EBD"/>
    <w:rsid w:val="00CB50D1"/>
    <w:rsid w:val="00CB51FB"/>
    <w:rsid w:val="00CB5262"/>
    <w:rsid w:val="00CB53DC"/>
    <w:rsid w:val="00CB5476"/>
    <w:rsid w:val="00CB564A"/>
    <w:rsid w:val="00CB566D"/>
    <w:rsid w:val="00CB580B"/>
    <w:rsid w:val="00CB582B"/>
    <w:rsid w:val="00CB5846"/>
    <w:rsid w:val="00CB59DC"/>
    <w:rsid w:val="00CB5A84"/>
    <w:rsid w:val="00CB5B4B"/>
    <w:rsid w:val="00CB5C2E"/>
    <w:rsid w:val="00CB5C8D"/>
    <w:rsid w:val="00CB5E90"/>
    <w:rsid w:val="00CB5F32"/>
    <w:rsid w:val="00CB5F92"/>
    <w:rsid w:val="00CB5FA1"/>
    <w:rsid w:val="00CB6002"/>
    <w:rsid w:val="00CB6085"/>
    <w:rsid w:val="00CB61EE"/>
    <w:rsid w:val="00CB6228"/>
    <w:rsid w:val="00CB6447"/>
    <w:rsid w:val="00CB64D2"/>
    <w:rsid w:val="00CB66D5"/>
    <w:rsid w:val="00CB66E5"/>
    <w:rsid w:val="00CB6712"/>
    <w:rsid w:val="00CB6733"/>
    <w:rsid w:val="00CB67E0"/>
    <w:rsid w:val="00CB6DCC"/>
    <w:rsid w:val="00CB6DF9"/>
    <w:rsid w:val="00CB6E01"/>
    <w:rsid w:val="00CB701F"/>
    <w:rsid w:val="00CB720B"/>
    <w:rsid w:val="00CB7232"/>
    <w:rsid w:val="00CB73FB"/>
    <w:rsid w:val="00CB7483"/>
    <w:rsid w:val="00CB75A0"/>
    <w:rsid w:val="00CB77CD"/>
    <w:rsid w:val="00CB77DF"/>
    <w:rsid w:val="00CB77F8"/>
    <w:rsid w:val="00CB7912"/>
    <w:rsid w:val="00CB7A56"/>
    <w:rsid w:val="00CB7ADC"/>
    <w:rsid w:val="00CB7C5A"/>
    <w:rsid w:val="00CB7E6B"/>
    <w:rsid w:val="00CB7E81"/>
    <w:rsid w:val="00CC00C5"/>
    <w:rsid w:val="00CC01C9"/>
    <w:rsid w:val="00CC0483"/>
    <w:rsid w:val="00CC0495"/>
    <w:rsid w:val="00CC04C5"/>
    <w:rsid w:val="00CC0603"/>
    <w:rsid w:val="00CC06CF"/>
    <w:rsid w:val="00CC0765"/>
    <w:rsid w:val="00CC0940"/>
    <w:rsid w:val="00CC095F"/>
    <w:rsid w:val="00CC09BB"/>
    <w:rsid w:val="00CC0CE5"/>
    <w:rsid w:val="00CC0D4A"/>
    <w:rsid w:val="00CC0DF2"/>
    <w:rsid w:val="00CC0E2D"/>
    <w:rsid w:val="00CC0E9E"/>
    <w:rsid w:val="00CC0EF2"/>
    <w:rsid w:val="00CC0FB5"/>
    <w:rsid w:val="00CC101E"/>
    <w:rsid w:val="00CC1424"/>
    <w:rsid w:val="00CC1484"/>
    <w:rsid w:val="00CC15FC"/>
    <w:rsid w:val="00CC16C8"/>
    <w:rsid w:val="00CC1719"/>
    <w:rsid w:val="00CC1943"/>
    <w:rsid w:val="00CC19B5"/>
    <w:rsid w:val="00CC1A1D"/>
    <w:rsid w:val="00CC1AB6"/>
    <w:rsid w:val="00CC1ADD"/>
    <w:rsid w:val="00CC1B0D"/>
    <w:rsid w:val="00CC1B14"/>
    <w:rsid w:val="00CC1B2A"/>
    <w:rsid w:val="00CC1C2F"/>
    <w:rsid w:val="00CC1C41"/>
    <w:rsid w:val="00CC1D62"/>
    <w:rsid w:val="00CC1E77"/>
    <w:rsid w:val="00CC1F9C"/>
    <w:rsid w:val="00CC201A"/>
    <w:rsid w:val="00CC20A3"/>
    <w:rsid w:val="00CC2190"/>
    <w:rsid w:val="00CC21D7"/>
    <w:rsid w:val="00CC2230"/>
    <w:rsid w:val="00CC2246"/>
    <w:rsid w:val="00CC2352"/>
    <w:rsid w:val="00CC23DA"/>
    <w:rsid w:val="00CC241F"/>
    <w:rsid w:val="00CC2464"/>
    <w:rsid w:val="00CC258C"/>
    <w:rsid w:val="00CC2795"/>
    <w:rsid w:val="00CC27E4"/>
    <w:rsid w:val="00CC28C4"/>
    <w:rsid w:val="00CC28E8"/>
    <w:rsid w:val="00CC2A8F"/>
    <w:rsid w:val="00CC2AEA"/>
    <w:rsid w:val="00CC2B2E"/>
    <w:rsid w:val="00CC2D6E"/>
    <w:rsid w:val="00CC2EA4"/>
    <w:rsid w:val="00CC32C8"/>
    <w:rsid w:val="00CC3389"/>
    <w:rsid w:val="00CC3412"/>
    <w:rsid w:val="00CC3477"/>
    <w:rsid w:val="00CC36FC"/>
    <w:rsid w:val="00CC3753"/>
    <w:rsid w:val="00CC3824"/>
    <w:rsid w:val="00CC3868"/>
    <w:rsid w:val="00CC38DC"/>
    <w:rsid w:val="00CC3B13"/>
    <w:rsid w:val="00CC3B7D"/>
    <w:rsid w:val="00CC3CC1"/>
    <w:rsid w:val="00CC3CE4"/>
    <w:rsid w:val="00CC3D69"/>
    <w:rsid w:val="00CC3DE4"/>
    <w:rsid w:val="00CC3F0D"/>
    <w:rsid w:val="00CC4120"/>
    <w:rsid w:val="00CC421C"/>
    <w:rsid w:val="00CC434A"/>
    <w:rsid w:val="00CC434C"/>
    <w:rsid w:val="00CC4382"/>
    <w:rsid w:val="00CC44C1"/>
    <w:rsid w:val="00CC460B"/>
    <w:rsid w:val="00CC480E"/>
    <w:rsid w:val="00CC495C"/>
    <w:rsid w:val="00CC4DB3"/>
    <w:rsid w:val="00CC4EF6"/>
    <w:rsid w:val="00CC4FB9"/>
    <w:rsid w:val="00CC5091"/>
    <w:rsid w:val="00CC5140"/>
    <w:rsid w:val="00CC5173"/>
    <w:rsid w:val="00CC5190"/>
    <w:rsid w:val="00CC5236"/>
    <w:rsid w:val="00CC52FF"/>
    <w:rsid w:val="00CC5361"/>
    <w:rsid w:val="00CC538F"/>
    <w:rsid w:val="00CC53AD"/>
    <w:rsid w:val="00CC56E8"/>
    <w:rsid w:val="00CC572D"/>
    <w:rsid w:val="00CC57A9"/>
    <w:rsid w:val="00CC58DA"/>
    <w:rsid w:val="00CC59F3"/>
    <w:rsid w:val="00CC5A51"/>
    <w:rsid w:val="00CC5B39"/>
    <w:rsid w:val="00CC5B9E"/>
    <w:rsid w:val="00CC5C73"/>
    <w:rsid w:val="00CC5DE8"/>
    <w:rsid w:val="00CC6066"/>
    <w:rsid w:val="00CC60DC"/>
    <w:rsid w:val="00CC6160"/>
    <w:rsid w:val="00CC61EF"/>
    <w:rsid w:val="00CC64DA"/>
    <w:rsid w:val="00CC652D"/>
    <w:rsid w:val="00CC65C8"/>
    <w:rsid w:val="00CC6606"/>
    <w:rsid w:val="00CC6608"/>
    <w:rsid w:val="00CC673B"/>
    <w:rsid w:val="00CC6742"/>
    <w:rsid w:val="00CC676E"/>
    <w:rsid w:val="00CC68D3"/>
    <w:rsid w:val="00CC6978"/>
    <w:rsid w:val="00CC6980"/>
    <w:rsid w:val="00CC699C"/>
    <w:rsid w:val="00CC6B4F"/>
    <w:rsid w:val="00CC6C17"/>
    <w:rsid w:val="00CC6F38"/>
    <w:rsid w:val="00CC7084"/>
    <w:rsid w:val="00CC7113"/>
    <w:rsid w:val="00CC71BB"/>
    <w:rsid w:val="00CC72E1"/>
    <w:rsid w:val="00CC72FC"/>
    <w:rsid w:val="00CC739C"/>
    <w:rsid w:val="00CC7426"/>
    <w:rsid w:val="00CC749C"/>
    <w:rsid w:val="00CC760A"/>
    <w:rsid w:val="00CC765E"/>
    <w:rsid w:val="00CC76D3"/>
    <w:rsid w:val="00CC775D"/>
    <w:rsid w:val="00CC78D6"/>
    <w:rsid w:val="00CC7A72"/>
    <w:rsid w:val="00CC7BBA"/>
    <w:rsid w:val="00CC7CCE"/>
    <w:rsid w:val="00CC7CE5"/>
    <w:rsid w:val="00CC7D41"/>
    <w:rsid w:val="00CC7D6A"/>
    <w:rsid w:val="00CC7EBC"/>
    <w:rsid w:val="00CC7F80"/>
    <w:rsid w:val="00CD011A"/>
    <w:rsid w:val="00CD0348"/>
    <w:rsid w:val="00CD049E"/>
    <w:rsid w:val="00CD081D"/>
    <w:rsid w:val="00CD0BF3"/>
    <w:rsid w:val="00CD104B"/>
    <w:rsid w:val="00CD1289"/>
    <w:rsid w:val="00CD1398"/>
    <w:rsid w:val="00CD1474"/>
    <w:rsid w:val="00CD15A1"/>
    <w:rsid w:val="00CD1823"/>
    <w:rsid w:val="00CD1893"/>
    <w:rsid w:val="00CD18F1"/>
    <w:rsid w:val="00CD1951"/>
    <w:rsid w:val="00CD1977"/>
    <w:rsid w:val="00CD19CA"/>
    <w:rsid w:val="00CD1A39"/>
    <w:rsid w:val="00CD1B1B"/>
    <w:rsid w:val="00CD1B8B"/>
    <w:rsid w:val="00CD1C31"/>
    <w:rsid w:val="00CD1DE9"/>
    <w:rsid w:val="00CD1E09"/>
    <w:rsid w:val="00CD1F7F"/>
    <w:rsid w:val="00CD1F97"/>
    <w:rsid w:val="00CD1FA7"/>
    <w:rsid w:val="00CD239F"/>
    <w:rsid w:val="00CD23F4"/>
    <w:rsid w:val="00CD25F7"/>
    <w:rsid w:val="00CD26CB"/>
    <w:rsid w:val="00CD2A98"/>
    <w:rsid w:val="00CD2AC0"/>
    <w:rsid w:val="00CD2B8D"/>
    <w:rsid w:val="00CD2F0E"/>
    <w:rsid w:val="00CD2FCB"/>
    <w:rsid w:val="00CD30A8"/>
    <w:rsid w:val="00CD30EF"/>
    <w:rsid w:val="00CD317A"/>
    <w:rsid w:val="00CD31A3"/>
    <w:rsid w:val="00CD33AD"/>
    <w:rsid w:val="00CD3523"/>
    <w:rsid w:val="00CD35DD"/>
    <w:rsid w:val="00CD369E"/>
    <w:rsid w:val="00CD38F5"/>
    <w:rsid w:val="00CD3903"/>
    <w:rsid w:val="00CD3B28"/>
    <w:rsid w:val="00CD3B8E"/>
    <w:rsid w:val="00CD3CE5"/>
    <w:rsid w:val="00CD3D52"/>
    <w:rsid w:val="00CD3E7F"/>
    <w:rsid w:val="00CD3FA8"/>
    <w:rsid w:val="00CD4025"/>
    <w:rsid w:val="00CD42AB"/>
    <w:rsid w:val="00CD4304"/>
    <w:rsid w:val="00CD4339"/>
    <w:rsid w:val="00CD444A"/>
    <w:rsid w:val="00CD4491"/>
    <w:rsid w:val="00CD451C"/>
    <w:rsid w:val="00CD4631"/>
    <w:rsid w:val="00CD4A9D"/>
    <w:rsid w:val="00CD4B8F"/>
    <w:rsid w:val="00CD4C10"/>
    <w:rsid w:val="00CD4D9F"/>
    <w:rsid w:val="00CD4E1E"/>
    <w:rsid w:val="00CD4E52"/>
    <w:rsid w:val="00CD4F3F"/>
    <w:rsid w:val="00CD51FA"/>
    <w:rsid w:val="00CD523F"/>
    <w:rsid w:val="00CD5278"/>
    <w:rsid w:val="00CD5506"/>
    <w:rsid w:val="00CD5586"/>
    <w:rsid w:val="00CD561A"/>
    <w:rsid w:val="00CD5762"/>
    <w:rsid w:val="00CD583F"/>
    <w:rsid w:val="00CD58A2"/>
    <w:rsid w:val="00CD59F7"/>
    <w:rsid w:val="00CD5B5F"/>
    <w:rsid w:val="00CD5C17"/>
    <w:rsid w:val="00CD5C46"/>
    <w:rsid w:val="00CD5C67"/>
    <w:rsid w:val="00CD5CD7"/>
    <w:rsid w:val="00CD5F0F"/>
    <w:rsid w:val="00CD5F2E"/>
    <w:rsid w:val="00CD5F34"/>
    <w:rsid w:val="00CD61BF"/>
    <w:rsid w:val="00CD6200"/>
    <w:rsid w:val="00CD624E"/>
    <w:rsid w:val="00CD62A3"/>
    <w:rsid w:val="00CD6352"/>
    <w:rsid w:val="00CD6593"/>
    <w:rsid w:val="00CD6711"/>
    <w:rsid w:val="00CD672A"/>
    <w:rsid w:val="00CD67BC"/>
    <w:rsid w:val="00CD6A9C"/>
    <w:rsid w:val="00CD6AF0"/>
    <w:rsid w:val="00CD6B2E"/>
    <w:rsid w:val="00CD6BF6"/>
    <w:rsid w:val="00CD6F76"/>
    <w:rsid w:val="00CD6F8C"/>
    <w:rsid w:val="00CD7004"/>
    <w:rsid w:val="00CD70B4"/>
    <w:rsid w:val="00CD72B4"/>
    <w:rsid w:val="00CD7345"/>
    <w:rsid w:val="00CD7386"/>
    <w:rsid w:val="00CD73AE"/>
    <w:rsid w:val="00CD7406"/>
    <w:rsid w:val="00CD75D5"/>
    <w:rsid w:val="00CD75FC"/>
    <w:rsid w:val="00CD7A29"/>
    <w:rsid w:val="00CD7ACF"/>
    <w:rsid w:val="00CD7BAB"/>
    <w:rsid w:val="00CD7D12"/>
    <w:rsid w:val="00CD7D97"/>
    <w:rsid w:val="00CD7EAE"/>
    <w:rsid w:val="00CD7EC9"/>
    <w:rsid w:val="00CD7F25"/>
    <w:rsid w:val="00CD7F62"/>
    <w:rsid w:val="00CE0161"/>
    <w:rsid w:val="00CE0293"/>
    <w:rsid w:val="00CE0436"/>
    <w:rsid w:val="00CE049D"/>
    <w:rsid w:val="00CE0547"/>
    <w:rsid w:val="00CE0658"/>
    <w:rsid w:val="00CE076F"/>
    <w:rsid w:val="00CE0879"/>
    <w:rsid w:val="00CE08CF"/>
    <w:rsid w:val="00CE0919"/>
    <w:rsid w:val="00CE103E"/>
    <w:rsid w:val="00CE1195"/>
    <w:rsid w:val="00CE126A"/>
    <w:rsid w:val="00CE12F7"/>
    <w:rsid w:val="00CE1381"/>
    <w:rsid w:val="00CE13F5"/>
    <w:rsid w:val="00CE1405"/>
    <w:rsid w:val="00CE1466"/>
    <w:rsid w:val="00CE1482"/>
    <w:rsid w:val="00CE154E"/>
    <w:rsid w:val="00CE15EE"/>
    <w:rsid w:val="00CE1715"/>
    <w:rsid w:val="00CE1724"/>
    <w:rsid w:val="00CE1745"/>
    <w:rsid w:val="00CE17DB"/>
    <w:rsid w:val="00CE1826"/>
    <w:rsid w:val="00CE1AA3"/>
    <w:rsid w:val="00CE1B67"/>
    <w:rsid w:val="00CE1BA1"/>
    <w:rsid w:val="00CE1C01"/>
    <w:rsid w:val="00CE1D60"/>
    <w:rsid w:val="00CE1F4D"/>
    <w:rsid w:val="00CE20F7"/>
    <w:rsid w:val="00CE214A"/>
    <w:rsid w:val="00CE2228"/>
    <w:rsid w:val="00CE23FF"/>
    <w:rsid w:val="00CE24CD"/>
    <w:rsid w:val="00CE2560"/>
    <w:rsid w:val="00CE25CC"/>
    <w:rsid w:val="00CE27EF"/>
    <w:rsid w:val="00CE28B2"/>
    <w:rsid w:val="00CE2A05"/>
    <w:rsid w:val="00CE2BC5"/>
    <w:rsid w:val="00CE2C1E"/>
    <w:rsid w:val="00CE319C"/>
    <w:rsid w:val="00CE32B6"/>
    <w:rsid w:val="00CE33FC"/>
    <w:rsid w:val="00CE349F"/>
    <w:rsid w:val="00CE34D4"/>
    <w:rsid w:val="00CE350D"/>
    <w:rsid w:val="00CE362C"/>
    <w:rsid w:val="00CE3725"/>
    <w:rsid w:val="00CE383F"/>
    <w:rsid w:val="00CE3844"/>
    <w:rsid w:val="00CE386F"/>
    <w:rsid w:val="00CE389C"/>
    <w:rsid w:val="00CE38D2"/>
    <w:rsid w:val="00CE38EB"/>
    <w:rsid w:val="00CE3970"/>
    <w:rsid w:val="00CE3DA1"/>
    <w:rsid w:val="00CE3DFC"/>
    <w:rsid w:val="00CE3E02"/>
    <w:rsid w:val="00CE3E0F"/>
    <w:rsid w:val="00CE4093"/>
    <w:rsid w:val="00CE40B7"/>
    <w:rsid w:val="00CE40E8"/>
    <w:rsid w:val="00CE417B"/>
    <w:rsid w:val="00CE419E"/>
    <w:rsid w:val="00CE4211"/>
    <w:rsid w:val="00CE4380"/>
    <w:rsid w:val="00CE439A"/>
    <w:rsid w:val="00CE443F"/>
    <w:rsid w:val="00CE4711"/>
    <w:rsid w:val="00CE476C"/>
    <w:rsid w:val="00CE4790"/>
    <w:rsid w:val="00CE49C3"/>
    <w:rsid w:val="00CE4B8A"/>
    <w:rsid w:val="00CE4D98"/>
    <w:rsid w:val="00CE4D9F"/>
    <w:rsid w:val="00CE4EB8"/>
    <w:rsid w:val="00CE5402"/>
    <w:rsid w:val="00CE549F"/>
    <w:rsid w:val="00CE54E1"/>
    <w:rsid w:val="00CE54F4"/>
    <w:rsid w:val="00CE5600"/>
    <w:rsid w:val="00CE5662"/>
    <w:rsid w:val="00CE5960"/>
    <w:rsid w:val="00CE5A79"/>
    <w:rsid w:val="00CE5B26"/>
    <w:rsid w:val="00CE5B27"/>
    <w:rsid w:val="00CE5BC8"/>
    <w:rsid w:val="00CE5C4F"/>
    <w:rsid w:val="00CE5EB4"/>
    <w:rsid w:val="00CE5F4B"/>
    <w:rsid w:val="00CE6095"/>
    <w:rsid w:val="00CE60CC"/>
    <w:rsid w:val="00CE6385"/>
    <w:rsid w:val="00CE652B"/>
    <w:rsid w:val="00CE6544"/>
    <w:rsid w:val="00CE6573"/>
    <w:rsid w:val="00CE6726"/>
    <w:rsid w:val="00CE6740"/>
    <w:rsid w:val="00CE687F"/>
    <w:rsid w:val="00CE6959"/>
    <w:rsid w:val="00CE69D8"/>
    <w:rsid w:val="00CE6AAB"/>
    <w:rsid w:val="00CE6B0E"/>
    <w:rsid w:val="00CE6B3A"/>
    <w:rsid w:val="00CE6D98"/>
    <w:rsid w:val="00CE6EAD"/>
    <w:rsid w:val="00CE6EC7"/>
    <w:rsid w:val="00CE6F73"/>
    <w:rsid w:val="00CE6F7E"/>
    <w:rsid w:val="00CE720E"/>
    <w:rsid w:val="00CE72E4"/>
    <w:rsid w:val="00CE74CE"/>
    <w:rsid w:val="00CE752A"/>
    <w:rsid w:val="00CE7950"/>
    <w:rsid w:val="00CE7954"/>
    <w:rsid w:val="00CE7AB2"/>
    <w:rsid w:val="00CE7B06"/>
    <w:rsid w:val="00CE7BA7"/>
    <w:rsid w:val="00CE7C11"/>
    <w:rsid w:val="00CE7C98"/>
    <w:rsid w:val="00CE7D6A"/>
    <w:rsid w:val="00CE7D77"/>
    <w:rsid w:val="00CE7DA2"/>
    <w:rsid w:val="00CE7DC5"/>
    <w:rsid w:val="00CE7DE3"/>
    <w:rsid w:val="00CE7E1B"/>
    <w:rsid w:val="00CE7E69"/>
    <w:rsid w:val="00CF0037"/>
    <w:rsid w:val="00CF0231"/>
    <w:rsid w:val="00CF0239"/>
    <w:rsid w:val="00CF031F"/>
    <w:rsid w:val="00CF046E"/>
    <w:rsid w:val="00CF051D"/>
    <w:rsid w:val="00CF0670"/>
    <w:rsid w:val="00CF0704"/>
    <w:rsid w:val="00CF076A"/>
    <w:rsid w:val="00CF08C0"/>
    <w:rsid w:val="00CF0D57"/>
    <w:rsid w:val="00CF0DB6"/>
    <w:rsid w:val="00CF0E3B"/>
    <w:rsid w:val="00CF0E3F"/>
    <w:rsid w:val="00CF11A9"/>
    <w:rsid w:val="00CF11C9"/>
    <w:rsid w:val="00CF133E"/>
    <w:rsid w:val="00CF1395"/>
    <w:rsid w:val="00CF13FA"/>
    <w:rsid w:val="00CF1529"/>
    <w:rsid w:val="00CF1554"/>
    <w:rsid w:val="00CF166F"/>
    <w:rsid w:val="00CF186E"/>
    <w:rsid w:val="00CF1B9F"/>
    <w:rsid w:val="00CF1C58"/>
    <w:rsid w:val="00CF1D5D"/>
    <w:rsid w:val="00CF1D81"/>
    <w:rsid w:val="00CF1DCB"/>
    <w:rsid w:val="00CF1F53"/>
    <w:rsid w:val="00CF21E3"/>
    <w:rsid w:val="00CF226C"/>
    <w:rsid w:val="00CF246A"/>
    <w:rsid w:val="00CF2553"/>
    <w:rsid w:val="00CF2582"/>
    <w:rsid w:val="00CF25AD"/>
    <w:rsid w:val="00CF2722"/>
    <w:rsid w:val="00CF2946"/>
    <w:rsid w:val="00CF29F9"/>
    <w:rsid w:val="00CF29FE"/>
    <w:rsid w:val="00CF2C27"/>
    <w:rsid w:val="00CF2DF4"/>
    <w:rsid w:val="00CF2E95"/>
    <w:rsid w:val="00CF2FB7"/>
    <w:rsid w:val="00CF30B3"/>
    <w:rsid w:val="00CF3109"/>
    <w:rsid w:val="00CF312F"/>
    <w:rsid w:val="00CF31F6"/>
    <w:rsid w:val="00CF31FF"/>
    <w:rsid w:val="00CF32F8"/>
    <w:rsid w:val="00CF3404"/>
    <w:rsid w:val="00CF3466"/>
    <w:rsid w:val="00CF34B2"/>
    <w:rsid w:val="00CF34E4"/>
    <w:rsid w:val="00CF3543"/>
    <w:rsid w:val="00CF3577"/>
    <w:rsid w:val="00CF36F8"/>
    <w:rsid w:val="00CF3796"/>
    <w:rsid w:val="00CF3847"/>
    <w:rsid w:val="00CF3891"/>
    <w:rsid w:val="00CF3AC4"/>
    <w:rsid w:val="00CF3DBF"/>
    <w:rsid w:val="00CF3E13"/>
    <w:rsid w:val="00CF3E48"/>
    <w:rsid w:val="00CF3FCE"/>
    <w:rsid w:val="00CF4047"/>
    <w:rsid w:val="00CF4051"/>
    <w:rsid w:val="00CF4103"/>
    <w:rsid w:val="00CF42E0"/>
    <w:rsid w:val="00CF42FA"/>
    <w:rsid w:val="00CF42FD"/>
    <w:rsid w:val="00CF4380"/>
    <w:rsid w:val="00CF43BF"/>
    <w:rsid w:val="00CF46B7"/>
    <w:rsid w:val="00CF46EF"/>
    <w:rsid w:val="00CF4C8B"/>
    <w:rsid w:val="00CF4CC2"/>
    <w:rsid w:val="00CF4EE4"/>
    <w:rsid w:val="00CF5319"/>
    <w:rsid w:val="00CF5772"/>
    <w:rsid w:val="00CF577B"/>
    <w:rsid w:val="00CF587B"/>
    <w:rsid w:val="00CF58B9"/>
    <w:rsid w:val="00CF5959"/>
    <w:rsid w:val="00CF59FC"/>
    <w:rsid w:val="00CF5A09"/>
    <w:rsid w:val="00CF5BC3"/>
    <w:rsid w:val="00CF5C0D"/>
    <w:rsid w:val="00CF5C42"/>
    <w:rsid w:val="00CF5D56"/>
    <w:rsid w:val="00CF5E16"/>
    <w:rsid w:val="00CF5E49"/>
    <w:rsid w:val="00CF5F2D"/>
    <w:rsid w:val="00CF5F42"/>
    <w:rsid w:val="00CF6078"/>
    <w:rsid w:val="00CF60A8"/>
    <w:rsid w:val="00CF6240"/>
    <w:rsid w:val="00CF6249"/>
    <w:rsid w:val="00CF62EA"/>
    <w:rsid w:val="00CF63ED"/>
    <w:rsid w:val="00CF6469"/>
    <w:rsid w:val="00CF64F7"/>
    <w:rsid w:val="00CF65AE"/>
    <w:rsid w:val="00CF664D"/>
    <w:rsid w:val="00CF6667"/>
    <w:rsid w:val="00CF6765"/>
    <w:rsid w:val="00CF6772"/>
    <w:rsid w:val="00CF6849"/>
    <w:rsid w:val="00CF68CA"/>
    <w:rsid w:val="00CF698D"/>
    <w:rsid w:val="00CF6CAD"/>
    <w:rsid w:val="00CF6E8B"/>
    <w:rsid w:val="00CF6F16"/>
    <w:rsid w:val="00CF7065"/>
    <w:rsid w:val="00CF71A2"/>
    <w:rsid w:val="00CF725D"/>
    <w:rsid w:val="00CF7383"/>
    <w:rsid w:val="00CF73DD"/>
    <w:rsid w:val="00CF7452"/>
    <w:rsid w:val="00CF746C"/>
    <w:rsid w:val="00CF7523"/>
    <w:rsid w:val="00CF752F"/>
    <w:rsid w:val="00CF79D3"/>
    <w:rsid w:val="00CF79DB"/>
    <w:rsid w:val="00CF7CEA"/>
    <w:rsid w:val="00CF7D4E"/>
    <w:rsid w:val="00CF7ECC"/>
    <w:rsid w:val="00CF7FEE"/>
    <w:rsid w:val="00D0006C"/>
    <w:rsid w:val="00D002FD"/>
    <w:rsid w:val="00D00401"/>
    <w:rsid w:val="00D00560"/>
    <w:rsid w:val="00D0063D"/>
    <w:rsid w:val="00D0080A"/>
    <w:rsid w:val="00D009F7"/>
    <w:rsid w:val="00D00A14"/>
    <w:rsid w:val="00D00A36"/>
    <w:rsid w:val="00D00B85"/>
    <w:rsid w:val="00D00F55"/>
    <w:rsid w:val="00D00F8B"/>
    <w:rsid w:val="00D00F95"/>
    <w:rsid w:val="00D00FE8"/>
    <w:rsid w:val="00D01091"/>
    <w:rsid w:val="00D0112D"/>
    <w:rsid w:val="00D01137"/>
    <w:rsid w:val="00D01275"/>
    <w:rsid w:val="00D0133D"/>
    <w:rsid w:val="00D014AA"/>
    <w:rsid w:val="00D016B7"/>
    <w:rsid w:val="00D016D8"/>
    <w:rsid w:val="00D016ED"/>
    <w:rsid w:val="00D01742"/>
    <w:rsid w:val="00D01953"/>
    <w:rsid w:val="00D01998"/>
    <w:rsid w:val="00D01A6E"/>
    <w:rsid w:val="00D01AD7"/>
    <w:rsid w:val="00D01CFF"/>
    <w:rsid w:val="00D01D25"/>
    <w:rsid w:val="00D01D85"/>
    <w:rsid w:val="00D01EBD"/>
    <w:rsid w:val="00D01F44"/>
    <w:rsid w:val="00D02019"/>
    <w:rsid w:val="00D02123"/>
    <w:rsid w:val="00D0215B"/>
    <w:rsid w:val="00D021BF"/>
    <w:rsid w:val="00D022C2"/>
    <w:rsid w:val="00D023C6"/>
    <w:rsid w:val="00D02455"/>
    <w:rsid w:val="00D02693"/>
    <w:rsid w:val="00D026C0"/>
    <w:rsid w:val="00D026CC"/>
    <w:rsid w:val="00D02774"/>
    <w:rsid w:val="00D02805"/>
    <w:rsid w:val="00D0283E"/>
    <w:rsid w:val="00D029B6"/>
    <w:rsid w:val="00D029CC"/>
    <w:rsid w:val="00D02A38"/>
    <w:rsid w:val="00D02A72"/>
    <w:rsid w:val="00D02BA2"/>
    <w:rsid w:val="00D02CAE"/>
    <w:rsid w:val="00D02CE7"/>
    <w:rsid w:val="00D02E23"/>
    <w:rsid w:val="00D02E34"/>
    <w:rsid w:val="00D03014"/>
    <w:rsid w:val="00D03252"/>
    <w:rsid w:val="00D033B8"/>
    <w:rsid w:val="00D0342A"/>
    <w:rsid w:val="00D03463"/>
    <w:rsid w:val="00D0354D"/>
    <w:rsid w:val="00D03798"/>
    <w:rsid w:val="00D0395A"/>
    <w:rsid w:val="00D03961"/>
    <w:rsid w:val="00D039C9"/>
    <w:rsid w:val="00D03A2A"/>
    <w:rsid w:val="00D03C71"/>
    <w:rsid w:val="00D03D9F"/>
    <w:rsid w:val="00D03EE5"/>
    <w:rsid w:val="00D03FCE"/>
    <w:rsid w:val="00D03FF7"/>
    <w:rsid w:val="00D0402D"/>
    <w:rsid w:val="00D0406F"/>
    <w:rsid w:val="00D040A9"/>
    <w:rsid w:val="00D04376"/>
    <w:rsid w:val="00D043FA"/>
    <w:rsid w:val="00D04634"/>
    <w:rsid w:val="00D04649"/>
    <w:rsid w:val="00D04944"/>
    <w:rsid w:val="00D04AE1"/>
    <w:rsid w:val="00D04D7D"/>
    <w:rsid w:val="00D04E07"/>
    <w:rsid w:val="00D04F2A"/>
    <w:rsid w:val="00D04F77"/>
    <w:rsid w:val="00D05062"/>
    <w:rsid w:val="00D050E1"/>
    <w:rsid w:val="00D05300"/>
    <w:rsid w:val="00D053C1"/>
    <w:rsid w:val="00D055E8"/>
    <w:rsid w:val="00D05602"/>
    <w:rsid w:val="00D05665"/>
    <w:rsid w:val="00D05746"/>
    <w:rsid w:val="00D057A8"/>
    <w:rsid w:val="00D0590C"/>
    <w:rsid w:val="00D05A10"/>
    <w:rsid w:val="00D05AC1"/>
    <w:rsid w:val="00D05B18"/>
    <w:rsid w:val="00D05CEF"/>
    <w:rsid w:val="00D05D1D"/>
    <w:rsid w:val="00D05E08"/>
    <w:rsid w:val="00D060EB"/>
    <w:rsid w:val="00D06164"/>
    <w:rsid w:val="00D06206"/>
    <w:rsid w:val="00D063CB"/>
    <w:rsid w:val="00D063F7"/>
    <w:rsid w:val="00D06579"/>
    <w:rsid w:val="00D065D2"/>
    <w:rsid w:val="00D06732"/>
    <w:rsid w:val="00D06766"/>
    <w:rsid w:val="00D0679E"/>
    <w:rsid w:val="00D06D9C"/>
    <w:rsid w:val="00D06F3C"/>
    <w:rsid w:val="00D07156"/>
    <w:rsid w:val="00D0731D"/>
    <w:rsid w:val="00D07347"/>
    <w:rsid w:val="00D07535"/>
    <w:rsid w:val="00D0754B"/>
    <w:rsid w:val="00D0786B"/>
    <w:rsid w:val="00D07AE8"/>
    <w:rsid w:val="00D07AF1"/>
    <w:rsid w:val="00D07BE1"/>
    <w:rsid w:val="00D07C0A"/>
    <w:rsid w:val="00D07C51"/>
    <w:rsid w:val="00D07C56"/>
    <w:rsid w:val="00D07CD2"/>
    <w:rsid w:val="00D07D8F"/>
    <w:rsid w:val="00D07E5A"/>
    <w:rsid w:val="00D07E6F"/>
    <w:rsid w:val="00D07F1A"/>
    <w:rsid w:val="00D07FB7"/>
    <w:rsid w:val="00D100E6"/>
    <w:rsid w:val="00D10159"/>
    <w:rsid w:val="00D10236"/>
    <w:rsid w:val="00D10241"/>
    <w:rsid w:val="00D10318"/>
    <w:rsid w:val="00D1032C"/>
    <w:rsid w:val="00D1037E"/>
    <w:rsid w:val="00D104B7"/>
    <w:rsid w:val="00D10655"/>
    <w:rsid w:val="00D10754"/>
    <w:rsid w:val="00D10989"/>
    <w:rsid w:val="00D109B6"/>
    <w:rsid w:val="00D10D33"/>
    <w:rsid w:val="00D10E6E"/>
    <w:rsid w:val="00D11050"/>
    <w:rsid w:val="00D112F5"/>
    <w:rsid w:val="00D11671"/>
    <w:rsid w:val="00D11706"/>
    <w:rsid w:val="00D11842"/>
    <w:rsid w:val="00D119A1"/>
    <w:rsid w:val="00D119E0"/>
    <w:rsid w:val="00D11B7E"/>
    <w:rsid w:val="00D11CA0"/>
    <w:rsid w:val="00D11D3C"/>
    <w:rsid w:val="00D11DF5"/>
    <w:rsid w:val="00D11E39"/>
    <w:rsid w:val="00D120A5"/>
    <w:rsid w:val="00D12339"/>
    <w:rsid w:val="00D123D9"/>
    <w:rsid w:val="00D1252D"/>
    <w:rsid w:val="00D12580"/>
    <w:rsid w:val="00D125DB"/>
    <w:rsid w:val="00D12612"/>
    <w:rsid w:val="00D12B40"/>
    <w:rsid w:val="00D12BEB"/>
    <w:rsid w:val="00D12D07"/>
    <w:rsid w:val="00D12DBF"/>
    <w:rsid w:val="00D12DD3"/>
    <w:rsid w:val="00D12EFA"/>
    <w:rsid w:val="00D12F55"/>
    <w:rsid w:val="00D13058"/>
    <w:rsid w:val="00D13193"/>
    <w:rsid w:val="00D132BC"/>
    <w:rsid w:val="00D134C5"/>
    <w:rsid w:val="00D13577"/>
    <w:rsid w:val="00D13742"/>
    <w:rsid w:val="00D137E6"/>
    <w:rsid w:val="00D137F2"/>
    <w:rsid w:val="00D138A7"/>
    <w:rsid w:val="00D138E6"/>
    <w:rsid w:val="00D13B7D"/>
    <w:rsid w:val="00D13C7F"/>
    <w:rsid w:val="00D13E59"/>
    <w:rsid w:val="00D13F9C"/>
    <w:rsid w:val="00D13FAD"/>
    <w:rsid w:val="00D140FA"/>
    <w:rsid w:val="00D142BF"/>
    <w:rsid w:val="00D142E9"/>
    <w:rsid w:val="00D144A7"/>
    <w:rsid w:val="00D144F8"/>
    <w:rsid w:val="00D14596"/>
    <w:rsid w:val="00D145D8"/>
    <w:rsid w:val="00D148EF"/>
    <w:rsid w:val="00D14A1D"/>
    <w:rsid w:val="00D14A1F"/>
    <w:rsid w:val="00D14AB5"/>
    <w:rsid w:val="00D14AE6"/>
    <w:rsid w:val="00D14BA8"/>
    <w:rsid w:val="00D14C2A"/>
    <w:rsid w:val="00D14E32"/>
    <w:rsid w:val="00D14F1E"/>
    <w:rsid w:val="00D14F4D"/>
    <w:rsid w:val="00D15124"/>
    <w:rsid w:val="00D15127"/>
    <w:rsid w:val="00D1516C"/>
    <w:rsid w:val="00D1516D"/>
    <w:rsid w:val="00D15274"/>
    <w:rsid w:val="00D15328"/>
    <w:rsid w:val="00D15339"/>
    <w:rsid w:val="00D15425"/>
    <w:rsid w:val="00D156DD"/>
    <w:rsid w:val="00D1572E"/>
    <w:rsid w:val="00D15878"/>
    <w:rsid w:val="00D15895"/>
    <w:rsid w:val="00D159A0"/>
    <w:rsid w:val="00D15A9C"/>
    <w:rsid w:val="00D15B92"/>
    <w:rsid w:val="00D15C28"/>
    <w:rsid w:val="00D15C70"/>
    <w:rsid w:val="00D15CAD"/>
    <w:rsid w:val="00D15CB3"/>
    <w:rsid w:val="00D161D9"/>
    <w:rsid w:val="00D1629A"/>
    <w:rsid w:val="00D162E4"/>
    <w:rsid w:val="00D164B8"/>
    <w:rsid w:val="00D165F8"/>
    <w:rsid w:val="00D167F8"/>
    <w:rsid w:val="00D16863"/>
    <w:rsid w:val="00D16994"/>
    <w:rsid w:val="00D16A5E"/>
    <w:rsid w:val="00D16A92"/>
    <w:rsid w:val="00D1705F"/>
    <w:rsid w:val="00D170A8"/>
    <w:rsid w:val="00D171F3"/>
    <w:rsid w:val="00D1724E"/>
    <w:rsid w:val="00D174BF"/>
    <w:rsid w:val="00D1756C"/>
    <w:rsid w:val="00D176E4"/>
    <w:rsid w:val="00D178C1"/>
    <w:rsid w:val="00D1793D"/>
    <w:rsid w:val="00D17A99"/>
    <w:rsid w:val="00D17D41"/>
    <w:rsid w:val="00D17DC9"/>
    <w:rsid w:val="00D17E85"/>
    <w:rsid w:val="00D17F68"/>
    <w:rsid w:val="00D200E5"/>
    <w:rsid w:val="00D20109"/>
    <w:rsid w:val="00D2016D"/>
    <w:rsid w:val="00D201BF"/>
    <w:rsid w:val="00D203CD"/>
    <w:rsid w:val="00D203E7"/>
    <w:rsid w:val="00D20405"/>
    <w:rsid w:val="00D204A2"/>
    <w:rsid w:val="00D20511"/>
    <w:rsid w:val="00D206B1"/>
    <w:rsid w:val="00D20D7D"/>
    <w:rsid w:val="00D20FA7"/>
    <w:rsid w:val="00D20FDC"/>
    <w:rsid w:val="00D2109D"/>
    <w:rsid w:val="00D21173"/>
    <w:rsid w:val="00D21221"/>
    <w:rsid w:val="00D213BA"/>
    <w:rsid w:val="00D213D7"/>
    <w:rsid w:val="00D2148B"/>
    <w:rsid w:val="00D21590"/>
    <w:rsid w:val="00D2164C"/>
    <w:rsid w:val="00D216B0"/>
    <w:rsid w:val="00D217C2"/>
    <w:rsid w:val="00D218F7"/>
    <w:rsid w:val="00D21A5D"/>
    <w:rsid w:val="00D21AB0"/>
    <w:rsid w:val="00D21D1E"/>
    <w:rsid w:val="00D21DA3"/>
    <w:rsid w:val="00D21ED1"/>
    <w:rsid w:val="00D21FE5"/>
    <w:rsid w:val="00D2233F"/>
    <w:rsid w:val="00D226A8"/>
    <w:rsid w:val="00D2270A"/>
    <w:rsid w:val="00D2285B"/>
    <w:rsid w:val="00D22899"/>
    <w:rsid w:val="00D22B1F"/>
    <w:rsid w:val="00D22D11"/>
    <w:rsid w:val="00D22D2A"/>
    <w:rsid w:val="00D22D7C"/>
    <w:rsid w:val="00D22DF4"/>
    <w:rsid w:val="00D22EB6"/>
    <w:rsid w:val="00D230AD"/>
    <w:rsid w:val="00D231AB"/>
    <w:rsid w:val="00D23360"/>
    <w:rsid w:val="00D23650"/>
    <w:rsid w:val="00D2365D"/>
    <w:rsid w:val="00D2387D"/>
    <w:rsid w:val="00D23893"/>
    <w:rsid w:val="00D238BE"/>
    <w:rsid w:val="00D23988"/>
    <w:rsid w:val="00D23DD5"/>
    <w:rsid w:val="00D23F83"/>
    <w:rsid w:val="00D23FDC"/>
    <w:rsid w:val="00D2415D"/>
    <w:rsid w:val="00D24226"/>
    <w:rsid w:val="00D2427D"/>
    <w:rsid w:val="00D24296"/>
    <w:rsid w:val="00D242AF"/>
    <w:rsid w:val="00D242B2"/>
    <w:rsid w:val="00D242EE"/>
    <w:rsid w:val="00D2434B"/>
    <w:rsid w:val="00D2441F"/>
    <w:rsid w:val="00D24569"/>
    <w:rsid w:val="00D24A60"/>
    <w:rsid w:val="00D24B80"/>
    <w:rsid w:val="00D24C42"/>
    <w:rsid w:val="00D24D90"/>
    <w:rsid w:val="00D24F52"/>
    <w:rsid w:val="00D24F60"/>
    <w:rsid w:val="00D25048"/>
    <w:rsid w:val="00D25096"/>
    <w:rsid w:val="00D25256"/>
    <w:rsid w:val="00D25527"/>
    <w:rsid w:val="00D256DE"/>
    <w:rsid w:val="00D25701"/>
    <w:rsid w:val="00D25702"/>
    <w:rsid w:val="00D257C3"/>
    <w:rsid w:val="00D259F3"/>
    <w:rsid w:val="00D25A28"/>
    <w:rsid w:val="00D25AF4"/>
    <w:rsid w:val="00D25C8B"/>
    <w:rsid w:val="00D25D02"/>
    <w:rsid w:val="00D25D35"/>
    <w:rsid w:val="00D25E53"/>
    <w:rsid w:val="00D25E5A"/>
    <w:rsid w:val="00D25EF3"/>
    <w:rsid w:val="00D25F2D"/>
    <w:rsid w:val="00D25FB6"/>
    <w:rsid w:val="00D25FBE"/>
    <w:rsid w:val="00D26221"/>
    <w:rsid w:val="00D26399"/>
    <w:rsid w:val="00D264FA"/>
    <w:rsid w:val="00D2657D"/>
    <w:rsid w:val="00D266A1"/>
    <w:rsid w:val="00D266DD"/>
    <w:rsid w:val="00D267FD"/>
    <w:rsid w:val="00D26800"/>
    <w:rsid w:val="00D268AE"/>
    <w:rsid w:val="00D268DB"/>
    <w:rsid w:val="00D2690C"/>
    <w:rsid w:val="00D269EF"/>
    <w:rsid w:val="00D26BA4"/>
    <w:rsid w:val="00D26BFC"/>
    <w:rsid w:val="00D26C55"/>
    <w:rsid w:val="00D26DD7"/>
    <w:rsid w:val="00D26DE2"/>
    <w:rsid w:val="00D26F54"/>
    <w:rsid w:val="00D27044"/>
    <w:rsid w:val="00D27129"/>
    <w:rsid w:val="00D27236"/>
    <w:rsid w:val="00D2739E"/>
    <w:rsid w:val="00D27607"/>
    <w:rsid w:val="00D2778B"/>
    <w:rsid w:val="00D278D5"/>
    <w:rsid w:val="00D27916"/>
    <w:rsid w:val="00D27AC9"/>
    <w:rsid w:val="00D27ACD"/>
    <w:rsid w:val="00D27C9F"/>
    <w:rsid w:val="00D27CDD"/>
    <w:rsid w:val="00D27D99"/>
    <w:rsid w:val="00D27EE7"/>
    <w:rsid w:val="00D27F8F"/>
    <w:rsid w:val="00D27F9B"/>
    <w:rsid w:val="00D27FDF"/>
    <w:rsid w:val="00D300E2"/>
    <w:rsid w:val="00D302F5"/>
    <w:rsid w:val="00D30467"/>
    <w:rsid w:val="00D304F9"/>
    <w:rsid w:val="00D3062E"/>
    <w:rsid w:val="00D30675"/>
    <w:rsid w:val="00D308BB"/>
    <w:rsid w:val="00D309C6"/>
    <w:rsid w:val="00D30A1A"/>
    <w:rsid w:val="00D30AA3"/>
    <w:rsid w:val="00D30C2B"/>
    <w:rsid w:val="00D30C9E"/>
    <w:rsid w:val="00D30D36"/>
    <w:rsid w:val="00D30DB6"/>
    <w:rsid w:val="00D30DB7"/>
    <w:rsid w:val="00D30E00"/>
    <w:rsid w:val="00D30E50"/>
    <w:rsid w:val="00D30EFF"/>
    <w:rsid w:val="00D31129"/>
    <w:rsid w:val="00D312EB"/>
    <w:rsid w:val="00D312EE"/>
    <w:rsid w:val="00D31391"/>
    <w:rsid w:val="00D313AE"/>
    <w:rsid w:val="00D313F5"/>
    <w:rsid w:val="00D31570"/>
    <w:rsid w:val="00D31697"/>
    <w:rsid w:val="00D3182E"/>
    <w:rsid w:val="00D3192B"/>
    <w:rsid w:val="00D31A93"/>
    <w:rsid w:val="00D31C17"/>
    <w:rsid w:val="00D31DBB"/>
    <w:rsid w:val="00D31E2F"/>
    <w:rsid w:val="00D31EB6"/>
    <w:rsid w:val="00D31FCA"/>
    <w:rsid w:val="00D320A3"/>
    <w:rsid w:val="00D320EB"/>
    <w:rsid w:val="00D322A5"/>
    <w:rsid w:val="00D32369"/>
    <w:rsid w:val="00D3263F"/>
    <w:rsid w:val="00D326A0"/>
    <w:rsid w:val="00D326D0"/>
    <w:rsid w:val="00D32775"/>
    <w:rsid w:val="00D327AF"/>
    <w:rsid w:val="00D327D8"/>
    <w:rsid w:val="00D328D3"/>
    <w:rsid w:val="00D3290B"/>
    <w:rsid w:val="00D32971"/>
    <w:rsid w:val="00D32975"/>
    <w:rsid w:val="00D32E85"/>
    <w:rsid w:val="00D32E8B"/>
    <w:rsid w:val="00D3325F"/>
    <w:rsid w:val="00D333D8"/>
    <w:rsid w:val="00D33458"/>
    <w:rsid w:val="00D3346B"/>
    <w:rsid w:val="00D334B2"/>
    <w:rsid w:val="00D334DC"/>
    <w:rsid w:val="00D334E7"/>
    <w:rsid w:val="00D337CE"/>
    <w:rsid w:val="00D33A8A"/>
    <w:rsid w:val="00D33D2B"/>
    <w:rsid w:val="00D33ECB"/>
    <w:rsid w:val="00D33F18"/>
    <w:rsid w:val="00D33F3C"/>
    <w:rsid w:val="00D340B8"/>
    <w:rsid w:val="00D340C6"/>
    <w:rsid w:val="00D34188"/>
    <w:rsid w:val="00D341BC"/>
    <w:rsid w:val="00D3428E"/>
    <w:rsid w:val="00D342B1"/>
    <w:rsid w:val="00D34390"/>
    <w:rsid w:val="00D3439D"/>
    <w:rsid w:val="00D347A4"/>
    <w:rsid w:val="00D3490E"/>
    <w:rsid w:val="00D34930"/>
    <w:rsid w:val="00D34A1D"/>
    <w:rsid w:val="00D34B61"/>
    <w:rsid w:val="00D34C52"/>
    <w:rsid w:val="00D34C82"/>
    <w:rsid w:val="00D34D7D"/>
    <w:rsid w:val="00D34D8F"/>
    <w:rsid w:val="00D34F5C"/>
    <w:rsid w:val="00D34FAA"/>
    <w:rsid w:val="00D350CB"/>
    <w:rsid w:val="00D35453"/>
    <w:rsid w:val="00D3554E"/>
    <w:rsid w:val="00D35575"/>
    <w:rsid w:val="00D355EF"/>
    <w:rsid w:val="00D356C1"/>
    <w:rsid w:val="00D35827"/>
    <w:rsid w:val="00D359B3"/>
    <w:rsid w:val="00D35AA1"/>
    <w:rsid w:val="00D35CB8"/>
    <w:rsid w:val="00D35EA6"/>
    <w:rsid w:val="00D36024"/>
    <w:rsid w:val="00D361EE"/>
    <w:rsid w:val="00D362B2"/>
    <w:rsid w:val="00D36309"/>
    <w:rsid w:val="00D3642A"/>
    <w:rsid w:val="00D36560"/>
    <w:rsid w:val="00D365BE"/>
    <w:rsid w:val="00D3660E"/>
    <w:rsid w:val="00D36612"/>
    <w:rsid w:val="00D36690"/>
    <w:rsid w:val="00D36926"/>
    <w:rsid w:val="00D36B09"/>
    <w:rsid w:val="00D36BA4"/>
    <w:rsid w:val="00D36C57"/>
    <w:rsid w:val="00D36E04"/>
    <w:rsid w:val="00D36E1D"/>
    <w:rsid w:val="00D37056"/>
    <w:rsid w:val="00D3731F"/>
    <w:rsid w:val="00D3733A"/>
    <w:rsid w:val="00D37519"/>
    <w:rsid w:val="00D375E9"/>
    <w:rsid w:val="00D37613"/>
    <w:rsid w:val="00D376D5"/>
    <w:rsid w:val="00D3784E"/>
    <w:rsid w:val="00D37A8B"/>
    <w:rsid w:val="00D37BE0"/>
    <w:rsid w:val="00D37C5D"/>
    <w:rsid w:val="00D37CD2"/>
    <w:rsid w:val="00D37E21"/>
    <w:rsid w:val="00D37E95"/>
    <w:rsid w:val="00D37FF6"/>
    <w:rsid w:val="00D40025"/>
    <w:rsid w:val="00D40102"/>
    <w:rsid w:val="00D401E8"/>
    <w:rsid w:val="00D40373"/>
    <w:rsid w:val="00D40611"/>
    <w:rsid w:val="00D406AC"/>
    <w:rsid w:val="00D407C3"/>
    <w:rsid w:val="00D40C4C"/>
    <w:rsid w:val="00D40CA3"/>
    <w:rsid w:val="00D40D6F"/>
    <w:rsid w:val="00D40D74"/>
    <w:rsid w:val="00D41005"/>
    <w:rsid w:val="00D4102E"/>
    <w:rsid w:val="00D41347"/>
    <w:rsid w:val="00D41404"/>
    <w:rsid w:val="00D414F3"/>
    <w:rsid w:val="00D41638"/>
    <w:rsid w:val="00D41669"/>
    <w:rsid w:val="00D417D6"/>
    <w:rsid w:val="00D418D2"/>
    <w:rsid w:val="00D41A0B"/>
    <w:rsid w:val="00D41A51"/>
    <w:rsid w:val="00D41A97"/>
    <w:rsid w:val="00D41C47"/>
    <w:rsid w:val="00D4206A"/>
    <w:rsid w:val="00D424AC"/>
    <w:rsid w:val="00D4261E"/>
    <w:rsid w:val="00D42670"/>
    <w:rsid w:val="00D42916"/>
    <w:rsid w:val="00D42A16"/>
    <w:rsid w:val="00D42A9C"/>
    <w:rsid w:val="00D42AEA"/>
    <w:rsid w:val="00D42B02"/>
    <w:rsid w:val="00D42B2F"/>
    <w:rsid w:val="00D42C01"/>
    <w:rsid w:val="00D42D85"/>
    <w:rsid w:val="00D42DE6"/>
    <w:rsid w:val="00D42E24"/>
    <w:rsid w:val="00D42F41"/>
    <w:rsid w:val="00D42F68"/>
    <w:rsid w:val="00D4302E"/>
    <w:rsid w:val="00D430B5"/>
    <w:rsid w:val="00D43380"/>
    <w:rsid w:val="00D43585"/>
    <w:rsid w:val="00D4364F"/>
    <w:rsid w:val="00D436F9"/>
    <w:rsid w:val="00D4372B"/>
    <w:rsid w:val="00D43802"/>
    <w:rsid w:val="00D43A02"/>
    <w:rsid w:val="00D43BB6"/>
    <w:rsid w:val="00D43BEF"/>
    <w:rsid w:val="00D43C0F"/>
    <w:rsid w:val="00D43F2D"/>
    <w:rsid w:val="00D43F44"/>
    <w:rsid w:val="00D44143"/>
    <w:rsid w:val="00D441B1"/>
    <w:rsid w:val="00D441E5"/>
    <w:rsid w:val="00D4421B"/>
    <w:rsid w:val="00D4454E"/>
    <w:rsid w:val="00D44776"/>
    <w:rsid w:val="00D44913"/>
    <w:rsid w:val="00D44A00"/>
    <w:rsid w:val="00D44A46"/>
    <w:rsid w:val="00D44C86"/>
    <w:rsid w:val="00D44CA4"/>
    <w:rsid w:val="00D44D5C"/>
    <w:rsid w:val="00D44ED8"/>
    <w:rsid w:val="00D450CA"/>
    <w:rsid w:val="00D45105"/>
    <w:rsid w:val="00D4519D"/>
    <w:rsid w:val="00D45593"/>
    <w:rsid w:val="00D4584F"/>
    <w:rsid w:val="00D45ABE"/>
    <w:rsid w:val="00D45C35"/>
    <w:rsid w:val="00D45C50"/>
    <w:rsid w:val="00D45CFD"/>
    <w:rsid w:val="00D45E52"/>
    <w:rsid w:val="00D45ECB"/>
    <w:rsid w:val="00D463C7"/>
    <w:rsid w:val="00D463CA"/>
    <w:rsid w:val="00D465A6"/>
    <w:rsid w:val="00D465F6"/>
    <w:rsid w:val="00D467DF"/>
    <w:rsid w:val="00D467E8"/>
    <w:rsid w:val="00D46C27"/>
    <w:rsid w:val="00D46CFF"/>
    <w:rsid w:val="00D46D32"/>
    <w:rsid w:val="00D46F94"/>
    <w:rsid w:val="00D46FE6"/>
    <w:rsid w:val="00D470BA"/>
    <w:rsid w:val="00D470EB"/>
    <w:rsid w:val="00D4710B"/>
    <w:rsid w:val="00D4714D"/>
    <w:rsid w:val="00D47152"/>
    <w:rsid w:val="00D471B8"/>
    <w:rsid w:val="00D4720B"/>
    <w:rsid w:val="00D47342"/>
    <w:rsid w:val="00D47506"/>
    <w:rsid w:val="00D477F5"/>
    <w:rsid w:val="00D479BC"/>
    <w:rsid w:val="00D47A40"/>
    <w:rsid w:val="00D47A65"/>
    <w:rsid w:val="00D47ACE"/>
    <w:rsid w:val="00D47AD8"/>
    <w:rsid w:val="00D47AE8"/>
    <w:rsid w:val="00D47B3D"/>
    <w:rsid w:val="00D47C19"/>
    <w:rsid w:val="00D47C8E"/>
    <w:rsid w:val="00D47CED"/>
    <w:rsid w:val="00D47D38"/>
    <w:rsid w:val="00D50006"/>
    <w:rsid w:val="00D5006B"/>
    <w:rsid w:val="00D5023B"/>
    <w:rsid w:val="00D50493"/>
    <w:rsid w:val="00D506C8"/>
    <w:rsid w:val="00D50844"/>
    <w:rsid w:val="00D5098F"/>
    <w:rsid w:val="00D50A0C"/>
    <w:rsid w:val="00D50A6B"/>
    <w:rsid w:val="00D50BA9"/>
    <w:rsid w:val="00D50BC0"/>
    <w:rsid w:val="00D50C50"/>
    <w:rsid w:val="00D50C96"/>
    <w:rsid w:val="00D50EA9"/>
    <w:rsid w:val="00D50FFB"/>
    <w:rsid w:val="00D51140"/>
    <w:rsid w:val="00D51155"/>
    <w:rsid w:val="00D514C4"/>
    <w:rsid w:val="00D515EA"/>
    <w:rsid w:val="00D5196A"/>
    <w:rsid w:val="00D5197B"/>
    <w:rsid w:val="00D519F4"/>
    <w:rsid w:val="00D51AD9"/>
    <w:rsid w:val="00D51F7A"/>
    <w:rsid w:val="00D52136"/>
    <w:rsid w:val="00D52164"/>
    <w:rsid w:val="00D52330"/>
    <w:rsid w:val="00D5235B"/>
    <w:rsid w:val="00D52371"/>
    <w:rsid w:val="00D524DB"/>
    <w:rsid w:val="00D52525"/>
    <w:rsid w:val="00D5272C"/>
    <w:rsid w:val="00D527E3"/>
    <w:rsid w:val="00D52866"/>
    <w:rsid w:val="00D52C20"/>
    <w:rsid w:val="00D52C69"/>
    <w:rsid w:val="00D52D1D"/>
    <w:rsid w:val="00D52D29"/>
    <w:rsid w:val="00D52F19"/>
    <w:rsid w:val="00D53202"/>
    <w:rsid w:val="00D533D5"/>
    <w:rsid w:val="00D53417"/>
    <w:rsid w:val="00D5348C"/>
    <w:rsid w:val="00D5358C"/>
    <w:rsid w:val="00D53634"/>
    <w:rsid w:val="00D53761"/>
    <w:rsid w:val="00D537A0"/>
    <w:rsid w:val="00D53A22"/>
    <w:rsid w:val="00D53AB8"/>
    <w:rsid w:val="00D53B54"/>
    <w:rsid w:val="00D53B5A"/>
    <w:rsid w:val="00D53B9A"/>
    <w:rsid w:val="00D53BD2"/>
    <w:rsid w:val="00D53E3A"/>
    <w:rsid w:val="00D53ED9"/>
    <w:rsid w:val="00D53EE2"/>
    <w:rsid w:val="00D53FBC"/>
    <w:rsid w:val="00D53FF6"/>
    <w:rsid w:val="00D543F1"/>
    <w:rsid w:val="00D54486"/>
    <w:rsid w:val="00D54631"/>
    <w:rsid w:val="00D546AD"/>
    <w:rsid w:val="00D546D4"/>
    <w:rsid w:val="00D54722"/>
    <w:rsid w:val="00D547CD"/>
    <w:rsid w:val="00D549FC"/>
    <w:rsid w:val="00D54ACA"/>
    <w:rsid w:val="00D54C2A"/>
    <w:rsid w:val="00D54C7F"/>
    <w:rsid w:val="00D54CB5"/>
    <w:rsid w:val="00D54E28"/>
    <w:rsid w:val="00D54E31"/>
    <w:rsid w:val="00D54E48"/>
    <w:rsid w:val="00D54F92"/>
    <w:rsid w:val="00D55102"/>
    <w:rsid w:val="00D551F2"/>
    <w:rsid w:val="00D55250"/>
    <w:rsid w:val="00D55262"/>
    <w:rsid w:val="00D55303"/>
    <w:rsid w:val="00D55362"/>
    <w:rsid w:val="00D554D2"/>
    <w:rsid w:val="00D55580"/>
    <w:rsid w:val="00D557BA"/>
    <w:rsid w:val="00D558D3"/>
    <w:rsid w:val="00D55A83"/>
    <w:rsid w:val="00D55AAD"/>
    <w:rsid w:val="00D55CA6"/>
    <w:rsid w:val="00D55EB9"/>
    <w:rsid w:val="00D55FAA"/>
    <w:rsid w:val="00D56362"/>
    <w:rsid w:val="00D5641D"/>
    <w:rsid w:val="00D564E2"/>
    <w:rsid w:val="00D56657"/>
    <w:rsid w:val="00D56797"/>
    <w:rsid w:val="00D5697F"/>
    <w:rsid w:val="00D56AF4"/>
    <w:rsid w:val="00D56EBF"/>
    <w:rsid w:val="00D56F43"/>
    <w:rsid w:val="00D56F66"/>
    <w:rsid w:val="00D56F9C"/>
    <w:rsid w:val="00D57149"/>
    <w:rsid w:val="00D57169"/>
    <w:rsid w:val="00D571AE"/>
    <w:rsid w:val="00D57380"/>
    <w:rsid w:val="00D576AC"/>
    <w:rsid w:val="00D579BE"/>
    <w:rsid w:val="00D57C7F"/>
    <w:rsid w:val="00D57D37"/>
    <w:rsid w:val="00D57FFC"/>
    <w:rsid w:val="00D60066"/>
    <w:rsid w:val="00D60104"/>
    <w:rsid w:val="00D60185"/>
    <w:rsid w:val="00D60186"/>
    <w:rsid w:val="00D602A0"/>
    <w:rsid w:val="00D6030D"/>
    <w:rsid w:val="00D603CC"/>
    <w:rsid w:val="00D6041C"/>
    <w:rsid w:val="00D60579"/>
    <w:rsid w:val="00D60583"/>
    <w:rsid w:val="00D60605"/>
    <w:rsid w:val="00D60645"/>
    <w:rsid w:val="00D606C5"/>
    <w:rsid w:val="00D608AA"/>
    <w:rsid w:val="00D60A52"/>
    <w:rsid w:val="00D60A57"/>
    <w:rsid w:val="00D60A68"/>
    <w:rsid w:val="00D60B67"/>
    <w:rsid w:val="00D60C7B"/>
    <w:rsid w:val="00D60CFD"/>
    <w:rsid w:val="00D60FB9"/>
    <w:rsid w:val="00D60FF9"/>
    <w:rsid w:val="00D61047"/>
    <w:rsid w:val="00D61451"/>
    <w:rsid w:val="00D6150E"/>
    <w:rsid w:val="00D615F5"/>
    <w:rsid w:val="00D61613"/>
    <w:rsid w:val="00D61629"/>
    <w:rsid w:val="00D6168F"/>
    <w:rsid w:val="00D6182E"/>
    <w:rsid w:val="00D61906"/>
    <w:rsid w:val="00D619D9"/>
    <w:rsid w:val="00D61A4D"/>
    <w:rsid w:val="00D6201D"/>
    <w:rsid w:val="00D62062"/>
    <w:rsid w:val="00D621C4"/>
    <w:rsid w:val="00D621F1"/>
    <w:rsid w:val="00D6234C"/>
    <w:rsid w:val="00D62645"/>
    <w:rsid w:val="00D62836"/>
    <w:rsid w:val="00D629F1"/>
    <w:rsid w:val="00D62A29"/>
    <w:rsid w:val="00D62A76"/>
    <w:rsid w:val="00D62A8F"/>
    <w:rsid w:val="00D62B53"/>
    <w:rsid w:val="00D62B6C"/>
    <w:rsid w:val="00D62B76"/>
    <w:rsid w:val="00D62CB4"/>
    <w:rsid w:val="00D62E03"/>
    <w:rsid w:val="00D62E06"/>
    <w:rsid w:val="00D62EDC"/>
    <w:rsid w:val="00D62F58"/>
    <w:rsid w:val="00D63073"/>
    <w:rsid w:val="00D6313A"/>
    <w:rsid w:val="00D63204"/>
    <w:rsid w:val="00D6320B"/>
    <w:rsid w:val="00D63396"/>
    <w:rsid w:val="00D6341B"/>
    <w:rsid w:val="00D63493"/>
    <w:rsid w:val="00D635B0"/>
    <w:rsid w:val="00D635CB"/>
    <w:rsid w:val="00D638A3"/>
    <w:rsid w:val="00D638D5"/>
    <w:rsid w:val="00D63A30"/>
    <w:rsid w:val="00D63A5F"/>
    <w:rsid w:val="00D63AED"/>
    <w:rsid w:val="00D63B39"/>
    <w:rsid w:val="00D63B64"/>
    <w:rsid w:val="00D63C77"/>
    <w:rsid w:val="00D6401A"/>
    <w:rsid w:val="00D64047"/>
    <w:rsid w:val="00D64076"/>
    <w:rsid w:val="00D6412C"/>
    <w:rsid w:val="00D643A0"/>
    <w:rsid w:val="00D64443"/>
    <w:rsid w:val="00D64539"/>
    <w:rsid w:val="00D645E4"/>
    <w:rsid w:val="00D6469C"/>
    <w:rsid w:val="00D6476D"/>
    <w:rsid w:val="00D647E2"/>
    <w:rsid w:val="00D64A48"/>
    <w:rsid w:val="00D64A89"/>
    <w:rsid w:val="00D64D86"/>
    <w:rsid w:val="00D64DD1"/>
    <w:rsid w:val="00D64EC1"/>
    <w:rsid w:val="00D651F2"/>
    <w:rsid w:val="00D65698"/>
    <w:rsid w:val="00D656B5"/>
    <w:rsid w:val="00D657C5"/>
    <w:rsid w:val="00D65807"/>
    <w:rsid w:val="00D6585B"/>
    <w:rsid w:val="00D65A32"/>
    <w:rsid w:val="00D65AD9"/>
    <w:rsid w:val="00D65B78"/>
    <w:rsid w:val="00D65E02"/>
    <w:rsid w:val="00D65E0F"/>
    <w:rsid w:val="00D66079"/>
    <w:rsid w:val="00D660E8"/>
    <w:rsid w:val="00D66132"/>
    <w:rsid w:val="00D6621C"/>
    <w:rsid w:val="00D6628B"/>
    <w:rsid w:val="00D6634F"/>
    <w:rsid w:val="00D6656C"/>
    <w:rsid w:val="00D66862"/>
    <w:rsid w:val="00D66B5F"/>
    <w:rsid w:val="00D66B83"/>
    <w:rsid w:val="00D66C02"/>
    <w:rsid w:val="00D66F10"/>
    <w:rsid w:val="00D66F4D"/>
    <w:rsid w:val="00D67271"/>
    <w:rsid w:val="00D67372"/>
    <w:rsid w:val="00D67453"/>
    <w:rsid w:val="00D67699"/>
    <w:rsid w:val="00D67776"/>
    <w:rsid w:val="00D67BD7"/>
    <w:rsid w:val="00D67D07"/>
    <w:rsid w:val="00D67D38"/>
    <w:rsid w:val="00D7006A"/>
    <w:rsid w:val="00D70095"/>
    <w:rsid w:val="00D700CA"/>
    <w:rsid w:val="00D70149"/>
    <w:rsid w:val="00D701B9"/>
    <w:rsid w:val="00D70228"/>
    <w:rsid w:val="00D703EF"/>
    <w:rsid w:val="00D704FD"/>
    <w:rsid w:val="00D7070B"/>
    <w:rsid w:val="00D70873"/>
    <w:rsid w:val="00D7088C"/>
    <w:rsid w:val="00D709A4"/>
    <w:rsid w:val="00D70A99"/>
    <w:rsid w:val="00D70B6C"/>
    <w:rsid w:val="00D70B73"/>
    <w:rsid w:val="00D70C88"/>
    <w:rsid w:val="00D71035"/>
    <w:rsid w:val="00D71039"/>
    <w:rsid w:val="00D7109A"/>
    <w:rsid w:val="00D71101"/>
    <w:rsid w:val="00D71130"/>
    <w:rsid w:val="00D71164"/>
    <w:rsid w:val="00D71314"/>
    <w:rsid w:val="00D71364"/>
    <w:rsid w:val="00D713AC"/>
    <w:rsid w:val="00D71439"/>
    <w:rsid w:val="00D717B0"/>
    <w:rsid w:val="00D71BA4"/>
    <w:rsid w:val="00D71D9B"/>
    <w:rsid w:val="00D71DC9"/>
    <w:rsid w:val="00D71E10"/>
    <w:rsid w:val="00D71F29"/>
    <w:rsid w:val="00D71FE0"/>
    <w:rsid w:val="00D720D8"/>
    <w:rsid w:val="00D721D1"/>
    <w:rsid w:val="00D72356"/>
    <w:rsid w:val="00D7237F"/>
    <w:rsid w:val="00D7244D"/>
    <w:rsid w:val="00D724A5"/>
    <w:rsid w:val="00D72520"/>
    <w:rsid w:val="00D726D7"/>
    <w:rsid w:val="00D72890"/>
    <w:rsid w:val="00D728E7"/>
    <w:rsid w:val="00D72AAC"/>
    <w:rsid w:val="00D72BB1"/>
    <w:rsid w:val="00D72C6D"/>
    <w:rsid w:val="00D73240"/>
    <w:rsid w:val="00D732D7"/>
    <w:rsid w:val="00D734C6"/>
    <w:rsid w:val="00D73507"/>
    <w:rsid w:val="00D7397B"/>
    <w:rsid w:val="00D73CFF"/>
    <w:rsid w:val="00D73D61"/>
    <w:rsid w:val="00D73D75"/>
    <w:rsid w:val="00D73D98"/>
    <w:rsid w:val="00D73F3A"/>
    <w:rsid w:val="00D74080"/>
    <w:rsid w:val="00D7410A"/>
    <w:rsid w:val="00D741C2"/>
    <w:rsid w:val="00D741EE"/>
    <w:rsid w:val="00D7430A"/>
    <w:rsid w:val="00D7431F"/>
    <w:rsid w:val="00D7432A"/>
    <w:rsid w:val="00D743C5"/>
    <w:rsid w:val="00D74598"/>
    <w:rsid w:val="00D745BA"/>
    <w:rsid w:val="00D74682"/>
    <w:rsid w:val="00D7469B"/>
    <w:rsid w:val="00D74789"/>
    <w:rsid w:val="00D747B3"/>
    <w:rsid w:val="00D749C5"/>
    <w:rsid w:val="00D74A7C"/>
    <w:rsid w:val="00D74BA5"/>
    <w:rsid w:val="00D74C3F"/>
    <w:rsid w:val="00D74F75"/>
    <w:rsid w:val="00D74FA1"/>
    <w:rsid w:val="00D7506D"/>
    <w:rsid w:val="00D75298"/>
    <w:rsid w:val="00D75546"/>
    <w:rsid w:val="00D756B7"/>
    <w:rsid w:val="00D756BD"/>
    <w:rsid w:val="00D75783"/>
    <w:rsid w:val="00D75854"/>
    <w:rsid w:val="00D758CC"/>
    <w:rsid w:val="00D75952"/>
    <w:rsid w:val="00D75A35"/>
    <w:rsid w:val="00D75B02"/>
    <w:rsid w:val="00D75CC2"/>
    <w:rsid w:val="00D75D6F"/>
    <w:rsid w:val="00D75E27"/>
    <w:rsid w:val="00D75F24"/>
    <w:rsid w:val="00D76013"/>
    <w:rsid w:val="00D76153"/>
    <w:rsid w:val="00D7630A"/>
    <w:rsid w:val="00D764A7"/>
    <w:rsid w:val="00D765E3"/>
    <w:rsid w:val="00D765F1"/>
    <w:rsid w:val="00D767AA"/>
    <w:rsid w:val="00D76A1C"/>
    <w:rsid w:val="00D76CF8"/>
    <w:rsid w:val="00D76F5C"/>
    <w:rsid w:val="00D770E2"/>
    <w:rsid w:val="00D772DB"/>
    <w:rsid w:val="00D77393"/>
    <w:rsid w:val="00D77517"/>
    <w:rsid w:val="00D77623"/>
    <w:rsid w:val="00D776F5"/>
    <w:rsid w:val="00D77722"/>
    <w:rsid w:val="00D777BC"/>
    <w:rsid w:val="00D7780C"/>
    <w:rsid w:val="00D7788A"/>
    <w:rsid w:val="00D7792B"/>
    <w:rsid w:val="00D779AE"/>
    <w:rsid w:val="00D77A08"/>
    <w:rsid w:val="00D77B3A"/>
    <w:rsid w:val="00D77C2F"/>
    <w:rsid w:val="00D77CAB"/>
    <w:rsid w:val="00D77CE3"/>
    <w:rsid w:val="00D77DBC"/>
    <w:rsid w:val="00D77E3E"/>
    <w:rsid w:val="00D77EAB"/>
    <w:rsid w:val="00D77ED4"/>
    <w:rsid w:val="00D80104"/>
    <w:rsid w:val="00D8011F"/>
    <w:rsid w:val="00D80187"/>
    <w:rsid w:val="00D80428"/>
    <w:rsid w:val="00D80460"/>
    <w:rsid w:val="00D804C8"/>
    <w:rsid w:val="00D806CF"/>
    <w:rsid w:val="00D80A0F"/>
    <w:rsid w:val="00D80AC8"/>
    <w:rsid w:val="00D80B66"/>
    <w:rsid w:val="00D80B69"/>
    <w:rsid w:val="00D80E4D"/>
    <w:rsid w:val="00D8110E"/>
    <w:rsid w:val="00D811E9"/>
    <w:rsid w:val="00D8133A"/>
    <w:rsid w:val="00D81353"/>
    <w:rsid w:val="00D81452"/>
    <w:rsid w:val="00D81566"/>
    <w:rsid w:val="00D8179B"/>
    <w:rsid w:val="00D818A8"/>
    <w:rsid w:val="00D81B14"/>
    <w:rsid w:val="00D81B5A"/>
    <w:rsid w:val="00D81B86"/>
    <w:rsid w:val="00D81BAB"/>
    <w:rsid w:val="00D81BBB"/>
    <w:rsid w:val="00D81C05"/>
    <w:rsid w:val="00D81C7C"/>
    <w:rsid w:val="00D81D07"/>
    <w:rsid w:val="00D81D99"/>
    <w:rsid w:val="00D81ECC"/>
    <w:rsid w:val="00D81F2D"/>
    <w:rsid w:val="00D8204E"/>
    <w:rsid w:val="00D82187"/>
    <w:rsid w:val="00D8242B"/>
    <w:rsid w:val="00D8245E"/>
    <w:rsid w:val="00D827B7"/>
    <w:rsid w:val="00D82B48"/>
    <w:rsid w:val="00D82C37"/>
    <w:rsid w:val="00D82CC2"/>
    <w:rsid w:val="00D82EBD"/>
    <w:rsid w:val="00D82FF5"/>
    <w:rsid w:val="00D8322A"/>
    <w:rsid w:val="00D832F6"/>
    <w:rsid w:val="00D83371"/>
    <w:rsid w:val="00D83491"/>
    <w:rsid w:val="00D83517"/>
    <w:rsid w:val="00D8352A"/>
    <w:rsid w:val="00D836C7"/>
    <w:rsid w:val="00D83858"/>
    <w:rsid w:val="00D8386F"/>
    <w:rsid w:val="00D83928"/>
    <w:rsid w:val="00D83BF5"/>
    <w:rsid w:val="00D83CA5"/>
    <w:rsid w:val="00D83EF9"/>
    <w:rsid w:val="00D840D8"/>
    <w:rsid w:val="00D84122"/>
    <w:rsid w:val="00D8429B"/>
    <w:rsid w:val="00D842C2"/>
    <w:rsid w:val="00D844A1"/>
    <w:rsid w:val="00D844FB"/>
    <w:rsid w:val="00D8456D"/>
    <w:rsid w:val="00D8460F"/>
    <w:rsid w:val="00D846BC"/>
    <w:rsid w:val="00D847F6"/>
    <w:rsid w:val="00D848CA"/>
    <w:rsid w:val="00D84CA8"/>
    <w:rsid w:val="00D84E88"/>
    <w:rsid w:val="00D84EE8"/>
    <w:rsid w:val="00D84FE1"/>
    <w:rsid w:val="00D850D0"/>
    <w:rsid w:val="00D85161"/>
    <w:rsid w:val="00D852EC"/>
    <w:rsid w:val="00D85313"/>
    <w:rsid w:val="00D85548"/>
    <w:rsid w:val="00D85717"/>
    <w:rsid w:val="00D8572B"/>
    <w:rsid w:val="00D85DC5"/>
    <w:rsid w:val="00D85E34"/>
    <w:rsid w:val="00D85EA4"/>
    <w:rsid w:val="00D86070"/>
    <w:rsid w:val="00D86095"/>
    <w:rsid w:val="00D860AE"/>
    <w:rsid w:val="00D86197"/>
    <w:rsid w:val="00D8638E"/>
    <w:rsid w:val="00D864B3"/>
    <w:rsid w:val="00D86582"/>
    <w:rsid w:val="00D86838"/>
    <w:rsid w:val="00D86933"/>
    <w:rsid w:val="00D86A42"/>
    <w:rsid w:val="00D86A78"/>
    <w:rsid w:val="00D86B10"/>
    <w:rsid w:val="00D86B11"/>
    <w:rsid w:val="00D86B6F"/>
    <w:rsid w:val="00D86B74"/>
    <w:rsid w:val="00D86C23"/>
    <w:rsid w:val="00D86CE0"/>
    <w:rsid w:val="00D86EFA"/>
    <w:rsid w:val="00D87020"/>
    <w:rsid w:val="00D870B1"/>
    <w:rsid w:val="00D87293"/>
    <w:rsid w:val="00D87347"/>
    <w:rsid w:val="00D873DD"/>
    <w:rsid w:val="00D8757E"/>
    <w:rsid w:val="00D8765B"/>
    <w:rsid w:val="00D8771B"/>
    <w:rsid w:val="00D8795B"/>
    <w:rsid w:val="00D87CF6"/>
    <w:rsid w:val="00D87D6F"/>
    <w:rsid w:val="00D87DE5"/>
    <w:rsid w:val="00D87E1B"/>
    <w:rsid w:val="00D87E31"/>
    <w:rsid w:val="00D87EFB"/>
    <w:rsid w:val="00D87F72"/>
    <w:rsid w:val="00D87F98"/>
    <w:rsid w:val="00D900A0"/>
    <w:rsid w:val="00D9014C"/>
    <w:rsid w:val="00D904B5"/>
    <w:rsid w:val="00D90619"/>
    <w:rsid w:val="00D90663"/>
    <w:rsid w:val="00D90728"/>
    <w:rsid w:val="00D9073E"/>
    <w:rsid w:val="00D90828"/>
    <w:rsid w:val="00D908A1"/>
    <w:rsid w:val="00D90A35"/>
    <w:rsid w:val="00D90CD4"/>
    <w:rsid w:val="00D90D2C"/>
    <w:rsid w:val="00D90D42"/>
    <w:rsid w:val="00D9103E"/>
    <w:rsid w:val="00D91078"/>
    <w:rsid w:val="00D91113"/>
    <w:rsid w:val="00D911B5"/>
    <w:rsid w:val="00D913E9"/>
    <w:rsid w:val="00D91418"/>
    <w:rsid w:val="00D915A6"/>
    <w:rsid w:val="00D9165B"/>
    <w:rsid w:val="00D91924"/>
    <w:rsid w:val="00D91926"/>
    <w:rsid w:val="00D91A7F"/>
    <w:rsid w:val="00D91B61"/>
    <w:rsid w:val="00D91CDA"/>
    <w:rsid w:val="00D920EE"/>
    <w:rsid w:val="00D921B2"/>
    <w:rsid w:val="00D921D4"/>
    <w:rsid w:val="00D92245"/>
    <w:rsid w:val="00D9225D"/>
    <w:rsid w:val="00D922D5"/>
    <w:rsid w:val="00D9235B"/>
    <w:rsid w:val="00D92389"/>
    <w:rsid w:val="00D924DA"/>
    <w:rsid w:val="00D9280D"/>
    <w:rsid w:val="00D92A13"/>
    <w:rsid w:val="00D92C3A"/>
    <w:rsid w:val="00D92E51"/>
    <w:rsid w:val="00D92E6C"/>
    <w:rsid w:val="00D92F26"/>
    <w:rsid w:val="00D92F52"/>
    <w:rsid w:val="00D93158"/>
    <w:rsid w:val="00D9328B"/>
    <w:rsid w:val="00D9337E"/>
    <w:rsid w:val="00D9354E"/>
    <w:rsid w:val="00D93557"/>
    <w:rsid w:val="00D93711"/>
    <w:rsid w:val="00D93793"/>
    <w:rsid w:val="00D93851"/>
    <w:rsid w:val="00D938B6"/>
    <w:rsid w:val="00D9395B"/>
    <w:rsid w:val="00D939AC"/>
    <w:rsid w:val="00D939E2"/>
    <w:rsid w:val="00D93AEF"/>
    <w:rsid w:val="00D93B05"/>
    <w:rsid w:val="00D93B75"/>
    <w:rsid w:val="00D93C83"/>
    <w:rsid w:val="00D93CEE"/>
    <w:rsid w:val="00D93D49"/>
    <w:rsid w:val="00D93D7E"/>
    <w:rsid w:val="00D93E38"/>
    <w:rsid w:val="00D93F29"/>
    <w:rsid w:val="00D93F9D"/>
    <w:rsid w:val="00D93FD6"/>
    <w:rsid w:val="00D9401D"/>
    <w:rsid w:val="00D9407C"/>
    <w:rsid w:val="00D94136"/>
    <w:rsid w:val="00D9418C"/>
    <w:rsid w:val="00D9457B"/>
    <w:rsid w:val="00D948C0"/>
    <w:rsid w:val="00D949D5"/>
    <w:rsid w:val="00D94C5E"/>
    <w:rsid w:val="00D94DBD"/>
    <w:rsid w:val="00D94DE4"/>
    <w:rsid w:val="00D94F81"/>
    <w:rsid w:val="00D94F93"/>
    <w:rsid w:val="00D94FE1"/>
    <w:rsid w:val="00D95139"/>
    <w:rsid w:val="00D9513A"/>
    <w:rsid w:val="00D95281"/>
    <w:rsid w:val="00D9532B"/>
    <w:rsid w:val="00D95551"/>
    <w:rsid w:val="00D9562D"/>
    <w:rsid w:val="00D95639"/>
    <w:rsid w:val="00D956DA"/>
    <w:rsid w:val="00D95821"/>
    <w:rsid w:val="00D95895"/>
    <w:rsid w:val="00D958F1"/>
    <w:rsid w:val="00D9594A"/>
    <w:rsid w:val="00D95968"/>
    <w:rsid w:val="00D9597D"/>
    <w:rsid w:val="00D95A18"/>
    <w:rsid w:val="00D95A50"/>
    <w:rsid w:val="00D95B32"/>
    <w:rsid w:val="00D95C3A"/>
    <w:rsid w:val="00D95C58"/>
    <w:rsid w:val="00D95C75"/>
    <w:rsid w:val="00D95D00"/>
    <w:rsid w:val="00D95DB2"/>
    <w:rsid w:val="00D95E17"/>
    <w:rsid w:val="00D95E2B"/>
    <w:rsid w:val="00D960EE"/>
    <w:rsid w:val="00D961BB"/>
    <w:rsid w:val="00D96258"/>
    <w:rsid w:val="00D965CD"/>
    <w:rsid w:val="00D96887"/>
    <w:rsid w:val="00D9689B"/>
    <w:rsid w:val="00D968DD"/>
    <w:rsid w:val="00D96918"/>
    <w:rsid w:val="00D96927"/>
    <w:rsid w:val="00D9699E"/>
    <w:rsid w:val="00D96BCA"/>
    <w:rsid w:val="00D96EB2"/>
    <w:rsid w:val="00D96F2B"/>
    <w:rsid w:val="00D96FF1"/>
    <w:rsid w:val="00D97007"/>
    <w:rsid w:val="00D970C8"/>
    <w:rsid w:val="00D971B1"/>
    <w:rsid w:val="00D9722C"/>
    <w:rsid w:val="00D9728E"/>
    <w:rsid w:val="00D97336"/>
    <w:rsid w:val="00D975B9"/>
    <w:rsid w:val="00D975CE"/>
    <w:rsid w:val="00D975FC"/>
    <w:rsid w:val="00D977FD"/>
    <w:rsid w:val="00D97950"/>
    <w:rsid w:val="00D979AA"/>
    <w:rsid w:val="00D97BE9"/>
    <w:rsid w:val="00D97CB0"/>
    <w:rsid w:val="00D97D79"/>
    <w:rsid w:val="00D97EA5"/>
    <w:rsid w:val="00D97F1E"/>
    <w:rsid w:val="00D97FAF"/>
    <w:rsid w:val="00DA0422"/>
    <w:rsid w:val="00DA0577"/>
    <w:rsid w:val="00DA05E8"/>
    <w:rsid w:val="00DA0668"/>
    <w:rsid w:val="00DA0674"/>
    <w:rsid w:val="00DA0743"/>
    <w:rsid w:val="00DA07D5"/>
    <w:rsid w:val="00DA07F8"/>
    <w:rsid w:val="00DA094F"/>
    <w:rsid w:val="00DA0B63"/>
    <w:rsid w:val="00DA0BB2"/>
    <w:rsid w:val="00DA0C8A"/>
    <w:rsid w:val="00DA0D02"/>
    <w:rsid w:val="00DA0D55"/>
    <w:rsid w:val="00DA0D61"/>
    <w:rsid w:val="00DA0D94"/>
    <w:rsid w:val="00DA106E"/>
    <w:rsid w:val="00DA14A1"/>
    <w:rsid w:val="00DA14C4"/>
    <w:rsid w:val="00DA16B8"/>
    <w:rsid w:val="00DA1763"/>
    <w:rsid w:val="00DA1920"/>
    <w:rsid w:val="00DA19DE"/>
    <w:rsid w:val="00DA1ABF"/>
    <w:rsid w:val="00DA1DA2"/>
    <w:rsid w:val="00DA1E3B"/>
    <w:rsid w:val="00DA1E5E"/>
    <w:rsid w:val="00DA2006"/>
    <w:rsid w:val="00DA203B"/>
    <w:rsid w:val="00DA20DD"/>
    <w:rsid w:val="00DA21F6"/>
    <w:rsid w:val="00DA2327"/>
    <w:rsid w:val="00DA23BF"/>
    <w:rsid w:val="00DA25A6"/>
    <w:rsid w:val="00DA26E2"/>
    <w:rsid w:val="00DA2911"/>
    <w:rsid w:val="00DA2B18"/>
    <w:rsid w:val="00DA2C26"/>
    <w:rsid w:val="00DA2C97"/>
    <w:rsid w:val="00DA2D01"/>
    <w:rsid w:val="00DA2DA5"/>
    <w:rsid w:val="00DA2E11"/>
    <w:rsid w:val="00DA30FF"/>
    <w:rsid w:val="00DA31B7"/>
    <w:rsid w:val="00DA3294"/>
    <w:rsid w:val="00DA329E"/>
    <w:rsid w:val="00DA361A"/>
    <w:rsid w:val="00DA362D"/>
    <w:rsid w:val="00DA3984"/>
    <w:rsid w:val="00DA398A"/>
    <w:rsid w:val="00DA39EA"/>
    <w:rsid w:val="00DA3A42"/>
    <w:rsid w:val="00DA3A7D"/>
    <w:rsid w:val="00DA3B93"/>
    <w:rsid w:val="00DA3BD5"/>
    <w:rsid w:val="00DA3F7E"/>
    <w:rsid w:val="00DA415E"/>
    <w:rsid w:val="00DA416F"/>
    <w:rsid w:val="00DA42DD"/>
    <w:rsid w:val="00DA4395"/>
    <w:rsid w:val="00DA43D8"/>
    <w:rsid w:val="00DA4410"/>
    <w:rsid w:val="00DA4679"/>
    <w:rsid w:val="00DA4938"/>
    <w:rsid w:val="00DA4AD0"/>
    <w:rsid w:val="00DA4CD9"/>
    <w:rsid w:val="00DA4DD5"/>
    <w:rsid w:val="00DA4EFC"/>
    <w:rsid w:val="00DA4F2C"/>
    <w:rsid w:val="00DA5131"/>
    <w:rsid w:val="00DA51EE"/>
    <w:rsid w:val="00DA532B"/>
    <w:rsid w:val="00DA53F8"/>
    <w:rsid w:val="00DA5694"/>
    <w:rsid w:val="00DA59A5"/>
    <w:rsid w:val="00DA5AA9"/>
    <w:rsid w:val="00DA5F96"/>
    <w:rsid w:val="00DA6114"/>
    <w:rsid w:val="00DA6185"/>
    <w:rsid w:val="00DA634B"/>
    <w:rsid w:val="00DA6380"/>
    <w:rsid w:val="00DA63E1"/>
    <w:rsid w:val="00DA63E6"/>
    <w:rsid w:val="00DA641C"/>
    <w:rsid w:val="00DA6659"/>
    <w:rsid w:val="00DA6995"/>
    <w:rsid w:val="00DA6A68"/>
    <w:rsid w:val="00DA6A93"/>
    <w:rsid w:val="00DA6AB0"/>
    <w:rsid w:val="00DA6B28"/>
    <w:rsid w:val="00DA6C45"/>
    <w:rsid w:val="00DA6CC3"/>
    <w:rsid w:val="00DA6E12"/>
    <w:rsid w:val="00DA71C3"/>
    <w:rsid w:val="00DA7228"/>
    <w:rsid w:val="00DA7351"/>
    <w:rsid w:val="00DA7513"/>
    <w:rsid w:val="00DA75F2"/>
    <w:rsid w:val="00DA75F6"/>
    <w:rsid w:val="00DA7836"/>
    <w:rsid w:val="00DA78FB"/>
    <w:rsid w:val="00DA7924"/>
    <w:rsid w:val="00DA7A53"/>
    <w:rsid w:val="00DA7AEC"/>
    <w:rsid w:val="00DA7CB7"/>
    <w:rsid w:val="00DA7D76"/>
    <w:rsid w:val="00DA7D78"/>
    <w:rsid w:val="00DA7E7D"/>
    <w:rsid w:val="00DB00E7"/>
    <w:rsid w:val="00DB028B"/>
    <w:rsid w:val="00DB0323"/>
    <w:rsid w:val="00DB0418"/>
    <w:rsid w:val="00DB059C"/>
    <w:rsid w:val="00DB0820"/>
    <w:rsid w:val="00DB08F7"/>
    <w:rsid w:val="00DB0912"/>
    <w:rsid w:val="00DB0A1C"/>
    <w:rsid w:val="00DB0C0E"/>
    <w:rsid w:val="00DB0CE1"/>
    <w:rsid w:val="00DB0DCA"/>
    <w:rsid w:val="00DB0DEF"/>
    <w:rsid w:val="00DB1194"/>
    <w:rsid w:val="00DB1344"/>
    <w:rsid w:val="00DB1379"/>
    <w:rsid w:val="00DB1441"/>
    <w:rsid w:val="00DB1452"/>
    <w:rsid w:val="00DB145B"/>
    <w:rsid w:val="00DB1461"/>
    <w:rsid w:val="00DB1561"/>
    <w:rsid w:val="00DB1659"/>
    <w:rsid w:val="00DB16C5"/>
    <w:rsid w:val="00DB1831"/>
    <w:rsid w:val="00DB1848"/>
    <w:rsid w:val="00DB1849"/>
    <w:rsid w:val="00DB18C9"/>
    <w:rsid w:val="00DB1971"/>
    <w:rsid w:val="00DB198B"/>
    <w:rsid w:val="00DB19B0"/>
    <w:rsid w:val="00DB19D4"/>
    <w:rsid w:val="00DB1A96"/>
    <w:rsid w:val="00DB1B6B"/>
    <w:rsid w:val="00DB1C95"/>
    <w:rsid w:val="00DB1CAA"/>
    <w:rsid w:val="00DB1DD0"/>
    <w:rsid w:val="00DB1E91"/>
    <w:rsid w:val="00DB2016"/>
    <w:rsid w:val="00DB2117"/>
    <w:rsid w:val="00DB214C"/>
    <w:rsid w:val="00DB2163"/>
    <w:rsid w:val="00DB2190"/>
    <w:rsid w:val="00DB26C7"/>
    <w:rsid w:val="00DB29A0"/>
    <w:rsid w:val="00DB2A5C"/>
    <w:rsid w:val="00DB2AD6"/>
    <w:rsid w:val="00DB2B41"/>
    <w:rsid w:val="00DB2B4C"/>
    <w:rsid w:val="00DB2B8E"/>
    <w:rsid w:val="00DB2BBC"/>
    <w:rsid w:val="00DB2C53"/>
    <w:rsid w:val="00DB2EB5"/>
    <w:rsid w:val="00DB2ECE"/>
    <w:rsid w:val="00DB2FCE"/>
    <w:rsid w:val="00DB32C0"/>
    <w:rsid w:val="00DB33CD"/>
    <w:rsid w:val="00DB35E6"/>
    <w:rsid w:val="00DB3A45"/>
    <w:rsid w:val="00DB4183"/>
    <w:rsid w:val="00DB41AE"/>
    <w:rsid w:val="00DB41B9"/>
    <w:rsid w:val="00DB41D8"/>
    <w:rsid w:val="00DB4200"/>
    <w:rsid w:val="00DB445B"/>
    <w:rsid w:val="00DB446A"/>
    <w:rsid w:val="00DB4525"/>
    <w:rsid w:val="00DB4779"/>
    <w:rsid w:val="00DB477F"/>
    <w:rsid w:val="00DB487E"/>
    <w:rsid w:val="00DB4CB8"/>
    <w:rsid w:val="00DB4E1F"/>
    <w:rsid w:val="00DB4ECE"/>
    <w:rsid w:val="00DB4ED9"/>
    <w:rsid w:val="00DB4F76"/>
    <w:rsid w:val="00DB50E0"/>
    <w:rsid w:val="00DB5175"/>
    <w:rsid w:val="00DB5178"/>
    <w:rsid w:val="00DB51BD"/>
    <w:rsid w:val="00DB527C"/>
    <w:rsid w:val="00DB52B1"/>
    <w:rsid w:val="00DB53BD"/>
    <w:rsid w:val="00DB53C3"/>
    <w:rsid w:val="00DB5706"/>
    <w:rsid w:val="00DB57CA"/>
    <w:rsid w:val="00DB5859"/>
    <w:rsid w:val="00DB58A2"/>
    <w:rsid w:val="00DB5BB3"/>
    <w:rsid w:val="00DB5CC5"/>
    <w:rsid w:val="00DB5D50"/>
    <w:rsid w:val="00DB5F1A"/>
    <w:rsid w:val="00DB5F88"/>
    <w:rsid w:val="00DB619F"/>
    <w:rsid w:val="00DB623F"/>
    <w:rsid w:val="00DB634F"/>
    <w:rsid w:val="00DB6422"/>
    <w:rsid w:val="00DB644E"/>
    <w:rsid w:val="00DB6562"/>
    <w:rsid w:val="00DB6573"/>
    <w:rsid w:val="00DB661A"/>
    <w:rsid w:val="00DB66DC"/>
    <w:rsid w:val="00DB67EA"/>
    <w:rsid w:val="00DB69AB"/>
    <w:rsid w:val="00DB6A48"/>
    <w:rsid w:val="00DB6B98"/>
    <w:rsid w:val="00DB6E88"/>
    <w:rsid w:val="00DB6F2D"/>
    <w:rsid w:val="00DB723E"/>
    <w:rsid w:val="00DB7286"/>
    <w:rsid w:val="00DB74A9"/>
    <w:rsid w:val="00DB74BC"/>
    <w:rsid w:val="00DB74C7"/>
    <w:rsid w:val="00DB769C"/>
    <w:rsid w:val="00DB7706"/>
    <w:rsid w:val="00DB785B"/>
    <w:rsid w:val="00DB7921"/>
    <w:rsid w:val="00DB7A35"/>
    <w:rsid w:val="00DB7C22"/>
    <w:rsid w:val="00DB7D13"/>
    <w:rsid w:val="00DB7E94"/>
    <w:rsid w:val="00DB7FA9"/>
    <w:rsid w:val="00DB7FD7"/>
    <w:rsid w:val="00DB7FE6"/>
    <w:rsid w:val="00DC004C"/>
    <w:rsid w:val="00DC00A6"/>
    <w:rsid w:val="00DC00E7"/>
    <w:rsid w:val="00DC00F5"/>
    <w:rsid w:val="00DC00FD"/>
    <w:rsid w:val="00DC011A"/>
    <w:rsid w:val="00DC01FE"/>
    <w:rsid w:val="00DC029E"/>
    <w:rsid w:val="00DC06B6"/>
    <w:rsid w:val="00DC0716"/>
    <w:rsid w:val="00DC07C5"/>
    <w:rsid w:val="00DC0A56"/>
    <w:rsid w:val="00DC0A5A"/>
    <w:rsid w:val="00DC0AB1"/>
    <w:rsid w:val="00DC0B70"/>
    <w:rsid w:val="00DC0BE7"/>
    <w:rsid w:val="00DC0CFF"/>
    <w:rsid w:val="00DC0EE5"/>
    <w:rsid w:val="00DC0FC2"/>
    <w:rsid w:val="00DC0FC8"/>
    <w:rsid w:val="00DC1188"/>
    <w:rsid w:val="00DC1392"/>
    <w:rsid w:val="00DC14CC"/>
    <w:rsid w:val="00DC17B0"/>
    <w:rsid w:val="00DC1820"/>
    <w:rsid w:val="00DC1855"/>
    <w:rsid w:val="00DC187F"/>
    <w:rsid w:val="00DC1A39"/>
    <w:rsid w:val="00DC1A3E"/>
    <w:rsid w:val="00DC1A80"/>
    <w:rsid w:val="00DC1A8E"/>
    <w:rsid w:val="00DC1AEF"/>
    <w:rsid w:val="00DC1B7C"/>
    <w:rsid w:val="00DC1CC5"/>
    <w:rsid w:val="00DC1D7A"/>
    <w:rsid w:val="00DC1D7D"/>
    <w:rsid w:val="00DC1E07"/>
    <w:rsid w:val="00DC1EF3"/>
    <w:rsid w:val="00DC1F46"/>
    <w:rsid w:val="00DC1F58"/>
    <w:rsid w:val="00DC209A"/>
    <w:rsid w:val="00DC2158"/>
    <w:rsid w:val="00DC221C"/>
    <w:rsid w:val="00DC23EA"/>
    <w:rsid w:val="00DC2680"/>
    <w:rsid w:val="00DC27FF"/>
    <w:rsid w:val="00DC28C9"/>
    <w:rsid w:val="00DC28FC"/>
    <w:rsid w:val="00DC29E9"/>
    <w:rsid w:val="00DC29EE"/>
    <w:rsid w:val="00DC2A10"/>
    <w:rsid w:val="00DC2BA9"/>
    <w:rsid w:val="00DC2BBA"/>
    <w:rsid w:val="00DC2C6F"/>
    <w:rsid w:val="00DC2D56"/>
    <w:rsid w:val="00DC2D5A"/>
    <w:rsid w:val="00DC2DF8"/>
    <w:rsid w:val="00DC2EA9"/>
    <w:rsid w:val="00DC3040"/>
    <w:rsid w:val="00DC3158"/>
    <w:rsid w:val="00DC321C"/>
    <w:rsid w:val="00DC3292"/>
    <w:rsid w:val="00DC3312"/>
    <w:rsid w:val="00DC334B"/>
    <w:rsid w:val="00DC3458"/>
    <w:rsid w:val="00DC347E"/>
    <w:rsid w:val="00DC360E"/>
    <w:rsid w:val="00DC38B4"/>
    <w:rsid w:val="00DC3A5A"/>
    <w:rsid w:val="00DC3DA9"/>
    <w:rsid w:val="00DC3E02"/>
    <w:rsid w:val="00DC3EB5"/>
    <w:rsid w:val="00DC3FF7"/>
    <w:rsid w:val="00DC403A"/>
    <w:rsid w:val="00DC422A"/>
    <w:rsid w:val="00DC4259"/>
    <w:rsid w:val="00DC4312"/>
    <w:rsid w:val="00DC4427"/>
    <w:rsid w:val="00DC44CA"/>
    <w:rsid w:val="00DC44FC"/>
    <w:rsid w:val="00DC4582"/>
    <w:rsid w:val="00DC458C"/>
    <w:rsid w:val="00DC4820"/>
    <w:rsid w:val="00DC49EC"/>
    <w:rsid w:val="00DC4A48"/>
    <w:rsid w:val="00DC4B0D"/>
    <w:rsid w:val="00DC4C1D"/>
    <w:rsid w:val="00DC4C35"/>
    <w:rsid w:val="00DC4D8D"/>
    <w:rsid w:val="00DC4DE2"/>
    <w:rsid w:val="00DC4E13"/>
    <w:rsid w:val="00DC4E2E"/>
    <w:rsid w:val="00DC4E6C"/>
    <w:rsid w:val="00DC4E6F"/>
    <w:rsid w:val="00DC50A1"/>
    <w:rsid w:val="00DC51BB"/>
    <w:rsid w:val="00DC51F7"/>
    <w:rsid w:val="00DC537F"/>
    <w:rsid w:val="00DC53F4"/>
    <w:rsid w:val="00DC5408"/>
    <w:rsid w:val="00DC5486"/>
    <w:rsid w:val="00DC551D"/>
    <w:rsid w:val="00DC554D"/>
    <w:rsid w:val="00DC558B"/>
    <w:rsid w:val="00DC55E7"/>
    <w:rsid w:val="00DC56BD"/>
    <w:rsid w:val="00DC58A4"/>
    <w:rsid w:val="00DC58AB"/>
    <w:rsid w:val="00DC5A3E"/>
    <w:rsid w:val="00DC5B21"/>
    <w:rsid w:val="00DC5C3F"/>
    <w:rsid w:val="00DC5E61"/>
    <w:rsid w:val="00DC5EDD"/>
    <w:rsid w:val="00DC5FAF"/>
    <w:rsid w:val="00DC6064"/>
    <w:rsid w:val="00DC606D"/>
    <w:rsid w:val="00DC60B1"/>
    <w:rsid w:val="00DC61FB"/>
    <w:rsid w:val="00DC6258"/>
    <w:rsid w:val="00DC637D"/>
    <w:rsid w:val="00DC66DD"/>
    <w:rsid w:val="00DC6718"/>
    <w:rsid w:val="00DC671B"/>
    <w:rsid w:val="00DC672A"/>
    <w:rsid w:val="00DC6AE9"/>
    <w:rsid w:val="00DC6BC1"/>
    <w:rsid w:val="00DC6BD9"/>
    <w:rsid w:val="00DC6DC5"/>
    <w:rsid w:val="00DC6F07"/>
    <w:rsid w:val="00DC6F1F"/>
    <w:rsid w:val="00DC7064"/>
    <w:rsid w:val="00DC7114"/>
    <w:rsid w:val="00DC7429"/>
    <w:rsid w:val="00DC7582"/>
    <w:rsid w:val="00DC75D3"/>
    <w:rsid w:val="00DC7690"/>
    <w:rsid w:val="00DC789E"/>
    <w:rsid w:val="00DC796E"/>
    <w:rsid w:val="00DC7D1A"/>
    <w:rsid w:val="00DC7D54"/>
    <w:rsid w:val="00DC7DC9"/>
    <w:rsid w:val="00DC7F16"/>
    <w:rsid w:val="00DC7FBC"/>
    <w:rsid w:val="00DD0114"/>
    <w:rsid w:val="00DD02F7"/>
    <w:rsid w:val="00DD0311"/>
    <w:rsid w:val="00DD04A4"/>
    <w:rsid w:val="00DD0511"/>
    <w:rsid w:val="00DD0603"/>
    <w:rsid w:val="00DD0708"/>
    <w:rsid w:val="00DD079D"/>
    <w:rsid w:val="00DD09B5"/>
    <w:rsid w:val="00DD0AFE"/>
    <w:rsid w:val="00DD0B51"/>
    <w:rsid w:val="00DD0B72"/>
    <w:rsid w:val="00DD0B95"/>
    <w:rsid w:val="00DD0CA5"/>
    <w:rsid w:val="00DD0CF8"/>
    <w:rsid w:val="00DD0D15"/>
    <w:rsid w:val="00DD0D8B"/>
    <w:rsid w:val="00DD0E28"/>
    <w:rsid w:val="00DD0FFF"/>
    <w:rsid w:val="00DD106D"/>
    <w:rsid w:val="00DD1075"/>
    <w:rsid w:val="00DD11BB"/>
    <w:rsid w:val="00DD11CA"/>
    <w:rsid w:val="00DD1247"/>
    <w:rsid w:val="00DD12FA"/>
    <w:rsid w:val="00DD141F"/>
    <w:rsid w:val="00DD150F"/>
    <w:rsid w:val="00DD1721"/>
    <w:rsid w:val="00DD17C2"/>
    <w:rsid w:val="00DD188A"/>
    <w:rsid w:val="00DD18CA"/>
    <w:rsid w:val="00DD1A2A"/>
    <w:rsid w:val="00DD1ACB"/>
    <w:rsid w:val="00DD1B71"/>
    <w:rsid w:val="00DD1F66"/>
    <w:rsid w:val="00DD1F68"/>
    <w:rsid w:val="00DD2002"/>
    <w:rsid w:val="00DD21ED"/>
    <w:rsid w:val="00DD229A"/>
    <w:rsid w:val="00DD22FC"/>
    <w:rsid w:val="00DD24CD"/>
    <w:rsid w:val="00DD2613"/>
    <w:rsid w:val="00DD2844"/>
    <w:rsid w:val="00DD2A71"/>
    <w:rsid w:val="00DD2ABB"/>
    <w:rsid w:val="00DD2B87"/>
    <w:rsid w:val="00DD2BF5"/>
    <w:rsid w:val="00DD2D4E"/>
    <w:rsid w:val="00DD2D85"/>
    <w:rsid w:val="00DD2DF9"/>
    <w:rsid w:val="00DD2EA9"/>
    <w:rsid w:val="00DD2EB8"/>
    <w:rsid w:val="00DD3055"/>
    <w:rsid w:val="00DD30AA"/>
    <w:rsid w:val="00DD3175"/>
    <w:rsid w:val="00DD3287"/>
    <w:rsid w:val="00DD3328"/>
    <w:rsid w:val="00DD3539"/>
    <w:rsid w:val="00DD356A"/>
    <w:rsid w:val="00DD35CD"/>
    <w:rsid w:val="00DD36A8"/>
    <w:rsid w:val="00DD37BB"/>
    <w:rsid w:val="00DD37E7"/>
    <w:rsid w:val="00DD381A"/>
    <w:rsid w:val="00DD3A02"/>
    <w:rsid w:val="00DD3AA9"/>
    <w:rsid w:val="00DD3ABE"/>
    <w:rsid w:val="00DD3B4F"/>
    <w:rsid w:val="00DD3BAC"/>
    <w:rsid w:val="00DD3C1A"/>
    <w:rsid w:val="00DD3FBD"/>
    <w:rsid w:val="00DD4151"/>
    <w:rsid w:val="00DD4281"/>
    <w:rsid w:val="00DD4332"/>
    <w:rsid w:val="00DD4387"/>
    <w:rsid w:val="00DD447F"/>
    <w:rsid w:val="00DD4632"/>
    <w:rsid w:val="00DD47FC"/>
    <w:rsid w:val="00DD48B2"/>
    <w:rsid w:val="00DD49DC"/>
    <w:rsid w:val="00DD49F9"/>
    <w:rsid w:val="00DD4A7D"/>
    <w:rsid w:val="00DD4AC3"/>
    <w:rsid w:val="00DD4ACF"/>
    <w:rsid w:val="00DD4BCC"/>
    <w:rsid w:val="00DD4C6E"/>
    <w:rsid w:val="00DD4C99"/>
    <w:rsid w:val="00DD4CEB"/>
    <w:rsid w:val="00DD4E34"/>
    <w:rsid w:val="00DD4F58"/>
    <w:rsid w:val="00DD505B"/>
    <w:rsid w:val="00DD521F"/>
    <w:rsid w:val="00DD5273"/>
    <w:rsid w:val="00DD547C"/>
    <w:rsid w:val="00DD5686"/>
    <w:rsid w:val="00DD5901"/>
    <w:rsid w:val="00DD5A95"/>
    <w:rsid w:val="00DD5B65"/>
    <w:rsid w:val="00DD5BA9"/>
    <w:rsid w:val="00DD5C12"/>
    <w:rsid w:val="00DD5C57"/>
    <w:rsid w:val="00DD5CD3"/>
    <w:rsid w:val="00DD5E08"/>
    <w:rsid w:val="00DD5E22"/>
    <w:rsid w:val="00DD5E62"/>
    <w:rsid w:val="00DD5F22"/>
    <w:rsid w:val="00DD5F40"/>
    <w:rsid w:val="00DD60F3"/>
    <w:rsid w:val="00DD64B5"/>
    <w:rsid w:val="00DD65BD"/>
    <w:rsid w:val="00DD6632"/>
    <w:rsid w:val="00DD66AD"/>
    <w:rsid w:val="00DD67CD"/>
    <w:rsid w:val="00DD6995"/>
    <w:rsid w:val="00DD6AC0"/>
    <w:rsid w:val="00DD6BC6"/>
    <w:rsid w:val="00DD6C56"/>
    <w:rsid w:val="00DD6E49"/>
    <w:rsid w:val="00DD6E5B"/>
    <w:rsid w:val="00DD6FC3"/>
    <w:rsid w:val="00DD7040"/>
    <w:rsid w:val="00DD73DD"/>
    <w:rsid w:val="00DD7492"/>
    <w:rsid w:val="00DD7672"/>
    <w:rsid w:val="00DD7793"/>
    <w:rsid w:val="00DD7A7E"/>
    <w:rsid w:val="00DD7D06"/>
    <w:rsid w:val="00DD7D36"/>
    <w:rsid w:val="00DD7E2E"/>
    <w:rsid w:val="00DD7F8C"/>
    <w:rsid w:val="00DD7FBC"/>
    <w:rsid w:val="00DE0021"/>
    <w:rsid w:val="00DE01AF"/>
    <w:rsid w:val="00DE02E8"/>
    <w:rsid w:val="00DE02F1"/>
    <w:rsid w:val="00DE04E9"/>
    <w:rsid w:val="00DE0580"/>
    <w:rsid w:val="00DE07AD"/>
    <w:rsid w:val="00DE0838"/>
    <w:rsid w:val="00DE086C"/>
    <w:rsid w:val="00DE09A4"/>
    <w:rsid w:val="00DE0AF6"/>
    <w:rsid w:val="00DE0C9C"/>
    <w:rsid w:val="00DE0EF6"/>
    <w:rsid w:val="00DE0FD4"/>
    <w:rsid w:val="00DE0FF0"/>
    <w:rsid w:val="00DE1220"/>
    <w:rsid w:val="00DE16EA"/>
    <w:rsid w:val="00DE1806"/>
    <w:rsid w:val="00DE1968"/>
    <w:rsid w:val="00DE1B9C"/>
    <w:rsid w:val="00DE1BEE"/>
    <w:rsid w:val="00DE1D95"/>
    <w:rsid w:val="00DE228F"/>
    <w:rsid w:val="00DE2346"/>
    <w:rsid w:val="00DE23C8"/>
    <w:rsid w:val="00DE2452"/>
    <w:rsid w:val="00DE2646"/>
    <w:rsid w:val="00DE2754"/>
    <w:rsid w:val="00DE27A2"/>
    <w:rsid w:val="00DE27C7"/>
    <w:rsid w:val="00DE2991"/>
    <w:rsid w:val="00DE2B17"/>
    <w:rsid w:val="00DE2B31"/>
    <w:rsid w:val="00DE2C40"/>
    <w:rsid w:val="00DE2C68"/>
    <w:rsid w:val="00DE2C6C"/>
    <w:rsid w:val="00DE2C77"/>
    <w:rsid w:val="00DE2DEB"/>
    <w:rsid w:val="00DE2E00"/>
    <w:rsid w:val="00DE2EBE"/>
    <w:rsid w:val="00DE2F2C"/>
    <w:rsid w:val="00DE3133"/>
    <w:rsid w:val="00DE322D"/>
    <w:rsid w:val="00DE3316"/>
    <w:rsid w:val="00DE3329"/>
    <w:rsid w:val="00DE3346"/>
    <w:rsid w:val="00DE33D2"/>
    <w:rsid w:val="00DE39F9"/>
    <w:rsid w:val="00DE3A28"/>
    <w:rsid w:val="00DE3A8B"/>
    <w:rsid w:val="00DE3B72"/>
    <w:rsid w:val="00DE3C81"/>
    <w:rsid w:val="00DE3DFD"/>
    <w:rsid w:val="00DE4094"/>
    <w:rsid w:val="00DE41BF"/>
    <w:rsid w:val="00DE420D"/>
    <w:rsid w:val="00DE437B"/>
    <w:rsid w:val="00DE4386"/>
    <w:rsid w:val="00DE449D"/>
    <w:rsid w:val="00DE449F"/>
    <w:rsid w:val="00DE44FF"/>
    <w:rsid w:val="00DE4708"/>
    <w:rsid w:val="00DE4837"/>
    <w:rsid w:val="00DE488A"/>
    <w:rsid w:val="00DE4941"/>
    <w:rsid w:val="00DE49B2"/>
    <w:rsid w:val="00DE4A85"/>
    <w:rsid w:val="00DE4A99"/>
    <w:rsid w:val="00DE4BCF"/>
    <w:rsid w:val="00DE4DDF"/>
    <w:rsid w:val="00DE51D0"/>
    <w:rsid w:val="00DE53A8"/>
    <w:rsid w:val="00DE53CF"/>
    <w:rsid w:val="00DE5571"/>
    <w:rsid w:val="00DE55EF"/>
    <w:rsid w:val="00DE5656"/>
    <w:rsid w:val="00DE570B"/>
    <w:rsid w:val="00DE5A3A"/>
    <w:rsid w:val="00DE5B9C"/>
    <w:rsid w:val="00DE5C81"/>
    <w:rsid w:val="00DE612A"/>
    <w:rsid w:val="00DE6150"/>
    <w:rsid w:val="00DE6198"/>
    <w:rsid w:val="00DE61F8"/>
    <w:rsid w:val="00DE6390"/>
    <w:rsid w:val="00DE649D"/>
    <w:rsid w:val="00DE6582"/>
    <w:rsid w:val="00DE65C5"/>
    <w:rsid w:val="00DE65C6"/>
    <w:rsid w:val="00DE6682"/>
    <w:rsid w:val="00DE6736"/>
    <w:rsid w:val="00DE6B15"/>
    <w:rsid w:val="00DE6C89"/>
    <w:rsid w:val="00DE6D9C"/>
    <w:rsid w:val="00DE6DC7"/>
    <w:rsid w:val="00DE6E05"/>
    <w:rsid w:val="00DE6ED2"/>
    <w:rsid w:val="00DE6ED3"/>
    <w:rsid w:val="00DE7205"/>
    <w:rsid w:val="00DE72AE"/>
    <w:rsid w:val="00DE7409"/>
    <w:rsid w:val="00DE7463"/>
    <w:rsid w:val="00DE76BA"/>
    <w:rsid w:val="00DE7748"/>
    <w:rsid w:val="00DE77C5"/>
    <w:rsid w:val="00DE781C"/>
    <w:rsid w:val="00DE7AD7"/>
    <w:rsid w:val="00DE7BD2"/>
    <w:rsid w:val="00DE7BF2"/>
    <w:rsid w:val="00DE7C94"/>
    <w:rsid w:val="00DE7D00"/>
    <w:rsid w:val="00DE7E92"/>
    <w:rsid w:val="00DE7EB5"/>
    <w:rsid w:val="00DE7EE1"/>
    <w:rsid w:val="00DF01C2"/>
    <w:rsid w:val="00DF01EA"/>
    <w:rsid w:val="00DF01F2"/>
    <w:rsid w:val="00DF0296"/>
    <w:rsid w:val="00DF0322"/>
    <w:rsid w:val="00DF048E"/>
    <w:rsid w:val="00DF04BD"/>
    <w:rsid w:val="00DF0657"/>
    <w:rsid w:val="00DF0995"/>
    <w:rsid w:val="00DF0ADD"/>
    <w:rsid w:val="00DF0B3A"/>
    <w:rsid w:val="00DF0B79"/>
    <w:rsid w:val="00DF0D2E"/>
    <w:rsid w:val="00DF0DED"/>
    <w:rsid w:val="00DF0FF7"/>
    <w:rsid w:val="00DF0FFF"/>
    <w:rsid w:val="00DF1061"/>
    <w:rsid w:val="00DF114F"/>
    <w:rsid w:val="00DF11D8"/>
    <w:rsid w:val="00DF1586"/>
    <w:rsid w:val="00DF169C"/>
    <w:rsid w:val="00DF16A8"/>
    <w:rsid w:val="00DF16AC"/>
    <w:rsid w:val="00DF19F7"/>
    <w:rsid w:val="00DF1A6E"/>
    <w:rsid w:val="00DF1CF3"/>
    <w:rsid w:val="00DF1D34"/>
    <w:rsid w:val="00DF1EB1"/>
    <w:rsid w:val="00DF2068"/>
    <w:rsid w:val="00DF21F6"/>
    <w:rsid w:val="00DF22E2"/>
    <w:rsid w:val="00DF251B"/>
    <w:rsid w:val="00DF2555"/>
    <w:rsid w:val="00DF25AD"/>
    <w:rsid w:val="00DF2694"/>
    <w:rsid w:val="00DF27E0"/>
    <w:rsid w:val="00DF28C2"/>
    <w:rsid w:val="00DF28D1"/>
    <w:rsid w:val="00DF2A03"/>
    <w:rsid w:val="00DF2A28"/>
    <w:rsid w:val="00DF2B77"/>
    <w:rsid w:val="00DF2DEA"/>
    <w:rsid w:val="00DF2F96"/>
    <w:rsid w:val="00DF3310"/>
    <w:rsid w:val="00DF3456"/>
    <w:rsid w:val="00DF370D"/>
    <w:rsid w:val="00DF3839"/>
    <w:rsid w:val="00DF388A"/>
    <w:rsid w:val="00DF3C1F"/>
    <w:rsid w:val="00DF3CCD"/>
    <w:rsid w:val="00DF3D0C"/>
    <w:rsid w:val="00DF3FDB"/>
    <w:rsid w:val="00DF408D"/>
    <w:rsid w:val="00DF40CE"/>
    <w:rsid w:val="00DF440E"/>
    <w:rsid w:val="00DF45A5"/>
    <w:rsid w:val="00DF4732"/>
    <w:rsid w:val="00DF4820"/>
    <w:rsid w:val="00DF4A31"/>
    <w:rsid w:val="00DF4A7E"/>
    <w:rsid w:val="00DF4AB5"/>
    <w:rsid w:val="00DF4AF2"/>
    <w:rsid w:val="00DF4BA2"/>
    <w:rsid w:val="00DF4CDA"/>
    <w:rsid w:val="00DF4E39"/>
    <w:rsid w:val="00DF4ED9"/>
    <w:rsid w:val="00DF4F81"/>
    <w:rsid w:val="00DF5062"/>
    <w:rsid w:val="00DF5093"/>
    <w:rsid w:val="00DF5135"/>
    <w:rsid w:val="00DF51CD"/>
    <w:rsid w:val="00DF5223"/>
    <w:rsid w:val="00DF52AC"/>
    <w:rsid w:val="00DF53E4"/>
    <w:rsid w:val="00DF5402"/>
    <w:rsid w:val="00DF5577"/>
    <w:rsid w:val="00DF5683"/>
    <w:rsid w:val="00DF56AA"/>
    <w:rsid w:val="00DF58B2"/>
    <w:rsid w:val="00DF5931"/>
    <w:rsid w:val="00DF596B"/>
    <w:rsid w:val="00DF596D"/>
    <w:rsid w:val="00DF5B83"/>
    <w:rsid w:val="00DF5D55"/>
    <w:rsid w:val="00DF5D58"/>
    <w:rsid w:val="00DF5E95"/>
    <w:rsid w:val="00DF5F61"/>
    <w:rsid w:val="00DF6028"/>
    <w:rsid w:val="00DF62B5"/>
    <w:rsid w:val="00DF67AF"/>
    <w:rsid w:val="00DF6802"/>
    <w:rsid w:val="00DF6999"/>
    <w:rsid w:val="00DF69D5"/>
    <w:rsid w:val="00DF6B16"/>
    <w:rsid w:val="00DF6BBE"/>
    <w:rsid w:val="00DF6EB2"/>
    <w:rsid w:val="00DF6EF7"/>
    <w:rsid w:val="00DF700A"/>
    <w:rsid w:val="00DF7024"/>
    <w:rsid w:val="00DF705D"/>
    <w:rsid w:val="00DF72E7"/>
    <w:rsid w:val="00DF72F6"/>
    <w:rsid w:val="00DF750C"/>
    <w:rsid w:val="00DF7572"/>
    <w:rsid w:val="00DF7683"/>
    <w:rsid w:val="00DF777D"/>
    <w:rsid w:val="00DF77FF"/>
    <w:rsid w:val="00DF7831"/>
    <w:rsid w:val="00DF7C2C"/>
    <w:rsid w:val="00DF7C9F"/>
    <w:rsid w:val="00DF7DA3"/>
    <w:rsid w:val="00DF7E6E"/>
    <w:rsid w:val="00DF7F0E"/>
    <w:rsid w:val="00E00523"/>
    <w:rsid w:val="00E00779"/>
    <w:rsid w:val="00E007F6"/>
    <w:rsid w:val="00E0093B"/>
    <w:rsid w:val="00E009FE"/>
    <w:rsid w:val="00E00A82"/>
    <w:rsid w:val="00E00AC1"/>
    <w:rsid w:val="00E00AF7"/>
    <w:rsid w:val="00E00C45"/>
    <w:rsid w:val="00E00CD4"/>
    <w:rsid w:val="00E00F0E"/>
    <w:rsid w:val="00E01005"/>
    <w:rsid w:val="00E01039"/>
    <w:rsid w:val="00E01078"/>
    <w:rsid w:val="00E011EF"/>
    <w:rsid w:val="00E0121B"/>
    <w:rsid w:val="00E0134B"/>
    <w:rsid w:val="00E0134C"/>
    <w:rsid w:val="00E013A4"/>
    <w:rsid w:val="00E013F9"/>
    <w:rsid w:val="00E014FD"/>
    <w:rsid w:val="00E01B81"/>
    <w:rsid w:val="00E01D15"/>
    <w:rsid w:val="00E01DA3"/>
    <w:rsid w:val="00E01DDC"/>
    <w:rsid w:val="00E01E7E"/>
    <w:rsid w:val="00E01EF6"/>
    <w:rsid w:val="00E01F92"/>
    <w:rsid w:val="00E01FC6"/>
    <w:rsid w:val="00E02011"/>
    <w:rsid w:val="00E0203B"/>
    <w:rsid w:val="00E02085"/>
    <w:rsid w:val="00E020BF"/>
    <w:rsid w:val="00E02199"/>
    <w:rsid w:val="00E0227E"/>
    <w:rsid w:val="00E02381"/>
    <w:rsid w:val="00E0241A"/>
    <w:rsid w:val="00E0243D"/>
    <w:rsid w:val="00E02668"/>
    <w:rsid w:val="00E0285D"/>
    <w:rsid w:val="00E02AD0"/>
    <w:rsid w:val="00E02C41"/>
    <w:rsid w:val="00E02FC4"/>
    <w:rsid w:val="00E03046"/>
    <w:rsid w:val="00E030E8"/>
    <w:rsid w:val="00E03125"/>
    <w:rsid w:val="00E03160"/>
    <w:rsid w:val="00E03198"/>
    <w:rsid w:val="00E03301"/>
    <w:rsid w:val="00E033DC"/>
    <w:rsid w:val="00E034E6"/>
    <w:rsid w:val="00E03519"/>
    <w:rsid w:val="00E035EF"/>
    <w:rsid w:val="00E0391B"/>
    <w:rsid w:val="00E03B91"/>
    <w:rsid w:val="00E03BA0"/>
    <w:rsid w:val="00E03BD2"/>
    <w:rsid w:val="00E03BE8"/>
    <w:rsid w:val="00E03C67"/>
    <w:rsid w:val="00E03E24"/>
    <w:rsid w:val="00E03E42"/>
    <w:rsid w:val="00E03F38"/>
    <w:rsid w:val="00E04136"/>
    <w:rsid w:val="00E04365"/>
    <w:rsid w:val="00E04367"/>
    <w:rsid w:val="00E043F7"/>
    <w:rsid w:val="00E04474"/>
    <w:rsid w:val="00E04687"/>
    <w:rsid w:val="00E04752"/>
    <w:rsid w:val="00E04795"/>
    <w:rsid w:val="00E04919"/>
    <w:rsid w:val="00E04AD1"/>
    <w:rsid w:val="00E04AD3"/>
    <w:rsid w:val="00E04B30"/>
    <w:rsid w:val="00E04CE9"/>
    <w:rsid w:val="00E04EE8"/>
    <w:rsid w:val="00E04F35"/>
    <w:rsid w:val="00E04FC0"/>
    <w:rsid w:val="00E050A7"/>
    <w:rsid w:val="00E05124"/>
    <w:rsid w:val="00E05213"/>
    <w:rsid w:val="00E052DF"/>
    <w:rsid w:val="00E05747"/>
    <w:rsid w:val="00E05DF6"/>
    <w:rsid w:val="00E05E64"/>
    <w:rsid w:val="00E05F38"/>
    <w:rsid w:val="00E05F47"/>
    <w:rsid w:val="00E06207"/>
    <w:rsid w:val="00E06301"/>
    <w:rsid w:val="00E065F0"/>
    <w:rsid w:val="00E06691"/>
    <w:rsid w:val="00E066BA"/>
    <w:rsid w:val="00E0692E"/>
    <w:rsid w:val="00E06A57"/>
    <w:rsid w:val="00E06CB6"/>
    <w:rsid w:val="00E06DA0"/>
    <w:rsid w:val="00E06DD8"/>
    <w:rsid w:val="00E06F42"/>
    <w:rsid w:val="00E070D8"/>
    <w:rsid w:val="00E070FD"/>
    <w:rsid w:val="00E07393"/>
    <w:rsid w:val="00E073D0"/>
    <w:rsid w:val="00E0745F"/>
    <w:rsid w:val="00E074EE"/>
    <w:rsid w:val="00E07676"/>
    <w:rsid w:val="00E07680"/>
    <w:rsid w:val="00E07684"/>
    <w:rsid w:val="00E0793A"/>
    <w:rsid w:val="00E07A02"/>
    <w:rsid w:val="00E07B8D"/>
    <w:rsid w:val="00E07BD5"/>
    <w:rsid w:val="00E07F9A"/>
    <w:rsid w:val="00E10135"/>
    <w:rsid w:val="00E10265"/>
    <w:rsid w:val="00E102AA"/>
    <w:rsid w:val="00E104E0"/>
    <w:rsid w:val="00E106FF"/>
    <w:rsid w:val="00E107B3"/>
    <w:rsid w:val="00E1083F"/>
    <w:rsid w:val="00E108B2"/>
    <w:rsid w:val="00E10C5A"/>
    <w:rsid w:val="00E10CC0"/>
    <w:rsid w:val="00E10CDF"/>
    <w:rsid w:val="00E10E8A"/>
    <w:rsid w:val="00E10F85"/>
    <w:rsid w:val="00E11117"/>
    <w:rsid w:val="00E11163"/>
    <w:rsid w:val="00E11314"/>
    <w:rsid w:val="00E11387"/>
    <w:rsid w:val="00E1159A"/>
    <w:rsid w:val="00E116D2"/>
    <w:rsid w:val="00E11708"/>
    <w:rsid w:val="00E118CB"/>
    <w:rsid w:val="00E11922"/>
    <w:rsid w:val="00E11A62"/>
    <w:rsid w:val="00E11ACC"/>
    <w:rsid w:val="00E11AE4"/>
    <w:rsid w:val="00E11EB2"/>
    <w:rsid w:val="00E11ED0"/>
    <w:rsid w:val="00E11EDE"/>
    <w:rsid w:val="00E11FBA"/>
    <w:rsid w:val="00E1216A"/>
    <w:rsid w:val="00E12347"/>
    <w:rsid w:val="00E12447"/>
    <w:rsid w:val="00E12599"/>
    <w:rsid w:val="00E12615"/>
    <w:rsid w:val="00E127BA"/>
    <w:rsid w:val="00E12972"/>
    <w:rsid w:val="00E129A1"/>
    <w:rsid w:val="00E129BA"/>
    <w:rsid w:val="00E12A5B"/>
    <w:rsid w:val="00E12B3C"/>
    <w:rsid w:val="00E12C8B"/>
    <w:rsid w:val="00E12D2C"/>
    <w:rsid w:val="00E12D93"/>
    <w:rsid w:val="00E12DA9"/>
    <w:rsid w:val="00E13596"/>
    <w:rsid w:val="00E135B4"/>
    <w:rsid w:val="00E135E5"/>
    <w:rsid w:val="00E13A48"/>
    <w:rsid w:val="00E13AD4"/>
    <w:rsid w:val="00E13C5D"/>
    <w:rsid w:val="00E13C7A"/>
    <w:rsid w:val="00E13C93"/>
    <w:rsid w:val="00E13CF3"/>
    <w:rsid w:val="00E13D5E"/>
    <w:rsid w:val="00E13F76"/>
    <w:rsid w:val="00E13FBD"/>
    <w:rsid w:val="00E14006"/>
    <w:rsid w:val="00E14018"/>
    <w:rsid w:val="00E143F2"/>
    <w:rsid w:val="00E1440F"/>
    <w:rsid w:val="00E14448"/>
    <w:rsid w:val="00E14814"/>
    <w:rsid w:val="00E14887"/>
    <w:rsid w:val="00E149A1"/>
    <w:rsid w:val="00E14C51"/>
    <w:rsid w:val="00E14F85"/>
    <w:rsid w:val="00E15169"/>
    <w:rsid w:val="00E15304"/>
    <w:rsid w:val="00E15416"/>
    <w:rsid w:val="00E15628"/>
    <w:rsid w:val="00E156AF"/>
    <w:rsid w:val="00E1576F"/>
    <w:rsid w:val="00E157E9"/>
    <w:rsid w:val="00E15844"/>
    <w:rsid w:val="00E15933"/>
    <w:rsid w:val="00E1598C"/>
    <w:rsid w:val="00E15A99"/>
    <w:rsid w:val="00E15B85"/>
    <w:rsid w:val="00E15E2E"/>
    <w:rsid w:val="00E15F90"/>
    <w:rsid w:val="00E160B4"/>
    <w:rsid w:val="00E160F9"/>
    <w:rsid w:val="00E16122"/>
    <w:rsid w:val="00E161A6"/>
    <w:rsid w:val="00E16272"/>
    <w:rsid w:val="00E16386"/>
    <w:rsid w:val="00E1654B"/>
    <w:rsid w:val="00E16558"/>
    <w:rsid w:val="00E1667E"/>
    <w:rsid w:val="00E168FB"/>
    <w:rsid w:val="00E169BC"/>
    <w:rsid w:val="00E169EA"/>
    <w:rsid w:val="00E16B0B"/>
    <w:rsid w:val="00E16D07"/>
    <w:rsid w:val="00E16DF4"/>
    <w:rsid w:val="00E16DF6"/>
    <w:rsid w:val="00E16F57"/>
    <w:rsid w:val="00E17035"/>
    <w:rsid w:val="00E17129"/>
    <w:rsid w:val="00E17191"/>
    <w:rsid w:val="00E17266"/>
    <w:rsid w:val="00E17426"/>
    <w:rsid w:val="00E1753B"/>
    <w:rsid w:val="00E17634"/>
    <w:rsid w:val="00E17AE2"/>
    <w:rsid w:val="00E17B78"/>
    <w:rsid w:val="00E17BAE"/>
    <w:rsid w:val="00E17F14"/>
    <w:rsid w:val="00E20161"/>
    <w:rsid w:val="00E2029C"/>
    <w:rsid w:val="00E202E5"/>
    <w:rsid w:val="00E20330"/>
    <w:rsid w:val="00E20615"/>
    <w:rsid w:val="00E2068C"/>
    <w:rsid w:val="00E20712"/>
    <w:rsid w:val="00E207F9"/>
    <w:rsid w:val="00E208CA"/>
    <w:rsid w:val="00E20C15"/>
    <w:rsid w:val="00E20F8F"/>
    <w:rsid w:val="00E20FED"/>
    <w:rsid w:val="00E20FF7"/>
    <w:rsid w:val="00E2104C"/>
    <w:rsid w:val="00E210D3"/>
    <w:rsid w:val="00E2115B"/>
    <w:rsid w:val="00E21162"/>
    <w:rsid w:val="00E211C6"/>
    <w:rsid w:val="00E21210"/>
    <w:rsid w:val="00E21800"/>
    <w:rsid w:val="00E2182E"/>
    <w:rsid w:val="00E21A32"/>
    <w:rsid w:val="00E21A73"/>
    <w:rsid w:val="00E21C3B"/>
    <w:rsid w:val="00E21D5B"/>
    <w:rsid w:val="00E21DCF"/>
    <w:rsid w:val="00E22009"/>
    <w:rsid w:val="00E22034"/>
    <w:rsid w:val="00E2221E"/>
    <w:rsid w:val="00E223B4"/>
    <w:rsid w:val="00E2249D"/>
    <w:rsid w:val="00E22551"/>
    <w:rsid w:val="00E226B9"/>
    <w:rsid w:val="00E228AF"/>
    <w:rsid w:val="00E22A63"/>
    <w:rsid w:val="00E22C2A"/>
    <w:rsid w:val="00E22D34"/>
    <w:rsid w:val="00E22D52"/>
    <w:rsid w:val="00E22DF2"/>
    <w:rsid w:val="00E22F4F"/>
    <w:rsid w:val="00E2309E"/>
    <w:rsid w:val="00E23121"/>
    <w:rsid w:val="00E2329C"/>
    <w:rsid w:val="00E232D4"/>
    <w:rsid w:val="00E232D8"/>
    <w:rsid w:val="00E2331C"/>
    <w:rsid w:val="00E23324"/>
    <w:rsid w:val="00E234C5"/>
    <w:rsid w:val="00E237BD"/>
    <w:rsid w:val="00E237EB"/>
    <w:rsid w:val="00E2387E"/>
    <w:rsid w:val="00E23E2B"/>
    <w:rsid w:val="00E23E65"/>
    <w:rsid w:val="00E241D0"/>
    <w:rsid w:val="00E24544"/>
    <w:rsid w:val="00E245E4"/>
    <w:rsid w:val="00E24614"/>
    <w:rsid w:val="00E24780"/>
    <w:rsid w:val="00E24886"/>
    <w:rsid w:val="00E248BF"/>
    <w:rsid w:val="00E24902"/>
    <w:rsid w:val="00E24D49"/>
    <w:rsid w:val="00E24D58"/>
    <w:rsid w:val="00E24DE6"/>
    <w:rsid w:val="00E24ECC"/>
    <w:rsid w:val="00E24F82"/>
    <w:rsid w:val="00E25042"/>
    <w:rsid w:val="00E250A6"/>
    <w:rsid w:val="00E25212"/>
    <w:rsid w:val="00E2523B"/>
    <w:rsid w:val="00E25254"/>
    <w:rsid w:val="00E256B1"/>
    <w:rsid w:val="00E25738"/>
    <w:rsid w:val="00E2585C"/>
    <w:rsid w:val="00E25A21"/>
    <w:rsid w:val="00E25A60"/>
    <w:rsid w:val="00E25A97"/>
    <w:rsid w:val="00E25B9E"/>
    <w:rsid w:val="00E25BD9"/>
    <w:rsid w:val="00E25E78"/>
    <w:rsid w:val="00E25F2A"/>
    <w:rsid w:val="00E26062"/>
    <w:rsid w:val="00E26214"/>
    <w:rsid w:val="00E2624A"/>
    <w:rsid w:val="00E26621"/>
    <w:rsid w:val="00E26764"/>
    <w:rsid w:val="00E267D6"/>
    <w:rsid w:val="00E2685F"/>
    <w:rsid w:val="00E26867"/>
    <w:rsid w:val="00E2687A"/>
    <w:rsid w:val="00E269A0"/>
    <w:rsid w:val="00E269B5"/>
    <w:rsid w:val="00E26A9D"/>
    <w:rsid w:val="00E26B31"/>
    <w:rsid w:val="00E26C77"/>
    <w:rsid w:val="00E26D73"/>
    <w:rsid w:val="00E26EE5"/>
    <w:rsid w:val="00E26FD0"/>
    <w:rsid w:val="00E26FFD"/>
    <w:rsid w:val="00E27011"/>
    <w:rsid w:val="00E2713E"/>
    <w:rsid w:val="00E271B2"/>
    <w:rsid w:val="00E272AF"/>
    <w:rsid w:val="00E27428"/>
    <w:rsid w:val="00E274BF"/>
    <w:rsid w:val="00E27545"/>
    <w:rsid w:val="00E276DE"/>
    <w:rsid w:val="00E2771C"/>
    <w:rsid w:val="00E27721"/>
    <w:rsid w:val="00E27791"/>
    <w:rsid w:val="00E277A5"/>
    <w:rsid w:val="00E277A7"/>
    <w:rsid w:val="00E27870"/>
    <w:rsid w:val="00E2791A"/>
    <w:rsid w:val="00E279AA"/>
    <w:rsid w:val="00E27A02"/>
    <w:rsid w:val="00E27B1E"/>
    <w:rsid w:val="00E27C15"/>
    <w:rsid w:val="00E27E12"/>
    <w:rsid w:val="00E3001F"/>
    <w:rsid w:val="00E30105"/>
    <w:rsid w:val="00E304EB"/>
    <w:rsid w:val="00E306D2"/>
    <w:rsid w:val="00E3071C"/>
    <w:rsid w:val="00E307F4"/>
    <w:rsid w:val="00E30829"/>
    <w:rsid w:val="00E30899"/>
    <w:rsid w:val="00E30A36"/>
    <w:rsid w:val="00E30A5F"/>
    <w:rsid w:val="00E30CFC"/>
    <w:rsid w:val="00E30D06"/>
    <w:rsid w:val="00E30F22"/>
    <w:rsid w:val="00E30F95"/>
    <w:rsid w:val="00E31002"/>
    <w:rsid w:val="00E310A3"/>
    <w:rsid w:val="00E310F3"/>
    <w:rsid w:val="00E311CA"/>
    <w:rsid w:val="00E3195D"/>
    <w:rsid w:val="00E31E08"/>
    <w:rsid w:val="00E31E99"/>
    <w:rsid w:val="00E31EAF"/>
    <w:rsid w:val="00E31F09"/>
    <w:rsid w:val="00E31F6B"/>
    <w:rsid w:val="00E31F7A"/>
    <w:rsid w:val="00E31FC4"/>
    <w:rsid w:val="00E31FDC"/>
    <w:rsid w:val="00E32000"/>
    <w:rsid w:val="00E3200B"/>
    <w:rsid w:val="00E3202A"/>
    <w:rsid w:val="00E32067"/>
    <w:rsid w:val="00E32330"/>
    <w:rsid w:val="00E3244B"/>
    <w:rsid w:val="00E32500"/>
    <w:rsid w:val="00E326C2"/>
    <w:rsid w:val="00E32723"/>
    <w:rsid w:val="00E3280A"/>
    <w:rsid w:val="00E3282A"/>
    <w:rsid w:val="00E328B2"/>
    <w:rsid w:val="00E32985"/>
    <w:rsid w:val="00E32996"/>
    <w:rsid w:val="00E32998"/>
    <w:rsid w:val="00E32E2E"/>
    <w:rsid w:val="00E330C7"/>
    <w:rsid w:val="00E331BE"/>
    <w:rsid w:val="00E33304"/>
    <w:rsid w:val="00E33479"/>
    <w:rsid w:val="00E334D5"/>
    <w:rsid w:val="00E33765"/>
    <w:rsid w:val="00E337CB"/>
    <w:rsid w:val="00E33824"/>
    <w:rsid w:val="00E33A4F"/>
    <w:rsid w:val="00E33B47"/>
    <w:rsid w:val="00E33C05"/>
    <w:rsid w:val="00E33F43"/>
    <w:rsid w:val="00E33FE3"/>
    <w:rsid w:val="00E34045"/>
    <w:rsid w:val="00E341AB"/>
    <w:rsid w:val="00E341BB"/>
    <w:rsid w:val="00E341E4"/>
    <w:rsid w:val="00E3425A"/>
    <w:rsid w:val="00E3446D"/>
    <w:rsid w:val="00E3457B"/>
    <w:rsid w:val="00E3459E"/>
    <w:rsid w:val="00E347F5"/>
    <w:rsid w:val="00E348C7"/>
    <w:rsid w:val="00E34944"/>
    <w:rsid w:val="00E34970"/>
    <w:rsid w:val="00E349CC"/>
    <w:rsid w:val="00E34B79"/>
    <w:rsid w:val="00E34BDF"/>
    <w:rsid w:val="00E34CED"/>
    <w:rsid w:val="00E34D0F"/>
    <w:rsid w:val="00E3512B"/>
    <w:rsid w:val="00E35134"/>
    <w:rsid w:val="00E3528B"/>
    <w:rsid w:val="00E35329"/>
    <w:rsid w:val="00E35353"/>
    <w:rsid w:val="00E35399"/>
    <w:rsid w:val="00E35410"/>
    <w:rsid w:val="00E35624"/>
    <w:rsid w:val="00E356BD"/>
    <w:rsid w:val="00E357EC"/>
    <w:rsid w:val="00E3594C"/>
    <w:rsid w:val="00E359BC"/>
    <w:rsid w:val="00E35C0D"/>
    <w:rsid w:val="00E35CD0"/>
    <w:rsid w:val="00E35D95"/>
    <w:rsid w:val="00E35E0D"/>
    <w:rsid w:val="00E35EC6"/>
    <w:rsid w:val="00E35F60"/>
    <w:rsid w:val="00E36039"/>
    <w:rsid w:val="00E360DC"/>
    <w:rsid w:val="00E36117"/>
    <w:rsid w:val="00E36178"/>
    <w:rsid w:val="00E361C3"/>
    <w:rsid w:val="00E361E0"/>
    <w:rsid w:val="00E362EF"/>
    <w:rsid w:val="00E36313"/>
    <w:rsid w:val="00E36365"/>
    <w:rsid w:val="00E36400"/>
    <w:rsid w:val="00E365DE"/>
    <w:rsid w:val="00E36647"/>
    <w:rsid w:val="00E36816"/>
    <w:rsid w:val="00E36847"/>
    <w:rsid w:val="00E36873"/>
    <w:rsid w:val="00E36AE9"/>
    <w:rsid w:val="00E36C54"/>
    <w:rsid w:val="00E36E70"/>
    <w:rsid w:val="00E36F9D"/>
    <w:rsid w:val="00E36FC4"/>
    <w:rsid w:val="00E3709D"/>
    <w:rsid w:val="00E3726B"/>
    <w:rsid w:val="00E37335"/>
    <w:rsid w:val="00E373B9"/>
    <w:rsid w:val="00E3756E"/>
    <w:rsid w:val="00E37591"/>
    <w:rsid w:val="00E37620"/>
    <w:rsid w:val="00E3770D"/>
    <w:rsid w:val="00E378A4"/>
    <w:rsid w:val="00E379FA"/>
    <w:rsid w:val="00E37AF7"/>
    <w:rsid w:val="00E37C4A"/>
    <w:rsid w:val="00E37C53"/>
    <w:rsid w:val="00E37D62"/>
    <w:rsid w:val="00E37DE2"/>
    <w:rsid w:val="00E37FA2"/>
    <w:rsid w:val="00E4009B"/>
    <w:rsid w:val="00E402AC"/>
    <w:rsid w:val="00E4043D"/>
    <w:rsid w:val="00E404ED"/>
    <w:rsid w:val="00E4066F"/>
    <w:rsid w:val="00E40769"/>
    <w:rsid w:val="00E40879"/>
    <w:rsid w:val="00E40A3C"/>
    <w:rsid w:val="00E40AD4"/>
    <w:rsid w:val="00E40BE1"/>
    <w:rsid w:val="00E40D5D"/>
    <w:rsid w:val="00E40DE7"/>
    <w:rsid w:val="00E40E30"/>
    <w:rsid w:val="00E40FC6"/>
    <w:rsid w:val="00E41344"/>
    <w:rsid w:val="00E41451"/>
    <w:rsid w:val="00E414B2"/>
    <w:rsid w:val="00E414EA"/>
    <w:rsid w:val="00E415AA"/>
    <w:rsid w:val="00E4168D"/>
    <w:rsid w:val="00E417E2"/>
    <w:rsid w:val="00E41AE8"/>
    <w:rsid w:val="00E41C4D"/>
    <w:rsid w:val="00E41C88"/>
    <w:rsid w:val="00E41C8A"/>
    <w:rsid w:val="00E41CD6"/>
    <w:rsid w:val="00E41E48"/>
    <w:rsid w:val="00E41FE9"/>
    <w:rsid w:val="00E42015"/>
    <w:rsid w:val="00E42082"/>
    <w:rsid w:val="00E42106"/>
    <w:rsid w:val="00E4211E"/>
    <w:rsid w:val="00E4225E"/>
    <w:rsid w:val="00E42290"/>
    <w:rsid w:val="00E422C6"/>
    <w:rsid w:val="00E423A7"/>
    <w:rsid w:val="00E4250E"/>
    <w:rsid w:val="00E42551"/>
    <w:rsid w:val="00E425B6"/>
    <w:rsid w:val="00E42A5A"/>
    <w:rsid w:val="00E42B3D"/>
    <w:rsid w:val="00E42BAB"/>
    <w:rsid w:val="00E42BEF"/>
    <w:rsid w:val="00E42C0A"/>
    <w:rsid w:val="00E42C7D"/>
    <w:rsid w:val="00E42E3C"/>
    <w:rsid w:val="00E42F61"/>
    <w:rsid w:val="00E430D1"/>
    <w:rsid w:val="00E431A0"/>
    <w:rsid w:val="00E43322"/>
    <w:rsid w:val="00E4343E"/>
    <w:rsid w:val="00E43504"/>
    <w:rsid w:val="00E4360F"/>
    <w:rsid w:val="00E437E6"/>
    <w:rsid w:val="00E43801"/>
    <w:rsid w:val="00E43AA6"/>
    <w:rsid w:val="00E43B0E"/>
    <w:rsid w:val="00E43B29"/>
    <w:rsid w:val="00E43B49"/>
    <w:rsid w:val="00E43BB6"/>
    <w:rsid w:val="00E43D66"/>
    <w:rsid w:val="00E43E48"/>
    <w:rsid w:val="00E43E64"/>
    <w:rsid w:val="00E43ECF"/>
    <w:rsid w:val="00E44212"/>
    <w:rsid w:val="00E44861"/>
    <w:rsid w:val="00E44A10"/>
    <w:rsid w:val="00E44B67"/>
    <w:rsid w:val="00E44B74"/>
    <w:rsid w:val="00E44CDB"/>
    <w:rsid w:val="00E44CE1"/>
    <w:rsid w:val="00E44E9E"/>
    <w:rsid w:val="00E44EA6"/>
    <w:rsid w:val="00E44F1E"/>
    <w:rsid w:val="00E44FFD"/>
    <w:rsid w:val="00E45066"/>
    <w:rsid w:val="00E4516A"/>
    <w:rsid w:val="00E45261"/>
    <w:rsid w:val="00E4530B"/>
    <w:rsid w:val="00E453C9"/>
    <w:rsid w:val="00E45429"/>
    <w:rsid w:val="00E454A5"/>
    <w:rsid w:val="00E454B9"/>
    <w:rsid w:val="00E4561C"/>
    <w:rsid w:val="00E4575B"/>
    <w:rsid w:val="00E45A1D"/>
    <w:rsid w:val="00E45A32"/>
    <w:rsid w:val="00E45B5D"/>
    <w:rsid w:val="00E45B8F"/>
    <w:rsid w:val="00E45BE5"/>
    <w:rsid w:val="00E45C1E"/>
    <w:rsid w:val="00E45C29"/>
    <w:rsid w:val="00E45CD9"/>
    <w:rsid w:val="00E45DD2"/>
    <w:rsid w:val="00E45F4C"/>
    <w:rsid w:val="00E45FF6"/>
    <w:rsid w:val="00E45FFC"/>
    <w:rsid w:val="00E46064"/>
    <w:rsid w:val="00E46087"/>
    <w:rsid w:val="00E46148"/>
    <w:rsid w:val="00E462BC"/>
    <w:rsid w:val="00E462EF"/>
    <w:rsid w:val="00E462FF"/>
    <w:rsid w:val="00E464A1"/>
    <w:rsid w:val="00E46546"/>
    <w:rsid w:val="00E465BE"/>
    <w:rsid w:val="00E467EB"/>
    <w:rsid w:val="00E46848"/>
    <w:rsid w:val="00E46B29"/>
    <w:rsid w:val="00E46B72"/>
    <w:rsid w:val="00E46DB6"/>
    <w:rsid w:val="00E46F48"/>
    <w:rsid w:val="00E4721A"/>
    <w:rsid w:val="00E47289"/>
    <w:rsid w:val="00E472D0"/>
    <w:rsid w:val="00E476C9"/>
    <w:rsid w:val="00E476E1"/>
    <w:rsid w:val="00E476E2"/>
    <w:rsid w:val="00E4770F"/>
    <w:rsid w:val="00E47783"/>
    <w:rsid w:val="00E477CC"/>
    <w:rsid w:val="00E47921"/>
    <w:rsid w:val="00E47926"/>
    <w:rsid w:val="00E47A82"/>
    <w:rsid w:val="00E47ADE"/>
    <w:rsid w:val="00E47BA4"/>
    <w:rsid w:val="00E47BBD"/>
    <w:rsid w:val="00E47EC8"/>
    <w:rsid w:val="00E50177"/>
    <w:rsid w:val="00E5030B"/>
    <w:rsid w:val="00E50367"/>
    <w:rsid w:val="00E50525"/>
    <w:rsid w:val="00E505B7"/>
    <w:rsid w:val="00E505D6"/>
    <w:rsid w:val="00E506EB"/>
    <w:rsid w:val="00E506EE"/>
    <w:rsid w:val="00E50994"/>
    <w:rsid w:val="00E50B9F"/>
    <w:rsid w:val="00E50D8D"/>
    <w:rsid w:val="00E50DE2"/>
    <w:rsid w:val="00E50F7B"/>
    <w:rsid w:val="00E51172"/>
    <w:rsid w:val="00E51674"/>
    <w:rsid w:val="00E517C4"/>
    <w:rsid w:val="00E51814"/>
    <w:rsid w:val="00E51883"/>
    <w:rsid w:val="00E5192D"/>
    <w:rsid w:val="00E51A18"/>
    <w:rsid w:val="00E51A1A"/>
    <w:rsid w:val="00E51EBC"/>
    <w:rsid w:val="00E52052"/>
    <w:rsid w:val="00E522C6"/>
    <w:rsid w:val="00E52333"/>
    <w:rsid w:val="00E52527"/>
    <w:rsid w:val="00E52528"/>
    <w:rsid w:val="00E5264A"/>
    <w:rsid w:val="00E5266E"/>
    <w:rsid w:val="00E52757"/>
    <w:rsid w:val="00E527C9"/>
    <w:rsid w:val="00E52A05"/>
    <w:rsid w:val="00E52A5B"/>
    <w:rsid w:val="00E52AB4"/>
    <w:rsid w:val="00E52BBD"/>
    <w:rsid w:val="00E52C7D"/>
    <w:rsid w:val="00E52CB9"/>
    <w:rsid w:val="00E52CE3"/>
    <w:rsid w:val="00E52DA4"/>
    <w:rsid w:val="00E52DB2"/>
    <w:rsid w:val="00E52DB8"/>
    <w:rsid w:val="00E52F2E"/>
    <w:rsid w:val="00E52F3E"/>
    <w:rsid w:val="00E52F92"/>
    <w:rsid w:val="00E53065"/>
    <w:rsid w:val="00E530B4"/>
    <w:rsid w:val="00E535A3"/>
    <w:rsid w:val="00E535EA"/>
    <w:rsid w:val="00E5364B"/>
    <w:rsid w:val="00E53665"/>
    <w:rsid w:val="00E5369A"/>
    <w:rsid w:val="00E536B8"/>
    <w:rsid w:val="00E53712"/>
    <w:rsid w:val="00E538BE"/>
    <w:rsid w:val="00E53A25"/>
    <w:rsid w:val="00E53CAD"/>
    <w:rsid w:val="00E53DDF"/>
    <w:rsid w:val="00E54007"/>
    <w:rsid w:val="00E54173"/>
    <w:rsid w:val="00E54216"/>
    <w:rsid w:val="00E54239"/>
    <w:rsid w:val="00E54255"/>
    <w:rsid w:val="00E543E7"/>
    <w:rsid w:val="00E545E5"/>
    <w:rsid w:val="00E5472E"/>
    <w:rsid w:val="00E547E1"/>
    <w:rsid w:val="00E54847"/>
    <w:rsid w:val="00E548C6"/>
    <w:rsid w:val="00E549C5"/>
    <w:rsid w:val="00E54A00"/>
    <w:rsid w:val="00E54A22"/>
    <w:rsid w:val="00E54AB1"/>
    <w:rsid w:val="00E54B5D"/>
    <w:rsid w:val="00E54BA1"/>
    <w:rsid w:val="00E54BA4"/>
    <w:rsid w:val="00E54C58"/>
    <w:rsid w:val="00E54E31"/>
    <w:rsid w:val="00E54EBB"/>
    <w:rsid w:val="00E54EC0"/>
    <w:rsid w:val="00E54F4A"/>
    <w:rsid w:val="00E55044"/>
    <w:rsid w:val="00E550B1"/>
    <w:rsid w:val="00E55145"/>
    <w:rsid w:val="00E55248"/>
    <w:rsid w:val="00E5524E"/>
    <w:rsid w:val="00E553C8"/>
    <w:rsid w:val="00E553DE"/>
    <w:rsid w:val="00E556C8"/>
    <w:rsid w:val="00E55708"/>
    <w:rsid w:val="00E5583C"/>
    <w:rsid w:val="00E5588A"/>
    <w:rsid w:val="00E55897"/>
    <w:rsid w:val="00E558E8"/>
    <w:rsid w:val="00E55A58"/>
    <w:rsid w:val="00E55B7B"/>
    <w:rsid w:val="00E55B8A"/>
    <w:rsid w:val="00E55BBC"/>
    <w:rsid w:val="00E55DEE"/>
    <w:rsid w:val="00E55F30"/>
    <w:rsid w:val="00E55FCF"/>
    <w:rsid w:val="00E561B7"/>
    <w:rsid w:val="00E56401"/>
    <w:rsid w:val="00E564AB"/>
    <w:rsid w:val="00E5653E"/>
    <w:rsid w:val="00E56652"/>
    <w:rsid w:val="00E5671A"/>
    <w:rsid w:val="00E568FC"/>
    <w:rsid w:val="00E5692F"/>
    <w:rsid w:val="00E5696C"/>
    <w:rsid w:val="00E56BE8"/>
    <w:rsid w:val="00E56C2E"/>
    <w:rsid w:val="00E56D6B"/>
    <w:rsid w:val="00E56DEA"/>
    <w:rsid w:val="00E56E72"/>
    <w:rsid w:val="00E56F57"/>
    <w:rsid w:val="00E56FCA"/>
    <w:rsid w:val="00E571DF"/>
    <w:rsid w:val="00E5737D"/>
    <w:rsid w:val="00E5747E"/>
    <w:rsid w:val="00E574BC"/>
    <w:rsid w:val="00E574FE"/>
    <w:rsid w:val="00E576C3"/>
    <w:rsid w:val="00E5773A"/>
    <w:rsid w:val="00E577AC"/>
    <w:rsid w:val="00E577D4"/>
    <w:rsid w:val="00E577E8"/>
    <w:rsid w:val="00E578A6"/>
    <w:rsid w:val="00E57C6D"/>
    <w:rsid w:val="00E57CB9"/>
    <w:rsid w:val="00E57CFE"/>
    <w:rsid w:val="00E57D5D"/>
    <w:rsid w:val="00E57EC1"/>
    <w:rsid w:val="00E57FD8"/>
    <w:rsid w:val="00E600AD"/>
    <w:rsid w:val="00E600C5"/>
    <w:rsid w:val="00E60166"/>
    <w:rsid w:val="00E601C6"/>
    <w:rsid w:val="00E6028D"/>
    <w:rsid w:val="00E605C6"/>
    <w:rsid w:val="00E606B9"/>
    <w:rsid w:val="00E606BF"/>
    <w:rsid w:val="00E607D7"/>
    <w:rsid w:val="00E60802"/>
    <w:rsid w:val="00E60968"/>
    <w:rsid w:val="00E6099A"/>
    <w:rsid w:val="00E60AA1"/>
    <w:rsid w:val="00E60BF7"/>
    <w:rsid w:val="00E60DC0"/>
    <w:rsid w:val="00E60F07"/>
    <w:rsid w:val="00E6101D"/>
    <w:rsid w:val="00E6115D"/>
    <w:rsid w:val="00E612AA"/>
    <w:rsid w:val="00E612F0"/>
    <w:rsid w:val="00E61506"/>
    <w:rsid w:val="00E616BA"/>
    <w:rsid w:val="00E6175F"/>
    <w:rsid w:val="00E618EB"/>
    <w:rsid w:val="00E61A62"/>
    <w:rsid w:val="00E61CF1"/>
    <w:rsid w:val="00E61DAD"/>
    <w:rsid w:val="00E61E98"/>
    <w:rsid w:val="00E61ED4"/>
    <w:rsid w:val="00E61FE7"/>
    <w:rsid w:val="00E62277"/>
    <w:rsid w:val="00E622D5"/>
    <w:rsid w:val="00E626DD"/>
    <w:rsid w:val="00E62715"/>
    <w:rsid w:val="00E627EE"/>
    <w:rsid w:val="00E628E3"/>
    <w:rsid w:val="00E6295E"/>
    <w:rsid w:val="00E629DC"/>
    <w:rsid w:val="00E62AB8"/>
    <w:rsid w:val="00E62BBA"/>
    <w:rsid w:val="00E62D25"/>
    <w:rsid w:val="00E62D81"/>
    <w:rsid w:val="00E62E73"/>
    <w:rsid w:val="00E62F11"/>
    <w:rsid w:val="00E63007"/>
    <w:rsid w:val="00E6300F"/>
    <w:rsid w:val="00E63082"/>
    <w:rsid w:val="00E63126"/>
    <w:rsid w:val="00E63127"/>
    <w:rsid w:val="00E63147"/>
    <w:rsid w:val="00E63227"/>
    <w:rsid w:val="00E63245"/>
    <w:rsid w:val="00E6339F"/>
    <w:rsid w:val="00E633D9"/>
    <w:rsid w:val="00E634C0"/>
    <w:rsid w:val="00E63502"/>
    <w:rsid w:val="00E635FC"/>
    <w:rsid w:val="00E63789"/>
    <w:rsid w:val="00E637D2"/>
    <w:rsid w:val="00E638BD"/>
    <w:rsid w:val="00E63A37"/>
    <w:rsid w:val="00E63A8B"/>
    <w:rsid w:val="00E63AB9"/>
    <w:rsid w:val="00E63BBE"/>
    <w:rsid w:val="00E63C11"/>
    <w:rsid w:val="00E63D2E"/>
    <w:rsid w:val="00E63E62"/>
    <w:rsid w:val="00E64081"/>
    <w:rsid w:val="00E64215"/>
    <w:rsid w:val="00E643B1"/>
    <w:rsid w:val="00E6451A"/>
    <w:rsid w:val="00E64581"/>
    <w:rsid w:val="00E645DC"/>
    <w:rsid w:val="00E646D2"/>
    <w:rsid w:val="00E647E0"/>
    <w:rsid w:val="00E647F4"/>
    <w:rsid w:val="00E648C2"/>
    <w:rsid w:val="00E64BDF"/>
    <w:rsid w:val="00E64C48"/>
    <w:rsid w:val="00E64C4E"/>
    <w:rsid w:val="00E64D9F"/>
    <w:rsid w:val="00E64F82"/>
    <w:rsid w:val="00E64FA0"/>
    <w:rsid w:val="00E64FBE"/>
    <w:rsid w:val="00E64FD4"/>
    <w:rsid w:val="00E65084"/>
    <w:rsid w:val="00E650FB"/>
    <w:rsid w:val="00E651CB"/>
    <w:rsid w:val="00E65268"/>
    <w:rsid w:val="00E652B7"/>
    <w:rsid w:val="00E652EC"/>
    <w:rsid w:val="00E65483"/>
    <w:rsid w:val="00E654A9"/>
    <w:rsid w:val="00E6559F"/>
    <w:rsid w:val="00E65618"/>
    <w:rsid w:val="00E657D8"/>
    <w:rsid w:val="00E657F0"/>
    <w:rsid w:val="00E65805"/>
    <w:rsid w:val="00E659D1"/>
    <w:rsid w:val="00E65A3F"/>
    <w:rsid w:val="00E65A4B"/>
    <w:rsid w:val="00E65A7F"/>
    <w:rsid w:val="00E65B0F"/>
    <w:rsid w:val="00E65B8B"/>
    <w:rsid w:val="00E65C5A"/>
    <w:rsid w:val="00E65E6E"/>
    <w:rsid w:val="00E65FDC"/>
    <w:rsid w:val="00E66212"/>
    <w:rsid w:val="00E662B1"/>
    <w:rsid w:val="00E662C4"/>
    <w:rsid w:val="00E66482"/>
    <w:rsid w:val="00E6671D"/>
    <w:rsid w:val="00E667D6"/>
    <w:rsid w:val="00E66A35"/>
    <w:rsid w:val="00E66ABD"/>
    <w:rsid w:val="00E66B5B"/>
    <w:rsid w:val="00E66BFC"/>
    <w:rsid w:val="00E66C41"/>
    <w:rsid w:val="00E66D74"/>
    <w:rsid w:val="00E66EC2"/>
    <w:rsid w:val="00E66F24"/>
    <w:rsid w:val="00E66F87"/>
    <w:rsid w:val="00E67122"/>
    <w:rsid w:val="00E671A4"/>
    <w:rsid w:val="00E6731D"/>
    <w:rsid w:val="00E674B3"/>
    <w:rsid w:val="00E6757A"/>
    <w:rsid w:val="00E675BF"/>
    <w:rsid w:val="00E67686"/>
    <w:rsid w:val="00E677B6"/>
    <w:rsid w:val="00E6782E"/>
    <w:rsid w:val="00E67BF7"/>
    <w:rsid w:val="00E67D22"/>
    <w:rsid w:val="00E67D72"/>
    <w:rsid w:val="00E702D5"/>
    <w:rsid w:val="00E7039B"/>
    <w:rsid w:val="00E703D7"/>
    <w:rsid w:val="00E703E3"/>
    <w:rsid w:val="00E703E5"/>
    <w:rsid w:val="00E703F9"/>
    <w:rsid w:val="00E70472"/>
    <w:rsid w:val="00E70556"/>
    <w:rsid w:val="00E705F6"/>
    <w:rsid w:val="00E70610"/>
    <w:rsid w:val="00E70652"/>
    <w:rsid w:val="00E7074B"/>
    <w:rsid w:val="00E7076F"/>
    <w:rsid w:val="00E7078F"/>
    <w:rsid w:val="00E707F2"/>
    <w:rsid w:val="00E70870"/>
    <w:rsid w:val="00E709EA"/>
    <w:rsid w:val="00E70AFB"/>
    <w:rsid w:val="00E70BE4"/>
    <w:rsid w:val="00E70D65"/>
    <w:rsid w:val="00E70EC0"/>
    <w:rsid w:val="00E711AD"/>
    <w:rsid w:val="00E71268"/>
    <w:rsid w:val="00E71422"/>
    <w:rsid w:val="00E71451"/>
    <w:rsid w:val="00E71597"/>
    <w:rsid w:val="00E71671"/>
    <w:rsid w:val="00E71753"/>
    <w:rsid w:val="00E71BD7"/>
    <w:rsid w:val="00E71D2C"/>
    <w:rsid w:val="00E71D68"/>
    <w:rsid w:val="00E71D81"/>
    <w:rsid w:val="00E71E16"/>
    <w:rsid w:val="00E720B9"/>
    <w:rsid w:val="00E72190"/>
    <w:rsid w:val="00E722C0"/>
    <w:rsid w:val="00E7232E"/>
    <w:rsid w:val="00E726C8"/>
    <w:rsid w:val="00E72854"/>
    <w:rsid w:val="00E729BE"/>
    <w:rsid w:val="00E72A8B"/>
    <w:rsid w:val="00E72B1F"/>
    <w:rsid w:val="00E72E44"/>
    <w:rsid w:val="00E72E5A"/>
    <w:rsid w:val="00E72ED7"/>
    <w:rsid w:val="00E7313E"/>
    <w:rsid w:val="00E731A9"/>
    <w:rsid w:val="00E7325B"/>
    <w:rsid w:val="00E73548"/>
    <w:rsid w:val="00E73577"/>
    <w:rsid w:val="00E73880"/>
    <w:rsid w:val="00E738DB"/>
    <w:rsid w:val="00E73ACC"/>
    <w:rsid w:val="00E73B94"/>
    <w:rsid w:val="00E73BF9"/>
    <w:rsid w:val="00E73D6A"/>
    <w:rsid w:val="00E73DE5"/>
    <w:rsid w:val="00E73E3F"/>
    <w:rsid w:val="00E73E45"/>
    <w:rsid w:val="00E73E5D"/>
    <w:rsid w:val="00E73EA5"/>
    <w:rsid w:val="00E73ED4"/>
    <w:rsid w:val="00E74034"/>
    <w:rsid w:val="00E74039"/>
    <w:rsid w:val="00E742C7"/>
    <w:rsid w:val="00E74313"/>
    <w:rsid w:val="00E7439E"/>
    <w:rsid w:val="00E743C7"/>
    <w:rsid w:val="00E74404"/>
    <w:rsid w:val="00E7476A"/>
    <w:rsid w:val="00E74780"/>
    <w:rsid w:val="00E74D99"/>
    <w:rsid w:val="00E74DA8"/>
    <w:rsid w:val="00E74DB6"/>
    <w:rsid w:val="00E75229"/>
    <w:rsid w:val="00E753B4"/>
    <w:rsid w:val="00E7542E"/>
    <w:rsid w:val="00E7548A"/>
    <w:rsid w:val="00E755A3"/>
    <w:rsid w:val="00E75623"/>
    <w:rsid w:val="00E75859"/>
    <w:rsid w:val="00E758B2"/>
    <w:rsid w:val="00E758BC"/>
    <w:rsid w:val="00E758C0"/>
    <w:rsid w:val="00E75910"/>
    <w:rsid w:val="00E75987"/>
    <w:rsid w:val="00E75C83"/>
    <w:rsid w:val="00E75DF1"/>
    <w:rsid w:val="00E75E29"/>
    <w:rsid w:val="00E75E38"/>
    <w:rsid w:val="00E75E67"/>
    <w:rsid w:val="00E75EDF"/>
    <w:rsid w:val="00E7600D"/>
    <w:rsid w:val="00E760A2"/>
    <w:rsid w:val="00E7614E"/>
    <w:rsid w:val="00E76196"/>
    <w:rsid w:val="00E76273"/>
    <w:rsid w:val="00E76377"/>
    <w:rsid w:val="00E764B4"/>
    <w:rsid w:val="00E764F1"/>
    <w:rsid w:val="00E76549"/>
    <w:rsid w:val="00E7688F"/>
    <w:rsid w:val="00E76A18"/>
    <w:rsid w:val="00E76AEF"/>
    <w:rsid w:val="00E76BD4"/>
    <w:rsid w:val="00E76C2C"/>
    <w:rsid w:val="00E76D3F"/>
    <w:rsid w:val="00E76E42"/>
    <w:rsid w:val="00E76EBF"/>
    <w:rsid w:val="00E771B5"/>
    <w:rsid w:val="00E77208"/>
    <w:rsid w:val="00E77357"/>
    <w:rsid w:val="00E773C7"/>
    <w:rsid w:val="00E774FC"/>
    <w:rsid w:val="00E77541"/>
    <w:rsid w:val="00E777C6"/>
    <w:rsid w:val="00E7784C"/>
    <w:rsid w:val="00E77961"/>
    <w:rsid w:val="00E779E9"/>
    <w:rsid w:val="00E77B01"/>
    <w:rsid w:val="00E77B8C"/>
    <w:rsid w:val="00E77C6B"/>
    <w:rsid w:val="00E77D61"/>
    <w:rsid w:val="00E77D67"/>
    <w:rsid w:val="00E80201"/>
    <w:rsid w:val="00E803D4"/>
    <w:rsid w:val="00E80417"/>
    <w:rsid w:val="00E80485"/>
    <w:rsid w:val="00E8048D"/>
    <w:rsid w:val="00E8093F"/>
    <w:rsid w:val="00E80983"/>
    <w:rsid w:val="00E809EC"/>
    <w:rsid w:val="00E809FE"/>
    <w:rsid w:val="00E80B05"/>
    <w:rsid w:val="00E80B7A"/>
    <w:rsid w:val="00E80BEE"/>
    <w:rsid w:val="00E80C87"/>
    <w:rsid w:val="00E80CCC"/>
    <w:rsid w:val="00E80D8F"/>
    <w:rsid w:val="00E80EAA"/>
    <w:rsid w:val="00E81027"/>
    <w:rsid w:val="00E81037"/>
    <w:rsid w:val="00E8105E"/>
    <w:rsid w:val="00E812B6"/>
    <w:rsid w:val="00E812D7"/>
    <w:rsid w:val="00E814F4"/>
    <w:rsid w:val="00E815A9"/>
    <w:rsid w:val="00E8166F"/>
    <w:rsid w:val="00E81733"/>
    <w:rsid w:val="00E8178A"/>
    <w:rsid w:val="00E817FA"/>
    <w:rsid w:val="00E81898"/>
    <w:rsid w:val="00E818CA"/>
    <w:rsid w:val="00E819A6"/>
    <w:rsid w:val="00E81A7A"/>
    <w:rsid w:val="00E81A9F"/>
    <w:rsid w:val="00E81B31"/>
    <w:rsid w:val="00E81CC2"/>
    <w:rsid w:val="00E81D98"/>
    <w:rsid w:val="00E81E10"/>
    <w:rsid w:val="00E81F24"/>
    <w:rsid w:val="00E82017"/>
    <w:rsid w:val="00E82041"/>
    <w:rsid w:val="00E821F3"/>
    <w:rsid w:val="00E822CB"/>
    <w:rsid w:val="00E825A2"/>
    <w:rsid w:val="00E82714"/>
    <w:rsid w:val="00E8276C"/>
    <w:rsid w:val="00E8278E"/>
    <w:rsid w:val="00E82909"/>
    <w:rsid w:val="00E82913"/>
    <w:rsid w:val="00E829BA"/>
    <w:rsid w:val="00E82C3E"/>
    <w:rsid w:val="00E82CC0"/>
    <w:rsid w:val="00E82D34"/>
    <w:rsid w:val="00E82D8D"/>
    <w:rsid w:val="00E8302A"/>
    <w:rsid w:val="00E83205"/>
    <w:rsid w:val="00E8337B"/>
    <w:rsid w:val="00E83533"/>
    <w:rsid w:val="00E83564"/>
    <w:rsid w:val="00E83583"/>
    <w:rsid w:val="00E837D2"/>
    <w:rsid w:val="00E837FD"/>
    <w:rsid w:val="00E8387B"/>
    <w:rsid w:val="00E838CA"/>
    <w:rsid w:val="00E83AB8"/>
    <w:rsid w:val="00E83C45"/>
    <w:rsid w:val="00E83CAF"/>
    <w:rsid w:val="00E83E70"/>
    <w:rsid w:val="00E83E78"/>
    <w:rsid w:val="00E83EB3"/>
    <w:rsid w:val="00E83EFE"/>
    <w:rsid w:val="00E83F9A"/>
    <w:rsid w:val="00E842C5"/>
    <w:rsid w:val="00E84820"/>
    <w:rsid w:val="00E8486C"/>
    <w:rsid w:val="00E84C33"/>
    <w:rsid w:val="00E84D62"/>
    <w:rsid w:val="00E84D9E"/>
    <w:rsid w:val="00E84E58"/>
    <w:rsid w:val="00E84F08"/>
    <w:rsid w:val="00E84F49"/>
    <w:rsid w:val="00E84F88"/>
    <w:rsid w:val="00E85073"/>
    <w:rsid w:val="00E85127"/>
    <w:rsid w:val="00E85194"/>
    <w:rsid w:val="00E85440"/>
    <w:rsid w:val="00E8553D"/>
    <w:rsid w:val="00E85655"/>
    <w:rsid w:val="00E85690"/>
    <w:rsid w:val="00E856F7"/>
    <w:rsid w:val="00E85765"/>
    <w:rsid w:val="00E859F7"/>
    <w:rsid w:val="00E85A05"/>
    <w:rsid w:val="00E85ABF"/>
    <w:rsid w:val="00E85C06"/>
    <w:rsid w:val="00E85D66"/>
    <w:rsid w:val="00E85E3B"/>
    <w:rsid w:val="00E85FB5"/>
    <w:rsid w:val="00E86631"/>
    <w:rsid w:val="00E86646"/>
    <w:rsid w:val="00E866D7"/>
    <w:rsid w:val="00E867CB"/>
    <w:rsid w:val="00E867DD"/>
    <w:rsid w:val="00E8681C"/>
    <w:rsid w:val="00E8685A"/>
    <w:rsid w:val="00E868FD"/>
    <w:rsid w:val="00E8692B"/>
    <w:rsid w:val="00E869D8"/>
    <w:rsid w:val="00E86CAF"/>
    <w:rsid w:val="00E86D68"/>
    <w:rsid w:val="00E86EED"/>
    <w:rsid w:val="00E86F84"/>
    <w:rsid w:val="00E872EA"/>
    <w:rsid w:val="00E87476"/>
    <w:rsid w:val="00E874DC"/>
    <w:rsid w:val="00E875D5"/>
    <w:rsid w:val="00E875EF"/>
    <w:rsid w:val="00E87698"/>
    <w:rsid w:val="00E8787A"/>
    <w:rsid w:val="00E8789D"/>
    <w:rsid w:val="00E879D0"/>
    <w:rsid w:val="00E879F7"/>
    <w:rsid w:val="00E87A4D"/>
    <w:rsid w:val="00E87A63"/>
    <w:rsid w:val="00E87A8D"/>
    <w:rsid w:val="00E87BEF"/>
    <w:rsid w:val="00E87CAE"/>
    <w:rsid w:val="00E87CE9"/>
    <w:rsid w:val="00E9014D"/>
    <w:rsid w:val="00E90175"/>
    <w:rsid w:val="00E90197"/>
    <w:rsid w:val="00E90342"/>
    <w:rsid w:val="00E90405"/>
    <w:rsid w:val="00E90490"/>
    <w:rsid w:val="00E904FD"/>
    <w:rsid w:val="00E906E6"/>
    <w:rsid w:val="00E9074D"/>
    <w:rsid w:val="00E907C2"/>
    <w:rsid w:val="00E907F8"/>
    <w:rsid w:val="00E9081B"/>
    <w:rsid w:val="00E9088B"/>
    <w:rsid w:val="00E908B6"/>
    <w:rsid w:val="00E9098E"/>
    <w:rsid w:val="00E909D7"/>
    <w:rsid w:val="00E90AFA"/>
    <w:rsid w:val="00E90B0A"/>
    <w:rsid w:val="00E90C48"/>
    <w:rsid w:val="00E90EEA"/>
    <w:rsid w:val="00E90F7E"/>
    <w:rsid w:val="00E9105B"/>
    <w:rsid w:val="00E91109"/>
    <w:rsid w:val="00E9115C"/>
    <w:rsid w:val="00E911D1"/>
    <w:rsid w:val="00E91259"/>
    <w:rsid w:val="00E9135F"/>
    <w:rsid w:val="00E91402"/>
    <w:rsid w:val="00E91492"/>
    <w:rsid w:val="00E914A4"/>
    <w:rsid w:val="00E914B4"/>
    <w:rsid w:val="00E914CA"/>
    <w:rsid w:val="00E916B6"/>
    <w:rsid w:val="00E91759"/>
    <w:rsid w:val="00E91A44"/>
    <w:rsid w:val="00E91B27"/>
    <w:rsid w:val="00E91BB1"/>
    <w:rsid w:val="00E91C3D"/>
    <w:rsid w:val="00E91CB4"/>
    <w:rsid w:val="00E91CDF"/>
    <w:rsid w:val="00E91D31"/>
    <w:rsid w:val="00E91ED1"/>
    <w:rsid w:val="00E91EDD"/>
    <w:rsid w:val="00E91FEF"/>
    <w:rsid w:val="00E920D5"/>
    <w:rsid w:val="00E9215B"/>
    <w:rsid w:val="00E92167"/>
    <w:rsid w:val="00E9222B"/>
    <w:rsid w:val="00E922BE"/>
    <w:rsid w:val="00E923B1"/>
    <w:rsid w:val="00E924EA"/>
    <w:rsid w:val="00E92516"/>
    <w:rsid w:val="00E92544"/>
    <w:rsid w:val="00E925BF"/>
    <w:rsid w:val="00E9262F"/>
    <w:rsid w:val="00E92877"/>
    <w:rsid w:val="00E929AC"/>
    <w:rsid w:val="00E92A7C"/>
    <w:rsid w:val="00E92B9C"/>
    <w:rsid w:val="00E92CF6"/>
    <w:rsid w:val="00E92D50"/>
    <w:rsid w:val="00E92F41"/>
    <w:rsid w:val="00E92F89"/>
    <w:rsid w:val="00E9309A"/>
    <w:rsid w:val="00E9327A"/>
    <w:rsid w:val="00E9327B"/>
    <w:rsid w:val="00E933F8"/>
    <w:rsid w:val="00E933FA"/>
    <w:rsid w:val="00E934A7"/>
    <w:rsid w:val="00E934CE"/>
    <w:rsid w:val="00E9365B"/>
    <w:rsid w:val="00E93662"/>
    <w:rsid w:val="00E936B3"/>
    <w:rsid w:val="00E9378D"/>
    <w:rsid w:val="00E93AF9"/>
    <w:rsid w:val="00E93BAA"/>
    <w:rsid w:val="00E93C45"/>
    <w:rsid w:val="00E93CFC"/>
    <w:rsid w:val="00E94078"/>
    <w:rsid w:val="00E944AF"/>
    <w:rsid w:val="00E945BE"/>
    <w:rsid w:val="00E94A09"/>
    <w:rsid w:val="00E94A15"/>
    <w:rsid w:val="00E94A84"/>
    <w:rsid w:val="00E94C2A"/>
    <w:rsid w:val="00E94C32"/>
    <w:rsid w:val="00E94D1F"/>
    <w:rsid w:val="00E94E2C"/>
    <w:rsid w:val="00E95178"/>
    <w:rsid w:val="00E951E3"/>
    <w:rsid w:val="00E95494"/>
    <w:rsid w:val="00E9570D"/>
    <w:rsid w:val="00E95786"/>
    <w:rsid w:val="00E958DC"/>
    <w:rsid w:val="00E96143"/>
    <w:rsid w:val="00E96318"/>
    <w:rsid w:val="00E96351"/>
    <w:rsid w:val="00E9647D"/>
    <w:rsid w:val="00E965D0"/>
    <w:rsid w:val="00E96920"/>
    <w:rsid w:val="00E96ACD"/>
    <w:rsid w:val="00E96AFF"/>
    <w:rsid w:val="00E96B01"/>
    <w:rsid w:val="00E96C0E"/>
    <w:rsid w:val="00E96C56"/>
    <w:rsid w:val="00E96F22"/>
    <w:rsid w:val="00E9708E"/>
    <w:rsid w:val="00E97106"/>
    <w:rsid w:val="00E97185"/>
    <w:rsid w:val="00E972BE"/>
    <w:rsid w:val="00E97306"/>
    <w:rsid w:val="00E9732E"/>
    <w:rsid w:val="00E974A8"/>
    <w:rsid w:val="00E974BA"/>
    <w:rsid w:val="00E9786C"/>
    <w:rsid w:val="00E978AB"/>
    <w:rsid w:val="00E97CE2"/>
    <w:rsid w:val="00E97F46"/>
    <w:rsid w:val="00EA0085"/>
    <w:rsid w:val="00EA018D"/>
    <w:rsid w:val="00EA01FC"/>
    <w:rsid w:val="00EA0206"/>
    <w:rsid w:val="00EA0429"/>
    <w:rsid w:val="00EA04B8"/>
    <w:rsid w:val="00EA068A"/>
    <w:rsid w:val="00EA071C"/>
    <w:rsid w:val="00EA0770"/>
    <w:rsid w:val="00EA077F"/>
    <w:rsid w:val="00EA07BF"/>
    <w:rsid w:val="00EA08C6"/>
    <w:rsid w:val="00EA0918"/>
    <w:rsid w:val="00EA093F"/>
    <w:rsid w:val="00EA0B34"/>
    <w:rsid w:val="00EA0B40"/>
    <w:rsid w:val="00EA0CB0"/>
    <w:rsid w:val="00EA0F82"/>
    <w:rsid w:val="00EA118A"/>
    <w:rsid w:val="00EA11E2"/>
    <w:rsid w:val="00EA1240"/>
    <w:rsid w:val="00EA1262"/>
    <w:rsid w:val="00EA12CE"/>
    <w:rsid w:val="00EA13F4"/>
    <w:rsid w:val="00EA1464"/>
    <w:rsid w:val="00EA15C1"/>
    <w:rsid w:val="00EA168D"/>
    <w:rsid w:val="00EA16E6"/>
    <w:rsid w:val="00EA17AF"/>
    <w:rsid w:val="00EA18FA"/>
    <w:rsid w:val="00EA18FC"/>
    <w:rsid w:val="00EA199E"/>
    <w:rsid w:val="00EA19E9"/>
    <w:rsid w:val="00EA2369"/>
    <w:rsid w:val="00EA25CF"/>
    <w:rsid w:val="00EA2622"/>
    <w:rsid w:val="00EA279C"/>
    <w:rsid w:val="00EA284C"/>
    <w:rsid w:val="00EA287C"/>
    <w:rsid w:val="00EA289F"/>
    <w:rsid w:val="00EA2BAC"/>
    <w:rsid w:val="00EA2BD2"/>
    <w:rsid w:val="00EA2ECD"/>
    <w:rsid w:val="00EA2F02"/>
    <w:rsid w:val="00EA2FBE"/>
    <w:rsid w:val="00EA2FC6"/>
    <w:rsid w:val="00EA307F"/>
    <w:rsid w:val="00EA30C5"/>
    <w:rsid w:val="00EA314F"/>
    <w:rsid w:val="00EA3480"/>
    <w:rsid w:val="00EA3539"/>
    <w:rsid w:val="00EA35B0"/>
    <w:rsid w:val="00EA3616"/>
    <w:rsid w:val="00EA3784"/>
    <w:rsid w:val="00EA3868"/>
    <w:rsid w:val="00EA39CD"/>
    <w:rsid w:val="00EA3B5D"/>
    <w:rsid w:val="00EA3B75"/>
    <w:rsid w:val="00EA3BDD"/>
    <w:rsid w:val="00EA3CAC"/>
    <w:rsid w:val="00EA3D2E"/>
    <w:rsid w:val="00EA3E53"/>
    <w:rsid w:val="00EA4085"/>
    <w:rsid w:val="00EA43C2"/>
    <w:rsid w:val="00EA455A"/>
    <w:rsid w:val="00EA45FA"/>
    <w:rsid w:val="00EA46A3"/>
    <w:rsid w:val="00EA4740"/>
    <w:rsid w:val="00EA4746"/>
    <w:rsid w:val="00EA475C"/>
    <w:rsid w:val="00EA47CE"/>
    <w:rsid w:val="00EA4886"/>
    <w:rsid w:val="00EA4897"/>
    <w:rsid w:val="00EA4B6B"/>
    <w:rsid w:val="00EA4C0E"/>
    <w:rsid w:val="00EA4C50"/>
    <w:rsid w:val="00EA4D9F"/>
    <w:rsid w:val="00EA4E5B"/>
    <w:rsid w:val="00EA4E9C"/>
    <w:rsid w:val="00EA5048"/>
    <w:rsid w:val="00EA510F"/>
    <w:rsid w:val="00EA51EB"/>
    <w:rsid w:val="00EA5298"/>
    <w:rsid w:val="00EA54D5"/>
    <w:rsid w:val="00EA5501"/>
    <w:rsid w:val="00EA55BD"/>
    <w:rsid w:val="00EA55F8"/>
    <w:rsid w:val="00EA5643"/>
    <w:rsid w:val="00EA5725"/>
    <w:rsid w:val="00EA5743"/>
    <w:rsid w:val="00EA58A2"/>
    <w:rsid w:val="00EA5964"/>
    <w:rsid w:val="00EA5A5F"/>
    <w:rsid w:val="00EA5BC7"/>
    <w:rsid w:val="00EA5C03"/>
    <w:rsid w:val="00EA5C63"/>
    <w:rsid w:val="00EA5CAC"/>
    <w:rsid w:val="00EA6061"/>
    <w:rsid w:val="00EA64BA"/>
    <w:rsid w:val="00EA668C"/>
    <w:rsid w:val="00EA6721"/>
    <w:rsid w:val="00EA6731"/>
    <w:rsid w:val="00EA6902"/>
    <w:rsid w:val="00EA6975"/>
    <w:rsid w:val="00EA6A0E"/>
    <w:rsid w:val="00EA6E2D"/>
    <w:rsid w:val="00EA7050"/>
    <w:rsid w:val="00EA73B3"/>
    <w:rsid w:val="00EA7449"/>
    <w:rsid w:val="00EA7479"/>
    <w:rsid w:val="00EA758B"/>
    <w:rsid w:val="00EA778A"/>
    <w:rsid w:val="00EA7A27"/>
    <w:rsid w:val="00EA7B42"/>
    <w:rsid w:val="00EA7BC3"/>
    <w:rsid w:val="00EA7BF0"/>
    <w:rsid w:val="00EA7C6F"/>
    <w:rsid w:val="00EA7DF2"/>
    <w:rsid w:val="00EA7E1A"/>
    <w:rsid w:val="00EA7E7D"/>
    <w:rsid w:val="00EA7E7F"/>
    <w:rsid w:val="00EA7EFD"/>
    <w:rsid w:val="00EB0014"/>
    <w:rsid w:val="00EB0123"/>
    <w:rsid w:val="00EB0202"/>
    <w:rsid w:val="00EB0229"/>
    <w:rsid w:val="00EB039F"/>
    <w:rsid w:val="00EB03ED"/>
    <w:rsid w:val="00EB047C"/>
    <w:rsid w:val="00EB06F0"/>
    <w:rsid w:val="00EB0915"/>
    <w:rsid w:val="00EB09E9"/>
    <w:rsid w:val="00EB0AD5"/>
    <w:rsid w:val="00EB0ADB"/>
    <w:rsid w:val="00EB0D1B"/>
    <w:rsid w:val="00EB0DD4"/>
    <w:rsid w:val="00EB0E2D"/>
    <w:rsid w:val="00EB1018"/>
    <w:rsid w:val="00EB124C"/>
    <w:rsid w:val="00EB1257"/>
    <w:rsid w:val="00EB14CB"/>
    <w:rsid w:val="00EB19C6"/>
    <w:rsid w:val="00EB1B64"/>
    <w:rsid w:val="00EB1F86"/>
    <w:rsid w:val="00EB204E"/>
    <w:rsid w:val="00EB2182"/>
    <w:rsid w:val="00EB21DF"/>
    <w:rsid w:val="00EB22C0"/>
    <w:rsid w:val="00EB241C"/>
    <w:rsid w:val="00EB25E5"/>
    <w:rsid w:val="00EB2667"/>
    <w:rsid w:val="00EB27C3"/>
    <w:rsid w:val="00EB2811"/>
    <w:rsid w:val="00EB2864"/>
    <w:rsid w:val="00EB292F"/>
    <w:rsid w:val="00EB2C17"/>
    <w:rsid w:val="00EB2C19"/>
    <w:rsid w:val="00EB2C4F"/>
    <w:rsid w:val="00EB2CE8"/>
    <w:rsid w:val="00EB2DB3"/>
    <w:rsid w:val="00EB2F6C"/>
    <w:rsid w:val="00EB2F99"/>
    <w:rsid w:val="00EB2FE8"/>
    <w:rsid w:val="00EB3075"/>
    <w:rsid w:val="00EB3123"/>
    <w:rsid w:val="00EB3220"/>
    <w:rsid w:val="00EB3227"/>
    <w:rsid w:val="00EB355D"/>
    <w:rsid w:val="00EB36A0"/>
    <w:rsid w:val="00EB3708"/>
    <w:rsid w:val="00EB38A0"/>
    <w:rsid w:val="00EB39D8"/>
    <w:rsid w:val="00EB39E6"/>
    <w:rsid w:val="00EB3AE0"/>
    <w:rsid w:val="00EB3BFD"/>
    <w:rsid w:val="00EB3D57"/>
    <w:rsid w:val="00EB3D5B"/>
    <w:rsid w:val="00EB3E23"/>
    <w:rsid w:val="00EB4018"/>
    <w:rsid w:val="00EB4312"/>
    <w:rsid w:val="00EB4481"/>
    <w:rsid w:val="00EB455D"/>
    <w:rsid w:val="00EB4915"/>
    <w:rsid w:val="00EB4A9D"/>
    <w:rsid w:val="00EB4B4C"/>
    <w:rsid w:val="00EB4B96"/>
    <w:rsid w:val="00EB4BAE"/>
    <w:rsid w:val="00EB4DC8"/>
    <w:rsid w:val="00EB5197"/>
    <w:rsid w:val="00EB51CE"/>
    <w:rsid w:val="00EB5311"/>
    <w:rsid w:val="00EB538D"/>
    <w:rsid w:val="00EB5464"/>
    <w:rsid w:val="00EB5531"/>
    <w:rsid w:val="00EB5601"/>
    <w:rsid w:val="00EB5680"/>
    <w:rsid w:val="00EB57F1"/>
    <w:rsid w:val="00EB589B"/>
    <w:rsid w:val="00EB5921"/>
    <w:rsid w:val="00EB5938"/>
    <w:rsid w:val="00EB597F"/>
    <w:rsid w:val="00EB5A09"/>
    <w:rsid w:val="00EB5A2E"/>
    <w:rsid w:val="00EB5A8F"/>
    <w:rsid w:val="00EB5B9D"/>
    <w:rsid w:val="00EB5D89"/>
    <w:rsid w:val="00EB5DB7"/>
    <w:rsid w:val="00EB5DC7"/>
    <w:rsid w:val="00EB5DF8"/>
    <w:rsid w:val="00EB5EBA"/>
    <w:rsid w:val="00EB5EDA"/>
    <w:rsid w:val="00EB60EE"/>
    <w:rsid w:val="00EB621C"/>
    <w:rsid w:val="00EB62D1"/>
    <w:rsid w:val="00EB6333"/>
    <w:rsid w:val="00EB6347"/>
    <w:rsid w:val="00EB6428"/>
    <w:rsid w:val="00EB6471"/>
    <w:rsid w:val="00EB6484"/>
    <w:rsid w:val="00EB650A"/>
    <w:rsid w:val="00EB652D"/>
    <w:rsid w:val="00EB65B6"/>
    <w:rsid w:val="00EB65D1"/>
    <w:rsid w:val="00EB65FA"/>
    <w:rsid w:val="00EB66A2"/>
    <w:rsid w:val="00EB67F4"/>
    <w:rsid w:val="00EB69C4"/>
    <w:rsid w:val="00EB6A9A"/>
    <w:rsid w:val="00EB6AC5"/>
    <w:rsid w:val="00EB6B35"/>
    <w:rsid w:val="00EB6CD8"/>
    <w:rsid w:val="00EB6D67"/>
    <w:rsid w:val="00EB6DEE"/>
    <w:rsid w:val="00EB6E12"/>
    <w:rsid w:val="00EB6EB0"/>
    <w:rsid w:val="00EB6F0C"/>
    <w:rsid w:val="00EB6F49"/>
    <w:rsid w:val="00EB6F98"/>
    <w:rsid w:val="00EB703F"/>
    <w:rsid w:val="00EB7195"/>
    <w:rsid w:val="00EB71A0"/>
    <w:rsid w:val="00EB7335"/>
    <w:rsid w:val="00EB7695"/>
    <w:rsid w:val="00EB76D4"/>
    <w:rsid w:val="00EB77FE"/>
    <w:rsid w:val="00EB7812"/>
    <w:rsid w:val="00EB7947"/>
    <w:rsid w:val="00EB7984"/>
    <w:rsid w:val="00EB79BF"/>
    <w:rsid w:val="00EB7A6D"/>
    <w:rsid w:val="00EB7B31"/>
    <w:rsid w:val="00EB7BFB"/>
    <w:rsid w:val="00EB7C1B"/>
    <w:rsid w:val="00EB7CDA"/>
    <w:rsid w:val="00EB7D11"/>
    <w:rsid w:val="00EB7D36"/>
    <w:rsid w:val="00EB7D72"/>
    <w:rsid w:val="00EB7E55"/>
    <w:rsid w:val="00EB7F4A"/>
    <w:rsid w:val="00EB7FC6"/>
    <w:rsid w:val="00EC00C9"/>
    <w:rsid w:val="00EC018E"/>
    <w:rsid w:val="00EC0206"/>
    <w:rsid w:val="00EC04C2"/>
    <w:rsid w:val="00EC0501"/>
    <w:rsid w:val="00EC0748"/>
    <w:rsid w:val="00EC0929"/>
    <w:rsid w:val="00EC0AB3"/>
    <w:rsid w:val="00EC0B0D"/>
    <w:rsid w:val="00EC0B56"/>
    <w:rsid w:val="00EC0B9F"/>
    <w:rsid w:val="00EC0ECC"/>
    <w:rsid w:val="00EC0F43"/>
    <w:rsid w:val="00EC0F7A"/>
    <w:rsid w:val="00EC0FCF"/>
    <w:rsid w:val="00EC0FF4"/>
    <w:rsid w:val="00EC10F6"/>
    <w:rsid w:val="00EC11D4"/>
    <w:rsid w:val="00EC11EB"/>
    <w:rsid w:val="00EC14A2"/>
    <w:rsid w:val="00EC1573"/>
    <w:rsid w:val="00EC1702"/>
    <w:rsid w:val="00EC17A1"/>
    <w:rsid w:val="00EC198F"/>
    <w:rsid w:val="00EC19FB"/>
    <w:rsid w:val="00EC1A64"/>
    <w:rsid w:val="00EC1B43"/>
    <w:rsid w:val="00EC1C1C"/>
    <w:rsid w:val="00EC1CD6"/>
    <w:rsid w:val="00EC1D34"/>
    <w:rsid w:val="00EC2245"/>
    <w:rsid w:val="00EC23ED"/>
    <w:rsid w:val="00EC259A"/>
    <w:rsid w:val="00EC26BB"/>
    <w:rsid w:val="00EC2731"/>
    <w:rsid w:val="00EC28FE"/>
    <w:rsid w:val="00EC2BBA"/>
    <w:rsid w:val="00EC2D7D"/>
    <w:rsid w:val="00EC2EDD"/>
    <w:rsid w:val="00EC2F7D"/>
    <w:rsid w:val="00EC3279"/>
    <w:rsid w:val="00EC32CB"/>
    <w:rsid w:val="00EC33CA"/>
    <w:rsid w:val="00EC3492"/>
    <w:rsid w:val="00EC34B3"/>
    <w:rsid w:val="00EC3686"/>
    <w:rsid w:val="00EC36A8"/>
    <w:rsid w:val="00EC3830"/>
    <w:rsid w:val="00EC389A"/>
    <w:rsid w:val="00EC39EA"/>
    <w:rsid w:val="00EC3A37"/>
    <w:rsid w:val="00EC3D08"/>
    <w:rsid w:val="00EC3EF3"/>
    <w:rsid w:val="00EC3F1D"/>
    <w:rsid w:val="00EC3FE2"/>
    <w:rsid w:val="00EC4171"/>
    <w:rsid w:val="00EC4193"/>
    <w:rsid w:val="00EC4257"/>
    <w:rsid w:val="00EC4372"/>
    <w:rsid w:val="00EC438C"/>
    <w:rsid w:val="00EC47E3"/>
    <w:rsid w:val="00EC4917"/>
    <w:rsid w:val="00EC49F4"/>
    <w:rsid w:val="00EC4A04"/>
    <w:rsid w:val="00EC4A8A"/>
    <w:rsid w:val="00EC4B3E"/>
    <w:rsid w:val="00EC4BAC"/>
    <w:rsid w:val="00EC4C80"/>
    <w:rsid w:val="00EC4D90"/>
    <w:rsid w:val="00EC4E50"/>
    <w:rsid w:val="00EC4EB3"/>
    <w:rsid w:val="00EC4EC2"/>
    <w:rsid w:val="00EC50AF"/>
    <w:rsid w:val="00EC5226"/>
    <w:rsid w:val="00EC5232"/>
    <w:rsid w:val="00EC5282"/>
    <w:rsid w:val="00EC53FF"/>
    <w:rsid w:val="00EC558E"/>
    <w:rsid w:val="00EC565F"/>
    <w:rsid w:val="00EC5940"/>
    <w:rsid w:val="00EC59DB"/>
    <w:rsid w:val="00EC5AF7"/>
    <w:rsid w:val="00EC5D83"/>
    <w:rsid w:val="00EC5F8C"/>
    <w:rsid w:val="00EC62CE"/>
    <w:rsid w:val="00EC6334"/>
    <w:rsid w:val="00EC638E"/>
    <w:rsid w:val="00EC6466"/>
    <w:rsid w:val="00EC6696"/>
    <w:rsid w:val="00EC684D"/>
    <w:rsid w:val="00EC6994"/>
    <w:rsid w:val="00EC6B23"/>
    <w:rsid w:val="00EC6B48"/>
    <w:rsid w:val="00EC6BE6"/>
    <w:rsid w:val="00EC6D01"/>
    <w:rsid w:val="00EC6D71"/>
    <w:rsid w:val="00EC6DF0"/>
    <w:rsid w:val="00EC70BA"/>
    <w:rsid w:val="00EC70FA"/>
    <w:rsid w:val="00EC7346"/>
    <w:rsid w:val="00EC74BE"/>
    <w:rsid w:val="00EC752B"/>
    <w:rsid w:val="00EC766D"/>
    <w:rsid w:val="00EC76C4"/>
    <w:rsid w:val="00EC7803"/>
    <w:rsid w:val="00EC7832"/>
    <w:rsid w:val="00EC7906"/>
    <w:rsid w:val="00EC792D"/>
    <w:rsid w:val="00EC7A23"/>
    <w:rsid w:val="00ED0134"/>
    <w:rsid w:val="00ED0181"/>
    <w:rsid w:val="00ED01C6"/>
    <w:rsid w:val="00ED0275"/>
    <w:rsid w:val="00ED02A7"/>
    <w:rsid w:val="00ED0300"/>
    <w:rsid w:val="00ED04CB"/>
    <w:rsid w:val="00ED066A"/>
    <w:rsid w:val="00ED0768"/>
    <w:rsid w:val="00ED079A"/>
    <w:rsid w:val="00ED0850"/>
    <w:rsid w:val="00ED08C0"/>
    <w:rsid w:val="00ED0907"/>
    <w:rsid w:val="00ED0C4E"/>
    <w:rsid w:val="00ED109A"/>
    <w:rsid w:val="00ED1209"/>
    <w:rsid w:val="00ED1719"/>
    <w:rsid w:val="00ED1897"/>
    <w:rsid w:val="00ED191B"/>
    <w:rsid w:val="00ED1961"/>
    <w:rsid w:val="00ED1B67"/>
    <w:rsid w:val="00ED1C90"/>
    <w:rsid w:val="00ED1DED"/>
    <w:rsid w:val="00ED1FE4"/>
    <w:rsid w:val="00ED20FF"/>
    <w:rsid w:val="00ED2182"/>
    <w:rsid w:val="00ED2204"/>
    <w:rsid w:val="00ED2308"/>
    <w:rsid w:val="00ED24D0"/>
    <w:rsid w:val="00ED257F"/>
    <w:rsid w:val="00ED25CA"/>
    <w:rsid w:val="00ED2628"/>
    <w:rsid w:val="00ED29C9"/>
    <w:rsid w:val="00ED29E3"/>
    <w:rsid w:val="00ED2B50"/>
    <w:rsid w:val="00ED2B77"/>
    <w:rsid w:val="00ED2C45"/>
    <w:rsid w:val="00ED2DFA"/>
    <w:rsid w:val="00ED2FE6"/>
    <w:rsid w:val="00ED3391"/>
    <w:rsid w:val="00ED3403"/>
    <w:rsid w:val="00ED342B"/>
    <w:rsid w:val="00ED3483"/>
    <w:rsid w:val="00ED34A3"/>
    <w:rsid w:val="00ED35EE"/>
    <w:rsid w:val="00ED35FB"/>
    <w:rsid w:val="00ED38C4"/>
    <w:rsid w:val="00ED39DB"/>
    <w:rsid w:val="00ED3A27"/>
    <w:rsid w:val="00ED3B54"/>
    <w:rsid w:val="00ED3C25"/>
    <w:rsid w:val="00ED3C52"/>
    <w:rsid w:val="00ED3C73"/>
    <w:rsid w:val="00ED3DF4"/>
    <w:rsid w:val="00ED3E1A"/>
    <w:rsid w:val="00ED3EE7"/>
    <w:rsid w:val="00ED3FAB"/>
    <w:rsid w:val="00ED4288"/>
    <w:rsid w:val="00ED435F"/>
    <w:rsid w:val="00ED43D1"/>
    <w:rsid w:val="00ED44A2"/>
    <w:rsid w:val="00ED47FE"/>
    <w:rsid w:val="00ED482C"/>
    <w:rsid w:val="00ED483B"/>
    <w:rsid w:val="00ED48C9"/>
    <w:rsid w:val="00ED4AF2"/>
    <w:rsid w:val="00ED4C02"/>
    <w:rsid w:val="00ED4CE5"/>
    <w:rsid w:val="00ED4D5B"/>
    <w:rsid w:val="00ED4FC6"/>
    <w:rsid w:val="00ED50E2"/>
    <w:rsid w:val="00ED50FA"/>
    <w:rsid w:val="00ED51B3"/>
    <w:rsid w:val="00ED51ED"/>
    <w:rsid w:val="00ED5347"/>
    <w:rsid w:val="00ED539C"/>
    <w:rsid w:val="00ED54AA"/>
    <w:rsid w:val="00ED54FB"/>
    <w:rsid w:val="00ED55F1"/>
    <w:rsid w:val="00ED56CD"/>
    <w:rsid w:val="00ED58FD"/>
    <w:rsid w:val="00ED5907"/>
    <w:rsid w:val="00ED5B89"/>
    <w:rsid w:val="00ED5BB3"/>
    <w:rsid w:val="00ED5CDB"/>
    <w:rsid w:val="00ED5EEB"/>
    <w:rsid w:val="00ED6063"/>
    <w:rsid w:val="00ED6351"/>
    <w:rsid w:val="00ED64ED"/>
    <w:rsid w:val="00ED65B1"/>
    <w:rsid w:val="00ED65D5"/>
    <w:rsid w:val="00ED65D9"/>
    <w:rsid w:val="00ED6616"/>
    <w:rsid w:val="00ED66C9"/>
    <w:rsid w:val="00ED6714"/>
    <w:rsid w:val="00ED6764"/>
    <w:rsid w:val="00ED6BB4"/>
    <w:rsid w:val="00ED6BFB"/>
    <w:rsid w:val="00ED6ED8"/>
    <w:rsid w:val="00ED6F42"/>
    <w:rsid w:val="00ED700C"/>
    <w:rsid w:val="00ED7050"/>
    <w:rsid w:val="00ED710F"/>
    <w:rsid w:val="00ED7137"/>
    <w:rsid w:val="00ED7140"/>
    <w:rsid w:val="00ED71DA"/>
    <w:rsid w:val="00ED7390"/>
    <w:rsid w:val="00ED7410"/>
    <w:rsid w:val="00ED74E2"/>
    <w:rsid w:val="00ED7558"/>
    <w:rsid w:val="00ED756B"/>
    <w:rsid w:val="00ED75FB"/>
    <w:rsid w:val="00ED7629"/>
    <w:rsid w:val="00ED7808"/>
    <w:rsid w:val="00ED78D2"/>
    <w:rsid w:val="00ED7927"/>
    <w:rsid w:val="00ED794C"/>
    <w:rsid w:val="00ED798F"/>
    <w:rsid w:val="00ED7A6C"/>
    <w:rsid w:val="00ED7AC5"/>
    <w:rsid w:val="00ED7E7E"/>
    <w:rsid w:val="00ED7ED9"/>
    <w:rsid w:val="00EE0118"/>
    <w:rsid w:val="00EE02D2"/>
    <w:rsid w:val="00EE03BE"/>
    <w:rsid w:val="00EE09F8"/>
    <w:rsid w:val="00EE0A1E"/>
    <w:rsid w:val="00EE0D9D"/>
    <w:rsid w:val="00EE0DD0"/>
    <w:rsid w:val="00EE0F55"/>
    <w:rsid w:val="00EE0FA7"/>
    <w:rsid w:val="00EE0FCE"/>
    <w:rsid w:val="00EE105F"/>
    <w:rsid w:val="00EE1128"/>
    <w:rsid w:val="00EE125F"/>
    <w:rsid w:val="00EE13EA"/>
    <w:rsid w:val="00EE1479"/>
    <w:rsid w:val="00EE1688"/>
    <w:rsid w:val="00EE17A2"/>
    <w:rsid w:val="00EE1890"/>
    <w:rsid w:val="00EE19AD"/>
    <w:rsid w:val="00EE19C8"/>
    <w:rsid w:val="00EE1B06"/>
    <w:rsid w:val="00EE1BD9"/>
    <w:rsid w:val="00EE1DCA"/>
    <w:rsid w:val="00EE1E5A"/>
    <w:rsid w:val="00EE1EED"/>
    <w:rsid w:val="00EE1FF6"/>
    <w:rsid w:val="00EE2169"/>
    <w:rsid w:val="00EE23EA"/>
    <w:rsid w:val="00EE2425"/>
    <w:rsid w:val="00EE242D"/>
    <w:rsid w:val="00EE256D"/>
    <w:rsid w:val="00EE25F3"/>
    <w:rsid w:val="00EE2689"/>
    <w:rsid w:val="00EE26F1"/>
    <w:rsid w:val="00EE281C"/>
    <w:rsid w:val="00EE2847"/>
    <w:rsid w:val="00EE28A9"/>
    <w:rsid w:val="00EE2997"/>
    <w:rsid w:val="00EE2BE1"/>
    <w:rsid w:val="00EE2D1C"/>
    <w:rsid w:val="00EE2F2B"/>
    <w:rsid w:val="00EE31F3"/>
    <w:rsid w:val="00EE3293"/>
    <w:rsid w:val="00EE32E3"/>
    <w:rsid w:val="00EE3587"/>
    <w:rsid w:val="00EE3709"/>
    <w:rsid w:val="00EE3832"/>
    <w:rsid w:val="00EE39F8"/>
    <w:rsid w:val="00EE3B3A"/>
    <w:rsid w:val="00EE3B44"/>
    <w:rsid w:val="00EE3B6B"/>
    <w:rsid w:val="00EE3BA8"/>
    <w:rsid w:val="00EE3BCD"/>
    <w:rsid w:val="00EE3BED"/>
    <w:rsid w:val="00EE3CD1"/>
    <w:rsid w:val="00EE3E50"/>
    <w:rsid w:val="00EE3E9E"/>
    <w:rsid w:val="00EE40D8"/>
    <w:rsid w:val="00EE43EC"/>
    <w:rsid w:val="00EE43F4"/>
    <w:rsid w:val="00EE4408"/>
    <w:rsid w:val="00EE4552"/>
    <w:rsid w:val="00EE473C"/>
    <w:rsid w:val="00EE4AEB"/>
    <w:rsid w:val="00EE4C4B"/>
    <w:rsid w:val="00EE4D8A"/>
    <w:rsid w:val="00EE4D99"/>
    <w:rsid w:val="00EE4DCF"/>
    <w:rsid w:val="00EE5043"/>
    <w:rsid w:val="00EE513F"/>
    <w:rsid w:val="00EE5357"/>
    <w:rsid w:val="00EE537B"/>
    <w:rsid w:val="00EE5484"/>
    <w:rsid w:val="00EE5746"/>
    <w:rsid w:val="00EE59BE"/>
    <w:rsid w:val="00EE5B15"/>
    <w:rsid w:val="00EE5B8A"/>
    <w:rsid w:val="00EE5BFD"/>
    <w:rsid w:val="00EE5D96"/>
    <w:rsid w:val="00EE5E43"/>
    <w:rsid w:val="00EE5F88"/>
    <w:rsid w:val="00EE62D9"/>
    <w:rsid w:val="00EE62DE"/>
    <w:rsid w:val="00EE6413"/>
    <w:rsid w:val="00EE6453"/>
    <w:rsid w:val="00EE6613"/>
    <w:rsid w:val="00EE697C"/>
    <w:rsid w:val="00EE6A73"/>
    <w:rsid w:val="00EE6AE6"/>
    <w:rsid w:val="00EE6B54"/>
    <w:rsid w:val="00EE6B94"/>
    <w:rsid w:val="00EE6C04"/>
    <w:rsid w:val="00EE6C2A"/>
    <w:rsid w:val="00EE7046"/>
    <w:rsid w:val="00EE71B3"/>
    <w:rsid w:val="00EE7234"/>
    <w:rsid w:val="00EE7315"/>
    <w:rsid w:val="00EE7320"/>
    <w:rsid w:val="00EE7382"/>
    <w:rsid w:val="00EE747E"/>
    <w:rsid w:val="00EE75B5"/>
    <w:rsid w:val="00EE75BC"/>
    <w:rsid w:val="00EE7688"/>
    <w:rsid w:val="00EE7694"/>
    <w:rsid w:val="00EE77F2"/>
    <w:rsid w:val="00EE7909"/>
    <w:rsid w:val="00EE79FC"/>
    <w:rsid w:val="00EE7B5D"/>
    <w:rsid w:val="00EE7D15"/>
    <w:rsid w:val="00EE7D38"/>
    <w:rsid w:val="00EE7DBA"/>
    <w:rsid w:val="00EE7E0E"/>
    <w:rsid w:val="00EE7E49"/>
    <w:rsid w:val="00EE7EE8"/>
    <w:rsid w:val="00EE7F66"/>
    <w:rsid w:val="00EE7F86"/>
    <w:rsid w:val="00EF003A"/>
    <w:rsid w:val="00EF00B3"/>
    <w:rsid w:val="00EF00BC"/>
    <w:rsid w:val="00EF0132"/>
    <w:rsid w:val="00EF01EC"/>
    <w:rsid w:val="00EF037E"/>
    <w:rsid w:val="00EF069A"/>
    <w:rsid w:val="00EF086F"/>
    <w:rsid w:val="00EF0909"/>
    <w:rsid w:val="00EF0932"/>
    <w:rsid w:val="00EF09C5"/>
    <w:rsid w:val="00EF09D8"/>
    <w:rsid w:val="00EF0A14"/>
    <w:rsid w:val="00EF0A76"/>
    <w:rsid w:val="00EF0AD2"/>
    <w:rsid w:val="00EF1110"/>
    <w:rsid w:val="00EF11D0"/>
    <w:rsid w:val="00EF1211"/>
    <w:rsid w:val="00EF137B"/>
    <w:rsid w:val="00EF1457"/>
    <w:rsid w:val="00EF1584"/>
    <w:rsid w:val="00EF159D"/>
    <w:rsid w:val="00EF15BA"/>
    <w:rsid w:val="00EF16F2"/>
    <w:rsid w:val="00EF174E"/>
    <w:rsid w:val="00EF1766"/>
    <w:rsid w:val="00EF17A1"/>
    <w:rsid w:val="00EF1897"/>
    <w:rsid w:val="00EF190F"/>
    <w:rsid w:val="00EF1A63"/>
    <w:rsid w:val="00EF1BA5"/>
    <w:rsid w:val="00EF1C01"/>
    <w:rsid w:val="00EF1C58"/>
    <w:rsid w:val="00EF1DB9"/>
    <w:rsid w:val="00EF1E3A"/>
    <w:rsid w:val="00EF221E"/>
    <w:rsid w:val="00EF2274"/>
    <w:rsid w:val="00EF22B3"/>
    <w:rsid w:val="00EF2466"/>
    <w:rsid w:val="00EF2587"/>
    <w:rsid w:val="00EF2643"/>
    <w:rsid w:val="00EF26C1"/>
    <w:rsid w:val="00EF2809"/>
    <w:rsid w:val="00EF28DA"/>
    <w:rsid w:val="00EF2A2E"/>
    <w:rsid w:val="00EF2BA9"/>
    <w:rsid w:val="00EF2DCB"/>
    <w:rsid w:val="00EF2E93"/>
    <w:rsid w:val="00EF2E9D"/>
    <w:rsid w:val="00EF3061"/>
    <w:rsid w:val="00EF335F"/>
    <w:rsid w:val="00EF34C8"/>
    <w:rsid w:val="00EF350F"/>
    <w:rsid w:val="00EF3527"/>
    <w:rsid w:val="00EF353C"/>
    <w:rsid w:val="00EF37D6"/>
    <w:rsid w:val="00EF3873"/>
    <w:rsid w:val="00EF38B1"/>
    <w:rsid w:val="00EF3AFA"/>
    <w:rsid w:val="00EF3F57"/>
    <w:rsid w:val="00EF4203"/>
    <w:rsid w:val="00EF4248"/>
    <w:rsid w:val="00EF44AC"/>
    <w:rsid w:val="00EF46C3"/>
    <w:rsid w:val="00EF482E"/>
    <w:rsid w:val="00EF48F7"/>
    <w:rsid w:val="00EF49A9"/>
    <w:rsid w:val="00EF4A39"/>
    <w:rsid w:val="00EF4A41"/>
    <w:rsid w:val="00EF4A48"/>
    <w:rsid w:val="00EF4B01"/>
    <w:rsid w:val="00EF4B2E"/>
    <w:rsid w:val="00EF4CBD"/>
    <w:rsid w:val="00EF4E61"/>
    <w:rsid w:val="00EF4E6B"/>
    <w:rsid w:val="00EF4F3F"/>
    <w:rsid w:val="00EF5309"/>
    <w:rsid w:val="00EF5381"/>
    <w:rsid w:val="00EF540B"/>
    <w:rsid w:val="00EF546A"/>
    <w:rsid w:val="00EF5584"/>
    <w:rsid w:val="00EF55CE"/>
    <w:rsid w:val="00EF5690"/>
    <w:rsid w:val="00EF5A69"/>
    <w:rsid w:val="00EF5ADE"/>
    <w:rsid w:val="00EF5BFE"/>
    <w:rsid w:val="00EF5CD3"/>
    <w:rsid w:val="00EF5E34"/>
    <w:rsid w:val="00EF5E6D"/>
    <w:rsid w:val="00EF6048"/>
    <w:rsid w:val="00EF60AF"/>
    <w:rsid w:val="00EF61A7"/>
    <w:rsid w:val="00EF6216"/>
    <w:rsid w:val="00EF6259"/>
    <w:rsid w:val="00EF6350"/>
    <w:rsid w:val="00EF6359"/>
    <w:rsid w:val="00EF644F"/>
    <w:rsid w:val="00EF64EA"/>
    <w:rsid w:val="00EF657A"/>
    <w:rsid w:val="00EF6A0F"/>
    <w:rsid w:val="00EF6D1B"/>
    <w:rsid w:val="00EF6D6A"/>
    <w:rsid w:val="00EF6DC7"/>
    <w:rsid w:val="00EF6E5C"/>
    <w:rsid w:val="00EF6EC0"/>
    <w:rsid w:val="00EF6ED3"/>
    <w:rsid w:val="00EF6EE9"/>
    <w:rsid w:val="00EF7290"/>
    <w:rsid w:val="00EF72CA"/>
    <w:rsid w:val="00EF7415"/>
    <w:rsid w:val="00EF74A2"/>
    <w:rsid w:val="00EF7563"/>
    <w:rsid w:val="00EF7620"/>
    <w:rsid w:val="00EF7779"/>
    <w:rsid w:val="00EF79C1"/>
    <w:rsid w:val="00EF79DB"/>
    <w:rsid w:val="00EF7A8D"/>
    <w:rsid w:val="00EF7ABD"/>
    <w:rsid w:val="00EF7BEA"/>
    <w:rsid w:val="00EF7C1E"/>
    <w:rsid w:val="00EF7C97"/>
    <w:rsid w:val="00EF7CD6"/>
    <w:rsid w:val="00EF7CEC"/>
    <w:rsid w:val="00EF7E15"/>
    <w:rsid w:val="00F0006B"/>
    <w:rsid w:val="00F00131"/>
    <w:rsid w:val="00F0013C"/>
    <w:rsid w:val="00F001DF"/>
    <w:rsid w:val="00F00263"/>
    <w:rsid w:val="00F00350"/>
    <w:rsid w:val="00F00412"/>
    <w:rsid w:val="00F00536"/>
    <w:rsid w:val="00F00664"/>
    <w:rsid w:val="00F006CE"/>
    <w:rsid w:val="00F0079C"/>
    <w:rsid w:val="00F00821"/>
    <w:rsid w:val="00F0082F"/>
    <w:rsid w:val="00F00A74"/>
    <w:rsid w:val="00F00B5C"/>
    <w:rsid w:val="00F00C22"/>
    <w:rsid w:val="00F00C88"/>
    <w:rsid w:val="00F00D6A"/>
    <w:rsid w:val="00F00DB9"/>
    <w:rsid w:val="00F00E14"/>
    <w:rsid w:val="00F00E51"/>
    <w:rsid w:val="00F00FE8"/>
    <w:rsid w:val="00F0109D"/>
    <w:rsid w:val="00F010B9"/>
    <w:rsid w:val="00F0123C"/>
    <w:rsid w:val="00F01439"/>
    <w:rsid w:val="00F01488"/>
    <w:rsid w:val="00F01580"/>
    <w:rsid w:val="00F015E0"/>
    <w:rsid w:val="00F017B6"/>
    <w:rsid w:val="00F01898"/>
    <w:rsid w:val="00F018BA"/>
    <w:rsid w:val="00F01A28"/>
    <w:rsid w:val="00F01A7E"/>
    <w:rsid w:val="00F01ADD"/>
    <w:rsid w:val="00F01FCA"/>
    <w:rsid w:val="00F02108"/>
    <w:rsid w:val="00F02134"/>
    <w:rsid w:val="00F02235"/>
    <w:rsid w:val="00F02538"/>
    <w:rsid w:val="00F027DE"/>
    <w:rsid w:val="00F02CFD"/>
    <w:rsid w:val="00F02D77"/>
    <w:rsid w:val="00F02EA7"/>
    <w:rsid w:val="00F0312C"/>
    <w:rsid w:val="00F03137"/>
    <w:rsid w:val="00F03676"/>
    <w:rsid w:val="00F036D8"/>
    <w:rsid w:val="00F0376A"/>
    <w:rsid w:val="00F03919"/>
    <w:rsid w:val="00F03AE2"/>
    <w:rsid w:val="00F03B44"/>
    <w:rsid w:val="00F03CBD"/>
    <w:rsid w:val="00F03D49"/>
    <w:rsid w:val="00F03D9E"/>
    <w:rsid w:val="00F03F05"/>
    <w:rsid w:val="00F03F99"/>
    <w:rsid w:val="00F03FCC"/>
    <w:rsid w:val="00F04057"/>
    <w:rsid w:val="00F040F9"/>
    <w:rsid w:val="00F041D5"/>
    <w:rsid w:val="00F04221"/>
    <w:rsid w:val="00F0433A"/>
    <w:rsid w:val="00F04419"/>
    <w:rsid w:val="00F04439"/>
    <w:rsid w:val="00F0443C"/>
    <w:rsid w:val="00F04553"/>
    <w:rsid w:val="00F046FB"/>
    <w:rsid w:val="00F047E9"/>
    <w:rsid w:val="00F04815"/>
    <w:rsid w:val="00F04ABB"/>
    <w:rsid w:val="00F04B05"/>
    <w:rsid w:val="00F04BA8"/>
    <w:rsid w:val="00F04DC0"/>
    <w:rsid w:val="00F04DEF"/>
    <w:rsid w:val="00F04F38"/>
    <w:rsid w:val="00F04F5F"/>
    <w:rsid w:val="00F04F85"/>
    <w:rsid w:val="00F04F98"/>
    <w:rsid w:val="00F05003"/>
    <w:rsid w:val="00F050A7"/>
    <w:rsid w:val="00F050C7"/>
    <w:rsid w:val="00F050E1"/>
    <w:rsid w:val="00F051CD"/>
    <w:rsid w:val="00F052A1"/>
    <w:rsid w:val="00F052CA"/>
    <w:rsid w:val="00F053E5"/>
    <w:rsid w:val="00F053FC"/>
    <w:rsid w:val="00F0541C"/>
    <w:rsid w:val="00F0550D"/>
    <w:rsid w:val="00F056DA"/>
    <w:rsid w:val="00F05855"/>
    <w:rsid w:val="00F058BA"/>
    <w:rsid w:val="00F05ABD"/>
    <w:rsid w:val="00F05CD0"/>
    <w:rsid w:val="00F05EDF"/>
    <w:rsid w:val="00F0601D"/>
    <w:rsid w:val="00F0612F"/>
    <w:rsid w:val="00F061F6"/>
    <w:rsid w:val="00F06247"/>
    <w:rsid w:val="00F06323"/>
    <w:rsid w:val="00F06517"/>
    <w:rsid w:val="00F065C2"/>
    <w:rsid w:val="00F0663C"/>
    <w:rsid w:val="00F066B0"/>
    <w:rsid w:val="00F0688A"/>
    <w:rsid w:val="00F069A4"/>
    <w:rsid w:val="00F06A53"/>
    <w:rsid w:val="00F06AE3"/>
    <w:rsid w:val="00F06AF1"/>
    <w:rsid w:val="00F06AFF"/>
    <w:rsid w:val="00F06B51"/>
    <w:rsid w:val="00F06C0E"/>
    <w:rsid w:val="00F06D47"/>
    <w:rsid w:val="00F06D77"/>
    <w:rsid w:val="00F06D83"/>
    <w:rsid w:val="00F06E05"/>
    <w:rsid w:val="00F06E59"/>
    <w:rsid w:val="00F06EEC"/>
    <w:rsid w:val="00F06EFD"/>
    <w:rsid w:val="00F06F51"/>
    <w:rsid w:val="00F07125"/>
    <w:rsid w:val="00F0716E"/>
    <w:rsid w:val="00F0761E"/>
    <w:rsid w:val="00F07657"/>
    <w:rsid w:val="00F077B0"/>
    <w:rsid w:val="00F07953"/>
    <w:rsid w:val="00F07A11"/>
    <w:rsid w:val="00F07A36"/>
    <w:rsid w:val="00F07DB2"/>
    <w:rsid w:val="00F07E70"/>
    <w:rsid w:val="00F07EBC"/>
    <w:rsid w:val="00F07EE4"/>
    <w:rsid w:val="00F07F46"/>
    <w:rsid w:val="00F101F7"/>
    <w:rsid w:val="00F1022C"/>
    <w:rsid w:val="00F10298"/>
    <w:rsid w:val="00F10321"/>
    <w:rsid w:val="00F103F0"/>
    <w:rsid w:val="00F1041E"/>
    <w:rsid w:val="00F1043E"/>
    <w:rsid w:val="00F1054A"/>
    <w:rsid w:val="00F1055D"/>
    <w:rsid w:val="00F1075C"/>
    <w:rsid w:val="00F10764"/>
    <w:rsid w:val="00F10928"/>
    <w:rsid w:val="00F10936"/>
    <w:rsid w:val="00F109DF"/>
    <w:rsid w:val="00F10A24"/>
    <w:rsid w:val="00F10DA6"/>
    <w:rsid w:val="00F10DB0"/>
    <w:rsid w:val="00F10E66"/>
    <w:rsid w:val="00F11199"/>
    <w:rsid w:val="00F1128E"/>
    <w:rsid w:val="00F11297"/>
    <w:rsid w:val="00F11463"/>
    <w:rsid w:val="00F114A3"/>
    <w:rsid w:val="00F11932"/>
    <w:rsid w:val="00F11A57"/>
    <w:rsid w:val="00F11C03"/>
    <w:rsid w:val="00F11CF7"/>
    <w:rsid w:val="00F11D77"/>
    <w:rsid w:val="00F11E9B"/>
    <w:rsid w:val="00F11F92"/>
    <w:rsid w:val="00F11FD2"/>
    <w:rsid w:val="00F1204E"/>
    <w:rsid w:val="00F12065"/>
    <w:rsid w:val="00F12128"/>
    <w:rsid w:val="00F1215B"/>
    <w:rsid w:val="00F12203"/>
    <w:rsid w:val="00F125C4"/>
    <w:rsid w:val="00F126AD"/>
    <w:rsid w:val="00F126CE"/>
    <w:rsid w:val="00F12730"/>
    <w:rsid w:val="00F12883"/>
    <w:rsid w:val="00F128E4"/>
    <w:rsid w:val="00F12918"/>
    <w:rsid w:val="00F12C89"/>
    <w:rsid w:val="00F12CA4"/>
    <w:rsid w:val="00F12CB1"/>
    <w:rsid w:val="00F12DDF"/>
    <w:rsid w:val="00F12E64"/>
    <w:rsid w:val="00F12E74"/>
    <w:rsid w:val="00F13023"/>
    <w:rsid w:val="00F130AA"/>
    <w:rsid w:val="00F1321B"/>
    <w:rsid w:val="00F13241"/>
    <w:rsid w:val="00F135EF"/>
    <w:rsid w:val="00F135F3"/>
    <w:rsid w:val="00F1370F"/>
    <w:rsid w:val="00F137A1"/>
    <w:rsid w:val="00F1381A"/>
    <w:rsid w:val="00F138F8"/>
    <w:rsid w:val="00F1398D"/>
    <w:rsid w:val="00F139AF"/>
    <w:rsid w:val="00F13AF0"/>
    <w:rsid w:val="00F13B82"/>
    <w:rsid w:val="00F13CCE"/>
    <w:rsid w:val="00F13D52"/>
    <w:rsid w:val="00F140DD"/>
    <w:rsid w:val="00F141B2"/>
    <w:rsid w:val="00F14235"/>
    <w:rsid w:val="00F143D4"/>
    <w:rsid w:val="00F144A1"/>
    <w:rsid w:val="00F145EA"/>
    <w:rsid w:val="00F14718"/>
    <w:rsid w:val="00F14720"/>
    <w:rsid w:val="00F148C0"/>
    <w:rsid w:val="00F14A8D"/>
    <w:rsid w:val="00F14AC9"/>
    <w:rsid w:val="00F14E04"/>
    <w:rsid w:val="00F14E75"/>
    <w:rsid w:val="00F14E8C"/>
    <w:rsid w:val="00F14EA1"/>
    <w:rsid w:val="00F1514D"/>
    <w:rsid w:val="00F152C4"/>
    <w:rsid w:val="00F15394"/>
    <w:rsid w:val="00F1550F"/>
    <w:rsid w:val="00F15736"/>
    <w:rsid w:val="00F15874"/>
    <w:rsid w:val="00F15C4C"/>
    <w:rsid w:val="00F15D66"/>
    <w:rsid w:val="00F15F46"/>
    <w:rsid w:val="00F15F8C"/>
    <w:rsid w:val="00F15FA2"/>
    <w:rsid w:val="00F15FD3"/>
    <w:rsid w:val="00F1603F"/>
    <w:rsid w:val="00F16163"/>
    <w:rsid w:val="00F1619A"/>
    <w:rsid w:val="00F16274"/>
    <w:rsid w:val="00F163D5"/>
    <w:rsid w:val="00F16649"/>
    <w:rsid w:val="00F166C6"/>
    <w:rsid w:val="00F16709"/>
    <w:rsid w:val="00F16847"/>
    <w:rsid w:val="00F1687B"/>
    <w:rsid w:val="00F16900"/>
    <w:rsid w:val="00F16A9B"/>
    <w:rsid w:val="00F16ACD"/>
    <w:rsid w:val="00F16B62"/>
    <w:rsid w:val="00F16C1D"/>
    <w:rsid w:val="00F16F52"/>
    <w:rsid w:val="00F16FC1"/>
    <w:rsid w:val="00F16FE7"/>
    <w:rsid w:val="00F17155"/>
    <w:rsid w:val="00F17184"/>
    <w:rsid w:val="00F17269"/>
    <w:rsid w:val="00F17390"/>
    <w:rsid w:val="00F173A9"/>
    <w:rsid w:val="00F173B2"/>
    <w:rsid w:val="00F1741A"/>
    <w:rsid w:val="00F17454"/>
    <w:rsid w:val="00F1748E"/>
    <w:rsid w:val="00F1781C"/>
    <w:rsid w:val="00F17822"/>
    <w:rsid w:val="00F178D8"/>
    <w:rsid w:val="00F17979"/>
    <w:rsid w:val="00F17A4F"/>
    <w:rsid w:val="00F17AAC"/>
    <w:rsid w:val="00F17AC7"/>
    <w:rsid w:val="00F17AC9"/>
    <w:rsid w:val="00F17B5B"/>
    <w:rsid w:val="00F200D4"/>
    <w:rsid w:val="00F201D8"/>
    <w:rsid w:val="00F201E4"/>
    <w:rsid w:val="00F2033D"/>
    <w:rsid w:val="00F2037F"/>
    <w:rsid w:val="00F20440"/>
    <w:rsid w:val="00F209DE"/>
    <w:rsid w:val="00F20E99"/>
    <w:rsid w:val="00F21011"/>
    <w:rsid w:val="00F210B6"/>
    <w:rsid w:val="00F21112"/>
    <w:rsid w:val="00F2122A"/>
    <w:rsid w:val="00F212CE"/>
    <w:rsid w:val="00F21567"/>
    <w:rsid w:val="00F21605"/>
    <w:rsid w:val="00F2173A"/>
    <w:rsid w:val="00F217C4"/>
    <w:rsid w:val="00F21B83"/>
    <w:rsid w:val="00F21BAD"/>
    <w:rsid w:val="00F21C38"/>
    <w:rsid w:val="00F21C94"/>
    <w:rsid w:val="00F21DCF"/>
    <w:rsid w:val="00F21E37"/>
    <w:rsid w:val="00F22052"/>
    <w:rsid w:val="00F221F7"/>
    <w:rsid w:val="00F22245"/>
    <w:rsid w:val="00F2225B"/>
    <w:rsid w:val="00F22286"/>
    <w:rsid w:val="00F22404"/>
    <w:rsid w:val="00F224E2"/>
    <w:rsid w:val="00F22537"/>
    <w:rsid w:val="00F2254C"/>
    <w:rsid w:val="00F226E3"/>
    <w:rsid w:val="00F226EA"/>
    <w:rsid w:val="00F2275D"/>
    <w:rsid w:val="00F2286F"/>
    <w:rsid w:val="00F22B49"/>
    <w:rsid w:val="00F22E15"/>
    <w:rsid w:val="00F22EAA"/>
    <w:rsid w:val="00F23067"/>
    <w:rsid w:val="00F2308A"/>
    <w:rsid w:val="00F2308C"/>
    <w:rsid w:val="00F23128"/>
    <w:rsid w:val="00F23153"/>
    <w:rsid w:val="00F23321"/>
    <w:rsid w:val="00F23369"/>
    <w:rsid w:val="00F233D7"/>
    <w:rsid w:val="00F2348F"/>
    <w:rsid w:val="00F2359B"/>
    <w:rsid w:val="00F23865"/>
    <w:rsid w:val="00F23939"/>
    <w:rsid w:val="00F23CD4"/>
    <w:rsid w:val="00F23D42"/>
    <w:rsid w:val="00F23EF5"/>
    <w:rsid w:val="00F24066"/>
    <w:rsid w:val="00F241D4"/>
    <w:rsid w:val="00F24316"/>
    <w:rsid w:val="00F2442E"/>
    <w:rsid w:val="00F246BA"/>
    <w:rsid w:val="00F2472B"/>
    <w:rsid w:val="00F24834"/>
    <w:rsid w:val="00F248C9"/>
    <w:rsid w:val="00F248F8"/>
    <w:rsid w:val="00F24CBB"/>
    <w:rsid w:val="00F24D15"/>
    <w:rsid w:val="00F24DA9"/>
    <w:rsid w:val="00F24EF4"/>
    <w:rsid w:val="00F25450"/>
    <w:rsid w:val="00F254E5"/>
    <w:rsid w:val="00F25591"/>
    <w:rsid w:val="00F256DE"/>
    <w:rsid w:val="00F25725"/>
    <w:rsid w:val="00F2597B"/>
    <w:rsid w:val="00F25A24"/>
    <w:rsid w:val="00F25A69"/>
    <w:rsid w:val="00F25C47"/>
    <w:rsid w:val="00F25C6C"/>
    <w:rsid w:val="00F25CD0"/>
    <w:rsid w:val="00F25E94"/>
    <w:rsid w:val="00F25FAE"/>
    <w:rsid w:val="00F25FFA"/>
    <w:rsid w:val="00F26096"/>
    <w:rsid w:val="00F26202"/>
    <w:rsid w:val="00F262E6"/>
    <w:rsid w:val="00F2638D"/>
    <w:rsid w:val="00F266A2"/>
    <w:rsid w:val="00F266E5"/>
    <w:rsid w:val="00F2674E"/>
    <w:rsid w:val="00F26908"/>
    <w:rsid w:val="00F269CE"/>
    <w:rsid w:val="00F26C15"/>
    <w:rsid w:val="00F26D36"/>
    <w:rsid w:val="00F26D5D"/>
    <w:rsid w:val="00F26DC3"/>
    <w:rsid w:val="00F26EBD"/>
    <w:rsid w:val="00F27133"/>
    <w:rsid w:val="00F2718F"/>
    <w:rsid w:val="00F271B6"/>
    <w:rsid w:val="00F27269"/>
    <w:rsid w:val="00F27350"/>
    <w:rsid w:val="00F27486"/>
    <w:rsid w:val="00F274C9"/>
    <w:rsid w:val="00F27615"/>
    <w:rsid w:val="00F278EC"/>
    <w:rsid w:val="00F2797E"/>
    <w:rsid w:val="00F27ABF"/>
    <w:rsid w:val="00F27BA7"/>
    <w:rsid w:val="00F27DDA"/>
    <w:rsid w:val="00F27F20"/>
    <w:rsid w:val="00F27FEB"/>
    <w:rsid w:val="00F300D0"/>
    <w:rsid w:val="00F30651"/>
    <w:rsid w:val="00F306EB"/>
    <w:rsid w:val="00F307C5"/>
    <w:rsid w:val="00F3080C"/>
    <w:rsid w:val="00F308A6"/>
    <w:rsid w:val="00F30BD8"/>
    <w:rsid w:val="00F30BE8"/>
    <w:rsid w:val="00F30C13"/>
    <w:rsid w:val="00F30EA5"/>
    <w:rsid w:val="00F310D8"/>
    <w:rsid w:val="00F3128D"/>
    <w:rsid w:val="00F31562"/>
    <w:rsid w:val="00F3162C"/>
    <w:rsid w:val="00F31892"/>
    <w:rsid w:val="00F31946"/>
    <w:rsid w:val="00F31C29"/>
    <w:rsid w:val="00F31D35"/>
    <w:rsid w:val="00F31E19"/>
    <w:rsid w:val="00F31E1D"/>
    <w:rsid w:val="00F31E9A"/>
    <w:rsid w:val="00F31F8B"/>
    <w:rsid w:val="00F31FE3"/>
    <w:rsid w:val="00F3226E"/>
    <w:rsid w:val="00F3232D"/>
    <w:rsid w:val="00F3234D"/>
    <w:rsid w:val="00F325AB"/>
    <w:rsid w:val="00F32778"/>
    <w:rsid w:val="00F32871"/>
    <w:rsid w:val="00F3287E"/>
    <w:rsid w:val="00F3293F"/>
    <w:rsid w:val="00F32954"/>
    <w:rsid w:val="00F329FB"/>
    <w:rsid w:val="00F32A70"/>
    <w:rsid w:val="00F32AA1"/>
    <w:rsid w:val="00F32AD2"/>
    <w:rsid w:val="00F32B2E"/>
    <w:rsid w:val="00F32BE8"/>
    <w:rsid w:val="00F32C88"/>
    <w:rsid w:val="00F32D99"/>
    <w:rsid w:val="00F32E80"/>
    <w:rsid w:val="00F32EE7"/>
    <w:rsid w:val="00F32FBF"/>
    <w:rsid w:val="00F332E1"/>
    <w:rsid w:val="00F33393"/>
    <w:rsid w:val="00F33572"/>
    <w:rsid w:val="00F336A7"/>
    <w:rsid w:val="00F336B7"/>
    <w:rsid w:val="00F338EB"/>
    <w:rsid w:val="00F3398E"/>
    <w:rsid w:val="00F33A81"/>
    <w:rsid w:val="00F33B4C"/>
    <w:rsid w:val="00F33CF6"/>
    <w:rsid w:val="00F34260"/>
    <w:rsid w:val="00F342B8"/>
    <w:rsid w:val="00F3430B"/>
    <w:rsid w:val="00F34406"/>
    <w:rsid w:val="00F34515"/>
    <w:rsid w:val="00F3451B"/>
    <w:rsid w:val="00F345F5"/>
    <w:rsid w:val="00F346F1"/>
    <w:rsid w:val="00F34B2E"/>
    <w:rsid w:val="00F34B38"/>
    <w:rsid w:val="00F34BB5"/>
    <w:rsid w:val="00F34BC3"/>
    <w:rsid w:val="00F34C6B"/>
    <w:rsid w:val="00F34C7E"/>
    <w:rsid w:val="00F34CDC"/>
    <w:rsid w:val="00F34FBB"/>
    <w:rsid w:val="00F35029"/>
    <w:rsid w:val="00F350AA"/>
    <w:rsid w:val="00F3513D"/>
    <w:rsid w:val="00F351A9"/>
    <w:rsid w:val="00F35365"/>
    <w:rsid w:val="00F354E0"/>
    <w:rsid w:val="00F35679"/>
    <w:rsid w:val="00F356C1"/>
    <w:rsid w:val="00F35830"/>
    <w:rsid w:val="00F3589B"/>
    <w:rsid w:val="00F3598F"/>
    <w:rsid w:val="00F359CC"/>
    <w:rsid w:val="00F359CF"/>
    <w:rsid w:val="00F35A89"/>
    <w:rsid w:val="00F35D73"/>
    <w:rsid w:val="00F360EE"/>
    <w:rsid w:val="00F361D0"/>
    <w:rsid w:val="00F36289"/>
    <w:rsid w:val="00F3655D"/>
    <w:rsid w:val="00F36638"/>
    <w:rsid w:val="00F36695"/>
    <w:rsid w:val="00F368FC"/>
    <w:rsid w:val="00F36ADF"/>
    <w:rsid w:val="00F36BF0"/>
    <w:rsid w:val="00F36DBD"/>
    <w:rsid w:val="00F371AA"/>
    <w:rsid w:val="00F37258"/>
    <w:rsid w:val="00F3759E"/>
    <w:rsid w:val="00F377C2"/>
    <w:rsid w:val="00F37897"/>
    <w:rsid w:val="00F3794E"/>
    <w:rsid w:val="00F379D9"/>
    <w:rsid w:val="00F37A41"/>
    <w:rsid w:val="00F37EEA"/>
    <w:rsid w:val="00F40074"/>
    <w:rsid w:val="00F400CD"/>
    <w:rsid w:val="00F40378"/>
    <w:rsid w:val="00F40379"/>
    <w:rsid w:val="00F4040B"/>
    <w:rsid w:val="00F40482"/>
    <w:rsid w:val="00F40511"/>
    <w:rsid w:val="00F405F9"/>
    <w:rsid w:val="00F40705"/>
    <w:rsid w:val="00F40727"/>
    <w:rsid w:val="00F40770"/>
    <w:rsid w:val="00F40BA8"/>
    <w:rsid w:val="00F40C96"/>
    <w:rsid w:val="00F40DCE"/>
    <w:rsid w:val="00F411A6"/>
    <w:rsid w:val="00F41492"/>
    <w:rsid w:val="00F41688"/>
    <w:rsid w:val="00F416F2"/>
    <w:rsid w:val="00F41754"/>
    <w:rsid w:val="00F419A8"/>
    <w:rsid w:val="00F41B5F"/>
    <w:rsid w:val="00F41B9A"/>
    <w:rsid w:val="00F41D6C"/>
    <w:rsid w:val="00F41E12"/>
    <w:rsid w:val="00F41E89"/>
    <w:rsid w:val="00F41EA9"/>
    <w:rsid w:val="00F42015"/>
    <w:rsid w:val="00F420AB"/>
    <w:rsid w:val="00F422BE"/>
    <w:rsid w:val="00F423D6"/>
    <w:rsid w:val="00F42734"/>
    <w:rsid w:val="00F42787"/>
    <w:rsid w:val="00F4289D"/>
    <w:rsid w:val="00F428D2"/>
    <w:rsid w:val="00F429D2"/>
    <w:rsid w:val="00F42A7E"/>
    <w:rsid w:val="00F42D3C"/>
    <w:rsid w:val="00F42F01"/>
    <w:rsid w:val="00F43049"/>
    <w:rsid w:val="00F43077"/>
    <w:rsid w:val="00F4324D"/>
    <w:rsid w:val="00F43341"/>
    <w:rsid w:val="00F433F5"/>
    <w:rsid w:val="00F4347D"/>
    <w:rsid w:val="00F43495"/>
    <w:rsid w:val="00F436A7"/>
    <w:rsid w:val="00F437A4"/>
    <w:rsid w:val="00F43873"/>
    <w:rsid w:val="00F43A95"/>
    <w:rsid w:val="00F43B9C"/>
    <w:rsid w:val="00F43CDE"/>
    <w:rsid w:val="00F43DDF"/>
    <w:rsid w:val="00F44112"/>
    <w:rsid w:val="00F44228"/>
    <w:rsid w:val="00F44B2E"/>
    <w:rsid w:val="00F44D82"/>
    <w:rsid w:val="00F451E3"/>
    <w:rsid w:val="00F4524E"/>
    <w:rsid w:val="00F4537C"/>
    <w:rsid w:val="00F45449"/>
    <w:rsid w:val="00F457D9"/>
    <w:rsid w:val="00F45896"/>
    <w:rsid w:val="00F45951"/>
    <w:rsid w:val="00F45A67"/>
    <w:rsid w:val="00F45E08"/>
    <w:rsid w:val="00F45FFD"/>
    <w:rsid w:val="00F464A2"/>
    <w:rsid w:val="00F465E0"/>
    <w:rsid w:val="00F4666A"/>
    <w:rsid w:val="00F4666C"/>
    <w:rsid w:val="00F466D2"/>
    <w:rsid w:val="00F46809"/>
    <w:rsid w:val="00F4689E"/>
    <w:rsid w:val="00F46AAC"/>
    <w:rsid w:val="00F46CD9"/>
    <w:rsid w:val="00F46D31"/>
    <w:rsid w:val="00F46E3C"/>
    <w:rsid w:val="00F46E5C"/>
    <w:rsid w:val="00F46F48"/>
    <w:rsid w:val="00F46F88"/>
    <w:rsid w:val="00F46FE3"/>
    <w:rsid w:val="00F470F1"/>
    <w:rsid w:val="00F4717E"/>
    <w:rsid w:val="00F4718F"/>
    <w:rsid w:val="00F471EF"/>
    <w:rsid w:val="00F473BA"/>
    <w:rsid w:val="00F473C5"/>
    <w:rsid w:val="00F474FD"/>
    <w:rsid w:val="00F47510"/>
    <w:rsid w:val="00F47653"/>
    <w:rsid w:val="00F47753"/>
    <w:rsid w:val="00F477AB"/>
    <w:rsid w:val="00F47800"/>
    <w:rsid w:val="00F4789A"/>
    <w:rsid w:val="00F478E8"/>
    <w:rsid w:val="00F478E9"/>
    <w:rsid w:val="00F4792E"/>
    <w:rsid w:val="00F47A1F"/>
    <w:rsid w:val="00F47A68"/>
    <w:rsid w:val="00F47C6F"/>
    <w:rsid w:val="00F47CF3"/>
    <w:rsid w:val="00F47D42"/>
    <w:rsid w:val="00F47E2B"/>
    <w:rsid w:val="00F47EEF"/>
    <w:rsid w:val="00F506D2"/>
    <w:rsid w:val="00F50ACD"/>
    <w:rsid w:val="00F50EA9"/>
    <w:rsid w:val="00F50FFF"/>
    <w:rsid w:val="00F5102F"/>
    <w:rsid w:val="00F51135"/>
    <w:rsid w:val="00F51351"/>
    <w:rsid w:val="00F514EB"/>
    <w:rsid w:val="00F515BC"/>
    <w:rsid w:val="00F51AD0"/>
    <w:rsid w:val="00F51AFB"/>
    <w:rsid w:val="00F51B05"/>
    <w:rsid w:val="00F51B5A"/>
    <w:rsid w:val="00F51C4D"/>
    <w:rsid w:val="00F51EA5"/>
    <w:rsid w:val="00F51F13"/>
    <w:rsid w:val="00F52760"/>
    <w:rsid w:val="00F52A4D"/>
    <w:rsid w:val="00F52BCA"/>
    <w:rsid w:val="00F52C75"/>
    <w:rsid w:val="00F530F2"/>
    <w:rsid w:val="00F532E5"/>
    <w:rsid w:val="00F53424"/>
    <w:rsid w:val="00F53458"/>
    <w:rsid w:val="00F53485"/>
    <w:rsid w:val="00F534F0"/>
    <w:rsid w:val="00F5364C"/>
    <w:rsid w:val="00F538C3"/>
    <w:rsid w:val="00F539EF"/>
    <w:rsid w:val="00F53AC1"/>
    <w:rsid w:val="00F53D08"/>
    <w:rsid w:val="00F53E50"/>
    <w:rsid w:val="00F53F54"/>
    <w:rsid w:val="00F5401D"/>
    <w:rsid w:val="00F542B5"/>
    <w:rsid w:val="00F5449D"/>
    <w:rsid w:val="00F545D7"/>
    <w:rsid w:val="00F545EC"/>
    <w:rsid w:val="00F54725"/>
    <w:rsid w:val="00F548B6"/>
    <w:rsid w:val="00F54928"/>
    <w:rsid w:val="00F54BBF"/>
    <w:rsid w:val="00F54C82"/>
    <w:rsid w:val="00F54D4D"/>
    <w:rsid w:val="00F54D64"/>
    <w:rsid w:val="00F5518D"/>
    <w:rsid w:val="00F55214"/>
    <w:rsid w:val="00F55320"/>
    <w:rsid w:val="00F55457"/>
    <w:rsid w:val="00F5545B"/>
    <w:rsid w:val="00F55505"/>
    <w:rsid w:val="00F5559C"/>
    <w:rsid w:val="00F55643"/>
    <w:rsid w:val="00F55704"/>
    <w:rsid w:val="00F55735"/>
    <w:rsid w:val="00F55764"/>
    <w:rsid w:val="00F557A6"/>
    <w:rsid w:val="00F558F1"/>
    <w:rsid w:val="00F5592D"/>
    <w:rsid w:val="00F5595B"/>
    <w:rsid w:val="00F55A72"/>
    <w:rsid w:val="00F55BB5"/>
    <w:rsid w:val="00F55C10"/>
    <w:rsid w:val="00F55C34"/>
    <w:rsid w:val="00F55CB9"/>
    <w:rsid w:val="00F55D2E"/>
    <w:rsid w:val="00F55DCC"/>
    <w:rsid w:val="00F55E7D"/>
    <w:rsid w:val="00F55FD8"/>
    <w:rsid w:val="00F56044"/>
    <w:rsid w:val="00F560B7"/>
    <w:rsid w:val="00F56156"/>
    <w:rsid w:val="00F56269"/>
    <w:rsid w:val="00F562D9"/>
    <w:rsid w:val="00F56365"/>
    <w:rsid w:val="00F566DE"/>
    <w:rsid w:val="00F56707"/>
    <w:rsid w:val="00F56918"/>
    <w:rsid w:val="00F56B21"/>
    <w:rsid w:val="00F56B3F"/>
    <w:rsid w:val="00F56B46"/>
    <w:rsid w:val="00F56C75"/>
    <w:rsid w:val="00F56E92"/>
    <w:rsid w:val="00F571BE"/>
    <w:rsid w:val="00F571C1"/>
    <w:rsid w:val="00F573A2"/>
    <w:rsid w:val="00F574FD"/>
    <w:rsid w:val="00F57651"/>
    <w:rsid w:val="00F578AF"/>
    <w:rsid w:val="00F579B5"/>
    <w:rsid w:val="00F57BC6"/>
    <w:rsid w:val="00F57C96"/>
    <w:rsid w:val="00F60040"/>
    <w:rsid w:val="00F600D3"/>
    <w:rsid w:val="00F601AF"/>
    <w:rsid w:val="00F6038C"/>
    <w:rsid w:val="00F6062A"/>
    <w:rsid w:val="00F60869"/>
    <w:rsid w:val="00F6089C"/>
    <w:rsid w:val="00F609B2"/>
    <w:rsid w:val="00F60A1F"/>
    <w:rsid w:val="00F60BCB"/>
    <w:rsid w:val="00F60F93"/>
    <w:rsid w:val="00F610E7"/>
    <w:rsid w:val="00F612B9"/>
    <w:rsid w:val="00F612FB"/>
    <w:rsid w:val="00F6165D"/>
    <w:rsid w:val="00F6168E"/>
    <w:rsid w:val="00F6185B"/>
    <w:rsid w:val="00F61B28"/>
    <w:rsid w:val="00F61DA2"/>
    <w:rsid w:val="00F61E51"/>
    <w:rsid w:val="00F61F1E"/>
    <w:rsid w:val="00F62062"/>
    <w:rsid w:val="00F620D4"/>
    <w:rsid w:val="00F622DA"/>
    <w:rsid w:val="00F62301"/>
    <w:rsid w:val="00F62395"/>
    <w:rsid w:val="00F6249C"/>
    <w:rsid w:val="00F624B0"/>
    <w:rsid w:val="00F62564"/>
    <w:rsid w:val="00F62927"/>
    <w:rsid w:val="00F62A38"/>
    <w:rsid w:val="00F62A51"/>
    <w:rsid w:val="00F62C70"/>
    <w:rsid w:val="00F62C8D"/>
    <w:rsid w:val="00F62CCF"/>
    <w:rsid w:val="00F62D60"/>
    <w:rsid w:val="00F62EC4"/>
    <w:rsid w:val="00F62F67"/>
    <w:rsid w:val="00F6312A"/>
    <w:rsid w:val="00F63174"/>
    <w:rsid w:val="00F63433"/>
    <w:rsid w:val="00F6351E"/>
    <w:rsid w:val="00F63589"/>
    <w:rsid w:val="00F637F5"/>
    <w:rsid w:val="00F63809"/>
    <w:rsid w:val="00F638DD"/>
    <w:rsid w:val="00F639E5"/>
    <w:rsid w:val="00F63A53"/>
    <w:rsid w:val="00F63B2C"/>
    <w:rsid w:val="00F63B32"/>
    <w:rsid w:val="00F63B75"/>
    <w:rsid w:val="00F63E5B"/>
    <w:rsid w:val="00F63F42"/>
    <w:rsid w:val="00F64038"/>
    <w:rsid w:val="00F640DF"/>
    <w:rsid w:val="00F640E6"/>
    <w:rsid w:val="00F64102"/>
    <w:rsid w:val="00F6437A"/>
    <w:rsid w:val="00F6448A"/>
    <w:rsid w:val="00F644B6"/>
    <w:rsid w:val="00F64564"/>
    <w:rsid w:val="00F64599"/>
    <w:rsid w:val="00F6469D"/>
    <w:rsid w:val="00F647BE"/>
    <w:rsid w:val="00F647E6"/>
    <w:rsid w:val="00F64844"/>
    <w:rsid w:val="00F6492E"/>
    <w:rsid w:val="00F649B6"/>
    <w:rsid w:val="00F64A7E"/>
    <w:rsid w:val="00F64A84"/>
    <w:rsid w:val="00F64BF0"/>
    <w:rsid w:val="00F64C52"/>
    <w:rsid w:val="00F64C9C"/>
    <w:rsid w:val="00F64CD7"/>
    <w:rsid w:val="00F64E2E"/>
    <w:rsid w:val="00F64EB9"/>
    <w:rsid w:val="00F65015"/>
    <w:rsid w:val="00F65189"/>
    <w:rsid w:val="00F651BA"/>
    <w:rsid w:val="00F6529D"/>
    <w:rsid w:val="00F652D0"/>
    <w:rsid w:val="00F652FE"/>
    <w:rsid w:val="00F653D7"/>
    <w:rsid w:val="00F65409"/>
    <w:rsid w:val="00F65628"/>
    <w:rsid w:val="00F656B8"/>
    <w:rsid w:val="00F657AC"/>
    <w:rsid w:val="00F6580C"/>
    <w:rsid w:val="00F65888"/>
    <w:rsid w:val="00F658D6"/>
    <w:rsid w:val="00F65948"/>
    <w:rsid w:val="00F65A42"/>
    <w:rsid w:val="00F65E33"/>
    <w:rsid w:val="00F65EC7"/>
    <w:rsid w:val="00F65F0D"/>
    <w:rsid w:val="00F66049"/>
    <w:rsid w:val="00F66253"/>
    <w:rsid w:val="00F66477"/>
    <w:rsid w:val="00F664AE"/>
    <w:rsid w:val="00F666B9"/>
    <w:rsid w:val="00F6676D"/>
    <w:rsid w:val="00F6688A"/>
    <w:rsid w:val="00F66954"/>
    <w:rsid w:val="00F66A31"/>
    <w:rsid w:val="00F66A40"/>
    <w:rsid w:val="00F66B5E"/>
    <w:rsid w:val="00F66BC1"/>
    <w:rsid w:val="00F66CB6"/>
    <w:rsid w:val="00F66CE8"/>
    <w:rsid w:val="00F66DCA"/>
    <w:rsid w:val="00F66E0A"/>
    <w:rsid w:val="00F66F9A"/>
    <w:rsid w:val="00F670B6"/>
    <w:rsid w:val="00F670E6"/>
    <w:rsid w:val="00F6713B"/>
    <w:rsid w:val="00F675BA"/>
    <w:rsid w:val="00F675FD"/>
    <w:rsid w:val="00F6767E"/>
    <w:rsid w:val="00F67821"/>
    <w:rsid w:val="00F678D0"/>
    <w:rsid w:val="00F67B8C"/>
    <w:rsid w:val="00F67BAB"/>
    <w:rsid w:val="00F67C5B"/>
    <w:rsid w:val="00F67CD4"/>
    <w:rsid w:val="00F67E07"/>
    <w:rsid w:val="00F67FA7"/>
    <w:rsid w:val="00F700F1"/>
    <w:rsid w:val="00F70152"/>
    <w:rsid w:val="00F70171"/>
    <w:rsid w:val="00F701A2"/>
    <w:rsid w:val="00F701C1"/>
    <w:rsid w:val="00F701EB"/>
    <w:rsid w:val="00F702C4"/>
    <w:rsid w:val="00F703A3"/>
    <w:rsid w:val="00F703E1"/>
    <w:rsid w:val="00F70429"/>
    <w:rsid w:val="00F704F7"/>
    <w:rsid w:val="00F705AB"/>
    <w:rsid w:val="00F705D5"/>
    <w:rsid w:val="00F7063D"/>
    <w:rsid w:val="00F706BF"/>
    <w:rsid w:val="00F70854"/>
    <w:rsid w:val="00F7086A"/>
    <w:rsid w:val="00F708DC"/>
    <w:rsid w:val="00F709D2"/>
    <w:rsid w:val="00F70A58"/>
    <w:rsid w:val="00F70BF5"/>
    <w:rsid w:val="00F70C2B"/>
    <w:rsid w:val="00F7100E"/>
    <w:rsid w:val="00F71428"/>
    <w:rsid w:val="00F716EB"/>
    <w:rsid w:val="00F718B2"/>
    <w:rsid w:val="00F71A1D"/>
    <w:rsid w:val="00F71A2B"/>
    <w:rsid w:val="00F71BC5"/>
    <w:rsid w:val="00F71C2F"/>
    <w:rsid w:val="00F71C31"/>
    <w:rsid w:val="00F71D7C"/>
    <w:rsid w:val="00F71E5E"/>
    <w:rsid w:val="00F71EF1"/>
    <w:rsid w:val="00F71F07"/>
    <w:rsid w:val="00F72104"/>
    <w:rsid w:val="00F72406"/>
    <w:rsid w:val="00F724D4"/>
    <w:rsid w:val="00F7258A"/>
    <w:rsid w:val="00F725F7"/>
    <w:rsid w:val="00F7280B"/>
    <w:rsid w:val="00F72B13"/>
    <w:rsid w:val="00F72B15"/>
    <w:rsid w:val="00F72E7C"/>
    <w:rsid w:val="00F72ECC"/>
    <w:rsid w:val="00F7302E"/>
    <w:rsid w:val="00F7304C"/>
    <w:rsid w:val="00F73210"/>
    <w:rsid w:val="00F7336E"/>
    <w:rsid w:val="00F733D4"/>
    <w:rsid w:val="00F7348A"/>
    <w:rsid w:val="00F736E4"/>
    <w:rsid w:val="00F736F7"/>
    <w:rsid w:val="00F739FD"/>
    <w:rsid w:val="00F73B1B"/>
    <w:rsid w:val="00F73B27"/>
    <w:rsid w:val="00F73B2C"/>
    <w:rsid w:val="00F73CB0"/>
    <w:rsid w:val="00F73DAD"/>
    <w:rsid w:val="00F73FFC"/>
    <w:rsid w:val="00F74057"/>
    <w:rsid w:val="00F7437D"/>
    <w:rsid w:val="00F74539"/>
    <w:rsid w:val="00F74599"/>
    <w:rsid w:val="00F746A8"/>
    <w:rsid w:val="00F74766"/>
    <w:rsid w:val="00F74A27"/>
    <w:rsid w:val="00F74A62"/>
    <w:rsid w:val="00F74A8D"/>
    <w:rsid w:val="00F74AE4"/>
    <w:rsid w:val="00F74BBE"/>
    <w:rsid w:val="00F74D58"/>
    <w:rsid w:val="00F74D7F"/>
    <w:rsid w:val="00F74E59"/>
    <w:rsid w:val="00F74E92"/>
    <w:rsid w:val="00F74FD0"/>
    <w:rsid w:val="00F750BA"/>
    <w:rsid w:val="00F75243"/>
    <w:rsid w:val="00F7525A"/>
    <w:rsid w:val="00F75321"/>
    <w:rsid w:val="00F755D0"/>
    <w:rsid w:val="00F75633"/>
    <w:rsid w:val="00F7563A"/>
    <w:rsid w:val="00F757B7"/>
    <w:rsid w:val="00F75A26"/>
    <w:rsid w:val="00F75B10"/>
    <w:rsid w:val="00F762EF"/>
    <w:rsid w:val="00F76445"/>
    <w:rsid w:val="00F764E6"/>
    <w:rsid w:val="00F76571"/>
    <w:rsid w:val="00F765B2"/>
    <w:rsid w:val="00F7668E"/>
    <w:rsid w:val="00F76871"/>
    <w:rsid w:val="00F768E6"/>
    <w:rsid w:val="00F76A92"/>
    <w:rsid w:val="00F76B22"/>
    <w:rsid w:val="00F76CF1"/>
    <w:rsid w:val="00F76DC5"/>
    <w:rsid w:val="00F76E7D"/>
    <w:rsid w:val="00F76EE6"/>
    <w:rsid w:val="00F76F27"/>
    <w:rsid w:val="00F77179"/>
    <w:rsid w:val="00F7717E"/>
    <w:rsid w:val="00F77338"/>
    <w:rsid w:val="00F77366"/>
    <w:rsid w:val="00F77428"/>
    <w:rsid w:val="00F776B8"/>
    <w:rsid w:val="00F7770A"/>
    <w:rsid w:val="00F77716"/>
    <w:rsid w:val="00F77749"/>
    <w:rsid w:val="00F77847"/>
    <w:rsid w:val="00F7799F"/>
    <w:rsid w:val="00F77A80"/>
    <w:rsid w:val="00F77AEE"/>
    <w:rsid w:val="00F77BD9"/>
    <w:rsid w:val="00F77D01"/>
    <w:rsid w:val="00F77D48"/>
    <w:rsid w:val="00F77DAB"/>
    <w:rsid w:val="00F77DD3"/>
    <w:rsid w:val="00F77E0E"/>
    <w:rsid w:val="00F77EC3"/>
    <w:rsid w:val="00F77F28"/>
    <w:rsid w:val="00F77F5D"/>
    <w:rsid w:val="00F80327"/>
    <w:rsid w:val="00F80348"/>
    <w:rsid w:val="00F806ED"/>
    <w:rsid w:val="00F8079F"/>
    <w:rsid w:val="00F80882"/>
    <w:rsid w:val="00F8096B"/>
    <w:rsid w:val="00F8097E"/>
    <w:rsid w:val="00F80B01"/>
    <w:rsid w:val="00F80C87"/>
    <w:rsid w:val="00F80E36"/>
    <w:rsid w:val="00F80EEA"/>
    <w:rsid w:val="00F80FC0"/>
    <w:rsid w:val="00F8100D"/>
    <w:rsid w:val="00F81123"/>
    <w:rsid w:val="00F812B9"/>
    <w:rsid w:val="00F812D0"/>
    <w:rsid w:val="00F81452"/>
    <w:rsid w:val="00F81635"/>
    <w:rsid w:val="00F81797"/>
    <w:rsid w:val="00F8181B"/>
    <w:rsid w:val="00F818CA"/>
    <w:rsid w:val="00F819DB"/>
    <w:rsid w:val="00F81B70"/>
    <w:rsid w:val="00F81C5E"/>
    <w:rsid w:val="00F81CD2"/>
    <w:rsid w:val="00F81D1E"/>
    <w:rsid w:val="00F81FDE"/>
    <w:rsid w:val="00F82291"/>
    <w:rsid w:val="00F822E9"/>
    <w:rsid w:val="00F82321"/>
    <w:rsid w:val="00F8243A"/>
    <w:rsid w:val="00F82508"/>
    <w:rsid w:val="00F825E1"/>
    <w:rsid w:val="00F82767"/>
    <w:rsid w:val="00F8276D"/>
    <w:rsid w:val="00F829EE"/>
    <w:rsid w:val="00F82B20"/>
    <w:rsid w:val="00F82B87"/>
    <w:rsid w:val="00F82BA4"/>
    <w:rsid w:val="00F82E19"/>
    <w:rsid w:val="00F8301B"/>
    <w:rsid w:val="00F8305A"/>
    <w:rsid w:val="00F8317F"/>
    <w:rsid w:val="00F83293"/>
    <w:rsid w:val="00F832AC"/>
    <w:rsid w:val="00F8344C"/>
    <w:rsid w:val="00F83B3B"/>
    <w:rsid w:val="00F83C0E"/>
    <w:rsid w:val="00F83D4D"/>
    <w:rsid w:val="00F83D7E"/>
    <w:rsid w:val="00F84070"/>
    <w:rsid w:val="00F841AD"/>
    <w:rsid w:val="00F842E5"/>
    <w:rsid w:val="00F843AD"/>
    <w:rsid w:val="00F84425"/>
    <w:rsid w:val="00F8449F"/>
    <w:rsid w:val="00F84591"/>
    <w:rsid w:val="00F845C9"/>
    <w:rsid w:val="00F84758"/>
    <w:rsid w:val="00F84891"/>
    <w:rsid w:val="00F84895"/>
    <w:rsid w:val="00F849CE"/>
    <w:rsid w:val="00F849E4"/>
    <w:rsid w:val="00F849E9"/>
    <w:rsid w:val="00F84A00"/>
    <w:rsid w:val="00F84AB9"/>
    <w:rsid w:val="00F84B79"/>
    <w:rsid w:val="00F84CE3"/>
    <w:rsid w:val="00F84D18"/>
    <w:rsid w:val="00F84EC1"/>
    <w:rsid w:val="00F85051"/>
    <w:rsid w:val="00F85079"/>
    <w:rsid w:val="00F85088"/>
    <w:rsid w:val="00F85358"/>
    <w:rsid w:val="00F85391"/>
    <w:rsid w:val="00F853B2"/>
    <w:rsid w:val="00F853CD"/>
    <w:rsid w:val="00F8540C"/>
    <w:rsid w:val="00F85512"/>
    <w:rsid w:val="00F85514"/>
    <w:rsid w:val="00F8571D"/>
    <w:rsid w:val="00F8585A"/>
    <w:rsid w:val="00F85972"/>
    <w:rsid w:val="00F85AA9"/>
    <w:rsid w:val="00F85AEF"/>
    <w:rsid w:val="00F85C0D"/>
    <w:rsid w:val="00F85C75"/>
    <w:rsid w:val="00F85D56"/>
    <w:rsid w:val="00F85E32"/>
    <w:rsid w:val="00F85FA5"/>
    <w:rsid w:val="00F862D7"/>
    <w:rsid w:val="00F862ED"/>
    <w:rsid w:val="00F8631C"/>
    <w:rsid w:val="00F8635D"/>
    <w:rsid w:val="00F863CF"/>
    <w:rsid w:val="00F8642B"/>
    <w:rsid w:val="00F8651B"/>
    <w:rsid w:val="00F865D4"/>
    <w:rsid w:val="00F8686D"/>
    <w:rsid w:val="00F8693A"/>
    <w:rsid w:val="00F8699C"/>
    <w:rsid w:val="00F86B3D"/>
    <w:rsid w:val="00F86C31"/>
    <w:rsid w:val="00F86EDC"/>
    <w:rsid w:val="00F86F64"/>
    <w:rsid w:val="00F86FAC"/>
    <w:rsid w:val="00F871D3"/>
    <w:rsid w:val="00F8776F"/>
    <w:rsid w:val="00F877DF"/>
    <w:rsid w:val="00F87860"/>
    <w:rsid w:val="00F87AA0"/>
    <w:rsid w:val="00F87B2C"/>
    <w:rsid w:val="00F87B2D"/>
    <w:rsid w:val="00F87C66"/>
    <w:rsid w:val="00F87D09"/>
    <w:rsid w:val="00F87D13"/>
    <w:rsid w:val="00F90074"/>
    <w:rsid w:val="00F900A4"/>
    <w:rsid w:val="00F9034C"/>
    <w:rsid w:val="00F90426"/>
    <w:rsid w:val="00F904B7"/>
    <w:rsid w:val="00F905E4"/>
    <w:rsid w:val="00F905E6"/>
    <w:rsid w:val="00F9061E"/>
    <w:rsid w:val="00F9064A"/>
    <w:rsid w:val="00F9077A"/>
    <w:rsid w:val="00F90915"/>
    <w:rsid w:val="00F90A42"/>
    <w:rsid w:val="00F90A94"/>
    <w:rsid w:val="00F90AFF"/>
    <w:rsid w:val="00F90EB1"/>
    <w:rsid w:val="00F910CF"/>
    <w:rsid w:val="00F9111F"/>
    <w:rsid w:val="00F913B8"/>
    <w:rsid w:val="00F913EE"/>
    <w:rsid w:val="00F913F7"/>
    <w:rsid w:val="00F9152F"/>
    <w:rsid w:val="00F918D0"/>
    <w:rsid w:val="00F918D2"/>
    <w:rsid w:val="00F91A14"/>
    <w:rsid w:val="00F91A7F"/>
    <w:rsid w:val="00F91ADC"/>
    <w:rsid w:val="00F91D5C"/>
    <w:rsid w:val="00F91DA8"/>
    <w:rsid w:val="00F91E33"/>
    <w:rsid w:val="00F91F4C"/>
    <w:rsid w:val="00F9227D"/>
    <w:rsid w:val="00F92307"/>
    <w:rsid w:val="00F9249B"/>
    <w:rsid w:val="00F924D2"/>
    <w:rsid w:val="00F924ED"/>
    <w:rsid w:val="00F926B9"/>
    <w:rsid w:val="00F92842"/>
    <w:rsid w:val="00F929E3"/>
    <w:rsid w:val="00F92A03"/>
    <w:rsid w:val="00F92B0F"/>
    <w:rsid w:val="00F92B6C"/>
    <w:rsid w:val="00F92BFA"/>
    <w:rsid w:val="00F92D84"/>
    <w:rsid w:val="00F92DB3"/>
    <w:rsid w:val="00F92E58"/>
    <w:rsid w:val="00F930D4"/>
    <w:rsid w:val="00F93161"/>
    <w:rsid w:val="00F93263"/>
    <w:rsid w:val="00F93615"/>
    <w:rsid w:val="00F9369A"/>
    <w:rsid w:val="00F93712"/>
    <w:rsid w:val="00F93795"/>
    <w:rsid w:val="00F937BA"/>
    <w:rsid w:val="00F937D3"/>
    <w:rsid w:val="00F93877"/>
    <w:rsid w:val="00F939C2"/>
    <w:rsid w:val="00F93BEA"/>
    <w:rsid w:val="00F93C88"/>
    <w:rsid w:val="00F93D92"/>
    <w:rsid w:val="00F93DA1"/>
    <w:rsid w:val="00F93DB6"/>
    <w:rsid w:val="00F93F08"/>
    <w:rsid w:val="00F93F16"/>
    <w:rsid w:val="00F93FC3"/>
    <w:rsid w:val="00F93FD5"/>
    <w:rsid w:val="00F94027"/>
    <w:rsid w:val="00F9409F"/>
    <w:rsid w:val="00F940B0"/>
    <w:rsid w:val="00F943A2"/>
    <w:rsid w:val="00F943AC"/>
    <w:rsid w:val="00F943FA"/>
    <w:rsid w:val="00F9440A"/>
    <w:rsid w:val="00F94638"/>
    <w:rsid w:val="00F946E8"/>
    <w:rsid w:val="00F9475F"/>
    <w:rsid w:val="00F947BC"/>
    <w:rsid w:val="00F947DD"/>
    <w:rsid w:val="00F948DC"/>
    <w:rsid w:val="00F94A9D"/>
    <w:rsid w:val="00F94BE4"/>
    <w:rsid w:val="00F94C40"/>
    <w:rsid w:val="00F94CB6"/>
    <w:rsid w:val="00F94E62"/>
    <w:rsid w:val="00F9509D"/>
    <w:rsid w:val="00F950E9"/>
    <w:rsid w:val="00F9518C"/>
    <w:rsid w:val="00F95356"/>
    <w:rsid w:val="00F953C1"/>
    <w:rsid w:val="00F9543E"/>
    <w:rsid w:val="00F9545C"/>
    <w:rsid w:val="00F954CF"/>
    <w:rsid w:val="00F95673"/>
    <w:rsid w:val="00F956B3"/>
    <w:rsid w:val="00F957D8"/>
    <w:rsid w:val="00F95830"/>
    <w:rsid w:val="00F9587D"/>
    <w:rsid w:val="00F95884"/>
    <w:rsid w:val="00F95BE0"/>
    <w:rsid w:val="00F95C75"/>
    <w:rsid w:val="00F95C8B"/>
    <w:rsid w:val="00F95DA7"/>
    <w:rsid w:val="00F95E23"/>
    <w:rsid w:val="00F95E4B"/>
    <w:rsid w:val="00F95E8B"/>
    <w:rsid w:val="00F95EB7"/>
    <w:rsid w:val="00F95F9F"/>
    <w:rsid w:val="00F95FB4"/>
    <w:rsid w:val="00F96458"/>
    <w:rsid w:val="00F9645B"/>
    <w:rsid w:val="00F96598"/>
    <w:rsid w:val="00F965C2"/>
    <w:rsid w:val="00F9672C"/>
    <w:rsid w:val="00F96766"/>
    <w:rsid w:val="00F967B1"/>
    <w:rsid w:val="00F9697E"/>
    <w:rsid w:val="00F96C37"/>
    <w:rsid w:val="00F96E32"/>
    <w:rsid w:val="00F96F47"/>
    <w:rsid w:val="00F96FA2"/>
    <w:rsid w:val="00F97180"/>
    <w:rsid w:val="00F97227"/>
    <w:rsid w:val="00F9751C"/>
    <w:rsid w:val="00F97556"/>
    <w:rsid w:val="00F975D6"/>
    <w:rsid w:val="00F975E6"/>
    <w:rsid w:val="00F97637"/>
    <w:rsid w:val="00F9782B"/>
    <w:rsid w:val="00F97933"/>
    <w:rsid w:val="00F979A6"/>
    <w:rsid w:val="00F97C75"/>
    <w:rsid w:val="00F97C7D"/>
    <w:rsid w:val="00F97D88"/>
    <w:rsid w:val="00F97E26"/>
    <w:rsid w:val="00F97F86"/>
    <w:rsid w:val="00FA0050"/>
    <w:rsid w:val="00FA017C"/>
    <w:rsid w:val="00FA0185"/>
    <w:rsid w:val="00FA019F"/>
    <w:rsid w:val="00FA026D"/>
    <w:rsid w:val="00FA041B"/>
    <w:rsid w:val="00FA0612"/>
    <w:rsid w:val="00FA0680"/>
    <w:rsid w:val="00FA08B9"/>
    <w:rsid w:val="00FA09AE"/>
    <w:rsid w:val="00FA09B6"/>
    <w:rsid w:val="00FA0ABC"/>
    <w:rsid w:val="00FA0AC2"/>
    <w:rsid w:val="00FA0CC4"/>
    <w:rsid w:val="00FA0D9C"/>
    <w:rsid w:val="00FA0E3A"/>
    <w:rsid w:val="00FA0F8B"/>
    <w:rsid w:val="00FA0FD5"/>
    <w:rsid w:val="00FA1096"/>
    <w:rsid w:val="00FA10DC"/>
    <w:rsid w:val="00FA123C"/>
    <w:rsid w:val="00FA16B7"/>
    <w:rsid w:val="00FA1703"/>
    <w:rsid w:val="00FA1839"/>
    <w:rsid w:val="00FA1BC8"/>
    <w:rsid w:val="00FA1E12"/>
    <w:rsid w:val="00FA1E13"/>
    <w:rsid w:val="00FA1E58"/>
    <w:rsid w:val="00FA1EBF"/>
    <w:rsid w:val="00FA1EC6"/>
    <w:rsid w:val="00FA1FEA"/>
    <w:rsid w:val="00FA2058"/>
    <w:rsid w:val="00FA2062"/>
    <w:rsid w:val="00FA209E"/>
    <w:rsid w:val="00FA22A9"/>
    <w:rsid w:val="00FA242D"/>
    <w:rsid w:val="00FA260A"/>
    <w:rsid w:val="00FA2778"/>
    <w:rsid w:val="00FA2788"/>
    <w:rsid w:val="00FA28DB"/>
    <w:rsid w:val="00FA2A13"/>
    <w:rsid w:val="00FA2ABB"/>
    <w:rsid w:val="00FA2D55"/>
    <w:rsid w:val="00FA30D8"/>
    <w:rsid w:val="00FA3210"/>
    <w:rsid w:val="00FA33CF"/>
    <w:rsid w:val="00FA344F"/>
    <w:rsid w:val="00FA3506"/>
    <w:rsid w:val="00FA3620"/>
    <w:rsid w:val="00FA3654"/>
    <w:rsid w:val="00FA36A8"/>
    <w:rsid w:val="00FA3857"/>
    <w:rsid w:val="00FA397E"/>
    <w:rsid w:val="00FA3997"/>
    <w:rsid w:val="00FA39BB"/>
    <w:rsid w:val="00FA39C6"/>
    <w:rsid w:val="00FA3C07"/>
    <w:rsid w:val="00FA3C6A"/>
    <w:rsid w:val="00FA3CF3"/>
    <w:rsid w:val="00FA3ECB"/>
    <w:rsid w:val="00FA3F0B"/>
    <w:rsid w:val="00FA3F4D"/>
    <w:rsid w:val="00FA409A"/>
    <w:rsid w:val="00FA4152"/>
    <w:rsid w:val="00FA4276"/>
    <w:rsid w:val="00FA42AE"/>
    <w:rsid w:val="00FA4482"/>
    <w:rsid w:val="00FA44AA"/>
    <w:rsid w:val="00FA44C0"/>
    <w:rsid w:val="00FA4617"/>
    <w:rsid w:val="00FA462A"/>
    <w:rsid w:val="00FA46F9"/>
    <w:rsid w:val="00FA4717"/>
    <w:rsid w:val="00FA47F7"/>
    <w:rsid w:val="00FA485A"/>
    <w:rsid w:val="00FA4864"/>
    <w:rsid w:val="00FA4946"/>
    <w:rsid w:val="00FA49A0"/>
    <w:rsid w:val="00FA49B7"/>
    <w:rsid w:val="00FA4A76"/>
    <w:rsid w:val="00FA4A8A"/>
    <w:rsid w:val="00FA4CDB"/>
    <w:rsid w:val="00FA4D0F"/>
    <w:rsid w:val="00FA4D47"/>
    <w:rsid w:val="00FA4D6C"/>
    <w:rsid w:val="00FA4E24"/>
    <w:rsid w:val="00FA4ECF"/>
    <w:rsid w:val="00FA4F93"/>
    <w:rsid w:val="00FA508A"/>
    <w:rsid w:val="00FA531D"/>
    <w:rsid w:val="00FA53CA"/>
    <w:rsid w:val="00FA5615"/>
    <w:rsid w:val="00FA5B23"/>
    <w:rsid w:val="00FA5BEB"/>
    <w:rsid w:val="00FA5F12"/>
    <w:rsid w:val="00FA600F"/>
    <w:rsid w:val="00FA6131"/>
    <w:rsid w:val="00FA616A"/>
    <w:rsid w:val="00FA629A"/>
    <w:rsid w:val="00FA6341"/>
    <w:rsid w:val="00FA6349"/>
    <w:rsid w:val="00FA6405"/>
    <w:rsid w:val="00FA6406"/>
    <w:rsid w:val="00FA6918"/>
    <w:rsid w:val="00FA6C7E"/>
    <w:rsid w:val="00FA6C82"/>
    <w:rsid w:val="00FA6C87"/>
    <w:rsid w:val="00FA6D16"/>
    <w:rsid w:val="00FA6D46"/>
    <w:rsid w:val="00FA6DBB"/>
    <w:rsid w:val="00FA6E49"/>
    <w:rsid w:val="00FA6EE2"/>
    <w:rsid w:val="00FA6F54"/>
    <w:rsid w:val="00FA7027"/>
    <w:rsid w:val="00FA7487"/>
    <w:rsid w:val="00FA773D"/>
    <w:rsid w:val="00FA77D8"/>
    <w:rsid w:val="00FA7826"/>
    <w:rsid w:val="00FA7999"/>
    <w:rsid w:val="00FA7BB7"/>
    <w:rsid w:val="00FA7D42"/>
    <w:rsid w:val="00FA7FD9"/>
    <w:rsid w:val="00FB00A2"/>
    <w:rsid w:val="00FB0495"/>
    <w:rsid w:val="00FB0551"/>
    <w:rsid w:val="00FB05FA"/>
    <w:rsid w:val="00FB07AD"/>
    <w:rsid w:val="00FB07C0"/>
    <w:rsid w:val="00FB0965"/>
    <w:rsid w:val="00FB0C78"/>
    <w:rsid w:val="00FB0ED5"/>
    <w:rsid w:val="00FB11A2"/>
    <w:rsid w:val="00FB1299"/>
    <w:rsid w:val="00FB1381"/>
    <w:rsid w:val="00FB1496"/>
    <w:rsid w:val="00FB16D1"/>
    <w:rsid w:val="00FB16F7"/>
    <w:rsid w:val="00FB18F0"/>
    <w:rsid w:val="00FB197B"/>
    <w:rsid w:val="00FB1A82"/>
    <w:rsid w:val="00FB1A95"/>
    <w:rsid w:val="00FB1D4E"/>
    <w:rsid w:val="00FB1E2A"/>
    <w:rsid w:val="00FB1FC5"/>
    <w:rsid w:val="00FB20F5"/>
    <w:rsid w:val="00FB23A9"/>
    <w:rsid w:val="00FB25B2"/>
    <w:rsid w:val="00FB25E5"/>
    <w:rsid w:val="00FB2604"/>
    <w:rsid w:val="00FB2640"/>
    <w:rsid w:val="00FB2743"/>
    <w:rsid w:val="00FB29D3"/>
    <w:rsid w:val="00FB2A03"/>
    <w:rsid w:val="00FB2B37"/>
    <w:rsid w:val="00FB2BBF"/>
    <w:rsid w:val="00FB2DB6"/>
    <w:rsid w:val="00FB2E59"/>
    <w:rsid w:val="00FB2EA5"/>
    <w:rsid w:val="00FB307E"/>
    <w:rsid w:val="00FB30F9"/>
    <w:rsid w:val="00FB3130"/>
    <w:rsid w:val="00FB31C4"/>
    <w:rsid w:val="00FB354C"/>
    <w:rsid w:val="00FB3887"/>
    <w:rsid w:val="00FB3941"/>
    <w:rsid w:val="00FB3A78"/>
    <w:rsid w:val="00FB3B06"/>
    <w:rsid w:val="00FB3D08"/>
    <w:rsid w:val="00FB3D8E"/>
    <w:rsid w:val="00FB4042"/>
    <w:rsid w:val="00FB40B1"/>
    <w:rsid w:val="00FB40E5"/>
    <w:rsid w:val="00FB4177"/>
    <w:rsid w:val="00FB4281"/>
    <w:rsid w:val="00FB434D"/>
    <w:rsid w:val="00FB4393"/>
    <w:rsid w:val="00FB445E"/>
    <w:rsid w:val="00FB4492"/>
    <w:rsid w:val="00FB4502"/>
    <w:rsid w:val="00FB45D9"/>
    <w:rsid w:val="00FB46AF"/>
    <w:rsid w:val="00FB4753"/>
    <w:rsid w:val="00FB478D"/>
    <w:rsid w:val="00FB47C5"/>
    <w:rsid w:val="00FB48E3"/>
    <w:rsid w:val="00FB4988"/>
    <w:rsid w:val="00FB49D8"/>
    <w:rsid w:val="00FB4D40"/>
    <w:rsid w:val="00FB5037"/>
    <w:rsid w:val="00FB5187"/>
    <w:rsid w:val="00FB5408"/>
    <w:rsid w:val="00FB55E3"/>
    <w:rsid w:val="00FB56CE"/>
    <w:rsid w:val="00FB5781"/>
    <w:rsid w:val="00FB59F8"/>
    <w:rsid w:val="00FB5AC6"/>
    <w:rsid w:val="00FB5B5C"/>
    <w:rsid w:val="00FB5D07"/>
    <w:rsid w:val="00FB5D39"/>
    <w:rsid w:val="00FB606B"/>
    <w:rsid w:val="00FB60B3"/>
    <w:rsid w:val="00FB614D"/>
    <w:rsid w:val="00FB619A"/>
    <w:rsid w:val="00FB620E"/>
    <w:rsid w:val="00FB6542"/>
    <w:rsid w:val="00FB6683"/>
    <w:rsid w:val="00FB6813"/>
    <w:rsid w:val="00FB68F8"/>
    <w:rsid w:val="00FB6A42"/>
    <w:rsid w:val="00FB6A53"/>
    <w:rsid w:val="00FB6C61"/>
    <w:rsid w:val="00FB6CB6"/>
    <w:rsid w:val="00FB6D7E"/>
    <w:rsid w:val="00FB6DD8"/>
    <w:rsid w:val="00FB6E24"/>
    <w:rsid w:val="00FB6E64"/>
    <w:rsid w:val="00FB6FFD"/>
    <w:rsid w:val="00FB70D1"/>
    <w:rsid w:val="00FB70DC"/>
    <w:rsid w:val="00FB713E"/>
    <w:rsid w:val="00FB7217"/>
    <w:rsid w:val="00FB724F"/>
    <w:rsid w:val="00FB73E1"/>
    <w:rsid w:val="00FB75FE"/>
    <w:rsid w:val="00FB7691"/>
    <w:rsid w:val="00FB781C"/>
    <w:rsid w:val="00FB7869"/>
    <w:rsid w:val="00FB78F0"/>
    <w:rsid w:val="00FB7900"/>
    <w:rsid w:val="00FB7A56"/>
    <w:rsid w:val="00FB7A65"/>
    <w:rsid w:val="00FB7C36"/>
    <w:rsid w:val="00FB7DD7"/>
    <w:rsid w:val="00FB7E5F"/>
    <w:rsid w:val="00FC027D"/>
    <w:rsid w:val="00FC0426"/>
    <w:rsid w:val="00FC04A4"/>
    <w:rsid w:val="00FC04AA"/>
    <w:rsid w:val="00FC06C6"/>
    <w:rsid w:val="00FC076A"/>
    <w:rsid w:val="00FC0A5D"/>
    <w:rsid w:val="00FC0A81"/>
    <w:rsid w:val="00FC0B6C"/>
    <w:rsid w:val="00FC0BC3"/>
    <w:rsid w:val="00FC0C3C"/>
    <w:rsid w:val="00FC0CD0"/>
    <w:rsid w:val="00FC0DEB"/>
    <w:rsid w:val="00FC0E10"/>
    <w:rsid w:val="00FC0E39"/>
    <w:rsid w:val="00FC0EAE"/>
    <w:rsid w:val="00FC0EEA"/>
    <w:rsid w:val="00FC0F6A"/>
    <w:rsid w:val="00FC0F81"/>
    <w:rsid w:val="00FC0FB2"/>
    <w:rsid w:val="00FC102D"/>
    <w:rsid w:val="00FC11FE"/>
    <w:rsid w:val="00FC1420"/>
    <w:rsid w:val="00FC1428"/>
    <w:rsid w:val="00FC14E1"/>
    <w:rsid w:val="00FC15AE"/>
    <w:rsid w:val="00FC15E0"/>
    <w:rsid w:val="00FC17C7"/>
    <w:rsid w:val="00FC19BD"/>
    <w:rsid w:val="00FC1A81"/>
    <w:rsid w:val="00FC1AC9"/>
    <w:rsid w:val="00FC1AE1"/>
    <w:rsid w:val="00FC1B38"/>
    <w:rsid w:val="00FC1B93"/>
    <w:rsid w:val="00FC1C02"/>
    <w:rsid w:val="00FC1CCB"/>
    <w:rsid w:val="00FC1D2F"/>
    <w:rsid w:val="00FC1E99"/>
    <w:rsid w:val="00FC1EF0"/>
    <w:rsid w:val="00FC1F65"/>
    <w:rsid w:val="00FC2279"/>
    <w:rsid w:val="00FC2648"/>
    <w:rsid w:val="00FC26F8"/>
    <w:rsid w:val="00FC2904"/>
    <w:rsid w:val="00FC2A47"/>
    <w:rsid w:val="00FC2A50"/>
    <w:rsid w:val="00FC2B85"/>
    <w:rsid w:val="00FC2C70"/>
    <w:rsid w:val="00FC2D47"/>
    <w:rsid w:val="00FC2E1B"/>
    <w:rsid w:val="00FC2E8F"/>
    <w:rsid w:val="00FC2FAE"/>
    <w:rsid w:val="00FC2FD9"/>
    <w:rsid w:val="00FC305D"/>
    <w:rsid w:val="00FC30DC"/>
    <w:rsid w:val="00FC3186"/>
    <w:rsid w:val="00FC31E7"/>
    <w:rsid w:val="00FC32EC"/>
    <w:rsid w:val="00FC33B9"/>
    <w:rsid w:val="00FC3574"/>
    <w:rsid w:val="00FC357C"/>
    <w:rsid w:val="00FC35F0"/>
    <w:rsid w:val="00FC3676"/>
    <w:rsid w:val="00FC381E"/>
    <w:rsid w:val="00FC3ADF"/>
    <w:rsid w:val="00FC3B79"/>
    <w:rsid w:val="00FC3DC3"/>
    <w:rsid w:val="00FC3DCD"/>
    <w:rsid w:val="00FC3F56"/>
    <w:rsid w:val="00FC3F6E"/>
    <w:rsid w:val="00FC403D"/>
    <w:rsid w:val="00FC4135"/>
    <w:rsid w:val="00FC41FF"/>
    <w:rsid w:val="00FC4357"/>
    <w:rsid w:val="00FC4404"/>
    <w:rsid w:val="00FC4543"/>
    <w:rsid w:val="00FC4698"/>
    <w:rsid w:val="00FC46A3"/>
    <w:rsid w:val="00FC483F"/>
    <w:rsid w:val="00FC4B79"/>
    <w:rsid w:val="00FC4B7E"/>
    <w:rsid w:val="00FC4BD6"/>
    <w:rsid w:val="00FC4CBB"/>
    <w:rsid w:val="00FC4CD3"/>
    <w:rsid w:val="00FC4DC3"/>
    <w:rsid w:val="00FC4E8D"/>
    <w:rsid w:val="00FC4EB4"/>
    <w:rsid w:val="00FC50F3"/>
    <w:rsid w:val="00FC5109"/>
    <w:rsid w:val="00FC5247"/>
    <w:rsid w:val="00FC5473"/>
    <w:rsid w:val="00FC55AA"/>
    <w:rsid w:val="00FC56B4"/>
    <w:rsid w:val="00FC5830"/>
    <w:rsid w:val="00FC5C32"/>
    <w:rsid w:val="00FC5CE9"/>
    <w:rsid w:val="00FC5D1B"/>
    <w:rsid w:val="00FC5F2E"/>
    <w:rsid w:val="00FC6125"/>
    <w:rsid w:val="00FC6162"/>
    <w:rsid w:val="00FC61DD"/>
    <w:rsid w:val="00FC6251"/>
    <w:rsid w:val="00FC63A6"/>
    <w:rsid w:val="00FC63FA"/>
    <w:rsid w:val="00FC6545"/>
    <w:rsid w:val="00FC6771"/>
    <w:rsid w:val="00FC683A"/>
    <w:rsid w:val="00FC6888"/>
    <w:rsid w:val="00FC6978"/>
    <w:rsid w:val="00FC6CE7"/>
    <w:rsid w:val="00FC6D30"/>
    <w:rsid w:val="00FC6DB8"/>
    <w:rsid w:val="00FC6F65"/>
    <w:rsid w:val="00FC7061"/>
    <w:rsid w:val="00FC7510"/>
    <w:rsid w:val="00FC75F6"/>
    <w:rsid w:val="00FC7866"/>
    <w:rsid w:val="00FC79B5"/>
    <w:rsid w:val="00FC79C6"/>
    <w:rsid w:val="00FC7A15"/>
    <w:rsid w:val="00FC7B80"/>
    <w:rsid w:val="00FC7C26"/>
    <w:rsid w:val="00FC7CF1"/>
    <w:rsid w:val="00FC7E6C"/>
    <w:rsid w:val="00FD028D"/>
    <w:rsid w:val="00FD05B5"/>
    <w:rsid w:val="00FD06DD"/>
    <w:rsid w:val="00FD0743"/>
    <w:rsid w:val="00FD07A7"/>
    <w:rsid w:val="00FD07DE"/>
    <w:rsid w:val="00FD099C"/>
    <w:rsid w:val="00FD09F1"/>
    <w:rsid w:val="00FD0A34"/>
    <w:rsid w:val="00FD0B47"/>
    <w:rsid w:val="00FD0BBC"/>
    <w:rsid w:val="00FD0C8E"/>
    <w:rsid w:val="00FD0F9C"/>
    <w:rsid w:val="00FD134E"/>
    <w:rsid w:val="00FD1366"/>
    <w:rsid w:val="00FD13B8"/>
    <w:rsid w:val="00FD13BD"/>
    <w:rsid w:val="00FD1411"/>
    <w:rsid w:val="00FD14C4"/>
    <w:rsid w:val="00FD1554"/>
    <w:rsid w:val="00FD155E"/>
    <w:rsid w:val="00FD1605"/>
    <w:rsid w:val="00FD1621"/>
    <w:rsid w:val="00FD1626"/>
    <w:rsid w:val="00FD1656"/>
    <w:rsid w:val="00FD167E"/>
    <w:rsid w:val="00FD171B"/>
    <w:rsid w:val="00FD17F2"/>
    <w:rsid w:val="00FD1BDA"/>
    <w:rsid w:val="00FD1CDB"/>
    <w:rsid w:val="00FD1F33"/>
    <w:rsid w:val="00FD2088"/>
    <w:rsid w:val="00FD2203"/>
    <w:rsid w:val="00FD221D"/>
    <w:rsid w:val="00FD223E"/>
    <w:rsid w:val="00FD2260"/>
    <w:rsid w:val="00FD2438"/>
    <w:rsid w:val="00FD2482"/>
    <w:rsid w:val="00FD263A"/>
    <w:rsid w:val="00FD27FA"/>
    <w:rsid w:val="00FD282B"/>
    <w:rsid w:val="00FD2BB7"/>
    <w:rsid w:val="00FD2EA4"/>
    <w:rsid w:val="00FD3032"/>
    <w:rsid w:val="00FD31C5"/>
    <w:rsid w:val="00FD3364"/>
    <w:rsid w:val="00FD336A"/>
    <w:rsid w:val="00FD34C6"/>
    <w:rsid w:val="00FD3588"/>
    <w:rsid w:val="00FD35BD"/>
    <w:rsid w:val="00FD35EB"/>
    <w:rsid w:val="00FD373A"/>
    <w:rsid w:val="00FD382A"/>
    <w:rsid w:val="00FD39A2"/>
    <w:rsid w:val="00FD3A70"/>
    <w:rsid w:val="00FD3B3F"/>
    <w:rsid w:val="00FD3B91"/>
    <w:rsid w:val="00FD3C77"/>
    <w:rsid w:val="00FD3C7C"/>
    <w:rsid w:val="00FD3D13"/>
    <w:rsid w:val="00FD3E3A"/>
    <w:rsid w:val="00FD3E78"/>
    <w:rsid w:val="00FD3FE2"/>
    <w:rsid w:val="00FD4109"/>
    <w:rsid w:val="00FD4185"/>
    <w:rsid w:val="00FD418C"/>
    <w:rsid w:val="00FD432A"/>
    <w:rsid w:val="00FD43D4"/>
    <w:rsid w:val="00FD45FF"/>
    <w:rsid w:val="00FD4659"/>
    <w:rsid w:val="00FD46FB"/>
    <w:rsid w:val="00FD4756"/>
    <w:rsid w:val="00FD4868"/>
    <w:rsid w:val="00FD4C93"/>
    <w:rsid w:val="00FD4D0B"/>
    <w:rsid w:val="00FD4F69"/>
    <w:rsid w:val="00FD5100"/>
    <w:rsid w:val="00FD5107"/>
    <w:rsid w:val="00FD51A7"/>
    <w:rsid w:val="00FD5296"/>
    <w:rsid w:val="00FD52AE"/>
    <w:rsid w:val="00FD535F"/>
    <w:rsid w:val="00FD5448"/>
    <w:rsid w:val="00FD5590"/>
    <w:rsid w:val="00FD5628"/>
    <w:rsid w:val="00FD5669"/>
    <w:rsid w:val="00FD5713"/>
    <w:rsid w:val="00FD574F"/>
    <w:rsid w:val="00FD590F"/>
    <w:rsid w:val="00FD5981"/>
    <w:rsid w:val="00FD59B6"/>
    <w:rsid w:val="00FD5AC2"/>
    <w:rsid w:val="00FD5BA0"/>
    <w:rsid w:val="00FD5BA3"/>
    <w:rsid w:val="00FD5BC5"/>
    <w:rsid w:val="00FD5BEC"/>
    <w:rsid w:val="00FD5D22"/>
    <w:rsid w:val="00FD5D94"/>
    <w:rsid w:val="00FD5E3C"/>
    <w:rsid w:val="00FD5EE9"/>
    <w:rsid w:val="00FD6465"/>
    <w:rsid w:val="00FD64B4"/>
    <w:rsid w:val="00FD656B"/>
    <w:rsid w:val="00FD65B9"/>
    <w:rsid w:val="00FD665B"/>
    <w:rsid w:val="00FD67BC"/>
    <w:rsid w:val="00FD67BD"/>
    <w:rsid w:val="00FD6842"/>
    <w:rsid w:val="00FD6AC3"/>
    <w:rsid w:val="00FD6C83"/>
    <w:rsid w:val="00FD6D41"/>
    <w:rsid w:val="00FD706D"/>
    <w:rsid w:val="00FD7376"/>
    <w:rsid w:val="00FD73BA"/>
    <w:rsid w:val="00FD74C9"/>
    <w:rsid w:val="00FD765C"/>
    <w:rsid w:val="00FD7983"/>
    <w:rsid w:val="00FD7E17"/>
    <w:rsid w:val="00FE0141"/>
    <w:rsid w:val="00FE02D3"/>
    <w:rsid w:val="00FE0352"/>
    <w:rsid w:val="00FE0559"/>
    <w:rsid w:val="00FE06D5"/>
    <w:rsid w:val="00FE075A"/>
    <w:rsid w:val="00FE08FF"/>
    <w:rsid w:val="00FE09B7"/>
    <w:rsid w:val="00FE0A18"/>
    <w:rsid w:val="00FE0BE4"/>
    <w:rsid w:val="00FE0CC4"/>
    <w:rsid w:val="00FE0EB8"/>
    <w:rsid w:val="00FE0F28"/>
    <w:rsid w:val="00FE0FA3"/>
    <w:rsid w:val="00FE10E7"/>
    <w:rsid w:val="00FE11C5"/>
    <w:rsid w:val="00FE11FF"/>
    <w:rsid w:val="00FE137C"/>
    <w:rsid w:val="00FE13BA"/>
    <w:rsid w:val="00FE13BD"/>
    <w:rsid w:val="00FE1401"/>
    <w:rsid w:val="00FE14AD"/>
    <w:rsid w:val="00FE14D6"/>
    <w:rsid w:val="00FE1719"/>
    <w:rsid w:val="00FE180D"/>
    <w:rsid w:val="00FE1A43"/>
    <w:rsid w:val="00FE1A7A"/>
    <w:rsid w:val="00FE1B9E"/>
    <w:rsid w:val="00FE1DFC"/>
    <w:rsid w:val="00FE1DFD"/>
    <w:rsid w:val="00FE2198"/>
    <w:rsid w:val="00FE21DE"/>
    <w:rsid w:val="00FE21FF"/>
    <w:rsid w:val="00FE2256"/>
    <w:rsid w:val="00FE23C9"/>
    <w:rsid w:val="00FE250E"/>
    <w:rsid w:val="00FE2554"/>
    <w:rsid w:val="00FE28A3"/>
    <w:rsid w:val="00FE28A9"/>
    <w:rsid w:val="00FE28C6"/>
    <w:rsid w:val="00FE2B1F"/>
    <w:rsid w:val="00FE2D0F"/>
    <w:rsid w:val="00FE3053"/>
    <w:rsid w:val="00FE3333"/>
    <w:rsid w:val="00FE3358"/>
    <w:rsid w:val="00FE33D6"/>
    <w:rsid w:val="00FE3407"/>
    <w:rsid w:val="00FE3457"/>
    <w:rsid w:val="00FE347B"/>
    <w:rsid w:val="00FE3654"/>
    <w:rsid w:val="00FE3841"/>
    <w:rsid w:val="00FE39CA"/>
    <w:rsid w:val="00FE3A7C"/>
    <w:rsid w:val="00FE3B10"/>
    <w:rsid w:val="00FE3D0D"/>
    <w:rsid w:val="00FE3EB6"/>
    <w:rsid w:val="00FE3EC8"/>
    <w:rsid w:val="00FE40EF"/>
    <w:rsid w:val="00FE418A"/>
    <w:rsid w:val="00FE42DF"/>
    <w:rsid w:val="00FE437C"/>
    <w:rsid w:val="00FE43A2"/>
    <w:rsid w:val="00FE4877"/>
    <w:rsid w:val="00FE4907"/>
    <w:rsid w:val="00FE498E"/>
    <w:rsid w:val="00FE4A21"/>
    <w:rsid w:val="00FE4C19"/>
    <w:rsid w:val="00FE4CB3"/>
    <w:rsid w:val="00FE4D9C"/>
    <w:rsid w:val="00FE4FE6"/>
    <w:rsid w:val="00FE5476"/>
    <w:rsid w:val="00FE549F"/>
    <w:rsid w:val="00FE54BE"/>
    <w:rsid w:val="00FE54E5"/>
    <w:rsid w:val="00FE5601"/>
    <w:rsid w:val="00FE5836"/>
    <w:rsid w:val="00FE58F4"/>
    <w:rsid w:val="00FE596D"/>
    <w:rsid w:val="00FE5A85"/>
    <w:rsid w:val="00FE5B59"/>
    <w:rsid w:val="00FE5B88"/>
    <w:rsid w:val="00FE5E1F"/>
    <w:rsid w:val="00FE5F46"/>
    <w:rsid w:val="00FE5FC0"/>
    <w:rsid w:val="00FE60C0"/>
    <w:rsid w:val="00FE610D"/>
    <w:rsid w:val="00FE629E"/>
    <w:rsid w:val="00FE649E"/>
    <w:rsid w:val="00FE64C7"/>
    <w:rsid w:val="00FE652D"/>
    <w:rsid w:val="00FE65D0"/>
    <w:rsid w:val="00FE6653"/>
    <w:rsid w:val="00FE679A"/>
    <w:rsid w:val="00FE67F1"/>
    <w:rsid w:val="00FE689D"/>
    <w:rsid w:val="00FE6AC3"/>
    <w:rsid w:val="00FE6B3A"/>
    <w:rsid w:val="00FE6CA6"/>
    <w:rsid w:val="00FE6CE6"/>
    <w:rsid w:val="00FE6DAB"/>
    <w:rsid w:val="00FE6DF7"/>
    <w:rsid w:val="00FE6F7E"/>
    <w:rsid w:val="00FE6FE5"/>
    <w:rsid w:val="00FE6FEF"/>
    <w:rsid w:val="00FE6FFD"/>
    <w:rsid w:val="00FE7072"/>
    <w:rsid w:val="00FE7084"/>
    <w:rsid w:val="00FE709A"/>
    <w:rsid w:val="00FE7194"/>
    <w:rsid w:val="00FE71AB"/>
    <w:rsid w:val="00FE7248"/>
    <w:rsid w:val="00FE7360"/>
    <w:rsid w:val="00FE7418"/>
    <w:rsid w:val="00FE74AF"/>
    <w:rsid w:val="00FE7516"/>
    <w:rsid w:val="00FE752E"/>
    <w:rsid w:val="00FE7553"/>
    <w:rsid w:val="00FE7868"/>
    <w:rsid w:val="00FE7C92"/>
    <w:rsid w:val="00FE7D31"/>
    <w:rsid w:val="00FE7E53"/>
    <w:rsid w:val="00FE7ED1"/>
    <w:rsid w:val="00FE7F32"/>
    <w:rsid w:val="00FE7F5B"/>
    <w:rsid w:val="00FF0124"/>
    <w:rsid w:val="00FF0611"/>
    <w:rsid w:val="00FF0738"/>
    <w:rsid w:val="00FF0746"/>
    <w:rsid w:val="00FF07DA"/>
    <w:rsid w:val="00FF085F"/>
    <w:rsid w:val="00FF0920"/>
    <w:rsid w:val="00FF0BE7"/>
    <w:rsid w:val="00FF0D2D"/>
    <w:rsid w:val="00FF0F56"/>
    <w:rsid w:val="00FF0FE4"/>
    <w:rsid w:val="00FF0FE6"/>
    <w:rsid w:val="00FF1150"/>
    <w:rsid w:val="00FF11DA"/>
    <w:rsid w:val="00FF124B"/>
    <w:rsid w:val="00FF1469"/>
    <w:rsid w:val="00FF1530"/>
    <w:rsid w:val="00FF1632"/>
    <w:rsid w:val="00FF18B4"/>
    <w:rsid w:val="00FF1C06"/>
    <w:rsid w:val="00FF1D69"/>
    <w:rsid w:val="00FF1D75"/>
    <w:rsid w:val="00FF1EDC"/>
    <w:rsid w:val="00FF1F1B"/>
    <w:rsid w:val="00FF1F5F"/>
    <w:rsid w:val="00FF21EE"/>
    <w:rsid w:val="00FF2433"/>
    <w:rsid w:val="00FF248C"/>
    <w:rsid w:val="00FF24B4"/>
    <w:rsid w:val="00FF2516"/>
    <w:rsid w:val="00FF25AA"/>
    <w:rsid w:val="00FF25DC"/>
    <w:rsid w:val="00FF2602"/>
    <w:rsid w:val="00FF26E7"/>
    <w:rsid w:val="00FF26ED"/>
    <w:rsid w:val="00FF2847"/>
    <w:rsid w:val="00FF293E"/>
    <w:rsid w:val="00FF29A4"/>
    <w:rsid w:val="00FF2A8A"/>
    <w:rsid w:val="00FF2B14"/>
    <w:rsid w:val="00FF2D0F"/>
    <w:rsid w:val="00FF2E31"/>
    <w:rsid w:val="00FF2F2D"/>
    <w:rsid w:val="00FF2F40"/>
    <w:rsid w:val="00FF2F5A"/>
    <w:rsid w:val="00FF309E"/>
    <w:rsid w:val="00FF33C5"/>
    <w:rsid w:val="00FF386E"/>
    <w:rsid w:val="00FF394D"/>
    <w:rsid w:val="00FF3A15"/>
    <w:rsid w:val="00FF3B55"/>
    <w:rsid w:val="00FF3D03"/>
    <w:rsid w:val="00FF3ECD"/>
    <w:rsid w:val="00FF3EDC"/>
    <w:rsid w:val="00FF3FB1"/>
    <w:rsid w:val="00FF3FD5"/>
    <w:rsid w:val="00FF409F"/>
    <w:rsid w:val="00FF4126"/>
    <w:rsid w:val="00FF424F"/>
    <w:rsid w:val="00FF4258"/>
    <w:rsid w:val="00FF428A"/>
    <w:rsid w:val="00FF4305"/>
    <w:rsid w:val="00FF46D6"/>
    <w:rsid w:val="00FF4756"/>
    <w:rsid w:val="00FF4819"/>
    <w:rsid w:val="00FF4875"/>
    <w:rsid w:val="00FF49FB"/>
    <w:rsid w:val="00FF4BCF"/>
    <w:rsid w:val="00FF4BEC"/>
    <w:rsid w:val="00FF4D52"/>
    <w:rsid w:val="00FF4ED3"/>
    <w:rsid w:val="00FF4F0F"/>
    <w:rsid w:val="00FF4F73"/>
    <w:rsid w:val="00FF5011"/>
    <w:rsid w:val="00FF52F0"/>
    <w:rsid w:val="00FF52F8"/>
    <w:rsid w:val="00FF5330"/>
    <w:rsid w:val="00FF53A3"/>
    <w:rsid w:val="00FF556B"/>
    <w:rsid w:val="00FF571B"/>
    <w:rsid w:val="00FF5802"/>
    <w:rsid w:val="00FF582F"/>
    <w:rsid w:val="00FF59C8"/>
    <w:rsid w:val="00FF5BBB"/>
    <w:rsid w:val="00FF5D78"/>
    <w:rsid w:val="00FF5F68"/>
    <w:rsid w:val="00FF5F78"/>
    <w:rsid w:val="00FF6205"/>
    <w:rsid w:val="00FF64AC"/>
    <w:rsid w:val="00FF64C2"/>
    <w:rsid w:val="00FF69AA"/>
    <w:rsid w:val="00FF6D0B"/>
    <w:rsid w:val="00FF6DE0"/>
    <w:rsid w:val="00FF6E9F"/>
    <w:rsid w:val="00FF6EA6"/>
    <w:rsid w:val="00FF6F4F"/>
    <w:rsid w:val="00FF703C"/>
    <w:rsid w:val="00FF7082"/>
    <w:rsid w:val="00FF70BA"/>
    <w:rsid w:val="00FF7220"/>
    <w:rsid w:val="00FF7262"/>
    <w:rsid w:val="00FF73A2"/>
    <w:rsid w:val="00FF7400"/>
    <w:rsid w:val="00FF7531"/>
    <w:rsid w:val="00FF75B1"/>
    <w:rsid w:val="00FF75C4"/>
    <w:rsid w:val="00FF76A9"/>
    <w:rsid w:val="00FF78CE"/>
    <w:rsid w:val="00FF7916"/>
    <w:rsid w:val="00FF79EF"/>
    <w:rsid w:val="00FF7B95"/>
    <w:rsid w:val="00FF7B96"/>
    <w:rsid w:val="00FF7B9C"/>
    <w:rsid w:val="00FF7BBE"/>
    <w:rsid w:val="00FF7BFE"/>
    <w:rsid w:val="00FF7CD0"/>
    <w:rsid w:val="00FF7DDA"/>
    <w:rsid w:val="00FF7EEB"/>
    <w:rsid w:val="010FB988"/>
    <w:rsid w:val="01124CAD"/>
    <w:rsid w:val="0113B516"/>
    <w:rsid w:val="01257A29"/>
    <w:rsid w:val="01725666"/>
    <w:rsid w:val="017478BF"/>
    <w:rsid w:val="01814568"/>
    <w:rsid w:val="01882200"/>
    <w:rsid w:val="01AA3F7B"/>
    <w:rsid w:val="01C27977"/>
    <w:rsid w:val="01C3E683"/>
    <w:rsid w:val="01CD8EE1"/>
    <w:rsid w:val="01F58D2B"/>
    <w:rsid w:val="01F5F9AC"/>
    <w:rsid w:val="02046C13"/>
    <w:rsid w:val="020B87B3"/>
    <w:rsid w:val="022D0F4A"/>
    <w:rsid w:val="024AABE5"/>
    <w:rsid w:val="0256BC58"/>
    <w:rsid w:val="0272FE9E"/>
    <w:rsid w:val="0278E1E1"/>
    <w:rsid w:val="02870769"/>
    <w:rsid w:val="028D54EF"/>
    <w:rsid w:val="02A45BD6"/>
    <w:rsid w:val="02C8E9D2"/>
    <w:rsid w:val="02DEE629"/>
    <w:rsid w:val="02FED7CA"/>
    <w:rsid w:val="0305C1D5"/>
    <w:rsid w:val="03264E38"/>
    <w:rsid w:val="03765635"/>
    <w:rsid w:val="0392084B"/>
    <w:rsid w:val="03A780A1"/>
    <w:rsid w:val="03AC1226"/>
    <w:rsid w:val="03AC8B66"/>
    <w:rsid w:val="03DAD021"/>
    <w:rsid w:val="040585EB"/>
    <w:rsid w:val="040936B6"/>
    <w:rsid w:val="04210CA6"/>
    <w:rsid w:val="043CB674"/>
    <w:rsid w:val="044153A1"/>
    <w:rsid w:val="04428D7C"/>
    <w:rsid w:val="045D5DED"/>
    <w:rsid w:val="04842E5C"/>
    <w:rsid w:val="048481D3"/>
    <w:rsid w:val="049EF1F0"/>
    <w:rsid w:val="04A5CD8F"/>
    <w:rsid w:val="04C65DAC"/>
    <w:rsid w:val="04F5F413"/>
    <w:rsid w:val="04FBAE01"/>
    <w:rsid w:val="0500DEBC"/>
    <w:rsid w:val="05054F03"/>
    <w:rsid w:val="051428E3"/>
    <w:rsid w:val="051C99E9"/>
    <w:rsid w:val="05363402"/>
    <w:rsid w:val="05487C5D"/>
    <w:rsid w:val="055A5633"/>
    <w:rsid w:val="055D5A19"/>
    <w:rsid w:val="0572EC96"/>
    <w:rsid w:val="0576B5AF"/>
    <w:rsid w:val="057A2D4E"/>
    <w:rsid w:val="058B7F28"/>
    <w:rsid w:val="0596E00E"/>
    <w:rsid w:val="05BC31F1"/>
    <w:rsid w:val="05C8A0BE"/>
    <w:rsid w:val="05E11203"/>
    <w:rsid w:val="05E391B2"/>
    <w:rsid w:val="0613601A"/>
    <w:rsid w:val="06218B10"/>
    <w:rsid w:val="0636FAA9"/>
    <w:rsid w:val="063DB55C"/>
    <w:rsid w:val="063FB2DF"/>
    <w:rsid w:val="06515DF4"/>
    <w:rsid w:val="069FDAF6"/>
    <w:rsid w:val="06A31834"/>
    <w:rsid w:val="06DFB937"/>
    <w:rsid w:val="06E56123"/>
    <w:rsid w:val="0728D886"/>
    <w:rsid w:val="072B17DA"/>
    <w:rsid w:val="07325B80"/>
    <w:rsid w:val="07393BC7"/>
    <w:rsid w:val="07398248"/>
    <w:rsid w:val="0754F838"/>
    <w:rsid w:val="075527A3"/>
    <w:rsid w:val="078A2796"/>
    <w:rsid w:val="078F4C2B"/>
    <w:rsid w:val="07A55C98"/>
    <w:rsid w:val="07AE424A"/>
    <w:rsid w:val="07E559F2"/>
    <w:rsid w:val="07F22EFF"/>
    <w:rsid w:val="07F7580D"/>
    <w:rsid w:val="07F7B880"/>
    <w:rsid w:val="07FB41B7"/>
    <w:rsid w:val="0837098B"/>
    <w:rsid w:val="084A2998"/>
    <w:rsid w:val="086A4C63"/>
    <w:rsid w:val="086A639A"/>
    <w:rsid w:val="08A9490F"/>
    <w:rsid w:val="08BE88A1"/>
    <w:rsid w:val="08BF0D70"/>
    <w:rsid w:val="08C601E0"/>
    <w:rsid w:val="08FD0163"/>
    <w:rsid w:val="09027786"/>
    <w:rsid w:val="0915DA2C"/>
    <w:rsid w:val="0918D5A3"/>
    <w:rsid w:val="091E4A3E"/>
    <w:rsid w:val="092C7E4D"/>
    <w:rsid w:val="094EE655"/>
    <w:rsid w:val="095BC228"/>
    <w:rsid w:val="09643A54"/>
    <w:rsid w:val="09803DE9"/>
    <w:rsid w:val="098486AC"/>
    <w:rsid w:val="099CBE08"/>
    <w:rsid w:val="099D7E10"/>
    <w:rsid w:val="09A88208"/>
    <w:rsid w:val="09C80C61"/>
    <w:rsid w:val="09D9B23C"/>
    <w:rsid w:val="09E722F8"/>
    <w:rsid w:val="09EAEC36"/>
    <w:rsid w:val="09F2550A"/>
    <w:rsid w:val="09F536B2"/>
    <w:rsid w:val="0A02A6C1"/>
    <w:rsid w:val="0A2E9305"/>
    <w:rsid w:val="0A344B54"/>
    <w:rsid w:val="0A569B61"/>
    <w:rsid w:val="0A94B847"/>
    <w:rsid w:val="0A9574AE"/>
    <w:rsid w:val="0ADD182E"/>
    <w:rsid w:val="0AE09B53"/>
    <w:rsid w:val="0B140BA4"/>
    <w:rsid w:val="0B440F2D"/>
    <w:rsid w:val="0B57ECBC"/>
    <w:rsid w:val="0B69F7EC"/>
    <w:rsid w:val="0B751281"/>
    <w:rsid w:val="0B853761"/>
    <w:rsid w:val="0B96190B"/>
    <w:rsid w:val="0B96F5F6"/>
    <w:rsid w:val="0BA0AAF8"/>
    <w:rsid w:val="0BAC9479"/>
    <w:rsid w:val="0BAEFE21"/>
    <w:rsid w:val="0BC0D75E"/>
    <w:rsid w:val="0BC56FF4"/>
    <w:rsid w:val="0BDEEEE8"/>
    <w:rsid w:val="0C115BBD"/>
    <w:rsid w:val="0C1D88F6"/>
    <w:rsid w:val="0C3D7A81"/>
    <w:rsid w:val="0C3DEA4C"/>
    <w:rsid w:val="0C47EA93"/>
    <w:rsid w:val="0C4DA599"/>
    <w:rsid w:val="0C55EAA0"/>
    <w:rsid w:val="0C5CC374"/>
    <w:rsid w:val="0C63FF64"/>
    <w:rsid w:val="0C84B56B"/>
    <w:rsid w:val="0C88A194"/>
    <w:rsid w:val="0C90E53C"/>
    <w:rsid w:val="0CDD5DFB"/>
    <w:rsid w:val="0CE47BC9"/>
    <w:rsid w:val="0CF5E5C5"/>
    <w:rsid w:val="0D040289"/>
    <w:rsid w:val="0D068D7B"/>
    <w:rsid w:val="0D185E29"/>
    <w:rsid w:val="0D20DFCE"/>
    <w:rsid w:val="0D49AAF0"/>
    <w:rsid w:val="0D542855"/>
    <w:rsid w:val="0D68162A"/>
    <w:rsid w:val="0D6B034C"/>
    <w:rsid w:val="0D6B274F"/>
    <w:rsid w:val="0D767A1B"/>
    <w:rsid w:val="0D769AD1"/>
    <w:rsid w:val="0D7B951A"/>
    <w:rsid w:val="0D7F62C6"/>
    <w:rsid w:val="0D8FC06C"/>
    <w:rsid w:val="0D9FAE1C"/>
    <w:rsid w:val="0DDE2078"/>
    <w:rsid w:val="0DE66B72"/>
    <w:rsid w:val="0DEBA009"/>
    <w:rsid w:val="0E022E76"/>
    <w:rsid w:val="0E0CB49F"/>
    <w:rsid w:val="0E1884C9"/>
    <w:rsid w:val="0E2B34D2"/>
    <w:rsid w:val="0E315006"/>
    <w:rsid w:val="0E3B1776"/>
    <w:rsid w:val="0E41E46A"/>
    <w:rsid w:val="0E62A1D1"/>
    <w:rsid w:val="0E839696"/>
    <w:rsid w:val="0E8EB701"/>
    <w:rsid w:val="0E94D13A"/>
    <w:rsid w:val="0E9AAA33"/>
    <w:rsid w:val="0EAF9571"/>
    <w:rsid w:val="0EAFCA7B"/>
    <w:rsid w:val="0EB56E77"/>
    <w:rsid w:val="0EB8A5AC"/>
    <w:rsid w:val="0ECC8F56"/>
    <w:rsid w:val="0EE4B944"/>
    <w:rsid w:val="0F011B7B"/>
    <w:rsid w:val="0F181588"/>
    <w:rsid w:val="0F317B64"/>
    <w:rsid w:val="0F4C80D5"/>
    <w:rsid w:val="0F6CAF78"/>
    <w:rsid w:val="0F70BE5E"/>
    <w:rsid w:val="0F8EA0E3"/>
    <w:rsid w:val="0FDF98F9"/>
    <w:rsid w:val="0FE57531"/>
    <w:rsid w:val="10104967"/>
    <w:rsid w:val="103E04E6"/>
    <w:rsid w:val="104B2F90"/>
    <w:rsid w:val="104DF1CF"/>
    <w:rsid w:val="1083A625"/>
    <w:rsid w:val="10872A19"/>
    <w:rsid w:val="10B5FCD9"/>
    <w:rsid w:val="10C0BD48"/>
    <w:rsid w:val="10CFF0C4"/>
    <w:rsid w:val="10ED3713"/>
    <w:rsid w:val="11069180"/>
    <w:rsid w:val="111A2018"/>
    <w:rsid w:val="1134392D"/>
    <w:rsid w:val="114B3FAB"/>
    <w:rsid w:val="115B3553"/>
    <w:rsid w:val="116A845F"/>
    <w:rsid w:val="118411AD"/>
    <w:rsid w:val="11ABDE44"/>
    <w:rsid w:val="11E4DB82"/>
    <w:rsid w:val="11EBF806"/>
    <w:rsid w:val="11F3B1DC"/>
    <w:rsid w:val="11F4971D"/>
    <w:rsid w:val="11F9B877"/>
    <w:rsid w:val="12140ED9"/>
    <w:rsid w:val="12221829"/>
    <w:rsid w:val="1229DCE4"/>
    <w:rsid w:val="12313BDF"/>
    <w:rsid w:val="12434DFC"/>
    <w:rsid w:val="124D7635"/>
    <w:rsid w:val="125409D8"/>
    <w:rsid w:val="12700750"/>
    <w:rsid w:val="12926DEA"/>
    <w:rsid w:val="12B05C73"/>
    <w:rsid w:val="12BE6541"/>
    <w:rsid w:val="12CEF353"/>
    <w:rsid w:val="1300D332"/>
    <w:rsid w:val="13045484"/>
    <w:rsid w:val="13054F70"/>
    <w:rsid w:val="13267F6F"/>
    <w:rsid w:val="1364B00A"/>
    <w:rsid w:val="136B5769"/>
    <w:rsid w:val="136BA139"/>
    <w:rsid w:val="13868E8D"/>
    <w:rsid w:val="13879272"/>
    <w:rsid w:val="13A2356D"/>
    <w:rsid w:val="13C3D543"/>
    <w:rsid w:val="13CE27A3"/>
    <w:rsid w:val="13D5DA32"/>
    <w:rsid w:val="13DDBE6F"/>
    <w:rsid w:val="141799C8"/>
    <w:rsid w:val="14370113"/>
    <w:rsid w:val="1448F998"/>
    <w:rsid w:val="14590887"/>
    <w:rsid w:val="145A8C2B"/>
    <w:rsid w:val="146C6873"/>
    <w:rsid w:val="148B752F"/>
    <w:rsid w:val="149245E7"/>
    <w:rsid w:val="1495AD49"/>
    <w:rsid w:val="14B8407F"/>
    <w:rsid w:val="14B85DEB"/>
    <w:rsid w:val="14BC6A1D"/>
    <w:rsid w:val="14BEF6C4"/>
    <w:rsid w:val="14C41E17"/>
    <w:rsid w:val="14FAF135"/>
    <w:rsid w:val="1507AA4E"/>
    <w:rsid w:val="150E46D2"/>
    <w:rsid w:val="152843C6"/>
    <w:rsid w:val="15549C1C"/>
    <w:rsid w:val="15589AFB"/>
    <w:rsid w:val="155D7E86"/>
    <w:rsid w:val="158F3AEE"/>
    <w:rsid w:val="159CDF28"/>
    <w:rsid w:val="15A21AF7"/>
    <w:rsid w:val="15AFEAFF"/>
    <w:rsid w:val="15C10787"/>
    <w:rsid w:val="15CA9F87"/>
    <w:rsid w:val="15E08563"/>
    <w:rsid w:val="15E67C5C"/>
    <w:rsid w:val="15E692E2"/>
    <w:rsid w:val="15E826BB"/>
    <w:rsid w:val="160EDC85"/>
    <w:rsid w:val="16213A8A"/>
    <w:rsid w:val="1641C96E"/>
    <w:rsid w:val="165B8F46"/>
    <w:rsid w:val="1708E8D8"/>
    <w:rsid w:val="170CF0A7"/>
    <w:rsid w:val="171DE9BE"/>
    <w:rsid w:val="172D062B"/>
    <w:rsid w:val="17313FA6"/>
    <w:rsid w:val="17409770"/>
    <w:rsid w:val="174A8518"/>
    <w:rsid w:val="176C4B35"/>
    <w:rsid w:val="1788DEBC"/>
    <w:rsid w:val="17B137CD"/>
    <w:rsid w:val="17B4ECE9"/>
    <w:rsid w:val="17DAC038"/>
    <w:rsid w:val="1805A55E"/>
    <w:rsid w:val="18135EA1"/>
    <w:rsid w:val="18237E3C"/>
    <w:rsid w:val="18458888"/>
    <w:rsid w:val="18600756"/>
    <w:rsid w:val="18793082"/>
    <w:rsid w:val="1917C721"/>
    <w:rsid w:val="191F880C"/>
    <w:rsid w:val="19297F29"/>
    <w:rsid w:val="1949A56B"/>
    <w:rsid w:val="195014D9"/>
    <w:rsid w:val="195D82B9"/>
    <w:rsid w:val="195EDCAD"/>
    <w:rsid w:val="198E151B"/>
    <w:rsid w:val="19947BEA"/>
    <w:rsid w:val="19D095CC"/>
    <w:rsid w:val="19E69FE6"/>
    <w:rsid w:val="19EA8D85"/>
    <w:rsid w:val="19ED5B85"/>
    <w:rsid w:val="1A0119C7"/>
    <w:rsid w:val="1A0CD4E2"/>
    <w:rsid w:val="1A22BB11"/>
    <w:rsid w:val="1A325A33"/>
    <w:rsid w:val="1A3860DC"/>
    <w:rsid w:val="1A388C0C"/>
    <w:rsid w:val="1A739151"/>
    <w:rsid w:val="1A809243"/>
    <w:rsid w:val="1A93BBDA"/>
    <w:rsid w:val="1AAB2C8C"/>
    <w:rsid w:val="1AB9E868"/>
    <w:rsid w:val="1AC63A8C"/>
    <w:rsid w:val="1AC8A989"/>
    <w:rsid w:val="1ACFECEF"/>
    <w:rsid w:val="1AEC0ED7"/>
    <w:rsid w:val="1AF55050"/>
    <w:rsid w:val="1B07FDC5"/>
    <w:rsid w:val="1B1E9EAF"/>
    <w:rsid w:val="1B25E752"/>
    <w:rsid w:val="1B37D604"/>
    <w:rsid w:val="1B4D3223"/>
    <w:rsid w:val="1B505680"/>
    <w:rsid w:val="1B64BA2A"/>
    <w:rsid w:val="1B75352E"/>
    <w:rsid w:val="1B766C49"/>
    <w:rsid w:val="1B99F613"/>
    <w:rsid w:val="1BA5CA49"/>
    <w:rsid w:val="1BB3A85C"/>
    <w:rsid w:val="1BE0E02D"/>
    <w:rsid w:val="1C3FAC0E"/>
    <w:rsid w:val="1C9278B4"/>
    <w:rsid w:val="1CA9E315"/>
    <w:rsid w:val="1CD4059D"/>
    <w:rsid w:val="1CE38E73"/>
    <w:rsid w:val="1CEFAD93"/>
    <w:rsid w:val="1CF7F959"/>
    <w:rsid w:val="1CF8ABB1"/>
    <w:rsid w:val="1D1C4708"/>
    <w:rsid w:val="1D1F1E78"/>
    <w:rsid w:val="1D2267F4"/>
    <w:rsid w:val="1D257083"/>
    <w:rsid w:val="1D364DA5"/>
    <w:rsid w:val="1D40A37E"/>
    <w:rsid w:val="1D4DE712"/>
    <w:rsid w:val="1D7DA7B1"/>
    <w:rsid w:val="1DAE4F43"/>
    <w:rsid w:val="1DBA51A4"/>
    <w:rsid w:val="1DC8EA2E"/>
    <w:rsid w:val="1DC98F0C"/>
    <w:rsid w:val="1DCDAB9B"/>
    <w:rsid w:val="1DEF1A46"/>
    <w:rsid w:val="1DF40D7E"/>
    <w:rsid w:val="1DFDE9F9"/>
    <w:rsid w:val="1DFE4C52"/>
    <w:rsid w:val="1E00681F"/>
    <w:rsid w:val="1E01602C"/>
    <w:rsid w:val="1E018F8D"/>
    <w:rsid w:val="1E127F2F"/>
    <w:rsid w:val="1E1CD15E"/>
    <w:rsid w:val="1E3C85E6"/>
    <w:rsid w:val="1E5FDC92"/>
    <w:rsid w:val="1E698629"/>
    <w:rsid w:val="1E82B5D4"/>
    <w:rsid w:val="1E8A0CDF"/>
    <w:rsid w:val="1E933A95"/>
    <w:rsid w:val="1E99F0BC"/>
    <w:rsid w:val="1EA1E500"/>
    <w:rsid w:val="1EB74F1F"/>
    <w:rsid w:val="1EC22439"/>
    <w:rsid w:val="1EC7297E"/>
    <w:rsid w:val="1EC94B3F"/>
    <w:rsid w:val="1ED6E15E"/>
    <w:rsid w:val="1EE471C6"/>
    <w:rsid w:val="1EF54A5D"/>
    <w:rsid w:val="1F0645A3"/>
    <w:rsid w:val="1F0892F2"/>
    <w:rsid w:val="1F1982DE"/>
    <w:rsid w:val="1F24401D"/>
    <w:rsid w:val="1F349D0D"/>
    <w:rsid w:val="1F394477"/>
    <w:rsid w:val="1F3A4B3D"/>
    <w:rsid w:val="1F67719F"/>
    <w:rsid w:val="1F72FBCA"/>
    <w:rsid w:val="1FBC5B7C"/>
    <w:rsid w:val="1FBE3D22"/>
    <w:rsid w:val="1FD2D6C5"/>
    <w:rsid w:val="1FE58814"/>
    <w:rsid w:val="1FE80DB8"/>
    <w:rsid w:val="1FEC4D58"/>
    <w:rsid w:val="2018610F"/>
    <w:rsid w:val="2018DA36"/>
    <w:rsid w:val="20367869"/>
    <w:rsid w:val="2043D25A"/>
    <w:rsid w:val="20465206"/>
    <w:rsid w:val="20474887"/>
    <w:rsid w:val="205F6EE4"/>
    <w:rsid w:val="209E6B5E"/>
    <w:rsid w:val="20B56C87"/>
    <w:rsid w:val="20BC2C6F"/>
    <w:rsid w:val="20DE334E"/>
    <w:rsid w:val="20EC43FC"/>
    <w:rsid w:val="20F97505"/>
    <w:rsid w:val="210F7797"/>
    <w:rsid w:val="210FA80A"/>
    <w:rsid w:val="2121BF8F"/>
    <w:rsid w:val="2137E954"/>
    <w:rsid w:val="2147460F"/>
    <w:rsid w:val="215167F1"/>
    <w:rsid w:val="21838327"/>
    <w:rsid w:val="21B765C6"/>
    <w:rsid w:val="21D4BCBB"/>
    <w:rsid w:val="21E08CE2"/>
    <w:rsid w:val="21E43F7B"/>
    <w:rsid w:val="21EEA8C5"/>
    <w:rsid w:val="21FA2F2C"/>
    <w:rsid w:val="220F173D"/>
    <w:rsid w:val="220F521B"/>
    <w:rsid w:val="22198624"/>
    <w:rsid w:val="22212E25"/>
    <w:rsid w:val="222415FC"/>
    <w:rsid w:val="22469DCC"/>
    <w:rsid w:val="226E0A47"/>
    <w:rsid w:val="2279F497"/>
    <w:rsid w:val="22A3794F"/>
    <w:rsid w:val="22D50AC0"/>
    <w:rsid w:val="22D95148"/>
    <w:rsid w:val="22F2ACCE"/>
    <w:rsid w:val="2301AB40"/>
    <w:rsid w:val="230F2C15"/>
    <w:rsid w:val="231BCAB9"/>
    <w:rsid w:val="23219836"/>
    <w:rsid w:val="233A7A54"/>
    <w:rsid w:val="234DA3F1"/>
    <w:rsid w:val="236CAB55"/>
    <w:rsid w:val="237D2D01"/>
    <w:rsid w:val="23832D19"/>
    <w:rsid w:val="238584A0"/>
    <w:rsid w:val="2392D21C"/>
    <w:rsid w:val="23A3F6F1"/>
    <w:rsid w:val="23AF6BE5"/>
    <w:rsid w:val="23E7F3F5"/>
    <w:rsid w:val="23FDE3F1"/>
    <w:rsid w:val="23FDF5AD"/>
    <w:rsid w:val="23FF64BC"/>
    <w:rsid w:val="241FFB30"/>
    <w:rsid w:val="2450FCCE"/>
    <w:rsid w:val="2471E9D6"/>
    <w:rsid w:val="247518FC"/>
    <w:rsid w:val="24BDC4C4"/>
    <w:rsid w:val="24BED668"/>
    <w:rsid w:val="24BF6527"/>
    <w:rsid w:val="24F51E4E"/>
    <w:rsid w:val="24F7CD07"/>
    <w:rsid w:val="250BAB34"/>
    <w:rsid w:val="250BE348"/>
    <w:rsid w:val="2520B3A5"/>
    <w:rsid w:val="25679873"/>
    <w:rsid w:val="257BF7E5"/>
    <w:rsid w:val="2596BE44"/>
    <w:rsid w:val="25A2869E"/>
    <w:rsid w:val="25A4AF6B"/>
    <w:rsid w:val="25AFEFE4"/>
    <w:rsid w:val="25C10FF3"/>
    <w:rsid w:val="25CC1767"/>
    <w:rsid w:val="25D1AA4C"/>
    <w:rsid w:val="25DABD77"/>
    <w:rsid w:val="25DF9B8A"/>
    <w:rsid w:val="2601FC4A"/>
    <w:rsid w:val="26051A17"/>
    <w:rsid w:val="2613FDFB"/>
    <w:rsid w:val="261A9CDE"/>
    <w:rsid w:val="2621FB63"/>
    <w:rsid w:val="2628BD0A"/>
    <w:rsid w:val="2642237C"/>
    <w:rsid w:val="2645DD6C"/>
    <w:rsid w:val="264B4BDB"/>
    <w:rsid w:val="264D18E2"/>
    <w:rsid w:val="266BDFB3"/>
    <w:rsid w:val="2678AAB7"/>
    <w:rsid w:val="267C5C79"/>
    <w:rsid w:val="26A84238"/>
    <w:rsid w:val="26C61064"/>
    <w:rsid w:val="26C9CCB7"/>
    <w:rsid w:val="271D5C7B"/>
    <w:rsid w:val="27305971"/>
    <w:rsid w:val="273E1B5B"/>
    <w:rsid w:val="2744CD61"/>
    <w:rsid w:val="2754C2A8"/>
    <w:rsid w:val="27602AA2"/>
    <w:rsid w:val="2769FD5E"/>
    <w:rsid w:val="27722365"/>
    <w:rsid w:val="278A633D"/>
    <w:rsid w:val="27E84520"/>
    <w:rsid w:val="2813757F"/>
    <w:rsid w:val="2827E52F"/>
    <w:rsid w:val="282CE1E5"/>
    <w:rsid w:val="282E2BC7"/>
    <w:rsid w:val="28353176"/>
    <w:rsid w:val="2868DCE6"/>
    <w:rsid w:val="286CC83B"/>
    <w:rsid w:val="286EAF23"/>
    <w:rsid w:val="28968D83"/>
    <w:rsid w:val="28BA6C21"/>
    <w:rsid w:val="28D9C6DC"/>
    <w:rsid w:val="28E95CC6"/>
    <w:rsid w:val="2910AEDE"/>
    <w:rsid w:val="2925B60F"/>
    <w:rsid w:val="29300A0E"/>
    <w:rsid w:val="29662EE1"/>
    <w:rsid w:val="29668532"/>
    <w:rsid w:val="297A518D"/>
    <w:rsid w:val="29870B4C"/>
    <w:rsid w:val="29A1FDFC"/>
    <w:rsid w:val="29AABC84"/>
    <w:rsid w:val="29C91987"/>
    <w:rsid w:val="29C9753D"/>
    <w:rsid w:val="29E368B7"/>
    <w:rsid w:val="29E7C257"/>
    <w:rsid w:val="29ED23F2"/>
    <w:rsid w:val="29F052CE"/>
    <w:rsid w:val="2A077E45"/>
    <w:rsid w:val="2A16949A"/>
    <w:rsid w:val="2A367FB2"/>
    <w:rsid w:val="2A607292"/>
    <w:rsid w:val="2A6547E2"/>
    <w:rsid w:val="2A79FDE5"/>
    <w:rsid w:val="2A8257F9"/>
    <w:rsid w:val="2A8967D8"/>
    <w:rsid w:val="2A8E34B2"/>
    <w:rsid w:val="2ACA8D1D"/>
    <w:rsid w:val="2AF394C8"/>
    <w:rsid w:val="2B695395"/>
    <w:rsid w:val="2B69F9A2"/>
    <w:rsid w:val="2B8B70B1"/>
    <w:rsid w:val="2B8BEA3F"/>
    <w:rsid w:val="2B8C699E"/>
    <w:rsid w:val="2B8D821D"/>
    <w:rsid w:val="2B8FFC60"/>
    <w:rsid w:val="2BAC384B"/>
    <w:rsid w:val="2BB91AE9"/>
    <w:rsid w:val="2BD0A715"/>
    <w:rsid w:val="2BD33D23"/>
    <w:rsid w:val="2BD3F893"/>
    <w:rsid w:val="2BFEF587"/>
    <w:rsid w:val="2C0F9093"/>
    <w:rsid w:val="2C307657"/>
    <w:rsid w:val="2C5196D2"/>
    <w:rsid w:val="2C732C26"/>
    <w:rsid w:val="2C842AA9"/>
    <w:rsid w:val="2CA0E265"/>
    <w:rsid w:val="2CEB3801"/>
    <w:rsid w:val="2CF50C59"/>
    <w:rsid w:val="2CFDFED5"/>
    <w:rsid w:val="2D28A6F6"/>
    <w:rsid w:val="2D41AC1F"/>
    <w:rsid w:val="2D87CD0F"/>
    <w:rsid w:val="2D880212"/>
    <w:rsid w:val="2D8C0D88"/>
    <w:rsid w:val="2DA032C3"/>
    <w:rsid w:val="2DAAE397"/>
    <w:rsid w:val="2DB20AFC"/>
    <w:rsid w:val="2DCE67A8"/>
    <w:rsid w:val="2E1F3BAE"/>
    <w:rsid w:val="2E26E0A7"/>
    <w:rsid w:val="2E2FC2D9"/>
    <w:rsid w:val="2E3137B4"/>
    <w:rsid w:val="2E542065"/>
    <w:rsid w:val="2E5621F1"/>
    <w:rsid w:val="2E6CA504"/>
    <w:rsid w:val="2EA60866"/>
    <w:rsid w:val="2EC2C855"/>
    <w:rsid w:val="2EC6E6BC"/>
    <w:rsid w:val="2EE0089C"/>
    <w:rsid w:val="2F12A2BA"/>
    <w:rsid w:val="2F1BB58B"/>
    <w:rsid w:val="2F5FBFF9"/>
    <w:rsid w:val="2F68C513"/>
    <w:rsid w:val="2F869C4B"/>
    <w:rsid w:val="2F8CC4C7"/>
    <w:rsid w:val="2F8FF9C6"/>
    <w:rsid w:val="2FBC8359"/>
    <w:rsid w:val="2FC08A19"/>
    <w:rsid w:val="2FC4A2CE"/>
    <w:rsid w:val="2FCE1E90"/>
    <w:rsid w:val="2FE24127"/>
    <w:rsid w:val="2FF91E4C"/>
    <w:rsid w:val="300A5371"/>
    <w:rsid w:val="301E5BF1"/>
    <w:rsid w:val="30400092"/>
    <w:rsid w:val="3052CB87"/>
    <w:rsid w:val="305C07FD"/>
    <w:rsid w:val="305C8795"/>
    <w:rsid w:val="30626ADD"/>
    <w:rsid w:val="308A36B5"/>
    <w:rsid w:val="30904005"/>
    <w:rsid w:val="30C0130E"/>
    <w:rsid w:val="30E755F1"/>
    <w:rsid w:val="30F7C808"/>
    <w:rsid w:val="31034A26"/>
    <w:rsid w:val="31098BB9"/>
    <w:rsid w:val="311EEFF5"/>
    <w:rsid w:val="31290586"/>
    <w:rsid w:val="312BAA98"/>
    <w:rsid w:val="31414169"/>
    <w:rsid w:val="314E7756"/>
    <w:rsid w:val="3167E75F"/>
    <w:rsid w:val="316CEDD2"/>
    <w:rsid w:val="319097C6"/>
    <w:rsid w:val="31988483"/>
    <w:rsid w:val="31AB7956"/>
    <w:rsid w:val="31F5B626"/>
    <w:rsid w:val="32055A14"/>
    <w:rsid w:val="3220C20B"/>
    <w:rsid w:val="32278B7D"/>
    <w:rsid w:val="324A6362"/>
    <w:rsid w:val="324C4516"/>
    <w:rsid w:val="324E5711"/>
    <w:rsid w:val="3262AC6D"/>
    <w:rsid w:val="32645071"/>
    <w:rsid w:val="3269DEC2"/>
    <w:rsid w:val="3277105E"/>
    <w:rsid w:val="32866A9E"/>
    <w:rsid w:val="32B858DB"/>
    <w:rsid w:val="32EEFF6D"/>
    <w:rsid w:val="330C1AD5"/>
    <w:rsid w:val="3311E608"/>
    <w:rsid w:val="3335F342"/>
    <w:rsid w:val="333E288C"/>
    <w:rsid w:val="33491869"/>
    <w:rsid w:val="33514529"/>
    <w:rsid w:val="335DA198"/>
    <w:rsid w:val="335DF8B3"/>
    <w:rsid w:val="335FD45A"/>
    <w:rsid w:val="337F07C7"/>
    <w:rsid w:val="33DCE7D3"/>
    <w:rsid w:val="33E17D18"/>
    <w:rsid w:val="340E9015"/>
    <w:rsid w:val="3418D3BF"/>
    <w:rsid w:val="34243AF3"/>
    <w:rsid w:val="343B9DB8"/>
    <w:rsid w:val="343C8EC3"/>
    <w:rsid w:val="344F8193"/>
    <w:rsid w:val="34730338"/>
    <w:rsid w:val="34741B0C"/>
    <w:rsid w:val="3475BBC3"/>
    <w:rsid w:val="348C4317"/>
    <w:rsid w:val="34960813"/>
    <w:rsid w:val="34A06A88"/>
    <w:rsid w:val="34B7D3FE"/>
    <w:rsid w:val="34CD15A2"/>
    <w:rsid w:val="34F81646"/>
    <w:rsid w:val="35000F73"/>
    <w:rsid w:val="350F1345"/>
    <w:rsid w:val="35101148"/>
    <w:rsid w:val="351D1F68"/>
    <w:rsid w:val="35490E3D"/>
    <w:rsid w:val="35596758"/>
    <w:rsid w:val="355AB0BA"/>
    <w:rsid w:val="355DE9DD"/>
    <w:rsid w:val="3565FB20"/>
    <w:rsid w:val="3593766C"/>
    <w:rsid w:val="359F8729"/>
    <w:rsid w:val="35A7D411"/>
    <w:rsid w:val="35A9E76C"/>
    <w:rsid w:val="35AD476B"/>
    <w:rsid w:val="35CE1842"/>
    <w:rsid w:val="35CFD0B9"/>
    <w:rsid w:val="360C9552"/>
    <w:rsid w:val="3649557A"/>
    <w:rsid w:val="36552BF2"/>
    <w:rsid w:val="36740683"/>
    <w:rsid w:val="367D8B3F"/>
    <w:rsid w:val="36833EB2"/>
    <w:rsid w:val="3686F304"/>
    <w:rsid w:val="369A9F2F"/>
    <w:rsid w:val="36A6DA0B"/>
    <w:rsid w:val="36CEE121"/>
    <w:rsid w:val="36D1727F"/>
    <w:rsid w:val="36D65726"/>
    <w:rsid w:val="36D80A68"/>
    <w:rsid w:val="36DA3E5C"/>
    <w:rsid w:val="36E0C7C3"/>
    <w:rsid w:val="37040519"/>
    <w:rsid w:val="3710B333"/>
    <w:rsid w:val="371B7ED1"/>
    <w:rsid w:val="371D48F7"/>
    <w:rsid w:val="372CE827"/>
    <w:rsid w:val="373A3660"/>
    <w:rsid w:val="3747B7E5"/>
    <w:rsid w:val="376EFB11"/>
    <w:rsid w:val="376F4145"/>
    <w:rsid w:val="3776EDDC"/>
    <w:rsid w:val="377C45ED"/>
    <w:rsid w:val="379407C2"/>
    <w:rsid w:val="37974ACC"/>
    <w:rsid w:val="3798B335"/>
    <w:rsid w:val="37AC23B3"/>
    <w:rsid w:val="37ADC2DD"/>
    <w:rsid w:val="37E4D2D2"/>
    <w:rsid w:val="37EE0714"/>
    <w:rsid w:val="381FF1B0"/>
    <w:rsid w:val="382F2125"/>
    <w:rsid w:val="383BECE5"/>
    <w:rsid w:val="386217F3"/>
    <w:rsid w:val="3883BFA4"/>
    <w:rsid w:val="388D3F03"/>
    <w:rsid w:val="38B8EA77"/>
    <w:rsid w:val="38DDC43A"/>
    <w:rsid w:val="38F8C7AF"/>
    <w:rsid w:val="3902F41F"/>
    <w:rsid w:val="390CA601"/>
    <w:rsid w:val="3916A33D"/>
    <w:rsid w:val="393DCF54"/>
    <w:rsid w:val="39561C58"/>
    <w:rsid w:val="39679F30"/>
    <w:rsid w:val="39875B5D"/>
    <w:rsid w:val="398BD62E"/>
    <w:rsid w:val="3993FD14"/>
    <w:rsid w:val="3996AD5A"/>
    <w:rsid w:val="399FF048"/>
    <w:rsid w:val="39B93AE0"/>
    <w:rsid w:val="39C28660"/>
    <w:rsid w:val="39C745F7"/>
    <w:rsid w:val="39D68AC7"/>
    <w:rsid w:val="39DD4145"/>
    <w:rsid w:val="39E4A73B"/>
    <w:rsid w:val="39F6FCAC"/>
    <w:rsid w:val="3A0D4EBE"/>
    <w:rsid w:val="3A2A3A41"/>
    <w:rsid w:val="3A3EDCF9"/>
    <w:rsid w:val="3A5BC82D"/>
    <w:rsid w:val="3A6DF4CB"/>
    <w:rsid w:val="3A88D743"/>
    <w:rsid w:val="3A8AC3FB"/>
    <w:rsid w:val="3A9A616D"/>
    <w:rsid w:val="3AAABD53"/>
    <w:rsid w:val="3ACF93EC"/>
    <w:rsid w:val="3AEFE1B5"/>
    <w:rsid w:val="3AF6220D"/>
    <w:rsid w:val="3B025389"/>
    <w:rsid w:val="3B1B05BA"/>
    <w:rsid w:val="3B1BF376"/>
    <w:rsid w:val="3B2164D1"/>
    <w:rsid w:val="3B2DA870"/>
    <w:rsid w:val="3B4FDE71"/>
    <w:rsid w:val="3B58F8CF"/>
    <w:rsid w:val="3B702794"/>
    <w:rsid w:val="3B7E9BA7"/>
    <w:rsid w:val="3B8B667B"/>
    <w:rsid w:val="3B97DCC8"/>
    <w:rsid w:val="3BA775E9"/>
    <w:rsid w:val="3BCC3460"/>
    <w:rsid w:val="3BD4156F"/>
    <w:rsid w:val="3BD5667E"/>
    <w:rsid w:val="3BDA7F05"/>
    <w:rsid w:val="3BE1F73D"/>
    <w:rsid w:val="3BF887B7"/>
    <w:rsid w:val="3BFA8401"/>
    <w:rsid w:val="3BFCD79D"/>
    <w:rsid w:val="3BFE8797"/>
    <w:rsid w:val="3C0989F6"/>
    <w:rsid w:val="3C202664"/>
    <w:rsid w:val="3C2F93E6"/>
    <w:rsid w:val="3C3A4522"/>
    <w:rsid w:val="3C40D7C3"/>
    <w:rsid w:val="3C43F9F9"/>
    <w:rsid w:val="3C4A9F29"/>
    <w:rsid w:val="3C50363B"/>
    <w:rsid w:val="3C628F18"/>
    <w:rsid w:val="3C74B673"/>
    <w:rsid w:val="3C9578D3"/>
    <w:rsid w:val="3C9A946B"/>
    <w:rsid w:val="3C9D0EBF"/>
    <w:rsid w:val="3CA2D80D"/>
    <w:rsid w:val="3CA9A433"/>
    <w:rsid w:val="3CD0755A"/>
    <w:rsid w:val="3D0C1471"/>
    <w:rsid w:val="3D15870F"/>
    <w:rsid w:val="3D2095A1"/>
    <w:rsid w:val="3D38B622"/>
    <w:rsid w:val="3D5D080E"/>
    <w:rsid w:val="3D60C706"/>
    <w:rsid w:val="3D663997"/>
    <w:rsid w:val="3D7DDC73"/>
    <w:rsid w:val="3D9829C2"/>
    <w:rsid w:val="3DC71D80"/>
    <w:rsid w:val="3DDAD23E"/>
    <w:rsid w:val="3DDE454E"/>
    <w:rsid w:val="3DFE7497"/>
    <w:rsid w:val="3E2B9D47"/>
    <w:rsid w:val="3E4F0F44"/>
    <w:rsid w:val="3E67DF6C"/>
    <w:rsid w:val="3E70D677"/>
    <w:rsid w:val="3E78F933"/>
    <w:rsid w:val="3E87214C"/>
    <w:rsid w:val="3EC1595F"/>
    <w:rsid w:val="3ECA0A66"/>
    <w:rsid w:val="3ED8B51E"/>
    <w:rsid w:val="3EFA6E47"/>
    <w:rsid w:val="3F10A9C6"/>
    <w:rsid w:val="3F245ECD"/>
    <w:rsid w:val="3F3125B4"/>
    <w:rsid w:val="3F329DFD"/>
    <w:rsid w:val="3F3F4632"/>
    <w:rsid w:val="3F44A307"/>
    <w:rsid w:val="3F51B350"/>
    <w:rsid w:val="3F96E9A2"/>
    <w:rsid w:val="3F9C07D7"/>
    <w:rsid w:val="3FB0B983"/>
    <w:rsid w:val="3FBD1F0A"/>
    <w:rsid w:val="3FBE8403"/>
    <w:rsid w:val="3FC1EF87"/>
    <w:rsid w:val="3FC33282"/>
    <w:rsid w:val="3FDBB675"/>
    <w:rsid w:val="3FE9E8EC"/>
    <w:rsid w:val="3FFACC28"/>
    <w:rsid w:val="4040A5D6"/>
    <w:rsid w:val="4048C079"/>
    <w:rsid w:val="404B9EF0"/>
    <w:rsid w:val="405FC687"/>
    <w:rsid w:val="407EB481"/>
    <w:rsid w:val="408DB9DD"/>
    <w:rsid w:val="40A4EA36"/>
    <w:rsid w:val="40BAFDCA"/>
    <w:rsid w:val="40C75683"/>
    <w:rsid w:val="40E19AE1"/>
    <w:rsid w:val="40E71168"/>
    <w:rsid w:val="411DAFA2"/>
    <w:rsid w:val="4191908B"/>
    <w:rsid w:val="419AC043"/>
    <w:rsid w:val="41A62B1C"/>
    <w:rsid w:val="41BB0974"/>
    <w:rsid w:val="41C71343"/>
    <w:rsid w:val="41F7C521"/>
    <w:rsid w:val="4218B478"/>
    <w:rsid w:val="42391342"/>
    <w:rsid w:val="425ED9BA"/>
    <w:rsid w:val="4264368F"/>
    <w:rsid w:val="427A8F9C"/>
    <w:rsid w:val="4284C1DF"/>
    <w:rsid w:val="4296FD92"/>
    <w:rsid w:val="42BC37CA"/>
    <w:rsid w:val="42C25DE0"/>
    <w:rsid w:val="42F11FA1"/>
    <w:rsid w:val="42F56DB2"/>
    <w:rsid w:val="431A2E8A"/>
    <w:rsid w:val="43213A56"/>
    <w:rsid w:val="4367CB45"/>
    <w:rsid w:val="4374B97D"/>
    <w:rsid w:val="43779C7B"/>
    <w:rsid w:val="438BC882"/>
    <w:rsid w:val="43AB1589"/>
    <w:rsid w:val="43BB2D06"/>
    <w:rsid w:val="43DBC25D"/>
    <w:rsid w:val="43EF4466"/>
    <w:rsid w:val="43F03A1D"/>
    <w:rsid w:val="44051A25"/>
    <w:rsid w:val="4405EDE4"/>
    <w:rsid w:val="443168D8"/>
    <w:rsid w:val="44638395"/>
    <w:rsid w:val="446F0FDD"/>
    <w:rsid w:val="44752506"/>
    <w:rsid w:val="4481D7E9"/>
    <w:rsid w:val="44999321"/>
    <w:rsid w:val="449DAE69"/>
    <w:rsid w:val="449EA5AB"/>
    <w:rsid w:val="44A59FA0"/>
    <w:rsid w:val="44C1CAA7"/>
    <w:rsid w:val="44C272E9"/>
    <w:rsid w:val="44DF24C3"/>
    <w:rsid w:val="44E157A0"/>
    <w:rsid w:val="44F0531C"/>
    <w:rsid w:val="451D6545"/>
    <w:rsid w:val="4522C2CD"/>
    <w:rsid w:val="453D2FA7"/>
    <w:rsid w:val="45490DD2"/>
    <w:rsid w:val="454D5838"/>
    <w:rsid w:val="456A0BD8"/>
    <w:rsid w:val="45843607"/>
    <w:rsid w:val="45CE16F0"/>
    <w:rsid w:val="45D33927"/>
    <w:rsid w:val="45D9BDD2"/>
    <w:rsid w:val="462F53F5"/>
    <w:rsid w:val="464F3220"/>
    <w:rsid w:val="46628933"/>
    <w:rsid w:val="467016B0"/>
    <w:rsid w:val="467252AB"/>
    <w:rsid w:val="467479BC"/>
    <w:rsid w:val="468810E7"/>
    <w:rsid w:val="468CFB7A"/>
    <w:rsid w:val="468ECAE8"/>
    <w:rsid w:val="4693ADC6"/>
    <w:rsid w:val="46BF5A4D"/>
    <w:rsid w:val="46CCB0EB"/>
    <w:rsid w:val="46CE3625"/>
    <w:rsid w:val="46D84AF8"/>
    <w:rsid w:val="46D96699"/>
    <w:rsid w:val="46EA1A10"/>
    <w:rsid w:val="46F317A9"/>
    <w:rsid w:val="470E3549"/>
    <w:rsid w:val="471A4B77"/>
    <w:rsid w:val="472C90F8"/>
    <w:rsid w:val="4732DB7A"/>
    <w:rsid w:val="47480358"/>
    <w:rsid w:val="474872EE"/>
    <w:rsid w:val="475EEFFE"/>
    <w:rsid w:val="4794A9B7"/>
    <w:rsid w:val="47A8BF25"/>
    <w:rsid w:val="47C949B6"/>
    <w:rsid w:val="47E52ABE"/>
    <w:rsid w:val="47ED5A0E"/>
    <w:rsid w:val="47FC4289"/>
    <w:rsid w:val="4816B3D6"/>
    <w:rsid w:val="482F1CD1"/>
    <w:rsid w:val="48481F3B"/>
    <w:rsid w:val="485DB98A"/>
    <w:rsid w:val="4875341F"/>
    <w:rsid w:val="48764B49"/>
    <w:rsid w:val="48831AE6"/>
    <w:rsid w:val="48884D8E"/>
    <w:rsid w:val="48A48740"/>
    <w:rsid w:val="48A7D5C1"/>
    <w:rsid w:val="48AF45CE"/>
    <w:rsid w:val="48B617D8"/>
    <w:rsid w:val="48BCE0D1"/>
    <w:rsid w:val="48C2D256"/>
    <w:rsid w:val="48EB418B"/>
    <w:rsid w:val="48EFFEED"/>
    <w:rsid w:val="48F2234D"/>
    <w:rsid w:val="48F651F4"/>
    <w:rsid w:val="48F94CC2"/>
    <w:rsid w:val="490FD35B"/>
    <w:rsid w:val="493F57D0"/>
    <w:rsid w:val="49659219"/>
    <w:rsid w:val="49673EEC"/>
    <w:rsid w:val="497922C0"/>
    <w:rsid w:val="49793BC1"/>
    <w:rsid w:val="497E9EF0"/>
    <w:rsid w:val="499397D3"/>
    <w:rsid w:val="49DB7324"/>
    <w:rsid w:val="49E3C55E"/>
    <w:rsid w:val="4A0552F8"/>
    <w:rsid w:val="4A078FB9"/>
    <w:rsid w:val="4A12C81E"/>
    <w:rsid w:val="4A31C1EC"/>
    <w:rsid w:val="4A3E60C4"/>
    <w:rsid w:val="4A4D3742"/>
    <w:rsid w:val="4A4F7216"/>
    <w:rsid w:val="4A61A727"/>
    <w:rsid w:val="4AA71071"/>
    <w:rsid w:val="4AB4716B"/>
    <w:rsid w:val="4AB6A31F"/>
    <w:rsid w:val="4AC590EA"/>
    <w:rsid w:val="4AFA34E8"/>
    <w:rsid w:val="4B08762C"/>
    <w:rsid w:val="4B0A0767"/>
    <w:rsid w:val="4B0AD136"/>
    <w:rsid w:val="4B313071"/>
    <w:rsid w:val="4B3D1FF9"/>
    <w:rsid w:val="4B4C57C8"/>
    <w:rsid w:val="4B50462E"/>
    <w:rsid w:val="4B58D3AE"/>
    <w:rsid w:val="4B66350C"/>
    <w:rsid w:val="4B69507A"/>
    <w:rsid w:val="4B81DBD0"/>
    <w:rsid w:val="4B888D4B"/>
    <w:rsid w:val="4B8D2404"/>
    <w:rsid w:val="4B9A81DA"/>
    <w:rsid w:val="4BC9589A"/>
    <w:rsid w:val="4BD06083"/>
    <w:rsid w:val="4BD1FC22"/>
    <w:rsid w:val="4BD353CF"/>
    <w:rsid w:val="4C129041"/>
    <w:rsid w:val="4C1E1EE6"/>
    <w:rsid w:val="4C1F4FDB"/>
    <w:rsid w:val="4C37D7B8"/>
    <w:rsid w:val="4C3A5A27"/>
    <w:rsid w:val="4C41FF79"/>
    <w:rsid w:val="4C42A760"/>
    <w:rsid w:val="4C467E79"/>
    <w:rsid w:val="4C7BF901"/>
    <w:rsid w:val="4C94FE52"/>
    <w:rsid w:val="4CD6086A"/>
    <w:rsid w:val="4CE46228"/>
    <w:rsid w:val="4CE8539C"/>
    <w:rsid w:val="4D03F73F"/>
    <w:rsid w:val="4D2DD3FF"/>
    <w:rsid w:val="4D419352"/>
    <w:rsid w:val="4D4C4779"/>
    <w:rsid w:val="4D639DC4"/>
    <w:rsid w:val="4D724230"/>
    <w:rsid w:val="4D769731"/>
    <w:rsid w:val="4D7ED8EE"/>
    <w:rsid w:val="4D8AD088"/>
    <w:rsid w:val="4D9EDFCD"/>
    <w:rsid w:val="4DE3E8A6"/>
    <w:rsid w:val="4DE60748"/>
    <w:rsid w:val="4DF1EDC0"/>
    <w:rsid w:val="4DF84741"/>
    <w:rsid w:val="4DFACA5D"/>
    <w:rsid w:val="4DFEC9E8"/>
    <w:rsid w:val="4E29C2E8"/>
    <w:rsid w:val="4E2ABE9A"/>
    <w:rsid w:val="4E35B164"/>
    <w:rsid w:val="4E3FA700"/>
    <w:rsid w:val="4E556A26"/>
    <w:rsid w:val="4E604AE9"/>
    <w:rsid w:val="4E67C859"/>
    <w:rsid w:val="4E6B933E"/>
    <w:rsid w:val="4E8AE1B2"/>
    <w:rsid w:val="4E93A538"/>
    <w:rsid w:val="4EBCCEE7"/>
    <w:rsid w:val="4EC2A99F"/>
    <w:rsid w:val="4ED7F6AB"/>
    <w:rsid w:val="4EF40794"/>
    <w:rsid w:val="4EF70689"/>
    <w:rsid w:val="4F218C9B"/>
    <w:rsid w:val="4F4F6EF9"/>
    <w:rsid w:val="4F573A17"/>
    <w:rsid w:val="4F5C61BA"/>
    <w:rsid w:val="4F991659"/>
    <w:rsid w:val="4FB5E022"/>
    <w:rsid w:val="4FC87127"/>
    <w:rsid w:val="4FCF3CC1"/>
    <w:rsid w:val="4FD45996"/>
    <w:rsid w:val="4FE46E35"/>
    <w:rsid w:val="4FF30C69"/>
    <w:rsid w:val="50221169"/>
    <w:rsid w:val="5027CC6C"/>
    <w:rsid w:val="50342931"/>
    <w:rsid w:val="5044B52C"/>
    <w:rsid w:val="504D1746"/>
    <w:rsid w:val="50513500"/>
    <w:rsid w:val="5070B1F1"/>
    <w:rsid w:val="50966000"/>
    <w:rsid w:val="50AE8EFD"/>
    <w:rsid w:val="50AFEB60"/>
    <w:rsid w:val="50CA0168"/>
    <w:rsid w:val="50D12937"/>
    <w:rsid w:val="50D262BF"/>
    <w:rsid w:val="50D84264"/>
    <w:rsid w:val="50E7840A"/>
    <w:rsid w:val="50F4D0CA"/>
    <w:rsid w:val="5108B7CE"/>
    <w:rsid w:val="511109A1"/>
    <w:rsid w:val="5112CC5F"/>
    <w:rsid w:val="511D6777"/>
    <w:rsid w:val="513DD2FF"/>
    <w:rsid w:val="513E5357"/>
    <w:rsid w:val="514B4FEC"/>
    <w:rsid w:val="514C3F9E"/>
    <w:rsid w:val="51597BDB"/>
    <w:rsid w:val="516D6087"/>
    <w:rsid w:val="517D73CA"/>
    <w:rsid w:val="51957558"/>
    <w:rsid w:val="51BE5551"/>
    <w:rsid w:val="51FE2270"/>
    <w:rsid w:val="52084E87"/>
    <w:rsid w:val="523055F6"/>
    <w:rsid w:val="523AE878"/>
    <w:rsid w:val="524E3AED"/>
    <w:rsid w:val="5251ADB0"/>
    <w:rsid w:val="527F47F3"/>
    <w:rsid w:val="5293295F"/>
    <w:rsid w:val="529D0440"/>
    <w:rsid w:val="52A078DE"/>
    <w:rsid w:val="52B25A70"/>
    <w:rsid w:val="52D07BFA"/>
    <w:rsid w:val="52E7F4EB"/>
    <w:rsid w:val="52F857F2"/>
    <w:rsid w:val="52FFE0F0"/>
    <w:rsid w:val="53008834"/>
    <w:rsid w:val="530D1980"/>
    <w:rsid w:val="531B01C8"/>
    <w:rsid w:val="53477CC5"/>
    <w:rsid w:val="53485220"/>
    <w:rsid w:val="53EFA841"/>
    <w:rsid w:val="54114EEB"/>
    <w:rsid w:val="541B3D98"/>
    <w:rsid w:val="54646C5F"/>
    <w:rsid w:val="5490A632"/>
    <w:rsid w:val="549853EA"/>
    <w:rsid w:val="54AD417D"/>
    <w:rsid w:val="54B13566"/>
    <w:rsid w:val="54BB34F6"/>
    <w:rsid w:val="54D349A5"/>
    <w:rsid w:val="54D3838A"/>
    <w:rsid w:val="54F81242"/>
    <w:rsid w:val="550EDCBF"/>
    <w:rsid w:val="5514F4B2"/>
    <w:rsid w:val="5515D286"/>
    <w:rsid w:val="5545F51E"/>
    <w:rsid w:val="555CF6CC"/>
    <w:rsid w:val="5564A023"/>
    <w:rsid w:val="556C5510"/>
    <w:rsid w:val="557D965B"/>
    <w:rsid w:val="558DAAE1"/>
    <w:rsid w:val="55A4B638"/>
    <w:rsid w:val="55A57BBE"/>
    <w:rsid w:val="55ACF68F"/>
    <w:rsid w:val="55D7C205"/>
    <w:rsid w:val="55DEF325"/>
    <w:rsid w:val="55E87B8F"/>
    <w:rsid w:val="561A249F"/>
    <w:rsid w:val="561BD7BA"/>
    <w:rsid w:val="5622998D"/>
    <w:rsid w:val="565F79BA"/>
    <w:rsid w:val="566ED251"/>
    <w:rsid w:val="5686278D"/>
    <w:rsid w:val="56A014D3"/>
    <w:rsid w:val="56A04843"/>
    <w:rsid w:val="56A5498F"/>
    <w:rsid w:val="56A924D9"/>
    <w:rsid w:val="56C8653B"/>
    <w:rsid w:val="56E527CE"/>
    <w:rsid w:val="56FDEA17"/>
    <w:rsid w:val="57013548"/>
    <w:rsid w:val="57168606"/>
    <w:rsid w:val="574A191C"/>
    <w:rsid w:val="574EADAF"/>
    <w:rsid w:val="57622091"/>
    <w:rsid w:val="5762D208"/>
    <w:rsid w:val="579440E6"/>
    <w:rsid w:val="579F7EB0"/>
    <w:rsid w:val="57B108FE"/>
    <w:rsid w:val="57B1167F"/>
    <w:rsid w:val="57B48C80"/>
    <w:rsid w:val="57DA2B07"/>
    <w:rsid w:val="57E0BF06"/>
    <w:rsid w:val="580AD131"/>
    <w:rsid w:val="580DD4CE"/>
    <w:rsid w:val="5816A6E0"/>
    <w:rsid w:val="581E0702"/>
    <w:rsid w:val="5839DD98"/>
    <w:rsid w:val="584BB778"/>
    <w:rsid w:val="584DF66A"/>
    <w:rsid w:val="584F4F97"/>
    <w:rsid w:val="58508FF1"/>
    <w:rsid w:val="5854AD63"/>
    <w:rsid w:val="586A71D9"/>
    <w:rsid w:val="5870D0DB"/>
    <w:rsid w:val="587588A3"/>
    <w:rsid w:val="58ABD99A"/>
    <w:rsid w:val="58B98FF8"/>
    <w:rsid w:val="58C22DA3"/>
    <w:rsid w:val="58C4187A"/>
    <w:rsid w:val="58CC6350"/>
    <w:rsid w:val="58D07DF0"/>
    <w:rsid w:val="58D5C16D"/>
    <w:rsid w:val="58DD32A9"/>
    <w:rsid w:val="58F736FE"/>
    <w:rsid w:val="58F7600B"/>
    <w:rsid w:val="58FFA780"/>
    <w:rsid w:val="59070D21"/>
    <w:rsid w:val="591B76D5"/>
    <w:rsid w:val="5925D564"/>
    <w:rsid w:val="59308A14"/>
    <w:rsid w:val="594C932D"/>
    <w:rsid w:val="5967E561"/>
    <w:rsid w:val="5968CAF9"/>
    <w:rsid w:val="597B2532"/>
    <w:rsid w:val="599108A3"/>
    <w:rsid w:val="59CCF6BC"/>
    <w:rsid w:val="59CDB3B5"/>
    <w:rsid w:val="59DD9BCC"/>
    <w:rsid w:val="59E70147"/>
    <w:rsid w:val="59F1FE85"/>
    <w:rsid w:val="59F3DD86"/>
    <w:rsid w:val="5A1F9886"/>
    <w:rsid w:val="5A2C4C69"/>
    <w:rsid w:val="5A4C0FDE"/>
    <w:rsid w:val="5A6948EF"/>
    <w:rsid w:val="5A750AFE"/>
    <w:rsid w:val="5A8B9F72"/>
    <w:rsid w:val="5A8FBD80"/>
    <w:rsid w:val="5A902FBC"/>
    <w:rsid w:val="5A9F3E5B"/>
    <w:rsid w:val="5AA6796B"/>
    <w:rsid w:val="5AAB178A"/>
    <w:rsid w:val="5AB02C5E"/>
    <w:rsid w:val="5ABD00D7"/>
    <w:rsid w:val="5ADB5B15"/>
    <w:rsid w:val="5AFA6DEE"/>
    <w:rsid w:val="5B0712DA"/>
    <w:rsid w:val="5B0760C8"/>
    <w:rsid w:val="5B0AC7FD"/>
    <w:rsid w:val="5B0BC3AF"/>
    <w:rsid w:val="5B0ED0EC"/>
    <w:rsid w:val="5B2E5F65"/>
    <w:rsid w:val="5B3FF63F"/>
    <w:rsid w:val="5B75FD0F"/>
    <w:rsid w:val="5BD1C053"/>
    <w:rsid w:val="5BDE9611"/>
    <w:rsid w:val="5BF95D53"/>
    <w:rsid w:val="5C01FDB9"/>
    <w:rsid w:val="5C07EC75"/>
    <w:rsid w:val="5C1D1036"/>
    <w:rsid w:val="5C241986"/>
    <w:rsid w:val="5C43D6E1"/>
    <w:rsid w:val="5C820A1C"/>
    <w:rsid w:val="5CB121DA"/>
    <w:rsid w:val="5CB58384"/>
    <w:rsid w:val="5CC14621"/>
    <w:rsid w:val="5CC443BA"/>
    <w:rsid w:val="5CCECFB3"/>
    <w:rsid w:val="5CD587E0"/>
    <w:rsid w:val="5CDA3ED1"/>
    <w:rsid w:val="5CEA87A0"/>
    <w:rsid w:val="5D07A307"/>
    <w:rsid w:val="5D09CC25"/>
    <w:rsid w:val="5D230672"/>
    <w:rsid w:val="5D5036C5"/>
    <w:rsid w:val="5D5DA784"/>
    <w:rsid w:val="5D6A04DF"/>
    <w:rsid w:val="5D7376BC"/>
    <w:rsid w:val="5D8A8626"/>
    <w:rsid w:val="5D95ED07"/>
    <w:rsid w:val="5DAC06CF"/>
    <w:rsid w:val="5DAC5ABD"/>
    <w:rsid w:val="5DC8D071"/>
    <w:rsid w:val="5DD23667"/>
    <w:rsid w:val="5DDA4675"/>
    <w:rsid w:val="5DF3743E"/>
    <w:rsid w:val="5E0BF2C1"/>
    <w:rsid w:val="5E3D28E7"/>
    <w:rsid w:val="5E4C047B"/>
    <w:rsid w:val="5E5E2457"/>
    <w:rsid w:val="5E630ED5"/>
    <w:rsid w:val="5E680FC6"/>
    <w:rsid w:val="5E6D7967"/>
    <w:rsid w:val="5E6F575A"/>
    <w:rsid w:val="5E8075D9"/>
    <w:rsid w:val="5E93C779"/>
    <w:rsid w:val="5E9AB6C9"/>
    <w:rsid w:val="5EBCD10A"/>
    <w:rsid w:val="5EDC0308"/>
    <w:rsid w:val="5EEF8AA8"/>
    <w:rsid w:val="5EFCDD56"/>
    <w:rsid w:val="5F1083FC"/>
    <w:rsid w:val="5F1495C3"/>
    <w:rsid w:val="5F33E645"/>
    <w:rsid w:val="5F55EA80"/>
    <w:rsid w:val="5F5CF189"/>
    <w:rsid w:val="5F68EA43"/>
    <w:rsid w:val="5F706CBD"/>
    <w:rsid w:val="5F978703"/>
    <w:rsid w:val="5F9C3F53"/>
    <w:rsid w:val="5FA02BC2"/>
    <w:rsid w:val="5FAE0814"/>
    <w:rsid w:val="5FAFB591"/>
    <w:rsid w:val="5FFB69E6"/>
    <w:rsid w:val="6019828B"/>
    <w:rsid w:val="60309CB2"/>
    <w:rsid w:val="6034A95E"/>
    <w:rsid w:val="608C1476"/>
    <w:rsid w:val="60930672"/>
    <w:rsid w:val="609F2BD0"/>
    <w:rsid w:val="60ACEB89"/>
    <w:rsid w:val="60C9E226"/>
    <w:rsid w:val="60CF9E33"/>
    <w:rsid w:val="60E3B0F0"/>
    <w:rsid w:val="6103DB3F"/>
    <w:rsid w:val="611900F2"/>
    <w:rsid w:val="61328837"/>
    <w:rsid w:val="614CF1E1"/>
    <w:rsid w:val="616B9038"/>
    <w:rsid w:val="616F3319"/>
    <w:rsid w:val="6177D9E3"/>
    <w:rsid w:val="61886364"/>
    <w:rsid w:val="618EE63D"/>
    <w:rsid w:val="61A989E3"/>
    <w:rsid w:val="61C2A4B8"/>
    <w:rsid w:val="61D72915"/>
    <w:rsid w:val="61D7E378"/>
    <w:rsid w:val="61DBF77A"/>
    <w:rsid w:val="61F6218E"/>
    <w:rsid w:val="621419B7"/>
    <w:rsid w:val="621816D2"/>
    <w:rsid w:val="622E5035"/>
    <w:rsid w:val="623C8706"/>
    <w:rsid w:val="625EBDFE"/>
    <w:rsid w:val="625F8075"/>
    <w:rsid w:val="62628482"/>
    <w:rsid w:val="6264BDD6"/>
    <w:rsid w:val="626B12F7"/>
    <w:rsid w:val="626F9DD7"/>
    <w:rsid w:val="629D6B31"/>
    <w:rsid w:val="62A3EAF7"/>
    <w:rsid w:val="62B3F0D5"/>
    <w:rsid w:val="62C7A807"/>
    <w:rsid w:val="62F43745"/>
    <w:rsid w:val="630271BE"/>
    <w:rsid w:val="630CD0E1"/>
    <w:rsid w:val="630F6D74"/>
    <w:rsid w:val="632AD99A"/>
    <w:rsid w:val="632C6101"/>
    <w:rsid w:val="63477250"/>
    <w:rsid w:val="636D0663"/>
    <w:rsid w:val="63718E4A"/>
    <w:rsid w:val="6381E606"/>
    <w:rsid w:val="63AC2F09"/>
    <w:rsid w:val="63B15A08"/>
    <w:rsid w:val="63BBD8FC"/>
    <w:rsid w:val="63D66496"/>
    <w:rsid w:val="63E4F3C7"/>
    <w:rsid w:val="63E6B86F"/>
    <w:rsid w:val="640CD39C"/>
    <w:rsid w:val="64111B87"/>
    <w:rsid w:val="644A6203"/>
    <w:rsid w:val="64C598D6"/>
    <w:rsid w:val="64DE9446"/>
    <w:rsid w:val="64F2D8AE"/>
    <w:rsid w:val="64F52DDB"/>
    <w:rsid w:val="6502C801"/>
    <w:rsid w:val="6507A5E4"/>
    <w:rsid w:val="6519484D"/>
    <w:rsid w:val="651F7C9A"/>
    <w:rsid w:val="652E596D"/>
    <w:rsid w:val="65A9F692"/>
    <w:rsid w:val="65C6A6BE"/>
    <w:rsid w:val="65F76C84"/>
    <w:rsid w:val="663800D9"/>
    <w:rsid w:val="66427568"/>
    <w:rsid w:val="6657299C"/>
    <w:rsid w:val="665C49AF"/>
    <w:rsid w:val="667F98FA"/>
    <w:rsid w:val="6687B264"/>
    <w:rsid w:val="668FB47B"/>
    <w:rsid w:val="66B0BE6F"/>
    <w:rsid w:val="671DDCE0"/>
    <w:rsid w:val="672EADAB"/>
    <w:rsid w:val="67329408"/>
    <w:rsid w:val="6763D13D"/>
    <w:rsid w:val="67981F4A"/>
    <w:rsid w:val="67A8B053"/>
    <w:rsid w:val="67CA5424"/>
    <w:rsid w:val="67FE35B7"/>
    <w:rsid w:val="68062E15"/>
    <w:rsid w:val="68078308"/>
    <w:rsid w:val="6811808C"/>
    <w:rsid w:val="6812849F"/>
    <w:rsid w:val="683451DB"/>
    <w:rsid w:val="68410B1D"/>
    <w:rsid w:val="685F386A"/>
    <w:rsid w:val="687E9AC4"/>
    <w:rsid w:val="68893A26"/>
    <w:rsid w:val="68B3A84B"/>
    <w:rsid w:val="68BE08C8"/>
    <w:rsid w:val="68C24418"/>
    <w:rsid w:val="68DE7026"/>
    <w:rsid w:val="68E6E760"/>
    <w:rsid w:val="68EFE6C9"/>
    <w:rsid w:val="68FB0121"/>
    <w:rsid w:val="6903AE37"/>
    <w:rsid w:val="6916A4C5"/>
    <w:rsid w:val="6917FFB2"/>
    <w:rsid w:val="692A2802"/>
    <w:rsid w:val="692DFA61"/>
    <w:rsid w:val="6971131A"/>
    <w:rsid w:val="697586CB"/>
    <w:rsid w:val="699B5E4C"/>
    <w:rsid w:val="69AA78DC"/>
    <w:rsid w:val="69ACC7BA"/>
    <w:rsid w:val="69BA4599"/>
    <w:rsid w:val="69C352F6"/>
    <w:rsid w:val="69D1F35A"/>
    <w:rsid w:val="69D28C5C"/>
    <w:rsid w:val="69D7A10F"/>
    <w:rsid w:val="69DE4523"/>
    <w:rsid w:val="69E1C267"/>
    <w:rsid w:val="69E40CD1"/>
    <w:rsid w:val="6A207E5A"/>
    <w:rsid w:val="6A2BBBD6"/>
    <w:rsid w:val="6A2D74D3"/>
    <w:rsid w:val="6A659128"/>
    <w:rsid w:val="6A91C449"/>
    <w:rsid w:val="6A9994FC"/>
    <w:rsid w:val="6AA52E7A"/>
    <w:rsid w:val="6AA7D5A8"/>
    <w:rsid w:val="6AAB06EE"/>
    <w:rsid w:val="6AB1124C"/>
    <w:rsid w:val="6B0DB13B"/>
    <w:rsid w:val="6B1983B4"/>
    <w:rsid w:val="6B30A63E"/>
    <w:rsid w:val="6B570590"/>
    <w:rsid w:val="6B5C704D"/>
    <w:rsid w:val="6B79EB4B"/>
    <w:rsid w:val="6B811031"/>
    <w:rsid w:val="6B864517"/>
    <w:rsid w:val="6B8750B5"/>
    <w:rsid w:val="6B8E8B29"/>
    <w:rsid w:val="6B92FEA0"/>
    <w:rsid w:val="6B978DC7"/>
    <w:rsid w:val="6BCF9D75"/>
    <w:rsid w:val="6BE23A0C"/>
    <w:rsid w:val="6BE89C7F"/>
    <w:rsid w:val="6C027F16"/>
    <w:rsid w:val="6C47EBCD"/>
    <w:rsid w:val="6C4D2B79"/>
    <w:rsid w:val="6C4E6618"/>
    <w:rsid w:val="6C71A46C"/>
    <w:rsid w:val="6C8DFE47"/>
    <w:rsid w:val="6C9A2871"/>
    <w:rsid w:val="6CA76AE4"/>
    <w:rsid w:val="6CB3D1F1"/>
    <w:rsid w:val="6CE00D92"/>
    <w:rsid w:val="6CE841DC"/>
    <w:rsid w:val="6CF85AA0"/>
    <w:rsid w:val="6CFFEDBE"/>
    <w:rsid w:val="6D2C8685"/>
    <w:rsid w:val="6D4AB999"/>
    <w:rsid w:val="6D4D7C86"/>
    <w:rsid w:val="6D5F7868"/>
    <w:rsid w:val="6D68A634"/>
    <w:rsid w:val="6D6C5134"/>
    <w:rsid w:val="6D6FF9ED"/>
    <w:rsid w:val="6DA6F0C8"/>
    <w:rsid w:val="6DA80E4D"/>
    <w:rsid w:val="6DB38D89"/>
    <w:rsid w:val="6DD27D88"/>
    <w:rsid w:val="6DE93523"/>
    <w:rsid w:val="6DECC870"/>
    <w:rsid w:val="6E1567A9"/>
    <w:rsid w:val="6E42E136"/>
    <w:rsid w:val="6E50EFE2"/>
    <w:rsid w:val="6E684F63"/>
    <w:rsid w:val="6E7BE1DD"/>
    <w:rsid w:val="6E954ADA"/>
    <w:rsid w:val="6EB79B55"/>
    <w:rsid w:val="6ECC350A"/>
    <w:rsid w:val="6ECC5279"/>
    <w:rsid w:val="6EF6F298"/>
    <w:rsid w:val="6F19AD7B"/>
    <w:rsid w:val="6F38975E"/>
    <w:rsid w:val="6F4597F5"/>
    <w:rsid w:val="6F614058"/>
    <w:rsid w:val="6F6342F9"/>
    <w:rsid w:val="6F6F207C"/>
    <w:rsid w:val="6FAA0615"/>
    <w:rsid w:val="6FAADFC9"/>
    <w:rsid w:val="6FCB6B7E"/>
    <w:rsid w:val="6FCC15F3"/>
    <w:rsid w:val="6FDC6F7D"/>
    <w:rsid w:val="6FF3D4C6"/>
    <w:rsid w:val="6FF67178"/>
    <w:rsid w:val="6FFFA093"/>
    <w:rsid w:val="700B88C7"/>
    <w:rsid w:val="70253185"/>
    <w:rsid w:val="7039EB0A"/>
    <w:rsid w:val="703C0187"/>
    <w:rsid w:val="704ED82F"/>
    <w:rsid w:val="70511A8A"/>
    <w:rsid w:val="7080B6CB"/>
    <w:rsid w:val="70BC628F"/>
    <w:rsid w:val="70C0D926"/>
    <w:rsid w:val="70D41262"/>
    <w:rsid w:val="7103F198"/>
    <w:rsid w:val="711B499C"/>
    <w:rsid w:val="714BA642"/>
    <w:rsid w:val="714C193F"/>
    <w:rsid w:val="71505D6D"/>
    <w:rsid w:val="7163D9A6"/>
    <w:rsid w:val="716D9CF1"/>
    <w:rsid w:val="71C0A96C"/>
    <w:rsid w:val="71CEA04A"/>
    <w:rsid w:val="71F8D3D4"/>
    <w:rsid w:val="721AF279"/>
    <w:rsid w:val="7230DCD0"/>
    <w:rsid w:val="723EBE08"/>
    <w:rsid w:val="723F0038"/>
    <w:rsid w:val="725279DA"/>
    <w:rsid w:val="725772FD"/>
    <w:rsid w:val="726FF185"/>
    <w:rsid w:val="72850E1D"/>
    <w:rsid w:val="72EAC14A"/>
    <w:rsid w:val="72FB9957"/>
    <w:rsid w:val="7323FB63"/>
    <w:rsid w:val="7344F8D5"/>
    <w:rsid w:val="734D8490"/>
    <w:rsid w:val="73542657"/>
    <w:rsid w:val="736338EC"/>
    <w:rsid w:val="73645DB3"/>
    <w:rsid w:val="737C810E"/>
    <w:rsid w:val="737FAFBF"/>
    <w:rsid w:val="73877D7C"/>
    <w:rsid w:val="73889F9A"/>
    <w:rsid w:val="7394A4E0"/>
    <w:rsid w:val="73DAC2B2"/>
    <w:rsid w:val="73DF2025"/>
    <w:rsid w:val="74212165"/>
    <w:rsid w:val="74549811"/>
    <w:rsid w:val="748EF7F8"/>
    <w:rsid w:val="74B730E9"/>
    <w:rsid w:val="74CF9F4A"/>
    <w:rsid w:val="7507A590"/>
    <w:rsid w:val="751DC840"/>
    <w:rsid w:val="75228A2D"/>
    <w:rsid w:val="75264CE9"/>
    <w:rsid w:val="7531FFA2"/>
    <w:rsid w:val="7536EA6E"/>
    <w:rsid w:val="753A3AE6"/>
    <w:rsid w:val="753FEF0B"/>
    <w:rsid w:val="75625056"/>
    <w:rsid w:val="7585B02A"/>
    <w:rsid w:val="7586F463"/>
    <w:rsid w:val="75A13031"/>
    <w:rsid w:val="75B6819B"/>
    <w:rsid w:val="75CD4C18"/>
    <w:rsid w:val="75D26F90"/>
    <w:rsid w:val="75E9B46A"/>
    <w:rsid w:val="75F856F8"/>
    <w:rsid w:val="761324F4"/>
    <w:rsid w:val="761401CE"/>
    <w:rsid w:val="761E2A01"/>
    <w:rsid w:val="7664651E"/>
    <w:rsid w:val="766DBE05"/>
    <w:rsid w:val="7691CA17"/>
    <w:rsid w:val="769F8F8F"/>
    <w:rsid w:val="76BB44C6"/>
    <w:rsid w:val="76C3A1F1"/>
    <w:rsid w:val="76D7119D"/>
    <w:rsid w:val="76E180E8"/>
    <w:rsid w:val="76E735A0"/>
    <w:rsid w:val="76EB6F12"/>
    <w:rsid w:val="76EE0A3B"/>
    <w:rsid w:val="76F8C157"/>
    <w:rsid w:val="76FA032C"/>
    <w:rsid w:val="770327E5"/>
    <w:rsid w:val="770D4304"/>
    <w:rsid w:val="770F15E2"/>
    <w:rsid w:val="771500E5"/>
    <w:rsid w:val="7717E691"/>
    <w:rsid w:val="77370EC9"/>
    <w:rsid w:val="7754ECB0"/>
    <w:rsid w:val="77623FAB"/>
    <w:rsid w:val="7792CD08"/>
    <w:rsid w:val="779B71A7"/>
    <w:rsid w:val="77AFD22D"/>
    <w:rsid w:val="77B8EE68"/>
    <w:rsid w:val="77C9743A"/>
    <w:rsid w:val="77E20156"/>
    <w:rsid w:val="77E45B79"/>
    <w:rsid w:val="78022A85"/>
    <w:rsid w:val="78118BC3"/>
    <w:rsid w:val="7819DDD8"/>
    <w:rsid w:val="78236AB0"/>
    <w:rsid w:val="78552715"/>
    <w:rsid w:val="785BFA2A"/>
    <w:rsid w:val="785D8A67"/>
    <w:rsid w:val="7868F80C"/>
    <w:rsid w:val="786EC0B7"/>
    <w:rsid w:val="786F2067"/>
    <w:rsid w:val="7882BE60"/>
    <w:rsid w:val="78EFA2CC"/>
    <w:rsid w:val="78EFC75E"/>
    <w:rsid w:val="78F059B2"/>
    <w:rsid w:val="79031225"/>
    <w:rsid w:val="790C4BBB"/>
    <w:rsid w:val="791D8857"/>
    <w:rsid w:val="79503669"/>
    <w:rsid w:val="795F0CE0"/>
    <w:rsid w:val="7985DAD2"/>
    <w:rsid w:val="79A9AC80"/>
    <w:rsid w:val="79B2CC89"/>
    <w:rsid w:val="79B7612A"/>
    <w:rsid w:val="79B8583C"/>
    <w:rsid w:val="79F9AE4A"/>
    <w:rsid w:val="7A0DE3CC"/>
    <w:rsid w:val="7A13D7C5"/>
    <w:rsid w:val="7A234015"/>
    <w:rsid w:val="7A282B96"/>
    <w:rsid w:val="7A30F6E0"/>
    <w:rsid w:val="7A482B69"/>
    <w:rsid w:val="7A53E2C7"/>
    <w:rsid w:val="7A776EBC"/>
    <w:rsid w:val="7A77ED9E"/>
    <w:rsid w:val="7A973E7C"/>
    <w:rsid w:val="7AA7A5AD"/>
    <w:rsid w:val="7ABEE36F"/>
    <w:rsid w:val="7AD2B55F"/>
    <w:rsid w:val="7AD37C9C"/>
    <w:rsid w:val="7AFCD9CE"/>
    <w:rsid w:val="7AFFEAC8"/>
    <w:rsid w:val="7B08EB20"/>
    <w:rsid w:val="7B1ADD32"/>
    <w:rsid w:val="7B1B4733"/>
    <w:rsid w:val="7B26222E"/>
    <w:rsid w:val="7B30D840"/>
    <w:rsid w:val="7B38E1F9"/>
    <w:rsid w:val="7B5186EC"/>
    <w:rsid w:val="7B5279A2"/>
    <w:rsid w:val="7B53ACE0"/>
    <w:rsid w:val="7B56A496"/>
    <w:rsid w:val="7B5A4FAD"/>
    <w:rsid w:val="7B5CF57D"/>
    <w:rsid w:val="7B64E08C"/>
    <w:rsid w:val="7B6DF3B6"/>
    <w:rsid w:val="7B8E5B6E"/>
    <w:rsid w:val="7BF050D8"/>
    <w:rsid w:val="7BF9EF8B"/>
    <w:rsid w:val="7C05B516"/>
    <w:rsid w:val="7C0DEC90"/>
    <w:rsid w:val="7C2353D0"/>
    <w:rsid w:val="7C27C882"/>
    <w:rsid w:val="7C2F1B7A"/>
    <w:rsid w:val="7C335B2D"/>
    <w:rsid w:val="7C58985A"/>
    <w:rsid w:val="7C9E120F"/>
    <w:rsid w:val="7CB9212C"/>
    <w:rsid w:val="7CC98CA6"/>
    <w:rsid w:val="7CFB8A13"/>
    <w:rsid w:val="7CFEFF2A"/>
    <w:rsid w:val="7D1F5261"/>
    <w:rsid w:val="7D4684FB"/>
    <w:rsid w:val="7D4AA799"/>
    <w:rsid w:val="7D687E2A"/>
    <w:rsid w:val="7D6C5B3F"/>
    <w:rsid w:val="7D7247F6"/>
    <w:rsid w:val="7D7D0B39"/>
    <w:rsid w:val="7D816A5A"/>
    <w:rsid w:val="7D84BE4B"/>
    <w:rsid w:val="7D8A2F30"/>
    <w:rsid w:val="7D94920A"/>
    <w:rsid w:val="7DA6A08D"/>
    <w:rsid w:val="7DB4F242"/>
    <w:rsid w:val="7DBBB4E8"/>
    <w:rsid w:val="7DF36AF8"/>
    <w:rsid w:val="7E14FE1C"/>
    <w:rsid w:val="7E1A8015"/>
    <w:rsid w:val="7E25327F"/>
    <w:rsid w:val="7E3BEEAC"/>
    <w:rsid w:val="7E5D7B5C"/>
    <w:rsid w:val="7E85DECA"/>
    <w:rsid w:val="7E922C4B"/>
    <w:rsid w:val="7E9DA696"/>
    <w:rsid w:val="7EC9CE34"/>
    <w:rsid w:val="7EE9736C"/>
    <w:rsid w:val="7F07EECC"/>
    <w:rsid w:val="7F12259A"/>
    <w:rsid w:val="7F15A744"/>
    <w:rsid w:val="7F23FDED"/>
    <w:rsid w:val="7F2BCB5F"/>
    <w:rsid w:val="7F2CF717"/>
    <w:rsid w:val="7F3D1123"/>
    <w:rsid w:val="7F4406C7"/>
    <w:rsid w:val="7F62538E"/>
    <w:rsid w:val="7F6BB361"/>
    <w:rsid w:val="7F70C322"/>
    <w:rsid w:val="7F7680F0"/>
    <w:rsid w:val="7F7D14DC"/>
    <w:rsid w:val="7F897C7B"/>
    <w:rsid w:val="7FAA60E6"/>
    <w:rsid w:val="7FAE4CB3"/>
    <w:rsid w:val="7FBB805D"/>
    <w:rsid w:val="7FBCD8E8"/>
    <w:rsid w:val="7FC3492D"/>
    <w:rsid w:val="7FDCE91C"/>
    <w:rsid w:val="7FEA8385"/>
    <w:rsid w:val="7FF264B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7454D5A"/>
  <w15:chartTrackingRefBased/>
  <w15:docId w15:val="{2397A44A-65F7-42C4-9A14-1FDAA9A4D7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1" w:qFormat="1"/>
    <w:lsdException w:name="heading 3" w:uiPriority="1" w:qFormat="1"/>
    <w:lsdException w:name="heading 4" w:uiPriority="0" w:qFormat="1"/>
    <w:lsdException w:name="heading 5" w:uiPriority="9" w:qFormat="1"/>
    <w:lsdException w:name="heading 6" w:semiHidden="1" w:uiPriority="9" w:qFormat="1"/>
    <w:lsdException w:name="heading 7" w:semiHidden="1" w:uiPriority="9" w:qFormat="1"/>
    <w:lsdException w:name="heading 8" w:semiHidden="1" w:uiPriority="9" w:qFormat="1"/>
    <w:lsdException w:name="heading 9" w:uiPriority="12"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semiHidden="1" w:uiPriority="39" w:unhideWhenUsed="1"/>
    <w:lsdException w:name="toc 8" w:uiPriority="39"/>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uiPriority="0" w:qFormat="1"/>
    <w:lsdException w:name="List Number" w:uiPriority="0" w:qFormat="1"/>
    <w:lsdException w:name="List 2" w:semiHidden="1" w:unhideWhenUsed="1"/>
    <w:lsdException w:name="List 3" w:semiHidden="1" w:unhideWhenUsed="1"/>
    <w:lsdException w:name="List 4" w:semiHidden="1" w:unhideWhenUsed="1"/>
    <w:lsdException w:name="List 5" w:semiHidden="1" w:unhideWhenUsed="1"/>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Strong" w:semiHidden="1" w:uiPriority="22" w:qFormat="1"/>
    <w:lsdException w:name="Emphasis" w:semiHidden="1"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6910"/>
    <w:pPr>
      <w:spacing w:after="120" w:line="252" w:lineRule="auto"/>
    </w:pPr>
  </w:style>
  <w:style w:type="paragraph" w:styleId="Heading1">
    <w:name w:val="heading 1"/>
    <w:next w:val="BodyText"/>
    <w:link w:val="Heading1Char"/>
    <w:uiPriority w:val="9"/>
    <w:qFormat/>
    <w:rsid w:val="00DC0A5A"/>
    <w:pPr>
      <w:keepNext/>
      <w:keepLines/>
      <w:spacing w:before="120" w:after="120" w:line="240" w:lineRule="auto"/>
      <w:outlineLvl w:val="0"/>
    </w:pPr>
    <w:rPr>
      <w:rFonts w:asciiTheme="majorHAnsi" w:eastAsiaTheme="majorEastAsia" w:hAnsiTheme="majorHAnsi" w:cstheme="majorBidi"/>
      <w:color w:val="51247A" w:themeColor="accent1"/>
      <w:sz w:val="32"/>
      <w:szCs w:val="32"/>
    </w:rPr>
  </w:style>
  <w:style w:type="paragraph" w:styleId="Heading2">
    <w:name w:val="heading 2"/>
    <w:basedOn w:val="Heading1"/>
    <w:next w:val="BodyText"/>
    <w:link w:val="Heading2Char"/>
    <w:uiPriority w:val="1"/>
    <w:qFormat/>
    <w:rsid w:val="00DC0A5A"/>
    <w:pPr>
      <w:spacing w:before="240"/>
      <w:outlineLvl w:val="1"/>
    </w:pPr>
    <w:rPr>
      <w:b/>
      <w:sz w:val="24"/>
      <w:szCs w:val="26"/>
    </w:rPr>
  </w:style>
  <w:style w:type="paragraph" w:styleId="Heading3">
    <w:name w:val="heading 3"/>
    <w:basedOn w:val="Normal"/>
    <w:next w:val="BodyText"/>
    <w:link w:val="Heading3Char"/>
    <w:uiPriority w:val="1"/>
    <w:qFormat/>
    <w:rsid w:val="00944DDB"/>
    <w:pPr>
      <w:keepNext/>
      <w:keepLines/>
      <w:spacing w:before="240"/>
      <w:outlineLvl w:val="2"/>
    </w:pPr>
    <w:rPr>
      <w:rFonts w:asciiTheme="majorHAnsi" w:eastAsiaTheme="majorEastAsia" w:hAnsiTheme="majorHAnsi" w:cstheme="majorBidi"/>
      <w:color w:val="51247A" w:themeColor="accent1"/>
      <w:sz w:val="24"/>
      <w:szCs w:val="24"/>
    </w:rPr>
  </w:style>
  <w:style w:type="paragraph" w:styleId="Heading4">
    <w:name w:val="heading 4"/>
    <w:basedOn w:val="Normal"/>
    <w:next w:val="BodyText"/>
    <w:link w:val="Heading4Char"/>
    <w:qFormat/>
    <w:rsid w:val="00944DDB"/>
    <w:pPr>
      <w:keepNext/>
      <w:keepLines/>
      <w:spacing w:before="240"/>
      <w:outlineLvl w:val="3"/>
    </w:pPr>
    <w:rPr>
      <w:rFonts w:asciiTheme="majorHAnsi" w:eastAsiaTheme="majorEastAsia" w:hAnsiTheme="majorHAnsi" w:cstheme="majorBidi"/>
      <w:b/>
      <w:iCs/>
      <w:color w:val="51247A" w:themeColor="accent1"/>
    </w:rPr>
  </w:style>
  <w:style w:type="paragraph" w:styleId="Heading5">
    <w:name w:val="heading 5"/>
    <w:basedOn w:val="Normal"/>
    <w:next w:val="BodyText"/>
    <w:link w:val="Heading5Char"/>
    <w:uiPriority w:val="9"/>
    <w:qFormat/>
    <w:rsid w:val="00944DDB"/>
    <w:pPr>
      <w:keepNext/>
      <w:keepLines/>
      <w:spacing w:before="240"/>
      <w:outlineLvl w:val="4"/>
    </w:pPr>
    <w:rPr>
      <w:rFonts w:asciiTheme="majorHAnsi" w:eastAsiaTheme="majorEastAsia" w:hAnsiTheme="majorHAnsi" w:cstheme="majorBidi"/>
      <w:i/>
      <w:color w:val="51247A" w:themeColor="accent1"/>
    </w:rPr>
  </w:style>
  <w:style w:type="paragraph" w:styleId="Heading6">
    <w:name w:val="heading 6"/>
    <w:basedOn w:val="Normal"/>
    <w:next w:val="Normal"/>
    <w:link w:val="Heading6Char"/>
    <w:uiPriority w:val="9"/>
    <w:unhideWhenUsed/>
    <w:qFormat/>
    <w:rsid w:val="00712C92"/>
    <w:pPr>
      <w:keepNext/>
      <w:autoSpaceDE w:val="0"/>
      <w:autoSpaceDN w:val="0"/>
      <w:adjustRightInd w:val="0"/>
      <w:spacing w:before="120" w:after="180" w:line="276" w:lineRule="auto"/>
      <w:ind w:left="1152" w:hanging="432"/>
      <w:jc w:val="both"/>
      <w:outlineLvl w:val="5"/>
    </w:pPr>
    <w:rPr>
      <w:rFonts w:ascii="Times New Roman" w:eastAsia="Times New Roman" w:hAnsi="Times New Roman" w:cs="Times New Roman"/>
      <w:b/>
      <w:color w:val="000000"/>
      <w:sz w:val="24"/>
      <w:szCs w:val="24"/>
      <w:lang w:eastAsia="en-AU"/>
    </w:rPr>
  </w:style>
  <w:style w:type="paragraph" w:styleId="Heading7">
    <w:name w:val="heading 7"/>
    <w:basedOn w:val="Normal"/>
    <w:next w:val="Normal"/>
    <w:link w:val="Heading7Char"/>
    <w:uiPriority w:val="9"/>
    <w:semiHidden/>
    <w:unhideWhenUsed/>
    <w:qFormat/>
    <w:rsid w:val="00712C92"/>
    <w:pPr>
      <w:keepNext/>
      <w:keepLines/>
      <w:widowControl w:val="0"/>
      <w:spacing w:before="200" w:after="0" w:line="240" w:lineRule="auto"/>
      <w:ind w:left="1296" w:hanging="1296"/>
      <w:outlineLvl w:val="6"/>
    </w:pPr>
    <w:rPr>
      <w:rFonts w:asciiTheme="majorHAnsi" w:eastAsiaTheme="majorEastAsia" w:hAnsiTheme="majorHAnsi" w:cstheme="majorBidi"/>
      <w:i/>
      <w:iCs/>
      <w:color w:val="404040" w:themeColor="text1" w:themeTint="BF"/>
      <w:sz w:val="20"/>
      <w:szCs w:val="24"/>
      <w:lang w:eastAsia="en-AU"/>
    </w:rPr>
  </w:style>
  <w:style w:type="paragraph" w:styleId="Heading8">
    <w:name w:val="heading 8"/>
    <w:basedOn w:val="Normal"/>
    <w:next w:val="Normal"/>
    <w:link w:val="Heading8Char"/>
    <w:uiPriority w:val="9"/>
    <w:semiHidden/>
    <w:unhideWhenUsed/>
    <w:qFormat/>
    <w:rsid w:val="00712C92"/>
    <w:pPr>
      <w:keepNext/>
      <w:keepLines/>
      <w:widowControl w:val="0"/>
      <w:spacing w:before="200" w:after="0" w:line="240" w:lineRule="auto"/>
      <w:ind w:left="1440" w:hanging="1440"/>
      <w:outlineLvl w:val="7"/>
    </w:pPr>
    <w:rPr>
      <w:rFonts w:asciiTheme="majorHAnsi" w:eastAsiaTheme="majorEastAsia" w:hAnsiTheme="majorHAnsi" w:cstheme="majorBidi"/>
      <w:color w:val="51247A" w:themeColor="accent1"/>
      <w:sz w:val="20"/>
      <w:szCs w:val="20"/>
      <w:lang w:eastAsia="en-AU"/>
    </w:rPr>
  </w:style>
  <w:style w:type="paragraph" w:styleId="Heading9">
    <w:name w:val="heading 9"/>
    <w:aliases w:val="Appendix H11"/>
    <w:basedOn w:val="Normal"/>
    <w:next w:val="BodyText"/>
    <w:link w:val="Heading9Char"/>
    <w:uiPriority w:val="12"/>
    <w:qFormat/>
    <w:rsid w:val="00613DEA"/>
    <w:pPr>
      <w:pageBreakBefore/>
      <w:outlineLvl w:val="8"/>
    </w:pPr>
    <w:rPr>
      <w:b/>
      <w:iCs/>
      <w:color w:val="51247A" w:themeColor="accent1"/>
      <w:sz w:val="3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Text Numbered,Recommendation,List Paragraph1,Report subheading,Bullet point,List Paragraph11,Bullet,Tabletext,NFP GP Bulleted List,FooterText,numbered,Paragraphe de liste1,Bulletr List Paragraph,列出段落,列出段落1,List Paragraph2,Body text,L"/>
    <w:basedOn w:val="BodyText"/>
    <w:link w:val="ListParagraphChar"/>
    <w:uiPriority w:val="34"/>
    <w:qFormat/>
    <w:rsid w:val="005E7363"/>
    <w:pPr>
      <w:ind w:left="425"/>
    </w:pPr>
  </w:style>
  <w:style w:type="paragraph" w:customStyle="1" w:styleId="ListParagraph2">
    <w:name w:val="List Paragraph 2"/>
    <w:basedOn w:val="ListParagraph"/>
    <w:uiPriority w:val="19"/>
    <w:rsid w:val="005E7363"/>
    <w:pPr>
      <w:numPr>
        <w:ilvl w:val="1"/>
      </w:numPr>
      <w:ind w:left="425"/>
    </w:pPr>
  </w:style>
  <w:style w:type="paragraph" w:customStyle="1" w:styleId="ListParagraph3">
    <w:name w:val="List Paragraph 3"/>
    <w:basedOn w:val="ListParagraph"/>
    <w:uiPriority w:val="19"/>
    <w:rsid w:val="005E7363"/>
    <w:pPr>
      <w:numPr>
        <w:ilvl w:val="2"/>
      </w:numPr>
      <w:ind w:left="425"/>
    </w:pPr>
  </w:style>
  <w:style w:type="paragraph" w:customStyle="1" w:styleId="ListParagraph4">
    <w:name w:val="List Paragraph 4"/>
    <w:basedOn w:val="ListParagraph"/>
    <w:uiPriority w:val="19"/>
    <w:rsid w:val="005E7363"/>
    <w:pPr>
      <w:numPr>
        <w:ilvl w:val="3"/>
      </w:numPr>
      <w:ind w:left="425"/>
    </w:pPr>
  </w:style>
  <w:style w:type="paragraph" w:customStyle="1" w:styleId="ListParagraph5">
    <w:name w:val="List Paragraph 5"/>
    <w:basedOn w:val="ListParagraph"/>
    <w:uiPriority w:val="19"/>
    <w:rsid w:val="005E7363"/>
    <w:pPr>
      <w:numPr>
        <w:ilvl w:val="4"/>
      </w:numPr>
      <w:ind w:left="425"/>
    </w:pPr>
  </w:style>
  <w:style w:type="character" w:customStyle="1" w:styleId="Heading1Char">
    <w:name w:val="Heading 1 Char"/>
    <w:basedOn w:val="DefaultParagraphFont"/>
    <w:link w:val="Heading1"/>
    <w:uiPriority w:val="9"/>
    <w:rsid w:val="00DC0A5A"/>
    <w:rPr>
      <w:rFonts w:asciiTheme="majorHAnsi" w:eastAsiaTheme="majorEastAsia" w:hAnsiTheme="majorHAnsi" w:cstheme="majorBidi"/>
      <w:color w:val="51247A" w:themeColor="accent1"/>
      <w:sz w:val="32"/>
      <w:szCs w:val="32"/>
    </w:rPr>
  </w:style>
  <w:style w:type="paragraph" w:customStyle="1" w:styleId="NbrHeading1">
    <w:name w:val="Nbr Heading 1"/>
    <w:basedOn w:val="Heading1"/>
    <w:next w:val="BodyText"/>
    <w:link w:val="NbrHeading1Char"/>
    <w:uiPriority w:val="1"/>
    <w:qFormat/>
    <w:rsid w:val="005C6E0D"/>
    <w:pPr>
      <w:numPr>
        <w:numId w:val="6"/>
      </w:numPr>
      <w:spacing w:before="240"/>
    </w:pPr>
    <w:rPr>
      <w:rFonts w:eastAsia="Times New Roman"/>
      <w:lang w:eastAsia="en-AU"/>
    </w:rPr>
  </w:style>
  <w:style w:type="character" w:customStyle="1" w:styleId="Heading2Char">
    <w:name w:val="Heading 2 Char"/>
    <w:basedOn w:val="DefaultParagraphFont"/>
    <w:link w:val="Heading2"/>
    <w:uiPriority w:val="1"/>
    <w:rsid w:val="00DC0A5A"/>
    <w:rPr>
      <w:rFonts w:asciiTheme="majorHAnsi" w:eastAsiaTheme="majorEastAsia" w:hAnsiTheme="majorHAnsi" w:cstheme="majorBidi"/>
      <w:b/>
      <w:color w:val="51247A" w:themeColor="accent1"/>
      <w:sz w:val="24"/>
      <w:szCs w:val="26"/>
    </w:rPr>
  </w:style>
  <w:style w:type="paragraph" w:customStyle="1" w:styleId="NbrHeading2">
    <w:name w:val="Nbr Heading 2"/>
    <w:basedOn w:val="Heading2"/>
    <w:next w:val="BodyText"/>
    <w:uiPriority w:val="1"/>
    <w:qFormat/>
    <w:rsid w:val="001E2197"/>
    <w:pPr>
      <w:numPr>
        <w:ilvl w:val="1"/>
        <w:numId w:val="6"/>
      </w:numPr>
      <w:spacing w:before="360" w:after="60"/>
    </w:pPr>
    <w:rPr>
      <w:rFonts w:eastAsia="Times New Roman"/>
      <w:lang w:eastAsia="en-AU"/>
    </w:rPr>
  </w:style>
  <w:style w:type="character" w:customStyle="1" w:styleId="Heading3Char">
    <w:name w:val="Heading 3 Char"/>
    <w:basedOn w:val="DefaultParagraphFont"/>
    <w:link w:val="Heading3"/>
    <w:uiPriority w:val="1"/>
    <w:rsid w:val="00944DDB"/>
    <w:rPr>
      <w:rFonts w:asciiTheme="majorHAnsi" w:eastAsiaTheme="majorEastAsia" w:hAnsiTheme="majorHAnsi" w:cstheme="majorBidi"/>
      <w:color w:val="51247A" w:themeColor="accent1"/>
      <w:sz w:val="24"/>
      <w:szCs w:val="24"/>
    </w:rPr>
  </w:style>
  <w:style w:type="paragraph" w:customStyle="1" w:styleId="NbrHeading3">
    <w:name w:val="Nbr Heading 3"/>
    <w:basedOn w:val="Heading3"/>
    <w:next w:val="BodyText"/>
    <w:uiPriority w:val="1"/>
    <w:qFormat/>
    <w:rsid w:val="00CA238E"/>
    <w:pPr>
      <w:numPr>
        <w:ilvl w:val="2"/>
        <w:numId w:val="6"/>
      </w:numPr>
      <w:ind w:left="1134"/>
    </w:pPr>
    <w:rPr>
      <w:rFonts w:eastAsia="Times New Roman"/>
      <w:bCs/>
      <w:iCs/>
      <w:lang w:eastAsia="en-AU"/>
    </w:rPr>
  </w:style>
  <w:style w:type="character" w:customStyle="1" w:styleId="Heading4Char">
    <w:name w:val="Heading 4 Char"/>
    <w:basedOn w:val="DefaultParagraphFont"/>
    <w:link w:val="Heading4"/>
    <w:rsid w:val="00944DDB"/>
    <w:rPr>
      <w:rFonts w:asciiTheme="majorHAnsi" w:eastAsiaTheme="majorEastAsia" w:hAnsiTheme="majorHAnsi" w:cstheme="majorBidi"/>
      <w:b/>
      <w:iCs/>
      <w:color w:val="51247A" w:themeColor="accent1"/>
    </w:rPr>
  </w:style>
  <w:style w:type="paragraph" w:customStyle="1" w:styleId="NbrHeading4">
    <w:name w:val="Nbr Heading 4"/>
    <w:basedOn w:val="Heading4"/>
    <w:next w:val="BodyText"/>
    <w:uiPriority w:val="1"/>
    <w:qFormat/>
    <w:rsid w:val="00621C4B"/>
    <w:pPr>
      <w:numPr>
        <w:ilvl w:val="3"/>
        <w:numId w:val="6"/>
      </w:numPr>
      <w:tabs>
        <w:tab w:val="clear" w:pos="2977"/>
        <w:tab w:val="left" w:pos="1134"/>
      </w:tabs>
      <w:ind w:left="1134"/>
    </w:pPr>
    <w:rPr>
      <w:rFonts w:eastAsia="Times New Roman"/>
      <w:sz w:val="20"/>
      <w:szCs w:val="20"/>
      <w:lang w:eastAsia="en-AU"/>
    </w:rPr>
  </w:style>
  <w:style w:type="character" w:customStyle="1" w:styleId="Heading5Char">
    <w:name w:val="Heading 5 Char"/>
    <w:basedOn w:val="DefaultParagraphFont"/>
    <w:link w:val="Heading5"/>
    <w:uiPriority w:val="9"/>
    <w:rsid w:val="00944DDB"/>
    <w:rPr>
      <w:rFonts w:asciiTheme="majorHAnsi" w:eastAsiaTheme="majorEastAsia" w:hAnsiTheme="majorHAnsi" w:cstheme="majorBidi"/>
      <w:i/>
      <w:color w:val="51247A" w:themeColor="accent1"/>
    </w:rPr>
  </w:style>
  <w:style w:type="paragraph" w:customStyle="1" w:styleId="NbrHeading5">
    <w:name w:val="Nbr Heading 5"/>
    <w:basedOn w:val="Heading5"/>
    <w:next w:val="BodyText"/>
    <w:uiPriority w:val="1"/>
    <w:qFormat/>
    <w:rsid w:val="000A687F"/>
    <w:pPr>
      <w:numPr>
        <w:ilvl w:val="4"/>
        <w:numId w:val="6"/>
      </w:numPr>
    </w:pPr>
    <w:rPr>
      <w:rFonts w:eastAsia="Times New Roman"/>
      <w:i w:val="0"/>
      <w:sz w:val="20"/>
      <w:szCs w:val="20"/>
      <w:lang w:eastAsia="en-AU"/>
    </w:rPr>
  </w:style>
  <w:style w:type="paragraph" w:styleId="Caption">
    <w:name w:val="caption"/>
    <w:basedOn w:val="Normal"/>
    <w:next w:val="FigureStyle"/>
    <w:uiPriority w:val="35"/>
    <w:qFormat/>
    <w:rsid w:val="006601C3"/>
    <w:pPr>
      <w:keepNext/>
      <w:tabs>
        <w:tab w:val="left" w:pos="1134"/>
      </w:tabs>
      <w:spacing w:before="240"/>
      <w:ind w:left="1134" w:hanging="1134"/>
    </w:pPr>
    <w:rPr>
      <w:b/>
      <w:iCs/>
      <w:color w:val="44546A" w:themeColor="text2"/>
      <w:sz w:val="20"/>
      <w:szCs w:val="18"/>
    </w:rPr>
  </w:style>
  <w:style w:type="paragraph" w:customStyle="1" w:styleId="TableCaption">
    <w:name w:val="Table Caption"/>
    <w:basedOn w:val="BodyText"/>
    <w:next w:val="BodyText"/>
    <w:uiPriority w:val="6"/>
    <w:qFormat/>
    <w:rsid w:val="00416FF4"/>
    <w:pPr>
      <w:keepNext/>
      <w:tabs>
        <w:tab w:val="left" w:pos="1134"/>
      </w:tabs>
      <w:spacing w:before="240"/>
      <w:ind w:left="1134" w:hanging="1134"/>
    </w:pPr>
    <w:rPr>
      <w:i/>
      <w:color w:val="44546A" w:themeColor="text2"/>
    </w:rPr>
  </w:style>
  <w:style w:type="character" w:styleId="PlaceholderText">
    <w:name w:val="Placeholder Text"/>
    <w:basedOn w:val="DefaultParagraphFont"/>
    <w:uiPriority w:val="99"/>
    <w:semiHidden/>
    <w:rsid w:val="00834296"/>
    <w:rPr>
      <w:color w:val="808080"/>
    </w:rPr>
  </w:style>
  <w:style w:type="paragraph" w:styleId="BodyText">
    <w:name w:val="Body Text"/>
    <w:basedOn w:val="Normal"/>
    <w:link w:val="BodyTextChar"/>
    <w:qFormat/>
    <w:rsid w:val="006601C3"/>
    <w:pPr>
      <w:spacing w:before="120" w:line="240" w:lineRule="auto"/>
    </w:pPr>
  </w:style>
  <w:style w:type="character" w:customStyle="1" w:styleId="BodyTextChar">
    <w:name w:val="Body Text Char"/>
    <w:basedOn w:val="DefaultParagraphFont"/>
    <w:link w:val="BodyText"/>
    <w:rsid w:val="006601C3"/>
  </w:style>
  <w:style w:type="paragraph" w:customStyle="1" w:styleId="FigureStyle">
    <w:name w:val="Figure Style"/>
    <w:basedOn w:val="Normal"/>
    <w:next w:val="BodyText"/>
    <w:uiPriority w:val="6"/>
    <w:qFormat/>
    <w:rsid w:val="00834296"/>
    <w:pPr>
      <w:spacing w:before="120" w:after="240"/>
      <w:jc w:val="center"/>
    </w:pPr>
  </w:style>
  <w:style w:type="paragraph" w:styleId="ListBullet">
    <w:name w:val="List Bullet"/>
    <w:basedOn w:val="BodyText"/>
    <w:qFormat/>
    <w:rsid w:val="001E544B"/>
    <w:pPr>
      <w:numPr>
        <w:numId w:val="9"/>
      </w:numPr>
    </w:pPr>
  </w:style>
  <w:style w:type="numbering" w:customStyle="1" w:styleId="ListBullet0">
    <w:name w:val="List_Bullet"/>
    <w:uiPriority w:val="99"/>
    <w:rsid w:val="001E544B"/>
    <w:pPr>
      <w:numPr>
        <w:numId w:val="2"/>
      </w:numPr>
    </w:pPr>
  </w:style>
  <w:style w:type="paragraph" w:customStyle="1" w:styleId="ListBullet6">
    <w:name w:val="List Bullet 6"/>
    <w:basedOn w:val="ListBullet"/>
    <w:uiPriority w:val="19"/>
    <w:rsid w:val="006C0E44"/>
    <w:pPr>
      <w:numPr>
        <w:ilvl w:val="5"/>
      </w:numPr>
    </w:pPr>
  </w:style>
  <w:style w:type="paragraph" w:styleId="ListBullet2">
    <w:name w:val="List Bullet 2"/>
    <w:basedOn w:val="ListBullet"/>
    <w:rsid w:val="006C0E44"/>
    <w:pPr>
      <w:numPr>
        <w:ilvl w:val="1"/>
      </w:numPr>
    </w:pPr>
  </w:style>
  <w:style w:type="paragraph" w:styleId="ListBullet3">
    <w:name w:val="List Bullet 3"/>
    <w:basedOn w:val="ListBullet"/>
    <w:rsid w:val="006C0E44"/>
    <w:pPr>
      <w:numPr>
        <w:ilvl w:val="2"/>
      </w:numPr>
    </w:pPr>
  </w:style>
  <w:style w:type="paragraph" w:styleId="ListBullet4">
    <w:name w:val="List Bullet 4"/>
    <w:basedOn w:val="ListBullet"/>
    <w:rsid w:val="006C0E44"/>
    <w:pPr>
      <w:numPr>
        <w:ilvl w:val="3"/>
      </w:numPr>
    </w:pPr>
  </w:style>
  <w:style w:type="paragraph" w:styleId="ListBullet5">
    <w:name w:val="List Bullet 5"/>
    <w:basedOn w:val="ListBullet"/>
    <w:rsid w:val="006C0E44"/>
    <w:pPr>
      <w:numPr>
        <w:ilvl w:val="4"/>
      </w:numPr>
    </w:pPr>
  </w:style>
  <w:style w:type="paragraph" w:styleId="ListNumber">
    <w:name w:val="List Number"/>
    <w:basedOn w:val="BodyText"/>
    <w:qFormat/>
    <w:rsid w:val="00834296"/>
    <w:pPr>
      <w:numPr>
        <w:numId w:val="1"/>
      </w:numPr>
    </w:pPr>
  </w:style>
  <w:style w:type="paragraph" w:customStyle="1" w:styleId="ListNumber6">
    <w:name w:val="List Number 6"/>
    <w:basedOn w:val="ListNumber"/>
    <w:uiPriority w:val="19"/>
    <w:rsid w:val="00834296"/>
    <w:pPr>
      <w:numPr>
        <w:ilvl w:val="5"/>
      </w:numPr>
    </w:pPr>
  </w:style>
  <w:style w:type="paragraph" w:customStyle="1" w:styleId="ListParagraph6">
    <w:name w:val="List Paragraph 6"/>
    <w:basedOn w:val="ListParagraph"/>
    <w:uiPriority w:val="19"/>
    <w:rsid w:val="005E7363"/>
    <w:pPr>
      <w:numPr>
        <w:ilvl w:val="5"/>
      </w:numPr>
      <w:ind w:left="425"/>
    </w:pPr>
  </w:style>
  <w:style w:type="paragraph" w:styleId="ListNumber2">
    <w:name w:val="List Number 2"/>
    <w:basedOn w:val="ListNumber"/>
    <w:rsid w:val="00834296"/>
    <w:pPr>
      <w:numPr>
        <w:ilvl w:val="1"/>
      </w:numPr>
    </w:pPr>
  </w:style>
  <w:style w:type="paragraph" w:styleId="ListNumber3">
    <w:name w:val="List Number 3"/>
    <w:basedOn w:val="ListNumber"/>
    <w:rsid w:val="00834296"/>
    <w:pPr>
      <w:numPr>
        <w:ilvl w:val="2"/>
      </w:numPr>
    </w:pPr>
  </w:style>
  <w:style w:type="paragraph" w:styleId="ListNumber4">
    <w:name w:val="List Number 4"/>
    <w:basedOn w:val="ListNumber"/>
    <w:rsid w:val="00834296"/>
    <w:pPr>
      <w:numPr>
        <w:ilvl w:val="3"/>
      </w:numPr>
    </w:pPr>
  </w:style>
  <w:style w:type="paragraph" w:styleId="ListNumber5">
    <w:name w:val="List Number 5"/>
    <w:basedOn w:val="ListNumber"/>
    <w:rsid w:val="00834296"/>
    <w:pPr>
      <w:numPr>
        <w:ilvl w:val="4"/>
      </w:numPr>
    </w:pPr>
  </w:style>
  <w:style w:type="numbering" w:customStyle="1" w:styleId="ListNumber0">
    <w:name w:val="List_Number"/>
    <w:uiPriority w:val="99"/>
    <w:rsid w:val="00834296"/>
    <w:pPr>
      <w:numPr>
        <w:numId w:val="48"/>
      </w:numPr>
    </w:pPr>
  </w:style>
  <w:style w:type="paragraph" w:customStyle="1" w:styleId="ListAlpha0">
    <w:name w:val="List Alpha"/>
    <w:basedOn w:val="BodyText"/>
    <w:uiPriority w:val="2"/>
    <w:qFormat/>
    <w:rsid w:val="007C38B8"/>
  </w:style>
  <w:style w:type="paragraph" w:customStyle="1" w:styleId="ListAlpha2">
    <w:name w:val="List Alpha 2"/>
    <w:basedOn w:val="ListAlpha0"/>
    <w:uiPriority w:val="19"/>
    <w:rsid w:val="007C38B8"/>
    <w:pPr>
      <w:numPr>
        <w:ilvl w:val="1"/>
      </w:numPr>
    </w:pPr>
  </w:style>
  <w:style w:type="paragraph" w:customStyle="1" w:styleId="ListAlpha3">
    <w:name w:val="List Alpha 3"/>
    <w:basedOn w:val="ListAlpha0"/>
    <w:uiPriority w:val="19"/>
    <w:rsid w:val="007C38B8"/>
    <w:pPr>
      <w:numPr>
        <w:ilvl w:val="2"/>
      </w:numPr>
    </w:pPr>
  </w:style>
  <w:style w:type="paragraph" w:customStyle="1" w:styleId="ListAlpha4">
    <w:name w:val="List Alpha 4"/>
    <w:basedOn w:val="ListAlpha0"/>
    <w:uiPriority w:val="19"/>
    <w:rsid w:val="007C38B8"/>
    <w:pPr>
      <w:numPr>
        <w:ilvl w:val="3"/>
      </w:numPr>
    </w:pPr>
  </w:style>
  <w:style w:type="paragraph" w:customStyle="1" w:styleId="ListAlpha5">
    <w:name w:val="List Alpha 5"/>
    <w:basedOn w:val="ListAlpha0"/>
    <w:uiPriority w:val="19"/>
    <w:rsid w:val="007C38B8"/>
    <w:pPr>
      <w:numPr>
        <w:ilvl w:val="4"/>
      </w:numPr>
    </w:pPr>
  </w:style>
  <w:style w:type="paragraph" w:customStyle="1" w:styleId="ListAlpha6">
    <w:name w:val="List Alpha 6"/>
    <w:basedOn w:val="ListAlpha0"/>
    <w:uiPriority w:val="19"/>
    <w:rsid w:val="007C38B8"/>
    <w:pPr>
      <w:numPr>
        <w:ilvl w:val="5"/>
      </w:numPr>
    </w:pPr>
  </w:style>
  <w:style w:type="numbering" w:customStyle="1" w:styleId="ListAlpha">
    <w:name w:val="List_Alpha"/>
    <w:uiPriority w:val="99"/>
    <w:rsid w:val="007C38B8"/>
    <w:pPr>
      <w:numPr>
        <w:numId w:val="4"/>
      </w:numPr>
    </w:pPr>
  </w:style>
  <w:style w:type="numbering" w:customStyle="1" w:styleId="ListNbrHeading">
    <w:name w:val="List_NbrHeading"/>
    <w:uiPriority w:val="99"/>
    <w:rsid w:val="005E7363"/>
    <w:pPr>
      <w:numPr>
        <w:numId w:val="6"/>
      </w:numPr>
    </w:pPr>
  </w:style>
  <w:style w:type="paragraph" w:styleId="Title">
    <w:name w:val="Title"/>
    <w:basedOn w:val="Normal"/>
    <w:next w:val="BodyText"/>
    <w:link w:val="TitleChar"/>
    <w:qFormat/>
    <w:rsid w:val="005D4250"/>
    <w:rPr>
      <w:rFonts w:asciiTheme="majorHAnsi" w:eastAsiaTheme="majorEastAsia" w:hAnsiTheme="majorHAnsi" w:cstheme="majorBidi"/>
      <w:b/>
      <w:color w:val="51247A" w:themeColor="accent1"/>
      <w:sz w:val="72"/>
      <w:szCs w:val="56"/>
    </w:rPr>
  </w:style>
  <w:style w:type="character" w:customStyle="1" w:styleId="TitleChar">
    <w:name w:val="Title Char"/>
    <w:basedOn w:val="DefaultParagraphFont"/>
    <w:link w:val="Title"/>
    <w:rsid w:val="005D4250"/>
    <w:rPr>
      <w:rFonts w:asciiTheme="majorHAnsi" w:eastAsiaTheme="majorEastAsia" w:hAnsiTheme="majorHAnsi" w:cstheme="majorBidi"/>
      <w:b/>
      <w:color w:val="51247A" w:themeColor="accent1"/>
      <w:sz w:val="72"/>
      <w:szCs w:val="56"/>
    </w:rPr>
  </w:style>
  <w:style w:type="paragraph" w:styleId="Subtitle">
    <w:name w:val="Subtitle"/>
    <w:basedOn w:val="Normal"/>
    <w:next w:val="BodyText"/>
    <w:link w:val="SubtitleChar"/>
    <w:uiPriority w:val="11"/>
    <w:qFormat/>
    <w:rsid w:val="005D4250"/>
    <w:pPr>
      <w:numPr>
        <w:ilvl w:val="1"/>
      </w:numPr>
    </w:pPr>
    <w:rPr>
      <w:rFonts w:eastAsiaTheme="minorEastAsia"/>
      <w:color w:val="51247A" w:themeColor="accent1"/>
      <w:sz w:val="28"/>
    </w:rPr>
  </w:style>
  <w:style w:type="character" w:customStyle="1" w:styleId="SubtitleChar">
    <w:name w:val="Subtitle Char"/>
    <w:basedOn w:val="DefaultParagraphFont"/>
    <w:link w:val="Subtitle"/>
    <w:uiPriority w:val="11"/>
    <w:rsid w:val="005D4250"/>
    <w:rPr>
      <w:rFonts w:eastAsiaTheme="minorEastAsia"/>
      <w:color w:val="51247A" w:themeColor="accent1"/>
      <w:sz w:val="28"/>
    </w:rPr>
  </w:style>
  <w:style w:type="paragraph" w:styleId="TOCHeading">
    <w:name w:val="TOC Heading"/>
    <w:basedOn w:val="Normal"/>
    <w:next w:val="Normal"/>
    <w:uiPriority w:val="39"/>
    <w:qFormat/>
    <w:rsid w:val="00C474B7"/>
    <w:pPr>
      <w:spacing w:before="360" w:after="240"/>
    </w:pPr>
    <w:rPr>
      <w:color w:val="51247A" w:themeColor="accent1"/>
      <w:sz w:val="36"/>
    </w:rPr>
  </w:style>
  <w:style w:type="paragraph" w:styleId="TOC4">
    <w:name w:val="toc 4"/>
    <w:basedOn w:val="TOC1"/>
    <w:next w:val="Normal"/>
    <w:uiPriority w:val="39"/>
    <w:rsid w:val="00670B05"/>
    <w:pPr>
      <w:tabs>
        <w:tab w:val="left" w:pos="851"/>
      </w:tabs>
      <w:ind w:left="851" w:hanging="851"/>
    </w:pPr>
  </w:style>
  <w:style w:type="paragraph" w:styleId="TOC5">
    <w:name w:val="toc 5"/>
    <w:basedOn w:val="TOC2"/>
    <w:next w:val="Normal"/>
    <w:uiPriority w:val="39"/>
    <w:rsid w:val="005E55A2"/>
    <w:pPr>
      <w:tabs>
        <w:tab w:val="left" w:pos="851"/>
      </w:tabs>
      <w:ind w:left="1021" w:hanging="851"/>
    </w:pPr>
  </w:style>
  <w:style w:type="paragraph" w:styleId="TOC1">
    <w:name w:val="toc 1"/>
    <w:basedOn w:val="Normal"/>
    <w:next w:val="Normal"/>
    <w:uiPriority w:val="39"/>
    <w:rsid w:val="00B742E4"/>
    <w:pPr>
      <w:tabs>
        <w:tab w:val="right" w:leader="dot" w:pos="9639"/>
      </w:tabs>
      <w:spacing w:before="120" w:after="60"/>
    </w:pPr>
    <w:rPr>
      <w:b/>
    </w:rPr>
  </w:style>
  <w:style w:type="paragraph" w:styleId="TOC6">
    <w:name w:val="toc 6"/>
    <w:basedOn w:val="TOC3"/>
    <w:next w:val="Normal"/>
    <w:uiPriority w:val="39"/>
    <w:rsid w:val="005E55A2"/>
    <w:pPr>
      <w:tabs>
        <w:tab w:val="left" w:pos="851"/>
      </w:tabs>
      <w:ind w:left="1078" w:hanging="851"/>
    </w:pPr>
  </w:style>
  <w:style w:type="paragraph" w:styleId="Quote">
    <w:name w:val="Quote"/>
    <w:basedOn w:val="BodyText"/>
    <w:next w:val="Normal"/>
    <w:link w:val="QuoteChar"/>
    <w:uiPriority w:val="29"/>
    <w:qFormat/>
    <w:rsid w:val="00A65ED5"/>
    <w:pPr>
      <w:spacing w:before="240" w:after="240"/>
      <w:ind w:left="567" w:right="567"/>
    </w:pPr>
    <w:rPr>
      <w:i/>
      <w:iCs/>
    </w:rPr>
  </w:style>
  <w:style w:type="paragraph" w:styleId="TOC2">
    <w:name w:val="toc 2"/>
    <w:basedOn w:val="Normal"/>
    <w:next w:val="Normal"/>
    <w:uiPriority w:val="39"/>
    <w:rsid w:val="005E55A2"/>
    <w:pPr>
      <w:tabs>
        <w:tab w:val="right" w:leader="dot" w:pos="9639"/>
      </w:tabs>
      <w:spacing w:before="60" w:after="60"/>
      <w:ind w:left="57"/>
    </w:pPr>
  </w:style>
  <w:style w:type="paragraph" w:styleId="TOC3">
    <w:name w:val="toc 3"/>
    <w:basedOn w:val="Normal"/>
    <w:next w:val="Normal"/>
    <w:uiPriority w:val="39"/>
    <w:rsid w:val="005E55A2"/>
    <w:pPr>
      <w:tabs>
        <w:tab w:val="right" w:leader="dot" w:pos="9639"/>
      </w:tabs>
      <w:spacing w:before="20" w:after="20"/>
      <w:ind w:left="113"/>
    </w:pPr>
  </w:style>
  <w:style w:type="character" w:customStyle="1" w:styleId="QuoteChar">
    <w:name w:val="Quote Char"/>
    <w:basedOn w:val="DefaultParagraphFont"/>
    <w:link w:val="Quote"/>
    <w:uiPriority w:val="29"/>
    <w:rsid w:val="00A65ED5"/>
    <w:rPr>
      <w:i/>
      <w:iCs/>
    </w:rPr>
  </w:style>
  <w:style w:type="paragraph" w:styleId="Footer">
    <w:name w:val="footer"/>
    <w:basedOn w:val="Normal"/>
    <w:link w:val="FooterChar"/>
    <w:uiPriority w:val="99"/>
    <w:rsid w:val="00B042DF"/>
    <w:pPr>
      <w:tabs>
        <w:tab w:val="left" w:pos="851"/>
      </w:tabs>
    </w:pPr>
    <w:rPr>
      <w:color w:val="51247A" w:themeColor="accent1"/>
      <w:sz w:val="16"/>
    </w:rPr>
  </w:style>
  <w:style w:type="character" w:customStyle="1" w:styleId="FooterChar">
    <w:name w:val="Footer Char"/>
    <w:basedOn w:val="DefaultParagraphFont"/>
    <w:link w:val="Footer"/>
    <w:uiPriority w:val="99"/>
    <w:rsid w:val="00B042DF"/>
    <w:rPr>
      <w:color w:val="51247A" w:themeColor="accent1"/>
      <w:sz w:val="16"/>
    </w:rPr>
  </w:style>
  <w:style w:type="paragraph" w:styleId="Header">
    <w:name w:val="header"/>
    <w:basedOn w:val="Normal"/>
    <w:link w:val="HeaderChar"/>
    <w:uiPriority w:val="99"/>
    <w:rsid w:val="00C20C17"/>
    <w:rPr>
      <w:sz w:val="18"/>
    </w:rPr>
  </w:style>
  <w:style w:type="character" w:customStyle="1" w:styleId="HeaderChar">
    <w:name w:val="Header Char"/>
    <w:basedOn w:val="DefaultParagraphFont"/>
    <w:link w:val="Header"/>
    <w:uiPriority w:val="99"/>
    <w:rsid w:val="00C20C17"/>
    <w:rPr>
      <w:sz w:val="18"/>
    </w:rPr>
  </w:style>
  <w:style w:type="table" w:styleId="TableGrid">
    <w:name w:val="Table Grid"/>
    <w:aliases w:val="Table No Border"/>
    <w:basedOn w:val="TableNormal"/>
    <w:uiPriority w:val="39"/>
    <w:rsid w:val="00A34437"/>
    <w:pPr>
      <w:spacing w:after="0" w:line="240" w:lineRule="auto"/>
    </w:pPr>
    <w:tblPr>
      <w:tblCellMar>
        <w:left w:w="0" w:type="dxa"/>
        <w:right w:w="0" w:type="dxa"/>
      </w:tblCellMar>
    </w:tblPr>
  </w:style>
  <w:style w:type="table" w:customStyle="1" w:styleId="TableUQ">
    <w:name w:val="Table UQ"/>
    <w:basedOn w:val="TableNormal"/>
    <w:uiPriority w:val="99"/>
    <w:rsid w:val="00340BC6"/>
    <w:pPr>
      <w:spacing w:after="0" w:line="240" w:lineRule="auto"/>
    </w:pPr>
    <w:tblPr>
      <w:tblStyleRowBandSize w:val="1"/>
      <w:tblStyleColBandSize w:val="1"/>
      <w:tblBorders>
        <w:top w:val="single" w:sz="4" w:space="0" w:color="51247A" w:themeColor="accent1"/>
        <w:bottom w:val="single" w:sz="4" w:space="0" w:color="51247A" w:themeColor="accent1"/>
        <w:insideH w:val="single" w:sz="4" w:space="0" w:color="51247A" w:themeColor="accent1"/>
      </w:tblBorders>
      <w:tblCellMar>
        <w:left w:w="0" w:type="dxa"/>
        <w:right w:w="0" w:type="dxa"/>
      </w:tblCellMar>
    </w:tblPr>
    <w:tblStylePr w:type="firstRow">
      <w:rPr>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insideV w:val="single" w:sz="4" w:space="0" w:color="51247A" w:themeColor="accent1"/>
          <w:tl2br w:val="nil"/>
          <w:tr2bl w:val="nil"/>
        </w:tcBorders>
        <w:shd w:val="clear" w:color="auto" w:fill="51247A" w:themeFill="accent1"/>
      </w:tcPr>
    </w:tblStylePr>
    <w:tblStylePr w:type="lastRow">
      <w:tblPr/>
      <w:tcPr>
        <w:shd w:val="clear" w:color="auto" w:fill="F7F5F4" w:themeFill="accent6" w:themeFillTint="33"/>
      </w:tcPr>
    </w:tblStylePr>
    <w:tblStylePr w:type="firstCol">
      <w:rPr>
        <w:color w:val="FFFFFF" w:themeColor="background1"/>
      </w:rPr>
      <w:tblPr/>
      <w:tcPr>
        <w:tcBorders>
          <w:left w:val="single" w:sz="4" w:space="0" w:color="51247A" w:themeColor="accent1"/>
          <w:insideH w:val="single" w:sz="4" w:space="0" w:color="51247A" w:themeColor="accent1"/>
        </w:tcBorders>
        <w:shd w:val="clear" w:color="auto" w:fill="51247A" w:themeFill="accent1"/>
      </w:tcPr>
    </w:tblStylePr>
    <w:tblStylePr w:type="lastCol">
      <w:tblPr/>
      <w:tcPr>
        <w:shd w:val="clear" w:color="auto" w:fill="F7F5F4" w:themeFill="accent6" w:themeFillTint="33"/>
      </w:tcPr>
    </w:tblStylePr>
    <w:tblStylePr w:type="band2Vert">
      <w:tblPr/>
      <w:tcPr>
        <w:shd w:val="clear" w:color="auto" w:fill="F7F5F4" w:themeFill="accent6" w:themeFillTint="33"/>
      </w:tcPr>
    </w:tblStylePr>
    <w:tblStylePr w:type="band2Horz">
      <w:tblPr/>
      <w:tcPr>
        <w:shd w:val="clear" w:color="auto" w:fill="F7F5F4" w:themeFill="accent6" w:themeFillTint="33"/>
      </w:tcPr>
    </w:tblStylePr>
  </w:style>
  <w:style w:type="table" w:customStyle="1" w:styleId="TableUQLined">
    <w:name w:val="Table UQ Lined"/>
    <w:basedOn w:val="TableNormal"/>
    <w:uiPriority w:val="99"/>
    <w:rsid w:val="0025008F"/>
    <w:pPr>
      <w:spacing w:after="0" w:line="240" w:lineRule="auto"/>
    </w:pPr>
    <w:tblPr>
      <w:tblStyleRowBandSize w:val="1"/>
      <w:tblStyleColBandSize w:val="1"/>
      <w:tblBorders>
        <w:top w:val="single" w:sz="4" w:space="0" w:color="51247A" w:themeColor="accent1"/>
        <w:bottom w:val="single" w:sz="18" w:space="0" w:color="51247A" w:themeColor="accent1"/>
        <w:insideH w:val="single" w:sz="4" w:space="0" w:color="51247A" w:themeColor="accent1"/>
      </w:tblBorders>
      <w:tblCellMar>
        <w:left w:w="0" w:type="dxa"/>
        <w:right w:w="0" w:type="dxa"/>
      </w:tblCellMar>
    </w:tblPr>
    <w:tblStylePr w:type="firstRow">
      <w:tblPr/>
      <w:tcPr>
        <w:tcBorders>
          <w:top w:val="single" w:sz="18" w:space="0" w:color="51247A" w:themeColor="accent1"/>
          <w:left w:val="nil"/>
          <w:bottom w:val="single" w:sz="18" w:space="0" w:color="51247A" w:themeColor="accent1"/>
          <w:right w:val="nil"/>
          <w:insideH w:val="nil"/>
          <w:insideV w:val="nil"/>
          <w:tl2br w:val="nil"/>
          <w:tr2bl w:val="nil"/>
        </w:tcBorders>
      </w:tcPr>
    </w:tblStylePr>
    <w:tblStylePr w:type="lastRow">
      <w:rPr>
        <w:b/>
      </w:rPr>
      <w:tblPr/>
      <w:tcPr>
        <w:shd w:val="clear" w:color="auto" w:fill="F7F5F4" w:themeFill="accent6" w:themeFillTint="33"/>
      </w:tcPr>
    </w:tblStylePr>
    <w:tblStylePr w:type="lastCol">
      <w:tblPr/>
      <w:tcPr>
        <w:shd w:val="clear" w:color="auto" w:fill="F7F5F4" w:themeFill="accent6" w:themeFillTint="33"/>
      </w:tcPr>
    </w:tblStylePr>
    <w:tblStylePr w:type="band2Vert">
      <w:tblPr/>
      <w:tcPr>
        <w:shd w:val="clear" w:color="auto" w:fill="F7F5F4" w:themeFill="accent6" w:themeFillTint="33"/>
      </w:tcPr>
    </w:tblStylePr>
    <w:tblStylePr w:type="band2Horz">
      <w:tblPr/>
      <w:tcPr>
        <w:shd w:val="clear" w:color="auto" w:fill="F7F5F4" w:themeFill="accent6" w:themeFillTint="33"/>
      </w:tcPr>
    </w:tblStylePr>
  </w:style>
  <w:style w:type="paragraph" w:customStyle="1" w:styleId="TableText">
    <w:name w:val="Table Text"/>
    <w:basedOn w:val="Normal"/>
    <w:uiPriority w:val="3"/>
    <w:qFormat/>
    <w:rsid w:val="00B025B0"/>
    <w:pPr>
      <w:spacing w:before="60" w:after="60"/>
      <w:ind w:left="113" w:right="113"/>
    </w:pPr>
  </w:style>
  <w:style w:type="paragraph" w:customStyle="1" w:styleId="TableHeading">
    <w:name w:val="Table Heading"/>
    <w:basedOn w:val="TableText"/>
    <w:uiPriority w:val="3"/>
    <w:qFormat/>
    <w:rsid w:val="00B025B0"/>
    <w:rPr>
      <w:b/>
    </w:rPr>
  </w:style>
  <w:style w:type="paragraph" w:customStyle="1" w:styleId="TableBullet">
    <w:name w:val="Table Bullet"/>
    <w:basedOn w:val="TableText"/>
    <w:uiPriority w:val="4"/>
    <w:qFormat/>
    <w:rsid w:val="00B025B0"/>
    <w:pPr>
      <w:numPr>
        <w:numId w:val="5"/>
      </w:numPr>
    </w:pPr>
  </w:style>
  <w:style w:type="paragraph" w:customStyle="1" w:styleId="TableBullet2">
    <w:name w:val="Table Bullet 2"/>
    <w:basedOn w:val="TableBullet"/>
    <w:uiPriority w:val="19"/>
    <w:rsid w:val="00B025B0"/>
    <w:pPr>
      <w:numPr>
        <w:ilvl w:val="1"/>
      </w:numPr>
    </w:pPr>
  </w:style>
  <w:style w:type="paragraph" w:customStyle="1" w:styleId="TableNumber">
    <w:name w:val="Table Number"/>
    <w:basedOn w:val="TableText"/>
    <w:uiPriority w:val="4"/>
    <w:qFormat/>
    <w:rsid w:val="00B025B0"/>
    <w:pPr>
      <w:numPr>
        <w:numId w:val="8"/>
      </w:numPr>
    </w:pPr>
  </w:style>
  <w:style w:type="paragraph" w:customStyle="1" w:styleId="TableNumber2">
    <w:name w:val="Table Number 2"/>
    <w:basedOn w:val="TableNumber"/>
    <w:uiPriority w:val="19"/>
    <w:rsid w:val="00B025B0"/>
    <w:pPr>
      <w:numPr>
        <w:ilvl w:val="1"/>
      </w:numPr>
    </w:pPr>
  </w:style>
  <w:style w:type="numbering" w:customStyle="1" w:styleId="ListTableBullet">
    <w:name w:val="List_TableBullet"/>
    <w:uiPriority w:val="99"/>
    <w:rsid w:val="00B025B0"/>
    <w:pPr>
      <w:numPr>
        <w:numId w:val="5"/>
      </w:numPr>
    </w:pPr>
  </w:style>
  <w:style w:type="numbering" w:customStyle="1" w:styleId="ListTableNumber">
    <w:name w:val="List_TableNumber"/>
    <w:uiPriority w:val="99"/>
    <w:rsid w:val="00B025B0"/>
    <w:pPr>
      <w:numPr>
        <w:numId w:val="8"/>
      </w:numPr>
    </w:pPr>
  </w:style>
  <w:style w:type="paragraph" w:customStyle="1" w:styleId="CoverDetails">
    <w:name w:val="Cover Details"/>
    <w:basedOn w:val="Normal"/>
    <w:next w:val="BodyText"/>
    <w:uiPriority w:val="12"/>
    <w:rsid w:val="005D4250"/>
    <w:rPr>
      <w:b/>
      <w:color w:val="51247A" w:themeColor="accent1"/>
      <w:sz w:val="28"/>
    </w:rPr>
  </w:style>
  <w:style w:type="paragraph" w:customStyle="1" w:styleId="AppendixH2">
    <w:name w:val="Appendix H2"/>
    <w:basedOn w:val="Heading2"/>
    <w:next w:val="BodyText"/>
    <w:uiPriority w:val="14"/>
    <w:qFormat/>
    <w:rsid w:val="00C474B7"/>
  </w:style>
  <w:style w:type="paragraph" w:customStyle="1" w:styleId="AppendixH3">
    <w:name w:val="Appendix H3"/>
    <w:basedOn w:val="Heading3"/>
    <w:next w:val="BodyText"/>
    <w:uiPriority w:val="14"/>
    <w:qFormat/>
    <w:rsid w:val="00C474B7"/>
  </w:style>
  <w:style w:type="numbering" w:customStyle="1" w:styleId="ListAppendix">
    <w:name w:val="List_Appendix"/>
    <w:uiPriority w:val="99"/>
    <w:rsid w:val="00C474B7"/>
    <w:pPr>
      <w:numPr>
        <w:numId w:val="9"/>
      </w:numPr>
    </w:pPr>
  </w:style>
  <w:style w:type="paragraph" w:styleId="TOC8">
    <w:name w:val="toc 8"/>
    <w:basedOn w:val="TOC2"/>
    <w:next w:val="Normal"/>
    <w:uiPriority w:val="39"/>
    <w:rsid w:val="00B742E4"/>
    <w:pPr>
      <w:tabs>
        <w:tab w:val="left" w:pos="1701"/>
      </w:tabs>
    </w:pPr>
  </w:style>
  <w:style w:type="paragraph" w:styleId="TableofFigures">
    <w:name w:val="table of figures"/>
    <w:basedOn w:val="Normal"/>
    <w:next w:val="Normal"/>
    <w:uiPriority w:val="99"/>
    <w:unhideWhenUsed/>
    <w:rsid w:val="00B742E4"/>
    <w:pPr>
      <w:tabs>
        <w:tab w:val="left" w:pos="1134"/>
        <w:tab w:val="right" w:leader="dot" w:pos="9628"/>
      </w:tabs>
      <w:spacing w:before="60" w:after="60"/>
      <w:ind w:left="1134" w:hanging="1134"/>
    </w:pPr>
  </w:style>
  <w:style w:type="character" w:styleId="Hyperlink">
    <w:name w:val="Hyperlink"/>
    <w:basedOn w:val="DefaultParagraphFont"/>
    <w:uiPriority w:val="99"/>
    <w:rsid w:val="00B742E4"/>
    <w:rPr>
      <w:color w:val="51247A" w:themeColor="hyperlink"/>
      <w:u w:val="single"/>
    </w:rPr>
  </w:style>
  <w:style w:type="numbering" w:customStyle="1" w:styleId="ListNumberedHeadings">
    <w:name w:val="List_NumberedHeadings"/>
    <w:uiPriority w:val="99"/>
    <w:rsid w:val="006C0E44"/>
    <w:pPr>
      <w:numPr>
        <w:numId w:val="10"/>
      </w:numPr>
    </w:pPr>
  </w:style>
  <w:style w:type="character" w:customStyle="1" w:styleId="Heading9Char">
    <w:name w:val="Heading 9 Char"/>
    <w:aliases w:val="Appendix H11 Char"/>
    <w:basedOn w:val="DefaultParagraphFont"/>
    <w:link w:val="Heading9"/>
    <w:uiPriority w:val="12"/>
    <w:rsid w:val="00C474B7"/>
    <w:rPr>
      <w:b/>
      <w:iCs/>
      <w:color w:val="51247A" w:themeColor="accent1"/>
      <w:sz w:val="32"/>
      <w:szCs w:val="21"/>
    </w:rPr>
  </w:style>
  <w:style w:type="paragraph" w:styleId="FootnoteText">
    <w:name w:val="footnote text"/>
    <w:aliases w:val="Footnote Text Char2 Char,Footnote Text Char1 Char Char1,Footnote Text Char Char Char Char1,Footnote Text Char Char1 Char1,Footnote Text Char1 Char1,Footnote Text Char Char Char1,Footnote Text Char Char Char,Footnote Text Char Char"/>
    <w:basedOn w:val="Normal"/>
    <w:link w:val="FootnoteTextChar"/>
    <w:qFormat/>
    <w:rsid w:val="00B13955"/>
    <w:pPr>
      <w:tabs>
        <w:tab w:val="left" w:pos="284"/>
      </w:tabs>
      <w:ind w:left="284" w:hanging="284"/>
    </w:pPr>
    <w:rPr>
      <w:sz w:val="16"/>
      <w:szCs w:val="20"/>
    </w:rPr>
  </w:style>
  <w:style w:type="character" w:customStyle="1" w:styleId="FootnoteTextChar">
    <w:name w:val="Footnote Text Char"/>
    <w:aliases w:val="Footnote Text Char2 Char Char,Footnote Text Char1 Char Char1 Char,Footnote Text Char Char Char Char1 Char,Footnote Text Char Char1 Char1 Char,Footnote Text Char1 Char1 Char,Footnote Text Char Char Char1 Char"/>
    <w:basedOn w:val="DefaultParagraphFont"/>
    <w:link w:val="FootnoteText"/>
    <w:rsid w:val="00B13955"/>
    <w:rPr>
      <w:sz w:val="16"/>
      <w:szCs w:val="20"/>
    </w:rPr>
  </w:style>
  <w:style w:type="character" w:styleId="FootnoteReference">
    <w:name w:val="footnote reference"/>
    <w:aliases w:val="(NECG) Footnote Reference"/>
    <w:basedOn w:val="DefaultParagraphFont"/>
    <w:uiPriority w:val="99"/>
    <w:rsid w:val="00C20C17"/>
    <w:rPr>
      <w:vertAlign w:val="superscript"/>
    </w:rPr>
  </w:style>
  <w:style w:type="character" w:styleId="FollowedHyperlink">
    <w:name w:val="FollowedHyperlink"/>
    <w:basedOn w:val="DefaultParagraphFont"/>
    <w:uiPriority w:val="99"/>
    <w:rsid w:val="00670B05"/>
    <w:rPr>
      <w:color w:val="51247A" w:themeColor="followedHyperlink"/>
      <w:u w:val="single"/>
    </w:rPr>
  </w:style>
  <w:style w:type="paragraph" w:customStyle="1" w:styleId="DividerTitle">
    <w:name w:val="Divider Title"/>
    <w:basedOn w:val="Normal"/>
    <w:uiPriority w:val="19"/>
    <w:qFormat/>
    <w:rsid w:val="00716942"/>
    <w:pPr>
      <w:spacing w:line="216" w:lineRule="auto"/>
    </w:pPr>
    <w:rPr>
      <w:color w:val="51247A" w:themeColor="accent1"/>
      <w:sz w:val="60"/>
    </w:rPr>
  </w:style>
  <w:style w:type="paragraph" w:customStyle="1" w:styleId="SectionTitleNumbered">
    <w:name w:val="Section Title Numbered"/>
    <w:basedOn w:val="Normal"/>
    <w:uiPriority w:val="19"/>
    <w:qFormat/>
    <w:rsid w:val="00614669"/>
    <w:pPr>
      <w:tabs>
        <w:tab w:val="num" w:pos="0"/>
        <w:tab w:val="num" w:pos="1134"/>
      </w:tabs>
      <w:spacing w:before="120"/>
    </w:pPr>
    <w:rPr>
      <w:color w:val="51247A" w:themeColor="accent1"/>
      <w:sz w:val="48"/>
    </w:rPr>
  </w:style>
  <w:style w:type="numbering" w:customStyle="1" w:styleId="ListSectionTitle">
    <w:name w:val="List_SectionTitle"/>
    <w:uiPriority w:val="99"/>
    <w:rsid w:val="00614669"/>
    <w:pPr>
      <w:numPr>
        <w:numId w:val="12"/>
      </w:numPr>
    </w:pPr>
  </w:style>
  <w:style w:type="paragraph" w:customStyle="1" w:styleId="Sectiontext">
    <w:name w:val="Section text"/>
    <w:basedOn w:val="Normal"/>
    <w:uiPriority w:val="19"/>
    <w:qFormat/>
    <w:rsid w:val="004972A0"/>
    <w:pPr>
      <w:ind w:right="7795"/>
    </w:pPr>
    <w:rPr>
      <w:sz w:val="18"/>
    </w:rPr>
  </w:style>
  <w:style w:type="paragraph" w:customStyle="1" w:styleId="DividerSectionTitle">
    <w:name w:val="Divider Section Title"/>
    <w:basedOn w:val="Normal"/>
    <w:uiPriority w:val="19"/>
    <w:qFormat/>
    <w:rsid w:val="00614669"/>
    <w:rPr>
      <w:b/>
      <w:color w:val="51247A" w:themeColor="accent1"/>
      <w:sz w:val="48"/>
    </w:rPr>
  </w:style>
  <w:style w:type="paragraph" w:customStyle="1" w:styleId="SectionNumberOnly">
    <w:name w:val="Section Number Only"/>
    <w:basedOn w:val="Normal"/>
    <w:uiPriority w:val="19"/>
    <w:qFormat/>
    <w:rsid w:val="00614669"/>
    <w:pPr>
      <w:tabs>
        <w:tab w:val="num" w:pos="1134"/>
      </w:tabs>
      <w:ind w:left="1134" w:hanging="1134"/>
    </w:pPr>
    <w:rPr>
      <w:color w:val="E62645" w:themeColor="accent2"/>
      <w:sz w:val="72"/>
    </w:rPr>
  </w:style>
  <w:style w:type="character" w:styleId="CommentReference">
    <w:name w:val="annotation reference"/>
    <w:basedOn w:val="DefaultParagraphFont"/>
    <w:uiPriority w:val="99"/>
    <w:semiHidden/>
    <w:unhideWhenUsed/>
    <w:rsid w:val="000B3E75"/>
    <w:rPr>
      <w:sz w:val="16"/>
      <w:szCs w:val="16"/>
    </w:rPr>
  </w:style>
  <w:style w:type="paragraph" w:styleId="CommentText">
    <w:name w:val="annotation text"/>
    <w:basedOn w:val="Normal"/>
    <w:link w:val="CommentTextChar"/>
    <w:uiPriority w:val="99"/>
    <w:unhideWhenUsed/>
    <w:rsid w:val="000B3E75"/>
    <w:rPr>
      <w:szCs w:val="20"/>
    </w:rPr>
  </w:style>
  <w:style w:type="character" w:customStyle="1" w:styleId="CommentTextChar">
    <w:name w:val="Comment Text Char"/>
    <w:basedOn w:val="DefaultParagraphFont"/>
    <w:link w:val="CommentText"/>
    <w:uiPriority w:val="99"/>
    <w:rsid w:val="000B3E75"/>
    <w:rPr>
      <w:sz w:val="20"/>
      <w:szCs w:val="20"/>
    </w:rPr>
  </w:style>
  <w:style w:type="paragraph" w:styleId="CommentSubject">
    <w:name w:val="annotation subject"/>
    <w:basedOn w:val="CommentText"/>
    <w:next w:val="CommentText"/>
    <w:link w:val="CommentSubjectChar"/>
    <w:uiPriority w:val="99"/>
    <w:semiHidden/>
    <w:unhideWhenUsed/>
    <w:rsid w:val="000B3E75"/>
    <w:rPr>
      <w:b/>
      <w:bCs/>
    </w:rPr>
  </w:style>
  <w:style w:type="character" w:customStyle="1" w:styleId="CommentSubjectChar">
    <w:name w:val="Comment Subject Char"/>
    <w:basedOn w:val="CommentTextChar"/>
    <w:link w:val="CommentSubject"/>
    <w:uiPriority w:val="99"/>
    <w:semiHidden/>
    <w:rsid w:val="000B3E75"/>
    <w:rPr>
      <w:b/>
      <w:bCs/>
      <w:sz w:val="20"/>
      <w:szCs w:val="20"/>
    </w:rPr>
  </w:style>
  <w:style w:type="paragraph" w:customStyle="1" w:styleId="BackCoverDetails">
    <w:name w:val="Back Cover Details"/>
    <w:basedOn w:val="Normal"/>
    <w:uiPriority w:val="20"/>
    <w:qFormat/>
    <w:rsid w:val="00D32971"/>
    <w:pPr>
      <w:tabs>
        <w:tab w:val="left" w:pos="851"/>
      </w:tabs>
      <w:spacing w:before="240" w:after="240"/>
      <w:ind w:left="720" w:hanging="360"/>
    </w:pPr>
    <w:rPr>
      <w:bCs/>
      <w:color w:val="FFFFFF" w:themeColor="background1"/>
      <w:sz w:val="24"/>
      <w:lang w:val="en-US"/>
    </w:rPr>
  </w:style>
  <w:style w:type="character" w:styleId="UnresolvedMention">
    <w:name w:val="Unresolved Mention"/>
    <w:basedOn w:val="DefaultParagraphFont"/>
    <w:uiPriority w:val="99"/>
    <w:unhideWhenUsed/>
    <w:rsid w:val="00D32971"/>
    <w:rPr>
      <w:color w:val="605E5C"/>
      <w:shd w:val="clear" w:color="auto" w:fill="E1DFDD"/>
    </w:rPr>
  </w:style>
  <w:style w:type="paragraph" w:customStyle="1" w:styleId="ReferenceText">
    <w:name w:val="Reference Text"/>
    <w:basedOn w:val="Normal"/>
    <w:uiPriority w:val="8"/>
    <w:qFormat/>
    <w:rsid w:val="006E71A4"/>
    <w:pPr>
      <w:spacing w:before="120" w:line="264" w:lineRule="auto"/>
      <w:ind w:left="425" w:hanging="425"/>
    </w:pPr>
    <w:rPr>
      <w:lang w:eastAsia="en-AU"/>
    </w:rPr>
  </w:style>
  <w:style w:type="paragraph" w:styleId="EndnoteText">
    <w:name w:val="endnote text"/>
    <w:basedOn w:val="Normal"/>
    <w:link w:val="EndnoteTextChar"/>
    <w:uiPriority w:val="99"/>
    <w:semiHidden/>
    <w:unhideWhenUsed/>
    <w:rsid w:val="00340BC6"/>
    <w:rPr>
      <w:szCs w:val="20"/>
    </w:rPr>
  </w:style>
  <w:style w:type="character" w:customStyle="1" w:styleId="EndnoteTextChar">
    <w:name w:val="Endnote Text Char"/>
    <w:basedOn w:val="DefaultParagraphFont"/>
    <w:link w:val="EndnoteText"/>
    <w:uiPriority w:val="99"/>
    <w:semiHidden/>
    <w:rsid w:val="00340BC6"/>
    <w:rPr>
      <w:sz w:val="20"/>
      <w:szCs w:val="20"/>
    </w:rPr>
  </w:style>
  <w:style w:type="character" w:styleId="EndnoteReference">
    <w:name w:val="endnote reference"/>
    <w:basedOn w:val="DefaultParagraphFont"/>
    <w:uiPriority w:val="99"/>
    <w:semiHidden/>
    <w:unhideWhenUsed/>
    <w:rsid w:val="00340BC6"/>
    <w:rPr>
      <w:vertAlign w:val="superscript"/>
    </w:rPr>
  </w:style>
  <w:style w:type="paragraph" w:customStyle="1" w:styleId="Default">
    <w:name w:val="Default"/>
    <w:rsid w:val="00000533"/>
    <w:pPr>
      <w:autoSpaceDE w:val="0"/>
      <w:autoSpaceDN w:val="0"/>
      <w:adjustRightInd w:val="0"/>
      <w:spacing w:after="0" w:line="240" w:lineRule="auto"/>
    </w:pPr>
    <w:rPr>
      <w:rFonts w:ascii="Symbol" w:hAnsi="Symbol" w:cs="Symbol"/>
      <w:color w:val="000000"/>
      <w:sz w:val="24"/>
      <w:szCs w:val="24"/>
    </w:rPr>
  </w:style>
  <w:style w:type="numbering" w:customStyle="1" w:styleId="ListParagraph0">
    <w:name w:val="List Paragraph0"/>
    <w:uiPriority w:val="99"/>
    <w:rsid w:val="001126A8"/>
    <w:pPr>
      <w:numPr>
        <w:numId w:val="15"/>
      </w:numPr>
    </w:pPr>
  </w:style>
  <w:style w:type="paragraph" w:customStyle="1" w:styleId="xmsolistparagraph">
    <w:name w:val="x_msolistparagraph"/>
    <w:basedOn w:val="Normal"/>
    <w:rsid w:val="005E616A"/>
    <w:pPr>
      <w:spacing w:before="100" w:beforeAutospacing="1" w:after="100" w:afterAutospacing="1"/>
    </w:pPr>
    <w:rPr>
      <w:rFonts w:ascii="Times New Roman" w:eastAsia="Times New Roman" w:hAnsi="Times New Roman" w:cs="Times New Roman"/>
      <w:sz w:val="24"/>
      <w:szCs w:val="24"/>
      <w:lang w:eastAsia="en-AU"/>
    </w:rPr>
  </w:style>
  <w:style w:type="table" w:styleId="GridTable1Light-Accent1">
    <w:name w:val="Grid Table 1 Light Accent 1"/>
    <w:basedOn w:val="TableNormal"/>
    <w:uiPriority w:val="46"/>
    <w:rsid w:val="007D684E"/>
    <w:pPr>
      <w:spacing w:after="0" w:line="240" w:lineRule="auto"/>
    </w:pPr>
    <w:tblPr>
      <w:tblStyleRowBandSize w:val="1"/>
      <w:tblStyleColBandSize w:val="1"/>
      <w:tblBorders>
        <w:top w:val="single" w:sz="4" w:space="0" w:color="BA92DF" w:themeColor="accent1" w:themeTint="66"/>
        <w:left w:val="single" w:sz="4" w:space="0" w:color="BA92DF" w:themeColor="accent1" w:themeTint="66"/>
        <w:bottom w:val="single" w:sz="4" w:space="0" w:color="BA92DF" w:themeColor="accent1" w:themeTint="66"/>
        <w:right w:val="single" w:sz="4" w:space="0" w:color="BA92DF" w:themeColor="accent1" w:themeTint="66"/>
        <w:insideH w:val="single" w:sz="4" w:space="0" w:color="BA92DF" w:themeColor="accent1" w:themeTint="66"/>
        <w:insideV w:val="single" w:sz="4" w:space="0" w:color="BA92DF" w:themeColor="accent1" w:themeTint="66"/>
      </w:tblBorders>
    </w:tblPr>
    <w:tblStylePr w:type="firstRow">
      <w:rPr>
        <w:b/>
        <w:bCs/>
      </w:rPr>
      <w:tblPr/>
      <w:tcPr>
        <w:tcBorders>
          <w:bottom w:val="single" w:sz="12" w:space="0" w:color="975BCE" w:themeColor="accent1" w:themeTint="99"/>
        </w:tcBorders>
      </w:tcPr>
    </w:tblStylePr>
    <w:tblStylePr w:type="lastRow">
      <w:rPr>
        <w:b/>
        <w:bCs/>
      </w:rPr>
      <w:tblPr/>
      <w:tcPr>
        <w:tcBorders>
          <w:top w:val="double" w:sz="2" w:space="0" w:color="975BCE" w:themeColor="accent1" w:themeTint="99"/>
        </w:tcBorders>
      </w:tcPr>
    </w:tblStylePr>
    <w:tblStylePr w:type="firstCol">
      <w:rPr>
        <w:b/>
        <w:bCs/>
      </w:rPr>
    </w:tblStylePr>
    <w:tblStylePr w:type="lastCol">
      <w:rPr>
        <w:b/>
        <w:bCs/>
      </w:rPr>
    </w:tblStylePr>
  </w:style>
  <w:style w:type="character" w:customStyle="1" w:styleId="ListParagraphChar">
    <w:name w:val="List Paragraph Char"/>
    <w:aliases w:val="Body Text Numbered Char,Recommendation Char,List Paragraph1 Char,Report subheading Char,Bullet point Char,List Paragraph11 Char,Bullet Char,Tabletext Char,NFP GP Bulleted List Char,FooterText Char,numbered Char,列出段落 Char,列出段落1 Char"/>
    <w:link w:val="ListParagraph"/>
    <w:uiPriority w:val="34"/>
    <w:locked/>
    <w:rsid w:val="00F2674E"/>
    <w:rPr>
      <w:sz w:val="20"/>
    </w:rPr>
  </w:style>
  <w:style w:type="character" w:styleId="Mention">
    <w:name w:val="Mention"/>
    <w:basedOn w:val="DefaultParagraphFont"/>
    <w:uiPriority w:val="99"/>
    <w:unhideWhenUsed/>
    <w:rsid w:val="00982650"/>
    <w:rPr>
      <w:color w:val="2B579A"/>
      <w:shd w:val="clear" w:color="auto" w:fill="E1DFDD"/>
    </w:rPr>
  </w:style>
  <w:style w:type="paragraph" w:styleId="Revision">
    <w:name w:val="Revision"/>
    <w:hidden/>
    <w:uiPriority w:val="99"/>
    <w:semiHidden/>
    <w:rsid w:val="00063453"/>
    <w:pPr>
      <w:spacing w:after="0" w:line="240" w:lineRule="auto"/>
    </w:pPr>
  </w:style>
  <w:style w:type="table" w:customStyle="1" w:styleId="PlainTable11">
    <w:name w:val="Plain Table 11"/>
    <w:basedOn w:val="TableNormal"/>
    <w:uiPriority w:val="41"/>
    <w:rsid w:val="00167CFD"/>
    <w:pPr>
      <w:spacing w:after="0" w:line="240" w:lineRule="auto"/>
    </w:p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xmsonormal">
    <w:name w:val="x_msonormal"/>
    <w:basedOn w:val="Normal"/>
    <w:rsid w:val="00071085"/>
    <w:pPr>
      <w:spacing w:after="0" w:line="240" w:lineRule="auto"/>
    </w:pPr>
    <w:rPr>
      <w:rFonts w:ascii="Calibri" w:hAnsi="Calibri" w:cs="Calibri"/>
      <w:lang w:eastAsia="en-AU"/>
    </w:rPr>
  </w:style>
  <w:style w:type="paragraph" w:styleId="NormalWeb">
    <w:name w:val="Normal (Web)"/>
    <w:basedOn w:val="Normal"/>
    <w:uiPriority w:val="99"/>
    <w:unhideWhenUsed/>
    <w:rsid w:val="0039415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Normal0">
    <w:name w:val="[Normal]"/>
    <w:uiPriority w:val="99"/>
    <w:rsid w:val="00DD447F"/>
    <w:pPr>
      <w:widowControl w:val="0"/>
      <w:autoSpaceDE w:val="0"/>
      <w:autoSpaceDN w:val="0"/>
      <w:adjustRightInd w:val="0"/>
      <w:spacing w:after="0" w:line="240" w:lineRule="auto"/>
    </w:pPr>
    <w:rPr>
      <w:rFonts w:ascii="Arial" w:hAnsi="Arial" w:cs="Arial"/>
      <w:sz w:val="24"/>
      <w:szCs w:val="24"/>
    </w:rPr>
  </w:style>
  <w:style w:type="paragraph" w:customStyle="1" w:styleId="pf0">
    <w:name w:val="pf0"/>
    <w:basedOn w:val="Normal"/>
    <w:rsid w:val="0054451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Heading6Char">
    <w:name w:val="Heading 6 Char"/>
    <w:basedOn w:val="DefaultParagraphFont"/>
    <w:link w:val="Heading6"/>
    <w:uiPriority w:val="9"/>
    <w:rsid w:val="00712C92"/>
    <w:rPr>
      <w:rFonts w:ascii="Times New Roman" w:eastAsia="Times New Roman" w:hAnsi="Times New Roman" w:cs="Times New Roman"/>
      <w:b/>
      <w:color w:val="000000"/>
      <w:sz w:val="24"/>
      <w:szCs w:val="24"/>
      <w:lang w:eastAsia="en-AU"/>
    </w:rPr>
  </w:style>
  <w:style w:type="character" w:customStyle="1" w:styleId="Heading7Char">
    <w:name w:val="Heading 7 Char"/>
    <w:basedOn w:val="DefaultParagraphFont"/>
    <w:link w:val="Heading7"/>
    <w:uiPriority w:val="9"/>
    <w:semiHidden/>
    <w:rsid w:val="00712C92"/>
    <w:rPr>
      <w:rFonts w:asciiTheme="majorHAnsi" w:eastAsiaTheme="majorEastAsia" w:hAnsiTheme="majorHAnsi" w:cstheme="majorBidi"/>
      <w:i/>
      <w:iCs/>
      <w:color w:val="404040" w:themeColor="text1" w:themeTint="BF"/>
      <w:sz w:val="20"/>
      <w:szCs w:val="24"/>
      <w:lang w:eastAsia="en-AU"/>
    </w:rPr>
  </w:style>
  <w:style w:type="character" w:customStyle="1" w:styleId="Heading8Char">
    <w:name w:val="Heading 8 Char"/>
    <w:basedOn w:val="DefaultParagraphFont"/>
    <w:link w:val="Heading8"/>
    <w:uiPriority w:val="9"/>
    <w:semiHidden/>
    <w:rsid w:val="00712C92"/>
    <w:rPr>
      <w:rFonts w:asciiTheme="majorHAnsi" w:eastAsiaTheme="majorEastAsia" w:hAnsiTheme="majorHAnsi" w:cstheme="majorBidi"/>
      <w:color w:val="51247A" w:themeColor="accent1"/>
      <w:sz w:val="20"/>
      <w:szCs w:val="20"/>
      <w:lang w:eastAsia="en-AU"/>
    </w:rPr>
  </w:style>
  <w:style w:type="character" w:customStyle="1" w:styleId="UnresolvedMention1">
    <w:name w:val="Unresolved Mention1"/>
    <w:basedOn w:val="DefaultParagraphFont"/>
    <w:uiPriority w:val="99"/>
    <w:semiHidden/>
    <w:unhideWhenUsed/>
    <w:rsid w:val="00712C92"/>
    <w:rPr>
      <w:color w:val="605E5C"/>
      <w:shd w:val="clear" w:color="auto" w:fill="E1DFDD"/>
    </w:rPr>
  </w:style>
  <w:style w:type="paragraph" w:customStyle="1" w:styleId="Publications">
    <w:name w:val="Publications"/>
    <w:basedOn w:val="Normal"/>
    <w:link w:val="PublicationsChar"/>
    <w:qFormat/>
    <w:rsid w:val="00712C92"/>
    <w:pPr>
      <w:widowControl w:val="0"/>
      <w:shd w:val="clear" w:color="auto" w:fill="FFFFFF"/>
      <w:autoSpaceDE w:val="0"/>
      <w:autoSpaceDN w:val="0"/>
      <w:adjustRightInd w:val="0"/>
      <w:spacing w:before="80" w:after="240" w:line="276" w:lineRule="auto"/>
      <w:jc w:val="both"/>
    </w:pPr>
    <w:rPr>
      <w:rFonts w:ascii="Calibri" w:eastAsia="Times New Roman" w:hAnsi="Calibri" w:cs="Times New Roman"/>
      <w:color w:val="333333"/>
      <w:szCs w:val="20"/>
      <w:lang w:eastAsia="en-AU"/>
    </w:rPr>
  </w:style>
  <w:style w:type="character" w:customStyle="1" w:styleId="PublicationsChar">
    <w:name w:val="Publications Char"/>
    <w:basedOn w:val="DefaultParagraphFont"/>
    <w:link w:val="Publications"/>
    <w:rsid w:val="00712C92"/>
    <w:rPr>
      <w:rFonts w:ascii="Calibri" w:eastAsia="Times New Roman" w:hAnsi="Calibri" w:cs="Times New Roman"/>
      <w:color w:val="333333"/>
      <w:szCs w:val="20"/>
      <w:shd w:val="clear" w:color="auto" w:fill="FFFFFF"/>
      <w:lang w:eastAsia="en-AU"/>
    </w:rPr>
  </w:style>
  <w:style w:type="character" w:styleId="Strong">
    <w:name w:val="Strong"/>
    <w:basedOn w:val="DefaultParagraphFont"/>
    <w:uiPriority w:val="22"/>
    <w:qFormat/>
    <w:rsid w:val="00712C92"/>
    <w:rPr>
      <w:b/>
      <w:bCs/>
    </w:rPr>
  </w:style>
  <w:style w:type="paragraph" w:customStyle="1" w:styleId="PFNumLevel2">
    <w:name w:val="PF (Num) Level 2"/>
    <w:basedOn w:val="Normal"/>
    <w:rsid w:val="00712C92"/>
    <w:pPr>
      <w:numPr>
        <w:ilvl w:val="1"/>
        <w:numId w:val="76"/>
      </w:numPr>
      <w:tabs>
        <w:tab w:val="left" w:pos="2773"/>
        <w:tab w:val="left" w:pos="3697"/>
        <w:tab w:val="left" w:pos="4621"/>
        <w:tab w:val="left" w:pos="5545"/>
        <w:tab w:val="left" w:pos="6469"/>
        <w:tab w:val="left" w:pos="7394"/>
        <w:tab w:val="left" w:pos="8318"/>
        <w:tab w:val="right" w:pos="8930"/>
      </w:tabs>
      <w:autoSpaceDE w:val="0"/>
      <w:autoSpaceDN w:val="0"/>
      <w:adjustRightInd w:val="0"/>
      <w:spacing w:before="120" w:line="276" w:lineRule="auto"/>
      <w:jc w:val="both"/>
    </w:pPr>
    <w:rPr>
      <w:rFonts w:ascii="Arial" w:eastAsia="Times New Roman" w:hAnsi="Arial" w:cs="Times New Roman"/>
      <w:color w:val="000000"/>
      <w:sz w:val="21"/>
      <w:szCs w:val="20"/>
    </w:rPr>
  </w:style>
  <w:style w:type="paragraph" w:customStyle="1" w:styleId="PFNumLevel3">
    <w:name w:val="PF (Num) Level 3"/>
    <w:basedOn w:val="Normal"/>
    <w:rsid w:val="00712C92"/>
    <w:pPr>
      <w:numPr>
        <w:ilvl w:val="2"/>
        <w:numId w:val="76"/>
      </w:numPr>
      <w:tabs>
        <w:tab w:val="left" w:pos="3697"/>
        <w:tab w:val="left" w:pos="4621"/>
        <w:tab w:val="left" w:pos="5545"/>
        <w:tab w:val="left" w:pos="6469"/>
        <w:tab w:val="left" w:pos="7394"/>
        <w:tab w:val="left" w:pos="8318"/>
        <w:tab w:val="right" w:pos="8930"/>
      </w:tabs>
      <w:autoSpaceDE w:val="0"/>
      <w:autoSpaceDN w:val="0"/>
      <w:adjustRightInd w:val="0"/>
      <w:spacing w:before="120" w:line="276" w:lineRule="auto"/>
      <w:jc w:val="both"/>
    </w:pPr>
    <w:rPr>
      <w:rFonts w:ascii="Arial" w:eastAsia="Times New Roman" w:hAnsi="Arial" w:cs="Times New Roman"/>
      <w:color w:val="000000"/>
      <w:sz w:val="21"/>
      <w:szCs w:val="20"/>
    </w:rPr>
  </w:style>
  <w:style w:type="paragraph" w:customStyle="1" w:styleId="PFNumLevel4">
    <w:name w:val="PF (Num) Level 4"/>
    <w:basedOn w:val="Normal"/>
    <w:rsid w:val="00712C92"/>
    <w:pPr>
      <w:numPr>
        <w:ilvl w:val="3"/>
        <w:numId w:val="76"/>
      </w:numPr>
      <w:tabs>
        <w:tab w:val="left" w:pos="4621"/>
        <w:tab w:val="left" w:pos="5545"/>
        <w:tab w:val="left" w:pos="6469"/>
        <w:tab w:val="left" w:pos="7394"/>
        <w:tab w:val="left" w:pos="8318"/>
        <w:tab w:val="right" w:pos="8930"/>
      </w:tabs>
      <w:autoSpaceDE w:val="0"/>
      <w:autoSpaceDN w:val="0"/>
      <w:adjustRightInd w:val="0"/>
      <w:spacing w:before="120" w:line="276" w:lineRule="auto"/>
      <w:jc w:val="both"/>
    </w:pPr>
    <w:rPr>
      <w:rFonts w:ascii="Arial" w:eastAsia="Times New Roman" w:hAnsi="Arial" w:cs="Times New Roman"/>
      <w:color w:val="000000"/>
      <w:sz w:val="21"/>
      <w:szCs w:val="20"/>
    </w:rPr>
  </w:style>
  <w:style w:type="paragraph" w:customStyle="1" w:styleId="PFNumLevel5">
    <w:name w:val="PF (Num) Level 5"/>
    <w:basedOn w:val="Normal"/>
    <w:rsid w:val="00712C92"/>
    <w:pPr>
      <w:numPr>
        <w:ilvl w:val="4"/>
        <w:numId w:val="76"/>
      </w:numPr>
      <w:tabs>
        <w:tab w:val="left" w:pos="2773"/>
        <w:tab w:val="left" w:pos="3697"/>
        <w:tab w:val="left" w:pos="4621"/>
        <w:tab w:val="left" w:pos="5545"/>
        <w:tab w:val="left" w:pos="6469"/>
        <w:tab w:val="left" w:pos="7394"/>
        <w:tab w:val="left" w:pos="8318"/>
        <w:tab w:val="right" w:pos="8930"/>
      </w:tabs>
      <w:autoSpaceDE w:val="0"/>
      <w:autoSpaceDN w:val="0"/>
      <w:adjustRightInd w:val="0"/>
      <w:spacing w:before="120" w:line="276" w:lineRule="auto"/>
      <w:jc w:val="both"/>
    </w:pPr>
    <w:rPr>
      <w:rFonts w:ascii="Arial" w:eastAsia="Times New Roman" w:hAnsi="Arial" w:cs="Times New Roman"/>
      <w:color w:val="000000"/>
      <w:sz w:val="21"/>
      <w:szCs w:val="20"/>
    </w:rPr>
  </w:style>
  <w:style w:type="paragraph" w:customStyle="1" w:styleId="PFNumLevel6">
    <w:name w:val="PF (Num) Level 6"/>
    <w:basedOn w:val="PFNumLevel4"/>
    <w:rsid w:val="00245614"/>
    <w:pPr>
      <w:numPr>
        <w:ilvl w:val="5"/>
      </w:numPr>
    </w:pPr>
  </w:style>
  <w:style w:type="paragraph" w:customStyle="1" w:styleId="EndNoteBibliography">
    <w:name w:val="EndNote Bibliography"/>
    <w:basedOn w:val="Normal"/>
    <w:link w:val="EndNoteBibliographyChar"/>
    <w:rsid w:val="00712C92"/>
    <w:pPr>
      <w:autoSpaceDE w:val="0"/>
      <w:autoSpaceDN w:val="0"/>
      <w:adjustRightInd w:val="0"/>
      <w:spacing w:before="120" w:after="200" w:line="240" w:lineRule="auto"/>
      <w:jc w:val="both"/>
    </w:pPr>
    <w:rPr>
      <w:rFonts w:ascii="Arial" w:hAnsi="Arial" w:cs="Arial"/>
      <w:noProof/>
      <w:color w:val="000000"/>
      <w:lang w:val="en-US"/>
    </w:rPr>
  </w:style>
  <w:style w:type="character" w:customStyle="1" w:styleId="EndNoteBibliographyChar">
    <w:name w:val="EndNote Bibliography Char"/>
    <w:basedOn w:val="DefaultParagraphFont"/>
    <w:link w:val="EndNoteBibliography"/>
    <w:rsid w:val="00712C92"/>
    <w:rPr>
      <w:rFonts w:ascii="Arial" w:hAnsi="Arial" w:cs="Arial"/>
      <w:noProof/>
      <w:color w:val="000000"/>
      <w:lang w:val="en-US"/>
    </w:rPr>
  </w:style>
  <w:style w:type="paragraph" w:customStyle="1" w:styleId="EndNoteBibliographyTitle">
    <w:name w:val="EndNote Bibliography Title"/>
    <w:basedOn w:val="Normal"/>
    <w:link w:val="EndNoteBibliographyTitleChar"/>
    <w:rsid w:val="00712C92"/>
    <w:pPr>
      <w:autoSpaceDE w:val="0"/>
      <w:autoSpaceDN w:val="0"/>
      <w:adjustRightInd w:val="0"/>
      <w:spacing w:before="120" w:after="180" w:line="276" w:lineRule="auto"/>
      <w:jc w:val="center"/>
    </w:pPr>
    <w:rPr>
      <w:rFonts w:ascii="Arial" w:hAnsi="Arial" w:cs="Arial"/>
      <w:noProof/>
      <w:color w:val="000000"/>
      <w:lang w:val="en-US"/>
    </w:rPr>
  </w:style>
  <w:style w:type="character" w:customStyle="1" w:styleId="EndNoteBibliographyTitleChar">
    <w:name w:val="EndNote Bibliography Title Char"/>
    <w:basedOn w:val="DefaultParagraphFont"/>
    <w:link w:val="EndNoteBibliographyTitle"/>
    <w:rsid w:val="00712C92"/>
    <w:rPr>
      <w:rFonts w:ascii="Arial" w:hAnsi="Arial" w:cs="Arial"/>
      <w:noProof/>
      <w:color w:val="000000"/>
      <w:lang w:val="en-US"/>
    </w:rPr>
  </w:style>
  <w:style w:type="paragraph" w:customStyle="1" w:styleId="xxmsonormal">
    <w:name w:val="x_x_msonormal"/>
    <w:basedOn w:val="Normal"/>
    <w:rsid w:val="00712C92"/>
    <w:pPr>
      <w:autoSpaceDE w:val="0"/>
      <w:autoSpaceDN w:val="0"/>
      <w:adjustRightInd w:val="0"/>
      <w:spacing w:before="120" w:after="180" w:line="276" w:lineRule="auto"/>
      <w:jc w:val="both"/>
    </w:pPr>
    <w:rPr>
      <w:rFonts w:ascii="Calibri" w:hAnsi="Calibri" w:cs="Calibri"/>
      <w:color w:val="000000"/>
      <w:lang w:eastAsia="en-AU"/>
    </w:rPr>
  </w:style>
  <w:style w:type="numbering" w:customStyle="1" w:styleId="NoList1">
    <w:name w:val="No List1"/>
    <w:next w:val="NoList"/>
    <w:uiPriority w:val="99"/>
    <w:semiHidden/>
    <w:unhideWhenUsed/>
    <w:rsid w:val="00712C92"/>
  </w:style>
  <w:style w:type="paragraph" w:customStyle="1" w:styleId="msonormal0">
    <w:name w:val="msonormal"/>
    <w:basedOn w:val="Normal"/>
    <w:rsid w:val="00712C92"/>
    <w:pPr>
      <w:autoSpaceDE w:val="0"/>
      <w:autoSpaceDN w:val="0"/>
      <w:adjustRightInd w:val="0"/>
      <w:spacing w:before="100" w:beforeAutospacing="1" w:after="100" w:afterAutospacing="1" w:line="276" w:lineRule="auto"/>
      <w:jc w:val="both"/>
    </w:pPr>
    <w:rPr>
      <w:rFonts w:ascii="Times New Roman" w:eastAsia="Times New Roman" w:hAnsi="Times New Roman" w:cs="Times New Roman"/>
      <w:color w:val="000000"/>
      <w:sz w:val="24"/>
      <w:szCs w:val="24"/>
      <w:lang w:eastAsia="en-AU"/>
    </w:rPr>
  </w:style>
  <w:style w:type="paragraph" w:styleId="TOC7">
    <w:name w:val="toc 7"/>
    <w:basedOn w:val="Normal"/>
    <w:next w:val="Normal"/>
    <w:autoRedefine/>
    <w:uiPriority w:val="39"/>
    <w:unhideWhenUsed/>
    <w:rsid w:val="00712C92"/>
    <w:pPr>
      <w:autoSpaceDE w:val="0"/>
      <w:autoSpaceDN w:val="0"/>
      <w:adjustRightInd w:val="0"/>
      <w:spacing w:before="120" w:after="100" w:line="276" w:lineRule="auto"/>
      <w:ind w:left="1440"/>
      <w:jc w:val="both"/>
    </w:pPr>
    <w:rPr>
      <w:rFonts w:ascii="Cambria" w:eastAsia="Times New Roman" w:hAnsi="Cambria" w:cs="Times New Roman"/>
      <w:color w:val="000000"/>
      <w:sz w:val="24"/>
      <w:szCs w:val="24"/>
    </w:rPr>
  </w:style>
  <w:style w:type="paragraph" w:styleId="TOC9">
    <w:name w:val="toc 9"/>
    <w:basedOn w:val="Normal"/>
    <w:next w:val="Normal"/>
    <w:autoRedefine/>
    <w:uiPriority w:val="39"/>
    <w:unhideWhenUsed/>
    <w:rsid w:val="00712C92"/>
    <w:pPr>
      <w:autoSpaceDE w:val="0"/>
      <w:autoSpaceDN w:val="0"/>
      <w:adjustRightInd w:val="0"/>
      <w:spacing w:before="120" w:after="100" w:line="276" w:lineRule="auto"/>
      <w:ind w:left="1920"/>
      <w:jc w:val="both"/>
    </w:pPr>
    <w:rPr>
      <w:rFonts w:ascii="Cambria" w:eastAsia="Times New Roman" w:hAnsi="Cambria" w:cs="Times New Roman"/>
      <w:color w:val="000000"/>
      <w:sz w:val="24"/>
      <w:szCs w:val="24"/>
    </w:rPr>
  </w:style>
  <w:style w:type="paragraph" w:styleId="List">
    <w:name w:val="List"/>
    <w:basedOn w:val="BodyText"/>
    <w:unhideWhenUsed/>
    <w:rsid w:val="00712C92"/>
    <w:pPr>
      <w:tabs>
        <w:tab w:val="left" w:pos="720"/>
      </w:tabs>
      <w:overflowPunct w:val="0"/>
      <w:autoSpaceDE w:val="0"/>
      <w:autoSpaceDN w:val="0"/>
      <w:adjustRightInd w:val="0"/>
      <w:spacing w:before="0" w:after="80"/>
      <w:ind w:left="720" w:hanging="360"/>
      <w:jc w:val="both"/>
    </w:pPr>
    <w:rPr>
      <w:rFonts w:ascii="Times New Roman" w:eastAsia="Times New Roman" w:hAnsi="Times New Roman" w:cs="Times New Roman"/>
      <w:color w:val="000000"/>
      <w:szCs w:val="20"/>
      <w:lang w:val="en-US" w:eastAsia="en-AU"/>
    </w:rPr>
  </w:style>
  <w:style w:type="paragraph" w:styleId="DocumentMap">
    <w:name w:val="Document Map"/>
    <w:basedOn w:val="Normal"/>
    <w:link w:val="DocumentMapChar"/>
    <w:semiHidden/>
    <w:unhideWhenUsed/>
    <w:rsid w:val="00712C92"/>
    <w:pPr>
      <w:autoSpaceDE w:val="0"/>
      <w:autoSpaceDN w:val="0"/>
      <w:adjustRightInd w:val="0"/>
      <w:spacing w:before="120" w:after="180" w:line="276" w:lineRule="auto"/>
      <w:jc w:val="both"/>
    </w:pPr>
    <w:rPr>
      <w:rFonts w:ascii="Lucida Grande" w:eastAsia="Times New Roman" w:hAnsi="Lucida Grande" w:cs="Times New Roman"/>
      <w:color w:val="000000"/>
      <w:sz w:val="24"/>
      <w:szCs w:val="24"/>
      <w:lang w:eastAsia="en-AU"/>
    </w:rPr>
  </w:style>
  <w:style w:type="character" w:customStyle="1" w:styleId="DocumentMapChar">
    <w:name w:val="Document Map Char"/>
    <w:basedOn w:val="DefaultParagraphFont"/>
    <w:link w:val="DocumentMap"/>
    <w:semiHidden/>
    <w:rsid w:val="00712C92"/>
    <w:rPr>
      <w:rFonts w:ascii="Lucida Grande" w:eastAsia="Times New Roman" w:hAnsi="Lucida Grande" w:cs="Times New Roman"/>
      <w:color w:val="000000"/>
      <w:sz w:val="24"/>
      <w:szCs w:val="24"/>
      <w:lang w:eastAsia="en-AU"/>
    </w:rPr>
  </w:style>
  <w:style w:type="paragraph" w:customStyle="1" w:styleId="Tableheading0">
    <w:name w:val="Table heading"/>
    <w:basedOn w:val="Normal"/>
    <w:autoRedefine/>
    <w:qFormat/>
    <w:rsid w:val="00712C92"/>
    <w:pPr>
      <w:autoSpaceDE w:val="0"/>
      <w:autoSpaceDN w:val="0"/>
      <w:adjustRightInd w:val="0"/>
      <w:spacing w:before="60" w:after="60" w:line="276" w:lineRule="auto"/>
      <w:jc w:val="both"/>
    </w:pPr>
    <w:rPr>
      <w:rFonts w:ascii="Calibri" w:eastAsia="Cambria" w:hAnsi="Calibri" w:cs="Times New Roman"/>
      <w:b/>
      <w:color w:val="000000"/>
      <w:lang w:val="en-US" w:eastAsia="en-AU"/>
    </w:rPr>
  </w:style>
  <w:style w:type="character" w:customStyle="1" w:styleId="TabletextChar">
    <w:name w:val="Table text Char"/>
    <w:basedOn w:val="DefaultParagraphFont"/>
    <w:link w:val="Tabletext0"/>
    <w:locked/>
    <w:rsid w:val="00B94D60"/>
    <w:rPr>
      <w:rFonts w:eastAsia="Cambria" w:cstheme="minorHAnsi"/>
      <w:color w:val="000000"/>
    </w:rPr>
  </w:style>
  <w:style w:type="paragraph" w:customStyle="1" w:styleId="Tabletext0">
    <w:name w:val="Table text"/>
    <w:basedOn w:val="Normal"/>
    <w:link w:val="TabletextChar"/>
    <w:autoRedefine/>
    <w:qFormat/>
    <w:rsid w:val="00B94D60"/>
    <w:pPr>
      <w:widowControl w:val="0"/>
      <w:autoSpaceDE w:val="0"/>
      <w:autoSpaceDN w:val="0"/>
      <w:adjustRightInd w:val="0"/>
      <w:spacing w:before="40" w:after="40" w:line="240" w:lineRule="auto"/>
      <w:ind w:left="142" w:right="284"/>
    </w:pPr>
    <w:rPr>
      <w:rFonts w:eastAsia="Cambria" w:cstheme="minorHAnsi"/>
      <w:color w:val="000000"/>
    </w:rPr>
  </w:style>
  <w:style w:type="character" w:customStyle="1" w:styleId="Style1Char">
    <w:name w:val="Style1 Char"/>
    <w:basedOn w:val="DefaultParagraphFont"/>
    <w:link w:val="Style1"/>
    <w:locked/>
    <w:rsid w:val="00712C92"/>
    <w:rPr>
      <w:rFonts w:ascii="Calibri" w:eastAsia="Calibri" w:hAnsi="Calibri" w:cs="Calibri"/>
      <w:b/>
      <w:sz w:val="32"/>
      <w:szCs w:val="32"/>
    </w:rPr>
  </w:style>
  <w:style w:type="paragraph" w:customStyle="1" w:styleId="Style1">
    <w:name w:val="Style1"/>
    <w:basedOn w:val="Normal"/>
    <w:link w:val="Style1Char"/>
    <w:qFormat/>
    <w:rsid w:val="00712C92"/>
    <w:pPr>
      <w:pBdr>
        <w:bottom w:val="single" w:sz="4" w:space="1" w:color="000000"/>
      </w:pBdr>
      <w:autoSpaceDE w:val="0"/>
      <w:autoSpaceDN w:val="0"/>
      <w:adjustRightInd w:val="0"/>
      <w:spacing w:before="120" w:after="180" w:line="276" w:lineRule="auto"/>
      <w:ind w:right="-46"/>
      <w:jc w:val="both"/>
    </w:pPr>
    <w:rPr>
      <w:rFonts w:ascii="Calibri" w:eastAsia="Calibri" w:hAnsi="Calibri" w:cs="Calibri"/>
      <w:b/>
      <w:sz w:val="32"/>
      <w:szCs w:val="32"/>
    </w:rPr>
  </w:style>
  <w:style w:type="character" w:customStyle="1" w:styleId="Style2Char">
    <w:name w:val="Style2 Char"/>
    <w:basedOn w:val="DefaultParagraphFont"/>
    <w:link w:val="Style2"/>
    <w:locked/>
    <w:rsid w:val="00712C92"/>
    <w:rPr>
      <w:rFonts w:ascii="Calibri" w:eastAsia="Calibri" w:hAnsi="Calibri" w:cs="Calibri"/>
      <w:b/>
      <w:sz w:val="28"/>
      <w:szCs w:val="28"/>
    </w:rPr>
  </w:style>
  <w:style w:type="paragraph" w:customStyle="1" w:styleId="Style2">
    <w:name w:val="Style2"/>
    <w:basedOn w:val="Normal"/>
    <w:link w:val="Style2Char"/>
    <w:qFormat/>
    <w:rsid w:val="00712C92"/>
    <w:pPr>
      <w:autoSpaceDE w:val="0"/>
      <w:autoSpaceDN w:val="0"/>
      <w:adjustRightInd w:val="0"/>
      <w:spacing w:before="120" w:after="180" w:line="276" w:lineRule="auto"/>
      <w:ind w:right="-46"/>
      <w:jc w:val="both"/>
    </w:pPr>
    <w:rPr>
      <w:rFonts w:ascii="Calibri" w:eastAsia="Calibri" w:hAnsi="Calibri" w:cs="Calibri"/>
      <w:b/>
      <w:sz w:val="28"/>
      <w:szCs w:val="28"/>
    </w:rPr>
  </w:style>
  <w:style w:type="paragraph" w:customStyle="1" w:styleId="Address">
    <w:name w:val="Address"/>
    <w:basedOn w:val="BodyText"/>
    <w:uiPriority w:val="99"/>
    <w:rsid w:val="00712C92"/>
    <w:pPr>
      <w:keepLines/>
      <w:overflowPunct w:val="0"/>
      <w:autoSpaceDE w:val="0"/>
      <w:autoSpaceDN w:val="0"/>
      <w:adjustRightInd w:val="0"/>
      <w:spacing w:before="0" w:after="0"/>
      <w:jc w:val="both"/>
    </w:pPr>
    <w:rPr>
      <w:rFonts w:ascii="Times New Roman" w:eastAsia="Times New Roman" w:hAnsi="Times New Roman" w:cs="Times New Roman"/>
      <w:color w:val="000000"/>
      <w:szCs w:val="20"/>
      <w:lang w:val="en-US" w:eastAsia="en-AU"/>
    </w:rPr>
  </w:style>
  <w:style w:type="table" w:customStyle="1" w:styleId="TableGrid1">
    <w:name w:val="Table Grid1"/>
    <w:basedOn w:val="TableNormal"/>
    <w:next w:val="TableGrid"/>
    <w:uiPriority w:val="39"/>
    <w:rsid w:val="00712C92"/>
    <w:pPr>
      <w:spacing w:after="0" w:line="240" w:lineRule="auto"/>
    </w:pPr>
    <w:rPr>
      <w:rFonts w:ascii="Times New Roman" w:eastAsia="Times New Roman" w:hAnsi="Times New Roman" w:cs="Times New Roman"/>
      <w:sz w:val="24"/>
      <w:szCs w:val="24"/>
      <w:lang w:eastAsia="en-A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9"/>
    <w:basedOn w:val="TableNormal"/>
    <w:rsid w:val="00712C92"/>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8">
    <w:name w:val="8"/>
    <w:basedOn w:val="TableNormal"/>
    <w:rsid w:val="00712C92"/>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7">
    <w:name w:val="7"/>
    <w:basedOn w:val="TableNormal"/>
    <w:rsid w:val="00712C92"/>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6">
    <w:name w:val="6"/>
    <w:basedOn w:val="TableNormal"/>
    <w:rsid w:val="00712C92"/>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5">
    <w:name w:val="5"/>
    <w:basedOn w:val="TableNormal"/>
    <w:rsid w:val="00712C92"/>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4">
    <w:name w:val="4"/>
    <w:basedOn w:val="TableNormal"/>
    <w:rsid w:val="00712C92"/>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3">
    <w:name w:val="3"/>
    <w:basedOn w:val="TableNormal"/>
    <w:rsid w:val="00712C92"/>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2">
    <w:name w:val="2"/>
    <w:basedOn w:val="TableNormal"/>
    <w:rsid w:val="00712C92"/>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1">
    <w:name w:val="1"/>
    <w:basedOn w:val="TableNormal"/>
    <w:rsid w:val="00712C92"/>
    <w:pPr>
      <w:spacing w:after="0" w:line="240" w:lineRule="auto"/>
    </w:pPr>
    <w:rPr>
      <w:rFonts w:ascii="Times New Roman" w:eastAsia="Times New Roman" w:hAnsi="Times New Roman" w:cs="Times New Roman"/>
      <w:sz w:val="24"/>
      <w:szCs w:val="24"/>
      <w:lang w:eastAsia="en-AU"/>
    </w:rPr>
    <w:tblPr>
      <w:tblStyleRowBandSize w:val="1"/>
      <w:tblStyleColBandSize w:val="1"/>
      <w:tblInd w:w="0" w:type="nil"/>
    </w:tblPr>
  </w:style>
  <w:style w:type="table" w:customStyle="1" w:styleId="TableGrid11">
    <w:name w:val="Table Grid11"/>
    <w:basedOn w:val="TableNormal"/>
    <w:uiPriority w:val="59"/>
    <w:rsid w:val="00712C9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712C92"/>
    <w:rPr>
      <w:color w:val="605E5C"/>
      <w:shd w:val="clear" w:color="auto" w:fill="E1DFDD"/>
    </w:rPr>
  </w:style>
  <w:style w:type="character" w:styleId="PageNumber">
    <w:name w:val="page number"/>
    <w:basedOn w:val="DefaultParagraphFont"/>
    <w:uiPriority w:val="99"/>
    <w:semiHidden/>
    <w:unhideWhenUsed/>
    <w:rsid w:val="00712C92"/>
  </w:style>
  <w:style w:type="character" w:customStyle="1" w:styleId="UnresolvedMention3">
    <w:name w:val="Unresolved Mention3"/>
    <w:basedOn w:val="DefaultParagraphFont"/>
    <w:uiPriority w:val="99"/>
    <w:semiHidden/>
    <w:unhideWhenUsed/>
    <w:rsid w:val="00712C92"/>
    <w:rPr>
      <w:color w:val="605E5C"/>
      <w:shd w:val="clear" w:color="auto" w:fill="E1DFDD"/>
    </w:rPr>
  </w:style>
  <w:style w:type="table" w:styleId="GridTable4-Accent1">
    <w:name w:val="Grid Table 4 Accent 1"/>
    <w:basedOn w:val="TableNormal"/>
    <w:uiPriority w:val="49"/>
    <w:rsid w:val="00712C92"/>
    <w:pPr>
      <w:spacing w:after="0" w:line="240" w:lineRule="auto"/>
    </w:pPr>
    <w:tblPr>
      <w:tblStyleRowBandSize w:val="1"/>
      <w:tblStyleColBandSize w:val="1"/>
      <w:tblBorders>
        <w:top w:val="single" w:sz="4" w:space="0" w:color="975BCE" w:themeColor="accent1" w:themeTint="99"/>
        <w:left w:val="single" w:sz="4" w:space="0" w:color="975BCE" w:themeColor="accent1" w:themeTint="99"/>
        <w:bottom w:val="single" w:sz="4" w:space="0" w:color="975BCE" w:themeColor="accent1" w:themeTint="99"/>
        <w:right w:val="single" w:sz="4" w:space="0" w:color="975BCE" w:themeColor="accent1" w:themeTint="99"/>
        <w:insideH w:val="single" w:sz="4" w:space="0" w:color="975BCE" w:themeColor="accent1" w:themeTint="99"/>
        <w:insideV w:val="single" w:sz="4" w:space="0" w:color="975BCE" w:themeColor="accent1" w:themeTint="99"/>
      </w:tblBorders>
    </w:tblPr>
    <w:tblStylePr w:type="firstRow">
      <w:rPr>
        <w:b/>
        <w:bCs/>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insideV w:val="nil"/>
        </w:tcBorders>
        <w:shd w:val="clear" w:color="auto" w:fill="51247A" w:themeFill="accent1"/>
      </w:tcPr>
    </w:tblStylePr>
    <w:tblStylePr w:type="lastRow">
      <w:rPr>
        <w:b/>
        <w:bCs/>
      </w:rPr>
      <w:tblPr/>
      <w:tcPr>
        <w:tcBorders>
          <w:top w:val="double" w:sz="4" w:space="0" w:color="51247A" w:themeColor="accent1"/>
        </w:tcBorders>
      </w:tcPr>
    </w:tblStylePr>
    <w:tblStylePr w:type="firstCol">
      <w:rPr>
        <w:b/>
        <w:bCs/>
      </w:rPr>
    </w:tblStylePr>
    <w:tblStylePr w:type="lastCol">
      <w:rPr>
        <w:b/>
        <w:bCs/>
      </w:rPr>
    </w:tblStylePr>
    <w:tblStylePr w:type="band1Vert">
      <w:tblPr/>
      <w:tcPr>
        <w:shd w:val="clear" w:color="auto" w:fill="DCC8EF" w:themeFill="accent1" w:themeFillTint="33"/>
      </w:tcPr>
    </w:tblStylePr>
    <w:tblStylePr w:type="band1Horz">
      <w:tblPr/>
      <w:tcPr>
        <w:shd w:val="clear" w:color="auto" w:fill="DCC8EF" w:themeFill="accent1" w:themeFillTint="33"/>
      </w:tcPr>
    </w:tblStylePr>
  </w:style>
  <w:style w:type="table" w:customStyle="1" w:styleId="TableUQ1">
    <w:name w:val="Table UQ1"/>
    <w:basedOn w:val="TableNormal"/>
    <w:uiPriority w:val="99"/>
    <w:rsid w:val="00712C92"/>
    <w:pPr>
      <w:spacing w:after="0" w:line="240" w:lineRule="auto"/>
    </w:pPr>
    <w:tblPr>
      <w:tblStyleRowBandSize w:val="1"/>
      <w:tblStyleColBandSize w:val="1"/>
      <w:tblBorders>
        <w:top w:val="single" w:sz="4" w:space="0" w:color="51247A" w:themeColor="accent1"/>
        <w:bottom w:val="single" w:sz="4" w:space="0" w:color="51247A" w:themeColor="accent1"/>
        <w:insideH w:val="single" w:sz="4" w:space="0" w:color="51247A" w:themeColor="accent1"/>
      </w:tblBorders>
      <w:tblCellMar>
        <w:left w:w="0" w:type="dxa"/>
        <w:right w:w="0" w:type="dxa"/>
      </w:tblCellMar>
    </w:tblPr>
    <w:tblStylePr w:type="firstRow">
      <w:rPr>
        <w:color w:val="FFFFFF" w:themeColor="background1"/>
      </w:rPr>
      <w:tblPr/>
      <w:tcPr>
        <w:tcBorders>
          <w:top w:val="single" w:sz="4" w:space="0" w:color="51247A" w:themeColor="accent1"/>
          <w:left w:val="single" w:sz="4" w:space="0" w:color="51247A" w:themeColor="accent1"/>
          <w:bottom w:val="single" w:sz="4" w:space="0" w:color="51247A" w:themeColor="accent1"/>
          <w:right w:val="single" w:sz="4" w:space="0" w:color="51247A" w:themeColor="accent1"/>
          <w:insideH w:val="nil"/>
          <w:insideV w:val="single" w:sz="4" w:space="0" w:color="51247A" w:themeColor="accent1"/>
          <w:tl2br w:val="nil"/>
          <w:tr2bl w:val="nil"/>
        </w:tcBorders>
        <w:shd w:val="clear" w:color="auto" w:fill="51247A" w:themeFill="accent1"/>
      </w:tcPr>
    </w:tblStylePr>
    <w:tblStylePr w:type="lastRow">
      <w:tblPr/>
      <w:tcPr>
        <w:shd w:val="clear" w:color="auto" w:fill="F7F5F4" w:themeFill="accent6" w:themeFillTint="33"/>
      </w:tcPr>
    </w:tblStylePr>
    <w:tblStylePr w:type="firstCol">
      <w:rPr>
        <w:color w:val="FFFFFF" w:themeColor="background1"/>
      </w:rPr>
      <w:tblPr/>
      <w:tcPr>
        <w:tcBorders>
          <w:insideH w:val="single" w:sz="4" w:space="0" w:color="FFFFFF" w:themeColor="background1"/>
        </w:tcBorders>
        <w:shd w:val="clear" w:color="auto" w:fill="51247A" w:themeFill="accent1"/>
      </w:tcPr>
    </w:tblStylePr>
    <w:tblStylePr w:type="lastCol">
      <w:tblPr/>
      <w:tcPr>
        <w:shd w:val="clear" w:color="auto" w:fill="F7F5F4" w:themeFill="accent6" w:themeFillTint="33"/>
      </w:tcPr>
    </w:tblStylePr>
    <w:tblStylePr w:type="band2Vert">
      <w:tblPr/>
      <w:tcPr>
        <w:shd w:val="clear" w:color="auto" w:fill="F7F5F4" w:themeFill="accent6" w:themeFillTint="33"/>
      </w:tcPr>
    </w:tblStylePr>
    <w:tblStylePr w:type="band2Horz">
      <w:tblPr/>
      <w:tcPr>
        <w:shd w:val="clear" w:color="auto" w:fill="F7F5F4" w:themeFill="accent6" w:themeFillTint="33"/>
      </w:tcPr>
    </w:tblStylePr>
  </w:style>
  <w:style w:type="numbering" w:customStyle="1" w:styleId="ListNbrHeading1">
    <w:name w:val="List_NbrHeading1"/>
    <w:uiPriority w:val="99"/>
    <w:rsid w:val="00712C92"/>
  </w:style>
  <w:style w:type="paragraph" w:customStyle="1" w:styleId="Titlepageheading">
    <w:name w:val="Title page heading"/>
    <w:basedOn w:val="TitlePageSubtitle"/>
    <w:next w:val="TitlePageSubtitle"/>
    <w:rsid w:val="00712C92"/>
    <w:pPr>
      <w:spacing w:before="3800" w:after="240"/>
    </w:pPr>
    <w:rPr>
      <w:color w:val="003E69"/>
      <w:sz w:val="56"/>
    </w:rPr>
  </w:style>
  <w:style w:type="paragraph" w:customStyle="1" w:styleId="TitlePageSubtitle">
    <w:name w:val="Title Page Subtitle"/>
    <w:basedOn w:val="Normal"/>
    <w:next w:val="TitlePageOptionalTextLine"/>
    <w:link w:val="TitlePageSubtitleChar"/>
    <w:rsid w:val="009D10AE"/>
    <w:pPr>
      <w:widowControl w:val="0"/>
      <w:spacing w:before="240" w:after="80" w:line="247" w:lineRule="auto"/>
    </w:pPr>
    <w:rPr>
      <w:rFonts w:eastAsia="Times New Roman" w:cs="Arial"/>
      <w:color w:val="51247A" w:themeColor="accent1"/>
      <w:sz w:val="28"/>
      <w:szCs w:val="24"/>
      <w:lang w:eastAsia="en-AU"/>
    </w:rPr>
  </w:style>
  <w:style w:type="paragraph" w:customStyle="1" w:styleId="TitlePageOptionalTextLine">
    <w:name w:val="Title Page Optional Text Line"/>
    <w:basedOn w:val="Normal"/>
    <w:next w:val="Heading1"/>
    <w:link w:val="TitlePageOptionalTextLineChar"/>
    <w:rsid w:val="00712C92"/>
    <w:pPr>
      <w:widowControl w:val="0"/>
      <w:spacing w:before="360" w:after="240" w:line="247" w:lineRule="auto"/>
    </w:pPr>
    <w:rPr>
      <w:rFonts w:ascii="Calibri" w:eastAsia="Times New Roman" w:hAnsi="Calibri" w:cs="Arial"/>
      <w:color w:val="262626"/>
      <w:sz w:val="26"/>
      <w:szCs w:val="24"/>
      <w:lang w:eastAsia="en-AU"/>
    </w:rPr>
  </w:style>
  <w:style w:type="paragraph" w:customStyle="1" w:styleId="References">
    <w:name w:val="References"/>
    <w:basedOn w:val="Normal"/>
    <w:link w:val="ReferencesChar"/>
    <w:rsid w:val="00712C92"/>
    <w:pPr>
      <w:widowControl w:val="0"/>
      <w:autoSpaceDE w:val="0"/>
      <w:autoSpaceDN w:val="0"/>
      <w:adjustRightInd w:val="0"/>
      <w:spacing w:before="40" w:after="40" w:line="247" w:lineRule="auto"/>
    </w:pPr>
    <w:rPr>
      <w:rFonts w:ascii="Calibri" w:eastAsia="Times New Roman" w:hAnsi="Calibri" w:cs="Times New Roman"/>
      <w:sz w:val="18"/>
      <w:szCs w:val="20"/>
      <w:lang w:eastAsia="en-AU"/>
    </w:rPr>
  </w:style>
  <w:style w:type="numbering" w:customStyle="1" w:styleId="StyleNumbered">
    <w:name w:val="Style Numbered"/>
    <w:basedOn w:val="NoList"/>
    <w:rsid w:val="006C7B00"/>
    <w:pPr>
      <w:numPr>
        <w:numId w:val="122"/>
      </w:numPr>
    </w:pPr>
  </w:style>
  <w:style w:type="character" w:customStyle="1" w:styleId="TitlePageOptionalTextLineChar">
    <w:name w:val="Title Page Optional Text Line Char"/>
    <w:link w:val="TitlePageOptionalTextLine"/>
    <w:rsid w:val="00712C92"/>
    <w:rPr>
      <w:rFonts w:ascii="Calibri" w:eastAsia="Times New Roman" w:hAnsi="Calibri" w:cs="Arial"/>
      <w:color w:val="262626"/>
      <w:sz w:val="26"/>
      <w:szCs w:val="24"/>
      <w:lang w:eastAsia="en-AU"/>
    </w:rPr>
  </w:style>
  <w:style w:type="table" w:customStyle="1" w:styleId="Table-Blue">
    <w:name w:val="Table - Blue"/>
    <w:basedOn w:val="TableNormal"/>
    <w:rsid w:val="00712C92"/>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val="0"/>
        <w:color w:val="FFFFFF"/>
        <w:sz w:val="24"/>
      </w:rPr>
      <w:tblPr/>
      <w:tcPr>
        <w:shd w:val="clear" w:color="auto" w:fill="003E69"/>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paragraph" w:customStyle="1" w:styleId="Footer-landscape">
    <w:name w:val="Footer-landscape"/>
    <w:basedOn w:val="Footer"/>
    <w:rsid w:val="00712C92"/>
    <w:pPr>
      <w:widowControl w:val="0"/>
      <w:tabs>
        <w:tab w:val="clear" w:pos="851"/>
        <w:tab w:val="right" w:pos="14572"/>
      </w:tabs>
      <w:spacing w:after="80" w:line="247" w:lineRule="auto"/>
    </w:pPr>
    <w:rPr>
      <w:rFonts w:ascii="Calibri" w:eastAsia="Times New Roman" w:hAnsi="Calibri" w:cs="Times New Roman"/>
      <w:color w:val="auto"/>
      <w:sz w:val="18"/>
      <w:szCs w:val="24"/>
      <w:lang w:eastAsia="en-AU"/>
    </w:rPr>
  </w:style>
  <w:style w:type="table" w:customStyle="1" w:styleId="Table-LowInk">
    <w:name w:val="Table - Low Ink"/>
    <w:basedOn w:val="TableNormal"/>
    <w:rsid w:val="00712C92"/>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color w:val="4D4D4D"/>
        <w:sz w:val="24"/>
      </w:r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paragraph" w:customStyle="1" w:styleId="Tableheadings">
    <w:name w:val="Table headings"/>
    <w:basedOn w:val="Normal"/>
    <w:rsid w:val="00712C92"/>
    <w:pPr>
      <w:widowControl w:val="0"/>
      <w:spacing w:after="0" w:line="247" w:lineRule="auto"/>
    </w:pPr>
    <w:rPr>
      <w:rFonts w:ascii="Calibri" w:eastAsia="Times New Roman" w:hAnsi="Calibri" w:cs="Times New Roman"/>
      <w:b/>
      <w:bCs/>
      <w:color w:val="FFFFFF"/>
      <w:sz w:val="24"/>
      <w:szCs w:val="20"/>
      <w:lang w:eastAsia="en-AU"/>
    </w:rPr>
  </w:style>
  <w:style w:type="numbering" w:styleId="111111">
    <w:name w:val="Outline List 2"/>
    <w:basedOn w:val="NoList"/>
    <w:rsid w:val="006C7B00"/>
    <w:pPr>
      <w:numPr>
        <w:numId w:val="123"/>
      </w:numPr>
    </w:pPr>
  </w:style>
  <w:style w:type="character" w:customStyle="1" w:styleId="ReferencesChar">
    <w:name w:val="References Char"/>
    <w:link w:val="References"/>
    <w:rsid w:val="00712C92"/>
    <w:rPr>
      <w:rFonts w:ascii="Calibri" w:eastAsia="Times New Roman" w:hAnsi="Calibri" w:cs="Times New Roman"/>
      <w:sz w:val="18"/>
      <w:szCs w:val="20"/>
      <w:lang w:eastAsia="en-AU"/>
    </w:rPr>
  </w:style>
  <w:style w:type="paragraph" w:customStyle="1" w:styleId="Serviceareaname16pt">
    <w:name w:val="Service area name 16pt"/>
    <w:basedOn w:val="Normal"/>
    <w:rsid w:val="00712C92"/>
    <w:pPr>
      <w:widowControl w:val="0"/>
      <w:spacing w:before="80" w:after="80" w:line="247" w:lineRule="auto"/>
      <w:jc w:val="right"/>
    </w:pPr>
    <w:rPr>
      <w:rFonts w:ascii="Calibri" w:eastAsia="Times New Roman" w:hAnsi="Calibri" w:cs="Times New Roman"/>
      <w:color w:val="003E69"/>
      <w:sz w:val="32"/>
      <w:szCs w:val="32"/>
      <w:lang w:eastAsia="en-AU"/>
    </w:rPr>
  </w:style>
  <w:style w:type="character" w:styleId="Emphasis">
    <w:name w:val="Emphasis"/>
    <w:uiPriority w:val="20"/>
    <w:qFormat/>
    <w:rsid w:val="00712C92"/>
    <w:rPr>
      <w:rFonts w:ascii="Calibri" w:hAnsi="Calibri"/>
      <w:i/>
      <w:iCs/>
    </w:rPr>
  </w:style>
  <w:style w:type="paragraph" w:customStyle="1" w:styleId="BodyText1">
    <w:name w:val="Body Text1"/>
    <w:basedOn w:val="Normal"/>
    <w:link w:val="BodytextChar0"/>
    <w:autoRedefine/>
    <w:rsid w:val="00712C92"/>
    <w:pPr>
      <w:spacing w:after="0" w:line="240" w:lineRule="auto"/>
      <w:outlineLvl w:val="0"/>
    </w:pPr>
    <w:rPr>
      <w:rFonts w:ascii="Calibri" w:eastAsia="Calibri" w:hAnsi="Calibri" w:cs="Arial"/>
      <w:color w:val="FF0000"/>
      <w:sz w:val="20"/>
      <w:szCs w:val="20"/>
      <w:lang w:val="en-US" w:eastAsia="en-AU"/>
    </w:rPr>
  </w:style>
  <w:style w:type="character" w:customStyle="1" w:styleId="BodytextChar0">
    <w:name w:val="Body text Char"/>
    <w:link w:val="BodyText1"/>
    <w:rsid w:val="00712C92"/>
    <w:rPr>
      <w:rFonts w:ascii="Calibri" w:eastAsia="Calibri" w:hAnsi="Calibri" w:cs="Arial"/>
      <w:color w:val="FF0000"/>
      <w:sz w:val="20"/>
      <w:szCs w:val="20"/>
      <w:lang w:val="en-US" w:eastAsia="en-AU"/>
    </w:rPr>
  </w:style>
  <w:style w:type="paragraph" w:customStyle="1" w:styleId="QMHCbodytext">
    <w:name w:val="QMHC body text"/>
    <w:basedOn w:val="BodyText1"/>
    <w:link w:val="QMHCbodytextChar"/>
    <w:rsid w:val="00712C92"/>
    <w:pPr>
      <w:spacing w:before="120" w:line="288" w:lineRule="auto"/>
    </w:pPr>
    <w:rPr>
      <w:rFonts w:ascii="Arial" w:hAnsi="Arial"/>
    </w:rPr>
  </w:style>
  <w:style w:type="character" w:customStyle="1" w:styleId="QMHCbodytextChar">
    <w:name w:val="QMHC body text Char"/>
    <w:link w:val="QMHCbodytext"/>
    <w:rsid w:val="00712C92"/>
    <w:rPr>
      <w:rFonts w:ascii="Arial" w:eastAsia="Calibri" w:hAnsi="Arial" w:cs="Arial"/>
      <w:color w:val="FF0000"/>
      <w:sz w:val="20"/>
      <w:szCs w:val="20"/>
      <w:lang w:val="en-US" w:eastAsia="en-AU"/>
    </w:rPr>
  </w:style>
  <w:style w:type="character" w:customStyle="1" w:styleId="StyleArial11pt">
    <w:name w:val="Style Arial 11 pt"/>
    <w:rsid w:val="00712C92"/>
    <w:rPr>
      <w:rFonts w:ascii="Arial" w:hAnsi="Arial" w:cs="Arial"/>
      <w:b/>
      <w:sz w:val="22"/>
      <w:szCs w:val="22"/>
      <w:lang w:val="en-AU" w:eastAsia="en-US" w:bidi="ar-SA"/>
    </w:rPr>
  </w:style>
  <w:style w:type="table" w:customStyle="1" w:styleId="AABlackTable1">
    <w:name w:val="AABlackTable1"/>
    <w:basedOn w:val="TableNormal"/>
    <w:uiPriority w:val="99"/>
    <w:rsid w:val="00712C92"/>
    <w:pPr>
      <w:spacing w:before="110" w:after="110" w:line="264" w:lineRule="auto"/>
    </w:pPr>
    <w:rPr>
      <w:rFonts w:ascii="Verdana" w:hAnsi="Verdana"/>
      <w:sz w:val="18"/>
      <w:szCs w:val="20"/>
    </w:rPr>
    <w:tblPr>
      <w:tblInd w:w="108" w:type="dxa"/>
      <w:tblBorders>
        <w:top w:val="single" w:sz="4" w:space="0" w:color="000000"/>
        <w:bottom w:val="single" w:sz="4" w:space="0" w:color="000000"/>
        <w:insideH w:val="single" w:sz="4" w:space="0" w:color="000000"/>
        <w:insideV w:val="single" w:sz="4" w:space="0" w:color="000000"/>
      </w:tblBorders>
    </w:tblPr>
    <w:tblStylePr w:type="firstRow">
      <w:rPr>
        <w:b/>
        <w:color w:val="FFFFFF" w:themeColor="background1"/>
      </w:rPr>
      <w:tbl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l2br w:val="nil"/>
          <w:tr2bl w:val="nil"/>
        </w:tcBorders>
        <w:shd w:val="solid" w:color="000000" w:fill="000000"/>
      </w:tcPr>
    </w:tblStylePr>
    <w:tblStylePr w:type="fir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tblStylePr w:type="la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style>
  <w:style w:type="paragraph" w:customStyle="1" w:styleId="PFBulletMargin">
    <w:name w:val="PF Bullet Margin"/>
    <w:basedOn w:val="Normal"/>
    <w:rsid w:val="00245614"/>
    <w:pPr>
      <w:numPr>
        <w:numId w:val="125"/>
      </w:numPr>
      <w:tabs>
        <w:tab w:val="left" w:pos="1848"/>
        <w:tab w:val="left" w:pos="2773"/>
        <w:tab w:val="left" w:pos="3697"/>
        <w:tab w:val="left" w:pos="4621"/>
        <w:tab w:val="left" w:pos="5545"/>
        <w:tab w:val="left" w:pos="6469"/>
        <w:tab w:val="left" w:pos="7394"/>
        <w:tab w:val="left" w:pos="8318"/>
        <w:tab w:val="right" w:pos="8930"/>
      </w:tabs>
      <w:spacing w:before="80" w:after="80" w:line="276" w:lineRule="auto"/>
    </w:pPr>
    <w:rPr>
      <w:rFonts w:ascii="Arial" w:eastAsia="Times New Roman" w:hAnsi="Arial" w:cs="Times New Roman"/>
      <w:color w:val="000000"/>
      <w:sz w:val="20"/>
      <w:szCs w:val="20"/>
    </w:rPr>
  </w:style>
  <w:style w:type="paragraph" w:customStyle="1" w:styleId="PFBulletLevel1">
    <w:name w:val="PF Bullet Level 1"/>
    <w:basedOn w:val="Normal"/>
    <w:rsid w:val="00712C92"/>
    <w:pPr>
      <w:numPr>
        <w:ilvl w:val="1"/>
        <w:numId w:val="125"/>
      </w:numPr>
      <w:tabs>
        <w:tab w:val="left" w:pos="2773"/>
        <w:tab w:val="left" w:pos="3697"/>
        <w:tab w:val="left" w:pos="4621"/>
        <w:tab w:val="left" w:pos="5545"/>
        <w:tab w:val="left" w:pos="6469"/>
        <w:tab w:val="left" w:pos="7394"/>
        <w:tab w:val="left" w:pos="8318"/>
        <w:tab w:val="right" w:pos="8930"/>
      </w:tabs>
      <w:spacing w:before="80" w:after="80" w:line="276" w:lineRule="auto"/>
    </w:pPr>
    <w:rPr>
      <w:rFonts w:ascii="Arial" w:eastAsia="Times New Roman" w:hAnsi="Arial" w:cs="Times New Roman"/>
      <w:color w:val="000000"/>
      <w:sz w:val="20"/>
      <w:szCs w:val="20"/>
    </w:rPr>
  </w:style>
  <w:style w:type="paragraph" w:customStyle="1" w:styleId="PFBulletLevel2">
    <w:name w:val="PF Bullet Level 2"/>
    <w:basedOn w:val="Normal"/>
    <w:rsid w:val="00712C92"/>
    <w:pPr>
      <w:numPr>
        <w:ilvl w:val="2"/>
        <w:numId w:val="125"/>
      </w:numPr>
      <w:tabs>
        <w:tab w:val="left" w:pos="1848"/>
        <w:tab w:val="left" w:pos="3697"/>
        <w:tab w:val="left" w:pos="4621"/>
        <w:tab w:val="left" w:pos="5545"/>
        <w:tab w:val="left" w:pos="6469"/>
        <w:tab w:val="left" w:pos="7394"/>
        <w:tab w:val="left" w:pos="8318"/>
        <w:tab w:val="right" w:pos="8930"/>
      </w:tabs>
      <w:spacing w:before="80" w:after="80" w:line="276" w:lineRule="auto"/>
    </w:pPr>
    <w:rPr>
      <w:rFonts w:ascii="Arial" w:eastAsia="Times New Roman" w:hAnsi="Arial" w:cs="Times New Roman"/>
      <w:color w:val="000000"/>
      <w:sz w:val="20"/>
      <w:szCs w:val="20"/>
    </w:rPr>
  </w:style>
  <w:style w:type="paragraph" w:customStyle="1" w:styleId="PFBulletLevel3">
    <w:name w:val="PF Bullet Level 3"/>
    <w:basedOn w:val="Normal"/>
    <w:rsid w:val="00712C92"/>
    <w:pPr>
      <w:numPr>
        <w:ilvl w:val="3"/>
        <w:numId w:val="125"/>
      </w:numPr>
      <w:tabs>
        <w:tab w:val="left" w:pos="1848"/>
        <w:tab w:val="left" w:pos="2773"/>
        <w:tab w:val="left" w:pos="4621"/>
        <w:tab w:val="left" w:pos="5545"/>
        <w:tab w:val="left" w:pos="6469"/>
        <w:tab w:val="left" w:pos="7394"/>
        <w:tab w:val="left" w:pos="8318"/>
        <w:tab w:val="right" w:pos="8930"/>
      </w:tabs>
      <w:spacing w:before="80" w:after="80" w:line="276" w:lineRule="auto"/>
    </w:pPr>
    <w:rPr>
      <w:rFonts w:ascii="Arial" w:eastAsia="Times New Roman" w:hAnsi="Arial" w:cs="Times New Roman"/>
      <w:color w:val="000000"/>
      <w:sz w:val="20"/>
      <w:szCs w:val="20"/>
    </w:rPr>
  </w:style>
  <w:style w:type="character" w:customStyle="1" w:styleId="PSCSBlueText">
    <w:name w:val="PSCS Blue Text"/>
    <w:rsid w:val="00712C92"/>
    <w:rPr>
      <w:rFonts w:ascii="Arial" w:hAnsi="Arial" w:cs="Arial"/>
      <w:snapToGrid w:val="0"/>
      <w:color w:val="0000FF"/>
      <w:sz w:val="24"/>
      <w:lang w:val="en-AU" w:eastAsia="en-US" w:bidi="ar-SA"/>
    </w:rPr>
  </w:style>
  <w:style w:type="paragraph" w:customStyle="1" w:styleId="PSCSClause">
    <w:name w:val="PSCS Clause"/>
    <w:link w:val="PSCSClauseChar"/>
    <w:rsid w:val="00712C92"/>
    <w:pPr>
      <w:spacing w:before="120" w:after="120" w:line="240" w:lineRule="auto"/>
      <w:ind w:left="851" w:hanging="851"/>
    </w:pPr>
    <w:rPr>
      <w:rFonts w:ascii="Arial" w:eastAsia="Times New Roman" w:hAnsi="Arial" w:cs="Times New Roman"/>
      <w:sz w:val="24"/>
      <w:szCs w:val="20"/>
    </w:rPr>
  </w:style>
  <w:style w:type="character" w:customStyle="1" w:styleId="PSCSClauseChar">
    <w:name w:val="PSCS Clause Char"/>
    <w:link w:val="PSCSClause"/>
    <w:rsid w:val="00712C92"/>
    <w:rPr>
      <w:rFonts w:ascii="Arial" w:eastAsia="Times New Roman" w:hAnsi="Arial" w:cs="Times New Roman"/>
      <w:sz w:val="24"/>
      <w:szCs w:val="20"/>
    </w:rPr>
  </w:style>
  <w:style w:type="character" w:customStyle="1" w:styleId="PSCSRedText">
    <w:name w:val="PSCS Red Text"/>
    <w:rsid w:val="00712C92"/>
    <w:rPr>
      <w:rFonts w:ascii="Arial" w:hAnsi="Arial" w:cs="Arial"/>
      <w:snapToGrid w:val="0"/>
      <w:color w:val="FF0000"/>
      <w:sz w:val="24"/>
      <w:lang w:val="en-AU" w:eastAsia="en-US" w:bidi="ar-SA"/>
    </w:rPr>
  </w:style>
  <w:style w:type="paragraph" w:styleId="BodyText3">
    <w:name w:val="Body Text 3"/>
    <w:basedOn w:val="Normal"/>
    <w:link w:val="BodyText3Char"/>
    <w:semiHidden/>
    <w:unhideWhenUsed/>
    <w:rsid w:val="00712C92"/>
    <w:pPr>
      <w:widowControl w:val="0"/>
      <w:spacing w:before="80" w:after="80" w:line="247" w:lineRule="auto"/>
    </w:pPr>
    <w:rPr>
      <w:rFonts w:ascii="Calibri" w:eastAsia="Times New Roman" w:hAnsi="Calibri" w:cs="Times New Roman"/>
      <w:sz w:val="16"/>
      <w:szCs w:val="16"/>
      <w:lang w:eastAsia="en-AU"/>
    </w:rPr>
  </w:style>
  <w:style w:type="character" w:customStyle="1" w:styleId="BodyText3Char">
    <w:name w:val="Body Text 3 Char"/>
    <w:basedOn w:val="DefaultParagraphFont"/>
    <w:link w:val="BodyText3"/>
    <w:semiHidden/>
    <w:rsid w:val="00712C92"/>
    <w:rPr>
      <w:rFonts w:ascii="Calibri" w:eastAsia="Times New Roman" w:hAnsi="Calibri" w:cs="Times New Roman"/>
      <w:sz w:val="16"/>
      <w:szCs w:val="16"/>
      <w:lang w:eastAsia="en-AU"/>
    </w:rPr>
  </w:style>
  <w:style w:type="character" w:styleId="HTMLCite">
    <w:name w:val="HTML Cite"/>
    <w:basedOn w:val="DefaultParagraphFont"/>
    <w:uiPriority w:val="99"/>
    <w:semiHidden/>
    <w:unhideWhenUsed/>
    <w:rsid w:val="00712C92"/>
    <w:rPr>
      <w:i/>
      <w:iCs/>
    </w:rPr>
  </w:style>
  <w:style w:type="character" w:customStyle="1" w:styleId="italic">
    <w:name w:val="italic"/>
    <w:basedOn w:val="DefaultParagraphFont"/>
    <w:rsid w:val="00712C92"/>
  </w:style>
  <w:style w:type="table" w:styleId="LightList">
    <w:name w:val="Light List"/>
    <w:basedOn w:val="TableNormal"/>
    <w:uiPriority w:val="61"/>
    <w:rsid w:val="00712C9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PlainText">
    <w:name w:val="Plain Text"/>
    <w:basedOn w:val="Normal"/>
    <w:link w:val="PlainTextChar"/>
    <w:uiPriority w:val="99"/>
    <w:unhideWhenUsed/>
    <w:rsid w:val="00712C92"/>
    <w:pPr>
      <w:spacing w:before="200" w:after="200" w:line="276" w:lineRule="auto"/>
    </w:pPr>
    <w:rPr>
      <w:rFonts w:ascii="Consolas" w:eastAsia="Calibri" w:hAnsi="Consolas" w:cs="Times New Roman"/>
      <w:sz w:val="20"/>
      <w:szCs w:val="21"/>
      <w:lang w:eastAsia="en-AU"/>
    </w:rPr>
  </w:style>
  <w:style w:type="character" w:customStyle="1" w:styleId="PlainTextChar">
    <w:name w:val="Plain Text Char"/>
    <w:basedOn w:val="DefaultParagraphFont"/>
    <w:link w:val="PlainText"/>
    <w:uiPriority w:val="99"/>
    <w:rsid w:val="00712C92"/>
    <w:rPr>
      <w:rFonts w:ascii="Consolas" w:eastAsia="Calibri" w:hAnsi="Consolas" w:cs="Times New Roman"/>
      <w:sz w:val="20"/>
      <w:szCs w:val="21"/>
      <w:lang w:eastAsia="en-AU"/>
    </w:rPr>
  </w:style>
  <w:style w:type="paragraph" w:customStyle="1" w:styleId="Style11">
    <w:name w:val="Style11"/>
    <w:basedOn w:val="Normal"/>
    <w:rsid w:val="00712C92"/>
    <w:pPr>
      <w:spacing w:before="180" w:after="60" w:line="247" w:lineRule="auto"/>
      <w:ind w:left="2880" w:hanging="360"/>
      <w:jc w:val="both"/>
    </w:pPr>
    <w:rPr>
      <w:rFonts w:ascii="Arial" w:eastAsia="Times New Roman" w:hAnsi="Arial" w:cs="Times New Roman"/>
      <w:b/>
      <w:sz w:val="28"/>
      <w:szCs w:val="28"/>
      <w:lang w:eastAsia="en-AU"/>
    </w:rPr>
  </w:style>
  <w:style w:type="paragraph" w:customStyle="1" w:styleId="Numbering-1">
    <w:name w:val="Numbering-1"/>
    <w:basedOn w:val="Heading1"/>
    <w:link w:val="Numbering-1Char"/>
    <w:rsid w:val="00712C92"/>
    <w:pPr>
      <w:keepNext w:val="0"/>
      <w:keepLines w:val="0"/>
      <w:pBdr>
        <w:bottom w:val="single" w:sz="4" w:space="1" w:color="002060"/>
      </w:pBdr>
      <w:autoSpaceDE w:val="0"/>
      <w:autoSpaceDN w:val="0"/>
      <w:adjustRightInd w:val="0"/>
      <w:spacing w:before="440" w:after="180" w:line="247" w:lineRule="auto"/>
      <w:ind w:left="567" w:hanging="567"/>
    </w:pPr>
    <w:rPr>
      <w:rFonts w:ascii="Arial" w:eastAsia="Times New Roman" w:hAnsi="Arial" w:cs="Tahoma"/>
      <w:b/>
      <w:bCs/>
      <w:color w:val="274690"/>
      <w:spacing w:val="-16"/>
      <w:szCs w:val="16"/>
    </w:rPr>
  </w:style>
  <w:style w:type="character" w:customStyle="1" w:styleId="Numbering-1Char">
    <w:name w:val="Numbering-1 Char"/>
    <w:basedOn w:val="Heading2Char"/>
    <w:link w:val="Numbering-1"/>
    <w:rsid w:val="00712C92"/>
    <w:rPr>
      <w:rFonts w:ascii="Arial" w:eastAsia="Times New Roman" w:hAnsi="Arial" w:cs="Tahoma"/>
      <w:b/>
      <w:bCs/>
      <w:color w:val="274690"/>
      <w:spacing w:val="-16"/>
      <w:sz w:val="36"/>
      <w:szCs w:val="16"/>
    </w:rPr>
  </w:style>
  <w:style w:type="paragraph" w:customStyle="1" w:styleId="ScheduleL1">
    <w:name w:val="Schedule L1"/>
    <w:basedOn w:val="Normal"/>
    <w:next w:val="Normal"/>
    <w:rsid w:val="00245614"/>
    <w:pPr>
      <w:numPr>
        <w:numId w:val="126"/>
      </w:numPr>
      <w:pBdr>
        <w:bottom w:val="single" w:sz="4" w:space="1" w:color="auto"/>
      </w:pBdr>
      <w:spacing w:before="140" w:after="480" w:line="480" w:lineRule="exact"/>
      <w:outlineLvl w:val="0"/>
    </w:pPr>
    <w:rPr>
      <w:rFonts w:ascii="Arial" w:eastAsia="Times New Roman" w:hAnsi="Arial" w:cs="Angsana New"/>
      <w:spacing w:val="-10"/>
      <w:w w:val="95"/>
      <w:sz w:val="48"/>
      <w:lang w:eastAsia="zh-CN" w:bidi="th-TH"/>
    </w:rPr>
  </w:style>
  <w:style w:type="paragraph" w:customStyle="1" w:styleId="ScheduleL2">
    <w:name w:val="Schedule L2"/>
    <w:basedOn w:val="Normal"/>
    <w:next w:val="Normal"/>
    <w:rsid w:val="00712C92"/>
    <w:pPr>
      <w:keepNext/>
      <w:numPr>
        <w:ilvl w:val="1"/>
        <w:numId w:val="126"/>
      </w:numPr>
      <w:spacing w:before="280" w:after="140" w:line="280" w:lineRule="atLeast"/>
      <w:outlineLvl w:val="1"/>
    </w:pPr>
    <w:rPr>
      <w:rFonts w:ascii="Arial" w:eastAsia="Times New Roman" w:hAnsi="Arial" w:cs="Angsana New"/>
      <w:spacing w:val="-10"/>
      <w:w w:val="95"/>
      <w:sz w:val="32"/>
      <w:lang w:eastAsia="zh-CN" w:bidi="th-TH"/>
    </w:rPr>
  </w:style>
  <w:style w:type="paragraph" w:customStyle="1" w:styleId="ScheduleL3">
    <w:name w:val="Schedule L3"/>
    <w:basedOn w:val="Normal"/>
    <w:next w:val="Normal"/>
    <w:rsid w:val="00712C92"/>
    <w:pPr>
      <w:keepNext/>
      <w:numPr>
        <w:ilvl w:val="2"/>
        <w:numId w:val="126"/>
      </w:numPr>
      <w:spacing w:before="60" w:after="60" w:line="280" w:lineRule="atLeast"/>
      <w:outlineLvl w:val="2"/>
    </w:pPr>
    <w:rPr>
      <w:rFonts w:ascii="Arial Bold" w:eastAsia="Times New Roman" w:hAnsi="Arial Bold" w:cs="Angsana New"/>
      <w:b/>
      <w:w w:val="95"/>
      <w:sz w:val="24"/>
      <w:lang w:eastAsia="zh-CN" w:bidi="th-TH"/>
    </w:rPr>
  </w:style>
  <w:style w:type="paragraph" w:customStyle="1" w:styleId="ScheduleL4">
    <w:name w:val="Schedule L4"/>
    <w:basedOn w:val="Normal"/>
    <w:rsid w:val="00712C92"/>
    <w:pPr>
      <w:numPr>
        <w:ilvl w:val="3"/>
        <w:numId w:val="126"/>
      </w:numPr>
      <w:spacing w:after="140" w:line="280" w:lineRule="atLeast"/>
      <w:outlineLvl w:val="3"/>
    </w:pPr>
    <w:rPr>
      <w:rFonts w:ascii="Times New Roman" w:eastAsia="Times New Roman" w:hAnsi="Times New Roman" w:cs="Angsana New"/>
      <w:sz w:val="20"/>
      <w:lang w:eastAsia="zh-CN" w:bidi="th-TH"/>
    </w:rPr>
  </w:style>
  <w:style w:type="paragraph" w:customStyle="1" w:styleId="ScheduleL5">
    <w:name w:val="Schedule L5"/>
    <w:basedOn w:val="Normal"/>
    <w:rsid w:val="00712C92"/>
    <w:pPr>
      <w:numPr>
        <w:ilvl w:val="4"/>
        <w:numId w:val="126"/>
      </w:numPr>
      <w:spacing w:after="140" w:line="280" w:lineRule="atLeast"/>
      <w:outlineLvl w:val="4"/>
    </w:pPr>
    <w:rPr>
      <w:rFonts w:ascii="Times New Roman" w:eastAsia="Times New Roman" w:hAnsi="Times New Roman" w:cs="Angsana New"/>
      <w:sz w:val="20"/>
      <w:lang w:eastAsia="zh-CN" w:bidi="th-TH"/>
    </w:rPr>
  </w:style>
  <w:style w:type="paragraph" w:customStyle="1" w:styleId="ScheduleL6">
    <w:name w:val="Schedule L6"/>
    <w:basedOn w:val="Normal"/>
    <w:uiPriority w:val="3"/>
    <w:rsid w:val="00712C92"/>
    <w:pPr>
      <w:numPr>
        <w:ilvl w:val="5"/>
        <w:numId w:val="126"/>
      </w:numPr>
      <w:spacing w:after="140" w:line="280" w:lineRule="atLeast"/>
      <w:outlineLvl w:val="5"/>
    </w:pPr>
    <w:rPr>
      <w:rFonts w:ascii="Times New Roman" w:eastAsia="Times New Roman" w:hAnsi="Times New Roman" w:cs="Angsana New"/>
      <w:sz w:val="20"/>
      <w:lang w:eastAsia="zh-CN" w:bidi="th-TH"/>
    </w:rPr>
  </w:style>
  <w:style w:type="numbering" w:customStyle="1" w:styleId="Schedule">
    <w:name w:val="Schedule"/>
    <w:uiPriority w:val="99"/>
    <w:rsid w:val="00245614"/>
    <w:pPr>
      <w:numPr>
        <w:numId w:val="135"/>
      </w:numPr>
    </w:pPr>
  </w:style>
  <w:style w:type="table" w:customStyle="1" w:styleId="TableGrid2">
    <w:name w:val="Table Grid2"/>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rsid w:val="00712C92"/>
    <w:pPr>
      <w:spacing w:after="80" w:line="240" w:lineRule="auto"/>
      <w:ind w:left="283"/>
    </w:pPr>
    <w:rPr>
      <w:rFonts w:ascii="Times New Roman" w:eastAsia="Times New Roman" w:hAnsi="Times New Roman" w:cs="Times New Roman"/>
      <w:sz w:val="16"/>
      <w:szCs w:val="16"/>
      <w:lang w:val="x-none"/>
    </w:rPr>
  </w:style>
  <w:style w:type="character" w:customStyle="1" w:styleId="BodyTextIndent3Char">
    <w:name w:val="Body Text Indent 3 Char"/>
    <w:basedOn w:val="DefaultParagraphFont"/>
    <w:link w:val="BodyTextIndent3"/>
    <w:rsid w:val="00712C92"/>
    <w:rPr>
      <w:rFonts w:ascii="Times New Roman" w:eastAsia="Times New Roman" w:hAnsi="Times New Roman" w:cs="Times New Roman"/>
      <w:sz w:val="16"/>
      <w:szCs w:val="16"/>
      <w:lang w:val="x-none"/>
    </w:rPr>
  </w:style>
  <w:style w:type="character" w:styleId="BookTitle">
    <w:name w:val="Book Title"/>
    <w:basedOn w:val="DefaultParagraphFont"/>
    <w:uiPriority w:val="33"/>
    <w:qFormat/>
    <w:rsid w:val="00712C92"/>
    <w:rPr>
      <w:b/>
      <w:bCs/>
      <w:smallCaps/>
      <w:spacing w:val="5"/>
    </w:rPr>
  </w:style>
  <w:style w:type="character" w:styleId="IntenseEmphasis">
    <w:name w:val="Intense Emphasis"/>
    <w:basedOn w:val="DefaultParagraphFont"/>
    <w:uiPriority w:val="21"/>
    <w:qFormat/>
    <w:rsid w:val="00712C92"/>
    <w:rPr>
      <w:b/>
      <w:bCs/>
      <w:i/>
      <w:iCs/>
      <w:color w:val="51247A" w:themeColor="accent1"/>
    </w:rPr>
  </w:style>
  <w:style w:type="paragraph" w:styleId="IntenseQuote">
    <w:name w:val="Intense Quote"/>
    <w:basedOn w:val="Normal"/>
    <w:next w:val="Normal"/>
    <w:link w:val="IntenseQuoteChar"/>
    <w:uiPriority w:val="30"/>
    <w:qFormat/>
    <w:rsid w:val="00712C92"/>
    <w:pPr>
      <w:pBdr>
        <w:bottom w:val="single" w:sz="4" w:space="4" w:color="51247A" w:themeColor="accent1"/>
      </w:pBdr>
      <w:spacing w:before="200" w:after="280" w:line="280" w:lineRule="atLeast"/>
      <w:ind w:left="936" w:right="936"/>
    </w:pPr>
    <w:rPr>
      <w:rFonts w:ascii="Lato Medium" w:hAnsi="Lato Medium"/>
      <w:b/>
      <w:bCs/>
      <w:i/>
      <w:iCs/>
      <w:color w:val="51247A" w:themeColor="accent1"/>
      <w:sz w:val="19"/>
    </w:rPr>
  </w:style>
  <w:style w:type="character" w:customStyle="1" w:styleId="IntenseQuoteChar">
    <w:name w:val="Intense Quote Char"/>
    <w:basedOn w:val="DefaultParagraphFont"/>
    <w:link w:val="IntenseQuote"/>
    <w:uiPriority w:val="30"/>
    <w:rsid w:val="00712C92"/>
    <w:rPr>
      <w:rFonts w:ascii="Lato Medium" w:hAnsi="Lato Medium"/>
      <w:b/>
      <w:bCs/>
      <w:i/>
      <w:iCs/>
      <w:color w:val="51247A" w:themeColor="accent1"/>
      <w:sz w:val="19"/>
    </w:rPr>
  </w:style>
  <w:style w:type="character" w:styleId="IntenseReference">
    <w:name w:val="Intense Reference"/>
    <w:basedOn w:val="DefaultParagraphFont"/>
    <w:uiPriority w:val="32"/>
    <w:qFormat/>
    <w:rsid w:val="00712C92"/>
    <w:rPr>
      <w:b/>
      <w:bCs/>
      <w:smallCaps/>
      <w:color w:val="E62645" w:themeColor="accent2"/>
      <w:spacing w:val="5"/>
      <w:u w:val="single"/>
    </w:rPr>
  </w:style>
  <w:style w:type="paragraph" w:styleId="NoSpacing">
    <w:name w:val="No Spacing"/>
    <w:uiPriority w:val="1"/>
    <w:qFormat/>
    <w:rsid w:val="00712C92"/>
    <w:pPr>
      <w:spacing w:after="0" w:line="240" w:lineRule="auto"/>
    </w:pPr>
  </w:style>
  <w:style w:type="paragraph" w:customStyle="1" w:styleId="Numberedheading1">
    <w:name w:val="Numbered heading 1"/>
    <w:basedOn w:val="Heading1"/>
    <w:next w:val="Normal"/>
    <w:link w:val="Numberedheading1Char"/>
    <w:rsid w:val="00712C92"/>
    <w:pPr>
      <w:pageBreakBefore/>
      <w:pBdr>
        <w:bottom w:val="single" w:sz="4" w:space="4" w:color="2D6396" w:themeColor="accent5" w:themeShade="BF"/>
      </w:pBdr>
      <w:spacing w:before="0" w:after="300" w:line="600" w:lineRule="atLeast"/>
      <w:ind w:left="360" w:hanging="360"/>
    </w:pPr>
    <w:rPr>
      <w:rFonts w:ascii="Lato Medium" w:hAnsi="Lato Medium" w:cs="Arial"/>
      <w:bCs/>
      <w:caps/>
      <w:color w:val="323E4F" w:themeColor="text2" w:themeShade="BF"/>
      <w:szCs w:val="28"/>
    </w:rPr>
  </w:style>
  <w:style w:type="character" w:customStyle="1" w:styleId="Numberedheading1Char">
    <w:name w:val="Numbered heading 1 Char"/>
    <w:basedOn w:val="Heading1Char"/>
    <w:link w:val="Numberedheading1"/>
    <w:rsid w:val="00712C92"/>
    <w:rPr>
      <w:rFonts w:ascii="Lato Medium" w:eastAsiaTheme="majorEastAsia" w:hAnsi="Lato Medium" w:cs="Arial"/>
      <w:bCs/>
      <w:caps/>
      <w:color w:val="323E4F" w:themeColor="text2" w:themeShade="BF"/>
      <w:sz w:val="36"/>
      <w:szCs w:val="28"/>
    </w:rPr>
  </w:style>
  <w:style w:type="paragraph" w:customStyle="1" w:styleId="Numberedheading2">
    <w:name w:val="Numbered heading 2"/>
    <w:basedOn w:val="Heading2"/>
    <w:next w:val="Normal"/>
    <w:link w:val="Numberedheading2Char"/>
    <w:rsid w:val="00712C92"/>
    <w:pPr>
      <w:numPr>
        <w:ilvl w:val="1"/>
      </w:numPr>
      <w:spacing w:before="360" w:after="200" w:line="280" w:lineRule="exact"/>
      <w:ind w:left="720" w:hanging="720"/>
    </w:pPr>
    <w:rPr>
      <w:rFonts w:ascii="Arial Bold" w:hAnsi="Arial Bold" w:cs="Arial"/>
      <w:bCs/>
      <w:caps/>
      <w:color w:val="BD3626"/>
      <w:sz w:val="19"/>
    </w:rPr>
  </w:style>
  <w:style w:type="character" w:customStyle="1" w:styleId="Numberedheading2Char">
    <w:name w:val="Numbered heading 2 Char"/>
    <w:basedOn w:val="Heading2Char"/>
    <w:link w:val="Numberedheading2"/>
    <w:rsid w:val="00712C92"/>
    <w:rPr>
      <w:rFonts w:ascii="Arial Bold" w:eastAsiaTheme="majorEastAsia" w:hAnsi="Arial Bold" w:cs="Arial"/>
      <w:b/>
      <w:bCs/>
      <w:caps/>
      <w:color w:val="BD3626"/>
      <w:sz w:val="19"/>
      <w:szCs w:val="26"/>
    </w:rPr>
  </w:style>
  <w:style w:type="paragraph" w:customStyle="1" w:styleId="StyleTableText">
    <w:name w:val="Style Table Text"/>
    <w:rsid w:val="00712C92"/>
    <w:pPr>
      <w:keepLines/>
      <w:spacing w:before="60" w:after="60" w:line="240" w:lineRule="auto"/>
    </w:pPr>
    <w:rPr>
      <w:rFonts w:ascii="Arial Narrow" w:eastAsia="Times New Roman" w:hAnsi="Arial Narrow" w:cs="Times New Roman"/>
      <w:sz w:val="20"/>
      <w:szCs w:val="20"/>
      <w:lang w:val="en-GB"/>
    </w:rPr>
  </w:style>
  <w:style w:type="character" w:styleId="SubtleEmphasis">
    <w:name w:val="Subtle Emphasis"/>
    <w:basedOn w:val="DefaultParagraphFont"/>
    <w:uiPriority w:val="19"/>
    <w:qFormat/>
    <w:rsid w:val="00712C92"/>
    <w:rPr>
      <w:rFonts w:ascii="Calibri" w:hAnsi="Calibri"/>
      <w:i/>
      <w:iCs/>
      <w:color w:val="808080" w:themeColor="text1" w:themeTint="7F"/>
    </w:rPr>
  </w:style>
  <w:style w:type="character" w:styleId="SubtleReference">
    <w:name w:val="Subtle Reference"/>
    <w:basedOn w:val="DefaultParagraphFont"/>
    <w:uiPriority w:val="31"/>
    <w:qFormat/>
    <w:rsid w:val="00712C92"/>
    <w:rPr>
      <w:smallCaps/>
      <w:color w:val="E62645" w:themeColor="accent2"/>
      <w:u w:val="single"/>
    </w:rPr>
  </w:style>
  <w:style w:type="paragraph" w:styleId="BodyTextIndent">
    <w:name w:val="Body Text Indent"/>
    <w:basedOn w:val="Normal"/>
    <w:link w:val="BodyTextIndentChar"/>
    <w:rsid w:val="00712C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026"/>
        <w:tab w:val="left" w:pos="9360"/>
        <w:tab w:val="left" w:pos="10080"/>
        <w:tab w:val="left" w:pos="10800"/>
        <w:tab w:val="left" w:pos="11520"/>
        <w:tab w:val="left" w:pos="12240"/>
        <w:tab w:val="left" w:pos="12960"/>
        <w:tab w:val="left" w:pos="13680"/>
        <w:tab w:val="left" w:pos="14400"/>
        <w:tab w:val="left" w:pos="15120"/>
        <w:tab w:val="left" w:pos="15840"/>
      </w:tabs>
      <w:spacing w:after="0" w:line="240" w:lineRule="atLeast"/>
      <w:ind w:left="3119" w:hanging="2552"/>
    </w:pPr>
    <w:rPr>
      <w:rFonts w:ascii="Times" w:eastAsia="Times New Roman" w:hAnsi="Times" w:cs="Times New Roman"/>
      <w:sz w:val="24"/>
      <w:szCs w:val="20"/>
      <w:lang w:val="en-US"/>
    </w:rPr>
  </w:style>
  <w:style w:type="character" w:customStyle="1" w:styleId="BodyTextIndentChar">
    <w:name w:val="Body Text Indent Char"/>
    <w:basedOn w:val="DefaultParagraphFont"/>
    <w:link w:val="BodyTextIndent"/>
    <w:rsid w:val="00712C92"/>
    <w:rPr>
      <w:rFonts w:ascii="Times" w:eastAsia="Times New Roman" w:hAnsi="Times" w:cs="Times New Roman"/>
      <w:sz w:val="24"/>
      <w:szCs w:val="20"/>
      <w:lang w:val="en-US"/>
    </w:rPr>
  </w:style>
  <w:style w:type="paragraph" w:styleId="BodyText2">
    <w:name w:val="Body Text 2"/>
    <w:basedOn w:val="Normal"/>
    <w:link w:val="BodyText2Char"/>
    <w:rsid w:val="00712C92"/>
    <w:pPr>
      <w:spacing w:after="0" w:line="240" w:lineRule="auto"/>
    </w:pPr>
    <w:rPr>
      <w:rFonts w:ascii="Times New Roman" w:eastAsia="Times New Roman" w:hAnsi="Times New Roman" w:cs="Times New Roman"/>
      <w:sz w:val="20"/>
      <w:szCs w:val="24"/>
      <w:lang w:val="en-US"/>
    </w:rPr>
  </w:style>
  <w:style w:type="character" w:customStyle="1" w:styleId="BodyText2Char">
    <w:name w:val="Body Text 2 Char"/>
    <w:basedOn w:val="DefaultParagraphFont"/>
    <w:link w:val="BodyText2"/>
    <w:rsid w:val="00712C92"/>
    <w:rPr>
      <w:rFonts w:ascii="Times New Roman" w:eastAsia="Times New Roman" w:hAnsi="Times New Roman" w:cs="Times New Roman"/>
      <w:sz w:val="20"/>
      <w:szCs w:val="24"/>
      <w:lang w:val="en-US"/>
    </w:rPr>
  </w:style>
  <w:style w:type="paragraph" w:styleId="BodyTextIndent2">
    <w:name w:val="Body Text Indent 2"/>
    <w:basedOn w:val="Normal"/>
    <w:link w:val="BodyTextIndent2Char"/>
    <w:rsid w:val="00712C92"/>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026"/>
        <w:tab w:val="left" w:pos="9360"/>
        <w:tab w:val="left" w:pos="10080"/>
        <w:tab w:val="left" w:pos="10800"/>
        <w:tab w:val="left" w:pos="11520"/>
        <w:tab w:val="left" w:pos="12240"/>
        <w:tab w:val="left" w:pos="12960"/>
        <w:tab w:val="left" w:pos="13680"/>
        <w:tab w:val="left" w:pos="14400"/>
        <w:tab w:val="left" w:pos="15120"/>
        <w:tab w:val="left" w:pos="15840"/>
      </w:tabs>
      <w:spacing w:after="0" w:line="240" w:lineRule="atLeast"/>
      <w:ind w:left="2727" w:hanging="2160"/>
    </w:pPr>
    <w:rPr>
      <w:rFonts w:ascii="Times New Roman" w:eastAsia="Times New Roman" w:hAnsi="Times New Roman" w:cs="Times New Roman"/>
      <w:sz w:val="24"/>
      <w:szCs w:val="24"/>
      <w:lang w:val="en-US"/>
    </w:rPr>
  </w:style>
  <w:style w:type="character" w:customStyle="1" w:styleId="BodyTextIndent2Char">
    <w:name w:val="Body Text Indent 2 Char"/>
    <w:basedOn w:val="DefaultParagraphFont"/>
    <w:link w:val="BodyTextIndent2"/>
    <w:rsid w:val="00712C92"/>
    <w:rPr>
      <w:rFonts w:ascii="Times New Roman" w:eastAsia="Times New Roman" w:hAnsi="Times New Roman" w:cs="Times New Roman"/>
      <w:sz w:val="24"/>
      <w:szCs w:val="24"/>
      <w:lang w:val="en-US"/>
    </w:rPr>
  </w:style>
  <w:style w:type="paragraph" w:customStyle="1" w:styleId="WPDefaults">
    <w:name w:val="WP Defaults"/>
    <w:rsid w:val="00712C9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spacing w:after="0" w:line="240" w:lineRule="atLeast"/>
    </w:pPr>
    <w:rPr>
      <w:rFonts w:ascii="Times New Roman" w:eastAsia="Times New Roman" w:hAnsi="Times New Roman" w:cs="Times New Roman"/>
      <w:sz w:val="24"/>
      <w:szCs w:val="20"/>
      <w:lang w:val="en-US"/>
    </w:rPr>
  </w:style>
  <w:style w:type="paragraph" w:customStyle="1" w:styleId="PaperTitle">
    <w:name w:val="Paper Title"/>
    <w:rsid w:val="00712C92"/>
    <w:pPr>
      <w:tabs>
        <w:tab w:val="left" w:pos="5101"/>
      </w:tabs>
      <w:spacing w:after="0" w:line="240" w:lineRule="auto"/>
    </w:pPr>
    <w:rPr>
      <w:rFonts w:ascii="Arial" w:eastAsia="Times New Roman" w:hAnsi="Arial" w:cs="Times New Roman"/>
      <w:b/>
      <w:caps/>
      <w:noProof/>
      <w:sz w:val="44"/>
      <w:szCs w:val="20"/>
      <w:lang w:val="en-US"/>
    </w:rPr>
  </w:style>
  <w:style w:type="character" w:customStyle="1" w:styleId="searchword">
    <w:name w:val="searchword"/>
    <w:rsid w:val="00712C92"/>
  </w:style>
  <w:style w:type="paragraph" w:customStyle="1" w:styleId="style10">
    <w:name w:val="style1"/>
    <w:basedOn w:val="Normal"/>
    <w:rsid w:val="00712C92"/>
    <w:pPr>
      <w:spacing w:before="100" w:beforeAutospacing="1" w:after="100" w:afterAutospacing="1" w:line="240" w:lineRule="auto"/>
    </w:pPr>
    <w:rPr>
      <w:rFonts w:ascii="Verdana" w:eastAsia="Times New Roman" w:hAnsi="Verdana" w:cs="Times New Roman"/>
      <w:sz w:val="12"/>
      <w:szCs w:val="12"/>
      <w:lang w:val="en-US" w:eastAsia="en-AU"/>
    </w:rPr>
  </w:style>
  <w:style w:type="character" w:customStyle="1" w:styleId="volume">
    <w:name w:val="volume"/>
    <w:rsid w:val="00712C92"/>
  </w:style>
  <w:style w:type="paragraph" w:customStyle="1" w:styleId="Letter">
    <w:name w:val="Letter"/>
    <w:basedOn w:val="Normal"/>
    <w:link w:val="LetterChar"/>
    <w:qFormat/>
    <w:rsid w:val="00712C92"/>
    <w:pPr>
      <w:widowControl w:val="0"/>
      <w:spacing w:before="80" w:after="80" w:line="240" w:lineRule="auto"/>
    </w:pPr>
    <w:rPr>
      <w:rFonts w:ascii="Calibri Light" w:eastAsia="Times New Roman" w:hAnsi="Calibri Light" w:cs="Times New Roman"/>
      <w:sz w:val="20"/>
      <w:szCs w:val="24"/>
      <w:lang w:eastAsia="en-AU"/>
    </w:rPr>
  </w:style>
  <w:style w:type="paragraph" w:customStyle="1" w:styleId="Tableboldtext">
    <w:name w:val="Table bold text"/>
    <w:basedOn w:val="Tabletext0"/>
    <w:link w:val="TableboldtextChar"/>
    <w:qFormat/>
    <w:rsid w:val="00712C92"/>
    <w:pPr>
      <w:autoSpaceDE/>
      <w:autoSpaceDN/>
      <w:adjustRightInd/>
      <w:spacing w:before="80" w:after="80"/>
      <w:ind w:left="0" w:right="0"/>
    </w:pPr>
    <w:rPr>
      <w:rFonts w:ascii="Calibri Light" w:hAnsi="Calibri Light"/>
      <w:b/>
      <w:sz w:val="18"/>
      <w:szCs w:val="20"/>
    </w:rPr>
  </w:style>
  <w:style w:type="character" w:customStyle="1" w:styleId="LetterChar">
    <w:name w:val="Letter Char"/>
    <w:basedOn w:val="DefaultParagraphFont"/>
    <w:link w:val="Letter"/>
    <w:rsid w:val="00712C92"/>
    <w:rPr>
      <w:rFonts w:ascii="Calibri Light" w:eastAsia="Times New Roman" w:hAnsi="Calibri Light" w:cs="Times New Roman"/>
      <w:sz w:val="20"/>
      <w:szCs w:val="24"/>
      <w:lang w:eastAsia="en-AU"/>
    </w:rPr>
  </w:style>
  <w:style w:type="character" w:customStyle="1" w:styleId="TableboldtextChar">
    <w:name w:val="Table bold text Char"/>
    <w:basedOn w:val="TabletextChar"/>
    <w:link w:val="Tableboldtext"/>
    <w:rsid w:val="00712C92"/>
    <w:rPr>
      <w:rFonts w:ascii="Calibri Light" w:eastAsia="Cambria" w:hAnsi="Calibri Light" w:cstheme="minorHAnsi"/>
      <w:b/>
      <w:color w:val="000000"/>
      <w:sz w:val="18"/>
      <w:szCs w:val="20"/>
    </w:rPr>
  </w:style>
  <w:style w:type="table" w:customStyle="1" w:styleId="TableGrid5">
    <w:name w:val="Table Grid5"/>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PageSubtitleChar">
    <w:name w:val="Title Page Subtitle Char"/>
    <w:link w:val="TitlePageSubtitle"/>
    <w:rsid w:val="009D10AE"/>
    <w:rPr>
      <w:rFonts w:eastAsia="Times New Roman" w:cs="Arial"/>
      <w:color w:val="51247A" w:themeColor="accent1"/>
      <w:sz w:val="28"/>
      <w:szCs w:val="24"/>
      <w:lang w:eastAsia="en-AU"/>
    </w:rPr>
  </w:style>
  <w:style w:type="paragraph" w:customStyle="1" w:styleId="Bodylist3">
    <w:name w:val="Body list 3"/>
    <w:basedOn w:val="Normal"/>
    <w:autoRedefine/>
    <w:uiPriority w:val="1"/>
    <w:qFormat/>
    <w:rsid w:val="00245614"/>
    <w:pPr>
      <w:numPr>
        <w:numId w:val="130"/>
      </w:numPr>
      <w:tabs>
        <w:tab w:val="left" w:pos="567"/>
      </w:tabs>
      <w:spacing w:before="113" w:after="85" w:line="240" w:lineRule="exact"/>
    </w:pPr>
    <w:rPr>
      <w:color w:val="000000" w:themeColor="text1"/>
      <w:spacing w:val="2"/>
      <w:sz w:val="18"/>
    </w:rPr>
  </w:style>
  <w:style w:type="paragraph" w:customStyle="1" w:styleId="Body">
    <w:name w:val="Body"/>
    <w:basedOn w:val="Normal"/>
    <w:uiPriority w:val="1"/>
    <w:qFormat/>
    <w:rsid w:val="00712C92"/>
    <w:pPr>
      <w:widowControl w:val="0"/>
      <w:tabs>
        <w:tab w:val="left" w:pos="2183"/>
      </w:tabs>
      <w:autoSpaceDE w:val="0"/>
      <w:autoSpaceDN w:val="0"/>
      <w:adjustRightInd w:val="0"/>
      <w:spacing w:before="120" w:line="264" w:lineRule="auto"/>
    </w:pPr>
    <w:rPr>
      <w:rFonts w:ascii="Arial" w:eastAsiaTheme="minorEastAsia" w:hAnsi="Arial" w:cs="Arial"/>
      <w:spacing w:val="2"/>
      <w:sz w:val="18"/>
      <w:szCs w:val="18"/>
      <w:lang w:eastAsia="en-AU"/>
    </w:rPr>
  </w:style>
  <w:style w:type="character" w:customStyle="1" w:styleId="bold">
    <w:name w:val="bold"/>
    <w:basedOn w:val="DefaultParagraphFont"/>
    <w:uiPriority w:val="1"/>
    <w:rsid w:val="00712C92"/>
    <w:rPr>
      <w:b/>
    </w:rPr>
  </w:style>
  <w:style w:type="paragraph" w:customStyle="1" w:styleId="Subhead2list3">
    <w:name w:val="Sub head 2 list 3"/>
    <w:uiPriority w:val="1"/>
    <w:semiHidden/>
    <w:qFormat/>
    <w:rsid w:val="00245614"/>
    <w:pPr>
      <w:numPr>
        <w:numId w:val="131"/>
      </w:numPr>
      <w:tabs>
        <w:tab w:val="left" w:pos="567"/>
      </w:tabs>
      <w:spacing w:before="113" w:after="0" w:line="240" w:lineRule="exact"/>
    </w:pPr>
    <w:rPr>
      <w:rFonts w:ascii="Arial Bold" w:hAnsi="Arial Bold"/>
      <w:b/>
      <w:color w:val="44546A" w:themeColor="text2"/>
      <w:sz w:val="18"/>
    </w:rPr>
  </w:style>
  <w:style w:type="table" w:customStyle="1" w:styleId="TableGrid6">
    <w:name w:val="Table Grid6"/>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List4">
    <w:name w:val="Table List 4"/>
    <w:basedOn w:val="TableNormal"/>
    <w:uiPriority w:val="99"/>
    <w:rsid w:val="00712C92"/>
    <w:pPr>
      <w:spacing w:after="0" w:line="240" w:lineRule="auto"/>
    </w:pPr>
    <w:rPr>
      <w:rFonts w:ascii="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StyleNumbered1">
    <w:name w:val="Style Numbered1"/>
    <w:basedOn w:val="NoList"/>
    <w:rsid w:val="00712C92"/>
  </w:style>
  <w:style w:type="table" w:customStyle="1" w:styleId="Table-Blue1">
    <w:name w:val="Table - Blue1"/>
    <w:basedOn w:val="TableNormal"/>
    <w:rsid w:val="00712C92"/>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val="0"/>
        <w:color w:val="FFFFFF"/>
        <w:sz w:val="24"/>
      </w:rPr>
      <w:tblPr/>
      <w:tcPr>
        <w:shd w:val="clear" w:color="auto" w:fill="003E69"/>
      </w:tc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table" w:customStyle="1" w:styleId="Table-LowInk1">
    <w:name w:val="Table - Low Ink1"/>
    <w:basedOn w:val="TableNormal"/>
    <w:rsid w:val="00712C92"/>
    <w:pPr>
      <w:spacing w:after="0" w:line="240" w:lineRule="auto"/>
    </w:pPr>
    <w:rPr>
      <w:rFonts w:ascii="Arial" w:eastAsia="Times New Roman" w:hAnsi="Arial" w:cs="Times New Roman"/>
      <w:szCs w:val="20"/>
      <w:lang w:eastAsia="en-AU"/>
    </w:rPr>
    <w:tblP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top w:w="57" w:type="dxa"/>
        <w:left w:w="119" w:type="dxa"/>
        <w:bottom w:w="28" w:type="dxa"/>
        <w:right w:w="119" w:type="dxa"/>
      </w:tblCellMar>
    </w:tblPr>
    <w:tblStylePr w:type="firstRow">
      <w:rPr>
        <w:rFonts w:ascii="Arial" w:hAnsi="Arial"/>
        <w:b/>
        <w:color w:val="4D4D4D"/>
        <w:sz w:val="24"/>
      </w:rPr>
    </w:tblStylePr>
    <w:tblStylePr w:type="lastRow">
      <w:tblPr/>
      <w:tcPr>
        <w:tcBorders>
          <w:top w:val="single" w:sz="4" w:space="0" w:color="C0C0C0"/>
          <w:left w:val="single" w:sz="4" w:space="0" w:color="C0C0C0"/>
          <w:bottom w:val="single" w:sz="12" w:space="0" w:color="C0C0C0"/>
          <w:right w:val="single" w:sz="4" w:space="0" w:color="C0C0C0"/>
          <w:insideH w:val="nil"/>
          <w:insideV w:val="single" w:sz="4" w:space="0" w:color="C0C0C0"/>
          <w:tl2br w:val="nil"/>
          <w:tr2bl w:val="nil"/>
        </w:tcBorders>
      </w:tcPr>
    </w:tblStylePr>
    <w:tblStylePr w:type="firstCol">
      <w:tblPr/>
      <w:tcPr>
        <w:shd w:val="clear" w:color="auto" w:fill="E6E6E6"/>
      </w:tcPr>
    </w:tblStylePr>
  </w:style>
  <w:style w:type="numbering" w:customStyle="1" w:styleId="1111111">
    <w:name w:val="1 / 1.1 / 1.1.11"/>
    <w:basedOn w:val="NoList"/>
    <w:next w:val="111111"/>
    <w:rsid w:val="00712C92"/>
  </w:style>
  <w:style w:type="table" w:customStyle="1" w:styleId="AABlackTable11">
    <w:name w:val="AABlackTable11"/>
    <w:basedOn w:val="TableNormal"/>
    <w:uiPriority w:val="99"/>
    <w:rsid w:val="00712C92"/>
    <w:pPr>
      <w:spacing w:before="110" w:after="110" w:line="264" w:lineRule="auto"/>
    </w:pPr>
    <w:rPr>
      <w:rFonts w:ascii="Verdana" w:hAnsi="Verdana"/>
      <w:sz w:val="18"/>
      <w:szCs w:val="20"/>
    </w:rPr>
    <w:tblPr>
      <w:tblInd w:w="108" w:type="dxa"/>
      <w:tblBorders>
        <w:top w:val="single" w:sz="4" w:space="0" w:color="000000"/>
        <w:bottom w:val="single" w:sz="4" w:space="0" w:color="000000"/>
        <w:insideH w:val="single" w:sz="4" w:space="0" w:color="000000"/>
        <w:insideV w:val="single" w:sz="4" w:space="0" w:color="000000"/>
      </w:tblBorders>
    </w:tblPr>
    <w:tblStylePr w:type="firstRow">
      <w:rPr>
        <w:b/>
        <w:color w:val="FFFFFF" w:themeColor="background1"/>
      </w:rPr>
      <w:tbl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l2br w:val="nil"/>
          <w:tr2bl w:val="nil"/>
        </w:tcBorders>
        <w:shd w:val="solid" w:color="000000" w:fill="000000"/>
      </w:tcPr>
    </w:tblStylePr>
    <w:tblStylePr w:type="fir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tblStylePr w:type="lastCol">
      <w:tblPr/>
      <w:tcPr>
        <w:tcBorders>
          <w:top w:val="single" w:sz="4" w:space="0" w:color="000000"/>
          <w:left w:val="single" w:sz="4" w:space="0" w:color="000000"/>
          <w:bottom w:val="single" w:sz="4" w:space="0" w:color="000000"/>
          <w:right w:val="single" w:sz="4" w:space="0" w:color="000000"/>
          <w:insideH w:val="single" w:sz="4" w:space="0" w:color="000000"/>
          <w:insideV w:val="nil"/>
          <w:tl2br w:val="nil"/>
          <w:tr2bl w:val="nil"/>
        </w:tcBorders>
      </w:tcPr>
    </w:tblStylePr>
  </w:style>
  <w:style w:type="table" w:customStyle="1" w:styleId="LightList1">
    <w:name w:val="Light List1"/>
    <w:basedOn w:val="TableNormal"/>
    <w:next w:val="LightList"/>
    <w:uiPriority w:val="61"/>
    <w:rsid w:val="00712C9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chedule1">
    <w:name w:val="Schedule1"/>
    <w:uiPriority w:val="99"/>
    <w:rsid w:val="00712C92"/>
  </w:style>
  <w:style w:type="table" w:customStyle="1" w:styleId="TableGrid12">
    <w:name w:val="Table Grid12"/>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712C92"/>
    <w:pPr>
      <w:spacing w:before="180" w:after="60" w:line="264"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
    <w:name w:val="Endnote"/>
    <w:basedOn w:val="Normal"/>
    <w:rsid w:val="00712C92"/>
    <w:pPr>
      <w:spacing w:after="0" w:line="360" w:lineRule="auto"/>
      <w:ind w:left="720" w:hanging="720"/>
    </w:pPr>
    <w:rPr>
      <w:rFonts w:ascii="Arial" w:eastAsia="Times New Roman" w:hAnsi="Arial" w:cs="Arial"/>
      <w:sz w:val="20"/>
    </w:rPr>
  </w:style>
  <w:style w:type="paragraph" w:customStyle="1" w:styleId="TOC41">
    <w:name w:val="TOC 41"/>
    <w:basedOn w:val="Normal"/>
    <w:next w:val="Normal"/>
    <w:autoRedefine/>
    <w:uiPriority w:val="39"/>
    <w:unhideWhenUsed/>
    <w:rsid w:val="00712C92"/>
    <w:pPr>
      <w:spacing w:after="100" w:line="259" w:lineRule="auto"/>
      <w:ind w:left="660"/>
    </w:pPr>
    <w:rPr>
      <w:rFonts w:eastAsia="MS Mincho"/>
      <w:sz w:val="20"/>
      <w:lang w:eastAsia="en-AU"/>
    </w:rPr>
  </w:style>
  <w:style w:type="paragraph" w:customStyle="1" w:styleId="TOC51">
    <w:name w:val="TOC 51"/>
    <w:basedOn w:val="Normal"/>
    <w:next w:val="Normal"/>
    <w:autoRedefine/>
    <w:uiPriority w:val="39"/>
    <w:unhideWhenUsed/>
    <w:rsid w:val="00712C92"/>
    <w:pPr>
      <w:spacing w:after="100" w:line="259" w:lineRule="auto"/>
      <w:ind w:left="880"/>
    </w:pPr>
    <w:rPr>
      <w:rFonts w:eastAsia="MS Mincho"/>
      <w:sz w:val="20"/>
      <w:lang w:eastAsia="en-AU"/>
    </w:rPr>
  </w:style>
  <w:style w:type="paragraph" w:customStyle="1" w:styleId="TOC61">
    <w:name w:val="TOC 61"/>
    <w:basedOn w:val="Normal"/>
    <w:next w:val="Normal"/>
    <w:autoRedefine/>
    <w:uiPriority w:val="39"/>
    <w:unhideWhenUsed/>
    <w:rsid w:val="00712C92"/>
    <w:pPr>
      <w:spacing w:after="100" w:line="259" w:lineRule="auto"/>
      <w:ind w:left="1100"/>
    </w:pPr>
    <w:rPr>
      <w:rFonts w:eastAsia="MS Mincho"/>
      <w:sz w:val="20"/>
      <w:lang w:eastAsia="en-AU"/>
    </w:rPr>
  </w:style>
  <w:style w:type="paragraph" w:customStyle="1" w:styleId="TOC71">
    <w:name w:val="TOC 71"/>
    <w:basedOn w:val="Normal"/>
    <w:next w:val="Normal"/>
    <w:autoRedefine/>
    <w:uiPriority w:val="39"/>
    <w:unhideWhenUsed/>
    <w:rsid w:val="00712C92"/>
    <w:pPr>
      <w:spacing w:after="100" w:line="259" w:lineRule="auto"/>
      <w:ind w:left="1320"/>
    </w:pPr>
    <w:rPr>
      <w:rFonts w:eastAsia="MS Mincho"/>
      <w:sz w:val="20"/>
      <w:lang w:eastAsia="en-AU"/>
    </w:rPr>
  </w:style>
  <w:style w:type="paragraph" w:customStyle="1" w:styleId="TOC81">
    <w:name w:val="TOC 81"/>
    <w:basedOn w:val="Normal"/>
    <w:next w:val="Normal"/>
    <w:autoRedefine/>
    <w:uiPriority w:val="39"/>
    <w:unhideWhenUsed/>
    <w:rsid w:val="00712C92"/>
    <w:pPr>
      <w:spacing w:after="100" w:line="259" w:lineRule="auto"/>
      <w:ind w:left="1540"/>
    </w:pPr>
    <w:rPr>
      <w:rFonts w:eastAsia="MS Mincho"/>
      <w:sz w:val="20"/>
      <w:lang w:eastAsia="en-AU"/>
    </w:rPr>
  </w:style>
  <w:style w:type="paragraph" w:customStyle="1" w:styleId="TOC91">
    <w:name w:val="TOC 91"/>
    <w:basedOn w:val="Normal"/>
    <w:next w:val="Normal"/>
    <w:autoRedefine/>
    <w:uiPriority w:val="39"/>
    <w:unhideWhenUsed/>
    <w:rsid w:val="00712C92"/>
    <w:pPr>
      <w:spacing w:after="100" w:line="259" w:lineRule="auto"/>
      <w:ind w:left="1760"/>
    </w:pPr>
    <w:rPr>
      <w:rFonts w:eastAsia="MS Mincho"/>
      <w:sz w:val="20"/>
      <w:lang w:eastAsia="en-AU"/>
    </w:rPr>
  </w:style>
  <w:style w:type="numbering" w:customStyle="1" w:styleId="NoList11">
    <w:name w:val="No List11"/>
    <w:next w:val="NoList"/>
    <w:uiPriority w:val="99"/>
    <w:semiHidden/>
    <w:unhideWhenUsed/>
    <w:rsid w:val="00712C92"/>
  </w:style>
  <w:style w:type="table" w:customStyle="1" w:styleId="TableList41">
    <w:name w:val="Table List 41"/>
    <w:basedOn w:val="TableNormal"/>
    <w:next w:val="TableList4"/>
    <w:rsid w:val="00712C92"/>
    <w:pPr>
      <w:spacing w:after="0" w:line="240" w:lineRule="auto"/>
    </w:pPr>
    <w:rPr>
      <w:rFonts w:ascii="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Grid7">
    <w:name w:val="Table Grid7"/>
    <w:basedOn w:val="TableNormal"/>
    <w:next w:val="TableGrid"/>
    <w:uiPriority w:val="39"/>
    <w:rsid w:val="00712C92"/>
    <w:pPr>
      <w:spacing w:after="0" w:line="240" w:lineRule="auto"/>
      <w:jc w:val="both"/>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ges">
    <w:name w:val="pages"/>
    <w:basedOn w:val="DefaultParagraphFont"/>
    <w:rsid w:val="00712C92"/>
  </w:style>
  <w:style w:type="paragraph" w:customStyle="1" w:styleId="type">
    <w:name w:val="type"/>
    <w:basedOn w:val="Normal"/>
    <w:rsid w:val="00712C92"/>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typeclassificationparent">
    <w:name w:val="type_classification_parent"/>
    <w:basedOn w:val="DefaultParagraphFont"/>
    <w:rsid w:val="00712C92"/>
  </w:style>
  <w:style w:type="character" w:customStyle="1" w:styleId="typeparentsep">
    <w:name w:val="type_parent_sep"/>
    <w:basedOn w:val="DefaultParagraphFont"/>
    <w:rsid w:val="00712C92"/>
  </w:style>
  <w:style w:type="character" w:customStyle="1" w:styleId="typeclassification">
    <w:name w:val="type_classification"/>
    <w:basedOn w:val="DefaultParagraphFont"/>
    <w:rsid w:val="00712C92"/>
  </w:style>
  <w:style w:type="table" w:styleId="ListTable4-Accent5">
    <w:name w:val="List Table 4 Accent 5"/>
    <w:basedOn w:val="TableNormal"/>
    <w:uiPriority w:val="49"/>
    <w:rsid w:val="00712C92"/>
    <w:pPr>
      <w:spacing w:after="0" w:line="240" w:lineRule="auto"/>
    </w:pPr>
    <w:tblPr>
      <w:tblStyleRowBandSize w:val="1"/>
      <w:tblStyleColBandSize w:val="1"/>
      <w:tblBorders>
        <w:top w:val="single" w:sz="4" w:space="0" w:color="8CB5DC" w:themeColor="accent5" w:themeTint="99"/>
        <w:left w:val="single" w:sz="4" w:space="0" w:color="8CB5DC" w:themeColor="accent5" w:themeTint="99"/>
        <w:bottom w:val="single" w:sz="4" w:space="0" w:color="8CB5DC" w:themeColor="accent5" w:themeTint="99"/>
        <w:right w:val="single" w:sz="4" w:space="0" w:color="8CB5DC" w:themeColor="accent5" w:themeTint="99"/>
        <w:insideH w:val="single" w:sz="4" w:space="0" w:color="8CB5DC" w:themeColor="accent5" w:themeTint="99"/>
      </w:tblBorders>
    </w:tblPr>
    <w:tblStylePr w:type="firstRow">
      <w:rPr>
        <w:b/>
        <w:bCs/>
        <w:color w:val="FFFFFF" w:themeColor="background1"/>
      </w:rPr>
      <w:tblPr/>
      <w:tcPr>
        <w:tcBorders>
          <w:top w:val="single" w:sz="4" w:space="0" w:color="4085C6" w:themeColor="accent5"/>
          <w:left w:val="single" w:sz="4" w:space="0" w:color="4085C6" w:themeColor="accent5"/>
          <w:bottom w:val="single" w:sz="4" w:space="0" w:color="4085C6" w:themeColor="accent5"/>
          <w:right w:val="single" w:sz="4" w:space="0" w:color="4085C6" w:themeColor="accent5"/>
          <w:insideH w:val="nil"/>
        </w:tcBorders>
        <w:shd w:val="clear" w:color="auto" w:fill="4085C6" w:themeFill="accent5"/>
      </w:tcPr>
    </w:tblStylePr>
    <w:tblStylePr w:type="lastRow">
      <w:rPr>
        <w:b/>
        <w:bCs/>
      </w:rPr>
      <w:tblPr/>
      <w:tcPr>
        <w:tcBorders>
          <w:top w:val="double" w:sz="4" w:space="0" w:color="8CB5DC" w:themeColor="accent5" w:themeTint="99"/>
        </w:tcBorders>
      </w:tcPr>
    </w:tblStylePr>
    <w:tblStylePr w:type="firstCol">
      <w:rPr>
        <w:b/>
        <w:bCs/>
      </w:rPr>
    </w:tblStylePr>
    <w:tblStylePr w:type="lastCol">
      <w:rPr>
        <w:b/>
        <w:bCs/>
      </w:rPr>
    </w:tblStylePr>
    <w:tblStylePr w:type="band1Vert">
      <w:tblPr/>
      <w:tcPr>
        <w:shd w:val="clear" w:color="auto" w:fill="D8E6F3" w:themeFill="accent5" w:themeFillTint="33"/>
      </w:tcPr>
    </w:tblStylePr>
    <w:tblStylePr w:type="band1Horz">
      <w:tblPr/>
      <w:tcPr>
        <w:shd w:val="clear" w:color="auto" w:fill="D8E6F3" w:themeFill="accent5" w:themeFillTint="33"/>
      </w:tcPr>
    </w:tblStylePr>
  </w:style>
  <w:style w:type="table" w:customStyle="1" w:styleId="TableGrid8">
    <w:name w:val="Table Grid8"/>
    <w:basedOn w:val="TableNormal"/>
    <w:next w:val="TableGrid"/>
    <w:uiPriority w:val="39"/>
    <w:rsid w:val="00712C92"/>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Border1">
    <w:name w:val="Table No Border1"/>
    <w:basedOn w:val="TableNormal"/>
    <w:next w:val="TableGrid"/>
    <w:uiPriority w:val="39"/>
    <w:rsid w:val="00712C92"/>
    <w:pPr>
      <w:spacing w:after="0" w:line="240" w:lineRule="auto"/>
    </w:pPr>
    <w:tblPr>
      <w:tblCellMar>
        <w:left w:w="0" w:type="dxa"/>
        <w:right w:w="0" w:type="dxa"/>
      </w:tblCellMar>
    </w:tblPr>
  </w:style>
  <w:style w:type="table" w:customStyle="1" w:styleId="TableUQLined1">
    <w:name w:val="Table UQ Lined1"/>
    <w:basedOn w:val="TableNormal"/>
    <w:uiPriority w:val="99"/>
    <w:rsid w:val="00712C92"/>
    <w:pPr>
      <w:spacing w:after="0" w:line="240" w:lineRule="auto"/>
    </w:pPr>
    <w:tblPr>
      <w:tblStyleRowBandSize w:val="1"/>
      <w:tblStyleColBandSize w:val="1"/>
      <w:tblBorders>
        <w:top w:val="single" w:sz="4" w:space="0" w:color="51247A"/>
        <w:bottom w:val="single" w:sz="18" w:space="0" w:color="51247A"/>
        <w:insideH w:val="single" w:sz="4" w:space="0" w:color="51247A"/>
      </w:tblBorders>
      <w:tblCellMar>
        <w:left w:w="0" w:type="dxa"/>
        <w:right w:w="0" w:type="dxa"/>
      </w:tblCellMar>
    </w:tblPr>
    <w:tblStylePr w:type="firstRow">
      <w:tblPr/>
      <w:tcPr>
        <w:tcBorders>
          <w:top w:val="single" w:sz="18" w:space="0" w:color="51247A"/>
          <w:left w:val="nil"/>
          <w:bottom w:val="single" w:sz="18" w:space="0" w:color="51247A"/>
          <w:right w:val="nil"/>
          <w:insideH w:val="nil"/>
          <w:insideV w:val="nil"/>
          <w:tl2br w:val="nil"/>
          <w:tr2bl w:val="nil"/>
        </w:tcBorders>
      </w:tcPr>
    </w:tblStylePr>
    <w:tblStylePr w:type="lastRow">
      <w:rPr>
        <w:b/>
      </w:rPr>
      <w:tblPr/>
      <w:tcPr>
        <w:shd w:val="clear" w:color="auto" w:fill="F7F5F4"/>
      </w:tcPr>
    </w:tblStylePr>
    <w:tblStylePr w:type="lastCol">
      <w:tblPr/>
      <w:tcPr>
        <w:shd w:val="clear" w:color="auto" w:fill="F7F5F4"/>
      </w:tcPr>
    </w:tblStylePr>
    <w:tblStylePr w:type="band2Vert">
      <w:tblPr/>
      <w:tcPr>
        <w:shd w:val="clear" w:color="auto" w:fill="F7F5F4"/>
      </w:tcPr>
    </w:tblStylePr>
    <w:tblStylePr w:type="band2Horz">
      <w:tblPr/>
      <w:tcPr>
        <w:shd w:val="clear" w:color="auto" w:fill="F7F5F4"/>
      </w:tcPr>
    </w:tblStylePr>
  </w:style>
  <w:style w:type="table" w:customStyle="1" w:styleId="TableGrid61">
    <w:name w:val="Table Grid61"/>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712C9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66">
    <w:name w:val="xl66"/>
    <w:basedOn w:val="Normal"/>
    <w:rsid w:val="00712C9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7">
    <w:name w:val="xl67"/>
    <w:basedOn w:val="Normal"/>
    <w:rsid w:val="00712C9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8">
    <w:name w:val="xl68"/>
    <w:basedOn w:val="Normal"/>
    <w:rsid w:val="00712C9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24"/>
      <w:szCs w:val="24"/>
      <w:lang w:eastAsia="en-AU"/>
    </w:rPr>
  </w:style>
  <w:style w:type="paragraph" w:customStyle="1" w:styleId="xl69">
    <w:name w:val="xl69"/>
    <w:basedOn w:val="Normal"/>
    <w:rsid w:val="00712C9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0">
    <w:name w:val="xl70"/>
    <w:basedOn w:val="Normal"/>
    <w:rsid w:val="00712C92"/>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71">
    <w:name w:val="xl71"/>
    <w:basedOn w:val="Normal"/>
    <w:rsid w:val="00712C92"/>
    <w:pPr>
      <w:pBdr>
        <w:top w:val="single" w:sz="4" w:space="0" w:color="auto"/>
        <w:left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en-AU"/>
    </w:rPr>
  </w:style>
  <w:style w:type="paragraph" w:customStyle="1" w:styleId="xl72">
    <w:name w:val="xl72"/>
    <w:basedOn w:val="Normal"/>
    <w:rsid w:val="00712C92"/>
    <w:pPr>
      <w:pBdr>
        <w:top w:val="single" w:sz="4" w:space="0" w:color="auto"/>
        <w:bottom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en-AU"/>
    </w:rPr>
  </w:style>
  <w:style w:type="paragraph" w:customStyle="1" w:styleId="xl73">
    <w:name w:val="xl73"/>
    <w:basedOn w:val="Normal"/>
    <w:rsid w:val="00712C92"/>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en-AU"/>
    </w:rPr>
  </w:style>
  <w:style w:type="table" w:customStyle="1" w:styleId="TableGrid10">
    <w:name w:val="Table Grid10"/>
    <w:basedOn w:val="TableNormal"/>
    <w:next w:val="TableGrid"/>
    <w:uiPriority w:val="59"/>
    <w:rsid w:val="00712C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4">
    <w:name w:val="xl74"/>
    <w:basedOn w:val="Normal"/>
    <w:rsid w:val="00712C92"/>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b/>
      <w:bCs/>
      <w:sz w:val="24"/>
      <w:szCs w:val="24"/>
      <w:lang w:eastAsia="en-AU"/>
    </w:rPr>
  </w:style>
  <w:style w:type="character" w:customStyle="1" w:styleId="spelle">
    <w:name w:val="spelle"/>
    <w:basedOn w:val="DefaultParagraphFont"/>
    <w:rsid w:val="00812423"/>
  </w:style>
  <w:style w:type="table" w:customStyle="1" w:styleId="TableGrid13">
    <w:name w:val="Table Grid13"/>
    <w:basedOn w:val="TableNormal"/>
    <w:next w:val="TableGrid"/>
    <w:uiPriority w:val="39"/>
    <w:rsid w:val="00232F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xnormaltextrun">
    <w:name w:val="x_normaltextrun"/>
    <w:basedOn w:val="DefaultParagraphFont"/>
    <w:rsid w:val="00B26612"/>
  </w:style>
  <w:style w:type="character" w:customStyle="1" w:styleId="serialtitle">
    <w:name w:val="serial_title"/>
    <w:basedOn w:val="DefaultParagraphFont"/>
    <w:rsid w:val="000E7BF3"/>
  </w:style>
  <w:style w:type="character" w:customStyle="1" w:styleId="volumeissue">
    <w:name w:val="volume_issue"/>
    <w:basedOn w:val="DefaultParagraphFont"/>
    <w:rsid w:val="000E7BF3"/>
  </w:style>
  <w:style w:type="character" w:customStyle="1" w:styleId="pagerange">
    <w:name w:val="page_range"/>
    <w:basedOn w:val="DefaultParagraphFont"/>
    <w:rsid w:val="000E7BF3"/>
  </w:style>
  <w:style w:type="character" w:customStyle="1" w:styleId="normaltextrun">
    <w:name w:val="normaltextrun"/>
    <w:basedOn w:val="DefaultParagraphFont"/>
    <w:uiPriority w:val="99"/>
    <w:rsid w:val="00B63464"/>
  </w:style>
  <w:style w:type="character" w:customStyle="1" w:styleId="eop">
    <w:name w:val="eop"/>
    <w:basedOn w:val="DefaultParagraphFont"/>
    <w:uiPriority w:val="99"/>
    <w:rsid w:val="00B63464"/>
  </w:style>
  <w:style w:type="paragraph" w:customStyle="1" w:styleId="paragraph">
    <w:name w:val="paragraph"/>
    <w:basedOn w:val="Normal"/>
    <w:uiPriority w:val="99"/>
    <w:rsid w:val="00B63464"/>
    <w:pPr>
      <w:autoSpaceDE w:val="0"/>
      <w:autoSpaceDN w:val="0"/>
      <w:adjustRightInd w:val="0"/>
      <w:spacing w:before="100" w:after="100" w:line="240" w:lineRule="auto"/>
    </w:pPr>
    <w:rPr>
      <w:rFonts w:ascii="Times New Roman" w:hAnsi="Times New Roman" w:cs="Times New Roman"/>
      <w:sz w:val="24"/>
      <w:szCs w:val="24"/>
    </w:rPr>
  </w:style>
  <w:style w:type="paragraph" w:customStyle="1" w:styleId="Style3-keypoints-h2">
    <w:name w:val="Style3 - key points - h2"/>
    <w:basedOn w:val="BodyText"/>
    <w:link w:val="Style3-keypoints-h2Char"/>
    <w:qFormat/>
    <w:rsid w:val="000A687F"/>
    <w:pPr>
      <w:shd w:val="clear" w:color="auto" w:fill="51247A" w:themeFill="accent1"/>
      <w:outlineLvl w:val="1"/>
    </w:pPr>
    <w:rPr>
      <w:color w:val="FFFFFF" w:themeColor="background1"/>
    </w:rPr>
  </w:style>
  <w:style w:type="character" w:customStyle="1" w:styleId="Style3-keypoints-h2Char">
    <w:name w:val="Style3 - key points - h2 Char"/>
    <w:basedOn w:val="BodyTextChar"/>
    <w:link w:val="Style3-keypoints-h2"/>
    <w:rsid w:val="000A687F"/>
    <w:rPr>
      <w:color w:val="FFFFFF" w:themeColor="background1"/>
      <w:shd w:val="clear" w:color="auto" w:fill="51247A" w:themeFill="accent1"/>
    </w:rPr>
  </w:style>
  <w:style w:type="paragraph" w:customStyle="1" w:styleId="Nbrheading10">
    <w:name w:val="Nbr heading 1"/>
    <w:basedOn w:val="NbrHeading1"/>
    <w:link w:val="Nbrheading1Char0"/>
    <w:rsid w:val="00122779"/>
  </w:style>
  <w:style w:type="character" w:customStyle="1" w:styleId="NbrHeading1Char">
    <w:name w:val="Nbr Heading 1 Char"/>
    <w:basedOn w:val="Heading1Char"/>
    <w:link w:val="NbrHeading1"/>
    <w:uiPriority w:val="1"/>
    <w:rsid w:val="00122779"/>
    <w:rPr>
      <w:rFonts w:asciiTheme="majorHAnsi" w:eastAsia="Times New Roman" w:hAnsiTheme="majorHAnsi" w:cstheme="majorBidi"/>
      <w:color w:val="51247A" w:themeColor="accent1"/>
      <w:sz w:val="36"/>
      <w:szCs w:val="32"/>
      <w:lang w:eastAsia="en-AU"/>
    </w:rPr>
  </w:style>
  <w:style w:type="character" w:customStyle="1" w:styleId="Nbrheading1Char0">
    <w:name w:val="Nbr heading 1 Char"/>
    <w:basedOn w:val="NbrHeading1Char"/>
    <w:link w:val="Nbrheading10"/>
    <w:rsid w:val="00122779"/>
    <w:rPr>
      <w:rFonts w:asciiTheme="majorHAnsi" w:eastAsia="Times New Roman" w:hAnsiTheme="majorHAnsi" w:cstheme="majorBidi"/>
      <w:color w:val="51247A" w:themeColor="accent1"/>
      <w:sz w:val="36"/>
      <w:szCs w:val="3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869811">
      <w:bodyDiv w:val="1"/>
      <w:marLeft w:val="0"/>
      <w:marRight w:val="0"/>
      <w:marTop w:val="0"/>
      <w:marBottom w:val="0"/>
      <w:divBdr>
        <w:top w:val="none" w:sz="0" w:space="0" w:color="auto"/>
        <w:left w:val="none" w:sz="0" w:space="0" w:color="auto"/>
        <w:bottom w:val="none" w:sz="0" w:space="0" w:color="auto"/>
        <w:right w:val="none" w:sz="0" w:space="0" w:color="auto"/>
      </w:divBdr>
    </w:div>
    <w:div w:id="194195787">
      <w:bodyDiv w:val="1"/>
      <w:marLeft w:val="0"/>
      <w:marRight w:val="0"/>
      <w:marTop w:val="0"/>
      <w:marBottom w:val="0"/>
      <w:divBdr>
        <w:top w:val="none" w:sz="0" w:space="0" w:color="auto"/>
        <w:left w:val="none" w:sz="0" w:space="0" w:color="auto"/>
        <w:bottom w:val="none" w:sz="0" w:space="0" w:color="auto"/>
        <w:right w:val="none" w:sz="0" w:space="0" w:color="auto"/>
      </w:divBdr>
    </w:div>
    <w:div w:id="321936074">
      <w:bodyDiv w:val="1"/>
      <w:marLeft w:val="0"/>
      <w:marRight w:val="0"/>
      <w:marTop w:val="0"/>
      <w:marBottom w:val="0"/>
      <w:divBdr>
        <w:top w:val="none" w:sz="0" w:space="0" w:color="auto"/>
        <w:left w:val="none" w:sz="0" w:space="0" w:color="auto"/>
        <w:bottom w:val="none" w:sz="0" w:space="0" w:color="auto"/>
        <w:right w:val="none" w:sz="0" w:space="0" w:color="auto"/>
      </w:divBdr>
    </w:div>
    <w:div w:id="323582419">
      <w:bodyDiv w:val="1"/>
      <w:marLeft w:val="0"/>
      <w:marRight w:val="0"/>
      <w:marTop w:val="0"/>
      <w:marBottom w:val="0"/>
      <w:divBdr>
        <w:top w:val="none" w:sz="0" w:space="0" w:color="auto"/>
        <w:left w:val="none" w:sz="0" w:space="0" w:color="auto"/>
        <w:bottom w:val="none" w:sz="0" w:space="0" w:color="auto"/>
        <w:right w:val="none" w:sz="0" w:space="0" w:color="auto"/>
      </w:divBdr>
    </w:div>
    <w:div w:id="506335608">
      <w:bodyDiv w:val="1"/>
      <w:marLeft w:val="0"/>
      <w:marRight w:val="0"/>
      <w:marTop w:val="0"/>
      <w:marBottom w:val="0"/>
      <w:divBdr>
        <w:top w:val="none" w:sz="0" w:space="0" w:color="auto"/>
        <w:left w:val="none" w:sz="0" w:space="0" w:color="auto"/>
        <w:bottom w:val="none" w:sz="0" w:space="0" w:color="auto"/>
        <w:right w:val="none" w:sz="0" w:space="0" w:color="auto"/>
      </w:divBdr>
    </w:div>
    <w:div w:id="511067226">
      <w:bodyDiv w:val="1"/>
      <w:marLeft w:val="0"/>
      <w:marRight w:val="0"/>
      <w:marTop w:val="0"/>
      <w:marBottom w:val="0"/>
      <w:divBdr>
        <w:top w:val="none" w:sz="0" w:space="0" w:color="auto"/>
        <w:left w:val="none" w:sz="0" w:space="0" w:color="auto"/>
        <w:bottom w:val="none" w:sz="0" w:space="0" w:color="auto"/>
        <w:right w:val="none" w:sz="0" w:space="0" w:color="auto"/>
      </w:divBdr>
    </w:div>
    <w:div w:id="518469613">
      <w:bodyDiv w:val="1"/>
      <w:marLeft w:val="0"/>
      <w:marRight w:val="0"/>
      <w:marTop w:val="0"/>
      <w:marBottom w:val="0"/>
      <w:divBdr>
        <w:top w:val="none" w:sz="0" w:space="0" w:color="auto"/>
        <w:left w:val="none" w:sz="0" w:space="0" w:color="auto"/>
        <w:bottom w:val="none" w:sz="0" w:space="0" w:color="auto"/>
        <w:right w:val="none" w:sz="0" w:space="0" w:color="auto"/>
      </w:divBdr>
    </w:div>
    <w:div w:id="539710759">
      <w:bodyDiv w:val="1"/>
      <w:marLeft w:val="0"/>
      <w:marRight w:val="0"/>
      <w:marTop w:val="0"/>
      <w:marBottom w:val="0"/>
      <w:divBdr>
        <w:top w:val="none" w:sz="0" w:space="0" w:color="auto"/>
        <w:left w:val="none" w:sz="0" w:space="0" w:color="auto"/>
        <w:bottom w:val="none" w:sz="0" w:space="0" w:color="auto"/>
        <w:right w:val="none" w:sz="0" w:space="0" w:color="auto"/>
      </w:divBdr>
    </w:div>
    <w:div w:id="573004938">
      <w:bodyDiv w:val="1"/>
      <w:marLeft w:val="0"/>
      <w:marRight w:val="0"/>
      <w:marTop w:val="0"/>
      <w:marBottom w:val="0"/>
      <w:divBdr>
        <w:top w:val="none" w:sz="0" w:space="0" w:color="auto"/>
        <w:left w:val="none" w:sz="0" w:space="0" w:color="auto"/>
        <w:bottom w:val="none" w:sz="0" w:space="0" w:color="auto"/>
        <w:right w:val="none" w:sz="0" w:space="0" w:color="auto"/>
      </w:divBdr>
    </w:div>
    <w:div w:id="631133749">
      <w:bodyDiv w:val="1"/>
      <w:marLeft w:val="0"/>
      <w:marRight w:val="0"/>
      <w:marTop w:val="0"/>
      <w:marBottom w:val="0"/>
      <w:divBdr>
        <w:top w:val="none" w:sz="0" w:space="0" w:color="auto"/>
        <w:left w:val="none" w:sz="0" w:space="0" w:color="auto"/>
        <w:bottom w:val="none" w:sz="0" w:space="0" w:color="auto"/>
        <w:right w:val="none" w:sz="0" w:space="0" w:color="auto"/>
      </w:divBdr>
    </w:div>
    <w:div w:id="719405708">
      <w:bodyDiv w:val="1"/>
      <w:marLeft w:val="0"/>
      <w:marRight w:val="0"/>
      <w:marTop w:val="0"/>
      <w:marBottom w:val="0"/>
      <w:divBdr>
        <w:top w:val="none" w:sz="0" w:space="0" w:color="auto"/>
        <w:left w:val="none" w:sz="0" w:space="0" w:color="auto"/>
        <w:bottom w:val="none" w:sz="0" w:space="0" w:color="auto"/>
        <w:right w:val="none" w:sz="0" w:space="0" w:color="auto"/>
      </w:divBdr>
    </w:div>
    <w:div w:id="783384141">
      <w:bodyDiv w:val="1"/>
      <w:marLeft w:val="0"/>
      <w:marRight w:val="0"/>
      <w:marTop w:val="0"/>
      <w:marBottom w:val="0"/>
      <w:divBdr>
        <w:top w:val="none" w:sz="0" w:space="0" w:color="auto"/>
        <w:left w:val="none" w:sz="0" w:space="0" w:color="auto"/>
        <w:bottom w:val="none" w:sz="0" w:space="0" w:color="auto"/>
        <w:right w:val="none" w:sz="0" w:space="0" w:color="auto"/>
      </w:divBdr>
    </w:div>
    <w:div w:id="806318578">
      <w:bodyDiv w:val="1"/>
      <w:marLeft w:val="0"/>
      <w:marRight w:val="0"/>
      <w:marTop w:val="0"/>
      <w:marBottom w:val="0"/>
      <w:divBdr>
        <w:top w:val="none" w:sz="0" w:space="0" w:color="auto"/>
        <w:left w:val="none" w:sz="0" w:space="0" w:color="auto"/>
        <w:bottom w:val="none" w:sz="0" w:space="0" w:color="auto"/>
        <w:right w:val="none" w:sz="0" w:space="0" w:color="auto"/>
      </w:divBdr>
    </w:div>
    <w:div w:id="810174362">
      <w:bodyDiv w:val="1"/>
      <w:marLeft w:val="0"/>
      <w:marRight w:val="0"/>
      <w:marTop w:val="0"/>
      <w:marBottom w:val="0"/>
      <w:divBdr>
        <w:top w:val="none" w:sz="0" w:space="0" w:color="auto"/>
        <w:left w:val="none" w:sz="0" w:space="0" w:color="auto"/>
        <w:bottom w:val="none" w:sz="0" w:space="0" w:color="auto"/>
        <w:right w:val="none" w:sz="0" w:space="0" w:color="auto"/>
      </w:divBdr>
    </w:div>
    <w:div w:id="811100174">
      <w:bodyDiv w:val="1"/>
      <w:marLeft w:val="0"/>
      <w:marRight w:val="0"/>
      <w:marTop w:val="0"/>
      <w:marBottom w:val="0"/>
      <w:divBdr>
        <w:top w:val="none" w:sz="0" w:space="0" w:color="auto"/>
        <w:left w:val="none" w:sz="0" w:space="0" w:color="auto"/>
        <w:bottom w:val="none" w:sz="0" w:space="0" w:color="auto"/>
        <w:right w:val="none" w:sz="0" w:space="0" w:color="auto"/>
      </w:divBdr>
    </w:div>
    <w:div w:id="816841682">
      <w:bodyDiv w:val="1"/>
      <w:marLeft w:val="0"/>
      <w:marRight w:val="0"/>
      <w:marTop w:val="0"/>
      <w:marBottom w:val="0"/>
      <w:divBdr>
        <w:top w:val="none" w:sz="0" w:space="0" w:color="auto"/>
        <w:left w:val="none" w:sz="0" w:space="0" w:color="auto"/>
        <w:bottom w:val="none" w:sz="0" w:space="0" w:color="auto"/>
        <w:right w:val="none" w:sz="0" w:space="0" w:color="auto"/>
      </w:divBdr>
    </w:div>
    <w:div w:id="850801212">
      <w:bodyDiv w:val="1"/>
      <w:marLeft w:val="0"/>
      <w:marRight w:val="0"/>
      <w:marTop w:val="0"/>
      <w:marBottom w:val="0"/>
      <w:divBdr>
        <w:top w:val="none" w:sz="0" w:space="0" w:color="auto"/>
        <w:left w:val="none" w:sz="0" w:space="0" w:color="auto"/>
        <w:bottom w:val="none" w:sz="0" w:space="0" w:color="auto"/>
        <w:right w:val="none" w:sz="0" w:space="0" w:color="auto"/>
      </w:divBdr>
    </w:div>
    <w:div w:id="1014186108">
      <w:bodyDiv w:val="1"/>
      <w:marLeft w:val="0"/>
      <w:marRight w:val="0"/>
      <w:marTop w:val="0"/>
      <w:marBottom w:val="0"/>
      <w:divBdr>
        <w:top w:val="none" w:sz="0" w:space="0" w:color="auto"/>
        <w:left w:val="none" w:sz="0" w:space="0" w:color="auto"/>
        <w:bottom w:val="none" w:sz="0" w:space="0" w:color="auto"/>
        <w:right w:val="none" w:sz="0" w:space="0" w:color="auto"/>
      </w:divBdr>
    </w:div>
    <w:div w:id="1083992477">
      <w:bodyDiv w:val="1"/>
      <w:marLeft w:val="0"/>
      <w:marRight w:val="0"/>
      <w:marTop w:val="0"/>
      <w:marBottom w:val="0"/>
      <w:divBdr>
        <w:top w:val="none" w:sz="0" w:space="0" w:color="auto"/>
        <w:left w:val="none" w:sz="0" w:space="0" w:color="auto"/>
        <w:bottom w:val="none" w:sz="0" w:space="0" w:color="auto"/>
        <w:right w:val="none" w:sz="0" w:space="0" w:color="auto"/>
      </w:divBdr>
    </w:div>
    <w:div w:id="1108966918">
      <w:bodyDiv w:val="1"/>
      <w:marLeft w:val="0"/>
      <w:marRight w:val="0"/>
      <w:marTop w:val="0"/>
      <w:marBottom w:val="0"/>
      <w:divBdr>
        <w:top w:val="none" w:sz="0" w:space="0" w:color="auto"/>
        <w:left w:val="none" w:sz="0" w:space="0" w:color="auto"/>
        <w:bottom w:val="none" w:sz="0" w:space="0" w:color="auto"/>
        <w:right w:val="none" w:sz="0" w:space="0" w:color="auto"/>
      </w:divBdr>
    </w:div>
    <w:div w:id="1158768541">
      <w:bodyDiv w:val="1"/>
      <w:marLeft w:val="0"/>
      <w:marRight w:val="0"/>
      <w:marTop w:val="0"/>
      <w:marBottom w:val="0"/>
      <w:divBdr>
        <w:top w:val="none" w:sz="0" w:space="0" w:color="auto"/>
        <w:left w:val="none" w:sz="0" w:space="0" w:color="auto"/>
        <w:bottom w:val="none" w:sz="0" w:space="0" w:color="auto"/>
        <w:right w:val="none" w:sz="0" w:space="0" w:color="auto"/>
      </w:divBdr>
    </w:div>
    <w:div w:id="1184854703">
      <w:bodyDiv w:val="1"/>
      <w:marLeft w:val="0"/>
      <w:marRight w:val="0"/>
      <w:marTop w:val="0"/>
      <w:marBottom w:val="0"/>
      <w:divBdr>
        <w:top w:val="none" w:sz="0" w:space="0" w:color="auto"/>
        <w:left w:val="none" w:sz="0" w:space="0" w:color="auto"/>
        <w:bottom w:val="none" w:sz="0" w:space="0" w:color="auto"/>
        <w:right w:val="none" w:sz="0" w:space="0" w:color="auto"/>
      </w:divBdr>
    </w:div>
    <w:div w:id="1230463856">
      <w:bodyDiv w:val="1"/>
      <w:marLeft w:val="0"/>
      <w:marRight w:val="0"/>
      <w:marTop w:val="0"/>
      <w:marBottom w:val="0"/>
      <w:divBdr>
        <w:top w:val="none" w:sz="0" w:space="0" w:color="auto"/>
        <w:left w:val="none" w:sz="0" w:space="0" w:color="auto"/>
        <w:bottom w:val="none" w:sz="0" w:space="0" w:color="auto"/>
        <w:right w:val="none" w:sz="0" w:space="0" w:color="auto"/>
      </w:divBdr>
    </w:div>
    <w:div w:id="1441142429">
      <w:bodyDiv w:val="1"/>
      <w:marLeft w:val="0"/>
      <w:marRight w:val="0"/>
      <w:marTop w:val="0"/>
      <w:marBottom w:val="0"/>
      <w:divBdr>
        <w:top w:val="none" w:sz="0" w:space="0" w:color="auto"/>
        <w:left w:val="none" w:sz="0" w:space="0" w:color="auto"/>
        <w:bottom w:val="none" w:sz="0" w:space="0" w:color="auto"/>
        <w:right w:val="none" w:sz="0" w:space="0" w:color="auto"/>
      </w:divBdr>
    </w:div>
    <w:div w:id="1498426497">
      <w:bodyDiv w:val="1"/>
      <w:marLeft w:val="0"/>
      <w:marRight w:val="0"/>
      <w:marTop w:val="0"/>
      <w:marBottom w:val="0"/>
      <w:divBdr>
        <w:top w:val="none" w:sz="0" w:space="0" w:color="auto"/>
        <w:left w:val="none" w:sz="0" w:space="0" w:color="auto"/>
        <w:bottom w:val="none" w:sz="0" w:space="0" w:color="auto"/>
        <w:right w:val="none" w:sz="0" w:space="0" w:color="auto"/>
      </w:divBdr>
    </w:div>
    <w:div w:id="1574002667">
      <w:bodyDiv w:val="1"/>
      <w:marLeft w:val="0"/>
      <w:marRight w:val="0"/>
      <w:marTop w:val="0"/>
      <w:marBottom w:val="0"/>
      <w:divBdr>
        <w:top w:val="none" w:sz="0" w:space="0" w:color="auto"/>
        <w:left w:val="none" w:sz="0" w:space="0" w:color="auto"/>
        <w:bottom w:val="none" w:sz="0" w:space="0" w:color="auto"/>
        <w:right w:val="none" w:sz="0" w:space="0" w:color="auto"/>
      </w:divBdr>
    </w:div>
    <w:div w:id="1606889749">
      <w:bodyDiv w:val="1"/>
      <w:marLeft w:val="0"/>
      <w:marRight w:val="0"/>
      <w:marTop w:val="0"/>
      <w:marBottom w:val="0"/>
      <w:divBdr>
        <w:top w:val="none" w:sz="0" w:space="0" w:color="auto"/>
        <w:left w:val="none" w:sz="0" w:space="0" w:color="auto"/>
        <w:bottom w:val="none" w:sz="0" w:space="0" w:color="auto"/>
        <w:right w:val="none" w:sz="0" w:space="0" w:color="auto"/>
      </w:divBdr>
    </w:div>
    <w:div w:id="1669791973">
      <w:bodyDiv w:val="1"/>
      <w:marLeft w:val="0"/>
      <w:marRight w:val="0"/>
      <w:marTop w:val="0"/>
      <w:marBottom w:val="0"/>
      <w:divBdr>
        <w:top w:val="none" w:sz="0" w:space="0" w:color="auto"/>
        <w:left w:val="none" w:sz="0" w:space="0" w:color="auto"/>
        <w:bottom w:val="none" w:sz="0" w:space="0" w:color="auto"/>
        <w:right w:val="none" w:sz="0" w:space="0" w:color="auto"/>
      </w:divBdr>
    </w:div>
    <w:div w:id="1686709108">
      <w:bodyDiv w:val="1"/>
      <w:marLeft w:val="0"/>
      <w:marRight w:val="0"/>
      <w:marTop w:val="0"/>
      <w:marBottom w:val="0"/>
      <w:divBdr>
        <w:top w:val="none" w:sz="0" w:space="0" w:color="auto"/>
        <w:left w:val="none" w:sz="0" w:space="0" w:color="auto"/>
        <w:bottom w:val="none" w:sz="0" w:space="0" w:color="auto"/>
        <w:right w:val="none" w:sz="0" w:space="0" w:color="auto"/>
      </w:divBdr>
    </w:div>
    <w:div w:id="1747998306">
      <w:bodyDiv w:val="1"/>
      <w:marLeft w:val="0"/>
      <w:marRight w:val="0"/>
      <w:marTop w:val="0"/>
      <w:marBottom w:val="0"/>
      <w:divBdr>
        <w:top w:val="none" w:sz="0" w:space="0" w:color="auto"/>
        <w:left w:val="none" w:sz="0" w:space="0" w:color="auto"/>
        <w:bottom w:val="none" w:sz="0" w:space="0" w:color="auto"/>
        <w:right w:val="none" w:sz="0" w:space="0" w:color="auto"/>
      </w:divBdr>
    </w:div>
    <w:div w:id="1760523188">
      <w:bodyDiv w:val="1"/>
      <w:marLeft w:val="0"/>
      <w:marRight w:val="0"/>
      <w:marTop w:val="0"/>
      <w:marBottom w:val="0"/>
      <w:divBdr>
        <w:top w:val="none" w:sz="0" w:space="0" w:color="auto"/>
        <w:left w:val="none" w:sz="0" w:space="0" w:color="auto"/>
        <w:bottom w:val="none" w:sz="0" w:space="0" w:color="auto"/>
        <w:right w:val="none" w:sz="0" w:space="0" w:color="auto"/>
      </w:divBdr>
    </w:div>
    <w:div w:id="1973053795">
      <w:bodyDiv w:val="1"/>
      <w:marLeft w:val="0"/>
      <w:marRight w:val="0"/>
      <w:marTop w:val="0"/>
      <w:marBottom w:val="0"/>
      <w:divBdr>
        <w:top w:val="none" w:sz="0" w:space="0" w:color="auto"/>
        <w:left w:val="none" w:sz="0" w:space="0" w:color="auto"/>
        <w:bottom w:val="none" w:sz="0" w:space="0" w:color="auto"/>
        <w:right w:val="none" w:sz="0" w:space="0" w:color="auto"/>
      </w:divBdr>
    </w:div>
    <w:div w:id="1974671856">
      <w:bodyDiv w:val="1"/>
      <w:marLeft w:val="0"/>
      <w:marRight w:val="0"/>
      <w:marTop w:val="0"/>
      <w:marBottom w:val="0"/>
      <w:divBdr>
        <w:top w:val="none" w:sz="0" w:space="0" w:color="auto"/>
        <w:left w:val="none" w:sz="0" w:space="0" w:color="auto"/>
        <w:bottom w:val="none" w:sz="0" w:space="0" w:color="auto"/>
        <w:right w:val="none" w:sz="0" w:space="0" w:color="auto"/>
      </w:divBdr>
    </w:div>
    <w:div w:id="2011592647">
      <w:bodyDiv w:val="1"/>
      <w:marLeft w:val="0"/>
      <w:marRight w:val="0"/>
      <w:marTop w:val="0"/>
      <w:marBottom w:val="0"/>
      <w:divBdr>
        <w:top w:val="none" w:sz="0" w:space="0" w:color="auto"/>
        <w:left w:val="none" w:sz="0" w:space="0" w:color="auto"/>
        <w:bottom w:val="none" w:sz="0" w:space="0" w:color="auto"/>
        <w:right w:val="none" w:sz="0" w:space="0" w:color="auto"/>
      </w:divBdr>
    </w:div>
    <w:div w:id="2044675436">
      <w:bodyDiv w:val="1"/>
      <w:marLeft w:val="0"/>
      <w:marRight w:val="0"/>
      <w:marTop w:val="0"/>
      <w:marBottom w:val="0"/>
      <w:divBdr>
        <w:top w:val="none" w:sz="0" w:space="0" w:color="auto"/>
        <w:left w:val="none" w:sz="0" w:space="0" w:color="auto"/>
        <w:bottom w:val="none" w:sz="0" w:space="0" w:color="auto"/>
        <w:right w:val="none" w:sz="0" w:space="0" w:color="auto"/>
      </w:divBdr>
    </w:div>
    <w:div w:id="2128619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5.xml"/><Relationship Id="rId21" Type="http://schemas.openxmlformats.org/officeDocument/2006/relationships/image" Target="media/image6.jpeg"/><Relationship Id="rId42" Type="http://schemas.openxmlformats.org/officeDocument/2006/relationships/chart" Target="charts/chart12.xml"/><Relationship Id="rId47" Type="http://schemas.openxmlformats.org/officeDocument/2006/relationships/chart" Target="charts/chart17.xml"/><Relationship Id="rId63" Type="http://schemas.openxmlformats.org/officeDocument/2006/relationships/footer" Target="footer10.xml"/><Relationship Id="rId68" Type="http://schemas.openxmlformats.org/officeDocument/2006/relationships/hyperlink" Target="https://www.aihw.gov.au/reports/illicit-use-of-drugs/national-drug-strategy-household-survey-2019/contents/summary" TargetMode="External"/><Relationship Id="rId84" Type="http://schemas.openxmlformats.org/officeDocument/2006/relationships/hyperlink" Target="https://www.aihw.gov.au/reports/alcohol-other-drug-treatment-services/national-opioid-pharmacotherapy-statistics" TargetMode="External"/><Relationship Id="rId89" Type="http://schemas.openxmlformats.org/officeDocument/2006/relationships/footer" Target="footer11.xml"/><Relationship Id="rId7" Type="http://schemas.openxmlformats.org/officeDocument/2006/relationships/styles" Target="styles.xml"/><Relationship Id="rId71" Type="http://schemas.openxmlformats.org/officeDocument/2006/relationships/hyperlink" Target="https://www.hri.global/global-state-of-harm-reduction-2020" TargetMode="External"/><Relationship Id="rId92" Type="http://schemas.openxmlformats.org/officeDocument/2006/relationships/header" Target="header12.xm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chart" Target="charts/chart7.xm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header" Target="header2.xml"/><Relationship Id="rId37" Type="http://schemas.openxmlformats.org/officeDocument/2006/relationships/footer" Target="footer4.xml"/><Relationship Id="rId40" Type="http://schemas.openxmlformats.org/officeDocument/2006/relationships/image" Target="media/image11.jpeg"/><Relationship Id="rId45" Type="http://schemas.openxmlformats.org/officeDocument/2006/relationships/chart" Target="charts/chart15.xml"/><Relationship Id="rId53" Type="http://schemas.openxmlformats.org/officeDocument/2006/relationships/header" Target="header7.xml"/><Relationship Id="rId58" Type="http://schemas.openxmlformats.org/officeDocument/2006/relationships/header" Target="header8.xml"/><Relationship Id="rId66" Type="http://schemas.openxmlformats.org/officeDocument/2006/relationships/hyperlink" Target="https://www.rpharms.com/resources/pharmacy-guides/medicines-optimisation-hub/managing-medicines-in-the-community" TargetMode="External"/><Relationship Id="rId74" Type="http://schemas.openxmlformats.org/officeDocument/2006/relationships/hyperlink" Target="https://www.isdscotland.org/Health-Topics/Drugs-and-Alcohol-Misuse/Publications/2016-10-25/2016-10-25-Naloxone-Report.pdf" TargetMode="External"/><Relationship Id="rId79" Type="http://schemas.openxmlformats.org/officeDocument/2006/relationships/hyperlink" Target="https://phw.nhs.wales/publications/publications1/harm-reduction-database-wales-drug-related-mortality-report-2019-20/" TargetMode="External"/><Relationship Id="rId87" Type="http://schemas.openxmlformats.org/officeDocument/2006/relationships/hyperlink" Target="https://penington.org.au/wp-content/uploads/2018/10/Saving-Lives-Australian-naloxone-access-model.pdf" TargetMode="External"/><Relationship Id="rId102"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footer" Target="footer9.xml"/><Relationship Id="rId82" Type="http://schemas.openxmlformats.org/officeDocument/2006/relationships/hyperlink" Target="https://ndri.curtin.edu.au/ndri/media/documents/publications/T249.pdf" TargetMode="External"/><Relationship Id="rId90" Type="http://schemas.openxmlformats.org/officeDocument/2006/relationships/chart" Target="charts/chart18.xml"/><Relationship Id="rId95" Type="http://schemas.openxmlformats.org/officeDocument/2006/relationships/header" Target="header13.xml"/><Relationship Id="rId19" Type="http://schemas.openxmlformats.org/officeDocument/2006/relationships/image" Target="media/image5.emf"/><Relationship Id="rId14" Type="http://schemas.openxmlformats.org/officeDocument/2006/relationships/footer" Target="footer1.xml"/><Relationship Id="rId22" Type="http://schemas.openxmlformats.org/officeDocument/2006/relationships/image" Target="media/image7.jpeg"/><Relationship Id="rId27" Type="http://schemas.openxmlformats.org/officeDocument/2006/relationships/chart" Target="charts/chart6.xml"/><Relationship Id="rId30" Type="http://schemas.openxmlformats.org/officeDocument/2006/relationships/chart" Target="charts/chart8.xml"/><Relationship Id="rId35" Type="http://schemas.openxmlformats.org/officeDocument/2006/relationships/footer" Target="footer3.xml"/><Relationship Id="rId43" Type="http://schemas.openxmlformats.org/officeDocument/2006/relationships/chart" Target="charts/chart13.xml"/><Relationship Id="rId48" Type="http://schemas.openxmlformats.org/officeDocument/2006/relationships/image" Target="media/image12.jpeg"/><Relationship Id="rId56" Type="http://schemas.openxmlformats.org/officeDocument/2006/relationships/image" Target="media/image14.jpeg"/><Relationship Id="rId64" Type="http://schemas.openxmlformats.org/officeDocument/2006/relationships/image" Target="media/image16.jpeg"/><Relationship Id="rId69" Type="http://schemas.openxmlformats.org/officeDocument/2006/relationships/hyperlink" Target="https://www.acic.gov.au/publications/national-wastewater-drug-monitoring-program-reports/report-13-national-wastewater-drug-monitoring-program" TargetMode="External"/><Relationship Id="rId77" Type="http://schemas.openxmlformats.org/officeDocument/2006/relationships/hyperlink" Target="https://www.gov.scot/publications/service-evaluation-scotlands-take-home-naloxone-programme/documents/" TargetMode="External"/><Relationship Id="rId100" Type="http://schemas.openxmlformats.org/officeDocument/2006/relationships/hyperlink" Target="http://www.us.edu.au" TargetMode="External"/><Relationship Id="rId8" Type="http://schemas.openxmlformats.org/officeDocument/2006/relationships/settings" Target="settings.xml"/><Relationship Id="rId51" Type="http://schemas.openxmlformats.org/officeDocument/2006/relationships/footer" Target="footer5.xml"/><Relationship Id="rId72" Type="http://schemas.openxmlformats.org/officeDocument/2006/relationships/hyperlink" Target="https://ldi.upenn.edu/our-work/research-updates/expanding-access-to-naloxone-a-review-of-distribution-strategies/" TargetMode="External"/><Relationship Id="rId80" Type="http://schemas.openxmlformats.org/officeDocument/2006/relationships/hyperlink" Target="https://pure.ulster.ac.uk/ws/portalfiles/portal/11609673/Naloxone+service+evaluation+final+report+Feb+2016.pdf" TargetMode="External"/><Relationship Id="rId85" Type="http://schemas.openxmlformats.org/officeDocument/2006/relationships/hyperlink" Target="https://www.aihw.gov.au/reports/australias-health/alcohol-and-other-drug-treatment-services" TargetMode="External"/><Relationship Id="rId93" Type="http://schemas.openxmlformats.org/officeDocument/2006/relationships/footer" Target="footer12.xml"/><Relationship Id="rId98" Type="http://schemas.openxmlformats.org/officeDocument/2006/relationships/hyperlink" Target="http://www.us.edu.au"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chart" Target="charts/chart2.xml"/><Relationship Id="rId25" Type="http://schemas.openxmlformats.org/officeDocument/2006/relationships/chart" Target="charts/chart4.xml"/><Relationship Id="rId33" Type="http://schemas.openxmlformats.org/officeDocument/2006/relationships/header" Target="header3.xml"/><Relationship Id="rId38" Type="http://schemas.openxmlformats.org/officeDocument/2006/relationships/chart" Target="charts/chart10.xml"/><Relationship Id="rId46" Type="http://schemas.openxmlformats.org/officeDocument/2006/relationships/chart" Target="charts/chart16.xml"/><Relationship Id="rId59" Type="http://schemas.openxmlformats.org/officeDocument/2006/relationships/header" Target="header9.xml"/><Relationship Id="rId67" Type="http://schemas.openxmlformats.org/officeDocument/2006/relationships/hyperlink" Target="https://apo.org.au/node/303888" TargetMode="External"/><Relationship Id="rId103" Type="http://schemas.openxmlformats.org/officeDocument/2006/relationships/glossaryDocument" Target="glossary/document.xml"/><Relationship Id="rId20" Type="http://schemas.openxmlformats.org/officeDocument/2006/relationships/header" Target="header1.xml"/><Relationship Id="rId41" Type="http://schemas.openxmlformats.org/officeDocument/2006/relationships/chart" Target="charts/chart11.xml"/><Relationship Id="rId54" Type="http://schemas.openxmlformats.org/officeDocument/2006/relationships/footer" Target="footer7.xml"/><Relationship Id="rId62" Type="http://schemas.openxmlformats.org/officeDocument/2006/relationships/header" Target="header10.xml"/><Relationship Id="rId70" Type="http://schemas.openxmlformats.org/officeDocument/2006/relationships/hyperlink" Target="https://apps.who.int/iris/handle/10665/340497" TargetMode="External"/><Relationship Id="rId75" Type="http://schemas.openxmlformats.org/officeDocument/2006/relationships/hyperlink" Target="https://www.publichealth.hscni.net/sites/default/files/2021-01/Take%20Home%20Naloxone%20Annual%20Report%202019-20.pdf" TargetMode="External"/><Relationship Id="rId83" Type="http://schemas.openxmlformats.org/officeDocument/2006/relationships/hyperlink" Target="https://www.aihw.gov.au/reports/alcohol/alcohol-tobacco-other-drugs-australia" TargetMode="External"/><Relationship Id="rId88" Type="http://schemas.openxmlformats.org/officeDocument/2006/relationships/hyperlink" Target="https://www.tga.gov.au/node/709836" TargetMode="External"/><Relationship Id="rId91" Type="http://schemas.openxmlformats.org/officeDocument/2006/relationships/header" Target="header11.xml"/><Relationship Id="rId96" Type="http://schemas.openxmlformats.org/officeDocument/2006/relationships/footer" Target="footer14.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chart" Target="charts/chart3.xml"/><Relationship Id="rId28" Type="http://schemas.openxmlformats.org/officeDocument/2006/relationships/image" Target="media/image9.jpeg"/><Relationship Id="rId36" Type="http://schemas.openxmlformats.org/officeDocument/2006/relationships/header" Target="header4.xml"/><Relationship Id="rId49" Type="http://schemas.openxmlformats.org/officeDocument/2006/relationships/header" Target="header5.xml"/><Relationship Id="rId57" Type="http://schemas.openxmlformats.org/officeDocument/2006/relationships/image" Target="media/image15.jpg"/><Relationship Id="rId10" Type="http://schemas.openxmlformats.org/officeDocument/2006/relationships/footnotes" Target="footnotes.xml"/><Relationship Id="rId31" Type="http://schemas.openxmlformats.org/officeDocument/2006/relationships/chart" Target="charts/chart9.xml"/><Relationship Id="rId44" Type="http://schemas.openxmlformats.org/officeDocument/2006/relationships/chart" Target="charts/chart14.xml"/><Relationship Id="rId52" Type="http://schemas.openxmlformats.org/officeDocument/2006/relationships/footer" Target="footer6.xml"/><Relationship Id="rId60" Type="http://schemas.openxmlformats.org/officeDocument/2006/relationships/footer" Target="footer8.xml"/><Relationship Id="rId65" Type="http://schemas.openxmlformats.org/officeDocument/2006/relationships/hyperlink" Target="https://overdoselifesavers.org/" TargetMode="External"/><Relationship Id="rId73" Type="http://schemas.openxmlformats.org/officeDocument/2006/relationships/hyperlink" Target="https://crism.ca/2019/06/13/naloxone-distribution-environmental-scan/" TargetMode="External"/><Relationship Id="rId78" Type="http://schemas.openxmlformats.org/officeDocument/2006/relationships/hyperlink" Target="https://gov.wales/evaluation-take-home-naloxone-demonstration-project-0" TargetMode="External"/><Relationship Id="rId81" Type="http://schemas.openxmlformats.org/officeDocument/2006/relationships/hyperlink" Target="https://cahma.org.au/Naloxone.html" TargetMode="External"/><Relationship Id="rId86" Type="http://schemas.openxmlformats.org/officeDocument/2006/relationships/hyperlink" Target="http://www.pbs.gov.au/info/browse/statistics" TargetMode="External"/><Relationship Id="rId94" Type="http://schemas.openxmlformats.org/officeDocument/2006/relationships/footer" Target="footer13.xml"/><Relationship Id="rId99" Type="http://schemas.openxmlformats.org/officeDocument/2006/relationships/hyperlink" Target="mailto:john@uq.edu.au" TargetMode="External"/><Relationship Id="rId101" Type="http://schemas.openxmlformats.org/officeDocument/2006/relationships/footer" Target="footer15.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4.jpeg"/><Relationship Id="rId39" Type="http://schemas.openxmlformats.org/officeDocument/2006/relationships/image" Target="media/image10.jpeg"/><Relationship Id="rId34" Type="http://schemas.openxmlformats.org/officeDocument/2006/relationships/footer" Target="footer2.xml"/><Relationship Id="rId50" Type="http://schemas.openxmlformats.org/officeDocument/2006/relationships/header" Target="header6.xml"/><Relationship Id="rId55" Type="http://schemas.openxmlformats.org/officeDocument/2006/relationships/image" Target="media/image13.jpg"/><Relationship Id="rId76" Type="http://schemas.openxmlformats.org/officeDocument/2006/relationships/hyperlink" Target="http://idpc.net/publications/2017/02/preventing-opioid-overdose-deaths-research-on-the-italian-naloxone-distribution-model" TargetMode="External"/><Relationship Id="rId97" Type="http://schemas.openxmlformats.org/officeDocument/2006/relationships/hyperlink" Target="mailto:john@uq.edu.au" TargetMode="External"/><Relationship Id="rId104"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health.nsw.gov.au/aod/programs/Pages/naloxone-ngo-and-private-service.aspx" TargetMode="External"/><Relationship Id="rId3" Type="http://schemas.openxmlformats.org/officeDocument/2006/relationships/hyperlink" Target="https://www.shpa.org.au/news/new-guidelines-support-opioid-overdose-intervention" TargetMode="External"/><Relationship Id="rId7" Type="http://schemas.openxmlformats.org/officeDocument/2006/relationships/hyperlink" Target="https://www.health.nsw.gov.au/aod/programs/Pages/naloxone-public-health-services.aspx" TargetMode="External"/><Relationship Id="rId2" Type="http://schemas.openxmlformats.org/officeDocument/2006/relationships/hyperlink" Target="https://overdoselifesavers.org" TargetMode="External"/><Relationship Id="rId1" Type="http://schemas.openxmlformats.org/officeDocument/2006/relationships/hyperlink" Target="https://www.ppaonline.com.au/naloxone-pilot" TargetMode="External"/><Relationship Id="rId6" Type="http://schemas.openxmlformats.org/officeDocument/2006/relationships/hyperlink" Target="https://www.mhc.wa.gov.au/reports-and-resources/resources/health-professional-resources/take-home-naloxone/" TargetMode="External"/><Relationship Id="rId5" Type="http://schemas.openxmlformats.org/officeDocument/2006/relationships/hyperlink" Target="https://www.pbs.gov.au/info/statistics/expenditure-prescriptions/pb-expenditure-and-prescriptions-report-1-july-2019" TargetMode="External"/><Relationship Id="rId4" Type="http://schemas.openxmlformats.org/officeDocument/2006/relationships/hyperlink" Target="https://my.psa.org.au/s/article/Naloxone-S3-guidance-documen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carol\Downloads\opioid-induced-deaths-2019.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carol\Downloads\opioid-induced-deaths-201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carol\Downloads\Resucitation%20and%20Types%20of%20participants%20reached.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[opioid-induced-deaths-2019.xlsx]Sheet2!PivotTable9</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Sheet2!$B$3:$B$4</c:f>
              <c:strCache>
                <c:ptCount val="1"/>
                <c:pt idx="0">
                  <c:v>Exclusive illicit opioids</c:v>
                </c:pt>
              </c:strCache>
            </c:strRef>
          </c:tx>
          <c:spPr>
            <a:solidFill>
              <a:srgbClr val="7030A0"/>
            </a:solidFill>
            <a:ln>
              <a:noFill/>
            </a:ln>
            <a:effectLst/>
          </c:spPr>
          <c:invertIfNegative val="0"/>
          <c:cat>
            <c:strRef>
              <c:f>Sheet2!$A$5:$A$15</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Sheet2!$B$5:$B$15</c:f>
              <c:numCache>
                <c:formatCode>General</c:formatCode>
                <c:ptCount val="10"/>
                <c:pt idx="0">
                  <c:v>0.75</c:v>
                </c:pt>
                <c:pt idx="1">
                  <c:v>0.71</c:v>
                </c:pt>
                <c:pt idx="2">
                  <c:v>0.52</c:v>
                </c:pt>
                <c:pt idx="3">
                  <c:v>0.73</c:v>
                </c:pt>
                <c:pt idx="4">
                  <c:v>0.76</c:v>
                </c:pt>
                <c:pt idx="5">
                  <c:v>0.93</c:v>
                </c:pt>
                <c:pt idx="6">
                  <c:v>1.1299999999999999</c:v>
                </c:pt>
                <c:pt idx="7">
                  <c:v>1.35</c:v>
                </c:pt>
                <c:pt idx="8">
                  <c:v>1.31</c:v>
                </c:pt>
                <c:pt idx="9">
                  <c:v>1.31</c:v>
                </c:pt>
              </c:numCache>
            </c:numRef>
          </c:val>
          <c:extLst>
            <c:ext xmlns:c16="http://schemas.microsoft.com/office/drawing/2014/chart" uri="{C3380CC4-5D6E-409C-BE32-E72D297353CC}">
              <c16:uniqueId val="{00000000-D55E-45A2-8A7D-A0F37761DD88}"/>
            </c:ext>
          </c:extLst>
        </c:ser>
        <c:ser>
          <c:idx val="1"/>
          <c:order val="1"/>
          <c:tx>
            <c:strRef>
              <c:f>Sheet2!$C$3:$C$4</c:f>
              <c:strCache>
                <c:ptCount val="1"/>
                <c:pt idx="0">
                  <c:v>Exclusive pharmaceutical opioids</c:v>
                </c:pt>
              </c:strCache>
            </c:strRef>
          </c:tx>
          <c:spPr>
            <a:solidFill>
              <a:schemeClr val="accent5">
                <a:lumMod val="60000"/>
                <a:lumOff val="40000"/>
              </a:schemeClr>
            </a:solidFill>
            <a:ln>
              <a:noFill/>
            </a:ln>
            <a:effectLst/>
          </c:spPr>
          <c:invertIfNegative val="0"/>
          <c:cat>
            <c:strRef>
              <c:f>Sheet2!$A$5:$A$15</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Sheet2!$C$5:$C$15</c:f>
              <c:numCache>
                <c:formatCode>General</c:formatCode>
                <c:ptCount val="10"/>
                <c:pt idx="0">
                  <c:v>1.81</c:v>
                </c:pt>
                <c:pt idx="1">
                  <c:v>1.76</c:v>
                </c:pt>
                <c:pt idx="2">
                  <c:v>1.89</c:v>
                </c:pt>
                <c:pt idx="3">
                  <c:v>1.93</c:v>
                </c:pt>
                <c:pt idx="4">
                  <c:v>2.58</c:v>
                </c:pt>
                <c:pt idx="5">
                  <c:v>2.57</c:v>
                </c:pt>
                <c:pt idx="6">
                  <c:v>2.64</c:v>
                </c:pt>
                <c:pt idx="7">
                  <c:v>2.69</c:v>
                </c:pt>
                <c:pt idx="8">
                  <c:v>2.08</c:v>
                </c:pt>
                <c:pt idx="9">
                  <c:v>1.8</c:v>
                </c:pt>
              </c:numCache>
            </c:numRef>
          </c:val>
          <c:extLst>
            <c:ext xmlns:c16="http://schemas.microsoft.com/office/drawing/2014/chart" uri="{C3380CC4-5D6E-409C-BE32-E72D297353CC}">
              <c16:uniqueId val="{00000001-D55E-45A2-8A7D-A0F37761DD88}"/>
            </c:ext>
          </c:extLst>
        </c:ser>
        <c:ser>
          <c:idx val="2"/>
          <c:order val="2"/>
          <c:tx>
            <c:strRef>
              <c:f>Sheet2!$D$3:$D$4</c:f>
              <c:strCache>
                <c:ptCount val="1"/>
                <c:pt idx="0">
                  <c:v>Other &amp; unspecified opioids</c:v>
                </c:pt>
              </c:strCache>
            </c:strRef>
          </c:tx>
          <c:spPr>
            <a:solidFill>
              <a:schemeClr val="accent3"/>
            </a:solidFill>
            <a:ln>
              <a:noFill/>
            </a:ln>
            <a:effectLst/>
          </c:spPr>
          <c:invertIfNegative val="0"/>
          <c:cat>
            <c:strRef>
              <c:f>Sheet2!$A$5:$A$15</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Sheet2!$D$5:$D$15</c:f>
              <c:numCache>
                <c:formatCode>General</c:formatCode>
                <c:ptCount val="10"/>
                <c:pt idx="0">
                  <c:v>0.42</c:v>
                </c:pt>
                <c:pt idx="1">
                  <c:v>0.44</c:v>
                </c:pt>
                <c:pt idx="2">
                  <c:v>0.3</c:v>
                </c:pt>
                <c:pt idx="3">
                  <c:v>0.14000000000000001</c:v>
                </c:pt>
                <c:pt idx="4">
                  <c:v>0.14000000000000001</c:v>
                </c:pt>
                <c:pt idx="5">
                  <c:v>0.06</c:v>
                </c:pt>
                <c:pt idx="6">
                  <c:v>0</c:v>
                </c:pt>
                <c:pt idx="7">
                  <c:v>0.05</c:v>
                </c:pt>
                <c:pt idx="8">
                  <c:v>0</c:v>
                </c:pt>
                <c:pt idx="9">
                  <c:v>0</c:v>
                </c:pt>
              </c:numCache>
            </c:numRef>
          </c:val>
          <c:extLst>
            <c:ext xmlns:c16="http://schemas.microsoft.com/office/drawing/2014/chart" uri="{C3380CC4-5D6E-409C-BE32-E72D297353CC}">
              <c16:uniqueId val="{00000002-D55E-45A2-8A7D-A0F37761DD88}"/>
            </c:ext>
          </c:extLst>
        </c:ser>
        <c:dLbls>
          <c:showLegendKey val="0"/>
          <c:showVal val="0"/>
          <c:showCatName val="0"/>
          <c:showSerName val="0"/>
          <c:showPercent val="0"/>
          <c:showBubbleSize val="0"/>
        </c:dLbls>
        <c:gapWidth val="150"/>
        <c:overlap val="100"/>
        <c:axId val="1198660192"/>
        <c:axId val="1198660608"/>
      </c:barChart>
      <c:catAx>
        <c:axId val="119866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8660608"/>
        <c:crosses val="autoZero"/>
        <c:auto val="1"/>
        <c:lblAlgn val="ctr"/>
        <c:lblOffset val="100"/>
        <c:noMultiLvlLbl val="0"/>
      </c:catAx>
      <c:valAx>
        <c:axId val="1198660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Age-standardised death rate </a:t>
                </a:r>
              </a:p>
              <a:p>
                <a:pPr>
                  <a:defRPr/>
                </a:pPr>
                <a:r>
                  <a:rPr lang="en-AU"/>
                  <a:t>(deaths per 100,000 people)</a:t>
                </a:r>
              </a:p>
            </c:rich>
          </c:tx>
          <c:layout>
            <c:manualLayout>
              <c:xMode val="edge"/>
              <c:yMode val="edge"/>
              <c:x val="1.2825994014536126E-2"/>
              <c:y val="0.1096547022531274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866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Word]Sheet2!PivotTable2</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pivotFmt>
      <c:pivotFmt>
        <c:idx val="12"/>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pivotFmt>
      <c:pivotFmt>
        <c:idx val="15"/>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pivotFmt>
      <c:pivotFmt>
        <c:idx val="17"/>
        <c:spPr>
          <a:solidFill>
            <a:schemeClr val="accent1"/>
          </a:solidFill>
          <a:ln w="28575" cap="rnd">
            <a:solidFill>
              <a:schemeClr val="accent1"/>
            </a:solidFill>
            <a:round/>
          </a:ln>
          <a:effectLst/>
        </c:spPr>
        <c:marker>
          <c:symbol val="circle"/>
          <c:size val="5"/>
          <c:spPr>
            <a:solidFill>
              <a:schemeClr val="accent4"/>
            </a:solidFill>
            <a:ln w="9525">
              <a:solidFill>
                <a:schemeClr val="accent4"/>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pivotFmt>
      <c:pivotFmt>
        <c:idx val="19"/>
        <c:spPr>
          <a:solidFill>
            <a:schemeClr val="accent1"/>
          </a:solidFill>
          <a:ln w="28575" cap="rnd">
            <a:solidFill>
              <a:schemeClr val="accent1"/>
            </a:solidFill>
            <a:round/>
          </a:ln>
          <a:effectLst/>
        </c:spPr>
      </c:pivotFmt>
      <c:pivotFmt>
        <c:idx val="20"/>
        <c:spPr>
          <a:solidFill>
            <a:schemeClr val="accent1"/>
          </a:solidFill>
          <a:ln w="28575" cap="rnd">
            <a:solidFill>
              <a:schemeClr val="accent1"/>
            </a:solidFill>
            <a:round/>
          </a:ln>
          <a:effectLst/>
        </c:spPr>
        <c:marker>
          <c:symbol val="circle"/>
          <c:size val="5"/>
          <c:spPr>
            <a:solidFill>
              <a:schemeClr val="accent5"/>
            </a:solidFill>
            <a:ln w="9525">
              <a:solidFill>
                <a:schemeClr val="accent5"/>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w="28575" cap="rnd">
            <a:solidFill>
              <a:schemeClr val="accent1"/>
            </a:solidFill>
            <a:round/>
          </a:ln>
          <a:effectLst/>
        </c:spPr>
        <c:marker>
          <c:symbol val="circle"/>
          <c:size val="5"/>
          <c:spPr>
            <a:solidFill>
              <a:schemeClr val="accent4"/>
            </a:solidFill>
            <a:ln w="9525">
              <a:solidFill>
                <a:schemeClr val="accent4"/>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w="28575" cap="rnd">
            <a:solidFill>
              <a:schemeClr val="accent1"/>
            </a:solidFill>
            <a:round/>
          </a:ln>
          <a:effectLst/>
        </c:spPr>
        <c:marker>
          <c:symbol val="circle"/>
          <c:size val="5"/>
          <c:spPr>
            <a:solidFill>
              <a:schemeClr val="accent5"/>
            </a:solidFill>
            <a:ln w="9525">
              <a:solidFill>
                <a:schemeClr val="accent5"/>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w="28575" cap="rnd">
            <a:solidFill>
              <a:schemeClr val="accent1"/>
            </a:solidFill>
            <a:round/>
          </a:ln>
          <a:effectLst/>
        </c:spPr>
        <c:marker>
          <c:symbol val="circle"/>
          <c:size val="5"/>
          <c:spPr>
            <a:solidFill>
              <a:schemeClr val="accent4"/>
            </a:solidFill>
            <a:ln w="9525">
              <a:solidFill>
                <a:schemeClr val="accent4"/>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w="28575" cap="rnd">
            <a:solidFill>
              <a:schemeClr val="accent1"/>
            </a:solidFill>
            <a:round/>
          </a:ln>
          <a:effectLst/>
        </c:spPr>
        <c:marker>
          <c:symbol val="circle"/>
          <c:size val="5"/>
          <c:spPr>
            <a:solidFill>
              <a:schemeClr val="accent5"/>
            </a:solidFill>
            <a:ln w="9525">
              <a:solidFill>
                <a:schemeClr val="accent5"/>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Sheet2!$C$1:$C$2</c:f>
              <c:strCache>
                <c:ptCount val="1"/>
                <c:pt idx="0">
                  <c:v>Pilot States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Sheet2!$A$3:$B$60</c:f>
              <c:multiLvlStrCache>
                <c:ptCount val="52"/>
                <c:lvl>
                  <c:pt idx="0">
                    <c:v>Jan</c:v>
                  </c:pt>
                  <c:pt idx="1">
                    <c:v>Feb</c:v>
                  </c:pt>
                  <c:pt idx="2">
                    <c:v>Mar</c:v>
                  </c:pt>
                  <c:pt idx="3">
                    <c:v>Apr</c:v>
                  </c:pt>
                  <c:pt idx="4">
                    <c:v>May</c:v>
                  </c:pt>
                  <c:pt idx="5">
                    <c:v>Jun</c:v>
                  </c:pt>
                  <c:pt idx="6">
                    <c:v>Jul</c:v>
                  </c:pt>
                  <c:pt idx="7">
                    <c:v>Aug</c:v>
                  </c:pt>
                  <c:pt idx="8">
                    <c:v>Sep</c:v>
                  </c:pt>
                  <c:pt idx="9">
                    <c:v>Oct</c:v>
                  </c:pt>
                  <c:pt idx="10">
                    <c:v>Nov</c:v>
                  </c:pt>
                  <c:pt idx="11">
                    <c:v>Dec</c:v>
                  </c:pt>
                  <c:pt idx="12">
                    <c:v>Jan</c:v>
                  </c:pt>
                  <c:pt idx="13">
                    <c:v>Feb</c:v>
                  </c:pt>
                  <c:pt idx="14">
                    <c:v>Mar</c:v>
                  </c:pt>
                  <c:pt idx="15">
                    <c:v>Apr</c:v>
                  </c:pt>
                  <c:pt idx="16">
                    <c:v>May</c:v>
                  </c:pt>
                  <c:pt idx="17">
                    <c:v>Jun</c:v>
                  </c:pt>
                  <c:pt idx="18">
                    <c:v>Jul</c:v>
                  </c:pt>
                  <c:pt idx="19">
                    <c:v>Aug</c:v>
                  </c:pt>
                  <c:pt idx="20">
                    <c:v>Sep</c:v>
                  </c:pt>
                  <c:pt idx="21">
                    <c:v>Oct</c:v>
                  </c:pt>
                  <c:pt idx="22">
                    <c:v>Nov</c:v>
                  </c:pt>
                  <c:pt idx="23">
                    <c:v>Dec</c:v>
                  </c:pt>
                  <c:pt idx="24">
                    <c:v>Jan</c:v>
                  </c:pt>
                  <c:pt idx="25">
                    <c:v>Feb</c:v>
                  </c:pt>
                  <c:pt idx="26">
                    <c:v>Mar</c:v>
                  </c:pt>
                  <c:pt idx="27">
                    <c:v>Apr</c:v>
                  </c:pt>
                  <c:pt idx="28">
                    <c:v>May</c:v>
                  </c:pt>
                  <c:pt idx="29">
                    <c:v>Jun</c:v>
                  </c:pt>
                  <c:pt idx="30">
                    <c:v>Jul</c:v>
                  </c:pt>
                  <c:pt idx="31">
                    <c:v>Aug</c:v>
                  </c:pt>
                  <c:pt idx="32">
                    <c:v>Sep</c:v>
                  </c:pt>
                  <c:pt idx="33">
                    <c:v>Oct</c:v>
                  </c:pt>
                  <c:pt idx="34">
                    <c:v>Nov</c:v>
                  </c:pt>
                  <c:pt idx="35">
                    <c:v>Dec</c:v>
                  </c:pt>
                  <c:pt idx="36">
                    <c:v>Jan</c:v>
                  </c:pt>
                  <c:pt idx="37">
                    <c:v>Feb</c:v>
                  </c:pt>
                  <c:pt idx="38">
                    <c:v>Mar</c:v>
                  </c:pt>
                  <c:pt idx="39">
                    <c:v>Apr</c:v>
                  </c:pt>
                  <c:pt idx="40">
                    <c:v>May</c:v>
                  </c:pt>
                  <c:pt idx="41">
                    <c:v>Jun</c:v>
                  </c:pt>
                  <c:pt idx="42">
                    <c:v>Jul</c:v>
                  </c:pt>
                  <c:pt idx="43">
                    <c:v>Aug</c:v>
                  </c:pt>
                  <c:pt idx="44">
                    <c:v>Sep</c:v>
                  </c:pt>
                  <c:pt idx="45">
                    <c:v>Oct</c:v>
                  </c:pt>
                  <c:pt idx="46">
                    <c:v>Nov</c:v>
                  </c:pt>
                  <c:pt idx="47">
                    <c:v>Dec</c:v>
                  </c:pt>
                  <c:pt idx="48">
                    <c:v>Jan</c:v>
                  </c:pt>
                  <c:pt idx="49">
                    <c:v>Feb</c:v>
                  </c:pt>
                  <c:pt idx="50">
                    <c:v>Mar</c:v>
                  </c:pt>
                  <c:pt idx="51">
                    <c:v>Apr</c:v>
                  </c:pt>
                </c:lvl>
                <c:lvl>
                  <c:pt idx="0">
                    <c:v>2017</c:v>
                  </c:pt>
                  <c:pt idx="12">
                    <c:v>2018</c:v>
                  </c:pt>
                  <c:pt idx="24">
                    <c:v>2019</c:v>
                  </c:pt>
                  <c:pt idx="36">
                    <c:v>2020</c:v>
                  </c:pt>
                  <c:pt idx="48">
                    <c:v>2021</c:v>
                  </c:pt>
                </c:lvl>
              </c:multiLvlStrCache>
            </c:multiLvlStrRef>
          </c:cat>
          <c:val>
            <c:numRef>
              <c:f>Sheet2!$C$3:$C$60</c:f>
              <c:numCache>
                <c:formatCode>General</c:formatCode>
                <c:ptCount val="52"/>
                <c:pt idx="0">
                  <c:v>3.1613222757305288</c:v>
                </c:pt>
                <c:pt idx="1">
                  <c:v>10.451068099159734</c:v>
                </c:pt>
                <c:pt idx="2">
                  <c:v>2.840747684790637</c:v>
                </c:pt>
                <c:pt idx="3">
                  <c:v>11.370684308455655</c:v>
                </c:pt>
                <c:pt idx="4">
                  <c:v>6.541139092650563</c:v>
                </c:pt>
                <c:pt idx="5">
                  <c:v>11.645171620716761</c:v>
                </c:pt>
                <c:pt idx="6">
                  <c:v>12.772521393973337</c:v>
                </c:pt>
                <c:pt idx="7">
                  <c:v>19.869617462555233</c:v>
                </c:pt>
                <c:pt idx="8">
                  <c:v>11.863686245044439</c:v>
                </c:pt>
                <c:pt idx="9">
                  <c:v>27.113129532976345</c:v>
                </c:pt>
                <c:pt idx="10">
                  <c:v>21.073806216772834</c:v>
                </c:pt>
                <c:pt idx="11">
                  <c:v>24.296113556296898</c:v>
                </c:pt>
                <c:pt idx="12">
                  <c:v>14.312294260770001</c:v>
                </c:pt>
                <c:pt idx="13">
                  <c:v>12.47894178573657</c:v>
                </c:pt>
                <c:pt idx="14">
                  <c:v>16.30320118150258</c:v>
                </c:pt>
                <c:pt idx="15">
                  <c:v>9.1540628782407936</c:v>
                </c:pt>
                <c:pt idx="16">
                  <c:v>8.4560239775257671</c:v>
                </c:pt>
                <c:pt idx="17">
                  <c:v>12.027784181459172</c:v>
                </c:pt>
                <c:pt idx="18">
                  <c:v>9.9313742042486428</c:v>
                </c:pt>
                <c:pt idx="19">
                  <c:v>17.394665635871668</c:v>
                </c:pt>
                <c:pt idx="20">
                  <c:v>18.616773713115517</c:v>
                </c:pt>
                <c:pt idx="21">
                  <c:v>17.465892992295601</c:v>
                </c:pt>
                <c:pt idx="22">
                  <c:v>46.016174195696017</c:v>
                </c:pt>
                <c:pt idx="23">
                  <c:v>21.229373733474862</c:v>
                </c:pt>
                <c:pt idx="24">
                  <c:v>15.797289185175822</c:v>
                </c:pt>
                <c:pt idx="25">
                  <c:v>11.825922421948912</c:v>
                </c:pt>
                <c:pt idx="26">
                  <c:v>11.190575500778253</c:v>
                </c:pt>
                <c:pt idx="27">
                  <c:v>21.757825046364889</c:v>
                </c:pt>
                <c:pt idx="28">
                  <c:v>12.672170937838128</c:v>
                </c:pt>
                <c:pt idx="29">
                  <c:v>15.017430946634487</c:v>
                </c:pt>
                <c:pt idx="30">
                  <c:v>16.073617166623134</c:v>
                </c:pt>
                <c:pt idx="31">
                  <c:v>19.299136617572373</c:v>
                </c:pt>
                <c:pt idx="32">
                  <c:v>18.035221727137706</c:v>
                </c:pt>
                <c:pt idx="33">
                  <c:v>23.041243826449346</c:v>
                </c:pt>
                <c:pt idx="34">
                  <c:v>23.854961832061068</c:v>
                </c:pt>
                <c:pt idx="35">
                  <c:v>1258.2159624413146</c:v>
                </c:pt>
                <c:pt idx="36">
                  <c:v>1700.732153752288</c:v>
                </c:pt>
                <c:pt idx="37">
                  <c:v>2384.3318479397039</c:v>
                </c:pt>
                <c:pt idx="38">
                  <c:v>1732.1626119975681</c:v>
                </c:pt>
                <c:pt idx="39">
                  <c:v>1838.2997370727433</c:v>
                </c:pt>
                <c:pt idx="40">
                  <c:v>1740.4371875899262</c:v>
                </c:pt>
                <c:pt idx="41">
                  <c:v>1553.2756347796183</c:v>
                </c:pt>
                <c:pt idx="42">
                  <c:v>1439.0969020638545</c:v>
                </c:pt>
                <c:pt idx="43">
                  <c:v>1453.2949997181352</c:v>
                </c:pt>
                <c:pt idx="44">
                  <c:v>1443.4064836798543</c:v>
                </c:pt>
                <c:pt idx="45">
                  <c:v>1377.7267508610792</c:v>
                </c:pt>
                <c:pt idx="46">
                  <c:v>1337.0254081171579</c:v>
                </c:pt>
                <c:pt idx="47">
                  <c:v>1520.0821666036002</c:v>
                </c:pt>
                <c:pt idx="48">
                  <c:v>1761.669658886894</c:v>
                </c:pt>
                <c:pt idx="49">
                  <c:v>1867.3366080467958</c:v>
                </c:pt>
                <c:pt idx="50">
                  <c:v>1657.4897961491063</c:v>
                </c:pt>
                <c:pt idx="51">
                  <c:v>1653.295024288097</c:v>
                </c:pt>
              </c:numCache>
            </c:numRef>
          </c:val>
          <c:smooth val="0"/>
          <c:extLst>
            <c:ext xmlns:c16="http://schemas.microsoft.com/office/drawing/2014/chart" uri="{C3380CC4-5D6E-409C-BE32-E72D297353CC}">
              <c16:uniqueId val="{00000000-06B9-43AB-A401-51F20184AFA4}"/>
            </c:ext>
          </c:extLst>
        </c:ser>
        <c:ser>
          <c:idx val="1"/>
          <c:order val="1"/>
          <c:tx>
            <c:strRef>
              <c:f>Sheet2!$D$1:$D$2</c:f>
              <c:strCache>
                <c:ptCount val="1"/>
                <c:pt idx="0">
                  <c:v>Non-Pilot States</c:v>
                </c:pt>
              </c:strCache>
            </c:strRef>
          </c:tx>
          <c:spPr>
            <a:ln w="25400" cap="rnd">
              <a:solidFill>
                <a:schemeClr val="bg1">
                  <a:lumMod val="50000"/>
                </a:schemeClr>
              </a:solidFill>
              <a:round/>
            </a:ln>
            <a:effectLst/>
          </c:spPr>
          <c:marker>
            <c:symbol val="circle"/>
            <c:size val="5"/>
            <c:spPr>
              <a:solidFill>
                <a:schemeClr val="bg1">
                  <a:lumMod val="50000"/>
                </a:schemeClr>
              </a:solidFill>
              <a:ln w="9525">
                <a:solidFill>
                  <a:schemeClr val="bg1">
                    <a:lumMod val="50000"/>
                  </a:schemeClr>
                </a:solidFill>
              </a:ln>
              <a:effectLst/>
            </c:spPr>
          </c:marker>
          <c:cat>
            <c:multiLvlStrRef>
              <c:f>Sheet2!$A$3:$B$60</c:f>
              <c:multiLvlStrCache>
                <c:ptCount val="52"/>
                <c:lvl>
                  <c:pt idx="0">
                    <c:v>Jan</c:v>
                  </c:pt>
                  <c:pt idx="1">
                    <c:v>Feb</c:v>
                  </c:pt>
                  <c:pt idx="2">
                    <c:v>Mar</c:v>
                  </c:pt>
                  <c:pt idx="3">
                    <c:v>Apr</c:v>
                  </c:pt>
                  <c:pt idx="4">
                    <c:v>May</c:v>
                  </c:pt>
                  <c:pt idx="5">
                    <c:v>Jun</c:v>
                  </c:pt>
                  <c:pt idx="6">
                    <c:v>Jul</c:v>
                  </c:pt>
                  <c:pt idx="7">
                    <c:v>Aug</c:v>
                  </c:pt>
                  <c:pt idx="8">
                    <c:v>Sep</c:v>
                  </c:pt>
                  <c:pt idx="9">
                    <c:v>Oct</c:v>
                  </c:pt>
                  <c:pt idx="10">
                    <c:v>Nov</c:v>
                  </c:pt>
                  <c:pt idx="11">
                    <c:v>Dec</c:v>
                  </c:pt>
                  <c:pt idx="12">
                    <c:v>Jan</c:v>
                  </c:pt>
                  <c:pt idx="13">
                    <c:v>Feb</c:v>
                  </c:pt>
                  <c:pt idx="14">
                    <c:v>Mar</c:v>
                  </c:pt>
                  <c:pt idx="15">
                    <c:v>Apr</c:v>
                  </c:pt>
                  <c:pt idx="16">
                    <c:v>May</c:v>
                  </c:pt>
                  <c:pt idx="17">
                    <c:v>Jun</c:v>
                  </c:pt>
                  <c:pt idx="18">
                    <c:v>Jul</c:v>
                  </c:pt>
                  <c:pt idx="19">
                    <c:v>Aug</c:v>
                  </c:pt>
                  <c:pt idx="20">
                    <c:v>Sep</c:v>
                  </c:pt>
                  <c:pt idx="21">
                    <c:v>Oct</c:v>
                  </c:pt>
                  <c:pt idx="22">
                    <c:v>Nov</c:v>
                  </c:pt>
                  <c:pt idx="23">
                    <c:v>Dec</c:v>
                  </c:pt>
                  <c:pt idx="24">
                    <c:v>Jan</c:v>
                  </c:pt>
                  <c:pt idx="25">
                    <c:v>Feb</c:v>
                  </c:pt>
                  <c:pt idx="26">
                    <c:v>Mar</c:v>
                  </c:pt>
                  <c:pt idx="27">
                    <c:v>Apr</c:v>
                  </c:pt>
                  <c:pt idx="28">
                    <c:v>May</c:v>
                  </c:pt>
                  <c:pt idx="29">
                    <c:v>Jun</c:v>
                  </c:pt>
                  <c:pt idx="30">
                    <c:v>Jul</c:v>
                  </c:pt>
                  <c:pt idx="31">
                    <c:v>Aug</c:v>
                  </c:pt>
                  <c:pt idx="32">
                    <c:v>Sep</c:v>
                  </c:pt>
                  <c:pt idx="33">
                    <c:v>Oct</c:v>
                  </c:pt>
                  <c:pt idx="34">
                    <c:v>Nov</c:v>
                  </c:pt>
                  <c:pt idx="35">
                    <c:v>Dec</c:v>
                  </c:pt>
                  <c:pt idx="36">
                    <c:v>Jan</c:v>
                  </c:pt>
                  <c:pt idx="37">
                    <c:v>Feb</c:v>
                  </c:pt>
                  <c:pt idx="38">
                    <c:v>Mar</c:v>
                  </c:pt>
                  <c:pt idx="39">
                    <c:v>Apr</c:v>
                  </c:pt>
                  <c:pt idx="40">
                    <c:v>May</c:v>
                  </c:pt>
                  <c:pt idx="41">
                    <c:v>Jun</c:v>
                  </c:pt>
                  <c:pt idx="42">
                    <c:v>Jul</c:v>
                  </c:pt>
                  <c:pt idx="43">
                    <c:v>Aug</c:v>
                  </c:pt>
                  <c:pt idx="44">
                    <c:v>Sep</c:v>
                  </c:pt>
                  <c:pt idx="45">
                    <c:v>Oct</c:v>
                  </c:pt>
                  <c:pt idx="46">
                    <c:v>Nov</c:v>
                  </c:pt>
                  <c:pt idx="47">
                    <c:v>Dec</c:v>
                  </c:pt>
                  <c:pt idx="48">
                    <c:v>Jan</c:v>
                  </c:pt>
                  <c:pt idx="49">
                    <c:v>Feb</c:v>
                  </c:pt>
                  <c:pt idx="50">
                    <c:v>Mar</c:v>
                  </c:pt>
                  <c:pt idx="51">
                    <c:v>Apr</c:v>
                  </c:pt>
                </c:lvl>
                <c:lvl>
                  <c:pt idx="0">
                    <c:v>2017</c:v>
                  </c:pt>
                  <c:pt idx="12">
                    <c:v>2018</c:v>
                  </c:pt>
                  <c:pt idx="24">
                    <c:v>2019</c:v>
                  </c:pt>
                  <c:pt idx="36">
                    <c:v>2020</c:v>
                  </c:pt>
                  <c:pt idx="48">
                    <c:v>2021</c:v>
                  </c:pt>
                </c:lvl>
              </c:multiLvlStrCache>
            </c:multiLvlStrRef>
          </c:cat>
          <c:val>
            <c:numRef>
              <c:f>Sheet2!$D$3:$D$60</c:f>
              <c:numCache>
                <c:formatCode>General</c:formatCode>
                <c:ptCount val="52"/>
                <c:pt idx="0">
                  <c:v>26.846667178031755</c:v>
                </c:pt>
                <c:pt idx="1">
                  <c:v>31.533683707596751</c:v>
                </c:pt>
                <c:pt idx="2">
                  <c:v>56.518790323983097</c:v>
                </c:pt>
                <c:pt idx="3">
                  <c:v>41.475783798050635</c:v>
                </c:pt>
                <c:pt idx="4">
                  <c:v>50.161294507338255</c:v>
                </c:pt>
                <c:pt idx="5">
                  <c:v>53.37603416066186</c:v>
                </c:pt>
                <c:pt idx="6">
                  <c:v>49.520996902686733</c:v>
                </c:pt>
                <c:pt idx="7">
                  <c:v>39.790322301610644</c:v>
                </c:pt>
                <c:pt idx="8">
                  <c:v>70.311929286288262</c:v>
                </c:pt>
                <c:pt idx="9">
                  <c:v>52.793664760228779</c:v>
                </c:pt>
                <c:pt idx="10">
                  <c:v>55.280614931030854</c:v>
                </c:pt>
                <c:pt idx="11">
                  <c:v>72.492534994908254</c:v>
                </c:pt>
                <c:pt idx="12">
                  <c:v>48.868194181918767</c:v>
                </c:pt>
                <c:pt idx="13">
                  <c:v>80.466516462502611</c:v>
                </c:pt>
                <c:pt idx="14">
                  <c:v>114.6908560108435</c:v>
                </c:pt>
                <c:pt idx="15">
                  <c:v>96.130737803412643</c:v>
                </c:pt>
                <c:pt idx="16">
                  <c:v>67.033920882785182</c:v>
                </c:pt>
                <c:pt idx="17">
                  <c:v>100.4768081258335</c:v>
                </c:pt>
                <c:pt idx="18">
                  <c:v>62.054266005953608</c:v>
                </c:pt>
                <c:pt idx="19">
                  <c:v>160.48392074563299</c:v>
                </c:pt>
                <c:pt idx="20">
                  <c:v>147.14537963507945</c:v>
                </c:pt>
                <c:pt idx="21">
                  <c:v>94.288080929134139</c:v>
                </c:pt>
                <c:pt idx="22">
                  <c:v>80.957820975271886</c:v>
                </c:pt>
                <c:pt idx="23">
                  <c:v>84.015587572843302</c:v>
                </c:pt>
                <c:pt idx="24">
                  <c:v>83.864634855285857</c:v>
                </c:pt>
                <c:pt idx="25">
                  <c:v>96.893534558693986</c:v>
                </c:pt>
                <c:pt idx="26">
                  <c:v>63.549026204627864</c:v>
                </c:pt>
                <c:pt idx="27">
                  <c:v>93.299406276505508</c:v>
                </c:pt>
                <c:pt idx="28">
                  <c:v>129.90503493997491</c:v>
                </c:pt>
                <c:pt idx="29">
                  <c:v>88.109177060286257</c:v>
                </c:pt>
                <c:pt idx="30">
                  <c:v>107.69174606651333</c:v>
                </c:pt>
                <c:pt idx="31">
                  <c:v>86.965371129347119</c:v>
                </c:pt>
                <c:pt idx="32">
                  <c:v>85.108852287783989</c:v>
                </c:pt>
                <c:pt idx="33">
                  <c:v>77.311382964209386</c:v>
                </c:pt>
                <c:pt idx="34">
                  <c:v>110.09452944079571</c:v>
                </c:pt>
                <c:pt idx="35">
                  <c:v>106.89761382784049</c:v>
                </c:pt>
                <c:pt idx="36">
                  <c:v>100.6036217303823</c:v>
                </c:pt>
                <c:pt idx="37">
                  <c:v>101.60880609652837</c:v>
                </c:pt>
                <c:pt idx="38">
                  <c:v>204.43608206389985</c:v>
                </c:pt>
                <c:pt idx="39">
                  <c:v>269.29982046678634</c:v>
                </c:pt>
                <c:pt idx="40">
                  <c:v>113.37648746075429</c:v>
                </c:pt>
                <c:pt idx="41">
                  <c:v>108.64106427246359</c:v>
                </c:pt>
                <c:pt idx="42">
                  <c:v>136.43744535295983</c:v>
                </c:pt>
                <c:pt idx="43">
                  <c:v>103.72399347445167</c:v>
                </c:pt>
                <c:pt idx="44">
                  <c:v>103.28218878792393</c:v>
                </c:pt>
                <c:pt idx="45">
                  <c:v>73.078480362627275</c:v>
                </c:pt>
                <c:pt idx="46">
                  <c:v>93.630068627753602</c:v>
                </c:pt>
                <c:pt idx="47">
                  <c:v>88.920335028875215</c:v>
                </c:pt>
                <c:pt idx="48">
                  <c:v>77.608351095808047</c:v>
                </c:pt>
                <c:pt idx="49">
                  <c:v>84.452048784767925</c:v>
                </c:pt>
                <c:pt idx="50">
                  <c:v>84.183420818064775</c:v>
                </c:pt>
                <c:pt idx="51">
                  <c:v>116.41194877874254</c:v>
                </c:pt>
              </c:numCache>
            </c:numRef>
          </c:val>
          <c:smooth val="0"/>
          <c:extLst>
            <c:ext xmlns:c16="http://schemas.microsoft.com/office/drawing/2014/chart" uri="{C3380CC4-5D6E-409C-BE32-E72D297353CC}">
              <c16:uniqueId val="{00000001-06B9-43AB-A401-51F20184AFA4}"/>
            </c:ext>
          </c:extLst>
        </c:ser>
        <c:ser>
          <c:idx val="2"/>
          <c:order val="2"/>
          <c:tx>
            <c:strRef>
              <c:f>Sheet2!$E$1:$E$2</c:f>
              <c:strCache>
                <c:ptCount val="1"/>
                <c:pt idx="0">
                  <c:v>NSW</c:v>
                </c:pt>
              </c:strCache>
            </c:strRef>
          </c:tx>
          <c:spPr>
            <a:ln w="22225" cap="rnd">
              <a:solidFill>
                <a:schemeClr val="accent5">
                  <a:lumMod val="50000"/>
                  <a:alpha val="60000"/>
                </a:schemeClr>
              </a:solidFill>
              <a:prstDash val="sysDot"/>
              <a:round/>
            </a:ln>
            <a:effectLst/>
          </c:spPr>
          <c:marker>
            <c:symbol val="none"/>
          </c:marker>
          <c:cat>
            <c:multiLvlStrRef>
              <c:f>Sheet2!$A$3:$B$60</c:f>
              <c:multiLvlStrCache>
                <c:ptCount val="52"/>
                <c:lvl>
                  <c:pt idx="0">
                    <c:v>Jan</c:v>
                  </c:pt>
                  <c:pt idx="1">
                    <c:v>Feb</c:v>
                  </c:pt>
                  <c:pt idx="2">
                    <c:v>Mar</c:v>
                  </c:pt>
                  <c:pt idx="3">
                    <c:v>Apr</c:v>
                  </c:pt>
                  <c:pt idx="4">
                    <c:v>May</c:v>
                  </c:pt>
                  <c:pt idx="5">
                    <c:v>Jun</c:v>
                  </c:pt>
                  <c:pt idx="6">
                    <c:v>Jul</c:v>
                  </c:pt>
                  <c:pt idx="7">
                    <c:v>Aug</c:v>
                  </c:pt>
                  <c:pt idx="8">
                    <c:v>Sep</c:v>
                  </c:pt>
                  <c:pt idx="9">
                    <c:v>Oct</c:v>
                  </c:pt>
                  <c:pt idx="10">
                    <c:v>Nov</c:v>
                  </c:pt>
                  <c:pt idx="11">
                    <c:v>Dec</c:v>
                  </c:pt>
                  <c:pt idx="12">
                    <c:v>Jan</c:v>
                  </c:pt>
                  <c:pt idx="13">
                    <c:v>Feb</c:v>
                  </c:pt>
                  <c:pt idx="14">
                    <c:v>Mar</c:v>
                  </c:pt>
                  <c:pt idx="15">
                    <c:v>Apr</c:v>
                  </c:pt>
                  <c:pt idx="16">
                    <c:v>May</c:v>
                  </c:pt>
                  <c:pt idx="17">
                    <c:v>Jun</c:v>
                  </c:pt>
                  <c:pt idx="18">
                    <c:v>Jul</c:v>
                  </c:pt>
                  <c:pt idx="19">
                    <c:v>Aug</c:v>
                  </c:pt>
                  <c:pt idx="20">
                    <c:v>Sep</c:v>
                  </c:pt>
                  <c:pt idx="21">
                    <c:v>Oct</c:v>
                  </c:pt>
                  <c:pt idx="22">
                    <c:v>Nov</c:v>
                  </c:pt>
                  <c:pt idx="23">
                    <c:v>Dec</c:v>
                  </c:pt>
                  <c:pt idx="24">
                    <c:v>Jan</c:v>
                  </c:pt>
                  <c:pt idx="25">
                    <c:v>Feb</c:v>
                  </c:pt>
                  <c:pt idx="26">
                    <c:v>Mar</c:v>
                  </c:pt>
                  <c:pt idx="27">
                    <c:v>Apr</c:v>
                  </c:pt>
                  <c:pt idx="28">
                    <c:v>May</c:v>
                  </c:pt>
                  <c:pt idx="29">
                    <c:v>Jun</c:v>
                  </c:pt>
                  <c:pt idx="30">
                    <c:v>Jul</c:v>
                  </c:pt>
                  <c:pt idx="31">
                    <c:v>Aug</c:v>
                  </c:pt>
                  <c:pt idx="32">
                    <c:v>Sep</c:v>
                  </c:pt>
                  <c:pt idx="33">
                    <c:v>Oct</c:v>
                  </c:pt>
                  <c:pt idx="34">
                    <c:v>Nov</c:v>
                  </c:pt>
                  <c:pt idx="35">
                    <c:v>Dec</c:v>
                  </c:pt>
                  <c:pt idx="36">
                    <c:v>Jan</c:v>
                  </c:pt>
                  <c:pt idx="37">
                    <c:v>Feb</c:v>
                  </c:pt>
                  <c:pt idx="38">
                    <c:v>Mar</c:v>
                  </c:pt>
                  <c:pt idx="39">
                    <c:v>Apr</c:v>
                  </c:pt>
                  <c:pt idx="40">
                    <c:v>May</c:v>
                  </c:pt>
                  <c:pt idx="41">
                    <c:v>Jun</c:v>
                  </c:pt>
                  <c:pt idx="42">
                    <c:v>Jul</c:v>
                  </c:pt>
                  <c:pt idx="43">
                    <c:v>Aug</c:v>
                  </c:pt>
                  <c:pt idx="44">
                    <c:v>Sep</c:v>
                  </c:pt>
                  <c:pt idx="45">
                    <c:v>Oct</c:v>
                  </c:pt>
                  <c:pt idx="46">
                    <c:v>Nov</c:v>
                  </c:pt>
                  <c:pt idx="47">
                    <c:v>Dec</c:v>
                  </c:pt>
                  <c:pt idx="48">
                    <c:v>Jan</c:v>
                  </c:pt>
                  <c:pt idx="49">
                    <c:v>Feb</c:v>
                  </c:pt>
                  <c:pt idx="50">
                    <c:v>Mar</c:v>
                  </c:pt>
                  <c:pt idx="51">
                    <c:v>Apr</c:v>
                  </c:pt>
                </c:lvl>
                <c:lvl>
                  <c:pt idx="0">
                    <c:v>2017</c:v>
                  </c:pt>
                  <c:pt idx="12">
                    <c:v>2018</c:v>
                  </c:pt>
                  <c:pt idx="24">
                    <c:v>2019</c:v>
                  </c:pt>
                  <c:pt idx="36">
                    <c:v>2020</c:v>
                  </c:pt>
                  <c:pt idx="48">
                    <c:v>2021</c:v>
                  </c:pt>
                </c:lvl>
              </c:multiLvlStrCache>
            </c:multiLvlStrRef>
          </c:cat>
          <c:val>
            <c:numRef>
              <c:f>Sheet2!$E$3:$E$60</c:f>
              <c:numCache>
                <c:formatCode>General</c:formatCode>
                <c:ptCount val="52"/>
                <c:pt idx="0">
                  <c:v>3.4378437843784377</c:v>
                </c:pt>
                <c:pt idx="1">
                  <c:v>3.4176349965823647</c:v>
                </c:pt>
                <c:pt idx="2">
                  <c:v>3.1021699678925407</c:v>
                </c:pt>
                <c:pt idx="3">
                  <c:v>6.8027210884353737</c:v>
                </c:pt>
                <c:pt idx="4">
                  <c:v>4.6095694662118554</c:v>
                </c:pt>
                <c:pt idx="5">
                  <c:v>12.818458580355713</c:v>
                </c:pt>
                <c:pt idx="6">
                  <c:v>9.7665787674577604</c:v>
                </c:pt>
                <c:pt idx="7">
                  <c:v>9.4129459383138272</c:v>
                </c:pt>
                <c:pt idx="8">
                  <c:v>6.5588823664447586</c:v>
                </c:pt>
                <c:pt idx="9">
                  <c:v>27.401676337846549</c:v>
                </c:pt>
                <c:pt idx="10">
                  <c:v>14.349947383526262</c:v>
                </c:pt>
                <c:pt idx="11">
                  <c:v>15.653616768154281</c:v>
                </c:pt>
                <c:pt idx="12">
                  <c:v>11.886366337810532</c:v>
                </c:pt>
                <c:pt idx="13">
                  <c:v>6.9419135384668786</c:v>
                </c:pt>
                <c:pt idx="14">
                  <c:v>4.8106218530515372</c:v>
                </c:pt>
                <c:pt idx="15">
                  <c:v>3.4154755195792137</c:v>
                </c:pt>
                <c:pt idx="16">
                  <c:v>4.7337278106508878</c:v>
                </c:pt>
                <c:pt idx="17">
                  <c:v>8.4525137775974564</c:v>
                </c:pt>
                <c:pt idx="18">
                  <c:v>8.4095801937567281</c:v>
                </c:pt>
                <c:pt idx="19">
                  <c:v>21.407986825854262</c:v>
                </c:pt>
                <c:pt idx="20">
                  <c:v>10.563566259969367</c:v>
                </c:pt>
                <c:pt idx="21">
                  <c:v>21.634935428038876</c:v>
                </c:pt>
                <c:pt idx="22">
                  <c:v>57.101590447239815</c:v>
                </c:pt>
                <c:pt idx="23">
                  <c:v>16.632569898374996</c:v>
                </c:pt>
                <c:pt idx="24">
                  <c:v>5.4456344164095123</c:v>
                </c:pt>
                <c:pt idx="25">
                  <c:v>3.7120902780355616</c:v>
                </c:pt>
                <c:pt idx="26">
                  <c:v>10.572128345638115</c:v>
                </c:pt>
                <c:pt idx="27">
                  <c:v>16.151319921755828</c:v>
                </c:pt>
                <c:pt idx="28">
                  <c:v>11.823725149063391</c:v>
                </c:pt>
                <c:pt idx="29">
                  <c:v>13.031013812874642</c:v>
                </c:pt>
                <c:pt idx="30">
                  <c:v>7.0063582701301428</c:v>
                </c:pt>
                <c:pt idx="31">
                  <c:v>17.762935858038617</c:v>
                </c:pt>
                <c:pt idx="32">
                  <c:v>14.795361654121434</c:v>
                </c:pt>
                <c:pt idx="33">
                  <c:v>28.173974291248459</c:v>
                </c:pt>
                <c:pt idx="34">
                  <c:v>27.398761575976767</c:v>
                </c:pt>
                <c:pt idx="35">
                  <c:v>1857.3861069604197</c:v>
                </c:pt>
                <c:pt idx="36">
                  <c:v>2405.4720189533618</c:v>
                </c:pt>
                <c:pt idx="37">
                  <c:v>3112.2796766968545</c:v>
                </c:pt>
                <c:pt idx="38">
                  <c:v>2116.0949868073881</c:v>
                </c:pt>
                <c:pt idx="39">
                  <c:v>2308.1217394652244</c:v>
                </c:pt>
                <c:pt idx="40">
                  <c:v>2047.0168242755688</c:v>
                </c:pt>
                <c:pt idx="41">
                  <c:v>1897.4713954151227</c:v>
                </c:pt>
                <c:pt idx="42">
                  <c:v>1506.9307310339539</c:v>
                </c:pt>
                <c:pt idx="43">
                  <c:v>1493.8932068234581</c:v>
                </c:pt>
                <c:pt idx="44">
                  <c:v>1308.5999366487172</c:v>
                </c:pt>
                <c:pt idx="45">
                  <c:v>1261.9181155356141</c:v>
                </c:pt>
                <c:pt idx="46">
                  <c:v>1145.7072498852206</c:v>
                </c:pt>
                <c:pt idx="47">
                  <c:v>1505.4851007546877</c:v>
                </c:pt>
                <c:pt idx="48">
                  <c:v>1620.2920136303117</c:v>
                </c:pt>
                <c:pt idx="49">
                  <c:v>1805.9152242060786</c:v>
                </c:pt>
                <c:pt idx="50">
                  <c:v>1536.0039321700663</c:v>
                </c:pt>
                <c:pt idx="51">
                  <c:v>1539.1770385790849</c:v>
                </c:pt>
              </c:numCache>
            </c:numRef>
          </c:val>
          <c:smooth val="0"/>
          <c:extLst>
            <c:ext xmlns:c16="http://schemas.microsoft.com/office/drawing/2014/chart" uri="{C3380CC4-5D6E-409C-BE32-E72D297353CC}">
              <c16:uniqueId val="{00000002-06B9-43AB-A401-51F20184AFA4}"/>
            </c:ext>
          </c:extLst>
        </c:ser>
        <c:ser>
          <c:idx val="3"/>
          <c:order val="3"/>
          <c:tx>
            <c:strRef>
              <c:f>Sheet2!$F$1:$F$2</c:f>
              <c:strCache>
                <c:ptCount val="1"/>
                <c:pt idx="0">
                  <c:v>SA</c:v>
                </c:pt>
              </c:strCache>
            </c:strRef>
          </c:tx>
          <c:spPr>
            <a:ln w="22225" cap="rnd">
              <a:solidFill>
                <a:srgbClr val="7030A0">
                  <a:alpha val="45000"/>
                </a:srgbClr>
              </a:solidFill>
              <a:prstDash val="sysDash"/>
              <a:round/>
            </a:ln>
            <a:effectLst/>
          </c:spPr>
          <c:marker>
            <c:symbol val="none"/>
          </c:marker>
          <c:cat>
            <c:multiLvlStrRef>
              <c:f>Sheet2!$A$3:$B$60</c:f>
              <c:multiLvlStrCache>
                <c:ptCount val="52"/>
                <c:lvl>
                  <c:pt idx="0">
                    <c:v>Jan</c:v>
                  </c:pt>
                  <c:pt idx="1">
                    <c:v>Feb</c:v>
                  </c:pt>
                  <c:pt idx="2">
                    <c:v>Mar</c:v>
                  </c:pt>
                  <c:pt idx="3">
                    <c:v>Apr</c:v>
                  </c:pt>
                  <c:pt idx="4">
                    <c:v>May</c:v>
                  </c:pt>
                  <c:pt idx="5">
                    <c:v>Jun</c:v>
                  </c:pt>
                  <c:pt idx="6">
                    <c:v>Jul</c:v>
                  </c:pt>
                  <c:pt idx="7">
                    <c:v>Aug</c:v>
                  </c:pt>
                  <c:pt idx="8">
                    <c:v>Sep</c:v>
                  </c:pt>
                  <c:pt idx="9">
                    <c:v>Oct</c:v>
                  </c:pt>
                  <c:pt idx="10">
                    <c:v>Nov</c:v>
                  </c:pt>
                  <c:pt idx="11">
                    <c:v>Dec</c:v>
                  </c:pt>
                  <c:pt idx="12">
                    <c:v>Jan</c:v>
                  </c:pt>
                  <c:pt idx="13">
                    <c:v>Feb</c:v>
                  </c:pt>
                  <c:pt idx="14">
                    <c:v>Mar</c:v>
                  </c:pt>
                  <c:pt idx="15">
                    <c:v>Apr</c:v>
                  </c:pt>
                  <c:pt idx="16">
                    <c:v>May</c:v>
                  </c:pt>
                  <c:pt idx="17">
                    <c:v>Jun</c:v>
                  </c:pt>
                  <c:pt idx="18">
                    <c:v>Jul</c:v>
                  </c:pt>
                  <c:pt idx="19">
                    <c:v>Aug</c:v>
                  </c:pt>
                  <c:pt idx="20">
                    <c:v>Sep</c:v>
                  </c:pt>
                  <c:pt idx="21">
                    <c:v>Oct</c:v>
                  </c:pt>
                  <c:pt idx="22">
                    <c:v>Nov</c:v>
                  </c:pt>
                  <c:pt idx="23">
                    <c:v>Dec</c:v>
                  </c:pt>
                  <c:pt idx="24">
                    <c:v>Jan</c:v>
                  </c:pt>
                  <c:pt idx="25">
                    <c:v>Feb</c:v>
                  </c:pt>
                  <c:pt idx="26">
                    <c:v>Mar</c:v>
                  </c:pt>
                  <c:pt idx="27">
                    <c:v>Apr</c:v>
                  </c:pt>
                  <c:pt idx="28">
                    <c:v>May</c:v>
                  </c:pt>
                  <c:pt idx="29">
                    <c:v>Jun</c:v>
                  </c:pt>
                  <c:pt idx="30">
                    <c:v>Jul</c:v>
                  </c:pt>
                  <c:pt idx="31">
                    <c:v>Aug</c:v>
                  </c:pt>
                  <c:pt idx="32">
                    <c:v>Sep</c:v>
                  </c:pt>
                  <c:pt idx="33">
                    <c:v>Oct</c:v>
                  </c:pt>
                  <c:pt idx="34">
                    <c:v>Nov</c:v>
                  </c:pt>
                  <c:pt idx="35">
                    <c:v>Dec</c:v>
                  </c:pt>
                  <c:pt idx="36">
                    <c:v>Jan</c:v>
                  </c:pt>
                  <c:pt idx="37">
                    <c:v>Feb</c:v>
                  </c:pt>
                  <c:pt idx="38">
                    <c:v>Mar</c:v>
                  </c:pt>
                  <c:pt idx="39">
                    <c:v>Apr</c:v>
                  </c:pt>
                  <c:pt idx="40">
                    <c:v>May</c:v>
                  </c:pt>
                  <c:pt idx="41">
                    <c:v>Jun</c:v>
                  </c:pt>
                  <c:pt idx="42">
                    <c:v>Jul</c:v>
                  </c:pt>
                  <c:pt idx="43">
                    <c:v>Aug</c:v>
                  </c:pt>
                  <c:pt idx="44">
                    <c:v>Sep</c:v>
                  </c:pt>
                  <c:pt idx="45">
                    <c:v>Oct</c:v>
                  </c:pt>
                  <c:pt idx="46">
                    <c:v>Nov</c:v>
                  </c:pt>
                  <c:pt idx="47">
                    <c:v>Dec</c:v>
                  </c:pt>
                  <c:pt idx="48">
                    <c:v>Jan</c:v>
                  </c:pt>
                  <c:pt idx="49">
                    <c:v>Feb</c:v>
                  </c:pt>
                  <c:pt idx="50">
                    <c:v>Mar</c:v>
                  </c:pt>
                  <c:pt idx="51">
                    <c:v>Apr</c:v>
                  </c:pt>
                </c:lvl>
                <c:lvl>
                  <c:pt idx="0">
                    <c:v>2017</c:v>
                  </c:pt>
                  <c:pt idx="12">
                    <c:v>2018</c:v>
                  </c:pt>
                  <c:pt idx="24">
                    <c:v>2019</c:v>
                  </c:pt>
                  <c:pt idx="36">
                    <c:v>2020</c:v>
                  </c:pt>
                  <c:pt idx="48">
                    <c:v>2021</c:v>
                  </c:pt>
                </c:lvl>
              </c:multiLvlStrCache>
            </c:multiLvlStrRef>
          </c:cat>
          <c:val>
            <c:numRef>
              <c:f>Sheet2!$F$3:$F$60</c:f>
              <c:numCache>
                <c:formatCode>General</c:formatCode>
                <c:ptCount val="52"/>
                <c:pt idx="0">
                  <c:v>5.6230319388214127</c:v>
                </c:pt>
                <c:pt idx="1">
                  <c:v>11.203854125819282</c:v>
                </c:pt>
                <c:pt idx="2">
                  <c:v>0</c:v>
                </c:pt>
                <c:pt idx="3">
                  <c:v>0</c:v>
                </c:pt>
                <c:pt idx="4">
                  <c:v>10.087254753618803</c:v>
                </c:pt>
                <c:pt idx="5">
                  <c:v>15.661707126076742</c:v>
                </c:pt>
                <c:pt idx="6">
                  <c:v>21.049308003999368</c:v>
                </c:pt>
                <c:pt idx="7">
                  <c:v>40.685551543508112</c:v>
                </c:pt>
                <c:pt idx="8">
                  <c:v>15.862944162436547</c:v>
                </c:pt>
                <c:pt idx="9">
                  <c:v>31.512605042016808</c:v>
                </c:pt>
                <c:pt idx="10">
                  <c:v>46.365462881871103</c:v>
                </c:pt>
                <c:pt idx="11">
                  <c:v>60.123252667969339</c:v>
                </c:pt>
                <c:pt idx="12">
                  <c:v>11.085245538188671</c:v>
                </c:pt>
                <c:pt idx="13">
                  <c:v>16.949152542372882</c:v>
                </c:pt>
                <c:pt idx="14">
                  <c:v>31.346324643435555</c:v>
                </c:pt>
                <c:pt idx="15">
                  <c:v>11.000495022276002</c:v>
                </c:pt>
                <c:pt idx="16">
                  <c:v>20.463498235023277</c:v>
                </c:pt>
                <c:pt idx="17">
                  <c:v>21.641508413136396</c:v>
                </c:pt>
                <c:pt idx="18">
                  <c:v>16.126431220770844</c:v>
                </c:pt>
                <c:pt idx="19">
                  <c:v>10.504753400913915</c:v>
                </c:pt>
                <c:pt idx="20">
                  <c:v>11.144544745347153</c:v>
                </c:pt>
                <c:pt idx="21">
                  <c:v>15.751338863803424</c:v>
                </c:pt>
                <c:pt idx="22">
                  <c:v>42.343725189223527</c:v>
                </c:pt>
                <c:pt idx="23">
                  <c:v>25.957844460595989</c:v>
                </c:pt>
                <c:pt idx="24">
                  <c:v>39.883767306706169</c:v>
                </c:pt>
                <c:pt idx="25">
                  <c:v>29.127344751252476</c:v>
                </c:pt>
                <c:pt idx="26">
                  <c:v>16.509823344890211</c:v>
                </c:pt>
                <c:pt idx="27">
                  <c:v>50.598751897453191</c:v>
                </c:pt>
                <c:pt idx="28">
                  <c:v>16.015374759769376</c:v>
                </c:pt>
                <c:pt idx="29">
                  <c:v>11.615750958299454</c:v>
                </c:pt>
                <c:pt idx="30">
                  <c:v>54.279976116810509</c:v>
                </c:pt>
                <c:pt idx="31">
                  <c:v>33.036009250082586</c:v>
                </c:pt>
                <c:pt idx="32">
                  <c:v>39.83837004154573</c:v>
                </c:pt>
                <c:pt idx="33">
                  <c:v>27.137042062415198</c:v>
                </c:pt>
                <c:pt idx="34">
                  <c:v>22.387642021604076</c:v>
                </c:pt>
                <c:pt idx="35">
                  <c:v>299.88218913998071</c:v>
                </c:pt>
                <c:pt idx="36">
                  <c:v>282.55238992229806</c:v>
                </c:pt>
                <c:pt idx="37">
                  <c:v>1086.0484544695071</c:v>
                </c:pt>
                <c:pt idx="38">
                  <c:v>717.26795846269135</c:v>
                </c:pt>
                <c:pt idx="39">
                  <c:v>1071.948732886688</c:v>
                </c:pt>
                <c:pt idx="40">
                  <c:v>946.04667163580064</c:v>
                </c:pt>
                <c:pt idx="41">
                  <c:v>879.6240510904928</c:v>
                </c:pt>
                <c:pt idx="42">
                  <c:v>816.37281025001425</c:v>
                </c:pt>
                <c:pt idx="43">
                  <c:v>665.71564431764148</c:v>
                </c:pt>
                <c:pt idx="44">
                  <c:v>627.43275431360019</c:v>
                </c:pt>
                <c:pt idx="45">
                  <c:v>972.11711973921638</c:v>
                </c:pt>
                <c:pt idx="46">
                  <c:v>1053.9629005059023</c:v>
                </c:pt>
                <c:pt idx="47">
                  <c:v>1490.2624894157495</c:v>
                </c:pt>
                <c:pt idx="48">
                  <c:v>1124.0335260866741</c:v>
                </c:pt>
                <c:pt idx="49">
                  <c:v>1943.6910758104095</c:v>
                </c:pt>
                <c:pt idx="50">
                  <c:v>532.13025623228646</c:v>
                </c:pt>
                <c:pt idx="51">
                  <c:v>1395.9951992925273</c:v>
                </c:pt>
              </c:numCache>
            </c:numRef>
          </c:val>
          <c:smooth val="0"/>
          <c:extLst>
            <c:ext xmlns:c16="http://schemas.microsoft.com/office/drawing/2014/chart" uri="{C3380CC4-5D6E-409C-BE32-E72D297353CC}">
              <c16:uniqueId val="{00000003-06B9-43AB-A401-51F20184AFA4}"/>
            </c:ext>
          </c:extLst>
        </c:ser>
        <c:ser>
          <c:idx val="4"/>
          <c:order val="4"/>
          <c:tx>
            <c:strRef>
              <c:f>Sheet2!$G$1:$G$2</c:f>
              <c:strCache>
                <c:ptCount val="1"/>
                <c:pt idx="0">
                  <c:v>WA</c:v>
                </c:pt>
              </c:strCache>
            </c:strRef>
          </c:tx>
          <c:spPr>
            <a:ln w="22225" cap="rnd">
              <a:solidFill>
                <a:schemeClr val="accent1">
                  <a:lumMod val="50000"/>
                  <a:alpha val="60000"/>
                </a:schemeClr>
              </a:solidFill>
              <a:prstDash val="dashDot"/>
              <a:round/>
            </a:ln>
            <a:effectLst/>
          </c:spPr>
          <c:marker>
            <c:symbol val="none"/>
          </c:marker>
          <c:cat>
            <c:multiLvlStrRef>
              <c:f>Sheet2!$A$3:$B$60</c:f>
              <c:multiLvlStrCache>
                <c:ptCount val="52"/>
                <c:lvl>
                  <c:pt idx="0">
                    <c:v>Jan</c:v>
                  </c:pt>
                  <c:pt idx="1">
                    <c:v>Feb</c:v>
                  </c:pt>
                  <c:pt idx="2">
                    <c:v>Mar</c:v>
                  </c:pt>
                  <c:pt idx="3">
                    <c:v>Apr</c:v>
                  </c:pt>
                  <c:pt idx="4">
                    <c:v>May</c:v>
                  </c:pt>
                  <c:pt idx="5">
                    <c:v>Jun</c:v>
                  </c:pt>
                  <c:pt idx="6">
                    <c:v>Jul</c:v>
                  </c:pt>
                  <c:pt idx="7">
                    <c:v>Aug</c:v>
                  </c:pt>
                  <c:pt idx="8">
                    <c:v>Sep</c:v>
                  </c:pt>
                  <c:pt idx="9">
                    <c:v>Oct</c:v>
                  </c:pt>
                  <c:pt idx="10">
                    <c:v>Nov</c:v>
                  </c:pt>
                  <c:pt idx="11">
                    <c:v>Dec</c:v>
                  </c:pt>
                  <c:pt idx="12">
                    <c:v>Jan</c:v>
                  </c:pt>
                  <c:pt idx="13">
                    <c:v>Feb</c:v>
                  </c:pt>
                  <c:pt idx="14">
                    <c:v>Mar</c:v>
                  </c:pt>
                  <c:pt idx="15">
                    <c:v>Apr</c:v>
                  </c:pt>
                  <c:pt idx="16">
                    <c:v>May</c:v>
                  </c:pt>
                  <c:pt idx="17">
                    <c:v>Jun</c:v>
                  </c:pt>
                  <c:pt idx="18">
                    <c:v>Jul</c:v>
                  </c:pt>
                  <c:pt idx="19">
                    <c:v>Aug</c:v>
                  </c:pt>
                  <c:pt idx="20">
                    <c:v>Sep</c:v>
                  </c:pt>
                  <c:pt idx="21">
                    <c:v>Oct</c:v>
                  </c:pt>
                  <c:pt idx="22">
                    <c:v>Nov</c:v>
                  </c:pt>
                  <c:pt idx="23">
                    <c:v>Dec</c:v>
                  </c:pt>
                  <c:pt idx="24">
                    <c:v>Jan</c:v>
                  </c:pt>
                  <c:pt idx="25">
                    <c:v>Feb</c:v>
                  </c:pt>
                  <c:pt idx="26">
                    <c:v>Mar</c:v>
                  </c:pt>
                  <c:pt idx="27">
                    <c:v>Apr</c:v>
                  </c:pt>
                  <c:pt idx="28">
                    <c:v>May</c:v>
                  </c:pt>
                  <c:pt idx="29">
                    <c:v>Jun</c:v>
                  </c:pt>
                  <c:pt idx="30">
                    <c:v>Jul</c:v>
                  </c:pt>
                  <c:pt idx="31">
                    <c:v>Aug</c:v>
                  </c:pt>
                  <c:pt idx="32">
                    <c:v>Sep</c:v>
                  </c:pt>
                  <c:pt idx="33">
                    <c:v>Oct</c:v>
                  </c:pt>
                  <c:pt idx="34">
                    <c:v>Nov</c:v>
                  </c:pt>
                  <c:pt idx="35">
                    <c:v>Dec</c:v>
                  </c:pt>
                  <c:pt idx="36">
                    <c:v>Jan</c:v>
                  </c:pt>
                  <c:pt idx="37">
                    <c:v>Feb</c:v>
                  </c:pt>
                  <c:pt idx="38">
                    <c:v>Mar</c:v>
                  </c:pt>
                  <c:pt idx="39">
                    <c:v>Apr</c:v>
                  </c:pt>
                  <c:pt idx="40">
                    <c:v>May</c:v>
                  </c:pt>
                  <c:pt idx="41">
                    <c:v>Jun</c:v>
                  </c:pt>
                  <c:pt idx="42">
                    <c:v>Jul</c:v>
                  </c:pt>
                  <c:pt idx="43">
                    <c:v>Aug</c:v>
                  </c:pt>
                  <c:pt idx="44">
                    <c:v>Sep</c:v>
                  </c:pt>
                  <c:pt idx="45">
                    <c:v>Oct</c:v>
                  </c:pt>
                  <c:pt idx="46">
                    <c:v>Nov</c:v>
                  </c:pt>
                  <c:pt idx="47">
                    <c:v>Dec</c:v>
                  </c:pt>
                  <c:pt idx="48">
                    <c:v>Jan</c:v>
                  </c:pt>
                  <c:pt idx="49">
                    <c:v>Feb</c:v>
                  </c:pt>
                  <c:pt idx="50">
                    <c:v>Mar</c:v>
                  </c:pt>
                  <c:pt idx="51">
                    <c:v>Apr</c:v>
                  </c:pt>
                </c:lvl>
                <c:lvl>
                  <c:pt idx="0">
                    <c:v>2017</c:v>
                  </c:pt>
                  <c:pt idx="12">
                    <c:v>2018</c:v>
                  </c:pt>
                  <c:pt idx="24">
                    <c:v>2019</c:v>
                  </c:pt>
                  <c:pt idx="36">
                    <c:v>2020</c:v>
                  </c:pt>
                  <c:pt idx="48">
                    <c:v>2021</c:v>
                  </c:pt>
                </c:lvl>
              </c:multiLvlStrCache>
            </c:multiLvlStrRef>
          </c:cat>
          <c:val>
            <c:numRef>
              <c:f>Sheet2!$G$3:$G$60</c:f>
              <c:numCache>
                <c:formatCode>General</c:formatCode>
                <c:ptCount val="52"/>
                <c:pt idx="0">
                  <c:v>0</c:v>
                </c:pt>
                <c:pt idx="1">
                  <c:v>31.067156837363434</c:v>
                </c:pt>
                <c:pt idx="2">
                  <c:v>4.6685340802987856</c:v>
                </c:pt>
                <c:pt idx="3">
                  <c:v>35.414347870079936</c:v>
                </c:pt>
                <c:pt idx="4">
                  <c:v>9.0473174703700359</c:v>
                </c:pt>
                <c:pt idx="5">
                  <c:v>4.6550600502746491</c:v>
                </c:pt>
                <c:pt idx="6">
                  <c:v>14.055472263868065</c:v>
                </c:pt>
                <c:pt idx="7">
                  <c:v>31.412672769700233</c:v>
                </c:pt>
                <c:pt idx="8">
                  <c:v>23.528304550374099</c:v>
                </c:pt>
                <c:pt idx="9">
                  <c:v>22.531656978054166</c:v>
                </c:pt>
                <c:pt idx="10">
                  <c:v>17.964609718853858</c:v>
                </c:pt>
                <c:pt idx="11">
                  <c:v>17.262958007854646</c:v>
                </c:pt>
                <c:pt idx="12">
                  <c:v>23.940627244433802</c:v>
                </c:pt>
                <c:pt idx="13">
                  <c:v>23.991171248980375</c:v>
                </c:pt>
                <c:pt idx="14">
                  <c:v>35.132405252294589</c:v>
                </c:pt>
                <c:pt idx="15">
                  <c:v>23.170675193475137</c:v>
                </c:pt>
                <c:pt idx="16">
                  <c:v>8.5066564586789166</c:v>
                </c:pt>
                <c:pt idx="17">
                  <c:v>13.555033435749142</c:v>
                </c:pt>
                <c:pt idx="18">
                  <c:v>8.837044892188052</c:v>
                </c:pt>
                <c:pt idx="19">
                  <c:v>12.649687974363298</c:v>
                </c:pt>
                <c:pt idx="20">
                  <c:v>45.574696928265432</c:v>
                </c:pt>
                <c:pt idx="21">
                  <c:v>8.3598060524995823</c:v>
                </c:pt>
                <c:pt idx="22">
                  <c:v>21.095266222259724</c:v>
                </c:pt>
                <c:pt idx="23">
                  <c:v>28.871932357187045</c:v>
                </c:pt>
                <c:pt idx="24">
                  <c:v>22.409465758336321</c:v>
                </c:pt>
                <c:pt idx="25">
                  <c:v>18.20498816675769</c:v>
                </c:pt>
                <c:pt idx="26">
                  <c:v>8.5568818722457536</c:v>
                </c:pt>
                <c:pt idx="27">
                  <c:v>13.039509714434736</c:v>
                </c:pt>
                <c:pt idx="28">
                  <c:v>12.169398020444589</c:v>
                </c:pt>
                <c:pt idx="29">
                  <c:v>22.432590066849119</c:v>
                </c:pt>
                <c:pt idx="30">
                  <c:v>8.3236224404860994</c:v>
                </c:pt>
                <c:pt idx="31">
                  <c:v>12.504689258471927</c:v>
                </c:pt>
                <c:pt idx="32">
                  <c:v>8.8425148112123093</c:v>
                </c:pt>
                <c:pt idx="33">
                  <c:v>8.1280988376818648</c:v>
                </c:pt>
                <c:pt idx="34">
                  <c:v>16.805310478111082</c:v>
                </c:pt>
                <c:pt idx="35">
                  <c:v>593.25770633743537</c:v>
                </c:pt>
                <c:pt idx="36">
                  <c:v>1131.0504519748854</c:v>
                </c:pt>
                <c:pt idx="37">
                  <c:v>1698.7095075059258</c:v>
                </c:pt>
                <c:pt idx="38">
                  <c:v>1616.6095545252972</c:v>
                </c:pt>
                <c:pt idx="39">
                  <c:v>1330.7470227354747</c:v>
                </c:pt>
                <c:pt idx="40">
                  <c:v>1643.9049064238748</c:v>
                </c:pt>
                <c:pt idx="41">
                  <c:v>1287.2345369208606</c:v>
                </c:pt>
                <c:pt idx="42">
                  <c:v>1762.305755707961</c:v>
                </c:pt>
                <c:pt idx="43">
                  <c:v>1956.4828080229227</c:v>
                </c:pt>
                <c:pt idx="44">
                  <c:v>2374.0461421750192</c:v>
                </c:pt>
                <c:pt idx="45">
                  <c:v>1941.6187527642635</c:v>
                </c:pt>
                <c:pt idx="46">
                  <c:v>1973.4728532745883</c:v>
                </c:pt>
                <c:pt idx="47">
                  <c:v>1574.8031496062993</c:v>
                </c:pt>
                <c:pt idx="48">
                  <c:v>2545.8447132266874</c:v>
                </c:pt>
                <c:pt idx="49">
                  <c:v>1941.558124786575</c:v>
                </c:pt>
                <c:pt idx="50">
                  <c:v>2794.4469323779667</c:v>
                </c:pt>
                <c:pt idx="51">
                  <c:v>2089.4393495320037</c:v>
                </c:pt>
              </c:numCache>
            </c:numRef>
          </c:val>
          <c:smooth val="0"/>
          <c:extLst>
            <c:ext xmlns:c16="http://schemas.microsoft.com/office/drawing/2014/chart" uri="{C3380CC4-5D6E-409C-BE32-E72D297353CC}">
              <c16:uniqueId val="{00000004-06B9-43AB-A401-51F20184AFA4}"/>
            </c:ext>
          </c:extLst>
        </c:ser>
        <c:dLbls>
          <c:showLegendKey val="0"/>
          <c:showVal val="0"/>
          <c:showCatName val="0"/>
          <c:showSerName val="0"/>
          <c:showPercent val="0"/>
          <c:showBubbleSize val="0"/>
        </c:dLbls>
        <c:marker val="1"/>
        <c:smooth val="0"/>
        <c:axId val="768774064"/>
        <c:axId val="768751184"/>
      </c:lineChart>
      <c:catAx>
        <c:axId val="768774064"/>
        <c:scaling>
          <c:orientation val="minMax"/>
        </c:scaling>
        <c:delete val="0"/>
        <c:axPos val="b"/>
        <c:numFmt formatCode="_-* #,##0_-;\-* #,##0_-;_-* &quot;-&quot;??_-;_-@_-"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8751184"/>
        <c:crosses val="autoZero"/>
        <c:auto val="1"/>
        <c:lblAlgn val="ctr"/>
        <c:lblOffset val="100"/>
        <c:noMultiLvlLbl val="0"/>
      </c:catAx>
      <c:valAx>
        <c:axId val="768751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sz="900" b="0" i="0" baseline="0">
                    <a:effectLst/>
                  </a:rPr>
                  <a:t>Rate of naloxone supply per 100,000 population at prescription opioid overdose risk</a:t>
                </a:r>
                <a:endParaRPr lang="en-AU" sz="3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87740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[Chapter 5.xlsx]Sheet3 (2)!PivotTable9</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areaChart>
        <c:grouping val="percentStacked"/>
        <c:varyColors val="0"/>
        <c:ser>
          <c:idx val="0"/>
          <c:order val="0"/>
          <c:tx>
            <c:strRef>
              <c:f>'Sheet3 (2)'!$C$1:$C$2</c:f>
              <c:strCache>
                <c:ptCount val="1"/>
                <c:pt idx="0">
                  <c:v>Nyxoid® (Nasal spray)</c:v>
                </c:pt>
              </c:strCache>
            </c:strRef>
          </c:tx>
          <c:spPr>
            <a:solidFill>
              <a:schemeClr val="accent1"/>
            </a:solidFill>
            <a:ln>
              <a:noFill/>
            </a:ln>
            <a:effectLst/>
          </c:spPr>
          <c:cat>
            <c:multiLvlStrRef>
              <c:f>'Sheet3 (2)'!$A$3:$B$25</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2019</c:v>
                  </c:pt>
                  <c:pt idx="1">
                    <c:v>2020</c:v>
                  </c:pt>
                  <c:pt idx="13">
                    <c:v>2021</c:v>
                  </c:pt>
                </c:lvl>
              </c:multiLvlStrCache>
            </c:multiLvlStrRef>
          </c:cat>
          <c:val>
            <c:numRef>
              <c:f>'Sheet3 (2)'!$C$3:$C$25</c:f>
              <c:numCache>
                <c:formatCode>General</c:formatCode>
                <c:ptCount val="19"/>
                <c:pt idx="0">
                  <c:v>1511</c:v>
                </c:pt>
                <c:pt idx="1">
                  <c:v>2012</c:v>
                </c:pt>
                <c:pt idx="2">
                  <c:v>3335</c:v>
                </c:pt>
                <c:pt idx="3">
                  <c:v>2094</c:v>
                </c:pt>
                <c:pt idx="4">
                  <c:v>1700</c:v>
                </c:pt>
                <c:pt idx="5">
                  <c:v>1865</c:v>
                </c:pt>
                <c:pt idx="6">
                  <c:v>1612</c:v>
                </c:pt>
                <c:pt idx="7">
                  <c:v>1651</c:v>
                </c:pt>
                <c:pt idx="8">
                  <c:v>1702</c:v>
                </c:pt>
                <c:pt idx="9">
                  <c:v>1647</c:v>
                </c:pt>
                <c:pt idx="10">
                  <c:v>1643</c:v>
                </c:pt>
                <c:pt idx="11">
                  <c:v>1488</c:v>
                </c:pt>
                <c:pt idx="12">
                  <c:v>1845</c:v>
                </c:pt>
                <c:pt idx="13">
                  <c:v>1896</c:v>
                </c:pt>
                <c:pt idx="14">
                  <c:v>2206</c:v>
                </c:pt>
                <c:pt idx="15">
                  <c:v>1998</c:v>
                </c:pt>
                <c:pt idx="16">
                  <c:v>1882</c:v>
                </c:pt>
                <c:pt idx="17">
                  <c:v>1867</c:v>
                </c:pt>
                <c:pt idx="18">
                  <c:v>1567</c:v>
                </c:pt>
              </c:numCache>
            </c:numRef>
          </c:val>
          <c:extLst>
            <c:ext xmlns:c16="http://schemas.microsoft.com/office/drawing/2014/chart" uri="{C3380CC4-5D6E-409C-BE32-E72D297353CC}">
              <c16:uniqueId val="{00000000-39D2-4030-B7E3-A646FFFA52A1}"/>
            </c:ext>
          </c:extLst>
        </c:ser>
        <c:ser>
          <c:idx val="1"/>
          <c:order val="1"/>
          <c:tx>
            <c:strRef>
              <c:f>'Sheet3 (2)'!$D$1:$D$2</c:f>
              <c:strCache>
                <c:ptCount val="1"/>
                <c:pt idx="0">
                  <c:v>Prenoxad® (Pre-filled syringe)</c:v>
                </c:pt>
              </c:strCache>
            </c:strRef>
          </c:tx>
          <c:spPr>
            <a:solidFill>
              <a:schemeClr val="bg1">
                <a:lumMod val="65000"/>
              </a:schemeClr>
            </a:solidFill>
            <a:ln>
              <a:noFill/>
            </a:ln>
            <a:effectLst/>
          </c:spPr>
          <c:cat>
            <c:multiLvlStrRef>
              <c:f>'Sheet3 (2)'!$A$3:$B$25</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2019</c:v>
                  </c:pt>
                  <c:pt idx="1">
                    <c:v>2020</c:v>
                  </c:pt>
                  <c:pt idx="13">
                    <c:v>2021</c:v>
                  </c:pt>
                </c:lvl>
              </c:multiLvlStrCache>
            </c:multiLvlStrRef>
          </c:cat>
          <c:val>
            <c:numRef>
              <c:f>'Sheet3 (2)'!$D$3:$D$25</c:f>
              <c:numCache>
                <c:formatCode>General</c:formatCode>
                <c:ptCount val="19"/>
                <c:pt idx="0">
                  <c:v>150</c:v>
                </c:pt>
                <c:pt idx="1">
                  <c:v>199</c:v>
                </c:pt>
                <c:pt idx="2">
                  <c:v>356</c:v>
                </c:pt>
                <c:pt idx="3">
                  <c:v>341</c:v>
                </c:pt>
                <c:pt idx="4">
                  <c:v>372</c:v>
                </c:pt>
                <c:pt idx="5">
                  <c:v>308</c:v>
                </c:pt>
                <c:pt idx="6">
                  <c:v>219</c:v>
                </c:pt>
                <c:pt idx="7">
                  <c:v>295</c:v>
                </c:pt>
                <c:pt idx="8">
                  <c:v>268</c:v>
                </c:pt>
                <c:pt idx="9">
                  <c:v>318</c:v>
                </c:pt>
                <c:pt idx="10">
                  <c:v>224</c:v>
                </c:pt>
                <c:pt idx="11">
                  <c:v>246</c:v>
                </c:pt>
                <c:pt idx="12">
                  <c:v>234</c:v>
                </c:pt>
                <c:pt idx="13">
                  <c:v>351</c:v>
                </c:pt>
                <c:pt idx="14">
                  <c:v>257</c:v>
                </c:pt>
                <c:pt idx="15">
                  <c:v>404</c:v>
                </c:pt>
                <c:pt idx="16">
                  <c:v>312</c:v>
                </c:pt>
                <c:pt idx="17">
                  <c:v>216</c:v>
                </c:pt>
                <c:pt idx="18">
                  <c:v>230</c:v>
                </c:pt>
              </c:numCache>
            </c:numRef>
          </c:val>
          <c:extLst>
            <c:ext xmlns:c16="http://schemas.microsoft.com/office/drawing/2014/chart" uri="{C3380CC4-5D6E-409C-BE32-E72D297353CC}">
              <c16:uniqueId val="{00000001-39D2-4030-B7E3-A646FFFA52A1}"/>
            </c:ext>
          </c:extLst>
        </c:ser>
        <c:ser>
          <c:idx val="2"/>
          <c:order val="2"/>
          <c:tx>
            <c:strRef>
              <c:f>'Sheet3 (2)'!$E$1:$E$2</c:f>
              <c:strCache>
                <c:ptCount val="1"/>
                <c:pt idx="0">
                  <c:v>Naloxone Juno™ (Ampoule)</c:v>
                </c:pt>
              </c:strCache>
            </c:strRef>
          </c:tx>
          <c:spPr>
            <a:solidFill>
              <a:schemeClr val="bg2">
                <a:lumMod val="75000"/>
              </a:schemeClr>
            </a:solidFill>
            <a:ln>
              <a:noFill/>
            </a:ln>
            <a:effectLst/>
          </c:spPr>
          <c:cat>
            <c:multiLvlStrRef>
              <c:f>'Sheet3 (2)'!$A$3:$B$25</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2019</c:v>
                  </c:pt>
                  <c:pt idx="1">
                    <c:v>2020</c:v>
                  </c:pt>
                  <c:pt idx="13">
                    <c:v>2021</c:v>
                  </c:pt>
                </c:lvl>
              </c:multiLvlStrCache>
            </c:multiLvlStrRef>
          </c:cat>
          <c:val>
            <c:numRef>
              <c:f>'Sheet3 (2)'!$E$3:$E$25</c:f>
              <c:numCache>
                <c:formatCode>General</c:formatCode>
                <c:ptCount val="19"/>
                <c:pt idx="0">
                  <c:v>608</c:v>
                </c:pt>
                <c:pt idx="1">
                  <c:v>475</c:v>
                </c:pt>
                <c:pt idx="2">
                  <c:v>57</c:v>
                </c:pt>
                <c:pt idx="3">
                  <c:v>15</c:v>
                </c:pt>
                <c:pt idx="4">
                  <c:v>15</c:v>
                </c:pt>
                <c:pt idx="5">
                  <c:v>28</c:v>
                </c:pt>
                <c:pt idx="6">
                  <c:v>46</c:v>
                </c:pt>
                <c:pt idx="7">
                  <c:v>22</c:v>
                </c:pt>
                <c:pt idx="8">
                  <c:v>23</c:v>
                </c:pt>
                <c:pt idx="9">
                  <c:v>21</c:v>
                </c:pt>
                <c:pt idx="10">
                  <c:v>28</c:v>
                </c:pt>
                <c:pt idx="11">
                  <c:v>13</c:v>
                </c:pt>
                <c:pt idx="12">
                  <c:v>21</c:v>
                </c:pt>
                <c:pt idx="13">
                  <c:v>12</c:v>
                </c:pt>
                <c:pt idx="14">
                  <c:v>16</c:v>
                </c:pt>
                <c:pt idx="15">
                  <c:v>17</c:v>
                </c:pt>
                <c:pt idx="16">
                  <c:v>11</c:v>
                </c:pt>
                <c:pt idx="17">
                  <c:v>8</c:v>
                </c:pt>
                <c:pt idx="18">
                  <c:v>15</c:v>
                </c:pt>
              </c:numCache>
            </c:numRef>
          </c:val>
          <c:extLst>
            <c:ext xmlns:c16="http://schemas.microsoft.com/office/drawing/2014/chart" uri="{C3380CC4-5D6E-409C-BE32-E72D297353CC}">
              <c16:uniqueId val="{00000002-39D2-4030-B7E3-A646FFFA52A1}"/>
            </c:ext>
          </c:extLst>
        </c:ser>
        <c:dLbls>
          <c:showLegendKey val="0"/>
          <c:showVal val="0"/>
          <c:showCatName val="0"/>
          <c:showSerName val="0"/>
          <c:showPercent val="0"/>
          <c:showBubbleSize val="0"/>
        </c:dLbls>
        <c:axId val="1156278608"/>
        <c:axId val="1417896544"/>
      </c:areaChart>
      <c:catAx>
        <c:axId val="1156278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7896544"/>
        <c:crosses val="autoZero"/>
        <c:auto val="1"/>
        <c:lblAlgn val="ctr"/>
        <c:lblOffset val="100"/>
        <c:noMultiLvlLbl val="0"/>
      </c:catAx>
      <c:valAx>
        <c:axId val="1417896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Proportion</a:t>
                </a:r>
                <a:r>
                  <a:rPr lang="en-AU" baseline="0"/>
                  <a:t> of naloxone units supplied</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62786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Sheet3!$F$22</c:f>
              <c:strCache>
                <c:ptCount val="1"/>
                <c:pt idx="0">
                  <c:v>Nyxoid® (Nasal spray)</c:v>
                </c:pt>
              </c:strCache>
            </c:strRef>
          </c:tx>
          <c:spPr>
            <a:solidFill>
              <a:schemeClr val="accent1"/>
            </a:solidFill>
            <a:ln>
              <a:noFill/>
            </a:ln>
            <a:effectLst/>
          </c:spPr>
          <c:invertIfNegative val="0"/>
          <c:cat>
            <c:multiLvlStrRef>
              <c:f>Sheet3!$D$48:$E$51</c:f>
              <c:multiLvlStrCache>
                <c:ptCount val="4"/>
                <c:lvl>
                  <c:pt idx="0">
                    <c:v>PBS Pharmacies</c:v>
                  </c:pt>
                  <c:pt idx="1">
                    <c:v>PBS Pharmacies</c:v>
                  </c:pt>
                  <c:pt idx="2">
                    <c:v>Pilot Pharmacies</c:v>
                  </c:pt>
                  <c:pt idx="3">
                    <c:v>Pilot AAS</c:v>
                  </c:pt>
                </c:lvl>
                <c:lvl>
                  <c:pt idx="0">
                    <c:v>PRE-Pilot (Jan 2015-Nov 2019)</c:v>
                  </c:pt>
                  <c:pt idx="1">
                    <c:v>DURING the Pilot (Dec 2019-Jun 2021)</c:v>
                  </c:pt>
                </c:lvl>
              </c:multiLvlStrCache>
            </c:multiLvlStrRef>
          </c:cat>
          <c:val>
            <c:numRef>
              <c:f>Sheet3!$F$48:$F$51</c:f>
              <c:numCache>
                <c:formatCode>General</c:formatCode>
                <c:ptCount val="4"/>
                <c:pt idx="0">
                  <c:v>8</c:v>
                </c:pt>
                <c:pt idx="1">
                  <c:v>573</c:v>
                </c:pt>
                <c:pt idx="2">
                  <c:v>29320</c:v>
                </c:pt>
                <c:pt idx="3">
                  <c:v>6868</c:v>
                </c:pt>
              </c:numCache>
            </c:numRef>
          </c:val>
          <c:extLst>
            <c:ext xmlns:c16="http://schemas.microsoft.com/office/drawing/2014/chart" uri="{C3380CC4-5D6E-409C-BE32-E72D297353CC}">
              <c16:uniqueId val="{00000000-33B7-4A09-A78A-0C8CCBF2F7AC}"/>
            </c:ext>
          </c:extLst>
        </c:ser>
        <c:ser>
          <c:idx val="1"/>
          <c:order val="1"/>
          <c:tx>
            <c:strRef>
              <c:f>Sheet3!$G$22</c:f>
              <c:strCache>
                <c:ptCount val="1"/>
                <c:pt idx="0">
                  <c:v>Prenoxad® (Pre-filled syringe)</c:v>
                </c:pt>
              </c:strCache>
            </c:strRef>
          </c:tx>
          <c:spPr>
            <a:solidFill>
              <a:schemeClr val="bg1">
                <a:lumMod val="65000"/>
              </a:schemeClr>
            </a:solidFill>
            <a:ln>
              <a:noFill/>
            </a:ln>
            <a:effectLst/>
          </c:spPr>
          <c:invertIfNegative val="0"/>
          <c:cat>
            <c:multiLvlStrRef>
              <c:f>Sheet3!$D$48:$E$51</c:f>
              <c:multiLvlStrCache>
                <c:ptCount val="4"/>
                <c:lvl>
                  <c:pt idx="0">
                    <c:v>PBS Pharmacies</c:v>
                  </c:pt>
                  <c:pt idx="1">
                    <c:v>PBS Pharmacies</c:v>
                  </c:pt>
                  <c:pt idx="2">
                    <c:v>Pilot Pharmacies</c:v>
                  </c:pt>
                  <c:pt idx="3">
                    <c:v>Pilot AAS</c:v>
                  </c:pt>
                </c:lvl>
                <c:lvl>
                  <c:pt idx="0">
                    <c:v>PRE-Pilot (Jan 2015-Nov 2019)</c:v>
                  </c:pt>
                  <c:pt idx="1">
                    <c:v>DURING the Pilot (Dec 2019-Jun 2021)</c:v>
                  </c:pt>
                </c:lvl>
              </c:multiLvlStrCache>
            </c:multiLvlStrRef>
          </c:cat>
          <c:val>
            <c:numRef>
              <c:f>Sheet3!$G$48:$G$51</c:f>
              <c:numCache>
                <c:formatCode>General</c:formatCode>
                <c:ptCount val="4"/>
                <c:pt idx="0">
                  <c:v>187</c:v>
                </c:pt>
                <c:pt idx="1">
                  <c:v>281</c:v>
                </c:pt>
                <c:pt idx="2">
                  <c:v>3720</c:v>
                </c:pt>
                <c:pt idx="3">
                  <c:v>1849</c:v>
                </c:pt>
              </c:numCache>
            </c:numRef>
          </c:val>
          <c:extLst>
            <c:ext xmlns:c16="http://schemas.microsoft.com/office/drawing/2014/chart" uri="{C3380CC4-5D6E-409C-BE32-E72D297353CC}">
              <c16:uniqueId val="{00000001-33B7-4A09-A78A-0C8CCBF2F7AC}"/>
            </c:ext>
          </c:extLst>
        </c:ser>
        <c:ser>
          <c:idx val="2"/>
          <c:order val="2"/>
          <c:tx>
            <c:strRef>
              <c:f>Sheet3!$H$22</c:f>
              <c:strCache>
                <c:ptCount val="1"/>
                <c:pt idx="0">
                  <c:v>Naloxone Juno™ (Ampoule)</c:v>
                </c:pt>
              </c:strCache>
            </c:strRef>
          </c:tx>
          <c:spPr>
            <a:solidFill>
              <a:schemeClr val="bg2">
                <a:lumMod val="75000"/>
              </a:schemeClr>
            </a:solidFill>
            <a:ln>
              <a:noFill/>
            </a:ln>
            <a:effectLst/>
          </c:spPr>
          <c:invertIfNegative val="0"/>
          <c:cat>
            <c:multiLvlStrRef>
              <c:f>Sheet3!$D$48:$E$51</c:f>
              <c:multiLvlStrCache>
                <c:ptCount val="4"/>
                <c:lvl>
                  <c:pt idx="0">
                    <c:v>PBS Pharmacies</c:v>
                  </c:pt>
                  <c:pt idx="1">
                    <c:v>PBS Pharmacies</c:v>
                  </c:pt>
                  <c:pt idx="2">
                    <c:v>Pilot Pharmacies</c:v>
                  </c:pt>
                  <c:pt idx="3">
                    <c:v>Pilot AAS</c:v>
                  </c:pt>
                </c:lvl>
                <c:lvl>
                  <c:pt idx="0">
                    <c:v>PRE-Pilot (Jan 2015-Nov 2019)</c:v>
                  </c:pt>
                  <c:pt idx="1">
                    <c:v>DURING the Pilot (Dec 2019-Jun 2021)</c:v>
                  </c:pt>
                </c:lvl>
              </c:multiLvlStrCache>
            </c:multiLvlStrRef>
          </c:cat>
          <c:val>
            <c:numRef>
              <c:f>Sheet3!$H$48:$H$51</c:f>
              <c:numCache>
                <c:formatCode>General</c:formatCode>
                <c:ptCount val="4"/>
                <c:pt idx="0">
                  <c:v>484</c:v>
                </c:pt>
                <c:pt idx="1">
                  <c:v>103</c:v>
                </c:pt>
                <c:pt idx="2">
                  <c:v>1450</c:v>
                </c:pt>
                <c:pt idx="3">
                  <c:v>1</c:v>
                </c:pt>
              </c:numCache>
            </c:numRef>
          </c:val>
          <c:extLst>
            <c:ext xmlns:c16="http://schemas.microsoft.com/office/drawing/2014/chart" uri="{C3380CC4-5D6E-409C-BE32-E72D297353CC}">
              <c16:uniqueId val="{00000002-33B7-4A09-A78A-0C8CCBF2F7AC}"/>
            </c:ext>
          </c:extLst>
        </c:ser>
        <c:dLbls>
          <c:showLegendKey val="0"/>
          <c:showVal val="0"/>
          <c:showCatName val="0"/>
          <c:showSerName val="0"/>
          <c:showPercent val="0"/>
          <c:showBubbleSize val="0"/>
        </c:dLbls>
        <c:gapWidth val="219"/>
        <c:overlap val="100"/>
        <c:axId val="166709951"/>
        <c:axId val="166710783"/>
      </c:barChart>
      <c:catAx>
        <c:axId val="1667099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710783"/>
        <c:crosses val="autoZero"/>
        <c:auto val="1"/>
        <c:lblAlgn val="ctr"/>
        <c:lblOffset val="100"/>
        <c:noMultiLvlLbl val="0"/>
      </c:catAx>
      <c:valAx>
        <c:axId val="166710783"/>
        <c:scaling>
          <c:orientation val="minMax"/>
          <c:max val="35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Naloxone</a:t>
                </a:r>
                <a:r>
                  <a:rPr lang="en-AU" baseline="0"/>
                  <a:t> units supplied to individuals</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7099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400314367483726"/>
          <c:y val="4.0073092129306619E-2"/>
          <c:w val="0.63029538680546293"/>
          <c:h val="0.72213517614095701"/>
        </c:manualLayout>
      </c:layout>
      <c:barChart>
        <c:barDir val="bar"/>
        <c:grouping val="stacked"/>
        <c:varyColors val="0"/>
        <c:ser>
          <c:idx val="0"/>
          <c:order val="0"/>
          <c:tx>
            <c:strRef>
              <c:f>'[Chart in Microsoft Word]Sheet1'!$E$1</c:f>
              <c:strCache>
                <c:ptCount val="1"/>
                <c:pt idx="0">
                  <c:v>Nasal spray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Word]Sheet1'!$A$2:$A$5</c:f>
              <c:strCache>
                <c:ptCount val="4"/>
                <c:pt idx="0">
                  <c:v>TOTAL</c:v>
                </c:pt>
                <c:pt idx="1">
                  <c:v>Witness only</c:v>
                </c:pt>
                <c:pt idx="2">
                  <c:v>People Using Illicit Opioids</c:v>
                </c:pt>
                <c:pt idx="3">
                  <c:v>People Using Prescription Opioids</c:v>
                </c:pt>
              </c:strCache>
            </c:strRef>
          </c:cat>
          <c:val>
            <c:numRef>
              <c:f>'[Chart in Microsoft Word]Sheet1'!$E$2:$E$5</c:f>
              <c:numCache>
                <c:formatCode>0%</c:formatCode>
                <c:ptCount val="4"/>
                <c:pt idx="0">
                  <c:v>0.68079999999999996</c:v>
                </c:pt>
                <c:pt idx="1">
                  <c:v>0.74580000000000002</c:v>
                </c:pt>
                <c:pt idx="2">
                  <c:v>0.56440000000000001</c:v>
                </c:pt>
                <c:pt idx="3">
                  <c:v>0.83020000000000005</c:v>
                </c:pt>
              </c:numCache>
            </c:numRef>
          </c:val>
          <c:extLst>
            <c:ext xmlns:c16="http://schemas.microsoft.com/office/drawing/2014/chart" uri="{C3380CC4-5D6E-409C-BE32-E72D297353CC}">
              <c16:uniqueId val="{00000000-F840-4E0C-8FC9-C34B902CCF69}"/>
            </c:ext>
          </c:extLst>
        </c:ser>
        <c:ser>
          <c:idx val="1"/>
          <c:order val="1"/>
          <c:tx>
            <c:strRef>
              <c:f>'[Chart in Microsoft Word]Sheet1'!$D$1</c:f>
              <c:strCache>
                <c:ptCount val="1"/>
                <c:pt idx="0">
                  <c:v>Pre-filled syringe</c:v>
                </c:pt>
              </c:strCache>
            </c:strRef>
          </c:tx>
          <c:spPr>
            <a:solidFill>
              <a:schemeClr val="bg1">
                <a:lumMod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Word]Sheet1'!$A$2:$A$5</c:f>
              <c:strCache>
                <c:ptCount val="4"/>
                <c:pt idx="0">
                  <c:v>TOTAL</c:v>
                </c:pt>
                <c:pt idx="1">
                  <c:v>Witness only</c:v>
                </c:pt>
                <c:pt idx="2">
                  <c:v>People Using Illicit Opioids</c:v>
                </c:pt>
                <c:pt idx="3">
                  <c:v>People Using Prescription Opioids</c:v>
                </c:pt>
              </c:strCache>
            </c:strRef>
          </c:cat>
          <c:val>
            <c:numRef>
              <c:f>'[Chart in Microsoft Word]Sheet1'!$D$2:$D$5</c:f>
              <c:numCache>
                <c:formatCode>0%</c:formatCode>
                <c:ptCount val="4"/>
                <c:pt idx="0">
                  <c:v>0.23469999999999999</c:v>
                </c:pt>
                <c:pt idx="1">
                  <c:v>0.16950000000000001</c:v>
                </c:pt>
                <c:pt idx="2">
                  <c:v>0.34649999999999997</c:v>
                </c:pt>
                <c:pt idx="3">
                  <c:v>9.4299999999999995E-2</c:v>
                </c:pt>
              </c:numCache>
            </c:numRef>
          </c:val>
          <c:extLst>
            <c:ext xmlns:c16="http://schemas.microsoft.com/office/drawing/2014/chart" uri="{C3380CC4-5D6E-409C-BE32-E72D297353CC}">
              <c16:uniqueId val="{00000001-F840-4E0C-8FC9-C34B902CCF69}"/>
            </c:ext>
          </c:extLst>
        </c:ser>
        <c:ser>
          <c:idx val="2"/>
          <c:order val="2"/>
          <c:tx>
            <c:strRef>
              <c:f>'[Chart in Microsoft Word]Sheet1'!$C$1</c:f>
              <c:strCache>
                <c:ptCount val="1"/>
                <c:pt idx="0">
                  <c:v>Ampoule</c:v>
                </c:pt>
              </c:strCache>
            </c:strRef>
          </c:tx>
          <c:spPr>
            <a:solidFill>
              <a:schemeClr val="bg2">
                <a:lumMod val="75000"/>
              </a:schemeClr>
            </a:solidFill>
            <a:ln>
              <a:noFill/>
            </a:ln>
            <a:effectLst/>
          </c:spPr>
          <c:invertIfNegative val="0"/>
          <c:dLbls>
            <c:spPr>
              <a:solidFill>
                <a:schemeClr val="bg2">
                  <a:lumMod val="75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'[Chart in Microsoft Word]Sheet1'!$A$2:$A$5</c:f>
              <c:strCache>
                <c:ptCount val="4"/>
                <c:pt idx="0">
                  <c:v>TOTAL</c:v>
                </c:pt>
                <c:pt idx="1">
                  <c:v>Witness only</c:v>
                </c:pt>
                <c:pt idx="2">
                  <c:v>People Using Illicit Opioids</c:v>
                </c:pt>
                <c:pt idx="3">
                  <c:v>People Using Prescription Opioids</c:v>
                </c:pt>
              </c:strCache>
            </c:strRef>
          </c:cat>
          <c:val>
            <c:numRef>
              <c:f>'[Chart in Microsoft Word]Sheet1'!$C$2:$C$5</c:f>
              <c:numCache>
                <c:formatCode>0%</c:formatCode>
                <c:ptCount val="4"/>
                <c:pt idx="0">
                  <c:v>7.0400000000000004E-2</c:v>
                </c:pt>
                <c:pt idx="1">
                  <c:v>5.0799999999999998E-2</c:v>
                </c:pt>
                <c:pt idx="2">
                  <c:v>7.9200000000000007E-2</c:v>
                </c:pt>
                <c:pt idx="3">
                  <c:v>7.5499999999999998E-2</c:v>
                </c:pt>
              </c:numCache>
            </c:numRef>
          </c:val>
          <c:extLst>
            <c:ext xmlns:c16="http://schemas.microsoft.com/office/drawing/2014/chart" uri="{C3380CC4-5D6E-409C-BE32-E72D297353CC}">
              <c16:uniqueId val="{00000002-F840-4E0C-8FC9-C34B902CCF69}"/>
            </c:ext>
          </c:extLst>
        </c:ser>
        <c:ser>
          <c:idx val="3"/>
          <c:order val="3"/>
          <c:tx>
            <c:strRef>
              <c:f>'[Chart in Microsoft Word]Sheet1'!$B$1</c:f>
              <c:strCache>
                <c:ptCount val="1"/>
                <c:pt idx="0">
                  <c:v>NONE, I don't want to carry THN</c:v>
                </c:pt>
              </c:strCache>
            </c:strRef>
          </c:tx>
          <c:spPr>
            <a:solidFill>
              <a:schemeClr val="accent2"/>
            </a:solidFill>
            <a:ln>
              <a:noFill/>
            </a:ln>
            <a:effectLst/>
          </c:spPr>
          <c:invertIfNegative val="0"/>
          <c:dLbls>
            <c:dLbl>
              <c:idx val="0"/>
              <c:layout>
                <c:manualLayout>
                  <c:x val="3.7664783427495151E-2"/>
                  <c:y val="1.0354646647683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40-4E0C-8FC9-C34B902CCF69}"/>
                </c:ext>
              </c:extLst>
            </c:dLbl>
            <c:dLbl>
              <c:idx val="1"/>
              <c:layout>
                <c:manualLayout>
                  <c:x val="4.5197740112994211E-2"/>
                  <c:y val="-5.17732332384157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40-4E0C-8FC9-C34B902CCF69}"/>
                </c:ext>
              </c:extLst>
            </c:dLbl>
            <c:dLbl>
              <c:idx val="2"/>
              <c:layout>
                <c:manualLayout>
                  <c:x val="3.3898305084745624E-2"/>
                  <c:y val="1.0354646647683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40-4E0C-8FC9-C34B902CCF69}"/>
                </c:ext>
              </c:extLst>
            </c:dLbl>
            <c:dLbl>
              <c:idx val="3"/>
              <c:delete val="1"/>
              <c:extLst>
                <c:ext xmlns:c15="http://schemas.microsoft.com/office/drawing/2012/chart" uri="{CE6537A1-D6FC-4f65-9D91-7224C49458BB}"/>
                <c:ext xmlns:c16="http://schemas.microsoft.com/office/drawing/2014/chart" uri="{C3380CC4-5D6E-409C-BE32-E72D297353CC}">
                  <c16:uniqueId val="{00000006-F840-4E0C-8FC9-C34B902CCF69}"/>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'[Chart in Microsoft Word]Sheet1'!$A$2:$A$5</c:f>
              <c:strCache>
                <c:ptCount val="4"/>
                <c:pt idx="0">
                  <c:v>TOTAL</c:v>
                </c:pt>
                <c:pt idx="1">
                  <c:v>Witness only</c:v>
                </c:pt>
                <c:pt idx="2">
                  <c:v>People Using Illicit Opioids</c:v>
                </c:pt>
                <c:pt idx="3">
                  <c:v>People Using Prescription Opioids</c:v>
                </c:pt>
              </c:strCache>
            </c:strRef>
          </c:cat>
          <c:val>
            <c:numRef>
              <c:f>'[Chart in Microsoft Word]Sheet1'!$B$2:$B$5</c:f>
              <c:numCache>
                <c:formatCode>0%</c:formatCode>
                <c:ptCount val="4"/>
                <c:pt idx="0">
                  <c:v>1.41E-2</c:v>
                </c:pt>
                <c:pt idx="1">
                  <c:v>3.39E-2</c:v>
                </c:pt>
                <c:pt idx="2">
                  <c:v>9.9000000000000008E-3</c:v>
                </c:pt>
                <c:pt idx="3">
                  <c:v>0</c:v>
                </c:pt>
              </c:numCache>
            </c:numRef>
          </c:val>
          <c:extLst>
            <c:ext xmlns:c16="http://schemas.microsoft.com/office/drawing/2014/chart" uri="{C3380CC4-5D6E-409C-BE32-E72D297353CC}">
              <c16:uniqueId val="{00000007-F840-4E0C-8FC9-C34B902CCF69}"/>
            </c:ext>
          </c:extLst>
        </c:ser>
        <c:dLbls>
          <c:dLblPos val="ctr"/>
          <c:showLegendKey val="0"/>
          <c:showVal val="1"/>
          <c:showCatName val="0"/>
          <c:showSerName val="0"/>
          <c:showPercent val="0"/>
          <c:showBubbleSize val="0"/>
        </c:dLbls>
        <c:gapWidth val="150"/>
        <c:overlap val="100"/>
        <c:axId val="476487616"/>
        <c:axId val="476487200"/>
      </c:barChart>
      <c:catAx>
        <c:axId val="4764876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6487200"/>
        <c:crosses val="autoZero"/>
        <c:auto val="1"/>
        <c:lblAlgn val="ctr"/>
        <c:lblOffset val="100"/>
        <c:noMultiLvlLbl val="0"/>
      </c:catAx>
      <c:valAx>
        <c:axId val="476487200"/>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6487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Sheet1!$V$5</c:f>
              <c:strCache>
                <c:ptCount val="1"/>
                <c:pt idx="0">
                  <c:v>About half the time /Sometimes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Sheet1!$U$6:$U$7</c:f>
              <c:strCache>
                <c:ptCount val="2"/>
                <c:pt idx="0">
                  <c:v>18-60 years old</c:v>
                </c:pt>
                <c:pt idx="1">
                  <c:v>&gt;60 years old</c:v>
                </c:pt>
              </c:strCache>
            </c:strRef>
          </c:cat>
          <c:val>
            <c:numRef>
              <c:f>Sheet1!$V$6:$V$7</c:f>
              <c:numCache>
                <c:formatCode>0.00%</c:formatCode>
                <c:ptCount val="2"/>
                <c:pt idx="0">
                  <c:v>0.45450000000000002</c:v>
                </c:pt>
                <c:pt idx="1">
                  <c:v>0.70830000000000004</c:v>
                </c:pt>
              </c:numCache>
            </c:numRef>
          </c:val>
          <c:extLst>
            <c:ext xmlns:c16="http://schemas.microsoft.com/office/drawing/2014/chart" uri="{C3380CC4-5D6E-409C-BE32-E72D297353CC}">
              <c16:uniqueId val="{00000000-7D12-4D20-AEDD-CA5F30E345BB}"/>
            </c:ext>
          </c:extLst>
        </c:ser>
        <c:ser>
          <c:idx val="1"/>
          <c:order val="1"/>
          <c:tx>
            <c:strRef>
              <c:f>Sheet1!$W$5</c:f>
              <c:strCache>
                <c:ptCount val="1"/>
                <c:pt idx="0">
                  <c:v>Always/Most of the time</c:v>
                </c:pt>
              </c:strCache>
            </c:strRef>
          </c:tx>
          <c:spPr>
            <a:solidFill>
              <a:schemeClr val="accent4"/>
            </a:solidFill>
            <a:ln>
              <a:noFill/>
            </a:ln>
            <a:effectLst/>
          </c:spPr>
          <c:invertIfNegative val="0"/>
          <c:dPt>
            <c:idx val="0"/>
            <c:invertIfNegative val="0"/>
            <c:bubble3D val="0"/>
            <c:spPr>
              <a:solidFill>
                <a:schemeClr val="bg2">
                  <a:lumMod val="75000"/>
                </a:schemeClr>
              </a:solidFill>
              <a:ln>
                <a:noFill/>
              </a:ln>
              <a:effectLst/>
            </c:spPr>
            <c:extLst>
              <c:ext xmlns:c16="http://schemas.microsoft.com/office/drawing/2014/chart" uri="{C3380CC4-5D6E-409C-BE32-E72D297353CC}">
                <c16:uniqueId val="{00000002-7D12-4D20-AEDD-CA5F30E345BB}"/>
              </c:ext>
            </c:extLst>
          </c:dPt>
          <c:dPt>
            <c:idx val="1"/>
            <c:invertIfNegative val="0"/>
            <c:bubble3D val="0"/>
            <c:spPr>
              <a:solidFill>
                <a:schemeClr val="bg2">
                  <a:lumMod val="75000"/>
                </a:schemeClr>
              </a:solidFill>
              <a:ln>
                <a:noFill/>
              </a:ln>
              <a:effectLst/>
            </c:spPr>
            <c:extLst>
              <c:ext xmlns:c16="http://schemas.microsoft.com/office/drawing/2014/chart" uri="{C3380CC4-5D6E-409C-BE32-E72D297353CC}">
                <c16:uniqueId val="{00000004-7D12-4D20-AEDD-CA5F30E345BB}"/>
              </c:ext>
            </c:extLst>
          </c:dPt>
          <c:dLbls>
            <c:dLbl>
              <c:idx val="1"/>
              <c:layout>
                <c:manualLayout>
                  <c:x val="9.6875193750387502E-5"/>
                  <c:y val="6.2275288135187458E-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D12-4D20-AEDD-CA5F30E345B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Sheet1!$U$6:$U$7</c:f>
              <c:strCache>
                <c:ptCount val="2"/>
                <c:pt idx="0">
                  <c:v>18-60 years old</c:v>
                </c:pt>
                <c:pt idx="1">
                  <c:v>&gt;60 years old</c:v>
                </c:pt>
              </c:strCache>
            </c:strRef>
          </c:cat>
          <c:val>
            <c:numRef>
              <c:f>Sheet1!$W$6:$W$7</c:f>
              <c:numCache>
                <c:formatCode>0.00%</c:formatCode>
                <c:ptCount val="2"/>
                <c:pt idx="0">
                  <c:v>0.54549999999999998</c:v>
                </c:pt>
                <c:pt idx="1">
                  <c:v>0.29170000000000001</c:v>
                </c:pt>
              </c:numCache>
            </c:numRef>
          </c:val>
          <c:extLst>
            <c:ext xmlns:c16="http://schemas.microsoft.com/office/drawing/2014/chart" uri="{C3380CC4-5D6E-409C-BE32-E72D297353CC}">
              <c16:uniqueId val="{00000005-7D12-4D20-AEDD-CA5F30E345BB}"/>
            </c:ext>
          </c:extLst>
        </c:ser>
        <c:dLbls>
          <c:dLblPos val="ctr"/>
          <c:showLegendKey val="0"/>
          <c:showVal val="1"/>
          <c:showCatName val="0"/>
          <c:showSerName val="0"/>
          <c:showPercent val="0"/>
          <c:showBubbleSize val="0"/>
        </c:dLbls>
        <c:gapWidth val="20"/>
        <c:overlap val="100"/>
        <c:axId val="1554500368"/>
        <c:axId val="1554495376"/>
      </c:barChart>
      <c:catAx>
        <c:axId val="1554500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4495376"/>
        <c:crosses val="autoZero"/>
        <c:auto val="1"/>
        <c:lblAlgn val="ctr"/>
        <c:lblOffset val="100"/>
        <c:noMultiLvlLbl val="0"/>
      </c:catAx>
      <c:valAx>
        <c:axId val="1554495376"/>
        <c:scaling>
          <c:orientation val="minMax"/>
          <c:max val="1"/>
        </c:scaling>
        <c:delete val="1"/>
        <c:axPos val="l"/>
        <c:numFmt formatCode="0%" sourceLinked="0"/>
        <c:majorTickMark val="none"/>
        <c:minorTickMark val="none"/>
        <c:tickLblPos val="nextTo"/>
        <c:crossAx val="155450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Word]Sheet3!PivotTable1</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Sheet3!$D$1:$D$2</c:f>
              <c:strCache>
                <c:ptCount val="1"/>
                <c:pt idx="0">
                  <c:v>Refill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Sheet3!$A$3:$C$32</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Q4</c:v>
                  </c:pt>
                  <c:pt idx="1">
                    <c:v>Q1</c:v>
                  </c:pt>
                  <c:pt idx="4">
                    <c:v>Q2</c:v>
                  </c:pt>
                  <c:pt idx="7">
                    <c:v>Q3</c:v>
                  </c:pt>
                  <c:pt idx="10">
                    <c:v>Q4</c:v>
                  </c:pt>
                  <c:pt idx="13">
                    <c:v>Q1</c:v>
                  </c:pt>
                  <c:pt idx="16">
                    <c:v>Q2</c:v>
                  </c:pt>
                </c:lvl>
                <c:lvl>
                  <c:pt idx="0">
                    <c:v>2019</c:v>
                  </c:pt>
                  <c:pt idx="1">
                    <c:v>2020</c:v>
                  </c:pt>
                  <c:pt idx="13">
                    <c:v>2021</c:v>
                  </c:pt>
                </c:lvl>
              </c:multiLvlStrCache>
            </c:multiLvlStrRef>
          </c:cat>
          <c:val>
            <c:numRef>
              <c:f>Sheet3!$D$3:$D$32</c:f>
              <c:numCache>
                <c:formatCode>General</c:formatCode>
                <c:ptCount val="19"/>
                <c:pt idx="0">
                  <c:v>71</c:v>
                </c:pt>
                <c:pt idx="1">
                  <c:v>104</c:v>
                </c:pt>
                <c:pt idx="2">
                  <c:v>95</c:v>
                </c:pt>
                <c:pt idx="3">
                  <c:v>102</c:v>
                </c:pt>
                <c:pt idx="4">
                  <c:v>85</c:v>
                </c:pt>
                <c:pt idx="5">
                  <c:v>167</c:v>
                </c:pt>
                <c:pt idx="6">
                  <c:v>142</c:v>
                </c:pt>
                <c:pt idx="7">
                  <c:v>191</c:v>
                </c:pt>
                <c:pt idx="8">
                  <c:v>212</c:v>
                </c:pt>
                <c:pt idx="9">
                  <c:v>166</c:v>
                </c:pt>
                <c:pt idx="10">
                  <c:v>104</c:v>
                </c:pt>
                <c:pt idx="11">
                  <c:v>90</c:v>
                </c:pt>
                <c:pt idx="12">
                  <c:v>149</c:v>
                </c:pt>
                <c:pt idx="13">
                  <c:v>183</c:v>
                </c:pt>
                <c:pt idx="14">
                  <c:v>128</c:v>
                </c:pt>
                <c:pt idx="15">
                  <c:v>158</c:v>
                </c:pt>
                <c:pt idx="16">
                  <c:v>133</c:v>
                </c:pt>
                <c:pt idx="17">
                  <c:v>129</c:v>
                </c:pt>
                <c:pt idx="18">
                  <c:v>93</c:v>
                </c:pt>
              </c:numCache>
            </c:numRef>
          </c:val>
          <c:smooth val="1"/>
          <c:extLst>
            <c:ext xmlns:c16="http://schemas.microsoft.com/office/drawing/2014/chart" uri="{C3380CC4-5D6E-409C-BE32-E72D297353CC}">
              <c16:uniqueId val="{00000000-CE1F-4EA6-8505-95107B95D06A}"/>
            </c:ext>
          </c:extLst>
        </c:ser>
        <c:ser>
          <c:idx val="1"/>
          <c:order val="1"/>
          <c:tx>
            <c:strRef>
              <c:f>Sheet3!$E$1:$E$2</c:f>
              <c:strCache>
                <c:ptCount val="1"/>
                <c:pt idx="0">
                  <c:v>Initial Supply</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Sheet3!$A$3:$C$32</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Q4</c:v>
                  </c:pt>
                  <c:pt idx="1">
                    <c:v>Q1</c:v>
                  </c:pt>
                  <c:pt idx="4">
                    <c:v>Q2</c:v>
                  </c:pt>
                  <c:pt idx="7">
                    <c:v>Q3</c:v>
                  </c:pt>
                  <c:pt idx="10">
                    <c:v>Q4</c:v>
                  </c:pt>
                  <c:pt idx="13">
                    <c:v>Q1</c:v>
                  </c:pt>
                  <c:pt idx="16">
                    <c:v>Q2</c:v>
                  </c:pt>
                </c:lvl>
                <c:lvl>
                  <c:pt idx="0">
                    <c:v>2019</c:v>
                  </c:pt>
                  <c:pt idx="1">
                    <c:v>2020</c:v>
                  </c:pt>
                  <c:pt idx="13">
                    <c:v>2021</c:v>
                  </c:pt>
                </c:lvl>
              </c:multiLvlStrCache>
            </c:multiLvlStrRef>
          </c:cat>
          <c:val>
            <c:numRef>
              <c:f>Sheet3!$E$3:$E$32</c:f>
              <c:numCache>
                <c:formatCode>General</c:formatCode>
                <c:ptCount val="19"/>
                <c:pt idx="0">
                  <c:v>258</c:v>
                </c:pt>
                <c:pt idx="1">
                  <c:v>614</c:v>
                </c:pt>
                <c:pt idx="2">
                  <c:v>926</c:v>
                </c:pt>
                <c:pt idx="3">
                  <c:v>657</c:v>
                </c:pt>
                <c:pt idx="4">
                  <c:v>691</c:v>
                </c:pt>
                <c:pt idx="5">
                  <c:v>656</c:v>
                </c:pt>
                <c:pt idx="6">
                  <c:v>485</c:v>
                </c:pt>
                <c:pt idx="7">
                  <c:v>448</c:v>
                </c:pt>
                <c:pt idx="8">
                  <c:v>497</c:v>
                </c:pt>
                <c:pt idx="9">
                  <c:v>565</c:v>
                </c:pt>
                <c:pt idx="10">
                  <c:v>604</c:v>
                </c:pt>
                <c:pt idx="11">
                  <c:v>596</c:v>
                </c:pt>
                <c:pt idx="12">
                  <c:v>661</c:v>
                </c:pt>
                <c:pt idx="13">
                  <c:v>576</c:v>
                </c:pt>
                <c:pt idx="14">
                  <c:v>696</c:v>
                </c:pt>
                <c:pt idx="15">
                  <c:v>514</c:v>
                </c:pt>
                <c:pt idx="16">
                  <c:v>553</c:v>
                </c:pt>
                <c:pt idx="17">
                  <c:v>553</c:v>
                </c:pt>
                <c:pt idx="18">
                  <c:v>473</c:v>
                </c:pt>
              </c:numCache>
            </c:numRef>
          </c:val>
          <c:smooth val="1"/>
          <c:extLst>
            <c:ext xmlns:c16="http://schemas.microsoft.com/office/drawing/2014/chart" uri="{C3380CC4-5D6E-409C-BE32-E72D297353CC}">
              <c16:uniqueId val="{00000001-CE1F-4EA6-8505-95107B95D06A}"/>
            </c:ext>
          </c:extLst>
        </c:ser>
        <c:dLbls>
          <c:showLegendKey val="0"/>
          <c:showVal val="0"/>
          <c:showCatName val="0"/>
          <c:showSerName val="0"/>
          <c:showPercent val="0"/>
          <c:showBubbleSize val="0"/>
        </c:dLbls>
        <c:marker val="1"/>
        <c:smooth val="0"/>
        <c:axId val="1862246416"/>
        <c:axId val="1862244336"/>
      </c:lineChart>
      <c:catAx>
        <c:axId val="186224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2244336"/>
        <c:crosses val="autoZero"/>
        <c:auto val="1"/>
        <c:lblAlgn val="ctr"/>
        <c:lblOffset val="100"/>
        <c:noMultiLvlLbl val="0"/>
      </c:catAx>
      <c:valAx>
        <c:axId val="1862244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THN</a:t>
                </a:r>
                <a:r>
                  <a:rPr lang="en-AU" baseline="0"/>
                  <a:t> suply occasions</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224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percentStacked"/>
        <c:varyColors val="0"/>
        <c:ser>
          <c:idx val="0"/>
          <c:order val="0"/>
          <c:tx>
            <c:strRef>
              <c:f>Sheet5!$K$5</c:f>
              <c:strCache>
                <c:ptCount val="1"/>
                <c:pt idx="0">
                  <c:v>Nyxoid® (Nasal spray)</c:v>
                </c:pt>
              </c:strCache>
            </c:strRef>
          </c:tx>
          <c:spPr>
            <a:solidFill>
              <a:schemeClr val="accent1"/>
            </a:solidFill>
            <a:ln>
              <a:noFill/>
            </a:ln>
            <a:effectLst/>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Sheet5!$L$4:$M$4</c:f>
              <c:strCache>
                <c:ptCount val="2"/>
                <c:pt idx="0">
                  <c:v>Initial Supply</c:v>
                </c:pt>
                <c:pt idx="1">
                  <c:v>Refill</c:v>
                </c:pt>
              </c:strCache>
            </c:strRef>
          </c:cat>
          <c:val>
            <c:numRef>
              <c:f>Sheet5!$L$5:$M$5</c:f>
              <c:numCache>
                <c:formatCode>_-* #,##0_-;\-* #,##0_-;_-* "-"??_-;_-@_-</c:formatCode>
                <c:ptCount val="2"/>
                <c:pt idx="0">
                  <c:v>14973</c:v>
                </c:pt>
                <c:pt idx="1">
                  <c:v>2987</c:v>
                </c:pt>
              </c:numCache>
            </c:numRef>
          </c:val>
          <c:extLst>
            <c:ext xmlns:c16="http://schemas.microsoft.com/office/drawing/2014/chart" uri="{C3380CC4-5D6E-409C-BE32-E72D297353CC}">
              <c16:uniqueId val="{00000000-4340-4B55-B6B1-13C2F1B498E0}"/>
            </c:ext>
          </c:extLst>
        </c:ser>
        <c:ser>
          <c:idx val="1"/>
          <c:order val="1"/>
          <c:tx>
            <c:strRef>
              <c:f>Sheet5!$K$6</c:f>
              <c:strCache>
                <c:ptCount val="1"/>
                <c:pt idx="0">
                  <c:v>Prenoxad® (Pre-filled syringe)</c:v>
                </c:pt>
              </c:strCache>
            </c:strRef>
          </c:tx>
          <c:spPr>
            <a:solidFill>
              <a:schemeClr val="bg1">
                <a:lumMod val="65000"/>
              </a:schemeClr>
            </a:solidFill>
            <a:ln>
              <a:noFill/>
            </a:ln>
            <a:effectLst/>
          </c:spPr>
          <c:invertIfNegative val="0"/>
          <c:dLbls>
            <c:spPr>
              <a:noFill/>
              <a:ln>
                <a:noFill/>
              </a:ln>
              <a:effectLst/>
            </c:spPr>
            <c:txPr>
              <a:bodyPr wrap="square" lIns="38100" tIns="19050" rIns="38100" bIns="19050" anchor="ctr">
                <a:spAutoFit/>
              </a:bodyPr>
              <a:lstStyle/>
              <a:p>
                <a:pPr>
                  <a:defRPr>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Sheet5!$L$4:$M$4</c:f>
              <c:strCache>
                <c:ptCount val="2"/>
                <c:pt idx="0">
                  <c:v>Initial Supply</c:v>
                </c:pt>
                <c:pt idx="1">
                  <c:v>Refill</c:v>
                </c:pt>
              </c:strCache>
            </c:strRef>
          </c:cat>
          <c:val>
            <c:numRef>
              <c:f>Sheet5!$L$6:$M$6</c:f>
              <c:numCache>
                <c:formatCode>_-* #,##0_-;\-* #,##0_-;_-* "-"??_-;_-@_-</c:formatCode>
                <c:ptCount val="2"/>
                <c:pt idx="0">
                  <c:v>1673</c:v>
                </c:pt>
                <c:pt idx="1">
                  <c:v>872</c:v>
                </c:pt>
              </c:numCache>
            </c:numRef>
          </c:val>
          <c:extLst>
            <c:ext xmlns:c16="http://schemas.microsoft.com/office/drawing/2014/chart" uri="{C3380CC4-5D6E-409C-BE32-E72D297353CC}">
              <c16:uniqueId val="{00000001-4340-4B55-B6B1-13C2F1B498E0}"/>
            </c:ext>
          </c:extLst>
        </c:ser>
        <c:ser>
          <c:idx val="2"/>
          <c:order val="2"/>
          <c:tx>
            <c:strRef>
              <c:f>Sheet5!$K$7</c:f>
              <c:strCache>
                <c:ptCount val="1"/>
                <c:pt idx="0">
                  <c:v>Naloxone Juno™ (Ampoule)</c:v>
                </c:pt>
              </c:strCache>
            </c:strRef>
          </c:tx>
          <c:spPr>
            <a:solidFill>
              <a:schemeClr val="bg2">
                <a:lumMod val="75000"/>
              </a:schemeClr>
            </a:solidFill>
          </c:spPr>
          <c:invertIfNegative val="0"/>
          <c:dLbls>
            <c:dLbl>
              <c:idx val="0"/>
              <c:layout>
                <c:manualLayout>
                  <c:x val="3.9158100832109639E-2"/>
                  <c:y val="1.223241590214072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83-4166-A316-AD0C751800D6}"/>
                </c:ext>
              </c:extLst>
            </c:dLbl>
            <c:dLbl>
              <c:idx val="1"/>
              <c:layout>
                <c:manualLayout>
                  <c:x val="4.160548213411649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83-4166-A316-AD0C751800D6}"/>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Sheet5!$L$4:$M$4</c:f>
              <c:strCache>
                <c:ptCount val="2"/>
                <c:pt idx="0">
                  <c:v>Initial Supply</c:v>
                </c:pt>
                <c:pt idx="1">
                  <c:v>Refill</c:v>
                </c:pt>
              </c:strCache>
            </c:strRef>
          </c:cat>
          <c:val>
            <c:numRef>
              <c:f>Sheet5!$L$7:$M$7</c:f>
              <c:numCache>
                <c:formatCode>General</c:formatCode>
                <c:ptCount val="2"/>
                <c:pt idx="0">
                  <c:v>552</c:v>
                </c:pt>
                <c:pt idx="1">
                  <c:v>96</c:v>
                </c:pt>
              </c:numCache>
            </c:numRef>
          </c:val>
          <c:extLst>
            <c:ext xmlns:c16="http://schemas.microsoft.com/office/drawing/2014/chart" uri="{C3380CC4-5D6E-409C-BE32-E72D297353CC}">
              <c16:uniqueId val="{00000002-4340-4B55-B6B1-13C2F1B498E0}"/>
            </c:ext>
          </c:extLst>
        </c:ser>
        <c:dLbls>
          <c:dLblPos val="ctr"/>
          <c:showLegendKey val="0"/>
          <c:showVal val="1"/>
          <c:showCatName val="0"/>
          <c:showSerName val="0"/>
          <c:showPercent val="0"/>
          <c:showBubbleSize val="0"/>
        </c:dLbls>
        <c:gapWidth val="150"/>
        <c:overlap val="100"/>
        <c:axId val="11815776"/>
        <c:axId val="1"/>
      </c:barChart>
      <c:catAx>
        <c:axId val="118157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Proportion of naloxone units</a:t>
                </a:r>
                <a:r>
                  <a:rPr lang="en-AU" baseline="0"/>
                  <a:t> supplied</a:t>
                </a:r>
                <a:endParaRPr lang="en-AU"/>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815776"/>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58859842519685"/>
          <c:y val="2.188782489740082E-2"/>
          <c:w val="0.55622834645669283"/>
          <c:h val="0.76091429063843075"/>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325-4FF4-A3DC-6804F5546EA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325-4FF4-A3DC-6804F5546EA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325-4FF4-A3DC-6804F5546EA9}"/>
              </c:ext>
            </c:extLst>
          </c:dPt>
          <c:dPt>
            <c:idx val="3"/>
            <c:bubble3D val="0"/>
            <c:spPr>
              <a:solidFill>
                <a:schemeClr val="accent5">
                  <a:lumMod val="60000"/>
                  <a:lumOff val="40000"/>
                </a:schemeClr>
              </a:solidFill>
              <a:ln w="19050">
                <a:solidFill>
                  <a:schemeClr val="lt1"/>
                </a:solidFill>
              </a:ln>
              <a:effectLst/>
            </c:spPr>
            <c:extLst>
              <c:ext xmlns:c16="http://schemas.microsoft.com/office/drawing/2014/chart" uri="{C3380CC4-5D6E-409C-BE32-E72D297353CC}">
                <c16:uniqueId val="{00000007-2325-4FF4-A3DC-6804F5546EA9}"/>
              </c:ext>
            </c:extLst>
          </c:dPt>
          <c:dLbls>
            <c:dLbl>
              <c:idx val="0"/>
              <c:layout>
                <c:manualLayout>
                  <c:x val="0.11111111111111122"/>
                  <c:y val="-5.808757819481684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325-4FF4-A3DC-6804F5546EA9}"/>
                </c:ext>
              </c:extLst>
            </c:dLbl>
            <c:dLbl>
              <c:idx val="1"/>
              <c:layout>
                <c:manualLayout>
                  <c:x val="0.1"/>
                  <c:y val="7.596067917783735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325-4FF4-A3DC-6804F5546EA9}"/>
                </c:ext>
              </c:extLst>
            </c:dLbl>
            <c:dLbl>
              <c:idx val="2"/>
              <c:layout>
                <c:manualLayout>
                  <c:x val="-0.1111111111111111"/>
                  <c:y val="-1.3404825737265456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325-4FF4-A3DC-6804F5546EA9}"/>
                </c:ext>
              </c:extLst>
            </c:dLbl>
            <c:dLbl>
              <c:idx val="3"/>
              <c:layout>
                <c:manualLayout>
                  <c:x val="-0.2058875590551181"/>
                  <c:y val="-2.720682486508611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325-4FF4-A3DC-6804F5546EA9}"/>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Sheet6!$G$6:$G$9</c:f>
              <c:strCache>
                <c:ptCount val="4"/>
                <c:pt idx="0">
                  <c:v>&lt;1 month</c:v>
                </c:pt>
                <c:pt idx="1">
                  <c:v>1-6 months</c:v>
                </c:pt>
                <c:pt idx="2">
                  <c:v>7-12 months</c:v>
                </c:pt>
                <c:pt idx="3">
                  <c:v>&gt;12 months</c:v>
                </c:pt>
              </c:strCache>
            </c:strRef>
          </c:cat>
          <c:val>
            <c:numRef>
              <c:f>Sheet6!$H$6:$H$9</c:f>
              <c:numCache>
                <c:formatCode>General</c:formatCode>
                <c:ptCount val="4"/>
                <c:pt idx="0">
                  <c:v>1</c:v>
                </c:pt>
                <c:pt idx="1">
                  <c:v>30</c:v>
                </c:pt>
                <c:pt idx="2">
                  <c:v>15</c:v>
                </c:pt>
                <c:pt idx="3">
                  <c:v>6</c:v>
                </c:pt>
              </c:numCache>
            </c:numRef>
          </c:val>
          <c:extLst>
            <c:ext xmlns:c16="http://schemas.microsoft.com/office/drawing/2014/chart" uri="{C3380CC4-5D6E-409C-BE32-E72D297353CC}">
              <c16:uniqueId val="{00000008-2325-4FF4-A3DC-6804F5546EA9}"/>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Word]Sheet5!PivotTable1</c:name>
    <c:fmtId val="-1"/>
  </c:pivotSource>
  <c:chart>
    <c:autoTitleDeleted val="0"/>
    <c:pivotFmts>
      <c:pivotFmt>
        <c:idx val="0"/>
        <c:spPr>
          <a:ln w="28575" cap="rnd">
            <a:solidFill>
              <a:schemeClr val="accent1"/>
            </a:solidFill>
            <a:round/>
          </a:ln>
          <a:effectLst/>
        </c:spPr>
        <c:marker>
          <c:symbol val="circle"/>
          <c:size val="5"/>
          <c:spPr>
            <a:solidFill>
              <a:schemeClr val="accent1"/>
            </a:solidFill>
            <a:ln w="9525">
              <a:solidFill>
                <a:schemeClr val="accent1"/>
              </a:solidFill>
            </a:ln>
            <a:effectLst/>
          </c:spPr>
        </c:marker>
        <c:dLbl>
          <c:idx val="0"/>
          <c:delete val="1"/>
          <c:extLst>
            <c:ext xmlns:c15="http://schemas.microsoft.com/office/drawing/2012/chart" uri="{CE6537A1-D6FC-4f65-9D91-7224C49458BB}"/>
          </c:extLst>
        </c:dLbl>
      </c:pivotFmt>
      <c:pivotFmt>
        <c:idx val="1"/>
        <c:spPr>
          <a:ln w="28575" cap="rnd">
            <a:solidFill>
              <a:schemeClr val="accent2"/>
            </a:solidFill>
            <a:round/>
          </a:ln>
          <a:effectLst/>
        </c:spPr>
        <c:marker>
          <c:symbol val="circle"/>
          <c:size val="5"/>
          <c:spPr>
            <a:solidFill>
              <a:schemeClr val="accent2"/>
            </a:solidFill>
            <a:ln w="9525">
              <a:solidFill>
                <a:schemeClr val="accent2"/>
              </a:solidFill>
            </a:ln>
            <a:effectLst/>
          </c:spPr>
        </c:marker>
        <c:dLbl>
          <c:idx val="0"/>
          <c:delete val="1"/>
          <c:extLst>
            <c:ext xmlns:c15="http://schemas.microsoft.com/office/drawing/2012/chart" uri="{CE6537A1-D6FC-4f65-9D91-7224C49458BB}"/>
          </c:extLst>
        </c:dLbl>
      </c:pivotFmt>
      <c:pivotFmt>
        <c:idx val="2"/>
        <c:spPr>
          <a:ln w="28575" cap="rnd">
            <a:solidFill>
              <a:schemeClr val="accent3"/>
            </a:solidFill>
            <a:round/>
          </a:ln>
          <a:effectLst/>
        </c:spPr>
        <c:marker>
          <c:symbol val="none"/>
        </c:marker>
        <c:dLbl>
          <c:idx val="0"/>
          <c:delete val="1"/>
          <c:extLst>
            <c:ext xmlns:c15="http://schemas.microsoft.com/office/drawing/2012/chart" uri="{CE6537A1-D6FC-4f65-9D91-7224C49458BB}"/>
          </c:extLst>
        </c:dLbl>
      </c:pivotFmt>
      <c:pivotFmt>
        <c:idx val="3"/>
        <c:spPr>
          <a:ln w="28575" cap="rnd">
            <a:solidFill>
              <a:schemeClr val="accent4"/>
            </a:solidFill>
            <a:round/>
          </a:ln>
          <a:effectLst/>
        </c:spPr>
        <c:marker>
          <c:symbol val="none"/>
        </c:marker>
        <c:dLbl>
          <c:idx val="0"/>
          <c:delete val="1"/>
          <c:extLst>
            <c:ext xmlns:c15="http://schemas.microsoft.com/office/drawing/2012/chart" uri="{CE6537A1-D6FC-4f65-9D91-7224C49458BB}"/>
          </c:extLst>
        </c:dLbl>
      </c:pivotFmt>
      <c:pivotFmt>
        <c:idx val="4"/>
        <c:dLbl>
          <c:idx val="0"/>
          <c:delete val="1"/>
          <c:extLst>
            <c:ext xmlns:c15="http://schemas.microsoft.com/office/drawing/2012/chart" uri="{CE6537A1-D6FC-4f65-9D91-7224C49458BB}"/>
          </c:extLst>
        </c:dLbl>
      </c:pivotFmt>
      <c:pivotFmt>
        <c:idx val="5"/>
        <c:spPr>
          <a:ln w="28575" cap="rnd">
            <a:solidFill>
              <a:schemeClr val="accent1"/>
            </a:solidFill>
            <a:round/>
          </a:ln>
          <a:effectLst/>
        </c:spPr>
        <c:marker>
          <c:symbol val="circle"/>
          <c:size val="5"/>
          <c:spPr>
            <a:solidFill>
              <a:schemeClr val="accent1"/>
            </a:solidFill>
            <a:ln w="9525">
              <a:solidFill>
                <a:schemeClr val="accent1"/>
              </a:solidFill>
            </a:ln>
            <a:effectLst/>
          </c:spPr>
        </c:marker>
        <c:dLbl>
          <c:idx val="0"/>
          <c:delete val="1"/>
          <c:extLst>
            <c:ext xmlns:c15="http://schemas.microsoft.com/office/drawing/2012/chart" uri="{CE6537A1-D6FC-4f65-9D91-7224C49458BB}"/>
          </c:extLst>
        </c:dLbl>
      </c:pivotFmt>
      <c:pivotFmt>
        <c:idx val="6"/>
        <c:dLbl>
          <c:idx val="0"/>
          <c:delete val="1"/>
          <c:extLst>
            <c:ext xmlns:c15="http://schemas.microsoft.com/office/drawing/2012/chart" uri="{CE6537A1-D6FC-4f65-9D91-7224C49458BB}"/>
          </c:extLst>
        </c:dLbl>
      </c:pivotFmt>
      <c:pivotFmt>
        <c:idx val="7"/>
        <c:spPr>
          <a:ln w="28575" cap="rnd">
            <a:solidFill>
              <a:schemeClr val="accent4"/>
            </a:solidFill>
            <a:round/>
          </a:ln>
          <a:effectLst/>
        </c:spPr>
        <c:marker>
          <c:symbol val="none"/>
        </c:marker>
        <c:dLbl>
          <c:idx val="0"/>
          <c:delete val="1"/>
          <c:extLst>
            <c:ext xmlns:c15="http://schemas.microsoft.com/office/drawing/2012/chart" uri="{CE6537A1-D6FC-4f65-9D91-7224C49458BB}"/>
          </c:extLst>
        </c:dLbl>
      </c:pivotFmt>
      <c:pivotFmt>
        <c:idx val="8"/>
        <c:spPr>
          <a:ln w="28575" cap="rnd">
            <a:solidFill>
              <a:schemeClr val="accent1"/>
            </a:solidFill>
            <a:round/>
          </a:ln>
          <a:effectLst/>
        </c:spPr>
        <c:marker>
          <c:symbol val="circle"/>
          <c:size val="5"/>
          <c:spPr>
            <a:solidFill>
              <a:schemeClr val="accent1"/>
            </a:solidFill>
            <a:ln w="9525">
              <a:solidFill>
                <a:schemeClr val="accent1"/>
              </a:solidFill>
            </a:ln>
            <a:effectLst/>
          </c:spPr>
        </c:marker>
        <c:dLbl>
          <c:idx val="0"/>
          <c:delete val="1"/>
          <c:extLst>
            <c:ext xmlns:c15="http://schemas.microsoft.com/office/drawing/2012/chart" uri="{CE6537A1-D6FC-4f65-9D91-7224C49458BB}"/>
          </c:extLst>
        </c:dLbl>
      </c:pivotFmt>
      <c:pivotFmt>
        <c:idx val="9"/>
        <c:dLbl>
          <c:idx val="0"/>
          <c:delete val="1"/>
          <c:extLst>
            <c:ext xmlns:c15="http://schemas.microsoft.com/office/drawing/2012/chart" uri="{CE6537A1-D6FC-4f65-9D91-7224C49458BB}"/>
          </c:extLst>
        </c:dLbl>
      </c:pivotFmt>
      <c:pivotFmt>
        <c:idx val="10"/>
        <c:spPr>
          <a:ln w="28575" cap="rnd">
            <a:solidFill>
              <a:schemeClr val="accent4"/>
            </a:solidFill>
            <a:round/>
          </a:ln>
          <a:effectLst/>
        </c:spPr>
        <c:marker>
          <c:symbol val="none"/>
        </c:marker>
        <c:dLbl>
          <c:idx val="0"/>
          <c:delete val="1"/>
          <c:extLst>
            <c:ext xmlns:c15="http://schemas.microsoft.com/office/drawing/2012/chart" uri="{CE6537A1-D6FC-4f65-9D91-7224C49458BB}"/>
          </c:extLst>
        </c:dLbl>
      </c:pivotFmt>
    </c:pivotFmts>
    <c:plotArea>
      <c:layout/>
      <c:lineChart>
        <c:grouping val="standard"/>
        <c:varyColors val="0"/>
        <c:ser>
          <c:idx val="0"/>
          <c:order val="0"/>
          <c:tx>
            <c:strRef>
              <c:f>Sheet5!$D$3:$D$4</c:f>
              <c:strCache>
                <c:ptCount val="1"/>
                <c:pt idx="0">
                  <c:v>Statins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Sheet5!$A$5:$C$57</c:f>
              <c:multiLvlStrCache>
                <c:ptCount val="52"/>
                <c:lvl>
                  <c:pt idx="0">
                    <c:v>Jan</c:v>
                  </c:pt>
                  <c:pt idx="1">
                    <c:v>Feb</c:v>
                  </c:pt>
                  <c:pt idx="2">
                    <c:v>Mar</c:v>
                  </c:pt>
                  <c:pt idx="3">
                    <c:v>Apr</c:v>
                  </c:pt>
                  <c:pt idx="4">
                    <c:v>May</c:v>
                  </c:pt>
                  <c:pt idx="5">
                    <c:v>Jun</c:v>
                  </c:pt>
                  <c:pt idx="6">
                    <c:v>Jul</c:v>
                  </c:pt>
                  <c:pt idx="7">
                    <c:v>Aug</c:v>
                  </c:pt>
                  <c:pt idx="8">
                    <c:v>Sep</c:v>
                  </c:pt>
                  <c:pt idx="9">
                    <c:v>Oct</c:v>
                  </c:pt>
                  <c:pt idx="10">
                    <c:v>Nov</c:v>
                  </c:pt>
                  <c:pt idx="11">
                    <c:v>Dec</c:v>
                  </c:pt>
                  <c:pt idx="12">
                    <c:v>Jan</c:v>
                  </c:pt>
                  <c:pt idx="13">
                    <c:v>Feb</c:v>
                  </c:pt>
                  <c:pt idx="14">
                    <c:v>Mar</c:v>
                  </c:pt>
                  <c:pt idx="15">
                    <c:v>Apr</c:v>
                  </c:pt>
                  <c:pt idx="16">
                    <c:v>May</c:v>
                  </c:pt>
                  <c:pt idx="17">
                    <c:v>Jun</c:v>
                  </c:pt>
                  <c:pt idx="18">
                    <c:v>Jul</c:v>
                  </c:pt>
                  <c:pt idx="19">
                    <c:v>Aug</c:v>
                  </c:pt>
                  <c:pt idx="20">
                    <c:v>Sep</c:v>
                  </c:pt>
                  <c:pt idx="21">
                    <c:v>Oct</c:v>
                  </c:pt>
                  <c:pt idx="22">
                    <c:v>Nov</c:v>
                  </c:pt>
                  <c:pt idx="23">
                    <c:v>Dec</c:v>
                  </c:pt>
                  <c:pt idx="24">
                    <c:v>Jan</c:v>
                  </c:pt>
                  <c:pt idx="25">
                    <c:v>Feb</c:v>
                  </c:pt>
                  <c:pt idx="26">
                    <c:v>Mar</c:v>
                  </c:pt>
                  <c:pt idx="27">
                    <c:v>Apr</c:v>
                  </c:pt>
                  <c:pt idx="28">
                    <c:v>May</c:v>
                  </c:pt>
                  <c:pt idx="29">
                    <c:v>Jun</c:v>
                  </c:pt>
                  <c:pt idx="30">
                    <c:v>Jul</c:v>
                  </c:pt>
                  <c:pt idx="31">
                    <c:v>Aug</c:v>
                  </c:pt>
                  <c:pt idx="32">
                    <c:v>Sep</c:v>
                  </c:pt>
                  <c:pt idx="33">
                    <c:v>Oct</c:v>
                  </c:pt>
                  <c:pt idx="34">
                    <c:v>Nov</c:v>
                  </c:pt>
                  <c:pt idx="35">
                    <c:v>Dec</c:v>
                  </c:pt>
                  <c:pt idx="36">
                    <c:v>Jan</c:v>
                  </c:pt>
                  <c:pt idx="37">
                    <c:v>Feb</c:v>
                  </c:pt>
                  <c:pt idx="38">
                    <c:v>Mar</c:v>
                  </c:pt>
                  <c:pt idx="39">
                    <c:v>Apr</c:v>
                  </c:pt>
                  <c:pt idx="40">
                    <c:v>May</c:v>
                  </c:pt>
                  <c:pt idx="41">
                    <c:v>Jun</c:v>
                  </c:pt>
                  <c:pt idx="42">
                    <c:v>Jul</c:v>
                  </c:pt>
                  <c:pt idx="43">
                    <c:v>Aug</c:v>
                  </c:pt>
                  <c:pt idx="44">
                    <c:v>Sep</c:v>
                  </c:pt>
                  <c:pt idx="45">
                    <c:v>Oct</c:v>
                  </c:pt>
                  <c:pt idx="46">
                    <c:v>Nov</c:v>
                  </c:pt>
                  <c:pt idx="47">
                    <c:v>Dec</c:v>
                  </c:pt>
                  <c:pt idx="48">
                    <c:v>Jan</c:v>
                  </c:pt>
                  <c:pt idx="49">
                    <c:v>Feb</c:v>
                  </c:pt>
                  <c:pt idx="50">
                    <c:v>Mar</c:v>
                  </c:pt>
                  <c:pt idx="51">
                    <c:v>Apr</c:v>
                  </c:pt>
                </c:lvl>
                <c:lvl>
                  <c:pt idx="0">
                    <c:v>Q1</c:v>
                  </c:pt>
                  <c:pt idx="3">
                    <c:v>Q2</c:v>
                  </c:pt>
                  <c:pt idx="6">
                    <c:v>Q3</c:v>
                  </c:pt>
                  <c:pt idx="9">
                    <c:v>Q4</c:v>
                  </c:pt>
                  <c:pt idx="12">
                    <c:v>Q1</c:v>
                  </c:pt>
                  <c:pt idx="15">
                    <c:v>Q2</c:v>
                  </c:pt>
                  <c:pt idx="18">
                    <c:v>Q3</c:v>
                  </c:pt>
                  <c:pt idx="21">
                    <c:v>Q4</c:v>
                  </c:pt>
                  <c:pt idx="24">
                    <c:v>Q1</c:v>
                  </c:pt>
                  <c:pt idx="27">
                    <c:v>Q2</c:v>
                  </c:pt>
                  <c:pt idx="30">
                    <c:v>Q3</c:v>
                  </c:pt>
                  <c:pt idx="33">
                    <c:v>Q4</c:v>
                  </c:pt>
                  <c:pt idx="36">
                    <c:v>Q1</c:v>
                  </c:pt>
                  <c:pt idx="39">
                    <c:v>Q2</c:v>
                  </c:pt>
                  <c:pt idx="42">
                    <c:v>Q3</c:v>
                  </c:pt>
                  <c:pt idx="45">
                    <c:v>Q4</c:v>
                  </c:pt>
                  <c:pt idx="48">
                    <c:v>Q1</c:v>
                  </c:pt>
                  <c:pt idx="51">
                    <c:v>Q2</c:v>
                  </c:pt>
                </c:lvl>
                <c:lvl>
                  <c:pt idx="0">
                    <c:v>2017</c:v>
                  </c:pt>
                  <c:pt idx="12">
                    <c:v>2018</c:v>
                  </c:pt>
                  <c:pt idx="24">
                    <c:v>2019</c:v>
                  </c:pt>
                  <c:pt idx="36">
                    <c:v>2020</c:v>
                  </c:pt>
                  <c:pt idx="48">
                    <c:v>2021</c:v>
                  </c:pt>
                </c:lvl>
              </c:multiLvlStrCache>
            </c:multiLvlStrRef>
          </c:cat>
          <c:val>
            <c:numRef>
              <c:f>Sheet5!$D$5:$D$57</c:f>
              <c:numCache>
                <c:formatCode>General</c:formatCode>
                <c:ptCount val="52"/>
                <c:pt idx="0">
                  <c:v>1149017</c:v>
                </c:pt>
                <c:pt idx="1">
                  <c:v>1177518</c:v>
                </c:pt>
                <c:pt idx="2">
                  <c:v>1343422</c:v>
                </c:pt>
                <c:pt idx="3">
                  <c:v>1241920</c:v>
                </c:pt>
                <c:pt idx="4">
                  <c:v>1377693</c:v>
                </c:pt>
                <c:pt idx="5">
                  <c:v>1312821</c:v>
                </c:pt>
                <c:pt idx="6">
                  <c:v>1309369</c:v>
                </c:pt>
                <c:pt idx="7">
                  <c:v>1359678</c:v>
                </c:pt>
                <c:pt idx="8">
                  <c:v>1302122</c:v>
                </c:pt>
                <c:pt idx="9">
                  <c:v>1345867</c:v>
                </c:pt>
                <c:pt idx="10">
                  <c:v>1363431</c:v>
                </c:pt>
                <c:pt idx="11">
                  <c:v>1460096</c:v>
                </c:pt>
                <c:pt idx="12">
                  <c:v>1240812</c:v>
                </c:pt>
                <c:pt idx="13">
                  <c:v>1228105</c:v>
                </c:pt>
                <c:pt idx="14">
                  <c:v>1383214</c:v>
                </c:pt>
                <c:pt idx="15">
                  <c:v>1327816</c:v>
                </c:pt>
                <c:pt idx="16">
                  <c:v>1428903</c:v>
                </c:pt>
                <c:pt idx="17">
                  <c:v>1326441</c:v>
                </c:pt>
                <c:pt idx="18">
                  <c:v>1369029</c:v>
                </c:pt>
                <c:pt idx="19">
                  <c:v>1394726</c:v>
                </c:pt>
                <c:pt idx="20">
                  <c:v>1298296</c:v>
                </c:pt>
                <c:pt idx="21">
                  <c:v>1402992</c:v>
                </c:pt>
                <c:pt idx="22">
                  <c:v>1398237</c:v>
                </c:pt>
                <c:pt idx="23">
                  <c:v>1482318</c:v>
                </c:pt>
                <c:pt idx="24">
                  <c:v>1257910</c:v>
                </c:pt>
                <c:pt idx="25">
                  <c:v>1246749</c:v>
                </c:pt>
                <c:pt idx="26">
                  <c:v>1367420</c:v>
                </c:pt>
                <c:pt idx="27">
                  <c:v>1359036</c:v>
                </c:pt>
                <c:pt idx="28">
                  <c:v>1457447</c:v>
                </c:pt>
                <c:pt idx="29">
                  <c:v>1325342</c:v>
                </c:pt>
                <c:pt idx="30">
                  <c:v>1434480</c:v>
                </c:pt>
                <c:pt idx="31">
                  <c:v>1419621</c:v>
                </c:pt>
                <c:pt idx="32">
                  <c:v>1353833</c:v>
                </c:pt>
                <c:pt idx="33">
                  <c:v>1460179</c:v>
                </c:pt>
                <c:pt idx="34">
                  <c:v>1421715</c:v>
                </c:pt>
                <c:pt idx="35">
                  <c:v>1546954</c:v>
                </c:pt>
                <c:pt idx="36">
                  <c:v>1306383</c:v>
                </c:pt>
                <c:pt idx="37">
                  <c:v>1339657</c:v>
                </c:pt>
                <c:pt idx="38">
                  <c:v>1726497</c:v>
                </c:pt>
                <c:pt idx="39">
                  <c:v>1257422</c:v>
                </c:pt>
                <c:pt idx="40">
                  <c:v>1368906</c:v>
                </c:pt>
                <c:pt idx="41">
                  <c:v>1429952</c:v>
                </c:pt>
                <c:pt idx="42">
                  <c:v>1528961</c:v>
                </c:pt>
                <c:pt idx="43">
                  <c:v>1471747</c:v>
                </c:pt>
                <c:pt idx="44">
                  <c:v>1489790</c:v>
                </c:pt>
              </c:numCache>
            </c:numRef>
          </c:val>
          <c:smooth val="0"/>
          <c:extLst>
            <c:ext xmlns:c16="http://schemas.microsoft.com/office/drawing/2014/chart" uri="{C3380CC4-5D6E-409C-BE32-E72D297353CC}">
              <c16:uniqueId val="{00000000-A342-49A6-82ED-0765B49389A4}"/>
            </c:ext>
          </c:extLst>
        </c:ser>
        <c:ser>
          <c:idx val="2"/>
          <c:order val="2"/>
          <c:tx>
            <c:strRef>
              <c:f>Sheet5!$F$3:$F$4</c:f>
              <c:strCache>
                <c:ptCount val="1"/>
                <c:pt idx="0">
                  <c:v>Opioids </c:v>
                </c:pt>
              </c:strCache>
            </c:strRef>
          </c:tx>
          <c:cat>
            <c:multiLvlStrRef>
              <c:f>Sheet5!$A$5:$C$57</c:f>
              <c:multiLvlStrCache>
                <c:ptCount val="52"/>
                <c:lvl>
                  <c:pt idx="0">
                    <c:v>Jan</c:v>
                  </c:pt>
                  <c:pt idx="1">
                    <c:v>Feb</c:v>
                  </c:pt>
                  <c:pt idx="2">
                    <c:v>Mar</c:v>
                  </c:pt>
                  <c:pt idx="3">
                    <c:v>Apr</c:v>
                  </c:pt>
                  <c:pt idx="4">
                    <c:v>May</c:v>
                  </c:pt>
                  <c:pt idx="5">
                    <c:v>Jun</c:v>
                  </c:pt>
                  <c:pt idx="6">
                    <c:v>Jul</c:v>
                  </c:pt>
                  <c:pt idx="7">
                    <c:v>Aug</c:v>
                  </c:pt>
                  <c:pt idx="8">
                    <c:v>Sep</c:v>
                  </c:pt>
                  <c:pt idx="9">
                    <c:v>Oct</c:v>
                  </c:pt>
                  <c:pt idx="10">
                    <c:v>Nov</c:v>
                  </c:pt>
                  <c:pt idx="11">
                    <c:v>Dec</c:v>
                  </c:pt>
                  <c:pt idx="12">
                    <c:v>Jan</c:v>
                  </c:pt>
                  <c:pt idx="13">
                    <c:v>Feb</c:v>
                  </c:pt>
                  <c:pt idx="14">
                    <c:v>Mar</c:v>
                  </c:pt>
                  <c:pt idx="15">
                    <c:v>Apr</c:v>
                  </c:pt>
                  <c:pt idx="16">
                    <c:v>May</c:v>
                  </c:pt>
                  <c:pt idx="17">
                    <c:v>Jun</c:v>
                  </c:pt>
                  <c:pt idx="18">
                    <c:v>Jul</c:v>
                  </c:pt>
                  <c:pt idx="19">
                    <c:v>Aug</c:v>
                  </c:pt>
                  <c:pt idx="20">
                    <c:v>Sep</c:v>
                  </c:pt>
                  <c:pt idx="21">
                    <c:v>Oct</c:v>
                  </c:pt>
                  <c:pt idx="22">
                    <c:v>Nov</c:v>
                  </c:pt>
                  <c:pt idx="23">
                    <c:v>Dec</c:v>
                  </c:pt>
                  <c:pt idx="24">
                    <c:v>Jan</c:v>
                  </c:pt>
                  <c:pt idx="25">
                    <c:v>Feb</c:v>
                  </c:pt>
                  <c:pt idx="26">
                    <c:v>Mar</c:v>
                  </c:pt>
                  <c:pt idx="27">
                    <c:v>Apr</c:v>
                  </c:pt>
                  <c:pt idx="28">
                    <c:v>May</c:v>
                  </c:pt>
                  <c:pt idx="29">
                    <c:v>Jun</c:v>
                  </c:pt>
                  <c:pt idx="30">
                    <c:v>Jul</c:v>
                  </c:pt>
                  <c:pt idx="31">
                    <c:v>Aug</c:v>
                  </c:pt>
                  <c:pt idx="32">
                    <c:v>Sep</c:v>
                  </c:pt>
                  <c:pt idx="33">
                    <c:v>Oct</c:v>
                  </c:pt>
                  <c:pt idx="34">
                    <c:v>Nov</c:v>
                  </c:pt>
                  <c:pt idx="35">
                    <c:v>Dec</c:v>
                  </c:pt>
                  <c:pt idx="36">
                    <c:v>Jan</c:v>
                  </c:pt>
                  <c:pt idx="37">
                    <c:v>Feb</c:v>
                  </c:pt>
                  <c:pt idx="38">
                    <c:v>Mar</c:v>
                  </c:pt>
                  <c:pt idx="39">
                    <c:v>Apr</c:v>
                  </c:pt>
                  <c:pt idx="40">
                    <c:v>May</c:v>
                  </c:pt>
                  <c:pt idx="41">
                    <c:v>Jun</c:v>
                  </c:pt>
                  <c:pt idx="42">
                    <c:v>Jul</c:v>
                  </c:pt>
                  <c:pt idx="43">
                    <c:v>Aug</c:v>
                  </c:pt>
                  <c:pt idx="44">
                    <c:v>Sep</c:v>
                  </c:pt>
                  <c:pt idx="45">
                    <c:v>Oct</c:v>
                  </c:pt>
                  <c:pt idx="46">
                    <c:v>Nov</c:v>
                  </c:pt>
                  <c:pt idx="47">
                    <c:v>Dec</c:v>
                  </c:pt>
                  <c:pt idx="48">
                    <c:v>Jan</c:v>
                  </c:pt>
                  <c:pt idx="49">
                    <c:v>Feb</c:v>
                  </c:pt>
                  <c:pt idx="50">
                    <c:v>Mar</c:v>
                  </c:pt>
                  <c:pt idx="51">
                    <c:v>Apr</c:v>
                  </c:pt>
                </c:lvl>
                <c:lvl>
                  <c:pt idx="0">
                    <c:v>Q1</c:v>
                  </c:pt>
                  <c:pt idx="3">
                    <c:v>Q2</c:v>
                  </c:pt>
                  <c:pt idx="6">
                    <c:v>Q3</c:v>
                  </c:pt>
                  <c:pt idx="9">
                    <c:v>Q4</c:v>
                  </c:pt>
                  <c:pt idx="12">
                    <c:v>Q1</c:v>
                  </c:pt>
                  <c:pt idx="15">
                    <c:v>Q2</c:v>
                  </c:pt>
                  <c:pt idx="18">
                    <c:v>Q3</c:v>
                  </c:pt>
                  <c:pt idx="21">
                    <c:v>Q4</c:v>
                  </c:pt>
                  <c:pt idx="24">
                    <c:v>Q1</c:v>
                  </c:pt>
                  <c:pt idx="27">
                    <c:v>Q2</c:v>
                  </c:pt>
                  <c:pt idx="30">
                    <c:v>Q3</c:v>
                  </c:pt>
                  <c:pt idx="33">
                    <c:v>Q4</c:v>
                  </c:pt>
                  <c:pt idx="36">
                    <c:v>Q1</c:v>
                  </c:pt>
                  <c:pt idx="39">
                    <c:v>Q2</c:v>
                  </c:pt>
                  <c:pt idx="42">
                    <c:v>Q3</c:v>
                  </c:pt>
                  <c:pt idx="45">
                    <c:v>Q4</c:v>
                  </c:pt>
                  <c:pt idx="48">
                    <c:v>Q1</c:v>
                  </c:pt>
                  <c:pt idx="51">
                    <c:v>Q2</c:v>
                  </c:pt>
                </c:lvl>
                <c:lvl>
                  <c:pt idx="0">
                    <c:v>2017</c:v>
                  </c:pt>
                  <c:pt idx="12">
                    <c:v>2018</c:v>
                  </c:pt>
                  <c:pt idx="24">
                    <c:v>2019</c:v>
                  </c:pt>
                  <c:pt idx="36">
                    <c:v>2020</c:v>
                  </c:pt>
                  <c:pt idx="48">
                    <c:v>2021</c:v>
                  </c:pt>
                </c:lvl>
              </c:multiLvlStrCache>
            </c:multiLvlStrRef>
          </c:cat>
          <c:val>
            <c:numRef>
              <c:f>Sheet5!$F$5:$F$57</c:f>
              <c:numCache>
                <c:formatCode>General</c:formatCode>
                <c:ptCount val="52"/>
                <c:pt idx="0">
                  <c:v>322684</c:v>
                </c:pt>
                <c:pt idx="1">
                  <c:v>333730</c:v>
                </c:pt>
                <c:pt idx="2">
                  <c:v>360421</c:v>
                </c:pt>
                <c:pt idx="3">
                  <c:v>335217</c:v>
                </c:pt>
                <c:pt idx="4">
                  <c:v>365620</c:v>
                </c:pt>
                <c:pt idx="5">
                  <c:v>354692</c:v>
                </c:pt>
                <c:pt idx="6">
                  <c:v>353461</c:v>
                </c:pt>
                <c:pt idx="7">
                  <c:v>366258</c:v>
                </c:pt>
                <c:pt idx="8">
                  <c:v>351099</c:v>
                </c:pt>
                <c:pt idx="9">
                  <c:v>352246</c:v>
                </c:pt>
                <c:pt idx="10">
                  <c:v>355770</c:v>
                </c:pt>
                <c:pt idx="11">
                  <c:v>351707</c:v>
                </c:pt>
                <c:pt idx="12">
                  <c:v>331030</c:v>
                </c:pt>
                <c:pt idx="13">
                  <c:v>349632</c:v>
                </c:pt>
                <c:pt idx="14">
                  <c:v>370790</c:v>
                </c:pt>
                <c:pt idx="15">
                  <c:v>358204</c:v>
                </c:pt>
                <c:pt idx="16">
                  <c:v>381378</c:v>
                </c:pt>
                <c:pt idx="17">
                  <c:v>361175</c:v>
                </c:pt>
                <c:pt idx="18">
                  <c:v>366594</c:v>
                </c:pt>
                <c:pt idx="19">
                  <c:v>376812</c:v>
                </c:pt>
                <c:pt idx="20">
                  <c:v>357581</c:v>
                </c:pt>
                <c:pt idx="21">
                  <c:v>371953</c:v>
                </c:pt>
                <c:pt idx="22">
                  <c:v>371178</c:v>
                </c:pt>
                <c:pt idx="23">
                  <c:v>363578</c:v>
                </c:pt>
                <c:pt idx="24">
                  <c:v>339734</c:v>
                </c:pt>
                <c:pt idx="25">
                  <c:v>345489</c:v>
                </c:pt>
                <c:pt idx="26">
                  <c:v>361800</c:v>
                </c:pt>
                <c:pt idx="27">
                  <c:v>351998</c:v>
                </c:pt>
                <c:pt idx="28">
                  <c:v>374929</c:v>
                </c:pt>
                <c:pt idx="29">
                  <c:v>348917</c:v>
                </c:pt>
                <c:pt idx="30">
                  <c:v>367160</c:v>
                </c:pt>
                <c:pt idx="31">
                  <c:v>365029</c:v>
                </c:pt>
                <c:pt idx="32">
                  <c:v>351122</c:v>
                </c:pt>
                <c:pt idx="33">
                  <c:v>361928</c:v>
                </c:pt>
                <c:pt idx="34">
                  <c:v>354038</c:v>
                </c:pt>
                <c:pt idx="35">
                  <c:v>352412</c:v>
                </c:pt>
                <c:pt idx="36">
                  <c:v>330903</c:v>
                </c:pt>
                <c:pt idx="37">
                  <c:v>337565</c:v>
                </c:pt>
                <c:pt idx="38">
                  <c:v>361887</c:v>
                </c:pt>
                <c:pt idx="39">
                  <c:v>317469</c:v>
                </c:pt>
                <c:pt idx="40">
                  <c:v>337564</c:v>
                </c:pt>
                <c:pt idx="41">
                  <c:v>329908</c:v>
                </c:pt>
                <c:pt idx="42">
                  <c:v>345547</c:v>
                </c:pt>
                <c:pt idx="43">
                  <c:v>335236</c:v>
                </c:pt>
                <c:pt idx="44">
                  <c:v>336464</c:v>
                </c:pt>
                <c:pt idx="45">
                  <c:v>300341</c:v>
                </c:pt>
                <c:pt idx="46">
                  <c:v>291622</c:v>
                </c:pt>
                <c:pt idx="47">
                  <c:v>296689</c:v>
                </c:pt>
                <c:pt idx="48">
                  <c:v>265834</c:v>
                </c:pt>
                <c:pt idx="49">
                  <c:v>271503</c:v>
                </c:pt>
                <c:pt idx="50">
                  <c:v>289295</c:v>
                </c:pt>
                <c:pt idx="51">
                  <c:v>274936</c:v>
                </c:pt>
              </c:numCache>
            </c:numRef>
          </c:val>
          <c:smooth val="0"/>
          <c:extLst>
            <c:ext xmlns:c16="http://schemas.microsoft.com/office/drawing/2014/chart" uri="{C3380CC4-5D6E-409C-BE32-E72D297353CC}">
              <c16:uniqueId val="{00000001-A342-49A6-82ED-0765B49389A4}"/>
            </c:ext>
          </c:extLst>
        </c:ser>
        <c:dLbls>
          <c:showLegendKey val="0"/>
          <c:showVal val="0"/>
          <c:showCatName val="0"/>
          <c:showSerName val="0"/>
          <c:showPercent val="0"/>
          <c:showBubbleSize val="0"/>
        </c:dLbls>
        <c:marker val="1"/>
        <c:smooth val="0"/>
        <c:axId val="1447604800"/>
        <c:axId val="1"/>
      </c:lineChart>
      <c:lineChart>
        <c:grouping val="standard"/>
        <c:varyColors val="0"/>
        <c:ser>
          <c:idx val="1"/>
          <c:order val="1"/>
          <c:tx>
            <c:strRef>
              <c:f>Sheet5!$E$3:$E$4</c:f>
              <c:strCache>
                <c:ptCount val="1"/>
                <c:pt idx="0">
                  <c:v>Naloxone</c:v>
                </c:pt>
              </c:strCache>
            </c:strRef>
          </c:tx>
          <c:spPr>
            <a:ln w="28575" cap="rnd">
              <a:solidFill>
                <a:schemeClr val="accent4"/>
              </a:solidFill>
              <a:round/>
            </a:ln>
            <a:effectLst/>
          </c:spPr>
          <c:marker>
            <c:symbol val="none"/>
          </c:marker>
          <c:cat>
            <c:multiLvlStrRef>
              <c:f>Sheet5!$A$5:$C$57</c:f>
              <c:multiLvlStrCache>
                <c:ptCount val="52"/>
                <c:lvl>
                  <c:pt idx="0">
                    <c:v>Jan</c:v>
                  </c:pt>
                  <c:pt idx="1">
                    <c:v>Feb</c:v>
                  </c:pt>
                  <c:pt idx="2">
                    <c:v>Mar</c:v>
                  </c:pt>
                  <c:pt idx="3">
                    <c:v>Apr</c:v>
                  </c:pt>
                  <c:pt idx="4">
                    <c:v>May</c:v>
                  </c:pt>
                  <c:pt idx="5">
                    <c:v>Jun</c:v>
                  </c:pt>
                  <c:pt idx="6">
                    <c:v>Jul</c:v>
                  </c:pt>
                  <c:pt idx="7">
                    <c:v>Aug</c:v>
                  </c:pt>
                  <c:pt idx="8">
                    <c:v>Sep</c:v>
                  </c:pt>
                  <c:pt idx="9">
                    <c:v>Oct</c:v>
                  </c:pt>
                  <c:pt idx="10">
                    <c:v>Nov</c:v>
                  </c:pt>
                  <c:pt idx="11">
                    <c:v>Dec</c:v>
                  </c:pt>
                  <c:pt idx="12">
                    <c:v>Jan</c:v>
                  </c:pt>
                  <c:pt idx="13">
                    <c:v>Feb</c:v>
                  </c:pt>
                  <c:pt idx="14">
                    <c:v>Mar</c:v>
                  </c:pt>
                  <c:pt idx="15">
                    <c:v>Apr</c:v>
                  </c:pt>
                  <c:pt idx="16">
                    <c:v>May</c:v>
                  </c:pt>
                  <c:pt idx="17">
                    <c:v>Jun</c:v>
                  </c:pt>
                  <c:pt idx="18">
                    <c:v>Jul</c:v>
                  </c:pt>
                  <c:pt idx="19">
                    <c:v>Aug</c:v>
                  </c:pt>
                  <c:pt idx="20">
                    <c:v>Sep</c:v>
                  </c:pt>
                  <c:pt idx="21">
                    <c:v>Oct</c:v>
                  </c:pt>
                  <c:pt idx="22">
                    <c:v>Nov</c:v>
                  </c:pt>
                  <c:pt idx="23">
                    <c:v>Dec</c:v>
                  </c:pt>
                  <c:pt idx="24">
                    <c:v>Jan</c:v>
                  </c:pt>
                  <c:pt idx="25">
                    <c:v>Feb</c:v>
                  </c:pt>
                  <c:pt idx="26">
                    <c:v>Mar</c:v>
                  </c:pt>
                  <c:pt idx="27">
                    <c:v>Apr</c:v>
                  </c:pt>
                  <c:pt idx="28">
                    <c:v>May</c:v>
                  </c:pt>
                  <c:pt idx="29">
                    <c:v>Jun</c:v>
                  </c:pt>
                  <c:pt idx="30">
                    <c:v>Jul</c:v>
                  </c:pt>
                  <c:pt idx="31">
                    <c:v>Aug</c:v>
                  </c:pt>
                  <c:pt idx="32">
                    <c:v>Sep</c:v>
                  </c:pt>
                  <c:pt idx="33">
                    <c:v>Oct</c:v>
                  </c:pt>
                  <c:pt idx="34">
                    <c:v>Nov</c:v>
                  </c:pt>
                  <c:pt idx="35">
                    <c:v>Dec</c:v>
                  </c:pt>
                  <c:pt idx="36">
                    <c:v>Jan</c:v>
                  </c:pt>
                  <c:pt idx="37">
                    <c:v>Feb</c:v>
                  </c:pt>
                  <c:pt idx="38">
                    <c:v>Mar</c:v>
                  </c:pt>
                  <c:pt idx="39">
                    <c:v>Apr</c:v>
                  </c:pt>
                  <c:pt idx="40">
                    <c:v>May</c:v>
                  </c:pt>
                  <c:pt idx="41">
                    <c:v>Jun</c:v>
                  </c:pt>
                  <c:pt idx="42">
                    <c:v>Jul</c:v>
                  </c:pt>
                  <c:pt idx="43">
                    <c:v>Aug</c:v>
                  </c:pt>
                  <c:pt idx="44">
                    <c:v>Sep</c:v>
                  </c:pt>
                  <c:pt idx="45">
                    <c:v>Oct</c:v>
                  </c:pt>
                  <c:pt idx="46">
                    <c:v>Nov</c:v>
                  </c:pt>
                  <c:pt idx="47">
                    <c:v>Dec</c:v>
                  </c:pt>
                  <c:pt idx="48">
                    <c:v>Jan</c:v>
                  </c:pt>
                  <c:pt idx="49">
                    <c:v>Feb</c:v>
                  </c:pt>
                  <c:pt idx="50">
                    <c:v>Mar</c:v>
                  </c:pt>
                  <c:pt idx="51">
                    <c:v>Apr</c:v>
                  </c:pt>
                </c:lvl>
                <c:lvl>
                  <c:pt idx="0">
                    <c:v>Q1</c:v>
                  </c:pt>
                  <c:pt idx="3">
                    <c:v>Q2</c:v>
                  </c:pt>
                  <c:pt idx="6">
                    <c:v>Q3</c:v>
                  </c:pt>
                  <c:pt idx="9">
                    <c:v>Q4</c:v>
                  </c:pt>
                  <c:pt idx="12">
                    <c:v>Q1</c:v>
                  </c:pt>
                  <c:pt idx="15">
                    <c:v>Q2</c:v>
                  </c:pt>
                  <c:pt idx="18">
                    <c:v>Q3</c:v>
                  </c:pt>
                  <c:pt idx="21">
                    <c:v>Q4</c:v>
                  </c:pt>
                  <c:pt idx="24">
                    <c:v>Q1</c:v>
                  </c:pt>
                  <c:pt idx="27">
                    <c:v>Q2</c:v>
                  </c:pt>
                  <c:pt idx="30">
                    <c:v>Q3</c:v>
                  </c:pt>
                  <c:pt idx="33">
                    <c:v>Q4</c:v>
                  </c:pt>
                  <c:pt idx="36">
                    <c:v>Q1</c:v>
                  </c:pt>
                  <c:pt idx="39">
                    <c:v>Q2</c:v>
                  </c:pt>
                  <c:pt idx="42">
                    <c:v>Q3</c:v>
                  </c:pt>
                  <c:pt idx="45">
                    <c:v>Q4</c:v>
                  </c:pt>
                  <c:pt idx="48">
                    <c:v>Q1</c:v>
                  </c:pt>
                  <c:pt idx="51">
                    <c:v>Q2</c:v>
                  </c:pt>
                </c:lvl>
                <c:lvl>
                  <c:pt idx="0">
                    <c:v>2017</c:v>
                  </c:pt>
                  <c:pt idx="12">
                    <c:v>2018</c:v>
                  </c:pt>
                  <c:pt idx="24">
                    <c:v>2019</c:v>
                  </c:pt>
                  <c:pt idx="36">
                    <c:v>2020</c:v>
                  </c:pt>
                  <c:pt idx="48">
                    <c:v>2021</c:v>
                  </c:pt>
                </c:lvl>
              </c:multiLvlStrCache>
            </c:multiLvlStrRef>
          </c:cat>
          <c:val>
            <c:numRef>
              <c:f>Sheet5!$E$5:$E$57</c:f>
              <c:numCache>
                <c:formatCode>General</c:formatCode>
                <c:ptCount val="52"/>
                <c:pt idx="0">
                  <c:v>3</c:v>
                </c:pt>
                <c:pt idx="1">
                  <c:v>10</c:v>
                </c:pt>
                <c:pt idx="2">
                  <c:v>3</c:v>
                </c:pt>
                <c:pt idx="3">
                  <c:v>11</c:v>
                </c:pt>
                <c:pt idx="4">
                  <c:v>7</c:v>
                </c:pt>
                <c:pt idx="5">
                  <c:v>12</c:v>
                </c:pt>
                <c:pt idx="6">
                  <c:v>13</c:v>
                </c:pt>
                <c:pt idx="7">
                  <c:v>21</c:v>
                </c:pt>
                <c:pt idx="8">
                  <c:v>12</c:v>
                </c:pt>
                <c:pt idx="9">
                  <c:v>28</c:v>
                </c:pt>
                <c:pt idx="10">
                  <c:v>22</c:v>
                </c:pt>
                <c:pt idx="11">
                  <c:v>26</c:v>
                </c:pt>
                <c:pt idx="12">
                  <c:v>14</c:v>
                </c:pt>
                <c:pt idx="13">
                  <c:v>12</c:v>
                </c:pt>
                <c:pt idx="14">
                  <c:v>17</c:v>
                </c:pt>
                <c:pt idx="15">
                  <c:v>9</c:v>
                </c:pt>
                <c:pt idx="16">
                  <c:v>9</c:v>
                </c:pt>
                <c:pt idx="17">
                  <c:v>12</c:v>
                </c:pt>
                <c:pt idx="18">
                  <c:v>10</c:v>
                </c:pt>
                <c:pt idx="19">
                  <c:v>18</c:v>
                </c:pt>
                <c:pt idx="20">
                  <c:v>18</c:v>
                </c:pt>
                <c:pt idx="21">
                  <c:v>18</c:v>
                </c:pt>
                <c:pt idx="22">
                  <c:v>47</c:v>
                </c:pt>
                <c:pt idx="23">
                  <c:v>22</c:v>
                </c:pt>
                <c:pt idx="24">
                  <c:v>15</c:v>
                </c:pt>
                <c:pt idx="25">
                  <c:v>11</c:v>
                </c:pt>
                <c:pt idx="26">
                  <c:v>11</c:v>
                </c:pt>
                <c:pt idx="27">
                  <c:v>21</c:v>
                </c:pt>
                <c:pt idx="28">
                  <c:v>13</c:v>
                </c:pt>
                <c:pt idx="29">
                  <c:v>14</c:v>
                </c:pt>
                <c:pt idx="30">
                  <c:v>16</c:v>
                </c:pt>
                <c:pt idx="31">
                  <c:v>19</c:v>
                </c:pt>
                <c:pt idx="32">
                  <c:v>17</c:v>
                </c:pt>
                <c:pt idx="33">
                  <c:v>23</c:v>
                </c:pt>
                <c:pt idx="34">
                  <c:v>23</c:v>
                </c:pt>
                <c:pt idx="35">
                  <c:v>1273</c:v>
                </c:pt>
                <c:pt idx="36">
                  <c:v>1561</c:v>
                </c:pt>
                <c:pt idx="37">
                  <c:v>2167</c:v>
                </c:pt>
                <c:pt idx="38">
                  <c:v>1738</c:v>
                </c:pt>
                <c:pt idx="39">
                  <c:v>1678</c:v>
                </c:pt>
                <c:pt idx="40">
                  <c:v>1633</c:v>
                </c:pt>
                <c:pt idx="41">
                  <c:v>1355</c:v>
                </c:pt>
                <c:pt idx="42">
                  <c:v>1336</c:v>
                </c:pt>
                <c:pt idx="43">
                  <c:v>1289</c:v>
                </c:pt>
                <c:pt idx="44">
                  <c:v>1301</c:v>
                </c:pt>
                <c:pt idx="45">
                  <c:v>1236</c:v>
                </c:pt>
                <c:pt idx="46">
                  <c:v>1154</c:v>
                </c:pt>
                <c:pt idx="47">
                  <c:v>1406</c:v>
                </c:pt>
                <c:pt idx="48">
                  <c:v>1413</c:v>
                </c:pt>
                <c:pt idx="49">
                  <c:v>1494</c:v>
                </c:pt>
                <c:pt idx="50">
                  <c:v>1466</c:v>
                </c:pt>
                <c:pt idx="51">
                  <c:v>1358</c:v>
                </c:pt>
              </c:numCache>
            </c:numRef>
          </c:val>
          <c:smooth val="0"/>
          <c:extLst>
            <c:ext xmlns:c16="http://schemas.microsoft.com/office/drawing/2014/chart" uri="{C3380CC4-5D6E-409C-BE32-E72D297353CC}">
              <c16:uniqueId val="{00000002-A342-49A6-82ED-0765B49389A4}"/>
            </c:ext>
          </c:extLst>
        </c:ser>
        <c:dLbls>
          <c:showLegendKey val="0"/>
          <c:showVal val="0"/>
          <c:showCatName val="0"/>
          <c:showSerName val="0"/>
          <c:showPercent val="0"/>
          <c:showBubbleSize val="0"/>
        </c:dLbls>
        <c:marker val="1"/>
        <c:smooth val="0"/>
        <c:axId val="1414038576"/>
        <c:axId val="1414040656"/>
      </c:lineChart>
      <c:catAx>
        <c:axId val="1447604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900" b="0" i="0" u="none" strike="noStrike" baseline="0">
                <a:solidFill>
                  <a:srgbClr val="333333"/>
                </a:solidFill>
                <a:latin typeface="Calibri"/>
                <a:ea typeface="Calibri"/>
                <a:cs typeface="Calibri"/>
              </a:defRPr>
            </a:pPr>
            <a:endParaRPr lang="en-US"/>
          </a:p>
        </c:txPr>
        <c:crossAx val="1"/>
        <c:crosses val="autoZero"/>
        <c:auto val="0"/>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AU"/>
                  <a:t>Number of </a:t>
                </a:r>
                <a:r>
                  <a:rPr lang="en-AU" baseline="0"/>
                  <a:t>dispensings (opioids and statins)</a:t>
                </a:r>
                <a:endParaRPr lang="en-AU"/>
              </a:p>
            </c:rich>
          </c:tx>
          <c:layout>
            <c:manualLayout>
              <c:xMode val="edge"/>
              <c:yMode val="edge"/>
              <c:x val="1.8662072925638817E-2"/>
              <c:y val="5.9829793456010569E-2"/>
            </c:manualLayout>
          </c:layout>
          <c:overlay val="0"/>
        </c:title>
        <c:numFmt formatCode="#,##0" sourceLinked="0"/>
        <c:majorTickMark val="none"/>
        <c:minorTickMark val="none"/>
        <c:tickLblPos val="nextTo"/>
        <c:spPr>
          <a:noFill/>
          <a:ln>
            <a:noFill/>
          </a:ln>
          <a:effectLst/>
        </c:spPr>
        <c:txPr>
          <a:bodyPr rot="0" vert="horz"/>
          <a:lstStyle/>
          <a:p>
            <a:pPr>
              <a:defRPr sz="900" b="0" i="0" u="none" strike="noStrike" baseline="0">
                <a:solidFill>
                  <a:srgbClr val="333333"/>
                </a:solidFill>
                <a:latin typeface="Calibri"/>
                <a:ea typeface="Calibri"/>
                <a:cs typeface="Calibri"/>
              </a:defRPr>
            </a:pPr>
            <a:endParaRPr lang="en-US"/>
          </a:p>
        </c:txPr>
        <c:crossAx val="1447604800"/>
        <c:crosses val="autoZero"/>
        <c:crossBetween val="between"/>
      </c:valAx>
      <c:valAx>
        <c:axId val="1414040656"/>
        <c:scaling>
          <c:orientation val="minMax"/>
        </c:scaling>
        <c:delete val="0"/>
        <c:axPos val="r"/>
        <c:title>
          <c:tx>
            <c:rich>
              <a:bodyPr/>
              <a:lstStyle/>
              <a:p>
                <a:pPr>
                  <a:defRPr/>
                </a:pPr>
                <a:r>
                  <a:rPr lang="en-AU"/>
                  <a:t>Number of Naloxone supplies</a:t>
                </a:r>
              </a:p>
            </c:rich>
          </c:tx>
          <c:overlay val="0"/>
        </c:title>
        <c:numFmt formatCode="#,##0" sourceLinked="0"/>
        <c:majorTickMark val="out"/>
        <c:minorTickMark val="none"/>
        <c:tickLblPos val="nextTo"/>
        <c:crossAx val="1414038576"/>
        <c:crosses val="max"/>
        <c:crossBetween val="between"/>
      </c:valAx>
      <c:catAx>
        <c:axId val="1414038576"/>
        <c:scaling>
          <c:orientation val="minMax"/>
        </c:scaling>
        <c:delete val="1"/>
        <c:axPos val="b"/>
        <c:numFmt formatCode="General" sourceLinked="1"/>
        <c:majorTickMark val="out"/>
        <c:minorTickMark val="none"/>
        <c:tickLblPos val="nextTo"/>
        <c:crossAx val="1414040656"/>
        <c:crosses val="autoZero"/>
        <c:auto val="0"/>
        <c:lblAlgn val="ctr"/>
        <c:lblOffset val="100"/>
        <c:noMultiLvlLbl val="0"/>
      </c:catAx>
      <c:spPr>
        <a:noFill/>
        <a:ln w="25400">
          <a:noFill/>
        </a:ln>
      </c:spPr>
    </c:plotArea>
    <c:legend>
      <c:legendPos val="b"/>
      <c:overlay val="0"/>
      <c:spPr>
        <a:noFill/>
        <a:ln>
          <a:noFill/>
        </a:ln>
        <a:effectLst/>
      </c:spPr>
      <c:txPr>
        <a:bodyPr/>
        <a:lstStyle/>
        <a:p>
          <a:pPr>
            <a:defRPr sz="1100" b="0" i="0" u="none" strike="noStrike" baseline="0">
              <a:solidFill>
                <a:srgbClr val="333333"/>
              </a:solidFill>
              <a:latin typeface="Calibri"/>
              <a:ea typeface="Calibri"/>
              <a:cs typeface="Calibri"/>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strRef>
              <c:f>Sheet3!$C$1</c:f>
              <c:strCache>
                <c:ptCount val="1"/>
                <c:pt idx="0">
                  <c:v>heroin</c:v>
                </c:pt>
              </c:strCache>
            </c:strRef>
          </c:tx>
          <c:spPr>
            <a:solidFill>
              <a:srgbClr val="7030A0"/>
            </a:solidFill>
            <a:ln>
              <a:noFill/>
            </a:ln>
            <a:effectLst/>
          </c:spPr>
          <c:invertIfNegative val="0"/>
          <c:cat>
            <c:strRef>
              <c:f>Sheet3!$A$2:$A$11</c:f>
              <c:strCache>
                <c:ptCount val="10"/>
                <c:pt idx="0">
                  <c:v>2009-2010</c:v>
                </c:pt>
                <c:pt idx="1">
                  <c:v>2010-2011</c:v>
                </c:pt>
                <c:pt idx="2">
                  <c:v>2011-2012</c:v>
                </c:pt>
                <c:pt idx="3">
                  <c:v>2012-2013</c:v>
                </c:pt>
                <c:pt idx="4">
                  <c:v>2013-2014</c:v>
                </c:pt>
                <c:pt idx="5">
                  <c:v>2014-2015</c:v>
                </c:pt>
                <c:pt idx="6">
                  <c:v>2015-2016</c:v>
                </c:pt>
                <c:pt idx="7">
                  <c:v>2016-2017</c:v>
                </c:pt>
                <c:pt idx="8">
                  <c:v>2017-2018</c:v>
                </c:pt>
                <c:pt idx="9">
                  <c:v>2018-2019</c:v>
                </c:pt>
              </c:strCache>
            </c:strRef>
          </c:cat>
          <c:val>
            <c:numRef>
              <c:f>Sheet3!$C$2:$C$11</c:f>
              <c:numCache>
                <c:formatCode>General</c:formatCode>
                <c:ptCount val="10"/>
                <c:pt idx="0">
                  <c:v>2.9</c:v>
                </c:pt>
                <c:pt idx="1">
                  <c:v>2.9</c:v>
                </c:pt>
                <c:pt idx="2">
                  <c:v>3.1</c:v>
                </c:pt>
                <c:pt idx="3">
                  <c:v>2.5</c:v>
                </c:pt>
                <c:pt idx="4">
                  <c:v>2.1</c:v>
                </c:pt>
                <c:pt idx="5">
                  <c:v>2.7</c:v>
                </c:pt>
                <c:pt idx="6">
                  <c:v>3.4</c:v>
                </c:pt>
                <c:pt idx="7">
                  <c:v>3.5</c:v>
                </c:pt>
                <c:pt idx="8">
                  <c:v>3.2</c:v>
                </c:pt>
                <c:pt idx="9">
                  <c:v>4.0999999999999996</c:v>
                </c:pt>
              </c:numCache>
            </c:numRef>
          </c:val>
          <c:extLst>
            <c:ext xmlns:c16="http://schemas.microsoft.com/office/drawing/2014/chart" uri="{C3380CC4-5D6E-409C-BE32-E72D297353CC}">
              <c16:uniqueId val="{00000000-C509-43C9-AAB3-E1B8A6DF3381}"/>
            </c:ext>
          </c:extLst>
        </c:ser>
        <c:ser>
          <c:idx val="2"/>
          <c:order val="1"/>
          <c:tx>
            <c:strRef>
              <c:f>Sheet3!$D$1</c:f>
              <c:strCache>
                <c:ptCount val="1"/>
                <c:pt idx="0">
                  <c:v>non-heroin opioids</c:v>
                </c:pt>
              </c:strCache>
            </c:strRef>
          </c:tx>
          <c:spPr>
            <a:solidFill>
              <a:schemeClr val="accent5">
                <a:lumMod val="60000"/>
                <a:lumOff val="40000"/>
              </a:schemeClr>
            </a:solidFill>
            <a:ln>
              <a:noFill/>
            </a:ln>
            <a:effectLst/>
          </c:spPr>
          <c:invertIfNegative val="0"/>
          <c:cat>
            <c:strRef>
              <c:f>Sheet3!$A$2:$A$11</c:f>
              <c:strCache>
                <c:ptCount val="10"/>
                <c:pt idx="0">
                  <c:v>2009-2010</c:v>
                </c:pt>
                <c:pt idx="1">
                  <c:v>2010-2011</c:v>
                </c:pt>
                <c:pt idx="2">
                  <c:v>2011-2012</c:v>
                </c:pt>
                <c:pt idx="3">
                  <c:v>2012-2013</c:v>
                </c:pt>
                <c:pt idx="4">
                  <c:v>2013-2014</c:v>
                </c:pt>
                <c:pt idx="5">
                  <c:v>2014-2015</c:v>
                </c:pt>
                <c:pt idx="6">
                  <c:v>2015-2016</c:v>
                </c:pt>
                <c:pt idx="7">
                  <c:v>2016-2017</c:v>
                </c:pt>
                <c:pt idx="8">
                  <c:v>2017-2018</c:v>
                </c:pt>
                <c:pt idx="9">
                  <c:v>2018-2019</c:v>
                </c:pt>
              </c:strCache>
            </c:strRef>
          </c:cat>
          <c:val>
            <c:numRef>
              <c:f>Sheet3!$D$2:$D$11</c:f>
              <c:numCache>
                <c:formatCode>General</c:formatCode>
                <c:ptCount val="10"/>
                <c:pt idx="0">
                  <c:v>31.6</c:v>
                </c:pt>
                <c:pt idx="1">
                  <c:v>31.200000000000003</c:v>
                </c:pt>
                <c:pt idx="2">
                  <c:v>31</c:v>
                </c:pt>
                <c:pt idx="3">
                  <c:v>31</c:v>
                </c:pt>
                <c:pt idx="4">
                  <c:v>33.5</c:v>
                </c:pt>
                <c:pt idx="5">
                  <c:v>33.099999999999994</c:v>
                </c:pt>
                <c:pt idx="6">
                  <c:v>34.1</c:v>
                </c:pt>
                <c:pt idx="7">
                  <c:v>32.200000000000003</c:v>
                </c:pt>
                <c:pt idx="8">
                  <c:v>31.099999999999998</c:v>
                </c:pt>
                <c:pt idx="9">
                  <c:v>29.199999999999996</c:v>
                </c:pt>
              </c:numCache>
            </c:numRef>
          </c:val>
          <c:extLst>
            <c:ext xmlns:c16="http://schemas.microsoft.com/office/drawing/2014/chart" uri="{C3380CC4-5D6E-409C-BE32-E72D297353CC}">
              <c16:uniqueId val="{00000001-C509-43C9-AAB3-E1B8A6DF3381}"/>
            </c:ext>
          </c:extLst>
        </c:ser>
        <c:dLbls>
          <c:showLegendKey val="0"/>
          <c:showVal val="0"/>
          <c:showCatName val="0"/>
          <c:showSerName val="0"/>
          <c:showPercent val="0"/>
          <c:showBubbleSize val="0"/>
        </c:dLbls>
        <c:gapWidth val="150"/>
        <c:overlap val="100"/>
        <c:axId val="1350113392"/>
        <c:axId val="1350109232"/>
      </c:barChart>
      <c:catAx>
        <c:axId val="1350113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0109232"/>
        <c:crosses val="autoZero"/>
        <c:auto val="1"/>
        <c:lblAlgn val="ctr"/>
        <c:lblOffset val="100"/>
        <c:noMultiLvlLbl val="0"/>
      </c:catAx>
      <c:valAx>
        <c:axId val="1350109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 standardised hopsitalisation rate (hospitalisations</a:t>
                </a:r>
                <a:r>
                  <a:rPr lang="en-US" baseline="0"/>
                  <a:t> per 100,000 people)</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50113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2"/>
          <c:order val="0"/>
          <c:tx>
            <c:strRef>
              <c:f>'Transactions Comp'!$E$3</c:f>
              <c:strCache>
                <c:ptCount val="1"/>
                <c:pt idx="0">
                  <c:v>Naloxone supplies through the THN Pilot</c:v>
                </c:pt>
              </c:strCache>
            </c:strRef>
          </c:tx>
          <c:spPr>
            <a:ln w="19050" cap="rnd" cmpd="sng" algn="ctr">
              <a:solidFill>
                <a:schemeClr val="accent5"/>
              </a:solidFill>
              <a:prstDash val="solid"/>
              <a:round/>
            </a:ln>
            <a:effectLst/>
          </c:spPr>
          <c:marker>
            <c:symbol val="circle"/>
            <c:size val="5"/>
            <c:spPr>
              <a:solidFill>
                <a:schemeClr val="accent5"/>
              </a:solidFill>
              <a:ln w="6350" cap="flat" cmpd="sng" algn="ctr">
                <a:solidFill>
                  <a:schemeClr val="accent5"/>
                </a:solidFill>
                <a:prstDash val="solid"/>
                <a:round/>
              </a:ln>
              <a:effectLst/>
            </c:spPr>
          </c:marker>
          <c:cat>
            <c:multiLvlStrRef>
              <c:f>'Transactions Comp'!$A$12:$B$29</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2017</c:v>
                  </c:pt>
                  <c:pt idx="4">
                    <c:v>2018</c:v>
                  </c:pt>
                  <c:pt idx="8">
                    <c:v>2019</c:v>
                  </c:pt>
                  <c:pt idx="12">
                    <c:v>2020</c:v>
                  </c:pt>
                  <c:pt idx="16">
                    <c:v>2021</c:v>
                  </c:pt>
                </c:lvl>
              </c:multiLvlStrCache>
            </c:multiLvlStrRef>
          </c:cat>
          <c:val>
            <c:numRef>
              <c:f>'Transactions Comp'!$E$12:$E$29</c:f>
              <c:numCache>
                <c:formatCode>General</c:formatCode>
                <c:ptCount val="18"/>
                <c:pt idx="11">
                  <c:v>1249</c:v>
                </c:pt>
                <c:pt idx="12">
                  <c:v>5190</c:v>
                </c:pt>
                <c:pt idx="13">
                  <c:v>4195</c:v>
                </c:pt>
                <c:pt idx="14">
                  <c:v>3828</c:v>
                </c:pt>
                <c:pt idx="15">
                  <c:v>3735</c:v>
                </c:pt>
                <c:pt idx="16">
                  <c:v>4320</c:v>
                </c:pt>
                <c:pt idx="17">
                  <c:v>3825</c:v>
                </c:pt>
              </c:numCache>
            </c:numRef>
          </c:val>
          <c:smooth val="0"/>
          <c:extLst>
            <c:ext xmlns:c16="http://schemas.microsoft.com/office/drawing/2014/chart" uri="{C3380CC4-5D6E-409C-BE32-E72D297353CC}">
              <c16:uniqueId val="{00000002-7A37-496F-8AE7-DAAC9A805ED9}"/>
            </c:ext>
          </c:extLst>
        </c:ser>
        <c:ser>
          <c:idx val="1"/>
          <c:order val="1"/>
          <c:tx>
            <c:strRef>
              <c:f>'Transactions Comp'!$D$3</c:f>
              <c:strCache>
                <c:ptCount val="1"/>
                <c:pt idx="0">
                  <c:v>Naloxone supplies through PBS in Pilot States</c:v>
                </c:pt>
              </c:strCache>
            </c:strRef>
          </c:tx>
          <c:spPr>
            <a:ln w="19050" cap="rnd" cmpd="sng" algn="ctr">
              <a:solidFill>
                <a:schemeClr val="accent3"/>
              </a:solidFill>
              <a:prstDash val="solid"/>
              <a:round/>
            </a:ln>
            <a:effectLst/>
          </c:spPr>
          <c:marker>
            <c:symbol val="circle"/>
            <c:size val="5"/>
            <c:spPr>
              <a:solidFill>
                <a:schemeClr val="accent3"/>
              </a:solidFill>
              <a:ln w="6350" cap="flat" cmpd="sng" algn="ctr">
                <a:solidFill>
                  <a:schemeClr val="accent3"/>
                </a:solidFill>
                <a:prstDash val="solid"/>
                <a:round/>
              </a:ln>
              <a:effectLst/>
            </c:spPr>
          </c:marker>
          <c:cat>
            <c:multiLvlStrRef>
              <c:f>'Transactions Comp'!$A$12:$B$29</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2017</c:v>
                  </c:pt>
                  <c:pt idx="4">
                    <c:v>2018</c:v>
                  </c:pt>
                  <c:pt idx="8">
                    <c:v>2019</c:v>
                  </c:pt>
                  <c:pt idx="12">
                    <c:v>2020</c:v>
                  </c:pt>
                  <c:pt idx="16">
                    <c:v>2021</c:v>
                  </c:pt>
                </c:lvl>
              </c:multiLvlStrCache>
            </c:multiLvlStrRef>
          </c:cat>
          <c:val>
            <c:numRef>
              <c:f>'Transactions Comp'!$D$12:$D$29</c:f>
              <c:numCache>
                <c:formatCode>General</c:formatCode>
                <c:ptCount val="18"/>
                <c:pt idx="0">
                  <c:v>16</c:v>
                </c:pt>
                <c:pt idx="1">
                  <c:v>30</c:v>
                </c:pt>
                <c:pt idx="2">
                  <c:v>46</c:v>
                </c:pt>
                <c:pt idx="3">
                  <c:v>76</c:v>
                </c:pt>
                <c:pt idx="4">
                  <c:v>43</c:v>
                </c:pt>
                <c:pt idx="5">
                  <c:v>30</c:v>
                </c:pt>
                <c:pt idx="6">
                  <c:v>46</c:v>
                </c:pt>
                <c:pt idx="7">
                  <c:v>87</c:v>
                </c:pt>
                <c:pt idx="8">
                  <c:v>37</c:v>
                </c:pt>
                <c:pt idx="9">
                  <c:v>48</c:v>
                </c:pt>
                <c:pt idx="10">
                  <c:v>52</c:v>
                </c:pt>
                <c:pt idx="11">
                  <c:v>66</c:v>
                </c:pt>
                <c:pt idx="12">
                  <c:v>253</c:v>
                </c:pt>
                <c:pt idx="13">
                  <c:v>463</c:v>
                </c:pt>
                <c:pt idx="14">
                  <c:v>87</c:v>
                </c:pt>
                <c:pt idx="15">
                  <c:v>60</c:v>
                </c:pt>
                <c:pt idx="16">
                  <c:v>53</c:v>
                </c:pt>
              </c:numCache>
            </c:numRef>
          </c:val>
          <c:smooth val="0"/>
          <c:extLst>
            <c:ext xmlns:c16="http://schemas.microsoft.com/office/drawing/2014/chart" uri="{C3380CC4-5D6E-409C-BE32-E72D297353CC}">
              <c16:uniqueId val="{00000001-7A37-496F-8AE7-DAAC9A805ED9}"/>
            </c:ext>
          </c:extLst>
        </c:ser>
        <c:ser>
          <c:idx val="0"/>
          <c:order val="2"/>
          <c:tx>
            <c:strRef>
              <c:f>'Transactions Comp'!$C$3</c:f>
              <c:strCache>
                <c:ptCount val="1"/>
                <c:pt idx="0">
                  <c:v>Naloxone supplies through PBS in Non-Pilot States</c:v>
                </c:pt>
              </c:strCache>
            </c:strRef>
          </c:tx>
          <c:spPr>
            <a:ln w="19050" cap="rnd" cmpd="sng" algn="ctr">
              <a:solidFill>
                <a:schemeClr val="accent1"/>
              </a:solidFill>
              <a:prstDash val="solid"/>
              <a:round/>
            </a:ln>
            <a:effectLst/>
          </c:spPr>
          <c:marker>
            <c:symbol val="circle"/>
            <c:size val="5"/>
            <c:spPr>
              <a:solidFill>
                <a:schemeClr val="accent1"/>
              </a:solidFill>
              <a:ln w="6350" cap="flat" cmpd="sng" algn="ctr">
                <a:solidFill>
                  <a:schemeClr val="accent1"/>
                </a:solidFill>
                <a:prstDash val="solid"/>
                <a:round/>
              </a:ln>
              <a:effectLst/>
            </c:spPr>
          </c:marker>
          <c:cat>
            <c:multiLvlStrRef>
              <c:f>'Transactions Comp'!$A$12:$B$29</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2017</c:v>
                  </c:pt>
                  <c:pt idx="4">
                    <c:v>2018</c:v>
                  </c:pt>
                  <c:pt idx="8">
                    <c:v>2019</c:v>
                  </c:pt>
                  <c:pt idx="12">
                    <c:v>2020</c:v>
                  </c:pt>
                  <c:pt idx="16">
                    <c:v>2021</c:v>
                  </c:pt>
                </c:lvl>
              </c:multiLvlStrCache>
            </c:multiLvlStrRef>
          </c:cat>
          <c:val>
            <c:numRef>
              <c:f>'Transactions Comp'!$C$12:$C$29</c:f>
              <c:numCache>
                <c:formatCode>General</c:formatCode>
                <c:ptCount val="18"/>
                <c:pt idx="0">
                  <c:v>126</c:v>
                </c:pt>
                <c:pt idx="1">
                  <c:v>162</c:v>
                </c:pt>
                <c:pt idx="2">
                  <c:v>178</c:v>
                </c:pt>
                <c:pt idx="3">
                  <c:v>207</c:v>
                </c:pt>
                <c:pt idx="4">
                  <c:v>270</c:v>
                </c:pt>
                <c:pt idx="5">
                  <c:v>292</c:v>
                </c:pt>
                <c:pt idx="6">
                  <c:v>406</c:v>
                </c:pt>
                <c:pt idx="7">
                  <c:v>291</c:v>
                </c:pt>
                <c:pt idx="8">
                  <c:v>255</c:v>
                </c:pt>
                <c:pt idx="9">
                  <c:v>334</c:v>
                </c:pt>
                <c:pt idx="10">
                  <c:v>300</c:v>
                </c:pt>
                <c:pt idx="11">
                  <c:v>319</c:v>
                </c:pt>
                <c:pt idx="12">
                  <c:v>431</c:v>
                </c:pt>
                <c:pt idx="13">
                  <c:v>496</c:v>
                </c:pt>
                <c:pt idx="14">
                  <c:v>349</c:v>
                </c:pt>
                <c:pt idx="15">
                  <c:v>258</c:v>
                </c:pt>
                <c:pt idx="16">
                  <c:v>233</c:v>
                </c:pt>
              </c:numCache>
            </c:numRef>
          </c:val>
          <c:smooth val="0"/>
          <c:extLst>
            <c:ext xmlns:c16="http://schemas.microsoft.com/office/drawing/2014/chart" uri="{C3380CC4-5D6E-409C-BE32-E72D297353CC}">
              <c16:uniqueId val="{00000000-7A37-496F-8AE7-DAAC9A805ED9}"/>
            </c:ext>
          </c:extLst>
        </c:ser>
        <c:dLbls>
          <c:showLegendKey val="0"/>
          <c:showVal val="0"/>
          <c:showCatName val="0"/>
          <c:showSerName val="0"/>
          <c:showPercent val="0"/>
          <c:showBubbleSize val="0"/>
        </c:dLbls>
        <c:marker val="1"/>
        <c:smooth val="0"/>
        <c:axId val="1875274752"/>
        <c:axId val="1"/>
      </c:lineChart>
      <c:catAx>
        <c:axId val="1875274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Quarterly Naloxone</a:t>
                </a:r>
                <a:r>
                  <a:rPr lang="en-AU" baseline="0"/>
                  <a:t> supplies</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5274752"/>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prstDash val="solid"/>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Word]Sheet3!PivotTable6</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Sheet3!$D$3:$D$4</c:f>
              <c:strCache>
                <c:ptCount val="1"/>
                <c:pt idx="0">
                  <c:v>Major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Sheet3!$A$5:$C$34</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Q4</c:v>
                  </c:pt>
                  <c:pt idx="1">
                    <c:v>Q1</c:v>
                  </c:pt>
                  <c:pt idx="4">
                    <c:v>Q2</c:v>
                  </c:pt>
                  <c:pt idx="7">
                    <c:v>Q3</c:v>
                  </c:pt>
                  <c:pt idx="10">
                    <c:v>Q4</c:v>
                  </c:pt>
                  <c:pt idx="13">
                    <c:v>Q1</c:v>
                  </c:pt>
                  <c:pt idx="16">
                    <c:v>Q2</c:v>
                  </c:pt>
                </c:lvl>
                <c:lvl>
                  <c:pt idx="0">
                    <c:v>2019</c:v>
                  </c:pt>
                  <c:pt idx="1">
                    <c:v>2020</c:v>
                  </c:pt>
                  <c:pt idx="13">
                    <c:v>2021</c:v>
                  </c:pt>
                </c:lvl>
              </c:multiLvlStrCache>
            </c:multiLvlStrRef>
          </c:cat>
          <c:val>
            <c:numRef>
              <c:f>Sheet3!$D$5:$D$34</c:f>
              <c:numCache>
                <c:formatCode>General</c:formatCode>
                <c:ptCount val="19"/>
                <c:pt idx="0">
                  <c:v>1104</c:v>
                </c:pt>
                <c:pt idx="1">
                  <c:v>1207</c:v>
                </c:pt>
                <c:pt idx="2">
                  <c:v>1809</c:v>
                </c:pt>
                <c:pt idx="3">
                  <c:v>1089</c:v>
                </c:pt>
                <c:pt idx="4">
                  <c:v>713</c:v>
                </c:pt>
                <c:pt idx="5">
                  <c:v>981</c:v>
                </c:pt>
                <c:pt idx="6">
                  <c:v>876</c:v>
                </c:pt>
                <c:pt idx="7">
                  <c:v>747</c:v>
                </c:pt>
                <c:pt idx="8">
                  <c:v>752</c:v>
                </c:pt>
                <c:pt idx="9">
                  <c:v>703</c:v>
                </c:pt>
                <c:pt idx="10">
                  <c:v>724</c:v>
                </c:pt>
                <c:pt idx="11">
                  <c:v>691</c:v>
                </c:pt>
                <c:pt idx="12">
                  <c:v>769</c:v>
                </c:pt>
                <c:pt idx="13">
                  <c:v>810</c:v>
                </c:pt>
                <c:pt idx="14">
                  <c:v>938</c:v>
                </c:pt>
                <c:pt idx="15">
                  <c:v>863</c:v>
                </c:pt>
                <c:pt idx="16">
                  <c:v>785</c:v>
                </c:pt>
                <c:pt idx="17">
                  <c:v>695</c:v>
                </c:pt>
                <c:pt idx="18">
                  <c:v>557</c:v>
                </c:pt>
              </c:numCache>
            </c:numRef>
          </c:val>
          <c:smooth val="0"/>
          <c:extLst>
            <c:ext xmlns:c16="http://schemas.microsoft.com/office/drawing/2014/chart" uri="{C3380CC4-5D6E-409C-BE32-E72D297353CC}">
              <c16:uniqueId val="{00000000-79CE-431A-920E-1F67F8BFB7CD}"/>
            </c:ext>
          </c:extLst>
        </c:ser>
        <c:ser>
          <c:idx val="1"/>
          <c:order val="1"/>
          <c:tx>
            <c:strRef>
              <c:f>Sheet3!$E$3:$E$4</c:f>
              <c:strCache>
                <c:ptCount val="1"/>
                <c:pt idx="0">
                  <c:v>Regional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Sheet3!$A$5:$C$34</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Q4</c:v>
                  </c:pt>
                  <c:pt idx="1">
                    <c:v>Q1</c:v>
                  </c:pt>
                  <c:pt idx="4">
                    <c:v>Q2</c:v>
                  </c:pt>
                  <c:pt idx="7">
                    <c:v>Q3</c:v>
                  </c:pt>
                  <c:pt idx="10">
                    <c:v>Q4</c:v>
                  </c:pt>
                  <c:pt idx="13">
                    <c:v>Q1</c:v>
                  </c:pt>
                  <c:pt idx="16">
                    <c:v>Q2</c:v>
                  </c:pt>
                </c:lvl>
                <c:lvl>
                  <c:pt idx="0">
                    <c:v>2019</c:v>
                  </c:pt>
                  <c:pt idx="1">
                    <c:v>2020</c:v>
                  </c:pt>
                  <c:pt idx="13">
                    <c:v>2021</c:v>
                  </c:pt>
                </c:lvl>
              </c:multiLvlStrCache>
            </c:multiLvlStrRef>
          </c:cat>
          <c:val>
            <c:numRef>
              <c:f>Sheet3!$E$5:$E$34</c:f>
              <c:numCache>
                <c:formatCode>General</c:formatCode>
                <c:ptCount val="19"/>
                <c:pt idx="0">
                  <c:v>34</c:v>
                </c:pt>
                <c:pt idx="1">
                  <c:v>124</c:v>
                </c:pt>
                <c:pt idx="2">
                  <c:v>145</c:v>
                </c:pt>
                <c:pt idx="3">
                  <c:v>113</c:v>
                </c:pt>
                <c:pt idx="4">
                  <c:v>230</c:v>
                </c:pt>
                <c:pt idx="5">
                  <c:v>132</c:v>
                </c:pt>
                <c:pt idx="6">
                  <c:v>106</c:v>
                </c:pt>
                <c:pt idx="7">
                  <c:v>118</c:v>
                </c:pt>
                <c:pt idx="8">
                  <c:v>132</c:v>
                </c:pt>
                <c:pt idx="9">
                  <c:v>166</c:v>
                </c:pt>
                <c:pt idx="10">
                  <c:v>143</c:v>
                </c:pt>
                <c:pt idx="11">
                  <c:v>144</c:v>
                </c:pt>
                <c:pt idx="12">
                  <c:v>163</c:v>
                </c:pt>
                <c:pt idx="13">
                  <c:v>204</c:v>
                </c:pt>
                <c:pt idx="14">
                  <c:v>176</c:v>
                </c:pt>
                <c:pt idx="15">
                  <c:v>191</c:v>
                </c:pt>
                <c:pt idx="16">
                  <c:v>191</c:v>
                </c:pt>
                <c:pt idx="17">
                  <c:v>215</c:v>
                </c:pt>
                <c:pt idx="18">
                  <c:v>237</c:v>
                </c:pt>
              </c:numCache>
            </c:numRef>
          </c:val>
          <c:smooth val="0"/>
          <c:extLst>
            <c:ext xmlns:c16="http://schemas.microsoft.com/office/drawing/2014/chart" uri="{C3380CC4-5D6E-409C-BE32-E72D297353CC}">
              <c16:uniqueId val="{00000001-79CE-431A-920E-1F67F8BFB7CD}"/>
            </c:ext>
          </c:extLst>
        </c:ser>
        <c:ser>
          <c:idx val="2"/>
          <c:order val="2"/>
          <c:tx>
            <c:strRef>
              <c:f>Sheet3!$F$3:$F$4</c:f>
              <c:strCache>
                <c:ptCount val="1"/>
                <c:pt idx="0">
                  <c:v>Remote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Sheet3!$A$5:$C$34</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Q4</c:v>
                  </c:pt>
                  <c:pt idx="1">
                    <c:v>Q1</c:v>
                  </c:pt>
                  <c:pt idx="4">
                    <c:v>Q2</c:v>
                  </c:pt>
                  <c:pt idx="7">
                    <c:v>Q3</c:v>
                  </c:pt>
                  <c:pt idx="10">
                    <c:v>Q4</c:v>
                  </c:pt>
                  <c:pt idx="13">
                    <c:v>Q1</c:v>
                  </c:pt>
                  <c:pt idx="16">
                    <c:v>Q2</c:v>
                  </c:pt>
                </c:lvl>
                <c:lvl>
                  <c:pt idx="0">
                    <c:v>2019</c:v>
                  </c:pt>
                  <c:pt idx="1">
                    <c:v>2020</c:v>
                  </c:pt>
                  <c:pt idx="13">
                    <c:v>2021</c:v>
                  </c:pt>
                </c:lvl>
              </c:multiLvlStrCache>
            </c:multiLvlStrRef>
          </c:cat>
          <c:val>
            <c:numRef>
              <c:f>Sheet3!$F$5:$F$34</c:f>
              <c:numCache>
                <c:formatCode>General</c:formatCode>
                <c:ptCount val="19"/>
                <c:pt idx="0">
                  <c:v>9</c:v>
                </c:pt>
                <c:pt idx="1">
                  <c:v>1</c:v>
                </c:pt>
                <c:pt idx="2">
                  <c:v>3</c:v>
                </c:pt>
                <c:pt idx="3">
                  <c:v>4</c:v>
                </c:pt>
                <c:pt idx="4">
                  <c:v>15</c:v>
                </c:pt>
                <c:pt idx="5">
                  <c:v>3</c:v>
                </c:pt>
                <c:pt idx="6">
                  <c:v>2</c:v>
                </c:pt>
                <c:pt idx="7">
                  <c:v>4</c:v>
                </c:pt>
                <c:pt idx="8">
                  <c:v>3</c:v>
                </c:pt>
                <c:pt idx="9">
                  <c:v>5</c:v>
                </c:pt>
                <c:pt idx="10">
                  <c:v>11</c:v>
                </c:pt>
                <c:pt idx="11">
                  <c:v>19</c:v>
                </c:pt>
                <c:pt idx="12">
                  <c:v>36</c:v>
                </c:pt>
                <c:pt idx="13">
                  <c:v>9</c:v>
                </c:pt>
                <c:pt idx="14">
                  <c:v>6</c:v>
                </c:pt>
                <c:pt idx="15">
                  <c:v>6</c:v>
                </c:pt>
                <c:pt idx="16">
                  <c:v>6</c:v>
                </c:pt>
                <c:pt idx="17">
                  <c:v>7</c:v>
                </c:pt>
                <c:pt idx="18">
                  <c:v>76</c:v>
                </c:pt>
              </c:numCache>
            </c:numRef>
          </c:val>
          <c:smooth val="0"/>
          <c:extLst>
            <c:ext xmlns:c16="http://schemas.microsoft.com/office/drawing/2014/chart" uri="{C3380CC4-5D6E-409C-BE32-E72D297353CC}">
              <c16:uniqueId val="{00000002-79CE-431A-920E-1F67F8BFB7CD}"/>
            </c:ext>
          </c:extLst>
        </c:ser>
        <c:dLbls>
          <c:showLegendKey val="0"/>
          <c:showVal val="0"/>
          <c:showCatName val="0"/>
          <c:showSerName val="0"/>
          <c:showPercent val="0"/>
          <c:showBubbleSize val="0"/>
        </c:dLbls>
        <c:marker val="1"/>
        <c:smooth val="0"/>
        <c:axId val="319484159"/>
        <c:axId val="91652831"/>
      </c:lineChart>
      <c:catAx>
        <c:axId val="319484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1652831"/>
        <c:crosses val="autoZero"/>
        <c:auto val="1"/>
        <c:lblAlgn val="ctr"/>
        <c:lblOffset val="100"/>
        <c:noMultiLvlLbl val="0"/>
      </c:catAx>
      <c:valAx>
        <c:axId val="91652831"/>
        <c:scaling>
          <c:orientation val="minMax"/>
          <c:max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New</a:t>
                </a:r>
                <a:r>
                  <a:rPr lang="en-AU" baseline="0"/>
                  <a:t> THN supplies</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9484159"/>
        <c:crosses val="autoZero"/>
        <c:crossBetween val="between"/>
        <c:majorUnit val="25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Word]Sheet3!PivotTable7</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Sheet3!$R$7:$R$8</c:f>
              <c:strCache>
                <c:ptCount val="1"/>
                <c:pt idx="0">
                  <c:v>Major City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Sheet3!$O$9:$Q$28</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Q4</c:v>
                  </c:pt>
                  <c:pt idx="1">
                    <c:v>Q1</c:v>
                  </c:pt>
                  <c:pt idx="4">
                    <c:v>Q2</c:v>
                  </c:pt>
                  <c:pt idx="7">
                    <c:v>Q3</c:v>
                  </c:pt>
                  <c:pt idx="10">
                    <c:v>Q4</c:v>
                  </c:pt>
                  <c:pt idx="13">
                    <c:v>Q1</c:v>
                  </c:pt>
                  <c:pt idx="16">
                    <c:v>Q2</c:v>
                  </c:pt>
                </c:lvl>
                <c:lvl>
                  <c:pt idx="0">
                    <c:v>2019</c:v>
                  </c:pt>
                  <c:pt idx="1">
                    <c:v>2020</c:v>
                  </c:pt>
                  <c:pt idx="13">
                    <c:v>2021</c:v>
                  </c:pt>
                </c:lvl>
              </c:multiLvlStrCache>
            </c:multiLvlStrRef>
          </c:cat>
          <c:val>
            <c:numRef>
              <c:f>Sheet3!$R$9:$R$28</c:f>
              <c:numCache>
                <c:formatCode>General</c:formatCode>
                <c:ptCount val="19"/>
                <c:pt idx="0">
                  <c:v>102</c:v>
                </c:pt>
                <c:pt idx="1">
                  <c:v>188</c:v>
                </c:pt>
                <c:pt idx="2">
                  <c:v>170</c:v>
                </c:pt>
                <c:pt idx="3">
                  <c:v>274</c:v>
                </c:pt>
                <c:pt idx="4">
                  <c:v>403</c:v>
                </c:pt>
                <c:pt idx="5">
                  <c:v>321</c:v>
                </c:pt>
                <c:pt idx="6">
                  <c:v>270</c:v>
                </c:pt>
                <c:pt idx="7">
                  <c:v>382</c:v>
                </c:pt>
                <c:pt idx="8">
                  <c:v>314</c:v>
                </c:pt>
                <c:pt idx="9">
                  <c:v>334</c:v>
                </c:pt>
                <c:pt idx="10">
                  <c:v>271</c:v>
                </c:pt>
                <c:pt idx="11">
                  <c:v>221</c:v>
                </c:pt>
                <c:pt idx="12">
                  <c:v>333</c:v>
                </c:pt>
                <c:pt idx="13">
                  <c:v>303</c:v>
                </c:pt>
                <c:pt idx="14">
                  <c:v>289</c:v>
                </c:pt>
                <c:pt idx="15">
                  <c:v>328</c:v>
                </c:pt>
                <c:pt idx="16">
                  <c:v>300</c:v>
                </c:pt>
                <c:pt idx="17">
                  <c:v>342</c:v>
                </c:pt>
                <c:pt idx="18">
                  <c:v>227</c:v>
                </c:pt>
              </c:numCache>
            </c:numRef>
          </c:val>
          <c:smooth val="0"/>
          <c:extLst>
            <c:ext xmlns:c16="http://schemas.microsoft.com/office/drawing/2014/chart" uri="{C3380CC4-5D6E-409C-BE32-E72D297353CC}">
              <c16:uniqueId val="{00000000-B29A-4292-8062-CDF2EE3355E7}"/>
            </c:ext>
          </c:extLst>
        </c:ser>
        <c:ser>
          <c:idx val="1"/>
          <c:order val="1"/>
          <c:tx>
            <c:strRef>
              <c:f>Sheet3!$S$7:$S$8</c:f>
              <c:strCache>
                <c:ptCount val="1"/>
                <c:pt idx="0">
                  <c:v>Regional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Sheet3!$O$9:$Q$28</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Q4</c:v>
                  </c:pt>
                  <c:pt idx="1">
                    <c:v>Q1</c:v>
                  </c:pt>
                  <c:pt idx="4">
                    <c:v>Q2</c:v>
                  </c:pt>
                  <c:pt idx="7">
                    <c:v>Q3</c:v>
                  </c:pt>
                  <c:pt idx="10">
                    <c:v>Q4</c:v>
                  </c:pt>
                  <c:pt idx="13">
                    <c:v>Q1</c:v>
                  </c:pt>
                  <c:pt idx="16">
                    <c:v>Q2</c:v>
                  </c:pt>
                </c:lvl>
                <c:lvl>
                  <c:pt idx="0">
                    <c:v>2019</c:v>
                  </c:pt>
                  <c:pt idx="1">
                    <c:v>2020</c:v>
                  </c:pt>
                  <c:pt idx="13">
                    <c:v>2021</c:v>
                  </c:pt>
                </c:lvl>
              </c:multiLvlStrCache>
            </c:multiLvlStrRef>
          </c:cat>
          <c:val>
            <c:numRef>
              <c:f>Sheet3!$S$9:$S$28</c:f>
              <c:numCache>
                <c:formatCode>General</c:formatCode>
                <c:ptCount val="19"/>
                <c:pt idx="0">
                  <c:v>0</c:v>
                </c:pt>
                <c:pt idx="1">
                  <c:v>7</c:v>
                </c:pt>
                <c:pt idx="2">
                  <c:v>5</c:v>
                </c:pt>
                <c:pt idx="3">
                  <c:v>48</c:v>
                </c:pt>
                <c:pt idx="4">
                  <c:v>62</c:v>
                </c:pt>
                <c:pt idx="5">
                  <c:v>40</c:v>
                </c:pt>
                <c:pt idx="6">
                  <c:v>39</c:v>
                </c:pt>
                <c:pt idx="7">
                  <c:v>50</c:v>
                </c:pt>
                <c:pt idx="8">
                  <c:v>55</c:v>
                </c:pt>
                <c:pt idx="9">
                  <c:v>63</c:v>
                </c:pt>
                <c:pt idx="10">
                  <c:v>69</c:v>
                </c:pt>
                <c:pt idx="11">
                  <c:v>66</c:v>
                </c:pt>
                <c:pt idx="12">
                  <c:v>74</c:v>
                </c:pt>
                <c:pt idx="13">
                  <c:v>72</c:v>
                </c:pt>
                <c:pt idx="14">
                  <c:v>67</c:v>
                </c:pt>
                <c:pt idx="15">
                  <c:v>56</c:v>
                </c:pt>
                <c:pt idx="16">
                  <c:v>55</c:v>
                </c:pt>
                <c:pt idx="17">
                  <c:v>65</c:v>
                </c:pt>
                <c:pt idx="18">
                  <c:v>66</c:v>
                </c:pt>
              </c:numCache>
            </c:numRef>
          </c:val>
          <c:smooth val="0"/>
          <c:extLst>
            <c:ext xmlns:c16="http://schemas.microsoft.com/office/drawing/2014/chart" uri="{C3380CC4-5D6E-409C-BE32-E72D297353CC}">
              <c16:uniqueId val="{00000001-B29A-4292-8062-CDF2EE3355E7}"/>
            </c:ext>
          </c:extLst>
        </c:ser>
        <c:ser>
          <c:idx val="2"/>
          <c:order val="2"/>
          <c:tx>
            <c:strRef>
              <c:f>Sheet3!$T$7:$T$8</c:f>
              <c:strCache>
                <c:ptCount val="1"/>
                <c:pt idx="0">
                  <c:v>Remote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Sheet3!$O$9:$Q$28</c:f>
              <c:multiLvlStrCache>
                <c:ptCount val="19"/>
                <c:lvl>
                  <c:pt idx="0">
                    <c:v>Dec</c:v>
                  </c:pt>
                  <c:pt idx="1">
                    <c:v>Jan</c:v>
                  </c:pt>
                  <c:pt idx="2">
                    <c:v>Feb</c:v>
                  </c:pt>
                  <c:pt idx="3">
                    <c:v>Mar</c:v>
                  </c:pt>
                  <c:pt idx="4">
                    <c:v>Apr</c:v>
                  </c:pt>
                  <c:pt idx="5">
                    <c:v>May</c:v>
                  </c:pt>
                  <c:pt idx="6">
                    <c:v>Jun</c:v>
                  </c:pt>
                  <c:pt idx="7">
                    <c:v>Jul</c:v>
                  </c:pt>
                  <c:pt idx="8">
                    <c:v>Aug</c:v>
                  </c:pt>
                  <c:pt idx="9">
                    <c:v>Sep</c:v>
                  </c:pt>
                  <c:pt idx="10">
                    <c:v>Oct</c:v>
                  </c:pt>
                  <c:pt idx="11">
                    <c:v>Nov</c:v>
                  </c:pt>
                  <c:pt idx="12">
                    <c:v>Dec</c:v>
                  </c:pt>
                  <c:pt idx="13">
                    <c:v>Jan</c:v>
                  </c:pt>
                  <c:pt idx="14">
                    <c:v>Feb</c:v>
                  </c:pt>
                  <c:pt idx="15">
                    <c:v>Mar</c:v>
                  </c:pt>
                  <c:pt idx="16">
                    <c:v>Apr</c:v>
                  </c:pt>
                  <c:pt idx="17">
                    <c:v>May</c:v>
                  </c:pt>
                  <c:pt idx="18">
                    <c:v>Jun</c:v>
                  </c:pt>
                </c:lvl>
                <c:lvl>
                  <c:pt idx="0">
                    <c:v>Q4</c:v>
                  </c:pt>
                  <c:pt idx="1">
                    <c:v>Q1</c:v>
                  </c:pt>
                  <c:pt idx="4">
                    <c:v>Q2</c:v>
                  </c:pt>
                  <c:pt idx="7">
                    <c:v>Q3</c:v>
                  </c:pt>
                  <c:pt idx="10">
                    <c:v>Q4</c:v>
                  </c:pt>
                  <c:pt idx="13">
                    <c:v>Q1</c:v>
                  </c:pt>
                  <c:pt idx="16">
                    <c:v>Q2</c:v>
                  </c:pt>
                </c:lvl>
                <c:lvl>
                  <c:pt idx="0">
                    <c:v>2019</c:v>
                  </c:pt>
                  <c:pt idx="1">
                    <c:v>2020</c:v>
                  </c:pt>
                  <c:pt idx="13">
                    <c:v>2021</c:v>
                  </c:pt>
                </c:lvl>
              </c:multiLvlStrCache>
            </c:multiLvlStrRef>
          </c:cat>
          <c:val>
            <c:numRef>
              <c:f>Sheet3!$T$9:$T$28</c:f>
              <c:numCache>
                <c:formatCode>General</c:formatCode>
                <c:ptCount val="19"/>
                <c:pt idx="0">
                  <c:v>0</c:v>
                </c:pt>
                <c:pt idx="1">
                  <c:v>0</c:v>
                </c:pt>
                <c:pt idx="2">
                  <c:v>0</c:v>
                </c:pt>
                <c:pt idx="3">
                  <c:v>3</c:v>
                </c:pt>
                <c:pt idx="4">
                  <c:v>2</c:v>
                </c:pt>
                <c:pt idx="5">
                  <c:v>0</c:v>
                </c:pt>
                <c:pt idx="6">
                  <c:v>0</c:v>
                </c:pt>
                <c:pt idx="7">
                  <c:v>0</c:v>
                </c:pt>
                <c:pt idx="8">
                  <c:v>0</c:v>
                </c:pt>
                <c:pt idx="9">
                  <c:v>0</c:v>
                </c:pt>
                <c:pt idx="10">
                  <c:v>0</c:v>
                </c:pt>
                <c:pt idx="11">
                  <c:v>0</c:v>
                </c:pt>
                <c:pt idx="12">
                  <c:v>1</c:v>
                </c:pt>
                <c:pt idx="13">
                  <c:v>0</c:v>
                </c:pt>
                <c:pt idx="14">
                  <c:v>0</c:v>
                </c:pt>
                <c:pt idx="15">
                  <c:v>2</c:v>
                </c:pt>
                <c:pt idx="16">
                  <c:v>0</c:v>
                </c:pt>
                <c:pt idx="17">
                  <c:v>1</c:v>
                </c:pt>
                <c:pt idx="18">
                  <c:v>0</c:v>
                </c:pt>
              </c:numCache>
            </c:numRef>
          </c:val>
          <c:smooth val="0"/>
          <c:extLst>
            <c:ext xmlns:c16="http://schemas.microsoft.com/office/drawing/2014/chart" uri="{C3380CC4-5D6E-409C-BE32-E72D297353CC}">
              <c16:uniqueId val="{00000002-B29A-4292-8062-CDF2EE3355E7}"/>
            </c:ext>
          </c:extLst>
        </c:ser>
        <c:dLbls>
          <c:showLegendKey val="0"/>
          <c:showVal val="0"/>
          <c:showCatName val="0"/>
          <c:showSerName val="0"/>
          <c:showPercent val="0"/>
          <c:showBubbleSize val="0"/>
        </c:dLbls>
        <c:marker val="1"/>
        <c:smooth val="0"/>
        <c:axId val="251690831"/>
        <c:axId val="251691247"/>
      </c:lineChart>
      <c:catAx>
        <c:axId val="251690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691247"/>
        <c:crosses val="autoZero"/>
        <c:auto val="1"/>
        <c:lblAlgn val="ctr"/>
        <c:lblOffset val="100"/>
        <c:noMultiLvlLbl val="0"/>
      </c:catAx>
      <c:valAx>
        <c:axId val="2516912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New THN supplies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1690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3"/>
          <c:order val="0"/>
          <c:tx>
            <c:strRef>
              <c:f>Location!$O$21</c:f>
              <c:strCache>
                <c:ptCount val="1"/>
                <c:pt idx="0">
                  <c:v>Dispensing Opioids</c:v>
                </c:pt>
              </c:strCache>
            </c:strRef>
          </c:tx>
          <c:spPr>
            <a:solidFill>
              <a:schemeClr val="accent1">
                <a:lumMod val="40000"/>
                <a:lumOff val="60000"/>
              </a:schemeClr>
            </a:solidFill>
            <a:ln>
              <a:noFill/>
            </a:ln>
            <a:effectLst/>
          </c:spPr>
          <c:invertIfNegative val="0"/>
          <c:dLbls>
            <c:dLbl>
              <c:idx val="0"/>
              <c:layout>
                <c:manualLayout>
                  <c:x val="-2.3222060957910014E-2"/>
                  <c:y val="-1.5831711180957504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6AF-44CE-9FDB-6D475ED3957C}"/>
                </c:ext>
              </c:extLst>
            </c:dLbl>
            <c:dLbl>
              <c:idx val="1"/>
              <c:layout>
                <c:manualLayout>
                  <c:x val="-2.5157232704402517E-2"/>
                  <c:y val="6.908462867012089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6AF-44CE-9FDB-6D475ED3957C}"/>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Location!$K$22:$K$25</c:f>
              <c:strCache>
                <c:ptCount val="4"/>
                <c:pt idx="0">
                  <c:v>ALL 3 Pilot States</c:v>
                </c:pt>
                <c:pt idx="1">
                  <c:v>New South Wales</c:v>
                </c:pt>
                <c:pt idx="2">
                  <c:v>South Australia</c:v>
                </c:pt>
                <c:pt idx="3">
                  <c:v>Western Australia</c:v>
                </c:pt>
              </c:strCache>
            </c:strRef>
          </c:cat>
          <c:val>
            <c:numRef>
              <c:f>Location!$O$22:$O$25</c:f>
              <c:numCache>
                <c:formatCode>General</c:formatCode>
                <c:ptCount val="4"/>
                <c:pt idx="0">
                  <c:v>3443</c:v>
                </c:pt>
                <c:pt idx="1">
                  <c:v>2166</c:v>
                </c:pt>
                <c:pt idx="2">
                  <c:v>538</c:v>
                </c:pt>
                <c:pt idx="3">
                  <c:v>739</c:v>
                </c:pt>
              </c:numCache>
            </c:numRef>
          </c:val>
          <c:extLst>
            <c:ext xmlns:c16="http://schemas.microsoft.com/office/drawing/2014/chart" uri="{C3380CC4-5D6E-409C-BE32-E72D297353CC}">
              <c16:uniqueId val="{00000000-56AF-44CE-9FDB-6D475ED3957C}"/>
            </c:ext>
          </c:extLst>
        </c:ser>
        <c:ser>
          <c:idx val="4"/>
          <c:order val="1"/>
          <c:tx>
            <c:strRef>
              <c:f>Location!$P$21</c:f>
              <c:strCache>
                <c:ptCount val="1"/>
                <c:pt idx="0">
                  <c:v>Dispensing &gt;50 MME/day Opioids</c:v>
                </c:pt>
              </c:strCache>
            </c:strRef>
          </c:tx>
          <c:spPr>
            <a:solidFill>
              <a:schemeClr val="accent5">
                <a:lumMod val="60000"/>
                <a:lumOff val="40000"/>
              </a:schemeClr>
            </a:solidFill>
            <a:ln>
              <a:noFill/>
            </a:ln>
            <a:effectLst/>
          </c:spPr>
          <c:invertIfNegative val="0"/>
          <c:dPt>
            <c:idx val="0"/>
            <c:invertIfNegative val="0"/>
            <c:bubble3D val="0"/>
            <c:spPr>
              <a:solidFill>
                <a:schemeClr val="accent5">
                  <a:lumMod val="60000"/>
                  <a:lumOff val="40000"/>
                </a:schemeClr>
              </a:solidFill>
              <a:ln>
                <a:noFill/>
              </a:ln>
              <a:effectLst/>
            </c:spPr>
            <c:extLst>
              <c:ext xmlns:c16="http://schemas.microsoft.com/office/drawing/2014/chart" uri="{C3380CC4-5D6E-409C-BE32-E72D297353CC}">
                <c16:uniqueId val="{00000008-56AF-44CE-9FDB-6D475ED3957C}"/>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Location!$K$22:$K$25</c:f>
              <c:strCache>
                <c:ptCount val="4"/>
                <c:pt idx="0">
                  <c:v>ALL 3 Pilot States</c:v>
                </c:pt>
                <c:pt idx="1">
                  <c:v>New South Wales</c:v>
                </c:pt>
                <c:pt idx="2">
                  <c:v>South Australia</c:v>
                </c:pt>
                <c:pt idx="3">
                  <c:v>Western Australia</c:v>
                </c:pt>
              </c:strCache>
            </c:strRef>
          </c:cat>
          <c:val>
            <c:numRef>
              <c:f>Location!$P$22:$P$25</c:f>
              <c:numCache>
                <c:formatCode>General</c:formatCode>
                <c:ptCount val="4"/>
                <c:pt idx="0">
                  <c:v>3414</c:v>
                </c:pt>
                <c:pt idx="1">
                  <c:v>2146</c:v>
                </c:pt>
                <c:pt idx="2">
                  <c:v>534</c:v>
                </c:pt>
                <c:pt idx="3">
                  <c:v>734</c:v>
                </c:pt>
              </c:numCache>
            </c:numRef>
          </c:val>
          <c:extLst>
            <c:ext xmlns:c16="http://schemas.microsoft.com/office/drawing/2014/chart" uri="{C3380CC4-5D6E-409C-BE32-E72D297353CC}">
              <c16:uniqueId val="{00000001-56AF-44CE-9FDB-6D475ED3957C}"/>
            </c:ext>
          </c:extLst>
        </c:ser>
        <c:ser>
          <c:idx val="0"/>
          <c:order val="2"/>
          <c:tx>
            <c:strRef>
              <c:f>Location!$L$21</c:f>
              <c:strCache>
                <c:ptCount val="1"/>
                <c:pt idx="0">
                  <c:v>Providing THN through Pilot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Location!$K$22:$K$25</c:f>
              <c:strCache>
                <c:ptCount val="4"/>
                <c:pt idx="0">
                  <c:v>ALL 3 Pilot States</c:v>
                </c:pt>
                <c:pt idx="1">
                  <c:v>New South Wales</c:v>
                </c:pt>
                <c:pt idx="2">
                  <c:v>South Australia</c:v>
                </c:pt>
                <c:pt idx="3">
                  <c:v>Western Australia</c:v>
                </c:pt>
              </c:strCache>
            </c:strRef>
          </c:cat>
          <c:val>
            <c:numRef>
              <c:f>Location!$L$22:$L$25</c:f>
              <c:numCache>
                <c:formatCode>General</c:formatCode>
                <c:ptCount val="4"/>
                <c:pt idx="0">
                  <c:v>605</c:v>
                </c:pt>
                <c:pt idx="1">
                  <c:v>354</c:v>
                </c:pt>
                <c:pt idx="2">
                  <c:v>121</c:v>
                </c:pt>
                <c:pt idx="3">
                  <c:v>130</c:v>
                </c:pt>
              </c:numCache>
            </c:numRef>
          </c:val>
          <c:extLst>
            <c:ext xmlns:c16="http://schemas.microsoft.com/office/drawing/2014/chart" uri="{C3380CC4-5D6E-409C-BE32-E72D297353CC}">
              <c16:uniqueId val="{00000002-56AF-44CE-9FDB-6D475ED3957C}"/>
            </c:ext>
          </c:extLst>
        </c:ser>
        <c:ser>
          <c:idx val="1"/>
          <c:order val="3"/>
          <c:tx>
            <c:strRef>
              <c:f>Location!$M$21</c:f>
              <c:strCache>
                <c:ptCount val="1"/>
                <c:pt idx="0">
                  <c:v>Dispensing Naloxone through PBS</c:v>
                </c:pt>
              </c:strCache>
            </c:strRef>
          </c:tx>
          <c:spPr>
            <a:solidFill>
              <a:schemeClr val="accent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Location!$K$22:$K$25</c:f>
              <c:strCache>
                <c:ptCount val="4"/>
                <c:pt idx="0">
                  <c:v>ALL 3 Pilot States</c:v>
                </c:pt>
                <c:pt idx="1">
                  <c:v>New South Wales</c:v>
                </c:pt>
                <c:pt idx="2">
                  <c:v>South Australia</c:v>
                </c:pt>
                <c:pt idx="3">
                  <c:v>Western Australia</c:v>
                </c:pt>
              </c:strCache>
            </c:strRef>
          </c:cat>
          <c:val>
            <c:numRef>
              <c:f>Location!$M$22:$M$25</c:f>
              <c:numCache>
                <c:formatCode>General</c:formatCode>
                <c:ptCount val="4"/>
                <c:pt idx="0">
                  <c:v>303</c:v>
                </c:pt>
                <c:pt idx="1">
                  <c:v>216</c:v>
                </c:pt>
                <c:pt idx="2">
                  <c:v>53</c:v>
                </c:pt>
                <c:pt idx="3">
                  <c:v>34</c:v>
                </c:pt>
              </c:numCache>
            </c:numRef>
          </c:val>
          <c:extLst>
            <c:ext xmlns:c16="http://schemas.microsoft.com/office/drawing/2014/chart" uri="{C3380CC4-5D6E-409C-BE32-E72D297353CC}">
              <c16:uniqueId val="{00000003-56AF-44CE-9FDB-6D475ED3957C}"/>
            </c:ext>
          </c:extLst>
        </c:ser>
        <c:dLbls>
          <c:dLblPos val="outEnd"/>
          <c:showLegendKey val="0"/>
          <c:showVal val="1"/>
          <c:showCatName val="0"/>
          <c:showSerName val="0"/>
          <c:showPercent val="0"/>
          <c:showBubbleSize val="0"/>
        </c:dLbls>
        <c:gapWidth val="219"/>
        <c:overlap val="-27"/>
        <c:axId val="1035604352"/>
        <c:axId val="1035602272"/>
        <c:extLst>
          <c:ext xmlns:c15="http://schemas.microsoft.com/office/drawing/2012/chart" uri="{02D57815-91ED-43cb-92C2-25804820EDAC}">
            <c15:filteredBarSeries>
              <c15:ser>
                <c:idx val="2"/>
                <c:order val="4"/>
                <c:tx>
                  <c:strRef>
                    <c:extLst>
                      <c:ext uri="{02D57815-91ED-43cb-92C2-25804820EDAC}">
                        <c15:formulaRef>
                          <c15:sqref>Location!$N$21</c15:sqref>
                        </c15:formulaRef>
                      </c:ext>
                    </c:extLst>
                    <c:strCache>
                      <c:ptCount val="1"/>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Location!$K$22:$K$25</c15:sqref>
                        </c15:formulaRef>
                      </c:ext>
                    </c:extLst>
                    <c:strCache>
                      <c:ptCount val="4"/>
                      <c:pt idx="0">
                        <c:v>ALL 3 Pilot States</c:v>
                      </c:pt>
                      <c:pt idx="1">
                        <c:v>New South Wales</c:v>
                      </c:pt>
                      <c:pt idx="2">
                        <c:v>South Australia</c:v>
                      </c:pt>
                      <c:pt idx="3">
                        <c:v>Western Australia</c:v>
                      </c:pt>
                    </c:strCache>
                  </c:strRef>
                </c:cat>
                <c:val>
                  <c:numRef>
                    <c:extLst>
                      <c:ext uri="{02D57815-91ED-43cb-92C2-25804820EDAC}">
                        <c15:formulaRef>
                          <c15:sqref>Location!$N$22:$N$25</c15:sqref>
                        </c15:formulaRef>
                      </c:ext>
                    </c:extLst>
                    <c:numCache>
                      <c:formatCode>General</c:formatCode>
                      <c:ptCount val="4"/>
                      <c:pt idx="1">
                        <c:v>2166</c:v>
                      </c:pt>
                      <c:pt idx="2">
                        <c:v>538</c:v>
                      </c:pt>
                      <c:pt idx="3">
                        <c:v>739</c:v>
                      </c:pt>
                    </c:numCache>
                  </c:numRef>
                </c:val>
                <c:extLst>
                  <c:ext xmlns:c16="http://schemas.microsoft.com/office/drawing/2014/chart" uri="{C3380CC4-5D6E-409C-BE32-E72D297353CC}">
                    <c16:uniqueId val="{00000004-56AF-44CE-9FDB-6D475ED3957C}"/>
                  </c:ext>
                </c:extLst>
              </c15:ser>
            </c15:filteredBarSeries>
          </c:ext>
        </c:extLst>
      </c:barChart>
      <c:catAx>
        <c:axId val="103560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5602272"/>
        <c:crosses val="autoZero"/>
        <c:auto val="1"/>
        <c:lblAlgn val="ctr"/>
        <c:lblOffset val="100"/>
        <c:noMultiLvlLbl val="0"/>
      </c:catAx>
      <c:valAx>
        <c:axId val="10356022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Number of</a:t>
                </a:r>
                <a:r>
                  <a:rPr lang="en-AU" baseline="0"/>
                  <a:t> </a:t>
                </a:r>
                <a:r>
                  <a:rPr lang="en-AU"/>
                  <a:t>Pharmacies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560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3202591140865"/>
          <c:y val="6.7196090409285272E-2"/>
          <c:w val="0.78539339727357871"/>
          <c:h val="0.65010317509944726"/>
        </c:manualLayout>
      </c:layout>
      <c:barChart>
        <c:barDir val="col"/>
        <c:grouping val="percentStacked"/>
        <c:varyColors val="0"/>
        <c:ser>
          <c:idx val="0"/>
          <c:order val="0"/>
          <c:tx>
            <c:strRef>
              <c:f>Sheet1!$B$34</c:f>
              <c:strCache>
                <c:ptCount val="1"/>
                <c:pt idx="0">
                  <c:v>Alcohol and Other Drug (AOD) Services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(Sheet1!$A$36,Sheet1!$A$38)</c:f>
              <c:strCache>
                <c:ptCount val="2"/>
                <c:pt idx="0">
                  <c:v>New South Wales</c:v>
                </c:pt>
                <c:pt idx="1">
                  <c:v>Western Australia</c:v>
                </c:pt>
              </c:strCache>
              <c:extLst/>
            </c:strRef>
          </c:cat>
          <c:val>
            <c:numRef>
              <c:f>(Sheet1!$B$36,Sheet1!$B$38)</c:f>
              <c:numCache>
                <c:formatCode>General</c:formatCode>
                <c:ptCount val="2"/>
                <c:pt idx="0">
                  <c:v>50</c:v>
                </c:pt>
                <c:pt idx="1">
                  <c:v>22</c:v>
                </c:pt>
              </c:numCache>
              <c:extLst/>
            </c:numRef>
          </c:val>
          <c:extLst>
            <c:ext xmlns:c16="http://schemas.microsoft.com/office/drawing/2014/chart" uri="{C3380CC4-5D6E-409C-BE32-E72D297353CC}">
              <c16:uniqueId val="{00000000-7D10-4DE7-BD7F-B27906D1586F}"/>
            </c:ext>
          </c:extLst>
        </c:ser>
        <c:ser>
          <c:idx val="1"/>
          <c:order val="1"/>
          <c:tx>
            <c:strRef>
              <c:f>Sheet1!$C$34</c:f>
              <c:strCache>
                <c:ptCount val="1"/>
                <c:pt idx="0">
                  <c:v>General Health Services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(Sheet1!$A$36,Sheet1!$A$38)</c:f>
              <c:strCache>
                <c:ptCount val="2"/>
                <c:pt idx="0">
                  <c:v>New South Wales</c:v>
                </c:pt>
                <c:pt idx="1">
                  <c:v>Western Australia</c:v>
                </c:pt>
              </c:strCache>
              <c:extLst/>
            </c:strRef>
          </c:cat>
          <c:val>
            <c:numRef>
              <c:f>(Sheet1!$C$36,Sheet1!$C$38)</c:f>
              <c:numCache>
                <c:formatCode>General</c:formatCode>
                <c:ptCount val="2"/>
                <c:pt idx="0">
                  <c:v>3</c:v>
                </c:pt>
                <c:pt idx="1">
                  <c:v>8</c:v>
                </c:pt>
              </c:numCache>
              <c:extLst/>
            </c:numRef>
          </c:val>
          <c:extLst>
            <c:ext xmlns:c16="http://schemas.microsoft.com/office/drawing/2014/chart" uri="{C3380CC4-5D6E-409C-BE32-E72D297353CC}">
              <c16:uniqueId val="{00000001-7D10-4DE7-BD7F-B27906D1586F}"/>
            </c:ext>
          </c:extLst>
        </c:ser>
        <c:ser>
          <c:idx val="2"/>
          <c:order val="2"/>
          <c:tx>
            <c:strRef>
              <c:f>Sheet1!$D$34</c:f>
              <c:strCache>
                <c:ptCount val="1"/>
                <c:pt idx="0">
                  <c:v>Justice Health/ Corrections</c:v>
                </c:pt>
              </c:strCache>
            </c:strRef>
          </c:tx>
          <c:spPr>
            <a:solidFill>
              <a:schemeClr val="accent3"/>
            </a:solidFill>
            <a:ln>
              <a:noFill/>
            </a:ln>
            <a:effectLst/>
          </c:spPr>
          <c:invertIfNegative val="0"/>
          <c:dLbls>
            <c:dLbl>
              <c:idx val="1"/>
              <c:layout>
                <c:manualLayout>
                  <c:x val="3.6281179138321996E-2"/>
                  <c:y val="-5.249343832020997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783-48A8-B2D6-F2770AA2853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(Sheet1!$A$36,Sheet1!$A$38)</c:f>
              <c:strCache>
                <c:ptCount val="2"/>
                <c:pt idx="0">
                  <c:v>New South Wales</c:v>
                </c:pt>
                <c:pt idx="1">
                  <c:v>Western Australia</c:v>
                </c:pt>
              </c:strCache>
              <c:extLst/>
            </c:strRef>
          </c:cat>
          <c:val>
            <c:numRef>
              <c:f>(Sheet1!$D$36,Sheet1!$D$38)</c:f>
              <c:numCache>
                <c:formatCode>General</c:formatCode>
                <c:ptCount val="2"/>
                <c:pt idx="0">
                  <c:v>27</c:v>
                </c:pt>
                <c:pt idx="1">
                  <c:v>1</c:v>
                </c:pt>
              </c:numCache>
              <c:extLst/>
            </c:numRef>
          </c:val>
          <c:extLst>
            <c:ext xmlns:c16="http://schemas.microsoft.com/office/drawing/2014/chart" uri="{C3380CC4-5D6E-409C-BE32-E72D297353CC}">
              <c16:uniqueId val="{00000002-7D10-4DE7-BD7F-B27906D1586F}"/>
            </c:ext>
          </c:extLst>
        </c:ser>
        <c:ser>
          <c:idx val="3"/>
          <c:order val="3"/>
          <c:tx>
            <c:strRef>
              <c:f>Sheet1!$E$34</c:f>
              <c:strCache>
                <c:ptCount val="1"/>
                <c:pt idx="0">
                  <c:v>Needle and Syringe Programs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(Sheet1!$A$36,Sheet1!$A$38)</c:f>
              <c:strCache>
                <c:ptCount val="2"/>
                <c:pt idx="0">
                  <c:v>New South Wales</c:v>
                </c:pt>
                <c:pt idx="1">
                  <c:v>Western Australia</c:v>
                </c:pt>
              </c:strCache>
              <c:extLst/>
            </c:strRef>
          </c:cat>
          <c:val>
            <c:numRef>
              <c:f>(Sheet1!$E$36,Sheet1!$E$38)</c:f>
              <c:numCache>
                <c:formatCode>General</c:formatCode>
                <c:ptCount val="2"/>
                <c:pt idx="0">
                  <c:v>9</c:v>
                </c:pt>
                <c:pt idx="1">
                  <c:v>120</c:v>
                </c:pt>
              </c:numCache>
              <c:extLst/>
            </c:numRef>
          </c:val>
          <c:extLst>
            <c:ext xmlns:c16="http://schemas.microsoft.com/office/drawing/2014/chart" uri="{C3380CC4-5D6E-409C-BE32-E72D297353CC}">
              <c16:uniqueId val="{00000003-7D10-4DE7-BD7F-B27906D1586F}"/>
            </c:ext>
          </c:extLst>
        </c:ser>
        <c:dLbls>
          <c:dLblPos val="ctr"/>
          <c:showLegendKey val="0"/>
          <c:showVal val="1"/>
          <c:showCatName val="0"/>
          <c:showSerName val="0"/>
          <c:showPercent val="0"/>
          <c:showBubbleSize val="0"/>
        </c:dLbls>
        <c:gapWidth val="150"/>
        <c:overlap val="100"/>
        <c:axId val="338032384"/>
        <c:axId val="338058592"/>
      </c:barChart>
      <c:catAx>
        <c:axId val="338032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8058592"/>
        <c:crosses val="autoZero"/>
        <c:auto val="1"/>
        <c:lblAlgn val="ctr"/>
        <c:lblOffset val="100"/>
        <c:noMultiLvlLbl val="0"/>
      </c:catAx>
      <c:valAx>
        <c:axId val="338058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r>
                  <a:rPr lang="en-AU" sz="700"/>
                  <a:t>Proportion</a:t>
                </a:r>
                <a:r>
                  <a:rPr lang="en-AU" sz="700" baseline="0"/>
                  <a:t> of Active  AAS</a:t>
                </a:r>
                <a:endParaRPr lang="en-AU" sz="700"/>
              </a:p>
            </c:rich>
          </c:tx>
          <c:layout>
            <c:manualLayout>
              <c:xMode val="edge"/>
              <c:yMode val="edge"/>
              <c:x val="5.4525803322203775E-2"/>
              <c:y val="0.16855477710955422"/>
            </c:manualLayout>
          </c:layout>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8032384"/>
        <c:crosses val="autoZero"/>
        <c:crossBetween val="between"/>
      </c:valAx>
      <c:spPr>
        <a:noFill/>
        <a:ln>
          <a:noFill/>
        </a:ln>
        <a:effectLst/>
      </c:spPr>
    </c:plotArea>
    <c:legend>
      <c:legendPos val="b"/>
      <c:layout>
        <c:manualLayout>
          <c:xMode val="edge"/>
          <c:yMode val="edge"/>
          <c:x val="3.7312905407749147E-2"/>
          <c:y val="0.83367452464898817"/>
          <c:w val="0.94464710014221787"/>
          <c:h val="0.1388229564087994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183266565363539"/>
          <c:y val="6.7588325652841785E-2"/>
          <c:w val="0.63574987337109179"/>
          <c:h val="0.66797682547746051"/>
        </c:manualLayout>
      </c:layout>
      <c:pieChart>
        <c:varyColors val="1"/>
        <c:ser>
          <c:idx val="0"/>
          <c:order val="0"/>
          <c:dPt>
            <c:idx val="0"/>
            <c:bubble3D val="0"/>
            <c:explosion val="1"/>
            <c:spPr>
              <a:solidFill>
                <a:schemeClr val="accent1"/>
              </a:solidFill>
              <a:ln w="19050">
                <a:solidFill>
                  <a:schemeClr val="lt1"/>
                </a:solidFill>
              </a:ln>
              <a:effectLst/>
            </c:spPr>
            <c:extLst>
              <c:ext xmlns:c16="http://schemas.microsoft.com/office/drawing/2014/chart" uri="{C3380CC4-5D6E-409C-BE32-E72D297353CC}">
                <c16:uniqueId val="{00000001-0D0B-4AF8-A843-0EF137B9DEC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D0B-4AF8-A843-0EF137B9DEC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D0B-4AF8-A843-0EF137B9DEC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'Demographics-Infog (Overall)'!$E$3:$G$3</c:f>
              <c:strCache>
                <c:ptCount val="3"/>
                <c:pt idx="0">
                  <c:v>Prescription opioids</c:v>
                </c:pt>
                <c:pt idx="1">
                  <c:v>"Other" (proxy for illicit opioids)</c:v>
                </c:pt>
                <c:pt idx="2">
                  <c:v>No opioids (witness only)</c:v>
                </c:pt>
              </c:strCache>
              <c:extLst/>
            </c:strRef>
          </c:cat>
          <c:val>
            <c:numRef>
              <c:f>'Demographics-Infog (Overall)'!$E$4:$G$4</c:f>
              <c:numCache>
                <c:formatCode>_-* #,##0_-;\-* #,##0_-;_-* "-"??_-;_-@_-</c:formatCode>
                <c:ptCount val="3"/>
                <c:pt idx="0">
                  <c:v>7212</c:v>
                </c:pt>
                <c:pt idx="1">
                  <c:v>3223</c:v>
                </c:pt>
                <c:pt idx="2">
                  <c:v>2900</c:v>
                </c:pt>
              </c:numCache>
            </c:numRef>
          </c:val>
          <c:extLst>
            <c:ext xmlns:c16="http://schemas.microsoft.com/office/drawing/2014/chart" uri="{C3380CC4-5D6E-409C-BE32-E72D297353CC}">
              <c16:uniqueId val="{00000006-0D0B-4AF8-A843-0EF137B9DEC5}"/>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6.01881014873141E-2"/>
          <c:y val="0.75051146867511132"/>
          <c:w val="0.86295669291338584"/>
          <c:h val="0.2494885313248887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80127452003513"/>
          <c:y val="4.1446872645064053E-2"/>
          <c:w val="0.83482206878907128"/>
          <c:h val="0.65068593535830632"/>
        </c:manualLayout>
      </c:layout>
      <c:barChart>
        <c:barDir val="col"/>
        <c:grouping val="clustered"/>
        <c:varyColors val="0"/>
        <c:ser>
          <c:idx val="1"/>
          <c:order val="1"/>
          <c:tx>
            <c:strRef>
              <c:f>'MME per day'!$D$3</c:f>
              <c:strCache>
                <c:ptCount val="1"/>
                <c:pt idx="0">
                  <c:v>People receivinging 51-100 MME/day of prescription opioids*</c:v>
                </c:pt>
              </c:strCache>
            </c:strRef>
          </c:tx>
          <c:spPr>
            <a:solidFill>
              <a:schemeClr val="accent1"/>
            </a:solidFill>
            <a:ln>
              <a:noFill/>
            </a:ln>
            <a:effectLst/>
          </c:spPr>
          <c:invertIfNegative val="0"/>
          <c:cat>
            <c:numRef>
              <c:f>'MME per day'!$B$4:$B$10</c:f>
              <c:numCache>
                <c:formatCode>General</c:formatCode>
                <c:ptCount val="6"/>
                <c:pt idx="0">
                  <c:v>2015</c:v>
                </c:pt>
                <c:pt idx="1">
                  <c:v>2016</c:v>
                </c:pt>
                <c:pt idx="2">
                  <c:v>2017</c:v>
                </c:pt>
                <c:pt idx="3">
                  <c:v>2018</c:v>
                </c:pt>
                <c:pt idx="4">
                  <c:v>2019</c:v>
                </c:pt>
                <c:pt idx="5">
                  <c:v>2020</c:v>
                </c:pt>
              </c:numCache>
            </c:numRef>
          </c:cat>
          <c:val>
            <c:numRef>
              <c:f>'MME per day'!$D$4:$D$10</c:f>
              <c:numCache>
                <c:formatCode>#,##0</c:formatCode>
                <c:ptCount val="6"/>
                <c:pt idx="0">
                  <c:v>241124</c:v>
                </c:pt>
                <c:pt idx="1">
                  <c:v>251028</c:v>
                </c:pt>
                <c:pt idx="2">
                  <c:v>262084</c:v>
                </c:pt>
                <c:pt idx="3">
                  <c:v>258632</c:v>
                </c:pt>
                <c:pt idx="4">
                  <c:v>251506</c:v>
                </c:pt>
                <c:pt idx="5">
                  <c:v>217305</c:v>
                </c:pt>
              </c:numCache>
            </c:numRef>
          </c:val>
          <c:extLst>
            <c:ext xmlns:c16="http://schemas.microsoft.com/office/drawing/2014/chart" uri="{C3380CC4-5D6E-409C-BE32-E72D297353CC}">
              <c16:uniqueId val="{00000000-BC67-4C74-8E23-A0C9BF3A3F80}"/>
            </c:ext>
          </c:extLst>
        </c:ser>
        <c:ser>
          <c:idx val="2"/>
          <c:order val="2"/>
          <c:tx>
            <c:strRef>
              <c:f>'MME per day'!$E$3</c:f>
              <c:strCache>
                <c:ptCount val="1"/>
                <c:pt idx="0">
                  <c:v>Peoplereceiving &gt;100 MME/day of prescription opioids*</c:v>
                </c:pt>
              </c:strCache>
            </c:strRef>
          </c:tx>
          <c:spPr>
            <a:solidFill>
              <a:schemeClr val="accent5"/>
            </a:solidFill>
            <a:ln>
              <a:noFill/>
            </a:ln>
            <a:effectLst/>
          </c:spPr>
          <c:invertIfNegative val="0"/>
          <c:cat>
            <c:numRef>
              <c:f>'MME per day'!$B$4:$B$10</c:f>
              <c:numCache>
                <c:formatCode>General</c:formatCode>
                <c:ptCount val="6"/>
                <c:pt idx="0">
                  <c:v>2015</c:v>
                </c:pt>
                <c:pt idx="1">
                  <c:v>2016</c:v>
                </c:pt>
                <c:pt idx="2">
                  <c:v>2017</c:v>
                </c:pt>
                <c:pt idx="3">
                  <c:v>2018</c:v>
                </c:pt>
                <c:pt idx="4">
                  <c:v>2019</c:v>
                </c:pt>
                <c:pt idx="5">
                  <c:v>2020</c:v>
                </c:pt>
              </c:numCache>
            </c:numRef>
          </c:cat>
          <c:val>
            <c:numRef>
              <c:f>'MME per day'!$E$4:$E$10</c:f>
              <c:numCache>
                <c:formatCode>#,##0</c:formatCode>
                <c:ptCount val="6"/>
                <c:pt idx="0">
                  <c:v>267334</c:v>
                </c:pt>
                <c:pt idx="1">
                  <c:v>276997</c:v>
                </c:pt>
                <c:pt idx="2">
                  <c:v>285194</c:v>
                </c:pt>
                <c:pt idx="3">
                  <c:v>279646</c:v>
                </c:pt>
                <c:pt idx="4">
                  <c:v>269235</c:v>
                </c:pt>
                <c:pt idx="5">
                  <c:v>249695</c:v>
                </c:pt>
              </c:numCache>
            </c:numRef>
          </c:val>
          <c:extLst>
            <c:ext xmlns:c16="http://schemas.microsoft.com/office/drawing/2014/chart" uri="{C3380CC4-5D6E-409C-BE32-E72D297353CC}">
              <c16:uniqueId val="{00000001-BC67-4C74-8E23-A0C9BF3A3F80}"/>
            </c:ext>
          </c:extLst>
        </c:ser>
        <c:ser>
          <c:idx val="3"/>
          <c:order val="3"/>
          <c:tx>
            <c:strRef>
              <c:f>'MME per day'!$F$3</c:f>
              <c:strCache>
                <c:ptCount val="1"/>
              </c:strCache>
            </c:strRef>
          </c:tx>
          <c:spPr>
            <a:noFill/>
            <a:ln>
              <a:noFill/>
            </a:ln>
            <a:effectLst/>
          </c:spPr>
          <c:invertIfNegative val="0"/>
          <c:cat>
            <c:numRef>
              <c:f>'MME per day'!$B$4:$B$10</c:f>
              <c:numCache>
                <c:formatCode>General</c:formatCode>
                <c:ptCount val="6"/>
                <c:pt idx="0">
                  <c:v>2015</c:v>
                </c:pt>
                <c:pt idx="1">
                  <c:v>2016</c:v>
                </c:pt>
                <c:pt idx="2">
                  <c:v>2017</c:v>
                </c:pt>
                <c:pt idx="3">
                  <c:v>2018</c:v>
                </c:pt>
                <c:pt idx="4">
                  <c:v>2019</c:v>
                </c:pt>
                <c:pt idx="5">
                  <c:v>2020</c:v>
                </c:pt>
              </c:numCache>
            </c:numRef>
          </c:cat>
          <c:val>
            <c:numRef>
              <c:f>'MME per day'!$F$4:$F$10</c:f>
              <c:numCache>
                <c:formatCode>General</c:formatCode>
                <c:ptCount val="6"/>
              </c:numCache>
            </c:numRef>
          </c:val>
          <c:extLst>
            <c:ext xmlns:c16="http://schemas.microsoft.com/office/drawing/2014/chart" uri="{C3380CC4-5D6E-409C-BE32-E72D297353CC}">
              <c16:uniqueId val="{00000002-BC67-4C74-8E23-A0C9BF3A3F80}"/>
            </c:ext>
          </c:extLst>
        </c:ser>
        <c:ser>
          <c:idx val="4"/>
          <c:order val="4"/>
          <c:tx>
            <c:strRef>
              <c:f>'MME per day'!$G$3</c:f>
              <c:strCache>
                <c:ptCount val="1"/>
                <c:pt idx="0">
                  <c:v>People receiving Opioid Agonist Therapy+</c:v>
                </c:pt>
              </c:strCache>
            </c:strRef>
          </c:tx>
          <c:spPr>
            <a:solidFill>
              <a:schemeClr val="bg1">
                <a:lumMod val="75000"/>
              </a:schemeClr>
            </a:solidFill>
            <a:ln>
              <a:noFill/>
            </a:ln>
            <a:effectLst/>
          </c:spPr>
          <c:invertIfNegative val="0"/>
          <c:cat>
            <c:numRef>
              <c:f>'MME per day'!$B$4:$B$10</c:f>
              <c:numCache>
                <c:formatCode>General</c:formatCode>
                <c:ptCount val="6"/>
                <c:pt idx="0">
                  <c:v>2015</c:v>
                </c:pt>
                <c:pt idx="1">
                  <c:v>2016</c:v>
                </c:pt>
                <c:pt idx="2">
                  <c:v>2017</c:v>
                </c:pt>
                <c:pt idx="3">
                  <c:v>2018</c:v>
                </c:pt>
                <c:pt idx="4">
                  <c:v>2019</c:v>
                </c:pt>
                <c:pt idx="5">
                  <c:v>2020</c:v>
                </c:pt>
              </c:numCache>
            </c:numRef>
          </c:cat>
          <c:val>
            <c:numRef>
              <c:f>'MME per day'!$G$4:$G$10</c:f>
              <c:numCache>
                <c:formatCode>#,##0</c:formatCode>
                <c:ptCount val="6"/>
                <c:pt idx="0">
                  <c:v>48522</c:v>
                </c:pt>
                <c:pt idx="1">
                  <c:v>48900</c:v>
                </c:pt>
                <c:pt idx="2">
                  <c:v>49792</c:v>
                </c:pt>
                <c:pt idx="3">
                  <c:v>50597</c:v>
                </c:pt>
                <c:pt idx="4">
                  <c:v>50945</c:v>
                </c:pt>
                <c:pt idx="5">
                  <c:v>53316</c:v>
                </c:pt>
              </c:numCache>
            </c:numRef>
          </c:val>
          <c:extLst>
            <c:ext xmlns:c16="http://schemas.microsoft.com/office/drawing/2014/chart" uri="{C3380CC4-5D6E-409C-BE32-E72D297353CC}">
              <c16:uniqueId val="{00000003-BC67-4C74-8E23-A0C9BF3A3F80}"/>
            </c:ext>
          </c:extLst>
        </c:ser>
        <c:ser>
          <c:idx val="5"/>
          <c:order val="5"/>
          <c:tx>
            <c:strRef>
              <c:f>'MME per day'!$H$3</c:f>
              <c:strCache>
                <c:ptCount val="1"/>
                <c:pt idx="0">
                  <c:v>People who recently used heroin~</c:v>
                </c:pt>
              </c:strCache>
            </c:strRef>
          </c:tx>
          <c:spPr>
            <a:solidFill>
              <a:schemeClr val="accent4"/>
            </a:solidFill>
            <a:ln>
              <a:noFill/>
            </a:ln>
            <a:effectLst/>
          </c:spPr>
          <c:invertIfNegative val="0"/>
          <c:cat>
            <c:numRef>
              <c:f>'MME per day'!$B$4:$B$10</c:f>
              <c:numCache>
                <c:formatCode>General</c:formatCode>
                <c:ptCount val="6"/>
                <c:pt idx="0">
                  <c:v>2015</c:v>
                </c:pt>
                <c:pt idx="1">
                  <c:v>2016</c:v>
                </c:pt>
                <c:pt idx="2">
                  <c:v>2017</c:v>
                </c:pt>
                <c:pt idx="3">
                  <c:v>2018</c:v>
                </c:pt>
                <c:pt idx="4">
                  <c:v>2019</c:v>
                </c:pt>
                <c:pt idx="5">
                  <c:v>2020</c:v>
                </c:pt>
              </c:numCache>
            </c:numRef>
          </c:cat>
          <c:val>
            <c:numRef>
              <c:f>'MME per day'!$H$4:$H$10</c:f>
              <c:numCache>
                <c:formatCode>_-* #,##0_-;\-* #,##0_-;_-* "-"??_-;_-@_-</c:formatCode>
                <c:ptCount val="6"/>
                <c:pt idx="1">
                  <c:v>48381</c:v>
                </c:pt>
                <c:pt idx="4">
                  <c:v>25365</c:v>
                </c:pt>
              </c:numCache>
            </c:numRef>
          </c:val>
          <c:extLst>
            <c:ext xmlns:c16="http://schemas.microsoft.com/office/drawing/2014/chart" uri="{C3380CC4-5D6E-409C-BE32-E72D297353CC}">
              <c16:uniqueId val="{00000004-BC67-4C74-8E23-A0C9BF3A3F80}"/>
            </c:ext>
          </c:extLst>
        </c:ser>
        <c:dLbls>
          <c:showLegendKey val="0"/>
          <c:showVal val="0"/>
          <c:showCatName val="0"/>
          <c:showSerName val="0"/>
          <c:showPercent val="0"/>
          <c:showBubbleSize val="0"/>
        </c:dLbls>
        <c:gapWidth val="219"/>
        <c:overlap val="-27"/>
        <c:axId val="1047755392"/>
        <c:axId val="1047755808"/>
        <c:extLst>
          <c:ext xmlns:c15="http://schemas.microsoft.com/office/drawing/2012/chart" uri="{02D57815-91ED-43cb-92C2-25804820EDAC}">
            <c15:filteredBarSeries>
              <c15:ser>
                <c:idx val="0"/>
                <c:order val="0"/>
                <c:tx>
                  <c:strRef>
                    <c:extLst>
                      <c:ext uri="{02D57815-91ED-43cb-92C2-25804820EDAC}">
                        <c15:formulaRef>
                          <c15:sqref>'MME per day'!$C$3</c15:sqref>
                        </c15:formulaRef>
                      </c:ext>
                    </c:extLst>
                    <c:strCache>
                      <c:ptCount val="1"/>
                      <c:pt idx="0">
                        <c:v>&lt;=50 MME/day</c:v>
                      </c:pt>
                    </c:strCache>
                  </c:strRef>
                </c:tx>
                <c:spPr>
                  <a:solidFill>
                    <a:schemeClr val="accent1"/>
                  </a:solidFill>
                  <a:ln>
                    <a:noFill/>
                  </a:ln>
                  <a:effectLst/>
                </c:spPr>
                <c:invertIfNegative val="0"/>
                <c:cat>
                  <c:numRef>
                    <c:extLst>
                      <c:ext uri="{02D57815-91ED-43cb-92C2-25804820EDAC}">
                        <c15:formulaRef>
                          <c15:sqref>'MME per day'!$B$4:$B$10</c15:sqref>
                        </c15:formulaRef>
                      </c:ext>
                    </c:extLst>
                    <c:numCache>
                      <c:formatCode>General</c:formatCode>
                      <c:ptCount val="6"/>
                      <c:pt idx="0">
                        <c:v>2015</c:v>
                      </c:pt>
                      <c:pt idx="1">
                        <c:v>2016</c:v>
                      </c:pt>
                      <c:pt idx="2">
                        <c:v>2017</c:v>
                      </c:pt>
                      <c:pt idx="3">
                        <c:v>2018</c:v>
                      </c:pt>
                      <c:pt idx="4">
                        <c:v>2019</c:v>
                      </c:pt>
                      <c:pt idx="5">
                        <c:v>2020</c:v>
                      </c:pt>
                    </c:numCache>
                  </c:numRef>
                </c:cat>
                <c:val>
                  <c:numRef>
                    <c:extLst>
                      <c:ext uri="{02D57815-91ED-43cb-92C2-25804820EDAC}">
                        <c15:formulaRef>
                          <c15:sqref>'MME per day'!$C$4:$C$10</c15:sqref>
                        </c15:formulaRef>
                      </c:ext>
                    </c:extLst>
                    <c:numCache>
                      <c:formatCode>#,##0</c:formatCode>
                      <c:ptCount val="6"/>
                      <c:pt idx="0">
                        <c:v>2566606</c:v>
                      </c:pt>
                      <c:pt idx="1">
                        <c:v>2592679</c:v>
                      </c:pt>
                      <c:pt idx="2">
                        <c:v>2587024</c:v>
                      </c:pt>
                      <c:pt idx="3">
                        <c:v>2676482</c:v>
                      </c:pt>
                      <c:pt idx="4">
                        <c:v>2632260</c:v>
                      </c:pt>
                      <c:pt idx="5">
                        <c:v>2261386</c:v>
                      </c:pt>
                    </c:numCache>
                  </c:numRef>
                </c:val>
                <c:extLst>
                  <c:ext xmlns:c16="http://schemas.microsoft.com/office/drawing/2014/chart" uri="{C3380CC4-5D6E-409C-BE32-E72D297353CC}">
                    <c16:uniqueId val="{00000005-BC67-4C74-8E23-A0C9BF3A3F80}"/>
                  </c:ext>
                </c:extLst>
              </c15:ser>
            </c15:filteredBarSeries>
          </c:ext>
        </c:extLst>
      </c:barChart>
      <c:catAx>
        <c:axId val="104775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7755808"/>
        <c:crosses val="autoZero"/>
        <c:auto val="1"/>
        <c:lblAlgn val="ctr"/>
        <c:lblOffset val="100"/>
        <c:noMultiLvlLbl val="0"/>
      </c:catAx>
      <c:valAx>
        <c:axId val="1047755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Persons</a:t>
                </a:r>
                <a:r>
                  <a:rPr lang="en-AU" baseline="0"/>
                  <a:t> at risk</a:t>
                </a:r>
                <a:endParaRPr lang="en-A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7755392"/>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800" b="0" i="0" u="none" strike="noStrike" kern="1200" baseline="0">
                <a:noFill/>
                <a:latin typeface="+mn-lt"/>
                <a:ea typeface="+mn-ea"/>
                <a:cs typeface="+mn-cs"/>
              </a:defRPr>
            </a:pPr>
            <a:endParaRPr lang="en-US"/>
          </a:p>
        </c:txPr>
      </c:legendEntry>
      <c:layout>
        <c:manualLayout>
          <c:xMode val="edge"/>
          <c:yMode val="edge"/>
          <c:x val="0.111317508996711"/>
          <c:y val="0.78179423125990188"/>
          <c:w val="0.82439345840641232"/>
          <c:h val="0.1553370636507663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7F52C22CEAB742F5ADAAA0D04EE89CBC"/>
        <w:category>
          <w:name w:val="General"/>
          <w:gallery w:val="placeholder"/>
        </w:category>
        <w:types>
          <w:type w:val="bbPlcHdr"/>
        </w:types>
        <w:behaviors>
          <w:behavior w:val="content"/>
        </w:behaviors>
        <w:guid w:val="{96BA3B81-CF8E-4059-A093-713244DF1480}"/>
      </w:docPartPr>
      <w:docPartBody>
        <w:p w:rsidR="000B3A2A" w:rsidRDefault="00B0142C" w:rsidP="00B0142C">
          <w:pPr>
            <w:pStyle w:val="7F52C22CEAB742F5ADAAA0D04EE89CBC"/>
          </w:pPr>
          <w:r w:rsidRPr="00A35617">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otham Light">
    <w:altName w:val="Calibri"/>
    <w:panose1 w:val="00000000000000000000"/>
    <w:charset w:val="00"/>
    <w:family w:val="modern"/>
    <w:notTrueType/>
    <w:pitch w:val="variable"/>
    <w:sig w:usb0="A00002FF" w:usb1="4000005B"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Rounded MT">
    <w:altName w:val="Arial"/>
    <w:charset w:val="00"/>
    <w:family w:val="auto"/>
    <w:pitch w:val="variable"/>
    <w:sig w:usb0="80000027" w:usb1="00000000" w:usb2="00000000" w:usb3="00000000" w:csb0="00000001" w:csb1="00000000"/>
  </w:font>
  <w:font w:name="Noto Sans Symbols">
    <w:altName w:val="Calibri"/>
    <w:charset w:val="00"/>
    <w:family w:val="auto"/>
    <w:pitch w:val="default"/>
  </w:font>
  <w:font w:name="Lucida Grande">
    <w:altName w:val="Arial"/>
    <w:charset w:val="00"/>
    <w:family w:val="swiss"/>
    <w:pitch w:val="variable"/>
    <w:sig w:usb0="E1000AEF" w:usb1="5000A1FF" w:usb2="00000000" w:usb3="00000000" w:csb0="000001B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DE"/>
    <w:family w:val="roman"/>
    <w:pitch w:val="variable"/>
    <w:sig w:usb0="81000003" w:usb1="00000000" w:usb2="00000000" w:usb3="00000000" w:csb0="00010001" w:csb1="00000000"/>
  </w:font>
  <w:font w:name="Arial Bold">
    <w:altName w:val="Arial"/>
    <w:panose1 w:val="00000000000000000000"/>
    <w:charset w:val="00"/>
    <w:family w:val="auto"/>
    <w:notTrueType/>
    <w:pitch w:val="default"/>
    <w:sig w:usb0="03000000" w:usb1="00000000" w:usb2="00000000" w:usb3="00000000" w:csb0="00000001" w:csb1="00000000"/>
  </w:font>
  <w:font w:name="Lato Medium">
    <w:charset w:val="00"/>
    <w:family w:val="swiss"/>
    <w:pitch w:val="variable"/>
    <w:sig w:usb0="E10002FF" w:usb1="5000ECF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egoe UI">
    <w:altName w:val="Sylfaen"/>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142C"/>
    <w:rsid w:val="000B3A2A"/>
    <w:rsid w:val="00B0142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0142C"/>
    <w:rPr>
      <w:color w:val="808080"/>
    </w:rPr>
  </w:style>
  <w:style w:type="paragraph" w:customStyle="1" w:styleId="7F52C22CEAB742F5ADAAA0D04EE89CBC">
    <w:name w:val="7F52C22CEAB742F5ADAAA0D04EE89CBC"/>
    <w:rsid w:val="00B0142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UQ with Neutral">
      <a:dk1>
        <a:sysClr val="windowText" lastClr="000000"/>
      </a:dk1>
      <a:lt1>
        <a:sysClr val="window" lastClr="FFFFFF"/>
      </a:lt1>
      <a:dk2>
        <a:srgbClr val="44546A"/>
      </a:dk2>
      <a:lt2>
        <a:srgbClr val="D9AC6D"/>
      </a:lt2>
      <a:accent1>
        <a:srgbClr val="51247A"/>
      </a:accent1>
      <a:accent2>
        <a:srgbClr val="E62645"/>
      </a:accent2>
      <a:accent3>
        <a:srgbClr val="999490"/>
      </a:accent3>
      <a:accent4>
        <a:srgbClr val="EB602B"/>
      </a:accent4>
      <a:accent5>
        <a:srgbClr val="4085C6"/>
      </a:accent5>
      <a:accent6>
        <a:srgbClr val="D7D1CC"/>
      </a:accent6>
      <a:hlink>
        <a:srgbClr val="51247A"/>
      </a:hlink>
      <a:folHlink>
        <a:srgbClr val="51247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gradFill>
          <a:gsLst>
            <a:gs pos="0">
              <a:schemeClr val="accent1"/>
            </a:gs>
            <a:gs pos="80000">
              <a:srgbClr val="913493"/>
            </a:gs>
          </a:gsLst>
          <a:lin ang="5400000" scaled="1"/>
        </a:gradFill>
        <a:ln w="17432" cap="flat">
          <a:noFill/>
          <a:prstDash val="solid"/>
          <a:miter/>
        </a:ln>
      </a:spPr>
      <a:bodyPr rtlCol="0" anchor="t"/>
      <a:lst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2022-01-31T00:00:00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75BED8AAF56764781957566485FAC61" ma:contentTypeVersion="7" ma:contentTypeDescription="Create a new document." ma:contentTypeScope="" ma:versionID="53d6a04ff7f4735bf154d1af8f03e5d2">
  <xsd:schema xmlns:xsd="http://www.w3.org/2001/XMLSchema" xmlns:xs="http://www.w3.org/2001/XMLSchema" xmlns:p="http://schemas.microsoft.com/office/2006/metadata/properties" xmlns:ns3="a937b2bd-7879-4ea9-a0cc-719f9c2b3bf6" xmlns:ns4="8775dc31-e6e5-4594-8872-3069f3933684" targetNamespace="http://schemas.microsoft.com/office/2006/metadata/properties" ma:root="true" ma:fieldsID="8eaedcb05acbecdf7bf4a49b6b9d32d4" ns3:_="" ns4:_="">
    <xsd:import namespace="a937b2bd-7879-4ea9-a0cc-719f9c2b3bf6"/>
    <xsd:import namespace="8775dc31-e6e5-4594-8872-3069f3933684"/>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37b2bd-7879-4ea9-a0cc-719f9c2b3b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775dc31-e6e5-4594-8872-3069f393368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32CDCF3-12FE-48CE-90E2-194EF87E193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F1FD4C1-7EF4-42ED-9803-7175A2DDE6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37b2bd-7879-4ea9-a0cc-719f9c2b3bf6"/>
    <ds:schemaRef ds:uri="8775dc31-e6e5-4594-8872-3069f393368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07F85E7-FAA6-42A1-A2D1-03252A10DE44}">
  <ds:schemaRefs>
    <ds:schemaRef ds:uri="http://schemas.openxmlformats.org/officeDocument/2006/bibliography"/>
  </ds:schemaRefs>
</ds:datastoreItem>
</file>

<file path=customXml/itemProps5.xml><?xml version="1.0" encoding="utf-8"?>
<ds:datastoreItem xmlns:ds="http://schemas.openxmlformats.org/officeDocument/2006/customXml" ds:itemID="{0B9440D3-6FE8-4720-8509-BB289D45133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329</TotalTime>
  <Pages>149</Pages>
  <Words>65713</Words>
  <Characters>374565</Characters>
  <Application>Microsoft Office Word</Application>
  <DocSecurity>0</DocSecurity>
  <Lines>3121</Lines>
  <Paragraphs>878</Paragraphs>
  <ScaleCrop>false</ScaleCrop>
  <HeadingPairs>
    <vt:vector size="2" baseType="variant">
      <vt:variant>
        <vt:lpstr>Title</vt:lpstr>
      </vt:variant>
      <vt:variant>
        <vt:i4>1</vt:i4>
      </vt:variant>
    </vt:vector>
  </HeadingPairs>
  <TitlesOfParts>
    <vt:vector size="1" baseType="lpstr">
      <vt:lpstr>Evaluation of the Pharmaceutical Benefits Scheme Subsidised Take Home Naloxone Pilot</vt:lpstr>
    </vt:vector>
  </TitlesOfParts>
  <Company/>
  <LinksUpToDate>false</LinksUpToDate>
  <CharactersWithSpaces>439400</CharactersWithSpaces>
  <SharedDoc>false</SharedDoc>
  <HLinks>
    <vt:vector size="1086" baseType="variant">
      <vt:variant>
        <vt:i4>3014717</vt:i4>
      </vt:variant>
      <vt:variant>
        <vt:i4>1380</vt:i4>
      </vt:variant>
      <vt:variant>
        <vt:i4>0</vt:i4>
      </vt:variant>
      <vt:variant>
        <vt:i4>5</vt:i4>
      </vt:variant>
      <vt:variant>
        <vt:lpwstr>https://www.tga.gov.au/node/709836</vt:lpwstr>
      </vt:variant>
      <vt:variant>
        <vt:lpwstr/>
      </vt:variant>
      <vt:variant>
        <vt:i4>917582</vt:i4>
      </vt:variant>
      <vt:variant>
        <vt:i4>1377</vt:i4>
      </vt:variant>
      <vt:variant>
        <vt:i4>0</vt:i4>
      </vt:variant>
      <vt:variant>
        <vt:i4>5</vt:i4>
      </vt:variant>
      <vt:variant>
        <vt:lpwstr>https://penington.org.au/wp-content/uploads/2018/10/Saving-Lives-Australian-naloxone-access-model.pdf</vt:lpwstr>
      </vt:variant>
      <vt:variant>
        <vt:lpwstr/>
      </vt:variant>
      <vt:variant>
        <vt:i4>5111812</vt:i4>
      </vt:variant>
      <vt:variant>
        <vt:i4>1374</vt:i4>
      </vt:variant>
      <vt:variant>
        <vt:i4>0</vt:i4>
      </vt:variant>
      <vt:variant>
        <vt:i4>5</vt:i4>
      </vt:variant>
      <vt:variant>
        <vt:lpwstr>http://www.pbs.gov.au/info/browse/statistics</vt:lpwstr>
      </vt:variant>
      <vt:variant>
        <vt:lpwstr/>
      </vt:variant>
      <vt:variant>
        <vt:i4>2228342</vt:i4>
      </vt:variant>
      <vt:variant>
        <vt:i4>1371</vt:i4>
      </vt:variant>
      <vt:variant>
        <vt:i4>0</vt:i4>
      </vt:variant>
      <vt:variant>
        <vt:i4>5</vt:i4>
      </vt:variant>
      <vt:variant>
        <vt:lpwstr>https://www.aihw.gov.au/reports/australias-health/alcohol-and-other-drug-treatment-services</vt:lpwstr>
      </vt:variant>
      <vt:variant>
        <vt:lpwstr/>
      </vt:variant>
      <vt:variant>
        <vt:i4>1310745</vt:i4>
      </vt:variant>
      <vt:variant>
        <vt:i4>1368</vt:i4>
      </vt:variant>
      <vt:variant>
        <vt:i4>0</vt:i4>
      </vt:variant>
      <vt:variant>
        <vt:i4>5</vt:i4>
      </vt:variant>
      <vt:variant>
        <vt:lpwstr>https://www.aihw.gov.au/reports/alcohol-other-drug-treatment-services/national-opioid-pharmacotherapy-statistics</vt:lpwstr>
      </vt:variant>
      <vt:variant>
        <vt:lpwstr/>
      </vt:variant>
      <vt:variant>
        <vt:i4>1507409</vt:i4>
      </vt:variant>
      <vt:variant>
        <vt:i4>1365</vt:i4>
      </vt:variant>
      <vt:variant>
        <vt:i4>0</vt:i4>
      </vt:variant>
      <vt:variant>
        <vt:i4>5</vt:i4>
      </vt:variant>
      <vt:variant>
        <vt:lpwstr>https://www.aihw.gov.au/reports/alcohol/alcohol-tobacco-other-drugs-australia</vt:lpwstr>
      </vt:variant>
      <vt:variant>
        <vt:lpwstr/>
      </vt:variant>
      <vt:variant>
        <vt:i4>5832728</vt:i4>
      </vt:variant>
      <vt:variant>
        <vt:i4>1362</vt:i4>
      </vt:variant>
      <vt:variant>
        <vt:i4>0</vt:i4>
      </vt:variant>
      <vt:variant>
        <vt:i4>5</vt:i4>
      </vt:variant>
      <vt:variant>
        <vt:lpwstr>https://ndri.curtin.edu.au/ndri/media/documents/publications/T249.pdf</vt:lpwstr>
      </vt:variant>
      <vt:variant>
        <vt:lpwstr/>
      </vt:variant>
      <vt:variant>
        <vt:i4>3670125</vt:i4>
      </vt:variant>
      <vt:variant>
        <vt:i4>1359</vt:i4>
      </vt:variant>
      <vt:variant>
        <vt:i4>0</vt:i4>
      </vt:variant>
      <vt:variant>
        <vt:i4>5</vt:i4>
      </vt:variant>
      <vt:variant>
        <vt:lpwstr>https://cahma.org.au/Naloxone.html</vt:lpwstr>
      </vt:variant>
      <vt:variant>
        <vt:lpwstr/>
      </vt:variant>
      <vt:variant>
        <vt:i4>2949159</vt:i4>
      </vt:variant>
      <vt:variant>
        <vt:i4>1356</vt:i4>
      </vt:variant>
      <vt:variant>
        <vt:i4>0</vt:i4>
      </vt:variant>
      <vt:variant>
        <vt:i4>5</vt:i4>
      </vt:variant>
      <vt:variant>
        <vt:lpwstr>https://pure.ulster.ac.uk/ws/portalfiles/portal/11609673/Naloxone+service+evaluation+final+report+Feb+2016.pdf</vt:lpwstr>
      </vt:variant>
      <vt:variant>
        <vt:lpwstr/>
      </vt:variant>
      <vt:variant>
        <vt:i4>4653141</vt:i4>
      </vt:variant>
      <vt:variant>
        <vt:i4>1353</vt:i4>
      </vt:variant>
      <vt:variant>
        <vt:i4>0</vt:i4>
      </vt:variant>
      <vt:variant>
        <vt:i4>5</vt:i4>
      </vt:variant>
      <vt:variant>
        <vt:lpwstr>https://phw.nhs.wales/publications/publications1/harm-reduction-database-wales-drug-related-mortality-report-2019-20/</vt:lpwstr>
      </vt:variant>
      <vt:variant>
        <vt:lpwstr/>
      </vt:variant>
      <vt:variant>
        <vt:i4>7143469</vt:i4>
      </vt:variant>
      <vt:variant>
        <vt:i4>1350</vt:i4>
      </vt:variant>
      <vt:variant>
        <vt:i4>0</vt:i4>
      </vt:variant>
      <vt:variant>
        <vt:i4>5</vt:i4>
      </vt:variant>
      <vt:variant>
        <vt:lpwstr>https://gov.wales/evaluation-take-home-naloxone-demonstration-project-0</vt:lpwstr>
      </vt:variant>
      <vt:variant>
        <vt:lpwstr/>
      </vt:variant>
      <vt:variant>
        <vt:i4>7536703</vt:i4>
      </vt:variant>
      <vt:variant>
        <vt:i4>1347</vt:i4>
      </vt:variant>
      <vt:variant>
        <vt:i4>0</vt:i4>
      </vt:variant>
      <vt:variant>
        <vt:i4>5</vt:i4>
      </vt:variant>
      <vt:variant>
        <vt:lpwstr>https://www.gov.scot/publications/service-evaluation-scotlands-take-home-naloxone-programme/documents/</vt:lpwstr>
      </vt:variant>
      <vt:variant>
        <vt:lpwstr/>
      </vt:variant>
      <vt:variant>
        <vt:i4>3145760</vt:i4>
      </vt:variant>
      <vt:variant>
        <vt:i4>1344</vt:i4>
      </vt:variant>
      <vt:variant>
        <vt:i4>0</vt:i4>
      </vt:variant>
      <vt:variant>
        <vt:i4>5</vt:i4>
      </vt:variant>
      <vt:variant>
        <vt:lpwstr>http://idpc.net/publications/2017/02/preventing-opioid-overdose-deaths-research-on-the-italian-naloxone-distribution-model</vt:lpwstr>
      </vt:variant>
      <vt:variant>
        <vt:lpwstr/>
      </vt:variant>
      <vt:variant>
        <vt:i4>7209011</vt:i4>
      </vt:variant>
      <vt:variant>
        <vt:i4>1341</vt:i4>
      </vt:variant>
      <vt:variant>
        <vt:i4>0</vt:i4>
      </vt:variant>
      <vt:variant>
        <vt:i4>5</vt:i4>
      </vt:variant>
      <vt:variant>
        <vt:lpwstr>https://www.publichealth.hscni.net/sites/default/files/2021-01/Take Home Naloxone Annual Report 2019-20.pdf</vt:lpwstr>
      </vt:variant>
      <vt:variant>
        <vt:lpwstr/>
      </vt:variant>
      <vt:variant>
        <vt:i4>1966168</vt:i4>
      </vt:variant>
      <vt:variant>
        <vt:i4>1338</vt:i4>
      </vt:variant>
      <vt:variant>
        <vt:i4>0</vt:i4>
      </vt:variant>
      <vt:variant>
        <vt:i4>5</vt:i4>
      </vt:variant>
      <vt:variant>
        <vt:lpwstr>https://www.isdscotland.org/Health-Topics/Drugs-and-Alcohol-Misuse/Publications/2016-10-25/2016-10-25-Naloxone-Report.pdf</vt:lpwstr>
      </vt:variant>
      <vt:variant>
        <vt:lpwstr/>
      </vt:variant>
      <vt:variant>
        <vt:i4>4456465</vt:i4>
      </vt:variant>
      <vt:variant>
        <vt:i4>1335</vt:i4>
      </vt:variant>
      <vt:variant>
        <vt:i4>0</vt:i4>
      </vt:variant>
      <vt:variant>
        <vt:i4>5</vt:i4>
      </vt:variant>
      <vt:variant>
        <vt:lpwstr>https://crism.ca/2019/06/13/naloxone-distribution-environmental-scan/</vt:lpwstr>
      </vt:variant>
      <vt:variant>
        <vt:lpwstr/>
      </vt:variant>
      <vt:variant>
        <vt:i4>983050</vt:i4>
      </vt:variant>
      <vt:variant>
        <vt:i4>1332</vt:i4>
      </vt:variant>
      <vt:variant>
        <vt:i4>0</vt:i4>
      </vt:variant>
      <vt:variant>
        <vt:i4>5</vt:i4>
      </vt:variant>
      <vt:variant>
        <vt:lpwstr>https://ldi.upenn.edu/our-work/research-updates/expanding-access-to-naloxone-a-review-of-distribution-strategies/</vt:lpwstr>
      </vt:variant>
      <vt:variant>
        <vt:lpwstr/>
      </vt:variant>
      <vt:variant>
        <vt:i4>6815790</vt:i4>
      </vt:variant>
      <vt:variant>
        <vt:i4>1329</vt:i4>
      </vt:variant>
      <vt:variant>
        <vt:i4>0</vt:i4>
      </vt:variant>
      <vt:variant>
        <vt:i4>5</vt:i4>
      </vt:variant>
      <vt:variant>
        <vt:lpwstr>https://www.hri.global/global-state-of-harm-reduction-2020</vt:lpwstr>
      </vt:variant>
      <vt:variant>
        <vt:lpwstr/>
      </vt:variant>
      <vt:variant>
        <vt:i4>5242901</vt:i4>
      </vt:variant>
      <vt:variant>
        <vt:i4>1326</vt:i4>
      </vt:variant>
      <vt:variant>
        <vt:i4>0</vt:i4>
      </vt:variant>
      <vt:variant>
        <vt:i4>5</vt:i4>
      </vt:variant>
      <vt:variant>
        <vt:lpwstr>https://apps.who.int/iris/handle/10665/340497</vt:lpwstr>
      </vt:variant>
      <vt:variant>
        <vt:lpwstr/>
      </vt:variant>
      <vt:variant>
        <vt:i4>6815870</vt:i4>
      </vt:variant>
      <vt:variant>
        <vt:i4>1323</vt:i4>
      </vt:variant>
      <vt:variant>
        <vt:i4>0</vt:i4>
      </vt:variant>
      <vt:variant>
        <vt:i4>5</vt:i4>
      </vt:variant>
      <vt:variant>
        <vt:lpwstr>https://www.acic.gov.au/publications/national-wastewater-drug-monitoring-program-reports/report-13-national-wastewater-drug-monitoring-program</vt:lpwstr>
      </vt:variant>
      <vt:variant>
        <vt:lpwstr/>
      </vt:variant>
      <vt:variant>
        <vt:i4>3342463</vt:i4>
      </vt:variant>
      <vt:variant>
        <vt:i4>1320</vt:i4>
      </vt:variant>
      <vt:variant>
        <vt:i4>0</vt:i4>
      </vt:variant>
      <vt:variant>
        <vt:i4>5</vt:i4>
      </vt:variant>
      <vt:variant>
        <vt:lpwstr>https://www.aihw.gov.au/reports/illicit-use-of-drugs/national-drug-strategy-household-survey-2019/contents/summary</vt:lpwstr>
      </vt:variant>
      <vt:variant>
        <vt:lpwstr/>
      </vt:variant>
      <vt:variant>
        <vt:i4>7536698</vt:i4>
      </vt:variant>
      <vt:variant>
        <vt:i4>1317</vt:i4>
      </vt:variant>
      <vt:variant>
        <vt:i4>0</vt:i4>
      </vt:variant>
      <vt:variant>
        <vt:i4>5</vt:i4>
      </vt:variant>
      <vt:variant>
        <vt:lpwstr>https://apo.org.au/node/303888</vt:lpwstr>
      </vt:variant>
      <vt:variant>
        <vt:lpwstr/>
      </vt:variant>
      <vt:variant>
        <vt:i4>65567</vt:i4>
      </vt:variant>
      <vt:variant>
        <vt:i4>1291</vt:i4>
      </vt:variant>
      <vt:variant>
        <vt:i4>0</vt:i4>
      </vt:variant>
      <vt:variant>
        <vt:i4>5</vt:i4>
      </vt:variant>
      <vt:variant>
        <vt:lpwstr>https://www.rpharms.com/resources/pharmacy-guides/medicines-optimisation-hub/managing-medicines-in-the-community</vt:lpwstr>
      </vt:variant>
      <vt:variant>
        <vt:lpwstr/>
      </vt:variant>
      <vt:variant>
        <vt:i4>7078012</vt:i4>
      </vt:variant>
      <vt:variant>
        <vt:i4>1285</vt:i4>
      </vt:variant>
      <vt:variant>
        <vt:i4>0</vt:i4>
      </vt:variant>
      <vt:variant>
        <vt:i4>5</vt:i4>
      </vt:variant>
      <vt:variant>
        <vt:lpwstr>https://overdoselifesavers.org/</vt:lpwstr>
      </vt:variant>
      <vt:variant>
        <vt:lpwstr/>
      </vt:variant>
      <vt:variant>
        <vt:i4>1179700</vt:i4>
      </vt:variant>
      <vt:variant>
        <vt:i4>875</vt:i4>
      </vt:variant>
      <vt:variant>
        <vt:i4>0</vt:i4>
      </vt:variant>
      <vt:variant>
        <vt:i4>5</vt:i4>
      </vt:variant>
      <vt:variant>
        <vt:lpwstr/>
      </vt:variant>
      <vt:variant>
        <vt:lpwstr>_Toc82018147</vt:lpwstr>
      </vt:variant>
      <vt:variant>
        <vt:i4>1245236</vt:i4>
      </vt:variant>
      <vt:variant>
        <vt:i4>872</vt:i4>
      </vt:variant>
      <vt:variant>
        <vt:i4>0</vt:i4>
      </vt:variant>
      <vt:variant>
        <vt:i4>5</vt:i4>
      </vt:variant>
      <vt:variant>
        <vt:lpwstr/>
      </vt:variant>
      <vt:variant>
        <vt:lpwstr>_Toc82018146</vt:lpwstr>
      </vt:variant>
      <vt:variant>
        <vt:i4>1048628</vt:i4>
      </vt:variant>
      <vt:variant>
        <vt:i4>869</vt:i4>
      </vt:variant>
      <vt:variant>
        <vt:i4>0</vt:i4>
      </vt:variant>
      <vt:variant>
        <vt:i4>5</vt:i4>
      </vt:variant>
      <vt:variant>
        <vt:lpwstr/>
      </vt:variant>
      <vt:variant>
        <vt:lpwstr>_Toc82018145</vt:lpwstr>
      </vt:variant>
      <vt:variant>
        <vt:i4>1114164</vt:i4>
      </vt:variant>
      <vt:variant>
        <vt:i4>866</vt:i4>
      </vt:variant>
      <vt:variant>
        <vt:i4>0</vt:i4>
      </vt:variant>
      <vt:variant>
        <vt:i4>5</vt:i4>
      </vt:variant>
      <vt:variant>
        <vt:lpwstr/>
      </vt:variant>
      <vt:variant>
        <vt:lpwstr>_Toc82018144</vt:lpwstr>
      </vt:variant>
      <vt:variant>
        <vt:i4>1441844</vt:i4>
      </vt:variant>
      <vt:variant>
        <vt:i4>863</vt:i4>
      </vt:variant>
      <vt:variant>
        <vt:i4>0</vt:i4>
      </vt:variant>
      <vt:variant>
        <vt:i4>5</vt:i4>
      </vt:variant>
      <vt:variant>
        <vt:lpwstr/>
      </vt:variant>
      <vt:variant>
        <vt:lpwstr>_Toc82018143</vt:lpwstr>
      </vt:variant>
      <vt:variant>
        <vt:i4>1507378</vt:i4>
      </vt:variant>
      <vt:variant>
        <vt:i4>854</vt:i4>
      </vt:variant>
      <vt:variant>
        <vt:i4>0</vt:i4>
      </vt:variant>
      <vt:variant>
        <vt:i4>5</vt:i4>
      </vt:variant>
      <vt:variant>
        <vt:lpwstr/>
      </vt:variant>
      <vt:variant>
        <vt:lpwstr>_Toc82022484</vt:lpwstr>
      </vt:variant>
      <vt:variant>
        <vt:i4>1048626</vt:i4>
      </vt:variant>
      <vt:variant>
        <vt:i4>848</vt:i4>
      </vt:variant>
      <vt:variant>
        <vt:i4>0</vt:i4>
      </vt:variant>
      <vt:variant>
        <vt:i4>5</vt:i4>
      </vt:variant>
      <vt:variant>
        <vt:lpwstr/>
      </vt:variant>
      <vt:variant>
        <vt:lpwstr>_Toc82022483</vt:lpwstr>
      </vt:variant>
      <vt:variant>
        <vt:i4>4653073</vt:i4>
      </vt:variant>
      <vt:variant>
        <vt:i4>842</vt:i4>
      </vt:variant>
      <vt:variant>
        <vt:i4>0</vt:i4>
      </vt:variant>
      <vt:variant>
        <vt:i4>5</vt:i4>
      </vt:variant>
      <vt:variant>
        <vt:lpwstr>https://uq-my.sharepoint.com/personal/uqjjucke_uq_edu_au/Documents/DOH Feedback working version THN Pilot Eval Report V3.2 08092021.docx</vt:lpwstr>
      </vt:variant>
      <vt:variant>
        <vt:lpwstr>_Toc82022482</vt:lpwstr>
      </vt:variant>
      <vt:variant>
        <vt:i4>1179698</vt:i4>
      </vt:variant>
      <vt:variant>
        <vt:i4>836</vt:i4>
      </vt:variant>
      <vt:variant>
        <vt:i4>0</vt:i4>
      </vt:variant>
      <vt:variant>
        <vt:i4>5</vt:i4>
      </vt:variant>
      <vt:variant>
        <vt:lpwstr/>
      </vt:variant>
      <vt:variant>
        <vt:lpwstr>_Toc82022481</vt:lpwstr>
      </vt:variant>
      <vt:variant>
        <vt:i4>1245234</vt:i4>
      </vt:variant>
      <vt:variant>
        <vt:i4>830</vt:i4>
      </vt:variant>
      <vt:variant>
        <vt:i4>0</vt:i4>
      </vt:variant>
      <vt:variant>
        <vt:i4>5</vt:i4>
      </vt:variant>
      <vt:variant>
        <vt:lpwstr/>
      </vt:variant>
      <vt:variant>
        <vt:lpwstr>_Toc82022480</vt:lpwstr>
      </vt:variant>
      <vt:variant>
        <vt:i4>4980766</vt:i4>
      </vt:variant>
      <vt:variant>
        <vt:i4>824</vt:i4>
      </vt:variant>
      <vt:variant>
        <vt:i4>0</vt:i4>
      </vt:variant>
      <vt:variant>
        <vt:i4>5</vt:i4>
      </vt:variant>
      <vt:variant>
        <vt:lpwstr>https://uq-my.sharepoint.com/personal/uqjjucke_uq_edu_au/Documents/DOH Feedback working version THN Pilot Eval Report V3.2 08092021.docx</vt:lpwstr>
      </vt:variant>
      <vt:variant>
        <vt:lpwstr>_Toc82022479</vt:lpwstr>
      </vt:variant>
      <vt:variant>
        <vt:i4>1769533</vt:i4>
      </vt:variant>
      <vt:variant>
        <vt:i4>818</vt:i4>
      </vt:variant>
      <vt:variant>
        <vt:i4>0</vt:i4>
      </vt:variant>
      <vt:variant>
        <vt:i4>5</vt:i4>
      </vt:variant>
      <vt:variant>
        <vt:lpwstr/>
      </vt:variant>
      <vt:variant>
        <vt:lpwstr>_Toc82022478</vt:lpwstr>
      </vt:variant>
      <vt:variant>
        <vt:i4>1310781</vt:i4>
      </vt:variant>
      <vt:variant>
        <vt:i4>812</vt:i4>
      </vt:variant>
      <vt:variant>
        <vt:i4>0</vt:i4>
      </vt:variant>
      <vt:variant>
        <vt:i4>5</vt:i4>
      </vt:variant>
      <vt:variant>
        <vt:lpwstr/>
      </vt:variant>
      <vt:variant>
        <vt:lpwstr>_Toc82022477</vt:lpwstr>
      </vt:variant>
      <vt:variant>
        <vt:i4>1376317</vt:i4>
      </vt:variant>
      <vt:variant>
        <vt:i4>806</vt:i4>
      </vt:variant>
      <vt:variant>
        <vt:i4>0</vt:i4>
      </vt:variant>
      <vt:variant>
        <vt:i4>5</vt:i4>
      </vt:variant>
      <vt:variant>
        <vt:lpwstr/>
      </vt:variant>
      <vt:variant>
        <vt:lpwstr>_Toc82022476</vt:lpwstr>
      </vt:variant>
      <vt:variant>
        <vt:i4>1441853</vt:i4>
      </vt:variant>
      <vt:variant>
        <vt:i4>800</vt:i4>
      </vt:variant>
      <vt:variant>
        <vt:i4>0</vt:i4>
      </vt:variant>
      <vt:variant>
        <vt:i4>5</vt:i4>
      </vt:variant>
      <vt:variant>
        <vt:lpwstr/>
      </vt:variant>
      <vt:variant>
        <vt:lpwstr>_Toc82022475</vt:lpwstr>
      </vt:variant>
      <vt:variant>
        <vt:i4>1507389</vt:i4>
      </vt:variant>
      <vt:variant>
        <vt:i4>794</vt:i4>
      </vt:variant>
      <vt:variant>
        <vt:i4>0</vt:i4>
      </vt:variant>
      <vt:variant>
        <vt:i4>5</vt:i4>
      </vt:variant>
      <vt:variant>
        <vt:lpwstr/>
      </vt:variant>
      <vt:variant>
        <vt:lpwstr>_Toc82022474</vt:lpwstr>
      </vt:variant>
      <vt:variant>
        <vt:i4>4587550</vt:i4>
      </vt:variant>
      <vt:variant>
        <vt:i4>788</vt:i4>
      </vt:variant>
      <vt:variant>
        <vt:i4>0</vt:i4>
      </vt:variant>
      <vt:variant>
        <vt:i4>5</vt:i4>
      </vt:variant>
      <vt:variant>
        <vt:lpwstr>https://uq-my.sharepoint.com/personal/uqjjucke_uq_edu_au/Documents/DOH Feedback working version THN Pilot Eval Report V3.2 08092021.docx</vt:lpwstr>
      </vt:variant>
      <vt:variant>
        <vt:lpwstr>_Toc82022473</vt:lpwstr>
      </vt:variant>
      <vt:variant>
        <vt:i4>1114173</vt:i4>
      </vt:variant>
      <vt:variant>
        <vt:i4>782</vt:i4>
      </vt:variant>
      <vt:variant>
        <vt:i4>0</vt:i4>
      </vt:variant>
      <vt:variant>
        <vt:i4>5</vt:i4>
      </vt:variant>
      <vt:variant>
        <vt:lpwstr/>
      </vt:variant>
      <vt:variant>
        <vt:lpwstr>_Toc82022472</vt:lpwstr>
      </vt:variant>
      <vt:variant>
        <vt:i4>1179709</vt:i4>
      </vt:variant>
      <vt:variant>
        <vt:i4>776</vt:i4>
      </vt:variant>
      <vt:variant>
        <vt:i4>0</vt:i4>
      </vt:variant>
      <vt:variant>
        <vt:i4>5</vt:i4>
      </vt:variant>
      <vt:variant>
        <vt:lpwstr/>
      </vt:variant>
      <vt:variant>
        <vt:lpwstr>_Toc82022471</vt:lpwstr>
      </vt:variant>
      <vt:variant>
        <vt:i4>1245245</vt:i4>
      </vt:variant>
      <vt:variant>
        <vt:i4>770</vt:i4>
      </vt:variant>
      <vt:variant>
        <vt:i4>0</vt:i4>
      </vt:variant>
      <vt:variant>
        <vt:i4>5</vt:i4>
      </vt:variant>
      <vt:variant>
        <vt:lpwstr/>
      </vt:variant>
      <vt:variant>
        <vt:lpwstr>_Toc82022470</vt:lpwstr>
      </vt:variant>
      <vt:variant>
        <vt:i4>1703996</vt:i4>
      </vt:variant>
      <vt:variant>
        <vt:i4>764</vt:i4>
      </vt:variant>
      <vt:variant>
        <vt:i4>0</vt:i4>
      </vt:variant>
      <vt:variant>
        <vt:i4>5</vt:i4>
      </vt:variant>
      <vt:variant>
        <vt:lpwstr/>
      </vt:variant>
      <vt:variant>
        <vt:lpwstr>_Toc82022469</vt:lpwstr>
      </vt:variant>
      <vt:variant>
        <vt:i4>1769532</vt:i4>
      </vt:variant>
      <vt:variant>
        <vt:i4>758</vt:i4>
      </vt:variant>
      <vt:variant>
        <vt:i4>0</vt:i4>
      </vt:variant>
      <vt:variant>
        <vt:i4>5</vt:i4>
      </vt:variant>
      <vt:variant>
        <vt:lpwstr/>
      </vt:variant>
      <vt:variant>
        <vt:lpwstr>_Toc82022468</vt:lpwstr>
      </vt:variant>
      <vt:variant>
        <vt:i4>1310780</vt:i4>
      </vt:variant>
      <vt:variant>
        <vt:i4>752</vt:i4>
      </vt:variant>
      <vt:variant>
        <vt:i4>0</vt:i4>
      </vt:variant>
      <vt:variant>
        <vt:i4>5</vt:i4>
      </vt:variant>
      <vt:variant>
        <vt:lpwstr/>
      </vt:variant>
      <vt:variant>
        <vt:lpwstr>_Toc82022467</vt:lpwstr>
      </vt:variant>
      <vt:variant>
        <vt:i4>1376316</vt:i4>
      </vt:variant>
      <vt:variant>
        <vt:i4>746</vt:i4>
      </vt:variant>
      <vt:variant>
        <vt:i4>0</vt:i4>
      </vt:variant>
      <vt:variant>
        <vt:i4>5</vt:i4>
      </vt:variant>
      <vt:variant>
        <vt:lpwstr/>
      </vt:variant>
      <vt:variant>
        <vt:lpwstr>_Toc82022466</vt:lpwstr>
      </vt:variant>
      <vt:variant>
        <vt:i4>1441852</vt:i4>
      </vt:variant>
      <vt:variant>
        <vt:i4>740</vt:i4>
      </vt:variant>
      <vt:variant>
        <vt:i4>0</vt:i4>
      </vt:variant>
      <vt:variant>
        <vt:i4>5</vt:i4>
      </vt:variant>
      <vt:variant>
        <vt:lpwstr/>
      </vt:variant>
      <vt:variant>
        <vt:lpwstr>_Toc82022465</vt:lpwstr>
      </vt:variant>
      <vt:variant>
        <vt:i4>1507388</vt:i4>
      </vt:variant>
      <vt:variant>
        <vt:i4>734</vt:i4>
      </vt:variant>
      <vt:variant>
        <vt:i4>0</vt:i4>
      </vt:variant>
      <vt:variant>
        <vt:i4>5</vt:i4>
      </vt:variant>
      <vt:variant>
        <vt:lpwstr/>
      </vt:variant>
      <vt:variant>
        <vt:lpwstr>_Toc82022464</vt:lpwstr>
      </vt:variant>
      <vt:variant>
        <vt:i4>1048636</vt:i4>
      </vt:variant>
      <vt:variant>
        <vt:i4>728</vt:i4>
      </vt:variant>
      <vt:variant>
        <vt:i4>0</vt:i4>
      </vt:variant>
      <vt:variant>
        <vt:i4>5</vt:i4>
      </vt:variant>
      <vt:variant>
        <vt:lpwstr/>
      </vt:variant>
      <vt:variant>
        <vt:lpwstr>_Toc82022463</vt:lpwstr>
      </vt:variant>
      <vt:variant>
        <vt:i4>1245246</vt:i4>
      </vt:variant>
      <vt:variant>
        <vt:i4>719</vt:i4>
      </vt:variant>
      <vt:variant>
        <vt:i4>0</vt:i4>
      </vt:variant>
      <vt:variant>
        <vt:i4>5</vt:i4>
      </vt:variant>
      <vt:variant>
        <vt:lpwstr/>
      </vt:variant>
      <vt:variant>
        <vt:lpwstr>_Toc82022347</vt:lpwstr>
      </vt:variant>
      <vt:variant>
        <vt:i4>1179710</vt:i4>
      </vt:variant>
      <vt:variant>
        <vt:i4>713</vt:i4>
      </vt:variant>
      <vt:variant>
        <vt:i4>0</vt:i4>
      </vt:variant>
      <vt:variant>
        <vt:i4>5</vt:i4>
      </vt:variant>
      <vt:variant>
        <vt:lpwstr/>
      </vt:variant>
      <vt:variant>
        <vt:lpwstr>_Toc82022346</vt:lpwstr>
      </vt:variant>
      <vt:variant>
        <vt:i4>1114174</vt:i4>
      </vt:variant>
      <vt:variant>
        <vt:i4>707</vt:i4>
      </vt:variant>
      <vt:variant>
        <vt:i4>0</vt:i4>
      </vt:variant>
      <vt:variant>
        <vt:i4>5</vt:i4>
      </vt:variant>
      <vt:variant>
        <vt:lpwstr/>
      </vt:variant>
      <vt:variant>
        <vt:lpwstr>_Toc82022345</vt:lpwstr>
      </vt:variant>
      <vt:variant>
        <vt:i4>1048638</vt:i4>
      </vt:variant>
      <vt:variant>
        <vt:i4>701</vt:i4>
      </vt:variant>
      <vt:variant>
        <vt:i4>0</vt:i4>
      </vt:variant>
      <vt:variant>
        <vt:i4>5</vt:i4>
      </vt:variant>
      <vt:variant>
        <vt:lpwstr/>
      </vt:variant>
      <vt:variant>
        <vt:lpwstr>_Toc82022344</vt:lpwstr>
      </vt:variant>
      <vt:variant>
        <vt:i4>1507390</vt:i4>
      </vt:variant>
      <vt:variant>
        <vt:i4>695</vt:i4>
      </vt:variant>
      <vt:variant>
        <vt:i4>0</vt:i4>
      </vt:variant>
      <vt:variant>
        <vt:i4>5</vt:i4>
      </vt:variant>
      <vt:variant>
        <vt:lpwstr/>
      </vt:variant>
      <vt:variant>
        <vt:lpwstr>_Toc82022343</vt:lpwstr>
      </vt:variant>
      <vt:variant>
        <vt:i4>1441854</vt:i4>
      </vt:variant>
      <vt:variant>
        <vt:i4>689</vt:i4>
      </vt:variant>
      <vt:variant>
        <vt:i4>0</vt:i4>
      </vt:variant>
      <vt:variant>
        <vt:i4>5</vt:i4>
      </vt:variant>
      <vt:variant>
        <vt:lpwstr/>
      </vt:variant>
      <vt:variant>
        <vt:lpwstr>_Toc82022342</vt:lpwstr>
      </vt:variant>
      <vt:variant>
        <vt:i4>1376318</vt:i4>
      </vt:variant>
      <vt:variant>
        <vt:i4>680</vt:i4>
      </vt:variant>
      <vt:variant>
        <vt:i4>0</vt:i4>
      </vt:variant>
      <vt:variant>
        <vt:i4>5</vt:i4>
      </vt:variant>
      <vt:variant>
        <vt:lpwstr/>
      </vt:variant>
      <vt:variant>
        <vt:lpwstr>_Toc82022341</vt:lpwstr>
      </vt:variant>
      <vt:variant>
        <vt:i4>1310782</vt:i4>
      </vt:variant>
      <vt:variant>
        <vt:i4>674</vt:i4>
      </vt:variant>
      <vt:variant>
        <vt:i4>0</vt:i4>
      </vt:variant>
      <vt:variant>
        <vt:i4>5</vt:i4>
      </vt:variant>
      <vt:variant>
        <vt:lpwstr/>
      </vt:variant>
      <vt:variant>
        <vt:lpwstr>_Toc82022340</vt:lpwstr>
      </vt:variant>
      <vt:variant>
        <vt:i4>1900601</vt:i4>
      </vt:variant>
      <vt:variant>
        <vt:i4>668</vt:i4>
      </vt:variant>
      <vt:variant>
        <vt:i4>0</vt:i4>
      </vt:variant>
      <vt:variant>
        <vt:i4>5</vt:i4>
      </vt:variant>
      <vt:variant>
        <vt:lpwstr/>
      </vt:variant>
      <vt:variant>
        <vt:lpwstr>_Toc82022339</vt:lpwstr>
      </vt:variant>
      <vt:variant>
        <vt:i4>1835065</vt:i4>
      </vt:variant>
      <vt:variant>
        <vt:i4>662</vt:i4>
      </vt:variant>
      <vt:variant>
        <vt:i4>0</vt:i4>
      </vt:variant>
      <vt:variant>
        <vt:i4>5</vt:i4>
      </vt:variant>
      <vt:variant>
        <vt:lpwstr/>
      </vt:variant>
      <vt:variant>
        <vt:lpwstr>_Toc82022338</vt:lpwstr>
      </vt:variant>
      <vt:variant>
        <vt:i4>1245241</vt:i4>
      </vt:variant>
      <vt:variant>
        <vt:i4>656</vt:i4>
      </vt:variant>
      <vt:variant>
        <vt:i4>0</vt:i4>
      </vt:variant>
      <vt:variant>
        <vt:i4>5</vt:i4>
      </vt:variant>
      <vt:variant>
        <vt:lpwstr/>
      </vt:variant>
      <vt:variant>
        <vt:lpwstr>_Toc82022337</vt:lpwstr>
      </vt:variant>
      <vt:variant>
        <vt:i4>1179705</vt:i4>
      </vt:variant>
      <vt:variant>
        <vt:i4>650</vt:i4>
      </vt:variant>
      <vt:variant>
        <vt:i4>0</vt:i4>
      </vt:variant>
      <vt:variant>
        <vt:i4>5</vt:i4>
      </vt:variant>
      <vt:variant>
        <vt:lpwstr/>
      </vt:variant>
      <vt:variant>
        <vt:lpwstr>_Toc82022336</vt:lpwstr>
      </vt:variant>
      <vt:variant>
        <vt:i4>1114169</vt:i4>
      </vt:variant>
      <vt:variant>
        <vt:i4>644</vt:i4>
      </vt:variant>
      <vt:variant>
        <vt:i4>0</vt:i4>
      </vt:variant>
      <vt:variant>
        <vt:i4>5</vt:i4>
      </vt:variant>
      <vt:variant>
        <vt:lpwstr/>
      </vt:variant>
      <vt:variant>
        <vt:lpwstr>_Toc82022335</vt:lpwstr>
      </vt:variant>
      <vt:variant>
        <vt:i4>1048633</vt:i4>
      </vt:variant>
      <vt:variant>
        <vt:i4>638</vt:i4>
      </vt:variant>
      <vt:variant>
        <vt:i4>0</vt:i4>
      </vt:variant>
      <vt:variant>
        <vt:i4>5</vt:i4>
      </vt:variant>
      <vt:variant>
        <vt:lpwstr/>
      </vt:variant>
      <vt:variant>
        <vt:lpwstr>_Toc82022334</vt:lpwstr>
      </vt:variant>
      <vt:variant>
        <vt:i4>1507385</vt:i4>
      </vt:variant>
      <vt:variant>
        <vt:i4>632</vt:i4>
      </vt:variant>
      <vt:variant>
        <vt:i4>0</vt:i4>
      </vt:variant>
      <vt:variant>
        <vt:i4>5</vt:i4>
      </vt:variant>
      <vt:variant>
        <vt:lpwstr/>
      </vt:variant>
      <vt:variant>
        <vt:lpwstr>_Toc82022333</vt:lpwstr>
      </vt:variant>
      <vt:variant>
        <vt:i4>1441849</vt:i4>
      </vt:variant>
      <vt:variant>
        <vt:i4>626</vt:i4>
      </vt:variant>
      <vt:variant>
        <vt:i4>0</vt:i4>
      </vt:variant>
      <vt:variant>
        <vt:i4>5</vt:i4>
      </vt:variant>
      <vt:variant>
        <vt:lpwstr/>
      </vt:variant>
      <vt:variant>
        <vt:lpwstr>_Toc82022332</vt:lpwstr>
      </vt:variant>
      <vt:variant>
        <vt:i4>1376313</vt:i4>
      </vt:variant>
      <vt:variant>
        <vt:i4>620</vt:i4>
      </vt:variant>
      <vt:variant>
        <vt:i4>0</vt:i4>
      </vt:variant>
      <vt:variant>
        <vt:i4>5</vt:i4>
      </vt:variant>
      <vt:variant>
        <vt:lpwstr/>
      </vt:variant>
      <vt:variant>
        <vt:lpwstr>_Toc82022331</vt:lpwstr>
      </vt:variant>
      <vt:variant>
        <vt:i4>1310777</vt:i4>
      </vt:variant>
      <vt:variant>
        <vt:i4>614</vt:i4>
      </vt:variant>
      <vt:variant>
        <vt:i4>0</vt:i4>
      </vt:variant>
      <vt:variant>
        <vt:i4>5</vt:i4>
      </vt:variant>
      <vt:variant>
        <vt:lpwstr/>
      </vt:variant>
      <vt:variant>
        <vt:lpwstr>_Toc82022330</vt:lpwstr>
      </vt:variant>
      <vt:variant>
        <vt:i4>1900600</vt:i4>
      </vt:variant>
      <vt:variant>
        <vt:i4>608</vt:i4>
      </vt:variant>
      <vt:variant>
        <vt:i4>0</vt:i4>
      </vt:variant>
      <vt:variant>
        <vt:i4>5</vt:i4>
      </vt:variant>
      <vt:variant>
        <vt:lpwstr/>
      </vt:variant>
      <vt:variant>
        <vt:lpwstr>_Toc82022329</vt:lpwstr>
      </vt:variant>
      <vt:variant>
        <vt:i4>1835064</vt:i4>
      </vt:variant>
      <vt:variant>
        <vt:i4>602</vt:i4>
      </vt:variant>
      <vt:variant>
        <vt:i4>0</vt:i4>
      </vt:variant>
      <vt:variant>
        <vt:i4>5</vt:i4>
      </vt:variant>
      <vt:variant>
        <vt:lpwstr/>
      </vt:variant>
      <vt:variant>
        <vt:lpwstr>_Toc82022328</vt:lpwstr>
      </vt:variant>
      <vt:variant>
        <vt:i4>1245240</vt:i4>
      </vt:variant>
      <vt:variant>
        <vt:i4>596</vt:i4>
      </vt:variant>
      <vt:variant>
        <vt:i4>0</vt:i4>
      </vt:variant>
      <vt:variant>
        <vt:i4>5</vt:i4>
      </vt:variant>
      <vt:variant>
        <vt:lpwstr/>
      </vt:variant>
      <vt:variant>
        <vt:lpwstr>_Toc82022327</vt:lpwstr>
      </vt:variant>
      <vt:variant>
        <vt:i4>1179704</vt:i4>
      </vt:variant>
      <vt:variant>
        <vt:i4>590</vt:i4>
      </vt:variant>
      <vt:variant>
        <vt:i4>0</vt:i4>
      </vt:variant>
      <vt:variant>
        <vt:i4>5</vt:i4>
      </vt:variant>
      <vt:variant>
        <vt:lpwstr/>
      </vt:variant>
      <vt:variant>
        <vt:lpwstr>_Toc82022326</vt:lpwstr>
      </vt:variant>
      <vt:variant>
        <vt:i4>1114168</vt:i4>
      </vt:variant>
      <vt:variant>
        <vt:i4>584</vt:i4>
      </vt:variant>
      <vt:variant>
        <vt:i4>0</vt:i4>
      </vt:variant>
      <vt:variant>
        <vt:i4>5</vt:i4>
      </vt:variant>
      <vt:variant>
        <vt:lpwstr/>
      </vt:variant>
      <vt:variant>
        <vt:lpwstr>_Toc82022325</vt:lpwstr>
      </vt:variant>
      <vt:variant>
        <vt:i4>1048632</vt:i4>
      </vt:variant>
      <vt:variant>
        <vt:i4>578</vt:i4>
      </vt:variant>
      <vt:variant>
        <vt:i4>0</vt:i4>
      </vt:variant>
      <vt:variant>
        <vt:i4>5</vt:i4>
      </vt:variant>
      <vt:variant>
        <vt:lpwstr/>
      </vt:variant>
      <vt:variant>
        <vt:lpwstr>_Toc82022324</vt:lpwstr>
      </vt:variant>
      <vt:variant>
        <vt:i4>1507384</vt:i4>
      </vt:variant>
      <vt:variant>
        <vt:i4>572</vt:i4>
      </vt:variant>
      <vt:variant>
        <vt:i4>0</vt:i4>
      </vt:variant>
      <vt:variant>
        <vt:i4>5</vt:i4>
      </vt:variant>
      <vt:variant>
        <vt:lpwstr/>
      </vt:variant>
      <vt:variant>
        <vt:lpwstr>_Toc82022323</vt:lpwstr>
      </vt:variant>
      <vt:variant>
        <vt:i4>1441848</vt:i4>
      </vt:variant>
      <vt:variant>
        <vt:i4>566</vt:i4>
      </vt:variant>
      <vt:variant>
        <vt:i4>0</vt:i4>
      </vt:variant>
      <vt:variant>
        <vt:i4>5</vt:i4>
      </vt:variant>
      <vt:variant>
        <vt:lpwstr/>
      </vt:variant>
      <vt:variant>
        <vt:lpwstr>_Toc82022322</vt:lpwstr>
      </vt:variant>
      <vt:variant>
        <vt:i4>1376312</vt:i4>
      </vt:variant>
      <vt:variant>
        <vt:i4>560</vt:i4>
      </vt:variant>
      <vt:variant>
        <vt:i4>0</vt:i4>
      </vt:variant>
      <vt:variant>
        <vt:i4>5</vt:i4>
      </vt:variant>
      <vt:variant>
        <vt:lpwstr/>
      </vt:variant>
      <vt:variant>
        <vt:lpwstr>_Toc82022321</vt:lpwstr>
      </vt:variant>
      <vt:variant>
        <vt:i4>1310776</vt:i4>
      </vt:variant>
      <vt:variant>
        <vt:i4>554</vt:i4>
      </vt:variant>
      <vt:variant>
        <vt:i4>0</vt:i4>
      </vt:variant>
      <vt:variant>
        <vt:i4>5</vt:i4>
      </vt:variant>
      <vt:variant>
        <vt:lpwstr/>
      </vt:variant>
      <vt:variant>
        <vt:lpwstr>_Toc82022320</vt:lpwstr>
      </vt:variant>
      <vt:variant>
        <vt:i4>1900603</vt:i4>
      </vt:variant>
      <vt:variant>
        <vt:i4>548</vt:i4>
      </vt:variant>
      <vt:variant>
        <vt:i4>0</vt:i4>
      </vt:variant>
      <vt:variant>
        <vt:i4>5</vt:i4>
      </vt:variant>
      <vt:variant>
        <vt:lpwstr/>
      </vt:variant>
      <vt:variant>
        <vt:lpwstr>_Toc82022319</vt:lpwstr>
      </vt:variant>
      <vt:variant>
        <vt:i4>1835067</vt:i4>
      </vt:variant>
      <vt:variant>
        <vt:i4>542</vt:i4>
      </vt:variant>
      <vt:variant>
        <vt:i4>0</vt:i4>
      </vt:variant>
      <vt:variant>
        <vt:i4>5</vt:i4>
      </vt:variant>
      <vt:variant>
        <vt:lpwstr/>
      </vt:variant>
      <vt:variant>
        <vt:lpwstr>_Toc82022318</vt:lpwstr>
      </vt:variant>
      <vt:variant>
        <vt:i4>1245243</vt:i4>
      </vt:variant>
      <vt:variant>
        <vt:i4>536</vt:i4>
      </vt:variant>
      <vt:variant>
        <vt:i4>0</vt:i4>
      </vt:variant>
      <vt:variant>
        <vt:i4>5</vt:i4>
      </vt:variant>
      <vt:variant>
        <vt:lpwstr/>
      </vt:variant>
      <vt:variant>
        <vt:lpwstr>_Toc82022317</vt:lpwstr>
      </vt:variant>
      <vt:variant>
        <vt:i4>1179707</vt:i4>
      </vt:variant>
      <vt:variant>
        <vt:i4>530</vt:i4>
      </vt:variant>
      <vt:variant>
        <vt:i4>0</vt:i4>
      </vt:variant>
      <vt:variant>
        <vt:i4>5</vt:i4>
      </vt:variant>
      <vt:variant>
        <vt:lpwstr/>
      </vt:variant>
      <vt:variant>
        <vt:lpwstr>_Toc82022316</vt:lpwstr>
      </vt:variant>
      <vt:variant>
        <vt:i4>1114171</vt:i4>
      </vt:variant>
      <vt:variant>
        <vt:i4>524</vt:i4>
      </vt:variant>
      <vt:variant>
        <vt:i4>0</vt:i4>
      </vt:variant>
      <vt:variant>
        <vt:i4>5</vt:i4>
      </vt:variant>
      <vt:variant>
        <vt:lpwstr/>
      </vt:variant>
      <vt:variant>
        <vt:lpwstr>_Toc82022315</vt:lpwstr>
      </vt:variant>
      <vt:variant>
        <vt:i4>1048635</vt:i4>
      </vt:variant>
      <vt:variant>
        <vt:i4>518</vt:i4>
      </vt:variant>
      <vt:variant>
        <vt:i4>0</vt:i4>
      </vt:variant>
      <vt:variant>
        <vt:i4>5</vt:i4>
      </vt:variant>
      <vt:variant>
        <vt:lpwstr/>
      </vt:variant>
      <vt:variant>
        <vt:lpwstr>_Toc82022314</vt:lpwstr>
      </vt:variant>
      <vt:variant>
        <vt:i4>1507387</vt:i4>
      </vt:variant>
      <vt:variant>
        <vt:i4>512</vt:i4>
      </vt:variant>
      <vt:variant>
        <vt:i4>0</vt:i4>
      </vt:variant>
      <vt:variant>
        <vt:i4>5</vt:i4>
      </vt:variant>
      <vt:variant>
        <vt:lpwstr/>
      </vt:variant>
      <vt:variant>
        <vt:lpwstr>_Toc82022313</vt:lpwstr>
      </vt:variant>
      <vt:variant>
        <vt:i4>1441851</vt:i4>
      </vt:variant>
      <vt:variant>
        <vt:i4>506</vt:i4>
      </vt:variant>
      <vt:variant>
        <vt:i4>0</vt:i4>
      </vt:variant>
      <vt:variant>
        <vt:i4>5</vt:i4>
      </vt:variant>
      <vt:variant>
        <vt:lpwstr/>
      </vt:variant>
      <vt:variant>
        <vt:lpwstr>_Toc82022312</vt:lpwstr>
      </vt:variant>
      <vt:variant>
        <vt:i4>1376315</vt:i4>
      </vt:variant>
      <vt:variant>
        <vt:i4>500</vt:i4>
      </vt:variant>
      <vt:variant>
        <vt:i4>0</vt:i4>
      </vt:variant>
      <vt:variant>
        <vt:i4>5</vt:i4>
      </vt:variant>
      <vt:variant>
        <vt:lpwstr/>
      </vt:variant>
      <vt:variant>
        <vt:lpwstr>_Toc82022311</vt:lpwstr>
      </vt:variant>
      <vt:variant>
        <vt:i4>1310779</vt:i4>
      </vt:variant>
      <vt:variant>
        <vt:i4>494</vt:i4>
      </vt:variant>
      <vt:variant>
        <vt:i4>0</vt:i4>
      </vt:variant>
      <vt:variant>
        <vt:i4>5</vt:i4>
      </vt:variant>
      <vt:variant>
        <vt:lpwstr/>
      </vt:variant>
      <vt:variant>
        <vt:lpwstr>_Toc82022310</vt:lpwstr>
      </vt:variant>
      <vt:variant>
        <vt:i4>1900602</vt:i4>
      </vt:variant>
      <vt:variant>
        <vt:i4>488</vt:i4>
      </vt:variant>
      <vt:variant>
        <vt:i4>0</vt:i4>
      </vt:variant>
      <vt:variant>
        <vt:i4>5</vt:i4>
      </vt:variant>
      <vt:variant>
        <vt:lpwstr/>
      </vt:variant>
      <vt:variant>
        <vt:lpwstr>_Toc82022309</vt:lpwstr>
      </vt:variant>
      <vt:variant>
        <vt:i4>1835066</vt:i4>
      </vt:variant>
      <vt:variant>
        <vt:i4>482</vt:i4>
      </vt:variant>
      <vt:variant>
        <vt:i4>0</vt:i4>
      </vt:variant>
      <vt:variant>
        <vt:i4>5</vt:i4>
      </vt:variant>
      <vt:variant>
        <vt:lpwstr/>
      </vt:variant>
      <vt:variant>
        <vt:lpwstr>_Toc82022308</vt:lpwstr>
      </vt:variant>
      <vt:variant>
        <vt:i4>1245242</vt:i4>
      </vt:variant>
      <vt:variant>
        <vt:i4>476</vt:i4>
      </vt:variant>
      <vt:variant>
        <vt:i4>0</vt:i4>
      </vt:variant>
      <vt:variant>
        <vt:i4>5</vt:i4>
      </vt:variant>
      <vt:variant>
        <vt:lpwstr/>
      </vt:variant>
      <vt:variant>
        <vt:lpwstr>_Toc82022307</vt:lpwstr>
      </vt:variant>
      <vt:variant>
        <vt:i4>1179706</vt:i4>
      </vt:variant>
      <vt:variant>
        <vt:i4>470</vt:i4>
      </vt:variant>
      <vt:variant>
        <vt:i4>0</vt:i4>
      </vt:variant>
      <vt:variant>
        <vt:i4>5</vt:i4>
      </vt:variant>
      <vt:variant>
        <vt:lpwstr/>
      </vt:variant>
      <vt:variant>
        <vt:lpwstr>_Toc82022306</vt:lpwstr>
      </vt:variant>
      <vt:variant>
        <vt:i4>1114170</vt:i4>
      </vt:variant>
      <vt:variant>
        <vt:i4>464</vt:i4>
      </vt:variant>
      <vt:variant>
        <vt:i4>0</vt:i4>
      </vt:variant>
      <vt:variant>
        <vt:i4>5</vt:i4>
      </vt:variant>
      <vt:variant>
        <vt:lpwstr/>
      </vt:variant>
      <vt:variant>
        <vt:lpwstr>_Toc82022305</vt:lpwstr>
      </vt:variant>
      <vt:variant>
        <vt:i4>1048634</vt:i4>
      </vt:variant>
      <vt:variant>
        <vt:i4>458</vt:i4>
      </vt:variant>
      <vt:variant>
        <vt:i4>0</vt:i4>
      </vt:variant>
      <vt:variant>
        <vt:i4>5</vt:i4>
      </vt:variant>
      <vt:variant>
        <vt:lpwstr/>
      </vt:variant>
      <vt:variant>
        <vt:lpwstr>_Toc82022304</vt:lpwstr>
      </vt:variant>
      <vt:variant>
        <vt:i4>1507386</vt:i4>
      </vt:variant>
      <vt:variant>
        <vt:i4>452</vt:i4>
      </vt:variant>
      <vt:variant>
        <vt:i4>0</vt:i4>
      </vt:variant>
      <vt:variant>
        <vt:i4>5</vt:i4>
      </vt:variant>
      <vt:variant>
        <vt:lpwstr/>
      </vt:variant>
      <vt:variant>
        <vt:lpwstr>_Toc82022303</vt:lpwstr>
      </vt:variant>
      <vt:variant>
        <vt:i4>1441850</vt:i4>
      </vt:variant>
      <vt:variant>
        <vt:i4>446</vt:i4>
      </vt:variant>
      <vt:variant>
        <vt:i4>0</vt:i4>
      </vt:variant>
      <vt:variant>
        <vt:i4>5</vt:i4>
      </vt:variant>
      <vt:variant>
        <vt:lpwstr/>
      </vt:variant>
      <vt:variant>
        <vt:lpwstr>_Toc82022302</vt:lpwstr>
      </vt:variant>
      <vt:variant>
        <vt:i4>1376314</vt:i4>
      </vt:variant>
      <vt:variant>
        <vt:i4>440</vt:i4>
      </vt:variant>
      <vt:variant>
        <vt:i4>0</vt:i4>
      </vt:variant>
      <vt:variant>
        <vt:i4>5</vt:i4>
      </vt:variant>
      <vt:variant>
        <vt:lpwstr/>
      </vt:variant>
      <vt:variant>
        <vt:lpwstr>_Toc82022301</vt:lpwstr>
      </vt:variant>
      <vt:variant>
        <vt:i4>1310778</vt:i4>
      </vt:variant>
      <vt:variant>
        <vt:i4>434</vt:i4>
      </vt:variant>
      <vt:variant>
        <vt:i4>0</vt:i4>
      </vt:variant>
      <vt:variant>
        <vt:i4>5</vt:i4>
      </vt:variant>
      <vt:variant>
        <vt:lpwstr/>
      </vt:variant>
      <vt:variant>
        <vt:lpwstr>_Toc82022300</vt:lpwstr>
      </vt:variant>
      <vt:variant>
        <vt:i4>1835059</vt:i4>
      </vt:variant>
      <vt:variant>
        <vt:i4>428</vt:i4>
      </vt:variant>
      <vt:variant>
        <vt:i4>0</vt:i4>
      </vt:variant>
      <vt:variant>
        <vt:i4>5</vt:i4>
      </vt:variant>
      <vt:variant>
        <vt:lpwstr/>
      </vt:variant>
      <vt:variant>
        <vt:lpwstr>_Toc82022299</vt:lpwstr>
      </vt:variant>
      <vt:variant>
        <vt:i4>1900595</vt:i4>
      </vt:variant>
      <vt:variant>
        <vt:i4>422</vt:i4>
      </vt:variant>
      <vt:variant>
        <vt:i4>0</vt:i4>
      </vt:variant>
      <vt:variant>
        <vt:i4>5</vt:i4>
      </vt:variant>
      <vt:variant>
        <vt:lpwstr/>
      </vt:variant>
      <vt:variant>
        <vt:lpwstr>_Toc82022298</vt:lpwstr>
      </vt:variant>
      <vt:variant>
        <vt:i4>1179699</vt:i4>
      </vt:variant>
      <vt:variant>
        <vt:i4>416</vt:i4>
      </vt:variant>
      <vt:variant>
        <vt:i4>0</vt:i4>
      </vt:variant>
      <vt:variant>
        <vt:i4>5</vt:i4>
      </vt:variant>
      <vt:variant>
        <vt:lpwstr/>
      </vt:variant>
      <vt:variant>
        <vt:lpwstr>_Toc82022297</vt:lpwstr>
      </vt:variant>
      <vt:variant>
        <vt:i4>1245235</vt:i4>
      </vt:variant>
      <vt:variant>
        <vt:i4>410</vt:i4>
      </vt:variant>
      <vt:variant>
        <vt:i4>0</vt:i4>
      </vt:variant>
      <vt:variant>
        <vt:i4>5</vt:i4>
      </vt:variant>
      <vt:variant>
        <vt:lpwstr/>
      </vt:variant>
      <vt:variant>
        <vt:lpwstr>_Toc82022296</vt:lpwstr>
      </vt:variant>
      <vt:variant>
        <vt:i4>1048627</vt:i4>
      </vt:variant>
      <vt:variant>
        <vt:i4>404</vt:i4>
      </vt:variant>
      <vt:variant>
        <vt:i4>0</vt:i4>
      </vt:variant>
      <vt:variant>
        <vt:i4>5</vt:i4>
      </vt:variant>
      <vt:variant>
        <vt:lpwstr/>
      </vt:variant>
      <vt:variant>
        <vt:lpwstr>_Toc82022295</vt:lpwstr>
      </vt:variant>
      <vt:variant>
        <vt:i4>1114163</vt:i4>
      </vt:variant>
      <vt:variant>
        <vt:i4>398</vt:i4>
      </vt:variant>
      <vt:variant>
        <vt:i4>0</vt:i4>
      </vt:variant>
      <vt:variant>
        <vt:i4>5</vt:i4>
      </vt:variant>
      <vt:variant>
        <vt:lpwstr/>
      </vt:variant>
      <vt:variant>
        <vt:lpwstr>_Toc82022294</vt:lpwstr>
      </vt:variant>
      <vt:variant>
        <vt:i4>1441843</vt:i4>
      </vt:variant>
      <vt:variant>
        <vt:i4>392</vt:i4>
      </vt:variant>
      <vt:variant>
        <vt:i4>0</vt:i4>
      </vt:variant>
      <vt:variant>
        <vt:i4>5</vt:i4>
      </vt:variant>
      <vt:variant>
        <vt:lpwstr/>
      </vt:variant>
      <vt:variant>
        <vt:lpwstr>_Toc82022293</vt:lpwstr>
      </vt:variant>
      <vt:variant>
        <vt:i4>1507379</vt:i4>
      </vt:variant>
      <vt:variant>
        <vt:i4>386</vt:i4>
      </vt:variant>
      <vt:variant>
        <vt:i4>0</vt:i4>
      </vt:variant>
      <vt:variant>
        <vt:i4>5</vt:i4>
      </vt:variant>
      <vt:variant>
        <vt:lpwstr/>
      </vt:variant>
      <vt:variant>
        <vt:lpwstr>_Toc82022292</vt:lpwstr>
      </vt:variant>
      <vt:variant>
        <vt:i4>1310771</vt:i4>
      </vt:variant>
      <vt:variant>
        <vt:i4>380</vt:i4>
      </vt:variant>
      <vt:variant>
        <vt:i4>0</vt:i4>
      </vt:variant>
      <vt:variant>
        <vt:i4>5</vt:i4>
      </vt:variant>
      <vt:variant>
        <vt:lpwstr/>
      </vt:variant>
      <vt:variant>
        <vt:lpwstr>_Toc82022291</vt:lpwstr>
      </vt:variant>
      <vt:variant>
        <vt:i4>1376307</vt:i4>
      </vt:variant>
      <vt:variant>
        <vt:i4>374</vt:i4>
      </vt:variant>
      <vt:variant>
        <vt:i4>0</vt:i4>
      </vt:variant>
      <vt:variant>
        <vt:i4>5</vt:i4>
      </vt:variant>
      <vt:variant>
        <vt:lpwstr/>
      </vt:variant>
      <vt:variant>
        <vt:lpwstr>_Toc82022290</vt:lpwstr>
      </vt:variant>
      <vt:variant>
        <vt:i4>1835058</vt:i4>
      </vt:variant>
      <vt:variant>
        <vt:i4>368</vt:i4>
      </vt:variant>
      <vt:variant>
        <vt:i4>0</vt:i4>
      </vt:variant>
      <vt:variant>
        <vt:i4>5</vt:i4>
      </vt:variant>
      <vt:variant>
        <vt:lpwstr/>
      </vt:variant>
      <vt:variant>
        <vt:lpwstr>_Toc82022289</vt:lpwstr>
      </vt:variant>
      <vt:variant>
        <vt:i4>1900594</vt:i4>
      </vt:variant>
      <vt:variant>
        <vt:i4>362</vt:i4>
      </vt:variant>
      <vt:variant>
        <vt:i4>0</vt:i4>
      </vt:variant>
      <vt:variant>
        <vt:i4>5</vt:i4>
      </vt:variant>
      <vt:variant>
        <vt:lpwstr/>
      </vt:variant>
      <vt:variant>
        <vt:lpwstr>_Toc82022288</vt:lpwstr>
      </vt:variant>
      <vt:variant>
        <vt:i4>1179698</vt:i4>
      </vt:variant>
      <vt:variant>
        <vt:i4>356</vt:i4>
      </vt:variant>
      <vt:variant>
        <vt:i4>0</vt:i4>
      </vt:variant>
      <vt:variant>
        <vt:i4>5</vt:i4>
      </vt:variant>
      <vt:variant>
        <vt:lpwstr/>
      </vt:variant>
      <vt:variant>
        <vt:lpwstr>_Toc82022287</vt:lpwstr>
      </vt:variant>
      <vt:variant>
        <vt:i4>1245234</vt:i4>
      </vt:variant>
      <vt:variant>
        <vt:i4>350</vt:i4>
      </vt:variant>
      <vt:variant>
        <vt:i4>0</vt:i4>
      </vt:variant>
      <vt:variant>
        <vt:i4>5</vt:i4>
      </vt:variant>
      <vt:variant>
        <vt:lpwstr/>
      </vt:variant>
      <vt:variant>
        <vt:lpwstr>_Toc82022286</vt:lpwstr>
      </vt:variant>
      <vt:variant>
        <vt:i4>1048626</vt:i4>
      </vt:variant>
      <vt:variant>
        <vt:i4>344</vt:i4>
      </vt:variant>
      <vt:variant>
        <vt:i4>0</vt:i4>
      </vt:variant>
      <vt:variant>
        <vt:i4>5</vt:i4>
      </vt:variant>
      <vt:variant>
        <vt:lpwstr/>
      </vt:variant>
      <vt:variant>
        <vt:lpwstr>_Toc82022285</vt:lpwstr>
      </vt:variant>
      <vt:variant>
        <vt:i4>1114162</vt:i4>
      </vt:variant>
      <vt:variant>
        <vt:i4>338</vt:i4>
      </vt:variant>
      <vt:variant>
        <vt:i4>0</vt:i4>
      </vt:variant>
      <vt:variant>
        <vt:i4>5</vt:i4>
      </vt:variant>
      <vt:variant>
        <vt:lpwstr/>
      </vt:variant>
      <vt:variant>
        <vt:lpwstr>_Toc82022284</vt:lpwstr>
      </vt:variant>
      <vt:variant>
        <vt:i4>1441842</vt:i4>
      </vt:variant>
      <vt:variant>
        <vt:i4>332</vt:i4>
      </vt:variant>
      <vt:variant>
        <vt:i4>0</vt:i4>
      </vt:variant>
      <vt:variant>
        <vt:i4>5</vt:i4>
      </vt:variant>
      <vt:variant>
        <vt:lpwstr/>
      </vt:variant>
      <vt:variant>
        <vt:lpwstr>_Toc82022283</vt:lpwstr>
      </vt:variant>
      <vt:variant>
        <vt:i4>1507378</vt:i4>
      </vt:variant>
      <vt:variant>
        <vt:i4>326</vt:i4>
      </vt:variant>
      <vt:variant>
        <vt:i4>0</vt:i4>
      </vt:variant>
      <vt:variant>
        <vt:i4>5</vt:i4>
      </vt:variant>
      <vt:variant>
        <vt:lpwstr/>
      </vt:variant>
      <vt:variant>
        <vt:lpwstr>_Toc82022282</vt:lpwstr>
      </vt:variant>
      <vt:variant>
        <vt:i4>1310770</vt:i4>
      </vt:variant>
      <vt:variant>
        <vt:i4>320</vt:i4>
      </vt:variant>
      <vt:variant>
        <vt:i4>0</vt:i4>
      </vt:variant>
      <vt:variant>
        <vt:i4>5</vt:i4>
      </vt:variant>
      <vt:variant>
        <vt:lpwstr/>
      </vt:variant>
      <vt:variant>
        <vt:lpwstr>_Toc82022281</vt:lpwstr>
      </vt:variant>
      <vt:variant>
        <vt:i4>1376306</vt:i4>
      </vt:variant>
      <vt:variant>
        <vt:i4>314</vt:i4>
      </vt:variant>
      <vt:variant>
        <vt:i4>0</vt:i4>
      </vt:variant>
      <vt:variant>
        <vt:i4>5</vt:i4>
      </vt:variant>
      <vt:variant>
        <vt:lpwstr/>
      </vt:variant>
      <vt:variant>
        <vt:lpwstr>_Toc82022280</vt:lpwstr>
      </vt:variant>
      <vt:variant>
        <vt:i4>1835069</vt:i4>
      </vt:variant>
      <vt:variant>
        <vt:i4>308</vt:i4>
      </vt:variant>
      <vt:variant>
        <vt:i4>0</vt:i4>
      </vt:variant>
      <vt:variant>
        <vt:i4>5</vt:i4>
      </vt:variant>
      <vt:variant>
        <vt:lpwstr/>
      </vt:variant>
      <vt:variant>
        <vt:lpwstr>_Toc82022279</vt:lpwstr>
      </vt:variant>
      <vt:variant>
        <vt:i4>1900605</vt:i4>
      </vt:variant>
      <vt:variant>
        <vt:i4>302</vt:i4>
      </vt:variant>
      <vt:variant>
        <vt:i4>0</vt:i4>
      </vt:variant>
      <vt:variant>
        <vt:i4>5</vt:i4>
      </vt:variant>
      <vt:variant>
        <vt:lpwstr/>
      </vt:variant>
      <vt:variant>
        <vt:lpwstr>_Toc82022278</vt:lpwstr>
      </vt:variant>
      <vt:variant>
        <vt:i4>1179709</vt:i4>
      </vt:variant>
      <vt:variant>
        <vt:i4>296</vt:i4>
      </vt:variant>
      <vt:variant>
        <vt:i4>0</vt:i4>
      </vt:variant>
      <vt:variant>
        <vt:i4>5</vt:i4>
      </vt:variant>
      <vt:variant>
        <vt:lpwstr/>
      </vt:variant>
      <vt:variant>
        <vt:lpwstr>_Toc82022277</vt:lpwstr>
      </vt:variant>
      <vt:variant>
        <vt:i4>1245245</vt:i4>
      </vt:variant>
      <vt:variant>
        <vt:i4>290</vt:i4>
      </vt:variant>
      <vt:variant>
        <vt:i4>0</vt:i4>
      </vt:variant>
      <vt:variant>
        <vt:i4>5</vt:i4>
      </vt:variant>
      <vt:variant>
        <vt:lpwstr/>
      </vt:variant>
      <vt:variant>
        <vt:lpwstr>_Toc82022276</vt:lpwstr>
      </vt:variant>
      <vt:variant>
        <vt:i4>1048637</vt:i4>
      </vt:variant>
      <vt:variant>
        <vt:i4>284</vt:i4>
      </vt:variant>
      <vt:variant>
        <vt:i4>0</vt:i4>
      </vt:variant>
      <vt:variant>
        <vt:i4>5</vt:i4>
      </vt:variant>
      <vt:variant>
        <vt:lpwstr/>
      </vt:variant>
      <vt:variant>
        <vt:lpwstr>_Toc82022275</vt:lpwstr>
      </vt:variant>
      <vt:variant>
        <vt:i4>1114173</vt:i4>
      </vt:variant>
      <vt:variant>
        <vt:i4>278</vt:i4>
      </vt:variant>
      <vt:variant>
        <vt:i4>0</vt:i4>
      </vt:variant>
      <vt:variant>
        <vt:i4>5</vt:i4>
      </vt:variant>
      <vt:variant>
        <vt:lpwstr/>
      </vt:variant>
      <vt:variant>
        <vt:lpwstr>_Toc82022274</vt:lpwstr>
      </vt:variant>
      <vt:variant>
        <vt:i4>1441853</vt:i4>
      </vt:variant>
      <vt:variant>
        <vt:i4>272</vt:i4>
      </vt:variant>
      <vt:variant>
        <vt:i4>0</vt:i4>
      </vt:variant>
      <vt:variant>
        <vt:i4>5</vt:i4>
      </vt:variant>
      <vt:variant>
        <vt:lpwstr/>
      </vt:variant>
      <vt:variant>
        <vt:lpwstr>_Toc82022273</vt:lpwstr>
      </vt:variant>
      <vt:variant>
        <vt:i4>1507389</vt:i4>
      </vt:variant>
      <vt:variant>
        <vt:i4>266</vt:i4>
      </vt:variant>
      <vt:variant>
        <vt:i4>0</vt:i4>
      </vt:variant>
      <vt:variant>
        <vt:i4>5</vt:i4>
      </vt:variant>
      <vt:variant>
        <vt:lpwstr/>
      </vt:variant>
      <vt:variant>
        <vt:lpwstr>_Toc82022272</vt:lpwstr>
      </vt:variant>
      <vt:variant>
        <vt:i4>1310781</vt:i4>
      </vt:variant>
      <vt:variant>
        <vt:i4>260</vt:i4>
      </vt:variant>
      <vt:variant>
        <vt:i4>0</vt:i4>
      </vt:variant>
      <vt:variant>
        <vt:i4>5</vt:i4>
      </vt:variant>
      <vt:variant>
        <vt:lpwstr/>
      </vt:variant>
      <vt:variant>
        <vt:lpwstr>_Toc82022271</vt:lpwstr>
      </vt:variant>
      <vt:variant>
        <vt:i4>1376317</vt:i4>
      </vt:variant>
      <vt:variant>
        <vt:i4>254</vt:i4>
      </vt:variant>
      <vt:variant>
        <vt:i4>0</vt:i4>
      </vt:variant>
      <vt:variant>
        <vt:i4>5</vt:i4>
      </vt:variant>
      <vt:variant>
        <vt:lpwstr/>
      </vt:variant>
      <vt:variant>
        <vt:lpwstr>_Toc82022270</vt:lpwstr>
      </vt:variant>
      <vt:variant>
        <vt:i4>1835068</vt:i4>
      </vt:variant>
      <vt:variant>
        <vt:i4>248</vt:i4>
      </vt:variant>
      <vt:variant>
        <vt:i4>0</vt:i4>
      </vt:variant>
      <vt:variant>
        <vt:i4>5</vt:i4>
      </vt:variant>
      <vt:variant>
        <vt:lpwstr/>
      </vt:variant>
      <vt:variant>
        <vt:lpwstr>_Toc82022269</vt:lpwstr>
      </vt:variant>
      <vt:variant>
        <vt:i4>1900604</vt:i4>
      </vt:variant>
      <vt:variant>
        <vt:i4>242</vt:i4>
      </vt:variant>
      <vt:variant>
        <vt:i4>0</vt:i4>
      </vt:variant>
      <vt:variant>
        <vt:i4>5</vt:i4>
      </vt:variant>
      <vt:variant>
        <vt:lpwstr/>
      </vt:variant>
      <vt:variant>
        <vt:lpwstr>_Toc82022268</vt:lpwstr>
      </vt:variant>
      <vt:variant>
        <vt:i4>1179708</vt:i4>
      </vt:variant>
      <vt:variant>
        <vt:i4>236</vt:i4>
      </vt:variant>
      <vt:variant>
        <vt:i4>0</vt:i4>
      </vt:variant>
      <vt:variant>
        <vt:i4>5</vt:i4>
      </vt:variant>
      <vt:variant>
        <vt:lpwstr/>
      </vt:variant>
      <vt:variant>
        <vt:lpwstr>_Toc82022267</vt:lpwstr>
      </vt:variant>
      <vt:variant>
        <vt:i4>1245244</vt:i4>
      </vt:variant>
      <vt:variant>
        <vt:i4>230</vt:i4>
      </vt:variant>
      <vt:variant>
        <vt:i4>0</vt:i4>
      </vt:variant>
      <vt:variant>
        <vt:i4>5</vt:i4>
      </vt:variant>
      <vt:variant>
        <vt:lpwstr/>
      </vt:variant>
      <vt:variant>
        <vt:lpwstr>_Toc82022266</vt:lpwstr>
      </vt:variant>
      <vt:variant>
        <vt:i4>1048636</vt:i4>
      </vt:variant>
      <vt:variant>
        <vt:i4>224</vt:i4>
      </vt:variant>
      <vt:variant>
        <vt:i4>0</vt:i4>
      </vt:variant>
      <vt:variant>
        <vt:i4>5</vt:i4>
      </vt:variant>
      <vt:variant>
        <vt:lpwstr/>
      </vt:variant>
      <vt:variant>
        <vt:lpwstr>_Toc82022265</vt:lpwstr>
      </vt:variant>
      <vt:variant>
        <vt:i4>1114172</vt:i4>
      </vt:variant>
      <vt:variant>
        <vt:i4>218</vt:i4>
      </vt:variant>
      <vt:variant>
        <vt:i4>0</vt:i4>
      </vt:variant>
      <vt:variant>
        <vt:i4>5</vt:i4>
      </vt:variant>
      <vt:variant>
        <vt:lpwstr/>
      </vt:variant>
      <vt:variant>
        <vt:lpwstr>_Toc82022264</vt:lpwstr>
      </vt:variant>
      <vt:variant>
        <vt:i4>1441852</vt:i4>
      </vt:variant>
      <vt:variant>
        <vt:i4>212</vt:i4>
      </vt:variant>
      <vt:variant>
        <vt:i4>0</vt:i4>
      </vt:variant>
      <vt:variant>
        <vt:i4>5</vt:i4>
      </vt:variant>
      <vt:variant>
        <vt:lpwstr/>
      </vt:variant>
      <vt:variant>
        <vt:lpwstr>_Toc82022263</vt:lpwstr>
      </vt:variant>
      <vt:variant>
        <vt:i4>1507388</vt:i4>
      </vt:variant>
      <vt:variant>
        <vt:i4>206</vt:i4>
      </vt:variant>
      <vt:variant>
        <vt:i4>0</vt:i4>
      </vt:variant>
      <vt:variant>
        <vt:i4>5</vt:i4>
      </vt:variant>
      <vt:variant>
        <vt:lpwstr/>
      </vt:variant>
      <vt:variant>
        <vt:lpwstr>_Toc82022262</vt:lpwstr>
      </vt:variant>
      <vt:variant>
        <vt:i4>1310780</vt:i4>
      </vt:variant>
      <vt:variant>
        <vt:i4>200</vt:i4>
      </vt:variant>
      <vt:variant>
        <vt:i4>0</vt:i4>
      </vt:variant>
      <vt:variant>
        <vt:i4>5</vt:i4>
      </vt:variant>
      <vt:variant>
        <vt:lpwstr/>
      </vt:variant>
      <vt:variant>
        <vt:lpwstr>_Toc82022261</vt:lpwstr>
      </vt:variant>
      <vt:variant>
        <vt:i4>1376316</vt:i4>
      </vt:variant>
      <vt:variant>
        <vt:i4>194</vt:i4>
      </vt:variant>
      <vt:variant>
        <vt:i4>0</vt:i4>
      </vt:variant>
      <vt:variant>
        <vt:i4>5</vt:i4>
      </vt:variant>
      <vt:variant>
        <vt:lpwstr/>
      </vt:variant>
      <vt:variant>
        <vt:lpwstr>_Toc82022260</vt:lpwstr>
      </vt:variant>
      <vt:variant>
        <vt:i4>1835071</vt:i4>
      </vt:variant>
      <vt:variant>
        <vt:i4>188</vt:i4>
      </vt:variant>
      <vt:variant>
        <vt:i4>0</vt:i4>
      </vt:variant>
      <vt:variant>
        <vt:i4>5</vt:i4>
      </vt:variant>
      <vt:variant>
        <vt:lpwstr/>
      </vt:variant>
      <vt:variant>
        <vt:lpwstr>_Toc82022259</vt:lpwstr>
      </vt:variant>
      <vt:variant>
        <vt:i4>1900607</vt:i4>
      </vt:variant>
      <vt:variant>
        <vt:i4>182</vt:i4>
      </vt:variant>
      <vt:variant>
        <vt:i4>0</vt:i4>
      </vt:variant>
      <vt:variant>
        <vt:i4>5</vt:i4>
      </vt:variant>
      <vt:variant>
        <vt:lpwstr/>
      </vt:variant>
      <vt:variant>
        <vt:lpwstr>_Toc82022258</vt:lpwstr>
      </vt:variant>
      <vt:variant>
        <vt:i4>1179711</vt:i4>
      </vt:variant>
      <vt:variant>
        <vt:i4>176</vt:i4>
      </vt:variant>
      <vt:variant>
        <vt:i4>0</vt:i4>
      </vt:variant>
      <vt:variant>
        <vt:i4>5</vt:i4>
      </vt:variant>
      <vt:variant>
        <vt:lpwstr/>
      </vt:variant>
      <vt:variant>
        <vt:lpwstr>_Toc82022257</vt:lpwstr>
      </vt:variant>
      <vt:variant>
        <vt:i4>1245247</vt:i4>
      </vt:variant>
      <vt:variant>
        <vt:i4>170</vt:i4>
      </vt:variant>
      <vt:variant>
        <vt:i4>0</vt:i4>
      </vt:variant>
      <vt:variant>
        <vt:i4>5</vt:i4>
      </vt:variant>
      <vt:variant>
        <vt:lpwstr/>
      </vt:variant>
      <vt:variant>
        <vt:lpwstr>_Toc82022256</vt:lpwstr>
      </vt:variant>
      <vt:variant>
        <vt:i4>1048639</vt:i4>
      </vt:variant>
      <vt:variant>
        <vt:i4>164</vt:i4>
      </vt:variant>
      <vt:variant>
        <vt:i4>0</vt:i4>
      </vt:variant>
      <vt:variant>
        <vt:i4>5</vt:i4>
      </vt:variant>
      <vt:variant>
        <vt:lpwstr/>
      </vt:variant>
      <vt:variant>
        <vt:lpwstr>_Toc82022255</vt:lpwstr>
      </vt:variant>
      <vt:variant>
        <vt:i4>1114175</vt:i4>
      </vt:variant>
      <vt:variant>
        <vt:i4>158</vt:i4>
      </vt:variant>
      <vt:variant>
        <vt:i4>0</vt:i4>
      </vt:variant>
      <vt:variant>
        <vt:i4>5</vt:i4>
      </vt:variant>
      <vt:variant>
        <vt:lpwstr/>
      </vt:variant>
      <vt:variant>
        <vt:lpwstr>_Toc82022254</vt:lpwstr>
      </vt:variant>
      <vt:variant>
        <vt:i4>1441855</vt:i4>
      </vt:variant>
      <vt:variant>
        <vt:i4>152</vt:i4>
      </vt:variant>
      <vt:variant>
        <vt:i4>0</vt:i4>
      </vt:variant>
      <vt:variant>
        <vt:i4>5</vt:i4>
      </vt:variant>
      <vt:variant>
        <vt:lpwstr/>
      </vt:variant>
      <vt:variant>
        <vt:lpwstr>_Toc82022253</vt:lpwstr>
      </vt:variant>
      <vt:variant>
        <vt:i4>1507391</vt:i4>
      </vt:variant>
      <vt:variant>
        <vt:i4>146</vt:i4>
      </vt:variant>
      <vt:variant>
        <vt:i4>0</vt:i4>
      </vt:variant>
      <vt:variant>
        <vt:i4>5</vt:i4>
      </vt:variant>
      <vt:variant>
        <vt:lpwstr/>
      </vt:variant>
      <vt:variant>
        <vt:lpwstr>_Toc82022252</vt:lpwstr>
      </vt:variant>
      <vt:variant>
        <vt:i4>1310783</vt:i4>
      </vt:variant>
      <vt:variant>
        <vt:i4>140</vt:i4>
      </vt:variant>
      <vt:variant>
        <vt:i4>0</vt:i4>
      </vt:variant>
      <vt:variant>
        <vt:i4>5</vt:i4>
      </vt:variant>
      <vt:variant>
        <vt:lpwstr/>
      </vt:variant>
      <vt:variant>
        <vt:lpwstr>_Toc82022251</vt:lpwstr>
      </vt:variant>
      <vt:variant>
        <vt:i4>1376319</vt:i4>
      </vt:variant>
      <vt:variant>
        <vt:i4>134</vt:i4>
      </vt:variant>
      <vt:variant>
        <vt:i4>0</vt:i4>
      </vt:variant>
      <vt:variant>
        <vt:i4>5</vt:i4>
      </vt:variant>
      <vt:variant>
        <vt:lpwstr/>
      </vt:variant>
      <vt:variant>
        <vt:lpwstr>_Toc82022250</vt:lpwstr>
      </vt:variant>
      <vt:variant>
        <vt:i4>1835070</vt:i4>
      </vt:variant>
      <vt:variant>
        <vt:i4>128</vt:i4>
      </vt:variant>
      <vt:variant>
        <vt:i4>0</vt:i4>
      </vt:variant>
      <vt:variant>
        <vt:i4>5</vt:i4>
      </vt:variant>
      <vt:variant>
        <vt:lpwstr/>
      </vt:variant>
      <vt:variant>
        <vt:lpwstr>_Toc82022249</vt:lpwstr>
      </vt:variant>
      <vt:variant>
        <vt:i4>1900606</vt:i4>
      </vt:variant>
      <vt:variant>
        <vt:i4>122</vt:i4>
      </vt:variant>
      <vt:variant>
        <vt:i4>0</vt:i4>
      </vt:variant>
      <vt:variant>
        <vt:i4>5</vt:i4>
      </vt:variant>
      <vt:variant>
        <vt:lpwstr/>
      </vt:variant>
      <vt:variant>
        <vt:lpwstr>_Toc82022248</vt:lpwstr>
      </vt:variant>
      <vt:variant>
        <vt:i4>1179710</vt:i4>
      </vt:variant>
      <vt:variant>
        <vt:i4>116</vt:i4>
      </vt:variant>
      <vt:variant>
        <vt:i4>0</vt:i4>
      </vt:variant>
      <vt:variant>
        <vt:i4>5</vt:i4>
      </vt:variant>
      <vt:variant>
        <vt:lpwstr/>
      </vt:variant>
      <vt:variant>
        <vt:lpwstr>_Toc82022247</vt:lpwstr>
      </vt:variant>
      <vt:variant>
        <vt:i4>1245246</vt:i4>
      </vt:variant>
      <vt:variant>
        <vt:i4>110</vt:i4>
      </vt:variant>
      <vt:variant>
        <vt:i4>0</vt:i4>
      </vt:variant>
      <vt:variant>
        <vt:i4>5</vt:i4>
      </vt:variant>
      <vt:variant>
        <vt:lpwstr/>
      </vt:variant>
      <vt:variant>
        <vt:lpwstr>_Toc82022246</vt:lpwstr>
      </vt:variant>
      <vt:variant>
        <vt:i4>1048638</vt:i4>
      </vt:variant>
      <vt:variant>
        <vt:i4>104</vt:i4>
      </vt:variant>
      <vt:variant>
        <vt:i4>0</vt:i4>
      </vt:variant>
      <vt:variant>
        <vt:i4>5</vt:i4>
      </vt:variant>
      <vt:variant>
        <vt:lpwstr/>
      </vt:variant>
      <vt:variant>
        <vt:lpwstr>_Toc82022245</vt:lpwstr>
      </vt:variant>
      <vt:variant>
        <vt:i4>1114174</vt:i4>
      </vt:variant>
      <vt:variant>
        <vt:i4>98</vt:i4>
      </vt:variant>
      <vt:variant>
        <vt:i4>0</vt:i4>
      </vt:variant>
      <vt:variant>
        <vt:i4>5</vt:i4>
      </vt:variant>
      <vt:variant>
        <vt:lpwstr/>
      </vt:variant>
      <vt:variant>
        <vt:lpwstr>_Toc82022244</vt:lpwstr>
      </vt:variant>
      <vt:variant>
        <vt:i4>1441854</vt:i4>
      </vt:variant>
      <vt:variant>
        <vt:i4>92</vt:i4>
      </vt:variant>
      <vt:variant>
        <vt:i4>0</vt:i4>
      </vt:variant>
      <vt:variant>
        <vt:i4>5</vt:i4>
      </vt:variant>
      <vt:variant>
        <vt:lpwstr/>
      </vt:variant>
      <vt:variant>
        <vt:lpwstr>_Toc82022243</vt:lpwstr>
      </vt:variant>
      <vt:variant>
        <vt:i4>1507390</vt:i4>
      </vt:variant>
      <vt:variant>
        <vt:i4>86</vt:i4>
      </vt:variant>
      <vt:variant>
        <vt:i4>0</vt:i4>
      </vt:variant>
      <vt:variant>
        <vt:i4>5</vt:i4>
      </vt:variant>
      <vt:variant>
        <vt:lpwstr/>
      </vt:variant>
      <vt:variant>
        <vt:lpwstr>_Toc82022242</vt:lpwstr>
      </vt:variant>
      <vt:variant>
        <vt:i4>1310782</vt:i4>
      </vt:variant>
      <vt:variant>
        <vt:i4>80</vt:i4>
      </vt:variant>
      <vt:variant>
        <vt:i4>0</vt:i4>
      </vt:variant>
      <vt:variant>
        <vt:i4>5</vt:i4>
      </vt:variant>
      <vt:variant>
        <vt:lpwstr/>
      </vt:variant>
      <vt:variant>
        <vt:lpwstr>_Toc82022241</vt:lpwstr>
      </vt:variant>
      <vt:variant>
        <vt:i4>1376318</vt:i4>
      </vt:variant>
      <vt:variant>
        <vt:i4>74</vt:i4>
      </vt:variant>
      <vt:variant>
        <vt:i4>0</vt:i4>
      </vt:variant>
      <vt:variant>
        <vt:i4>5</vt:i4>
      </vt:variant>
      <vt:variant>
        <vt:lpwstr/>
      </vt:variant>
      <vt:variant>
        <vt:lpwstr>_Toc82022240</vt:lpwstr>
      </vt:variant>
      <vt:variant>
        <vt:i4>1835065</vt:i4>
      </vt:variant>
      <vt:variant>
        <vt:i4>68</vt:i4>
      </vt:variant>
      <vt:variant>
        <vt:i4>0</vt:i4>
      </vt:variant>
      <vt:variant>
        <vt:i4>5</vt:i4>
      </vt:variant>
      <vt:variant>
        <vt:lpwstr/>
      </vt:variant>
      <vt:variant>
        <vt:lpwstr>_Toc82022239</vt:lpwstr>
      </vt:variant>
      <vt:variant>
        <vt:i4>1900601</vt:i4>
      </vt:variant>
      <vt:variant>
        <vt:i4>62</vt:i4>
      </vt:variant>
      <vt:variant>
        <vt:i4>0</vt:i4>
      </vt:variant>
      <vt:variant>
        <vt:i4>5</vt:i4>
      </vt:variant>
      <vt:variant>
        <vt:lpwstr/>
      </vt:variant>
      <vt:variant>
        <vt:lpwstr>_Toc82022238</vt:lpwstr>
      </vt:variant>
      <vt:variant>
        <vt:i4>1179705</vt:i4>
      </vt:variant>
      <vt:variant>
        <vt:i4>56</vt:i4>
      </vt:variant>
      <vt:variant>
        <vt:i4>0</vt:i4>
      </vt:variant>
      <vt:variant>
        <vt:i4>5</vt:i4>
      </vt:variant>
      <vt:variant>
        <vt:lpwstr/>
      </vt:variant>
      <vt:variant>
        <vt:lpwstr>_Toc82022237</vt:lpwstr>
      </vt:variant>
      <vt:variant>
        <vt:i4>1245241</vt:i4>
      </vt:variant>
      <vt:variant>
        <vt:i4>50</vt:i4>
      </vt:variant>
      <vt:variant>
        <vt:i4>0</vt:i4>
      </vt:variant>
      <vt:variant>
        <vt:i4>5</vt:i4>
      </vt:variant>
      <vt:variant>
        <vt:lpwstr/>
      </vt:variant>
      <vt:variant>
        <vt:lpwstr>_Toc82022236</vt:lpwstr>
      </vt:variant>
      <vt:variant>
        <vt:i4>1048633</vt:i4>
      </vt:variant>
      <vt:variant>
        <vt:i4>44</vt:i4>
      </vt:variant>
      <vt:variant>
        <vt:i4>0</vt:i4>
      </vt:variant>
      <vt:variant>
        <vt:i4>5</vt:i4>
      </vt:variant>
      <vt:variant>
        <vt:lpwstr/>
      </vt:variant>
      <vt:variant>
        <vt:lpwstr>_Toc82022235</vt:lpwstr>
      </vt:variant>
      <vt:variant>
        <vt:i4>1114169</vt:i4>
      </vt:variant>
      <vt:variant>
        <vt:i4>38</vt:i4>
      </vt:variant>
      <vt:variant>
        <vt:i4>0</vt:i4>
      </vt:variant>
      <vt:variant>
        <vt:i4>5</vt:i4>
      </vt:variant>
      <vt:variant>
        <vt:lpwstr/>
      </vt:variant>
      <vt:variant>
        <vt:lpwstr>_Toc82022234</vt:lpwstr>
      </vt:variant>
      <vt:variant>
        <vt:i4>1441849</vt:i4>
      </vt:variant>
      <vt:variant>
        <vt:i4>32</vt:i4>
      </vt:variant>
      <vt:variant>
        <vt:i4>0</vt:i4>
      </vt:variant>
      <vt:variant>
        <vt:i4>5</vt:i4>
      </vt:variant>
      <vt:variant>
        <vt:lpwstr/>
      </vt:variant>
      <vt:variant>
        <vt:lpwstr>_Toc82022233</vt:lpwstr>
      </vt:variant>
      <vt:variant>
        <vt:i4>1507385</vt:i4>
      </vt:variant>
      <vt:variant>
        <vt:i4>26</vt:i4>
      </vt:variant>
      <vt:variant>
        <vt:i4>0</vt:i4>
      </vt:variant>
      <vt:variant>
        <vt:i4>5</vt:i4>
      </vt:variant>
      <vt:variant>
        <vt:lpwstr/>
      </vt:variant>
      <vt:variant>
        <vt:lpwstr>_Toc82022232</vt:lpwstr>
      </vt:variant>
      <vt:variant>
        <vt:i4>1310777</vt:i4>
      </vt:variant>
      <vt:variant>
        <vt:i4>20</vt:i4>
      </vt:variant>
      <vt:variant>
        <vt:i4>0</vt:i4>
      </vt:variant>
      <vt:variant>
        <vt:i4>5</vt:i4>
      </vt:variant>
      <vt:variant>
        <vt:lpwstr/>
      </vt:variant>
      <vt:variant>
        <vt:lpwstr>_Toc82022231</vt:lpwstr>
      </vt:variant>
      <vt:variant>
        <vt:i4>1376313</vt:i4>
      </vt:variant>
      <vt:variant>
        <vt:i4>14</vt:i4>
      </vt:variant>
      <vt:variant>
        <vt:i4>0</vt:i4>
      </vt:variant>
      <vt:variant>
        <vt:i4>5</vt:i4>
      </vt:variant>
      <vt:variant>
        <vt:lpwstr/>
      </vt:variant>
      <vt:variant>
        <vt:lpwstr>_Toc82022230</vt:lpwstr>
      </vt:variant>
      <vt:variant>
        <vt:i4>1835064</vt:i4>
      </vt:variant>
      <vt:variant>
        <vt:i4>8</vt:i4>
      </vt:variant>
      <vt:variant>
        <vt:i4>0</vt:i4>
      </vt:variant>
      <vt:variant>
        <vt:i4>5</vt:i4>
      </vt:variant>
      <vt:variant>
        <vt:lpwstr/>
      </vt:variant>
      <vt:variant>
        <vt:lpwstr>_Toc82022229</vt:lpwstr>
      </vt:variant>
      <vt:variant>
        <vt:i4>1900600</vt:i4>
      </vt:variant>
      <vt:variant>
        <vt:i4>2</vt:i4>
      </vt:variant>
      <vt:variant>
        <vt:i4>0</vt:i4>
      </vt:variant>
      <vt:variant>
        <vt:i4>5</vt:i4>
      </vt:variant>
      <vt:variant>
        <vt:lpwstr/>
      </vt:variant>
      <vt:variant>
        <vt:lpwstr>_Toc82022228</vt:lpwstr>
      </vt:variant>
      <vt:variant>
        <vt:i4>7602298</vt:i4>
      </vt:variant>
      <vt:variant>
        <vt:i4>21</vt:i4>
      </vt:variant>
      <vt:variant>
        <vt:i4>0</vt:i4>
      </vt:variant>
      <vt:variant>
        <vt:i4>5</vt:i4>
      </vt:variant>
      <vt:variant>
        <vt:lpwstr>https://www.health.nsw.gov.au/aod/programs/Pages/naloxone-ngo-and-private-service.aspx</vt:lpwstr>
      </vt:variant>
      <vt:variant>
        <vt:lpwstr/>
      </vt:variant>
      <vt:variant>
        <vt:i4>5046296</vt:i4>
      </vt:variant>
      <vt:variant>
        <vt:i4>18</vt:i4>
      </vt:variant>
      <vt:variant>
        <vt:i4>0</vt:i4>
      </vt:variant>
      <vt:variant>
        <vt:i4>5</vt:i4>
      </vt:variant>
      <vt:variant>
        <vt:lpwstr>https://www.health.nsw.gov.au/aod/programs/Pages/naloxone-public-health-services.aspx</vt:lpwstr>
      </vt:variant>
      <vt:variant>
        <vt:lpwstr/>
      </vt:variant>
      <vt:variant>
        <vt:i4>7405617</vt:i4>
      </vt:variant>
      <vt:variant>
        <vt:i4>15</vt:i4>
      </vt:variant>
      <vt:variant>
        <vt:i4>0</vt:i4>
      </vt:variant>
      <vt:variant>
        <vt:i4>5</vt:i4>
      </vt:variant>
      <vt:variant>
        <vt:lpwstr>https://www.mhc.wa.gov.au/reports-and-resources/resources/health-professional-resources/take-home-naloxone/</vt:lpwstr>
      </vt:variant>
      <vt:variant>
        <vt:lpwstr/>
      </vt:variant>
      <vt:variant>
        <vt:i4>262218</vt:i4>
      </vt:variant>
      <vt:variant>
        <vt:i4>12</vt:i4>
      </vt:variant>
      <vt:variant>
        <vt:i4>0</vt:i4>
      </vt:variant>
      <vt:variant>
        <vt:i4>5</vt:i4>
      </vt:variant>
      <vt:variant>
        <vt:lpwstr>https://www.pbs.gov.au/info/statistics/expenditure-prescriptions/pb-expenditure-and-prescriptions-report-1-july-2019</vt:lpwstr>
      </vt:variant>
      <vt:variant>
        <vt:lpwstr/>
      </vt:variant>
      <vt:variant>
        <vt:i4>786499</vt:i4>
      </vt:variant>
      <vt:variant>
        <vt:i4>9</vt:i4>
      </vt:variant>
      <vt:variant>
        <vt:i4>0</vt:i4>
      </vt:variant>
      <vt:variant>
        <vt:i4>5</vt:i4>
      </vt:variant>
      <vt:variant>
        <vt:lpwstr>https://my.psa.org.au/s/article/Naloxone-S3-guidance-document</vt:lpwstr>
      </vt:variant>
      <vt:variant>
        <vt:lpwstr/>
      </vt:variant>
      <vt:variant>
        <vt:i4>4653087</vt:i4>
      </vt:variant>
      <vt:variant>
        <vt:i4>6</vt:i4>
      </vt:variant>
      <vt:variant>
        <vt:i4>0</vt:i4>
      </vt:variant>
      <vt:variant>
        <vt:i4>5</vt:i4>
      </vt:variant>
      <vt:variant>
        <vt:lpwstr>https://www.shpa.org.au/news/new-guidelines-support-opioid-overdose-intervention</vt:lpwstr>
      </vt:variant>
      <vt:variant>
        <vt:lpwstr/>
      </vt:variant>
      <vt:variant>
        <vt:i4>7078012</vt:i4>
      </vt:variant>
      <vt:variant>
        <vt:i4>3</vt:i4>
      </vt:variant>
      <vt:variant>
        <vt:i4>0</vt:i4>
      </vt:variant>
      <vt:variant>
        <vt:i4>5</vt:i4>
      </vt:variant>
      <vt:variant>
        <vt:lpwstr>https://overdoselifesavers.org/</vt:lpwstr>
      </vt:variant>
      <vt:variant>
        <vt:lpwstr/>
      </vt:variant>
      <vt:variant>
        <vt:i4>7340139</vt:i4>
      </vt:variant>
      <vt:variant>
        <vt:i4>0</vt:i4>
      </vt:variant>
      <vt:variant>
        <vt:i4>0</vt:i4>
      </vt:variant>
      <vt:variant>
        <vt:i4>5</vt:i4>
      </vt:variant>
      <vt:variant>
        <vt:lpwstr>https://www.ppaonline.com.au/naloxone-pilot</vt:lpwstr>
      </vt:variant>
      <vt:variant>
        <vt:lpwstr/>
      </vt:variant>
      <vt:variant>
        <vt:i4>5177426</vt:i4>
      </vt:variant>
      <vt:variant>
        <vt:i4>12</vt:i4>
      </vt:variant>
      <vt:variant>
        <vt:i4>0</vt:i4>
      </vt:variant>
      <vt:variant>
        <vt:i4>5</vt:i4>
      </vt:variant>
      <vt:variant>
        <vt:lpwstr>http://www.us.edu.au/</vt:lpwstr>
      </vt:variant>
      <vt:variant>
        <vt:lpwstr/>
      </vt:variant>
      <vt:variant>
        <vt:i4>2097242</vt:i4>
      </vt:variant>
      <vt:variant>
        <vt:i4>9</vt:i4>
      </vt:variant>
      <vt:variant>
        <vt:i4>0</vt:i4>
      </vt:variant>
      <vt:variant>
        <vt:i4>5</vt:i4>
      </vt:variant>
      <vt:variant>
        <vt:lpwstr>mailto:john@uq.edu.au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the Pharmaceutical Benefits Scheme Subsidised Take Home Naloxone Pilot</dc:title>
  <dc:subject>Institute for Social Science Research</dc:subject>
  <dc:creator>Australian Governemnt Deparment of Health</dc:creator>
  <cp:keywords/>
  <dc:description/>
  <cp:lastModifiedBy>JACOB, Reuben</cp:lastModifiedBy>
  <cp:revision>8</cp:revision>
  <cp:lastPrinted>2021-10-27T00:49:00Z</cp:lastPrinted>
  <dcterms:created xsi:type="dcterms:W3CDTF">2022-02-03T00:44:00Z</dcterms:created>
  <dcterms:modified xsi:type="dcterms:W3CDTF">2022-02-04T00:23:00Z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0x010100575BED8AAF56764781957566485FAC61</vt:lpwstr>
  </property>
  <property fmtid="{D5CDD505-2E9C-101B-9397-08002B2CF9AE}" pid="3" name="MSIP_Label_37382bf1-026c-423b-a2f3-9729d1fde3ca_Enabled">
    <vt:lpwstr>true</vt:lpwstr>
  </property>
  <property fmtid="{D5CDD505-2E9C-101B-9397-08002B2CF9AE}" pid="4" name="MSIP_Label_37382bf1-026c-423b-a2f3-9729d1fde3ca_SetDate">
    <vt:lpwstr>2022-01-31T02:40:35Z</vt:lpwstr>
  </property>
  <property fmtid="{D5CDD505-2E9C-101B-9397-08002B2CF9AE}" pid="5" name="MSIP_Label_37382bf1-026c-423b-a2f3-9729d1fde3ca_Method">
    <vt:lpwstr>Privileged</vt:lpwstr>
  </property>
  <property fmtid="{D5CDD505-2E9C-101B-9397-08002B2CF9AE}" pid="6" name="MSIP_Label_37382bf1-026c-423b-a2f3-9729d1fde3ca_Name">
    <vt:lpwstr>OFFICIAL - PUBLIC</vt:lpwstr>
  </property>
  <property fmtid="{D5CDD505-2E9C-101B-9397-08002B2CF9AE}" pid="7" name="MSIP_Label_37382bf1-026c-423b-a2f3-9729d1fde3ca_SiteId">
    <vt:lpwstr>b6e377cf-9db3-46cb-91a2-fad9605bb15c</vt:lpwstr>
  </property>
  <property fmtid="{D5CDD505-2E9C-101B-9397-08002B2CF9AE}" pid="8" name="MSIP_Label_37382bf1-026c-423b-a2f3-9729d1fde3ca_ActionId">
    <vt:lpwstr>b7beea9d-c7d9-497f-ae17-67e12958831e</vt:lpwstr>
  </property>
  <property fmtid="{D5CDD505-2E9C-101B-9397-08002B2CF9AE}" pid="9" name="MSIP_Label_37382bf1-026c-423b-a2f3-9729d1fde3ca_ContentBits">
    <vt:lpwstr>0</vt:lpwstr>
  </property>
</Properties>
</file>