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CBE88" w14:textId="30684313" w:rsidR="00356477" w:rsidRDefault="00356477" w:rsidP="00356477">
      <w:pPr>
        <w:jc w:val="center"/>
      </w:pPr>
      <w:r w:rsidRPr="0026414E">
        <w:rPr>
          <w:rFonts w:ascii="Verdana" w:hAnsi="Verdana"/>
          <w:b/>
          <w:noProof/>
          <w:lang w:eastAsia="en-AU"/>
        </w:rPr>
        <w:drawing>
          <wp:inline distT="0" distB="0" distL="0" distR="0" wp14:anchorId="7D94D9C1" wp14:editId="534C47B8">
            <wp:extent cx="2295525" cy="866775"/>
            <wp:effectExtent l="0" t="0" r="9525" b="9525"/>
            <wp:docPr id="1" name="Picture 1" descr="Breast Scree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reast Screen Australi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866775"/>
                    </a:xfrm>
                    <a:prstGeom prst="rect">
                      <a:avLst/>
                    </a:prstGeom>
                    <a:noFill/>
                    <a:ln>
                      <a:noFill/>
                    </a:ln>
                  </pic:spPr>
                </pic:pic>
              </a:graphicData>
            </a:graphic>
          </wp:inline>
        </w:drawing>
      </w:r>
    </w:p>
    <w:p w14:paraId="6B7A6C25" w14:textId="16EE67C1" w:rsidR="00356477" w:rsidRDefault="00356477" w:rsidP="00356477">
      <w:pPr>
        <w:spacing w:before="60" w:after="60"/>
        <w:jc w:val="center"/>
        <w:rPr>
          <w:rFonts w:ascii="Verdana" w:hAnsi="Verdana" w:cs="Arial"/>
          <w:b/>
        </w:rPr>
      </w:pPr>
      <w:r>
        <w:rPr>
          <w:rFonts w:ascii="Verdana" w:hAnsi="Verdana" w:cs="Arial"/>
          <w:b/>
        </w:rPr>
        <w:t>Clinical Advisory Committee advice:</w:t>
      </w:r>
    </w:p>
    <w:p w14:paraId="035551B0" w14:textId="77777777" w:rsidR="00356477" w:rsidRDefault="00356477" w:rsidP="00356477">
      <w:pPr>
        <w:spacing w:before="60" w:after="60"/>
        <w:jc w:val="center"/>
        <w:rPr>
          <w:rFonts w:ascii="Verdana" w:hAnsi="Verdana" w:cs="Arial"/>
          <w:b/>
          <w:i/>
        </w:rPr>
      </w:pPr>
      <w:r>
        <w:rPr>
          <w:rFonts w:ascii="Verdana" w:hAnsi="Verdana" w:cs="Arial"/>
          <w:b/>
          <w:i/>
        </w:rPr>
        <w:t>Consistent protocols on radial scars</w:t>
      </w:r>
    </w:p>
    <w:p w14:paraId="530F0C3D" w14:textId="2472B7B2" w:rsidR="00356477" w:rsidRDefault="00356477" w:rsidP="00BE26DD">
      <w:pPr>
        <w:spacing w:before="60" w:after="60" w:line="240" w:lineRule="auto"/>
        <w:rPr>
          <w:rFonts w:ascii="Verdana" w:hAnsi="Verdana" w:cs="Arial"/>
          <w:b/>
        </w:rPr>
      </w:pPr>
      <w:r w:rsidRPr="00356477">
        <w:rPr>
          <w:rFonts w:ascii="Verdana" w:hAnsi="Verdana" w:cs="Arial"/>
          <w:b/>
        </w:rPr>
        <w:t xml:space="preserve">Date developed by CAC: </w:t>
      </w:r>
      <w:r w:rsidR="00BE26DD">
        <w:rPr>
          <w:rFonts w:ascii="Verdana" w:hAnsi="Verdana" w:cs="Arial"/>
          <w:b/>
        </w:rPr>
        <w:tab/>
      </w:r>
      <w:r w:rsidR="00BE26DD">
        <w:rPr>
          <w:rFonts w:ascii="Verdana" w:hAnsi="Verdana" w:cs="Arial"/>
          <w:b/>
        </w:rPr>
        <w:tab/>
      </w:r>
      <w:r w:rsidRPr="00356477">
        <w:rPr>
          <w:rFonts w:ascii="Verdana" w:hAnsi="Verdana" w:cs="Arial"/>
          <w:b/>
        </w:rPr>
        <w:t>11 June 2019</w:t>
      </w:r>
    </w:p>
    <w:p w14:paraId="76CCB317" w14:textId="5FFDDA8A" w:rsidR="00356477" w:rsidRDefault="00356477" w:rsidP="00BE26DD">
      <w:pPr>
        <w:spacing w:before="60" w:after="60" w:line="240" w:lineRule="auto"/>
        <w:rPr>
          <w:rFonts w:ascii="Verdana" w:hAnsi="Verdana" w:cs="Arial"/>
          <w:b/>
        </w:rPr>
      </w:pPr>
      <w:r w:rsidRPr="00356477">
        <w:rPr>
          <w:rFonts w:ascii="Verdana" w:hAnsi="Verdana" w:cs="Arial"/>
          <w:b/>
        </w:rPr>
        <w:t xml:space="preserve">Date of PMG endorsement: </w:t>
      </w:r>
      <w:r w:rsidR="00BE26DD">
        <w:rPr>
          <w:rFonts w:ascii="Verdana" w:hAnsi="Verdana" w:cs="Arial"/>
          <w:b/>
        </w:rPr>
        <w:tab/>
      </w:r>
      <w:r w:rsidRPr="00356477">
        <w:rPr>
          <w:rFonts w:ascii="Verdana" w:hAnsi="Verdana" w:cs="Arial"/>
          <w:b/>
        </w:rPr>
        <w:t>14-15 October 2019</w:t>
      </w:r>
    </w:p>
    <w:p w14:paraId="2933C626" w14:textId="3DA021AE" w:rsidR="00356477" w:rsidRDefault="00356477" w:rsidP="00BE26DD">
      <w:pPr>
        <w:spacing w:before="60" w:after="60" w:line="240" w:lineRule="auto"/>
        <w:rPr>
          <w:rFonts w:ascii="Verdana" w:hAnsi="Verdana" w:cs="Arial"/>
          <w:b/>
        </w:rPr>
      </w:pPr>
      <w:r w:rsidRPr="00356477">
        <w:rPr>
          <w:rFonts w:ascii="Verdana" w:hAnsi="Verdana" w:cs="Arial"/>
          <w:b/>
        </w:rPr>
        <w:t xml:space="preserve">Version number: </w:t>
      </w:r>
      <w:r w:rsidR="00BE26DD">
        <w:rPr>
          <w:rFonts w:ascii="Verdana" w:hAnsi="Verdana" w:cs="Arial"/>
          <w:b/>
        </w:rPr>
        <w:tab/>
      </w:r>
      <w:r w:rsidR="00BE26DD">
        <w:rPr>
          <w:rFonts w:ascii="Verdana" w:hAnsi="Verdana" w:cs="Arial"/>
          <w:b/>
        </w:rPr>
        <w:tab/>
      </w:r>
      <w:r w:rsidR="00BE26DD">
        <w:rPr>
          <w:rFonts w:ascii="Verdana" w:hAnsi="Verdana" w:cs="Arial"/>
          <w:b/>
        </w:rPr>
        <w:tab/>
      </w:r>
      <w:r w:rsidRPr="00356477">
        <w:rPr>
          <w:rFonts w:ascii="Verdana" w:hAnsi="Verdana" w:cs="Arial"/>
          <w:b/>
        </w:rPr>
        <w:t>1.0</w:t>
      </w:r>
    </w:p>
    <w:p w14:paraId="00AC37C2" w14:textId="7EB8AD86" w:rsidR="00356477" w:rsidRDefault="00356477" w:rsidP="00BE26DD">
      <w:pPr>
        <w:spacing w:before="60" w:after="60" w:line="240" w:lineRule="auto"/>
        <w:rPr>
          <w:rFonts w:ascii="Verdana" w:hAnsi="Verdana" w:cs="Arial"/>
          <w:b/>
        </w:rPr>
      </w:pPr>
      <w:r w:rsidRPr="00356477">
        <w:rPr>
          <w:rFonts w:ascii="Verdana" w:hAnsi="Verdana" w:cs="Arial"/>
          <w:b/>
        </w:rPr>
        <w:t xml:space="preserve">Date last updated: </w:t>
      </w:r>
      <w:r w:rsidR="00BE26DD">
        <w:rPr>
          <w:rFonts w:ascii="Verdana" w:hAnsi="Verdana" w:cs="Arial"/>
          <w:b/>
        </w:rPr>
        <w:tab/>
      </w:r>
      <w:r w:rsidR="00BE26DD">
        <w:rPr>
          <w:rFonts w:ascii="Verdana" w:hAnsi="Verdana" w:cs="Arial"/>
          <w:b/>
        </w:rPr>
        <w:tab/>
      </w:r>
      <w:r w:rsidR="00BE26DD">
        <w:rPr>
          <w:rFonts w:ascii="Verdana" w:hAnsi="Verdana" w:cs="Arial"/>
          <w:b/>
        </w:rPr>
        <w:tab/>
      </w:r>
      <w:r w:rsidRPr="00356477">
        <w:rPr>
          <w:rFonts w:ascii="Verdana" w:hAnsi="Verdana" w:cs="Arial"/>
          <w:b/>
        </w:rPr>
        <w:t>22 October 2019</w:t>
      </w:r>
    </w:p>
    <w:p w14:paraId="6F245CDF" w14:textId="60269B36" w:rsidR="00356477" w:rsidRPr="00F91A57" w:rsidRDefault="00356477" w:rsidP="00BE26DD">
      <w:pPr>
        <w:spacing w:before="60" w:after="60" w:line="240" w:lineRule="auto"/>
        <w:rPr>
          <w:rFonts w:ascii="Verdana" w:hAnsi="Verdana" w:cs="Arial"/>
          <w:b/>
        </w:rPr>
      </w:pPr>
      <w:r w:rsidRPr="00356477">
        <w:rPr>
          <w:rFonts w:ascii="Verdana" w:hAnsi="Verdana" w:cs="Arial"/>
          <w:b/>
        </w:rPr>
        <w:t xml:space="preserve">Date of next review: </w:t>
      </w:r>
      <w:r w:rsidR="00BE26DD">
        <w:rPr>
          <w:rFonts w:ascii="Verdana" w:hAnsi="Verdana" w:cs="Arial"/>
          <w:b/>
        </w:rPr>
        <w:tab/>
      </w:r>
      <w:r w:rsidR="00BE26DD">
        <w:rPr>
          <w:rFonts w:ascii="Verdana" w:hAnsi="Verdana" w:cs="Arial"/>
          <w:b/>
        </w:rPr>
        <w:tab/>
      </w:r>
      <w:r w:rsidR="00BE26DD">
        <w:rPr>
          <w:rFonts w:ascii="Verdana" w:hAnsi="Verdana" w:cs="Arial"/>
          <w:b/>
        </w:rPr>
        <w:tab/>
      </w:r>
      <w:r w:rsidRPr="00356477">
        <w:rPr>
          <w:rFonts w:ascii="Verdana" w:hAnsi="Verdana" w:cs="Arial"/>
          <w:b/>
        </w:rPr>
        <w:t>22 October 2024</w:t>
      </w:r>
    </w:p>
    <w:p w14:paraId="2AE1F297" w14:textId="77777777" w:rsidR="00356477" w:rsidRDefault="00356477" w:rsidP="00356477">
      <w:pPr>
        <w:jc w:val="center"/>
      </w:pPr>
    </w:p>
    <w:tbl>
      <w:tblPr>
        <w:tblStyle w:val="TableGrid"/>
        <w:tblW w:w="9214" w:type="dxa"/>
        <w:tblInd w:w="-142" w:type="dxa"/>
        <w:tblLook w:val="04A0" w:firstRow="1" w:lastRow="0" w:firstColumn="1" w:lastColumn="0" w:noHBand="0" w:noVBand="1"/>
      </w:tblPr>
      <w:tblGrid>
        <w:gridCol w:w="3641"/>
        <w:gridCol w:w="5573"/>
      </w:tblGrid>
      <w:tr w:rsidR="00837552" w:rsidRPr="00BC3684" w14:paraId="706B1330" w14:textId="77777777" w:rsidTr="00356477">
        <w:tc>
          <w:tcPr>
            <w:tcW w:w="3641" w:type="dxa"/>
            <w:tcBorders>
              <w:top w:val="nil"/>
              <w:left w:val="nil"/>
              <w:bottom w:val="single" w:sz="4" w:space="0" w:color="auto"/>
              <w:right w:val="nil"/>
            </w:tcBorders>
            <w:shd w:val="clear" w:color="auto" w:fill="D9E2F3" w:themeFill="accent1" w:themeFillTint="33"/>
          </w:tcPr>
          <w:p w14:paraId="3A5C70DD" w14:textId="77777777" w:rsidR="00837552" w:rsidRPr="00643F72" w:rsidRDefault="00837552" w:rsidP="00F8103F">
            <w:pPr>
              <w:spacing w:before="120" w:after="120"/>
              <w:rPr>
                <w:rFonts w:asciiTheme="minorHAnsi" w:hAnsiTheme="minorHAnsi" w:cs="Arial"/>
                <w:b/>
              </w:rPr>
            </w:pPr>
            <w:r w:rsidRPr="00643F72">
              <w:rPr>
                <w:rFonts w:asciiTheme="minorHAnsi" w:hAnsiTheme="minorHAnsi" w:cs="Arial"/>
                <w:b/>
              </w:rPr>
              <w:t xml:space="preserve">CAC response to: </w:t>
            </w:r>
          </w:p>
        </w:tc>
        <w:tc>
          <w:tcPr>
            <w:tcW w:w="5573" w:type="dxa"/>
            <w:tcBorders>
              <w:top w:val="nil"/>
              <w:left w:val="nil"/>
              <w:bottom w:val="single" w:sz="4" w:space="0" w:color="auto"/>
              <w:right w:val="nil"/>
            </w:tcBorders>
          </w:tcPr>
          <w:p w14:paraId="0762B29E" w14:textId="3D5D02E4" w:rsidR="00837552" w:rsidRPr="00BC3684" w:rsidRDefault="001B10A2" w:rsidP="00F8103F">
            <w:pPr>
              <w:spacing w:before="120" w:after="120"/>
              <w:rPr>
                <w:rFonts w:asciiTheme="minorHAnsi" w:hAnsiTheme="minorHAnsi" w:cs="Arial"/>
                <w:sz w:val="22"/>
              </w:rPr>
            </w:pPr>
            <w:r>
              <w:rPr>
                <w:rFonts w:asciiTheme="minorHAnsi" w:hAnsiTheme="minorHAnsi" w:cs="Arial"/>
                <w:sz w:val="22"/>
              </w:rPr>
              <w:t xml:space="preserve">BreastScreen Australia Program Management Group (PMG) </w:t>
            </w:r>
          </w:p>
        </w:tc>
      </w:tr>
      <w:tr w:rsidR="00837552" w:rsidRPr="00BC3684" w14:paraId="0D7D185B" w14:textId="77777777" w:rsidTr="00356477">
        <w:tc>
          <w:tcPr>
            <w:tcW w:w="3641" w:type="dxa"/>
            <w:tcBorders>
              <w:top w:val="single" w:sz="4" w:space="0" w:color="auto"/>
              <w:left w:val="nil"/>
              <w:bottom w:val="single" w:sz="4" w:space="0" w:color="auto"/>
              <w:right w:val="nil"/>
            </w:tcBorders>
            <w:shd w:val="clear" w:color="auto" w:fill="D9E2F3" w:themeFill="accent1" w:themeFillTint="33"/>
          </w:tcPr>
          <w:p w14:paraId="56CC16B1" w14:textId="77777777" w:rsidR="00837552" w:rsidRPr="00643F72" w:rsidRDefault="00837552" w:rsidP="00F8103F">
            <w:pPr>
              <w:spacing w:before="120" w:after="120"/>
              <w:rPr>
                <w:rFonts w:asciiTheme="minorHAnsi" w:hAnsiTheme="minorHAnsi" w:cs="Arial"/>
                <w:b/>
              </w:rPr>
            </w:pPr>
            <w:r w:rsidRPr="00643F72">
              <w:rPr>
                <w:rFonts w:asciiTheme="minorHAnsi" w:hAnsiTheme="minorHAnsi" w:cs="Arial"/>
                <w:b/>
              </w:rPr>
              <w:t>Original sponsor:</w:t>
            </w:r>
          </w:p>
        </w:tc>
        <w:tc>
          <w:tcPr>
            <w:tcW w:w="5573" w:type="dxa"/>
            <w:tcBorders>
              <w:top w:val="single" w:sz="4" w:space="0" w:color="auto"/>
              <w:left w:val="nil"/>
              <w:bottom w:val="single" w:sz="4" w:space="0" w:color="auto"/>
              <w:right w:val="nil"/>
            </w:tcBorders>
          </w:tcPr>
          <w:p w14:paraId="6E8F60AF" w14:textId="1187B990" w:rsidR="00837552" w:rsidRPr="00BC3684" w:rsidRDefault="00C52B69" w:rsidP="00F8103F">
            <w:pPr>
              <w:spacing w:before="120" w:after="120"/>
              <w:rPr>
                <w:rFonts w:asciiTheme="minorHAnsi" w:hAnsiTheme="minorHAnsi" w:cs="Arial"/>
                <w:sz w:val="22"/>
              </w:rPr>
            </w:pPr>
            <w:r>
              <w:rPr>
                <w:rFonts w:asciiTheme="minorHAnsi" w:hAnsiTheme="minorHAnsi" w:cs="Arial"/>
                <w:sz w:val="22"/>
              </w:rPr>
              <w:t>Dr Anne Bicknell BreastScreen ACT</w:t>
            </w:r>
          </w:p>
        </w:tc>
      </w:tr>
      <w:tr w:rsidR="00837552" w:rsidRPr="00BC3684" w14:paraId="2A1D40A3" w14:textId="77777777" w:rsidTr="00356477">
        <w:tc>
          <w:tcPr>
            <w:tcW w:w="3641" w:type="dxa"/>
            <w:tcBorders>
              <w:left w:val="nil"/>
              <w:bottom w:val="single" w:sz="4" w:space="0" w:color="auto"/>
              <w:right w:val="nil"/>
            </w:tcBorders>
            <w:shd w:val="clear" w:color="auto" w:fill="D9E2F3" w:themeFill="accent1" w:themeFillTint="33"/>
          </w:tcPr>
          <w:p w14:paraId="131C1B6D" w14:textId="77777777" w:rsidR="00837552" w:rsidRPr="00643F72" w:rsidRDefault="00837552" w:rsidP="00F8103F">
            <w:pPr>
              <w:spacing w:before="120" w:after="120"/>
              <w:rPr>
                <w:rFonts w:asciiTheme="minorHAnsi" w:hAnsiTheme="minorHAnsi" w:cs="Arial"/>
                <w:b/>
              </w:rPr>
            </w:pPr>
            <w:r w:rsidRPr="00643F72">
              <w:rPr>
                <w:rFonts w:asciiTheme="minorHAnsi" w:hAnsiTheme="minorHAnsi" w:cs="Arial"/>
                <w:b/>
              </w:rPr>
              <w:t>Subject:</w:t>
            </w:r>
          </w:p>
        </w:tc>
        <w:tc>
          <w:tcPr>
            <w:tcW w:w="5573" w:type="dxa"/>
            <w:tcBorders>
              <w:left w:val="nil"/>
              <w:bottom w:val="single" w:sz="4" w:space="0" w:color="auto"/>
              <w:right w:val="nil"/>
            </w:tcBorders>
          </w:tcPr>
          <w:p w14:paraId="3854D933" w14:textId="245445B9" w:rsidR="00837552" w:rsidRPr="00CD19B0" w:rsidRDefault="00C52B69" w:rsidP="00F8103F">
            <w:pPr>
              <w:spacing w:before="120" w:after="120"/>
              <w:rPr>
                <w:rFonts w:asciiTheme="minorHAnsi" w:hAnsiTheme="minorHAnsi" w:cstheme="minorHAnsi"/>
                <w:sz w:val="22"/>
              </w:rPr>
            </w:pPr>
            <w:r w:rsidRPr="00CD19B0">
              <w:rPr>
                <w:rFonts w:asciiTheme="minorHAnsi" w:hAnsiTheme="minorHAnsi" w:cstheme="minorHAnsi"/>
                <w:sz w:val="22"/>
              </w:rPr>
              <w:t>Management of Radial Scar</w:t>
            </w:r>
            <w:r w:rsidR="005846B0">
              <w:rPr>
                <w:rFonts w:asciiTheme="minorHAnsi" w:hAnsiTheme="minorHAnsi" w:cstheme="minorHAnsi"/>
                <w:sz w:val="22"/>
              </w:rPr>
              <w:t xml:space="preserve"> </w:t>
            </w:r>
            <w:r w:rsidRPr="00CD19B0">
              <w:rPr>
                <w:rFonts w:asciiTheme="minorHAnsi" w:hAnsiTheme="minorHAnsi" w:cstheme="minorHAnsi"/>
                <w:sz w:val="22"/>
              </w:rPr>
              <w:t>(RS)/Complex Sclerosing Lesion (CSL) in asymptomatic women diagnosed on Core Biopsy, with no associated features of atypia or malignancy and imaging concordant with pathology findings</w:t>
            </w:r>
            <w:r w:rsidR="00971BE0">
              <w:rPr>
                <w:rFonts w:asciiTheme="minorHAnsi" w:hAnsiTheme="minorHAnsi" w:cstheme="minorHAnsi"/>
                <w:sz w:val="22"/>
              </w:rPr>
              <w:t>.</w:t>
            </w:r>
          </w:p>
        </w:tc>
      </w:tr>
      <w:tr w:rsidR="007A2209" w:rsidRPr="00BC3684" w14:paraId="64D11484" w14:textId="77777777" w:rsidTr="00356477">
        <w:trPr>
          <w:cantSplit/>
        </w:trPr>
        <w:tc>
          <w:tcPr>
            <w:tcW w:w="3641" w:type="dxa"/>
            <w:tcBorders>
              <w:left w:val="nil"/>
              <w:bottom w:val="single" w:sz="4" w:space="0" w:color="auto"/>
              <w:right w:val="nil"/>
            </w:tcBorders>
            <w:shd w:val="clear" w:color="auto" w:fill="D9E2F3" w:themeFill="accent1" w:themeFillTint="33"/>
          </w:tcPr>
          <w:p w14:paraId="03638B8F" w14:textId="77777777" w:rsidR="007A2209" w:rsidRPr="00643F72" w:rsidRDefault="007A2209" w:rsidP="00115C1E">
            <w:pPr>
              <w:spacing w:before="120" w:after="120"/>
              <w:rPr>
                <w:rFonts w:asciiTheme="minorHAnsi" w:hAnsiTheme="minorHAnsi" w:cs="Arial"/>
                <w:b/>
              </w:rPr>
            </w:pPr>
            <w:r w:rsidRPr="00643F72">
              <w:rPr>
                <w:rFonts w:asciiTheme="minorHAnsi" w:hAnsiTheme="minorHAnsi" w:cs="Arial"/>
                <w:b/>
              </w:rPr>
              <w:t>CAC decision/recommendation</w:t>
            </w:r>
            <w:r>
              <w:rPr>
                <w:rFonts w:asciiTheme="minorHAnsi" w:hAnsiTheme="minorHAnsi" w:cs="Arial"/>
                <w:b/>
              </w:rPr>
              <w:t>:</w:t>
            </w:r>
          </w:p>
        </w:tc>
        <w:tc>
          <w:tcPr>
            <w:tcW w:w="5573" w:type="dxa"/>
            <w:tcBorders>
              <w:left w:val="nil"/>
              <w:bottom w:val="single" w:sz="4" w:space="0" w:color="auto"/>
              <w:right w:val="nil"/>
            </w:tcBorders>
          </w:tcPr>
          <w:p w14:paraId="018DD91C" w14:textId="104AA486" w:rsidR="00D9336C" w:rsidRDefault="002155B7" w:rsidP="00D9336C">
            <w:pPr>
              <w:spacing w:before="120" w:after="120"/>
              <w:rPr>
                <w:rFonts w:asciiTheme="minorHAnsi" w:hAnsiTheme="minorHAnsi"/>
                <w:sz w:val="22"/>
              </w:rPr>
            </w:pPr>
            <w:r w:rsidRPr="002E38CE">
              <w:rPr>
                <w:rFonts w:asciiTheme="minorHAnsi" w:hAnsiTheme="minorHAnsi"/>
                <w:sz w:val="22"/>
              </w:rPr>
              <w:t xml:space="preserve">The upgrade risk is determined by the gauge of the needle and whether there was atypia present on the initial sample. For most women with a radial scar and no </w:t>
            </w:r>
            <w:r w:rsidR="00D9336C">
              <w:rPr>
                <w:rFonts w:asciiTheme="minorHAnsi" w:hAnsiTheme="minorHAnsi"/>
                <w:sz w:val="22"/>
              </w:rPr>
              <w:t xml:space="preserve">histological </w:t>
            </w:r>
            <w:r w:rsidRPr="002E38CE">
              <w:rPr>
                <w:rFonts w:asciiTheme="minorHAnsi" w:hAnsiTheme="minorHAnsi"/>
                <w:sz w:val="22"/>
              </w:rPr>
              <w:t xml:space="preserve">atypia, the </w:t>
            </w:r>
            <w:r w:rsidR="00D9336C">
              <w:rPr>
                <w:rFonts w:asciiTheme="minorHAnsi" w:hAnsiTheme="minorHAnsi"/>
                <w:sz w:val="22"/>
              </w:rPr>
              <w:t xml:space="preserve">malignant </w:t>
            </w:r>
            <w:r w:rsidRPr="002E38CE">
              <w:rPr>
                <w:rFonts w:asciiTheme="minorHAnsi" w:hAnsiTheme="minorHAnsi"/>
                <w:sz w:val="22"/>
              </w:rPr>
              <w:t>upgrade rate</w:t>
            </w:r>
            <w:r>
              <w:rPr>
                <w:rFonts w:asciiTheme="minorHAnsi" w:hAnsiTheme="minorHAnsi"/>
                <w:sz w:val="22"/>
              </w:rPr>
              <w:t xml:space="preserve"> </w:t>
            </w:r>
            <w:r w:rsidRPr="002E38CE">
              <w:rPr>
                <w:rFonts w:asciiTheme="minorHAnsi" w:hAnsiTheme="minorHAnsi"/>
                <w:sz w:val="22"/>
              </w:rPr>
              <w:t xml:space="preserve">is </w:t>
            </w:r>
            <w:r w:rsidR="00D9336C">
              <w:rPr>
                <w:rFonts w:asciiTheme="minorHAnsi" w:hAnsiTheme="minorHAnsi"/>
                <w:sz w:val="22"/>
              </w:rPr>
              <w:t xml:space="preserve">low. </w:t>
            </w:r>
            <w:proofErr w:type="gramStart"/>
            <w:r w:rsidR="00D9336C">
              <w:rPr>
                <w:rFonts w:asciiTheme="minorHAnsi" w:hAnsiTheme="minorHAnsi"/>
                <w:sz w:val="22"/>
              </w:rPr>
              <w:t>Specifically</w:t>
            </w:r>
            <w:proofErr w:type="gramEnd"/>
            <w:r w:rsidR="00D9336C">
              <w:rPr>
                <w:rFonts w:asciiTheme="minorHAnsi" w:hAnsiTheme="minorHAnsi"/>
                <w:sz w:val="22"/>
              </w:rPr>
              <w:t xml:space="preserve"> f</w:t>
            </w:r>
            <w:r w:rsidR="00D9336C" w:rsidRPr="00D50EE0">
              <w:rPr>
                <w:rFonts w:asciiTheme="minorHAnsi" w:hAnsiTheme="minorHAnsi"/>
                <w:sz w:val="22"/>
              </w:rPr>
              <w:t xml:space="preserve">or RS without atypia, the upgrade rate is 5% when the diagnosis was based on 14G </w:t>
            </w:r>
            <w:r w:rsidR="005913C8">
              <w:rPr>
                <w:rFonts w:asciiTheme="minorHAnsi" w:hAnsiTheme="minorHAnsi"/>
                <w:sz w:val="22"/>
              </w:rPr>
              <w:t>needle core biopsy (</w:t>
            </w:r>
            <w:r w:rsidR="00D9336C" w:rsidRPr="00D50EE0">
              <w:rPr>
                <w:rFonts w:asciiTheme="minorHAnsi" w:hAnsiTheme="minorHAnsi"/>
                <w:sz w:val="22"/>
              </w:rPr>
              <w:t>NCB</w:t>
            </w:r>
            <w:r w:rsidR="005913C8">
              <w:rPr>
                <w:rFonts w:asciiTheme="minorHAnsi" w:hAnsiTheme="minorHAnsi"/>
                <w:sz w:val="22"/>
              </w:rPr>
              <w:t>)</w:t>
            </w:r>
            <w:r w:rsidR="00D9336C" w:rsidRPr="00D50EE0">
              <w:rPr>
                <w:rFonts w:asciiTheme="minorHAnsi" w:hAnsiTheme="minorHAnsi"/>
                <w:sz w:val="22"/>
              </w:rPr>
              <w:t xml:space="preserve"> but reduces to 1% when diagnosed on 8-11G </w:t>
            </w:r>
            <w:r w:rsidR="005913C8">
              <w:rPr>
                <w:rFonts w:asciiTheme="minorHAnsi" w:hAnsiTheme="minorHAnsi"/>
                <w:sz w:val="22"/>
              </w:rPr>
              <w:t>vacuum-assisted breast core biopsy (</w:t>
            </w:r>
            <w:r w:rsidR="00D9336C" w:rsidRPr="00D50EE0">
              <w:rPr>
                <w:rFonts w:asciiTheme="minorHAnsi" w:hAnsiTheme="minorHAnsi"/>
                <w:sz w:val="22"/>
              </w:rPr>
              <w:t>VAB</w:t>
            </w:r>
            <w:r w:rsidR="005913C8">
              <w:rPr>
                <w:rFonts w:asciiTheme="minorHAnsi" w:hAnsiTheme="minorHAnsi"/>
                <w:sz w:val="22"/>
              </w:rPr>
              <w:t>)</w:t>
            </w:r>
            <w:r w:rsidR="00D9336C" w:rsidRPr="00D50EE0">
              <w:rPr>
                <w:rFonts w:asciiTheme="minorHAnsi" w:hAnsiTheme="minorHAnsi"/>
                <w:sz w:val="22"/>
              </w:rPr>
              <w:t xml:space="preserve">. </w:t>
            </w:r>
            <w:r w:rsidRPr="002E38CE">
              <w:rPr>
                <w:rFonts w:asciiTheme="minorHAnsi" w:hAnsiTheme="minorHAnsi"/>
                <w:sz w:val="22"/>
              </w:rPr>
              <w:t xml:space="preserve">This may be an acceptable level of risk for some women </w:t>
            </w:r>
            <w:r w:rsidR="00D9336C">
              <w:rPr>
                <w:rFonts w:asciiTheme="minorHAnsi" w:hAnsiTheme="minorHAnsi"/>
                <w:sz w:val="22"/>
              </w:rPr>
              <w:t>in order</w:t>
            </w:r>
            <w:r w:rsidRPr="002E38CE">
              <w:rPr>
                <w:rFonts w:asciiTheme="minorHAnsi" w:hAnsiTheme="minorHAnsi"/>
                <w:sz w:val="22"/>
              </w:rPr>
              <w:t xml:space="preserve"> to avoid surgery. </w:t>
            </w:r>
          </w:p>
          <w:p w14:paraId="1CEDAB4B" w14:textId="173486DE" w:rsidR="007A2209" w:rsidRPr="00823807" w:rsidRDefault="002155B7" w:rsidP="00D9336C">
            <w:pPr>
              <w:spacing w:before="120" w:after="120"/>
              <w:rPr>
                <w:rFonts w:asciiTheme="minorHAnsi" w:hAnsiTheme="minorHAnsi"/>
                <w:sz w:val="22"/>
              </w:rPr>
            </w:pPr>
            <w:r w:rsidRPr="002E38CE">
              <w:rPr>
                <w:rFonts w:asciiTheme="minorHAnsi" w:hAnsiTheme="minorHAnsi"/>
                <w:sz w:val="22"/>
              </w:rPr>
              <w:t>There is a higher chan</w:t>
            </w:r>
            <w:r>
              <w:rPr>
                <w:rFonts w:asciiTheme="minorHAnsi" w:hAnsiTheme="minorHAnsi"/>
                <w:sz w:val="22"/>
              </w:rPr>
              <w:t>c</w:t>
            </w:r>
            <w:r w:rsidRPr="002E38CE">
              <w:rPr>
                <w:rFonts w:asciiTheme="minorHAnsi" w:hAnsiTheme="minorHAnsi"/>
                <w:sz w:val="22"/>
              </w:rPr>
              <w:t>e</w:t>
            </w:r>
            <w:r>
              <w:rPr>
                <w:rFonts w:asciiTheme="minorHAnsi" w:hAnsiTheme="minorHAnsi"/>
                <w:sz w:val="22"/>
              </w:rPr>
              <w:t xml:space="preserve"> of </w:t>
            </w:r>
            <w:r w:rsidR="00D9336C">
              <w:rPr>
                <w:rFonts w:asciiTheme="minorHAnsi" w:hAnsiTheme="minorHAnsi"/>
                <w:sz w:val="22"/>
              </w:rPr>
              <w:t xml:space="preserve">malignant </w:t>
            </w:r>
            <w:r>
              <w:rPr>
                <w:rFonts w:asciiTheme="minorHAnsi" w:hAnsiTheme="minorHAnsi"/>
                <w:sz w:val="22"/>
              </w:rPr>
              <w:t>upgrade</w:t>
            </w:r>
            <w:r w:rsidRPr="002E38CE">
              <w:rPr>
                <w:rFonts w:asciiTheme="minorHAnsi" w:hAnsiTheme="minorHAnsi"/>
                <w:sz w:val="22"/>
              </w:rPr>
              <w:t xml:space="preserve"> if the radial scar show</w:t>
            </w:r>
            <w:r w:rsidR="00D9336C">
              <w:rPr>
                <w:rFonts w:asciiTheme="minorHAnsi" w:hAnsiTheme="minorHAnsi"/>
                <w:sz w:val="22"/>
              </w:rPr>
              <w:t>s</w:t>
            </w:r>
            <w:r w:rsidRPr="002E38CE">
              <w:rPr>
                <w:rFonts w:asciiTheme="minorHAnsi" w:hAnsiTheme="minorHAnsi"/>
                <w:sz w:val="22"/>
              </w:rPr>
              <w:t xml:space="preserve"> </w:t>
            </w:r>
            <w:r w:rsidR="00D9336C">
              <w:rPr>
                <w:rFonts w:asciiTheme="minorHAnsi" w:hAnsiTheme="minorHAnsi"/>
                <w:sz w:val="22"/>
              </w:rPr>
              <w:t xml:space="preserve">histologic </w:t>
            </w:r>
            <w:r w:rsidRPr="002E38CE">
              <w:rPr>
                <w:rFonts w:asciiTheme="minorHAnsi" w:hAnsiTheme="minorHAnsi"/>
                <w:sz w:val="22"/>
              </w:rPr>
              <w:t>atypia</w:t>
            </w:r>
            <w:r w:rsidR="00D9336C">
              <w:rPr>
                <w:rFonts w:asciiTheme="minorHAnsi" w:hAnsiTheme="minorHAnsi"/>
                <w:sz w:val="22"/>
              </w:rPr>
              <w:t xml:space="preserve"> on needle biopsies, including VAB. The risk of concurrent DCIS or invasive carcinoma is in the range of </w:t>
            </w:r>
            <w:r>
              <w:rPr>
                <w:rFonts w:asciiTheme="minorHAnsi" w:hAnsiTheme="minorHAnsi"/>
                <w:sz w:val="22"/>
              </w:rPr>
              <w:t>18-28</w:t>
            </w:r>
            <w:r w:rsidRPr="002E38CE">
              <w:rPr>
                <w:rFonts w:asciiTheme="minorHAnsi" w:hAnsiTheme="minorHAnsi"/>
                <w:sz w:val="22"/>
              </w:rPr>
              <w:t>%</w:t>
            </w:r>
            <w:r w:rsidR="00D9336C">
              <w:rPr>
                <w:rFonts w:asciiTheme="minorHAnsi" w:hAnsiTheme="minorHAnsi"/>
                <w:sz w:val="22"/>
              </w:rPr>
              <w:t>, requiring follow</w:t>
            </w:r>
            <w:r w:rsidR="005913C8">
              <w:rPr>
                <w:rFonts w:asciiTheme="minorHAnsi" w:hAnsiTheme="minorHAnsi"/>
                <w:sz w:val="22"/>
              </w:rPr>
              <w:t>-</w:t>
            </w:r>
            <w:r w:rsidR="00D9336C">
              <w:rPr>
                <w:rFonts w:asciiTheme="minorHAnsi" w:hAnsiTheme="minorHAnsi"/>
                <w:sz w:val="22"/>
              </w:rPr>
              <w:t xml:space="preserve">up excision. </w:t>
            </w:r>
            <w:r w:rsidRPr="002E38CE">
              <w:rPr>
                <w:rFonts w:asciiTheme="minorHAnsi" w:hAnsiTheme="minorHAnsi"/>
                <w:sz w:val="22"/>
              </w:rPr>
              <w:t xml:space="preserve"> </w:t>
            </w:r>
          </w:p>
        </w:tc>
      </w:tr>
      <w:tr w:rsidR="00714A37" w:rsidRPr="00BC3684" w14:paraId="14CFDF65" w14:textId="77777777" w:rsidTr="00356477">
        <w:trPr>
          <w:cantSplit/>
        </w:trPr>
        <w:tc>
          <w:tcPr>
            <w:tcW w:w="3641" w:type="dxa"/>
            <w:tcBorders>
              <w:left w:val="nil"/>
              <w:bottom w:val="single" w:sz="4" w:space="0" w:color="auto"/>
              <w:right w:val="nil"/>
            </w:tcBorders>
            <w:shd w:val="clear" w:color="auto" w:fill="D9E2F3" w:themeFill="accent1" w:themeFillTint="33"/>
          </w:tcPr>
          <w:p w14:paraId="2C97B8B0" w14:textId="69023557" w:rsidR="00714A37" w:rsidRPr="00643F72" w:rsidRDefault="00714A37" w:rsidP="00115C1E">
            <w:pPr>
              <w:spacing w:before="120" w:after="120"/>
              <w:rPr>
                <w:rFonts w:asciiTheme="minorHAnsi" w:hAnsiTheme="minorHAnsi" w:cs="Arial"/>
                <w:b/>
              </w:rPr>
            </w:pPr>
            <w:r>
              <w:rPr>
                <w:rFonts w:asciiTheme="minorHAnsi" w:hAnsiTheme="minorHAnsi" w:cs="Arial"/>
                <w:b/>
              </w:rPr>
              <w:t>Background:</w:t>
            </w:r>
          </w:p>
        </w:tc>
        <w:tc>
          <w:tcPr>
            <w:tcW w:w="5573" w:type="dxa"/>
            <w:tcBorders>
              <w:left w:val="nil"/>
              <w:bottom w:val="single" w:sz="4" w:space="0" w:color="auto"/>
              <w:right w:val="nil"/>
            </w:tcBorders>
          </w:tcPr>
          <w:p w14:paraId="5394F6E0" w14:textId="1CA0B9F7" w:rsidR="00714A37" w:rsidRPr="00C52B69" w:rsidRDefault="00BE26DD" w:rsidP="00C52B69">
            <w:pPr>
              <w:rPr>
                <w:rFonts w:ascii="Verdana" w:hAnsi="Verdana"/>
                <w:sz w:val="20"/>
                <w:szCs w:val="20"/>
              </w:rPr>
            </w:pPr>
            <w:r>
              <w:rPr>
                <w:rFonts w:asciiTheme="minorHAnsi" w:hAnsiTheme="minorHAnsi"/>
                <w:sz w:val="22"/>
              </w:rPr>
              <w:t>NIL</w:t>
            </w:r>
          </w:p>
        </w:tc>
      </w:tr>
      <w:tr w:rsidR="00837552" w:rsidRPr="00BC3684" w14:paraId="10DBE714" w14:textId="77777777" w:rsidTr="00356477">
        <w:tc>
          <w:tcPr>
            <w:tcW w:w="3641" w:type="dxa"/>
            <w:tcBorders>
              <w:left w:val="nil"/>
              <w:bottom w:val="nil"/>
              <w:right w:val="nil"/>
            </w:tcBorders>
            <w:shd w:val="clear" w:color="auto" w:fill="D9E2F3" w:themeFill="accent1" w:themeFillTint="33"/>
          </w:tcPr>
          <w:p w14:paraId="3F456F27" w14:textId="77777777" w:rsidR="00837552" w:rsidRPr="00643F72" w:rsidRDefault="00837552" w:rsidP="00F8103F">
            <w:pPr>
              <w:spacing w:before="120" w:after="120"/>
              <w:rPr>
                <w:rFonts w:asciiTheme="minorHAnsi" w:hAnsiTheme="minorHAnsi" w:cs="Arial"/>
                <w:b/>
              </w:rPr>
            </w:pPr>
            <w:r w:rsidRPr="00643F72">
              <w:rPr>
                <w:rFonts w:asciiTheme="minorHAnsi" w:hAnsiTheme="minorHAnsi" w:cs="Arial"/>
                <w:b/>
              </w:rPr>
              <w:t>CAC discussion/comments:</w:t>
            </w:r>
          </w:p>
        </w:tc>
        <w:tc>
          <w:tcPr>
            <w:tcW w:w="5573" w:type="dxa"/>
            <w:tcBorders>
              <w:left w:val="nil"/>
              <w:bottom w:val="nil"/>
              <w:right w:val="nil"/>
            </w:tcBorders>
          </w:tcPr>
          <w:p w14:paraId="6107559E" w14:textId="4843F9D6" w:rsidR="00D50EE0" w:rsidRPr="00D50EE0" w:rsidRDefault="00D50EE0" w:rsidP="00D50EE0">
            <w:pPr>
              <w:spacing w:before="120" w:after="120"/>
              <w:rPr>
                <w:rFonts w:asciiTheme="minorHAnsi" w:hAnsiTheme="minorHAnsi"/>
                <w:sz w:val="22"/>
              </w:rPr>
            </w:pPr>
            <w:r w:rsidRPr="00D50EE0">
              <w:rPr>
                <w:rFonts w:asciiTheme="minorHAnsi" w:hAnsiTheme="minorHAnsi"/>
                <w:sz w:val="22"/>
              </w:rPr>
              <w:t xml:space="preserve">Radial scars (RS) are benign, mostly asymptomatic breast lesions with a prevalence of 5-6 per 100,000 screening mammograms. Up to 4% of all core biopsies are </w:t>
            </w:r>
            <w:r w:rsidR="005913C8">
              <w:rPr>
                <w:rFonts w:asciiTheme="minorHAnsi" w:hAnsiTheme="minorHAnsi"/>
                <w:sz w:val="22"/>
              </w:rPr>
              <w:t>to investigate</w:t>
            </w:r>
            <w:r w:rsidR="005913C8" w:rsidRPr="00D50EE0">
              <w:rPr>
                <w:rFonts w:asciiTheme="minorHAnsi" w:hAnsiTheme="minorHAnsi"/>
                <w:sz w:val="22"/>
              </w:rPr>
              <w:t xml:space="preserve"> </w:t>
            </w:r>
            <w:r w:rsidRPr="00D50EE0">
              <w:rPr>
                <w:rFonts w:asciiTheme="minorHAnsi" w:hAnsiTheme="minorHAnsi"/>
                <w:sz w:val="22"/>
              </w:rPr>
              <w:t>RS. The improved visuali</w:t>
            </w:r>
            <w:r w:rsidR="005913C8">
              <w:rPr>
                <w:rFonts w:asciiTheme="minorHAnsi" w:hAnsiTheme="minorHAnsi"/>
                <w:sz w:val="22"/>
              </w:rPr>
              <w:t>s</w:t>
            </w:r>
            <w:r w:rsidRPr="00D50EE0">
              <w:rPr>
                <w:rFonts w:asciiTheme="minorHAnsi" w:hAnsiTheme="minorHAnsi"/>
                <w:sz w:val="22"/>
              </w:rPr>
              <w:t xml:space="preserve">ation of architectural </w:t>
            </w:r>
            <w:r w:rsidRPr="00D50EE0">
              <w:rPr>
                <w:rFonts w:asciiTheme="minorHAnsi" w:hAnsiTheme="minorHAnsi"/>
                <w:sz w:val="22"/>
              </w:rPr>
              <w:lastRenderedPageBreak/>
              <w:t>distortions by digital breast tomosynthesis (DBT) has led to increased detection of RS.</w:t>
            </w:r>
          </w:p>
          <w:p w14:paraId="68BC48C0" w14:textId="5185E883" w:rsidR="00D50EE0" w:rsidRPr="005913C8" w:rsidRDefault="00D50EE0" w:rsidP="00D50EE0">
            <w:pPr>
              <w:spacing w:before="120" w:after="120"/>
              <w:rPr>
                <w:rFonts w:asciiTheme="minorHAnsi" w:hAnsiTheme="minorHAnsi"/>
                <w:sz w:val="22"/>
              </w:rPr>
            </w:pPr>
            <w:r w:rsidRPr="005913C8">
              <w:rPr>
                <w:rFonts w:asciiTheme="minorHAnsi" w:hAnsiTheme="minorHAnsi"/>
                <w:sz w:val="22"/>
              </w:rPr>
              <w:t>A variety of epithelial proliferations may be found in association with RS. Series of RS excised after needle biopsy have documented unsuspected concurrent DCIS or invasive carcinoma in 0-28% of cases. Diagnostic open biopsy is therefore usually recommended after a needle biopsy diagnosis of RS. In contemporary Australian practice RS account for 10% of benign open biopsies.</w:t>
            </w:r>
          </w:p>
          <w:p w14:paraId="1E9BDDB7" w14:textId="72D4733C" w:rsidR="00D50EE0" w:rsidRPr="00D50EE0" w:rsidRDefault="00D50EE0" w:rsidP="00D50EE0">
            <w:pPr>
              <w:spacing w:before="120" w:after="120"/>
              <w:rPr>
                <w:rFonts w:asciiTheme="minorHAnsi" w:hAnsiTheme="minorHAnsi"/>
                <w:sz w:val="22"/>
              </w:rPr>
            </w:pPr>
            <w:r w:rsidRPr="00D50EE0">
              <w:rPr>
                <w:rFonts w:asciiTheme="minorHAnsi" w:hAnsiTheme="minorHAnsi"/>
                <w:sz w:val="22"/>
              </w:rPr>
              <w:t>A 2019 meta-analysis of 3163 RS excised after needle biopsy has shown that two factors, namely the presence of epithelial atypia and the needle gauge, influence the likely malignant upgrade rates. When the needle biopsy shows RS with atypia, the upgrade rate is 18-28%. Even when these diagnoses are based on 8-11G VAB</w:t>
            </w:r>
            <w:r w:rsidR="005913C8">
              <w:rPr>
                <w:rFonts w:asciiTheme="minorHAnsi" w:hAnsiTheme="minorHAnsi"/>
                <w:sz w:val="22"/>
              </w:rPr>
              <w:t>,</w:t>
            </w:r>
            <w:r w:rsidRPr="00D50EE0">
              <w:rPr>
                <w:rFonts w:asciiTheme="minorHAnsi" w:hAnsiTheme="minorHAnsi"/>
                <w:sz w:val="22"/>
              </w:rPr>
              <w:t xml:space="preserve"> the upgrade rate is significant at 18%, such that further histologic evaluation is prudent. </w:t>
            </w:r>
          </w:p>
          <w:p w14:paraId="6E242B6D" w14:textId="3E9A0481" w:rsidR="00D50EE0" w:rsidRPr="00D50EE0" w:rsidRDefault="00D50EE0" w:rsidP="00D50EE0">
            <w:pPr>
              <w:spacing w:before="120" w:after="120"/>
              <w:rPr>
                <w:rFonts w:asciiTheme="minorHAnsi" w:hAnsiTheme="minorHAnsi"/>
                <w:sz w:val="22"/>
              </w:rPr>
            </w:pPr>
            <w:r w:rsidRPr="00D50EE0">
              <w:rPr>
                <w:rFonts w:asciiTheme="minorHAnsi" w:hAnsiTheme="minorHAnsi"/>
                <w:sz w:val="22"/>
              </w:rPr>
              <w:t xml:space="preserve">For RS without atypia, the upgrade rate is 5% when the diagnosis was based on 14G NCB but reduces to 1% when diagnosed on 8-11G VABs. </w:t>
            </w:r>
          </w:p>
          <w:p w14:paraId="12E0EADC" w14:textId="35AB9E22" w:rsidR="00D50EE0" w:rsidRPr="00D50EE0" w:rsidRDefault="00D50EE0" w:rsidP="00D50EE0">
            <w:pPr>
              <w:spacing w:before="120" w:after="120"/>
              <w:rPr>
                <w:rFonts w:asciiTheme="minorHAnsi" w:hAnsiTheme="minorHAnsi"/>
                <w:sz w:val="22"/>
              </w:rPr>
            </w:pPr>
            <w:r w:rsidRPr="00D50EE0">
              <w:rPr>
                <w:rFonts w:asciiTheme="minorHAnsi" w:hAnsiTheme="minorHAnsi"/>
                <w:sz w:val="22"/>
              </w:rPr>
              <w:t>When information regarding these two key factors is not specified, intermediate upgrade rates are found.</w:t>
            </w:r>
          </w:p>
          <w:p w14:paraId="399C9AA3" w14:textId="5B55C599" w:rsidR="00D50EE0" w:rsidRPr="00D50EE0" w:rsidRDefault="00D50EE0" w:rsidP="00D50EE0">
            <w:pPr>
              <w:spacing w:before="120" w:after="120"/>
              <w:rPr>
                <w:rFonts w:asciiTheme="minorHAnsi" w:hAnsiTheme="minorHAnsi"/>
                <w:sz w:val="22"/>
              </w:rPr>
            </w:pPr>
            <w:r w:rsidRPr="00D50EE0">
              <w:rPr>
                <w:rFonts w:asciiTheme="minorHAnsi" w:hAnsiTheme="minorHAnsi"/>
                <w:sz w:val="22"/>
              </w:rPr>
              <w:t>For RS without atypia on</w:t>
            </w:r>
            <w:r w:rsidR="00ED68A2">
              <w:rPr>
                <w:rFonts w:asciiTheme="minorHAnsi" w:hAnsiTheme="minorHAnsi"/>
                <w:sz w:val="22"/>
              </w:rPr>
              <w:t xml:space="preserve"> </w:t>
            </w:r>
            <w:r w:rsidRPr="00D50EE0">
              <w:rPr>
                <w:rFonts w:asciiTheme="minorHAnsi" w:hAnsiTheme="minorHAnsi"/>
                <w:sz w:val="22"/>
              </w:rPr>
              <w:t xml:space="preserve">14G NCB, the upgrade rate is 5%. One strategy to reduce the need for surgical biopsies in this group is to re-evaluate the lesion by VAB. If there is still no atypia, the upgrade rate falls to 1%, which may be acceptable for surveillance in appropriately informed, clients.    </w:t>
            </w:r>
          </w:p>
          <w:p w14:paraId="40A515EE" w14:textId="048A61B7" w:rsidR="00D50EE0" w:rsidRPr="00D50EE0" w:rsidRDefault="00D50EE0" w:rsidP="00D50EE0">
            <w:pPr>
              <w:spacing w:before="120" w:after="120"/>
              <w:rPr>
                <w:rFonts w:asciiTheme="minorHAnsi" w:hAnsiTheme="minorHAnsi"/>
                <w:sz w:val="22"/>
              </w:rPr>
            </w:pPr>
            <w:r w:rsidRPr="00D50EE0">
              <w:rPr>
                <w:rFonts w:asciiTheme="minorHAnsi" w:hAnsiTheme="minorHAnsi"/>
                <w:sz w:val="22"/>
              </w:rPr>
              <w:t>When histologic evaluation is required, the options include surgical biopsy and vacuum</w:t>
            </w:r>
            <w:r w:rsidR="005913C8">
              <w:rPr>
                <w:rFonts w:asciiTheme="minorHAnsi" w:hAnsiTheme="minorHAnsi"/>
                <w:sz w:val="22"/>
              </w:rPr>
              <w:t>-</w:t>
            </w:r>
            <w:r w:rsidRPr="00D50EE0">
              <w:rPr>
                <w:rFonts w:asciiTheme="minorHAnsi" w:hAnsiTheme="minorHAnsi"/>
                <w:sz w:val="22"/>
              </w:rPr>
              <w:t>assisted excision (VAE). For RS with atypia, since the upgrade rate is high, surgical biopsy is advised to permit evaluation of the intact architecture.</w:t>
            </w:r>
          </w:p>
          <w:p w14:paraId="7B6C1848" w14:textId="4BD368DF" w:rsidR="00D50EE0" w:rsidRPr="00D50EE0" w:rsidRDefault="00D50EE0" w:rsidP="00D50EE0">
            <w:pPr>
              <w:spacing w:before="120" w:after="120"/>
              <w:rPr>
                <w:rFonts w:asciiTheme="minorHAnsi" w:hAnsiTheme="minorHAnsi"/>
                <w:sz w:val="22"/>
              </w:rPr>
            </w:pPr>
            <w:r w:rsidRPr="00D50EE0">
              <w:rPr>
                <w:rFonts w:asciiTheme="minorHAnsi" w:hAnsiTheme="minorHAnsi"/>
                <w:sz w:val="22"/>
              </w:rPr>
              <w:t>Vacuum</w:t>
            </w:r>
            <w:r w:rsidR="005913C8">
              <w:rPr>
                <w:rFonts w:asciiTheme="minorHAnsi" w:hAnsiTheme="minorHAnsi"/>
                <w:sz w:val="22"/>
              </w:rPr>
              <w:t>-</w:t>
            </w:r>
            <w:r w:rsidRPr="00D50EE0">
              <w:rPr>
                <w:rFonts w:asciiTheme="minorHAnsi" w:hAnsiTheme="minorHAnsi"/>
                <w:sz w:val="22"/>
              </w:rPr>
              <w:t>assisted excision (VAE) is a more recent approach best applied to RS without atypia determined to require histologic evaluation after MDT discussion. VAE is the systematic and deliberate removal of the entire area of the lesion by multiple VA samples. VAE is distinguished from VAB.</w:t>
            </w:r>
          </w:p>
          <w:p w14:paraId="7CEC752B" w14:textId="77777777" w:rsidR="00D50EE0" w:rsidRPr="00D50EE0" w:rsidRDefault="00D50EE0" w:rsidP="00D50EE0">
            <w:pPr>
              <w:spacing w:before="120" w:after="120"/>
              <w:rPr>
                <w:rFonts w:asciiTheme="minorHAnsi" w:hAnsiTheme="minorHAnsi"/>
                <w:sz w:val="22"/>
              </w:rPr>
            </w:pPr>
            <w:r w:rsidRPr="00D50EE0">
              <w:rPr>
                <w:rFonts w:asciiTheme="minorHAnsi" w:hAnsiTheme="minorHAnsi"/>
                <w:sz w:val="22"/>
              </w:rPr>
              <w:t xml:space="preserve">Data are more limited but small series have shown that RS in the following three settings had zero upgrade rates, obviating routine surgical biopsy, unless MDT discussions </w:t>
            </w:r>
            <w:r w:rsidRPr="00D50EE0">
              <w:rPr>
                <w:rFonts w:asciiTheme="minorHAnsi" w:hAnsiTheme="minorHAnsi"/>
                <w:sz w:val="22"/>
              </w:rPr>
              <w:lastRenderedPageBreak/>
              <w:t>mandate otherwise:</w:t>
            </w:r>
          </w:p>
          <w:p w14:paraId="1657EBEF" w14:textId="77777777" w:rsidR="00D50EE0" w:rsidRPr="00D50EE0" w:rsidRDefault="00D50EE0" w:rsidP="00D50EE0">
            <w:pPr>
              <w:numPr>
                <w:ilvl w:val="0"/>
                <w:numId w:val="3"/>
              </w:numPr>
              <w:spacing w:before="120" w:after="120"/>
              <w:rPr>
                <w:rFonts w:asciiTheme="minorHAnsi" w:hAnsiTheme="minorHAnsi"/>
                <w:sz w:val="22"/>
              </w:rPr>
            </w:pPr>
            <w:r w:rsidRPr="00D50EE0">
              <w:rPr>
                <w:rFonts w:asciiTheme="minorHAnsi" w:hAnsiTheme="minorHAnsi"/>
                <w:sz w:val="22"/>
              </w:rPr>
              <w:t>RS ≤ 5 mm, without atypia or a papillary component,</w:t>
            </w:r>
          </w:p>
          <w:p w14:paraId="4602E64C" w14:textId="086B001E" w:rsidR="00D50EE0" w:rsidRPr="00D50EE0" w:rsidRDefault="00D50EE0" w:rsidP="00D50EE0">
            <w:pPr>
              <w:numPr>
                <w:ilvl w:val="0"/>
                <w:numId w:val="3"/>
              </w:numPr>
              <w:spacing w:before="120" w:after="120"/>
              <w:rPr>
                <w:rFonts w:asciiTheme="minorHAnsi" w:hAnsiTheme="minorHAnsi"/>
                <w:sz w:val="22"/>
              </w:rPr>
            </w:pPr>
            <w:r w:rsidRPr="00D50EE0">
              <w:rPr>
                <w:rFonts w:asciiTheme="minorHAnsi" w:hAnsiTheme="minorHAnsi"/>
                <w:sz w:val="22"/>
              </w:rPr>
              <w:t>Incidental histologic finding of a mammographically</w:t>
            </w:r>
            <w:r w:rsidR="005913C8">
              <w:rPr>
                <w:rFonts w:asciiTheme="minorHAnsi" w:hAnsiTheme="minorHAnsi"/>
                <w:sz w:val="22"/>
              </w:rPr>
              <w:t>-</w:t>
            </w:r>
            <w:r w:rsidRPr="00D50EE0">
              <w:rPr>
                <w:rFonts w:asciiTheme="minorHAnsi" w:hAnsiTheme="minorHAnsi"/>
                <w:sz w:val="22"/>
              </w:rPr>
              <w:t>occult RS during the histologic evaluation of a needle biopsy for another target lesion</w:t>
            </w:r>
          </w:p>
          <w:p w14:paraId="425C68F5" w14:textId="414F8963" w:rsidR="00D50EE0" w:rsidRPr="00D50EE0" w:rsidRDefault="00D50EE0" w:rsidP="00D50EE0">
            <w:pPr>
              <w:numPr>
                <w:ilvl w:val="0"/>
                <w:numId w:val="3"/>
              </w:numPr>
              <w:spacing w:before="120" w:after="120"/>
              <w:rPr>
                <w:rFonts w:asciiTheme="minorHAnsi" w:hAnsiTheme="minorHAnsi"/>
                <w:sz w:val="22"/>
              </w:rPr>
            </w:pPr>
            <w:r w:rsidRPr="00D50EE0">
              <w:rPr>
                <w:rFonts w:asciiTheme="minorHAnsi" w:hAnsiTheme="minorHAnsi"/>
                <w:sz w:val="22"/>
              </w:rPr>
              <w:t>Mammographically</w:t>
            </w:r>
            <w:r w:rsidR="005913C8">
              <w:rPr>
                <w:rFonts w:asciiTheme="minorHAnsi" w:hAnsiTheme="minorHAnsi"/>
                <w:sz w:val="22"/>
              </w:rPr>
              <w:t>-</w:t>
            </w:r>
            <w:r w:rsidRPr="00D50EE0">
              <w:rPr>
                <w:rFonts w:asciiTheme="minorHAnsi" w:hAnsiTheme="minorHAnsi"/>
                <w:sz w:val="22"/>
              </w:rPr>
              <w:t xml:space="preserve">occult RS, assessed by </w:t>
            </w:r>
            <w:r w:rsidR="00D07EB1">
              <w:rPr>
                <w:rFonts w:asciiTheme="minorHAnsi" w:hAnsiTheme="minorHAnsi"/>
                <w:sz w:val="22"/>
              </w:rPr>
              <w:t>ultrasound-</w:t>
            </w:r>
            <w:r w:rsidRPr="00D50EE0">
              <w:rPr>
                <w:rFonts w:asciiTheme="minorHAnsi" w:hAnsiTheme="minorHAnsi"/>
                <w:sz w:val="22"/>
              </w:rPr>
              <w:t>guided 14G NCB</w:t>
            </w:r>
          </w:p>
          <w:p w14:paraId="29D2A39F" w14:textId="482A84BB" w:rsidR="00837552" w:rsidRPr="005A3290" w:rsidRDefault="00D50EE0" w:rsidP="00837552">
            <w:pPr>
              <w:spacing w:before="120" w:after="120"/>
              <w:rPr>
                <w:rFonts w:asciiTheme="minorHAnsi" w:hAnsiTheme="minorHAnsi"/>
                <w:sz w:val="22"/>
              </w:rPr>
            </w:pPr>
            <w:r w:rsidRPr="00D50EE0">
              <w:rPr>
                <w:rFonts w:asciiTheme="minorHAnsi" w:hAnsiTheme="minorHAnsi"/>
                <w:sz w:val="22"/>
              </w:rPr>
              <w:t>RS biopsied on MRI</w:t>
            </w:r>
            <w:r w:rsidR="00D07EB1">
              <w:rPr>
                <w:rFonts w:asciiTheme="minorHAnsi" w:hAnsiTheme="minorHAnsi"/>
                <w:sz w:val="22"/>
              </w:rPr>
              <w:t>-</w:t>
            </w:r>
            <w:r w:rsidRPr="00D50EE0">
              <w:rPr>
                <w:rFonts w:asciiTheme="minorHAnsi" w:hAnsiTheme="minorHAnsi"/>
                <w:sz w:val="22"/>
              </w:rPr>
              <w:t>guided 9G VAB had an upgrade rate of 24%, suggesting that further histologic evaluation is advisable.</w:t>
            </w:r>
          </w:p>
        </w:tc>
      </w:tr>
      <w:tr w:rsidR="00837552" w:rsidRPr="00BC3684" w14:paraId="04D5594E" w14:textId="77777777" w:rsidTr="00356477">
        <w:tc>
          <w:tcPr>
            <w:tcW w:w="3641" w:type="dxa"/>
            <w:tcBorders>
              <w:top w:val="nil"/>
              <w:left w:val="nil"/>
              <w:bottom w:val="nil"/>
              <w:right w:val="nil"/>
            </w:tcBorders>
            <w:shd w:val="clear" w:color="auto" w:fill="D9E2F3" w:themeFill="accent1" w:themeFillTint="33"/>
          </w:tcPr>
          <w:p w14:paraId="5F3C9559" w14:textId="77777777" w:rsidR="00837552" w:rsidRPr="005A3290" w:rsidRDefault="00837552" w:rsidP="00837552">
            <w:pPr>
              <w:pStyle w:val="ListParagraph"/>
              <w:numPr>
                <w:ilvl w:val="0"/>
                <w:numId w:val="2"/>
              </w:numPr>
              <w:spacing w:before="60" w:after="60" w:line="240" w:lineRule="auto"/>
              <w:rPr>
                <w:rFonts w:asciiTheme="minorHAnsi" w:hAnsiTheme="minorHAnsi" w:cs="Arial"/>
                <w:b/>
              </w:rPr>
            </w:pPr>
            <w:r w:rsidRPr="005A3290">
              <w:rPr>
                <w:rFonts w:asciiTheme="minorHAnsi" w:hAnsiTheme="minorHAnsi" w:cs="Arial"/>
                <w:b/>
              </w:rPr>
              <w:lastRenderedPageBreak/>
              <w:t>Literature reviewed</w:t>
            </w:r>
          </w:p>
        </w:tc>
        <w:tc>
          <w:tcPr>
            <w:tcW w:w="5573" w:type="dxa"/>
            <w:tcBorders>
              <w:top w:val="nil"/>
              <w:left w:val="nil"/>
              <w:bottom w:val="nil"/>
              <w:right w:val="nil"/>
            </w:tcBorders>
          </w:tcPr>
          <w:p w14:paraId="323A622E" w14:textId="55417949" w:rsidR="00837552" w:rsidRPr="00053A81" w:rsidRDefault="008265EB" w:rsidP="00F8103F">
            <w:pPr>
              <w:spacing w:before="120" w:after="120"/>
              <w:rPr>
                <w:rFonts w:asciiTheme="minorHAnsi" w:hAnsiTheme="minorHAnsi"/>
                <w:sz w:val="22"/>
              </w:rPr>
            </w:pPr>
            <w:r>
              <w:rPr>
                <w:rFonts w:asciiTheme="minorHAnsi" w:hAnsiTheme="minorHAnsi"/>
                <w:sz w:val="22"/>
              </w:rPr>
              <w:t xml:space="preserve">Farshid G, </w:t>
            </w:r>
            <w:r w:rsidR="008D3AC9" w:rsidRPr="008D3AC9">
              <w:rPr>
                <w:rFonts w:asciiTheme="minorHAnsi" w:hAnsiTheme="minorHAnsi"/>
                <w:sz w:val="22"/>
              </w:rPr>
              <w:t>Farshid, G. &amp; Buckley, E. Breast Cancer Res Treat (2018). https://doi.org/10.1007/s10549-018-5040-3</w:t>
            </w:r>
          </w:p>
        </w:tc>
      </w:tr>
      <w:tr w:rsidR="00837552" w:rsidRPr="00BC3684" w14:paraId="130BF3E8" w14:textId="77777777" w:rsidTr="00356477">
        <w:tc>
          <w:tcPr>
            <w:tcW w:w="3641" w:type="dxa"/>
            <w:tcBorders>
              <w:top w:val="nil"/>
              <w:left w:val="nil"/>
              <w:bottom w:val="single" w:sz="4" w:space="0" w:color="auto"/>
              <w:right w:val="nil"/>
            </w:tcBorders>
            <w:shd w:val="clear" w:color="auto" w:fill="D9E2F3" w:themeFill="accent1" w:themeFillTint="33"/>
          </w:tcPr>
          <w:p w14:paraId="3B8ABE80" w14:textId="5FC5D6E1" w:rsidR="00837552" w:rsidRDefault="00837552" w:rsidP="00837552">
            <w:pPr>
              <w:pStyle w:val="ListParagraph"/>
              <w:numPr>
                <w:ilvl w:val="0"/>
                <w:numId w:val="2"/>
              </w:numPr>
              <w:spacing w:before="60" w:after="60" w:line="240" w:lineRule="auto"/>
              <w:rPr>
                <w:rFonts w:asciiTheme="minorHAnsi" w:hAnsiTheme="minorHAnsi" w:cs="Arial"/>
                <w:b/>
              </w:rPr>
            </w:pPr>
            <w:r w:rsidRPr="005A3290">
              <w:rPr>
                <w:rFonts w:asciiTheme="minorHAnsi" w:hAnsiTheme="minorHAnsi" w:cs="Arial"/>
                <w:b/>
              </w:rPr>
              <w:t>Reviewed guidelines from:</w:t>
            </w:r>
          </w:p>
          <w:p w14:paraId="54BB189A" w14:textId="77777777" w:rsidR="00837552" w:rsidRDefault="00837552" w:rsidP="00837552">
            <w:pPr>
              <w:pStyle w:val="ListParagraph"/>
              <w:numPr>
                <w:ilvl w:val="1"/>
                <w:numId w:val="2"/>
              </w:numPr>
              <w:spacing w:before="60" w:after="60" w:line="240" w:lineRule="auto"/>
              <w:ind w:left="743"/>
              <w:rPr>
                <w:rFonts w:asciiTheme="minorHAnsi" w:hAnsiTheme="minorHAnsi" w:cs="Arial"/>
                <w:b/>
              </w:rPr>
            </w:pPr>
            <w:r>
              <w:rPr>
                <w:rFonts w:asciiTheme="minorHAnsi" w:hAnsiTheme="minorHAnsi" w:cs="Arial"/>
                <w:b/>
              </w:rPr>
              <w:t>Australia/international</w:t>
            </w:r>
          </w:p>
          <w:p w14:paraId="28ABBF90" w14:textId="77777777" w:rsidR="00837552" w:rsidRPr="005A3290" w:rsidRDefault="00837552" w:rsidP="00837552">
            <w:pPr>
              <w:pStyle w:val="ListParagraph"/>
              <w:numPr>
                <w:ilvl w:val="1"/>
                <w:numId w:val="2"/>
              </w:numPr>
              <w:spacing w:before="60" w:after="60" w:line="240" w:lineRule="auto"/>
              <w:ind w:left="743"/>
              <w:rPr>
                <w:rFonts w:asciiTheme="minorHAnsi" w:hAnsiTheme="minorHAnsi" w:cs="Arial"/>
                <w:b/>
              </w:rPr>
            </w:pPr>
            <w:r>
              <w:rPr>
                <w:rFonts w:asciiTheme="minorHAnsi" w:hAnsiTheme="minorHAnsi" w:cs="Arial"/>
                <w:b/>
              </w:rPr>
              <w:t>Jurisdictions/Programs</w:t>
            </w:r>
          </w:p>
        </w:tc>
        <w:tc>
          <w:tcPr>
            <w:tcW w:w="5573" w:type="dxa"/>
            <w:tcBorders>
              <w:top w:val="nil"/>
              <w:left w:val="nil"/>
              <w:bottom w:val="single" w:sz="4" w:space="0" w:color="auto"/>
              <w:right w:val="nil"/>
            </w:tcBorders>
          </w:tcPr>
          <w:p w14:paraId="41EBEDBB" w14:textId="77777777" w:rsidR="00837552" w:rsidRPr="008265EB" w:rsidRDefault="00837552" w:rsidP="008265EB">
            <w:pPr>
              <w:spacing w:before="120" w:after="120" w:line="240" w:lineRule="auto"/>
              <w:rPr>
                <w:rFonts w:asciiTheme="minorHAnsi" w:hAnsiTheme="minorHAnsi"/>
                <w:sz w:val="22"/>
              </w:rPr>
            </w:pPr>
          </w:p>
        </w:tc>
      </w:tr>
      <w:tr w:rsidR="00837552" w:rsidRPr="00BC3684" w14:paraId="197300F6" w14:textId="77777777" w:rsidTr="00356477">
        <w:tc>
          <w:tcPr>
            <w:tcW w:w="3641" w:type="dxa"/>
            <w:tcBorders>
              <w:left w:val="nil"/>
              <w:bottom w:val="single" w:sz="4" w:space="0" w:color="auto"/>
              <w:right w:val="nil"/>
            </w:tcBorders>
            <w:shd w:val="clear" w:color="auto" w:fill="D9E2F3" w:themeFill="accent1" w:themeFillTint="33"/>
          </w:tcPr>
          <w:p w14:paraId="34D05E7E" w14:textId="77777777" w:rsidR="00837552" w:rsidRPr="00643F72" w:rsidRDefault="00837552" w:rsidP="00F8103F">
            <w:pPr>
              <w:spacing w:before="120" w:after="120"/>
              <w:rPr>
                <w:rFonts w:asciiTheme="minorHAnsi" w:hAnsiTheme="minorHAnsi" w:cs="Arial"/>
                <w:b/>
              </w:rPr>
            </w:pPr>
            <w:r>
              <w:rPr>
                <w:rFonts w:asciiTheme="minorHAnsi" w:hAnsiTheme="minorHAnsi" w:cs="Arial"/>
                <w:b/>
              </w:rPr>
              <w:t>Attachments:</w:t>
            </w:r>
          </w:p>
        </w:tc>
        <w:tc>
          <w:tcPr>
            <w:tcW w:w="5573" w:type="dxa"/>
            <w:tcBorders>
              <w:left w:val="nil"/>
              <w:bottom w:val="single" w:sz="4" w:space="0" w:color="auto"/>
              <w:right w:val="nil"/>
            </w:tcBorders>
          </w:tcPr>
          <w:p w14:paraId="38C5DB18" w14:textId="51BA7336" w:rsidR="00837552" w:rsidRPr="001D3D53" w:rsidRDefault="00356A79" w:rsidP="00F8103F">
            <w:pPr>
              <w:spacing w:before="120" w:after="120"/>
              <w:rPr>
                <w:rFonts w:asciiTheme="minorHAnsi" w:hAnsiTheme="minorHAnsi"/>
                <w:sz w:val="22"/>
              </w:rPr>
            </w:pPr>
            <w:r>
              <w:rPr>
                <w:rFonts w:asciiTheme="minorHAnsi" w:hAnsiTheme="minorHAnsi"/>
                <w:sz w:val="22"/>
              </w:rPr>
              <w:t>NIL</w:t>
            </w:r>
          </w:p>
        </w:tc>
      </w:tr>
      <w:tr w:rsidR="00837552" w:rsidRPr="00BC3684" w14:paraId="111E79D9" w14:textId="77777777" w:rsidTr="00356477">
        <w:tc>
          <w:tcPr>
            <w:tcW w:w="3641" w:type="dxa"/>
            <w:tcBorders>
              <w:left w:val="nil"/>
              <w:right w:val="nil"/>
            </w:tcBorders>
            <w:shd w:val="clear" w:color="auto" w:fill="D9E2F3" w:themeFill="accent1" w:themeFillTint="33"/>
          </w:tcPr>
          <w:p w14:paraId="6BF89DA7" w14:textId="77777777" w:rsidR="00837552" w:rsidRPr="00F91A57" w:rsidRDefault="00837552" w:rsidP="00F8103F">
            <w:pPr>
              <w:spacing w:before="120" w:after="120"/>
              <w:rPr>
                <w:rFonts w:asciiTheme="minorHAnsi" w:hAnsiTheme="minorHAnsi" w:cs="Arial"/>
                <w:sz w:val="22"/>
              </w:rPr>
            </w:pPr>
            <w:r>
              <w:rPr>
                <w:rFonts w:asciiTheme="minorHAnsi" w:hAnsiTheme="minorHAnsi" w:cs="Arial"/>
                <w:b/>
                <w:sz w:val="22"/>
              </w:rPr>
              <w:t xml:space="preserve">Next Steps: </w:t>
            </w:r>
            <w:r>
              <w:rPr>
                <w:rFonts w:asciiTheme="minorHAnsi" w:hAnsiTheme="minorHAnsi" w:cs="Arial"/>
                <w:sz w:val="22"/>
              </w:rPr>
              <w:t>(for PMG/NQMC)</w:t>
            </w:r>
          </w:p>
        </w:tc>
        <w:tc>
          <w:tcPr>
            <w:tcW w:w="5573" w:type="dxa"/>
            <w:tcBorders>
              <w:left w:val="nil"/>
              <w:right w:val="nil"/>
            </w:tcBorders>
          </w:tcPr>
          <w:p w14:paraId="3BC50A07" w14:textId="2560AC45" w:rsidR="00837552" w:rsidRPr="00BC3684" w:rsidRDefault="008D3EC3" w:rsidP="00F8103F">
            <w:pPr>
              <w:spacing w:before="120" w:after="120"/>
              <w:rPr>
                <w:rFonts w:asciiTheme="minorHAnsi" w:hAnsiTheme="minorHAnsi" w:cs="Arial"/>
                <w:sz w:val="22"/>
              </w:rPr>
            </w:pPr>
            <w:r>
              <w:rPr>
                <w:rFonts w:asciiTheme="minorHAnsi" w:hAnsiTheme="minorHAnsi"/>
                <w:sz w:val="22"/>
              </w:rPr>
              <w:t>The PMG endorsed this advice at its 14-15 October 2019 meeting. This advice is clinical guidance for the BreastScreen Australia Program for consideration and suggested implementation within each jurisdiction.</w:t>
            </w:r>
          </w:p>
        </w:tc>
      </w:tr>
    </w:tbl>
    <w:p w14:paraId="5935425D" w14:textId="77777777" w:rsidR="00837552" w:rsidRPr="00BC3684" w:rsidRDefault="00837552" w:rsidP="00837552">
      <w:pPr>
        <w:rPr>
          <w:rFonts w:asciiTheme="minorHAnsi" w:hAnsiTheme="minorHAnsi" w:cs="Arial"/>
          <w:sz w:val="22"/>
        </w:rPr>
      </w:pPr>
    </w:p>
    <w:p w14:paraId="0E88EEA4" w14:textId="77777777" w:rsidR="00D83770" w:rsidRDefault="00D83770"/>
    <w:sectPr w:rsidR="00D83770" w:rsidSect="0083755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93968" w14:textId="77777777" w:rsidR="00781193" w:rsidRDefault="00781193" w:rsidP="00533D4D">
      <w:pPr>
        <w:spacing w:after="0" w:line="240" w:lineRule="auto"/>
      </w:pPr>
      <w:r>
        <w:separator/>
      </w:r>
    </w:p>
  </w:endnote>
  <w:endnote w:type="continuationSeparator" w:id="0">
    <w:p w14:paraId="1599D448" w14:textId="77777777" w:rsidR="00781193" w:rsidRDefault="00781193" w:rsidP="00533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303F1" w14:textId="77777777" w:rsidR="00533D4D" w:rsidRDefault="00533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3CD4C" w14:textId="1DAF4792" w:rsidR="00533D4D" w:rsidRDefault="00022875" w:rsidP="00533D4D">
    <w:pPr>
      <w:pStyle w:val="Footer"/>
      <w:jc w:val="center"/>
    </w:pPr>
    <w:r>
      <w:rPr>
        <w:rFonts w:ascii="Arial" w:eastAsia="Times New Roman" w:hAnsi="Arial" w:cs="Arial"/>
        <w:sz w:val="20"/>
        <w:szCs w:val="20"/>
        <w:lang w:eastAsia="en-AU"/>
      </w:rPr>
      <w:tab/>
    </w:r>
    <w:r w:rsidR="00533D4D" w:rsidRPr="00533D4D">
      <w:rPr>
        <w:rFonts w:ascii="Arial" w:eastAsia="Times New Roman" w:hAnsi="Arial" w:cs="Arial"/>
        <w:sz w:val="20"/>
        <w:szCs w:val="20"/>
        <w:lang w:eastAsia="en-AU"/>
      </w:rPr>
      <w:t>BreastScreen Australia Clinical Advisory Committee</w:t>
    </w:r>
    <w:r>
      <w:rPr>
        <w:rFonts w:eastAsia="Times New Roman" w:cs="Times New Roman"/>
        <w:sz w:val="20"/>
        <w:szCs w:val="20"/>
        <w:lang w:eastAsia="en-AU"/>
      </w:rPr>
      <w:t xml:space="preserve"> </w:t>
    </w:r>
    <w:r>
      <w:rPr>
        <w:rFonts w:eastAsia="Times New Roman" w:cs="Times New Roman"/>
        <w:sz w:val="20"/>
        <w:szCs w:val="20"/>
        <w:lang w:eastAsia="en-AU"/>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A4502" w14:textId="77777777" w:rsidR="00533D4D" w:rsidRDefault="00533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A71D3" w14:textId="77777777" w:rsidR="00781193" w:rsidRDefault="00781193" w:rsidP="00533D4D">
      <w:pPr>
        <w:spacing w:after="0" w:line="240" w:lineRule="auto"/>
      </w:pPr>
      <w:r>
        <w:separator/>
      </w:r>
    </w:p>
  </w:footnote>
  <w:footnote w:type="continuationSeparator" w:id="0">
    <w:p w14:paraId="408925B9" w14:textId="77777777" w:rsidR="00781193" w:rsidRDefault="00781193" w:rsidP="00533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73F48" w14:textId="57CA2458" w:rsidR="00533D4D" w:rsidRDefault="00BE26DD">
    <w:pPr>
      <w:pStyle w:val="Header"/>
    </w:pPr>
    <w:r>
      <w:rPr>
        <w:noProof/>
      </w:rPr>
      <w:pict w14:anchorId="38380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66282" o:spid="_x0000_s2051"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Endors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957FC" w14:textId="7134D07B" w:rsidR="00533D4D" w:rsidRDefault="00BE26DD">
    <w:pPr>
      <w:pStyle w:val="Header"/>
    </w:pPr>
    <w:r>
      <w:rPr>
        <w:noProof/>
      </w:rPr>
      <w:pict w14:anchorId="298F1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66283" o:spid="_x0000_s2052"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Endors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72954" w14:textId="1BEE224A" w:rsidR="00533D4D" w:rsidRDefault="00BE26DD">
    <w:pPr>
      <w:pStyle w:val="Header"/>
    </w:pPr>
    <w:r>
      <w:rPr>
        <w:noProof/>
      </w:rPr>
      <w:pict w14:anchorId="505D0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66281" o:spid="_x0000_s2050"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Endors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33B31"/>
    <w:multiLevelType w:val="hybridMultilevel"/>
    <w:tmpl w:val="FE4AE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1642825"/>
    <w:multiLevelType w:val="hybridMultilevel"/>
    <w:tmpl w:val="8AE61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60544"/>
    <w:multiLevelType w:val="hybridMultilevel"/>
    <w:tmpl w:val="76AAB4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52"/>
    <w:rsid w:val="000209D2"/>
    <w:rsid w:val="00022875"/>
    <w:rsid w:val="00026ED9"/>
    <w:rsid w:val="000400A8"/>
    <w:rsid w:val="000D1ABC"/>
    <w:rsid w:val="001B10A2"/>
    <w:rsid w:val="002155B7"/>
    <w:rsid w:val="002A511A"/>
    <w:rsid w:val="002B3316"/>
    <w:rsid w:val="002E38CE"/>
    <w:rsid w:val="00356477"/>
    <w:rsid w:val="00356A79"/>
    <w:rsid w:val="00356D45"/>
    <w:rsid w:val="003C412A"/>
    <w:rsid w:val="004427BD"/>
    <w:rsid w:val="004E44EC"/>
    <w:rsid w:val="00533D4D"/>
    <w:rsid w:val="005708EF"/>
    <w:rsid w:val="005846B0"/>
    <w:rsid w:val="005913C8"/>
    <w:rsid w:val="00674A48"/>
    <w:rsid w:val="006B6295"/>
    <w:rsid w:val="007132F1"/>
    <w:rsid w:val="00714A37"/>
    <w:rsid w:val="00781193"/>
    <w:rsid w:val="007A2209"/>
    <w:rsid w:val="007C1061"/>
    <w:rsid w:val="007E41A2"/>
    <w:rsid w:val="008265EB"/>
    <w:rsid w:val="00837552"/>
    <w:rsid w:val="00841EC5"/>
    <w:rsid w:val="00854B47"/>
    <w:rsid w:val="008A1F1A"/>
    <w:rsid w:val="008D3AC9"/>
    <w:rsid w:val="008D3EC3"/>
    <w:rsid w:val="0090122C"/>
    <w:rsid w:val="00915141"/>
    <w:rsid w:val="00971BE0"/>
    <w:rsid w:val="009758BE"/>
    <w:rsid w:val="009B2A50"/>
    <w:rsid w:val="009C48DF"/>
    <w:rsid w:val="00A80CF8"/>
    <w:rsid w:val="00B16850"/>
    <w:rsid w:val="00B53627"/>
    <w:rsid w:val="00BE26DD"/>
    <w:rsid w:val="00C52B69"/>
    <w:rsid w:val="00CD19B0"/>
    <w:rsid w:val="00D07EB1"/>
    <w:rsid w:val="00D50EE0"/>
    <w:rsid w:val="00D67CE3"/>
    <w:rsid w:val="00D83770"/>
    <w:rsid w:val="00D9336C"/>
    <w:rsid w:val="00E27BFA"/>
    <w:rsid w:val="00E50C42"/>
    <w:rsid w:val="00ED07FF"/>
    <w:rsid w:val="00ED68A2"/>
    <w:rsid w:val="00F758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62573B0"/>
  <w15:docId w15:val="{4FD363CF-C2A3-494F-A781-487910F8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552"/>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w:basedOn w:val="Normal"/>
    <w:link w:val="ListParagraphChar"/>
    <w:uiPriority w:val="34"/>
    <w:qFormat/>
    <w:rsid w:val="00837552"/>
    <w:pPr>
      <w:ind w:left="720"/>
      <w:contextualSpacing/>
    </w:pPr>
  </w:style>
  <w:style w:type="table" w:styleId="TableGrid">
    <w:name w:val="Table Grid"/>
    <w:basedOn w:val="TableNormal"/>
    <w:rsid w:val="0083755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Char"/>
    <w:basedOn w:val="DefaultParagraphFont"/>
    <w:link w:val="ListParagraph"/>
    <w:uiPriority w:val="34"/>
    <w:locked/>
    <w:rsid w:val="00837552"/>
    <w:rPr>
      <w:rFonts w:ascii="Times New Roman" w:hAnsi="Times New Roman"/>
      <w:sz w:val="24"/>
    </w:rPr>
  </w:style>
  <w:style w:type="paragraph" w:styleId="BalloonText">
    <w:name w:val="Balloon Text"/>
    <w:basedOn w:val="Normal"/>
    <w:link w:val="BalloonTextChar"/>
    <w:uiPriority w:val="99"/>
    <w:semiHidden/>
    <w:unhideWhenUsed/>
    <w:rsid w:val="00837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552"/>
    <w:rPr>
      <w:rFonts w:ascii="Segoe UI" w:hAnsi="Segoe UI" w:cs="Segoe UI"/>
      <w:sz w:val="18"/>
      <w:szCs w:val="18"/>
    </w:rPr>
  </w:style>
  <w:style w:type="paragraph" w:styleId="Header">
    <w:name w:val="header"/>
    <w:basedOn w:val="Normal"/>
    <w:link w:val="HeaderChar"/>
    <w:uiPriority w:val="99"/>
    <w:unhideWhenUsed/>
    <w:rsid w:val="00533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D4D"/>
    <w:rPr>
      <w:rFonts w:ascii="Times New Roman" w:hAnsi="Times New Roman"/>
      <w:sz w:val="24"/>
    </w:rPr>
  </w:style>
  <w:style w:type="paragraph" w:styleId="Footer">
    <w:name w:val="footer"/>
    <w:basedOn w:val="Normal"/>
    <w:link w:val="FooterChar"/>
    <w:uiPriority w:val="99"/>
    <w:unhideWhenUsed/>
    <w:rsid w:val="00533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D4D"/>
    <w:rPr>
      <w:rFonts w:ascii="Times New Roman" w:hAnsi="Times New Roman"/>
      <w:sz w:val="24"/>
    </w:rPr>
  </w:style>
  <w:style w:type="character" w:styleId="PlaceholderText">
    <w:name w:val="Placeholder Text"/>
    <w:basedOn w:val="DefaultParagraphFont"/>
    <w:uiPriority w:val="99"/>
    <w:semiHidden/>
    <w:rsid w:val="008265EB"/>
    <w:rPr>
      <w:color w:val="808080"/>
    </w:rPr>
  </w:style>
  <w:style w:type="table" w:customStyle="1" w:styleId="GridTable5Dark-Accent21">
    <w:name w:val="Grid Table 5 Dark - Accent 21"/>
    <w:basedOn w:val="TableNormal"/>
    <w:uiPriority w:val="50"/>
    <w:rsid w:val="002B3316"/>
    <w:pPr>
      <w:spacing w:after="0" w:line="240" w:lineRule="auto"/>
    </w:pPr>
    <w:rPr>
      <w:rFonts w:eastAsia="Times New Roman" w:cs="Times New Roman"/>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shd w:val="clear" w:color="auto" w:fill="129F9B"/>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shd w:val="clear" w:color="auto" w:fill="129F9B"/>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02D3CC"/>
      </w:tcPr>
    </w:tblStylePr>
    <w:tblStylePr w:type="band2Horz">
      <w:tblPr/>
      <w:tcPr>
        <w:shd w:val="clear" w:color="auto" w:fill="95F3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604795">
      <w:bodyDiv w:val="1"/>
      <w:marLeft w:val="0"/>
      <w:marRight w:val="0"/>
      <w:marTop w:val="0"/>
      <w:marBottom w:val="0"/>
      <w:divBdr>
        <w:top w:val="none" w:sz="0" w:space="0" w:color="auto"/>
        <w:left w:val="none" w:sz="0" w:space="0" w:color="auto"/>
        <w:bottom w:val="none" w:sz="0" w:space="0" w:color="auto"/>
        <w:right w:val="none" w:sz="0" w:space="0" w:color="auto"/>
      </w:divBdr>
    </w:div>
    <w:div w:id="187881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A283D-C6FD-4906-8F0B-5BA86A87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689</Words>
  <Characters>3933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 Perry</dc:creator>
  <cp:lastModifiedBy>MCQUEEN, Caila</cp:lastModifiedBy>
  <cp:revision>2</cp:revision>
  <dcterms:created xsi:type="dcterms:W3CDTF">2022-02-25T05:55:00Z</dcterms:created>
  <dcterms:modified xsi:type="dcterms:W3CDTF">2022-02-25T05:55:00Z</dcterms:modified>
</cp:coreProperties>
</file>