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A8E7C" w14:textId="4BF8D6D2" w:rsidR="00580002" w:rsidRDefault="00580002" w:rsidP="00580002">
      <w:pPr>
        <w:jc w:val="center"/>
      </w:pPr>
      <w:r>
        <w:rPr>
          <w:noProof/>
        </w:rPr>
        <w:drawing>
          <wp:anchor distT="0" distB="0" distL="114300" distR="114300" simplePos="0" relativeHeight="251659264" behindDoc="0" locked="0" layoutInCell="1" allowOverlap="1" wp14:anchorId="3515B64C" wp14:editId="724334E5">
            <wp:simplePos x="0" y="0"/>
            <wp:positionH relativeFrom="column">
              <wp:posOffset>1238885</wp:posOffset>
            </wp:positionH>
            <wp:positionV relativeFrom="paragraph">
              <wp:posOffset>514985</wp:posOffset>
            </wp:positionV>
            <wp:extent cx="3266440" cy="2164715"/>
            <wp:effectExtent l="0" t="0" r="0" b="6985"/>
            <wp:wrapTopAndBottom/>
            <wp:docPr id="1" name="Picture 1" descr="DH_stacke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_stacked_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66440" cy="2164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8ED5C" w14:textId="77777777" w:rsidR="00580002" w:rsidRDefault="00580002" w:rsidP="00580002">
      <w:pPr>
        <w:jc w:val="center"/>
      </w:pPr>
    </w:p>
    <w:p w14:paraId="0E96B2C0" w14:textId="77777777" w:rsidR="00580002" w:rsidRDefault="00580002" w:rsidP="00580002">
      <w:pPr>
        <w:jc w:val="center"/>
      </w:pPr>
    </w:p>
    <w:p w14:paraId="4A60789B" w14:textId="1960EAE4" w:rsidR="00D31BBF" w:rsidRDefault="00D31BBF" w:rsidP="00580002">
      <w:pPr>
        <w:jc w:val="center"/>
        <w:rPr>
          <w:b/>
          <w:sz w:val="44"/>
          <w:szCs w:val="44"/>
        </w:rPr>
      </w:pPr>
    </w:p>
    <w:p w14:paraId="361FFA61" w14:textId="77777777" w:rsidR="00EB1E96" w:rsidRDefault="00EB1E96" w:rsidP="00580002">
      <w:pPr>
        <w:jc w:val="center"/>
        <w:rPr>
          <w:b/>
          <w:sz w:val="44"/>
          <w:szCs w:val="44"/>
        </w:rPr>
      </w:pPr>
    </w:p>
    <w:p w14:paraId="46541870" w14:textId="4B0643B6" w:rsidR="00580002" w:rsidRPr="00EB1E96" w:rsidRDefault="00580002" w:rsidP="00580002">
      <w:pPr>
        <w:jc w:val="center"/>
        <w:rPr>
          <w:b/>
          <w:sz w:val="52"/>
          <w:szCs w:val="52"/>
        </w:rPr>
      </w:pPr>
      <w:r w:rsidRPr="00EB1E96">
        <w:rPr>
          <w:b/>
          <w:sz w:val="52"/>
          <w:szCs w:val="52"/>
        </w:rPr>
        <w:t xml:space="preserve">Tobacco </w:t>
      </w:r>
      <w:r w:rsidR="00ED65BA" w:rsidRPr="00EB1E96">
        <w:rPr>
          <w:b/>
          <w:sz w:val="52"/>
          <w:szCs w:val="52"/>
        </w:rPr>
        <w:t>Control</w:t>
      </w:r>
      <w:r w:rsidRPr="00EB1E96">
        <w:rPr>
          <w:b/>
          <w:sz w:val="52"/>
          <w:szCs w:val="52"/>
        </w:rPr>
        <w:t xml:space="preserve"> </w:t>
      </w:r>
    </w:p>
    <w:p w14:paraId="233A4C5E" w14:textId="77777777" w:rsidR="00580002" w:rsidRPr="00EB1E96" w:rsidRDefault="00580002" w:rsidP="00580002">
      <w:pPr>
        <w:jc w:val="center"/>
        <w:rPr>
          <w:b/>
          <w:sz w:val="52"/>
          <w:szCs w:val="52"/>
        </w:rPr>
      </w:pPr>
      <w:r w:rsidRPr="00EB1E96">
        <w:rPr>
          <w:b/>
          <w:sz w:val="52"/>
          <w:szCs w:val="52"/>
        </w:rPr>
        <w:t>Enforcement Policy</w:t>
      </w:r>
    </w:p>
    <w:p w14:paraId="0E907729" w14:textId="68BF071F" w:rsidR="00580002" w:rsidRDefault="00580002" w:rsidP="00580002">
      <w:pPr>
        <w:jc w:val="center"/>
      </w:pPr>
    </w:p>
    <w:p w14:paraId="03812035" w14:textId="0BBD52F8" w:rsidR="00EB1E96" w:rsidRDefault="00EB1E96" w:rsidP="00580002">
      <w:pPr>
        <w:jc w:val="center"/>
      </w:pPr>
    </w:p>
    <w:p w14:paraId="7924B308" w14:textId="3D59353B" w:rsidR="00EB1E96" w:rsidRDefault="008617CE" w:rsidP="008617CE">
      <w:pPr>
        <w:tabs>
          <w:tab w:val="left" w:pos="600"/>
        </w:tabs>
      </w:pPr>
      <w:r>
        <w:tab/>
      </w:r>
    </w:p>
    <w:p w14:paraId="4B5631DA" w14:textId="77777777" w:rsidR="00EB1E96" w:rsidRDefault="00EB1E96" w:rsidP="00580002">
      <w:pPr>
        <w:jc w:val="center"/>
      </w:pPr>
    </w:p>
    <w:p w14:paraId="57381E89" w14:textId="77777777" w:rsidR="00580002" w:rsidRDefault="00580002" w:rsidP="00580002">
      <w:pPr>
        <w:jc w:val="center"/>
      </w:pPr>
    </w:p>
    <w:p w14:paraId="1EF841EB" w14:textId="77777777" w:rsidR="00580002" w:rsidRDefault="00580002" w:rsidP="00580002">
      <w:pPr>
        <w:tabs>
          <w:tab w:val="left" w:pos="1195"/>
        </w:tabs>
      </w:pPr>
      <w:r>
        <w:tab/>
      </w:r>
    </w:p>
    <w:p w14:paraId="2E302531" w14:textId="03D53502" w:rsidR="00D31BBF" w:rsidRDefault="00580002" w:rsidP="00580002">
      <w:pPr>
        <w:tabs>
          <w:tab w:val="left" w:pos="1345"/>
        </w:tabs>
      </w:pPr>
      <w:r>
        <w:tab/>
      </w:r>
    </w:p>
    <w:p w14:paraId="5737BCD6" w14:textId="4B9072FE" w:rsidR="00D31BBF" w:rsidRDefault="00D31BBF" w:rsidP="00580002">
      <w:pPr>
        <w:tabs>
          <w:tab w:val="left" w:pos="1345"/>
        </w:tabs>
      </w:pPr>
    </w:p>
    <w:p w14:paraId="7F985515" w14:textId="12050C87" w:rsidR="00D31BBF" w:rsidRDefault="00D31BBF" w:rsidP="00580002">
      <w:pPr>
        <w:tabs>
          <w:tab w:val="left" w:pos="1345"/>
        </w:tabs>
      </w:pPr>
    </w:p>
    <w:p w14:paraId="59892EA3" w14:textId="7ECF1AA6" w:rsidR="00D31BBF" w:rsidRDefault="00D31BBF" w:rsidP="00580002">
      <w:pPr>
        <w:tabs>
          <w:tab w:val="left" w:pos="1345"/>
        </w:tabs>
      </w:pPr>
    </w:p>
    <w:p w14:paraId="6A3E40AC" w14:textId="77777777" w:rsidR="00D31BBF" w:rsidRDefault="00D31BBF" w:rsidP="00580002">
      <w:pPr>
        <w:tabs>
          <w:tab w:val="left" w:pos="1345"/>
        </w:tabs>
      </w:pPr>
    </w:p>
    <w:p w14:paraId="301F82AB" w14:textId="3D55B236" w:rsidR="00D31BBF" w:rsidRPr="00EB1E96" w:rsidRDefault="008617CE" w:rsidP="00580002">
      <w:pPr>
        <w:jc w:val="center"/>
        <w:rPr>
          <w:b/>
          <w:sz w:val="32"/>
          <w:szCs w:val="28"/>
        </w:rPr>
      </w:pPr>
      <w:r>
        <w:rPr>
          <w:b/>
          <w:sz w:val="32"/>
          <w:szCs w:val="28"/>
        </w:rPr>
        <w:t>January</w:t>
      </w:r>
      <w:r w:rsidR="00BA57DB" w:rsidRPr="00EB1E96">
        <w:rPr>
          <w:b/>
          <w:sz w:val="32"/>
          <w:szCs w:val="28"/>
        </w:rPr>
        <w:t xml:space="preserve"> </w:t>
      </w:r>
      <w:r w:rsidR="00580002" w:rsidRPr="00EB1E96">
        <w:rPr>
          <w:b/>
          <w:sz w:val="32"/>
          <w:szCs w:val="28"/>
        </w:rPr>
        <w:t>202</w:t>
      </w:r>
      <w:r>
        <w:rPr>
          <w:b/>
          <w:sz w:val="32"/>
          <w:szCs w:val="28"/>
        </w:rPr>
        <w:t>2</w:t>
      </w:r>
    </w:p>
    <w:p w14:paraId="1A9C3526" w14:textId="21F74B73" w:rsidR="00A52392" w:rsidRPr="00571CB8" w:rsidRDefault="00A52392" w:rsidP="007C102B">
      <w:pPr>
        <w:pStyle w:val="Heading2"/>
        <w:jc w:val="both"/>
        <w:rPr>
          <w:sz w:val="20"/>
          <w:szCs w:val="20"/>
        </w:rPr>
      </w:pPr>
      <w:bookmarkStart w:id="0" w:name="_Toc88486280"/>
      <w:r w:rsidRPr="00571CB8">
        <w:rPr>
          <w:sz w:val="20"/>
          <w:szCs w:val="20"/>
        </w:rPr>
        <w:lastRenderedPageBreak/>
        <w:t xml:space="preserve">Legal </w:t>
      </w:r>
      <w:r w:rsidR="00242D58" w:rsidRPr="00571CB8">
        <w:rPr>
          <w:sz w:val="20"/>
          <w:szCs w:val="20"/>
        </w:rPr>
        <w:t>Statement</w:t>
      </w:r>
      <w:bookmarkEnd w:id="0"/>
    </w:p>
    <w:p w14:paraId="13BCFDBC" w14:textId="5034783E" w:rsidR="00242D58" w:rsidRPr="00571CB8" w:rsidRDefault="00C5015F" w:rsidP="007C102B">
      <w:pPr>
        <w:jc w:val="both"/>
        <w:rPr>
          <w:rFonts w:cs="Times New Roman"/>
          <w:color w:val="222222"/>
          <w:sz w:val="20"/>
          <w:szCs w:val="20"/>
          <w:shd w:val="clear" w:color="auto" w:fill="FFFFFF"/>
        </w:rPr>
      </w:pPr>
      <w:r w:rsidRPr="00571CB8">
        <w:rPr>
          <w:rFonts w:cs="Times New Roman"/>
          <w:color w:val="222222"/>
          <w:sz w:val="20"/>
          <w:szCs w:val="20"/>
          <w:shd w:val="clear" w:color="auto" w:fill="FFFFFF"/>
        </w:rPr>
        <w:t xml:space="preserve">This Department of Health </w:t>
      </w:r>
      <w:r w:rsidR="00754169" w:rsidRPr="00571CB8">
        <w:rPr>
          <w:rFonts w:cs="Times New Roman"/>
          <w:color w:val="222222"/>
          <w:sz w:val="20"/>
          <w:szCs w:val="20"/>
          <w:shd w:val="clear" w:color="auto" w:fill="FFFFFF"/>
        </w:rPr>
        <w:t xml:space="preserve">(Department) </w:t>
      </w:r>
      <w:r w:rsidRPr="00571CB8">
        <w:rPr>
          <w:rFonts w:cs="Times New Roman"/>
          <w:color w:val="222222"/>
          <w:sz w:val="20"/>
          <w:szCs w:val="20"/>
          <w:shd w:val="clear" w:color="auto" w:fill="FFFFFF"/>
        </w:rPr>
        <w:t>Tobacco Control Enforcement Policy (the Enforcement Policy) contains general information only and should not be relied upon for the purposes of a particular matter. It does not provide legal advice and is not to be relied upon as a source of legal advice. It is provided as a general guide only and as such any person reading this Enforcement Policy should rely upon their own judgment and make their own enquiries including seeking relevant professional advice before entering into any arrangements</w:t>
      </w:r>
      <w:r w:rsidR="00477E0A" w:rsidRPr="00571CB8">
        <w:rPr>
          <w:rFonts w:cs="Times New Roman"/>
          <w:color w:val="222222"/>
          <w:sz w:val="20"/>
          <w:szCs w:val="20"/>
          <w:shd w:val="clear" w:color="auto" w:fill="FFFFFF"/>
        </w:rPr>
        <w:t>,</w:t>
      </w:r>
      <w:r w:rsidRPr="00571CB8">
        <w:rPr>
          <w:rFonts w:cs="Times New Roman"/>
          <w:color w:val="222222"/>
          <w:sz w:val="20"/>
          <w:szCs w:val="20"/>
          <w:shd w:val="clear" w:color="auto" w:fill="FFFFFF"/>
        </w:rPr>
        <w:t xml:space="preserve"> or making any commitment on the basis of any of the material in this Enforcement Policy. Nothing in this Enforcement Policy shall be taken in any way to replace the provisions of any legislative instruments made pursuant to tobacco control.</w:t>
      </w:r>
    </w:p>
    <w:p w14:paraId="7056D522" w14:textId="3A04A03F" w:rsidR="00A52392" w:rsidRDefault="00586822" w:rsidP="007C102B">
      <w:pPr>
        <w:pStyle w:val="Heading2"/>
        <w:jc w:val="both"/>
      </w:pPr>
      <w:bookmarkStart w:id="1" w:name="_Toc88486281"/>
      <w:r>
        <w:t>World Health Organi</w:t>
      </w:r>
      <w:r w:rsidR="00571CB8">
        <w:t>z</w:t>
      </w:r>
      <w:r>
        <w:t>ation Framework Convention on Tobacco Control</w:t>
      </w:r>
      <w:bookmarkEnd w:id="1"/>
    </w:p>
    <w:p w14:paraId="6011D692" w14:textId="0E726605" w:rsidR="00586822" w:rsidRDefault="005F42B8" w:rsidP="007C102B">
      <w:pPr>
        <w:jc w:val="both"/>
      </w:pPr>
      <w:r w:rsidRPr="00730089">
        <w:t>Australia is a Party to the W</w:t>
      </w:r>
      <w:r w:rsidR="00754169">
        <w:t xml:space="preserve">orld </w:t>
      </w:r>
      <w:r w:rsidRPr="00730089">
        <w:t>H</w:t>
      </w:r>
      <w:r w:rsidR="00754169">
        <w:t xml:space="preserve">ealth </w:t>
      </w:r>
      <w:r w:rsidRPr="00730089">
        <w:t>O</w:t>
      </w:r>
      <w:r w:rsidR="00754169">
        <w:t>rganization</w:t>
      </w:r>
      <w:r w:rsidRPr="00730089">
        <w:t xml:space="preserve"> </w:t>
      </w:r>
      <w:r w:rsidR="004543AC">
        <w:t xml:space="preserve">(WHO) </w:t>
      </w:r>
      <w:r w:rsidRPr="00730089">
        <w:t>F</w:t>
      </w:r>
      <w:r w:rsidR="00754169">
        <w:t xml:space="preserve">ramework </w:t>
      </w:r>
      <w:r w:rsidRPr="00730089">
        <w:t>C</w:t>
      </w:r>
      <w:r w:rsidR="00754169">
        <w:t xml:space="preserve">onvention on </w:t>
      </w:r>
      <w:r w:rsidRPr="00730089">
        <w:t>T</w:t>
      </w:r>
      <w:r w:rsidR="00754169">
        <w:t xml:space="preserve">obacco </w:t>
      </w:r>
      <w:r w:rsidRPr="00730089">
        <w:t>C</w:t>
      </w:r>
      <w:r w:rsidR="00754169">
        <w:t>ontrol (FCTC)</w:t>
      </w:r>
      <w:r w:rsidRPr="00730089">
        <w:t xml:space="preserve">, which aims to protect present and future generations from the devastating health, social, </w:t>
      </w:r>
      <w:r w:rsidR="009109D5" w:rsidRPr="00730089">
        <w:t>environmental,</w:t>
      </w:r>
      <w:r w:rsidRPr="00730089">
        <w:t xml:space="preserve"> and economic consequences of tobacco consumption and exposure to tobacco smoke.</w:t>
      </w:r>
      <w:r w:rsidR="001219AE">
        <w:t xml:space="preserve"> </w:t>
      </w:r>
      <w:r w:rsidR="00586822">
        <w:t xml:space="preserve">As a Party to the FCTC, Australia’s objectives for tobacco control are guided by the principles of Article 4 of the FCTC, </w:t>
      </w:r>
      <w:proofErr w:type="gramStart"/>
      <w:r w:rsidR="00586822">
        <w:t>namely;</w:t>
      </w:r>
      <w:proofErr w:type="gramEnd"/>
    </w:p>
    <w:p w14:paraId="27617EB9" w14:textId="77777777" w:rsidR="00586822" w:rsidRPr="007C102B" w:rsidRDefault="00586822">
      <w:pPr>
        <w:ind w:left="567"/>
        <w:rPr>
          <w:rStyle w:val="Emphasis"/>
          <w:szCs w:val="24"/>
        </w:rPr>
      </w:pPr>
      <w:r w:rsidRPr="007C102B">
        <w:rPr>
          <w:rStyle w:val="Emphasis"/>
          <w:szCs w:val="24"/>
        </w:rPr>
        <w:t>“Every person should be informed of the health consequences, addictive nature and mortal threat posed by tobacco consumption and exposure to tobacco smoke and effective legislative, executive, administrative or other measures should be contemplated at the appropriate governmental level to protect all persons from exposure to tobacco smoke.”</w:t>
      </w:r>
    </w:p>
    <w:p w14:paraId="5ED84C4F" w14:textId="075F422B" w:rsidR="005F42B8" w:rsidRPr="00730089" w:rsidRDefault="005F42B8" w:rsidP="007C102B">
      <w:pPr>
        <w:jc w:val="both"/>
      </w:pPr>
      <w:r w:rsidRPr="00730089">
        <w:t xml:space="preserve">Under the FCTC, Australia must adopt and implement effective measures for preventing and reducing tobacco consumption, nicotine addiction and exposure to tobacco smoke. The FCTC also obliges Australia to take steps to protect its tobacco control policy setting and implementation from interference from the tobacco industry and its interests. This obligation comes from Article 5.3 of the FCTC, which states: </w:t>
      </w:r>
    </w:p>
    <w:p w14:paraId="06B283A0" w14:textId="052E5DFC" w:rsidR="005F42B8" w:rsidRPr="007C102B" w:rsidRDefault="005F42B8">
      <w:pPr>
        <w:ind w:left="567"/>
        <w:rPr>
          <w:rStyle w:val="Emphasis"/>
          <w:szCs w:val="24"/>
        </w:rPr>
      </w:pPr>
      <w:r w:rsidRPr="007C102B">
        <w:rPr>
          <w:rStyle w:val="Emphasis"/>
          <w:szCs w:val="24"/>
        </w:rPr>
        <w:t xml:space="preserve">“In setting and implementing their public health policies with respect to tobacco control, Parties shall act to protect these policies from commercial and other vested interests of the tobacco industry in accordance with national law.” </w:t>
      </w:r>
    </w:p>
    <w:p w14:paraId="451D1A27" w14:textId="060C58CE" w:rsidR="0035790E" w:rsidRPr="00730089" w:rsidRDefault="005F42B8" w:rsidP="007C102B">
      <w:pPr>
        <w:jc w:val="both"/>
      </w:pPr>
      <w:r w:rsidRPr="00730089">
        <w:t xml:space="preserve">The Australian Government and the tobacco industry are pursuing conflicting goals – there is a fundamental and irreconcilable conflict between the tobacco industry’s interests and the </w:t>
      </w:r>
      <w:r w:rsidR="00477E0A">
        <w:t xml:space="preserve">Australian </w:t>
      </w:r>
      <w:r w:rsidRPr="00730089">
        <w:t>Government’s public health policy interests. For these reasons, and in line with the Australian Government’s declaration to the Secretary General of the United Nations, public officials should interact with the tobacco industry only when</w:t>
      </w:r>
      <w:r w:rsidR="00477E0A">
        <w:t xml:space="preserve">, </w:t>
      </w:r>
      <w:r w:rsidRPr="00730089">
        <w:t>and to the extent strictly necessary</w:t>
      </w:r>
      <w:r w:rsidR="00477E0A">
        <w:t xml:space="preserve">, </w:t>
      </w:r>
      <w:r w:rsidRPr="00730089">
        <w:t>to achieve effective regulation and policy development.</w:t>
      </w:r>
    </w:p>
    <w:p w14:paraId="3FCD2685" w14:textId="6719FB6B" w:rsidR="00730089" w:rsidRDefault="00945FA4" w:rsidP="00571CB8">
      <w:r>
        <w:t>To comply with Article 5.3, the Department makes public its interactions with the tobacco industry. The Department may also express its position on public health and tobacco control issues as appropriate. This may include informing the industry about specific tobacco products or circumstance considered to be non-compliant. The Department takes reasonable and necessary action to ensure compliance with relevant legislation</w:t>
      </w:r>
      <w:r w:rsidR="00823A79">
        <w:t>.</w:t>
      </w:r>
      <w:r w:rsidR="00740EF5" w:rsidDel="00740EF5">
        <w:t xml:space="preserve"> </w:t>
      </w:r>
      <w:r w:rsidR="00C01C9F">
        <w:t xml:space="preserve">Further information regarding the </w:t>
      </w:r>
      <w:r w:rsidR="00571CB8">
        <w:t>D</w:t>
      </w:r>
      <w:r w:rsidR="00C01C9F">
        <w:t xml:space="preserve">epartment’s approach to further implementing Article 5.3 is available at: </w:t>
      </w:r>
      <w:hyperlink r:id="rId12" w:history="1">
        <w:r w:rsidR="00C01C9F" w:rsidRPr="002D1D91">
          <w:rPr>
            <w:rStyle w:val="Hyperlink"/>
          </w:rPr>
          <w:t>https://www.health.gov.au/resources/publications/guidance-for-public-officials-on-interacting-with-the-tobacco-industry</w:t>
        </w:r>
      </w:hyperlink>
      <w:r w:rsidR="00C01C9F">
        <w:t xml:space="preserve">. </w:t>
      </w:r>
    </w:p>
    <w:p w14:paraId="070FB2B0" w14:textId="18589DAA" w:rsidR="0035790E" w:rsidRPr="00730089" w:rsidRDefault="00730089" w:rsidP="003716E7">
      <w:pPr>
        <w:jc w:val="right"/>
        <w:rPr>
          <w:rFonts w:cs="Times New Roman"/>
          <w:color w:val="222222"/>
          <w:szCs w:val="24"/>
          <w:shd w:val="clear" w:color="auto" w:fill="FFFFFF"/>
        </w:rPr>
      </w:pPr>
      <w:r w:rsidRPr="00A74BF6">
        <w:rPr>
          <w:rFonts w:cs="Times New Roman"/>
          <w:color w:val="222222"/>
          <w:szCs w:val="24"/>
          <w:shd w:val="clear" w:color="auto" w:fill="FFFFFF"/>
        </w:rPr>
        <w:t>© Commonwealth of Australia 202</w:t>
      </w:r>
      <w:r w:rsidR="005E74B2">
        <w:rPr>
          <w:rFonts w:cs="Times New Roman"/>
          <w:color w:val="222222"/>
          <w:szCs w:val="24"/>
          <w:shd w:val="clear" w:color="auto" w:fill="FFFFFF"/>
        </w:rPr>
        <w:t>2</w:t>
      </w:r>
      <w:r w:rsidR="0035790E">
        <w:br w:type="page"/>
      </w:r>
    </w:p>
    <w:sdt>
      <w:sdtPr>
        <w:rPr>
          <w:rFonts w:ascii="Times New Roman" w:eastAsiaTheme="minorHAnsi" w:hAnsi="Times New Roman" w:cstheme="minorBidi"/>
          <w:color w:val="auto"/>
          <w:sz w:val="24"/>
          <w:szCs w:val="22"/>
          <w:lang w:val="en-AU"/>
        </w:rPr>
        <w:id w:val="311147020"/>
        <w:docPartObj>
          <w:docPartGallery w:val="Table of Contents"/>
          <w:docPartUnique/>
        </w:docPartObj>
      </w:sdtPr>
      <w:sdtEndPr>
        <w:rPr>
          <w:b/>
          <w:bCs/>
          <w:noProof/>
        </w:rPr>
      </w:sdtEndPr>
      <w:sdtContent>
        <w:p w14:paraId="3E299A1B" w14:textId="753F9F04" w:rsidR="00C310C0" w:rsidRDefault="00C310C0">
          <w:pPr>
            <w:pStyle w:val="TOCHeading"/>
          </w:pPr>
          <w:r>
            <w:t>Contents</w:t>
          </w:r>
        </w:p>
        <w:p w14:paraId="24C44189" w14:textId="77777777" w:rsidR="00C310C0" w:rsidRPr="007C102B" w:rsidRDefault="00C310C0" w:rsidP="007C102B">
          <w:pPr>
            <w:spacing w:line="480" w:lineRule="auto"/>
            <w:rPr>
              <w:b/>
              <w:bCs/>
              <w:lang w:val="en-US"/>
            </w:rPr>
          </w:pPr>
        </w:p>
        <w:p w14:paraId="38DA9394" w14:textId="348D4942" w:rsidR="00FD2A3D" w:rsidRPr="00FD2A3D" w:rsidRDefault="00C310C0" w:rsidP="00FD2A3D">
          <w:pPr>
            <w:pStyle w:val="TOC2"/>
            <w:spacing w:after="120" w:line="360" w:lineRule="auto"/>
            <w:ind w:left="238"/>
            <w:rPr>
              <w:rFonts w:asciiTheme="minorHAnsi" w:eastAsiaTheme="minorEastAsia" w:hAnsiTheme="minorHAnsi"/>
              <w:b/>
              <w:bCs/>
              <w:noProof/>
              <w:sz w:val="22"/>
              <w:lang w:eastAsia="en-AU"/>
            </w:rPr>
          </w:pPr>
          <w:r w:rsidRPr="00FD2A3D">
            <w:rPr>
              <w:b/>
              <w:bCs/>
            </w:rPr>
            <w:fldChar w:fldCharType="begin"/>
          </w:r>
          <w:r w:rsidRPr="00BA57DB">
            <w:rPr>
              <w:b/>
              <w:bCs/>
            </w:rPr>
            <w:instrText xml:space="preserve"> TOC \o "2-2" \h \z \u </w:instrText>
          </w:r>
          <w:r w:rsidRPr="00FD2A3D">
            <w:rPr>
              <w:b/>
              <w:bCs/>
            </w:rPr>
            <w:fldChar w:fldCharType="separate"/>
          </w:r>
          <w:hyperlink w:anchor="_Toc88486280" w:history="1">
            <w:r w:rsidR="00FD2A3D" w:rsidRPr="00FD2A3D">
              <w:rPr>
                <w:rStyle w:val="Hyperlink"/>
                <w:b/>
                <w:bCs/>
                <w:noProof/>
              </w:rPr>
              <w:t>Legal Statement</w:t>
            </w:r>
            <w:r w:rsidR="00FD2A3D" w:rsidRPr="00FD2A3D">
              <w:rPr>
                <w:b/>
                <w:bCs/>
                <w:noProof/>
                <w:webHidden/>
              </w:rPr>
              <w:tab/>
            </w:r>
            <w:r w:rsidR="00FD2A3D" w:rsidRPr="00FD2A3D">
              <w:rPr>
                <w:b/>
                <w:bCs/>
                <w:noProof/>
                <w:webHidden/>
              </w:rPr>
              <w:fldChar w:fldCharType="begin"/>
            </w:r>
            <w:r w:rsidR="00FD2A3D" w:rsidRPr="00FD2A3D">
              <w:rPr>
                <w:b/>
                <w:bCs/>
                <w:noProof/>
                <w:webHidden/>
              </w:rPr>
              <w:instrText xml:space="preserve"> PAGEREF _Toc88486280 \h </w:instrText>
            </w:r>
            <w:r w:rsidR="00FD2A3D" w:rsidRPr="00FD2A3D">
              <w:rPr>
                <w:b/>
                <w:bCs/>
                <w:noProof/>
                <w:webHidden/>
              </w:rPr>
            </w:r>
            <w:r w:rsidR="00FD2A3D" w:rsidRPr="00FD2A3D">
              <w:rPr>
                <w:b/>
                <w:bCs/>
                <w:noProof/>
                <w:webHidden/>
              </w:rPr>
              <w:fldChar w:fldCharType="separate"/>
            </w:r>
            <w:r w:rsidR="0093280A">
              <w:rPr>
                <w:b/>
                <w:bCs/>
                <w:noProof/>
                <w:webHidden/>
              </w:rPr>
              <w:t>2</w:t>
            </w:r>
            <w:r w:rsidR="00FD2A3D" w:rsidRPr="00FD2A3D">
              <w:rPr>
                <w:b/>
                <w:bCs/>
                <w:noProof/>
                <w:webHidden/>
              </w:rPr>
              <w:fldChar w:fldCharType="end"/>
            </w:r>
          </w:hyperlink>
        </w:p>
        <w:p w14:paraId="345C75F3" w14:textId="45EABDAB" w:rsidR="00FD2A3D" w:rsidRPr="00FD2A3D" w:rsidRDefault="007124CC" w:rsidP="00FD2A3D">
          <w:pPr>
            <w:pStyle w:val="TOC2"/>
            <w:spacing w:after="120" w:line="360" w:lineRule="auto"/>
            <w:ind w:left="238"/>
            <w:rPr>
              <w:rFonts w:asciiTheme="minorHAnsi" w:eastAsiaTheme="minorEastAsia" w:hAnsiTheme="minorHAnsi"/>
              <w:b/>
              <w:bCs/>
              <w:noProof/>
              <w:sz w:val="22"/>
              <w:lang w:eastAsia="en-AU"/>
            </w:rPr>
          </w:pPr>
          <w:hyperlink w:anchor="_Toc88486281" w:history="1">
            <w:r w:rsidR="00FD2A3D" w:rsidRPr="00FD2A3D">
              <w:rPr>
                <w:rStyle w:val="Hyperlink"/>
                <w:b/>
                <w:bCs/>
                <w:noProof/>
              </w:rPr>
              <w:t>World Health Organisation Framework Convention on Tobacco Control</w:t>
            </w:r>
            <w:r w:rsidR="00FD2A3D" w:rsidRPr="00FD2A3D">
              <w:rPr>
                <w:b/>
                <w:bCs/>
                <w:noProof/>
                <w:webHidden/>
              </w:rPr>
              <w:tab/>
            </w:r>
            <w:r w:rsidR="00FD2A3D" w:rsidRPr="00FD2A3D">
              <w:rPr>
                <w:b/>
                <w:bCs/>
                <w:noProof/>
                <w:webHidden/>
              </w:rPr>
              <w:fldChar w:fldCharType="begin"/>
            </w:r>
            <w:r w:rsidR="00FD2A3D" w:rsidRPr="00FD2A3D">
              <w:rPr>
                <w:b/>
                <w:bCs/>
                <w:noProof/>
                <w:webHidden/>
              </w:rPr>
              <w:instrText xml:space="preserve"> PAGEREF _Toc88486281 \h </w:instrText>
            </w:r>
            <w:r w:rsidR="00FD2A3D" w:rsidRPr="00FD2A3D">
              <w:rPr>
                <w:b/>
                <w:bCs/>
                <w:noProof/>
                <w:webHidden/>
              </w:rPr>
            </w:r>
            <w:r w:rsidR="00FD2A3D" w:rsidRPr="00FD2A3D">
              <w:rPr>
                <w:b/>
                <w:bCs/>
                <w:noProof/>
                <w:webHidden/>
              </w:rPr>
              <w:fldChar w:fldCharType="separate"/>
            </w:r>
            <w:r w:rsidR="0093280A">
              <w:rPr>
                <w:b/>
                <w:bCs/>
                <w:noProof/>
                <w:webHidden/>
              </w:rPr>
              <w:t>2</w:t>
            </w:r>
            <w:r w:rsidR="00FD2A3D" w:rsidRPr="00FD2A3D">
              <w:rPr>
                <w:b/>
                <w:bCs/>
                <w:noProof/>
                <w:webHidden/>
              </w:rPr>
              <w:fldChar w:fldCharType="end"/>
            </w:r>
          </w:hyperlink>
        </w:p>
        <w:p w14:paraId="5A25B54E" w14:textId="65C21479" w:rsidR="00FD2A3D" w:rsidRPr="00FD2A3D" w:rsidRDefault="007124CC" w:rsidP="00FD2A3D">
          <w:pPr>
            <w:pStyle w:val="TOC2"/>
            <w:tabs>
              <w:tab w:val="left" w:pos="660"/>
            </w:tabs>
            <w:spacing w:after="120" w:line="360" w:lineRule="auto"/>
            <w:ind w:left="238"/>
            <w:rPr>
              <w:rFonts w:asciiTheme="minorHAnsi" w:eastAsiaTheme="minorEastAsia" w:hAnsiTheme="minorHAnsi"/>
              <w:b/>
              <w:bCs/>
              <w:noProof/>
              <w:sz w:val="22"/>
              <w:lang w:eastAsia="en-AU"/>
            </w:rPr>
          </w:pPr>
          <w:hyperlink w:anchor="_Toc88486282" w:history="1">
            <w:r w:rsidR="00FD2A3D" w:rsidRPr="00FD2A3D">
              <w:rPr>
                <w:rStyle w:val="Hyperlink"/>
                <w:b/>
                <w:bCs/>
                <w:noProof/>
              </w:rPr>
              <w:t>1.</w:t>
            </w:r>
            <w:r w:rsidR="00FD2A3D" w:rsidRPr="00FD2A3D">
              <w:rPr>
                <w:rFonts w:asciiTheme="minorHAnsi" w:eastAsiaTheme="minorEastAsia" w:hAnsiTheme="minorHAnsi"/>
                <w:b/>
                <w:bCs/>
                <w:noProof/>
                <w:sz w:val="22"/>
                <w:lang w:eastAsia="en-AU"/>
              </w:rPr>
              <w:tab/>
            </w:r>
            <w:r w:rsidR="00FD2A3D" w:rsidRPr="00FD2A3D">
              <w:rPr>
                <w:rStyle w:val="Hyperlink"/>
                <w:b/>
                <w:bCs/>
                <w:noProof/>
              </w:rPr>
              <w:t>Purpose of the Enforcement Policy</w:t>
            </w:r>
            <w:r w:rsidR="00FD2A3D" w:rsidRPr="00FD2A3D">
              <w:rPr>
                <w:b/>
                <w:bCs/>
                <w:noProof/>
                <w:webHidden/>
              </w:rPr>
              <w:tab/>
            </w:r>
            <w:r w:rsidR="00FD2A3D" w:rsidRPr="00FD2A3D">
              <w:rPr>
                <w:b/>
                <w:bCs/>
                <w:noProof/>
                <w:webHidden/>
              </w:rPr>
              <w:fldChar w:fldCharType="begin"/>
            </w:r>
            <w:r w:rsidR="00FD2A3D" w:rsidRPr="00FD2A3D">
              <w:rPr>
                <w:b/>
                <w:bCs/>
                <w:noProof/>
                <w:webHidden/>
              </w:rPr>
              <w:instrText xml:space="preserve"> PAGEREF _Toc88486282 \h </w:instrText>
            </w:r>
            <w:r w:rsidR="00FD2A3D" w:rsidRPr="00FD2A3D">
              <w:rPr>
                <w:b/>
                <w:bCs/>
                <w:noProof/>
                <w:webHidden/>
              </w:rPr>
            </w:r>
            <w:r w:rsidR="00FD2A3D" w:rsidRPr="00FD2A3D">
              <w:rPr>
                <w:b/>
                <w:bCs/>
                <w:noProof/>
                <w:webHidden/>
              </w:rPr>
              <w:fldChar w:fldCharType="separate"/>
            </w:r>
            <w:r w:rsidR="0093280A">
              <w:rPr>
                <w:b/>
                <w:bCs/>
                <w:noProof/>
                <w:webHidden/>
              </w:rPr>
              <w:t>4</w:t>
            </w:r>
            <w:r w:rsidR="00FD2A3D" w:rsidRPr="00FD2A3D">
              <w:rPr>
                <w:b/>
                <w:bCs/>
                <w:noProof/>
                <w:webHidden/>
              </w:rPr>
              <w:fldChar w:fldCharType="end"/>
            </w:r>
          </w:hyperlink>
        </w:p>
        <w:p w14:paraId="73A95CDB" w14:textId="2E0CEAA5" w:rsidR="00FD2A3D" w:rsidRPr="00FD2A3D" w:rsidRDefault="007124CC" w:rsidP="00FD2A3D">
          <w:pPr>
            <w:pStyle w:val="TOC2"/>
            <w:tabs>
              <w:tab w:val="left" w:pos="660"/>
            </w:tabs>
            <w:spacing w:after="120" w:line="360" w:lineRule="auto"/>
            <w:ind w:left="238"/>
            <w:rPr>
              <w:rFonts w:asciiTheme="minorHAnsi" w:eastAsiaTheme="minorEastAsia" w:hAnsiTheme="minorHAnsi"/>
              <w:b/>
              <w:bCs/>
              <w:noProof/>
              <w:sz w:val="22"/>
              <w:lang w:eastAsia="en-AU"/>
            </w:rPr>
          </w:pPr>
          <w:hyperlink w:anchor="_Toc88486283" w:history="1">
            <w:r w:rsidR="00FD2A3D" w:rsidRPr="00FD2A3D">
              <w:rPr>
                <w:rStyle w:val="Hyperlink"/>
                <w:b/>
                <w:bCs/>
                <w:noProof/>
              </w:rPr>
              <w:t>2.</w:t>
            </w:r>
            <w:r w:rsidR="00FD2A3D" w:rsidRPr="00FD2A3D">
              <w:rPr>
                <w:rFonts w:asciiTheme="minorHAnsi" w:eastAsiaTheme="minorEastAsia" w:hAnsiTheme="minorHAnsi"/>
                <w:b/>
                <w:bCs/>
                <w:noProof/>
                <w:sz w:val="22"/>
                <w:lang w:eastAsia="en-AU"/>
              </w:rPr>
              <w:tab/>
            </w:r>
            <w:r w:rsidR="00FD2A3D" w:rsidRPr="00FD2A3D">
              <w:rPr>
                <w:rStyle w:val="Hyperlink"/>
                <w:b/>
                <w:bCs/>
                <w:noProof/>
              </w:rPr>
              <w:t>Tobacco in Australia</w:t>
            </w:r>
            <w:r w:rsidR="00FD2A3D" w:rsidRPr="00FD2A3D">
              <w:rPr>
                <w:b/>
                <w:bCs/>
                <w:noProof/>
                <w:webHidden/>
              </w:rPr>
              <w:tab/>
            </w:r>
            <w:r w:rsidR="00FD2A3D" w:rsidRPr="00FD2A3D">
              <w:rPr>
                <w:b/>
                <w:bCs/>
                <w:noProof/>
                <w:webHidden/>
              </w:rPr>
              <w:fldChar w:fldCharType="begin"/>
            </w:r>
            <w:r w:rsidR="00FD2A3D" w:rsidRPr="00FD2A3D">
              <w:rPr>
                <w:b/>
                <w:bCs/>
                <w:noProof/>
                <w:webHidden/>
              </w:rPr>
              <w:instrText xml:space="preserve"> PAGEREF _Toc88486283 \h </w:instrText>
            </w:r>
            <w:r w:rsidR="00FD2A3D" w:rsidRPr="00FD2A3D">
              <w:rPr>
                <w:b/>
                <w:bCs/>
                <w:noProof/>
                <w:webHidden/>
              </w:rPr>
            </w:r>
            <w:r w:rsidR="00FD2A3D" w:rsidRPr="00FD2A3D">
              <w:rPr>
                <w:b/>
                <w:bCs/>
                <w:noProof/>
                <w:webHidden/>
              </w:rPr>
              <w:fldChar w:fldCharType="separate"/>
            </w:r>
            <w:r w:rsidR="0093280A">
              <w:rPr>
                <w:b/>
                <w:bCs/>
                <w:noProof/>
                <w:webHidden/>
              </w:rPr>
              <w:t>4</w:t>
            </w:r>
            <w:r w:rsidR="00FD2A3D" w:rsidRPr="00FD2A3D">
              <w:rPr>
                <w:b/>
                <w:bCs/>
                <w:noProof/>
                <w:webHidden/>
              </w:rPr>
              <w:fldChar w:fldCharType="end"/>
            </w:r>
          </w:hyperlink>
        </w:p>
        <w:p w14:paraId="435C3080" w14:textId="52BF88DF" w:rsidR="00FD2A3D" w:rsidRPr="00FD2A3D" w:rsidRDefault="007124CC" w:rsidP="00FD2A3D">
          <w:pPr>
            <w:pStyle w:val="TOC2"/>
            <w:tabs>
              <w:tab w:val="left" w:pos="660"/>
            </w:tabs>
            <w:spacing w:after="120" w:line="360" w:lineRule="auto"/>
            <w:ind w:left="238"/>
            <w:rPr>
              <w:rFonts w:asciiTheme="minorHAnsi" w:eastAsiaTheme="minorEastAsia" w:hAnsiTheme="minorHAnsi"/>
              <w:b/>
              <w:bCs/>
              <w:noProof/>
              <w:sz w:val="22"/>
              <w:lang w:eastAsia="en-AU"/>
            </w:rPr>
          </w:pPr>
          <w:hyperlink w:anchor="_Toc88486284" w:history="1">
            <w:r w:rsidR="00FD2A3D" w:rsidRPr="00FD2A3D">
              <w:rPr>
                <w:rStyle w:val="Hyperlink"/>
                <w:b/>
                <w:bCs/>
                <w:noProof/>
              </w:rPr>
              <w:t>3.</w:t>
            </w:r>
            <w:r w:rsidR="00FD2A3D" w:rsidRPr="00FD2A3D">
              <w:rPr>
                <w:rFonts w:asciiTheme="minorHAnsi" w:eastAsiaTheme="minorEastAsia" w:hAnsiTheme="minorHAnsi"/>
                <w:b/>
                <w:bCs/>
                <w:noProof/>
                <w:sz w:val="22"/>
                <w:lang w:eastAsia="en-AU"/>
              </w:rPr>
              <w:tab/>
            </w:r>
            <w:r w:rsidR="00FD2A3D" w:rsidRPr="00FD2A3D">
              <w:rPr>
                <w:rStyle w:val="Hyperlink"/>
                <w:b/>
                <w:bCs/>
                <w:noProof/>
              </w:rPr>
              <w:t>Tobacco Advertising Prohibition</w:t>
            </w:r>
            <w:r w:rsidR="00FD2A3D" w:rsidRPr="00FD2A3D">
              <w:rPr>
                <w:b/>
                <w:bCs/>
                <w:noProof/>
                <w:webHidden/>
              </w:rPr>
              <w:tab/>
            </w:r>
            <w:r w:rsidR="00FD2A3D" w:rsidRPr="00FD2A3D">
              <w:rPr>
                <w:b/>
                <w:bCs/>
                <w:noProof/>
                <w:webHidden/>
              </w:rPr>
              <w:fldChar w:fldCharType="begin"/>
            </w:r>
            <w:r w:rsidR="00FD2A3D" w:rsidRPr="00FD2A3D">
              <w:rPr>
                <w:b/>
                <w:bCs/>
                <w:noProof/>
                <w:webHidden/>
              </w:rPr>
              <w:instrText xml:space="preserve"> PAGEREF _Toc88486284 \h </w:instrText>
            </w:r>
            <w:r w:rsidR="00FD2A3D" w:rsidRPr="00FD2A3D">
              <w:rPr>
                <w:b/>
                <w:bCs/>
                <w:noProof/>
                <w:webHidden/>
              </w:rPr>
            </w:r>
            <w:r w:rsidR="00FD2A3D" w:rsidRPr="00FD2A3D">
              <w:rPr>
                <w:b/>
                <w:bCs/>
                <w:noProof/>
                <w:webHidden/>
              </w:rPr>
              <w:fldChar w:fldCharType="separate"/>
            </w:r>
            <w:r w:rsidR="0093280A">
              <w:rPr>
                <w:b/>
                <w:bCs/>
                <w:noProof/>
                <w:webHidden/>
              </w:rPr>
              <w:t>4</w:t>
            </w:r>
            <w:r w:rsidR="00FD2A3D" w:rsidRPr="00FD2A3D">
              <w:rPr>
                <w:b/>
                <w:bCs/>
                <w:noProof/>
                <w:webHidden/>
              </w:rPr>
              <w:fldChar w:fldCharType="end"/>
            </w:r>
          </w:hyperlink>
        </w:p>
        <w:p w14:paraId="42BD6A8D" w14:textId="30905C5C" w:rsidR="00FD2A3D" w:rsidRPr="00FD2A3D" w:rsidRDefault="007124CC" w:rsidP="00FD2A3D">
          <w:pPr>
            <w:pStyle w:val="TOC2"/>
            <w:tabs>
              <w:tab w:val="left" w:pos="660"/>
            </w:tabs>
            <w:spacing w:after="120" w:line="360" w:lineRule="auto"/>
            <w:ind w:left="238"/>
            <w:rPr>
              <w:rFonts w:asciiTheme="minorHAnsi" w:eastAsiaTheme="minorEastAsia" w:hAnsiTheme="minorHAnsi"/>
              <w:b/>
              <w:bCs/>
              <w:noProof/>
              <w:sz w:val="22"/>
              <w:lang w:eastAsia="en-AU"/>
            </w:rPr>
          </w:pPr>
          <w:hyperlink w:anchor="_Toc88486285" w:history="1">
            <w:r w:rsidR="00FD2A3D" w:rsidRPr="00FD2A3D">
              <w:rPr>
                <w:rStyle w:val="Hyperlink"/>
                <w:b/>
                <w:bCs/>
                <w:noProof/>
              </w:rPr>
              <w:t>4.</w:t>
            </w:r>
            <w:r w:rsidR="00FD2A3D" w:rsidRPr="00FD2A3D">
              <w:rPr>
                <w:rFonts w:asciiTheme="minorHAnsi" w:eastAsiaTheme="minorEastAsia" w:hAnsiTheme="minorHAnsi"/>
                <w:b/>
                <w:bCs/>
                <w:noProof/>
                <w:sz w:val="22"/>
                <w:lang w:eastAsia="en-AU"/>
              </w:rPr>
              <w:tab/>
            </w:r>
            <w:r w:rsidR="00FD2A3D" w:rsidRPr="00FD2A3D">
              <w:rPr>
                <w:rStyle w:val="Hyperlink"/>
                <w:b/>
                <w:bCs/>
                <w:noProof/>
              </w:rPr>
              <w:t>Tobacco Plain Packaging</w:t>
            </w:r>
            <w:r w:rsidR="00FD2A3D" w:rsidRPr="00FD2A3D">
              <w:rPr>
                <w:b/>
                <w:bCs/>
                <w:noProof/>
                <w:webHidden/>
              </w:rPr>
              <w:tab/>
            </w:r>
            <w:r w:rsidR="00FD2A3D" w:rsidRPr="00FD2A3D">
              <w:rPr>
                <w:b/>
                <w:bCs/>
                <w:noProof/>
                <w:webHidden/>
              </w:rPr>
              <w:fldChar w:fldCharType="begin"/>
            </w:r>
            <w:r w:rsidR="00FD2A3D" w:rsidRPr="00FD2A3D">
              <w:rPr>
                <w:b/>
                <w:bCs/>
                <w:noProof/>
                <w:webHidden/>
              </w:rPr>
              <w:instrText xml:space="preserve"> PAGEREF _Toc88486285 \h </w:instrText>
            </w:r>
            <w:r w:rsidR="00FD2A3D" w:rsidRPr="00FD2A3D">
              <w:rPr>
                <w:b/>
                <w:bCs/>
                <w:noProof/>
                <w:webHidden/>
              </w:rPr>
            </w:r>
            <w:r w:rsidR="00FD2A3D" w:rsidRPr="00FD2A3D">
              <w:rPr>
                <w:b/>
                <w:bCs/>
                <w:noProof/>
                <w:webHidden/>
              </w:rPr>
              <w:fldChar w:fldCharType="separate"/>
            </w:r>
            <w:r w:rsidR="0093280A">
              <w:rPr>
                <w:b/>
                <w:bCs/>
                <w:noProof/>
                <w:webHidden/>
              </w:rPr>
              <w:t>5</w:t>
            </w:r>
            <w:r w:rsidR="00FD2A3D" w:rsidRPr="00FD2A3D">
              <w:rPr>
                <w:b/>
                <w:bCs/>
                <w:noProof/>
                <w:webHidden/>
              </w:rPr>
              <w:fldChar w:fldCharType="end"/>
            </w:r>
          </w:hyperlink>
        </w:p>
        <w:p w14:paraId="77AD8B12" w14:textId="40967662" w:rsidR="00FD2A3D" w:rsidRPr="00FD2A3D" w:rsidRDefault="007124CC" w:rsidP="00FD2A3D">
          <w:pPr>
            <w:pStyle w:val="TOC2"/>
            <w:tabs>
              <w:tab w:val="left" w:pos="660"/>
            </w:tabs>
            <w:spacing w:after="120" w:line="360" w:lineRule="auto"/>
            <w:ind w:left="238"/>
            <w:rPr>
              <w:rFonts w:asciiTheme="minorHAnsi" w:eastAsiaTheme="minorEastAsia" w:hAnsiTheme="minorHAnsi"/>
              <w:b/>
              <w:bCs/>
              <w:noProof/>
              <w:sz w:val="22"/>
              <w:lang w:eastAsia="en-AU"/>
            </w:rPr>
          </w:pPr>
          <w:hyperlink w:anchor="_Toc88486286" w:history="1">
            <w:r w:rsidR="00FD2A3D" w:rsidRPr="00FD2A3D">
              <w:rPr>
                <w:rStyle w:val="Hyperlink"/>
                <w:b/>
                <w:bCs/>
                <w:noProof/>
              </w:rPr>
              <w:t>5.</w:t>
            </w:r>
            <w:r w:rsidR="00FD2A3D" w:rsidRPr="00FD2A3D">
              <w:rPr>
                <w:rFonts w:asciiTheme="minorHAnsi" w:eastAsiaTheme="minorEastAsia" w:hAnsiTheme="minorHAnsi"/>
                <w:b/>
                <w:bCs/>
                <w:noProof/>
                <w:sz w:val="22"/>
                <w:lang w:eastAsia="en-AU"/>
              </w:rPr>
              <w:tab/>
            </w:r>
            <w:r w:rsidR="00FD2A3D" w:rsidRPr="00FD2A3D">
              <w:rPr>
                <w:rStyle w:val="Hyperlink"/>
                <w:b/>
                <w:bCs/>
                <w:noProof/>
              </w:rPr>
              <w:t>Principles underlying this Enforcement Policy</w:t>
            </w:r>
            <w:r w:rsidR="00FD2A3D" w:rsidRPr="00FD2A3D">
              <w:rPr>
                <w:b/>
                <w:bCs/>
                <w:noProof/>
                <w:webHidden/>
              </w:rPr>
              <w:tab/>
            </w:r>
            <w:r w:rsidR="00FD2A3D" w:rsidRPr="00FD2A3D">
              <w:rPr>
                <w:b/>
                <w:bCs/>
                <w:noProof/>
                <w:webHidden/>
              </w:rPr>
              <w:fldChar w:fldCharType="begin"/>
            </w:r>
            <w:r w:rsidR="00FD2A3D" w:rsidRPr="00FD2A3D">
              <w:rPr>
                <w:b/>
                <w:bCs/>
                <w:noProof/>
                <w:webHidden/>
              </w:rPr>
              <w:instrText xml:space="preserve"> PAGEREF _Toc88486286 \h </w:instrText>
            </w:r>
            <w:r w:rsidR="00FD2A3D" w:rsidRPr="00FD2A3D">
              <w:rPr>
                <w:b/>
                <w:bCs/>
                <w:noProof/>
                <w:webHidden/>
              </w:rPr>
            </w:r>
            <w:r w:rsidR="00FD2A3D" w:rsidRPr="00FD2A3D">
              <w:rPr>
                <w:b/>
                <w:bCs/>
                <w:noProof/>
                <w:webHidden/>
              </w:rPr>
              <w:fldChar w:fldCharType="separate"/>
            </w:r>
            <w:r w:rsidR="0093280A">
              <w:rPr>
                <w:b/>
                <w:bCs/>
                <w:noProof/>
                <w:webHidden/>
              </w:rPr>
              <w:t>6</w:t>
            </w:r>
            <w:r w:rsidR="00FD2A3D" w:rsidRPr="00FD2A3D">
              <w:rPr>
                <w:b/>
                <w:bCs/>
                <w:noProof/>
                <w:webHidden/>
              </w:rPr>
              <w:fldChar w:fldCharType="end"/>
            </w:r>
          </w:hyperlink>
        </w:p>
        <w:p w14:paraId="57BD284D" w14:textId="60590459" w:rsidR="00FD2A3D" w:rsidRPr="00FD2A3D" w:rsidRDefault="007124CC" w:rsidP="00FD2A3D">
          <w:pPr>
            <w:pStyle w:val="TOC2"/>
            <w:tabs>
              <w:tab w:val="left" w:pos="660"/>
            </w:tabs>
            <w:spacing w:after="120" w:line="360" w:lineRule="auto"/>
            <w:ind w:left="238"/>
            <w:rPr>
              <w:rFonts w:asciiTheme="minorHAnsi" w:eastAsiaTheme="minorEastAsia" w:hAnsiTheme="minorHAnsi"/>
              <w:b/>
              <w:bCs/>
              <w:noProof/>
              <w:sz w:val="22"/>
              <w:lang w:eastAsia="en-AU"/>
            </w:rPr>
          </w:pPr>
          <w:hyperlink w:anchor="_Toc88486287" w:history="1">
            <w:r w:rsidR="00FD2A3D" w:rsidRPr="00FD2A3D">
              <w:rPr>
                <w:rStyle w:val="Hyperlink"/>
                <w:b/>
                <w:bCs/>
                <w:noProof/>
              </w:rPr>
              <w:t>6.</w:t>
            </w:r>
            <w:r w:rsidR="00FD2A3D" w:rsidRPr="00FD2A3D">
              <w:rPr>
                <w:rFonts w:asciiTheme="minorHAnsi" w:eastAsiaTheme="minorEastAsia" w:hAnsiTheme="minorHAnsi"/>
                <w:b/>
                <w:bCs/>
                <w:noProof/>
                <w:sz w:val="22"/>
                <w:lang w:eastAsia="en-AU"/>
              </w:rPr>
              <w:tab/>
            </w:r>
            <w:r w:rsidR="00FD2A3D" w:rsidRPr="00FD2A3D">
              <w:rPr>
                <w:rStyle w:val="Hyperlink"/>
                <w:b/>
                <w:bCs/>
                <w:noProof/>
              </w:rPr>
              <w:t>Assessment and Investigation of alleged contraventions</w:t>
            </w:r>
            <w:r w:rsidR="00FD2A3D" w:rsidRPr="00FD2A3D">
              <w:rPr>
                <w:b/>
                <w:bCs/>
                <w:noProof/>
                <w:webHidden/>
              </w:rPr>
              <w:tab/>
            </w:r>
            <w:r w:rsidR="00FD2A3D" w:rsidRPr="00FD2A3D">
              <w:rPr>
                <w:b/>
                <w:bCs/>
                <w:noProof/>
                <w:webHidden/>
              </w:rPr>
              <w:fldChar w:fldCharType="begin"/>
            </w:r>
            <w:r w:rsidR="00FD2A3D" w:rsidRPr="00FD2A3D">
              <w:rPr>
                <w:b/>
                <w:bCs/>
                <w:noProof/>
                <w:webHidden/>
              </w:rPr>
              <w:instrText xml:space="preserve"> PAGEREF _Toc88486287 \h </w:instrText>
            </w:r>
            <w:r w:rsidR="00FD2A3D" w:rsidRPr="00FD2A3D">
              <w:rPr>
                <w:b/>
                <w:bCs/>
                <w:noProof/>
                <w:webHidden/>
              </w:rPr>
            </w:r>
            <w:r w:rsidR="00FD2A3D" w:rsidRPr="00FD2A3D">
              <w:rPr>
                <w:b/>
                <w:bCs/>
                <w:noProof/>
                <w:webHidden/>
              </w:rPr>
              <w:fldChar w:fldCharType="separate"/>
            </w:r>
            <w:r w:rsidR="0093280A">
              <w:rPr>
                <w:b/>
                <w:bCs/>
                <w:noProof/>
                <w:webHidden/>
              </w:rPr>
              <w:t>8</w:t>
            </w:r>
            <w:r w:rsidR="00FD2A3D" w:rsidRPr="00FD2A3D">
              <w:rPr>
                <w:b/>
                <w:bCs/>
                <w:noProof/>
                <w:webHidden/>
              </w:rPr>
              <w:fldChar w:fldCharType="end"/>
            </w:r>
          </w:hyperlink>
        </w:p>
        <w:p w14:paraId="0EBFE812" w14:textId="3588645E" w:rsidR="00FD2A3D" w:rsidRPr="00FD2A3D" w:rsidRDefault="007124CC" w:rsidP="00FD2A3D">
          <w:pPr>
            <w:pStyle w:val="TOC2"/>
            <w:tabs>
              <w:tab w:val="left" w:pos="660"/>
            </w:tabs>
            <w:spacing w:after="120" w:line="360" w:lineRule="auto"/>
            <w:ind w:left="238"/>
            <w:rPr>
              <w:rFonts w:asciiTheme="minorHAnsi" w:eastAsiaTheme="minorEastAsia" w:hAnsiTheme="minorHAnsi"/>
              <w:b/>
              <w:bCs/>
              <w:noProof/>
              <w:sz w:val="22"/>
              <w:lang w:eastAsia="en-AU"/>
            </w:rPr>
          </w:pPr>
          <w:hyperlink w:anchor="_Toc88486288" w:history="1">
            <w:r w:rsidR="00FD2A3D" w:rsidRPr="00FD2A3D">
              <w:rPr>
                <w:rStyle w:val="Hyperlink"/>
                <w:b/>
                <w:bCs/>
                <w:noProof/>
              </w:rPr>
              <w:t>7.</w:t>
            </w:r>
            <w:r w:rsidR="00FD2A3D" w:rsidRPr="00FD2A3D">
              <w:rPr>
                <w:rFonts w:asciiTheme="minorHAnsi" w:eastAsiaTheme="minorEastAsia" w:hAnsiTheme="minorHAnsi"/>
                <w:b/>
                <w:bCs/>
                <w:noProof/>
                <w:sz w:val="22"/>
                <w:lang w:eastAsia="en-AU"/>
              </w:rPr>
              <w:tab/>
            </w:r>
            <w:r w:rsidR="00FD2A3D" w:rsidRPr="00FD2A3D">
              <w:rPr>
                <w:rStyle w:val="Hyperlink"/>
                <w:b/>
                <w:bCs/>
                <w:noProof/>
              </w:rPr>
              <w:t>Compliance and Enforcement Action</w:t>
            </w:r>
            <w:r w:rsidR="00FD2A3D" w:rsidRPr="00FD2A3D">
              <w:rPr>
                <w:b/>
                <w:bCs/>
                <w:noProof/>
                <w:webHidden/>
              </w:rPr>
              <w:tab/>
            </w:r>
            <w:r w:rsidR="00FD2A3D" w:rsidRPr="00FD2A3D">
              <w:rPr>
                <w:b/>
                <w:bCs/>
                <w:noProof/>
                <w:webHidden/>
              </w:rPr>
              <w:fldChar w:fldCharType="begin"/>
            </w:r>
            <w:r w:rsidR="00FD2A3D" w:rsidRPr="00FD2A3D">
              <w:rPr>
                <w:b/>
                <w:bCs/>
                <w:noProof/>
                <w:webHidden/>
              </w:rPr>
              <w:instrText xml:space="preserve"> PAGEREF _Toc88486288 \h </w:instrText>
            </w:r>
            <w:r w:rsidR="00FD2A3D" w:rsidRPr="00FD2A3D">
              <w:rPr>
                <w:b/>
                <w:bCs/>
                <w:noProof/>
                <w:webHidden/>
              </w:rPr>
            </w:r>
            <w:r w:rsidR="00FD2A3D" w:rsidRPr="00FD2A3D">
              <w:rPr>
                <w:b/>
                <w:bCs/>
                <w:noProof/>
                <w:webHidden/>
              </w:rPr>
              <w:fldChar w:fldCharType="separate"/>
            </w:r>
            <w:r w:rsidR="0093280A">
              <w:rPr>
                <w:b/>
                <w:bCs/>
                <w:noProof/>
                <w:webHidden/>
              </w:rPr>
              <w:t>9</w:t>
            </w:r>
            <w:r w:rsidR="00FD2A3D" w:rsidRPr="00FD2A3D">
              <w:rPr>
                <w:b/>
                <w:bCs/>
                <w:noProof/>
                <w:webHidden/>
              </w:rPr>
              <w:fldChar w:fldCharType="end"/>
            </w:r>
          </w:hyperlink>
        </w:p>
        <w:p w14:paraId="7336A2B3" w14:textId="45ED9A49" w:rsidR="00FD2A3D" w:rsidRPr="00FD2A3D" w:rsidRDefault="007124CC" w:rsidP="00FD2A3D">
          <w:pPr>
            <w:pStyle w:val="TOC2"/>
            <w:tabs>
              <w:tab w:val="left" w:pos="660"/>
            </w:tabs>
            <w:spacing w:after="120" w:line="360" w:lineRule="auto"/>
            <w:ind w:left="238"/>
            <w:rPr>
              <w:rFonts w:asciiTheme="minorHAnsi" w:eastAsiaTheme="minorEastAsia" w:hAnsiTheme="minorHAnsi"/>
              <w:b/>
              <w:bCs/>
              <w:noProof/>
              <w:sz w:val="22"/>
              <w:lang w:eastAsia="en-AU"/>
            </w:rPr>
          </w:pPr>
          <w:hyperlink w:anchor="_Toc88486289" w:history="1">
            <w:r w:rsidR="00FD2A3D" w:rsidRPr="00FD2A3D">
              <w:rPr>
                <w:rStyle w:val="Hyperlink"/>
                <w:b/>
                <w:bCs/>
                <w:noProof/>
              </w:rPr>
              <w:t>8.</w:t>
            </w:r>
            <w:r w:rsidR="00FD2A3D" w:rsidRPr="00FD2A3D">
              <w:rPr>
                <w:rFonts w:asciiTheme="minorHAnsi" w:eastAsiaTheme="minorEastAsia" w:hAnsiTheme="minorHAnsi"/>
                <w:b/>
                <w:bCs/>
                <w:noProof/>
                <w:sz w:val="22"/>
                <w:lang w:eastAsia="en-AU"/>
              </w:rPr>
              <w:tab/>
            </w:r>
            <w:r w:rsidR="00FD2A3D" w:rsidRPr="00FD2A3D">
              <w:rPr>
                <w:rStyle w:val="Hyperlink"/>
                <w:b/>
                <w:bCs/>
                <w:noProof/>
              </w:rPr>
              <w:t>Engagement with other agencies</w:t>
            </w:r>
            <w:r w:rsidR="00FD2A3D" w:rsidRPr="00FD2A3D">
              <w:rPr>
                <w:b/>
                <w:bCs/>
                <w:noProof/>
                <w:webHidden/>
              </w:rPr>
              <w:tab/>
            </w:r>
            <w:r w:rsidR="00FD2A3D" w:rsidRPr="00FD2A3D">
              <w:rPr>
                <w:b/>
                <w:bCs/>
                <w:noProof/>
                <w:webHidden/>
              </w:rPr>
              <w:fldChar w:fldCharType="begin"/>
            </w:r>
            <w:r w:rsidR="00FD2A3D" w:rsidRPr="00FD2A3D">
              <w:rPr>
                <w:b/>
                <w:bCs/>
                <w:noProof/>
                <w:webHidden/>
              </w:rPr>
              <w:instrText xml:space="preserve"> PAGEREF _Toc88486289 \h </w:instrText>
            </w:r>
            <w:r w:rsidR="00FD2A3D" w:rsidRPr="00FD2A3D">
              <w:rPr>
                <w:b/>
                <w:bCs/>
                <w:noProof/>
                <w:webHidden/>
              </w:rPr>
            </w:r>
            <w:r w:rsidR="00FD2A3D" w:rsidRPr="00FD2A3D">
              <w:rPr>
                <w:b/>
                <w:bCs/>
                <w:noProof/>
                <w:webHidden/>
              </w:rPr>
              <w:fldChar w:fldCharType="separate"/>
            </w:r>
            <w:r w:rsidR="0093280A">
              <w:rPr>
                <w:b/>
                <w:bCs/>
                <w:noProof/>
                <w:webHidden/>
              </w:rPr>
              <w:t>13</w:t>
            </w:r>
            <w:r w:rsidR="00FD2A3D" w:rsidRPr="00FD2A3D">
              <w:rPr>
                <w:b/>
                <w:bCs/>
                <w:noProof/>
                <w:webHidden/>
              </w:rPr>
              <w:fldChar w:fldCharType="end"/>
            </w:r>
          </w:hyperlink>
        </w:p>
        <w:p w14:paraId="120C94A8" w14:textId="32CA094B" w:rsidR="00FD2A3D" w:rsidRPr="00FD2A3D" w:rsidRDefault="007124CC" w:rsidP="00FD2A3D">
          <w:pPr>
            <w:pStyle w:val="TOC2"/>
            <w:tabs>
              <w:tab w:val="left" w:pos="660"/>
            </w:tabs>
            <w:spacing w:after="120" w:line="360" w:lineRule="auto"/>
            <w:ind w:left="238"/>
            <w:rPr>
              <w:rFonts w:asciiTheme="minorHAnsi" w:eastAsiaTheme="minorEastAsia" w:hAnsiTheme="minorHAnsi"/>
              <w:b/>
              <w:bCs/>
              <w:noProof/>
              <w:sz w:val="22"/>
              <w:lang w:eastAsia="en-AU"/>
            </w:rPr>
          </w:pPr>
          <w:hyperlink w:anchor="_Toc88486290" w:history="1">
            <w:r w:rsidR="00FD2A3D" w:rsidRPr="00FD2A3D">
              <w:rPr>
                <w:rStyle w:val="Hyperlink"/>
                <w:b/>
                <w:bCs/>
                <w:noProof/>
              </w:rPr>
              <w:t>9.</w:t>
            </w:r>
            <w:r w:rsidR="00FD2A3D" w:rsidRPr="00FD2A3D">
              <w:rPr>
                <w:rFonts w:asciiTheme="minorHAnsi" w:eastAsiaTheme="minorEastAsia" w:hAnsiTheme="minorHAnsi"/>
                <w:b/>
                <w:bCs/>
                <w:noProof/>
                <w:sz w:val="22"/>
                <w:lang w:eastAsia="en-AU"/>
              </w:rPr>
              <w:tab/>
            </w:r>
            <w:r w:rsidR="00FD2A3D" w:rsidRPr="00FD2A3D">
              <w:rPr>
                <w:rStyle w:val="Hyperlink"/>
                <w:b/>
                <w:bCs/>
                <w:noProof/>
              </w:rPr>
              <w:t>Annual Reporting</w:t>
            </w:r>
            <w:r w:rsidR="00FD2A3D" w:rsidRPr="00FD2A3D">
              <w:rPr>
                <w:b/>
                <w:bCs/>
                <w:noProof/>
                <w:webHidden/>
              </w:rPr>
              <w:tab/>
            </w:r>
            <w:r w:rsidR="00FD2A3D" w:rsidRPr="00FD2A3D">
              <w:rPr>
                <w:b/>
                <w:bCs/>
                <w:noProof/>
                <w:webHidden/>
              </w:rPr>
              <w:fldChar w:fldCharType="begin"/>
            </w:r>
            <w:r w:rsidR="00FD2A3D" w:rsidRPr="00FD2A3D">
              <w:rPr>
                <w:b/>
                <w:bCs/>
                <w:noProof/>
                <w:webHidden/>
              </w:rPr>
              <w:instrText xml:space="preserve"> PAGEREF _Toc88486290 \h </w:instrText>
            </w:r>
            <w:r w:rsidR="00FD2A3D" w:rsidRPr="00FD2A3D">
              <w:rPr>
                <w:b/>
                <w:bCs/>
                <w:noProof/>
                <w:webHidden/>
              </w:rPr>
            </w:r>
            <w:r w:rsidR="00FD2A3D" w:rsidRPr="00FD2A3D">
              <w:rPr>
                <w:b/>
                <w:bCs/>
                <w:noProof/>
                <w:webHidden/>
              </w:rPr>
              <w:fldChar w:fldCharType="separate"/>
            </w:r>
            <w:r w:rsidR="0093280A">
              <w:rPr>
                <w:b/>
                <w:bCs/>
                <w:noProof/>
                <w:webHidden/>
              </w:rPr>
              <w:t>13</w:t>
            </w:r>
            <w:r w:rsidR="00FD2A3D" w:rsidRPr="00FD2A3D">
              <w:rPr>
                <w:b/>
                <w:bCs/>
                <w:noProof/>
                <w:webHidden/>
              </w:rPr>
              <w:fldChar w:fldCharType="end"/>
            </w:r>
          </w:hyperlink>
        </w:p>
        <w:p w14:paraId="5D09E343" w14:textId="07AFAC9A" w:rsidR="00C310C0" w:rsidRPr="007C102B" w:rsidRDefault="00C310C0" w:rsidP="007C102B">
          <w:pPr>
            <w:spacing w:line="480" w:lineRule="auto"/>
            <w:rPr>
              <w:b/>
              <w:bCs/>
            </w:rPr>
          </w:pPr>
          <w:r w:rsidRPr="00FD2A3D">
            <w:rPr>
              <w:b/>
              <w:bCs/>
            </w:rPr>
            <w:fldChar w:fldCharType="end"/>
          </w:r>
        </w:p>
      </w:sdtContent>
    </w:sdt>
    <w:p w14:paraId="6FC65056" w14:textId="77777777" w:rsidR="0035790E" w:rsidRDefault="0035790E">
      <w:pPr>
        <w:rPr>
          <w:i/>
          <w:iCs/>
          <w:highlight w:val="yellow"/>
        </w:rPr>
      </w:pPr>
      <w:r>
        <w:rPr>
          <w:i/>
          <w:iCs/>
          <w:highlight w:val="yellow"/>
        </w:rPr>
        <w:br w:type="page"/>
      </w:r>
    </w:p>
    <w:p w14:paraId="4DAC480E" w14:textId="77777777" w:rsidR="00BA57DB" w:rsidRDefault="00BA57DB" w:rsidP="00BA57DB">
      <w:pPr>
        <w:pStyle w:val="Heading2"/>
        <w:numPr>
          <w:ilvl w:val="0"/>
          <w:numId w:val="1"/>
        </w:numPr>
      </w:pPr>
      <w:bookmarkStart w:id="2" w:name="_Toc88486282"/>
      <w:r>
        <w:lastRenderedPageBreak/>
        <w:t>Purpose of the Enforcement Policy</w:t>
      </w:r>
      <w:bookmarkEnd w:id="2"/>
    </w:p>
    <w:p w14:paraId="65551D05" w14:textId="6894F85C" w:rsidR="00BA57DB" w:rsidRDefault="00BA57DB" w:rsidP="00BA57DB">
      <w:r>
        <w:t xml:space="preserve">The Enforcement Policy sets out the principles adopted by the Department in its enforcement of compliance with the </w:t>
      </w:r>
      <w:r w:rsidRPr="00BA57DB">
        <w:rPr>
          <w:i/>
          <w:iCs/>
        </w:rPr>
        <w:t>Tobacco Plain Packaging Act 2011</w:t>
      </w:r>
      <w:r>
        <w:t xml:space="preserve"> (TPP Act), the </w:t>
      </w:r>
      <w:r w:rsidRPr="00945FA4">
        <w:rPr>
          <w:i/>
          <w:iCs/>
        </w:rPr>
        <w:t>Tobacco Plain Packaging Regulations 2011</w:t>
      </w:r>
      <w:r>
        <w:t xml:space="preserve"> (TPP Regulations), the </w:t>
      </w:r>
      <w:r w:rsidRPr="00BA57DB">
        <w:rPr>
          <w:i/>
          <w:iCs/>
        </w:rPr>
        <w:t>Tobacco Advertising Prohibition Act 1992</w:t>
      </w:r>
      <w:r>
        <w:t xml:space="preserve"> (TAP Act), and the </w:t>
      </w:r>
      <w:r w:rsidRPr="00945FA4">
        <w:rPr>
          <w:i/>
          <w:iCs/>
        </w:rPr>
        <w:t>Tobacco Advertising Prohibition Regulation 1993</w:t>
      </w:r>
      <w:r>
        <w:t xml:space="preserve"> (TAP Regulation) (relevant legislation), which seek to improve public health and reduce the consumption of tobacco products and the harms associated with the use of those products.</w:t>
      </w:r>
    </w:p>
    <w:p w14:paraId="0D474427" w14:textId="77777777" w:rsidR="00BA57DB" w:rsidRDefault="00BA57DB" w:rsidP="00BA57DB">
      <w:r>
        <w:t>The Australian Government recognises that consideration may need to be given to the range of enforcement options available and has developed this Enforcement Policy to explain the strategies and priorities that will guide decisions about enforcement actions.</w:t>
      </w:r>
    </w:p>
    <w:p w14:paraId="59939B44" w14:textId="395C0043" w:rsidR="00A52392" w:rsidRDefault="00A52392" w:rsidP="00A52392">
      <w:pPr>
        <w:pStyle w:val="Heading2"/>
        <w:numPr>
          <w:ilvl w:val="0"/>
          <w:numId w:val="1"/>
        </w:numPr>
      </w:pPr>
      <w:bookmarkStart w:id="3" w:name="_Toc88486283"/>
      <w:r>
        <w:t>Tobacco in Australia</w:t>
      </w:r>
      <w:bookmarkEnd w:id="3"/>
    </w:p>
    <w:p w14:paraId="39CB81D8" w14:textId="0A4F7A97" w:rsidR="00945FA4" w:rsidRDefault="00945FA4" w:rsidP="00945FA4">
      <w:r>
        <w:t xml:space="preserve">Tobacco use was the leading risk factor </w:t>
      </w:r>
      <w:r w:rsidR="00B57536">
        <w:t xml:space="preserve">of burden of disease </w:t>
      </w:r>
      <w:r>
        <w:t>for both males and females and contributed the most to fatal burden, with almost 20,500 attributable deaths (13% of all deaths) in 2018</w:t>
      </w:r>
      <w:r w:rsidR="00AF5FF9">
        <w:rPr>
          <w:rStyle w:val="FootnoteReference"/>
        </w:rPr>
        <w:footnoteReference w:id="2"/>
      </w:r>
      <w:r>
        <w:t>.</w:t>
      </w:r>
    </w:p>
    <w:p w14:paraId="798DC520" w14:textId="796B205A" w:rsidR="00BF0BDE" w:rsidRPr="00730089" w:rsidRDefault="00BF0BDE" w:rsidP="00945FA4">
      <w:r w:rsidRPr="00730089">
        <w:t xml:space="preserve">The report </w:t>
      </w:r>
      <w:r w:rsidRPr="00BD7F9F">
        <w:rPr>
          <w:i/>
        </w:rPr>
        <w:t>Identifying the Social Costs of Tobacco Use to Australia in 2015/16</w:t>
      </w:r>
      <w:r w:rsidRPr="00730089">
        <w:t xml:space="preserve"> estimates the social costs of tobacco in Australia </w:t>
      </w:r>
      <w:r w:rsidR="00AD12D0">
        <w:t xml:space="preserve">were </w:t>
      </w:r>
      <w:r w:rsidRPr="00730089">
        <w:t>$136.9 billion in 2015/16. This comprises $19.2</w:t>
      </w:r>
      <w:r w:rsidR="001C3DF7">
        <w:t> </w:t>
      </w:r>
      <w:r w:rsidRPr="00730089">
        <w:t>billion in tangible costs and $117.7 billion in intangible costs. The report highlights that harms accrued from smoking in previous decades continue to have an impact today and there is a need to continue to invest in tobacco control strategies.</w:t>
      </w:r>
    </w:p>
    <w:p w14:paraId="522656B5" w14:textId="578644D2" w:rsidR="00BF0BDE" w:rsidRPr="00730089" w:rsidRDefault="00BF0BDE" w:rsidP="00BF0BDE">
      <w:pPr>
        <w:rPr>
          <w:szCs w:val="24"/>
        </w:rPr>
      </w:pPr>
      <w:r w:rsidRPr="00730089">
        <w:rPr>
          <w:szCs w:val="24"/>
        </w:rPr>
        <w:t xml:space="preserve">The Australian Government, together with state and territory governments, is committed to reducing the prevalence of smoking and its associated health, social and economic costs, and the inequalities it causes. In line with this commitment, the Australian Government </w:t>
      </w:r>
      <w:r w:rsidR="00AD12D0">
        <w:rPr>
          <w:szCs w:val="24"/>
        </w:rPr>
        <w:t xml:space="preserve">has set targets to </w:t>
      </w:r>
      <w:r w:rsidRPr="00730089">
        <w:rPr>
          <w:szCs w:val="24"/>
        </w:rPr>
        <w:t>reduc</w:t>
      </w:r>
      <w:r w:rsidR="00AD12D0">
        <w:rPr>
          <w:szCs w:val="24"/>
        </w:rPr>
        <w:t>e</w:t>
      </w:r>
      <w:r w:rsidRPr="00730089">
        <w:rPr>
          <w:szCs w:val="24"/>
        </w:rPr>
        <w:t xml:space="preserve"> smoking rates </w:t>
      </w:r>
      <w:r w:rsidR="00AD12D0">
        <w:rPr>
          <w:szCs w:val="24"/>
        </w:rPr>
        <w:t xml:space="preserve">to </w:t>
      </w:r>
      <w:r w:rsidRPr="00730089">
        <w:rPr>
          <w:szCs w:val="24"/>
        </w:rPr>
        <w:t>below 10 per cent by 2025</w:t>
      </w:r>
      <w:r w:rsidR="00AD12D0">
        <w:rPr>
          <w:szCs w:val="24"/>
        </w:rPr>
        <w:t>, and to 5 per cent or less by 2030</w:t>
      </w:r>
      <w:r w:rsidRPr="00730089">
        <w:rPr>
          <w:szCs w:val="24"/>
        </w:rPr>
        <w:t xml:space="preserve">. </w:t>
      </w:r>
    </w:p>
    <w:p w14:paraId="4093A860" w14:textId="3DF4CD4E" w:rsidR="00051556" w:rsidRDefault="00BF0BDE" w:rsidP="00BF0BDE">
      <w:pPr>
        <w:rPr>
          <w:szCs w:val="24"/>
        </w:rPr>
      </w:pPr>
      <w:r w:rsidRPr="00730089">
        <w:rPr>
          <w:szCs w:val="24"/>
        </w:rPr>
        <w:t xml:space="preserve">There is strong evidence that comprehensive public health strategies focussing on both the supply and demand of tobacco are most likely to achieve long-term health gains, prevent the uptake of smoking and reduce smoking prevalence. This comprehensive approach has led to historically low smoking rates in Australia, particularly among children and youth. </w:t>
      </w:r>
    </w:p>
    <w:p w14:paraId="47D3CBA1" w14:textId="77777777" w:rsidR="00E931D9" w:rsidRDefault="00E931D9" w:rsidP="007C102B">
      <w:pPr>
        <w:pStyle w:val="Heading2"/>
        <w:numPr>
          <w:ilvl w:val="0"/>
          <w:numId w:val="1"/>
        </w:numPr>
      </w:pPr>
      <w:bookmarkStart w:id="4" w:name="_Toc88486284"/>
      <w:r>
        <w:t>Tobacco Advertising Prohibition</w:t>
      </w:r>
      <w:bookmarkEnd w:id="4"/>
    </w:p>
    <w:p w14:paraId="2337A95F" w14:textId="651BFCB9" w:rsidR="00E931D9" w:rsidRDefault="00BA57DB" w:rsidP="00E931D9">
      <w:pPr>
        <w:pStyle w:val="Heading3"/>
      </w:pPr>
      <w:r>
        <w:t>3</w:t>
      </w:r>
      <w:r w:rsidR="00E931D9">
        <w:t>.1 Background</w:t>
      </w:r>
    </w:p>
    <w:p w14:paraId="296958BC" w14:textId="77777777" w:rsidR="00E931D9" w:rsidRDefault="00E931D9" w:rsidP="00E931D9">
      <w:r>
        <w:t>The first tobacco advertising restrictions were introduced in Australia in 1973, which phased out radio and television advertising for cigarettes in 1976, with exception for accidental and incidental broadcast. Further legislative amendments were introduced in 1989 which further prohibited tobacco advertising from appearing in print media at a national level.</w:t>
      </w:r>
    </w:p>
    <w:p w14:paraId="497DF91E" w14:textId="550B0168" w:rsidR="00E931D9" w:rsidRDefault="00E931D9" w:rsidP="00E931D9">
      <w:r>
        <w:t>The TAP Act was introduced in December 1992, which phased out the use of billboards and other outdoor signage, including at sporting events, art and cultural gatherings, festivals, and other public displays. Further amendments were introduced in 201</w:t>
      </w:r>
      <w:r w:rsidR="00B87E90">
        <w:t>2</w:t>
      </w:r>
      <w:r>
        <w:t xml:space="preserve">, which extended the prohibition of advertising tobacco products to the internet and social media. </w:t>
      </w:r>
    </w:p>
    <w:p w14:paraId="00CABF0E" w14:textId="77777777" w:rsidR="00E931D9" w:rsidRDefault="00E931D9" w:rsidP="00E931D9">
      <w:r w:rsidRPr="006F52E0">
        <w:lastRenderedPageBreak/>
        <w:t>The object of the TAP Act, as set out in section 3, is to improve public health by limiting the exposure</w:t>
      </w:r>
      <w:r>
        <w:t xml:space="preserve"> of the public to messages and images that may persuade them to start or continue smoking, or to use or continue using tobacco products. </w:t>
      </w:r>
    </w:p>
    <w:p w14:paraId="7D1036AD" w14:textId="77777777" w:rsidR="00E931D9" w:rsidRDefault="00E931D9" w:rsidP="00E931D9">
      <w:r>
        <w:t>The TAP Act, with certain limited exceptions, makes it an offence to publish or broadcast a tobacco advertisement. The definition of a ‘tobacco advertisement’ means any writing, still or moving picture, sign, symbol or other visual image, or any audible message, or any combination of two or more of those things, that gives publicity to, or otherwise promotes smoking or the purchase or use of tobacco products.</w:t>
      </w:r>
    </w:p>
    <w:p w14:paraId="720E8CB2" w14:textId="07A9CA8E" w:rsidR="00E931D9" w:rsidRDefault="00BA57DB" w:rsidP="00E931D9">
      <w:pPr>
        <w:pStyle w:val="Heading3"/>
      </w:pPr>
      <w:r>
        <w:t>3</w:t>
      </w:r>
      <w:r w:rsidR="00E931D9">
        <w:t>.2 Point of Sale</w:t>
      </w:r>
    </w:p>
    <w:p w14:paraId="33388C2A" w14:textId="77777777" w:rsidR="00E931D9" w:rsidRPr="00764228" w:rsidRDefault="00E931D9" w:rsidP="00E931D9">
      <w:r>
        <w:t xml:space="preserve">The application of the TAP Act does not apply within the point of sale where tobacco products may be purchased in person. Local state and territory restrictions or requirements apply to the point of sale. Where the Department receives information relating to a potential contravention of the TAP Act occurring at the point of sale, the Department will refer the information to the local state or territory jurisdiction for their consideration, as outlined under </w:t>
      </w:r>
      <w:hyperlink w:anchor="_Engagement_with_other" w:history="1">
        <w:r>
          <w:rPr>
            <w:rStyle w:val="Hyperlink"/>
          </w:rPr>
          <w:t>Engagement with other agencies</w:t>
        </w:r>
      </w:hyperlink>
      <w:r>
        <w:t>.</w:t>
      </w:r>
    </w:p>
    <w:p w14:paraId="1B65F8B5" w14:textId="17CC6E13" w:rsidR="00E931D9" w:rsidRDefault="00BA57DB" w:rsidP="00E931D9">
      <w:pPr>
        <w:pStyle w:val="Heading3"/>
      </w:pPr>
      <w:r>
        <w:t>3</w:t>
      </w:r>
      <w:r w:rsidR="00E931D9">
        <w:t>.3 Online and social media</w:t>
      </w:r>
    </w:p>
    <w:p w14:paraId="3202FC3D" w14:textId="77777777" w:rsidR="00E931D9" w:rsidRDefault="00E931D9" w:rsidP="00E931D9">
      <w:r w:rsidRPr="00257E52">
        <w:t>The TAP Act restricts tobacco advertising on the internet, including social media platforms</w:t>
      </w:r>
      <w:r>
        <w:t>, and through other electronic media in Australia such as mobile phones and emails</w:t>
      </w:r>
      <w:r w:rsidRPr="00257E52">
        <w:t xml:space="preserve">. </w:t>
      </w:r>
    </w:p>
    <w:p w14:paraId="37938AC0" w14:textId="3CC13825" w:rsidR="00E931D9" w:rsidRDefault="00E931D9" w:rsidP="00E931D9">
      <w:r w:rsidRPr="00257E52">
        <w:t xml:space="preserve">There </w:t>
      </w:r>
      <w:r>
        <w:t>are</w:t>
      </w:r>
      <w:r w:rsidRPr="00257E52">
        <w:t xml:space="preserve"> </w:t>
      </w:r>
      <w:r w:rsidR="00A13590">
        <w:t xml:space="preserve">a </w:t>
      </w:r>
      <w:r w:rsidRPr="00257E52">
        <w:t xml:space="preserve">limited </w:t>
      </w:r>
      <w:r w:rsidR="00A13590">
        <w:t xml:space="preserve">number of </w:t>
      </w:r>
      <w:r w:rsidRPr="00257E52">
        <w:t>exception</w:t>
      </w:r>
      <w:r>
        <w:t>s</w:t>
      </w:r>
      <w:r w:rsidRPr="00257E52">
        <w:t xml:space="preserve"> to this prohibition which permit </w:t>
      </w:r>
      <w:r>
        <w:t>limited</w:t>
      </w:r>
      <w:r w:rsidRPr="00257E52">
        <w:t xml:space="preserve"> publication of a tobacco advertisement (including the brand names of tobacco products) at the point</w:t>
      </w:r>
      <w:r>
        <w:t xml:space="preserve"> </w:t>
      </w:r>
      <w:r w:rsidRPr="00257E52">
        <w:t>of</w:t>
      </w:r>
      <w:r>
        <w:t xml:space="preserve"> </w:t>
      </w:r>
      <w:r w:rsidRPr="00257E52">
        <w:t>sale on the internet. However, specific requirements</w:t>
      </w:r>
      <w:r>
        <w:t>, such as meeting strict formatting and information requirements,</w:t>
      </w:r>
      <w:r w:rsidRPr="00257E52">
        <w:t xml:space="preserve"> must be met for th</w:t>
      </w:r>
      <w:r w:rsidR="00BA57DB">
        <w:t>ese</w:t>
      </w:r>
      <w:r w:rsidRPr="00257E52">
        <w:t xml:space="preserve"> exception</w:t>
      </w:r>
      <w:r w:rsidR="00BA57DB">
        <w:t>s</w:t>
      </w:r>
      <w:r w:rsidRPr="00257E52">
        <w:t xml:space="preserve"> to apply as specified in the TAP Regulation. </w:t>
      </w:r>
      <w:r>
        <w:t>Additional online advertising requirements or restrictions may also be applied by local</w:t>
      </w:r>
      <w:r w:rsidR="00B47738">
        <w:t>,</w:t>
      </w:r>
      <w:r>
        <w:t xml:space="preserve"> state and territory governments. </w:t>
      </w:r>
    </w:p>
    <w:p w14:paraId="323EB261" w14:textId="14B2DE8B" w:rsidR="00E931D9" w:rsidRDefault="004A129A" w:rsidP="00E931D9">
      <w:r>
        <w:t xml:space="preserve">Due to the international nature of the internet, there are times where an advertisement may be viewed in Australia yet published outside of Australia. </w:t>
      </w:r>
      <w:r w:rsidR="00E931D9">
        <w:t xml:space="preserve">The Department will explore all avenues in investigating websites and social media that appear to </w:t>
      </w:r>
      <w:r w:rsidR="00BA57DB">
        <w:t xml:space="preserve">not comply with </w:t>
      </w:r>
      <w:r w:rsidR="00E931D9">
        <w:t>the TAP Act</w:t>
      </w:r>
      <w:r>
        <w:t xml:space="preserve"> regardless of origin</w:t>
      </w:r>
      <w:r w:rsidR="00E931D9">
        <w:t>. In instances</w:t>
      </w:r>
      <w:r>
        <w:t xml:space="preserve"> of overseas advertisements</w:t>
      </w:r>
      <w:r w:rsidR="00E931D9">
        <w:t xml:space="preserve">, the Department will advocate for the removal of the advertisement where it is able. </w:t>
      </w:r>
    </w:p>
    <w:p w14:paraId="36BF768D" w14:textId="77777777" w:rsidR="00E931D9" w:rsidRPr="00C310C0" w:rsidRDefault="00E931D9" w:rsidP="007C102B">
      <w:pPr>
        <w:pStyle w:val="Heading2"/>
        <w:numPr>
          <w:ilvl w:val="0"/>
          <w:numId w:val="1"/>
        </w:numPr>
      </w:pPr>
      <w:bookmarkStart w:id="5" w:name="_Toc88486285"/>
      <w:r w:rsidRPr="00C310C0">
        <w:t>Tobacco Plain Packaging</w:t>
      </w:r>
      <w:bookmarkEnd w:id="5"/>
    </w:p>
    <w:p w14:paraId="6A33CA60" w14:textId="523CB199" w:rsidR="00E931D9" w:rsidRPr="002D5E3B" w:rsidRDefault="00BA57DB" w:rsidP="00E931D9">
      <w:pPr>
        <w:pStyle w:val="Heading3"/>
      </w:pPr>
      <w:r>
        <w:t>4</w:t>
      </w:r>
      <w:r w:rsidR="00E931D9">
        <w:t xml:space="preserve">.1 </w:t>
      </w:r>
      <w:r w:rsidR="00E931D9" w:rsidRPr="00C310C0">
        <w:t>Background</w:t>
      </w:r>
    </w:p>
    <w:p w14:paraId="5FE7A5D5" w14:textId="32709E70" w:rsidR="00E931D9" w:rsidRDefault="00E931D9" w:rsidP="00E931D9">
      <w:r>
        <w:t xml:space="preserve">In April 2010, the Australian Government announced that it would introduce </w:t>
      </w:r>
      <w:r w:rsidR="00BA57DB">
        <w:t xml:space="preserve">world-first </w:t>
      </w:r>
      <w:r>
        <w:t xml:space="preserve">legislation to mandate the plain packaging of tobacco products. Alongside this measure, health warnings on tobacco products were also to be updated and expanded. </w:t>
      </w:r>
    </w:p>
    <w:p w14:paraId="54D1B7DE" w14:textId="089E658B" w:rsidR="00E931D9" w:rsidRDefault="00E931D9" w:rsidP="00E931D9">
      <w:r>
        <w:t xml:space="preserve">The TPP Act came into full effect on 1 December 2012, and from that date required that all tobacco products sold, offered for sale, or otherwise supplied in Australia must be in plain packaging and be labelled with the new and expanded health warnings. </w:t>
      </w:r>
    </w:p>
    <w:p w14:paraId="0C87912D" w14:textId="2D104188" w:rsidR="00E931D9" w:rsidRPr="00BF1A78" w:rsidRDefault="00E931D9" w:rsidP="00E931D9">
      <w:pPr>
        <w:rPr>
          <w:highlight w:val="yellow"/>
        </w:rPr>
      </w:pPr>
      <w:r>
        <w:t xml:space="preserve">The objects of the Act are stated in section 3 of the TPP Act, which aim to improve public health, and to give effect to certain obligations that Australia has as a party to the FCTC. The Australian Government </w:t>
      </w:r>
      <w:r w:rsidR="004A129A">
        <w:t>pursued</w:t>
      </w:r>
      <w:r>
        <w:t xml:space="preserve"> this objective by regulating the retail packaging and </w:t>
      </w:r>
      <w:r>
        <w:lastRenderedPageBreak/>
        <w:t>appearance of tobacco products to reduce the appeal of the products to consumers, increase the effectiveness of health warnings on retail packaging, and reduce the ability of retail packaging to mislead consumers about the harmful effects of smoking.</w:t>
      </w:r>
    </w:p>
    <w:p w14:paraId="47D91070" w14:textId="3FAA46D5" w:rsidR="00E931D9" w:rsidRPr="00C310C0" w:rsidRDefault="00BA57DB" w:rsidP="00E931D9">
      <w:pPr>
        <w:pStyle w:val="Heading3"/>
      </w:pPr>
      <w:r>
        <w:t>4</w:t>
      </w:r>
      <w:r w:rsidR="00E931D9">
        <w:t xml:space="preserve">.2 </w:t>
      </w:r>
      <w:r w:rsidR="00E931D9" w:rsidRPr="00C310C0">
        <w:t>Graphic Health Warnings</w:t>
      </w:r>
    </w:p>
    <w:p w14:paraId="6D586F27" w14:textId="48D69664" w:rsidR="00E931D9" w:rsidRDefault="00E931D9" w:rsidP="00E931D9">
      <w:r>
        <w:t xml:space="preserve">The Australian Government is responsible for mandating health warnings on the packaging of tobacco products sold in Australia. The health warnings </w:t>
      </w:r>
      <w:r w:rsidR="004D5DB4">
        <w:t>were</w:t>
      </w:r>
      <w:r>
        <w:t xml:space="preserve"> updated and expanded under the </w:t>
      </w:r>
      <w:r w:rsidRPr="00062EB0">
        <w:rPr>
          <w:i/>
        </w:rPr>
        <w:t>Competition and Consumer (Tobacco) Information Standard 2011</w:t>
      </w:r>
      <w:r>
        <w:t xml:space="preserve"> (the Standard), which commenced on 1 January 2012. Under the Standard, from 1 December 2012, retail packaging of tobacco products must display the </w:t>
      </w:r>
      <w:r w:rsidR="004D5DB4">
        <w:t xml:space="preserve">updated </w:t>
      </w:r>
      <w:r>
        <w:t xml:space="preserve">warnings. </w:t>
      </w:r>
    </w:p>
    <w:p w14:paraId="74AD1C88" w14:textId="501E99E2" w:rsidR="00E931D9" w:rsidRPr="00E35B34" w:rsidRDefault="00E931D9" w:rsidP="00E931D9">
      <w:pPr>
        <w:rPr>
          <w:highlight w:val="yellow"/>
        </w:rPr>
      </w:pPr>
      <w:r>
        <w:t xml:space="preserve">The Department has policy responsibility for health warnings, while the Standard is administered within the Treasury portfolio and enforced by the Australian Competition and Consumer Commission, </w:t>
      </w:r>
      <w:r w:rsidR="00BA57DB">
        <w:t>and</w:t>
      </w:r>
      <w:r>
        <w:t xml:space="preserve"> state and territory agencies. The Enforcement Policy does not </w:t>
      </w:r>
      <w:r w:rsidR="004B5A4B">
        <w:t>affect</w:t>
      </w:r>
      <w:r>
        <w:t xml:space="preserve"> the enforcement of the Standard by those agencies.</w:t>
      </w:r>
    </w:p>
    <w:p w14:paraId="562C893A" w14:textId="77777777" w:rsidR="00586822" w:rsidRDefault="00586822" w:rsidP="007C102B">
      <w:pPr>
        <w:pStyle w:val="Heading2"/>
        <w:numPr>
          <w:ilvl w:val="0"/>
          <w:numId w:val="1"/>
        </w:numPr>
      </w:pPr>
      <w:bookmarkStart w:id="6" w:name="_Toc88486286"/>
      <w:r>
        <w:t>Principles underlying this Enforcement Policy</w:t>
      </w:r>
      <w:bookmarkEnd w:id="6"/>
    </w:p>
    <w:p w14:paraId="7310718E" w14:textId="77777777" w:rsidR="000868EE" w:rsidRDefault="00586822" w:rsidP="00586822">
      <w:r>
        <w:t xml:space="preserve">The Department will exercise its enforcement powers in an appropriate manner using the principles of proportionality, transparency, consistency, confidentiality (where appropriate) and timeliness. </w:t>
      </w:r>
      <w:r w:rsidR="000868EE">
        <w:t xml:space="preserve">The Department applies the Australian Government Investigations Standards (AGIS), which provide the minimum standard of conduct for entities conducting investigations into programs and legislation they administer. </w:t>
      </w:r>
    </w:p>
    <w:p w14:paraId="106A83B1" w14:textId="1A3A1558" w:rsidR="000868EE" w:rsidRDefault="000868EE" w:rsidP="000868EE">
      <w:r>
        <w:t>In enforcing the provisions of the relevant</w:t>
      </w:r>
      <w:r w:rsidR="005A4695">
        <w:t xml:space="preserve"> legislation</w:t>
      </w:r>
      <w:r>
        <w:t>, the Department’s primary aims are to:</w:t>
      </w:r>
    </w:p>
    <w:p w14:paraId="614AC7EF" w14:textId="77777777" w:rsidR="000868EE" w:rsidRDefault="000868EE" w:rsidP="000868EE">
      <w:pPr>
        <w:pStyle w:val="ListParagraph"/>
        <w:numPr>
          <w:ilvl w:val="0"/>
          <w:numId w:val="17"/>
        </w:numPr>
      </w:pPr>
      <w:r>
        <w:t xml:space="preserve">ensure the highest level of compliance with the relevant </w:t>
      </w:r>
      <w:proofErr w:type="gramStart"/>
      <w:r>
        <w:t>legislation;</w:t>
      </w:r>
      <w:proofErr w:type="gramEnd"/>
    </w:p>
    <w:p w14:paraId="0CE5033B" w14:textId="77777777" w:rsidR="000868EE" w:rsidRDefault="000868EE" w:rsidP="000868EE">
      <w:pPr>
        <w:pStyle w:val="ListParagraph"/>
        <w:numPr>
          <w:ilvl w:val="0"/>
          <w:numId w:val="17"/>
        </w:numPr>
      </w:pPr>
      <w:r>
        <w:t xml:space="preserve">educate and inform tobacco suppliers of their </w:t>
      </w:r>
      <w:proofErr w:type="gramStart"/>
      <w:r>
        <w:t>obligations;</w:t>
      </w:r>
      <w:proofErr w:type="gramEnd"/>
      <w:r>
        <w:t xml:space="preserve"> </w:t>
      </w:r>
    </w:p>
    <w:p w14:paraId="48B99505" w14:textId="77777777" w:rsidR="000868EE" w:rsidRDefault="000868EE" w:rsidP="000868EE">
      <w:pPr>
        <w:pStyle w:val="ListParagraph"/>
        <w:numPr>
          <w:ilvl w:val="0"/>
          <w:numId w:val="17"/>
        </w:numPr>
      </w:pPr>
      <w:r>
        <w:t xml:space="preserve">deter future </w:t>
      </w:r>
      <w:proofErr w:type="gramStart"/>
      <w:r>
        <w:t>non-compliance;</w:t>
      </w:r>
      <w:proofErr w:type="gramEnd"/>
    </w:p>
    <w:p w14:paraId="1296CF90" w14:textId="77777777" w:rsidR="000868EE" w:rsidRDefault="000868EE" w:rsidP="000868EE">
      <w:pPr>
        <w:pStyle w:val="ListParagraph"/>
        <w:numPr>
          <w:ilvl w:val="0"/>
          <w:numId w:val="17"/>
        </w:numPr>
      </w:pPr>
      <w:r>
        <w:t>encourage reporting of non-compliance (including self-reporting where an error has been identified);</w:t>
      </w:r>
      <w:r w:rsidRPr="00F55F02">
        <w:t xml:space="preserve"> </w:t>
      </w:r>
      <w:r>
        <w:t>and</w:t>
      </w:r>
    </w:p>
    <w:p w14:paraId="3EA58C9F" w14:textId="77777777" w:rsidR="000868EE" w:rsidRDefault="000868EE" w:rsidP="000868EE">
      <w:pPr>
        <w:pStyle w:val="ListParagraph"/>
        <w:numPr>
          <w:ilvl w:val="0"/>
          <w:numId w:val="17"/>
        </w:numPr>
      </w:pPr>
      <w:r>
        <w:t>encourage the effective use of compliance systems.</w:t>
      </w:r>
    </w:p>
    <w:p w14:paraId="0F588B9E" w14:textId="4619A829" w:rsidR="000868EE" w:rsidRDefault="000868EE" w:rsidP="000868EE">
      <w:r>
        <w:t xml:space="preserve">To assist with these aims, it is necessary to ensure a balance between the appropriate use of resources and effective compliance with the relevant legislation. </w:t>
      </w:r>
    </w:p>
    <w:p w14:paraId="52F0EB0A" w14:textId="6B546673" w:rsidR="000868EE" w:rsidRPr="00EE6516" w:rsidRDefault="000868EE" w:rsidP="000868EE">
      <w:r>
        <w:t xml:space="preserve">The Department will consider all complaints and referrals of non-compliance, which will be assessed and progressed according to the principles below. Complaints will also be considered </w:t>
      </w:r>
      <w:r w:rsidR="006F2EE1">
        <w:t xml:space="preserve">having regard to </w:t>
      </w:r>
      <w:r>
        <w:t>risk and priority, to ensure that resources are allocated in the most efficient and effective manner. Complaints that contain old or unreliable information (or if an inspection has been conducted since the date of the alleged non</w:t>
      </w:r>
      <w:r>
        <w:noBreakHyphen/>
        <w:t>compliance) may be treated as ‘for information only’. The information will be assessed for risk and priority and may be closed or referred on that basis.</w:t>
      </w:r>
    </w:p>
    <w:p w14:paraId="45958974" w14:textId="77777777" w:rsidR="000868EE" w:rsidRDefault="000868EE" w:rsidP="00095834">
      <w:pPr>
        <w:keepNext/>
        <w:keepLines/>
      </w:pPr>
      <w:r>
        <w:lastRenderedPageBreak/>
        <w:t xml:space="preserve">The Department will conduct information </w:t>
      </w:r>
      <w:r w:rsidRPr="00F27E7E">
        <w:rPr>
          <w:iCs/>
        </w:rPr>
        <w:t>campaigns</w:t>
      </w:r>
      <w:r>
        <w:t xml:space="preserve"> from time to time, aimed at proactively addressing certain trends, and improving education and compliance in areas identified as being of concern. Appropriate campaigns may be conducted, and may be determined based on data held by the Department, including but not limited to:</w:t>
      </w:r>
    </w:p>
    <w:p w14:paraId="14C701E2" w14:textId="77777777" w:rsidR="000868EE" w:rsidRDefault="000868EE" w:rsidP="00095834">
      <w:pPr>
        <w:pStyle w:val="ListParagraph"/>
        <w:keepNext/>
        <w:keepLines/>
        <w:numPr>
          <w:ilvl w:val="0"/>
          <w:numId w:val="18"/>
        </w:numPr>
      </w:pPr>
      <w:r>
        <w:t xml:space="preserve">geographic </w:t>
      </w:r>
      <w:proofErr w:type="gramStart"/>
      <w:r>
        <w:t>locations;</w:t>
      </w:r>
      <w:proofErr w:type="gramEnd"/>
      <w:r>
        <w:t xml:space="preserve"> </w:t>
      </w:r>
    </w:p>
    <w:p w14:paraId="319FED4E" w14:textId="77777777" w:rsidR="000868EE" w:rsidRDefault="000868EE" w:rsidP="00095834">
      <w:pPr>
        <w:pStyle w:val="ListParagraph"/>
        <w:keepNext/>
        <w:keepLines/>
        <w:numPr>
          <w:ilvl w:val="0"/>
          <w:numId w:val="18"/>
        </w:numPr>
      </w:pPr>
      <w:r>
        <w:t xml:space="preserve">store </w:t>
      </w:r>
      <w:proofErr w:type="gramStart"/>
      <w:r>
        <w:t>types;</w:t>
      </w:r>
      <w:proofErr w:type="gramEnd"/>
      <w:r>
        <w:t xml:space="preserve"> </w:t>
      </w:r>
    </w:p>
    <w:p w14:paraId="5F5F97A2" w14:textId="77777777" w:rsidR="000868EE" w:rsidRDefault="000868EE" w:rsidP="00095834">
      <w:pPr>
        <w:pStyle w:val="ListParagraph"/>
        <w:keepNext/>
        <w:keepLines/>
        <w:numPr>
          <w:ilvl w:val="0"/>
          <w:numId w:val="18"/>
        </w:numPr>
      </w:pPr>
      <w:r w:rsidRPr="00595FC1">
        <w:t xml:space="preserve">product names or </w:t>
      </w:r>
      <w:proofErr w:type="gramStart"/>
      <w:r w:rsidRPr="00595FC1">
        <w:t>types</w:t>
      </w:r>
      <w:r>
        <w:t>;</w:t>
      </w:r>
      <w:proofErr w:type="gramEnd"/>
    </w:p>
    <w:p w14:paraId="71491AEF" w14:textId="77777777" w:rsidR="000868EE" w:rsidRDefault="000868EE" w:rsidP="00095834">
      <w:pPr>
        <w:pStyle w:val="ListParagraph"/>
        <w:keepNext/>
        <w:keepLines/>
        <w:numPr>
          <w:ilvl w:val="0"/>
          <w:numId w:val="18"/>
        </w:numPr>
      </w:pPr>
      <w:r>
        <w:t xml:space="preserve">emerging products and </w:t>
      </w:r>
      <w:proofErr w:type="gramStart"/>
      <w:r>
        <w:t>suppliers;</w:t>
      </w:r>
      <w:proofErr w:type="gramEnd"/>
    </w:p>
    <w:p w14:paraId="1C9B310C" w14:textId="77777777" w:rsidR="000868EE" w:rsidRDefault="000868EE" w:rsidP="00095834">
      <w:pPr>
        <w:pStyle w:val="ListParagraph"/>
        <w:keepNext/>
        <w:keepLines/>
        <w:numPr>
          <w:ilvl w:val="0"/>
          <w:numId w:val="18"/>
        </w:numPr>
      </w:pPr>
      <w:r>
        <w:t xml:space="preserve">systemic alleged or perceived non-compliance; or </w:t>
      </w:r>
    </w:p>
    <w:p w14:paraId="08B55455" w14:textId="77777777" w:rsidR="000868EE" w:rsidRDefault="000868EE" w:rsidP="00095834">
      <w:pPr>
        <w:pStyle w:val="ListParagraph"/>
        <w:keepNext/>
        <w:keepLines/>
        <w:numPr>
          <w:ilvl w:val="0"/>
          <w:numId w:val="18"/>
        </w:numPr>
      </w:pPr>
      <w:r>
        <w:t>where a need appears to exist.</w:t>
      </w:r>
    </w:p>
    <w:p w14:paraId="2F70F27C" w14:textId="10D8A4DA" w:rsidR="000868EE" w:rsidRDefault="000868EE" w:rsidP="000868EE">
      <w:r>
        <w:t xml:space="preserve">The Department </w:t>
      </w:r>
      <w:r w:rsidR="0044482E">
        <w:t xml:space="preserve">also </w:t>
      </w:r>
      <w:r>
        <w:t>provides information on its website that assists entities in ensuring compliance with the relevant legislation. The website includes guidance documents, information kits, frequently asked questions pages and fact sheets that provide information on how to comply.</w:t>
      </w:r>
    </w:p>
    <w:p w14:paraId="004DD601" w14:textId="546E8FCC" w:rsidR="00586822" w:rsidRPr="00730089" w:rsidRDefault="00071856" w:rsidP="00586822">
      <w:pPr>
        <w:pStyle w:val="Heading3"/>
      </w:pPr>
      <w:r>
        <w:t>5</w:t>
      </w:r>
      <w:r w:rsidR="00586822">
        <w:t xml:space="preserve">.1 </w:t>
      </w:r>
      <w:r w:rsidR="00586822" w:rsidRPr="00730089">
        <w:t>Proportionality</w:t>
      </w:r>
    </w:p>
    <w:p w14:paraId="45178ED9" w14:textId="77777777" w:rsidR="00586822" w:rsidRDefault="00586822" w:rsidP="00586822">
      <w:r>
        <w:t>Any enforcement action undertaken will be proportionate to the seriousness of the non</w:t>
      </w:r>
      <w:r>
        <w:noBreakHyphen/>
        <w:t>compliance. Consideration is given to the risk to public health, the degree of risk associated with failure to comply, the reputation of the regulatory scheme, and the appropriate use of resources in pursuing compliance on a case by case basis. Appropriate consideration is also given to the efforts made by the non-compliant entity to comply with the relevant legislation. The Department acknowledges that non</w:t>
      </w:r>
      <w:r>
        <w:noBreakHyphen/>
        <w:t>compliance in some cases is due to a misunderstanding of the relevant legislative requirements, rather than deliberate contravention. The Department undertakes information visits and makes information available on its website to ensure industry knowledge of its obligations.</w:t>
      </w:r>
    </w:p>
    <w:p w14:paraId="33CFF44D" w14:textId="0AE657AA" w:rsidR="00586822" w:rsidRDefault="00071856" w:rsidP="00586822">
      <w:pPr>
        <w:pStyle w:val="Heading3"/>
      </w:pPr>
      <w:r>
        <w:t>5</w:t>
      </w:r>
      <w:r w:rsidR="00586822">
        <w:t>.2 Transparency</w:t>
      </w:r>
    </w:p>
    <w:p w14:paraId="4BDBEB30" w14:textId="77777777" w:rsidR="00586822" w:rsidRDefault="00586822" w:rsidP="00586822">
      <w:r>
        <w:t>Guidance material on compliance with the legislative requirements together with compliance policies and strategies are publicly available so that regulated entities understand what is expected of them, and how compliance will be enforced. Regulated entities, where appropriate, will be informed of decisions made, and the grounds for those decisions.</w:t>
      </w:r>
    </w:p>
    <w:p w14:paraId="4EDA79A3" w14:textId="27EB60A7" w:rsidR="00586822" w:rsidRDefault="00071856" w:rsidP="00586822">
      <w:pPr>
        <w:pStyle w:val="Heading3"/>
      </w:pPr>
      <w:r>
        <w:t>5</w:t>
      </w:r>
      <w:r w:rsidR="00586822">
        <w:t>.3 Consistency</w:t>
      </w:r>
    </w:p>
    <w:p w14:paraId="2E793CF4" w14:textId="77777777" w:rsidR="00586822" w:rsidRDefault="00586822" w:rsidP="00586822">
      <w:r>
        <w:t>A consistent national approach is taken in interpreting, applying, and enforcing the relevant legislation. The Department takes a systematic approach to ensure consistency in case management and quality control, and that no preferential treatment is given or perceived to be given to one entity over another.</w:t>
      </w:r>
    </w:p>
    <w:p w14:paraId="7C243534" w14:textId="529AC660" w:rsidR="00586822" w:rsidRDefault="00071856" w:rsidP="00586822">
      <w:pPr>
        <w:pStyle w:val="Heading3"/>
      </w:pPr>
      <w:r>
        <w:t>5</w:t>
      </w:r>
      <w:r w:rsidR="00586822">
        <w:t>.4 Confidentiality</w:t>
      </w:r>
    </w:p>
    <w:p w14:paraId="5DF9AB84" w14:textId="238841BA" w:rsidR="003716E7" w:rsidRDefault="00426E61" w:rsidP="00A16581">
      <w:r>
        <w:t>Investigations are conducted confidentially</w:t>
      </w:r>
      <w:r w:rsidR="003716E7">
        <w:t xml:space="preserve">, and information is handled in accordance with the Department’s obligations under the </w:t>
      </w:r>
      <w:r w:rsidR="003716E7" w:rsidRPr="00973CBB">
        <w:rPr>
          <w:i/>
          <w:iCs/>
        </w:rPr>
        <w:t>Freedom of Information Act 1982</w:t>
      </w:r>
      <w:r w:rsidR="003716E7">
        <w:t xml:space="preserve">, the </w:t>
      </w:r>
      <w:r w:rsidR="003716E7" w:rsidRPr="00973CBB">
        <w:rPr>
          <w:i/>
          <w:iCs/>
        </w:rPr>
        <w:t>Privacy Act 1988</w:t>
      </w:r>
      <w:r w:rsidR="003716E7">
        <w:t>, the WHO FCTC</w:t>
      </w:r>
      <w:r w:rsidR="00061DCB">
        <w:t>, the TPP Act and TAP Act</w:t>
      </w:r>
      <w:r w:rsidR="003716E7">
        <w:t>.</w:t>
      </w:r>
      <w:r>
        <w:t xml:space="preserve"> </w:t>
      </w:r>
    </w:p>
    <w:p w14:paraId="21216048" w14:textId="77777777" w:rsidR="00A16581" w:rsidRDefault="00A16581" w:rsidP="00095834">
      <w:pPr>
        <w:keepNext/>
      </w:pPr>
      <w:r>
        <w:lastRenderedPageBreak/>
        <w:t>Where the Department elects to release comments, statements or otherwise publish information in relation to a particular matter, the information released will be guided by the principles of AGIS, namely that the information should not:</w:t>
      </w:r>
    </w:p>
    <w:p w14:paraId="1877777C" w14:textId="77777777" w:rsidR="00A16581" w:rsidRDefault="00A16581" w:rsidP="00095834">
      <w:pPr>
        <w:pStyle w:val="ListParagraph"/>
        <w:keepNext/>
        <w:numPr>
          <w:ilvl w:val="0"/>
          <w:numId w:val="4"/>
        </w:numPr>
      </w:pPr>
      <w:r>
        <w:t xml:space="preserve">prejudice a person’s right to a fair hearing or the legal </w:t>
      </w:r>
      <w:proofErr w:type="gramStart"/>
      <w:r>
        <w:t>process;</w:t>
      </w:r>
      <w:proofErr w:type="gramEnd"/>
    </w:p>
    <w:p w14:paraId="3A2F94E8" w14:textId="77777777" w:rsidR="00A16581" w:rsidRDefault="00A16581" w:rsidP="00095834">
      <w:pPr>
        <w:pStyle w:val="ListParagraph"/>
        <w:keepNext/>
        <w:numPr>
          <w:ilvl w:val="0"/>
          <w:numId w:val="4"/>
        </w:numPr>
      </w:pPr>
      <w:r>
        <w:t>impinge upon the privacy or safety of others involved in the investigation; or</w:t>
      </w:r>
    </w:p>
    <w:p w14:paraId="4E705F59" w14:textId="77777777" w:rsidR="00A16581" w:rsidRDefault="00A16581" w:rsidP="00095834">
      <w:pPr>
        <w:pStyle w:val="ListParagraph"/>
        <w:keepNext/>
        <w:numPr>
          <w:ilvl w:val="0"/>
          <w:numId w:val="4"/>
        </w:numPr>
      </w:pPr>
      <w:r>
        <w:t>prejudice any actions taken or future actions of the agency or other agencies.</w:t>
      </w:r>
    </w:p>
    <w:p w14:paraId="44941A62" w14:textId="043E7AFF" w:rsidR="00586822" w:rsidRDefault="00071856" w:rsidP="00586822">
      <w:pPr>
        <w:pStyle w:val="Heading3"/>
      </w:pPr>
      <w:r>
        <w:t>5</w:t>
      </w:r>
      <w:r w:rsidR="00586822">
        <w:t>.5 Timeliness</w:t>
      </w:r>
    </w:p>
    <w:p w14:paraId="00C4F06E" w14:textId="6789C191" w:rsidR="00586822" w:rsidRPr="00841F65" w:rsidRDefault="00586822" w:rsidP="00586822">
      <w:r>
        <w:t xml:space="preserve">The Department will conduct all investigations as efficiently as possible to avoid costly delays and uncertainty. The Department focusses on the timeliness of progressing investigations following receipt of a complaint to ensure the enquiries are made as soon as reasonably practicable after </w:t>
      </w:r>
      <w:r w:rsidR="00841F65">
        <w:t>non-</w:t>
      </w:r>
      <w:r w:rsidR="00841F65" w:rsidRPr="00841F65">
        <w:t>compliance</w:t>
      </w:r>
      <w:r w:rsidRPr="00841F65">
        <w:t xml:space="preserve"> is identified.</w:t>
      </w:r>
    </w:p>
    <w:p w14:paraId="29A505CB" w14:textId="1E6DCD84" w:rsidR="004305B8" w:rsidRPr="00841F65" w:rsidRDefault="001219AE">
      <w:pPr>
        <w:pStyle w:val="Heading2"/>
        <w:numPr>
          <w:ilvl w:val="0"/>
          <w:numId w:val="1"/>
        </w:numPr>
      </w:pPr>
      <w:bookmarkStart w:id="7" w:name="_Toc86133270"/>
      <w:bookmarkStart w:id="8" w:name="_Toc86133446"/>
      <w:bookmarkStart w:id="9" w:name="_Toc86133512"/>
      <w:bookmarkStart w:id="10" w:name="_Toc86133610"/>
      <w:bookmarkStart w:id="11" w:name="_Toc86133271"/>
      <w:bookmarkStart w:id="12" w:name="_Toc86133447"/>
      <w:bookmarkStart w:id="13" w:name="_Toc86133513"/>
      <w:bookmarkStart w:id="14" w:name="_Toc86133611"/>
      <w:bookmarkStart w:id="15" w:name="_Toc86133272"/>
      <w:bookmarkStart w:id="16" w:name="_Toc86133448"/>
      <w:bookmarkStart w:id="17" w:name="_Toc86133514"/>
      <w:bookmarkStart w:id="18" w:name="_Toc86133612"/>
      <w:bookmarkStart w:id="19" w:name="_Toc86133273"/>
      <w:bookmarkStart w:id="20" w:name="_Toc86133449"/>
      <w:bookmarkStart w:id="21" w:name="_Toc86133515"/>
      <w:bookmarkStart w:id="22" w:name="_Toc86133613"/>
      <w:bookmarkStart w:id="23" w:name="_Toc86133274"/>
      <w:bookmarkStart w:id="24" w:name="_Toc86133450"/>
      <w:bookmarkStart w:id="25" w:name="_Toc86133516"/>
      <w:bookmarkStart w:id="26" w:name="_Toc86133614"/>
      <w:bookmarkStart w:id="27" w:name="_Principles_underlying_this"/>
      <w:bookmarkStart w:id="28" w:name="_Toc86133275"/>
      <w:bookmarkStart w:id="29" w:name="_Toc86133451"/>
      <w:bookmarkStart w:id="30" w:name="_Toc86133517"/>
      <w:bookmarkStart w:id="31" w:name="_Toc86133615"/>
      <w:bookmarkStart w:id="32" w:name="_Toc86133276"/>
      <w:bookmarkStart w:id="33" w:name="_Toc86133452"/>
      <w:bookmarkStart w:id="34" w:name="_Toc86133518"/>
      <w:bookmarkStart w:id="35" w:name="_Toc86133616"/>
      <w:bookmarkStart w:id="36" w:name="_Toc86133277"/>
      <w:bookmarkStart w:id="37" w:name="_Toc86133453"/>
      <w:bookmarkStart w:id="38" w:name="_Toc86133519"/>
      <w:bookmarkStart w:id="39" w:name="_Toc86133617"/>
      <w:bookmarkStart w:id="40" w:name="_Toc86133278"/>
      <w:bookmarkStart w:id="41" w:name="_Toc86133454"/>
      <w:bookmarkStart w:id="42" w:name="_Toc86133520"/>
      <w:bookmarkStart w:id="43" w:name="_Toc86133618"/>
      <w:bookmarkStart w:id="44" w:name="_Toc86133279"/>
      <w:bookmarkStart w:id="45" w:name="_Toc86133455"/>
      <w:bookmarkStart w:id="46" w:name="_Toc86133521"/>
      <w:bookmarkStart w:id="47" w:name="_Toc86133619"/>
      <w:bookmarkStart w:id="48" w:name="_Toc86133280"/>
      <w:bookmarkStart w:id="49" w:name="_Toc86133456"/>
      <w:bookmarkStart w:id="50" w:name="_Toc86133522"/>
      <w:bookmarkStart w:id="51" w:name="_Toc86133620"/>
      <w:bookmarkStart w:id="52" w:name="_Toc86133281"/>
      <w:bookmarkStart w:id="53" w:name="_Toc86133457"/>
      <w:bookmarkStart w:id="54" w:name="_Toc86133523"/>
      <w:bookmarkStart w:id="55" w:name="_Toc86133621"/>
      <w:bookmarkStart w:id="56" w:name="_Toc86133282"/>
      <w:bookmarkStart w:id="57" w:name="_Toc86133458"/>
      <w:bookmarkStart w:id="58" w:name="_Toc86133524"/>
      <w:bookmarkStart w:id="59" w:name="_Toc86133622"/>
      <w:bookmarkStart w:id="60" w:name="_Toc86133283"/>
      <w:bookmarkStart w:id="61" w:name="_Toc86133459"/>
      <w:bookmarkStart w:id="62" w:name="_Toc86133525"/>
      <w:bookmarkStart w:id="63" w:name="_Toc86133623"/>
      <w:bookmarkStart w:id="64" w:name="_Toc86133284"/>
      <w:bookmarkStart w:id="65" w:name="_Toc86133460"/>
      <w:bookmarkStart w:id="66" w:name="_Toc86133526"/>
      <w:bookmarkStart w:id="67" w:name="_Toc86133624"/>
      <w:bookmarkStart w:id="68" w:name="_Toc86133285"/>
      <w:bookmarkStart w:id="69" w:name="_Toc86133461"/>
      <w:bookmarkStart w:id="70" w:name="_Toc86133527"/>
      <w:bookmarkStart w:id="71" w:name="_Toc86133625"/>
      <w:bookmarkStart w:id="72" w:name="_Toc86133286"/>
      <w:bookmarkStart w:id="73" w:name="_Toc86133462"/>
      <w:bookmarkStart w:id="74" w:name="_Toc86133528"/>
      <w:bookmarkStart w:id="75" w:name="_Toc86133626"/>
      <w:bookmarkStart w:id="76" w:name="_Toc86133287"/>
      <w:bookmarkStart w:id="77" w:name="_Toc86133463"/>
      <w:bookmarkStart w:id="78" w:name="_Toc86133529"/>
      <w:bookmarkStart w:id="79" w:name="_Toc86133627"/>
      <w:bookmarkStart w:id="80" w:name="_Toc86133288"/>
      <w:bookmarkStart w:id="81" w:name="_Toc86133464"/>
      <w:bookmarkStart w:id="82" w:name="_Toc86133530"/>
      <w:bookmarkStart w:id="83" w:name="_Toc86133628"/>
      <w:bookmarkStart w:id="84" w:name="_Toc86133289"/>
      <w:bookmarkStart w:id="85" w:name="_Toc86133465"/>
      <w:bookmarkStart w:id="86" w:name="_Toc86133531"/>
      <w:bookmarkStart w:id="87" w:name="_Toc86133629"/>
      <w:bookmarkStart w:id="88" w:name="_Toc86133501"/>
      <w:bookmarkStart w:id="89" w:name="_Toc86133567"/>
      <w:bookmarkStart w:id="90" w:name="_Toc86133665"/>
      <w:bookmarkStart w:id="91" w:name="_Toc88486287"/>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841F65">
        <w:t xml:space="preserve">Assessment and Investigation of alleged </w:t>
      </w:r>
      <w:r w:rsidR="004305B8" w:rsidRPr="00841F65">
        <w:t>contraventions</w:t>
      </w:r>
      <w:bookmarkEnd w:id="91"/>
    </w:p>
    <w:p w14:paraId="32A841CA" w14:textId="63AEB95F" w:rsidR="00097E83" w:rsidRDefault="000640F2" w:rsidP="000640F2">
      <w:bookmarkStart w:id="92" w:name="_Objective_of_the"/>
      <w:bookmarkEnd w:id="92"/>
      <w:r w:rsidRPr="00841F65">
        <w:t xml:space="preserve">As the </w:t>
      </w:r>
      <w:r w:rsidR="00E50105" w:rsidRPr="00841F65">
        <w:t xml:space="preserve">agency responsible for the enforcement of the TPP Act and </w:t>
      </w:r>
      <w:r w:rsidR="00F3033C" w:rsidRPr="00841F65">
        <w:t xml:space="preserve">the </w:t>
      </w:r>
      <w:r w:rsidR="00E50105" w:rsidRPr="00841F65">
        <w:t xml:space="preserve">TAP Act, where an </w:t>
      </w:r>
      <w:r w:rsidR="00E50105" w:rsidRPr="00D31BBF">
        <w:t xml:space="preserve">alleged </w:t>
      </w:r>
      <w:r w:rsidR="00841F65" w:rsidRPr="00841F65">
        <w:t xml:space="preserve">non-compliance </w:t>
      </w:r>
      <w:r w:rsidR="00E50105" w:rsidRPr="00841F65">
        <w:t>may ha</w:t>
      </w:r>
      <w:r w:rsidR="00E50105">
        <w:t>ve occurred, the Department considers the appropriate course of action to achieve compliance</w:t>
      </w:r>
      <w:r w:rsidR="00F3033C">
        <w:t xml:space="preserve">, </w:t>
      </w:r>
      <w:r w:rsidR="00E50105">
        <w:t>and</w:t>
      </w:r>
      <w:r w:rsidR="00F27E7E">
        <w:t xml:space="preserve"> </w:t>
      </w:r>
      <w:r w:rsidR="00E50105">
        <w:t>where appropriate</w:t>
      </w:r>
      <w:r w:rsidR="00F3033C">
        <w:t xml:space="preserve">, </w:t>
      </w:r>
      <w:r w:rsidR="00B50F7E">
        <w:t xml:space="preserve">address </w:t>
      </w:r>
      <w:r w:rsidR="00E50105">
        <w:t>instances of non</w:t>
      </w:r>
      <w:r w:rsidR="00B47826">
        <w:noBreakHyphen/>
      </w:r>
      <w:r w:rsidR="00E50105">
        <w:t xml:space="preserve">compliance. </w:t>
      </w:r>
    </w:p>
    <w:p w14:paraId="58B4F087" w14:textId="3C950161" w:rsidR="00097E83" w:rsidRDefault="00097E83" w:rsidP="00097E83">
      <w:r>
        <w:t xml:space="preserve">The TAP Act and TPP Act contain monitoring and investigation powers to enable the Department to determine whether provisions of the </w:t>
      </w:r>
      <w:r>
        <w:rPr>
          <w:color w:val="000000"/>
        </w:rPr>
        <w:t>TAP Act and TPP Act</w:t>
      </w:r>
      <w:r w:rsidRPr="007E5965">
        <w:rPr>
          <w:color w:val="000000"/>
          <w:szCs w:val="24"/>
        </w:rPr>
        <w:t xml:space="preserve"> have been, or are being, complied with</w:t>
      </w:r>
      <w:r w:rsidR="00DA0089">
        <w:rPr>
          <w:color w:val="000000"/>
          <w:szCs w:val="24"/>
        </w:rPr>
        <w:t>,</w:t>
      </w:r>
      <w:r>
        <w:rPr>
          <w:color w:val="000000"/>
          <w:szCs w:val="24"/>
        </w:rPr>
        <w:t xml:space="preserve"> and </w:t>
      </w:r>
      <w:r w:rsidRPr="007E5965">
        <w:rPr>
          <w:color w:val="000000"/>
          <w:szCs w:val="24"/>
        </w:rPr>
        <w:t xml:space="preserve">whether information given in compliance, or purported compliance, with a provision of </w:t>
      </w:r>
      <w:r>
        <w:rPr>
          <w:color w:val="000000"/>
        </w:rPr>
        <w:t>those Acts</w:t>
      </w:r>
      <w:r w:rsidRPr="007E5965">
        <w:rPr>
          <w:color w:val="000000"/>
          <w:szCs w:val="24"/>
        </w:rPr>
        <w:t xml:space="preserve"> is correct</w:t>
      </w:r>
      <w:r>
        <w:rPr>
          <w:color w:val="000000"/>
          <w:szCs w:val="24"/>
        </w:rPr>
        <w:t>.</w:t>
      </w:r>
    </w:p>
    <w:p w14:paraId="4A5F75F1" w14:textId="47AB4BC6" w:rsidR="000640F2" w:rsidRDefault="000640F2" w:rsidP="000640F2">
      <w:r>
        <w:t>In assessing the seriousness of a</w:t>
      </w:r>
      <w:r w:rsidR="00E50105">
        <w:t>n alleged</w:t>
      </w:r>
      <w:r>
        <w:t xml:space="preserve"> contravention, the Department takes a risk-based approach to the breach’s effect on public health and the reputation of the broader regulatory scheme</w:t>
      </w:r>
      <w:r w:rsidR="00E50105">
        <w:t>.</w:t>
      </w:r>
    </w:p>
    <w:p w14:paraId="62106EFC" w14:textId="5E30BB60" w:rsidR="00E50105" w:rsidRDefault="00E50105" w:rsidP="000640F2">
      <w:r>
        <w:t>When making these assessments, these factors may include:</w:t>
      </w:r>
    </w:p>
    <w:p w14:paraId="6D0B21A8" w14:textId="0A2F9E53" w:rsidR="000640F2" w:rsidRDefault="000640F2" w:rsidP="000640F2">
      <w:pPr>
        <w:pStyle w:val="ListParagraph"/>
        <w:numPr>
          <w:ilvl w:val="0"/>
          <w:numId w:val="18"/>
        </w:numPr>
      </w:pPr>
      <w:r>
        <w:t xml:space="preserve">the extent and reason for the </w:t>
      </w:r>
      <w:r w:rsidRPr="00D31BBF">
        <w:t xml:space="preserve">alleged </w:t>
      </w:r>
      <w:proofErr w:type="gramStart"/>
      <w:r w:rsidRPr="00D31BBF">
        <w:t>non-compliance</w:t>
      </w:r>
      <w:r w:rsidRPr="00841F65">
        <w:t>;</w:t>
      </w:r>
      <w:proofErr w:type="gramEnd"/>
      <w:r>
        <w:t xml:space="preserve"> </w:t>
      </w:r>
    </w:p>
    <w:p w14:paraId="1599BEAF" w14:textId="50D564F4" w:rsidR="000640F2" w:rsidRDefault="000640F2" w:rsidP="000640F2">
      <w:pPr>
        <w:pStyle w:val="ListParagraph"/>
        <w:numPr>
          <w:ilvl w:val="0"/>
          <w:numId w:val="18"/>
        </w:numPr>
      </w:pPr>
      <w:r>
        <w:t xml:space="preserve">the efforts, if any, made to comply with the relevant </w:t>
      </w:r>
      <w:proofErr w:type="gramStart"/>
      <w:r>
        <w:t>legislation;</w:t>
      </w:r>
      <w:proofErr w:type="gramEnd"/>
      <w:r>
        <w:t xml:space="preserve"> </w:t>
      </w:r>
    </w:p>
    <w:p w14:paraId="7AFBB62C" w14:textId="4F89A542" w:rsidR="000640F2" w:rsidRDefault="000640F2" w:rsidP="000640F2">
      <w:pPr>
        <w:pStyle w:val="ListParagraph"/>
        <w:numPr>
          <w:ilvl w:val="0"/>
          <w:numId w:val="18"/>
        </w:numPr>
      </w:pPr>
      <w:r>
        <w:t xml:space="preserve">history of </w:t>
      </w:r>
      <w:proofErr w:type="gramStart"/>
      <w:r>
        <w:t>non-compliance;</w:t>
      </w:r>
      <w:proofErr w:type="gramEnd"/>
      <w:r>
        <w:t xml:space="preserve"> </w:t>
      </w:r>
    </w:p>
    <w:p w14:paraId="69086839" w14:textId="6E95C1D8" w:rsidR="000640F2" w:rsidRDefault="000640F2" w:rsidP="000640F2">
      <w:pPr>
        <w:pStyle w:val="ListParagraph"/>
        <w:numPr>
          <w:ilvl w:val="0"/>
          <w:numId w:val="18"/>
        </w:numPr>
      </w:pPr>
      <w:r>
        <w:t xml:space="preserve">previous provision of educational </w:t>
      </w:r>
      <w:proofErr w:type="gramStart"/>
      <w:r>
        <w:t>information;</w:t>
      </w:r>
      <w:proofErr w:type="gramEnd"/>
      <w:r>
        <w:t xml:space="preserve"> </w:t>
      </w:r>
    </w:p>
    <w:p w14:paraId="761B8543" w14:textId="6945B996" w:rsidR="000640F2" w:rsidRDefault="00B47826" w:rsidP="000640F2">
      <w:pPr>
        <w:pStyle w:val="ListParagraph"/>
        <w:numPr>
          <w:ilvl w:val="0"/>
          <w:numId w:val="18"/>
        </w:numPr>
      </w:pPr>
      <w:r>
        <w:t xml:space="preserve">the </w:t>
      </w:r>
      <w:r w:rsidR="000640F2">
        <w:t>likelihood of future non-compliance</w:t>
      </w:r>
      <w:r w:rsidR="00841F65">
        <w:t xml:space="preserve"> </w:t>
      </w:r>
      <w:proofErr w:type="gramStart"/>
      <w:r w:rsidR="00841F65">
        <w:t>occurring</w:t>
      </w:r>
      <w:r w:rsidR="000640F2">
        <w:t>;</w:t>
      </w:r>
      <w:proofErr w:type="gramEnd"/>
      <w:r w:rsidR="000640F2">
        <w:t xml:space="preserve"> </w:t>
      </w:r>
    </w:p>
    <w:p w14:paraId="476E024D" w14:textId="18372C34" w:rsidR="000640F2" w:rsidRDefault="000640F2" w:rsidP="000640F2">
      <w:pPr>
        <w:pStyle w:val="ListParagraph"/>
        <w:numPr>
          <w:ilvl w:val="0"/>
          <w:numId w:val="18"/>
        </w:numPr>
      </w:pPr>
      <w:r>
        <w:t xml:space="preserve">an apparent willingness to comply with the </w:t>
      </w:r>
      <w:r w:rsidR="00E50105">
        <w:t>relevant legislation</w:t>
      </w:r>
      <w:r>
        <w:t xml:space="preserve"> in the future; and</w:t>
      </w:r>
    </w:p>
    <w:p w14:paraId="2B0DAA85" w14:textId="1FAA1867" w:rsidR="000640F2" w:rsidRDefault="000640F2" w:rsidP="000640F2">
      <w:pPr>
        <w:pStyle w:val="ListParagraph"/>
        <w:numPr>
          <w:ilvl w:val="0"/>
          <w:numId w:val="18"/>
        </w:numPr>
      </w:pPr>
      <w:r>
        <w:t xml:space="preserve">any other matter </w:t>
      </w:r>
      <w:r w:rsidR="00E50105">
        <w:t>the Department</w:t>
      </w:r>
      <w:r>
        <w:t xml:space="preserve"> considers relevant.</w:t>
      </w:r>
    </w:p>
    <w:p w14:paraId="76ABEFD2" w14:textId="4B58D40B" w:rsidR="00654ED3" w:rsidRDefault="00D55B34" w:rsidP="00E50105">
      <w:r>
        <w:t xml:space="preserve">Where more serious action should be considered, </w:t>
      </w:r>
      <w:r w:rsidR="005F63D4">
        <w:t>Authorised Officers</w:t>
      </w:r>
      <w:r>
        <w:t xml:space="preserve"> will recommend </w:t>
      </w:r>
      <w:r w:rsidR="00F82106">
        <w:t>appropriate steps to a</w:t>
      </w:r>
      <w:r>
        <w:t xml:space="preserve"> decision maker</w:t>
      </w:r>
      <w:r w:rsidR="00F82106">
        <w:t xml:space="preserve"> (this may</w:t>
      </w:r>
      <w:r>
        <w:t xml:space="preserve"> includ</w:t>
      </w:r>
      <w:r w:rsidR="00F82106">
        <w:t>e</w:t>
      </w:r>
      <w:r>
        <w:t xml:space="preserve"> the delegate of the Secretary where required</w:t>
      </w:r>
      <w:r w:rsidR="00F82106">
        <w:t>)</w:t>
      </w:r>
      <w:r>
        <w:t xml:space="preserve">. </w:t>
      </w:r>
      <w:r w:rsidR="00654ED3">
        <w:t xml:space="preserve">Further information about Authorised Officers is provided under item 6.1.  </w:t>
      </w:r>
    </w:p>
    <w:p w14:paraId="5B76FD0F" w14:textId="6CFB1044" w:rsidR="00E50105" w:rsidRDefault="00D55B34" w:rsidP="00E50105">
      <w:r>
        <w:t xml:space="preserve">Where further education and communication is necessary to achieve compliance, a written warning may be issued. Alternately, where the </w:t>
      </w:r>
      <w:r w:rsidR="00E25ED6">
        <w:t>Department considers that sufficient education has been provided and the risk is low, matters may be closed.</w:t>
      </w:r>
    </w:p>
    <w:p w14:paraId="22AF8583" w14:textId="77777777" w:rsidR="00131C2C" w:rsidRDefault="00131C2C" w:rsidP="00131C2C">
      <w:pPr>
        <w:pStyle w:val="Heading3"/>
      </w:pPr>
      <w:r>
        <w:t>6.1 Appointment of Authorised Officers</w:t>
      </w:r>
    </w:p>
    <w:p w14:paraId="42A1B93F" w14:textId="1FEB27BD" w:rsidR="00131C2C" w:rsidRDefault="00131C2C" w:rsidP="00131C2C">
      <w:r>
        <w:t xml:space="preserve">The Secretary of the Department appoints Authorised Officers to conduct investigations under the relevant legislation. As required by the relevant legislation, Authorised Officers are </w:t>
      </w:r>
      <w:r>
        <w:lastRenderedPageBreak/>
        <w:t xml:space="preserve">required to have suitable qualifications, training, or experience to conduct investigations. Authorised Officers must also be engaged by one of the appropriate entities as specified in the relevant legislation. Authorised Officers utilise powers provided under the relevant legislation to monitor compliance and investigate allegations of potential non-compliance that may be occurring. </w:t>
      </w:r>
    </w:p>
    <w:p w14:paraId="514C8ABD" w14:textId="1B604F1C" w:rsidR="00131C2C" w:rsidRDefault="00131C2C" w:rsidP="00131C2C">
      <w:r>
        <w:t>Authorised Officers must report the findings of investigations to the Department with a recommendation on what next steps should be taken. The Department will consider the information and recommendation provided by Authorised Officers but will remain the ultimate decision maker on the appropriate next steps and outcomes in the investigation of a matter.</w:t>
      </w:r>
    </w:p>
    <w:p w14:paraId="567AB959" w14:textId="7464F49F" w:rsidR="00A418E3" w:rsidRDefault="00A418E3" w:rsidP="007C102B">
      <w:pPr>
        <w:pStyle w:val="Heading2"/>
        <w:numPr>
          <w:ilvl w:val="0"/>
          <w:numId w:val="1"/>
        </w:numPr>
      </w:pPr>
      <w:bookmarkStart w:id="93" w:name="_Toc88486288"/>
      <w:r>
        <w:t>Compliance and Enforcement Action</w:t>
      </w:r>
      <w:bookmarkEnd w:id="93"/>
    </w:p>
    <w:p w14:paraId="040A07EF" w14:textId="77777777" w:rsidR="00A418E3" w:rsidRDefault="00A418E3" w:rsidP="00A418E3">
      <w:r>
        <w:t xml:space="preserve">The following table provides an indicative high-level matrix of the Department’s compliance approach based on the perceived attitude to compliance by an entity. </w:t>
      </w:r>
    </w:p>
    <w:p w14:paraId="48537982" w14:textId="1B4DA846" w:rsidR="008F4A31" w:rsidRPr="007C102B" w:rsidRDefault="008F4A31" w:rsidP="00461000">
      <w:pPr>
        <w:rPr>
          <w:b/>
          <w:bCs/>
          <w:i/>
          <w:iCs/>
        </w:rPr>
      </w:pPr>
      <w:r w:rsidRPr="007C102B">
        <w:rPr>
          <w:b/>
          <w:bCs/>
          <w:i/>
          <w:iCs/>
        </w:rPr>
        <w:t>Table 1 - Compliance and Enforcement Matrix</w:t>
      </w: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4707"/>
        <w:gridCol w:w="4145"/>
      </w:tblGrid>
      <w:tr w:rsidR="00461000" w14:paraId="7FEC6DFE" w14:textId="77777777" w:rsidTr="00131C2C">
        <w:trPr>
          <w:trHeight w:val="644"/>
        </w:trPr>
        <w:tc>
          <w:tcPr>
            <w:tcW w:w="1100" w:type="dxa"/>
            <w:shd w:val="clear" w:color="auto" w:fill="auto"/>
          </w:tcPr>
          <w:p w14:paraId="1B185D44" w14:textId="77777777" w:rsidR="00461000" w:rsidRPr="00C3455A" w:rsidRDefault="00461000" w:rsidP="00131C2C">
            <w:pPr>
              <w:rPr>
                <w:b/>
              </w:rPr>
            </w:pPr>
          </w:p>
        </w:tc>
        <w:tc>
          <w:tcPr>
            <w:tcW w:w="4707" w:type="dxa"/>
            <w:shd w:val="clear" w:color="auto" w:fill="auto"/>
          </w:tcPr>
          <w:p w14:paraId="10BEB6C6" w14:textId="77777777" w:rsidR="00461000" w:rsidRPr="00C3455A" w:rsidRDefault="00461000" w:rsidP="00131C2C">
            <w:pPr>
              <w:rPr>
                <w:b/>
              </w:rPr>
            </w:pPr>
            <w:r>
              <w:rPr>
                <w:b/>
              </w:rPr>
              <w:t>Perceived</w:t>
            </w:r>
            <w:r w:rsidRPr="00C3455A">
              <w:rPr>
                <w:b/>
              </w:rPr>
              <w:t xml:space="preserve"> Attitude to Compliance</w:t>
            </w:r>
            <w:r>
              <w:rPr>
                <w:b/>
              </w:rPr>
              <w:t xml:space="preserve"> by Entity</w:t>
            </w:r>
          </w:p>
        </w:tc>
        <w:tc>
          <w:tcPr>
            <w:tcW w:w="4145" w:type="dxa"/>
            <w:shd w:val="clear" w:color="auto" w:fill="auto"/>
          </w:tcPr>
          <w:p w14:paraId="7F767ED3" w14:textId="77777777" w:rsidR="00461000" w:rsidRPr="00C3455A" w:rsidRDefault="00461000" w:rsidP="00131C2C">
            <w:pPr>
              <w:jc w:val="center"/>
              <w:rPr>
                <w:b/>
              </w:rPr>
            </w:pPr>
            <w:r>
              <w:rPr>
                <w:b/>
              </w:rPr>
              <w:t xml:space="preserve">Department’s </w:t>
            </w:r>
            <w:r w:rsidRPr="00C3455A">
              <w:rPr>
                <w:b/>
              </w:rPr>
              <w:t>Compliance Approach</w:t>
            </w:r>
          </w:p>
        </w:tc>
      </w:tr>
      <w:tr w:rsidR="00461000" w14:paraId="30C05E31" w14:textId="77777777" w:rsidTr="00131C2C">
        <w:trPr>
          <w:trHeight w:val="517"/>
        </w:trPr>
        <w:tc>
          <w:tcPr>
            <w:tcW w:w="1100" w:type="dxa"/>
            <w:shd w:val="clear" w:color="auto" w:fill="auto"/>
          </w:tcPr>
          <w:p w14:paraId="2C44A787" w14:textId="77777777" w:rsidR="00461000" w:rsidRDefault="00461000" w:rsidP="00131C2C">
            <w:pPr>
              <w:rPr>
                <w:b/>
              </w:rPr>
            </w:pPr>
            <w:r w:rsidRPr="00C3455A">
              <w:rPr>
                <w:b/>
              </w:rPr>
              <w:t>Tier 1</w:t>
            </w:r>
          </w:p>
          <w:p w14:paraId="60DBC26E" w14:textId="77777777" w:rsidR="00461000" w:rsidRPr="00C3455A" w:rsidRDefault="00461000" w:rsidP="00131C2C">
            <w:pPr>
              <w:rPr>
                <w:b/>
              </w:rPr>
            </w:pPr>
            <w:r>
              <w:rPr>
                <w:b/>
              </w:rPr>
              <w:t>High Risk</w:t>
            </w:r>
          </w:p>
        </w:tc>
        <w:tc>
          <w:tcPr>
            <w:tcW w:w="4707" w:type="dxa"/>
            <w:shd w:val="clear" w:color="auto" w:fill="auto"/>
          </w:tcPr>
          <w:p w14:paraId="69BECE60" w14:textId="77777777" w:rsidR="00461000" w:rsidRPr="008D794C" w:rsidRDefault="00461000" w:rsidP="00131C2C">
            <w:pPr>
              <w:spacing w:after="0"/>
            </w:pPr>
            <w:r>
              <w:rPr>
                <w:b/>
                <w:bCs/>
              </w:rPr>
              <w:t>Perceived d</w:t>
            </w:r>
            <w:r w:rsidRPr="00C3455A">
              <w:rPr>
                <w:b/>
                <w:bCs/>
              </w:rPr>
              <w:t xml:space="preserve">ecision </w:t>
            </w:r>
            <w:r>
              <w:rPr>
                <w:b/>
                <w:bCs/>
              </w:rPr>
              <w:t xml:space="preserve">to </w:t>
            </w:r>
            <w:r w:rsidRPr="00C3455A">
              <w:rPr>
                <w:b/>
                <w:bCs/>
              </w:rPr>
              <w:t>not comply</w:t>
            </w:r>
          </w:p>
          <w:p w14:paraId="58001F9A" w14:textId="77777777" w:rsidR="00461000" w:rsidRPr="008D794C" w:rsidRDefault="00461000" w:rsidP="00131C2C">
            <w:pPr>
              <w:numPr>
                <w:ilvl w:val="0"/>
                <w:numId w:val="19"/>
              </w:numPr>
              <w:tabs>
                <w:tab w:val="clear" w:pos="720"/>
                <w:tab w:val="num" w:pos="317"/>
              </w:tabs>
              <w:spacing w:after="0"/>
              <w:ind w:left="317" w:hanging="317"/>
            </w:pPr>
            <w:r w:rsidRPr="008D794C">
              <w:t>Ambivalence to legislation</w:t>
            </w:r>
          </w:p>
          <w:p w14:paraId="17C931E9" w14:textId="42A4994A" w:rsidR="00461000" w:rsidRDefault="00461000" w:rsidP="00131C2C">
            <w:pPr>
              <w:numPr>
                <w:ilvl w:val="0"/>
                <w:numId w:val="19"/>
              </w:numPr>
              <w:tabs>
                <w:tab w:val="clear" w:pos="720"/>
                <w:tab w:val="num" w:pos="317"/>
              </w:tabs>
              <w:spacing w:after="0"/>
              <w:ind w:left="317" w:hanging="317"/>
            </w:pPr>
            <w:r w:rsidRPr="008D794C">
              <w:t xml:space="preserve">Aware of requirements, but </w:t>
            </w:r>
            <w:r w:rsidR="00B50F7E">
              <w:t xml:space="preserve">unwilling to </w:t>
            </w:r>
            <w:r w:rsidRPr="008D794C">
              <w:t>change non</w:t>
            </w:r>
            <w:r>
              <w:noBreakHyphen/>
            </w:r>
            <w:r w:rsidRPr="008D794C">
              <w:t>compliant behaviour</w:t>
            </w:r>
          </w:p>
        </w:tc>
        <w:tc>
          <w:tcPr>
            <w:tcW w:w="4145" w:type="dxa"/>
            <w:shd w:val="clear" w:color="auto" w:fill="auto"/>
          </w:tcPr>
          <w:p w14:paraId="1C8C7EC1" w14:textId="77777777" w:rsidR="00461000" w:rsidRPr="009109D5" w:rsidRDefault="00461000" w:rsidP="00131C2C">
            <w:pPr>
              <w:spacing w:after="0"/>
              <w:rPr>
                <w:b/>
                <w:bCs/>
              </w:rPr>
            </w:pPr>
            <w:r w:rsidRPr="009109D5">
              <w:rPr>
                <w:b/>
                <w:bCs/>
              </w:rPr>
              <w:t>Enforcement Options</w:t>
            </w:r>
          </w:p>
          <w:p w14:paraId="54E7740D" w14:textId="77777777" w:rsidR="00461000" w:rsidRPr="009109D5" w:rsidRDefault="00461000" w:rsidP="00131C2C">
            <w:pPr>
              <w:numPr>
                <w:ilvl w:val="0"/>
                <w:numId w:val="19"/>
              </w:numPr>
              <w:tabs>
                <w:tab w:val="clear" w:pos="720"/>
                <w:tab w:val="num" w:pos="317"/>
              </w:tabs>
              <w:spacing w:after="0"/>
              <w:ind w:left="317" w:hanging="317"/>
            </w:pPr>
            <w:r w:rsidRPr="009109D5">
              <w:t>Civil Prosecution</w:t>
            </w:r>
          </w:p>
          <w:p w14:paraId="4E5BEA91" w14:textId="77777777" w:rsidR="00461000" w:rsidRPr="009109D5" w:rsidRDefault="00461000" w:rsidP="00131C2C">
            <w:pPr>
              <w:numPr>
                <w:ilvl w:val="0"/>
                <w:numId w:val="19"/>
              </w:numPr>
              <w:tabs>
                <w:tab w:val="clear" w:pos="720"/>
                <w:tab w:val="num" w:pos="317"/>
              </w:tabs>
              <w:spacing w:after="0"/>
              <w:ind w:left="317" w:hanging="317"/>
            </w:pPr>
            <w:r w:rsidRPr="009109D5">
              <w:t>Criminal Prosecution</w:t>
            </w:r>
          </w:p>
          <w:p w14:paraId="3742A055" w14:textId="77777777" w:rsidR="00461000" w:rsidRPr="009109D5" w:rsidRDefault="00461000" w:rsidP="00131C2C">
            <w:pPr>
              <w:numPr>
                <w:ilvl w:val="0"/>
                <w:numId w:val="19"/>
              </w:numPr>
              <w:tabs>
                <w:tab w:val="clear" w:pos="720"/>
                <w:tab w:val="num" w:pos="317"/>
              </w:tabs>
              <w:spacing w:after="0"/>
              <w:ind w:left="317" w:hanging="317"/>
            </w:pPr>
            <w:r w:rsidRPr="009109D5">
              <w:t>Infringement Notice</w:t>
            </w:r>
          </w:p>
          <w:p w14:paraId="120DA6B0" w14:textId="77777777" w:rsidR="00461000" w:rsidRPr="009109D5" w:rsidRDefault="00461000" w:rsidP="00131C2C">
            <w:pPr>
              <w:numPr>
                <w:ilvl w:val="0"/>
                <w:numId w:val="19"/>
              </w:numPr>
              <w:tabs>
                <w:tab w:val="clear" w:pos="720"/>
                <w:tab w:val="num" w:pos="317"/>
              </w:tabs>
              <w:spacing w:after="0"/>
              <w:ind w:left="317" w:hanging="317"/>
            </w:pPr>
            <w:r w:rsidRPr="009109D5">
              <w:t>Injunction</w:t>
            </w:r>
          </w:p>
        </w:tc>
      </w:tr>
      <w:tr w:rsidR="00461000" w14:paraId="2AE9BD08" w14:textId="77777777" w:rsidTr="00131C2C">
        <w:trPr>
          <w:trHeight w:val="517"/>
        </w:trPr>
        <w:tc>
          <w:tcPr>
            <w:tcW w:w="1100" w:type="dxa"/>
            <w:shd w:val="clear" w:color="auto" w:fill="auto"/>
          </w:tcPr>
          <w:p w14:paraId="5EEA56BD" w14:textId="77777777" w:rsidR="00461000" w:rsidRDefault="00461000" w:rsidP="00131C2C">
            <w:pPr>
              <w:rPr>
                <w:b/>
              </w:rPr>
            </w:pPr>
            <w:r w:rsidRPr="00C3455A">
              <w:rPr>
                <w:b/>
              </w:rPr>
              <w:t>Tier 2</w:t>
            </w:r>
          </w:p>
          <w:p w14:paraId="5F0E81CD" w14:textId="77777777" w:rsidR="00461000" w:rsidRPr="00C3455A" w:rsidRDefault="00461000" w:rsidP="00131C2C">
            <w:pPr>
              <w:rPr>
                <w:b/>
              </w:rPr>
            </w:pPr>
            <w:r>
              <w:rPr>
                <w:b/>
              </w:rPr>
              <w:t>Medium Risk</w:t>
            </w:r>
          </w:p>
        </w:tc>
        <w:tc>
          <w:tcPr>
            <w:tcW w:w="4707" w:type="dxa"/>
            <w:shd w:val="clear" w:color="auto" w:fill="auto"/>
          </w:tcPr>
          <w:p w14:paraId="4A9679F4" w14:textId="77777777" w:rsidR="00461000" w:rsidRPr="00C3455A" w:rsidRDefault="00461000" w:rsidP="00131C2C">
            <w:pPr>
              <w:spacing w:after="0"/>
              <w:rPr>
                <w:b/>
                <w:bCs/>
              </w:rPr>
            </w:pPr>
            <w:r w:rsidRPr="00C3455A">
              <w:rPr>
                <w:b/>
                <w:bCs/>
              </w:rPr>
              <w:t>Reluctant but willing to comply</w:t>
            </w:r>
          </w:p>
          <w:p w14:paraId="09D14F60" w14:textId="0246BDE1" w:rsidR="00461000" w:rsidRPr="008D794C" w:rsidRDefault="00B50F7E" w:rsidP="00131C2C">
            <w:pPr>
              <w:numPr>
                <w:ilvl w:val="0"/>
                <w:numId w:val="19"/>
              </w:numPr>
              <w:tabs>
                <w:tab w:val="clear" w:pos="720"/>
                <w:tab w:val="num" w:pos="317"/>
              </w:tabs>
              <w:spacing w:after="0"/>
              <w:ind w:left="317" w:hanging="317"/>
            </w:pPr>
            <w:r>
              <w:t>Superficial a</w:t>
            </w:r>
            <w:r w:rsidRPr="008D794C">
              <w:t xml:space="preserve">pproach </w:t>
            </w:r>
            <w:r w:rsidR="00461000" w:rsidRPr="008D794C">
              <w:t xml:space="preserve">to compliance </w:t>
            </w:r>
            <w:r>
              <w:t>with</w:t>
            </w:r>
            <w:r w:rsidRPr="008D794C">
              <w:t xml:space="preserve"> </w:t>
            </w:r>
            <w:r w:rsidR="00461000" w:rsidRPr="008D794C">
              <w:t>the legislation</w:t>
            </w:r>
          </w:p>
          <w:p w14:paraId="3DDEBF29" w14:textId="77777777" w:rsidR="00461000" w:rsidRDefault="00461000" w:rsidP="00131C2C">
            <w:pPr>
              <w:numPr>
                <w:ilvl w:val="0"/>
                <w:numId w:val="19"/>
              </w:numPr>
              <w:tabs>
                <w:tab w:val="clear" w:pos="720"/>
                <w:tab w:val="num" w:pos="317"/>
              </w:tabs>
              <w:spacing w:after="0"/>
              <w:ind w:left="317" w:hanging="317"/>
            </w:pPr>
            <w:r w:rsidRPr="008D794C">
              <w:t>Long term interests in industry - necessary to achieve compliance</w:t>
            </w:r>
          </w:p>
        </w:tc>
        <w:tc>
          <w:tcPr>
            <w:tcW w:w="4145" w:type="dxa"/>
            <w:shd w:val="clear" w:color="auto" w:fill="auto"/>
          </w:tcPr>
          <w:p w14:paraId="255864F5" w14:textId="77777777" w:rsidR="00461000" w:rsidRPr="009109D5" w:rsidRDefault="00461000" w:rsidP="00131C2C">
            <w:pPr>
              <w:spacing w:after="0"/>
              <w:rPr>
                <w:b/>
                <w:bCs/>
              </w:rPr>
            </w:pPr>
            <w:r w:rsidRPr="009109D5">
              <w:rPr>
                <w:b/>
                <w:bCs/>
              </w:rPr>
              <w:t>Return to Compliance &amp; Deter</w:t>
            </w:r>
          </w:p>
          <w:p w14:paraId="4B25D568" w14:textId="77777777" w:rsidR="00461000" w:rsidRPr="009109D5" w:rsidRDefault="00461000" w:rsidP="00131C2C">
            <w:pPr>
              <w:numPr>
                <w:ilvl w:val="0"/>
                <w:numId w:val="19"/>
              </w:numPr>
              <w:tabs>
                <w:tab w:val="clear" w:pos="720"/>
                <w:tab w:val="num" w:pos="317"/>
              </w:tabs>
              <w:spacing w:after="0"/>
              <w:ind w:left="317" w:hanging="317"/>
            </w:pPr>
            <w:r w:rsidRPr="009109D5">
              <w:t xml:space="preserve">Warning </w:t>
            </w:r>
            <w:r>
              <w:t>L</w:t>
            </w:r>
            <w:r w:rsidRPr="009109D5">
              <w:t>etter</w:t>
            </w:r>
          </w:p>
          <w:p w14:paraId="0578DEC9" w14:textId="77777777" w:rsidR="00461000" w:rsidRPr="009109D5" w:rsidRDefault="00461000" w:rsidP="00131C2C">
            <w:pPr>
              <w:numPr>
                <w:ilvl w:val="0"/>
                <w:numId w:val="19"/>
              </w:numPr>
              <w:tabs>
                <w:tab w:val="clear" w:pos="720"/>
                <w:tab w:val="num" w:pos="317"/>
              </w:tabs>
              <w:spacing w:after="0"/>
              <w:ind w:left="317" w:hanging="317"/>
            </w:pPr>
            <w:r w:rsidRPr="009109D5">
              <w:t>Infringement Notice</w:t>
            </w:r>
          </w:p>
          <w:p w14:paraId="09077CFF" w14:textId="77777777" w:rsidR="00461000" w:rsidRPr="009109D5" w:rsidRDefault="00461000" w:rsidP="00131C2C">
            <w:pPr>
              <w:numPr>
                <w:ilvl w:val="0"/>
                <w:numId w:val="19"/>
              </w:numPr>
              <w:tabs>
                <w:tab w:val="clear" w:pos="720"/>
                <w:tab w:val="num" w:pos="317"/>
              </w:tabs>
              <w:spacing w:after="0"/>
              <w:ind w:left="317" w:hanging="317"/>
            </w:pPr>
            <w:r w:rsidRPr="009109D5">
              <w:t>Negotiated Compliance</w:t>
            </w:r>
          </w:p>
          <w:p w14:paraId="7F52EA0C" w14:textId="77777777" w:rsidR="00461000" w:rsidRPr="009109D5" w:rsidRDefault="00461000" w:rsidP="00131C2C">
            <w:pPr>
              <w:numPr>
                <w:ilvl w:val="0"/>
                <w:numId w:val="19"/>
              </w:numPr>
              <w:tabs>
                <w:tab w:val="clear" w:pos="720"/>
                <w:tab w:val="num" w:pos="317"/>
              </w:tabs>
              <w:spacing w:after="0"/>
              <w:ind w:left="317" w:hanging="317"/>
            </w:pPr>
            <w:r w:rsidRPr="009109D5">
              <w:t>Enforceable Undertakings</w:t>
            </w:r>
          </w:p>
        </w:tc>
      </w:tr>
      <w:tr w:rsidR="00461000" w14:paraId="4A082503" w14:textId="77777777" w:rsidTr="00131C2C">
        <w:trPr>
          <w:trHeight w:val="518"/>
        </w:trPr>
        <w:tc>
          <w:tcPr>
            <w:tcW w:w="1100" w:type="dxa"/>
            <w:shd w:val="clear" w:color="auto" w:fill="auto"/>
          </w:tcPr>
          <w:p w14:paraId="64059A52" w14:textId="77777777" w:rsidR="00461000" w:rsidRDefault="00461000" w:rsidP="00131C2C">
            <w:pPr>
              <w:rPr>
                <w:b/>
              </w:rPr>
            </w:pPr>
            <w:r w:rsidRPr="00C3455A">
              <w:rPr>
                <w:b/>
              </w:rPr>
              <w:t>Tier 3</w:t>
            </w:r>
          </w:p>
          <w:p w14:paraId="45FE2164" w14:textId="77777777" w:rsidR="00461000" w:rsidRPr="00C3455A" w:rsidRDefault="00461000" w:rsidP="00131C2C">
            <w:pPr>
              <w:rPr>
                <w:b/>
              </w:rPr>
            </w:pPr>
            <w:r>
              <w:rPr>
                <w:b/>
              </w:rPr>
              <w:t>Low Risk</w:t>
            </w:r>
          </w:p>
        </w:tc>
        <w:tc>
          <w:tcPr>
            <w:tcW w:w="4707" w:type="dxa"/>
            <w:shd w:val="clear" w:color="auto" w:fill="auto"/>
          </w:tcPr>
          <w:p w14:paraId="4153DEDB" w14:textId="77777777" w:rsidR="00461000" w:rsidRPr="00C3455A" w:rsidRDefault="00461000" w:rsidP="00131C2C">
            <w:pPr>
              <w:spacing w:after="0"/>
              <w:rPr>
                <w:b/>
                <w:bCs/>
              </w:rPr>
            </w:pPr>
            <w:r w:rsidRPr="00C3455A">
              <w:rPr>
                <w:b/>
                <w:bCs/>
              </w:rPr>
              <w:t>Willing to be compliant</w:t>
            </w:r>
          </w:p>
          <w:p w14:paraId="4999561E" w14:textId="77777777" w:rsidR="00461000" w:rsidRPr="008D794C" w:rsidRDefault="00461000" w:rsidP="00131C2C">
            <w:pPr>
              <w:numPr>
                <w:ilvl w:val="0"/>
                <w:numId w:val="19"/>
              </w:numPr>
              <w:tabs>
                <w:tab w:val="clear" w:pos="720"/>
                <w:tab w:val="num" w:pos="317"/>
              </w:tabs>
              <w:spacing w:after="0"/>
              <w:ind w:left="317" w:hanging="317"/>
            </w:pPr>
            <w:r w:rsidRPr="008D794C">
              <w:t>Unaware of legislation</w:t>
            </w:r>
          </w:p>
          <w:p w14:paraId="1A899F95" w14:textId="77777777" w:rsidR="00461000" w:rsidRDefault="00461000" w:rsidP="00131C2C">
            <w:pPr>
              <w:numPr>
                <w:ilvl w:val="0"/>
                <w:numId w:val="19"/>
              </w:numPr>
              <w:tabs>
                <w:tab w:val="clear" w:pos="720"/>
                <w:tab w:val="num" w:pos="317"/>
              </w:tabs>
              <w:spacing w:after="0"/>
              <w:ind w:left="317" w:hanging="317"/>
            </w:pPr>
            <w:r w:rsidRPr="008D794C">
              <w:t>Belief that compliant, but non</w:t>
            </w:r>
            <w:r>
              <w:noBreakHyphen/>
            </w:r>
            <w:r w:rsidRPr="008D794C">
              <w:t>compliance detected</w:t>
            </w:r>
          </w:p>
        </w:tc>
        <w:tc>
          <w:tcPr>
            <w:tcW w:w="4145" w:type="dxa"/>
            <w:shd w:val="clear" w:color="auto" w:fill="auto"/>
          </w:tcPr>
          <w:p w14:paraId="2CBBD313" w14:textId="77777777" w:rsidR="00461000" w:rsidRPr="00C3455A" w:rsidRDefault="00461000" w:rsidP="00131C2C">
            <w:pPr>
              <w:spacing w:after="0"/>
              <w:rPr>
                <w:b/>
                <w:bCs/>
              </w:rPr>
            </w:pPr>
            <w:r w:rsidRPr="00C3455A">
              <w:rPr>
                <w:b/>
                <w:bCs/>
              </w:rPr>
              <w:t>Compliance Options</w:t>
            </w:r>
          </w:p>
          <w:p w14:paraId="3C9D3F5E" w14:textId="77777777" w:rsidR="00461000" w:rsidRPr="008D794C" w:rsidRDefault="00461000" w:rsidP="00131C2C">
            <w:pPr>
              <w:numPr>
                <w:ilvl w:val="0"/>
                <w:numId w:val="19"/>
              </w:numPr>
              <w:tabs>
                <w:tab w:val="clear" w:pos="720"/>
                <w:tab w:val="num" w:pos="317"/>
              </w:tabs>
              <w:spacing w:after="0"/>
              <w:ind w:left="317" w:hanging="317"/>
            </w:pPr>
            <w:r w:rsidRPr="008D794C">
              <w:t>Education</w:t>
            </w:r>
          </w:p>
          <w:p w14:paraId="7794CD37" w14:textId="77777777" w:rsidR="00461000" w:rsidRPr="008D794C" w:rsidRDefault="00461000" w:rsidP="00131C2C">
            <w:pPr>
              <w:numPr>
                <w:ilvl w:val="0"/>
                <w:numId w:val="19"/>
              </w:numPr>
              <w:tabs>
                <w:tab w:val="clear" w:pos="720"/>
                <w:tab w:val="num" w:pos="317"/>
              </w:tabs>
              <w:spacing w:after="0"/>
              <w:ind w:left="317" w:hanging="317"/>
            </w:pPr>
            <w:r w:rsidRPr="008D794C">
              <w:t>Warning Letter</w:t>
            </w:r>
          </w:p>
          <w:p w14:paraId="2291AF8B" w14:textId="77777777" w:rsidR="00461000" w:rsidRPr="008D794C" w:rsidRDefault="00461000" w:rsidP="00131C2C">
            <w:pPr>
              <w:numPr>
                <w:ilvl w:val="0"/>
                <w:numId w:val="19"/>
              </w:numPr>
              <w:tabs>
                <w:tab w:val="clear" w:pos="720"/>
                <w:tab w:val="num" w:pos="317"/>
              </w:tabs>
              <w:spacing w:after="0"/>
              <w:ind w:left="317" w:hanging="317"/>
            </w:pPr>
            <w:r w:rsidRPr="008D794C">
              <w:t>Negotiated Compliance</w:t>
            </w:r>
          </w:p>
        </w:tc>
      </w:tr>
    </w:tbl>
    <w:p w14:paraId="3580C2CD" w14:textId="77777777" w:rsidR="00461000" w:rsidRDefault="00461000" w:rsidP="00461000"/>
    <w:p w14:paraId="69E4914C" w14:textId="105E1C63" w:rsidR="00414155" w:rsidRDefault="00A418E3" w:rsidP="002E1399">
      <w:pPr>
        <w:pStyle w:val="Heading3"/>
      </w:pPr>
      <w:r>
        <w:t>7</w:t>
      </w:r>
      <w:r w:rsidR="0044717D">
        <w:t xml:space="preserve">.2 </w:t>
      </w:r>
      <w:r w:rsidR="00131C2C">
        <w:t xml:space="preserve">Compliance and </w:t>
      </w:r>
      <w:r w:rsidR="00414155">
        <w:t>Enforcement</w:t>
      </w:r>
      <w:r w:rsidR="00131C2C">
        <w:t xml:space="preserve"> Actions</w:t>
      </w:r>
      <w:r w:rsidR="00AD550F">
        <w:t xml:space="preserve"> (Low to Medium</w:t>
      </w:r>
      <w:r w:rsidR="00E00E95">
        <w:t xml:space="preserve"> Risk</w:t>
      </w:r>
      <w:r w:rsidR="00AD550F">
        <w:t>)</w:t>
      </w:r>
    </w:p>
    <w:p w14:paraId="565F63C5" w14:textId="11A43CFC" w:rsidR="00414155" w:rsidRDefault="00414155" w:rsidP="00414155">
      <w:r>
        <w:t xml:space="preserve">Where there is a low to </w:t>
      </w:r>
      <w:r w:rsidR="00B47826">
        <w:t xml:space="preserve">medium </w:t>
      </w:r>
      <w:r>
        <w:t>level of non-compliance by a manufacturer</w:t>
      </w:r>
      <w:r w:rsidR="004A02C1">
        <w:t>,</w:t>
      </w:r>
      <w:r>
        <w:t xml:space="preserve"> </w:t>
      </w:r>
      <w:proofErr w:type="gramStart"/>
      <w:r>
        <w:t>supplier</w:t>
      </w:r>
      <w:proofErr w:type="gramEnd"/>
      <w:r w:rsidR="004A02C1">
        <w:t xml:space="preserve"> or any other entity with an interest in</w:t>
      </w:r>
      <w:r>
        <w:t xml:space="preserve"> tobacco products, </w:t>
      </w:r>
      <w:r w:rsidR="00967284">
        <w:t xml:space="preserve">proportionate </w:t>
      </w:r>
      <w:r>
        <w:t xml:space="preserve">enforcement </w:t>
      </w:r>
      <w:r w:rsidR="00967284">
        <w:t xml:space="preserve">actions </w:t>
      </w:r>
      <w:r>
        <w:t xml:space="preserve">will be </w:t>
      </w:r>
      <w:r w:rsidR="00967284">
        <w:t>taken</w:t>
      </w:r>
      <w:r>
        <w:t xml:space="preserve"> to achieve </w:t>
      </w:r>
      <w:r w:rsidR="00967284">
        <w:t>the Department’s</w:t>
      </w:r>
      <w:r>
        <w:t xml:space="preserve"> compliance and enforcement objectives. </w:t>
      </w:r>
    </w:p>
    <w:p w14:paraId="248351E9" w14:textId="2F5EDA5E" w:rsidR="00414155" w:rsidRPr="001876B7" w:rsidRDefault="00414155" w:rsidP="00414155">
      <w:r>
        <w:t xml:space="preserve">The </w:t>
      </w:r>
      <w:r w:rsidRPr="001876B7">
        <w:t xml:space="preserve">Department is more likely to </w:t>
      </w:r>
      <w:r w:rsidR="00AD550F">
        <w:t xml:space="preserve">start with </w:t>
      </w:r>
      <w:r w:rsidR="004A02C1">
        <w:t>a</w:t>
      </w:r>
      <w:r w:rsidR="001876B7" w:rsidRPr="001876B7">
        <w:t xml:space="preserve">dministrative </w:t>
      </w:r>
      <w:r w:rsidR="00AD550F">
        <w:t xml:space="preserve">and low-level enforcement actions </w:t>
      </w:r>
      <w:r w:rsidRPr="001876B7">
        <w:t xml:space="preserve">in circumstances where: </w:t>
      </w:r>
    </w:p>
    <w:p w14:paraId="5CEA2D36" w14:textId="75E9501F" w:rsidR="00414155" w:rsidRPr="001876B7" w:rsidRDefault="00414155" w:rsidP="00414155">
      <w:pPr>
        <w:pStyle w:val="ListParagraph"/>
        <w:numPr>
          <w:ilvl w:val="0"/>
          <w:numId w:val="21"/>
        </w:numPr>
      </w:pPr>
      <w:r w:rsidRPr="001876B7">
        <w:t xml:space="preserve">the conduct is </w:t>
      </w:r>
      <w:r w:rsidR="001876B7" w:rsidRPr="001876B7">
        <w:t xml:space="preserve">considered lower </w:t>
      </w:r>
      <w:proofErr w:type="gramStart"/>
      <w:r w:rsidR="001876B7" w:rsidRPr="001876B7">
        <w:t>risk;</w:t>
      </w:r>
      <w:proofErr w:type="gramEnd"/>
    </w:p>
    <w:p w14:paraId="1ED55B18" w14:textId="2C080A9B" w:rsidR="00414155" w:rsidRPr="001876B7" w:rsidRDefault="00414155" w:rsidP="00414155">
      <w:pPr>
        <w:pStyle w:val="ListParagraph"/>
        <w:numPr>
          <w:ilvl w:val="0"/>
          <w:numId w:val="21"/>
        </w:numPr>
      </w:pPr>
      <w:r w:rsidRPr="001876B7">
        <w:t xml:space="preserve">the entity </w:t>
      </w:r>
      <w:r w:rsidR="001876B7" w:rsidRPr="001876B7">
        <w:t>is willing to accept the</w:t>
      </w:r>
      <w:r w:rsidRPr="001876B7">
        <w:t xml:space="preserve"> Department’s position on the non</w:t>
      </w:r>
      <w:r w:rsidRPr="001876B7">
        <w:noBreakHyphen/>
        <w:t xml:space="preserve">compliance, and a compliance outcome can be </w:t>
      </w:r>
      <w:proofErr w:type="gramStart"/>
      <w:r w:rsidRPr="001876B7">
        <w:t>reached;</w:t>
      </w:r>
      <w:proofErr w:type="gramEnd"/>
    </w:p>
    <w:p w14:paraId="7A145F76" w14:textId="6D0313D3" w:rsidR="00414155" w:rsidRPr="001876B7" w:rsidRDefault="00414155" w:rsidP="00414155">
      <w:pPr>
        <w:pStyle w:val="ListParagraph"/>
        <w:numPr>
          <w:ilvl w:val="0"/>
          <w:numId w:val="21"/>
        </w:numPr>
      </w:pPr>
      <w:r w:rsidRPr="001876B7">
        <w:lastRenderedPageBreak/>
        <w:t>there is</w:t>
      </w:r>
      <w:r w:rsidR="001876B7" w:rsidRPr="001876B7">
        <w:t xml:space="preserve"> a lower risk for future potential </w:t>
      </w:r>
      <w:r w:rsidRPr="001876B7">
        <w:t>non-compliant behaviour; or</w:t>
      </w:r>
    </w:p>
    <w:p w14:paraId="7A9F3776" w14:textId="6F68E48A" w:rsidR="00414155" w:rsidRPr="001876B7" w:rsidRDefault="00414155" w:rsidP="00414155">
      <w:pPr>
        <w:pStyle w:val="ListParagraph"/>
        <w:numPr>
          <w:ilvl w:val="0"/>
          <w:numId w:val="21"/>
        </w:numPr>
      </w:pPr>
      <w:r w:rsidRPr="001876B7">
        <w:t>the entity demonstrate</w:t>
      </w:r>
      <w:r w:rsidR="001876B7" w:rsidRPr="001876B7">
        <w:t>s</w:t>
      </w:r>
      <w:r w:rsidRPr="001876B7">
        <w:t xml:space="preserve"> a willingness to</w:t>
      </w:r>
      <w:r w:rsidR="001876B7" w:rsidRPr="001876B7">
        <w:t xml:space="preserve"> rectify non-compliance and take steps to</w:t>
      </w:r>
      <w:r w:rsidRPr="001876B7">
        <w:t xml:space="preserve"> achieve complete compliance</w:t>
      </w:r>
      <w:r w:rsidR="001876B7" w:rsidRPr="001876B7">
        <w:t xml:space="preserve"> moving forward</w:t>
      </w:r>
      <w:r w:rsidRPr="001876B7">
        <w:t>.</w:t>
      </w:r>
    </w:p>
    <w:p w14:paraId="491FA4F9" w14:textId="09FA1564" w:rsidR="00414155" w:rsidRDefault="00414155" w:rsidP="006B2E20">
      <w:r>
        <w:t xml:space="preserve">In these circumstances, the Department may undertake one or more of the </w:t>
      </w:r>
      <w:r w:rsidR="004A02C1">
        <w:t xml:space="preserve">below </w:t>
      </w:r>
      <w:r>
        <w:t>actions.</w:t>
      </w:r>
    </w:p>
    <w:p w14:paraId="15F9D11D" w14:textId="64EC244F" w:rsidR="00414155" w:rsidRPr="004A02C1" w:rsidRDefault="00A418E3" w:rsidP="004A02C1">
      <w:pPr>
        <w:pStyle w:val="Heading5"/>
      </w:pPr>
      <w:bookmarkStart w:id="94" w:name="_Toc341129499"/>
      <w:bookmarkEnd w:id="94"/>
      <w:r>
        <w:t>7</w:t>
      </w:r>
      <w:r w:rsidR="0044717D">
        <w:t xml:space="preserve">.2.1 </w:t>
      </w:r>
      <w:r w:rsidR="00414155" w:rsidRPr="004A02C1">
        <w:t xml:space="preserve">Communications, </w:t>
      </w:r>
      <w:r w:rsidR="00EE6516" w:rsidRPr="004A02C1">
        <w:t>information,</w:t>
      </w:r>
      <w:r w:rsidR="00414155" w:rsidRPr="004A02C1">
        <w:t xml:space="preserve"> and education</w:t>
      </w:r>
    </w:p>
    <w:p w14:paraId="2BD7F7E3" w14:textId="0EAEFD02" w:rsidR="00414155" w:rsidRDefault="00414155" w:rsidP="00414155">
      <w:pPr>
        <w:spacing w:after="120"/>
      </w:pPr>
      <w:r>
        <w:t xml:space="preserve">Measures such as communications, </w:t>
      </w:r>
      <w:r w:rsidR="00B47826">
        <w:t xml:space="preserve">Authorised Officer </w:t>
      </w:r>
      <w:r>
        <w:t xml:space="preserve">visits, </w:t>
      </w:r>
      <w:r w:rsidR="00B47826">
        <w:t>and</w:t>
      </w:r>
      <w:r>
        <w:t xml:space="preserve"> the provision of information and educational material are designed to encourage compliance. The Department has undertaken a comprehensive communications and information strategy to ensure tobacco manufacturers and suppliers are aware of their responsibilities and obligations under </w:t>
      </w:r>
      <w:r w:rsidR="00B47826">
        <w:t xml:space="preserve">the </w:t>
      </w:r>
      <w:r>
        <w:t>relevant legislation.</w:t>
      </w:r>
    </w:p>
    <w:p w14:paraId="174D9BB4" w14:textId="07F0E725" w:rsidR="00414155" w:rsidRDefault="00414155" w:rsidP="00414155">
      <w:pPr>
        <w:spacing w:after="120"/>
      </w:pPr>
      <w:r>
        <w:t xml:space="preserve">Education will continue to be an important feature of the Department’s compliance and enforcement </w:t>
      </w:r>
      <w:r w:rsidR="00B423E8">
        <w:t>approach</w:t>
      </w:r>
      <w:r w:rsidR="004A02C1">
        <w:t>. T</w:t>
      </w:r>
      <w:r>
        <w:t>he Department</w:t>
      </w:r>
      <w:r w:rsidR="004A02C1">
        <w:t xml:space="preserve">, however, </w:t>
      </w:r>
      <w:r w:rsidR="001876B7">
        <w:t xml:space="preserve">has a </w:t>
      </w:r>
      <w:r>
        <w:t>reasonable expect</w:t>
      </w:r>
      <w:r w:rsidR="001876B7">
        <w:t xml:space="preserve">ation </w:t>
      </w:r>
      <w:r w:rsidR="00CD3D90">
        <w:t>that</w:t>
      </w:r>
      <w:r>
        <w:t xml:space="preserve"> manufacturers and suppliers</w:t>
      </w:r>
      <w:r w:rsidRPr="00657169">
        <w:t xml:space="preserve"> </w:t>
      </w:r>
      <w:r>
        <w:t>continuously enhance their compliance mechanisms</w:t>
      </w:r>
      <w:r w:rsidR="001876B7">
        <w:t>.</w:t>
      </w:r>
    </w:p>
    <w:p w14:paraId="175B12DF" w14:textId="1A499FAB" w:rsidR="00414155" w:rsidRDefault="00414155" w:rsidP="00414155">
      <w:pPr>
        <w:spacing w:after="120"/>
      </w:pPr>
      <w:r>
        <w:t xml:space="preserve">Education and compliance campaigns may also be undertaken to increase awareness of </w:t>
      </w:r>
      <w:r w:rsidR="001876B7">
        <w:t xml:space="preserve">the relevant </w:t>
      </w:r>
      <w:r>
        <w:t xml:space="preserve">legislation, whereby </w:t>
      </w:r>
      <w:r w:rsidR="005F63D4">
        <w:t>Authorised Officers</w:t>
      </w:r>
      <w:r>
        <w:t xml:space="preserve"> </w:t>
      </w:r>
      <w:r w:rsidR="001876B7">
        <w:t>may</w:t>
      </w:r>
      <w:r>
        <w:t xml:space="preserve"> conduct supply-chain site visits, centring on specific geographical locations, where information and trends suggest higher prevalence</w:t>
      </w:r>
      <w:r w:rsidR="001876B7">
        <w:t xml:space="preserve"> or risk</w:t>
      </w:r>
      <w:r>
        <w:t xml:space="preserve"> of non-compliance. </w:t>
      </w:r>
    </w:p>
    <w:p w14:paraId="1BEFBD9F" w14:textId="5239D492" w:rsidR="00414155" w:rsidRDefault="00A418E3" w:rsidP="004A02C1">
      <w:pPr>
        <w:pStyle w:val="Heading5"/>
      </w:pPr>
      <w:r>
        <w:t>7</w:t>
      </w:r>
      <w:r w:rsidR="0044717D">
        <w:t xml:space="preserve">.2.2 </w:t>
      </w:r>
      <w:r w:rsidR="00414155">
        <w:t>Notice of Alleged Non-Compliance</w:t>
      </w:r>
    </w:p>
    <w:p w14:paraId="574A309C" w14:textId="5AA22557" w:rsidR="00414155" w:rsidRDefault="005F63D4" w:rsidP="00414155">
      <w:r>
        <w:t>Authorised Officers</w:t>
      </w:r>
      <w:r w:rsidR="00414155">
        <w:t xml:space="preserve"> may issue manufacturers or suppliers a </w:t>
      </w:r>
      <w:r w:rsidR="00414155" w:rsidRPr="00065265">
        <w:rPr>
          <w:i/>
        </w:rPr>
        <w:t xml:space="preserve">Notice of Alleged </w:t>
      </w:r>
      <w:r w:rsidR="00414155" w:rsidRPr="00065265">
        <w:rPr>
          <w:i/>
        </w:rPr>
        <w:br/>
        <w:t>Non-Compliance</w:t>
      </w:r>
      <w:r w:rsidR="00414155">
        <w:t xml:space="preserve">, recording the nature of the activity alleged to be contravening the </w:t>
      </w:r>
      <w:r w:rsidR="001876B7">
        <w:t xml:space="preserve">relevant </w:t>
      </w:r>
      <w:r w:rsidR="00414155">
        <w:t xml:space="preserve">legislation, and providing general guidance on rectification. </w:t>
      </w:r>
      <w:r>
        <w:t>Authorised Officers</w:t>
      </w:r>
      <w:r w:rsidR="00414155">
        <w:t xml:space="preserve"> may revisit manufacturers or suppliers that have been issued with such a notice to ensure that the manufacturer or supplier is complying with the </w:t>
      </w:r>
      <w:r w:rsidR="00CD3D90">
        <w:t>relevant legislation</w:t>
      </w:r>
      <w:r w:rsidR="00414155">
        <w:t>.</w:t>
      </w:r>
    </w:p>
    <w:p w14:paraId="5437C52F" w14:textId="0F9CD822" w:rsidR="00414155" w:rsidRDefault="00A418E3" w:rsidP="004A02C1">
      <w:pPr>
        <w:pStyle w:val="Heading5"/>
      </w:pPr>
      <w:r>
        <w:t>7</w:t>
      </w:r>
      <w:r w:rsidR="0044717D">
        <w:t xml:space="preserve">.2.3 </w:t>
      </w:r>
      <w:r w:rsidR="00414155">
        <w:t>Written Warning Letter</w:t>
      </w:r>
    </w:p>
    <w:p w14:paraId="7A948738" w14:textId="55AD694D" w:rsidR="00414155" w:rsidRDefault="00414155" w:rsidP="00414155">
      <w:r>
        <w:t xml:space="preserve">In some circumstances it may be appropriate for the Department to issue a written warning letter. </w:t>
      </w:r>
      <w:r w:rsidR="005F63D4">
        <w:t>Authorised Officers</w:t>
      </w:r>
      <w:r>
        <w:t xml:space="preserve"> may revisit manufacturers and suppliers that have been issued with a written warning to ensure that appropriate remedial action has been taken. Failure to comply following a written warning may lead to the issuing of an infringement notice or other enforcement action being undertaken against the manufacturer or supplier. Compliance with </w:t>
      </w:r>
      <w:r w:rsidR="00B47826">
        <w:t>the</w:t>
      </w:r>
      <w:r>
        <w:t xml:space="preserve"> </w:t>
      </w:r>
      <w:r w:rsidR="00CD3D90">
        <w:t xml:space="preserve">relevant </w:t>
      </w:r>
      <w:r>
        <w:t>legislation is expected after a warning letter is issued, and it is the entity’s responsibility to ensure its own compliance. The warning letter is not intended to address every aspect of non-compliance detected, and it may be of value to the entity to seek its own independent legal or compliance advice.</w:t>
      </w:r>
    </w:p>
    <w:p w14:paraId="2F1465CF" w14:textId="0F1C43D5" w:rsidR="00414155" w:rsidRDefault="00A418E3" w:rsidP="004A02C1">
      <w:pPr>
        <w:pStyle w:val="Heading5"/>
      </w:pPr>
      <w:r>
        <w:t>7</w:t>
      </w:r>
      <w:r w:rsidR="0044717D">
        <w:t xml:space="preserve">.2.4 </w:t>
      </w:r>
      <w:r w:rsidR="00414155">
        <w:t>Infringement notices</w:t>
      </w:r>
      <w:r w:rsidR="008D7B0C">
        <w:t xml:space="preserve"> (TPP Act only)</w:t>
      </w:r>
      <w:r w:rsidR="00414155">
        <w:t xml:space="preserve"> </w:t>
      </w:r>
    </w:p>
    <w:p w14:paraId="3C92706B" w14:textId="7C60A521" w:rsidR="00414155" w:rsidRDefault="00414155" w:rsidP="00414155">
      <w:pPr>
        <w:spacing w:after="120"/>
      </w:pPr>
      <w:r>
        <w:t xml:space="preserve">Infringement notices may be issued when an </w:t>
      </w:r>
      <w:r w:rsidR="00B47826">
        <w:t>Authorised Officer</w:t>
      </w:r>
      <w:r>
        <w:t xml:space="preserve"> </w:t>
      </w:r>
      <w:r w:rsidR="00E00E95">
        <w:t xml:space="preserve">believes on reasonable grounds </w:t>
      </w:r>
      <w:r>
        <w:t>that a manufacturer or supplier has contravened</w:t>
      </w:r>
      <w:r w:rsidR="00A12DDD">
        <w:t xml:space="preserve"> a provision of the TPP Act</w:t>
      </w:r>
      <w:r w:rsidR="0011647B">
        <w:t xml:space="preserve"> which constitutes</w:t>
      </w:r>
      <w:r>
        <w:t xml:space="preserve"> a strict liability offence. </w:t>
      </w:r>
      <w:r w:rsidR="0011647B">
        <w:t xml:space="preserve">For a </w:t>
      </w:r>
      <w:r>
        <w:t>strict liability offence</w:t>
      </w:r>
      <w:r w:rsidR="00C51935">
        <w:t>,</w:t>
      </w:r>
      <w:r w:rsidR="0011647B">
        <w:t xml:space="preserve"> it is not necessary to prove </w:t>
      </w:r>
      <w:r w:rsidR="001F05A8">
        <w:t>fault</w:t>
      </w:r>
      <w:r w:rsidR="00C51935">
        <w:t>,</w:t>
      </w:r>
      <w:r w:rsidR="001F05A8">
        <w:t xml:space="preserve"> or </w:t>
      </w:r>
      <w:r w:rsidR="0011647B">
        <w:t xml:space="preserve">that </w:t>
      </w:r>
      <w:r>
        <w:t xml:space="preserve">the manufacturer or supplier intended to contravene the </w:t>
      </w:r>
      <w:r w:rsidR="00CD3D90">
        <w:t>relevant</w:t>
      </w:r>
      <w:r>
        <w:t xml:space="preserve"> legislation, only that the manufacturer or supplier did commit the prohibited act.</w:t>
      </w:r>
    </w:p>
    <w:p w14:paraId="58EF97E1" w14:textId="3F42B3B9" w:rsidR="00414155" w:rsidRDefault="00FD2A3D" w:rsidP="00414155">
      <w:pPr>
        <w:spacing w:after="120"/>
      </w:pPr>
      <w:r>
        <w:lastRenderedPageBreak/>
        <w:t xml:space="preserve">The Department may use </w:t>
      </w:r>
      <w:r w:rsidR="00414155">
        <w:t>infringement</w:t>
      </w:r>
      <w:r>
        <w:t xml:space="preserve"> notice/s to address</w:t>
      </w:r>
      <w:r w:rsidR="00414155">
        <w:t xml:space="preserve"> suspected contravention</w:t>
      </w:r>
      <w:r>
        <w:t>s</w:t>
      </w:r>
      <w:r w:rsidR="00414155">
        <w:t xml:space="preserve">, the seriousness of which requires a more formal sanction than a </w:t>
      </w:r>
      <w:r>
        <w:t xml:space="preserve">written warning or a </w:t>
      </w:r>
      <w:r w:rsidR="00414155">
        <w:t>Notice of Alleged Non-Compliance. For example, an infringement notice may be appropriate where:</w:t>
      </w:r>
    </w:p>
    <w:p w14:paraId="7AA278DD" w14:textId="77777777" w:rsidR="00414155" w:rsidRDefault="00414155" w:rsidP="00414155">
      <w:pPr>
        <w:pStyle w:val="ListParagraph"/>
        <w:numPr>
          <w:ilvl w:val="0"/>
          <w:numId w:val="21"/>
        </w:numPr>
      </w:pPr>
      <w:r>
        <w:t xml:space="preserve">there is prima facie evidence of a </w:t>
      </w:r>
      <w:proofErr w:type="gramStart"/>
      <w:r>
        <w:t>contravention;</w:t>
      </w:r>
      <w:proofErr w:type="gramEnd"/>
      <w:r>
        <w:t xml:space="preserve"> </w:t>
      </w:r>
    </w:p>
    <w:p w14:paraId="150CE74C" w14:textId="52A07DB0" w:rsidR="00414155" w:rsidRDefault="00414155" w:rsidP="00CD3D90">
      <w:pPr>
        <w:pStyle w:val="ListParagraph"/>
        <w:numPr>
          <w:ilvl w:val="0"/>
          <w:numId w:val="21"/>
        </w:numPr>
      </w:pPr>
      <w:r>
        <w:t xml:space="preserve">non-compliance has not been sufficiently addressed where non-compliance was detected and identified to the manufacturer or supplier; and/or </w:t>
      </w:r>
    </w:p>
    <w:p w14:paraId="2B121B7D" w14:textId="544D5331" w:rsidR="00414155" w:rsidRDefault="00414155" w:rsidP="00414155">
      <w:pPr>
        <w:pStyle w:val="ListParagraph"/>
        <w:numPr>
          <w:ilvl w:val="0"/>
          <w:numId w:val="21"/>
        </w:numPr>
      </w:pPr>
      <w:r>
        <w:t>an infringement notice is a reasonable and appropriate penalty in the circumstances.</w:t>
      </w:r>
    </w:p>
    <w:p w14:paraId="762AA714" w14:textId="58C7A9A8" w:rsidR="00414155" w:rsidRDefault="00414155" w:rsidP="007C102B">
      <w:pPr>
        <w:spacing w:after="120"/>
      </w:pPr>
      <w:r>
        <w:t>An infringement notice will include details of the</w:t>
      </w:r>
      <w:r w:rsidR="008D7B0C">
        <w:t xml:space="preserve"> alleged contravention,</w:t>
      </w:r>
      <w:r>
        <w:t xml:space="preserve"> amount payable under the notice, </w:t>
      </w:r>
      <w:r w:rsidR="008D7B0C">
        <w:t>payment due date and method for payment</w:t>
      </w:r>
      <w:r>
        <w:t xml:space="preserve">. A person may choose not to pay the </w:t>
      </w:r>
      <w:r w:rsidR="00B423E8">
        <w:t>amount;</w:t>
      </w:r>
      <w:r>
        <w:t xml:space="preserve"> </w:t>
      </w:r>
      <w:r w:rsidR="00944193">
        <w:t>however,</w:t>
      </w:r>
      <w:r>
        <w:t xml:space="preserve"> </w:t>
      </w:r>
      <w:r w:rsidR="00CD3D90">
        <w:t>the Department may consider</w:t>
      </w:r>
      <w:r>
        <w:t xml:space="preserve"> civil or criminal proceedings against the entity in relation to the alleged contravention</w:t>
      </w:r>
      <w:r w:rsidR="00CD3D90">
        <w:t xml:space="preserve"> if the infringement </w:t>
      </w:r>
      <w:r w:rsidR="00B47826">
        <w:t xml:space="preserve">is </w:t>
      </w:r>
      <w:r w:rsidR="00CD3D90">
        <w:t>not paid</w:t>
      </w:r>
      <w:r>
        <w:t>. The payment of an infringement notice does not imply an admission of guilt for the alleged contravention.</w:t>
      </w:r>
    </w:p>
    <w:p w14:paraId="3C8DED51" w14:textId="3B19F179" w:rsidR="00841F65" w:rsidRDefault="00841F65" w:rsidP="007C102B">
      <w:pPr>
        <w:spacing w:after="120"/>
      </w:pPr>
      <w:r>
        <w:t xml:space="preserve">A person who receives an infringement notice may seek withdrawal of </w:t>
      </w:r>
      <w:r w:rsidR="00471DDE">
        <w:t xml:space="preserve">an infringement </w:t>
      </w:r>
      <w:r>
        <w:t xml:space="preserve">notice or an extension to pay an infringement notice </w:t>
      </w:r>
      <w:r w:rsidRPr="00B50F7E">
        <w:t xml:space="preserve">by applying </w:t>
      </w:r>
      <w:r w:rsidR="00A65377" w:rsidRPr="00B50F7E">
        <w:t xml:space="preserve">in writing </w:t>
      </w:r>
      <w:r w:rsidRPr="00B50F7E">
        <w:t>to the Secretary</w:t>
      </w:r>
      <w:r w:rsidR="00471DDE">
        <w:t xml:space="preserve">. </w:t>
      </w:r>
      <w:r w:rsidR="00ED2BCE">
        <w:t>An application for an extension to pay an infringement notice, or the withdrawal of an infringement notice is not considered to be accepted until confirmed by the Secretary (or Secretary’s delegate) in writing.</w:t>
      </w:r>
    </w:p>
    <w:p w14:paraId="5FD7F937" w14:textId="49742A59" w:rsidR="002E1399" w:rsidRDefault="00A418E3" w:rsidP="004A02C1">
      <w:pPr>
        <w:pStyle w:val="Heading5"/>
      </w:pPr>
      <w:r>
        <w:t>7</w:t>
      </w:r>
      <w:r w:rsidR="0044717D">
        <w:t xml:space="preserve">.2.5 </w:t>
      </w:r>
      <w:r w:rsidR="002E1399">
        <w:t>Enforceable undertakings</w:t>
      </w:r>
    </w:p>
    <w:p w14:paraId="7D99DA20" w14:textId="7DE7F390" w:rsidR="002E1399" w:rsidRPr="0044717D" w:rsidRDefault="002E1399" w:rsidP="002E1399">
      <w:r w:rsidRPr="0044717D">
        <w:t>The Department may use enforceable undertakings where an investigation finds non</w:t>
      </w:r>
      <w:r w:rsidRPr="0044717D">
        <w:noBreakHyphen/>
        <w:t>compliance, and the responsible entity is willing to rectify the issue and take proactive steps to prevent non-compliance occurring in the future.</w:t>
      </w:r>
    </w:p>
    <w:p w14:paraId="1D985299" w14:textId="77777777" w:rsidR="00F74395" w:rsidRPr="0044717D" w:rsidRDefault="002E1399" w:rsidP="002E1399">
      <w:r w:rsidRPr="0044717D">
        <w:t>Generally, an enforceable undertaking will include</w:t>
      </w:r>
      <w:r w:rsidR="00F74395" w:rsidRPr="0044717D">
        <w:t>:</w:t>
      </w:r>
    </w:p>
    <w:p w14:paraId="486E8E62" w14:textId="362CBE99" w:rsidR="00F74395" w:rsidRPr="0044717D" w:rsidRDefault="002E1399" w:rsidP="00F74395">
      <w:pPr>
        <w:pStyle w:val="ListParagraph"/>
        <w:numPr>
          <w:ilvl w:val="0"/>
          <w:numId w:val="27"/>
        </w:numPr>
      </w:pPr>
      <w:r w:rsidRPr="0044717D">
        <w:t xml:space="preserve">acknowledgement by the responsible entity that non-compliance has </w:t>
      </w:r>
      <w:proofErr w:type="gramStart"/>
      <w:r w:rsidRPr="0044717D">
        <w:t>occurred</w:t>
      </w:r>
      <w:r w:rsidR="00F74395" w:rsidRPr="0044717D">
        <w:t>;</w:t>
      </w:r>
      <w:proofErr w:type="gramEnd"/>
    </w:p>
    <w:p w14:paraId="58BB274B" w14:textId="02A7800F" w:rsidR="002E1399" w:rsidRPr="0044717D" w:rsidRDefault="00F74395" w:rsidP="00F74395">
      <w:pPr>
        <w:pStyle w:val="ListParagraph"/>
        <w:numPr>
          <w:ilvl w:val="0"/>
          <w:numId w:val="27"/>
        </w:numPr>
      </w:pPr>
      <w:r w:rsidRPr="0044717D">
        <w:t>agreement by the responsible entity to remedy the situation; and</w:t>
      </w:r>
    </w:p>
    <w:p w14:paraId="6EE87D90" w14:textId="3860E195" w:rsidR="00F74395" w:rsidRPr="0044717D" w:rsidRDefault="00F74395" w:rsidP="00F74395">
      <w:pPr>
        <w:pStyle w:val="ListParagraph"/>
        <w:numPr>
          <w:ilvl w:val="0"/>
          <w:numId w:val="27"/>
        </w:numPr>
      </w:pPr>
      <w:r w:rsidRPr="0044717D">
        <w:t>commitment by the responsible entity to introduce measures that will reduce the risk of future non-compliance occurring.</w:t>
      </w:r>
    </w:p>
    <w:p w14:paraId="77BAE4E5" w14:textId="6BBB17F7" w:rsidR="00F74395" w:rsidRPr="002E1399" w:rsidRDefault="00B04994" w:rsidP="00F74395">
      <w:r>
        <w:t xml:space="preserve">Where an Authorised Officer considers the </w:t>
      </w:r>
      <w:r w:rsidR="00F74395" w:rsidRPr="0044717D">
        <w:t>responsible party</w:t>
      </w:r>
      <w:r>
        <w:t xml:space="preserve"> has breached an undertaking</w:t>
      </w:r>
      <w:r w:rsidR="00F74395" w:rsidRPr="0044717D">
        <w:t xml:space="preserve">, the Department may </w:t>
      </w:r>
      <w:r w:rsidR="008D7B0C">
        <w:t>apply to a relevant court to make an order</w:t>
      </w:r>
      <w:r>
        <w:t xml:space="preserve"> including</w:t>
      </w:r>
      <w:r w:rsidR="008D7B0C">
        <w:t xml:space="preserve"> to direct the </w:t>
      </w:r>
      <w:r>
        <w:t>responsible party to comply with the undertaking</w:t>
      </w:r>
      <w:r w:rsidR="00D317EB">
        <w:t>, to pay the Commonwealth amounts of any financial gain obtained because of the breach, or to compensate any persons who have suffered loss or damage as a result of the breach</w:t>
      </w:r>
      <w:r>
        <w:t xml:space="preserve">. </w:t>
      </w:r>
    </w:p>
    <w:p w14:paraId="796DE66D" w14:textId="162A54C3" w:rsidR="00AD550F" w:rsidRDefault="00A418E3" w:rsidP="00AD550F">
      <w:pPr>
        <w:pStyle w:val="Heading3"/>
      </w:pPr>
      <w:bookmarkStart w:id="95" w:name="_Ref341165322"/>
      <w:bookmarkStart w:id="96" w:name="_Toc347498054"/>
      <w:r>
        <w:t>7</w:t>
      </w:r>
      <w:r w:rsidR="00AD550F">
        <w:t>.</w:t>
      </w:r>
      <w:r w:rsidR="004305B8">
        <w:t>3</w:t>
      </w:r>
      <w:r w:rsidR="00AD550F">
        <w:t xml:space="preserve"> Compliance and Enforcement Actions (Medium to High</w:t>
      </w:r>
      <w:r w:rsidR="00E00E95">
        <w:t xml:space="preserve"> Risk</w:t>
      </w:r>
      <w:r w:rsidR="00AD550F">
        <w:t>)</w:t>
      </w:r>
    </w:p>
    <w:bookmarkEnd w:id="95"/>
    <w:bookmarkEnd w:id="96"/>
    <w:p w14:paraId="56F18486" w14:textId="1E70F6C6" w:rsidR="00414155" w:rsidRDefault="00414155" w:rsidP="00414155">
      <w:r>
        <w:t xml:space="preserve">Where </w:t>
      </w:r>
      <w:r w:rsidR="00AD550F">
        <w:t xml:space="preserve">administrative and low-level enforcement actions have been undertaken and </w:t>
      </w:r>
      <w:r>
        <w:t xml:space="preserve">there </w:t>
      </w:r>
      <w:r w:rsidR="00AD550F">
        <w:t xml:space="preserve">still remains </w:t>
      </w:r>
      <w:r>
        <w:t xml:space="preserve">a </w:t>
      </w:r>
      <w:r w:rsidR="00B47826">
        <w:t>medium</w:t>
      </w:r>
      <w:r>
        <w:t xml:space="preserve"> to high level of non-compliance by a manufacturer or supplier of tobacco products,</w:t>
      </w:r>
      <w:r w:rsidR="00AD550F">
        <w:t xml:space="preserve"> </w:t>
      </w:r>
      <w:r w:rsidR="00AF75AA">
        <w:t>high-level enforcement action will be taken</w:t>
      </w:r>
      <w:r>
        <w:t xml:space="preserve"> if, having regard to all the circumstances, the Department considers it is the most appropriate way to achieve its compliance and enforcement objectives. </w:t>
      </w:r>
    </w:p>
    <w:p w14:paraId="0A75FAA6" w14:textId="6EB7DD06" w:rsidR="00414155" w:rsidRDefault="00414155" w:rsidP="00095834">
      <w:pPr>
        <w:keepNext/>
      </w:pPr>
      <w:r>
        <w:lastRenderedPageBreak/>
        <w:t>The Department</w:t>
      </w:r>
      <w:r w:rsidRPr="00453C44">
        <w:t xml:space="preserve"> is more likely to proceed to </w:t>
      </w:r>
      <w:r w:rsidR="00AF75AA">
        <w:t>high-level enforcement action</w:t>
      </w:r>
      <w:r w:rsidRPr="00453C44">
        <w:t xml:space="preserve"> in</w:t>
      </w:r>
      <w:r>
        <w:t xml:space="preserve"> circumstances where: </w:t>
      </w:r>
    </w:p>
    <w:p w14:paraId="6B1D7058" w14:textId="154AA4E9" w:rsidR="00414155" w:rsidRDefault="00414155" w:rsidP="00095834">
      <w:pPr>
        <w:pStyle w:val="ListParagraph"/>
        <w:keepNext/>
        <w:numPr>
          <w:ilvl w:val="0"/>
          <w:numId w:val="21"/>
        </w:numPr>
      </w:pPr>
      <w:r>
        <w:t>the conduct is brazen</w:t>
      </w:r>
      <w:r w:rsidR="00CD3D90">
        <w:t>, reckless</w:t>
      </w:r>
      <w:r>
        <w:t xml:space="preserve"> and /or clearly not in line with the intention of the </w:t>
      </w:r>
      <w:r w:rsidR="00CD3D90">
        <w:t xml:space="preserve">relevant </w:t>
      </w:r>
      <w:proofErr w:type="gramStart"/>
      <w:r w:rsidR="00CD3D90">
        <w:t>legislation</w:t>
      </w:r>
      <w:r>
        <w:t>;</w:t>
      </w:r>
      <w:proofErr w:type="gramEnd"/>
      <w:r>
        <w:t xml:space="preserve"> </w:t>
      </w:r>
    </w:p>
    <w:p w14:paraId="636BC917" w14:textId="77777777" w:rsidR="00414155" w:rsidRDefault="00414155" w:rsidP="00095834">
      <w:pPr>
        <w:pStyle w:val="ListParagraph"/>
        <w:keepNext/>
        <w:numPr>
          <w:ilvl w:val="0"/>
          <w:numId w:val="21"/>
        </w:numPr>
      </w:pPr>
      <w:r>
        <w:t>the entity maintains its opposed view to the Department’s position on the non</w:t>
      </w:r>
      <w:r>
        <w:noBreakHyphen/>
        <w:t xml:space="preserve">compliance, </w:t>
      </w:r>
      <w:r w:rsidRPr="00212075">
        <w:t>and a compliance outcome</w:t>
      </w:r>
      <w:r>
        <w:t xml:space="preserve"> cannot be </w:t>
      </w:r>
      <w:proofErr w:type="gramStart"/>
      <w:r>
        <w:t>reached;</w:t>
      </w:r>
      <w:proofErr w:type="gramEnd"/>
    </w:p>
    <w:p w14:paraId="390E7190" w14:textId="77777777" w:rsidR="00414155" w:rsidRDefault="00414155" w:rsidP="00095834">
      <w:pPr>
        <w:pStyle w:val="ListParagraph"/>
        <w:keepNext/>
        <w:numPr>
          <w:ilvl w:val="0"/>
          <w:numId w:val="21"/>
        </w:numPr>
      </w:pPr>
      <w:r>
        <w:t>there is reason to be concerned about future non-compliant behaviour; or</w:t>
      </w:r>
    </w:p>
    <w:p w14:paraId="57292F17" w14:textId="77777777" w:rsidR="00414155" w:rsidRDefault="00414155" w:rsidP="00095834">
      <w:pPr>
        <w:pStyle w:val="ListParagraph"/>
        <w:keepNext/>
        <w:numPr>
          <w:ilvl w:val="0"/>
          <w:numId w:val="21"/>
        </w:numPr>
      </w:pPr>
      <w:r>
        <w:t>the entity fails to demonstrate a willingness to achieve complete compliance.</w:t>
      </w:r>
    </w:p>
    <w:p w14:paraId="5924E7E6" w14:textId="14D3DF36" w:rsidR="00414155" w:rsidRDefault="00414155" w:rsidP="00ED2BCE">
      <w:r>
        <w:t xml:space="preserve">In these circumstances, the Department may undertake one or more of the </w:t>
      </w:r>
      <w:r w:rsidR="00D83ACF">
        <w:t xml:space="preserve">below </w:t>
      </w:r>
      <w:r>
        <w:t>actions.</w:t>
      </w:r>
    </w:p>
    <w:p w14:paraId="77E1393E" w14:textId="1EA719E1" w:rsidR="00414155" w:rsidRDefault="00A418E3" w:rsidP="004A02C1">
      <w:pPr>
        <w:pStyle w:val="Heading5"/>
      </w:pPr>
      <w:r>
        <w:t>7</w:t>
      </w:r>
      <w:r w:rsidR="0044717D">
        <w:t xml:space="preserve">.3.1 </w:t>
      </w:r>
      <w:r w:rsidR="00414155">
        <w:t>Injunction</w:t>
      </w:r>
    </w:p>
    <w:p w14:paraId="165E05CC" w14:textId="0B989965" w:rsidR="00414155" w:rsidRDefault="00414155" w:rsidP="00414155">
      <w:r>
        <w:t xml:space="preserve">An application for an injunction may be made to restrain a manufacturer or supplier of tobacco products from </w:t>
      </w:r>
      <w:r w:rsidR="00CA700D">
        <w:t xml:space="preserve">engaging in </w:t>
      </w:r>
      <w:r>
        <w:t>further conduct</w:t>
      </w:r>
      <w:r w:rsidR="00CA700D">
        <w:t>, if the manufacturer or supplier has, is, or is proposing to engage in conduct that</w:t>
      </w:r>
      <w:r>
        <w:t xml:space="preserve"> would constitute an offence under the </w:t>
      </w:r>
      <w:r w:rsidR="00D83ACF">
        <w:t>relevant legislation</w:t>
      </w:r>
      <w:r>
        <w:t>. An injunction may be applied for where the offence, and/or the impact of the offence is serious.</w:t>
      </w:r>
    </w:p>
    <w:p w14:paraId="301129C5" w14:textId="78416432" w:rsidR="00414155" w:rsidRDefault="00A418E3" w:rsidP="004A02C1">
      <w:pPr>
        <w:pStyle w:val="Heading5"/>
      </w:pPr>
      <w:r>
        <w:t>7</w:t>
      </w:r>
      <w:r w:rsidR="0044717D">
        <w:t xml:space="preserve">.3.2 </w:t>
      </w:r>
      <w:r w:rsidR="00414155">
        <w:t xml:space="preserve">Civil penalty </w:t>
      </w:r>
      <w:r w:rsidR="003267F7">
        <w:t>(TPP Act only)</w:t>
      </w:r>
    </w:p>
    <w:p w14:paraId="1D7C290F" w14:textId="2249FA55" w:rsidR="00414155" w:rsidRDefault="00435EEA" w:rsidP="00414155">
      <w:pPr>
        <w:rPr>
          <w:szCs w:val="24"/>
        </w:rPr>
      </w:pPr>
      <w:r>
        <w:rPr>
          <w:szCs w:val="24"/>
        </w:rPr>
        <w:t xml:space="preserve">The Department may apply to a relevant court to </w:t>
      </w:r>
      <w:r w:rsidR="000A4379">
        <w:rPr>
          <w:szCs w:val="24"/>
        </w:rPr>
        <w:t xml:space="preserve">enforce the imposition of </w:t>
      </w:r>
      <w:r>
        <w:rPr>
          <w:szCs w:val="24"/>
        </w:rPr>
        <w:t xml:space="preserve">a civil penalty on an entity for contravening a provision of the </w:t>
      </w:r>
      <w:r w:rsidR="003267F7">
        <w:rPr>
          <w:szCs w:val="24"/>
        </w:rPr>
        <w:t>TPP Act</w:t>
      </w:r>
      <w:r>
        <w:rPr>
          <w:szCs w:val="24"/>
        </w:rPr>
        <w:t xml:space="preserve"> which a civil penalty applies. This is undertaken thr</w:t>
      </w:r>
      <w:r w:rsidR="00414155">
        <w:rPr>
          <w:szCs w:val="24"/>
        </w:rPr>
        <w:t xml:space="preserve">ough civil court </w:t>
      </w:r>
      <w:r w:rsidR="001F05A8">
        <w:rPr>
          <w:szCs w:val="24"/>
        </w:rPr>
        <w:t xml:space="preserve">proceedings </w:t>
      </w:r>
      <w:r w:rsidR="00414155">
        <w:rPr>
          <w:szCs w:val="24"/>
        </w:rPr>
        <w:t xml:space="preserve">rather than criminal court </w:t>
      </w:r>
      <w:r w:rsidR="001F05A8">
        <w:rPr>
          <w:szCs w:val="24"/>
        </w:rPr>
        <w:t>proceedings</w:t>
      </w:r>
      <w:r w:rsidR="00414155">
        <w:rPr>
          <w:szCs w:val="24"/>
        </w:rPr>
        <w:t xml:space="preserve">. A civil penalty is a purely monetary </w:t>
      </w:r>
      <w:r w:rsidR="009109D5">
        <w:rPr>
          <w:szCs w:val="24"/>
        </w:rPr>
        <w:t>penalty and</w:t>
      </w:r>
      <w:r w:rsidR="00414155">
        <w:rPr>
          <w:szCs w:val="24"/>
        </w:rPr>
        <w:t xml:space="preserve"> does not result in any criminal conviction. </w:t>
      </w:r>
    </w:p>
    <w:p w14:paraId="3F3FEAA8" w14:textId="4AD1B955" w:rsidR="00414155" w:rsidRDefault="00414155" w:rsidP="00414155">
      <w:r>
        <w:t>The Department is likely to commence civil proceedings where prior enforcement actions have not led to rectification of non-compliance, or where there is reason to be concerned about future non-compliance.</w:t>
      </w:r>
    </w:p>
    <w:p w14:paraId="121A1071" w14:textId="6ABFD349" w:rsidR="00414155" w:rsidRDefault="00A418E3" w:rsidP="004A02C1">
      <w:pPr>
        <w:pStyle w:val="Heading5"/>
      </w:pPr>
      <w:r>
        <w:t>7</w:t>
      </w:r>
      <w:r w:rsidR="0044717D">
        <w:t xml:space="preserve">.3.3 </w:t>
      </w:r>
      <w:r w:rsidR="00414155">
        <w:t>Criminal prosecution</w:t>
      </w:r>
    </w:p>
    <w:p w14:paraId="0CF577A0" w14:textId="749DF33A" w:rsidR="00414155" w:rsidRDefault="00414155" w:rsidP="00D83ACF">
      <w:pPr>
        <w:keepNext/>
      </w:pPr>
      <w:r>
        <w:t xml:space="preserve">The Department will refer an alleged contravention to the Commonwealth Director of Public Prosecutions (CDPP) for prosecution where there is sufficient </w:t>
      </w:r>
      <w:r w:rsidRPr="00B33EB7">
        <w:t>prima facie</w:t>
      </w:r>
      <w:r w:rsidRPr="001F149F">
        <w:t xml:space="preserve"> </w:t>
      </w:r>
      <w:r>
        <w:t>evidence that an offence has been committed and one or more of the following applies:</w:t>
      </w:r>
    </w:p>
    <w:p w14:paraId="3FFAEDEC" w14:textId="77777777" w:rsidR="00414155" w:rsidRDefault="00414155" w:rsidP="00D83ACF">
      <w:pPr>
        <w:pStyle w:val="ListParagraph"/>
        <w:keepNext/>
        <w:numPr>
          <w:ilvl w:val="0"/>
          <w:numId w:val="22"/>
        </w:numPr>
      </w:pPr>
      <w:r>
        <w:t xml:space="preserve">public interest considerations support prosecution </w:t>
      </w:r>
      <w:proofErr w:type="gramStart"/>
      <w:r>
        <w:t>action;</w:t>
      </w:r>
      <w:proofErr w:type="gramEnd"/>
    </w:p>
    <w:p w14:paraId="18864470" w14:textId="67AF5D0D" w:rsidR="00414155" w:rsidRDefault="00414155" w:rsidP="00D83ACF">
      <w:pPr>
        <w:pStyle w:val="ListParagraph"/>
        <w:keepNext/>
        <w:numPr>
          <w:ilvl w:val="0"/>
          <w:numId w:val="22"/>
        </w:numPr>
      </w:pPr>
      <w:r>
        <w:t xml:space="preserve">other enforcement options are not appropriate, or have been employed but proved </w:t>
      </w:r>
      <w:r w:rsidR="00D83ACF">
        <w:t xml:space="preserve">to be </w:t>
      </w:r>
      <w:r>
        <w:t>ineffective</w:t>
      </w:r>
      <w:r w:rsidR="00D83ACF">
        <w:t xml:space="preserve"> in achieving </w:t>
      </w:r>
      <w:proofErr w:type="gramStart"/>
      <w:r w:rsidR="00D83ACF">
        <w:t>compliance</w:t>
      </w:r>
      <w:r>
        <w:t>;</w:t>
      </w:r>
      <w:proofErr w:type="gramEnd"/>
    </w:p>
    <w:p w14:paraId="71FC3E06" w14:textId="59CBD59A" w:rsidR="00414155" w:rsidRDefault="00414155" w:rsidP="00D83ACF">
      <w:pPr>
        <w:pStyle w:val="ListParagraph"/>
        <w:keepNext/>
        <w:numPr>
          <w:ilvl w:val="0"/>
          <w:numId w:val="22"/>
        </w:numPr>
      </w:pPr>
      <w:r>
        <w:t xml:space="preserve">the alleged contravention is of such significance that a strong disincentive to potential offenders is warranted, and prosecution </w:t>
      </w:r>
      <w:r w:rsidR="009109D5">
        <w:t>is</w:t>
      </w:r>
      <w:r>
        <w:t xml:space="preserve"> an appropriate enforcement action;</w:t>
      </w:r>
      <w:r w:rsidR="00F813B9">
        <w:t xml:space="preserve"> </w:t>
      </w:r>
      <w:r w:rsidR="00B47826">
        <w:t>or</w:t>
      </w:r>
    </w:p>
    <w:p w14:paraId="74E45500" w14:textId="77777777" w:rsidR="00414155" w:rsidRDefault="00414155" w:rsidP="00D83ACF">
      <w:pPr>
        <w:pStyle w:val="ListParagraph"/>
        <w:keepNext/>
        <w:numPr>
          <w:ilvl w:val="0"/>
          <w:numId w:val="22"/>
        </w:numPr>
      </w:pPr>
      <w:r>
        <w:t>the compliance history of the non-compliant manufacturer or supplier demonstrates a high risk of ongoing or future non-compliance.</w:t>
      </w:r>
    </w:p>
    <w:p w14:paraId="029CF53F" w14:textId="4D36E42E" w:rsidR="00EE6516" w:rsidRDefault="00414155" w:rsidP="00414155">
      <w:r>
        <w:t xml:space="preserve">The decision to prosecute rests with the CDPP who will assess the information and determine if there is a reasonable prospect of conviction based on admissible, </w:t>
      </w:r>
      <w:r w:rsidR="003E6D3F">
        <w:t>substantial,</w:t>
      </w:r>
      <w:r>
        <w:t xml:space="preserve"> and reliable evidence. The CDPP guidelines on prosecutions is available at</w:t>
      </w:r>
      <w:r w:rsidR="00F813B9">
        <w:t>:</w:t>
      </w:r>
      <w:r>
        <w:t xml:space="preserve"> </w:t>
      </w:r>
      <w:hyperlink r:id="rId13" w:history="1">
        <w:r w:rsidRPr="00842F91">
          <w:rPr>
            <w:rStyle w:val="Hyperlink"/>
          </w:rPr>
          <w:t>https://www.cdpp.gov.au/prosecution-process/prosecution-policy</w:t>
        </w:r>
      </w:hyperlink>
      <w:r>
        <w:t>.</w:t>
      </w:r>
    </w:p>
    <w:p w14:paraId="72C53F51" w14:textId="12D845A4" w:rsidR="004305B8" w:rsidRDefault="004305B8" w:rsidP="007C102B">
      <w:pPr>
        <w:pStyle w:val="Heading2"/>
        <w:numPr>
          <w:ilvl w:val="0"/>
          <w:numId w:val="1"/>
        </w:numPr>
      </w:pPr>
      <w:bookmarkStart w:id="97" w:name="_Toc88486289"/>
      <w:r>
        <w:lastRenderedPageBreak/>
        <w:t>Engagement with other agencies</w:t>
      </w:r>
      <w:bookmarkEnd w:id="97"/>
    </w:p>
    <w:p w14:paraId="6C9BA89E" w14:textId="5402B1EC" w:rsidR="00973CBB" w:rsidRPr="00A45C9B" w:rsidRDefault="00A418E3" w:rsidP="00973CBB">
      <w:pPr>
        <w:pStyle w:val="Heading3"/>
      </w:pPr>
      <w:bookmarkStart w:id="98" w:name="_Engagement_with_other"/>
      <w:bookmarkStart w:id="99" w:name="_Information_sharing_and"/>
      <w:bookmarkEnd w:id="98"/>
      <w:bookmarkEnd w:id="99"/>
      <w:r>
        <w:t>8</w:t>
      </w:r>
      <w:r w:rsidR="0044717D">
        <w:t xml:space="preserve">.1 </w:t>
      </w:r>
      <w:r w:rsidR="00973CBB" w:rsidRPr="00A45C9B">
        <w:t>Information sharing and referrals for external investigations</w:t>
      </w:r>
    </w:p>
    <w:p w14:paraId="371415B2" w14:textId="702DE7EA" w:rsidR="00DD55E0" w:rsidRDefault="00FF076D" w:rsidP="00A45C9B">
      <w:r>
        <w:t xml:space="preserve">The Department notes that some complaints are multi-jurisdictional and that at times, related offences are more appropriately dealt with by another </w:t>
      </w:r>
      <w:r w:rsidR="003E2320">
        <w:t xml:space="preserve">Australian Government </w:t>
      </w:r>
      <w:r>
        <w:t xml:space="preserve">or state </w:t>
      </w:r>
      <w:r w:rsidR="00157FEB">
        <w:t xml:space="preserve">and </w:t>
      </w:r>
      <w:r>
        <w:t>territory agency.</w:t>
      </w:r>
      <w:r w:rsidR="000B0886" w:rsidRPr="000B0886">
        <w:t xml:space="preserve"> </w:t>
      </w:r>
      <w:r w:rsidR="000B0886">
        <w:t>Where the situation involves a breach of more than one regulatory scheme (e.g. as with the import of illicit tobacco products, and appropriate involvement of law enforcement agencies)</w:t>
      </w:r>
      <w:r>
        <w:t xml:space="preserve"> </w:t>
      </w:r>
      <w:r w:rsidR="000B0886">
        <w:t xml:space="preserve">it may be appropriate for another agency to take the lead. </w:t>
      </w:r>
    </w:p>
    <w:p w14:paraId="370FB804" w14:textId="69E3AA2D" w:rsidR="00973CBB" w:rsidRDefault="00FF076D" w:rsidP="00A45C9B">
      <w:r>
        <w:t xml:space="preserve">Cases may be referred to other agencies without notice to a person or entity. Case </w:t>
      </w:r>
      <w:r w:rsidR="00A65377">
        <w:t xml:space="preserve">investigations commenced </w:t>
      </w:r>
      <w:r>
        <w:t xml:space="preserve">by the Department may continue to be investigated in conjunction with another agency, or matters may be referred in their entirety. Matters that do not fall within the </w:t>
      </w:r>
      <w:r w:rsidR="00973CBB">
        <w:t>remit</w:t>
      </w:r>
      <w:r>
        <w:t xml:space="preserve"> of the Department are likely to be referred to another agency with the appropriate </w:t>
      </w:r>
      <w:r w:rsidR="00A65377">
        <w:t>jurisdiction</w:t>
      </w:r>
      <w:r>
        <w:t>.</w:t>
      </w:r>
    </w:p>
    <w:p w14:paraId="6EF4DF5B" w14:textId="449BA20D" w:rsidR="00973CBB" w:rsidRDefault="00973CBB" w:rsidP="00A45C9B">
      <w:r>
        <w:t xml:space="preserve">Information and referrals by the Department are completed in accordance with the requirements of the Australian Privacy Principles under the </w:t>
      </w:r>
      <w:r w:rsidRPr="00973CBB">
        <w:rPr>
          <w:i/>
          <w:iCs/>
        </w:rPr>
        <w:t>Privacy Act 1988</w:t>
      </w:r>
      <w:r>
        <w:t>.</w:t>
      </w:r>
    </w:p>
    <w:p w14:paraId="21A49DDF" w14:textId="06708E78" w:rsidR="00973CBB" w:rsidRDefault="00A418E3" w:rsidP="00973CBB">
      <w:pPr>
        <w:pStyle w:val="Heading3"/>
      </w:pPr>
      <w:r>
        <w:t>8</w:t>
      </w:r>
      <w:r w:rsidR="0044717D">
        <w:t xml:space="preserve">.2 </w:t>
      </w:r>
      <w:proofErr w:type="gramStart"/>
      <w:r w:rsidR="00973CBB">
        <w:t>Providing assistance to</w:t>
      </w:r>
      <w:proofErr w:type="gramEnd"/>
      <w:r w:rsidR="00973CBB">
        <w:t xml:space="preserve"> other agencies</w:t>
      </w:r>
    </w:p>
    <w:p w14:paraId="5D700738" w14:textId="46E49DBB" w:rsidR="00973CBB" w:rsidRDefault="00973CBB" w:rsidP="00973CBB">
      <w:r>
        <w:t>Where requested</w:t>
      </w:r>
      <w:r w:rsidR="004A3A5B">
        <w:t xml:space="preserve">, the Department may </w:t>
      </w:r>
      <w:proofErr w:type="gramStart"/>
      <w:r w:rsidR="004A3A5B">
        <w:t>provide assistance to</w:t>
      </w:r>
      <w:proofErr w:type="gramEnd"/>
      <w:r w:rsidR="004A3A5B">
        <w:t xml:space="preserve"> other agencies in their investigations. This may be through providing formal or informal advice or general information, data relevant to a particular matter that may be under investigation, the provision of formal witness statements, giving evidence in court, or </w:t>
      </w:r>
      <w:r w:rsidR="00662F49">
        <w:t xml:space="preserve">providing </w:t>
      </w:r>
      <w:r w:rsidR="004A3A5B">
        <w:t>assistance to inspect a product or premises, including in the execution of a search warrant.</w:t>
      </w:r>
    </w:p>
    <w:p w14:paraId="2F7DF502" w14:textId="27163C01" w:rsidR="004A3A5B" w:rsidRDefault="00A418E3" w:rsidP="004A3A5B">
      <w:pPr>
        <w:pStyle w:val="Heading3"/>
      </w:pPr>
      <w:r>
        <w:t>8</w:t>
      </w:r>
      <w:r w:rsidR="0044717D">
        <w:t xml:space="preserve">.3 </w:t>
      </w:r>
      <w:r w:rsidR="004A3A5B">
        <w:t xml:space="preserve">Requesting assistance </w:t>
      </w:r>
      <w:r w:rsidR="006B3584">
        <w:t>for investigations</w:t>
      </w:r>
    </w:p>
    <w:p w14:paraId="14E12B7B" w14:textId="3367386B" w:rsidR="003E2320" w:rsidRDefault="00A45C9B" w:rsidP="004A3A5B">
      <w:r>
        <w:t xml:space="preserve">Where appropriate, the Department may seek assistance from other agencies in conducting their enquiries and investigations. </w:t>
      </w:r>
      <w:r w:rsidR="0044717D">
        <w:t>T</w:t>
      </w:r>
      <w:r>
        <w:t>he Department may request</w:t>
      </w:r>
      <w:r w:rsidR="003E2320">
        <w:t>:</w:t>
      </w:r>
    </w:p>
    <w:p w14:paraId="23CCF912" w14:textId="7194AC3B" w:rsidR="003E2320" w:rsidRDefault="00A45C9B" w:rsidP="00062EB0">
      <w:pPr>
        <w:pStyle w:val="ListParagraph"/>
        <w:numPr>
          <w:ilvl w:val="0"/>
          <w:numId w:val="18"/>
        </w:numPr>
      </w:pPr>
      <w:r>
        <w:t xml:space="preserve">formal or informal advice or general information, data relevant to a particular matter that may be under </w:t>
      </w:r>
      <w:proofErr w:type="gramStart"/>
      <w:r>
        <w:t>investigation</w:t>
      </w:r>
      <w:r w:rsidR="003E2320">
        <w:t>;</w:t>
      </w:r>
      <w:proofErr w:type="gramEnd"/>
    </w:p>
    <w:p w14:paraId="364B03C2" w14:textId="1517D48C" w:rsidR="003E2320" w:rsidRDefault="00A45C9B" w:rsidP="00062EB0">
      <w:pPr>
        <w:pStyle w:val="ListParagraph"/>
        <w:numPr>
          <w:ilvl w:val="0"/>
          <w:numId w:val="18"/>
        </w:numPr>
      </w:pPr>
      <w:r>
        <w:t xml:space="preserve">the provision of formal witness </w:t>
      </w:r>
      <w:proofErr w:type="gramStart"/>
      <w:r>
        <w:t>statements</w:t>
      </w:r>
      <w:r w:rsidR="003E2320">
        <w:t>;</w:t>
      </w:r>
      <w:proofErr w:type="gramEnd"/>
    </w:p>
    <w:p w14:paraId="2E779914" w14:textId="7737D317" w:rsidR="003E2320" w:rsidRDefault="00A45C9B" w:rsidP="00062EB0">
      <w:pPr>
        <w:pStyle w:val="ListParagraph"/>
        <w:numPr>
          <w:ilvl w:val="0"/>
          <w:numId w:val="18"/>
        </w:numPr>
      </w:pPr>
      <w:r>
        <w:t>giving evidence in court</w:t>
      </w:r>
      <w:r w:rsidR="003E2320">
        <w:t>; and/</w:t>
      </w:r>
      <w:r>
        <w:t>or</w:t>
      </w:r>
    </w:p>
    <w:p w14:paraId="3F6BA236" w14:textId="0533BBA0" w:rsidR="004A3A5B" w:rsidRDefault="00A45C9B" w:rsidP="00062EB0">
      <w:pPr>
        <w:pStyle w:val="ListParagraph"/>
        <w:numPr>
          <w:ilvl w:val="0"/>
          <w:numId w:val="18"/>
        </w:numPr>
      </w:pPr>
      <w:r>
        <w:t>assistance to inspect a product or premises, including in the execution of a warrant.</w:t>
      </w:r>
    </w:p>
    <w:p w14:paraId="2F406C96" w14:textId="41B20593" w:rsidR="00A45C9B" w:rsidRDefault="00A45C9B" w:rsidP="004A3A5B">
      <w:r>
        <w:t xml:space="preserve">In situations where technical or professional expertise beyond the reasonable scope of the Department or other agencies may be required, the Department may engage with other entities </w:t>
      </w:r>
      <w:r w:rsidR="00A53377">
        <w:t>that</w:t>
      </w:r>
      <w:r>
        <w:t xml:space="preserve"> provide specialist assistance. This may include activities such as laboratory testing, information technology data forensics, or specialist legal advice.</w:t>
      </w:r>
    </w:p>
    <w:p w14:paraId="556FC71C" w14:textId="431B694C" w:rsidR="00071856" w:rsidRDefault="00071856" w:rsidP="007C102B">
      <w:pPr>
        <w:pStyle w:val="Heading2"/>
        <w:numPr>
          <w:ilvl w:val="0"/>
          <w:numId w:val="1"/>
        </w:numPr>
      </w:pPr>
      <w:bookmarkStart w:id="100" w:name="_Toc88486290"/>
      <w:r>
        <w:t>Annual Reporting</w:t>
      </w:r>
      <w:bookmarkEnd w:id="100"/>
    </w:p>
    <w:p w14:paraId="708EDD23" w14:textId="591C259A" w:rsidR="00886273" w:rsidRDefault="00F53B96" w:rsidP="00886273">
      <w:r>
        <w:t>Under</w:t>
      </w:r>
      <w:r w:rsidR="00886273">
        <w:t xml:space="preserve"> </w:t>
      </w:r>
      <w:r w:rsidR="002878CD">
        <w:t>s34A of the TAP Act</w:t>
      </w:r>
      <w:r>
        <w:t xml:space="preserve">, the </w:t>
      </w:r>
      <w:r w:rsidR="00580002">
        <w:t xml:space="preserve">Minister </w:t>
      </w:r>
      <w:r>
        <w:t>is required to prepare a report outlining the contraventions of the past calendar</w:t>
      </w:r>
      <w:r w:rsidR="00580002">
        <w:t xml:space="preserve"> year</w:t>
      </w:r>
      <w:r>
        <w:t>. This report is tabled</w:t>
      </w:r>
      <w:r w:rsidR="00580002">
        <w:t xml:space="preserve"> in Parliament</w:t>
      </w:r>
      <w:r>
        <w:t xml:space="preserve"> by the Minister</w:t>
      </w:r>
      <w:r w:rsidR="00580002">
        <w:t>.</w:t>
      </w:r>
    </w:p>
    <w:p w14:paraId="5FB76C4A" w14:textId="0BEFEE77" w:rsidR="002878CD" w:rsidRPr="00EE6516" w:rsidRDefault="00A16581" w:rsidP="00886273">
      <w:r>
        <w:t xml:space="preserve">Under s108 of the TPP act, the Minister is required to prepare a report outlining the contraventions for the past financial year. This information is published in the </w:t>
      </w:r>
      <w:r w:rsidRPr="00062EB0">
        <w:rPr>
          <w:i/>
        </w:rPr>
        <w:t>Department of Health Annual Report</w:t>
      </w:r>
      <w:r>
        <w:t xml:space="preserve">. </w:t>
      </w:r>
    </w:p>
    <w:sectPr w:rsidR="002878CD" w:rsidRPr="00EE6516" w:rsidSect="007C102B">
      <w:footerReference w:type="default" r:id="rId14"/>
      <w:headerReference w:type="first" r:id="rId15"/>
      <w:pgSz w:w="11906" w:h="16838"/>
      <w:pgMar w:top="993"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BD7A8" w14:textId="77777777" w:rsidR="00003C8A" w:rsidRDefault="00003C8A" w:rsidP="00BF1A78">
      <w:pPr>
        <w:spacing w:after="0" w:line="240" w:lineRule="auto"/>
      </w:pPr>
      <w:r>
        <w:separator/>
      </w:r>
    </w:p>
  </w:endnote>
  <w:endnote w:type="continuationSeparator" w:id="0">
    <w:p w14:paraId="25638459" w14:textId="77777777" w:rsidR="00003C8A" w:rsidRDefault="00003C8A" w:rsidP="00BF1A78">
      <w:pPr>
        <w:spacing w:after="0" w:line="240" w:lineRule="auto"/>
      </w:pPr>
      <w:r>
        <w:continuationSeparator/>
      </w:r>
    </w:p>
  </w:endnote>
  <w:endnote w:type="continuationNotice" w:id="1">
    <w:p w14:paraId="2211CE6A" w14:textId="77777777" w:rsidR="00003C8A" w:rsidRDefault="00003C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4838699"/>
      <w:docPartObj>
        <w:docPartGallery w:val="Page Numbers (Bottom of Page)"/>
        <w:docPartUnique/>
      </w:docPartObj>
    </w:sdtPr>
    <w:sdtEndPr>
      <w:rPr>
        <w:noProof/>
      </w:rPr>
    </w:sdtEndPr>
    <w:sdtContent>
      <w:p w14:paraId="1F75131A" w14:textId="3A4F1DA4" w:rsidR="00003C8A" w:rsidRDefault="00003C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BE1C15" w14:textId="77777777" w:rsidR="00003C8A" w:rsidRDefault="00003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2FC6C" w14:textId="77777777" w:rsidR="00003C8A" w:rsidRDefault="00003C8A" w:rsidP="00BF1A78">
      <w:pPr>
        <w:spacing w:after="0" w:line="240" w:lineRule="auto"/>
      </w:pPr>
      <w:r>
        <w:separator/>
      </w:r>
    </w:p>
  </w:footnote>
  <w:footnote w:type="continuationSeparator" w:id="0">
    <w:p w14:paraId="2BA70066" w14:textId="77777777" w:rsidR="00003C8A" w:rsidRDefault="00003C8A" w:rsidP="00BF1A78">
      <w:pPr>
        <w:spacing w:after="0" w:line="240" w:lineRule="auto"/>
      </w:pPr>
      <w:r>
        <w:continuationSeparator/>
      </w:r>
    </w:p>
  </w:footnote>
  <w:footnote w:type="continuationNotice" w:id="1">
    <w:p w14:paraId="2E738C54" w14:textId="77777777" w:rsidR="00003C8A" w:rsidRDefault="00003C8A">
      <w:pPr>
        <w:spacing w:after="0" w:line="240" w:lineRule="auto"/>
      </w:pPr>
    </w:p>
  </w:footnote>
  <w:footnote w:id="2">
    <w:p w14:paraId="261EAD87" w14:textId="7DB72782" w:rsidR="00AF5FF9" w:rsidRDefault="00AF5FF9">
      <w:pPr>
        <w:pStyle w:val="FootnoteText"/>
      </w:pPr>
      <w:r>
        <w:rPr>
          <w:rStyle w:val="FootnoteReference"/>
        </w:rPr>
        <w:footnoteRef/>
      </w:r>
      <w:r>
        <w:t xml:space="preserve"> </w:t>
      </w:r>
      <w:r w:rsidRPr="00AF5FF9">
        <w:t>https://www.aihw.gov.au/reports/burden-of-disease/burden-of-disease-study-2018-key-findings/contents/about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F6936" w14:textId="17A6FF5E" w:rsidR="00003C8A" w:rsidRDefault="00003C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4611F"/>
    <w:multiLevelType w:val="hybridMultilevel"/>
    <w:tmpl w:val="817E4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4B305F"/>
    <w:multiLevelType w:val="hybridMultilevel"/>
    <w:tmpl w:val="D4BAA2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D60C8F"/>
    <w:multiLevelType w:val="hybridMultilevel"/>
    <w:tmpl w:val="9CC6C1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3F2B01"/>
    <w:multiLevelType w:val="hybridMultilevel"/>
    <w:tmpl w:val="F04C579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9C423BA"/>
    <w:multiLevelType w:val="hybridMultilevel"/>
    <w:tmpl w:val="54887B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964B15"/>
    <w:multiLevelType w:val="hybridMultilevel"/>
    <w:tmpl w:val="7424F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885A08"/>
    <w:multiLevelType w:val="hybridMultilevel"/>
    <w:tmpl w:val="6C964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3B7E46"/>
    <w:multiLevelType w:val="hybridMultilevel"/>
    <w:tmpl w:val="B052D7B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95325E"/>
    <w:multiLevelType w:val="hybridMultilevel"/>
    <w:tmpl w:val="1F20638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62052D4"/>
    <w:multiLevelType w:val="hybridMultilevel"/>
    <w:tmpl w:val="89286036"/>
    <w:lvl w:ilvl="0" w:tplc="0C090011">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 w15:restartNumberingAfterBreak="0">
    <w:nsid w:val="27A775F1"/>
    <w:multiLevelType w:val="hybridMultilevel"/>
    <w:tmpl w:val="53A2E0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A01255D"/>
    <w:multiLevelType w:val="hybridMultilevel"/>
    <w:tmpl w:val="398E763A"/>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2C3812D5"/>
    <w:multiLevelType w:val="hybridMultilevel"/>
    <w:tmpl w:val="C46E41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C94606"/>
    <w:multiLevelType w:val="hybridMultilevel"/>
    <w:tmpl w:val="269C7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DA6E55"/>
    <w:multiLevelType w:val="hybridMultilevel"/>
    <w:tmpl w:val="DF1CDFA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ED83F7B"/>
    <w:multiLevelType w:val="hybridMultilevel"/>
    <w:tmpl w:val="409AB07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302C373E"/>
    <w:multiLevelType w:val="hybridMultilevel"/>
    <w:tmpl w:val="53A2E0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2C45380"/>
    <w:multiLevelType w:val="hybridMultilevel"/>
    <w:tmpl w:val="8B04AF58"/>
    <w:lvl w:ilvl="0" w:tplc="70C224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8727B5"/>
    <w:multiLevelType w:val="hybridMultilevel"/>
    <w:tmpl w:val="22AEB2E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6FD35FE"/>
    <w:multiLevelType w:val="hybridMultilevel"/>
    <w:tmpl w:val="3842B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F55F99"/>
    <w:multiLevelType w:val="hybridMultilevel"/>
    <w:tmpl w:val="5C3E3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2D3135"/>
    <w:multiLevelType w:val="hybridMultilevel"/>
    <w:tmpl w:val="04D24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9F4713"/>
    <w:multiLevelType w:val="hybridMultilevel"/>
    <w:tmpl w:val="DB46A7CE"/>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3" w15:restartNumberingAfterBreak="0">
    <w:nsid w:val="3EF03EED"/>
    <w:multiLevelType w:val="hybridMultilevel"/>
    <w:tmpl w:val="F2264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A37D79"/>
    <w:multiLevelType w:val="hybridMultilevel"/>
    <w:tmpl w:val="9C563CF4"/>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5" w15:restartNumberingAfterBreak="0">
    <w:nsid w:val="46347984"/>
    <w:multiLevelType w:val="hybridMultilevel"/>
    <w:tmpl w:val="05BEA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901612"/>
    <w:multiLevelType w:val="hybridMultilevel"/>
    <w:tmpl w:val="C46E41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B201442"/>
    <w:multiLevelType w:val="hybridMultilevel"/>
    <w:tmpl w:val="C0784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B217CD"/>
    <w:multiLevelType w:val="hybridMultilevel"/>
    <w:tmpl w:val="747AF31A"/>
    <w:lvl w:ilvl="0" w:tplc="E21C000E">
      <w:start w:val="1"/>
      <w:numFmt w:val="bullet"/>
      <w:lvlText w:val="•"/>
      <w:lvlJc w:val="left"/>
      <w:pPr>
        <w:tabs>
          <w:tab w:val="num" w:pos="720"/>
        </w:tabs>
        <w:ind w:left="720" w:hanging="360"/>
      </w:pPr>
      <w:rPr>
        <w:rFonts w:ascii="Arial" w:hAnsi="Arial" w:hint="default"/>
      </w:rPr>
    </w:lvl>
    <w:lvl w:ilvl="1" w:tplc="7DBC1B4A" w:tentative="1">
      <w:start w:val="1"/>
      <w:numFmt w:val="bullet"/>
      <w:lvlText w:val="•"/>
      <w:lvlJc w:val="left"/>
      <w:pPr>
        <w:tabs>
          <w:tab w:val="num" w:pos="1440"/>
        </w:tabs>
        <w:ind w:left="1440" w:hanging="360"/>
      </w:pPr>
      <w:rPr>
        <w:rFonts w:ascii="Arial" w:hAnsi="Arial" w:hint="default"/>
      </w:rPr>
    </w:lvl>
    <w:lvl w:ilvl="2" w:tplc="5C1406B8" w:tentative="1">
      <w:start w:val="1"/>
      <w:numFmt w:val="bullet"/>
      <w:lvlText w:val="•"/>
      <w:lvlJc w:val="left"/>
      <w:pPr>
        <w:tabs>
          <w:tab w:val="num" w:pos="2160"/>
        </w:tabs>
        <w:ind w:left="2160" w:hanging="360"/>
      </w:pPr>
      <w:rPr>
        <w:rFonts w:ascii="Arial" w:hAnsi="Arial" w:hint="default"/>
      </w:rPr>
    </w:lvl>
    <w:lvl w:ilvl="3" w:tplc="31CE3486" w:tentative="1">
      <w:start w:val="1"/>
      <w:numFmt w:val="bullet"/>
      <w:lvlText w:val="•"/>
      <w:lvlJc w:val="left"/>
      <w:pPr>
        <w:tabs>
          <w:tab w:val="num" w:pos="2880"/>
        </w:tabs>
        <w:ind w:left="2880" w:hanging="360"/>
      </w:pPr>
      <w:rPr>
        <w:rFonts w:ascii="Arial" w:hAnsi="Arial" w:hint="default"/>
      </w:rPr>
    </w:lvl>
    <w:lvl w:ilvl="4" w:tplc="4A1EB3E0" w:tentative="1">
      <w:start w:val="1"/>
      <w:numFmt w:val="bullet"/>
      <w:lvlText w:val="•"/>
      <w:lvlJc w:val="left"/>
      <w:pPr>
        <w:tabs>
          <w:tab w:val="num" w:pos="3600"/>
        </w:tabs>
        <w:ind w:left="3600" w:hanging="360"/>
      </w:pPr>
      <w:rPr>
        <w:rFonts w:ascii="Arial" w:hAnsi="Arial" w:hint="default"/>
      </w:rPr>
    </w:lvl>
    <w:lvl w:ilvl="5" w:tplc="049C43A6" w:tentative="1">
      <w:start w:val="1"/>
      <w:numFmt w:val="bullet"/>
      <w:lvlText w:val="•"/>
      <w:lvlJc w:val="left"/>
      <w:pPr>
        <w:tabs>
          <w:tab w:val="num" w:pos="4320"/>
        </w:tabs>
        <w:ind w:left="4320" w:hanging="360"/>
      </w:pPr>
      <w:rPr>
        <w:rFonts w:ascii="Arial" w:hAnsi="Arial" w:hint="default"/>
      </w:rPr>
    </w:lvl>
    <w:lvl w:ilvl="6" w:tplc="A02C68D2" w:tentative="1">
      <w:start w:val="1"/>
      <w:numFmt w:val="bullet"/>
      <w:lvlText w:val="•"/>
      <w:lvlJc w:val="left"/>
      <w:pPr>
        <w:tabs>
          <w:tab w:val="num" w:pos="5040"/>
        </w:tabs>
        <w:ind w:left="5040" w:hanging="360"/>
      </w:pPr>
      <w:rPr>
        <w:rFonts w:ascii="Arial" w:hAnsi="Arial" w:hint="default"/>
      </w:rPr>
    </w:lvl>
    <w:lvl w:ilvl="7" w:tplc="BD481340" w:tentative="1">
      <w:start w:val="1"/>
      <w:numFmt w:val="bullet"/>
      <w:lvlText w:val="•"/>
      <w:lvlJc w:val="left"/>
      <w:pPr>
        <w:tabs>
          <w:tab w:val="num" w:pos="5760"/>
        </w:tabs>
        <w:ind w:left="5760" w:hanging="360"/>
      </w:pPr>
      <w:rPr>
        <w:rFonts w:ascii="Arial" w:hAnsi="Arial" w:hint="default"/>
      </w:rPr>
    </w:lvl>
    <w:lvl w:ilvl="8" w:tplc="FB12ACB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0AE3D8A"/>
    <w:multiLevelType w:val="hybridMultilevel"/>
    <w:tmpl w:val="9CC6C1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9D43456"/>
    <w:multiLevelType w:val="hybridMultilevel"/>
    <w:tmpl w:val="28CEC088"/>
    <w:lvl w:ilvl="0" w:tplc="0C090011">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1" w15:restartNumberingAfterBreak="0">
    <w:nsid w:val="752301F3"/>
    <w:multiLevelType w:val="hybridMultilevel"/>
    <w:tmpl w:val="FFC8232A"/>
    <w:lvl w:ilvl="0" w:tplc="F8E2A0D8">
      <w:start w:val="1"/>
      <w:numFmt w:val="upperLetter"/>
      <w:pStyle w:val="DOHA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88C53A6"/>
    <w:multiLevelType w:val="hybridMultilevel"/>
    <w:tmpl w:val="D31C7C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92F5FA2"/>
    <w:multiLevelType w:val="hybridMultilevel"/>
    <w:tmpl w:val="36C205C0"/>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4" w15:restartNumberingAfterBreak="0">
    <w:nsid w:val="7C714C2A"/>
    <w:multiLevelType w:val="hybridMultilevel"/>
    <w:tmpl w:val="1FBCFB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DD659BB"/>
    <w:multiLevelType w:val="hybridMultilevel"/>
    <w:tmpl w:val="31642F00"/>
    <w:lvl w:ilvl="0" w:tplc="8D64A448">
      <w:start w:val="1"/>
      <w:numFmt w:val="decimal"/>
      <w:pStyle w:val="DOHA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FA0461"/>
    <w:multiLevelType w:val="hybridMultilevel"/>
    <w:tmpl w:val="C46E41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4"/>
  </w:num>
  <w:num w:numId="2">
    <w:abstractNumId w:val="23"/>
  </w:num>
  <w:num w:numId="3">
    <w:abstractNumId w:val="0"/>
  </w:num>
  <w:num w:numId="4">
    <w:abstractNumId w:val="1"/>
  </w:num>
  <w:num w:numId="5">
    <w:abstractNumId w:val="13"/>
  </w:num>
  <w:num w:numId="6">
    <w:abstractNumId w:val="6"/>
  </w:num>
  <w:num w:numId="7">
    <w:abstractNumId w:val="14"/>
  </w:num>
  <w:num w:numId="8">
    <w:abstractNumId w:val="18"/>
  </w:num>
  <w:num w:numId="9">
    <w:abstractNumId w:val="8"/>
  </w:num>
  <w:num w:numId="10">
    <w:abstractNumId w:val="7"/>
  </w:num>
  <w:num w:numId="11">
    <w:abstractNumId w:val="22"/>
  </w:num>
  <w:num w:numId="12">
    <w:abstractNumId w:val="24"/>
  </w:num>
  <w:num w:numId="13">
    <w:abstractNumId w:val="9"/>
  </w:num>
  <w:num w:numId="14">
    <w:abstractNumId w:val="30"/>
  </w:num>
  <w:num w:numId="15">
    <w:abstractNumId w:val="33"/>
  </w:num>
  <w:num w:numId="16">
    <w:abstractNumId w:val="11"/>
  </w:num>
  <w:num w:numId="17">
    <w:abstractNumId w:val="20"/>
  </w:num>
  <w:num w:numId="18">
    <w:abstractNumId w:val="27"/>
  </w:num>
  <w:num w:numId="19">
    <w:abstractNumId w:val="28"/>
  </w:num>
  <w:num w:numId="20">
    <w:abstractNumId w:val="25"/>
  </w:num>
  <w:num w:numId="21">
    <w:abstractNumId w:val="19"/>
  </w:num>
  <w:num w:numId="22">
    <w:abstractNumId w:val="5"/>
  </w:num>
  <w:num w:numId="23">
    <w:abstractNumId w:val="31"/>
  </w:num>
  <w:num w:numId="24">
    <w:abstractNumId w:val="35"/>
  </w:num>
  <w:num w:numId="25">
    <w:abstractNumId w:val="35"/>
    <w:lvlOverride w:ilvl="0">
      <w:startOverride w:val="1"/>
    </w:lvlOverride>
  </w:num>
  <w:num w:numId="26">
    <w:abstractNumId w:val="15"/>
  </w:num>
  <w:num w:numId="27">
    <w:abstractNumId w:val="3"/>
  </w:num>
  <w:num w:numId="28">
    <w:abstractNumId w:val="2"/>
  </w:num>
  <w:num w:numId="29">
    <w:abstractNumId w:val="29"/>
  </w:num>
  <w:num w:numId="30">
    <w:abstractNumId w:val="16"/>
  </w:num>
  <w:num w:numId="31">
    <w:abstractNumId w:val="10"/>
  </w:num>
  <w:num w:numId="32">
    <w:abstractNumId w:val="36"/>
  </w:num>
  <w:num w:numId="33">
    <w:abstractNumId w:val="21"/>
  </w:num>
  <w:num w:numId="34">
    <w:abstractNumId w:val="17"/>
  </w:num>
  <w:num w:numId="35">
    <w:abstractNumId w:val="26"/>
  </w:num>
  <w:num w:numId="36">
    <w:abstractNumId w:val="12"/>
  </w:num>
  <w:num w:numId="37">
    <w:abstractNumId w:val="4"/>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392"/>
    <w:rsid w:val="0000272B"/>
    <w:rsid w:val="00003C8A"/>
    <w:rsid w:val="000208A8"/>
    <w:rsid w:val="00051556"/>
    <w:rsid w:val="000571BC"/>
    <w:rsid w:val="00061DCB"/>
    <w:rsid w:val="00062EB0"/>
    <w:rsid w:val="000640F2"/>
    <w:rsid w:val="00071856"/>
    <w:rsid w:val="000868EE"/>
    <w:rsid w:val="00093202"/>
    <w:rsid w:val="00095352"/>
    <w:rsid w:val="00095834"/>
    <w:rsid w:val="00097E83"/>
    <w:rsid w:val="000A4379"/>
    <w:rsid w:val="000B0886"/>
    <w:rsid w:val="000C5CBE"/>
    <w:rsid w:val="000C643B"/>
    <w:rsid w:val="000D1491"/>
    <w:rsid w:val="00115E94"/>
    <w:rsid w:val="0011647B"/>
    <w:rsid w:val="001219AE"/>
    <w:rsid w:val="00124A9D"/>
    <w:rsid w:val="00131C2C"/>
    <w:rsid w:val="00157FEB"/>
    <w:rsid w:val="00165EF5"/>
    <w:rsid w:val="001700F2"/>
    <w:rsid w:val="001876B7"/>
    <w:rsid w:val="0019596E"/>
    <w:rsid w:val="001C3DF7"/>
    <w:rsid w:val="001D4F2A"/>
    <w:rsid w:val="001E2ACD"/>
    <w:rsid w:val="001F05A8"/>
    <w:rsid w:val="00201C76"/>
    <w:rsid w:val="002106C0"/>
    <w:rsid w:val="00242D58"/>
    <w:rsid w:val="0025291C"/>
    <w:rsid w:val="00252A34"/>
    <w:rsid w:val="00257E52"/>
    <w:rsid w:val="002649D7"/>
    <w:rsid w:val="002655A5"/>
    <w:rsid w:val="002878CD"/>
    <w:rsid w:val="0029135D"/>
    <w:rsid w:val="002D5E3B"/>
    <w:rsid w:val="002E109D"/>
    <w:rsid w:val="002E1399"/>
    <w:rsid w:val="002E20A8"/>
    <w:rsid w:val="002E3C28"/>
    <w:rsid w:val="00303463"/>
    <w:rsid w:val="00306FCA"/>
    <w:rsid w:val="003267F7"/>
    <w:rsid w:val="00351681"/>
    <w:rsid w:val="0035790E"/>
    <w:rsid w:val="003716E7"/>
    <w:rsid w:val="00382120"/>
    <w:rsid w:val="00385B9A"/>
    <w:rsid w:val="003969A4"/>
    <w:rsid w:val="003A4093"/>
    <w:rsid w:val="003A549D"/>
    <w:rsid w:val="003C7338"/>
    <w:rsid w:val="003E2320"/>
    <w:rsid w:val="003E6D3F"/>
    <w:rsid w:val="003F4C7A"/>
    <w:rsid w:val="00414155"/>
    <w:rsid w:val="00426E61"/>
    <w:rsid w:val="004305B8"/>
    <w:rsid w:val="00435EEA"/>
    <w:rsid w:val="0044482E"/>
    <w:rsid w:val="0044717D"/>
    <w:rsid w:val="004543AC"/>
    <w:rsid w:val="00461000"/>
    <w:rsid w:val="00464E36"/>
    <w:rsid w:val="00465853"/>
    <w:rsid w:val="00471DDE"/>
    <w:rsid w:val="00477E0A"/>
    <w:rsid w:val="004A02C1"/>
    <w:rsid w:val="004A1226"/>
    <w:rsid w:val="004A129A"/>
    <w:rsid w:val="004A14D9"/>
    <w:rsid w:val="004A3A5B"/>
    <w:rsid w:val="004B0F9A"/>
    <w:rsid w:val="004B5A4B"/>
    <w:rsid w:val="004C037F"/>
    <w:rsid w:val="004D5DB4"/>
    <w:rsid w:val="004F5F7B"/>
    <w:rsid w:val="00500967"/>
    <w:rsid w:val="00515CDA"/>
    <w:rsid w:val="00515FDB"/>
    <w:rsid w:val="00524E5C"/>
    <w:rsid w:val="0053497A"/>
    <w:rsid w:val="005601DE"/>
    <w:rsid w:val="00571CB8"/>
    <w:rsid w:val="00575873"/>
    <w:rsid w:val="00580002"/>
    <w:rsid w:val="00586822"/>
    <w:rsid w:val="005A4695"/>
    <w:rsid w:val="005C4DEE"/>
    <w:rsid w:val="005E74B2"/>
    <w:rsid w:val="005F42B8"/>
    <w:rsid w:val="005F63D4"/>
    <w:rsid w:val="00603E52"/>
    <w:rsid w:val="0061076E"/>
    <w:rsid w:val="0061087F"/>
    <w:rsid w:val="00627BE9"/>
    <w:rsid w:val="0064742D"/>
    <w:rsid w:val="00654ED3"/>
    <w:rsid w:val="00655D87"/>
    <w:rsid w:val="00662F49"/>
    <w:rsid w:val="00673C3F"/>
    <w:rsid w:val="00675AFF"/>
    <w:rsid w:val="00685B7B"/>
    <w:rsid w:val="00693E9C"/>
    <w:rsid w:val="006A162E"/>
    <w:rsid w:val="006B2E20"/>
    <w:rsid w:val="006B3584"/>
    <w:rsid w:val="006B579A"/>
    <w:rsid w:val="006B6D8B"/>
    <w:rsid w:val="006B6E0B"/>
    <w:rsid w:val="006C69D6"/>
    <w:rsid w:val="006E512F"/>
    <w:rsid w:val="006F2EE1"/>
    <w:rsid w:val="006F52E0"/>
    <w:rsid w:val="006F696B"/>
    <w:rsid w:val="007124CC"/>
    <w:rsid w:val="007170D4"/>
    <w:rsid w:val="00730089"/>
    <w:rsid w:val="00740EF5"/>
    <w:rsid w:val="00754169"/>
    <w:rsid w:val="00764228"/>
    <w:rsid w:val="00780E6E"/>
    <w:rsid w:val="00786BA1"/>
    <w:rsid w:val="00794179"/>
    <w:rsid w:val="007B3F31"/>
    <w:rsid w:val="007B452D"/>
    <w:rsid w:val="007C102B"/>
    <w:rsid w:val="007C500D"/>
    <w:rsid w:val="007D6B97"/>
    <w:rsid w:val="0081307A"/>
    <w:rsid w:val="00820288"/>
    <w:rsid w:val="00823A79"/>
    <w:rsid w:val="008328BA"/>
    <w:rsid w:val="00841F65"/>
    <w:rsid w:val="00860D28"/>
    <w:rsid w:val="008617CE"/>
    <w:rsid w:val="00886273"/>
    <w:rsid w:val="008C174C"/>
    <w:rsid w:val="008C4D7E"/>
    <w:rsid w:val="008C4EAC"/>
    <w:rsid w:val="008C78A6"/>
    <w:rsid w:val="008D7B0C"/>
    <w:rsid w:val="008F46AF"/>
    <w:rsid w:val="008F4A31"/>
    <w:rsid w:val="009109D5"/>
    <w:rsid w:val="00920633"/>
    <w:rsid w:val="009211DF"/>
    <w:rsid w:val="00926D08"/>
    <w:rsid w:val="0093280A"/>
    <w:rsid w:val="00944193"/>
    <w:rsid w:val="00945FA4"/>
    <w:rsid w:val="00952161"/>
    <w:rsid w:val="00963E90"/>
    <w:rsid w:val="00966638"/>
    <w:rsid w:val="00967284"/>
    <w:rsid w:val="00973CBB"/>
    <w:rsid w:val="00977C99"/>
    <w:rsid w:val="009C4206"/>
    <w:rsid w:val="009E2EA8"/>
    <w:rsid w:val="009F15F7"/>
    <w:rsid w:val="00A11AF8"/>
    <w:rsid w:val="00A12DDD"/>
    <w:rsid w:val="00A13590"/>
    <w:rsid w:val="00A16581"/>
    <w:rsid w:val="00A34F21"/>
    <w:rsid w:val="00A418E3"/>
    <w:rsid w:val="00A45C9B"/>
    <w:rsid w:val="00A52392"/>
    <w:rsid w:val="00A53061"/>
    <w:rsid w:val="00A53377"/>
    <w:rsid w:val="00A61AAB"/>
    <w:rsid w:val="00A63ED7"/>
    <w:rsid w:val="00A65377"/>
    <w:rsid w:val="00A74BF6"/>
    <w:rsid w:val="00A871EE"/>
    <w:rsid w:val="00A92AB8"/>
    <w:rsid w:val="00AA1296"/>
    <w:rsid w:val="00AD12D0"/>
    <w:rsid w:val="00AD141A"/>
    <w:rsid w:val="00AD550F"/>
    <w:rsid w:val="00AE5DC2"/>
    <w:rsid w:val="00AE7B6B"/>
    <w:rsid w:val="00AF5FF9"/>
    <w:rsid w:val="00AF75AA"/>
    <w:rsid w:val="00B04994"/>
    <w:rsid w:val="00B240B3"/>
    <w:rsid w:val="00B32B24"/>
    <w:rsid w:val="00B423E8"/>
    <w:rsid w:val="00B47738"/>
    <w:rsid w:val="00B47826"/>
    <w:rsid w:val="00B50F7E"/>
    <w:rsid w:val="00B56784"/>
    <w:rsid w:val="00B57536"/>
    <w:rsid w:val="00B7660C"/>
    <w:rsid w:val="00B84C03"/>
    <w:rsid w:val="00B87E90"/>
    <w:rsid w:val="00BA01D8"/>
    <w:rsid w:val="00BA57DB"/>
    <w:rsid w:val="00BA5A52"/>
    <w:rsid w:val="00BC6CAC"/>
    <w:rsid w:val="00BD2E6E"/>
    <w:rsid w:val="00BD7F9F"/>
    <w:rsid w:val="00BE0725"/>
    <w:rsid w:val="00BE1731"/>
    <w:rsid w:val="00BF0BDE"/>
    <w:rsid w:val="00BF1A78"/>
    <w:rsid w:val="00C01C9F"/>
    <w:rsid w:val="00C151F2"/>
    <w:rsid w:val="00C159E9"/>
    <w:rsid w:val="00C310C0"/>
    <w:rsid w:val="00C3611B"/>
    <w:rsid w:val="00C5015F"/>
    <w:rsid w:val="00C51935"/>
    <w:rsid w:val="00C57FB6"/>
    <w:rsid w:val="00C6059E"/>
    <w:rsid w:val="00C96500"/>
    <w:rsid w:val="00C96778"/>
    <w:rsid w:val="00CA653A"/>
    <w:rsid w:val="00CA700D"/>
    <w:rsid w:val="00CB4FB1"/>
    <w:rsid w:val="00CB7A8D"/>
    <w:rsid w:val="00CC10FF"/>
    <w:rsid w:val="00CD3D90"/>
    <w:rsid w:val="00CF40D2"/>
    <w:rsid w:val="00D02AD4"/>
    <w:rsid w:val="00D317EB"/>
    <w:rsid w:val="00D31BBF"/>
    <w:rsid w:val="00D4560C"/>
    <w:rsid w:val="00D47EAD"/>
    <w:rsid w:val="00D52E56"/>
    <w:rsid w:val="00D55B34"/>
    <w:rsid w:val="00D83ACF"/>
    <w:rsid w:val="00D85A16"/>
    <w:rsid w:val="00DA0089"/>
    <w:rsid w:val="00DA6DF3"/>
    <w:rsid w:val="00DB0A56"/>
    <w:rsid w:val="00DB7BD7"/>
    <w:rsid w:val="00DD1A9A"/>
    <w:rsid w:val="00DD55E0"/>
    <w:rsid w:val="00E00E95"/>
    <w:rsid w:val="00E03131"/>
    <w:rsid w:val="00E03E83"/>
    <w:rsid w:val="00E13FEA"/>
    <w:rsid w:val="00E17435"/>
    <w:rsid w:val="00E25ED6"/>
    <w:rsid w:val="00E35B34"/>
    <w:rsid w:val="00E36711"/>
    <w:rsid w:val="00E421D6"/>
    <w:rsid w:val="00E50105"/>
    <w:rsid w:val="00E725B3"/>
    <w:rsid w:val="00E76751"/>
    <w:rsid w:val="00E81AEB"/>
    <w:rsid w:val="00E83F28"/>
    <w:rsid w:val="00E91521"/>
    <w:rsid w:val="00E91757"/>
    <w:rsid w:val="00E931D9"/>
    <w:rsid w:val="00EB1E96"/>
    <w:rsid w:val="00EB31DE"/>
    <w:rsid w:val="00EC2CC5"/>
    <w:rsid w:val="00ED2BCE"/>
    <w:rsid w:val="00ED65BA"/>
    <w:rsid w:val="00EE4ED4"/>
    <w:rsid w:val="00EE6516"/>
    <w:rsid w:val="00F132D5"/>
    <w:rsid w:val="00F230B5"/>
    <w:rsid w:val="00F27E7E"/>
    <w:rsid w:val="00F3033C"/>
    <w:rsid w:val="00F30467"/>
    <w:rsid w:val="00F37BF6"/>
    <w:rsid w:val="00F420E3"/>
    <w:rsid w:val="00F44E65"/>
    <w:rsid w:val="00F50E4E"/>
    <w:rsid w:val="00F53B96"/>
    <w:rsid w:val="00F706A7"/>
    <w:rsid w:val="00F74395"/>
    <w:rsid w:val="00F813B9"/>
    <w:rsid w:val="00F82106"/>
    <w:rsid w:val="00F909B9"/>
    <w:rsid w:val="00FD2A3D"/>
    <w:rsid w:val="00FF07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EEF232"/>
  <w15:chartTrackingRefBased/>
  <w15:docId w15:val="{45D28ED2-CF16-41D6-A6D5-F1F7CE0F0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089"/>
    <w:rPr>
      <w:rFonts w:ascii="Times New Roman" w:hAnsi="Times New Roman"/>
      <w:sz w:val="24"/>
    </w:rPr>
  </w:style>
  <w:style w:type="paragraph" w:styleId="Heading1">
    <w:name w:val="heading 1"/>
    <w:basedOn w:val="Normal"/>
    <w:next w:val="Normal"/>
    <w:link w:val="Heading1Char"/>
    <w:uiPriority w:val="9"/>
    <w:qFormat/>
    <w:rsid w:val="00A5239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30089"/>
    <w:pPr>
      <w:keepNext/>
      <w:keepLines/>
      <w:spacing w:before="40" w:after="0"/>
      <w:outlineLvl w:val="1"/>
    </w:pPr>
    <w:rPr>
      <w:rFonts w:asciiTheme="majorHAnsi" w:eastAsiaTheme="majorEastAsia" w:hAnsiTheme="majorHAnsi" w:cstheme="majorBidi"/>
      <w:b/>
      <w:color w:val="000000" w:themeColor="text1"/>
      <w:sz w:val="26"/>
      <w:szCs w:val="26"/>
    </w:rPr>
  </w:style>
  <w:style w:type="paragraph" w:styleId="Heading3">
    <w:name w:val="heading 3"/>
    <w:basedOn w:val="Normal"/>
    <w:next w:val="Normal"/>
    <w:link w:val="Heading3Char"/>
    <w:uiPriority w:val="9"/>
    <w:unhideWhenUsed/>
    <w:qFormat/>
    <w:rsid w:val="00730089"/>
    <w:pPr>
      <w:keepNext/>
      <w:keepLines/>
      <w:spacing w:before="40" w:after="0"/>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unhideWhenUsed/>
    <w:qFormat/>
    <w:rsid w:val="00730089"/>
    <w:pPr>
      <w:keepNext/>
      <w:keepLines/>
      <w:spacing w:before="40" w:after="0"/>
      <w:outlineLvl w:val="3"/>
    </w:pPr>
    <w:rPr>
      <w:rFonts w:asciiTheme="majorHAnsi" w:eastAsiaTheme="majorEastAsia" w:hAnsiTheme="majorHAnsi" w:cstheme="majorBidi"/>
      <w:b/>
      <w:i/>
      <w:iCs/>
      <w:color w:val="000000" w:themeColor="text1"/>
    </w:rPr>
  </w:style>
  <w:style w:type="paragraph" w:styleId="Heading5">
    <w:name w:val="heading 5"/>
    <w:basedOn w:val="Normal"/>
    <w:next w:val="Normal"/>
    <w:link w:val="Heading5Char"/>
    <w:uiPriority w:val="9"/>
    <w:unhideWhenUsed/>
    <w:qFormat/>
    <w:rsid w:val="004A02C1"/>
    <w:pPr>
      <w:keepNext/>
      <w:keepLines/>
      <w:spacing w:before="40" w:after="0"/>
      <w:outlineLvl w:val="4"/>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0089"/>
    <w:rPr>
      <w:rFonts w:asciiTheme="majorHAnsi" w:eastAsiaTheme="majorEastAsia" w:hAnsiTheme="majorHAnsi" w:cstheme="majorBidi"/>
      <w:b/>
      <w:color w:val="000000" w:themeColor="text1"/>
      <w:sz w:val="26"/>
      <w:szCs w:val="26"/>
    </w:rPr>
  </w:style>
  <w:style w:type="character" w:customStyle="1" w:styleId="Heading1Char">
    <w:name w:val="Heading 1 Char"/>
    <w:basedOn w:val="DefaultParagraphFont"/>
    <w:link w:val="Heading1"/>
    <w:uiPriority w:val="9"/>
    <w:rsid w:val="00A52392"/>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A523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2392"/>
    <w:rPr>
      <w:rFonts w:asciiTheme="majorHAnsi" w:eastAsiaTheme="majorEastAsia" w:hAnsiTheme="majorHAnsi" w:cstheme="majorBidi"/>
      <w:spacing w:val="-10"/>
      <w:kern w:val="28"/>
      <w:sz w:val="56"/>
      <w:szCs w:val="56"/>
    </w:rPr>
  </w:style>
  <w:style w:type="paragraph" w:styleId="ListParagraph">
    <w:name w:val="List Paragraph"/>
    <w:basedOn w:val="Normal"/>
    <w:uiPriority w:val="99"/>
    <w:qFormat/>
    <w:rsid w:val="00A52392"/>
    <w:pPr>
      <w:ind w:left="720"/>
      <w:contextualSpacing/>
    </w:pPr>
  </w:style>
  <w:style w:type="paragraph" w:styleId="NoSpacing">
    <w:name w:val="No Spacing"/>
    <w:uiPriority w:val="1"/>
    <w:qFormat/>
    <w:rsid w:val="00A52392"/>
    <w:pPr>
      <w:spacing w:after="0" w:line="240" w:lineRule="auto"/>
    </w:pPr>
  </w:style>
  <w:style w:type="character" w:styleId="CommentReference">
    <w:name w:val="annotation reference"/>
    <w:basedOn w:val="DefaultParagraphFont"/>
    <w:uiPriority w:val="99"/>
    <w:semiHidden/>
    <w:unhideWhenUsed/>
    <w:rsid w:val="00B7660C"/>
    <w:rPr>
      <w:sz w:val="16"/>
      <w:szCs w:val="16"/>
    </w:rPr>
  </w:style>
  <w:style w:type="paragraph" w:styleId="CommentText">
    <w:name w:val="annotation text"/>
    <w:basedOn w:val="Normal"/>
    <w:link w:val="CommentTextChar"/>
    <w:uiPriority w:val="99"/>
    <w:unhideWhenUsed/>
    <w:rsid w:val="00B7660C"/>
    <w:pPr>
      <w:spacing w:line="240" w:lineRule="auto"/>
    </w:pPr>
    <w:rPr>
      <w:sz w:val="20"/>
      <w:szCs w:val="20"/>
    </w:rPr>
  </w:style>
  <w:style w:type="character" w:customStyle="1" w:styleId="CommentTextChar">
    <w:name w:val="Comment Text Char"/>
    <w:basedOn w:val="DefaultParagraphFont"/>
    <w:link w:val="CommentText"/>
    <w:uiPriority w:val="99"/>
    <w:rsid w:val="00B7660C"/>
    <w:rPr>
      <w:sz w:val="20"/>
      <w:szCs w:val="20"/>
    </w:rPr>
  </w:style>
  <w:style w:type="paragraph" w:styleId="CommentSubject">
    <w:name w:val="annotation subject"/>
    <w:basedOn w:val="CommentText"/>
    <w:next w:val="CommentText"/>
    <w:link w:val="CommentSubjectChar"/>
    <w:uiPriority w:val="99"/>
    <w:semiHidden/>
    <w:unhideWhenUsed/>
    <w:rsid w:val="00B7660C"/>
    <w:rPr>
      <w:b/>
      <w:bCs/>
    </w:rPr>
  </w:style>
  <w:style w:type="character" w:customStyle="1" w:styleId="CommentSubjectChar">
    <w:name w:val="Comment Subject Char"/>
    <w:basedOn w:val="CommentTextChar"/>
    <w:link w:val="CommentSubject"/>
    <w:uiPriority w:val="99"/>
    <w:semiHidden/>
    <w:rsid w:val="00B7660C"/>
    <w:rPr>
      <w:b/>
      <w:bCs/>
      <w:sz w:val="20"/>
      <w:szCs w:val="20"/>
    </w:rPr>
  </w:style>
  <w:style w:type="paragraph" w:styleId="BalloonText">
    <w:name w:val="Balloon Text"/>
    <w:basedOn w:val="Normal"/>
    <w:link w:val="BalloonTextChar"/>
    <w:uiPriority w:val="99"/>
    <w:semiHidden/>
    <w:unhideWhenUsed/>
    <w:rsid w:val="00B76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60C"/>
    <w:rPr>
      <w:rFonts w:ascii="Segoe UI" w:hAnsi="Segoe UI" w:cs="Segoe UI"/>
      <w:sz w:val="18"/>
      <w:szCs w:val="18"/>
    </w:rPr>
  </w:style>
  <w:style w:type="character" w:styleId="Emphasis">
    <w:name w:val="Emphasis"/>
    <w:basedOn w:val="DefaultParagraphFont"/>
    <w:uiPriority w:val="20"/>
    <w:qFormat/>
    <w:rsid w:val="00C5015F"/>
    <w:rPr>
      <w:i/>
      <w:iCs/>
    </w:rPr>
  </w:style>
  <w:style w:type="character" w:customStyle="1" w:styleId="Heading3Char">
    <w:name w:val="Heading 3 Char"/>
    <w:basedOn w:val="DefaultParagraphFont"/>
    <w:link w:val="Heading3"/>
    <w:uiPriority w:val="9"/>
    <w:rsid w:val="00730089"/>
    <w:rPr>
      <w:rFonts w:asciiTheme="majorHAnsi" w:eastAsiaTheme="majorEastAsia" w:hAnsiTheme="majorHAnsi" w:cstheme="majorBidi"/>
      <w:b/>
      <w:color w:val="000000" w:themeColor="text1"/>
      <w:sz w:val="24"/>
      <w:szCs w:val="24"/>
    </w:rPr>
  </w:style>
  <w:style w:type="character" w:customStyle="1" w:styleId="Heading4Char">
    <w:name w:val="Heading 4 Char"/>
    <w:basedOn w:val="DefaultParagraphFont"/>
    <w:link w:val="Heading4"/>
    <w:uiPriority w:val="9"/>
    <w:rsid w:val="00730089"/>
    <w:rPr>
      <w:rFonts w:asciiTheme="majorHAnsi" w:eastAsiaTheme="majorEastAsia" w:hAnsiTheme="majorHAnsi" w:cstheme="majorBidi"/>
      <w:b/>
      <w:i/>
      <w:iCs/>
      <w:color w:val="000000" w:themeColor="text1"/>
      <w:sz w:val="24"/>
    </w:rPr>
  </w:style>
  <w:style w:type="paragraph" w:styleId="TOCHeading">
    <w:name w:val="TOC Heading"/>
    <w:basedOn w:val="Heading1"/>
    <w:next w:val="Normal"/>
    <w:uiPriority w:val="39"/>
    <w:unhideWhenUsed/>
    <w:qFormat/>
    <w:rsid w:val="00BF1A78"/>
    <w:pPr>
      <w:spacing w:line="259" w:lineRule="auto"/>
      <w:outlineLvl w:val="9"/>
    </w:pPr>
    <w:rPr>
      <w:lang w:val="en-US"/>
    </w:rPr>
  </w:style>
  <w:style w:type="paragraph" w:styleId="TOC2">
    <w:name w:val="toc 2"/>
    <w:basedOn w:val="Normal"/>
    <w:next w:val="Normal"/>
    <w:autoRedefine/>
    <w:uiPriority w:val="39"/>
    <w:unhideWhenUsed/>
    <w:rsid w:val="001219AE"/>
    <w:pPr>
      <w:tabs>
        <w:tab w:val="right" w:leader="dot" w:pos="9016"/>
      </w:tabs>
      <w:spacing w:after="100"/>
      <w:ind w:left="240"/>
    </w:pPr>
  </w:style>
  <w:style w:type="paragraph" w:styleId="TOC3">
    <w:name w:val="toc 3"/>
    <w:basedOn w:val="Normal"/>
    <w:next w:val="Normal"/>
    <w:autoRedefine/>
    <w:uiPriority w:val="39"/>
    <w:unhideWhenUsed/>
    <w:rsid w:val="00BF1A78"/>
    <w:pPr>
      <w:spacing w:after="100"/>
      <w:ind w:left="480"/>
    </w:pPr>
  </w:style>
  <w:style w:type="character" w:styleId="Hyperlink">
    <w:name w:val="Hyperlink"/>
    <w:basedOn w:val="DefaultParagraphFont"/>
    <w:uiPriority w:val="99"/>
    <w:unhideWhenUsed/>
    <w:rsid w:val="00BF1A78"/>
    <w:rPr>
      <w:color w:val="0000FF" w:themeColor="hyperlink"/>
      <w:u w:val="single"/>
    </w:rPr>
  </w:style>
  <w:style w:type="paragraph" w:styleId="Header">
    <w:name w:val="header"/>
    <w:basedOn w:val="Normal"/>
    <w:link w:val="HeaderChar"/>
    <w:uiPriority w:val="99"/>
    <w:unhideWhenUsed/>
    <w:rsid w:val="00BF1A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A78"/>
    <w:rPr>
      <w:rFonts w:ascii="Times New Roman" w:hAnsi="Times New Roman"/>
      <w:sz w:val="24"/>
    </w:rPr>
  </w:style>
  <w:style w:type="paragraph" w:styleId="Footer">
    <w:name w:val="footer"/>
    <w:basedOn w:val="Normal"/>
    <w:link w:val="FooterChar"/>
    <w:uiPriority w:val="99"/>
    <w:unhideWhenUsed/>
    <w:rsid w:val="00BF1A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A78"/>
    <w:rPr>
      <w:rFonts w:ascii="Times New Roman" w:hAnsi="Times New Roman"/>
      <w:sz w:val="24"/>
    </w:rPr>
  </w:style>
  <w:style w:type="character" w:styleId="UnresolvedMention">
    <w:name w:val="Unresolved Mention"/>
    <w:basedOn w:val="DefaultParagraphFont"/>
    <w:uiPriority w:val="99"/>
    <w:semiHidden/>
    <w:unhideWhenUsed/>
    <w:rsid w:val="00A92AB8"/>
    <w:rPr>
      <w:color w:val="605E5C"/>
      <w:shd w:val="clear" w:color="auto" w:fill="E1DFDD"/>
    </w:rPr>
  </w:style>
  <w:style w:type="paragraph" w:styleId="TOC1">
    <w:name w:val="toc 1"/>
    <w:basedOn w:val="Normal"/>
    <w:next w:val="Normal"/>
    <w:autoRedefine/>
    <w:uiPriority w:val="39"/>
    <w:unhideWhenUsed/>
    <w:rsid w:val="00C310C0"/>
    <w:pPr>
      <w:spacing w:after="100" w:line="259" w:lineRule="auto"/>
    </w:pPr>
    <w:rPr>
      <w:rFonts w:asciiTheme="minorHAnsi" w:eastAsiaTheme="minorEastAsia" w:hAnsiTheme="minorHAnsi" w:cs="Times New Roman"/>
      <w:sz w:val="22"/>
      <w:lang w:val="en-US"/>
    </w:rPr>
  </w:style>
  <w:style w:type="paragraph" w:customStyle="1" w:styleId="DOHAHeading2">
    <w:name w:val="DOHA Heading 2"/>
    <w:basedOn w:val="Normal"/>
    <w:link w:val="DOHAHeading2Char"/>
    <w:qFormat/>
    <w:rsid w:val="00414155"/>
    <w:pPr>
      <w:numPr>
        <w:numId w:val="23"/>
      </w:numPr>
      <w:spacing w:before="240" w:after="240" w:line="240" w:lineRule="auto"/>
    </w:pPr>
    <w:rPr>
      <w:rFonts w:eastAsia="Calibri" w:cs="Times New Roman"/>
      <w:b/>
    </w:rPr>
  </w:style>
  <w:style w:type="paragraph" w:customStyle="1" w:styleId="DOHAHeading3">
    <w:name w:val="DOHA Heading 3"/>
    <w:basedOn w:val="Normal"/>
    <w:link w:val="DOHAHeading3Char"/>
    <w:qFormat/>
    <w:rsid w:val="00414155"/>
    <w:pPr>
      <w:keepNext/>
      <w:numPr>
        <w:numId w:val="24"/>
      </w:numPr>
      <w:spacing w:before="240" w:after="240" w:line="240" w:lineRule="auto"/>
    </w:pPr>
    <w:rPr>
      <w:rFonts w:eastAsia="Calibri" w:cs="Times New Roman"/>
      <w:u w:val="single"/>
    </w:rPr>
  </w:style>
  <w:style w:type="character" w:customStyle="1" w:styleId="DOHAHeading2Char">
    <w:name w:val="DOHA Heading 2 Char"/>
    <w:link w:val="DOHAHeading2"/>
    <w:rsid w:val="00414155"/>
    <w:rPr>
      <w:rFonts w:ascii="Times New Roman" w:eastAsia="Calibri" w:hAnsi="Times New Roman" w:cs="Times New Roman"/>
      <w:b/>
      <w:sz w:val="24"/>
    </w:rPr>
  </w:style>
  <w:style w:type="character" w:customStyle="1" w:styleId="DOHAHeading3Char">
    <w:name w:val="DOHA Heading 3 Char"/>
    <w:link w:val="DOHAHeading3"/>
    <w:rsid w:val="00414155"/>
    <w:rPr>
      <w:rFonts w:ascii="Times New Roman" w:eastAsia="Calibri" w:hAnsi="Times New Roman" w:cs="Times New Roman"/>
      <w:sz w:val="24"/>
      <w:u w:val="single"/>
    </w:rPr>
  </w:style>
  <w:style w:type="character" w:customStyle="1" w:styleId="Heading5Char">
    <w:name w:val="Heading 5 Char"/>
    <w:basedOn w:val="DefaultParagraphFont"/>
    <w:link w:val="Heading5"/>
    <w:uiPriority w:val="9"/>
    <w:rsid w:val="004A02C1"/>
    <w:rPr>
      <w:rFonts w:asciiTheme="majorHAnsi" w:eastAsiaTheme="majorEastAsia" w:hAnsiTheme="majorHAnsi" w:cstheme="majorBidi"/>
      <w:i/>
      <w:iCs/>
      <w:color w:val="365F91" w:themeColor="accent1" w:themeShade="BF"/>
      <w:sz w:val="24"/>
    </w:rPr>
  </w:style>
  <w:style w:type="character" w:styleId="FollowedHyperlink">
    <w:name w:val="FollowedHyperlink"/>
    <w:basedOn w:val="DefaultParagraphFont"/>
    <w:uiPriority w:val="99"/>
    <w:semiHidden/>
    <w:unhideWhenUsed/>
    <w:rsid w:val="00580002"/>
    <w:rPr>
      <w:color w:val="800080" w:themeColor="followedHyperlink"/>
      <w:u w:val="single"/>
    </w:rPr>
  </w:style>
  <w:style w:type="paragraph" w:styleId="Revision">
    <w:name w:val="Revision"/>
    <w:hidden/>
    <w:uiPriority w:val="99"/>
    <w:semiHidden/>
    <w:rsid w:val="00693E9C"/>
    <w:pPr>
      <w:spacing w:after="0" w:line="240" w:lineRule="auto"/>
    </w:pPr>
    <w:rPr>
      <w:rFonts w:ascii="Times New Roman" w:hAnsi="Times New Roman"/>
      <w:sz w:val="24"/>
    </w:rPr>
  </w:style>
  <w:style w:type="paragraph" w:customStyle="1" w:styleId="paragraph">
    <w:name w:val="paragraph"/>
    <w:basedOn w:val="Normal"/>
    <w:rsid w:val="005601DE"/>
    <w:pPr>
      <w:spacing w:before="100" w:beforeAutospacing="1" w:after="100" w:afterAutospacing="1" w:line="240" w:lineRule="auto"/>
    </w:pPr>
    <w:rPr>
      <w:rFonts w:eastAsia="Times New Roman" w:cs="Times New Roman"/>
      <w:szCs w:val="24"/>
      <w:lang w:eastAsia="en-AU"/>
    </w:rPr>
  </w:style>
  <w:style w:type="paragraph" w:styleId="FootnoteText">
    <w:name w:val="footnote text"/>
    <w:basedOn w:val="Normal"/>
    <w:link w:val="FootnoteTextChar"/>
    <w:uiPriority w:val="99"/>
    <w:semiHidden/>
    <w:unhideWhenUsed/>
    <w:rsid w:val="00C01C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1C9F"/>
    <w:rPr>
      <w:rFonts w:ascii="Times New Roman" w:hAnsi="Times New Roman"/>
      <w:sz w:val="20"/>
      <w:szCs w:val="20"/>
    </w:rPr>
  </w:style>
  <w:style w:type="character" w:styleId="FootnoteReference">
    <w:name w:val="footnote reference"/>
    <w:basedOn w:val="DefaultParagraphFont"/>
    <w:uiPriority w:val="99"/>
    <w:semiHidden/>
    <w:unhideWhenUsed/>
    <w:rsid w:val="00C01C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461072">
      <w:bodyDiv w:val="1"/>
      <w:marLeft w:val="0"/>
      <w:marRight w:val="0"/>
      <w:marTop w:val="0"/>
      <w:marBottom w:val="0"/>
      <w:divBdr>
        <w:top w:val="none" w:sz="0" w:space="0" w:color="auto"/>
        <w:left w:val="none" w:sz="0" w:space="0" w:color="auto"/>
        <w:bottom w:val="none" w:sz="0" w:space="0" w:color="auto"/>
        <w:right w:val="none" w:sz="0" w:space="0" w:color="auto"/>
      </w:divBdr>
    </w:div>
    <w:div w:id="173113259">
      <w:bodyDiv w:val="1"/>
      <w:marLeft w:val="0"/>
      <w:marRight w:val="0"/>
      <w:marTop w:val="0"/>
      <w:marBottom w:val="0"/>
      <w:divBdr>
        <w:top w:val="none" w:sz="0" w:space="0" w:color="auto"/>
        <w:left w:val="none" w:sz="0" w:space="0" w:color="auto"/>
        <w:bottom w:val="none" w:sz="0" w:space="0" w:color="auto"/>
        <w:right w:val="none" w:sz="0" w:space="0" w:color="auto"/>
      </w:divBdr>
    </w:div>
    <w:div w:id="474184957">
      <w:bodyDiv w:val="1"/>
      <w:marLeft w:val="0"/>
      <w:marRight w:val="0"/>
      <w:marTop w:val="0"/>
      <w:marBottom w:val="0"/>
      <w:divBdr>
        <w:top w:val="none" w:sz="0" w:space="0" w:color="auto"/>
        <w:left w:val="none" w:sz="0" w:space="0" w:color="auto"/>
        <w:bottom w:val="none" w:sz="0" w:space="0" w:color="auto"/>
        <w:right w:val="none" w:sz="0" w:space="0" w:color="auto"/>
      </w:divBdr>
    </w:div>
    <w:div w:id="817964657">
      <w:bodyDiv w:val="1"/>
      <w:marLeft w:val="0"/>
      <w:marRight w:val="0"/>
      <w:marTop w:val="0"/>
      <w:marBottom w:val="0"/>
      <w:divBdr>
        <w:top w:val="none" w:sz="0" w:space="0" w:color="auto"/>
        <w:left w:val="none" w:sz="0" w:space="0" w:color="auto"/>
        <w:bottom w:val="none" w:sz="0" w:space="0" w:color="auto"/>
        <w:right w:val="none" w:sz="0" w:space="0" w:color="auto"/>
      </w:divBdr>
    </w:div>
    <w:div w:id="1880849754">
      <w:bodyDiv w:val="1"/>
      <w:marLeft w:val="0"/>
      <w:marRight w:val="0"/>
      <w:marTop w:val="0"/>
      <w:marBottom w:val="0"/>
      <w:divBdr>
        <w:top w:val="none" w:sz="0" w:space="0" w:color="auto"/>
        <w:left w:val="none" w:sz="0" w:space="0" w:color="auto"/>
        <w:bottom w:val="none" w:sz="0" w:space="0" w:color="auto"/>
        <w:right w:val="none" w:sz="0" w:space="0" w:color="auto"/>
      </w:divBdr>
    </w:div>
    <w:div w:id="200142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pp.gov.au/prosecution-process/prosecution-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resources/publications/guidance-for-public-officials-on-interacting-with-the-tobacco-industr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DCBCBD20F7FB4394A07C80972CB4CB" ma:contentTypeVersion="5" ma:contentTypeDescription="Create a new document." ma:contentTypeScope="" ma:versionID="fcb8533272c4e700374430cd1e7eced9">
  <xsd:schema xmlns:xsd="http://www.w3.org/2001/XMLSchema" xmlns:xs="http://www.w3.org/2001/XMLSchema" xmlns:p="http://schemas.microsoft.com/office/2006/metadata/properties" xmlns:ns3="69c88709-0b99-4425-af7a-b1cfe08d16ff" xmlns:ns4="9d4c0665-96ac-42b3-9aba-878b46ecfebb" targetNamespace="http://schemas.microsoft.com/office/2006/metadata/properties" ma:root="true" ma:fieldsID="d10625b06e2229d0dfe6b68016bd2aad" ns3:_="" ns4:_="">
    <xsd:import namespace="69c88709-0b99-4425-af7a-b1cfe08d16ff"/>
    <xsd:import namespace="9d4c0665-96ac-42b3-9aba-878b46ecfe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88709-0b99-4425-af7a-b1cfe08d1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4c0665-96ac-42b3-9aba-878b46ecfe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F3EE41-0AF5-4E96-95F9-C541DDA204C4}">
  <ds:schemaRefs>
    <ds:schemaRef ds:uri="http://schemas.openxmlformats.org/officeDocument/2006/bibliography"/>
  </ds:schemaRefs>
</ds:datastoreItem>
</file>

<file path=customXml/itemProps2.xml><?xml version="1.0" encoding="utf-8"?>
<ds:datastoreItem xmlns:ds="http://schemas.openxmlformats.org/officeDocument/2006/customXml" ds:itemID="{8AF2EB14-11EE-428E-A01F-0FF46B995CF6}">
  <ds:schemaRefs>
    <ds:schemaRef ds:uri="http://purl.org/dc/terms/"/>
    <ds:schemaRef ds:uri="http://schemas.microsoft.com/office/2006/documentManagement/types"/>
    <ds:schemaRef ds:uri="http://purl.org/dc/dcmitype/"/>
    <ds:schemaRef ds:uri="http://schemas.microsoft.com/office/infopath/2007/PartnerControls"/>
    <ds:schemaRef ds:uri="69c88709-0b99-4425-af7a-b1cfe08d16ff"/>
    <ds:schemaRef ds:uri="http://purl.org/dc/elements/1.1/"/>
    <ds:schemaRef ds:uri="http://schemas.microsoft.com/office/2006/metadata/properties"/>
    <ds:schemaRef ds:uri="http://schemas.openxmlformats.org/package/2006/metadata/core-properties"/>
    <ds:schemaRef ds:uri="9d4c0665-96ac-42b3-9aba-878b46ecfebb"/>
    <ds:schemaRef ds:uri="http://www.w3.org/XML/1998/namespace"/>
  </ds:schemaRefs>
</ds:datastoreItem>
</file>

<file path=customXml/itemProps3.xml><?xml version="1.0" encoding="utf-8"?>
<ds:datastoreItem xmlns:ds="http://schemas.openxmlformats.org/officeDocument/2006/customXml" ds:itemID="{8D9B2F9B-73B1-4E88-A631-512031C09AC8}">
  <ds:schemaRefs>
    <ds:schemaRef ds:uri="http://schemas.microsoft.com/sharepoint/v3/contenttype/forms"/>
  </ds:schemaRefs>
</ds:datastoreItem>
</file>

<file path=customXml/itemProps4.xml><?xml version="1.0" encoding="utf-8"?>
<ds:datastoreItem xmlns:ds="http://schemas.openxmlformats.org/officeDocument/2006/customXml" ds:itemID="{5F0196F8-D780-4049-BEDE-96526EAD0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88709-0b99-4425-af7a-b1cfe08d16ff"/>
    <ds:schemaRef ds:uri="9d4c0665-96ac-42b3-9aba-878b46ecf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4858</Words>
  <Characters>27695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Tobacco Control Enforcement Policy</dc:title>
  <dc:subject/>
  <dc:creator>Australian Government Department of Health</dc:creator>
  <cp:keywords>Smoking and tobacco</cp:keywords>
  <dc:description/>
  <cp:lastModifiedBy>JACOB, Reuben</cp:lastModifiedBy>
  <cp:revision>8</cp:revision>
  <cp:lastPrinted>2022-01-04T04:01:00Z</cp:lastPrinted>
  <dcterms:created xsi:type="dcterms:W3CDTF">2022-01-04T03:51:00Z</dcterms:created>
  <dcterms:modified xsi:type="dcterms:W3CDTF">2022-01-04T23:45:00Z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0x01010019DCBCBD20F7FB4394A07C80972CB4CB</vt:lpwstr>
  </property>
</Properties>
</file>