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25, 2021 Summary Notes for Selected Diseases</w:t>
      </w:r>
      <w:r>
        <w:rPr>
          <w:spacing w:val="-52"/>
          <w:u w:val="none"/>
        </w:rPr>
        <w:t> </w:t>
      </w:r>
      <w:bookmarkStart w:name="06 December to 19 December 2021" w:id="1"/>
      <w:bookmarkEnd w:id="1"/>
      <w:r>
        <w:rPr>
          <w:u w:val="single"/>
        </w:rPr>
        <w:t>06</w:t>
      </w:r>
      <w:r>
        <w:rPr>
          <w:u w:val="single"/>
        </w:rPr>
        <w:t> December</w:t>
      </w:r>
      <w:r>
        <w:rPr>
          <w:spacing w:val="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19</w:t>
      </w:r>
      <w:r>
        <w:rPr>
          <w:spacing w:val="-2"/>
          <w:u w:val="single"/>
        </w:rPr>
        <w:t> </w:t>
      </w:r>
      <w:r>
        <w:rPr>
          <w:u w:val="single"/>
        </w:rPr>
        <w:t>December</w:t>
      </w:r>
      <w:r>
        <w:rPr>
          <w:spacing w:val="2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spacing w:before="2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hyperlink r:id="rId6">
        <w:r>
          <w:rPr>
            <w:i/>
            <w:color w:val="0000FF"/>
            <w:u w:val="single" w:color="0000FF"/>
          </w:rPr>
          <w:t>National strategic approach for responding to rising rates of syphilis in Australia 2021</w:t>
        </w:r>
      </w:hyperlink>
      <w:r>
        <w:rPr>
          <w:i/>
          <w:color w:val="0000FF"/>
          <w:spacing w:val="1"/>
        </w:rPr>
        <w:t>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</w:pPr>
    </w:p>
    <w:p>
      <w:pPr>
        <w:pStyle w:val="BodyText"/>
        <w:ind w:left="112" w:right="579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For further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syphilis</w:t>
      </w:r>
      <w:r>
        <w:rPr>
          <w:spacing w:val="-3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8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(21/09/2021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19/12/2021).</w:t>
      </w:r>
    </w:p>
    <w:p>
      <w:pPr>
        <w:spacing w:before="119"/>
        <w:ind w:left="112" w:right="184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19/12/2021.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(20/12/2020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19/12/2021).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19/12/2021.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3"/>
        <w:ind w:left="10526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5.048004pt;margin-top:1.9672pt;width:900.85pt;height:700.0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3"/>
                    <w:gridCol w:w="2632"/>
                    <w:gridCol w:w="402"/>
                    <w:gridCol w:w="472"/>
                    <w:gridCol w:w="644"/>
                    <w:gridCol w:w="471"/>
                    <w:gridCol w:w="538"/>
                    <w:gridCol w:w="538"/>
                    <w:gridCol w:w="471"/>
                    <w:gridCol w:w="538"/>
                    <w:gridCol w:w="537"/>
                    <w:gridCol w:w="818"/>
                    <w:gridCol w:w="817"/>
                    <w:gridCol w:w="817"/>
                    <w:gridCol w:w="816"/>
                    <w:gridCol w:w="818"/>
                    <w:gridCol w:w="711"/>
                    <w:gridCol w:w="701"/>
                    <w:gridCol w:w="709"/>
                    <w:gridCol w:w="817"/>
                    <w:gridCol w:w="710"/>
                    <w:gridCol w:w="691"/>
                    <w:gridCol w:w="709"/>
                  </w:tblGrid>
                  <w:tr>
                    <w:trPr>
                      <w:trHeight w:val="216" w:hRule="atLeast"/>
                    </w:trPr>
                    <w:tc>
                      <w:tcPr>
                        <w:tcW w:w="17990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46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4" w:lineRule="exact"/>
                          <w:ind w:left="1243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sz w:val="33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3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3"/>
                          </w:rPr>
                          <w:t>FN25/2021</w:t>
                        </w:r>
                      </w:p>
                    </w:tc>
                    <w:tc>
                      <w:tcPr>
                        <w:tcW w:w="4209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424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 or Territory</w:t>
                        </w:r>
                      </w:p>
                    </w:tc>
                    <w:tc>
                      <w:tcPr>
                        <w:tcW w:w="3268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87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2939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51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27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52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81" w:hRule="atLeast"/>
                    </w:trPr>
                    <w:tc>
                      <w:tcPr>
                        <w:tcW w:w="1613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1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1" w:right="89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1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72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7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9"/>
                          <w:ind w:left="388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7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8" w:right="38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7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8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8" w:right="38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8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18" w:type="dxa"/>
                        <w:tcBorders>
                          <w:righ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16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6" w:right="4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06/12/2021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66" w:right="4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19/12/2021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146" w:right="131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22/11/2021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8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05/12/2021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61" w:lineRule="auto" w:before="27"/>
                          <w:ind w:left="111" w:right="97" w:hanging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 last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73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06/12/2020</w:t>
                        </w:r>
                      </w:p>
                      <w:p>
                        <w:pPr>
                          <w:pStyle w:val="TableParagraph"/>
                          <w:spacing w:line="134" w:lineRule="exact" w:before="17"/>
                          <w:ind w:left="73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19/12/2020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50" w:right="40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5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19/12/2021</w:t>
                        </w:r>
                      </w:p>
                    </w:tc>
                    <w:tc>
                      <w:tcPr>
                        <w:tcW w:w="818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21/09/2021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19/12/2021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73" w:right="75" w:hanging="8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21" w:right="13" w:firstLine="47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8" w:right="10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17" w:type="dxa"/>
                        <w:tcBorders>
                          <w:righ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 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20/12/2020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7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19/12/2021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61" w:lineRule="auto" w:before="27"/>
                          <w:ind w:left="173" w:right="163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3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20/12/2015</w:t>
                        </w:r>
                      </w:p>
                      <w:p>
                        <w:pPr>
                          <w:pStyle w:val="TableParagraph"/>
                          <w:spacing w:line="134" w:lineRule="exact" w:before="17"/>
                          <w:ind w:left="3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19/12/2020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22" w:right="14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9" w:right="9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(newly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35.2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82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149.4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93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4,766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1,296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1,369.4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4,865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5,728.2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 (newly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188.6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737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696.6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6,745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1,640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2,289.2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6,895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9,404.4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left="5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534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330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1,713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1,854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1,546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36,350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10,472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8,857.4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37,367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30,852.6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1,799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578.2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1,833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3,694.4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Haemolytic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uraemic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228.6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79.0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123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10,570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2,606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3,094.8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11,004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15,150.0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509.2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2,103.4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592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177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151.8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521.0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Typhoid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145.2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0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Avian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humans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COVID‐19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14,072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433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18,090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32,930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19,423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223,730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163,282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258.6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631.4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161,866.9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223,993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5,665.2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192,992.3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Middle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East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respiratory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coronavirus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Severe acute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respiratory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 (SARS)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Viral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haemorrhagic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 (NEC)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Yellow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13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Chlamydial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827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965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211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503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420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3,068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3,269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3,548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84,361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19,988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24,391.6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86,366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100,511.8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Gonococcal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243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116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26,045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5,704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7,146.4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26,752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29,666.4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&lt; 2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5,371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1,207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1,251.6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5,479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4,854.0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&gt;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unspecified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1,726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537.8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1,771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2,151.6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53" w:hanging="35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Vaccine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3.2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8.6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Haemophilus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type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(laboratory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728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22,902.8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147,378.6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92.0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524.2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559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3,359.4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12,409.4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Pneumococcal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1,335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455.6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1,380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1,801.0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Poliovirus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2,304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1,259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1,558.4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2,336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4,238.8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 congenital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 w:right="19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1,927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439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1,097.4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3,638.0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 w:right="19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98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10,345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2,363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3,281.8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10,743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12,426.2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6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19,746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5,757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3,500.6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lef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20,236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14,060.4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left="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Barmah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Forest 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373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80.6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416.8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Chikungunya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Dengue 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230.8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1,218.6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Flavivirus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Japanese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328.0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Murray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Valley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Ross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River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3,166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543.4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3,275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4,590.4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West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Nile/Kunjin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52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Australian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bat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73.4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Q fever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135.6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522.6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notifiable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iGAS^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082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6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6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215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111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lef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215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1,075.0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left="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537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124.0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431.4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Meningococcal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30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243.0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30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RSV^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6" w:right="19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1,172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773.0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1,172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1,172.0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1,413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411.2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1,458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1,476.8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464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279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16,101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231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2,721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1,156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171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19,652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1,191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41,502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28,642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9,277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445,711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218,687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451,883</w:t>
                        </w:r>
                      </w:p>
                    </w:tc>
                    <w:tc>
                      <w:tcPr>
                        <w:tcW w:w="2110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16"/>
        </w:rPr>
        <w:t>Notification</w:t>
      </w:r>
      <w:r>
        <w:rPr>
          <w:b/>
          <w:color w:val="FFFFFF"/>
          <w:spacing w:val="-4"/>
          <w:w w:val="105"/>
          <w:sz w:val="16"/>
        </w:rPr>
        <w:t> </w:t>
      </w:r>
      <w:r>
        <w:rPr>
          <w:b/>
          <w:color w:val="FFFFFF"/>
          <w:w w:val="105"/>
          <w:sz w:val="16"/>
        </w:rPr>
        <w:t>received</w:t>
      </w:r>
      <w:r>
        <w:rPr>
          <w:b/>
          <w:color w:val="FFFFFF"/>
          <w:spacing w:val="-2"/>
          <w:w w:val="105"/>
          <w:sz w:val="16"/>
        </w:rPr>
        <w:t> </w:t>
      </w:r>
      <w:r>
        <w:rPr>
          <w:b/>
          <w:color w:val="FFFFFF"/>
          <w:w w:val="105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2"/>
        </w:rPr>
      </w:pPr>
    </w:p>
    <w:p>
      <w:pPr>
        <w:spacing w:before="0"/>
        <w:ind w:left="13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34" w:right="10335" w:firstLine="0"/>
        <w:jc w:val="left"/>
        <w:rPr>
          <w:sz w:val="11"/>
        </w:rPr>
      </w:pPr>
      <w:r>
        <w:rPr>
          <w:spacing w:val="-1"/>
          <w:sz w:val="11"/>
        </w:rPr>
        <w:t>*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Ratio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90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day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prior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surveillance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period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past</w:t>
      </w:r>
      <w:r>
        <w:rPr>
          <w:spacing w:val="-5"/>
          <w:sz w:val="11"/>
        </w:rPr>
        <w:t> </w:t>
      </w:r>
      <w:r>
        <w:rPr>
          <w:sz w:val="11"/>
        </w:rPr>
        <w:t>90</w:t>
      </w:r>
      <w:r>
        <w:rPr>
          <w:spacing w:val="-4"/>
          <w:sz w:val="11"/>
        </w:rPr>
        <w:t> </w:t>
      </w:r>
      <w:r>
        <w:rPr>
          <w:sz w:val="11"/>
        </w:rPr>
        <w:t>day</w:t>
      </w:r>
      <w:r>
        <w:rPr>
          <w:spacing w:val="-5"/>
          <w:sz w:val="11"/>
        </w:rPr>
        <w:t> </w:t>
      </w:r>
      <w:r>
        <w:rPr>
          <w:sz w:val="11"/>
        </w:rPr>
        <w:t>5</w:t>
      </w:r>
      <w:r>
        <w:rPr>
          <w:spacing w:val="-4"/>
          <w:sz w:val="11"/>
        </w:rPr>
        <w:t> </w:t>
      </w:r>
      <w:r>
        <w:rPr>
          <w:sz w:val="11"/>
        </w:rPr>
        <w:t>year</w:t>
      </w:r>
      <w:r>
        <w:rPr>
          <w:spacing w:val="-5"/>
          <w:sz w:val="11"/>
        </w:rPr>
        <w:t> </w:t>
      </w:r>
      <w:r>
        <w:rPr>
          <w:sz w:val="11"/>
        </w:rPr>
        <w:t>rolling</w:t>
      </w:r>
      <w:r>
        <w:rPr>
          <w:spacing w:val="-5"/>
          <w:sz w:val="11"/>
        </w:rPr>
        <w:t> </w:t>
      </w:r>
      <w:r>
        <w:rPr>
          <w:sz w:val="11"/>
        </w:rPr>
        <w:t>mean,</w:t>
      </w:r>
      <w:r>
        <w:rPr>
          <w:spacing w:val="-5"/>
          <w:sz w:val="11"/>
        </w:rPr>
        <w:t> </w:t>
      </w:r>
      <w:r>
        <w:rPr>
          <w:sz w:val="11"/>
        </w:rPr>
        <w:t>or</w:t>
      </w:r>
      <w:r>
        <w:rPr>
          <w:spacing w:val="-4"/>
          <w:sz w:val="11"/>
        </w:rPr>
        <w:t> </w:t>
      </w:r>
      <w:r>
        <w:rPr>
          <w:sz w:val="11"/>
        </w:rPr>
        <w:t>ratio</w:t>
      </w:r>
      <w:r>
        <w:rPr>
          <w:spacing w:val="-4"/>
          <w:sz w:val="11"/>
        </w:rPr>
        <w:t> </w:t>
      </w:r>
      <w:r>
        <w:rPr>
          <w:sz w:val="11"/>
        </w:rPr>
        <w:t>of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period</w:t>
      </w:r>
      <w:r>
        <w:rPr>
          <w:spacing w:val="-4"/>
          <w:sz w:val="11"/>
        </w:rPr>
        <w:t> </w:t>
      </w:r>
      <w:r>
        <w:rPr>
          <w:sz w:val="11"/>
        </w:rPr>
        <w:t>prior</w:t>
      </w:r>
      <w:r>
        <w:rPr>
          <w:spacing w:val="-3"/>
          <w:sz w:val="11"/>
        </w:rPr>
        <w:t> </w:t>
      </w:r>
      <w:r>
        <w:rPr>
          <w:sz w:val="11"/>
        </w:rPr>
        <w:t>surveillance</w:t>
      </w:r>
      <w:r>
        <w:rPr>
          <w:spacing w:val="-6"/>
          <w:sz w:val="11"/>
        </w:rPr>
        <w:t> </w:t>
      </w:r>
      <w:r>
        <w:rPr>
          <w:sz w:val="11"/>
        </w:rPr>
        <w:t>period</w:t>
      </w:r>
      <w:r>
        <w:rPr>
          <w:spacing w:val="-3"/>
          <w:sz w:val="11"/>
        </w:rPr>
        <w:t> </w:t>
      </w:r>
      <w:r>
        <w:rPr>
          <w:sz w:val="11"/>
        </w:rPr>
        <w:t>to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period</w:t>
      </w:r>
      <w:r>
        <w:rPr>
          <w:spacing w:val="-4"/>
          <w:sz w:val="11"/>
        </w:rPr>
        <w:t> </w:t>
      </w:r>
      <w:r>
        <w:rPr>
          <w:sz w:val="11"/>
        </w:rPr>
        <w:t>5</w:t>
      </w:r>
      <w:r>
        <w:rPr>
          <w:spacing w:val="-4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rolling</w:t>
      </w:r>
      <w:r>
        <w:rPr>
          <w:spacing w:val="-5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-3"/>
          <w:sz w:val="11"/>
        </w:rPr>
        <w:t> </w:t>
      </w:r>
      <w:r>
        <w:rPr>
          <w:sz w:val="11"/>
        </w:rPr>
        <w:t>=</w:t>
      </w:r>
      <w:r>
        <w:rPr>
          <w:spacing w:val="-2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</w:t>
      </w:r>
      <w:r>
        <w:rPr>
          <w:spacing w:val="-2"/>
          <w:sz w:val="11"/>
        </w:rPr>
        <w:t> </w:t>
      </w:r>
      <w:r>
        <w:rPr>
          <w:sz w:val="11"/>
        </w:rPr>
        <w:t>=</w:t>
      </w:r>
      <w:r>
        <w:rPr>
          <w:spacing w:val="-2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2"/>
          <w:sz w:val="11"/>
        </w:rPr>
        <w:t> </w:t>
      </w:r>
      <w:r>
        <w:rPr>
          <w:sz w:val="11"/>
        </w:rPr>
        <w:t>Classified</w:t>
      </w:r>
    </w:p>
    <w:p>
      <w:pPr>
        <w:spacing w:before="29"/>
        <w:ind w:left="134" w:right="0" w:firstLine="0"/>
        <w:jc w:val="left"/>
        <w:rPr>
          <w:sz w:val="11"/>
        </w:rPr>
      </w:pPr>
      <w:r>
        <w:rPr>
          <w:spacing w:val="-1"/>
          <w:sz w:val="11"/>
        </w:rPr>
        <w:t>^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RSV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and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iGAS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were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listed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nationally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notifiable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diseases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1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July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2021.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However,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notification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numbers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presented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here</w:t>
      </w:r>
      <w:r>
        <w:rPr>
          <w:spacing w:val="-5"/>
          <w:sz w:val="11"/>
        </w:rPr>
        <w:t> </w:t>
      </w:r>
      <w:r>
        <w:rPr>
          <w:sz w:val="11"/>
        </w:rPr>
        <w:t>do</w:t>
      </w:r>
      <w:r>
        <w:rPr>
          <w:spacing w:val="-4"/>
          <w:sz w:val="11"/>
        </w:rPr>
        <w:t> </w:t>
      </w:r>
      <w:r>
        <w:rPr>
          <w:sz w:val="11"/>
        </w:rPr>
        <w:t>not</w:t>
      </w:r>
      <w:r>
        <w:rPr>
          <w:spacing w:val="-4"/>
          <w:sz w:val="11"/>
        </w:rPr>
        <w:t> </w:t>
      </w:r>
      <w:r>
        <w:rPr>
          <w:sz w:val="11"/>
        </w:rPr>
        <w:t>represent</w:t>
      </w:r>
      <w:r>
        <w:rPr>
          <w:spacing w:val="-6"/>
          <w:sz w:val="11"/>
        </w:rPr>
        <w:t> </w:t>
      </w:r>
      <w:r>
        <w:rPr>
          <w:sz w:val="11"/>
        </w:rPr>
        <w:t>a</w:t>
      </w:r>
      <w:r>
        <w:rPr>
          <w:spacing w:val="-3"/>
          <w:sz w:val="11"/>
        </w:rPr>
        <w:t> </w:t>
      </w:r>
      <w:r>
        <w:rPr>
          <w:sz w:val="11"/>
        </w:rPr>
        <w:t>national</w:t>
      </w:r>
      <w:r>
        <w:rPr>
          <w:spacing w:val="-5"/>
          <w:sz w:val="11"/>
        </w:rPr>
        <w:t> </w:t>
      </w:r>
      <w:r>
        <w:rPr>
          <w:sz w:val="11"/>
        </w:rPr>
        <w:t>picture,</w:t>
      </w:r>
      <w:r>
        <w:rPr>
          <w:spacing w:val="-5"/>
          <w:sz w:val="11"/>
        </w:rPr>
        <w:t> </w:t>
      </w:r>
      <w:r>
        <w:rPr>
          <w:sz w:val="11"/>
        </w:rPr>
        <w:t>as</w:t>
      </w:r>
      <w:r>
        <w:rPr>
          <w:spacing w:val="-4"/>
          <w:sz w:val="11"/>
        </w:rPr>
        <w:t> </w:t>
      </w:r>
      <w:r>
        <w:rPr>
          <w:sz w:val="11"/>
        </w:rPr>
        <w:t>these</w:t>
      </w:r>
      <w:r>
        <w:rPr>
          <w:spacing w:val="-5"/>
          <w:sz w:val="11"/>
        </w:rPr>
        <w:t> </w:t>
      </w:r>
      <w:r>
        <w:rPr>
          <w:sz w:val="11"/>
        </w:rPr>
        <w:t>conditions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6"/>
          <w:sz w:val="11"/>
        </w:rPr>
        <w:t> </w:t>
      </w:r>
      <w:r>
        <w:rPr>
          <w:sz w:val="11"/>
        </w:rPr>
        <w:t>not</w:t>
      </w:r>
      <w:r>
        <w:rPr>
          <w:spacing w:val="-4"/>
          <w:sz w:val="11"/>
        </w:rPr>
        <w:t> </w:t>
      </w:r>
      <w:r>
        <w:rPr>
          <w:sz w:val="11"/>
        </w:rPr>
        <w:t>yet</w:t>
      </w:r>
      <w:r>
        <w:rPr>
          <w:spacing w:val="-5"/>
          <w:sz w:val="11"/>
        </w:rPr>
        <w:t> </w:t>
      </w:r>
      <w:r>
        <w:rPr>
          <w:sz w:val="11"/>
        </w:rPr>
        <w:t>notifiable</w:t>
      </w:r>
      <w:r>
        <w:rPr>
          <w:spacing w:val="-5"/>
          <w:sz w:val="11"/>
        </w:rPr>
        <w:t> </w:t>
      </w:r>
      <w:r>
        <w:rPr>
          <w:sz w:val="11"/>
        </w:rPr>
        <w:t>in</w:t>
      </w:r>
      <w:r>
        <w:rPr>
          <w:spacing w:val="-4"/>
          <w:sz w:val="11"/>
        </w:rPr>
        <w:t> </w:t>
      </w:r>
      <w:r>
        <w:rPr>
          <w:sz w:val="11"/>
        </w:rPr>
        <w:t>all</w:t>
      </w:r>
      <w:r>
        <w:rPr>
          <w:spacing w:val="-5"/>
          <w:sz w:val="11"/>
        </w:rPr>
        <w:t> </w:t>
      </w:r>
      <w:r>
        <w:rPr>
          <w:sz w:val="11"/>
        </w:rPr>
        <w:t>states</w:t>
      </w:r>
      <w:r>
        <w:rPr>
          <w:spacing w:val="-3"/>
          <w:sz w:val="11"/>
        </w:rPr>
        <w:t> </w:t>
      </w:r>
      <w:r>
        <w:rPr>
          <w:sz w:val="11"/>
        </w:rPr>
        <w:t>and</w:t>
      </w:r>
      <w:r>
        <w:rPr>
          <w:spacing w:val="-5"/>
          <w:sz w:val="11"/>
        </w:rPr>
        <w:t> </w:t>
      </w:r>
      <w:r>
        <w:rPr>
          <w:sz w:val="11"/>
        </w:rPr>
        <w:t>territories.</w:t>
      </w:r>
    </w:p>
    <w:p>
      <w:pPr>
        <w:spacing w:line="256" w:lineRule="auto" w:before="19"/>
        <w:ind w:left="134" w:right="5288" w:firstLine="0"/>
        <w:jc w:val="left"/>
        <w:rPr>
          <w:sz w:val="11"/>
        </w:rPr>
      </w:pP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data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in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this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report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are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reliant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on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provision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data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from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states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and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territories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to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Australian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Government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Department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Health.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Backlogs</w:t>
      </w:r>
      <w:r>
        <w:rPr>
          <w:spacing w:val="-3"/>
          <w:sz w:val="11"/>
        </w:rPr>
        <w:t> </w:t>
      </w:r>
      <w:r>
        <w:rPr>
          <w:sz w:val="11"/>
        </w:rPr>
        <w:t>in</w:t>
      </w:r>
      <w:r>
        <w:rPr>
          <w:spacing w:val="-4"/>
          <w:sz w:val="11"/>
        </w:rPr>
        <w:t> </w:t>
      </w:r>
      <w:r>
        <w:rPr>
          <w:sz w:val="11"/>
        </w:rPr>
        <w:t>notifications</w:t>
      </w:r>
      <w:r>
        <w:rPr>
          <w:spacing w:val="-3"/>
          <w:sz w:val="11"/>
        </w:rPr>
        <w:t> </w:t>
      </w:r>
      <w:r>
        <w:rPr>
          <w:sz w:val="11"/>
        </w:rPr>
        <w:t>at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6"/>
          <w:sz w:val="11"/>
        </w:rPr>
        <w:t> </w:t>
      </w:r>
      <w:r>
        <w:rPr>
          <w:sz w:val="11"/>
        </w:rPr>
        <w:t>state</w:t>
      </w:r>
      <w:r>
        <w:rPr>
          <w:spacing w:val="-5"/>
          <w:sz w:val="11"/>
        </w:rPr>
        <w:t> </w:t>
      </w:r>
      <w:r>
        <w:rPr>
          <w:sz w:val="11"/>
        </w:rPr>
        <w:t>or</w:t>
      </w:r>
      <w:r>
        <w:rPr>
          <w:spacing w:val="-4"/>
          <w:sz w:val="11"/>
        </w:rPr>
        <w:t> </w:t>
      </w:r>
      <w:r>
        <w:rPr>
          <w:sz w:val="11"/>
        </w:rPr>
        <w:t>territory</w:t>
      </w:r>
      <w:r>
        <w:rPr>
          <w:spacing w:val="-5"/>
          <w:sz w:val="11"/>
        </w:rPr>
        <w:t> </w:t>
      </w:r>
      <w:r>
        <w:rPr>
          <w:sz w:val="11"/>
        </w:rPr>
        <w:t>level</w:t>
      </w:r>
      <w:r>
        <w:rPr>
          <w:spacing w:val="-5"/>
          <w:sz w:val="11"/>
        </w:rPr>
        <w:t> </w:t>
      </w:r>
      <w:r>
        <w:rPr>
          <w:sz w:val="11"/>
        </w:rPr>
        <w:t>may</w:t>
      </w:r>
      <w:r>
        <w:rPr>
          <w:spacing w:val="-6"/>
          <w:sz w:val="11"/>
        </w:rPr>
        <w:t> </w:t>
      </w:r>
      <w:r>
        <w:rPr>
          <w:sz w:val="11"/>
        </w:rPr>
        <w:t>contribute</w:t>
      </w:r>
      <w:r>
        <w:rPr>
          <w:spacing w:val="-5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4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</w:t>
      </w:r>
      <w:r>
        <w:rPr>
          <w:spacing w:val="-5"/>
          <w:sz w:val="11"/>
        </w:rPr>
        <w:t> </w:t>
      </w:r>
      <w:r>
        <w:rPr>
          <w:sz w:val="11"/>
        </w:rPr>
        <w:t>to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NNDSS.</w:t>
      </w:r>
      <w:r>
        <w:rPr>
          <w:spacing w:val="-5"/>
          <w:sz w:val="11"/>
        </w:rPr>
        <w:t> </w:t>
      </w:r>
      <w:r>
        <w:rPr>
          <w:sz w:val="11"/>
        </w:rPr>
        <w:t>Notifications</w:t>
      </w:r>
      <w:r>
        <w:rPr>
          <w:spacing w:val="-4"/>
          <w:sz w:val="11"/>
        </w:rPr>
        <w:t> </w:t>
      </w:r>
      <w:r>
        <w:rPr>
          <w:sz w:val="11"/>
        </w:rPr>
        <w:t>for</w:t>
      </w:r>
      <w:r>
        <w:rPr>
          <w:spacing w:val="-4"/>
          <w:sz w:val="11"/>
        </w:rPr>
        <w:t> </w:t>
      </w:r>
      <w:r>
        <w:rPr>
          <w:sz w:val="11"/>
        </w:rPr>
        <w:t>some</w:t>
      </w:r>
      <w:r>
        <w:rPr>
          <w:spacing w:val="-5"/>
          <w:sz w:val="11"/>
        </w:rPr>
        <w:t> </w:t>
      </w:r>
      <w:r>
        <w:rPr>
          <w:sz w:val="11"/>
        </w:rPr>
        <w:t>high</w:t>
      </w:r>
      <w:r>
        <w:rPr>
          <w:spacing w:val="-4"/>
          <w:sz w:val="11"/>
        </w:rPr>
        <w:t> </w:t>
      </w:r>
      <w:r>
        <w:rPr>
          <w:sz w:val="11"/>
        </w:rPr>
        <w:t>volume</w:t>
      </w:r>
      <w:r>
        <w:rPr>
          <w:spacing w:val="-5"/>
          <w:sz w:val="11"/>
        </w:rPr>
        <w:t> </w:t>
      </w:r>
      <w:r>
        <w:rPr>
          <w:sz w:val="11"/>
        </w:rPr>
        <w:t>conditions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are only uploaded quarterly by some jurisdictions, which can result in apparent large variability over time. The NNDSS </w:t>
      </w:r>
      <w:r>
        <w:rPr>
          <w:sz w:val="11"/>
        </w:rPr>
        <w:t>is a dynamic dataset, with data in this report representing data available on </w:t>
      </w:r>
      <w:r>
        <w:rPr>
          <w:b/>
          <w:color w:val="FF0000"/>
          <w:sz w:val="11"/>
        </w:rPr>
        <w:t>(21/12/2021). </w:t>
      </w:r>
      <w:r>
        <w:rPr>
          <w:sz w:val="11"/>
        </w:rPr>
        <w:t>Data in this report are subject to retrospective revision and may vary from data</w:t>
      </w:r>
      <w:r>
        <w:rPr>
          <w:spacing w:val="1"/>
          <w:sz w:val="11"/>
        </w:rPr>
        <w:t> </w:t>
      </w:r>
      <w:r>
        <w:rPr>
          <w:sz w:val="11"/>
        </w:rPr>
        <w:t>reported</w:t>
      </w:r>
      <w:r>
        <w:rPr>
          <w:spacing w:val="-1"/>
          <w:sz w:val="11"/>
        </w:rPr>
        <w:t> </w:t>
      </w:r>
      <w:r>
        <w:rPr>
          <w:sz w:val="11"/>
        </w:rPr>
        <w:t>in published NNDSS</w:t>
      </w:r>
      <w:r>
        <w:rPr>
          <w:spacing w:val="-2"/>
          <w:sz w:val="11"/>
        </w:rPr>
        <w:t> </w:t>
      </w:r>
      <w:r>
        <w:rPr>
          <w:sz w:val="11"/>
        </w:rPr>
        <w:t>reports and</w:t>
      </w:r>
      <w:r>
        <w:rPr>
          <w:spacing w:val="-1"/>
          <w:sz w:val="11"/>
        </w:rPr>
        <w:t> </w:t>
      </w:r>
      <w:r>
        <w:rPr>
          <w:sz w:val="11"/>
        </w:rPr>
        <w:t>reports of</w:t>
      </w:r>
      <w:r>
        <w:rPr>
          <w:spacing w:val="-1"/>
          <w:sz w:val="11"/>
        </w:rPr>
        <w:t> </w:t>
      </w:r>
      <w:r>
        <w:rPr>
          <w:sz w:val="11"/>
        </w:rPr>
        <w:t>notification data by</w:t>
      </w:r>
      <w:r>
        <w:rPr>
          <w:spacing w:val="-2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1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40" w:bottom="280" w:left="2800" w:right="2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3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-syphilis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title>NNDSS Fortnightly Report to CDNA</dc:title>
  <dcterms:created xsi:type="dcterms:W3CDTF">2022-01-30T22:40:03Z</dcterms:created>
  <dcterms:modified xsi:type="dcterms:W3CDTF">2022-01-30T22:40:03Z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2022-01-30T00:00:00Z</vt:filetime>
  </property>
</Properties>
</file>