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9CAD8" w14:textId="77032000" w:rsidR="00586636" w:rsidRDefault="009E6186" w:rsidP="00586636">
      <w:r>
        <w:rPr>
          <w:rFonts w:cstheme="minorHAnsi"/>
          <w:noProof/>
          <w:sz w:val="28"/>
          <w:szCs w:val="28"/>
          <w:lang w:eastAsia="en-AU"/>
        </w:rPr>
        <w:drawing>
          <wp:inline distT="0" distB="0" distL="0" distR="0" wp14:anchorId="6706D1EB" wp14:editId="4D340016">
            <wp:extent cx="5731510" cy="1246505"/>
            <wp:effectExtent l="0" t="0" r="2540" b="0"/>
            <wp:docPr id="2" name="Picture 2" descr="Medical Research Futur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ical Research Future Fun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46505"/>
                    </a:xfrm>
                    <a:prstGeom prst="rect">
                      <a:avLst/>
                    </a:prstGeom>
                    <a:noFill/>
                  </pic:spPr>
                </pic:pic>
              </a:graphicData>
            </a:graphic>
          </wp:inline>
        </w:drawing>
      </w:r>
      <w:bookmarkStart w:id="0" w:name="_Hlk79143899"/>
    </w:p>
    <w:p w14:paraId="38FF0E25" w14:textId="486E85B6" w:rsidR="00220D70" w:rsidRPr="00EE1C2C" w:rsidRDefault="00586636" w:rsidP="00EE1C2C">
      <w:pPr>
        <w:pStyle w:val="Heading1"/>
        <w:jc w:val="center"/>
      </w:pPr>
      <w:r w:rsidRPr="00EE1C2C">
        <w:t xml:space="preserve">Health and Medical </w:t>
      </w:r>
      <w:r w:rsidR="00075220" w:rsidRPr="00EE1C2C">
        <w:t xml:space="preserve">Early to Mid-Career </w:t>
      </w:r>
      <w:r w:rsidRPr="00EE1C2C">
        <w:t>Research</w:t>
      </w:r>
      <w:r w:rsidR="00075220" w:rsidRPr="00EE1C2C">
        <w:t xml:space="preserve">er </w:t>
      </w:r>
      <w:r w:rsidRPr="00EE1C2C">
        <w:t>Stakeholder Roundtable</w:t>
      </w:r>
      <w:r w:rsidR="005A5968" w:rsidRPr="00EE1C2C">
        <w:t xml:space="preserve"> - </w:t>
      </w:r>
      <w:r w:rsidRPr="00EE1C2C">
        <w:t>Background Paper</w:t>
      </w:r>
    </w:p>
    <w:p w14:paraId="560A9C4E" w14:textId="77777777" w:rsidR="005A5968" w:rsidRPr="005A5968" w:rsidRDefault="005A5968" w:rsidP="005A5968"/>
    <w:p w14:paraId="785CE3C4" w14:textId="04503910" w:rsidR="009E6186" w:rsidRPr="00305C89" w:rsidRDefault="00305C89" w:rsidP="00305C89">
      <w:pPr>
        <w:pStyle w:val="Heading2"/>
        <w:spacing w:before="0" w:after="100" w:afterAutospacing="1" w:line="240" w:lineRule="auto"/>
        <w:jc w:val="both"/>
        <w:rPr>
          <w:rFonts w:cstheme="minorHAnsi"/>
          <w:lang w:val="en-US"/>
        </w:rPr>
      </w:pPr>
      <w:r w:rsidRPr="00305C89">
        <w:rPr>
          <w:rFonts w:cstheme="minorHAnsi"/>
          <w:lang w:val="en-US"/>
        </w:rPr>
        <w:t>Introduction</w:t>
      </w:r>
    </w:p>
    <w:bookmarkEnd w:id="0"/>
    <w:p w14:paraId="02A357ED" w14:textId="390B24DF" w:rsidR="0080422A" w:rsidRDefault="00305C89" w:rsidP="00305C89">
      <w:pPr>
        <w:rPr>
          <w:rFonts w:asciiTheme="minorHAnsi" w:hAnsiTheme="minorHAnsi" w:cstheme="minorHAnsi"/>
          <w:sz w:val="22"/>
          <w:szCs w:val="22"/>
          <w:lang w:val="en-US"/>
        </w:rPr>
      </w:pPr>
      <w:r w:rsidRPr="00305C89">
        <w:rPr>
          <w:rFonts w:asciiTheme="minorHAnsi" w:hAnsiTheme="minorHAnsi" w:cstheme="minorHAnsi"/>
          <w:sz w:val="22"/>
          <w:szCs w:val="22"/>
          <w:lang w:val="en-US"/>
        </w:rPr>
        <w:t>The Minister for Health</w:t>
      </w:r>
      <w:r>
        <w:rPr>
          <w:rFonts w:asciiTheme="minorHAnsi" w:hAnsiTheme="minorHAnsi" w:cstheme="minorHAnsi"/>
          <w:sz w:val="22"/>
          <w:szCs w:val="22"/>
          <w:lang w:val="en-US"/>
        </w:rPr>
        <w:t xml:space="preserve"> and Aged Care, the Hon Greg Hunt MP, asked the Department of Health (the Department) to convene a Roundtable with </w:t>
      </w:r>
      <w:r w:rsidR="00472BA5">
        <w:rPr>
          <w:rFonts w:asciiTheme="minorHAnsi" w:hAnsiTheme="minorHAnsi" w:cstheme="minorHAnsi"/>
          <w:sz w:val="22"/>
          <w:szCs w:val="22"/>
          <w:lang w:val="en-US"/>
        </w:rPr>
        <w:t>stakeholders</w:t>
      </w:r>
      <w:r>
        <w:rPr>
          <w:rFonts w:asciiTheme="minorHAnsi" w:hAnsiTheme="minorHAnsi" w:cstheme="minorHAnsi"/>
          <w:sz w:val="22"/>
          <w:szCs w:val="22"/>
          <w:lang w:val="en-US"/>
        </w:rPr>
        <w:t xml:space="preserve"> </w:t>
      </w:r>
      <w:r w:rsidR="00CF40F6">
        <w:rPr>
          <w:rFonts w:asciiTheme="minorHAnsi" w:hAnsiTheme="minorHAnsi" w:cstheme="minorHAnsi"/>
          <w:sz w:val="22"/>
          <w:szCs w:val="22"/>
          <w:lang w:val="en-US"/>
        </w:rPr>
        <w:t xml:space="preserve">(Stakeholder Roundtable) </w:t>
      </w:r>
      <w:r>
        <w:rPr>
          <w:rFonts w:asciiTheme="minorHAnsi" w:hAnsiTheme="minorHAnsi" w:cstheme="minorHAnsi"/>
          <w:sz w:val="22"/>
          <w:szCs w:val="22"/>
          <w:lang w:val="en-US"/>
        </w:rPr>
        <w:t>who nominated early to mid-career researchers (EMCRs)</w:t>
      </w:r>
      <w:r w:rsidR="00A365B9">
        <w:rPr>
          <w:rStyle w:val="FootnoteReference"/>
          <w:rFonts w:asciiTheme="minorHAnsi" w:hAnsiTheme="minorHAnsi" w:cstheme="minorHAnsi"/>
          <w:sz w:val="22"/>
          <w:szCs w:val="22"/>
          <w:lang w:val="en-US"/>
        </w:rPr>
        <w:footnoteReference w:id="1"/>
      </w:r>
      <w:r>
        <w:rPr>
          <w:rFonts w:asciiTheme="minorHAnsi" w:hAnsiTheme="minorHAnsi" w:cstheme="minorHAnsi"/>
          <w:sz w:val="22"/>
          <w:szCs w:val="22"/>
          <w:lang w:val="en-US"/>
        </w:rPr>
        <w:t xml:space="preserve"> for the </w:t>
      </w:r>
      <w:r w:rsidR="00C63F72">
        <w:rPr>
          <w:rFonts w:asciiTheme="minorHAnsi" w:hAnsiTheme="minorHAnsi" w:cstheme="minorHAnsi"/>
          <w:sz w:val="22"/>
          <w:szCs w:val="22"/>
          <w:lang w:val="en-US"/>
        </w:rPr>
        <w:t xml:space="preserve">Health and Medical Research </w:t>
      </w:r>
      <w:r>
        <w:rPr>
          <w:rFonts w:asciiTheme="minorHAnsi" w:hAnsiTheme="minorHAnsi" w:cstheme="minorHAnsi"/>
          <w:sz w:val="22"/>
          <w:szCs w:val="22"/>
          <w:lang w:val="en-US"/>
        </w:rPr>
        <w:t xml:space="preserve">EMCR Roundtable </w:t>
      </w:r>
      <w:r w:rsidR="00C63F72">
        <w:rPr>
          <w:rFonts w:asciiTheme="minorHAnsi" w:hAnsiTheme="minorHAnsi" w:cstheme="minorHAnsi"/>
          <w:sz w:val="22"/>
          <w:szCs w:val="22"/>
          <w:lang w:val="en-US"/>
        </w:rPr>
        <w:t xml:space="preserve">(EMCR Roundtable) </w:t>
      </w:r>
      <w:r>
        <w:rPr>
          <w:rFonts w:asciiTheme="minorHAnsi" w:hAnsiTheme="minorHAnsi" w:cstheme="minorHAnsi"/>
          <w:sz w:val="22"/>
          <w:szCs w:val="22"/>
          <w:lang w:val="en-US"/>
        </w:rPr>
        <w:t>held on 6 May 2021</w:t>
      </w:r>
      <w:r w:rsidR="000900B0">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00CF40F6">
        <w:rPr>
          <w:rFonts w:asciiTheme="minorHAnsi" w:hAnsiTheme="minorHAnsi" w:cstheme="minorHAnsi"/>
          <w:sz w:val="22"/>
          <w:szCs w:val="22"/>
          <w:lang w:val="en-US"/>
        </w:rPr>
        <w:t xml:space="preserve">The purpose of the May EMCR Roundtable was to </w:t>
      </w:r>
      <w:r w:rsidR="00CF40F6" w:rsidRPr="00CF40F6">
        <w:rPr>
          <w:rFonts w:asciiTheme="minorHAnsi" w:hAnsiTheme="minorHAnsi" w:cstheme="minorHAnsi"/>
          <w:sz w:val="22"/>
          <w:szCs w:val="22"/>
          <w:lang w:val="en-US"/>
        </w:rPr>
        <w:t xml:space="preserve">better understand the factors impacting </w:t>
      </w:r>
      <w:r w:rsidR="00CF40F6">
        <w:rPr>
          <w:rFonts w:asciiTheme="minorHAnsi" w:hAnsiTheme="minorHAnsi" w:cstheme="minorHAnsi"/>
          <w:sz w:val="22"/>
          <w:szCs w:val="22"/>
          <w:lang w:val="en-US"/>
        </w:rPr>
        <w:t>EMCRs</w:t>
      </w:r>
      <w:r w:rsidR="00B51C90">
        <w:rPr>
          <w:rFonts w:asciiTheme="minorHAnsi" w:hAnsiTheme="minorHAnsi" w:cstheme="minorHAnsi"/>
          <w:sz w:val="22"/>
          <w:szCs w:val="22"/>
          <w:lang w:val="en-US"/>
        </w:rPr>
        <w:t>’</w:t>
      </w:r>
      <w:r w:rsidR="00CF40F6" w:rsidRPr="00CF40F6">
        <w:rPr>
          <w:rFonts w:asciiTheme="minorHAnsi" w:hAnsiTheme="minorHAnsi" w:cstheme="minorHAnsi"/>
          <w:sz w:val="22"/>
          <w:szCs w:val="22"/>
          <w:lang w:val="en-US"/>
        </w:rPr>
        <w:t xml:space="preserve"> ability to remain within the health and medical research sector</w:t>
      </w:r>
      <w:r w:rsidR="00CF40F6">
        <w:rPr>
          <w:rFonts w:asciiTheme="minorHAnsi" w:hAnsiTheme="minorHAnsi" w:cstheme="minorHAnsi"/>
          <w:sz w:val="22"/>
          <w:szCs w:val="22"/>
          <w:lang w:val="en-US"/>
        </w:rPr>
        <w:t>.</w:t>
      </w:r>
    </w:p>
    <w:p w14:paraId="04CCE4A4" w14:textId="1BECC781" w:rsidR="006925BB" w:rsidRPr="00726B0D" w:rsidRDefault="006925BB" w:rsidP="00955F46">
      <w:pPr>
        <w:rPr>
          <w:rFonts w:asciiTheme="minorHAnsi" w:hAnsiTheme="minorHAnsi" w:cstheme="minorHAnsi"/>
          <w:sz w:val="22"/>
          <w:szCs w:val="22"/>
          <w:lang w:val="en-US"/>
        </w:rPr>
      </w:pPr>
      <w:r>
        <w:rPr>
          <w:rFonts w:asciiTheme="minorHAnsi" w:hAnsiTheme="minorHAnsi" w:cstheme="minorHAnsi"/>
          <w:sz w:val="22"/>
          <w:szCs w:val="22"/>
          <w:lang w:val="en-US"/>
        </w:rPr>
        <w:t xml:space="preserve">The Stakeholder Roundtable will be facilitated by the </w:t>
      </w:r>
      <w:r w:rsidRPr="006925BB">
        <w:rPr>
          <w:rFonts w:asciiTheme="minorHAnsi" w:hAnsiTheme="minorHAnsi" w:cstheme="minorHAnsi"/>
          <w:sz w:val="22"/>
          <w:szCs w:val="22"/>
          <w:lang w:val="en-US"/>
        </w:rPr>
        <w:t>Health and Medical Research Office (HMRO</w:t>
      </w:r>
      <w:r>
        <w:rPr>
          <w:rFonts w:asciiTheme="minorHAnsi" w:hAnsiTheme="minorHAnsi" w:cstheme="minorHAnsi"/>
          <w:sz w:val="22"/>
          <w:szCs w:val="22"/>
          <w:lang w:val="en-US"/>
        </w:rPr>
        <w:t>), the area of the Department</w:t>
      </w:r>
      <w:r w:rsidRPr="006925BB">
        <w:rPr>
          <w:rFonts w:asciiTheme="minorHAnsi" w:hAnsiTheme="minorHAnsi" w:cstheme="minorHAnsi"/>
          <w:sz w:val="22"/>
          <w:szCs w:val="22"/>
          <w:lang w:val="en-US"/>
        </w:rPr>
        <w:t xml:space="preserve"> responsible for Medical Research Future Fund (MRFF) administration</w:t>
      </w:r>
      <w:r>
        <w:rPr>
          <w:rFonts w:asciiTheme="minorHAnsi" w:hAnsiTheme="minorHAnsi" w:cstheme="minorHAnsi"/>
          <w:sz w:val="22"/>
          <w:szCs w:val="22"/>
          <w:lang w:val="en-US"/>
        </w:rPr>
        <w:t>.</w:t>
      </w:r>
    </w:p>
    <w:p w14:paraId="0985D104" w14:textId="36380EFF" w:rsidR="009D4851" w:rsidRDefault="009D4851" w:rsidP="009D4851">
      <w:pPr>
        <w:pStyle w:val="Heading2"/>
        <w:spacing w:before="0" w:after="100" w:afterAutospacing="1" w:line="240" w:lineRule="auto"/>
        <w:jc w:val="both"/>
        <w:rPr>
          <w:rFonts w:cstheme="minorHAnsi"/>
          <w:lang w:val="en-US"/>
        </w:rPr>
      </w:pPr>
      <w:r>
        <w:rPr>
          <w:rFonts w:cstheme="minorHAnsi"/>
          <w:lang w:val="en-US"/>
        </w:rPr>
        <w:t>Purpose of the roundtable</w:t>
      </w:r>
    </w:p>
    <w:p w14:paraId="6DD483CE" w14:textId="7B9245AA" w:rsidR="00472BA5" w:rsidRPr="00E122A4" w:rsidRDefault="00EA037B" w:rsidP="00472BA5">
      <w:pPr>
        <w:rPr>
          <w:rFonts w:asciiTheme="minorHAnsi" w:hAnsiTheme="minorHAnsi" w:cstheme="minorHAnsi"/>
          <w:sz w:val="22"/>
          <w:szCs w:val="22"/>
          <w:lang w:val="en-US"/>
        </w:rPr>
      </w:pPr>
      <w:r w:rsidRPr="00E122A4">
        <w:rPr>
          <w:rFonts w:asciiTheme="minorHAnsi" w:hAnsiTheme="minorHAnsi" w:cstheme="minorHAnsi"/>
          <w:sz w:val="22"/>
          <w:szCs w:val="22"/>
          <w:lang w:val="en-US"/>
        </w:rPr>
        <w:t xml:space="preserve">The </w:t>
      </w:r>
      <w:r w:rsidR="00C63F72">
        <w:rPr>
          <w:rFonts w:asciiTheme="minorHAnsi" w:hAnsiTheme="minorHAnsi" w:cstheme="minorHAnsi"/>
          <w:sz w:val="22"/>
          <w:szCs w:val="22"/>
          <w:lang w:val="en-US"/>
        </w:rPr>
        <w:t xml:space="preserve">Stakeholder Roundtable </w:t>
      </w:r>
      <w:r w:rsidRPr="00E122A4">
        <w:rPr>
          <w:rFonts w:asciiTheme="minorHAnsi" w:hAnsiTheme="minorHAnsi" w:cstheme="minorHAnsi"/>
          <w:sz w:val="22"/>
          <w:szCs w:val="22"/>
          <w:lang w:val="en-US"/>
        </w:rPr>
        <w:t xml:space="preserve">is an opportunity </w:t>
      </w:r>
      <w:r w:rsidR="00472BA5" w:rsidRPr="00E122A4">
        <w:rPr>
          <w:rFonts w:asciiTheme="minorHAnsi" w:hAnsiTheme="minorHAnsi" w:cstheme="minorHAnsi"/>
          <w:sz w:val="22"/>
          <w:szCs w:val="22"/>
          <w:lang w:val="en-US"/>
        </w:rPr>
        <w:t>for peak</w:t>
      </w:r>
      <w:r w:rsidR="000A0398">
        <w:rPr>
          <w:rFonts w:asciiTheme="minorHAnsi" w:hAnsiTheme="minorHAnsi" w:cstheme="minorHAnsi"/>
          <w:sz w:val="22"/>
          <w:szCs w:val="22"/>
          <w:lang w:val="en-US"/>
        </w:rPr>
        <w:t xml:space="preserve"> research</w:t>
      </w:r>
      <w:r w:rsidR="00472BA5" w:rsidRPr="00E122A4">
        <w:rPr>
          <w:rFonts w:asciiTheme="minorHAnsi" w:hAnsiTheme="minorHAnsi" w:cstheme="minorHAnsi"/>
          <w:sz w:val="22"/>
          <w:szCs w:val="22"/>
          <w:lang w:val="en-US"/>
        </w:rPr>
        <w:t xml:space="preserve"> bodies, universities, </w:t>
      </w:r>
      <w:r w:rsidR="00CF40F6">
        <w:rPr>
          <w:rFonts w:asciiTheme="minorHAnsi" w:hAnsiTheme="minorHAnsi" w:cstheme="minorHAnsi"/>
          <w:sz w:val="22"/>
          <w:szCs w:val="22"/>
          <w:lang w:val="en-US"/>
        </w:rPr>
        <w:t>m</w:t>
      </w:r>
      <w:r w:rsidR="00CF40F6" w:rsidRPr="00E122A4">
        <w:rPr>
          <w:rFonts w:asciiTheme="minorHAnsi" w:hAnsiTheme="minorHAnsi" w:cstheme="minorHAnsi"/>
          <w:sz w:val="22"/>
          <w:szCs w:val="22"/>
          <w:lang w:val="en-US"/>
        </w:rPr>
        <w:t xml:space="preserve">edical </w:t>
      </w:r>
      <w:r w:rsidR="00CF40F6">
        <w:rPr>
          <w:rFonts w:asciiTheme="minorHAnsi" w:hAnsiTheme="minorHAnsi" w:cstheme="minorHAnsi"/>
          <w:sz w:val="22"/>
          <w:szCs w:val="22"/>
          <w:lang w:val="en-US"/>
        </w:rPr>
        <w:t>r</w:t>
      </w:r>
      <w:r w:rsidR="00CF40F6" w:rsidRPr="00E122A4">
        <w:rPr>
          <w:rFonts w:asciiTheme="minorHAnsi" w:hAnsiTheme="minorHAnsi" w:cstheme="minorHAnsi"/>
          <w:sz w:val="22"/>
          <w:szCs w:val="22"/>
          <w:lang w:val="en-US"/>
        </w:rPr>
        <w:t xml:space="preserve">esearch </w:t>
      </w:r>
      <w:r w:rsidR="00CF40F6">
        <w:rPr>
          <w:rFonts w:asciiTheme="minorHAnsi" w:hAnsiTheme="minorHAnsi" w:cstheme="minorHAnsi"/>
          <w:sz w:val="22"/>
          <w:szCs w:val="22"/>
          <w:lang w:val="en-US"/>
        </w:rPr>
        <w:t>i</w:t>
      </w:r>
      <w:r w:rsidR="00472BA5" w:rsidRPr="00E122A4">
        <w:rPr>
          <w:rFonts w:asciiTheme="minorHAnsi" w:hAnsiTheme="minorHAnsi" w:cstheme="minorHAnsi"/>
          <w:sz w:val="22"/>
          <w:szCs w:val="22"/>
          <w:lang w:val="en-US"/>
        </w:rPr>
        <w:t xml:space="preserve">nstitutes, and forums such as Academies to collectively </w:t>
      </w:r>
      <w:r w:rsidRPr="00E122A4">
        <w:rPr>
          <w:rFonts w:asciiTheme="minorHAnsi" w:hAnsiTheme="minorHAnsi" w:cstheme="minorHAnsi"/>
          <w:sz w:val="22"/>
          <w:szCs w:val="22"/>
          <w:lang w:val="en-US"/>
        </w:rPr>
        <w:t xml:space="preserve">engage with </w:t>
      </w:r>
      <w:r w:rsidR="00472BA5" w:rsidRPr="00E122A4">
        <w:rPr>
          <w:rFonts w:asciiTheme="minorHAnsi" w:hAnsiTheme="minorHAnsi" w:cstheme="minorHAnsi"/>
          <w:sz w:val="22"/>
          <w:szCs w:val="22"/>
          <w:lang w:val="en-US"/>
        </w:rPr>
        <w:t xml:space="preserve">feedback provided by EMCRs </w:t>
      </w:r>
      <w:r w:rsidR="00CF40F6">
        <w:rPr>
          <w:rFonts w:asciiTheme="minorHAnsi" w:hAnsiTheme="minorHAnsi" w:cstheme="minorHAnsi"/>
          <w:sz w:val="22"/>
          <w:szCs w:val="22"/>
          <w:lang w:val="en-US"/>
        </w:rPr>
        <w:t xml:space="preserve">at the </w:t>
      </w:r>
      <w:r w:rsidR="002A67B2">
        <w:rPr>
          <w:rFonts w:asciiTheme="minorHAnsi" w:hAnsiTheme="minorHAnsi" w:cstheme="minorHAnsi"/>
          <w:sz w:val="22"/>
          <w:szCs w:val="22"/>
          <w:lang w:val="en-US"/>
        </w:rPr>
        <w:t xml:space="preserve">6 </w:t>
      </w:r>
      <w:r w:rsidR="00CF40F6">
        <w:rPr>
          <w:rFonts w:asciiTheme="minorHAnsi" w:hAnsiTheme="minorHAnsi" w:cstheme="minorHAnsi"/>
          <w:sz w:val="22"/>
          <w:szCs w:val="22"/>
          <w:lang w:val="en-US"/>
        </w:rPr>
        <w:t>May</w:t>
      </w:r>
      <w:r w:rsidR="002A67B2">
        <w:rPr>
          <w:rFonts w:asciiTheme="minorHAnsi" w:hAnsiTheme="minorHAnsi" w:cstheme="minorHAnsi"/>
          <w:sz w:val="22"/>
          <w:szCs w:val="22"/>
          <w:lang w:val="en-US"/>
        </w:rPr>
        <w:t xml:space="preserve"> </w:t>
      </w:r>
      <w:r w:rsidR="00CF40F6">
        <w:rPr>
          <w:rFonts w:asciiTheme="minorHAnsi" w:hAnsiTheme="minorHAnsi" w:cstheme="minorHAnsi"/>
          <w:sz w:val="22"/>
          <w:szCs w:val="22"/>
          <w:lang w:val="en-US"/>
        </w:rPr>
        <w:t xml:space="preserve">2021 EMCR Roundtable. </w:t>
      </w:r>
      <w:r w:rsidR="00472BA5" w:rsidRPr="00E122A4">
        <w:rPr>
          <w:rFonts w:asciiTheme="minorHAnsi" w:hAnsiTheme="minorHAnsi" w:cstheme="minorHAnsi"/>
          <w:sz w:val="22"/>
          <w:szCs w:val="22"/>
          <w:lang w:val="en-US"/>
        </w:rPr>
        <w:t xml:space="preserve">Not all challenges faced by EMCRs can be solved by Government funding and/or policies, especially in the short-medium term, therefore </w:t>
      </w:r>
      <w:r w:rsidR="000900B0">
        <w:rPr>
          <w:rFonts w:asciiTheme="minorHAnsi" w:hAnsiTheme="minorHAnsi" w:cstheme="minorHAnsi"/>
          <w:sz w:val="22"/>
          <w:szCs w:val="22"/>
          <w:lang w:val="en-US"/>
        </w:rPr>
        <w:t xml:space="preserve">health and medical </w:t>
      </w:r>
      <w:r w:rsidR="00472BA5" w:rsidRPr="00E122A4">
        <w:rPr>
          <w:rFonts w:asciiTheme="minorHAnsi" w:hAnsiTheme="minorHAnsi" w:cstheme="minorHAnsi"/>
          <w:sz w:val="22"/>
          <w:szCs w:val="22"/>
          <w:lang w:val="en-US"/>
        </w:rPr>
        <w:t>sector engagement and collective effort is required</w:t>
      </w:r>
      <w:r w:rsidR="000900B0">
        <w:rPr>
          <w:rFonts w:asciiTheme="minorHAnsi" w:hAnsiTheme="minorHAnsi" w:cstheme="minorHAnsi"/>
          <w:sz w:val="22"/>
          <w:szCs w:val="22"/>
          <w:lang w:val="en-US"/>
        </w:rPr>
        <w:t xml:space="preserve"> to address this adaptive challenge.</w:t>
      </w:r>
    </w:p>
    <w:p w14:paraId="0FF4BA8E" w14:textId="519F5178" w:rsidR="00955F46" w:rsidRDefault="00472BA5" w:rsidP="00EA037B">
      <w:pPr>
        <w:rPr>
          <w:rFonts w:asciiTheme="minorHAnsi" w:hAnsiTheme="minorHAnsi" w:cstheme="minorHAnsi"/>
          <w:sz w:val="22"/>
          <w:szCs w:val="22"/>
          <w:lang w:val="en-US"/>
        </w:rPr>
      </w:pPr>
      <w:r w:rsidRPr="00E122A4">
        <w:rPr>
          <w:rFonts w:asciiTheme="minorHAnsi" w:hAnsiTheme="minorHAnsi" w:cstheme="minorHAnsi"/>
          <w:sz w:val="22"/>
          <w:szCs w:val="22"/>
          <w:lang w:val="en-US"/>
        </w:rPr>
        <w:t xml:space="preserve">This </w:t>
      </w:r>
      <w:r w:rsidR="00075220">
        <w:rPr>
          <w:rFonts w:asciiTheme="minorHAnsi" w:hAnsiTheme="minorHAnsi" w:cstheme="minorHAnsi"/>
          <w:sz w:val="22"/>
          <w:szCs w:val="22"/>
          <w:lang w:val="en-US"/>
        </w:rPr>
        <w:t xml:space="preserve">purpose of this follow-up </w:t>
      </w:r>
      <w:r w:rsidR="00B51C90">
        <w:rPr>
          <w:rFonts w:asciiTheme="minorHAnsi" w:hAnsiTheme="minorHAnsi" w:cstheme="minorHAnsi"/>
          <w:sz w:val="22"/>
          <w:szCs w:val="22"/>
          <w:lang w:val="en-US"/>
        </w:rPr>
        <w:t xml:space="preserve">Stakeholder </w:t>
      </w:r>
      <w:r w:rsidR="00075220">
        <w:rPr>
          <w:rFonts w:asciiTheme="minorHAnsi" w:hAnsiTheme="minorHAnsi" w:cstheme="minorHAnsi"/>
          <w:sz w:val="22"/>
          <w:szCs w:val="22"/>
          <w:lang w:val="en-US"/>
        </w:rPr>
        <w:t>Roundtable with organisations is</w:t>
      </w:r>
      <w:r w:rsidRPr="00E122A4">
        <w:rPr>
          <w:rFonts w:asciiTheme="minorHAnsi" w:hAnsiTheme="minorHAnsi" w:cstheme="minorHAnsi"/>
          <w:sz w:val="22"/>
          <w:szCs w:val="22"/>
          <w:lang w:val="en-US"/>
        </w:rPr>
        <w:t xml:space="preserve"> to</w:t>
      </w:r>
      <w:r w:rsidR="00955F46">
        <w:rPr>
          <w:rFonts w:asciiTheme="minorHAnsi" w:hAnsiTheme="minorHAnsi" w:cstheme="minorHAnsi"/>
          <w:sz w:val="22"/>
          <w:szCs w:val="22"/>
          <w:lang w:val="en-US"/>
        </w:rPr>
        <w:t>:</w:t>
      </w:r>
      <w:r w:rsidRPr="00E122A4">
        <w:rPr>
          <w:rFonts w:asciiTheme="minorHAnsi" w:hAnsiTheme="minorHAnsi" w:cstheme="minorHAnsi"/>
          <w:sz w:val="22"/>
          <w:szCs w:val="22"/>
          <w:lang w:val="en-US"/>
        </w:rPr>
        <w:t xml:space="preserve"> </w:t>
      </w:r>
    </w:p>
    <w:p w14:paraId="4BB335D2" w14:textId="4F79AF0E" w:rsidR="00332E71" w:rsidRPr="00075220" w:rsidRDefault="00332E71" w:rsidP="00075220">
      <w:pPr>
        <w:pStyle w:val="ListParagraph"/>
        <w:numPr>
          <w:ilvl w:val="0"/>
          <w:numId w:val="18"/>
        </w:numPr>
        <w:rPr>
          <w:rFonts w:asciiTheme="minorHAnsi" w:hAnsiTheme="minorHAnsi" w:cstheme="minorHAnsi"/>
          <w:sz w:val="22"/>
          <w:szCs w:val="22"/>
          <w:lang w:val="en-US"/>
        </w:rPr>
      </w:pPr>
      <w:r w:rsidRPr="00075220">
        <w:rPr>
          <w:rFonts w:asciiTheme="minorHAnsi" w:hAnsiTheme="minorHAnsi" w:cstheme="minorHAnsi"/>
          <w:sz w:val="22"/>
          <w:szCs w:val="22"/>
          <w:lang w:val="en-US"/>
        </w:rPr>
        <w:t>provide feedback to key stakeholder groups on the discussions and ideas raised at the May</w:t>
      </w:r>
      <w:r w:rsidR="00C51B26">
        <w:rPr>
          <w:rFonts w:asciiTheme="minorHAnsi" w:hAnsiTheme="minorHAnsi" w:cstheme="minorHAnsi"/>
          <w:sz w:val="22"/>
          <w:szCs w:val="22"/>
          <w:lang w:val="en-US"/>
        </w:rPr>
        <w:t> </w:t>
      </w:r>
      <w:r w:rsidRPr="00075220">
        <w:rPr>
          <w:rFonts w:asciiTheme="minorHAnsi" w:hAnsiTheme="minorHAnsi" w:cstheme="minorHAnsi"/>
          <w:sz w:val="22"/>
          <w:szCs w:val="22"/>
          <w:lang w:val="en-US"/>
        </w:rPr>
        <w:t xml:space="preserve">2021 EMCR Roundtable, </w:t>
      </w:r>
    </w:p>
    <w:p w14:paraId="3524A796" w14:textId="77777777" w:rsidR="00332E71" w:rsidRPr="00075220" w:rsidRDefault="00332E71" w:rsidP="00075220">
      <w:pPr>
        <w:pStyle w:val="ListParagraph"/>
        <w:numPr>
          <w:ilvl w:val="0"/>
          <w:numId w:val="18"/>
        </w:numPr>
        <w:rPr>
          <w:rFonts w:asciiTheme="minorHAnsi" w:hAnsiTheme="minorHAnsi" w:cstheme="minorHAnsi"/>
          <w:sz w:val="22"/>
          <w:szCs w:val="22"/>
          <w:lang w:val="en-US"/>
        </w:rPr>
      </w:pPr>
      <w:r w:rsidRPr="00075220">
        <w:rPr>
          <w:rFonts w:asciiTheme="minorHAnsi" w:hAnsiTheme="minorHAnsi" w:cstheme="minorHAnsi"/>
          <w:sz w:val="22"/>
          <w:szCs w:val="22"/>
          <w:lang w:val="en-US"/>
        </w:rPr>
        <w:t xml:space="preserve">discuss and share information on strategies that stakeholders currently have in place to support EMCRs, and </w:t>
      </w:r>
    </w:p>
    <w:p w14:paraId="5A3DE75A" w14:textId="77777777" w:rsidR="00332E71" w:rsidRPr="00075220" w:rsidRDefault="00332E71" w:rsidP="00075220">
      <w:pPr>
        <w:pStyle w:val="ListParagraph"/>
        <w:numPr>
          <w:ilvl w:val="0"/>
          <w:numId w:val="18"/>
        </w:numPr>
        <w:rPr>
          <w:rFonts w:asciiTheme="minorHAnsi" w:hAnsiTheme="minorHAnsi" w:cstheme="minorHAnsi"/>
          <w:sz w:val="22"/>
          <w:szCs w:val="22"/>
          <w:lang w:val="en-US"/>
        </w:rPr>
      </w:pPr>
      <w:r w:rsidRPr="00075220">
        <w:rPr>
          <w:rFonts w:asciiTheme="minorHAnsi" w:hAnsiTheme="minorHAnsi" w:cstheme="minorHAnsi"/>
          <w:sz w:val="22"/>
          <w:szCs w:val="22"/>
          <w:lang w:val="en-US"/>
        </w:rPr>
        <w:t>discuss additional opportunities/strategies that could support EMCRs within the health and medical research sector.</w:t>
      </w:r>
    </w:p>
    <w:p w14:paraId="3D1F245A" w14:textId="62E03C64" w:rsidR="005A5968" w:rsidRDefault="00472BA5" w:rsidP="00472BA5">
      <w:pPr>
        <w:rPr>
          <w:rFonts w:asciiTheme="minorHAnsi" w:hAnsiTheme="minorHAnsi" w:cstheme="minorHAnsi"/>
          <w:sz w:val="22"/>
          <w:szCs w:val="22"/>
          <w:lang w:val="en-US"/>
        </w:rPr>
      </w:pPr>
      <w:r w:rsidRPr="00E122A4">
        <w:rPr>
          <w:rFonts w:asciiTheme="minorHAnsi" w:hAnsiTheme="minorHAnsi" w:cstheme="minorHAnsi"/>
          <w:sz w:val="22"/>
          <w:szCs w:val="22"/>
          <w:lang w:val="en-US"/>
        </w:rPr>
        <w:t xml:space="preserve">A small cohort of EMCRs involved in the </w:t>
      </w:r>
      <w:r w:rsidR="00C51B26">
        <w:rPr>
          <w:rFonts w:asciiTheme="minorHAnsi" w:hAnsiTheme="minorHAnsi" w:cstheme="minorHAnsi"/>
          <w:sz w:val="22"/>
          <w:szCs w:val="22"/>
          <w:lang w:val="en-US"/>
        </w:rPr>
        <w:t xml:space="preserve">May 2021 </w:t>
      </w:r>
      <w:r w:rsidRPr="00E122A4">
        <w:rPr>
          <w:rFonts w:asciiTheme="minorHAnsi" w:hAnsiTheme="minorHAnsi" w:cstheme="minorHAnsi"/>
          <w:sz w:val="22"/>
          <w:szCs w:val="22"/>
          <w:lang w:val="en-US"/>
        </w:rPr>
        <w:t xml:space="preserve">EMCR Roundtable </w:t>
      </w:r>
      <w:r w:rsidR="007A5552">
        <w:rPr>
          <w:rFonts w:asciiTheme="minorHAnsi" w:hAnsiTheme="minorHAnsi" w:cstheme="minorHAnsi"/>
          <w:sz w:val="22"/>
          <w:szCs w:val="22"/>
          <w:lang w:val="en-US"/>
        </w:rPr>
        <w:t xml:space="preserve">will </w:t>
      </w:r>
      <w:r w:rsidRPr="00E122A4">
        <w:rPr>
          <w:rFonts w:asciiTheme="minorHAnsi" w:hAnsiTheme="minorHAnsi" w:cstheme="minorHAnsi"/>
          <w:sz w:val="22"/>
          <w:szCs w:val="22"/>
          <w:lang w:val="en-US"/>
        </w:rPr>
        <w:t>participate in this discussion</w:t>
      </w:r>
      <w:r w:rsidR="003E7478">
        <w:rPr>
          <w:rFonts w:asciiTheme="minorHAnsi" w:hAnsiTheme="minorHAnsi" w:cstheme="minorHAnsi"/>
          <w:sz w:val="22"/>
          <w:szCs w:val="22"/>
          <w:lang w:val="en-US"/>
        </w:rPr>
        <w:t xml:space="preserve"> </w:t>
      </w:r>
      <w:r w:rsidR="003E7478" w:rsidRPr="003E7478">
        <w:rPr>
          <w:rFonts w:asciiTheme="minorHAnsi" w:hAnsiTheme="minorHAnsi" w:cstheme="minorHAnsi"/>
          <w:sz w:val="22"/>
          <w:szCs w:val="22"/>
          <w:lang w:val="en-US"/>
        </w:rPr>
        <w:t>to present findings from the EMCR Roundtable</w:t>
      </w:r>
      <w:r w:rsidRPr="00E122A4">
        <w:rPr>
          <w:rFonts w:asciiTheme="minorHAnsi" w:hAnsiTheme="minorHAnsi" w:cstheme="minorHAnsi"/>
          <w:sz w:val="22"/>
          <w:szCs w:val="22"/>
          <w:lang w:val="en-US"/>
        </w:rPr>
        <w:t xml:space="preserve"> and to respond to questions and comments from the stakeholder</w:t>
      </w:r>
      <w:r w:rsidR="00422147">
        <w:rPr>
          <w:rFonts w:asciiTheme="minorHAnsi" w:hAnsiTheme="minorHAnsi" w:cstheme="minorHAnsi"/>
          <w:sz w:val="22"/>
          <w:szCs w:val="22"/>
          <w:lang w:val="en-US"/>
        </w:rPr>
        <w:t xml:space="preserve">s </w:t>
      </w:r>
      <w:r w:rsidR="00282C23">
        <w:rPr>
          <w:rFonts w:asciiTheme="minorHAnsi" w:hAnsiTheme="minorHAnsi" w:cstheme="minorHAnsi"/>
          <w:sz w:val="22"/>
          <w:szCs w:val="22"/>
          <w:lang w:val="en-US"/>
        </w:rPr>
        <w:t>attending</w:t>
      </w:r>
      <w:r w:rsidRPr="00E122A4">
        <w:rPr>
          <w:rFonts w:asciiTheme="minorHAnsi" w:hAnsiTheme="minorHAnsi" w:cstheme="minorHAnsi"/>
          <w:sz w:val="22"/>
          <w:szCs w:val="22"/>
          <w:lang w:val="en-US"/>
        </w:rPr>
        <w:t>.</w:t>
      </w:r>
      <w:r w:rsidR="00C63F72">
        <w:rPr>
          <w:rFonts w:asciiTheme="minorHAnsi" w:hAnsiTheme="minorHAnsi" w:cstheme="minorHAnsi"/>
          <w:sz w:val="22"/>
          <w:szCs w:val="22"/>
          <w:lang w:val="en-US"/>
        </w:rPr>
        <w:t xml:space="preserve"> </w:t>
      </w:r>
      <w:r w:rsidR="00944BB8">
        <w:rPr>
          <w:rFonts w:asciiTheme="minorHAnsi" w:hAnsiTheme="minorHAnsi" w:cstheme="minorHAnsi"/>
          <w:sz w:val="22"/>
          <w:szCs w:val="22"/>
          <w:lang w:val="en-US"/>
        </w:rPr>
        <w:t xml:space="preserve"> </w:t>
      </w:r>
      <w:r w:rsidR="003E7478" w:rsidRPr="00944BB8">
        <w:rPr>
          <w:rFonts w:asciiTheme="minorHAnsi" w:hAnsiTheme="minorHAnsi" w:cstheme="minorHAnsi"/>
          <w:sz w:val="22"/>
          <w:szCs w:val="22"/>
          <w:lang w:val="en-US"/>
        </w:rPr>
        <w:t>The pre-Stakeholder Roundtable submissions received in September</w:t>
      </w:r>
      <w:r w:rsidR="007A5552">
        <w:rPr>
          <w:rFonts w:asciiTheme="minorHAnsi" w:hAnsiTheme="minorHAnsi" w:cstheme="minorHAnsi"/>
          <w:sz w:val="22"/>
          <w:szCs w:val="22"/>
          <w:lang w:val="en-US"/>
        </w:rPr>
        <w:t xml:space="preserve"> </w:t>
      </w:r>
      <w:r w:rsidR="003E7478" w:rsidRPr="00944BB8">
        <w:rPr>
          <w:rFonts w:asciiTheme="minorHAnsi" w:hAnsiTheme="minorHAnsi" w:cstheme="minorHAnsi"/>
          <w:sz w:val="22"/>
          <w:szCs w:val="22"/>
          <w:lang w:val="en-US"/>
        </w:rPr>
        <w:t xml:space="preserve">2021 from </w:t>
      </w:r>
      <w:r w:rsidR="007A5552">
        <w:rPr>
          <w:rFonts w:asciiTheme="minorHAnsi" w:hAnsiTheme="minorHAnsi" w:cstheme="minorHAnsi"/>
          <w:sz w:val="22"/>
          <w:szCs w:val="22"/>
          <w:lang w:val="en-US"/>
        </w:rPr>
        <w:t xml:space="preserve">invited </w:t>
      </w:r>
      <w:r w:rsidR="003E7478" w:rsidRPr="00944BB8">
        <w:rPr>
          <w:rFonts w:asciiTheme="minorHAnsi" w:hAnsiTheme="minorHAnsi" w:cstheme="minorHAnsi"/>
          <w:sz w:val="22"/>
          <w:szCs w:val="22"/>
          <w:lang w:val="en-US"/>
        </w:rPr>
        <w:t>stakeholders</w:t>
      </w:r>
      <w:r w:rsidR="007A5552">
        <w:rPr>
          <w:rFonts w:asciiTheme="minorHAnsi" w:hAnsiTheme="minorHAnsi" w:cstheme="minorHAnsi"/>
          <w:sz w:val="22"/>
          <w:szCs w:val="22"/>
          <w:lang w:val="en-US"/>
        </w:rPr>
        <w:t xml:space="preserve"> </w:t>
      </w:r>
      <w:r w:rsidR="003E7478" w:rsidRPr="00944BB8">
        <w:rPr>
          <w:rFonts w:asciiTheme="minorHAnsi" w:hAnsiTheme="minorHAnsi" w:cstheme="minorHAnsi"/>
          <w:sz w:val="22"/>
          <w:szCs w:val="22"/>
          <w:lang w:val="en-US"/>
        </w:rPr>
        <w:t xml:space="preserve">will also be </w:t>
      </w:r>
      <w:r w:rsidR="007A5552">
        <w:rPr>
          <w:rFonts w:asciiTheme="minorHAnsi" w:hAnsiTheme="minorHAnsi" w:cstheme="minorHAnsi"/>
          <w:sz w:val="22"/>
          <w:szCs w:val="22"/>
          <w:lang w:val="en-US"/>
        </w:rPr>
        <w:t>discussed</w:t>
      </w:r>
      <w:r w:rsidR="003E7478" w:rsidRPr="00944BB8">
        <w:rPr>
          <w:rFonts w:asciiTheme="minorHAnsi" w:hAnsiTheme="minorHAnsi" w:cstheme="minorHAnsi"/>
          <w:sz w:val="22"/>
          <w:szCs w:val="22"/>
          <w:lang w:val="en-US"/>
        </w:rPr>
        <w:t>.</w:t>
      </w:r>
      <w:r w:rsidR="00944BB8">
        <w:rPr>
          <w:rFonts w:asciiTheme="minorHAnsi" w:hAnsiTheme="minorHAnsi" w:cstheme="minorHAnsi"/>
          <w:sz w:val="22"/>
          <w:szCs w:val="22"/>
          <w:lang w:val="en-US"/>
        </w:rPr>
        <w:t xml:space="preserve"> </w:t>
      </w:r>
      <w:r w:rsidR="00C63F72" w:rsidRPr="00C63F72">
        <w:rPr>
          <w:rFonts w:asciiTheme="minorHAnsi" w:hAnsiTheme="minorHAnsi" w:cstheme="minorHAnsi"/>
          <w:sz w:val="22"/>
          <w:szCs w:val="22"/>
          <w:lang w:val="en-US"/>
        </w:rPr>
        <w:t xml:space="preserve">The CEOs and staff of both the </w:t>
      </w:r>
      <w:r w:rsidR="00C63F72" w:rsidRPr="00C63F72">
        <w:rPr>
          <w:rFonts w:asciiTheme="minorHAnsi" w:hAnsiTheme="minorHAnsi" w:cstheme="minorHAnsi"/>
          <w:sz w:val="22"/>
          <w:szCs w:val="22"/>
          <w:lang w:val="en-US"/>
        </w:rPr>
        <w:lastRenderedPageBreak/>
        <w:t>National Health and Medical Research Council (NHMRC)</w:t>
      </w:r>
      <w:r w:rsidR="00403F5A">
        <w:rPr>
          <w:rFonts w:asciiTheme="minorHAnsi" w:hAnsiTheme="minorHAnsi" w:cstheme="minorHAnsi"/>
          <w:sz w:val="22"/>
          <w:szCs w:val="22"/>
          <w:lang w:val="en-US"/>
        </w:rPr>
        <w:t xml:space="preserve"> and </w:t>
      </w:r>
      <w:r w:rsidR="00C63F72" w:rsidRPr="00C63F72">
        <w:rPr>
          <w:rFonts w:asciiTheme="minorHAnsi" w:hAnsiTheme="minorHAnsi" w:cstheme="minorHAnsi"/>
          <w:sz w:val="22"/>
          <w:szCs w:val="22"/>
          <w:lang w:val="en-US"/>
        </w:rPr>
        <w:t>HMRO</w:t>
      </w:r>
      <w:r w:rsidR="00075220">
        <w:rPr>
          <w:rFonts w:asciiTheme="minorHAnsi" w:hAnsiTheme="minorHAnsi" w:cstheme="minorHAnsi"/>
          <w:sz w:val="22"/>
          <w:szCs w:val="22"/>
          <w:lang w:val="en-US"/>
        </w:rPr>
        <w:t xml:space="preserve">, as well as Australian Research Council (ARC) representatives </w:t>
      </w:r>
      <w:r w:rsidR="00C63F72">
        <w:rPr>
          <w:rFonts w:asciiTheme="minorHAnsi" w:hAnsiTheme="minorHAnsi" w:cstheme="minorHAnsi"/>
          <w:sz w:val="22"/>
          <w:szCs w:val="22"/>
          <w:lang w:val="en-US"/>
        </w:rPr>
        <w:t>will be</w:t>
      </w:r>
      <w:r w:rsidR="00C63F72" w:rsidRPr="00C63F72">
        <w:rPr>
          <w:rFonts w:asciiTheme="minorHAnsi" w:hAnsiTheme="minorHAnsi" w:cstheme="minorHAnsi"/>
          <w:sz w:val="22"/>
          <w:szCs w:val="22"/>
          <w:lang w:val="en-US"/>
        </w:rPr>
        <w:t xml:space="preserve"> present to support and listen to the discussion.</w:t>
      </w:r>
      <w:r w:rsidR="005A5968">
        <w:rPr>
          <w:rFonts w:asciiTheme="minorHAnsi" w:hAnsiTheme="minorHAnsi" w:cstheme="minorHAnsi"/>
          <w:sz w:val="22"/>
          <w:szCs w:val="22"/>
          <w:lang w:val="en-US"/>
        </w:rPr>
        <w:t xml:space="preserve"> </w:t>
      </w:r>
    </w:p>
    <w:p w14:paraId="63E57E32" w14:textId="5B2CCC26" w:rsidR="00422147" w:rsidRDefault="00C63F72" w:rsidP="00472BA5">
      <w:pPr>
        <w:rPr>
          <w:rFonts w:asciiTheme="minorHAnsi" w:hAnsiTheme="minorHAnsi" w:cstheme="minorHAnsi"/>
          <w:sz w:val="22"/>
          <w:szCs w:val="22"/>
          <w:lang w:val="en-US"/>
        </w:rPr>
      </w:pPr>
      <w:r>
        <w:rPr>
          <w:rFonts w:asciiTheme="minorHAnsi" w:hAnsiTheme="minorHAnsi" w:cstheme="minorHAnsi"/>
          <w:sz w:val="22"/>
          <w:szCs w:val="22"/>
          <w:lang w:val="en-US"/>
        </w:rPr>
        <w:t>Outcomes of the Stakeholder Roundtable and any strategies identified for action will be provided to the Minister, the EMCR</w:t>
      </w:r>
      <w:r w:rsidR="007A5552">
        <w:rPr>
          <w:rFonts w:asciiTheme="minorHAnsi" w:hAnsiTheme="minorHAnsi" w:cstheme="minorHAnsi"/>
          <w:sz w:val="22"/>
          <w:szCs w:val="22"/>
          <w:lang w:val="en-US"/>
        </w:rPr>
        <w:t xml:space="preserve">’s who attended the 6 May 2021 </w:t>
      </w:r>
      <w:r>
        <w:rPr>
          <w:rFonts w:asciiTheme="minorHAnsi" w:hAnsiTheme="minorHAnsi" w:cstheme="minorHAnsi"/>
          <w:sz w:val="22"/>
          <w:szCs w:val="22"/>
          <w:lang w:val="en-US"/>
        </w:rPr>
        <w:t xml:space="preserve">Roundtable </w:t>
      </w:r>
      <w:r w:rsidR="00220D70">
        <w:rPr>
          <w:rFonts w:asciiTheme="minorHAnsi" w:hAnsiTheme="minorHAnsi" w:cstheme="minorHAnsi"/>
          <w:sz w:val="22"/>
          <w:szCs w:val="22"/>
          <w:lang w:val="en-US"/>
        </w:rPr>
        <w:t>and</w:t>
      </w:r>
      <w:r w:rsidR="00906E74">
        <w:rPr>
          <w:rFonts w:asciiTheme="minorHAnsi" w:hAnsiTheme="minorHAnsi" w:cstheme="minorHAnsi"/>
          <w:sz w:val="22"/>
          <w:szCs w:val="22"/>
          <w:lang w:val="en-US"/>
        </w:rPr>
        <w:t xml:space="preserve"> </w:t>
      </w:r>
      <w:r w:rsidR="00075220">
        <w:rPr>
          <w:rFonts w:asciiTheme="minorHAnsi" w:hAnsiTheme="minorHAnsi" w:cstheme="minorHAnsi"/>
          <w:sz w:val="22"/>
          <w:szCs w:val="22"/>
          <w:lang w:val="en-US"/>
        </w:rPr>
        <w:t>invited stakeholders</w:t>
      </w:r>
      <w:r>
        <w:rPr>
          <w:rFonts w:asciiTheme="minorHAnsi" w:hAnsiTheme="minorHAnsi" w:cstheme="minorHAnsi"/>
          <w:sz w:val="22"/>
          <w:szCs w:val="22"/>
          <w:lang w:val="en-US"/>
        </w:rPr>
        <w:t xml:space="preserve">. </w:t>
      </w:r>
      <w:r w:rsidR="006925BB">
        <w:rPr>
          <w:rFonts w:asciiTheme="minorHAnsi" w:hAnsiTheme="minorHAnsi" w:cstheme="minorHAnsi"/>
          <w:sz w:val="22"/>
          <w:szCs w:val="22"/>
          <w:lang w:val="en-US"/>
        </w:rPr>
        <w:t xml:space="preserve">A follow up with </w:t>
      </w:r>
      <w:r w:rsidR="00761500">
        <w:rPr>
          <w:rFonts w:asciiTheme="minorHAnsi" w:hAnsiTheme="minorHAnsi" w:cstheme="minorHAnsi"/>
          <w:sz w:val="22"/>
          <w:szCs w:val="22"/>
          <w:lang w:val="en-US"/>
        </w:rPr>
        <w:t>s</w:t>
      </w:r>
      <w:r w:rsidR="006925BB">
        <w:rPr>
          <w:rFonts w:asciiTheme="minorHAnsi" w:hAnsiTheme="minorHAnsi" w:cstheme="minorHAnsi"/>
          <w:sz w:val="22"/>
          <w:szCs w:val="22"/>
          <w:lang w:val="en-US"/>
        </w:rPr>
        <w:t>takeholder</w:t>
      </w:r>
      <w:r w:rsidR="00761500">
        <w:rPr>
          <w:rFonts w:asciiTheme="minorHAnsi" w:hAnsiTheme="minorHAnsi" w:cstheme="minorHAnsi"/>
          <w:sz w:val="22"/>
          <w:szCs w:val="22"/>
          <w:lang w:val="en-US"/>
        </w:rPr>
        <w:t>s</w:t>
      </w:r>
      <w:r w:rsidR="006925BB">
        <w:rPr>
          <w:rFonts w:asciiTheme="minorHAnsi" w:hAnsiTheme="minorHAnsi" w:cstheme="minorHAnsi"/>
          <w:sz w:val="22"/>
          <w:szCs w:val="22"/>
          <w:lang w:val="en-US"/>
        </w:rPr>
        <w:t xml:space="preserve"> may be </w:t>
      </w:r>
      <w:r w:rsidR="000F426C">
        <w:rPr>
          <w:rFonts w:asciiTheme="minorHAnsi" w:hAnsiTheme="minorHAnsi" w:cstheme="minorHAnsi"/>
          <w:sz w:val="22"/>
          <w:szCs w:val="22"/>
          <w:lang w:val="en-US"/>
        </w:rPr>
        <w:t>scheduled in due course to discuss stakeholder experiences with implementation of identified actions and any additional ideas.</w:t>
      </w:r>
    </w:p>
    <w:p w14:paraId="75B08203" w14:textId="47BF7A7D" w:rsidR="00422147" w:rsidRDefault="00422147" w:rsidP="00422147">
      <w:pPr>
        <w:pStyle w:val="Heading2"/>
        <w:spacing w:before="0" w:after="100" w:afterAutospacing="1" w:line="240" w:lineRule="auto"/>
        <w:jc w:val="both"/>
        <w:rPr>
          <w:rFonts w:cstheme="minorHAnsi"/>
          <w:lang w:val="en-US"/>
        </w:rPr>
      </w:pPr>
      <w:r>
        <w:rPr>
          <w:rFonts w:cstheme="minorHAnsi"/>
          <w:lang w:val="en-US"/>
        </w:rPr>
        <w:t>background</w:t>
      </w:r>
      <w:r w:rsidR="00B51C90">
        <w:rPr>
          <w:rFonts w:cstheme="minorHAnsi"/>
          <w:lang w:val="en-US"/>
        </w:rPr>
        <w:t xml:space="preserve"> – THE EMCR Roundtable</w:t>
      </w:r>
    </w:p>
    <w:p w14:paraId="39060D49" w14:textId="57259911" w:rsidR="00422147" w:rsidRPr="00A365B9" w:rsidRDefault="00422147" w:rsidP="00422147">
      <w:pPr>
        <w:pStyle w:val="Default"/>
        <w:rPr>
          <w:sz w:val="22"/>
          <w:szCs w:val="22"/>
        </w:rPr>
      </w:pPr>
      <w:r>
        <w:rPr>
          <w:sz w:val="22"/>
          <w:szCs w:val="22"/>
        </w:rPr>
        <w:t xml:space="preserve">The Minister asked the Department to convene a roundtable with EMCRs to better understand the factors impacting their ability to remain within the health and medical research sector. The virtual EMCR Roundtable took place on 6 May 2021. Prior to the </w:t>
      </w:r>
      <w:r w:rsidR="00C63F72">
        <w:rPr>
          <w:sz w:val="22"/>
          <w:szCs w:val="22"/>
        </w:rPr>
        <w:t xml:space="preserve">EMCR </w:t>
      </w:r>
      <w:r>
        <w:rPr>
          <w:sz w:val="22"/>
          <w:szCs w:val="22"/>
        </w:rPr>
        <w:t>Roundtable, written feedback was received from over twenty sources (individual EMCR perspectives, or summaries of the views of EMCR groups). This feedback was used as the basis for</w:t>
      </w:r>
      <w:r w:rsidR="00D34595">
        <w:rPr>
          <w:sz w:val="22"/>
          <w:szCs w:val="22"/>
        </w:rPr>
        <w:t xml:space="preserve"> </w:t>
      </w:r>
      <w:r w:rsidR="00B51C90">
        <w:rPr>
          <w:sz w:val="22"/>
          <w:szCs w:val="22"/>
        </w:rPr>
        <w:t xml:space="preserve">both </w:t>
      </w:r>
      <w:r w:rsidR="00E536A4">
        <w:rPr>
          <w:sz w:val="22"/>
          <w:szCs w:val="22"/>
        </w:rPr>
        <w:t>the EMCR Background Paper, which also included information on the MRFF and funding landscape</w:t>
      </w:r>
      <w:r w:rsidR="00FD2F0E">
        <w:rPr>
          <w:sz w:val="22"/>
          <w:szCs w:val="22"/>
        </w:rPr>
        <w:t xml:space="preserve">, </w:t>
      </w:r>
      <w:r w:rsidR="00E536A4">
        <w:rPr>
          <w:sz w:val="22"/>
          <w:szCs w:val="22"/>
        </w:rPr>
        <w:t xml:space="preserve">and </w:t>
      </w:r>
      <w:r w:rsidR="00D34595">
        <w:rPr>
          <w:sz w:val="22"/>
          <w:szCs w:val="22"/>
        </w:rPr>
        <w:t xml:space="preserve">the EMCR </w:t>
      </w:r>
      <w:r w:rsidR="00E536A4">
        <w:rPr>
          <w:sz w:val="22"/>
          <w:szCs w:val="22"/>
        </w:rPr>
        <w:t>Roundtable discussion.</w:t>
      </w:r>
    </w:p>
    <w:p w14:paraId="1AF6E827" w14:textId="77777777" w:rsidR="00422147" w:rsidRDefault="00422147" w:rsidP="00422147">
      <w:pPr>
        <w:pStyle w:val="Default"/>
        <w:rPr>
          <w:sz w:val="22"/>
          <w:szCs w:val="22"/>
        </w:rPr>
      </w:pPr>
    </w:p>
    <w:p w14:paraId="75F861D4" w14:textId="586E12B1" w:rsidR="00422147" w:rsidRDefault="00422147" w:rsidP="00422147">
      <w:pPr>
        <w:pStyle w:val="Default"/>
        <w:rPr>
          <w:sz w:val="22"/>
          <w:szCs w:val="22"/>
        </w:rPr>
      </w:pPr>
      <w:r>
        <w:rPr>
          <w:sz w:val="22"/>
          <w:szCs w:val="22"/>
        </w:rPr>
        <w:t xml:space="preserve">At the </w:t>
      </w:r>
      <w:r w:rsidR="00C63F72">
        <w:rPr>
          <w:sz w:val="22"/>
          <w:szCs w:val="22"/>
        </w:rPr>
        <w:t xml:space="preserve">EMCR </w:t>
      </w:r>
      <w:r>
        <w:rPr>
          <w:sz w:val="22"/>
          <w:szCs w:val="22"/>
        </w:rPr>
        <w:t>Roundtable, 2</w:t>
      </w:r>
      <w:r w:rsidR="00075220">
        <w:rPr>
          <w:sz w:val="22"/>
          <w:szCs w:val="22"/>
        </w:rPr>
        <w:t>8</w:t>
      </w:r>
      <w:r>
        <w:rPr>
          <w:sz w:val="22"/>
          <w:szCs w:val="22"/>
        </w:rPr>
        <w:t xml:space="preserve"> EMCRs contributed their time to bring a valuable mix of diverse perspectives, </w:t>
      </w:r>
      <w:r w:rsidR="00EC4334">
        <w:rPr>
          <w:sz w:val="22"/>
          <w:szCs w:val="22"/>
        </w:rPr>
        <w:t>views,</w:t>
      </w:r>
      <w:r>
        <w:rPr>
          <w:sz w:val="22"/>
          <w:szCs w:val="22"/>
        </w:rPr>
        <w:t xml:space="preserve"> and experiences to the discussion on the drivers impacting their ability to remain within the sector and potential solutions to these challenges. The CEOs and staff of both the </w:t>
      </w:r>
      <w:r w:rsidR="00C63F72">
        <w:rPr>
          <w:sz w:val="22"/>
          <w:szCs w:val="22"/>
        </w:rPr>
        <w:t>NHMRC and HMRO</w:t>
      </w:r>
      <w:r>
        <w:rPr>
          <w:sz w:val="22"/>
          <w:szCs w:val="22"/>
        </w:rPr>
        <w:t xml:space="preserve"> were present to support and listen to the discussion.</w:t>
      </w:r>
      <w:r w:rsidR="00944BB8">
        <w:rPr>
          <w:sz w:val="22"/>
          <w:szCs w:val="22"/>
        </w:rPr>
        <w:t xml:space="preserve"> </w:t>
      </w:r>
      <w:r>
        <w:rPr>
          <w:sz w:val="22"/>
          <w:szCs w:val="22"/>
        </w:rPr>
        <w:t xml:space="preserve">The outcomes from the </w:t>
      </w:r>
      <w:r w:rsidR="000F426C">
        <w:rPr>
          <w:sz w:val="22"/>
          <w:szCs w:val="22"/>
        </w:rPr>
        <w:t xml:space="preserve">EMCR </w:t>
      </w:r>
      <w:r>
        <w:rPr>
          <w:sz w:val="22"/>
          <w:szCs w:val="22"/>
        </w:rPr>
        <w:t xml:space="preserve">Roundtable were provided to the </w:t>
      </w:r>
      <w:r w:rsidR="00C63F72">
        <w:rPr>
          <w:sz w:val="22"/>
          <w:szCs w:val="22"/>
        </w:rPr>
        <w:t>EMCRs</w:t>
      </w:r>
      <w:r w:rsidR="000F426C">
        <w:rPr>
          <w:sz w:val="22"/>
          <w:szCs w:val="22"/>
        </w:rPr>
        <w:t xml:space="preserve">. </w:t>
      </w:r>
      <w:r w:rsidR="00C63F72">
        <w:rPr>
          <w:sz w:val="22"/>
          <w:szCs w:val="22"/>
        </w:rPr>
        <w:t xml:space="preserve"> </w:t>
      </w:r>
      <w:r w:rsidR="000F426C">
        <w:rPr>
          <w:sz w:val="22"/>
          <w:szCs w:val="22"/>
        </w:rPr>
        <w:t>T</w:t>
      </w:r>
      <w:r w:rsidR="00847206">
        <w:rPr>
          <w:sz w:val="22"/>
          <w:szCs w:val="22"/>
        </w:rPr>
        <w:t>he recommendations that emerged</w:t>
      </w:r>
      <w:r>
        <w:rPr>
          <w:sz w:val="22"/>
          <w:szCs w:val="22"/>
        </w:rPr>
        <w:t xml:space="preserve"> have </w:t>
      </w:r>
      <w:r w:rsidR="000F426C">
        <w:rPr>
          <w:sz w:val="22"/>
          <w:szCs w:val="22"/>
        </w:rPr>
        <w:t xml:space="preserve">also </w:t>
      </w:r>
      <w:r>
        <w:rPr>
          <w:sz w:val="22"/>
          <w:szCs w:val="22"/>
        </w:rPr>
        <w:t xml:space="preserve">been considered by the Minister. The Department is </w:t>
      </w:r>
      <w:r w:rsidR="00D91D36">
        <w:rPr>
          <w:sz w:val="22"/>
          <w:szCs w:val="22"/>
        </w:rPr>
        <w:t>currently</w:t>
      </w:r>
      <w:r>
        <w:rPr>
          <w:sz w:val="22"/>
          <w:szCs w:val="22"/>
        </w:rPr>
        <w:t xml:space="preserve"> </w:t>
      </w:r>
      <w:r w:rsidR="00E536A4">
        <w:rPr>
          <w:sz w:val="22"/>
          <w:szCs w:val="22"/>
        </w:rPr>
        <w:t xml:space="preserve">considering </w:t>
      </w:r>
      <w:r w:rsidR="000F426C">
        <w:rPr>
          <w:sz w:val="22"/>
          <w:szCs w:val="22"/>
        </w:rPr>
        <w:t xml:space="preserve">options to address </w:t>
      </w:r>
      <w:r>
        <w:rPr>
          <w:sz w:val="22"/>
          <w:szCs w:val="22"/>
        </w:rPr>
        <w:t xml:space="preserve">feedback provided within </w:t>
      </w:r>
      <w:r w:rsidR="00D34595">
        <w:rPr>
          <w:sz w:val="22"/>
          <w:szCs w:val="22"/>
        </w:rPr>
        <w:t>the scope of the MRFF</w:t>
      </w:r>
      <w:r w:rsidR="00C63F72">
        <w:rPr>
          <w:sz w:val="22"/>
          <w:szCs w:val="22"/>
        </w:rPr>
        <w:t xml:space="preserve">. </w:t>
      </w:r>
      <w:r w:rsidR="00EC4334">
        <w:rPr>
          <w:sz w:val="22"/>
          <w:szCs w:val="22"/>
        </w:rPr>
        <w:t>As</w:t>
      </w:r>
      <w:r w:rsidR="000F426C">
        <w:rPr>
          <w:sz w:val="22"/>
          <w:szCs w:val="22"/>
        </w:rPr>
        <w:t xml:space="preserve"> </w:t>
      </w:r>
      <w:r w:rsidR="00EC4334">
        <w:rPr>
          <w:sz w:val="22"/>
          <w:szCs w:val="22"/>
        </w:rPr>
        <w:t>several</w:t>
      </w:r>
      <w:r w:rsidR="00847206">
        <w:rPr>
          <w:sz w:val="22"/>
          <w:szCs w:val="22"/>
        </w:rPr>
        <w:t xml:space="preserve"> recommendations fall within the remit of the sector more broadly, the Minister asked the Department to convene this second roundtable</w:t>
      </w:r>
      <w:r w:rsidR="00D91D36">
        <w:rPr>
          <w:sz w:val="22"/>
          <w:szCs w:val="22"/>
        </w:rPr>
        <w:t xml:space="preserve"> with </w:t>
      </w:r>
      <w:r w:rsidR="007A5552">
        <w:rPr>
          <w:sz w:val="22"/>
          <w:szCs w:val="22"/>
        </w:rPr>
        <w:t>stakeholders</w:t>
      </w:r>
      <w:r w:rsidR="00847206">
        <w:rPr>
          <w:sz w:val="22"/>
          <w:szCs w:val="22"/>
        </w:rPr>
        <w:t xml:space="preserve">. </w:t>
      </w:r>
    </w:p>
    <w:p w14:paraId="6E0588F8" w14:textId="65648C26" w:rsidR="00403F5A" w:rsidRDefault="00403F5A" w:rsidP="00422147">
      <w:pPr>
        <w:pStyle w:val="Default"/>
        <w:rPr>
          <w:sz w:val="22"/>
          <w:szCs w:val="22"/>
        </w:rPr>
      </w:pPr>
    </w:p>
    <w:p w14:paraId="0F0D843B" w14:textId="43D932D4" w:rsidR="00403F5A" w:rsidRPr="00403F5A" w:rsidRDefault="00403F5A" w:rsidP="00403F5A">
      <w:pPr>
        <w:pStyle w:val="Heading2"/>
        <w:spacing w:before="0" w:after="100" w:afterAutospacing="1" w:line="240" w:lineRule="auto"/>
        <w:jc w:val="both"/>
        <w:rPr>
          <w:rFonts w:cstheme="minorHAnsi"/>
          <w:lang w:val="en-US"/>
        </w:rPr>
      </w:pPr>
      <w:r w:rsidRPr="00403F5A">
        <w:rPr>
          <w:rFonts w:cstheme="minorHAnsi"/>
          <w:lang w:val="en-US"/>
        </w:rPr>
        <w:t>Summary of findings</w:t>
      </w:r>
      <w:r w:rsidR="00247B2A">
        <w:rPr>
          <w:rFonts w:cstheme="minorHAnsi"/>
          <w:lang w:val="en-US"/>
        </w:rPr>
        <w:t xml:space="preserve"> </w:t>
      </w:r>
    </w:p>
    <w:p w14:paraId="64397B3A" w14:textId="42F46D60" w:rsidR="00E536A4" w:rsidRDefault="009E0303" w:rsidP="00422147">
      <w:pPr>
        <w:pStyle w:val="Default"/>
        <w:rPr>
          <w:sz w:val="22"/>
          <w:szCs w:val="22"/>
        </w:rPr>
      </w:pPr>
      <w:r>
        <w:rPr>
          <w:sz w:val="22"/>
          <w:szCs w:val="22"/>
        </w:rPr>
        <w:t>The Department appreciates the written responses received from stakeholders prior to this Stakeholder Roundtable. The most common challenges facing EMCRs as well as EMCRs’ summarised ideas for improvement, and a summary of your stakeholder, pre-Roundtable written responses</w:t>
      </w:r>
      <w:r w:rsidR="00D36609">
        <w:rPr>
          <w:sz w:val="22"/>
          <w:szCs w:val="22"/>
        </w:rPr>
        <w:t xml:space="preserve"> are collated</w:t>
      </w:r>
      <w:r w:rsidR="00A365B9">
        <w:rPr>
          <w:sz w:val="22"/>
          <w:szCs w:val="22"/>
        </w:rPr>
        <w:t xml:space="preserve"> in the </w:t>
      </w:r>
      <w:r w:rsidR="0049331D">
        <w:rPr>
          <w:sz w:val="22"/>
          <w:szCs w:val="22"/>
        </w:rPr>
        <w:t>T</w:t>
      </w:r>
      <w:r w:rsidR="00A365B9">
        <w:rPr>
          <w:sz w:val="22"/>
          <w:szCs w:val="22"/>
        </w:rPr>
        <w:t>ables</w:t>
      </w:r>
      <w:r w:rsidR="00D36609">
        <w:rPr>
          <w:sz w:val="22"/>
          <w:szCs w:val="22"/>
        </w:rPr>
        <w:t xml:space="preserve"> </w:t>
      </w:r>
      <w:r w:rsidR="0049331D">
        <w:rPr>
          <w:sz w:val="22"/>
          <w:szCs w:val="22"/>
        </w:rPr>
        <w:t xml:space="preserve">1-5 </w:t>
      </w:r>
      <w:r w:rsidR="00D36609">
        <w:rPr>
          <w:sz w:val="22"/>
          <w:szCs w:val="22"/>
        </w:rPr>
        <w:t>below</w:t>
      </w:r>
      <w:r>
        <w:rPr>
          <w:sz w:val="22"/>
          <w:szCs w:val="22"/>
        </w:rPr>
        <w:t xml:space="preserve">. </w:t>
      </w:r>
    </w:p>
    <w:p w14:paraId="0CD3B5C6" w14:textId="77777777" w:rsidR="00E536A4" w:rsidRDefault="00E536A4" w:rsidP="00422147">
      <w:pPr>
        <w:pStyle w:val="Default"/>
        <w:rPr>
          <w:sz w:val="22"/>
          <w:szCs w:val="22"/>
        </w:rPr>
      </w:pPr>
    </w:p>
    <w:p w14:paraId="2F2E5DA2" w14:textId="3EE1681E" w:rsidR="00A365B9" w:rsidRDefault="00A365B9" w:rsidP="00422147">
      <w:pPr>
        <w:pStyle w:val="Default"/>
        <w:rPr>
          <w:sz w:val="22"/>
          <w:szCs w:val="22"/>
        </w:rPr>
      </w:pPr>
      <w:r>
        <w:rPr>
          <w:sz w:val="22"/>
          <w:szCs w:val="22"/>
        </w:rPr>
        <w:t xml:space="preserve">This document focuses on </w:t>
      </w:r>
      <w:r w:rsidR="009E0303">
        <w:rPr>
          <w:sz w:val="22"/>
          <w:szCs w:val="22"/>
        </w:rPr>
        <w:t xml:space="preserve">strategies </w:t>
      </w:r>
      <w:r w:rsidR="00403F5A">
        <w:rPr>
          <w:sz w:val="22"/>
          <w:szCs w:val="22"/>
        </w:rPr>
        <w:t xml:space="preserve">identified as </w:t>
      </w:r>
      <w:r w:rsidR="00944BB8">
        <w:rPr>
          <w:sz w:val="22"/>
          <w:szCs w:val="22"/>
        </w:rPr>
        <w:t>within the scope of stakeholders and employing organisations of EMCRs</w:t>
      </w:r>
      <w:r w:rsidR="00B51C90">
        <w:rPr>
          <w:sz w:val="22"/>
          <w:szCs w:val="22"/>
        </w:rPr>
        <w:t xml:space="preserve">. </w:t>
      </w:r>
      <w:r w:rsidR="009E0303">
        <w:rPr>
          <w:sz w:val="22"/>
          <w:szCs w:val="22"/>
        </w:rPr>
        <w:t xml:space="preserve">During the Stakeholder Roundtable, the Department is keen to hear </w:t>
      </w:r>
      <w:r w:rsidR="00E536A4">
        <w:rPr>
          <w:sz w:val="22"/>
          <w:szCs w:val="22"/>
        </w:rPr>
        <w:t>discussion between</w:t>
      </w:r>
      <w:r w:rsidR="009E0303">
        <w:rPr>
          <w:sz w:val="22"/>
          <w:szCs w:val="22"/>
        </w:rPr>
        <w:t xml:space="preserve"> stakeholders about </w:t>
      </w:r>
      <w:r w:rsidR="00AF6660">
        <w:rPr>
          <w:sz w:val="22"/>
          <w:szCs w:val="22"/>
        </w:rPr>
        <w:t xml:space="preserve">successes supporting EMCRs in their organisations as well as </w:t>
      </w:r>
      <w:r w:rsidR="009E0303">
        <w:rPr>
          <w:sz w:val="22"/>
          <w:szCs w:val="22"/>
        </w:rPr>
        <w:t xml:space="preserve">possible </w:t>
      </w:r>
      <w:r w:rsidR="00B51C90">
        <w:rPr>
          <w:sz w:val="22"/>
          <w:szCs w:val="22"/>
        </w:rPr>
        <w:t xml:space="preserve">additional </w:t>
      </w:r>
      <w:r w:rsidR="009E0303">
        <w:rPr>
          <w:sz w:val="22"/>
          <w:szCs w:val="22"/>
        </w:rPr>
        <w:t xml:space="preserve">solutions and ideas </w:t>
      </w:r>
      <w:r w:rsidR="00E536A4">
        <w:rPr>
          <w:sz w:val="22"/>
          <w:szCs w:val="22"/>
        </w:rPr>
        <w:t xml:space="preserve">that </w:t>
      </w:r>
      <w:r w:rsidR="00B51C90">
        <w:rPr>
          <w:sz w:val="22"/>
          <w:szCs w:val="22"/>
        </w:rPr>
        <w:t>stakeholders could implement</w:t>
      </w:r>
      <w:r w:rsidR="00E536A4">
        <w:rPr>
          <w:sz w:val="22"/>
          <w:szCs w:val="22"/>
        </w:rPr>
        <w:t xml:space="preserve"> </w:t>
      </w:r>
      <w:r w:rsidR="009E0303">
        <w:rPr>
          <w:sz w:val="22"/>
          <w:szCs w:val="22"/>
        </w:rPr>
        <w:t xml:space="preserve">to better support EMCRs in </w:t>
      </w:r>
      <w:r w:rsidR="00D36609">
        <w:rPr>
          <w:sz w:val="22"/>
          <w:szCs w:val="22"/>
        </w:rPr>
        <w:t>h</w:t>
      </w:r>
      <w:r w:rsidR="009E0303">
        <w:rPr>
          <w:sz w:val="22"/>
          <w:szCs w:val="22"/>
        </w:rPr>
        <w:t xml:space="preserve">ealth and </w:t>
      </w:r>
      <w:r w:rsidR="00D36609">
        <w:rPr>
          <w:sz w:val="22"/>
          <w:szCs w:val="22"/>
        </w:rPr>
        <w:t>m</w:t>
      </w:r>
      <w:r w:rsidR="009E0303">
        <w:rPr>
          <w:sz w:val="22"/>
          <w:szCs w:val="22"/>
        </w:rPr>
        <w:t xml:space="preserve">edical </w:t>
      </w:r>
      <w:r w:rsidR="00D36609">
        <w:rPr>
          <w:sz w:val="22"/>
          <w:szCs w:val="22"/>
        </w:rPr>
        <w:t>r</w:t>
      </w:r>
      <w:r w:rsidR="009E0303">
        <w:rPr>
          <w:sz w:val="22"/>
          <w:szCs w:val="22"/>
        </w:rPr>
        <w:t>esearch.</w:t>
      </w:r>
    </w:p>
    <w:p w14:paraId="6D489803" w14:textId="14FCA5AD" w:rsidR="00B51C90" w:rsidRDefault="00B51C90" w:rsidP="00422147">
      <w:pPr>
        <w:pStyle w:val="Default"/>
        <w:rPr>
          <w:sz w:val="22"/>
          <w:szCs w:val="22"/>
        </w:rPr>
      </w:pPr>
    </w:p>
    <w:p w14:paraId="3B6C979E" w14:textId="654176C7" w:rsidR="00B51C90" w:rsidRDefault="00B51C90" w:rsidP="00422147">
      <w:pPr>
        <w:pStyle w:val="Default"/>
        <w:rPr>
          <w:sz w:val="22"/>
          <w:szCs w:val="22"/>
        </w:rPr>
      </w:pPr>
      <w:r>
        <w:rPr>
          <w:sz w:val="22"/>
          <w:szCs w:val="22"/>
        </w:rPr>
        <w:t>Table 6 identifies strategies the Department is considering that are within the scope of the MRFF.</w:t>
      </w:r>
    </w:p>
    <w:p w14:paraId="7BBFDD06" w14:textId="116DA878" w:rsidR="00A365B9" w:rsidRPr="00944BB8" w:rsidRDefault="00A365B9" w:rsidP="00422147">
      <w:pPr>
        <w:numPr>
          <w:ilvl w:val="0"/>
          <w:numId w:val="14"/>
        </w:numPr>
        <w:contextualSpacing/>
        <w:rPr>
          <w:rFonts w:asciiTheme="minorHAnsi" w:hAnsiTheme="minorHAnsi"/>
          <w:sz w:val="22"/>
          <w:szCs w:val="22"/>
        </w:rPr>
        <w:sectPr w:rsidR="00A365B9" w:rsidRPr="00944BB8">
          <w:headerReference w:type="default" r:id="rId9"/>
          <w:footerReference w:type="default" r:id="rId10"/>
          <w:pgSz w:w="11906" w:h="16838"/>
          <w:pgMar w:top="1440" w:right="1440" w:bottom="1440" w:left="1440" w:header="708" w:footer="708" w:gutter="0"/>
          <w:cols w:space="708"/>
          <w:docGrid w:linePitch="360"/>
        </w:sectPr>
      </w:pPr>
    </w:p>
    <w:p w14:paraId="1F533456" w14:textId="326C33E3" w:rsidR="008A07A6" w:rsidRDefault="008A07A6" w:rsidP="00422147">
      <w:pPr>
        <w:pStyle w:val="Default"/>
        <w:rPr>
          <w:sz w:val="22"/>
          <w:szCs w:val="22"/>
        </w:rPr>
      </w:pPr>
    </w:p>
    <w:tbl>
      <w:tblPr>
        <w:tblStyle w:val="TableGrid"/>
        <w:tblW w:w="0" w:type="auto"/>
        <w:tblLook w:val="04A0" w:firstRow="1" w:lastRow="0" w:firstColumn="1" w:lastColumn="0" w:noHBand="0" w:noVBand="1"/>
      </w:tblPr>
      <w:tblGrid>
        <w:gridCol w:w="4649"/>
        <w:gridCol w:w="4649"/>
        <w:gridCol w:w="4650"/>
      </w:tblGrid>
      <w:tr w:rsidR="00450119" w14:paraId="3662D4FF" w14:textId="77777777" w:rsidTr="0067301E">
        <w:tc>
          <w:tcPr>
            <w:tcW w:w="13948" w:type="dxa"/>
            <w:gridSpan w:val="3"/>
            <w:shd w:val="clear" w:color="auto" w:fill="4472C4" w:themeFill="accent1"/>
          </w:tcPr>
          <w:p w14:paraId="52060E5F" w14:textId="3D716161" w:rsidR="00AA5376" w:rsidRPr="00AA5376" w:rsidRDefault="0049331D" w:rsidP="00567E8A">
            <w:pPr>
              <w:rPr>
                <w:color w:val="FFFFFF" w:themeColor="background1"/>
              </w:rPr>
            </w:pPr>
            <w:r>
              <w:rPr>
                <w:b/>
                <w:bCs/>
                <w:color w:val="FFFFFF" w:themeColor="background1"/>
              </w:rPr>
              <w:t xml:space="preserve">Table </w:t>
            </w:r>
            <w:r w:rsidR="00775C75" w:rsidRPr="00AA5376">
              <w:rPr>
                <w:b/>
                <w:bCs/>
                <w:color w:val="FFFFFF" w:themeColor="background1"/>
              </w:rPr>
              <w:t>1. Security of Employment</w:t>
            </w:r>
          </w:p>
          <w:p w14:paraId="4D623651" w14:textId="401B7413" w:rsidR="00AA5376" w:rsidRPr="00AA5376" w:rsidRDefault="00775C75" w:rsidP="00567E8A">
            <w:pPr>
              <w:rPr>
                <w:color w:val="FFFFFF" w:themeColor="background1"/>
              </w:rPr>
            </w:pPr>
            <w:r w:rsidRPr="00AA5376">
              <w:rPr>
                <w:color w:val="FFFFFF" w:themeColor="background1"/>
              </w:rPr>
              <w:t>The key finding from engag</w:t>
            </w:r>
            <w:r w:rsidR="0015108B">
              <w:rPr>
                <w:color w:val="FFFFFF" w:themeColor="background1"/>
              </w:rPr>
              <w:t>e</w:t>
            </w:r>
            <w:r w:rsidRPr="00AA5376">
              <w:rPr>
                <w:color w:val="FFFFFF" w:themeColor="background1"/>
              </w:rPr>
              <w:t>ment with EMCRs was that secure employment allows EMCRs to plan their research projects, professional careers, and personal lives, and reduces uncertainty and stress. However, EMCRs reported facing multiple challenges in security of employment including short employment contracts (often only 1 year, sometimes 6 months), extreme competition for positions, low salaries, higher pay as a clinician than a researcher (resulting in lack of incentives for clinician scientists), and limited career progression opportunities.</w:t>
            </w:r>
          </w:p>
          <w:p w14:paraId="4BCA992B" w14:textId="77777777" w:rsidR="00450119" w:rsidRPr="0067301E" w:rsidRDefault="00775C75" w:rsidP="00567E8A">
            <w:pPr>
              <w:spacing w:before="240"/>
              <w:rPr>
                <w:color w:val="FFFFFF" w:themeColor="background1"/>
              </w:rPr>
            </w:pPr>
            <w:r w:rsidRPr="00AA5376">
              <w:rPr>
                <w:color w:val="FFFFFF" w:themeColor="background1"/>
              </w:rPr>
              <w:t xml:space="preserve">Key strategies to address this issue raised at the EMCR Roundtable included restructuring grant opportunities and incentivising institutions to provide better support to EMCRs.  </w:t>
            </w:r>
          </w:p>
        </w:tc>
      </w:tr>
      <w:tr w:rsidR="00450119" w14:paraId="2E41FBE4" w14:textId="77777777" w:rsidTr="00567E8A">
        <w:tc>
          <w:tcPr>
            <w:tcW w:w="4649" w:type="dxa"/>
          </w:tcPr>
          <w:p w14:paraId="08921454" w14:textId="45F5DE59" w:rsidR="00AA5376" w:rsidRPr="00AA5376" w:rsidRDefault="00775C75" w:rsidP="00567E8A">
            <w:pPr>
              <w:rPr>
                <w:sz w:val="21"/>
                <w:szCs w:val="21"/>
              </w:rPr>
            </w:pPr>
            <w:r w:rsidRPr="00AA5376">
              <w:rPr>
                <w:b/>
                <w:bCs/>
                <w:sz w:val="21"/>
                <w:szCs w:val="21"/>
              </w:rPr>
              <w:t xml:space="preserve">Ideas suggested by EMCRs deemed </w:t>
            </w:r>
            <w:r w:rsidR="00944BB8">
              <w:rPr>
                <w:b/>
                <w:bCs/>
                <w:sz w:val="21"/>
                <w:szCs w:val="21"/>
              </w:rPr>
              <w:t xml:space="preserve">relevant to stakeholders </w:t>
            </w:r>
          </w:p>
          <w:p w14:paraId="67229E40" w14:textId="77777777" w:rsidR="00AA5376" w:rsidRPr="00AA5376" w:rsidRDefault="00775C75" w:rsidP="00450119">
            <w:pPr>
              <w:numPr>
                <w:ilvl w:val="0"/>
                <w:numId w:val="20"/>
              </w:numPr>
              <w:tabs>
                <w:tab w:val="clear" w:pos="720"/>
              </w:tabs>
              <w:ind w:left="316"/>
              <w:rPr>
                <w:sz w:val="21"/>
                <w:szCs w:val="21"/>
              </w:rPr>
            </w:pPr>
            <w:r w:rsidRPr="00AA5376">
              <w:rPr>
                <w:sz w:val="21"/>
                <w:szCs w:val="21"/>
              </w:rPr>
              <w:t>Review the current structure of PhD programs within universities. PhD programs are usually targeted towards an academic career track. Consideration should be given to restructuring to facilitate acquisition of a diversified skill set during PhD studies that can be applied to careers outside of academia</w:t>
            </w:r>
          </w:p>
          <w:p w14:paraId="361DDEE2" w14:textId="77777777" w:rsidR="00AA5376" w:rsidRPr="00AA5376" w:rsidRDefault="00775C75" w:rsidP="00450119">
            <w:pPr>
              <w:numPr>
                <w:ilvl w:val="0"/>
                <w:numId w:val="20"/>
              </w:numPr>
              <w:tabs>
                <w:tab w:val="clear" w:pos="720"/>
              </w:tabs>
              <w:ind w:left="316"/>
              <w:rPr>
                <w:sz w:val="21"/>
                <w:szCs w:val="21"/>
              </w:rPr>
            </w:pPr>
            <w:r w:rsidRPr="00AA5376">
              <w:rPr>
                <w:sz w:val="21"/>
                <w:szCs w:val="21"/>
              </w:rPr>
              <w:t xml:space="preserve">Diversify the available career paths and job opportunities in Australia </w:t>
            </w:r>
          </w:p>
          <w:p w14:paraId="32FC5194" w14:textId="77777777" w:rsidR="00AA5376" w:rsidRPr="00AA5376" w:rsidRDefault="00775C75" w:rsidP="00450119">
            <w:pPr>
              <w:numPr>
                <w:ilvl w:val="0"/>
                <w:numId w:val="20"/>
              </w:numPr>
              <w:tabs>
                <w:tab w:val="clear" w:pos="720"/>
              </w:tabs>
              <w:ind w:left="316"/>
              <w:rPr>
                <w:sz w:val="21"/>
                <w:szCs w:val="21"/>
              </w:rPr>
            </w:pPr>
            <w:r w:rsidRPr="00AA5376">
              <w:rPr>
                <w:sz w:val="21"/>
                <w:szCs w:val="21"/>
              </w:rPr>
              <w:t>Encourage alternative income streams from the research generated</w:t>
            </w:r>
          </w:p>
          <w:p w14:paraId="14D26D90" w14:textId="77777777" w:rsidR="00AA5376" w:rsidRPr="00AA5376" w:rsidRDefault="00775C75" w:rsidP="00450119">
            <w:pPr>
              <w:numPr>
                <w:ilvl w:val="0"/>
                <w:numId w:val="20"/>
              </w:numPr>
              <w:tabs>
                <w:tab w:val="clear" w:pos="720"/>
              </w:tabs>
              <w:ind w:left="316"/>
              <w:rPr>
                <w:sz w:val="21"/>
                <w:szCs w:val="21"/>
              </w:rPr>
            </w:pPr>
            <w:r w:rsidRPr="00AA5376">
              <w:rPr>
                <w:sz w:val="21"/>
                <w:szCs w:val="21"/>
              </w:rPr>
              <w:t>Provide non-MRFF incentives for institutions to support EMCRs and provide longer employment contracts</w:t>
            </w:r>
          </w:p>
          <w:p w14:paraId="67C1FC23" w14:textId="77777777" w:rsidR="00AA5376" w:rsidRPr="00AA5376" w:rsidRDefault="00775C75" w:rsidP="00450119">
            <w:pPr>
              <w:numPr>
                <w:ilvl w:val="0"/>
                <w:numId w:val="20"/>
              </w:numPr>
              <w:tabs>
                <w:tab w:val="clear" w:pos="720"/>
              </w:tabs>
              <w:ind w:left="316"/>
              <w:rPr>
                <w:sz w:val="21"/>
                <w:szCs w:val="21"/>
              </w:rPr>
            </w:pPr>
            <w:r w:rsidRPr="00AA5376">
              <w:rPr>
                <w:sz w:val="21"/>
                <w:szCs w:val="21"/>
              </w:rPr>
              <w:t>Encourage institutions to provide dedicated funding for EMCRs</w:t>
            </w:r>
          </w:p>
          <w:p w14:paraId="17F2A7DA" w14:textId="77777777" w:rsidR="00AA5376" w:rsidRPr="00AA5376" w:rsidRDefault="00775C75" w:rsidP="00450119">
            <w:pPr>
              <w:numPr>
                <w:ilvl w:val="0"/>
                <w:numId w:val="20"/>
              </w:numPr>
              <w:tabs>
                <w:tab w:val="clear" w:pos="720"/>
              </w:tabs>
              <w:ind w:left="316"/>
              <w:rPr>
                <w:sz w:val="21"/>
                <w:szCs w:val="21"/>
              </w:rPr>
            </w:pPr>
            <w:r w:rsidRPr="00AA5376">
              <w:rPr>
                <w:sz w:val="21"/>
                <w:szCs w:val="21"/>
              </w:rPr>
              <w:t>Encourage institutions to provide incentives for senior researchers to train EMCRs</w:t>
            </w:r>
          </w:p>
          <w:p w14:paraId="531E2791" w14:textId="77777777" w:rsidR="00450119" w:rsidRPr="00450119" w:rsidRDefault="00775C75" w:rsidP="00450119">
            <w:pPr>
              <w:numPr>
                <w:ilvl w:val="0"/>
                <w:numId w:val="20"/>
              </w:numPr>
              <w:tabs>
                <w:tab w:val="clear" w:pos="720"/>
              </w:tabs>
              <w:ind w:left="316"/>
              <w:rPr>
                <w:sz w:val="21"/>
                <w:szCs w:val="21"/>
              </w:rPr>
            </w:pPr>
            <w:r w:rsidRPr="00AA5376">
              <w:rPr>
                <w:sz w:val="21"/>
                <w:szCs w:val="21"/>
              </w:rPr>
              <w:t>Encourage universities to recognise and/or compensate EMCRs for ‘free’ services such as student supervision</w:t>
            </w:r>
          </w:p>
        </w:tc>
        <w:tc>
          <w:tcPr>
            <w:tcW w:w="4649" w:type="dxa"/>
          </w:tcPr>
          <w:p w14:paraId="46E0C98E" w14:textId="77777777" w:rsidR="00450119" w:rsidRPr="00AA5376" w:rsidRDefault="00450119" w:rsidP="00567E8A">
            <w:pPr>
              <w:rPr>
                <w:sz w:val="21"/>
                <w:szCs w:val="21"/>
              </w:rPr>
            </w:pPr>
            <w:r w:rsidRPr="00AA5376">
              <w:rPr>
                <w:b/>
                <w:bCs/>
                <w:sz w:val="21"/>
                <w:szCs w:val="21"/>
              </w:rPr>
              <w:t>Strategies suggested by stakeholders to address this challenge</w:t>
            </w:r>
          </w:p>
          <w:p w14:paraId="38A12B4C" w14:textId="77777777" w:rsidR="00450119" w:rsidRPr="00450119" w:rsidRDefault="00450119" w:rsidP="00450119">
            <w:pPr>
              <w:pStyle w:val="ListParagraph"/>
              <w:numPr>
                <w:ilvl w:val="0"/>
                <w:numId w:val="21"/>
              </w:numPr>
              <w:ind w:left="343"/>
              <w:rPr>
                <w:sz w:val="21"/>
                <w:szCs w:val="21"/>
              </w:rPr>
            </w:pPr>
            <w:r w:rsidRPr="00450119">
              <w:rPr>
                <w:sz w:val="21"/>
                <w:szCs w:val="21"/>
              </w:rPr>
              <w:t>Fellowship schemes, awards for high performing EMCRs</w:t>
            </w:r>
          </w:p>
          <w:p w14:paraId="1A06CCDE" w14:textId="77777777" w:rsidR="00450119" w:rsidRPr="00450119" w:rsidRDefault="00450119" w:rsidP="00450119">
            <w:pPr>
              <w:pStyle w:val="ListParagraph"/>
              <w:numPr>
                <w:ilvl w:val="0"/>
                <w:numId w:val="21"/>
              </w:numPr>
              <w:ind w:left="343"/>
              <w:rPr>
                <w:sz w:val="21"/>
                <w:szCs w:val="21"/>
              </w:rPr>
            </w:pPr>
            <w:r w:rsidRPr="00450119">
              <w:rPr>
                <w:sz w:val="21"/>
                <w:szCs w:val="21"/>
              </w:rPr>
              <w:t xml:space="preserve">Transparent positions, salaries, in line with Enterprise Bargaining Agreements </w:t>
            </w:r>
          </w:p>
          <w:p w14:paraId="11EE145A" w14:textId="77777777" w:rsidR="00450119" w:rsidRPr="00450119" w:rsidRDefault="00450119" w:rsidP="00450119">
            <w:pPr>
              <w:pStyle w:val="ListParagraph"/>
              <w:numPr>
                <w:ilvl w:val="0"/>
                <w:numId w:val="21"/>
              </w:numPr>
              <w:ind w:left="343"/>
              <w:rPr>
                <w:sz w:val="21"/>
                <w:szCs w:val="21"/>
              </w:rPr>
            </w:pPr>
            <w:r w:rsidRPr="00450119">
              <w:rPr>
                <w:sz w:val="21"/>
                <w:szCs w:val="21"/>
              </w:rPr>
              <w:t>Maximising contract length for EMCRs</w:t>
            </w:r>
          </w:p>
          <w:p w14:paraId="758F80E8" w14:textId="77777777" w:rsidR="00450119" w:rsidRPr="00450119" w:rsidRDefault="00450119" w:rsidP="00450119">
            <w:pPr>
              <w:pStyle w:val="ListParagraph"/>
              <w:numPr>
                <w:ilvl w:val="0"/>
                <w:numId w:val="21"/>
              </w:numPr>
              <w:ind w:left="343"/>
              <w:rPr>
                <w:sz w:val="21"/>
                <w:szCs w:val="21"/>
              </w:rPr>
            </w:pPr>
            <w:r w:rsidRPr="00450119">
              <w:rPr>
                <w:sz w:val="21"/>
                <w:szCs w:val="21"/>
              </w:rPr>
              <w:t xml:space="preserve">Supporting clinician researchers, engaging with local health services for co-funding and to build research capacity in clinicians. </w:t>
            </w:r>
            <w:r w:rsidRPr="00944BB8">
              <w:rPr>
                <w:sz w:val="21"/>
                <w:szCs w:val="21"/>
              </w:rPr>
              <w:t>For example, universities embedding statistical support and research project development expertise in the health services.</w:t>
            </w:r>
            <w:r w:rsidRPr="00450119">
              <w:rPr>
                <w:sz w:val="21"/>
                <w:szCs w:val="21"/>
              </w:rPr>
              <w:t xml:space="preserve"> </w:t>
            </w:r>
          </w:p>
          <w:p w14:paraId="1D5137AC" w14:textId="77777777" w:rsidR="00450119" w:rsidRPr="00450119" w:rsidRDefault="00450119" w:rsidP="00450119">
            <w:pPr>
              <w:pStyle w:val="ListParagraph"/>
              <w:numPr>
                <w:ilvl w:val="0"/>
                <w:numId w:val="21"/>
              </w:numPr>
              <w:ind w:left="343"/>
              <w:rPr>
                <w:sz w:val="21"/>
                <w:szCs w:val="21"/>
              </w:rPr>
            </w:pPr>
            <w:r w:rsidRPr="00450119">
              <w:rPr>
                <w:sz w:val="21"/>
                <w:szCs w:val="21"/>
              </w:rPr>
              <w:t>Mentoring programs</w:t>
            </w:r>
          </w:p>
          <w:p w14:paraId="4FD190D5" w14:textId="44AAA61A" w:rsidR="00450119" w:rsidRPr="00450119" w:rsidRDefault="00450119" w:rsidP="00450119">
            <w:pPr>
              <w:pStyle w:val="ListParagraph"/>
              <w:numPr>
                <w:ilvl w:val="0"/>
                <w:numId w:val="21"/>
              </w:numPr>
              <w:ind w:left="343"/>
              <w:rPr>
                <w:sz w:val="21"/>
                <w:szCs w:val="21"/>
              </w:rPr>
            </w:pPr>
            <w:r w:rsidRPr="00450119">
              <w:rPr>
                <w:sz w:val="21"/>
                <w:szCs w:val="21"/>
              </w:rPr>
              <w:t>Equal opportunities for EMCRs to access support regardless of employment status, e</w:t>
            </w:r>
            <w:r w:rsidR="00944BB8">
              <w:rPr>
                <w:sz w:val="21"/>
                <w:szCs w:val="21"/>
              </w:rPr>
              <w:t>.</w:t>
            </w:r>
            <w:r w:rsidRPr="00450119">
              <w:rPr>
                <w:sz w:val="21"/>
                <w:szCs w:val="21"/>
              </w:rPr>
              <w:t>g. part-time, contracts etc</w:t>
            </w:r>
          </w:p>
          <w:p w14:paraId="35AE22EE" w14:textId="77777777" w:rsidR="00450119" w:rsidRPr="00450119" w:rsidRDefault="00450119" w:rsidP="00450119">
            <w:pPr>
              <w:pStyle w:val="ListParagraph"/>
              <w:numPr>
                <w:ilvl w:val="0"/>
                <w:numId w:val="21"/>
              </w:numPr>
              <w:ind w:left="343"/>
              <w:rPr>
                <w:sz w:val="21"/>
                <w:szCs w:val="21"/>
              </w:rPr>
            </w:pPr>
            <w:r w:rsidRPr="00450119">
              <w:rPr>
                <w:sz w:val="21"/>
                <w:szCs w:val="21"/>
              </w:rPr>
              <w:t>Creation of hybrid clinician/researcher or teacher/researcher roles which have flexibility to increase/decrease proportion of time devoted to research</w:t>
            </w:r>
          </w:p>
        </w:tc>
        <w:tc>
          <w:tcPr>
            <w:tcW w:w="4650" w:type="dxa"/>
          </w:tcPr>
          <w:p w14:paraId="747EDF59" w14:textId="77777777" w:rsidR="00AA5376" w:rsidRPr="00AA5376" w:rsidRDefault="00775C75" w:rsidP="00567E8A">
            <w:pPr>
              <w:rPr>
                <w:sz w:val="21"/>
                <w:szCs w:val="21"/>
              </w:rPr>
            </w:pPr>
            <w:r w:rsidRPr="00AA5376">
              <w:rPr>
                <w:b/>
                <w:bCs/>
                <w:sz w:val="21"/>
                <w:szCs w:val="21"/>
              </w:rPr>
              <w:t>Reported barriers to implementing these strategies</w:t>
            </w:r>
          </w:p>
          <w:p w14:paraId="424B3FD6" w14:textId="77777777" w:rsidR="00450119" w:rsidRPr="00450119" w:rsidRDefault="00450119" w:rsidP="00450119">
            <w:pPr>
              <w:pStyle w:val="ListParagraph"/>
              <w:numPr>
                <w:ilvl w:val="0"/>
                <w:numId w:val="22"/>
              </w:numPr>
              <w:ind w:left="371"/>
              <w:rPr>
                <w:sz w:val="21"/>
                <w:szCs w:val="21"/>
              </w:rPr>
            </w:pPr>
            <w:r w:rsidRPr="00450119">
              <w:rPr>
                <w:sz w:val="21"/>
                <w:szCs w:val="21"/>
              </w:rPr>
              <w:t>Gap between funding awarded by research agencies and actual salary costs (university pay scales), budget constraints</w:t>
            </w:r>
          </w:p>
          <w:p w14:paraId="5BDCBACC" w14:textId="77777777" w:rsidR="00450119" w:rsidRPr="00450119" w:rsidRDefault="00450119" w:rsidP="00450119">
            <w:pPr>
              <w:pStyle w:val="ListParagraph"/>
              <w:numPr>
                <w:ilvl w:val="0"/>
                <w:numId w:val="22"/>
              </w:numPr>
              <w:ind w:left="371"/>
              <w:rPr>
                <w:sz w:val="21"/>
                <w:szCs w:val="21"/>
              </w:rPr>
            </w:pPr>
            <w:r w:rsidRPr="00450119">
              <w:rPr>
                <w:sz w:val="21"/>
                <w:szCs w:val="21"/>
              </w:rPr>
              <w:t xml:space="preserve">Insufficient external funding opportunities target at EMCRs to support the number of researchers </w:t>
            </w:r>
          </w:p>
          <w:p w14:paraId="3DF71DF1" w14:textId="77777777" w:rsidR="00450119" w:rsidRPr="00450119" w:rsidRDefault="00450119" w:rsidP="00450119">
            <w:pPr>
              <w:pStyle w:val="ListParagraph"/>
              <w:numPr>
                <w:ilvl w:val="0"/>
                <w:numId w:val="22"/>
              </w:numPr>
              <w:ind w:left="371"/>
              <w:rPr>
                <w:sz w:val="21"/>
                <w:szCs w:val="21"/>
              </w:rPr>
            </w:pPr>
            <w:r w:rsidRPr="00450119">
              <w:rPr>
                <w:sz w:val="21"/>
                <w:szCs w:val="21"/>
              </w:rPr>
              <w:t xml:space="preserve">Challenges with superannuation and reporting lines when EMCRs are employed by both healthcare organisation and the University/Research institute </w:t>
            </w:r>
          </w:p>
          <w:p w14:paraId="4C448DBA" w14:textId="77777777" w:rsidR="00450119" w:rsidRPr="00450119" w:rsidRDefault="00450119" w:rsidP="00450119">
            <w:pPr>
              <w:pStyle w:val="ListParagraph"/>
              <w:numPr>
                <w:ilvl w:val="0"/>
                <w:numId w:val="22"/>
              </w:numPr>
              <w:ind w:left="371"/>
              <w:rPr>
                <w:sz w:val="21"/>
                <w:szCs w:val="21"/>
              </w:rPr>
            </w:pPr>
            <w:r w:rsidRPr="00450119">
              <w:rPr>
                <w:sz w:val="21"/>
                <w:szCs w:val="21"/>
              </w:rPr>
              <w:t>Coordinated approach to recruit and retain high-performing EMCRs</w:t>
            </w:r>
          </w:p>
          <w:p w14:paraId="7CFDF6FA" w14:textId="77777777" w:rsidR="00450119" w:rsidRPr="00450119" w:rsidRDefault="00450119" w:rsidP="00450119">
            <w:pPr>
              <w:pStyle w:val="ListParagraph"/>
              <w:numPr>
                <w:ilvl w:val="0"/>
                <w:numId w:val="22"/>
              </w:numPr>
              <w:ind w:left="371"/>
              <w:rPr>
                <w:sz w:val="21"/>
                <w:szCs w:val="21"/>
              </w:rPr>
            </w:pPr>
            <w:r w:rsidRPr="00450119">
              <w:rPr>
                <w:sz w:val="21"/>
                <w:szCs w:val="21"/>
              </w:rPr>
              <w:t>COVID-19 related impacts: limited opportunities for EMCRs visibility, limited contacts and network building due to inability to meet face-to-face</w:t>
            </w:r>
          </w:p>
          <w:p w14:paraId="35F8CFEE" w14:textId="77777777" w:rsidR="00450119" w:rsidRPr="00450119" w:rsidRDefault="00450119" w:rsidP="00450119">
            <w:pPr>
              <w:pStyle w:val="ListParagraph"/>
              <w:numPr>
                <w:ilvl w:val="0"/>
                <w:numId w:val="22"/>
              </w:numPr>
              <w:ind w:left="371"/>
              <w:rPr>
                <w:sz w:val="21"/>
                <w:szCs w:val="21"/>
              </w:rPr>
            </w:pPr>
            <w:r w:rsidRPr="00450119">
              <w:rPr>
                <w:sz w:val="21"/>
                <w:szCs w:val="21"/>
              </w:rPr>
              <w:t xml:space="preserve">Overseas opportunities are more attractive than what is offered in Australia </w:t>
            </w:r>
          </w:p>
          <w:p w14:paraId="254DA1B9" w14:textId="77777777" w:rsidR="00450119" w:rsidRPr="00450119" w:rsidRDefault="00450119" w:rsidP="00450119">
            <w:pPr>
              <w:pStyle w:val="ListParagraph"/>
              <w:numPr>
                <w:ilvl w:val="0"/>
                <w:numId w:val="22"/>
              </w:numPr>
              <w:ind w:left="371"/>
              <w:rPr>
                <w:sz w:val="21"/>
                <w:szCs w:val="21"/>
              </w:rPr>
            </w:pPr>
            <w:r w:rsidRPr="00450119">
              <w:rPr>
                <w:sz w:val="21"/>
                <w:szCs w:val="21"/>
              </w:rPr>
              <w:t>The difficulty in attracting clinicians to rural/regional posts results in very limited time allocated to research even when there is institutional support and funding</w:t>
            </w:r>
          </w:p>
        </w:tc>
      </w:tr>
    </w:tbl>
    <w:p w14:paraId="346930D2" w14:textId="77777777" w:rsidR="00450119" w:rsidRDefault="00450119" w:rsidP="00450119">
      <w:r>
        <w:br w:type="page"/>
      </w:r>
    </w:p>
    <w:tbl>
      <w:tblPr>
        <w:tblStyle w:val="TableGrid"/>
        <w:tblW w:w="0" w:type="auto"/>
        <w:tblLook w:val="04A0" w:firstRow="1" w:lastRow="0" w:firstColumn="1" w:lastColumn="0" w:noHBand="0" w:noVBand="1"/>
      </w:tblPr>
      <w:tblGrid>
        <w:gridCol w:w="5743"/>
        <w:gridCol w:w="5001"/>
        <w:gridCol w:w="3204"/>
      </w:tblGrid>
      <w:tr w:rsidR="00450119" w14:paraId="15015249" w14:textId="77777777" w:rsidTr="0067301E">
        <w:tc>
          <w:tcPr>
            <w:tcW w:w="0" w:type="auto"/>
            <w:gridSpan w:val="3"/>
            <w:shd w:val="clear" w:color="auto" w:fill="4472C4" w:themeFill="accent1"/>
          </w:tcPr>
          <w:p w14:paraId="4282BDB5" w14:textId="1D9CD4E8" w:rsidR="00450119" w:rsidRPr="00AA5376" w:rsidRDefault="0049331D" w:rsidP="00567E8A">
            <w:pPr>
              <w:rPr>
                <w:b/>
                <w:bCs/>
                <w:color w:val="FFFFFF" w:themeColor="background1"/>
              </w:rPr>
            </w:pPr>
            <w:r>
              <w:rPr>
                <w:b/>
                <w:bCs/>
                <w:color w:val="FFFFFF" w:themeColor="background1"/>
              </w:rPr>
              <w:lastRenderedPageBreak/>
              <w:t xml:space="preserve">Table </w:t>
            </w:r>
            <w:r w:rsidR="00450119" w:rsidRPr="00AA5376">
              <w:rPr>
                <w:b/>
                <w:bCs/>
                <w:color w:val="FFFFFF" w:themeColor="background1"/>
              </w:rPr>
              <w:t>2. Access to grant funding</w:t>
            </w:r>
          </w:p>
          <w:p w14:paraId="2CB4A54B" w14:textId="77777777" w:rsidR="00450119" w:rsidRPr="00AA5376" w:rsidRDefault="00450119" w:rsidP="00567E8A">
            <w:pPr>
              <w:rPr>
                <w:color w:val="FFFFFF" w:themeColor="background1"/>
              </w:rPr>
            </w:pPr>
            <w:r w:rsidRPr="00AA5376">
              <w:rPr>
                <w:color w:val="FFFFFF" w:themeColor="background1"/>
              </w:rPr>
              <w:t xml:space="preserve">The key finding from </w:t>
            </w:r>
            <w:r w:rsidRPr="0067301E">
              <w:rPr>
                <w:color w:val="FFFFFF" w:themeColor="background1"/>
              </w:rPr>
              <w:t>engagement</w:t>
            </w:r>
            <w:r w:rsidRPr="00AA5376">
              <w:rPr>
                <w:color w:val="FFFFFF" w:themeColor="background1"/>
              </w:rPr>
              <w:t xml:space="preserve"> with EMCRs was that access to grant funding allows EMCRs to pursue novel research ideas and provides employment security. However, EMCRs reported facing multiple challenges in accessing grant funding including limited relevant grant opportunities, low success rates, short grant duration promoting short employment contracts, large salary gaps meaning multiple grants are required to cover a single position, limited available bridging support/overlapping funding/implementation funding, and pressure to focus on urgent research needs with high publication potential rather than explore novel, longer-term questions. </w:t>
            </w:r>
          </w:p>
          <w:p w14:paraId="2935EE3D" w14:textId="77777777" w:rsidR="00450119" w:rsidRDefault="00450119" w:rsidP="00567E8A">
            <w:pPr>
              <w:spacing w:before="240"/>
            </w:pPr>
            <w:r w:rsidRPr="00AA5376">
              <w:rPr>
                <w:color w:val="FFFFFF" w:themeColor="background1"/>
              </w:rPr>
              <w:t>Key strategies to address this issue raised at the EMCR Roundtable included providing more dedicated funding for EMCRs, revising assessment models and increasing awareness amongst EMCRs of available grant opportunities and avenues to learn about funding process.</w:t>
            </w:r>
          </w:p>
        </w:tc>
      </w:tr>
      <w:tr w:rsidR="00450119" w14:paraId="0D276DC9" w14:textId="77777777" w:rsidTr="00567E8A">
        <w:tc>
          <w:tcPr>
            <w:tcW w:w="0" w:type="auto"/>
          </w:tcPr>
          <w:p w14:paraId="6EBE6FDE" w14:textId="267CE699" w:rsidR="00450119" w:rsidRPr="00AA5376" w:rsidRDefault="00450119" w:rsidP="00567E8A">
            <w:pPr>
              <w:rPr>
                <w:b/>
                <w:bCs/>
                <w:sz w:val="21"/>
                <w:szCs w:val="21"/>
              </w:rPr>
            </w:pPr>
            <w:r w:rsidRPr="00AA5376">
              <w:rPr>
                <w:b/>
                <w:bCs/>
                <w:sz w:val="21"/>
                <w:szCs w:val="21"/>
              </w:rPr>
              <w:t xml:space="preserve">Ideas suggested by EMCRs deemed </w:t>
            </w:r>
            <w:r w:rsidR="00944BB8" w:rsidRPr="00944BB8">
              <w:rPr>
                <w:b/>
                <w:bCs/>
                <w:sz w:val="21"/>
                <w:szCs w:val="21"/>
              </w:rPr>
              <w:t>relevant to stakeholders</w:t>
            </w:r>
          </w:p>
          <w:p w14:paraId="1AD67E14" w14:textId="77777777" w:rsidR="00450119" w:rsidRPr="000C27C2" w:rsidRDefault="00450119" w:rsidP="00450119">
            <w:pPr>
              <w:pStyle w:val="ListParagraph"/>
              <w:numPr>
                <w:ilvl w:val="0"/>
                <w:numId w:val="23"/>
              </w:numPr>
              <w:ind w:left="316"/>
              <w:rPr>
                <w:sz w:val="21"/>
                <w:szCs w:val="21"/>
              </w:rPr>
            </w:pPr>
            <w:r w:rsidRPr="000C27C2">
              <w:rPr>
                <w:sz w:val="21"/>
                <w:szCs w:val="21"/>
              </w:rPr>
              <w:t xml:space="preserve">Institutions should ensure that all relevant information is provided to all researchers. There is a perception that some institutions are filtering information with the impact that some (and not all) EMCRs are able to submit applications and/or be involved in peer review </w:t>
            </w:r>
          </w:p>
          <w:p w14:paraId="31AF846E" w14:textId="77777777" w:rsidR="00450119" w:rsidRPr="000C27C2" w:rsidRDefault="00450119" w:rsidP="00450119">
            <w:pPr>
              <w:pStyle w:val="ListParagraph"/>
              <w:numPr>
                <w:ilvl w:val="0"/>
                <w:numId w:val="23"/>
              </w:numPr>
              <w:ind w:left="316"/>
              <w:rPr>
                <w:sz w:val="21"/>
                <w:szCs w:val="21"/>
              </w:rPr>
            </w:pPr>
            <w:r w:rsidRPr="000C27C2">
              <w:rPr>
                <w:sz w:val="21"/>
                <w:szCs w:val="21"/>
              </w:rPr>
              <w:t>Institutions should provide support to all EMCRs preparing grant applications, independent of whether those applications are for category 1 funding or other funding</w:t>
            </w:r>
          </w:p>
          <w:p w14:paraId="35784E85" w14:textId="77777777" w:rsidR="00450119" w:rsidRPr="000C27C2" w:rsidRDefault="00450119" w:rsidP="00450119">
            <w:pPr>
              <w:pStyle w:val="ListParagraph"/>
              <w:numPr>
                <w:ilvl w:val="0"/>
                <w:numId w:val="23"/>
              </w:numPr>
              <w:ind w:left="316"/>
              <w:rPr>
                <w:sz w:val="21"/>
                <w:szCs w:val="21"/>
              </w:rPr>
            </w:pPr>
            <w:r w:rsidRPr="000C27C2">
              <w:rPr>
                <w:sz w:val="21"/>
                <w:szCs w:val="21"/>
              </w:rPr>
              <w:t>EMCRs, institutions and industry should consider how to establish networks for collaboration and information flow in order that EMCRs can build connections to put EMCRs in the best position to apply for relevant grant opportunities and have the most competitive team on that application</w:t>
            </w:r>
          </w:p>
        </w:tc>
        <w:tc>
          <w:tcPr>
            <w:tcW w:w="0" w:type="auto"/>
          </w:tcPr>
          <w:p w14:paraId="636926FF" w14:textId="77777777" w:rsidR="00450119" w:rsidRPr="00AA5376" w:rsidRDefault="00450119" w:rsidP="00567E8A">
            <w:pPr>
              <w:rPr>
                <w:b/>
                <w:bCs/>
                <w:sz w:val="21"/>
                <w:szCs w:val="21"/>
              </w:rPr>
            </w:pPr>
            <w:r w:rsidRPr="00AA5376">
              <w:rPr>
                <w:b/>
                <w:bCs/>
                <w:sz w:val="21"/>
                <w:szCs w:val="21"/>
              </w:rPr>
              <w:t>Strategies suggested by stakeholders to address this challenge</w:t>
            </w:r>
          </w:p>
          <w:p w14:paraId="5409E6F1" w14:textId="77777777" w:rsidR="00450119" w:rsidRPr="000C27C2" w:rsidRDefault="00450119" w:rsidP="00450119">
            <w:pPr>
              <w:pStyle w:val="ListParagraph"/>
              <w:numPr>
                <w:ilvl w:val="0"/>
                <w:numId w:val="24"/>
              </w:numPr>
              <w:ind w:left="343"/>
              <w:rPr>
                <w:sz w:val="21"/>
                <w:szCs w:val="21"/>
              </w:rPr>
            </w:pPr>
            <w:r w:rsidRPr="000C27C2">
              <w:rPr>
                <w:sz w:val="21"/>
                <w:szCs w:val="21"/>
              </w:rPr>
              <w:t>Internal investments to make EMCRs more competitive for research grants, such as: seed funding, career support, “near miss” and “bridging” schemes, pilot projects and proof of concept proposals</w:t>
            </w:r>
          </w:p>
          <w:p w14:paraId="1AED9162" w14:textId="77777777" w:rsidR="00450119" w:rsidRPr="000C27C2" w:rsidRDefault="00450119" w:rsidP="00450119">
            <w:pPr>
              <w:pStyle w:val="ListParagraph"/>
              <w:numPr>
                <w:ilvl w:val="0"/>
                <w:numId w:val="24"/>
              </w:numPr>
              <w:ind w:left="343"/>
              <w:rPr>
                <w:sz w:val="21"/>
                <w:szCs w:val="21"/>
              </w:rPr>
            </w:pPr>
            <w:r w:rsidRPr="000C27C2">
              <w:rPr>
                <w:sz w:val="21"/>
                <w:szCs w:val="21"/>
              </w:rPr>
              <w:t>Provide training, development, research support infrastructure to improve grant success for EMCRs</w:t>
            </w:r>
          </w:p>
          <w:p w14:paraId="26EF0A4F" w14:textId="100AB922" w:rsidR="00450119" w:rsidRPr="000C27C2" w:rsidRDefault="00450119" w:rsidP="00450119">
            <w:pPr>
              <w:pStyle w:val="ListParagraph"/>
              <w:numPr>
                <w:ilvl w:val="0"/>
                <w:numId w:val="24"/>
              </w:numPr>
              <w:ind w:left="343"/>
              <w:rPr>
                <w:sz w:val="21"/>
                <w:szCs w:val="21"/>
              </w:rPr>
            </w:pPr>
            <w:r w:rsidRPr="000C27C2">
              <w:rPr>
                <w:sz w:val="21"/>
                <w:szCs w:val="21"/>
              </w:rPr>
              <w:t xml:space="preserve">Partner with donors and industry to provide financial support, pursuing unconventional new avenues to support </w:t>
            </w:r>
            <w:r w:rsidR="0067301E" w:rsidRPr="000C27C2">
              <w:rPr>
                <w:sz w:val="21"/>
                <w:szCs w:val="21"/>
              </w:rPr>
              <w:t>research</w:t>
            </w:r>
            <w:r w:rsidRPr="000C27C2">
              <w:rPr>
                <w:sz w:val="21"/>
                <w:szCs w:val="21"/>
              </w:rPr>
              <w:t xml:space="preserve">. </w:t>
            </w:r>
            <w:r w:rsidRPr="00944BB8">
              <w:rPr>
                <w:sz w:val="21"/>
                <w:szCs w:val="21"/>
              </w:rPr>
              <w:t>For example, partnering with a pharmaceutical company to administer a grant opportunity to members.</w:t>
            </w:r>
            <w:r w:rsidRPr="000C27C2">
              <w:rPr>
                <w:sz w:val="21"/>
                <w:szCs w:val="21"/>
              </w:rPr>
              <w:t xml:space="preserve"> </w:t>
            </w:r>
          </w:p>
          <w:p w14:paraId="3B6B4AE5" w14:textId="77777777" w:rsidR="00450119" w:rsidRPr="000C27C2" w:rsidRDefault="00450119" w:rsidP="00450119">
            <w:pPr>
              <w:pStyle w:val="ListParagraph"/>
              <w:numPr>
                <w:ilvl w:val="0"/>
                <w:numId w:val="24"/>
              </w:numPr>
              <w:ind w:left="343"/>
              <w:rPr>
                <w:sz w:val="21"/>
                <w:szCs w:val="21"/>
              </w:rPr>
            </w:pPr>
            <w:r w:rsidRPr="000C27C2">
              <w:rPr>
                <w:sz w:val="21"/>
                <w:szCs w:val="21"/>
              </w:rPr>
              <w:t xml:space="preserve">Dissemination of grant opportunity information </w:t>
            </w:r>
          </w:p>
          <w:p w14:paraId="1E251700" w14:textId="77777777" w:rsidR="00450119" w:rsidRPr="000C27C2" w:rsidRDefault="00450119" w:rsidP="00450119">
            <w:pPr>
              <w:pStyle w:val="ListParagraph"/>
              <w:numPr>
                <w:ilvl w:val="0"/>
                <w:numId w:val="24"/>
              </w:numPr>
              <w:ind w:left="343"/>
              <w:rPr>
                <w:sz w:val="21"/>
                <w:szCs w:val="21"/>
              </w:rPr>
            </w:pPr>
            <w:r w:rsidRPr="000C27C2">
              <w:rPr>
                <w:sz w:val="21"/>
                <w:szCs w:val="21"/>
              </w:rPr>
              <w:t>Appointment of Research Translation Coordinators embedded in rural health services to support research capacity development with the aim of securing external grant funding and translating findings into policy/practice</w:t>
            </w:r>
          </w:p>
          <w:p w14:paraId="0FF00C62" w14:textId="77777777" w:rsidR="00450119" w:rsidRPr="000C27C2" w:rsidRDefault="00450119" w:rsidP="00450119">
            <w:pPr>
              <w:pStyle w:val="ListParagraph"/>
              <w:numPr>
                <w:ilvl w:val="0"/>
                <w:numId w:val="24"/>
              </w:numPr>
              <w:ind w:left="343"/>
              <w:rPr>
                <w:b/>
                <w:bCs/>
                <w:sz w:val="21"/>
                <w:szCs w:val="21"/>
              </w:rPr>
            </w:pPr>
            <w:r w:rsidRPr="000C27C2">
              <w:rPr>
                <w:sz w:val="21"/>
                <w:szCs w:val="21"/>
              </w:rPr>
              <w:t>Encourage team-based research (for rural researchers this is often via a virtual membership) that is better positioned to secure larger, longer-term funding</w:t>
            </w:r>
          </w:p>
        </w:tc>
        <w:tc>
          <w:tcPr>
            <w:tcW w:w="0" w:type="auto"/>
          </w:tcPr>
          <w:p w14:paraId="0717B39E" w14:textId="77777777" w:rsidR="00450119" w:rsidRPr="00AA5376" w:rsidRDefault="00450119" w:rsidP="00567E8A">
            <w:pPr>
              <w:rPr>
                <w:b/>
                <w:bCs/>
                <w:sz w:val="21"/>
                <w:szCs w:val="21"/>
              </w:rPr>
            </w:pPr>
            <w:r w:rsidRPr="00AA5376">
              <w:rPr>
                <w:b/>
                <w:bCs/>
                <w:sz w:val="21"/>
                <w:szCs w:val="21"/>
              </w:rPr>
              <w:t>Reported barriers to implementing these strategies</w:t>
            </w:r>
          </w:p>
          <w:p w14:paraId="335267BA" w14:textId="77777777" w:rsidR="00450119" w:rsidRPr="000C27C2" w:rsidRDefault="00450119" w:rsidP="00450119">
            <w:pPr>
              <w:pStyle w:val="ListParagraph"/>
              <w:numPr>
                <w:ilvl w:val="0"/>
                <w:numId w:val="25"/>
              </w:numPr>
              <w:ind w:left="371"/>
              <w:rPr>
                <w:sz w:val="21"/>
                <w:szCs w:val="21"/>
              </w:rPr>
            </w:pPr>
            <w:r w:rsidRPr="000C27C2">
              <w:rPr>
                <w:sz w:val="21"/>
                <w:szCs w:val="21"/>
              </w:rPr>
              <w:t xml:space="preserve">Insufficient external funding opportunities targeted at EMCRs to support the number of researchers </w:t>
            </w:r>
          </w:p>
          <w:p w14:paraId="7B620E4D" w14:textId="77777777" w:rsidR="00450119" w:rsidRPr="000C27C2" w:rsidRDefault="00450119" w:rsidP="00450119">
            <w:pPr>
              <w:pStyle w:val="ListParagraph"/>
              <w:numPr>
                <w:ilvl w:val="0"/>
                <w:numId w:val="25"/>
              </w:numPr>
              <w:ind w:left="371"/>
              <w:rPr>
                <w:sz w:val="21"/>
                <w:szCs w:val="21"/>
              </w:rPr>
            </w:pPr>
            <w:r w:rsidRPr="000C27C2">
              <w:rPr>
                <w:sz w:val="21"/>
                <w:szCs w:val="21"/>
              </w:rPr>
              <w:t>Time and workload – team teaching would help to free up some time for research or grant writing</w:t>
            </w:r>
          </w:p>
          <w:p w14:paraId="7BCBA7F7" w14:textId="77777777" w:rsidR="00450119" w:rsidRPr="000C27C2" w:rsidRDefault="00450119" w:rsidP="00450119">
            <w:pPr>
              <w:pStyle w:val="ListParagraph"/>
              <w:numPr>
                <w:ilvl w:val="0"/>
                <w:numId w:val="25"/>
              </w:numPr>
              <w:ind w:left="371"/>
              <w:rPr>
                <w:sz w:val="21"/>
                <w:szCs w:val="21"/>
              </w:rPr>
            </w:pPr>
            <w:r w:rsidRPr="000C27C2">
              <w:rPr>
                <w:sz w:val="21"/>
                <w:szCs w:val="21"/>
              </w:rPr>
              <w:t>Limited funds available for internal investment schemes, financial constraints due to COVID-19</w:t>
            </w:r>
          </w:p>
          <w:p w14:paraId="4EF7A2A5" w14:textId="77777777" w:rsidR="00450119" w:rsidRPr="000C27C2" w:rsidRDefault="00450119" w:rsidP="00450119">
            <w:pPr>
              <w:pStyle w:val="ListParagraph"/>
              <w:numPr>
                <w:ilvl w:val="0"/>
                <w:numId w:val="25"/>
              </w:numPr>
              <w:ind w:left="371"/>
              <w:rPr>
                <w:b/>
                <w:bCs/>
                <w:sz w:val="21"/>
                <w:szCs w:val="21"/>
              </w:rPr>
            </w:pPr>
            <w:r w:rsidRPr="000C27C2">
              <w:rPr>
                <w:sz w:val="21"/>
                <w:szCs w:val="21"/>
              </w:rPr>
              <w:t>The state-based public health systems in Australia have large budgets but fragmented R&amp;D, or little R&amp;D function</w:t>
            </w:r>
          </w:p>
        </w:tc>
      </w:tr>
    </w:tbl>
    <w:p w14:paraId="3CAB6354" w14:textId="77777777" w:rsidR="00450119" w:rsidRDefault="00450119" w:rsidP="00450119"/>
    <w:tbl>
      <w:tblPr>
        <w:tblStyle w:val="TableGrid"/>
        <w:tblW w:w="0" w:type="auto"/>
        <w:tblLook w:val="04A0" w:firstRow="1" w:lastRow="0" w:firstColumn="1" w:lastColumn="0" w:noHBand="0" w:noVBand="1"/>
      </w:tblPr>
      <w:tblGrid>
        <w:gridCol w:w="4644"/>
        <w:gridCol w:w="5578"/>
        <w:gridCol w:w="3726"/>
      </w:tblGrid>
      <w:tr w:rsidR="00450119" w14:paraId="656B7729" w14:textId="77777777" w:rsidTr="0067301E">
        <w:tc>
          <w:tcPr>
            <w:tcW w:w="0" w:type="auto"/>
            <w:gridSpan w:val="3"/>
            <w:shd w:val="clear" w:color="auto" w:fill="4472C4" w:themeFill="accent1"/>
          </w:tcPr>
          <w:p w14:paraId="160E66E8" w14:textId="14DD3007" w:rsidR="00450119" w:rsidRPr="0082652B" w:rsidRDefault="0049331D" w:rsidP="00567E8A">
            <w:pPr>
              <w:rPr>
                <w:color w:val="FFFFFF" w:themeColor="background1"/>
              </w:rPr>
            </w:pPr>
            <w:r>
              <w:rPr>
                <w:b/>
                <w:bCs/>
                <w:color w:val="FFFFFF" w:themeColor="background1"/>
              </w:rPr>
              <w:lastRenderedPageBreak/>
              <w:t xml:space="preserve">Table </w:t>
            </w:r>
            <w:r w:rsidR="00450119" w:rsidRPr="0082652B">
              <w:rPr>
                <w:b/>
                <w:bCs/>
                <w:color w:val="FFFFFF" w:themeColor="background1"/>
              </w:rPr>
              <w:t>3. Workplace culture</w:t>
            </w:r>
          </w:p>
          <w:p w14:paraId="418EA082" w14:textId="7840D35E" w:rsidR="00450119" w:rsidRPr="0082652B" w:rsidRDefault="00450119" w:rsidP="00567E8A">
            <w:pPr>
              <w:rPr>
                <w:color w:val="FFFFFF" w:themeColor="background1"/>
              </w:rPr>
            </w:pPr>
            <w:r w:rsidRPr="0082652B">
              <w:rPr>
                <w:color w:val="FFFFFF" w:themeColor="background1"/>
              </w:rPr>
              <w:t>The key finding from engag</w:t>
            </w:r>
            <w:r w:rsidR="0015108B">
              <w:rPr>
                <w:color w:val="FFFFFF" w:themeColor="background1"/>
              </w:rPr>
              <w:t>e</w:t>
            </w:r>
            <w:r w:rsidRPr="0082652B">
              <w:rPr>
                <w:color w:val="FFFFFF" w:themeColor="background1"/>
              </w:rPr>
              <w:t xml:space="preserve">ment with EMCRs was that it is important that workplaces set realistic expectations of what ‘success’ looks like and promote a healthy work-life balance. However, EMCRs reported facing multiple challenges due to workplace culture including maintaining a healthy work-life balance with large workloads (including research, teaching, administration, student supervision, service contributions, repeatedly applying for job contracts/grants), lack of technical assistants, unpaid hours to “keep up” in competitive environments, hyper-competition that impacts on collaboration, high expectations on what EMCRs should be achieving, and workplaces that do not have a nurturing culture. </w:t>
            </w:r>
          </w:p>
          <w:p w14:paraId="17B066FB" w14:textId="77777777" w:rsidR="00450119" w:rsidRDefault="00450119" w:rsidP="00567E8A">
            <w:pPr>
              <w:spacing w:before="240"/>
            </w:pPr>
            <w:r w:rsidRPr="0082652B">
              <w:rPr>
                <w:color w:val="FFFFFF" w:themeColor="background1"/>
              </w:rPr>
              <w:t>Key strategies to address this issue included better forward planning of grant opportunities and public accountability for cultural issues.</w:t>
            </w:r>
          </w:p>
        </w:tc>
      </w:tr>
      <w:tr w:rsidR="00450119" w14:paraId="775400A2" w14:textId="77777777" w:rsidTr="00567E8A">
        <w:tc>
          <w:tcPr>
            <w:tcW w:w="4646" w:type="dxa"/>
          </w:tcPr>
          <w:p w14:paraId="19FB8F1E" w14:textId="77777777" w:rsidR="00944BB8" w:rsidRPr="00944BB8" w:rsidRDefault="00450119" w:rsidP="00944BB8">
            <w:pPr>
              <w:rPr>
                <w:sz w:val="21"/>
                <w:szCs w:val="21"/>
              </w:rPr>
            </w:pPr>
            <w:r w:rsidRPr="00944BB8">
              <w:rPr>
                <w:b/>
                <w:bCs/>
                <w:sz w:val="21"/>
                <w:szCs w:val="21"/>
              </w:rPr>
              <w:t xml:space="preserve">Ideas suggested by EMCRs deemed </w:t>
            </w:r>
            <w:r w:rsidR="00944BB8" w:rsidRPr="00944BB8">
              <w:rPr>
                <w:b/>
                <w:bCs/>
                <w:sz w:val="21"/>
                <w:szCs w:val="21"/>
              </w:rPr>
              <w:t xml:space="preserve">relevant to stakeholders </w:t>
            </w:r>
          </w:p>
          <w:p w14:paraId="050CE6D1" w14:textId="4DAA513E" w:rsidR="00450119" w:rsidRPr="000C27C2" w:rsidRDefault="00450119" w:rsidP="00450119">
            <w:pPr>
              <w:pStyle w:val="ListParagraph"/>
              <w:numPr>
                <w:ilvl w:val="0"/>
                <w:numId w:val="24"/>
              </w:numPr>
              <w:ind w:left="316"/>
              <w:rPr>
                <w:sz w:val="21"/>
                <w:szCs w:val="21"/>
              </w:rPr>
            </w:pPr>
            <w:r w:rsidRPr="000C27C2">
              <w:rPr>
                <w:sz w:val="21"/>
                <w:szCs w:val="21"/>
              </w:rPr>
              <w:t>Increase clarity and establish guidelines within institutions on the role of an EMCR. Current EMCR KPIs are based on narrow metrics that don’t recognise the actual scope of the role in practice</w:t>
            </w:r>
          </w:p>
          <w:p w14:paraId="5AFF8F34" w14:textId="77777777" w:rsidR="00450119" w:rsidRPr="000C27C2" w:rsidRDefault="00450119" w:rsidP="00450119">
            <w:pPr>
              <w:pStyle w:val="ListParagraph"/>
              <w:numPr>
                <w:ilvl w:val="0"/>
                <w:numId w:val="24"/>
              </w:numPr>
              <w:ind w:left="316"/>
              <w:rPr>
                <w:sz w:val="21"/>
                <w:szCs w:val="21"/>
              </w:rPr>
            </w:pPr>
            <w:r w:rsidRPr="000C27C2">
              <w:rPr>
                <w:sz w:val="21"/>
                <w:szCs w:val="21"/>
              </w:rPr>
              <w:t xml:space="preserve">Promote mentoring culture within institutions </w:t>
            </w:r>
          </w:p>
          <w:p w14:paraId="1925AF56" w14:textId="77777777" w:rsidR="00450119" w:rsidRPr="000C27C2" w:rsidRDefault="00450119" w:rsidP="00450119">
            <w:pPr>
              <w:pStyle w:val="ListParagraph"/>
              <w:numPr>
                <w:ilvl w:val="0"/>
                <w:numId w:val="24"/>
              </w:numPr>
              <w:ind w:left="316"/>
              <w:rPr>
                <w:sz w:val="21"/>
                <w:szCs w:val="21"/>
              </w:rPr>
            </w:pPr>
            <w:r w:rsidRPr="000C27C2">
              <w:rPr>
                <w:sz w:val="21"/>
                <w:szCs w:val="21"/>
              </w:rPr>
              <w:t xml:space="preserve">Change the research funding model to emphasise collaboration rather than excessive competition with peers </w:t>
            </w:r>
          </w:p>
          <w:p w14:paraId="55C429DE" w14:textId="77777777" w:rsidR="00450119" w:rsidRPr="000C27C2" w:rsidRDefault="00450119" w:rsidP="00450119">
            <w:pPr>
              <w:pStyle w:val="ListParagraph"/>
              <w:numPr>
                <w:ilvl w:val="0"/>
                <w:numId w:val="24"/>
              </w:numPr>
              <w:ind w:left="316"/>
              <w:rPr>
                <w:sz w:val="21"/>
                <w:szCs w:val="21"/>
              </w:rPr>
            </w:pPr>
            <w:r w:rsidRPr="000C27C2">
              <w:rPr>
                <w:sz w:val="21"/>
                <w:szCs w:val="21"/>
              </w:rPr>
              <w:t>Promote/increase visibility of ‘healthy’ role models within organisations</w:t>
            </w:r>
          </w:p>
          <w:p w14:paraId="61870941" w14:textId="77777777" w:rsidR="00450119" w:rsidRPr="000C27C2" w:rsidRDefault="00450119" w:rsidP="00450119">
            <w:pPr>
              <w:pStyle w:val="ListParagraph"/>
              <w:numPr>
                <w:ilvl w:val="0"/>
                <w:numId w:val="24"/>
              </w:numPr>
              <w:ind w:left="316"/>
              <w:rPr>
                <w:sz w:val="21"/>
                <w:szCs w:val="21"/>
              </w:rPr>
            </w:pPr>
            <w:r w:rsidRPr="000C27C2">
              <w:rPr>
                <w:sz w:val="21"/>
                <w:szCs w:val="21"/>
              </w:rPr>
              <w:t>Encourage institutions to provide increased resources to assist EMCRs in their day-to-day work</w:t>
            </w:r>
          </w:p>
          <w:p w14:paraId="147AFA20" w14:textId="77777777" w:rsidR="00450119" w:rsidRPr="000C27C2" w:rsidRDefault="00450119" w:rsidP="00450119">
            <w:pPr>
              <w:pStyle w:val="ListParagraph"/>
              <w:numPr>
                <w:ilvl w:val="0"/>
                <w:numId w:val="24"/>
              </w:numPr>
              <w:ind w:left="316"/>
              <w:rPr>
                <w:sz w:val="21"/>
                <w:szCs w:val="21"/>
              </w:rPr>
            </w:pPr>
            <w:r w:rsidRPr="000C27C2">
              <w:rPr>
                <w:sz w:val="21"/>
                <w:szCs w:val="21"/>
              </w:rPr>
              <w:t xml:space="preserve">Mandate increased transparency of workplace cultures. </w:t>
            </w:r>
          </w:p>
          <w:p w14:paraId="4CDA6C99" w14:textId="77777777" w:rsidR="00450119" w:rsidRPr="000C27C2" w:rsidRDefault="00450119" w:rsidP="00450119">
            <w:pPr>
              <w:pStyle w:val="ListParagraph"/>
              <w:numPr>
                <w:ilvl w:val="0"/>
                <w:numId w:val="24"/>
              </w:numPr>
              <w:ind w:left="316"/>
              <w:rPr>
                <w:sz w:val="21"/>
                <w:szCs w:val="21"/>
              </w:rPr>
            </w:pPr>
            <w:r w:rsidRPr="000C27C2">
              <w:rPr>
                <w:sz w:val="21"/>
                <w:szCs w:val="21"/>
              </w:rPr>
              <w:t>Make organisations accountable for poor workplace culture and incentivise/reward those with positive and healthy cultures (e.g. mentoring programs, child-care support)</w:t>
            </w:r>
          </w:p>
          <w:p w14:paraId="728514A7" w14:textId="77777777" w:rsidR="00450119" w:rsidRPr="000C27C2" w:rsidRDefault="00450119" w:rsidP="00450119">
            <w:pPr>
              <w:pStyle w:val="ListParagraph"/>
              <w:numPr>
                <w:ilvl w:val="0"/>
                <w:numId w:val="24"/>
              </w:numPr>
              <w:ind w:left="316"/>
              <w:rPr>
                <w:sz w:val="21"/>
                <w:szCs w:val="21"/>
              </w:rPr>
            </w:pPr>
            <w:r w:rsidRPr="000C27C2">
              <w:rPr>
                <w:sz w:val="21"/>
                <w:szCs w:val="21"/>
              </w:rPr>
              <w:t>Consider ways to measure researcher output relative to time</w:t>
            </w:r>
          </w:p>
          <w:p w14:paraId="76763A29" w14:textId="77777777" w:rsidR="00450119" w:rsidRPr="000C27C2" w:rsidRDefault="00450119" w:rsidP="00567E8A">
            <w:pPr>
              <w:rPr>
                <w:sz w:val="21"/>
                <w:szCs w:val="21"/>
              </w:rPr>
            </w:pPr>
          </w:p>
        </w:tc>
        <w:tc>
          <w:tcPr>
            <w:tcW w:w="6264" w:type="dxa"/>
          </w:tcPr>
          <w:p w14:paraId="30A21B86" w14:textId="77777777" w:rsidR="00450119" w:rsidRPr="00E2109B" w:rsidRDefault="00450119" w:rsidP="00567E8A">
            <w:pPr>
              <w:rPr>
                <w:b/>
                <w:bCs/>
                <w:sz w:val="21"/>
                <w:szCs w:val="21"/>
              </w:rPr>
            </w:pPr>
            <w:r w:rsidRPr="00E2109B">
              <w:rPr>
                <w:b/>
                <w:bCs/>
                <w:sz w:val="21"/>
                <w:szCs w:val="21"/>
              </w:rPr>
              <w:t>Strategies suggested by stakeholders to address this challenge</w:t>
            </w:r>
          </w:p>
          <w:p w14:paraId="5606BB6B" w14:textId="77777777" w:rsidR="00450119" w:rsidRPr="000C27C2" w:rsidRDefault="00450119" w:rsidP="00450119">
            <w:pPr>
              <w:pStyle w:val="ListParagraph"/>
              <w:numPr>
                <w:ilvl w:val="0"/>
                <w:numId w:val="23"/>
              </w:numPr>
              <w:ind w:left="360"/>
              <w:rPr>
                <w:sz w:val="21"/>
                <w:szCs w:val="21"/>
              </w:rPr>
            </w:pPr>
            <w:r w:rsidRPr="000C27C2">
              <w:rPr>
                <w:sz w:val="21"/>
                <w:szCs w:val="21"/>
              </w:rPr>
              <w:t xml:space="preserve">Paternal leave, childcare, flexible hours and work arrangements, support those with carer responsibilities </w:t>
            </w:r>
          </w:p>
          <w:p w14:paraId="5B50EC9C" w14:textId="77777777" w:rsidR="00450119" w:rsidRPr="000C27C2" w:rsidRDefault="00450119" w:rsidP="00450119">
            <w:pPr>
              <w:pStyle w:val="ListParagraph"/>
              <w:numPr>
                <w:ilvl w:val="0"/>
                <w:numId w:val="23"/>
              </w:numPr>
              <w:ind w:left="360"/>
              <w:rPr>
                <w:sz w:val="21"/>
                <w:szCs w:val="21"/>
              </w:rPr>
            </w:pPr>
            <w:r w:rsidRPr="000C27C2">
              <w:rPr>
                <w:sz w:val="21"/>
                <w:szCs w:val="21"/>
              </w:rPr>
              <w:t xml:space="preserve">360-degree anonymous feedback, open communication </w:t>
            </w:r>
          </w:p>
          <w:p w14:paraId="4A91F65C" w14:textId="77777777" w:rsidR="00450119" w:rsidRPr="000C27C2" w:rsidRDefault="00450119" w:rsidP="00450119">
            <w:pPr>
              <w:pStyle w:val="ListParagraph"/>
              <w:numPr>
                <w:ilvl w:val="0"/>
                <w:numId w:val="23"/>
              </w:numPr>
              <w:ind w:left="360"/>
              <w:rPr>
                <w:sz w:val="21"/>
                <w:szCs w:val="21"/>
              </w:rPr>
            </w:pPr>
            <w:r w:rsidRPr="000C27C2">
              <w:rPr>
                <w:sz w:val="21"/>
                <w:szCs w:val="21"/>
              </w:rPr>
              <w:t>Leader-shadowing programs</w:t>
            </w:r>
          </w:p>
          <w:p w14:paraId="5CA51185" w14:textId="77777777" w:rsidR="00450119" w:rsidRPr="000C27C2" w:rsidRDefault="00450119" w:rsidP="00450119">
            <w:pPr>
              <w:pStyle w:val="ListParagraph"/>
              <w:numPr>
                <w:ilvl w:val="0"/>
                <w:numId w:val="23"/>
              </w:numPr>
              <w:ind w:left="360"/>
              <w:rPr>
                <w:sz w:val="21"/>
                <w:szCs w:val="21"/>
              </w:rPr>
            </w:pPr>
            <w:r w:rsidRPr="000C27C2">
              <w:rPr>
                <w:sz w:val="21"/>
                <w:szCs w:val="21"/>
              </w:rPr>
              <w:t>Career guides for women</w:t>
            </w:r>
          </w:p>
          <w:p w14:paraId="439DFCF3" w14:textId="77777777" w:rsidR="00450119" w:rsidRPr="000C27C2" w:rsidRDefault="00450119" w:rsidP="00450119">
            <w:pPr>
              <w:pStyle w:val="ListParagraph"/>
              <w:numPr>
                <w:ilvl w:val="0"/>
                <w:numId w:val="23"/>
              </w:numPr>
              <w:ind w:left="360"/>
              <w:rPr>
                <w:sz w:val="21"/>
                <w:szCs w:val="21"/>
              </w:rPr>
            </w:pPr>
            <w:r w:rsidRPr="000C27C2">
              <w:rPr>
                <w:sz w:val="21"/>
                <w:szCs w:val="21"/>
              </w:rPr>
              <w:t>Codes of conduct, policies</w:t>
            </w:r>
          </w:p>
          <w:p w14:paraId="1EFDC3C1" w14:textId="77777777" w:rsidR="00450119" w:rsidRPr="000C27C2" w:rsidRDefault="00450119" w:rsidP="00450119">
            <w:pPr>
              <w:pStyle w:val="ListParagraph"/>
              <w:numPr>
                <w:ilvl w:val="0"/>
                <w:numId w:val="23"/>
              </w:numPr>
              <w:ind w:left="360"/>
              <w:rPr>
                <w:sz w:val="21"/>
                <w:szCs w:val="21"/>
              </w:rPr>
            </w:pPr>
            <w:r w:rsidRPr="000C27C2">
              <w:rPr>
                <w:sz w:val="21"/>
                <w:szCs w:val="21"/>
              </w:rPr>
              <w:t xml:space="preserve">Strategies to account for performance relative to opportunity </w:t>
            </w:r>
          </w:p>
          <w:p w14:paraId="084B95EA" w14:textId="77777777" w:rsidR="00450119" w:rsidRPr="000C27C2" w:rsidRDefault="00450119" w:rsidP="00450119">
            <w:pPr>
              <w:pStyle w:val="ListParagraph"/>
              <w:numPr>
                <w:ilvl w:val="0"/>
                <w:numId w:val="23"/>
              </w:numPr>
              <w:ind w:left="360"/>
              <w:rPr>
                <w:sz w:val="21"/>
                <w:szCs w:val="21"/>
              </w:rPr>
            </w:pPr>
            <w:r w:rsidRPr="000C27C2">
              <w:rPr>
                <w:sz w:val="21"/>
                <w:szCs w:val="21"/>
              </w:rPr>
              <w:t>Workload relief to allow time for grant writing</w:t>
            </w:r>
          </w:p>
          <w:p w14:paraId="56C2DA78" w14:textId="77777777" w:rsidR="00450119" w:rsidRPr="00944BB8" w:rsidRDefault="00450119" w:rsidP="00450119">
            <w:pPr>
              <w:pStyle w:val="ListParagraph"/>
              <w:numPr>
                <w:ilvl w:val="0"/>
                <w:numId w:val="23"/>
              </w:numPr>
              <w:ind w:left="360"/>
              <w:rPr>
                <w:sz w:val="21"/>
                <w:szCs w:val="21"/>
              </w:rPr>
            </w:pPr>
            <w:r w:rsidRPr="000C27C2">
              <w:rPr>
                <w:sz w:val="21"/>
                <w:szCs w:val="21"/>
              </w:rPr>
              <w:t xml:space="preserve">Supporting attendance at meetings and </w:t>
            </w:r>
            <w:r w:rsidRPr="00944BB8">
              <w:rPr>
                <w:sz w:val="21"/>
                <w:szCs w:val="21"/>
              </w:rPr>
              <w:t>conferences. For example, covering or providing childcare for events, scheduling events occur during the work week (rather than weekends or during school holidays)</w:t>
            </w:r>
          </w:p>
          <w:p w14:paraId="0C440ABC" w14:textId="77777777" w:rsidR="00450119" w:rsidRPr="00944BB8" w:rsidRDefault="00450119" w:rsidP="00450119">
            <w:pPr>
              <w:pStyle w:val="ListParagraph"/>
              <w:numPr>
                <w:ilvl w:val="0"/>
                <w:numId w:val="23"/>
              </w:numPr>
              <w:ind w:left="360"/>
              <w:rPr>
                <w:sz w:val="21"/>
                <w:szCs w:val="21"/>
              </w:rPr>
            </w:pPr>
            <w:r w:rsidRPr="00944BB8">
              <w:rPr>
                <w:sz w:val="21"/>
                <w:szCs w:val="21"/>
              </w:rPr>
              <w:t xml:space="preserve">Establish research within rural health service strategic plans, budget for research and allocate time appropriately </w:t>
            </w:r>
          </w:p>
          <w:p w14:paraId="295C794F" w14:textId="77777777" w:rsidR="00450119" w:rsidRPr="00944BB8" w:rsidRDefault="00450119" w:rsidP="00450119">
            <w:pPr>
              <w:pStyle w:val="ListParagraph"/>
              <w:numPr>
                <w:ilvl w:val="0"/>
                <w:numId w:val="24"/>
              </w:numPr>
              <w:ind w:left="360"/>
              <w:rPr>
                <w:sz w:val="21"/>
                <w:szCs w:val="21"/>
              </w:rPr>
            </w:pPr>
            <w:r w:rsidRPr="00944BB8">
              <w:rPr>
                <w:sz w:val="21"/>
                <w:szCs w:val="21"/>
              </w:rPr>
              <w:t>Educate rural health service clinical managers as to the value of research and the need to focus research on solving their problem</w:t>
            </w:r>
          </w:p>
          <w:p w14:paraId="5BA68937" w14:textId="2A797911" w:rsidR="00450119" w:rsidRPr="000C27C2" w:rsidRDefault="00450119" w:rsidP="00450119">
            <w:pPr>
              <w:pStyle w:val="ListParagraph"/>
              <w:numPr>
                <w:ilvl w:val="0"/>
                <w:numId w:val="24"/>
              </w:numPr>
              <w:ind w:left="360"/>
              <w:rPr>
                <w:sz w:val="21"/>
                <w:szCs w:val="21"/>
              </w:rPr>
            </w:pPr>
            <w:r w:rsidRPr="00944BB8">
              <w:rPr>
                <w:sz w:val="21"/>
                <w:szCs w:val="21"/>
              </w:rPr>
              <w:t>Awards that recognise the full ecosystem of research, for example member engagement in public communication and outreach, teaching, and community impact</w:t>
            </w:r>
          </w:p>
        </w:tc>
        <w:tc>
          <w:tcPr>
            <w:tcW w:w="3038" w:type="dxa"/>
          </w:tcPr>
          <w:p w14:paraId="1EEAE1B1" w14:textId="77777777" w:rsidR="00450119" w:rsidRPr="00D856D3" w:rsidRDefault="00450119" w:rsidP="00567E8A">
            <w:pPr>
              <w:rPr>
                <w:b/>
                <w:bCs/>
                <w:sz w:val="21"/>
                <w:szCs w:val="21"/>
              </w:rPr>
            </w:pPr>
            <w:r w:rsidRPr="00D856D3">
              <w:rPr>
                <w:b/>
                <w:bCs/>
                <w:sz w:val="21"/>
                <w:szCs w:val="21"/>
              </w:rPr>
              <w:t>Reported barriers to implementing these strategies</w:t>
            </w:r>
          </w:p>
          <w:p w14:paraId="33E10D8E" w14:textId="77777777" w:rsidR="00450119" w:rsidRPr="000C27C2" w:rsidRDefault="00450119" w:rsidP="00450119">
            <w:pPr>
              <w:pStyle w:val="ListParagraph"/>
              <w:numPr>
                <w:ilvl w:val="0"/>
                <w:numId w:val="24"/>
              </w:numPr>
              <w:ind w:left="394"/>
              <w:rPr>
                <w:sz w:val="21"/>
                <w:szCs w:val="21"/>
              </w:rPr>
            </w:pPr>
            <w:r w:rsidRPr="000C27C2">
              <w:rPr>
                <w:sz w:val="21"/>
                <w:szCs w:val="21"/>
              </w:rPr>
              <w:t>The hypercompetitive nature of health and medical research promotes individualism over team and joint endeavours</w:t>
            </w:r>
          </w:p>
          <w:p w14:paraId="5BD1DAA6" w14:textId="77777777" w:rsidR="00450119" w:rsidRPr="000C27C2" w:rsidRDefault="00450119" w:rsidP="00450119">
            <w:pPr>
              <w:pStyle w:val="ListParagraph"/>
              <w:numPr>
                <w:ilvl w:val="0"/>
                <w:numId w:val="24"/>
              </w:numPr>
              <w:ind w:left="394"/>
              <w:rPr>
                <w:sz w:val="21"/>
                <w:szCs w:val="21"/>
              </w:rPr>
            </w:pPr>
            <w:r w:rsidRPr="000C27C2">
              <w:rPr>
                <w:sz w:val="21"/>
                <w:szCs w:val="21"/>
              </w:rPr>
              <w:t>Funders should provide feedback to unsuccessful grant applicants to reduce wasted time and effort</w:t>
            </w:r>
          </w:p>
          <w:p w14:paraId="1CBDF8E2" w14:textId="77777777" w:rsidR="00450119" w:rsidRPr="000C27C2" w:rsidRDefault="00450119" w:rsidP="00450119">
            <w:pPr>
              <w:pStyle w:val="ListParagraph"/>
              <w:numPr>
                <w:ilvl w:val="0"/>
                <w:numId w:val="24"/>
              </w:numPr>
              <w:ind w:left="394"/>
              <w:rPr>
                <w:sz w:val="21"/>
                <w:szCs w:val="21"/>
              </w:rPr>
            </w:pPr>
            <w:r w:rsidRPr="000C27C2">
              <w:rPr>
                <w:sz w:val="21"/>
                <w:szCs w:val="21"/>
              </w:rPr>
              <w:t>Limited personnel for workload relief</w:t>
            </w:r>
          </w:p>
          <w:p w14:paraId="3F01C321" w14:textId="77777777" w:rsidR="00450119" w:rsidRPr="000C27C2" w:rsidRDefault="00450119" w:rsidP="00450119">
            <w:pPr>
              <w:pStyle w:val="ListParagraph"/>
              <w:numPr>
                <w:ilvl w:val="0"/>
                <w:numId w:val="24"/>
              </w:numPr>
              <w:ind w:left="394"/>
              <w:rPr>
                <w:sz w:val="21"/>
                <w:szCs w:val="21"/>
              </w:rPr>
            </w:pPr>
            <w:r w:rsidRPr="000C27C2">
              <w:rPr>
                <w:sz w:val="21"/>
                <w:szCs w:val="21"/>
              </w:rPr>
              <w:t xml:space="preserve">Expectations that sacrifice is required to be successful, poor work-life balance </w:t>
            </w:r>
          </w:p>
          <w:p w14:paraId="41A79856" w14:textId="77777777" w:rsidR="00450119" w:rsidRPr="000C27C2" w:rsidRDefault="00450119" w:rsidP="00450119">
            <w:pPr>
              <w:pStyle w:val="ListParagraph"/>
              <w:numPr>
                <w:ilvl w:val="0"/>
                <w:numId w:val="24"/>
              </w:numPr>
              <w:ind w:left="394"/>
              <w:rPr>
                <w:sz w:val="21"/>
                <w:szCs w:val="21"/>
              </w:rPr>
            </w:pPr>
            <w:r w:rsidRPr="000C27C2">
              <w:rPr>
                <w:sz w:val="21"/>
                <w:szCs w:val="21"/>
              </w:rPr>
              <w:t>R&amp;D is not included in health service budgets</w:t>
            </w:r>
          </w:p>
          <w:p w14:paraId="558C02CB" w14:textId="77777777" w:rsidR="00450119" w:rsidRPr="000C27C2" w:rsidRDefault="00450119" w:rsidP="00450119">
            <w:pPr>
              <w:pStyle w:val="ListParagraph"/>
              <w:numPr>
                <w:ilvl w:val="0"/>
                <w:numId w:val="24"/>
              </w:numPr>
              <w:ind w:left="394"/>
              <w:rPr>
                <w:sz w:val="21"/>
                <w:szCs w:val="21"/>
              </w:rPr>
            </w:pPr>
            <w:r w:rsidRPr="000C27C2">
              <w:rPr>
                <w:sz w:val="21"/>
                <w:szCs w:val="21"/>
              </w:rPr>
              <w:t>High work/</w:t>
            </w:r>
            <w:proofErr w:type="spellStart"/>
            <w:r w:rsidRPr="000C27C2">
              <w:rPr>
                <w:sz w:val="21"/>
                <w:szCs w:val="21"/>
              </w:rPr>
              <w:t>case loads</w:t>
            </w:r>
            <w:proofErr w:type="spellEnd"/>
            <w:r w:rsidRPr="000C27C2">
              <w:rPr>
                <w:sz w:val="21"/>
                <w:szCs w:val="21"/>
              </w:rPr>
              <w:t xml:space="preserve"> of clinician researchers (and absence of sufficient back-fill options in rural settings) makes it difficult to release clinician/researchers to undertake research – even when related to clinical ‘problems’</w:t>
            </w:r>
          </w:p>
        </w:tc>
      </w:tr>
    </w:tbl>
    <w:p w14:paraId="6CA92D5A" w14:textId="77777777" w:rsidR="00450119" w:rsidRDefault="00450119" w:rsidP="00450119">
      <w:r>
        <w:br w:type="page"/>
      </w:r>
    </w:p>
    <w:tbl>
      <w:tblPr>
        <w:tblStyle w:val="TableGrid"/>
        <w:tblW w:w="0" w:type="auto"/>
        <w:tblLook w:val="04A0" w:firstRow="1" w:lastRow="0" w:firstColumn="1" w:lastColumn="0" w:noHBand="0" w:noVBand="1"/>
      </w:tblPr>
      <w:tblGrid>
        <w:gridCol w:w="5836"/>
        <w:gridCol w:w="4506"/>
        <w:gridCol w:w="3606"/>
      </w:tblGrid>
      <w:tr w:rsidR="00450119" w14:paraId="37A3CD74" w14:textId="77777777" w:rsidTr="0067301E">
        <w:tc>
          <w:tcPr>
            <w:tcW w:w="0" w:type="auto"/>
            <w:gridSpan w:val="3"/>
            <w:shd w:val="clear" w:color="auto" w:fill="4472C4" w:themeFill="accent1"/>
          </w:tcPr>
          <w:p w14:paraId="313DC21E" w14:textId="37F9C360" w:rsidR="00450119" w:rsidRPr="00E411DB" w:rsidRDefault="0049331D" w:rsidP="00567E8A">
            <w:pPr>
              <w:rPr>
                <w:b/>
                <w:bCs/>
                <w:color w:val="FFFFFF" w:themeColor="background1"/>
              </w:rPr>
            </w:pPr>
            <w:r>
              <w:rPr>
                <w:b/>
                <w:bCs/>
                <w:color w:val="FFFFFF" w:themeColor="background1"/>
              </w:rPr>
              <w:lastRenderedPageBreak/>
              <w:t xml:space="preserve">Table </w:t>
            </w:r>
            <w:r w:rsidR="00450119" w:rsidRPr="00E411DB">
              <w:rPr>
                <w:b/>
                <w:bCs/>
                <w:color w:val="FFFFFF" w:themeColor="background1"/>
              </w:rPr>
              <w:t>4. Provision of training and support</w:t>
            </w:r>
          </w:p>
          <w:p w14:paraId="294CCC72" w14:textId="69F9AE83" w:rsidR="00450119" w:rsidRPr="00E411DB" w:rsidRDefault="00450119" w:rsidP="00567E8A">
            <w:pPr>
              <w:rPr>
                <w:color w:val="FFFFFF" w:themeColor="background1"/>
              </w:rPr>
            </w:pPr>
            <w:r w:rsidRPr="00E411DB">
              <w:rPr>
                <w:color w:val="FFFFFF" w:themeColor="background1"/>
              </w:rPr>
              <w:t>The key finding from engag</w:t>
            </w:r>
            <w:r w:rsidR="0015108B">
              <w:rPr>
                <w:color w:val="FFFFFF" w:themeColor="background1"/>
              </w:rPr>
              <w:t>e</w:t>
            </w:r>
            <w:r w:rsidRPr="00E411DB">
              <w:rPr>
                <w:color w:val="FFFFFF" w:themeColor="background1"/>
              </w:rPr>
              <w:t>ment with EMCRs was that EMCRs need appropriate support to progress from pure researchers to leadership roles in academia and/or to careers in other sectors (e.g. industry, research policy). However, EMCRs reported facing multiple challenges including limited mentoring and sponsorship (advocacy) by senior researchers, limited networking opportunities for (new) collaborations, lack of formalised management training and limited training/information on pursuing career paths outside of academia.</w:t>
            </w:r>
          </w:p>
          <w:p w14:paraId="024BF933" w14:textId="77777777" w:rsidR="00450119" w:rsidRPr="00E411DB" w:rsidRDefault="00450119" w:rsidP="00567E8A">
            <w:pPr>
              <w:spacing w:before="240"/>
              <w:rPr>
                <w:b/>
                <w:bCs/>
              </w:rPr>
            </w:pPr>
            <w:r w:rsidRPr="00E411DB">
              <w:rPr>
                <w:color w:val="FFFFFF" w:themeColor="background1"/>
              </w:rPr>
              <w:t>Key strategies to address this issue included formal training and mentoring programs for EMCRs.</w:t>
            </w:r>
            <w:r w:rsidRPr="00E411DB">
              <w:rPr>
                <w:b/>
                <w:bCs/>
                <w:color w:val="FFFFFF" w:themeColor="background1"/>
              </w:rPr>
              <w:t xml:space="preserve"> </w:t>
            </w:r>
          </w:p>
        </w:tc>
      </w:tr>
      <w:tr w:rsidR="00450119" w14:paraId="564A473F" w14:textId="77777777" w:rsidTr="00567E8A">
        <w:tc>
          <w:tcPr>
            <w:tcW w:w="6324" w:type="dxa"/>
          </w:tcPr>
          <w:p w14:paraId="220DB043" w14:textId="25FC24A0" w:rsidR="00450119" w:rsidRPr="000C27C2" w:rsidRDefault="00450119" w:rsidP="00567E8A">
            <w:pPr>
              <w:rPr>
                <w:b/>
                <w:bCs/>
                <w:sz w:val="21"/>
                <w:szCs w:val="21"/>
              </w:rPr>
            </w:pPr>
            <w:r w:rsidRPr="000C27C2">
              <w:rPr>
                <w:b/>
                <w:bCs/>
                <w:sz w:val="21"/>
                <w:szCs w:val="21"/>
              </w:rPr>
              <w:t xml:space="preserve">Ideas suggested by EMCRs deemed </w:t>
            </w:r>
            <w:r w:rsidR="00944BB8" w:rsidRPr="00944BB8">
              <w:rPr>
                <w:b/>
                <w:bCs/>
                <w:sz w:val="21"/>
                <w:szCs w:val="21"/>
              </w:rPr>
              <w:t>relevant to stakeholders</w:t>
            </w:r>
          </w:p>
          <w:p w14:paraId="022FD203" w14:textId="77777777" w:rsidR="00450119" w:rsidRPr="000C27C2" w:rsidRDefault="00450119" w:rsidP="00450119">
            <w:pPr>
              <w:pStyle w:val="ListParagraph"/>
              <w:numPr>
                <w:ilvl w:val="0"/>
                <w:numId w:val="26"/>
              </w:numPr>
              <w:rPr>
                <w:sz w:val="21"/>
                <w:szCs w:val="21"/>
              </w:rPr>
            </w:pPr>
            <w:r w:rsidRPr="000C27C2">
              <w:rPr>
                <w:sz w:val="21"/>
                <w:szCs w:val="21"/>
              </w:rPr>
              <w:t>Provide formal training to EMCRs around general grant/research management and leadership</w:t>
            </w:r>
          </w:p>
          <w:p w14:paraId="7F985E21" w14:textId="77777777" w:rsidR="00450119" w:rsidRPr="000C27C2" w:rsidRDefault="00450119" w:rsidP="00450119">
            <w:pPr>
              <w:pStyle w:val="ListParagraph"/>
              <w:numPr>
                <w:ilvl w:val="0"/>
                <w:numId w:val="26"/>
              </w:numPr>
              <w:rPr>
                <w:sz w:val="21"/>
                <w:szCs w:val="21"/>
              </w:rPr>
            </w:pPr>
            <w:r w:rsidRPr="000C27C2">
              <w:rPr>
                <w:sz w:val="21"/>
                <w:szCs w:val="21"/>
              </w:rPr>
              <w:t>Provide formal mentoring programs for EMCRs, including mentors within and external to the EMCR’s specialty area</w:t>
            </w:r>
          </w:p>
          <w:p w14:paraId="13601C2B" w14:textId="77777777" w:rsidR="00450119" w:rsidRPr="000C27C2" w:rsidRDefault="00450119" w:rsidP="00450119">
            <w:pPr>
              <w:pStyle w:val="ListParagraph"/>
              <w:numPr>
                <w:ilvl w:val="0"/>
                <w:numId w:val="26"/>
              </w:numPr>
              <w:rPr>
                <w:sz w:val="21"/>
                <w:szCs w:val="21"/>
              </w:rPr>
            </w:pPr>
            <w:r w:rsidRPr="000C27C2">
              <w:rPr>
                <w:sz w:val="21"/>
                <w:szCs w:val="21"/>
              </w:rPr>
              <w:t>Train senior researchers on how to mentor EMCRs</w:t>
            </w:r>
          </w:p>
          <w:p w14:paraId="692551B2" w14:textId="77777777" w:rsidR="00450119" w:rsidRPr="000C27C2" w:rsidRDefault="00450119" w:rsidP="00450119">
            <w:pPr>
              <w:pStyle w:val="ListParagraph"/>
              <w:numPr>
                <w:ilvl w:val="0"/>
                <w:numId w:val="26"/>
              </w:numPr>
              <w:rPr>
                <w:sz w:val="21"/>
                <w:szCs w:val="21"/>
              </w:rPr>
            </w:pPr>
            <w:r w:rsidRPr="000C27C2">
              <w:rPr>
                <w:sz w:val="21"/>
                <w:szCs w:val="21"/>
              </w:rPr>
              <w:t>Create incentives to senior researchers to train and mentor EMCRs appropriately- Promote structured succession planning within research groups. This may also include consideration of senior authorship guidance and positioning on grant applications</w:t>
            </w:r>
          </w:p>
          <w:p w14:paraId="57BBFCB8" w14:textId="77777777" w:rsidR="00450119" w:rsidRPr="000C27C2" w:rsidRDefault="00450119" w:rsidP="00450119">
            <w:pPr>
              <w:pStyle w:val="ListParagraph"/>
              <w:numPr>
                <w:ilvl w:val="0"/>
                <w:numId w:val="26"/>
              </w:numPr>
              <w:rPr>
                <w:sz w:val="21"/>
                <w:szCs w:val="21"/>
              </w:rPr>
            </w:pPr>
            <w:r w:rsidRPr="000C27C2">
              <w:rPr>
                <w:sz w:val="21"/>
                <w:szCs w:val="21"/>
              </w:rPr>
              <w:t>Review the current structure of PhD programs within universities (also noted in section 1 – security of employment)</w:t>
            </w:r>
          </w:p>
          <w:p w14:paraId="61DAFDA0" w14:textId="77777777" w:rsidR="00450119" w:rsidRPr="000C27C2" w:rsidRDefault="00450119" w:rsidP="00450119">
            <w:pPr>
              <w:pStyle w:val="ListParagraph"/>
              <w:numPr>
                <w:ilvl w:val="0"/>
                <w:numId w:val="26"/>
              </w:numPr>
              <w:rPr>
                <w:sz w:val="21"/>
                <w:szCs w:val="21"/>
              </w:rPr>
            </w:pPr>
            <w:r w:rsidRPr="000C27C2">
              <w:rPr>
                <w:sz w:val="21"/>
                <w:szCs w:val="21"/>
              </w:rPr>
              <w:t>Promote seminars/career fairs for PhDs for exposure to non-academic industries looking to recruit PhDs and to hear from individuals who have successfully transitioned</w:t>
            </w:r>
          </w:p>
          <w:p w14:paraId="2940DAB6" w14:textId="77777777" w:rsidR="00450119" w:rsidRPr="000C27C2" w:rsidRDefault="00450119" w:rsidP="00450119">
            <w:pPr>
              <w:pStyle w:val="ListParagraph"/>
              <w:numPr>
                <w:ilvl w:val="0"/>
                <w:numId w:val="26"/>
              </w:numPr>
              <w:rPr>
                <w:sz w:val="21"/>
                <w:szCs w:val="21"/>
              </w:rPr>
            </w:pPr>
            <w:r w:rsidRPr="000C27C2">
              <w:rPr>
                <w:sz w:val="21"/>
                <w:szCs w:val="21"/>
              </w:rPr>
              <w:t>Promote work placements in industry/policy/etc</w:t>
            </w:r>
          </w:p>
          <w:p w14:paraId="38134E10" w14:textId="77777777" w:rsidR="00450119" w:rsidRPr="000C27C2" w:rsidRDefault="00450119" w:rsidP="00450119">
            <w:pPr>
              <w:pStyle w:val="ListParagraph"/>
              <w:numPr>
                <w:ilvl w:val="0"/>
                <w:numId w:val="26"/>
              </w:numPr>
              <w:rPr>
                <w:sz w:val="21"/>
                <w:szCs w:val="21"/>
              </w:rPr>
            </w:pPr>
            <w:r w:rsidRPr="000C27C2">
              <w:rPr>
                <w:sz w:val="21"/>
                <w:szCs w:val="21"/>
              </w:rPr>
              <w:t>Promote industry/research policy as a viable career option, not a “failed” academic career</w:t>
            </w:r>
          </w:p>
          <w:p w14:paraId="57A67C66" w14:textId="77777777" w:rsidR="00450119" w:rsidRPr="000C27C2" w:rsidRDefault="00450119" w:rsidP="00450119">
            <w:pPr>
              <w:pStyle w:val="ListParagraph"/>
              <w:numPr>
                <w:ilvl w:val="0"/>
                <w:numId w:val="26"/>
              </w:numPr>
              <w:rPr>
                <w:sz w:val="21"/>
                <w:szCs w:val="21"/>
              </w:rPr>
            </w:pPr>
            <w:r w:rsidRPr="000C27C2">
              <w:rPr>
                <w:sz w:val="21"/>
                <w:szCs w:val="21"/>
              </w:rPr>
              <w:t>Create industry incentives to employ highly skilled EMCRs who do not have prior industry training</w:t>
            </w:r>
          </w:p>
          <w:p w14:paraId="28FF44ED" w14:textId="77777777" w:rsidR="00450119" w:rsidRPr="000C27C2" w:rsidRDefault="00450119" w:rsidP="00450119">
            <w:pPr>
              <w:pStyle w:val="ListParagraph"/>
              <w:numPr>
                <w:ilvl w:val="0"/>
                <w:numId w:val="26"/>
              </w:numPr>
              <w:rPr>
                <w:sz w:val="21"/>
                <w:szCs w:val="21"/>
              </w:rPr>
            </w:pPr>
            <w:r w:rsidRPr="000C27C2">
              <w:rPr>
                <w:sz w:val="21"/>
                <w:szCs w:val="21"/>
              </w:rPr>
              <w:t>Create financial incentives for NGOs, private practices, etc. to undertake meaningful research using qualified researchers</w:t>
            </w:r>
          </w:p>
          <w:p w14:paraId="6403F2D7" w14:textId="77777777" w:rsidR="00450119" w:rsidRPr="000C27C2" w:rsidRDefault="00450119" w:rsidP="00450119">
            <w:pPr>
              <w:pStyle w:val="ListParagraph"/>
              <w:numPr>
                <w:ilvl w:val="0"/>
                <w:numId w:val="26"/>
              </w:numPr>
              <w:rPr>
                <w:sz w:val="21"/>
                <w:szCs w:val="21"/>
              </w:rPr>
            </w:pPr>
            <w:r w:rsidRPr="000C27C2">
              <w:rPr>
                <w:sz w:val="21"/>
                <w:szCs w:val="21"/>
              </w:rPr>
              <w:t>Decentralise policy jobs – currently Canberra-centric</w:t>
            </w:r>
          </w:p>
        </w:tc>
        <w:tc>
          <w:tcPr>
            <w:tcW w:w="4161" w:type="dxa"/>
          </w:tcPr>
          <w:p w14:paraId="06880B89" w14:textId="77777777" w:rsidR="00450119" w:rsidRPr="000C27C2" w:rsidRDefault="00450119" w:rsidP="00567E8A">
            <w:pPr>
              <w:rPr>
                <w:b/>
                <w:bCs/>
                <w:sz w:val="21"/>
                <w:szCs w:val="21"/>
              </w:rPr>
            </w:pPr>
            <w:r w:rsidRPr="000C27C2">
              <w:rPr>
                <w:b/>
                <w:bCs/>
                <w:sz w:val="21"/>
                <w:szCs w:val="21"/>
              </w:rPr>
              <w:t>Strategies suggested by stakeholders to address this challenge</w:t>
            </w:r>
          </w:p>
          <w:p w14:paraId="2C2F29B0" w14:textId="77777777" w:rsidR="00450119" w:rsidRPr="00944BB8" w:rsidRDefault="00450119" w:rsidP="00450119">
            <w:pPr>
              <w:pStyle w:val="ListParagraph"/>
              <w:numPr>
                <w:ilvl w:val="0"/>
                <w:numId w:val="26"/>
              </w:numPr>
              <w:rPr>
                <w:sz w:val="21"/>
                <w:szCs w:val="21"/>
              </w:rPr>
            </w:pPr>
            <w:r w:rsidRPr="00944BB8">
              <w:rPr>
                <w:sz w:val="21"/>
                <w:szCs w:val="21"/>
              </w:rPr>
              <w:t>Mentoring, for example pairing EMCR mentees with an established researcher mentor, working to improve the mentee's research profile, grant income, and/or publications</w:t>
            </w:r>
          </w:p>
          <w:p w14:paraId="285F1124" w14:textId="77777777" w:rsidR="00450119" w:rsidRPr="00944BB8" w:rsidRDefault="00450119" w:rsidP="00450119">
            <w:pPr>
              <w:pStyle w:val="ListParagraph"/>
              <w:numPr>
                <w:ilvl w:val="0"/>
                <w:numId w:val="26"/>
              </w:numPr>
              <w:rPr>
                <w:sz w:val="21"/>
                <w:szCs w:val="21"/>
              </w:rPr>
            </w:pPr>
            <w:r w:rsidRPr="00944BB8">
              <w:rPr>
                <w:sz w:val="21"/>
                <w:szCs w:val="21"/>
              </w:rPr>
              <w:t>EMCR development workshops/programs</w:t>
            </w:r>
          </w:p>
          <w:p w14:paraId="62216180" w14:textId="77777777" w:rsidR="00450119" w:rsidRPr="00944BB8" w:rsidRDefault="00450119" w:rsidP="00450119">
            <w:pPr>
              <w:pStyle w:val="ListParagraph"/>
              <w:numPr>
                <w:ilvl w:val="0"/>
                <w:numId w:val="26"/>
              </w:numPr>
              <w:rPr>
                <w:sz w:val="21"/>
                <w:szCs w:val="21"/>
              </w:rPr>
            </w:pPr>
            <w:r w:rsidRPr="00944BB8">
              <w:rPr>
                <w:sz w:val="21"/>
                <w:szCs w:val="21"/>
              </w:rPr>
              <w:t xml:space="preserve">Incentives for senior academics to engage in mentoring and development activities with EMCRs, for example including </w:t>
            </w:r>
            <w:r w:rsidRPr="00944BB8">
              <w:rPr>
                <w:i/>
                <w:iCs/>
                <w:sz w:val="21"/>
                <w:szCs w:val="21"/>
              </w:rPr>
              <w:t xml:space="preserve">Supervision and Researcher Development </w:t>
            </w:r>
            <w:r w:rsidRPr="00944BB8">
              <w:rPr>
                <w:sz w:val="21"/>
                <w:szCs w:val="21"/>
              </w:rPr>
              <w:t>as an assessment category for academic promotion</w:t>
            </w:r>
          </w:p>
          <w:p w14:paraId="35A65A05" w14:textId="77777777" w:rsidR="00450119" w:rsidRPr="000C27C2" w:rsidRDefault="00450119" w:rsidP="00450119">
            <w:pPr>
              <w:pStyle w:val="ListParagraph"/>
              <w:numPr>
                <w:ilvl w:val="0"/>
                <w:numId w:val="26"/>
              </w:numPr>
              <w:rPr>
                <w:sz w:val="21"/>
                <w:szCs w:val="21"/>
              </w:rPr>
            </w:pPr>
            <w:r w:rsidRPr="000C27C2">
              <w:rPr>
                <w:sz w:val="21"/>
                <w:szCs w:val="21"/>
              </w:rPr>
              <w:t xml:space="preserve">Networking opportunities, symposia, conferences, webinars </w:t>
            </w:r>
          </w:p>
          <w:p w14:paraId="49D84895" w14:textId="77777777" w:rsidR="00450119" w:rsidRPr="000C27C2" w:rsidRDefault="00450119" w:rsidP="00450119">
            <w:pPr>
              <w:pStyle w:val="ListParagraph"/>
              <w:numPr>
                <w:ilvl w:val="0"/>
                <w:numId w:val="26"/>
              </w:numPr>
              <w:rPr>
                <w:sz w:val="21"/>
                <w:szCs w:val="21"/>
              </w:rPr>
            </w:pPr>
            <w:r w:rsidRPr="000C27C2">
              <w:rPr>
                <w:sz w:val="21"/>
                <w:szCs w:val="21"/>
              </w:rPr>
              <w:t xml:space="preserve">EMCR representation on university committees </w:t>
            </w:r>
          </w:p>
          <w:p w14:paraId="09656302" w14:textId="11265373" w:rsidR="00450119" w:rsidRPr="000C27C2" w:rsidRDefault="00450119" w:rsidP="00450119">
            <w:pPr>
              <w:pStyle w:val="ListParagraph"/>
              <w:numPr>
                <w:ilvl w:val="0"/>
                <w:numId w:val="26"/>
              </w:numPr>
              <w:rPr>
                <w:sz w:val="21"/>
                <w:szCs w:val="21"/>
              </w:rPr>
            </w:pPr>
            <w:r w:rsidRPr="000C27C2">
              <w:rPr>
                <w:sz w:val="21"/>
                <w:szCs w:val="21"/>
              </w:rPr>
              <w:t>Professional development focusing not only on research skills but also other transferrable skills, e</w:t>
            </w:r>
            <w:r w:rsidR="00944BB8">
              <w:rPr>
                <w:sz w:val="21"/>
                <w:szCs w:val="21"/>
              </w:rPr>
              <w:t>.</w:t>
            </w:r>
            <w:r w:rsidRPr="000C27C2">
              <w:rPr>
                <w:sz w:val="21"/>
                <w:szCs w:val="21"/>
              </w:rPr>
              <w:t xml:space="preserve">g. commercialisation, communication </w:t>
            </w:r>
          </w:p>
          <w:p w14:paraId="11940644" w14:textId="77777777" w:rsidR="00450119" w:rsidRPr="000C27C2" w:rsidRDefault="00450119" w:rsidP="00450119">
            <w:pPr>
              <w:pStyle w:val="ListParagraph"/>
              <w:numPr>
                <w:ilvl w:val="0"/>
                <w:numId w:val="26"/>
              </w:numPr>
              <w:rPr>
                <w:sz w:val="21"/>
                <w:szCs w:val="21"/>
              </w:rPr>
            </w:pPr>
            <w:r w:rsidRPr="000C27C2">
              <w:rPr>
                <w:sz w:val="21"/>
                <w:szCs w:val="21"/>
              </w:rPr>
              <w:t>MCR involvement in editing scientific journals</w:t>
            </w:r>
          </w:p>
          <w:p w14:paraId="76C11D91" w14:textId="77777777" w:rsidR="00450119" w:rsidRPr="000C27C2" w:rsidRDefault="00450119" w:rsidP="00450119">
            <w:pPr>
              <w:pStyle w:val="ListParagraph"/>
              <w:numPr>
                <w:ilvl w:val="0"/>
                <w:numId w:val="26"/>
              </w:numPr>
              <w:rPr>
                <w:sz w:val="21"/>
                <w:szCs w:val="21"/>
              </w:rPr>
            </w:pPr>
            <w:r w:rsidRPr="000C27C2">
              <w:rPr>
                <w:sz w:val="21"/>
                <w:szCs w:val="21"/>
              </w:rPr>
              <w:t>Training for rural health service clinicians in research</w:t>
            </w:r>
          </w:p>
        </w:tc>
        <w:tc>
          <w:tcPr>
            <w:tcW w:w="3463" w:type="dxa"/>
          </w:tcPr>
          <w:p w14:paraId="69982CB9" w14:textId="77777777" w:rsidR="00450119" w:rsidRPr="000C27C2" w:rsidRDefault="00450119" w:rsidP="00567E8A">
            <w:pPr>
              <w:rPr>
                <w:b/>
                <w:bCs/>
                <w:sz w:val="21"/>
                <w:szCs w:val="21"/>
              </w:rPr>
            </w:pPr>
            <w:r w:rsidRPr="000C27C2">
              <w:rPr>
                <w:b/>
                <w:bCs/>
                <w:sz w:val="21"/>
                <w:szCs w:val="21"/>
              </w:rPr>
              <w:t>Reported barriers to implementing these strategies</w:t>
            </w:r>
          </w:p>
          <w:p w14:paraId="0DF8A886" w14:textId="77777777" w:rsidR="00450119" w:rsidRPr="000C27C2" w:rsidRDefault="00450119" w:rsidP="00450119">
            <w:pPr>
              <w:pStyle w:val="ListParagraph"/>
              <w:numPr>
                <w:ilvl w:val="0"/>
                <w:numId w:val="26"/>
              </w:numPr>
              <w:rPr>
                <w:sz w:val="21"/>
                <w:szCs w:val="21"/>
              </w:rPr>
            </w:pPr>
            <w:r w:rsidRPr="000C27C2">
              <w:rPr>
                <w:sz w:val="21"/>
                <w:szCs w:val="21"/>
              </w:rPr>
              <w:t>Capacity and resourcing to deliver and manage programs</w:t>
            </w:r>
          </w:p>
          <w:p w14:paraId="1765E510" w14:textId="77777777" w:rsidR="00450119" w:rsidRPr="000C27C2" w:rsidRDefault="00450119" w:rsidP="00450119">
            <w:pPr>
              <w:pStyle w:val="ListParagraph"/>
              <w:numPr>
                <w:ilvl w:val="0"/>
                <w:numId w:val="26"/>
              </w:numPr>
              <w:rPr>
                <w:sz w:val="21"/>
                <w:szCs w:val="21"/>
              </w:rPr>
            </w:pPr>
            <w:r w:rsidRPr="000C27C2">
              <w:rPr>
                <w:sz w:val="21"/>
                <w:szCs w:val="21"/>
              </w:rPr>
              <w:t xml:space="preserve">Promotion of programs, particularly to those who are less easily accessible </w:t>
            </w:r>
          </w:p>
          <w:p w14:paraId="3B115C1F" w14:textId="77777777" w:rsidR="00450119" w:rsidRPr="000C27C2" w:rsidRDefault="00450119" w:rsidP="00450119">
            <w:pPr>
              <w:pStyle w:val="ListParagraph"/>
              <w:numPr>
                <w:ilvl w:val="0"/>
                <w:numId w:val="26"/>
              </w:numPr>
              <w:rPr>
                <w:sz w:val="21"/>
                <w:szCs w:val="21"/>
              </w:rPr>
            </w:pPr>
            <w:r w:rsidRPr="000C27C2">
              <w:rPr>
                <w:sz w:val="21"/>
                <w:szCs w:val="21"/>
              </w:rPr>
              <w:t xml:space="preserve">Lack of support from senior researchers, broader career development seen a distraction </w:t>
            </w:r>
          </w:p>
          <w:p w14:paraId="2407EBC7" w14:textId="77777777" w:rsidR="00450119" w:rsidRPr="000C27C2" w:rsidRDefault="00450119" w:rsidP="00450119">
            <w:pPr>
              <w:pStyle w:val="ListParagraph"/>
              <w:numPr>
                <w:ilvl w:val="0"/>
                <w:numId w:val="26"/>
              </w:numPr>
              <w:rPr>
                <w:sz w:val="21"/>
                <w:szCs w:val="21"/>
              </w:rPr>
            </w:pPr>
            <w:r w:rsidRPr="000C27C2">
              <w:rPr>
                <w:sz w:val="21"/>
                <w:szCs w:val="21"/>
              </w:rPr>
              <w:t xml:space="preserve">HR systems – different professional development available depending on whether one is employed in a professional or academic position </w:t>
            </w:r>
          </w:p>
          <w:p w14:paraId="5EECF4F4" w14:textId="77777777" w:rsidR="00450119" w:rsidRPr="000C27C2" w:rsidRDefault="00450119" w:rsidP="00450119">
            <w:pPr>
              <w:pStyle w:val="ListParagraph"/>
              <w:numPr>
                <w:ilvl w:val="0"/>
                <w:numId w:val="26"/>
              </w:numPr>
              <w:rPr>
                <w:sz w:val="21"/>
                <w:szCs w:val="21"/>
              </w:rPr>
            </w:pPr>
            <w:r w:rsidRPr="000C27C2">
              <w:rPr>
                <w:sz w:val="21"/>
                <w:szCs w:val="21"/>
              </w:rPr>
              <w:t xml:space="preserve">Funders should encourage senior researchers to mentor EMCRs as part of the assessment criteria, rather than focusing on driving early EMCR independence </w:t>
            </w:r>
          </w:p>
          <w:p w14:paraId="437E0F4E" w14:textId="77777777" w:rsidR="00450119" w:rsidRPr="000C27C2" w:rsidRDefault="00450119" w:rsidP="00450119">
            <w:pPr>
              <w:pStyle w:val="ListParagraph"/>
              <w:numPr>
                <w:ilvl w:val="0"/>
                <w:numId w:val="26"/>
              </w:numPr>
              <w:rPr>
                <w:sz w:val="21"/>
                <w:szCs w:val="21"/>
              </w:rPr>
            </w:pPr>
            <w:r w:rsidRPr="000C27C2">
              <w:rPr>
                <w:sz w:val="21"/>
                <w:szCs w:val="21"/>
              </w:rPr>
              <w:t xml:space="preserve">Lack of local critical mass in rural settings </w:t>
            </w:r>
          </w:p>
          <w:p w14:paraId="561DF4EF" w14:textId="77777777" w:rsidR="00450119" w:rsidRPr="000C27C2" w:rsidRDefault="00450119" w:rsidP="00450119">
            <w:pPr>
              <w:pStyle w:val="ListParagraph"/>
              <w:numPr>
                <w:ilvl w:val="0"/>
                <w:numId w:val="26"/>
              </w:numPr>
              <w:rPr>
                <w:sz w:val="21"/>
                <w:szCs w:val="21"/>
              </w:rPr>
            </w:pPr>
            <w:r w:rsidRPr="000C27C2">
              <w:rPr>
                <w:sz w:val="21"/>
                <w:szCs w:val="21"/>
              </w:rPr>
              <w:t xml:space="preserve">Lack of research plan within rural health service strategic plan </w:t>
            </w:r>
          </w:p>
        </w:tc>
      </w:tr>
    </w:tbl>
    <w:p w14:paraId="7A9C0E3B" w14:textId="77777777" w:rsidR="00450119" w:rsidRDefault="00450119" w:rsidP="00450119"/>
    <w:p w14:paraId="4FDADF2D" w14:textId="77777777" w:rsidR="00450119" w:rsidRDefault="00450119" w:rsidP="00450119"/>
    <w:tbl>
      <w:tblPr>
        <w:tblStyle w:val="TableGrid"/>
        <w:tblW w:w="0" w:type="auto"/>
        <w:tblLook w:val="04A0" w:firstRow="1" w:lastRow="0" w:firstColumn="1" w:lastColumn="0" w:noHBand="0" w:noVBand="1"/>
      </w:tblPr>
      <w:tblGrid>
        <w:gridCol w:w="4360"/>
        <w:gridCol w:w="6061"/>
        <w:gridCol w:w="3527"/>
      </w:tblGrid>
      <w:tr w:rsidR="00450119" w14:paraId="3CE327F7" w14:textId="77777777" w:rsidTr="0067301E">
        <w:tc>
          <w:tcPr>
            <w:tcW w:w="0" w:type="auto"/>
            <w:gridSpan w:val="3"/>
            <w:shd w:val="clear" w:color="auto" w:fill="4472C4" w:themeFill="accent1"/>
          </w:tcPr>
          <w:p w14:paraId="1AB09100" w14:textId="6E230895" w:rsidR="00450119" w:rsidRPr="00306EBD" w:rsidRDefault="0049331D" w:rsidP="00567E8A">
            <w:pPr>
              <w:rPr>
                <w:b/>
                <w:bCs/>
                <w:color w:val="FFFFFF" w:themeColor="background1"/>
              </w:rPr>
            </w:pPr>
            <w:r>
              <w:rPr>
                <w:b/>
                <w:bCs/>
                <w:color w:val="FFFFFF" w:themeColor="background1"/>
              </w:rPr>
              <w:t xml:space="preserve">Table </w:t>
            </w:r>
            <w:r w:rsidR="00450119" w:rsidRPr="00306EBD">
              <w:rPr>
                <w:b/>
                <w:bCs/>
                <w:color w:val="FFFFFF" w:themeColor="background1"/>
              </w:rPr>
              <w:t>5. Support for diversity</w:t>
            </w:r>
          </w:p>
          <w:p w14:paraId="02B763B4" w14:textId="2AA8D10D" w:rsidR="00450119" w:rsidRPr="00306EBD" w:rsidRDefault="00450119" w:rsidP="00567E8A">
            <w:pPr>
              <w:rPr>
                <w:color w:val="FFFFFF" w:themeColor="background1"/>
              </w:rPr>
            </w:pPr>
            <w:r w:rsidRPr="00306EBD">
              <w:rPr>
                <w:color w:val="FFFFFF" w:themeColor="background1"/>
              </w:rPr>
              <w:t>The key finding from engag</w:t>
            </w:r>
            <w:r w:rsidR="0015108B">
              <w:rPr>
                <w:color w:val="FFFFFF" w:themeColor="background1"/>
              </w:rPr>
              <w:t>e</w:t>
            </w:r>
            <w:r w:rsidRPr="00306EBD">
              <w:rPr>
                <w:color w:val="FFFFFF" w:themeColor="background1"/>
              </w:rPr>
              <w:t>ment with EMCRs was that diversity needs to be championed to ensure a wide range of perspectives are embedded in research and that individuals from all backgrounds are valued. However, EMCRs reported facing multiple challenges with respect to diversity including there being too strong a focus on academic metrics (e.g. number of publications), that being associated with an established lab and under an existing research program is more likely to result in success than exploring new questions/innovative ideas, there being a lack of diversity in peer reviewers (e.g. with families, women, culturally and linguistically diverse, rural backgrounds), a failure to recognise future feasibility/impact of commercially geared research, that research involving protected IP cannot be published, and overly restrictive career disruption guidelines.</w:t>
            </w:r>
          </w:p>
          <w:p w14:paraId="5078946E" w14:textId="77777777" w:rsidR="00450119" w:rsidRPr="00306EBD" w:rsidRDefault="00450119" w:rsidP="00567E8A">
            <w:pPr>
              <w:spacing w:before="240"/>
              <w:rPr>
                <w:b/>
                <w:bCs/>
              </w:rPr>
            </w:pPr>
            <w:r w:rsidRPr="00306EBD">
              <w:rPr>
                <w:color w:val="FFFFFF" w:themeColor="background1"/>
              </w:rPr>
              <w:t>Key strategies to address this issue included embedding of diversity within research. Note that a clear message was that strategies must ensure diversity does not become an additional burden for those of a minority population.</w:t>
            </w:r>
            <w:r w:rsidRPr="00306EBD">
              <w:rPr>
                <w:b/>
                <w:bCs/>
                <w:color w:val="FFFFFF" w:themeColor="background1"/>
              </w:rPr>
              <w:t xml:space="preserve"> </w:t>
            </w:r>
          </w:p>
        </w:tc>
      </w:tr>
      <w:tr w:rsidR="00450119" w14:paraId="455E3D21" w14:textId="77777777" w:rsidTr="00567E8A">
        <w:tc>
          <w:tcPr>
            <w:tcW w:w="0" w:type="auto"/>
          </w:tcPr>
          <w:p w14:paraId="7180FDB4" w14:textId="52CDB8EF" w:rsidR="00450119" w:rsidRPr="000C27C2" w:rsidRDefault="00450119" w:rsidP="00567E8A">
            <w:pPr>
              <w:rPr>
                <w:b/>
                <w:bCs/>
                <w:sz w:val="21"/>
                <w:szCs w:val="21"/>
              </w:rPr>
            </w:pPr>
            <w:r w:rsidRPr="000C27C2">
              <w:rPr>
                <w:b/>
                <w:bCs/>
                <w:sz w:val="21"/>
                <w:szCs w:val="21"/>
              </w:rPr>
              <w:t xml:space="preserve">Ideas suggested by EMCRs deemed </w:t>
            </w:r>
            <w:r w:rsidR="00944BB8" w:rsidRPr="00944BB8">
              <w:rPr>
                <w:b/>
                <w:bCs/>
                <w:sz w:val="21"/>
                <w:szCs w:val="21"/>
              </w:rPr>
              <w:t>relevant to stakeholders</w:t>
            </w:r>
          </w:p>
          <w:p w14:paraId="7C91CD76" w14:textId="77777777" w:rsidR="00450119" w:rsidRPr="000C27C2" w:rsidRDefault="00450119" w:rsidP="00450119">
            <w:pPr>
              <w:pStyle w:val="ListParagraph"/>
              <w:numPr>
                <w:ilvl w:val="0"/>
                <w:numId w:val="27"/>
              </w:numPr>
              <w:rPr>
                <w:sz w:val="21"/>
                <w:szCs w:val="21"/>
              </w:rPr>
            </w:pPr>
            <w:r w:rsidRPr="000C27C2">
              <w:rPr>
                <w:sz w:val="21"/>
                <w:szCs w:val="21"/>
              </w:rPr>
              <w:t>Encourage institutions to address conscious and unconscious bias within their organisation to ensure diversity of EMCRs is supported, valued and cultivated</w:t>
            </w:r>
          </w:p>
          <w:p w14:paraId="00841771" w14:textId="77777777" w:rsidR="00450119" w:rsidRPr="000C27C2" w:rsidRDefault="00450119" w:rsidP="00450119">
            <w:pPr>
              <w:pStyle w:val="ListParagraph"/>
              <w:numPr>
                <w:ilvl w:val="0"/>
                <w:numId w:val="27"/>
              </w:numPr>
              <w:rPr>
                <w:sz w:val="21"/>
                <w:szCs w:val="21"/>
              </w:rPr>
            </w:pPr>
            <w:r w:rsidRPr="000C27C2">
              <w:rPr>
                <w:sz w:val="21"/>
                <w:szCs w:val="21"/>
              </w:rPr>
              <w:t>Create structures and guidelines to support diversity and create meaningful change within organisations</w:t>
            </w:r>
          </w:p>
          <w:p w14:paraId="6683E8FF" w14:textId="77777777" w:rsidR="00450119" w:rsidRPr="000C27C2" w:rsidRDefault="00450119" w:rsidP="00450119">
            <w:pPr>
              <w:pStyle w:val="ListParagraph"/>
              <w:numPr>
                <w:ilvl w:val="0"/>
                <w:numId w:val="27"/>
              </w:numPr>
              <w:rPr>
                <w:sz w:val="21"/>
                <w:szCs w:val="21"/>
              </w:rPr>
            </w:pPr>
            <w:r w:rsidRPr="000C27C2">
              <w:rPr>
                <w:sz w:val="21"/>
                <w:szCs w:val="21"/>
              </w:rPr>
              <w:t>Increase paternity leave to normalise equitable division of parenting responsibilities</w:t>
            </w:r>
          </w:p>
          <w:p w14:paraId="6D8E5926" w14:textId="77777777" w:rsidR="00450119" w:rsidRPr="000C27C2" w:rsidRDefault="00450119" w:rsidP="00450119">
            <w:pPr>
              <w:pStyle w:val="ListParagraph"/>
              <w:numPr>
                <w:ilvl w:val="0"/>
                <w:numId w:val="27"/>
              </w:numPr>
              <w:rPr>
                <w:sz w:val="21"/>
                <w:szCs w:val="21"/>
              </w:rPr>
            </w:pPr>
            <w:r w:rsidRPr="000C27C2">
              <w:rPr>
                <w:sz w:val="21"/>
                <w:szCs w:val="21"/>
              </w:rPr>
              <w:t xml:space="preserve">Incentivise moves to rural, regional and remote areas to conduct research issues there and build research capacity. </w:t>
            </w:r>
          </w:p>
        </w:tc>
        <w:tc>
          <w:tcPr>
            <w:tcW w:w="0" w:type="auto"/>
          </w:tcPr>
          <w:p w14:paraId="08FEFC4C" w14:textId="77777777" w:rsidR="00450119" w:rsidRPr="00944BB8" w:rsidRDefault="00450119" w:rsidP="00567E8A">
            <w:pPr>
              <w:rPr>
                <w:b/>
                <w:bCs/>
                <w:sz w:val="21"/>
                <w:szCs w:val="21"/>
              </w:rPr>
            </w:pPr>
            <w:r w:rsidRPr="00944BB8">
              <w:rPr>
                <w:b/>
                <w:bCs/>
                <w:sz w:val="21"/>
                <w:szCs w:val="21"/>
              </w:rPr>
              <w:t>Strategies suggested by stakeholders to address this challenge</w:t>
            </w:r>
          </w:p>
          <w:p w14:paraId="39219BE5" w14:textId="77777777" w:rsidR="00450119" w:rsidRPr="00944BB8" w:rsidRDefault="00450119" w:rsidP="00450119">
            <w:pPr>
              <w:pStyle w:val="ListParagraph"/>
              <w:numPr>
                <w:ilvl w:val="0"/>
                <w:numId w:val="27"/>
              </w:numPr>
              <w:rPr>
                <w:sz w:val="21"/>
                <w:szCs w:val="21"/>
              </w:rPr>
            </w:pPr>
            <w:r w:rsidRPr="00944BB8">
              <w:rPr>
                <w:sz w:val="21"/>
                <w:szCs w:val="21"/>
              </w:rPr>
              <w:t xml:space="preserve">Programs that are specifically designed for key EMCR groups. For example, a co-design workshop with Indigenous researchers indicated that traditional mentoring may not be suitable, so instead an Indigenous-led collective program is being developed. </w:t>
            </w:r>
          </w:p>
          <w:p w14:paraId="59666114" w14:textId="77777777" w:rsidR="00450119" w:rsidRPr="00944BB8" w:rsidRDefault="00450119" w:rsidP="00450119">
            <w:pPr>
              <w:pStyle w:val="ListParagraph"/>
              <w:numPr>
                <w:ilvl w:val="0"/>
                <w:numId w:val="27"/>
              </w:numPr>
              <w:rPr>
                <w:sz w:val="21"/>
                <w:szCs w:val="21"/>
              </w:rPr>
            </w:pPr>
            <w:r w:rsidRPr="00944BB8">
              <w:rPr>
                <w:sz w:val="21"/>
                <w:szCs w:val="21"/>
              </w:rPr>
              <w:t>Diversity metrics, such as gender and diversity leadership KPIs</w:t>
            </w:r>
          </w:p>
          <w:p w14:paraId="47A721A5" w14:textId="77777777" w:rsidR="00450119" w:rsidRPr="00944BB8" w:rsidRDefault="00450119" w:rsidP="00450119">
            <w:pPr>
              <w:pStyle w:val="ListParagraph"/>
              <w:numPr>
                <w:ilvl w:val="0"/>
                <w:numId w:val="27"/>
              </w:numPr>
              <w:rPr>
                <w:sz w:val="21"/>
                <w:szCs w:val="21"/>
              </w:rPr>
            </w:pPr>
            <w:r w:rsidRPr="00944BB8">
              <w:rPr>
                <w:sz w:val="21"/>
                <w:szCs w:val="21"/>
              </w:rPr>
              <w:t>Diverse representation in senior committees, peer review panels, and mentors</w:t>
            </w:r>
          </w:p>
          <w:p w14:paraId="71C28790" w14:textId="77777777" w:rsidR="00450119" w:rsidRPr="00944BB8" w:rsidRDefault="00450119" w:rsidP="00450119">
            <w:pPr>
              <w:pStyle w:val="ListParagraph"/>
              <w:numPr>
                <w:ilvl w:val="0"/>
                <w:numId w:val="27"/>
              </w:numPr>
              <w:rPr>
                <w:sz w:val="21"/>
                <w:szCs w:val="21"/>
              </w:rPr>
            </w:pPr>
            <w:r w:rsidRPr="00944BB8">
              <w:rPr>
                <w:sz w:val="21"/>
                <w:szCs w:val="21"/>
              </w:rPr>
              <w:t>Strategies to increase diversity of senior researchers and their visibility to EMCRs</w:t>
            </w:r>
          </w:p>
          <w:p w14:paraId="4ED78A3C" w14:textId="77777777" w:rsidR="00450119" w:rsidRPr="00944BB8" w:rsidRDefault="00450119" w:rsidP="00450119">
            <w:pPr>
              <w:pStyle w:val="ListParagraph"/>
              <w:numPr>
                <w:ilvl w:val="0"/>
                <w:numId w:val="27"/>
              </w:numPr>
              <w:rPr>
                <w:sz w:val="21"/>
                <w:szCs w:val="21"/>
              </w:rPr>
            </w:pPr>
            <w:r w:rsidRPr="00944BB8">
              <w:rPr>
                <w:sz w:val="21"/>
                <w:szCs w:val="21"/>
              </w:rPr>
              <w:t xml:space="preserve">Institution membership in diversity programs </w:t>
            </w:r>
          </w:p>
          <w:p w14:paraId="3DDF016E" w14:textId="77777777" w:rsidR="00450119" w:rsidRPr="00944BB8" w:rsidRDefault="00450119" w:rsidP="00450119">
            <w:pPr>
              <w:pStyle w:val="ListParagraph"/>
              <w:numPr>
                <w:ilvl w:val="0"/>
                <w:numId w:val="27"/>
              </w:numPr>
              <w:rPr>
                <w:sz w:val="21"/>
                <w:szCs w:val="21"/>
              </w:rPr>
            </w:pPr>
            <w:r w:rsidRPr="00944BB8">
              <w:rPr>
                <w:sz w:val="21"/>
                <w:szCs w:val="21"/>
              </w:rPr>
              <w:t xml:space="preserve">Frameworks, policies and procedures to ensure equity </w:t>
            </w:r>
          </w:p>
          <w:p w14:paraId="2F46A670" w14:textId="77777777" w:rsidR="00450119" w:rsidRPr="00944BB8" w:rsidRDefault="00450119" w:rsidP="00450119">
            <w:pPr>
              <w:pStyle w:val="ListParagraph"/>
              <w:numPr>
                <w:ilvl w:val="0"/>
                <w:numId w:val="27"/>
              </w:numPr>
              <w:rPr>
                <w:sz w:val="21"/>
                <w:szCs w:val="21"/>
              </w:rPr>
            </w:pPr>
            <w:r w:rsidRPr="00944BB8">
              <w:rPr>
                <w:sz w:val="21"/>
                <w:szCs w:val="21"/>
              </w:rPr>
              <w:t xml:space="preserve">Support schemes for carers, parents, for example financial assistance for researchers to re-establish their research careers following a period of carer leave </w:t>
            </w:r>
          </w:p>
          <w:p w14:paraId="446BE97C" w14:textId="77777777" w:rsidR="00450119" w:rsidRPr="00944BB8" w:rsidRDefault="00450119" w:rsidP="00450119">
            <w:pPr>
              <w:pStyle w:val="ListParagraph"/>
              <w:numPr>
                <w:ilvl w:val="0"/>
                <w:numId w:val="27"/>
              </w:numPr>
              <w:rPr>
                <w:sz w:val="21"/>
                <w:szCs w:val="21"/>
              </w:rPr>
            </w:pPr>
            <w:r w:rsidRPr="00944BB8">
              <w:rPr>
                <w:sz w:val="21"/>
                <w:szCs w:val="21"/>
              </w:rPr>
              <w:t>Training of award assessors to be aware of unconscious biases, selection of assessors for diversity</w:t>
            </w:r>
          </w:p>
          <w:p w14:paraId="7AE908DE" w14:textId="77777777" w:rsidR="00450119" w:rsidRPr="00944BB8" w:rsidRDefault="00450119" w:rsidP="00450119">
            <w:pPr>
              <w:pStyle w:val="ListParagraph"/>
              <w:numPr>
                <w:ilvl w:val="0"/>
                <w:numId w:val="27"/>
              </w:numPr>
              <w:rPr>
                <w:sz w:val="21"/>
                <w:szCs w:val="21"/>
              </w:rPr>
            </w:pPr>
            <w:r w:rsidRPr="00944BB8">
              <w:rPr>
                <w:sz w:val="21"/>
                <w:szCs w:val="21"/>
              </w:rPr>
              <w:t>Strategies to account for performance relative to opportunity</w:t>
            </w:r>
          </w:p>
        </w:tc>
        <w:tc>
          <w:tcPr>
            <w:tcW w:w="0" w:type="auto"/>
          </w:tcPr>
          <w:p w14:paraId="59063025" w14:textId="77777777" w:rsidR="00450119" w:rsidRPr="000C27C2" w:rsidRDefault="00450119" w:rsidP="00567E8A">
            <w:pPr>
              <w:rPr>
                <w:b/>
                <w:bCs/>
                <w:sz w:val="21"/>
                <w:szCs w:val="21"/>
              </w:rPr>
            </w:pPr>
            <w:r w:rsidRPr="000C27C2">
              <w:rPr>
                <w:b/>
                <w:bCs/>
                <w:sz w:val="21"/>
                <w:szCs w:val="21"/>
              </w:rPr>
              <w:t>Reported barriers to implementing these strategies</w:t>
            </w:r>
          </w:p>
          <w:p w14:paraId="5D71F340" w14:textId="7572C4D4" w:rsidR="00450119" w:rsidRPr="000C27C2" w:rsidRDefault="00450119" w:rsidP="00450119">
            <w:pPr>
              <w:pStyle w:val="ListParagraph"/>
              <w:numPr>
                <w:ilvl w:val="0"/>
                <w:numId w:val="27"/>
              </w:numPr>
              <w:rPr>
                <w:sz w:val="21"/>
                <w:szCs w:val="21"/>
              </w:rPr>
            </w:pPr>
            <w:r w:rsidRPr="000C27C2">
              <w:rPr>
                <w:sz w:val="21"/>
                <w:szCs w:val="21"/>
              </w:rPr>
              <w:t>Capacity and resourcing to deliver and manage programs</w:t>
            </w:r>
          </w:p>
          <w:p w14:paraId="778DC918" w14:textId="77777777" w:rsidR="00450119" w:rsidRPr="000C27C2" w:rsidRDefault="00450119" w:rsidP="00450119">
            <w:pPr>
              <w:pStyle w:val="ListParagraph"/>
              <w:numPr>
                <w:ilvl w:val="0"/>
                <w:numId w:val="27"/>
              </w:numPr>
              <w:rPr>
                <w:sz w:val="21"/>
                <w:szCs w:val="21"/>
              </w:rPr>
            </w:pPr>
            <w:r w:rsidRPr="000C27C2">
              <w:rPr>
                <w:sz w:val="21"/>
                <w:szCs w:val="21"/>
              </w:rPr>
              <w:t xml:space="preserve">Lack of diversity in senior researchers despite efforts to improve this </w:t>
            </w:r>
          </w:p>
          <w:p w14:paraId="15689EAC" w14:textId="77777777" w:rsidR="00450119" w:rsidRPr="000C27C2" w:rsidRDefault="00450119" w:rsidP="00450119">
            <w:pPr>
              <w:pStyle w:val="ListParagraph"/>
              <w:numPr>
                <w:ilvl w:val="0"/>
                <w:numId w:val="27"/>
              </w:numPr>
              <w:rPr>
                <w:sz w:val="21"/>
                <w:szCs w:val="21"/>
              </w:rPr>
            </w:pPr>
            <w:r w:rsidRPr="000C27C2">
              <w:rPr>
                <w:sz w:val="21"/>
                <w:szCs w:val="21"/>
              </w:rPr>
              <w:t xml:space="preserve">The challenge of providing a robust evidence base for policies and processes </w:t>
            </w:r>
          </w:p>
          <w:p w14:paraId="699BF730" w14:textId="77777777" w:rsidR="00450119" w:rsidRPr="000C27C2" w:rsidRDefault="00450119" w:rsidP="00450119">
            <w:pPr>
              <w:pStyle w:val="ListParagraph"/>
              <w:numPr>
                <w:ilvl w:val="0"/>
                <w:numId w:val="27"/>
              </w:numPr>
              <w:rPr>
                <w:sz w:val="21"/>
                <w:szCs w:val="21"/>
              </w:rPr>
            </w:pPr>
            <w:r w:rsidRPr="000C27C2">
              <w:rPr>
                <w:sz w:val="21"/>
                <w:szCs w:val="21"/>
              </w:rPr>
              <w:t xml:space="preserve">Ingrained expectations of what a </w:t>
            </w:r>
            <w:proofErr w:type="gramStart"/>
            <w:r w:rsidRPr="000C27C2">
              <w:rPr>
                <w:sz w:val="21"/>
                <w:szCs w:val="21"/>
              </w:rPr>
              <w:t>successful academic looks</w:t>
            </w:r>
            <w:proofErr w:type="gramEnd"/>
            <w:r w:rsidRPr="000C27C2">
              <w:rPr>
                <w:sz w:val="21"/>
                <w:szCs w:val="21"/>
              </w:rPr>
              <w:t xml:space="preserve"> like, i.e. Cat 1 grant and many peer reviewed publications</w:t>
            </w:r>
          </w:p>
          <w:p w14:paraId="1F66C9F3" w14:textId="77777777" w:rsidR="00450119" w:rsidRPr="000C27C2" w:rsidRDefault="00450119" w:rsidP="00450119">
            <w:pPr>
              <w:pStyle w:val="ListParagraph"/>
              <w:numPr>
                <w:ilvl w:val="0"/>
                <w:numId w:val="27"/>
              </w:numPr>
              <w:rPr>
                <w:sz w:val="21"/>
                <w:szCs w:val="21"/>
              </w:rPr>
            </w:pPr>
            <w:r w:rsidRPr="000C27C2">
              <w:rPr>
                <w:sz w:val="21"/>
                <w:szCs w:val="21"/>
              </w:rPr>
              <w:t xml:space="preserve">Difficulty in recruiting peer reviewers </w:t>
            </w:r>
          </w:p>
        </w:tc>
      </w:tr>
    </w:tbl>
    <w:p w14:paraId="4B5BEA43" w14:textId="77777777" w:rsidR="00450119" w:rsidRDefault="00450119" w:rsidP="00450119"/>
    <w:p w14:paraId="7DC88496" w14:textId="070604B3" w:rsidR="0049331D" w:rsidRDefault="0049331D">
      <w:pPr>
        <w:rPr>
          <w:rFonts w:asciiTheme="minorHAnsi" w:hAnsiTheme="minorHAnsi" w:cs="Calibri"/>
          <w:color w:val="000000"/>
          <w:sz w:val="22"/>
          <w:szCs w:val="22"/>
        </w:rPr>
      </w:pPr>
      <w:r>
        <w:rPr>
          <w:rFonts w:asciiTheme="minorHAnsi" w:hAnsiTheme="minorHAnsi"/>
          <w:sz w:val="22"/>
          <w:szCs w:val="22"/>
        </w:rPr>
        <w:br w:type="page"/>
      </w:r>
    </w:p>
    <w:tbl>
      <w:tblPr>
        <w:tblStyle w:val="TableGrid"/>
        <w:tblW w:w="0" w:type="auto"/>
        <w:tblLook w:val="04A0" w:firstRow="1" w:lastRow="0" w:firstColumn="1" w:lastColumn="0" w:noHBand="0" w:noVBand="1"/>
      </w:tblPr>
      <w:tblGrid>
        <w:gridCol w:w="13948"/>
      </w:tblGrid>
      <w:tr w:rsidR="00C57A4E" w14:paraId="22D9D18C" w14:textId="2C4D9EFB" w:rsidTr="00C57A4E">
        <w:tc>
          <w:tcPr>
            <w:tcW w:w="0" w:type="auto"/>
            <w:shd w:val="clear" w:color="auto" w:fill="4472C4" w:themeFill="accent1"/>
          </w:tcPr>
          <w:p w14:paraId="7B8F31A8" w14:textId="7A71AC45" w:rsidR="00C57A4E" w:rsidRPr="00CA03ED" w:rsidRDefault="00C57A4E" w:rsidP="00425914">
            <w:pPr>
              <w:rPr>
                <w:b/>
                <w:bCs/>
                <w:color w:val="FFFFFF" w:themeColor="background1"/>
              </w:rPr>
            </w:pPr>
            <w:r w:rsidRPr="00CA03ED">
              <w:rPr>
                <w:b/>
                <w:bCs/>
                <w:color w:val="FFFFFF" w:themeColor="background1"/>
              </w:rPr>
              <w:lastRenderedPageBreak/>
              <w:t xml:space="preserve">Table 6. Ideas suggested by EMCRs </w:t>
            </w:r>
            <w:r w:rsidR="007A5552" w:rsidRPr="00CA03ED">
              <w:rPr>
                <w:b/>
                <w:bCs/>
                <w:color w:val="FFFFFF" w:themeColor="background1"/>
              </w:rPr>
              <w:t xml:space="preserve">potentially in scope for </w:t>
            </w:r>
            <w:r w:rsidRPr="00CA03ED">
              <w:rPr>
                <w:b/>
                <w:bCs/>
                <w:color w:val="FFFFFF" w:themeColor="background1"/>
              </w:rPr>
              <w:t>MRFF</w:t>
            </w:r>
            <w:r w:rsidR="004918E4" w:rsidRPr="00CA03ED">
              <w:rPr>
                <w:b/>
                <w:bCs/>
                <w:color w:val="FFFFFF" w:themeColor="background1"/>
              </w:rPr>
              <w:t xml:space="preserve"> – currently being considered by the Department</w:t>
            </w:r>
          </w:p>
        </w:tc>
      </w:tr>
      <w:tr w:rsidR="00C57A4E" w14:paraId="0A434CD1" w14:textId="6FC421F5" w:rsidTr="00C57A4E">
        <w:tc>
          <w:tcPr>
            <w:tcW w:w="0" w:type="auto"/>
          </w:tcPr>
          <w:p w14:paraId="4AF19AAF" w14:textId="68641B1E" w:rsidR="00C57A4E" w:rsidRPr="00725EA4" w:rsidRDefault="00C57A4E" w:rsidP="00725EA4">
            <w:pPr>
              <w:pStyle w:val="ListParagraph"/>
              <w:numPr>
                <w:ilvl w:val="0"/>
                <w:numId w:val="29"/>
              </w:numPr>
              <w:rPr>
                <w:sz w:val="21"/>
                <w:szCs w:val="21"/>
              </w:rPr>
            </w:pPr>
            <w:r w:rsidRPr="00725EA4">
              <w:rPr>
                <w:sz w:val="21"/>
                <w:szCs w:val="21"/>
              </w:rPr>
              <w:t xml:space="preserve">Consider how grant application criteria </w:t>
            </w:r>
            <w:r w:rsidR="00074962">
              <w:rPr>
                <w:sz w:val="21"/>
                <w:szCs w:val="21"/>
              </w:rPr>
              <w:t>could</w:t>
            </w:r>
            <w:r w:rsidR="00074962" w:rsidRPr="00725EA4">
              <w:rPr>
                <w:sz w:val="21"/>
                <w:szCs w:val="21"/>
              </w:rPr>
              <w:t xml:space="preserve"> </w:t>
            </w:r>
            <w:r w:rsidRPr="00725EA4">
              <w:rPr>
                <w:sz w:val="21"/>
                <w:szCs w:val="21"/>
              </w:rPr>
              <w:t>support EMCR</w:t>
            </w:r>
            <w:r>
              <w:rPr>
                <w:sz w:val="21"/>
                <w:szCs w:val="21"/>
              </w:rPr>
              <w:t xml:space="preserve"> development</w:t>
            </w:r>
          </w:p>
          <w:p w14:paraId="65698833" w14:textId="07FFC479" w:rsidR="00C57A4E" w:rsidRPr="00725EA4" w:rsidRDefault="00B51C90" w:rsidP="00725EA4">
            <w:pPr>
              <w:pStyle w:val="ListParagraph"/>
              <w:numPr>
                <w:ilvl w:val="0"/>
                <w:numId w:val="29"/>
              </w:numPr>
              <w:rPr>
                <w:sz w:val="21"/>
                <w:szCs w:val="21"/>
              </w:rPr>
            </w:pPr>
            <w:r>
              <w:rPr>
                <w:sz w:val="21"/>
                <w:szCs w:val="21"/>
              </w:rPr>
              <w:t>Consider how</w:t>
            </w:r>
            <w:r w:rsidRPr="00725EA4">
              <w:rPr>
                <w:sz w:val="21"/>
                <w:szCs w:val="21"/>
              </w:rPr>
              <w:t xml:space="preserve"> </w:t>
            </w:r>
            <w:r w:rsidR="00C57A4E" w:rsidRPr="00725EA4">
              <w:rPr>
                <w:sz w:val="21"/>
                <w:szCs w:val="21"/>
              </w:rPr>
              <w:t>grant opportunities</w:t>
            </w:r>
            <w:r>
              <w:rPr>
                <w:sz w:val="21"/>
                <w:szCs w:val="21"/>
              </w:rPr>
              <w:t xml:space="preserve"> could best be scheduled to support EMCR</w:t>
            </w:r>
          </w:p>
          <w:p w14:paraId="68CE1CAA" w14:textId="3FAE32C5" w:rsidR="00C57A4E" w:rsidRPr="00725EA4" w:rsidRDefault="00C57A4E" w:rsidP="00725EA4">
            <w:pPr>
              <w:pStyle w:val="ListParagraph"/>
              <w:numPr>
                <w:ilvl w:val="0"/>
                <w:numId w:val="29"/>
              </w:numPr>
              <w:rPr>
                <w:sz w:val="21"/>
                <w:szCs w:val="21"/>
              </w:rPr>
            </w:pPr>
            <w:r w:rsidRPr="00725EA4">
              <w:rPr>
                <w:sz w:val="21"/>
                <w:szCs w:val="21"/>
              </w:rPr>
              <w:t xml:space="preserve">Explore different </w:t>
            </w:r>
            <w:r>
              <w:rPr>
                <w:sz w:val="21"/>
                <w:szCs w:val="21"/>
              </w:rPr>
              <w:t xml:space="preserve">grant </w:t>
            </w:r>
            <w:r w:rsidRPr="00725EA4">
              <w:rPr>
                <w:sz w:val="21"/>
                <w:szCs w:val="21"/>
              </w:rPr>
              <w:t>funding models</w:t>
            </w:r>
          </w:p>
          <w:p w14:paraId="781C825F" w14:textId="7A210815" w:rsidR="00C57A4E" w:rsidRPr="00725EA4" w:rsidRDefault="00C57A4E" w:rsidP="00725EA4">
            <w:pPr>
              <w:pStyle w:val="ListParagraph"/>
              <w:numPr>
                <w:ilvl w:val="0"/>
                <w:numId w:val="29"/>
              </w:numPr>
              <w:rPr>
                <w:sz w:val="21"/>
                <w:szCs w:val="21"/>
              </w:rPr>
            </w:pPr>
            <w:r>
              <w:rPr>
                <w:sz w:val="21"/>
                <w:szCs w:val="21"/>
              </w:rPr>
              <w:t>Increase</w:t>
            </w:r>
            <w:r w:rsidRPr="00725EA4">
              <w:rPr>
                <w:sz w:val="21"/>
                <w:szCs w:val="21"/>
              </w:rPr>
              <w:t xml:space="preserve"> communication </w:t>
            </w:r>
            <w:r w:rsidR="00074962">
              <w:rPr>
                <w:sz w:val="21"/>
                <w:szCs w:val="21"/>
              </w:rPr>
              <w:t>with</w:t>
            </w:r>
            <w:r w:rsidR="00074962" w:rsidRPr="00725EA4">
              <w:rPr>
                <w:sz w:val="21"/>
                <w:szCs w:val="21"/>
              </w:rPr>
              <w:t xml:space="preserve"> </w:t>
            </w:r>
            <w:r w:rsidRPr="00725EA4">
              <w:rPr>
                <w:sz w:val="21"/>
                <w:szCs w:val="21"/>
              </w:rPr>
              <w:t>the sector</w:t>
            </w:r>
          </w:p>
          <w:p w14:paraId="775162C8" w14:textId="603FFB53" w:rsidR="00C57A4E" w:rsidRPr="00725EA4" w:rsidRDefault="00074962" w:rsidP="00725EA4">
            <w:pPr>
              <w:pStyle w:val="ListParagraph"/>
              <w:numPr>
                <w:ilvl w:val="0"/>
                <w:numId w:val="29"/>
              </w:numPr>
              <w:rPr>
                <w:sz w:val="21"/>
                <w:szCs w:val="21"/>
              </w:rPr>
            </w:pPr>
            <w:r>
              <w:rPr>
                <w:sz w:val="21"/>
                <w:szCs w:val="21"/>
              </w:rPr>
              <w:t>Consider o</w:t>
            </w:r>
            <w:r w:rsidR="00C57A4E" w:rsidRPr="00725EA4">
              <w:rPr>
                <w:sz w:val="21"/>
                <w:szCs w:val="21"/>
              </w:rPr>
              <w:t>ptions for enhanced funding of EMCRs</w:t>
            </w:r>
          </w:p>
          <w:p w14:paraId="05D36226" w14:textId="119975FF" w:rsidR="00C57A4E" w:rsidRPr="00725EA4" w:rsidRDefault="00C57A4E" w:rsidP="00725EA4">
            <w:pPr>
              <w:pStyle w:val="ListParagraph"/>
              <w:numPr>
                <w:ilvl w:val="0"/>
                <w:numId w:val="29"/>
              </w:numPr>
              <w:rPr>
                <w:sz w:val="21"/>
                <w:szCs w:val="21"/>
              </w:rPr>
            </w:pPr>
            <w:r w:rsidRPr="00725EA4">
              <w:rPr>
                <w:sz w:val="21"/>
                <w:szCs w:val="21"/>
              </w:rPr>
              <w:t xml:space="preserve">Review salary amounts that can be applied for </w:t>
            </w:r>
          </w:p>
          <w:p w14:paraId="3C5B595C" w14:textId="47507F1E" w:rsidR="00C57A4E" w:rsidRPr="00725EA4" w:rsidRDefault="00074962" w:rsidP="00725EA4">
            <w:pPr>
              <w:pStyle w:val="ListParagraph"/>
              <w:numPr>
                <w:ilvl w:val="0"/>
                <w:numId w:val="29"/>
              </w:numPr>
              <w:rPr>
                <w:sz w:val="21"/>
                <w:szCs w:val="21"/>
              </w:rPr>
            </w:pPr>
            <w:r>
              <w:rPr>
                <w:sz w:val="21"/>
                <w:szCs w:val="21"/>
              </w:rPr>
              <w:t>Provide f</w:t>
            </w:r>
            <w:r w:rsidRPr="00725EA4">
              <w:rPr>
                <w:sz w:val="21"/>
                <w:szCs w:val="21"/>
              </w:rPr>
              <w:t xml:space="preserve">eedback </w:t>
            </w:r>
            <w:r w:rsidR="00C57A4E" w:rsidRPr="00725EA4">
              <w:rPr>
                <w:sz w:val="21"/>
                <w:szCs w:val="21"/>
              </w:rPr>
              <w:t>to unsuccessful applicants</w:t>
            </w:r>
            <w:r>
              <w:rPr>
                <w:sz w:val="21"/>
                <w:szCs w:val="21"/>
              </w:rPr>
              <w:t xml:space="preserve"> to improve future applications</w:t>
            </w:r>
          </w:p>
          <w:p w14:paraId="177FF44B" w14:textId="025CFB83" w:rsidR="00C57A4E" w:rsidRDefault="00C57A4E" w:rsidP="00725EA4">
            <w:pPr>
              <w:pStyle w:val="ListParagraph"/>
              <w:numPr>
                <w:ilvl w:val="0"/>
                <w:numId w:val="29"/>
              </w:numPr>
              <w:rPr>
                <w:sz w:val="21"/>
                <w:szCs w:val="21"/>
              </w:rPr>
            </w:pPr>
            <w:r w:rsidRPr="00725EA4">
              <w:rPr>
                <w:sz w:val="21"/>
                <w:szCs w:val="21"/>
              </w:rPr>
              <w:t>Broaden</w:t>
            </w:r>
            <w:r>
              <w:rPr>
                <w:sz w:val="21"/>
                <w:szCs w:val="21"/>
              </w:rPr>
              <w:t xml:space="preserve"> assessment metrics to recognise experience outside academia, research area mobility, and relative opportunity</w:t>
            </w:r>
          </w:p>
          <w:p w14:paraId="10A2831D" w14:textId="28859FD1" w:rsidR="00C57A4E" w:rsidRPr="00725EA4" w:rsidRDefault="00C57A4E" w:rsidP="00725EA4">
            <w:pPr>
              <w:pStyle w:val="ListParagraph"/>
              <w:numPr>
                <w:ilvl w:val="0"/>
                <w:numId w:val="29"/>
              </w:numPr>
              <w:rPr>
                <w:sz w:val="21"/>
                <w:szCs w:val="21"/>
              </w:rPr>
            </w:pPr>
            <w:r>
              <w:rPr>
                <w:sz w:val="21"/>
                <w:szCs w:val="21"/>
              </w:rPr>
              <w:t xml:space="preserve">Promote diversity throughout the grant application/assessment process </w:t>
            </w:r>
          </w:p>
          <w:p w14:paraId="362A443F" w14:textId="7F155467" w:rsidR="00C57A4E" w:rsidRDefault="00C57A4E" w:rsidP="00664194">
            <w:pPr>
              <w:rPr>
                <w:sz w:val="21"/>
                <w:szCs w:val="21"/>
              </w:rPr>
            </w:pPr>
          </w:p>
          <w:p w14:paraId="4C386AFE" w14:textId="72809DB2" w:rsidR="00C57A4E" w:rsidRDefault="00D70E93" w:rsidP="00C57A4E">
            <w:pPr>
              <w:rPr>
                <w:sz w:val="21"/>
                <w:szCs w:val="21"/>
              </w:rPr>
            </w:pPr>
            <w:r>
              <w:rPr>
                <w:sz w:val="21"/>
                <w:szCs w:val="21"/>
              </w:rPr>
              <w:t>(C</w:t>
            </w:r>
            <w:r w:rsidR="00C57A4E">
              <w:rPr>
                <w:sz w:val="21"/>
                <w:szCs w:val="21"/>
              </w:rPr>
              <w:t>omplete list of EMCR suggestions</w:t>
            </w:r>
            <w:r>
              <w:rPr>
                <w:sz w:val="21"/>
                <w:szCs w:val="21"/>
              </w:rPr>
              <w:t xml:space="preserve"> </w:t>
            </w:r>
            <w:r w:rsidR="00FD2F0E">
              <w:rPr>
                <w:sz w:val="21"/>
                <w:szCs w:val="21"/>
              </w:rPr>
              <w:t>within the</w:t>
            </w:r>
            <w:r w:rsidR="00FD2F0E">
              <w:t xml:space="preserve"> </w:t>
            </w:r>
            <w:r w:rsidR="00FD2F0E" w:rsidRPr="00FD2F0E">
              <w:rPr>
                <w:sz w:val="21"/>
                <w:szCs w:val="21"/>
              </w:rPr>
              <w:t>Key Findings and Outcomes of the Health and Medical Research Early to Mid-Career Researchers Roundtable</w:t>
            </w:r>
            <w:r w:rsidR="00FD2F0E">
              <w:rPr>
                <w:sz w:val="21"/>
                <w:szCs w:val="21"/>
              </w:rPr>
              <w:t xml:space="preserve"> document, also available at the Department’s website</w:t>
            </w:r>
            <w:r>
              <w:rPr>
                <w:sz w:val="21"/>
                <w:szCs w:val="21"/>
              </w:rPr>
              <w:t>)</w:t>
            </w:r>
            <w:r w:rsidR="00C57A4E">
              <w:rPr>
                <w:sz w:val="21"/>
                <w:szCs w:val="21"/>
              </w:rPr>
              <w:t xml:space="preserve"> </w:t>
            </w:r>
          </w:p>
          <w:p w14:paraId="2EB12912" w14:textId="3BB4E870" w:rsidR="00C57A4E" w:rsidRPr="00C57A4E" w:rsidRDefault="00C57A4E" w:rsidP="00C57A4E">
            <w:pPr>
              <w:rPr>
                <w:sz w:val="21"/>
                <w:szCs w:val="21"/>
              </w:rPr>
            </w:pPr>
          </w:p>
        </w:tc>
      </w:tr>
    </w:tbl>
    <w:p w14:paraId="20E76C88" w14:textId="4B2EB8F0" w:rsidR="009925E1" w:rsidRPr="00AA13F8" w:rsidRDefault="009925E1" w:rsidP="00FD2F0E">
      <w:pPr>
        <w:contextualSpacing/>
        <w:rPr>
          <w:rFonts w:asciiTheme="minorHAnsi" w:hAnsiTheme="minorHAnsi"/>
          <w:sz w:val="22"/>
          <w:szCs w:val="22"/>
        </w:rPr>
      </w:pPr>
    </w:p>
    <w:sectPr w:rsidR="009925E1" w:rsidRPr="00AA13F8" w:rsidSect="006376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9275E" w14:textId="77777777" w:rsidR="00A16493" w:rsidRDefault="00A16493" w:rsidP="0064139B">
      <w:pPr>
        <w:spacing w:after="0" w:line="240" w:lineRule="auto"/>
      </w:pPr>
      <w:r>
        <w:separator/>
      </w:r>
    </w:p>
  </w:endnote>
  <w:endnote w:type="continuationSeparator" w:id="0">
    <w:p w14:paraId="31469B5D" w14:textId="77777777" w:rsidR="00A16493" w:rsidRDefault="00A16493" w:rsidP="0064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939616"/>
      <w:docPartObj>
        <w:docPartGallery w:val="Page Numbers (Bottom of Page)"/>
        <w:docPartUnique/>
      </w:docPartObj>
    </w:sdtPr>
    <w:sdtEndPr>
      <w:rPr>
        <w:rFonts w:asciiTheme="minorHAnsi" w:hAnsiTheme="minorHAnsi" w:cstheme="minorHAnsi"/>
        <w:noProof/>
      </w:rPr>
    </w:sdtEndPr>
    <w:sdtContent>
      <w:p w14:paraId="66B2E257" w14:textId="1CE68BB1" w:rsidR="00282C23" w:rsidRPr="002129D9" w:rsidRDefault="00282C23">
        <w:pPr>
          <w:pStyle w:val="Footer"/>
          <w:jc w:val="right"/>
          <w:rPr>
            <w:rFonts w:asciiTheme="minorHAnsi" w:hAnsiTheme="minorHAnsi" w:cstheme="minorHAnsi"/>
          </w:rPr>
        </w:pPr>
        <w:r w:rsidRPr="002129D9">
          <w:rPr>
            <w:rFonts w:asciiTheme="minorHAnsi" w:hAnsiTheme="minorHAnsi" w:cstheme="minorHAnsi"/>
          </w:rPr>
          <w:fldChar w:fldCharType="begin"/>
        </w:r>
        <w:r w:rsidRPr="002129D9">
          <w:rPr>
            <w:rFonts w:asciiTheme="minorHAnsi" w:hAnsiTheme="minorHAnsi" w:cstheme="minorHAnsi"/>
          </w:rPr>
          <w:instrText xml:space="preserve"> PAGE   \* MERGEFORMAT </w:instrText>
        </w:r>
        <w:r w:rsidRPr="002129D9">
          <w:rPr>
            <w:rFonts w:asciiTheme="minorHAnsi" w:hAnsiTheme="minorHAnsi" w:cstheme="minorHAnsi"/>
          </w:rPr>
          <w:fldChar w:fldCharType="separate"/>
        </w:r>
        <w:r w:rsidRPr="002129D9">
          <w:rPr>
            <w:rFonts w:asciiTheme="minorHAnsi" w:hAnsiTheme="minorHAnsi" w:cstheme="minorHAnsi"/>
            <w:noProof/>
          </w:rPr>
          <w:t>2</w:t>
        </w:r>
        <w:r w:rsidRPr="002129D9">
          <w:rPr>
            <w:rFonts w:asciiTheme="minorHAnsi" w:hAnsiTheme="minorHAnsi" w:cstheme="minorHAnsi"/>
            <w:noProof/>
          </w:rPr>
          <w:fldChar w:fldCharType="end"/>
        </w:r>
      </w:p>
    </w:sdtContent>
  </w:sdt>
  <w:p w14:paraId="7E243733" w14:textId="77777777" w:rsidR="0064139B" w:rsidRDefault="00641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6FB6E" w14:textId="77777777" w:rsidR="00A16493" w:rsidRDefault="00A16493" w:rsidP="0064139B">
      <w:pPr>
        <w:spacing w:after="0" w:line="240" w:lineRule="auto"/>
      </w:pPr>
      <w:r>
        <w:separator/>
      </w:r>
    </w:p>
  </w:footnote>
  <w:footnote w:type="continuationSeparator" w:id="0">
    <w:p w14:paraId="458236A5" w14:textId="77777777" w:rsidR="00A16493" w:rsidRDefault="00A16493" w:rsidP="0064139B">
      <w:pPr>
        <w:spacing w:after="0" w:line="240" w:lineRule="auto"/>
      </w:pPr>
      <w:r>
        <w:continuationSeparator/>
      </w:r>
    </w:p>
  </w:footnote>
  <w:footnote w:id="1">
    <w:p w14:paraId="7187BE52" w14:textId="5855ED33" w:rsidR="00A365B9" w:rsidRPr="002A67B2" w:rsidRDefault="00A365B9">
      <w:pPr>
        <w:pStyle w:val="FootnoteText"/>
        <w:rPr>
          <w:rFonts w:asciiTheme="minorHAnsi" w:hAnsiTheme="minorHAnsi" w:cstheme="minorHAnsi"/>
        </w:rPr>
      </w:pPr>
      <w:r>
        <w:rPr>
          <w:rStyle w:val="FootnoteReference"/>
        </w:rPr>
        <w:footnoteRef/>
      </w:r>
      <w:r>
        <w:t xml:space="preserve"> </w:t>
      </w:r>
      <w:r w:rsidRPr="002A67B2">
        <w:rPr>
          <w:rFonts w:asciiTheme="minorHAnsi" w:hAnsiTheme="minorHAnsi" w:cstheme="minorHAnsi"/>
        </w:rPr>
        <w:t>The Department defines EMCRs as emerging researchers within their first ten years of academic or other research-related employment, following completion of postgraduate research training (with consideration for career disruptions). There is no age limit on who can be an EMCR.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14C37" w14:textId="72AE26D4" w:rsidR="0064139B" w:rsidRDefault="00641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6424"/>
    <w:multiLevelType w:val="hybridMultilevel"/>
    <w:tmpl w:val="5E4ADBA2"/>
    <w:lvl w:ilvl="0" w:tplc="0C090001">
      <w:start w:val="1"/>
      <w:numFmt w:val="bullet"/>
      <w:lvlText w:val=""/>
      <w:lvlJc w:val="left"/>
      <w:pPr>
        <w:tabs>
          <w:tab w:val="num" w:pos="720"/>
        </w:tabs>
        <w:ind w:left="720" w:hanging="360"/>
      </w:pPr>
      <w:rPr>
        <w:rFonts w:ascii="Symbol" w:hAnsi="Symbol" w:hint="default"/>
      </w:rPr>
    </w:lvl>
    <w:lvl w:ilvl="1" w:tplc="536A86D2" w:tentative="1">
      <w:start w:val="1"/>
      <w:numFmt w:val="bullet"/>
      <w:lvlText w:val="•"/>
      <w:lvlJc w:val="left"/>
      <w:pPr>
        <w:tabs>
          <w:tab w:val="num" w:pos="1440"/>
        </w:tabs>
        <w:ind w:left="1440" w:hanging="360"/>
      </w:pPr>
      <w:rPr>
        <w:rFonts w:ascii="Times New Roman" w:hAnsi="Times New Roman" w:hint="default"/>
      </w:rPr>
    </w:lvl>
    <w:lvl w:ilvl="2" w:tplc="CE18F034" w:tentative="1">
      <w:start w:val="1"/>
      <w:numFmt w:val="bullet"/>
      <w:lvlText w:val="•"/>
      <w:lvlJc w:val="left"/>
      <w:pPr>
        <w:tabs>
          <w:tab w:val="num" w:pos="2160"/>
        </w:tabs>
        <w:ind w:left="2160" w:hanging="360"/>
      </w:pPr>
      <w:rPr>
        <w:rFonts w:ascii="Times New Roman" w:hAnsi="Times New Roman" w:hint="default"/>
      </w:rPr>
    </w:lvl>
    <w:lvl w:ilvl="3" w:tplc="934685C8" w:tentative="1">
      <w:start w:val="1"/>
      <w:numFmt w:val="bullet"/>
      <w:lvlText w:val="•"/>
      <w:lvlJc w:val="left"/>
      <w:pPr>
        <w:tabs>
          <w:tab w:val="num" w:pos="2880"/>
        </w:tabs>
        <w:ind w:left="2880" w:hanging="360"/>
      </w:pPr>
      <w:rPr>
        <w:rFonts w:ascii="Times New Roman" w:hAnsi="Times New Roman" w:hint="default"/>
      </w:rPr>
    </w:lvl>
    <w:lvl w:ilvl="4" w:tplc="ED6852C6" w:tentative="1">
      <w:start w:val="1"/>
      <w:numFmt w:val="bullet"/>
      <w:lvlText w:val="•"/>
      <w:lvlJc w:val="left"/>
      <w:pPr>
        <w:tabs>
          <w:tab w:val="num" w:pos="3600"/>
        </w:tabs>
        <w:ind w:left="3600" w:hanging="360"/>
      </w:pPr>
      <w:rPr>
        <w:rFonts w:ascii="Times New Roman" w:hAnsi="Times New Roman" w:hint="default"/>
      </w:rPr>
    </w:lvl>
    <w:lvl w:ilvl="5" w:tplc="05E8DDE2" w:tentative="1">
      <w:start w:val="1"/>
      <w:numFmt w:val="bullet"/>
      <w:lvlText w:val="•"/>
      <w:lvlJc w:val="left"/>
      <w:pPr>
        <w:tabs>
          <w:tab w:val="num" w:pos="4320"/>
        </w:tabs>
        <w:ind w:left="4320" w:hanging="360"/>
      </w:pPr>
      <w:rPr>
        <w:rFonts w:ascii="Times New Roman" w:hAnsi="Times New Roman" w:hint="default"/>
      </w:rPr>
    </w:lvl>
    <w:lvl w:ilvl="6" w:tplc="C47ED2B0" w:tentative="1">
      <w:start w:val="1"/>
      <w:numFmt w:val="bullet"/>
      <w:lvlText w:val="•"/>
      <w:lvlJc w:val="left"/>
      <w:pPr>
        <w:tabs>
          <w:tab w:val="num" w:pos="5040"/>
        </w:tabs>
        <w:ind w:left="5040" w:hanging="360"/>
      </w:pPr>
      <w:rPr>
        <w:rFonts w:ascii="Times New Roman" w:hAnsi="Times New Roman" w:hint="default"/>
      </w:rPr>
    </w:lvl>
    <w:lvl w:ilvl="7" w:tplc="2F8214E0" w:tentative="1">
      <w:start w:val="1"/>
      <w:numFmt w:val="bullet"/>
      <w:lvlText w:val="•"/>
      <w:lvlJc w:val="left"/>
      <w:pPr>
        <w:tabs>
          <w:tab w:val="num" w:pos="5760"/>
        </w:tabs>
        <w:ind w:left="5760" w:hanging="360"/>
      </w:pPr>
      <w:rPr>
        <w:rFonts w:ascii="Times New Roman" w:hAnsi="Times New Roman" w:hint="default"/>
      </w:rPr>
    </w:lvl>
    <w:lvl w:ilvl="8" w:tplc="39A0FD3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D96855"/>
    <w:multiLevelType w:val="hybridMultilevel"/>
    <w:tmpl w:val="973C7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A4990"/>
    <w:multiLevelType w:val="hybridMultilevel"/>
    <w:tmpl w:val="A0FA3E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6E4165"/>
    <w:multiLevelType w:val="hybridMultilevel"/>
    <w:tmpl w:val="E0AA8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D37383"/>
    <w:multiLevelType w:val="hybridMultilevel"/>
    <w:tmpl w:val="7CE4C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0D60D8"/>
    <w:multiLevelType w:val="hybridMultilevel"/>
    <w:tmpl w:val="2F6A5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AB1953"/>
    <w:multiLevelType w:val="hybridMultilevel"/>
    <w:tmpl w:val="85824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43658F"/>
    <w:multiLevelType w:val="hybridMultilevel"/>
    <w:tmpl w:val="C324F3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329F3D23"/>
    <w:multiLevelType w:val="hybridMultilevel"/>
    <w:tmpl w:val="A96C1980"/>
    <w:lvl w:ilvl="0" w:tplc="B70A80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3B5F9E"/>
    <w:multiLevelType w:val="hybridMultilevel"/>
    <w:tmpl w:val="0DA6DA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5AF39CC"/>
    <w:multiLevelType w:val="hybridMultilevel"/>
    <w:tmpl w:val="62EEB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3E6F48"/>
    <w:multiLevelType w:val="hybridMultilevel"/>
    <w:tmpl w:val="CEDC6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4B529A"/>
    <w:multiLevelType w:val="hybridMultilevel"/>
    <w:tmpl w:val="4A3EB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473DD"/>
    <w:multiLevelType w:val="hybridMultilevel"/>
    <w:tmpl w:val="F94A10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623BAA"/>
    <w:multiLevelType w:val="hybridMultilevel"/>
    <w:tmpl w:val="22488530"/>
    <w:lvl w:ilvl="0" w:tplc="0C090001">
      <w:start w:val="1"/>
      <w:numFmt w:val="bullet"/>
      <w:lvlText w:val=""/>
      <w:lvlJc w:val="left"/>
      <w:pPr>
        <w:ind w:left="360" w:hanging="360"/>
      </w:pPr>
      <w:rPr>
        <w:rFonts w:ascii="Symbol" w:hAnsi="Symbol" w:hint="default"/>
      </w:rPr>
    </w:lvl>
    <w:lvl w:ilvl="1" w:tplc="212E379E">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B0C623E"/>
    <w:multiLevelType w:val="hybridMultilevel"/>
    <w:tmpl w:val="53623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7729EE"/>
    <w:multiLevelType w:val="hybridMultilevel"/>
    <w:tmpl w:val="598E19AA"/>
    <w:lvl w:ilvl="0" w:tplc="0C090001">
      <w:start w:val="1"/>
      <w:numFmt w:val="bullet"/>
      <w:lvlText w:val=""/>
      <w:lvlJc w:val="left"/>
      <w:pPr>
        <w:ind w:left="720" w:hanging="360"/>
      </w:pPr>
      <w:rPr>
        <w:rFonts w:ascii="Symbol" w:hAnsi="Symbol" w:hint="default"/>
      </w:rPr>
    </w:lvl>
    <w:lvl w:ilvl="1" w:tplc="BC0EEE02">
      <w:numFmt w:val="bullet"/>
      <w:lvlText w:val="-"/>
      <w:lvlJc w:val="left"/>
      <w:pPr>
        <w:ind w:left="1440" w:hanging="360"/>
      </w:pPr>
      <w:rPr>
        <w:rFonts w:ascii="Calibri" w:eastAsiaTheme="minorHAnsi" w:hAnsi="Calibri" w:cs="Calibri"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6C34CC"/>
    <w:multiLevelType w:val="hybridMultilevel"/>
    <w:tmpl w:val="47F85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9425ED"/>
    <w:multiLevelType w:val="hybridMultilevel"/>
    <w:tmpl w:val="7C7C3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8702BF"/>
    <w:multiLevelType w:val="hybridMultilevel"/>
    <w:tmpl w:val="226AC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6B2219"/>
    <w:multiLevelType w:val="hybridMultilevel"/>
    <w:tmpl w:val="2C60BF60"/>
    <w:lvl w:ilvl="0" w:tplc="14BE0B56">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B2611C"/>
    <w:multiLevelType w:val="hybridMultilevel"/>
    <w:tmpl w:val="0F70B0E0"/>
    <w:lvl w:ilvl="0" w:tplc="0C090001">
      <w:start w:val="1"/>
      <w:numFmt w:val="bullet"/>
      <w:lvlText w:val=""/>
      <w:lvlJc w:val="left"/>
      <w:pPr>
        <w:ind w:left="360" w:hanging="360"/>
      </w:pPr>
      <w:rPr>
        <w:rFonts w:ascii="Symbol" w:hAnsi="Symbol" w:hint="default"/>
      </w:rPr>
    </w:lvl>
    <w:lvl w:ilvl="1" w:tplc="F1BC8064">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62867A9"/>
    <w:multiLevelType w:val="hybridMultilevel"/>
    <w:tmpl w:val="30188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8773B0"/>
    <w:multiLevelType w:val="hybridMultilevel"/>
    <w:tmpl w:val="0B681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154A3C"/>
    <w:multiLevelType w:val="hybridMultilevel"/>
    <w:tmpl w:val="A82665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5750C2"/>
    <w:multiLevelType w:val="hybridMultilevel"/>
    <w:tmpl w:val="2938C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6D2E6D"/>
    <w:multiLevelType w:val="hybridMultilevel"/>
    <w:tmpl w:val="B218D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125049"/>
    <w:multiLevelType w:val="hybridMultilevel"/>
    <w:tmpl w:val="9E9C6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431FDA"/>
    <w:multiLevelType w:val="hybridMultilevel"/>
    <w:tmpl w:val="28C67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83192E"/>
    <w:multiLevelType w:val="hybridMultilevel"/>
    <w:tmpl w:val="3E385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0"/>
  </w:num>
  <w:num w:numId="4">
    <w:abstractNumId w:val="15"/>
  </w:num>
  <w:num w:numId="5">
    <w:abstractNumId w:val="9"/>
  </w:num>
  <w:num w:numId="6">
    <w:abstractNumId w:val="5"/>
  </w:num>
  <w:num w:numId="7">
    <w:abstractNumId w:val="10"/>
  </w:num>
  <w:num w:numId="8">
    <w:abstractNumId w:val="29"/>
  </w:num>
  <w:num w:numId="9">
    <w:abstractNumId w:val="3"/>
  </w:num>
  <w:num w:numId="10">
    <w:abstractNumId w:val="26"/>
  </w:num>
  <w:num w:numId="11">
    <w:abstractNumId w:val="1"/>
  </w:num>
  <w:num w:numId="12">
    <w:abstractNumId w:val="11"/>
  </w:num>
  <w:num w:numId="13">
    <w:abstractNumId w:val="6"/>
  </w:num>
  <w:num w:numId="14">
    <w:abstractNumId w:val="2"/>
  </w:num>
  <w:num w:numId="15">
    <w:abstractNumId w:val="4"/>
  </w:num>
  <w:num w:numId="16">
    <w:abstractNumId w:val="23"/>
  </w:num>
  <w:num w:numId="17">
    <w:abstractNumId w:val="22"/>
  </w:num>
  <w:num w:numId="18">
    <w:abstractNumId w:val="19"/>
  </w:num>
  <w:num w:numId="19">
    <w:abstractNumId w:val="8"/>
  </w:num>
  <w:num w:numId="20">
    <w:abstractNumId w:val="0"/>
  </w:num>
  <w:num w:numId="21">
    <w:abstractNumId w:val="28"/>
  </w:num>
  <w:num w:numId="22">
    <w:abstractNumId w:val="18"/>
  </w:num>
  <w:num w:numId="23">
    <w:abstractNumId w:val="25"/>
  </w:num>
  <w:num w:numId="24">
    <w:abstractNumId w:val="16"/>
  </w:num>
  <w:num w:numId="25">
    <w:abstractNumId w:val="27"/>
  </w:num>
  <w:num w:numId="26">
    <w:abstractNumId w:val="14"/>
  </w:num>
  <w:num w:numId="27">
    <w:abstractNumId w:val="21"/>
  </w:num>
  <w:num w:numId="28">
    <w:abstractNumId w:val="12"/>
  </w:num>
  <w:num w:numId="29">
    <w:abstractNumId w:val="1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86"/>
    <w:rsid w:val="00011D4F"/>
    <w:rsid w:val="000207E3"/>
    <w:rsid w:val="000415E8"/>
    <w:rsid w:val="000514FD"/>
    <w:rsid w:val="000546F3"/>
    <w:rsid w:val="00054D7B"/>
    <w:rsid w:val="00074962"/>
    <w:rsid w:val="00075220"/>
    <w:rsid w:val="00081643"/>
    <w:rsid w:val="000900B0"/>
    <w:rsid w:val="000A0398"/>
    <w:rsid w:val="000A2159"/>
    <w:rsid w:val="000F426C"/>
    <w:rsid w:val="0010691C"/>
    <w:rsid w:val="00122064"/>
    <w:rsid w:val="001304BB"/>
    <w:rsid w:val="0015108B"/>
    <w:rsid w:val="0016446B"/>
    <w:rsid w:val="0016568B"/>
    <w:rsid w:val="001A7847"/>
    <w:rsid w:val="001B7FDA"/>
    <w:rsid w:val="001E2AEF"/>
    <w:rsid w:val="002111C6"/>
    <w:rsid w:val="002124E1"/>
    <w:rsid w:val="002129D9"/>
    <w:rsid w:val="00217012"/>
    <w:rsid w:val="00220D70"/>
    <w:rsid w:val="00236AC3"/>
    <w:rsid w:val="00247B2A"/>
    <w:rsid w:val="00280050"/>
    <w:rsid w:val="00282C23"/>
    <w:rsid w:val="0028731B"/>
    <w:rsid w:val="002A5E2C"/>
    <w:rsid w:val="002A67B2"/>
    <w:rsid w:val="002A6F27"/>
    <w:rsid w:val="002D4F03"/>
    <w:rsid w:val="002E14AF"/>
    <w:rsid w:val="00305C89"/>
    <w:rsid w:val="003070C7"/>
    <w:rsid w:val="00331773"/>
    <w:rsid w:val="00332E71"/>
    <w:rsid w:val="0033729B"/>
    <w:rsid w:val="00340D11"/>
    <w:rsid w:val="003418E7"/>
    <w:rsid w:val="00374033"/>
    <w:rsid w:val="003A71F4"/>
    <w:rsid w:val="003C07A4"/>
    <w:rsid w:val="003C0942"/>
    <w:rsid w:val="003C0E8D"/>
    <w:rsid w:val="003C232F"/>
    <w:rsid w:val="003D27F1"/>
    <w:rsid w:val="003E35AF"/>
    <w:rsid w:val="003E7478"/>
    <w:rsid w:val="00403F5A"/>
    <w:rsid w:val="00422147"/>
    <w:rsid w:val="00425914"/>
    <w:rsid w:val="00450119"/>
    <w:rsid w:val="00456C4D"/>
    <w:rsid w:val="00464E74"/>
    <w:rsid w:val="00472BA5"/>
    <w:rsid w:val="004918E4"/>
    <w:rsid w:val="0049331D"/>
    <w:rsid w:val="004B53E9"/>
    <w:rsid w:val="004C1935"/>
    <w:rsid w:val="004F1880"/>
    <w:rsid w:val="004F6016"/>
    <w:rsid w:val="004F7475"/>
    <w:rsid w:val="0053087F"/>
    <w:rsid w:val="0053727C"/>
    <w:rsid w:val="0054284A"/>
    <w:rsid w:val="00546EFA"/>
    <w:rsid w:val="00555F4D"/>
    <w:rsid w:val="00586636"/>
    <w:rsid w:val="00596BC7"/>
    <w:rsid w:val="005A395D"/>
    <w:rsid w:val="005A4405"/>
    <w:rsid w:val="005A5968"/>
    <w:rsid w:val="005A73AD"/>
    <w:rsid w:val="005C3AC2"/>
    <w:rsid w:val="005F30C5"/>
    <w:rsid w:val="0060217D"/>
    <w:rsid w:val="00607090"/>
    <w:rsid w:val="006270BF"/>
    <w:rsid w:val="00637642"/>
    <w:rsid w:val="0064139B"/>
    <w:rsid w:val="00664194"/>
    <w:rsid w:val="0067301E"/>
    <w:rsid w:val="006759D8"/>
    <w:rsid w:val="0068699A"/>
    <w:rsid w:val="006925BB"/>
    <w:rsid w:val="0071399A"/>
    <w:rsid w:val="00725EA4"/>
    <w:rsid w:val="00726B0D"/>
    <w:rsid w:val="00761500"/>
    <w:rsid w:val="007722C7"/>
    <w:rsid w:val="00772997"/>
    <w:rsid w:val="00775C75"/>
    <w:rsid w:val="00795189"/>
    <w:rsid w:val="00795F2D"/>
    <w:rsid w:val="007A5552"/>
    <w:rsid w:val="007B1C4D"/>
    <w:rsid w:val="007D3D70"/>
    <w:rsid w:val="007F787F"/>
    <w:rsid w:val="0080422A"/>
    <w:rsid w:val="00822498"/>
    <w:rsid w:val="00847206"/>
    <w:rsid w:val="00852548"/>
    <w:rsid w:val="00876746"/>
    <w:rsid w:val="00882694"/>
    <w:rsid w:val="008A07A6"/>
    <w:rsid w:val="008C004A"/>
    <w:rsid w:val="008D2A80"/>
    <w:rsid w:val="008D2D77"/>
    <w:rsid w:val="008F4B5A"/>
    <w:rsid w:val="00906E74"/>
    <w:rsid w:val="00944BB8"/>
    <w:rsid w:val="00955F46"/>
    <w:rsid w:val="00971747"/>
    <w:rsid w:val="00974004"/>
    <w:rsid w:val="00987012"/>
    <w:rsid w:val="009925E1"/>
    <w:rsid w:val="00997849"/>
    <w:rsid w:val="009C36EA"/>
    <w:rsid w:val="009C75DB"/>
    <w:rsid w:val="009D4851"/>
    <w:rsid w:val="009E0303"/>
    <w:rsid w:val="009E033A"/>
    <w:rsid w:val="009E1BE5"/>
    <w:rsid w:val="009E6186"/>
    <w:rsid w:val="009F00CF"/>
    <w:rsid w:val="00A01331"/>
    <w:rsid w:val="00A16493"/>
    <w:rsid w:val="00A365B9"/>
    <w:rsid w:val="00A5522D"/>
    <w:rsid w:val="00A566F9"/>
    <w:rsid w:val="00A8103B"/>
    <w:rsid w:val="00A8782B"/>
    <w:rsid w:val="00AA13F8"/>
    <w:rsid w:val="00AA4EE3"/>
    <w:rsid w:val="00AB1C88"/>
    <w:rsid w:val="00AE3210"/>
    <w:rsid w:val="00AE7A07"/>
    <w:rsid w:val="00AF6660"/>
    <w:rsid w:val="00B0265E"/>
    <w:rsid w:val="00B04650"/>
    <w:rsid w:val="00B06A76"/>
    <w:rsid w:val="00B22839"/>
    <w:rsid w:val="00B26C48"/>
    <w:rsid w:val="00B51C90"/>
    <w:rsid w:val="00B65AD4"/>
    <w:rsid w:val="00B92A3C"/>
    <w:rsid w:val="00BA14C3"/>
    <w:rsid w:val="00BC0C63"/>
    <w:rsid w:val="00C02D8D"/>
    <w:rsid w:val="00C117FD"/>
    <w:rsid w:val="00C161AD"/>
    <w:rsid w:val="00C30B78"/>
    <w:rsid w:val="00C324B1"/>
    <w:rsid w:val="00C51B26"/>
    <w:rsid w:val="00C57A4E"/>
    <w:rsid w:val="00C63F72"/>
    <w:rsid w:val="00C76B21"/>
    <w:rsid w:val="00C93FB6"/>
    <w:rsid w:val="00CA03ED"/>
    <w:rsid w:val="00CC0B73"/>
    <w:rsid w:val="00CF15A7"/>
    <w:rsid w:val="00CF40F6"/>
    <w:rsid w:val="00CF4E1C"/>
    <w:rsid w:val="00D34595"/>
    <w:rsid w:val="00D349D6"/>
    <w:rsid w:val="00D35DDA"/>
    <w:rsid w:val="00D36609"/>
    <w:rsid w:val="00D65557"/>
    <w:rsid w:val="00D70E93"/>
    <w:rsid w:val="00D84D5D"/>
    <w:rsid w:val="00D91D36"/>
    <w:rsid w:val="00D941CE"/>
    <w:rsid w:val="00DA3EC9"/>
    <w:rsid w:val="00DB44B5"/>
    <w:rsid w:val="00DD41E8"/>
    <w:rsid w:val="00DE1A6F"/>
    <w:rsid w:val="00E10929"/>
    <w:rsid w:val="00E10C9B"/>
    <w:rsid w:val="00E122A4"/>
    <w:rsid w:val="00E365BF"/>
    <w:rsid w:val="00E41AB7"/>
    <w:rsid w:val="00E536A4"/>
    <w:rsid w:val="00E556C0"/>
    <w:rsid w:val="00E57A72"/>
    <w:rsid w:val="00E620E1"/>
    <w:rsid w:val="00E82E35"/>
    <w:rsid w:val="00E84A40"/>
    <w:rsid w:val="00EA037B"/>
    <w:rsid w:val="00EC4334"/>
    <w:rsid w:val="00EC76D9"/>
    <w:rsid w:val="00ED13F5"/>
    <w:rsid w:val="00EE086A"/>
    <w:rsid w:val="00EE1C2C"/>
    <w:rsid w:val="00EE46CB"/>
    <w:rsid w:val="00EE6A5C"/>
    <w:rsid w:val="00EE7119"/>
    <w:rsid w:val="00F02E8E"/>
    <w:rsid w:val="00F142AB"/>
    <w:rsid w:val="00F14D6C"/>
    <w:rsid w:val="00F43E86"/>
    <w:rsid w:val="00F70915"/>
    <w:rsid w:val="00F726D1"/>
    <w:rsid w:val="00F825FF"/>
    <w:rsid w:val="00F95045"/>
    <w:rsid w:val="00F96111"/>
    <w:rsid w:val="00FB39CF"/>
    <w:rsid w:val="00FC5237"/>
    <w:rsid w:val="00FD2F0E"/>
    <w:rsid w:val="00FD6BF4"/>
    <w:rsid w:val="00FE7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188E0A"/>
  <w15:chartTrackingRefBased/>
  <w15:docId w15:val="{70AC9385-09CB-49FA-9998-D59FFAD2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6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5C8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200" w:after="0" w:line="276" w:lineRule="auto"/>
      <w:outlineLvl w:val="1"/>
    </w:pPr>
    <w:rPr>
      <w:rFonts w:asciiTheme="minorHAnsi" w:eastAsiaTheme="minorEastAsia" w:hAnsiTheme="minorHAnsi" w:cstheme="minorBidi"/>
      <w:caps/>
      <w:spacing w:val="15"/>
      <w:sz w:val="22"/>
      <w:szCs w:val="22"/>
    </w:rPr>
  </w:style>
  <w:style w:type="paragraph" w:styleId="Heading3">
    <w:name w:val="heading 3"/>
    <w:basedOn w:val="Normal"/>
    <w:next w:val="Normal"/>
    <w:link w:val="Heading3Char"/>
    <w:uiPriority w:val="9"/>
    <w:unhideWhenUsed/>
    <w:qFormat/>
    <w:rsid w:val="007D3D70"/>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82C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5C89"/>
    <w:rPr>
      <w:rFonts w:asciiTheme="minorHAnsi" w:eastAsiaTheme="minorEastAsia" w:hAnsiTheme="minorHAnsi" w:cstheme="minorBidi"/>
      <w:caps/>
      <w:spacing w:val="15"/>
      <w:sz w:val="22"/>
      <w:szCs w:val="22"/>
      <w:shd w:val="clear" w:color="auto" w:fill="D9E2F3" w:themeFill="accent1" w:themeFillTint="33"/>
    </w:rPr>
  </w:style>
  <w:style w:type="paragraph" w:styleId="ListParagraph">
    <w:name w:val="List Paragraph"/>
    <w:basedOn w:val="Normal"/>
    <w:uiPriority w:val="34"/>
    <w:qFormat/>
    <w:rsid w:val="00472BA5"/>
    <w:pPr>
      <w:ind w:left="720"/>
      <w:contextualSpacing/>
    </w:pPr>
  </w:style>
  <w:style w:type="paragraph" w:customStyle="1" w:styleId="Default">
    <w:name w:val="Default"/>
    <w:rsid w:val="00422147"/>
    <w:pPr>
      <w:autoSpaceDE w:val="0"/>
      <w:autoSpaceDN w:val="0"/>
      <w:adjustRightInd w:val="0"/>
      <w:spacing w:after="0" w:line="240" w:lineRule="auto"/>
    </w:pPr>
    <w:rPr>
      <w:rFonts w:ascii="Calibri" w:hAnsi="Calibri" w:cs="Calibri"/>
      <w:color w:val="000000"/>
    </w:rPr>
  </w:style>
  <w:style w:type="character" w:styleId="CommentReference">
    <w:name w:val="annotation reference"/>
    <w:basedOn w:val="DefaultParagraphFont"/>
    <w:uiPriority w:val="99"/>
    <w:semiHidden/>
    <w:unhideWhenUsed/>
    <w:rsid w:val="00422147"/>
    <w:rPr>
      <w:sz w:val="16"/>
      <w:szCs w:val="16"/>
    </w:rPr>
  </w:style>
  <w:style w:type="paragraph" w:styleId="CommentText">
    <w:name w:val="annotation text"/>
    <w:basedOn w:val="Normal"/>
    <w:link w:val="CommentTextChar"/>
    <w:uiPriority w:val="99"/>
    <w:semiHidden/>
    <w:unhideWhenUsed/>
    <w:rsid w:val="00422147"/>
    <w:pPr>
      <w:spacing w:line="240" w:lineRule="auto"/>
    </w:pPr>
    <w:rPr>
      <w:sz w:val="20"/>
      <w:szCs w:val="20"/>
    </w:rPr>
  </w:style>
  <w:style w:type="character" w:customStyle="1" w:styleId="CommentTextChar">
    <w:name w:val="Comment Text Char"/>
    <w:basedOn w:val="DefaultParagraphFont"/>
    <w:link w:val="CommentText"/>
    <w:uiPriority w:val="99"/>
    <w:semiHidden/>
    <w:rsid w:val="00422147"/>
    <w:rPr>
      <w:sz w:val="20"/>
      <w:szCs w:val="20"/>
    </w:rPr>
  </w:style>
  <w:style w:type="paragraph" w:styleId="CommentSubject">
    <w:name w:val="annotation subject"/>
    <w:basedOn w:val="CommentText"/>
    <w:next w:val="CommentText"/>
    <w:link w:val="CommentSubjectChar"/>
    <w:uiPriority w:val="99"/>
    <w:semiHidden/>
    <w:unhideWhenUsed/>
    <w:rsid w:val="00422147"/>
    <w:rPr>
      <w:b/>
      <w:bCs/>
    </w:rPr>
  </w:style>
  <w:style w:type="character" w:customStyle="1" w:styleId="CommentSubjectChar">
    <w:name w:val="Comment Subject Char"/>
    <w:basedOn w:val="CommentTextChar"/>
    <w:link w:val="CommentSubject"/>
    <w:uiPriority w:val="99"/>
    <w:semiHidden/>
    <w:rsid w:val="00422147"/>
    <w:rPr>
      <w:b/>
      <w:bCs/>
      <w:sz w:val="20"/>
      <w:szCs w:val="20"/>
    </w:rPr>
  </w:style>
  <w:style w:type="paragraph" w:styleId="BalloonText">
    <w:name w:val="Balloon Text"/>
    <w:basedOn w:val="Normal"/>
    <w:link w:val="BalloonTextChar"/>
    <w:uiPriority w:val="99"/>
    <w:semiHidden/>
    <w:unhideWhenUsed/>
    <w:rsid w:val="004221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147"/>
    <w:rPr>
      <w:rFonts w:ascii="Segoe UI" w:hAnsi="Segoe UI" w:cs="Segoe UI"/>
      <w:sz w:val="18"/>
      <w:szCs w:val="18"/>
    </w:rPr>
  </w:style>
  <w:style w:type="paragraph" w:styleId="Header">
    <w:name w:val="header"/>
    <w:basedOn w:val="Normal"/>
    <w:link w:val="HeaderChar"/>
    <w:uiPriority w:val="99"/>
    <w:unhideWhenUsed/>
    <w:rsid w:val="00641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39B"/>
  </w:style>
  <w:style w:type="paragraph" w:styleId="Footer">
    <w:name w:val="footer"/>
    <w:basedOn w:val="Normal"/>
    <w:link w:val="FooterChar"/>
    <w:uiPriority w:val="99"/>
    <w:unhideWhenUsed/>
    <w:rsid w:val="00641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39B"/>
  </w:style>
  <w:style w:type="character" w:customStyle="1" w:styleId="Heading3Char">
    <w:name w:val="Heading 3 Char"/>
    <w:basedOn w:val="DefaultParagraphFont"/>
    <w:link w:val="Heading3"/>
    <w:uiPriority w:val="9"/>
    <w:rsid w:val="007D3D7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82C2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58663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6925BB"/>
    <w:pPr>
      <w:spacing w:after="0" w:line="240" w:lineRule="auto"/>
    </w:pPr>
  </w:style>
  <w:style w:type="paragraph" w:styleId="FootnoteText">
    <w:name w:val="footnote text"/>
    <w:basedOn w:val="Normal"/>
    <w:link w:val="FootnoteTextChar"/>
    <w:uiPriority w:val="99"/>
    <w:semiHidden/>
    <w:unhideWhenUsed/>
    <w:rsid w:val="00A365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5B9"/>
    <w:rPr>
      <w:sz w:val="20"/>
      <w:szCs w:val="20"/>
    </w:rPr>
  </w:style>
  <w:style w:type="character" w:styleId="FootnoteReference">
    <w:name w:val="footnote reference"/>
    <w:basedOn w:val="DefaultParagraphFont"/>
    <w:uiPriority w:val="99"/>
    <w:semiHidden/>
    <w:unhideWhenUsed/>
    <w:rsid w:val="00A365B9"/>
    <w:rPr>
      <w:vertAlign w:val="superscript"/>
    </w:rPr>
  </w:style>
  <w:style w:type="table" w:styleId="TableGrid">
    <w:name w:val="Table Grid"/>
    <w:basedOn w:val="TableNormal"/>
    <w:uiPriority w:val="59"/>
    <w:rsid w:val="0045011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729604">
      <w:bodyDiv w:val="1"/>
      <w:marLeft w:val="0"/>
      <w:marRight w:val="0"/>
      <w:marTop w:val="0"/>
      <w:marBottom w:val="0"/>
      <w:divBdr>
        <w:top w:val="none" w:sz="0" w:space="0" w:color="auto"/>
        <w:left w:val="none" w:sz="0" w:space="0" w:color="auto"/>
        <w:bottom w:val="none" w:sz="0" w:space="0" w:color="auto"/>
        <w:right w:val="none" w:sz="0" w:space="0" w:color="auto"/>
      </w:divBdr>
    </w:div>
    <w:div w:id="203976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1EC07-7666-40BE-945C-92F2BB9E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8</Pages>
  <Words>3287</Words>
  <Characters>18737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Health and Medical Early to Mid-Career Researchers Stakeholder Roundtable Background Paper - 14 October 2021</dc:title>
  <dc:subject/>
  <dc:creator>Australian Goverment Department of Health</dc:creator>
  <cp:keywords>MRFF; "Medical Research Future Fund; Early to Mid-career Researchers</cp:keywords>
  <dc:description/>
  <cp:lastModifiedBy>SOLLAZZO, Maria</cp:lastModifiedBy>
  <cp:revision>2</cp:revision>
  <dcterms:created xsi:type="dcterms:W3CDTF">2021-08-06T02:05:00Z</dcterms:created>
  <dcterms:modified xsi:type="dcterms:W3CDTF">2021-12-06T00:28:00Z</dcterms:modified>
</cp:coreProperties>
</file>