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FC20F" w14:textId="77777777" w:rsidR="00280050" w:rsidRDefault="00935632">
      <w:r>
        <w:rPr>
          <w:rFonts w:cstheme="minorHAnsi"/>
          <w:noProof/>
          <w:sz w:val="28"/>
          <w:szCs w:val="28"/>
          <w:lang w:eastAsia="en-AU"/>
        </w:rPr>
        <w:drawing>
          <wp:inline distT="0" distB="0" distL="0" distR="0" wp14:anchorId="3B2E5A40" wp14:editId="33AEB312">
            <wp:extent cx="5731510" cy="1246939"/>
            <wp:effectExtent l="0" t="0" r="2540" b="0"/>
            <wp:docPr id="2" name="Picture 2" descr="Medical Research Future Fu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dical Research Future Fund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46939"/>
                    </a:xfrm>
                    <a:prstGeom prst="rect">
                      <a:avLst/>
                    </a:prstGeom>
                    <a:noFill/>
                  </pic:spPr>
                </pic:pic>
              </a:graphicData>
            </a:graphic>
          </wp:inline>
        </w:drawing>
      </w:r>
    </w:p>
    <w:p w14:paraId="70B46ECC" w14:textId="214F41FD" w:rsidR="00935632" w:rsidRPr="004648D6" w:rsidRDefault="003B63DF" w:rsidP="004648D6">
      <w:pPr>
        <w:pStyle w:val="Heading1"/>
      </w:pPr>
      <w:r w:rsidRPr="004648D6">
        <w:t>KEY FINDINGS AND OUTCOMES OF T</w:t>
      </w:r>
      <w:r w:rsidR="00EC34FD" w:rsidRPr="004648D6">
        <w:t>HE HE</w:t>
      </w:r>
      <w:r w:rsidR="00935632" w:rsidRPr="004648D6">
        <w:t xml:space="preserve">ALTH AND MEDICAL RESEARCH EARLY TO MID-CAREER RESEARCHERS </w:t>
      </w:r>
      <w:r w:rsidR="00AC1F69" w:rsidRPr="004648D6">
        <w:t xml:space="preserve">STAKEHOLDER </w:t>
      </w:r>
      <w:r w:rsidR="00EC34FD" w:rsidRPr="004648D6">
        <w:t xml:space="preserve">ROUNDTABLE </w:t>
      </w:r>
    </w:p>
    <w:p w14:paraId="550B6E89" w14:textId="77777777" w:rsidR="00935632" w:rsidRPr="00935632" w:rsidRDefault="00935632" w:rsidP="00935632">
      <w:pPr>
        <w:spacing w:after="0"/>
        <w:rPr>
          <w:rFonts w:asciiTheme="minorHAnsi" w:hAnsiTheme="minorHAnsi" w:cstheme="minorHAnsi"/>
          <w:sz w:val="22"/>
          <w:szCs w:val="22"/>
          <w:lang w:val="en-US"/>
        </w:rPr>
      </w:pPr>
    </w:p>
    <w:p w14:paraId="329C634C" w14:textId="77777777" w:rsidR="00935632" w:rsidRPr="004648D6" w:rsidRDefault="00935632" w:rsidP="004648D6">
      <w:pPr>
        <w:pStyle w:val="Heading2"/>
      </w:pPr>
      <w:r w:rsidRPr="004648D6">
        <w:t>INTRODUCTION</w:t>
      </w:r>
    </w:p>
    <w:p w14:paraId="349A392B" w14:textId="009585F5" w:rsidR="003E235B" w:rsidRDefault="00665F45" w:rsidP="00935632">
      <w:pPr>
        <w:rPr>
          <w:rFonts w:asciiTheme="minorHAnsi" w:hAnsiTheme="minorHAnsi" w:cstheme="minorHAnsi"/>
          <w:sz w:val="22"/>
          <w:szCs w:val="22"/>
        </w:rPr>
      </w:pPr>
      <w:r>
        <w:rPr>
          <w:rFonts w:asciiTheme="minorHAnsi" w:hAnsiTheme="minorHAnsi" w:cstheme="minorHAnsi"/>
          <w:sz w:val="22"/>
          <w:szCs w:val="22"/>
        </w:rPr>
        <w:t xml:space="preserve">Following the </w:t>
      </w:r>
      <w:r w:rsidR="00C85644">
        <w:rPr>
          <w:rFonts w:asciiTheme="minorHAnsi" w:hAnsiTheme="minorHAnsi" w:cstheme="minorHAnsi"/>
          <w:sz w:val="22"/>
          <w:szCs w:val="22"/>
        </w:rPr>
        <w:t xml:space="preserve">Early </w:t>
      </w:r>
      <w:r>
        <w:rPr>
          <w:rFonts w:asciiTheme="minorHAnsi" w:hAnsiTheme="minorHAnsi" w:cstheme="minorHAnsi"/>
          <w:sz w:val="22"/>
          <w:szCs w:val="22"/>
        </w:rPr>
        <w:t xml:space="preserve">to </w:t>
      </w:r>
      <w:r w:rsidR="00C85644">
        <w:rPr>
          <w:rFonts w:asciiTheme="minorHAnsi" w:hAnsiTheme="minorHAnsi" w:cstheme="minorHAnsi"/>
          <w:sz w:val="22"/>
          <w:szCs w:val="22"/>
        </w:rPr>
        <w:t>Mid</w:t>
      </w:r>
      <w:r>
        <w:rPr>
          <w:rFonts w:asciiTheme="minorHAnsi" w:hAnsiTheme="minorHAnsi" w:cstheme="minorHAnsi"/>
          <w:sz w:val="22"/>
          <w:szCs w:val="22"/>
        </w:rPr>
        <w:t>-</w:t>
      </w:r>
      <w:r w:rsidR="00C85644">
        <w:rPr>
          <w:rFonts w:asciiTheme="minorHAnsi" w:hAnsiTheme="minorHAnsi" w:cstheme="minorHAnsi"/>
          <w:sz w:val="22"/>
          <w:szCs w:val="22"/>
        </w:rPr>
        <w:t xml:space="preserve">Career Researchers </w:t>
      </w:r>
      <w:r>
        <w:rPr>
          <w:rFonts w:asciiTheme="minorHAnsi" w:hAnsiTheme="minorHAnsi" w:cstheme="minorHAnsi"/>
          <w:sz w:val="22"/>
          <w:szCs w:val="22"/>
        </w:rPr>
        <w:t>(EMCRs</w:t>
      </w:r>
      <w:r w:rsidR="00C85644">
        <w:rPr>
          <w:rStyle w:val="FootnoteReference"/>
          <w:rFonts w:asciiTheme="minorHAnsi" w:hAnsiTheme="minorHAnsi" w:cstheme="minorHAnsi"/>
          <w:sz w:val="22"/>
          <w:szCs w:val="22"/>
        </w:rPr>
        <w:footnoteReference w:id="1"/>
      </w:r>
      <w:r>
        <w:rPr>
          <w:rFonts w:asciiTheme="minorHAnsi" w:hAnsiTheme="minorHAnsi" w:cstheme="minorHAnsi"/>
          <w:sz w:val="22"/>
          <w:szCs w:val="22"/>
        </w:rPr>
        <w:t xml:space="preserve">) </w:t>
      </w:r>
      <w:r w:rsidR="00C85644">
        <w:rPr>
          <w:rFonts w:asciiTheme="minorHAnsi" w:hAnsiTheme="minorHAnsi" w:cstheme="minorHAnsi"/>
          <w:sz w:val="22"/>
          <w:szCs w:val="22"/>
        </w:rPr>
        <w:t>R</w:t>
      </w:r>
      <w:r>
        <w:rPr>
          <w:rFonts w:asciiTheme="minorHAnsi" w:hAnsiTheme="minorHAnsi" w:cstheme="minorHAnsi"/>
          <w:sz w:val="22"/>
          <w:szCs w:val="22"/>
        </w:rPr>
        <w:t>oundtable held on Thursday 6 May 2021, t</w:t>
      </w:r>
      <w:r w:rsidR="00935632" w:rsidRPr="00935632">
        <w:rPr>
          <w:rFonts w:asciiTheme="minorHAnsi" w:hAnsiTheme="minorHAnsi" w:cstheme="minorHAnsi"/>
          <w:sz w:val="22"/>
          <w:szCs w:val="22"/>
        </w:rPr>
        <w:t xml:space="preserve">he Minister for Health and Aged Care, the Hon Greg Hunt MP, asked the Department of Health (the Department) to convene a </w:t>
      </w:r>
      <w:r w:rsidR="00634F76">
        <w:rPr>
          <w:rFonts w:asciiTheme="minorHAnsi" w:hAnsiTheme="minorHAnsi" w:cstheme="minorHAnsi"/>
          <w:sz w:val="22"/>
          <w:szCs w:val="22"/>
        </w:rPr>
        <w:t>R</w:t>
      </w:r>
      <w:r w:rsidR="000D1F6B" w:rsidRPr="00935632">
        <w:rPr>
          <w:rFonts w:asciiTheme="minorHAnsi" w:hAnsiTheme="minorHAnsi" w:cstheme="minorHAnsi"/>
          <w:sz w:val="22"/>
          <w:szCs w:val="22"/>
        </w:rPr>
        <w:t xml:space="preserve">oundtable </w:t>
      </w:r>
      <w:r w:rsidR="00935632" w:rsidRPr="00935632">
        <w:rPr>
          <w:rFonts w:asciiTheme="minorHAnsi" w:hAnsiTheme="minorHAnsi" w:cstheme="minorHAnsi"/>
          <w:sz w:val="22"/>
          <w:szCs w:val="22"/>
        </w:rPr>
        <w:t xml:space="preserve">with </w:t>
      </w:r>
      <w:r>
        <w:rPr>
          <w:rFonts w:asciiTheme="minorHAnsi" w:hAnsiTheme="minorHAnsi" w:cstheme="minorHAnsi"/>
          <w:sz w:val="22"/>
          <w:szCs w:val="22"/>
        </w:rPr>
        <w:t>EMCR stakeholders</w:t>
      </w:r>
      <w:r w:rsidR="00F65A5C">
        <w:rPr>
          <w:rStyle w:val="FootnoteReference"/>
          <w:rFonts w:asciiTheme="minorHAnsi" w:hAnsiTheme="minorHAnsi" w:cstheme="minorHAnsi"/>
          <w:sz w:val="22"/>
          <w:szCs w:val="22"/>
        </w:rPr>
        <w:footnoteReference w:id="2"/>
      </w:r>
      <w:r>
        <w:rPr>
          <w:rFonts w:asciiTheme="minorHAnsi" w:hAnsiTheme="minorHAnsi" w:cstheme="minorHAnsi"/>
          <w:sz w:val="22"/>
          <w:szCs w:val="22"/>
        </w:rPr>
        <w:t xml:space="preserve"> </w:t>
      </w:r>
      <w:r w:rsidR="00935632" w:rsidRPr="00935632">
        <w:rPr>
          <w:rFonts w:asciiTheme="minorHAnsi" w:hAnsiTheme="minorHAnsi" w:cstheme="minorHAnsi"/>
          <w:sz w:val="22"/>
          <w:szCs w:val="22"/>
        </w:rPr>
        <w:t xml:space="preserve">to </w:t>
      </w:r>
      <w:r w:rsidR="009562D6">
        <w:rPr>
          <w:rFonts w:asciiTheme="minorHAnsi" w:hAnsiTheme="minorHAnsi" w:cstheme="minorHAnsi"/>
          <w:sz w:val="22"/>
          <w:szCs w:val="22"/>
        </w:rPr>
        <w:t>discuss</w:t>
      </w:r>
      <w:r>
        <w:rPr>
          <w:rFonts w:asciiTheme="minorHAnsi" w:hAnsiTheme="minorHAnsi" w:cstheme="minorHAnsi"/>
          <w:sz w:val="22"/>
          <w:szCs w:val="22"/>
        </w:rPr>
        <w:t xml:space="preserve"> how stakeholders </w:t>
      </w:r>
      <w:r w:rsidR="00373000">
        <w:rPr>
          <w:rFonts w:asciiTheme="minorHAnsi" w:hAnsiTheme="minorHAnsi" w:cstheme="minorHAnsi"/>
          <w:sz w:val="22"/>
          <w:szCs w:val="22"/>
        </w:rPr>
        <w:t>could</w:t>
      </w:r>
      <w:r>
        <w:rPr>
          <w:rFonts w:asciiTheme="minorHAnsi" w:hAnsiTheme="minorHAnsi" w:cstheme="minorHAnsi"/>
          <w:sz w:val="22"/>
          <w:szCs w:val="22"/>
        </w:rPr>
        <w:t xml:space="preserve"> support EMCRs </w:t>
      </w:r>
      <w:r w:rsidR="00935632" w:rsidRPr="00935632">
        <w:rPr>
          <w:rFonts w:asciiTheme="minorHAnsi" w:hAnsiTheme="minorHAnsi" w:cstheme="minorHAnsi"/>
          <w:sz w:val="22"/>
          <w:szCs w:val="22"/>
        </w:rPr>
        <w:t>to remain within the health and medical research sector.</w:t>
      </w:r>
      <w:r w:rsidR="00935632">
        <w:rPr>
          <w:rFonts w:asciiTheme="minorHAnsi" w:hAnsiTheme="minorHAnsi" w:cstheme="minorHAnsi"/>
          <w:sz w:val="22"/>
          <w:szCs w:val="22"/>
        </w:rPr>
        <w:t xml:space="preserve">  </w:t>
      </w:r>
    </w:p>
    <w:p w14:paraId="0D18A2ED" w14:textId="131A91C4" w:rsidR="000D1F6B" w:rsidRDefault="003E235B" w:rsidP="00935632">
      <w:pPr>
        <w:rPr>
          <w:rFonts w:asciiTheme="minorHAnsi" w:hAnsiTheme="minorHAnsi" w:cstheme="minorHAnsi"/>
          <w:sz w:val="22"/>
          <w:szCs w:val="22"/>
        </w:rPr>
      </w:pPr>
      <w:r>
        <w:rPr>
          <w:rFonts w:asciiTheme="minorHAnsi" w:hAnsiTheme="minorHAnsi" w:cstheme="minorHAnsi"/>
          <w:sz w:val="22"/>
          <w:szCs w:val="22"/>
        </w:rPr>
        <w:t xml:space="preserve">The virtual </w:t>
      </w:r>
      <w:r w:rsidRPr="00935632">
        <w:rPr>
          <w:rFonts w:asciiTheme="minorHAnsi" w:eastAsia="Times New Roman" w:hAnsiTheme="minorHAnsi" w:cstheme="minorHAnsi"/>
          <w:sz w:val="22"/>
          <w:szCs w:val="22"/>
          <w:lang w:val="en" w:eastAsia="en-AU"/>
        </w:rPr>
        <w:t xml:space="preserve">Health and Medical Research EMCRs </w:t>
      </w:r>
      <w:r w:rsidR="00665F45">
        <w:rPr>
          <w:rFonts w:asciiTheme="minorHAnsi" w:eastAsia="Times New Roman" w:hAnsiTheme="minorHAnsi" w:cstheme="minorHAnsi"/>
          <w:sz w:val="22"/>
          <w:szCs w:val="22"/>
          <w:lang w:val="en" w:eastAsia="en-AU"/>
        </w:rPr>
        <w:t xml:space="preserve">Stakeholder </w:t>
      </w:r>
      <w:r w:rsidRPr="00935632">
        <w:rPr>
          <w:rFonts w:asciiTheme="minorHAnsi" w:eastAsia="Times New Roman" w:hAnsiTheme="minorHAnsi" w:cstheme="minorHAnsi"/>
          <w:sz w:val="22"/>
          <w:szCs w:val="22"/>
          <w:lang w:val="en" w:eastAsia="en-AU"/>
        </w:rPr>
        <w:t>Roundtable</w:t>
      </w:r>
      <w:r>
        <w:rPr>
          <w:rFonts w:asciiTheme="minorHAnsi" w:hAnsiTheme="minorHAnsi" w:cstheme="minorHAnsi"/>
          <w:sz w:val="22"/>
          <w:szCs w:val="22"/>
        </w:rPr>
        <w:t xml:space="preserve"> (the Roundtable) took place on </w:t>
      </w:r>
      <w:r w:rsidRPr="00935632">
        <w:rPr>
          <w:rFonts w:asciiTheme="minorHAnsi" w:hAnsiTheme="minorHAnsi" w:cstheme="minorHAnsi"/>
          <w:sz w:val="22"/>
          <w:szCs w:val="22"/>
        </w:rPr>
        <w:t xml:space="preserve">Thursday </w:t>
      </w:r>
      <w:r w:rsidR="00665F45">
        <w:rPr>
          <w:rFonts w:asciiTheme="minorHAnsi" w:hAnsiTheme="minorHAnsi" w:cstheme="minorHAnsi"/>
          <w:sz w:val="22"/>
          <w:szCs w:val="22"/>
        </w:rPr>
        <w:t>14 October</w:t>
      </w:r>
      <w:r w:rsidRPr="00935632">
        <w:rPr>
          <w:rFonts w:asciiTheme="minorHAnsi" w:hAnsiTheme="minorHAnsi" w:cstheme="minorHAnsi"/>
          <w:sz w:val="22"/>
          <w:szCs w:val="22"/>
        </w:rPr>
        <w:t xml:space="preserve">, 1-4pm </w:t>
      </w:r>
      <w:r>
        <w:rPr>
          <w:rFonts w:asciiTheme="minorHAnsi" w:hAnsiTheme="minorHAnsi" w:cstheme="minorHAnsi"/>
          <w:sz w:val="22"/>
          <w:szCs w:val="22"/>
        </w:rPr>
        <w:t>AE</w:t>
      </w:r>
      <w:r w:rsidR="00665F45">
        <w:rPr>
          <w:rFonts w:asciiTheme="minorHAnsi" w:hAnsiTheme="minorHAnsi" w:cstheme="minorHAnsi"/>
          <w:sz w:val="22"/>
          <w:szCs w:val="22"/>
        </w:rPr>
        <w:t>D</w:t>
      </w:r>
      <w:r>
        <w:rPr>
          <w:rFonts w:asciiTheme="minorHAnsi" w:hAnsiTheme="minorHAnsi" w:cstheme="minorHAnsi"/>
          <w:sz w:val="22"/>
          <w:szCs w:val="22"/>
        </w:rPr>
        <w:t>T.</w:t>
      </w:r>
      <w:r w:rsidR="00C94869">
        <w:rPr>
          <w:rFonts w:asciiTheme="minorHAnsi" w:hAnsiTheme="minorHAnsi" w:cstheme="minorHAnsi"/>
          <w:sz w:val="22"/>
          <w:szCs w:val="22"/>
        </w:rPr>
        <w:t xml:space="preserve"> </w:t>
      </w:r>
      <w:r w:rsidR="000D1F6B">
        <w:rPr>
          <w:rFonts w:asciiTheme="minorHAnsi" w:hAnsiTheme="minorHAnsi" w:cstheme="minorHAnsi"/>
          <w:sz w:val="22"/>
          <w:szCs w:val="22"/>
        </w:rPr>
        <w:t xml:space="preserve">Prior to the Roundtable, written </w:t>
      </w:r>
      <w:r w:rsidR="005B1ED9">
        <w:rPr>
          <w:rFonts w:asciiTheme="minorHAnsi" w:hAnsiTheme="minorHAnsi" w:cstheme="minorHAnsi"/>
          <w:sz w:val="22"/>
          <w:szCs w:val="22"/>
        </w:rPr>
        <w:t>input</w:t>
      </w:r>
      <w:r w:rsidR="000D1F6B">
        <w:rPr>
          <w:rFonts w:asciiTheme="minorHAnsi" w:hAnsiTheme="minorHAnsi" w:cstheme="minorHAnsi"/>
          <w:sz w:val="22"/>
          <w:szCs w:val="22"/>
        </w:rPr>
        <w:t xml:space="preserve"> </w:t>
      </w:r>
      <w:r w:rsidR="00373000">
        <w:rPr>
          <w:rFonts w:asciiTheme="minorHAnsi" w:hAnsiTheme="minorHAnsi" w:cstheme="minorHAnsi"/>
          <w:sz w:val="22"/>
          <w:szCs w:val="22"/>
        </w:rPr>
        <w:t>and nominees were</w:t>
      </w:r>
      <w:r w:rsidR="000D1F6B">
        <w:rPr>
          <w:rFonts w:asciiTheme="minorHAnsi" w:hAnsiTheme="minorHAnsi" w:cstheme="minorHAnsi"/>
          <w:sz w:val="22"/>
          <w:szCs w:val="22"/>
        </w:rPr>
        <w:t xml:space="preserve"> </w:t>
      </w:r>
      <w:r w:rsidR="00373000">
        <w:rPr>
          <w:rFonts w:asciiTheme="minorHAnsi" w:hAnsiTheme="minorHAnsi" w:cstheme="minorHAnsi"/>
          <w:sz w:val="22"/>
          <w:szCs w:val="22"/>
        </w:rPr>
        <w:t>sought from</w:t>
      </w:r>
      <w:r w:rsidR="0097603D" w:rsidRPr="00863AD1">
        <w:rPr>
          <w:rFonts w:asciiTheme="minorHAnsi" w:hAnsiTheme="minorHAnsi" w:cstheme="minorHAnsi"/>
          <w:color w:val="FF0000"/>
          <w:sz w:val="22"/>
          <w:szCs w:val="22"/>
        </w:rPr>
        <w:t xml:space="preserve"> </w:t>
      </w:r>
      <w:r w:rsidR="00E87C6F">
        <w:rPr>
          <w:rFonts w:asciiTheme="minorHAnsi" w:hAnsiTheme="minorHAnsi" w:cstheme="minorHAnsi"/>
          <w:sz w:val="22"/>
          <w:szCs w:val="22"/>
        </w:rPr>
        <w:t xml:space="preserve">30 </w:t>
      </w:r>
      <w:r w:rsidR="00863AD1" w:rsidRPr="00373000">
        <w:rPr>
          <w:rFonts w:asciiTheme="minorHAnsi" w:hAnsiTheme="minorHAnsi" w:cstheme="minorHAnsi"/>
          <w:sz w:val="22"/>
          <w:szCs w:val="22"/>
        </w:rPr>
        <w:t>stakeholders</w:t>
      </w:r>
      <w:r w:rsidR="00392E65">
        <w:rPr>
          <w:rFonts w:asciiTheme="minorHAnsi" w:hAnsiTheme="minorHAnsi" w:cstheme="minorHAnsi"/>
          <w:sz w:val="22"/>
          <w:szCs w:val="22"/>
        </w:rPr>
        <w:t xml:space="preserve">. </w:t>
      </w:r>
      <w:r w:rsidR="00E87C6F">
        <w:rPr>
          <w:rFonts w:asciiTheme="minorHAnsi" w:hAnsiTheme="minorHAnsi" w:cstheme="minorHAnsi"/>
          <w:sz w:val="22"/>
          <w:szCs w:val="22"/>
        </w:rPr>
        <w:t xml:space="preserve">Twenty-two stakeholders nominated </w:t>
      </w:r>
      <w:r w:rsidR="00F11707">
        <w:rPr>
          <w:rFonts w:asciiTheme="minorHAnsi" w:hAnsiTheme="minorHAnsi" w:cstheme="minorHAnsi"/>
          <w:sz w:val="22"/>
          <w:szCs w:val="22"/>
        </w:rPr>
        <w:t>representatives</w:t>
      </w:r>
      <w:r w:rsidR="009562D6">
        <w:rPr>
          <w:rFonts w:asciiTheme="minorHAnsi" w:hAnsiTheme="minorHAnsi" w:cstheme="minorHAnsi"/>
          <w:sz w:val="22"/>
          <w:szCs w:val="22"/>
        </w:rPr>
        <w:t xml:space="preserve"> to attend the Roundtable</w:t>
      </w:r>
      <w:r w:rsidR="00E87C6F">
        <w:rPr>
          <w:rFonts w:asciiTheme="minorHAnsi" w:hAnsiTheme="minorHAnsi" w:cstheme="minorHAnsi"/>
          <w:sz w:val="22"/>
          <w:szCs w:val="22"/>
        </w:rPr>
        <w:t xml:space="preserve">, and </w:t>
      </w:r>
      <w:r w:rsidR="009562D6">
        <w:rPr>
          <w:rFonts w:asciiTheme="minorHAnsi" w:hAnsiTheme="minorHAnsi" w:cstheme="minorHAnsi"/>
          <w:sz w:val="22"/>
          <w:szCs w:val="22"/>
        </w:rPr>
        <w:t xml:space="preserve">9 </w:t>
      </w:r>
      <w:r w:rsidR="00373000">
        <w:rPr>
          <w:rFonts w:asciiTheme="minorHAnsi" w:hAnsiTheme="minorHAnsi" w:cstheme="minorHAnsi"/>
          <w:sz w:val="22"/>
          <w:szCs w:val="22"/>
        </w:rPr>
        <w:t xml:space="preserve">provided </w:t>
      </w:r>
      <w:r w:rsidR="005B1ED9">
        <w:rPr>
          <w:rFonts w:asciiTheme="minorHAnsi" w:hAnsiTheme="minorHAnsi" w:cstheme="minorHAnsi"/>
          <w:sz w:val="22"/>
          <w:szCs w:val="22"/>
        </w:rPr>
        <w:t>written input</w:t>
      </w:r>
      <w:r w:rsidR="009562D6">
        <w:rPr>
          <w:rFonts w:asciiTheme="minorHAnsi" w:hAnsiTheme="minorHAnsi" w:cstheme="minorHAnsi"/>
          <w:sz w:val="22"/>
          <w:szCs w:val="22"/>
        </w:rPr>
        <w:t xml:space="preserve"> prior to the Roundtable</w:t>
      </w:r>
      <w:r w:rsidR="00373000">
        <w:rPr>
          <w:rFonts w:asciiTheme="minorHAnsi" w:hAnsiTheme="minorHAnsi" w:cstheme="minorHAnsi"/>
          <w:sz w:val="22"/>
          <w:szCs w:val="22"/>
        </w:rPr>
        <w:t>.</w:t>
      </w:r>
      <w:r w:rsidR="000D1F6B" w:rsidRPr="00373000">
        <w:rPr>
          <w:rFonts w:asciiTheme="minorHAnsi" w:hAnsiTheme="minorHAnsi" w:cstheme="minorHAnsi"/>
          <w:sz w:val="22"/>
          <w:szCs w:val="22"/>
        </w:rPr>
        <w:t xml:space="preserve"> </w:t>
      </w:r>
      <w:r w:rsidR="00BF4AE3">
        <w:rPr>
          <w:rFonts w:asciiTheme="minorHAnsi" w:hAnsiTheme="minorHAnsi" w:cstheme="minorHAnsi"/>
          <w:sz w:val="22"/>
          <w:szCs w:val="22"/>
        </w:rPr>
        <w:t>The written</w:t>
      </w:r>
      <w:r w:rsidR="00BF4AE3" w:rsidRPr="00373000">
        <w:rPr>
          <w:rFonts w:asciiTheme="minorHAnsi" w:hAnsiTheme="minorHAnsi" w:cstheme="minorHAnsi"/>
          <w:sz w:val="22"/>
          <w:szCs w:val="22"/>
        </w:rPr>
        <w:t xml:space="preserve"> </w:t>
      </w:r>
      <w:r w:rsidR="005B1ED9">
        <w:rPr>
          <w:rFonts w:asciiTheme="minorHAnsi" w:hAnsiTheme="minorHAnsi" w:cstheme="minorHAnsi"/>
          <w:sz w:val="22"/>
          <w:szCs w:val="22"/>
        </w:rPr>
        <w:t>input</w:t>
      </w:r>
      <w:r w:rsidR="000D1F6B" w:rsidRPr="00373000">
        <w:rPr>
          <w:rFonts w:asciiTheme="minorHAnsi" w:hAnsiTheme="minorHAnsi" w:cstheme="minorHAnsi"/>
          <w:sz w:val="22"/>
          <w:szCs w:val="22"/>
        </w:rPr>
        <w:t xml:space="preserve"> </w:t>
      </w:r>
      <w:r w:rsidR="000D1F6B">
        <w:rPr>
          <w:rFonts w:asciiTheme="minorHAnsi" w:hAnsiTheme="minorHAnsi" w:cstheme="minorHAnsi"/>
          <w:sz w:val="22"/>
          <w:szCs w:val="22"/>
        </w:rPr>
        <w:t>was used as the basis for Roundtable discussion</w:t>
      </w:r>
      <w:r w:rsidR="009562D6">
        <w:rPr>
          <w:rFonts w:asciiTheme="minorHAnsi" w:hAnsiTheme="minorHAnsi" w:cstheme="minorHAnsi"/>
          <w:sz w:val="22"/>
          <w:szCs w:val="22"/>
        </w:rPr>
        <w:t xml:space="preserve"> and was included in a</w:t>
      </w:r>
      <w:r w:rsidR="00941990">
        <w:rPr>
          <w:rFonts w:asciiTheme="minorHAnsi" w:hAnsiTheme="minorHAnsi" w:cstheme="minorHAnsi"/>
          <w:sz w:val="22"/>
          <w:szCs w:val="22"/>
        </w:rPr>
        <w:t xml:space="preserve"> background paper provided to the participants prior to the </w:t>
      </w:r>
      <w:r w:rsidR="00C85644">
        <w:rPr>
          <w:rFonts w:asciiTheme="minorHAnsi" w:hAnsiTheme="minorHAnsi" w:cstheme="minorHAnsi"/>
          <w:sz w:val="22"/>
          <w:szCs w:val="22"/>
        </w:rPr>
        <w:t>Roundtable</w:t>
      </w:r>
      <w:r w:rsidR="00392E65">
        <w:rPr>
          <w:rFonts w:asciiTheme="minorHAnsi" w:hAnsiTheme="minorHAnsi" w:cstheme="minorHAnsi"/>
          <w:sz w:val="22"/>
          <w:szCs w:val="22"/>
        </w:rPr>
        <w:t>.</w:t>
      </w:r>
    </w:p>
    <w:p w14:paraId="19246044" w14:textId="7D56C90B" w:rsidR="00F946A3" w:rsidRDefault="00163313" w:rsidP="002260E9">
      <w:pPr>
        <w:rPr>
          <w:rFonts w:asciiTheme="minorHAnsi" w:hAnsiTheme="minorHAnsi" w:cstheme="minorHAnsi"/>
          <w:sz w:val="22"/>
          <w:szCs w:val="22"/>
        </w:rPr>
      </w:pPr>
      <w:r>
        <w:rPr>
          <w:rFonts w:asciiTheme="minorHAnsi" w:hAnsiTheme="minorHAnsi" w:cstheme="minorHAnsi"/>
          <w:sz w:val="22"/>
          <w:szCs w:val="22"/>
        </w:rPr>
        <w:t>T</w:t>
      </w:r>
      <w:r w:rsidR="000D1F6B">
        <w:rPr>
          <w:rFonts w:asciiTheme="minorHAnsi" w:hAnsiTheme="minorHAnsi" w:cstheme="minorHAnsi"/>
          <w:sz w:val="22"/>
          <w:szCs w:val="22"/>
        </w:rPr>
        <w:t xml:space="preserve">he </w:t>
      </w:r>
      <w:r w:rsidR="000D1F6B" w:rsidRPr="00373000">
        <w:rPr>
          <w:rFonts w:asciiTheme="minorHAnsi" w:hAnsiTheme="minorHAnsi" w:cstheme="minorHAnsi"/>
          <w:sz w:val="22"/>
          <w:szCs w:val="22"/>
        </w:rPr>
        <w:t>Roundtable</w:t>
      </w:r>
      <w:r>
        <w:rPr>
          <w:rFonts w:asciiTheme="minorHAnsi" w:hAnsiTheme="minorHAnsi" w:cstheme="minorHAnsi"/>
          <w:sz w:val="22"/>
          <w:szCs w:val="22"/>
        </w:rPr>
        <w:t xml:space="preserve"> comprised</w:t>
      </w:r>
      <w:r w:rsidR="00935632" w:rsidRPr="00373000">
        <w:rPr>
          <w:rFonts w:asciiTheme="minorHAnsi" w:hAnsiTheme="minorHAnsi" w:cstheme="minorHAnsi"/>
          <w:sz w:val="22"/>
          <w:szCs w:val="22"/>
        </w:rPr>
        <w:t xml:space="preserve"> </w:t>
      </w:r>
      <w:r w:rsidR="00170D76">
        <w:rPr>
          <w:rFonts w:asciiTheme="minorHAnsi" w:hAnsiTheme="minorHAnsi" w:cstheme="minorHAnsi"/>
          <w:sz w:val="22"/>
          <w:szCs w:val="22"/>
        </w:rPr>
        <w:t>of</w:t>
      </w:r>
      <w:r w:rsidR="00F946A3">
        <w:rPr>
          <w:rFonts w:asciiTheme="minorHAnsi" w:hAnsiTheme="minorHAnsi" w:cstheme="minorHAnsi"/>
          <w:sz w:val="22"/>
          <w:szCs w:val="22"/>
        </w:rPr>
        <w:t>:</w:t>
      </w:r>
    </w:p>
    <w:p w14:paraId="14663F73" w14:textId="185610EC" w:rsidR="00F946A3" w:rsidRDefault="00F946A3" w:rsidP="008E5299">
      <w:pPr>
        <w:pStyle w:val="ListParagraph"/>
        <w:numPr>
          <w:ilvl w:val="0"/>
          <w:numId w:val="14"/>
        </w:numPr>
        <w:ind w:left="426"/>
        <w:rPr>
          <w:rFonts w:cstheme="minorHAnsi"/>
          <w:sz w:val="22"/>
          <w:szCs w:val="22"/>
        </w:rPr>
      </w:pPr>
      <w:r w:rsidRPr="003876F6">
        <w:rPr>
          <w:rFonts w:cstheme="minorHAnsi"/>
          <w:sz w:val="22"/>
          <w:szCs w:val="22"/>
        </w:rPr>
        <w:t>29 stakeholder representatives</w:t>
      </w:r>
      <w:r w:rsidR="00F65A5C">
        <w:rPr>
          <w:rFonts w:cstheme="minorHAnsi"/>
          <w:sz w:val="22"/>
          <w:szCs w:val="22"/>
        </w:rPr>
        <w:t xml:space="preserve">, </w:t>
      </w:r>
      <w:r w:rsidR="001C23F3">
        <w:rPr>
          <w:rFonts w:cstheme="minorHAnsi"/>
          <w:sz w:val="22"/>
          <w:szCs w:val="22"/>
        </w:rPr>
        <w:t xml:space="preserve">from </w:t>
      </w:r>
      <w:r w:rsidR="00F65A5C">
        <w:rPr>
          <w:rFonts w:cstheme="minorHAnsi"/>
          <w:sz w:val="22"/>
          <w:szCs w:val="22"/>
        </w:rPr>
        <w:t>Australian academies, university and medical research institute representative groups, industry and peaks, policy, societies, and population groups,</w:t>
      </w:r>
    </w:p>
    <w:p w14:paraId="26585E59" w14:textId="678026A2" w:rsidR="00F946A3" w:rsidRDefault="00F946A3" w:rsidP="008E5299">
      <w:pPr>
        <w:pStyle w:val="ListParagraph"/>
        <w:numPr>
          <w:ilvl w:val="0"/>
          <w:numId w:val="14"/>
        </w:numPr>
        <w:ind w:left="426"/>
        <w:rPr>
          <w:rFonts w:cstheme="minorHAnsi"/>
          <w:sz w:val="22"/>
          <w:szCs w:val="22"/>
        </w:rPr>
      </w:pPr>
      <w:r>
        <w:rPr>
          <w:rFonts w:cstheme="minorHAnsi"/>
          <w:sz w:val="22"/>
          <w:szCs w:val="22"/>
        </w:rPr>
        <w:t xml:space="preserve">3 EMCRs selected from a subset of the May Roundtable </w:t>
      </w:r>
      <w:r w:rsidRPr="00F946A3">
        <w:rPr>
          <w:rFonts w:cstheme="minorHAnsi"/>
          <w:sz w:val="22"/>
          <w:szCs w:val="22"/>
        </w:rPr>
        <w:t>EMCR</w:t>
      </w:r>
      <w:r>
        <w:rPr>
          <w:rFonts w:cstheme="minorHAnsi"/>
          <w:sz w:val="22"/>
          <w:szCs w:val="22"/>
        </w:rPr>
        <w:t xml:space="preserve">s who had expressed interest to attend to </w:t>
      </w:r>
      <w:r w:rsidRPr="00F946A3">
        <w:rPr>
          <w:rFonts w:cstheme="minorHAnsi"/>
          <w:sz w:val="22"/>
          <w:szCs w:val="22"/>
        </w:rPr>
        <w:t xml:space="preserve">present views and outcomes from </w:t>
      </w:r>
      <w:r w:rsidR="0017563D">
        <w:rPr>
          <w:rFonts w:cstheme="minorHAnsi"/>
          <w:sz w:val="22"/>
          <w:szCs w:val="22"/>
        </w:rPr>
        <w:t>the</w:t>
      </w:r>
      <w:r w:rsidRPr="00F946A3">
        <w:rPr>
          <w:rFonts w:cstheme="minorHAnsi"/>
          <w:sz w:val="22"/>
          <w:szCs w:val="22"/>
        </w:rPr>
        <w:t xml:space="preserve"> May </w:t>
      </w:r>
      <w:r w:rsidR="0017563D">
        <w:rPr>
          <w:rFonts w:cstheme="minorHAnsi"/>
          <w:sz w:val="22"/>
          <w:szCs w:val="22"/>
        </w:rPr>
        <w:t xml:space="preserve">Roundtable </w:t>
      </w:r>
      <w:r w:rsidRPr="00F946A3">
        <w:rPr>
          <w:rFonts w:cstheme="minorHAnsi"/>
          <w:sz w:val="22"/>
          <w:szCs w:val="22"/>
        </w:rPr>
        <w:t>to the stakeholders</w:t>
      </w:r>
      <w:r>
        <w:rPr>
          <w:rFonts w:cstheme="minorHAnsi"/>
          <w:sz w:val="22"/>
          <w:szCs w:val="22"/>
        </w:rPr>
        <w:t>, and</w:t>
      </w:r>
    </w:p>
    <w:p w14:paraId="685D5B46" w14:textId="62C3BEB6" w:rsidR="00F946A3" w:rsidRDefault="00F946A3" w:rsidP="008E5299">
      <w:pPr>
        <w:pStyle w:val="ListParagraph"/>
        <w:numPr>
          <w:ilvl w:val="0"/>
          <w:numId w:val="14"/>
        </w:numPr>
        <w:ind w:left="426"/>
        <w:rPr>
          <w:rFonts w:cstheme="minorHAnsi"/>
          <w:sz w:val="22"/>
          <w:szCs w:val="22"/>
        </w:rPr>
      </w:pPr>
      <w:r>
        <w:rPr>
          <w:rFonts w:cstheme="minorHAnsi"/>
          <w:sz w:val="22"/>
          <w:szCs w:val="22"/>
        </w:rPr>
        <w:t>11 observers</w:t>
      </w:r>
    </w:p>
    <w:p w14:paraId="0A783804" w14:textId="7514BEAE" w:rsidR="00F946A3" w:rsidRDefault="00F946A3" w:rsidP="008E5299">
      <w:pPr>
        <w:pStyle w:val="ListParagraph"/>
        <w:numPr>
          <w:ilvl w:val="1"/>
          <w:numId w:val="14"/>
        </w:numPr>
        <w:ind w:left="851"/>
        <w:rPr>
          <w:rFonts w:cstheme="minorHAnsi"/>
          <w:sz w:val="22"/>
          <w:szCs w:val="22"/>
        </w:rPr>
      </w:pPr>
      <w:r>
        <w:rPr>
          <w:rFonts w:cstheme="minorHAnsi"/>
          <w:sz w:val="22"/>
          <w:szCs w:val="22"/>
        </w:rPr>
        <w:t xml:space="preserve">6 from the </w:t>
      </w:r>
      <w:r w:rsidRPr="00F946A3">
        <w:rPr>
          <w:rFonts w:cstheme="minorHAnsi"/>
          <w:sz w:val="22"/>
          <w:szCs w:val="22"/>
        </w:rPr>
        <w:t>Health and Medical Research Office (HMRO), responsible for overseeing investments from the Medical Research Future Fund (MRFF)</w:t>
      </w:r>
    </w:p>
    <w:p w14:paraId="2F6ED623" w14:textId="32DCB9E7" w:rsidR="00F946A3" w:rsidRDefault="00F946A3" w:rsidP="008E5299">
      <w:pPr>
        <w:pStyle w:val="ListParagraph"/>
        <w:numPr>
          <w:ilvl w:val="1"/>
          <w:numId w:val="14"/>
        </w:numPr>
        <w:ind w:left="851"/>
        <w:rPr>
          <w:rFonts w:cstheme="minorHAnsi"/>
          <w:sz w:val="22"/>
          <w:szCs w:val="22"/>
        </w:rPr>
      </w:pPr>
      <w:r>
        <w:rPr>
          <w:rFonts w:cstheme="minorHAnsi"/>
          <w:sz w:val="22"/>
          <w:szCs w:val="22"/>
        </w:rPr>
        <w:t>3 from the National Health and Medical Research Council</w:t>
      </w:r>
    </w:p>
    <w:p w14:paraId="58D4A078" w14:textId="7727AB78" w:rsidR="00F946A3" w:rsidRPr="00F946A3" w:rsidRDefault="00F946A3" w:rsidP="008E5299">
      <w:pPr>
        <w:pStyle w:val="ListParagraph"/>
        <w:numPr>
          <w:ilvl w:val="1"/>
          <w:numId w:val="14"/>
        </w:numPr>
        <w:ind w:left="851"/>
        <w:rPr>
          <w:rFonts w:cstheme="minorHAnsi"/>
          <w:sz w:val="22"/>
          <w:szCs w:val="22"/>
        </w:rPr>
      </w:pPr>
      <w:r>
        <w:rPr>
          <w:rFonts w:cstheme="minorHAnsi"/>
          <w:sz w:val="22"/>
          <w:szCs w:val="22"/>
        </w:rPr>
        <w:t>2 from the Australian Research Council</w:t>
      </w:r>
    </w:p>
    <w:p w14:paraId="1B7FEC75" w14:textId="47EA2463" w:rsidR="00C94869" w:rsidRDefault="00163313" w:rsidP="002260E9">
      <w:pPr>
        <w:rPr>
          <w:rFonts w:asciiTheme="minorHAnsi" w:hAnsiTheme="minorHAnsi" w:cstheme="minorHAnsi"/>
          <w:sz w:val="22"/>
          <w:szCs w:val="22"/>
        </w:rPr>
      </w:pPr>
      <w:r>
        <w:rPr>
          <w:rFonts w:asciiTheme="minorHAnsi" w:hAnsiTheme="minorHAnsi" w:cstheme="minorHAnsi"/>
          <w:sz w:val="22"/>
          <w:szCs w:val="22"/>
        </w:rPr>
        <w:t xml:space="preserve">The </w:t>
      </w:r>
      <w:r w:rsidR="00BF4AE3">
        <w:rPr>
          <w:rFonts w:asciiTheme="minorHAnsi" w:hAnsiTheme="minorHAnsi" w:cstheme="minorHAnsi"/>
          <w:sz w:val="22"/>
          <w:szCs w:val="22"/>
        </w:rPr>
        <w:t xml:space="preserve">EMCR representatives </w:t>
      </w:r>
      <w:r>
        <w:rPr>
          <w:rFonts w:asciiTheme="minorHAnsi" w:hAnsiTheme="minorHAnsi" w:cstheme="minorHAnsi"/>
          <w:sz w:val="22"/>
          <w:szCs w:val="22"/>
        </w:rPr>
        <w:t xml:space="preserve">presented a summary of the EMCR </w:t>
      </w:r>
      <w:r w:rsidR="00C85644">
        <w:rPr>
          <w:rFonts w:asciiTheme="minorHAnsi" w:hAnsiTheme="minorHAnsi" w:cstheme="minorHAnsi"/>
          <w:sz w:val="22"/>
          <w:szCs w:val="22"/>
        </w:rPr>
        <w:t xml:space="preserve">Roundtable </w:t>
      </w:r>
      <w:r>
        <w:rPr>
          <w:rFonts w:asciiTheme="minorHAnsi" w:hAnsiTheme="minorHAnsi" w:cstheme="minorHAnsi"/>
          <w:sz w:val="22"/>
          <w:szCs w:val="22"/>
        </w:rPr>
        <w:t xml:space="preserve">held </w:t>
      </w:r>
      <w:r w:rsidR="0017563D">
        <w:rPr>
          <w:rFonts w:asciiTheme="minorHAnsi" w:hAnsiTheme="minorHAnsi" w:cstheme="minorHAnsi"/>
          <w:sz w:val="22"/>
          <w:szCs w:val="22"/>
        </w:rPr>
        <w:t>on 6</w:t>
      </w:r>
      <w:r>
        <w:rPr>
          <w:rFonts w:asciiTheme="minorHAnsi" w:hAnsiTheme="minorHAnsi" w:cstheme="minorHAnsi"/>
          <w:sz w:val="22"/>
          <w:szCs w:val="22"/>
        </w:rPr>
        <w:t xml:space="preserve"> May 2021. </w:t>
      </w:r>
      <w:r w:rsidR="009562D6">
        <w:rPr>
          <w:rFonts w:asciiTheme="minorHAnsi" w:hAnsiTheme="minorHAnsi" w:cstheme="minorHAnsi"/>
          <w:sz w:val="22"/>
          <w:szCs w:val="22"/>
        </w:rPr>
        <w:t xml:space="preserve">The 5 key topics of concern from EMCRs were </w:t>
      </w:r>
      <w:r w:rsidR="00C94869">
        <w:rPr>
          <w:rFonts w:asciiTheme="minorHAnsi" w:hAnsiTheme="minorHAnsi" w:cstheme="minorHAnsi"/>
          <w:sz w:val="22"/>
          <w:szCs w:val="22"/>
        </w:rPr>
        <w:t>security of employment, access to grant funding, workplace culture, provision of training and support, and support for diversity</w:t>
      </w:r>
      <w:r w:rsidR="009562D6">
        <w:rPr>
          <w:rFonts w:asciiTheme="minorHAnsi" w:hAnsiTheme="minorHAnsi" w:cstheme="minorHAnsi"/>
          <w:sz w:val="22"/>
          <w:szCs w:val="22"/>
        </w:rPr>
        <w:t xml:space="preserve">. </w:t>
      </w:r>
      <w:r w:rsidR="002260E9">
        <w:rPr>
          <w:rFonts w:asciiTheme="minorHAnsi" w:hAnsiTheme="minorHAnsi" w:cstheme="minorHAnsi"/>
          <w:sz w:val="22"/>
          <w:szCs w:val="22"/>
        </w:rPr>
        <w:t xml:space="preserve">The takeaway messages from the EMCRs </w:t>
      </w:r>
      <w:r w:rsidR="0017563D">
        <w:rPr>
          <w:rFonts w:asciiTheme="minorHAnsi" w:hAnsiTheme="minorHAnsi" w:cstheme="minorHAnsi"/>
          <w:sz w:val="22"/>
          <w:szCs w:val="22"/>
        </w:rPr>
        <w:t>were</w:t>
      </w:r>
      <w:r w:rsidR="002260E9" w:rsidRPr="002260E9">
        <w:rPr>
          <w:rFonts w:asciiTheme="minorHAnsi" w:hAnsiTheme="minorHAnsi" w:cstheme="minorHAnsi"/>
          <w:sz w:val="22"/>
          <w:szCs w:val="22"/>
        </w:rPr>
        <w:t xml:space="preserve"> </w:t>
      </w:r>
      <w:r w:rsidR="00C94869">
        <w:rPr>
          <w:rFonts w:asciiTheme="minorHAnsi" w:hAnsiTheme="minorHAnsi" w:cstheme="minorHAnsi"/>
          <w:sz w:val="22"/>
          <w:szCs w:val="22"/>
        </w:rPr>
        <w:t>s</w:t>
      </w:r>
      <w:r w:rsidR="002260E9" w:rsidRPr="002260E9">
        <w:rPr>
          <w:rFonts w:asciiTheme="minorHAnsi" w:hAnsiTheme="minorHAnsi" w:cstheme="minorHAnsi"/>
          <w:sz w:val="22"/>
          <w:szCs w:val="22"/>
        </w:rPr>
        <w:t>upport the new to shine through</w:t>
      </w:r>
      <w:r w:rsidR="002260E9">
        <w:rPr>
          <w:rFonts w:asciiTheme="minorHAnsi" w:hAnsiTheme="minorHAnsi" w:cstheme="minorHAnsi"/>
          <w:sz w:val="22"/>
          <w:szCs w:val="22"/>
        </w:rPr>
        <w:t xml:space="preserve">; </w:t>
      </w:r>
      <w:r w:rsidR="00C94869">
        <w:rPr>
          <w:rFonts w:asciiTheme="minorHAnsi" w:hAnsiTheme="minorHAnsi" w:cstheme="minorHAnsi"/>
          <w:sz w:val="22"/>
          <w:szCs w:val="22"/>
        </w:rPr>
        <w:t>p</w:t>
      </w:r>
      <w:r w:rsidR="002260E9" w:rsidRPr="002260E9">
        <w:rPr>
          <w:rFonts w:asciiTheme="minorHAnsi" w:hAnsiTheme="minorHAnsi" w:cstheme="minorHAnsi"/>
          <w:sz w:val="22"/>
          <w:szCs w:val="22"/>
        </w:rPr>
        <w:t>athways to workforce stability</w:t>
      </w:r>
      <w:r w:rsidR="002260E9">
        <w:rPr>
          <w:rFonts w:asciiTheme="minorHAnsi" w:hAnsiTheme="minorHAnsi" w:cstheme="minorHAnsi"/>
          <w:sz w:val="22"/>
          <w:szCs w:val="22"/>
        </w:rPr>
        <w:t xml:space="preserve">; </w:t>
      </w:r>
      <w:r w:rsidR="00C94869">
        <w:rPr>
          <w:rFonts w:asciiTheme="minorHAnsi" w:hAnsiTheme="minorHAnsi" w:cstheme="minorHAnsi"/>
          <w:sz w:val="22"/>
          <w:szCs w:val="22"/>
        </w:rPr>
        <w:t>p</w:t>
      </w:r>
      <w:r w:rsidR="002260E9" w:rsidRPr="002260E9">
        <w:rPr>
          <w:rFonts w:asciiTheme="minorHAnsi" w:hAnsiTheme="minorHAnsi" w:cstheme="minorHAnsi"/>
          <w:sz w:val="22"/>
          <w:szCs w:val="22"/>
        </w:rPr>
        <w:t>ay for what you want</w:t>
      </w:r>
      <w:r w:rsidR="002260E9">
        <w:rPr>
          <w:rFonts w:asciiTheme="minorHAnsi" w:hAnsiTheme="minorHAnsi" w:cstheme="minorHAnsi"/>
          <w:sz w:val="22"/>
          <w:szCs w:val="22"/>
        </w:rPr>
        <w:t xml:space="preserve">; </w:t>
      </w:r>
      <w:r w:rsidR="008E5299">
        <w:rPr>
          <w:rFonts w:asciiTheme="minorHAnsi" w:hAnsiTheme="minorHAnsi" w:cstheme="minorHAnsi"/>
          <w:sz w:val="22"/>
          <w:szCs w:val="22"/>
        </w:rPr>
        <w:t xml:space="preserve">and </w:t>
      </w:r>
      <w:r w:rsidR="002260E9" w:rsidRPr="002260E9">
        <w:rPr>
          <w:rFonts w:asciiTheme="minorHAnsi" w:hAnsiTheme="minorHAnsi" w:cstheme="minorHAnsi"/>
          <w:sz w:val="22"/>
          <w:szCs w:val="22"/>
        </w:rPr>
        <w:t>EMCRs are the future of research in Australia</w:t>
      </w:r>
      <w:r w:rsidR="002260E9">
        <w:rPr>
          <w:rFonts w:asciiTheme="minorHAnsi" w:hAnsiTheme="minorHAnsi" w:cstheme="minorHAnsi"/>
          <w:sz w:val="22"/>
          <w:szCs w:val="22"/>
        </w:rPr>
        <w:t xml:space="preserve">. </w:t>
      </w:r>
    </w:p>
    <w:p w14:paraId="7FC1B146" w14:textId="7685FECC" w:rsidR="00935632" w:rsidRPr="00935632" w:rsidRDefault="00163313" w:rsidP="002260E9">
      <w:pPr>
        <w:rPr>
          <w:rFonts w:asciiTheme="minorHAnsi" w:hAnsiTheme="minorHAnsi" w:cstheme="minorHAnsi"/>
          <w:sz w:val="22"/>
          <w:szCs w:val="22"/>
        </w:rPr>
      </w:pPr>
      <w:r>
        <w:rPr>
          <w:rFonts w:asciiTheme="minorHAnsi" w:hAnsiTheme="minorHAnsi" w:cstheme="minorHAnsi"/>
          <w:sz w:val="22"/>
          <w:szCs w:val="22"/>
        </w:rPr>
        <w:t>Participants were then divided into</w:t>
      </w:r>
      <w:r w:rsidR="00C85644">
        <w:rPr>
          <w:rFonts w:asciiTheme="minorHAnsi" w:hAnsiTheme="minorHAnsi" w:cstheme="minorHAnsi"/>
          <w:sz w:val="22"/>
          <w:szCs w:val="22"/>
        </w:rPr>
        <w:t xml:space="preserve"> six</w:t>
      </w:r>
      <w:r>
        <w:rPr>
          <w:rFonts w:asciiTheme="minorHAnsi" w:hAnsiTheme="minorHAnsi" w:cstheme="minorHAnsi"/>
          <w:sz w:val="22"/>
          <w:szCs w:val="22"/>
        </w:rPr>
        <w:t xml:space="preserve"> </w:t>
      </w:r>
      <w:r w:rsidR="0017563D">
        <w:rPr>
          <w:rFonts w:asciiTheme="minorHAnsi" w:hAnsiTheme="minorHAnsi" w:cstheme="minorHAnsi"/>
          <w:sz w:val="22"/>
          <w:szCs w:val="22"/>
        </w:rPr>
        <w:t xml:space="preserve">working </w:t>
      </w:r>
      <w:r>
        <w:rPr>
          <w:rFonts w:asciiTheme="minorHAnsi" w:hAnsiTheme="minorHAnsi" w:cstheme="minorHAnsi"/>
          <w:sz w:val="22"/>
          <w:szCs w:val="22"/>
        </w:rPr>
        <w:t>groups to discuss</w:t>
      </w:r>
      <w:r w:rsidR="000D1F6B">
        <w:rPr>
          <w:rFonts w:asciiTheme="minorHAnsi" w:hAnsiTheme="minorHAnsi" w:cstheme="minorHAnsi"/>
          <w:sz w:val="22"/>
          <w:szCs w:val="22"/>
        </w:rPr>
        <w:t xml:space="preserve"> </w:t>
      </w:r>
      <w:r w:rsidR="0065593A">
        <w:rPr>
          <w:rFonts w:asciiTheme="minorHAnsi" w:hAnsiTheme="minorHAnsi" w:cstheme="minorHAnsi"/>
          <w:sz w:val="22"/>
          <w:szCs w:val="22"/>
        </w:rPr>
        <w:t xml:space="preserve">current </w:t>
      </w:r>
      <w:r w:rsidR="00CA56BE">
        <w:rPr>
          <w:rFonts w:asciiTheme="minorHAnsi" w:hAnsiTheme="minorHAnsi" w:cstheme="minorHAnsi"/>
          <w:sz w:val="22"/>
          <w:szCs w:val="22"/>
        </w:rPr>
        <w:t xml:space="preserve">strategies </w:t>
      </w:r>
      <w:r w:rsidR="0065593A">
        <w:rPr>
          <w:rFonts w:asciiTheme="minorHAnsi" w:hAnsiTheme="minorHAnsi" w:cstheme="minorHAnsi"/>
          <w:sz w:val="22"/>
          <w:szCs w:val="22"/>
        </w:rPr>
        <w:t xml:space="preserve">and </w:t>
      </w:r>
      <w:r w:rsidR="00CA56BE">
        <w:rPr>
          <w:rFonts w:asciiTheme="minorHAnsi" w:hAnsiTheme="minorHAnsi" w:cstheme="minorHAnsi"/>
          <w:sz w:val="22"/>
          <w:szCs w:val="22"/>
        </w:rPr>
        <w:t>potential</w:t>
      </w:r>
      <w:r w:rsidR="0065593A">
        <w:rPr>
          <w:rFonts w:asciiTheme="minorHAnsi" w:hAnsiTheme="minorHAnsi" w:cstheme="minorHAnsi"/>
          <w:sz w:val="22"/>
          <w:szCs w:val="22"/>
        </w:rPr>
        <w:t xml:space="preserve"> opportunities </w:t>
      </w:r>
      <w:r>
        <w:rPr>
          <w:rFonts w:asciiTheme="minorHAnsi" w:hAnsiTheme="minorHAnsi" w:cstheme="minorHAnsi"/>
          <w:sz w:val="22"/>
          <w:szCs w:val="22"/>
        </w:rPr>
        <w:t xml:space="preserve">for stakeholders to address the </w:t>
      </w:r>
      <w:r w:rsidR="00BF4AE3">
        <w:rPr>
          <w:rFonts w:asciiTheme="minorHAnsi" w:hAnsiTheme="minorHAnsi" w:cstheme="minorHAnsi"/>
          <w:sz w:val="22"/>
          <w:szCs w:val="22"/>
        </w:rPr>
        <w:t>EMCR</w:t>
      </w:r>
      <w:r w:rsidR="009562D6">
        <w:rPr>
          <w:rFonts w:asciiTheme="minorHAnsi" w:hAnsiTheme="minorHAnsi" w:cstheme="minorHAnsi"/>
          <w:sz w:val="22"/>
          <w:szCs w:val="22"/>
        </w:rPr>
        <w:t>s’</w:t>
      </w:r>
      <w:r w:rsidR="00BF4AE3">
        <w:rPr>
          <w:rFonts w:asciiTheme="minorHAnsi" w:hAnsiTheme="minorHAnsi" w:cstheme="minorHAnsi"/>
          <w:sz w:val="22"/>
          <w:szCs w:val="22"/>
        </w:rPr>
        <w:t xml:space="preserve"> areas of concern</w:t>
      </w:r>
      <w:r>
        <w:rPr>
          <w:rFonts w:asciiTheme="minorHAnsi" w:hAnsiTheme="minorHAnsi" w:cstheme="minorHAnsi"/>
          <w:sz w:val="22"/>
          <w:szCs w:val="22"/>
        </w:rPr>
        <w:t xml:space="preserve">. Each group included </w:t>
      </w:r>
      <w:r w:rsidR="009703DE">
        <w:rPr>
          <w:rFonts w:asciiTheme="minorHAnsi" w:hAnsiTheme="minorHAnsi" w:cstheme="minorHAnsi"/>
          <w:sz w:val="22"/>
          <w:szCs w:val="22"/>
        </w:rPr>
        <w:t xml:space="preserve">1-2 </w:t>
      </w:r>
      <w:r>
        <w:rPr>
          <w:rFonts w:asciiTheme="minorHAnsi" w:hAnsiTheme="minorHAnsi" w:cstheme="minorHAnsi"/>
          <w:sz w:val="22"/>
          <w:szCs w:val="22"/>
        </w:rPr>
        <w:t>observer</w:t>
      </w:r>
      <w:r w:rsidR="009703DE">
        <w:rPr>
          <w:rFonts w:asciiTheme="minorHAnsi" w:hAnsiTheme="minorHAnsi" w:cstheme="minorHAnsi"/>
          <w:sz w:val="22"/>
          <w:szCs w:val="22"/>
        </w:rPr>
        <w:t>s</w:t>
      </w:r>
      <w:r>
        <w:rPr>
          <w:rFonts w:asciiTheme="minorHAnsi" w:hAnsiTheme="minorHAnsi" w:cstheme="minorHAnsi"/>
          <w:sz w:val="22"/>
          <w:szCs w:val="22"/>
        </w:rPr>
        <w:t xml:space="preserve"> to</w:t>
      </w:r>
      <w:r w:rsidR="000D1F6B">
        <w:rPr>
          <w:rFonts w:asciiTheme="minorHAnsi" w:hAnsiTheme="minorHAnsi" w:cstheme="minorHAnsi"/>
          <w:sz w:val="22"/>
          <w:szCs w:val="22"/>
        </w:rPr>
        <w:t xml:space="preserve"> support and listen to the discussion</w:t>
      </w:r>
      <w:r w:rsidR="00857585">
        <w:rPr>
          <w:rFonts w:asciiTheme="minorHAnsi" w:hAnsiTheme="minorHAnsi" w:cstheme="minorHAnsi"/>
          <w:sz w:val="22"/>
          <w:szCs w:val="22"/>
        </w:rPr>
        <w:t>.</w:t>
      </w:r>
    </w:p>
    <w:p w14:paraId="78FA4E71" w14:textId="6D731F74" w:rsidR="00935632" w:rsidRDefault="003E235B" w:rsidP="004648D6">
      <w:pPr>
        <w:pStyle w:val="Heading2"/>
      </w:pPr>
      <w:r>
        <w:lastRenderedPageBreak/>
        <w:t xml:space="preserve">THE </w:t>
      </w:r>
      <w:r w:rsidR="00634F76">
        <w:t xml:space="preserve">Stakeholder </w:t>
      </w:r>
      <w:r>
        <w:t xml:space="preserve">ROUNDTABLE </w:t>
      </w:r>
    </w:p>
    <w:p w14:paraId="5A1D2F24" w14:textId="6115E405" w:rsidR="007F506D" w:rsidRDefault="007F506D" w:rsidP="00EC34FD">
      <w:pPr>
        <w:rPr>
          <w:rFonts w:asciiTheme="minorHAnsi" w:eastAsia="Times New Roman" w:hAnsiTheme="minorHAnsi" w:cstheme="minorHAnsi"/>
          <w:sz w:val="22"/>
          <w:szCs w:val="22"/>
          <w:lang w:val="en" w:eastAsia="en-AU"/>
        </w:rPr>
      </w:pPr>
      <w:r w:rsidRPr="007F506D">
        <w:rPr>
          <w:rFonts w:asciiTheme="minorHAnsi" w:eastAsia="Times New Roman" w:hAnsiTheme="minorHAnsi" w:cstheme="minorHAnsi"/>
          <w:sz w:val="22"/>
          <w:szCs w:val="22"/>
          <w:lang w:val="en" w:eastAsia="en-AU"/>
        </w:rPr>
        <w:t>Not all challenges faced by EMCRs can be solved by Government funding and/or policies, especially in the short-medium term</w:t>
      </w:r>
      <w:r>
        <w:rPr>
          <w:rFonts w:asciiTheme="minorHAnsi" w:eastAsia="Times New Roman" w:hAnsiTheme="minorHAnsi" w:cstheme="minorHAnsi"/>
          <w:sz w:val="22"/>
          <w:szCs w:val="22"/>
          <w:lang w:val="en" w:eastAsia="en-AU"/>
        </w:rPr>
        <w:t>.</w:t>
      </w:r>
      <w:r w:rsidRPr="007F506D">
        <w:rPr>
          <w:rFonts w:asciiTheme="minorHAnsi" w:eastAsia="Times New Roman" w:hAnsiTheme="minorHAnsi" w:cstheme="minorHAnsi"/>
          <w:sz w:val="22"/>
          <w:szCs w:val="22"/>
          <w:lang w:val="en" w:eastAsia="en-AU"/>
        </w:rPr>
        <w:t xml:space="preserve"> </w:t>
      </w:r>
      <w:r>
        <w:rPr>
          <w:rFonts w:asciiTheme="minorHAnsi" w:eastAsia="Times New Roman" w:hAnsiTheme="minorHAnsi" w:cstheme="minorHAnsi"/>
          <w:sz w:val="22"/>
          <w:szCs w:val="22"/>
          <w:lang w:val="en" w:eastAsia="en-AU"/>
        </w:rPr>
        <w:t>Health</w:t>
      </w:r>
      <w:r w:rsidRPr="007F506D">
        <w:rPr>
          <w:rFonts w:asciiTheme="minorHAnsi" w:eastAsia="Times New Roman" w:hAnsiTheme="minorHAnsi" w:cstheme="minorHAnsi"/>
          <w:sz w:val="22"/>
          <w:szCs w:val="22"/>
          <w:lang w:val="en" w:eastAsia="en-AU"/>
        </w:rPr>
        <w:t xml:space="preserve"> and medical sector engagement and collective effort is required to </w:t>
      </w:r>
      <w:r w:rsidR="002B4F7C">
        <w:rPr>
          <w:rFonts w:asciiTheme="minorHAnsi" w:eastAsia="Times New Roman" w:hAnsiTheme="minorHAnsi" w:cstheme="minorHAnsi"/>
          <w:sz w:val="22"/>
          <w:szCs w:val="22"/>
          <w:lang w:val="en" w:eastAsia="en-AU"/>
        </w:rPr>
        <w:t>effectively</w:t>
      </w:r>
      <w:r w:rsidR="008E5299">
        <w:rPr>
          <w:rFonts w:asciiTheme="minorHAnsi" w:eastAsia="Times New Roman" w:hAnsiTheme="minorHAnsi" w:cstheme="minorHAnsi"/>
          <w:sz w:val="22"/>
          <w:szCs w:val="22"/>
          <w:lang w:val="en" w:eastAsia="en-AU"/>
        </w:rPr>
        <w:t xml:space="preserve"> </w:t>
      </w:r>
      <w:r w:rsidRPr="007F506D">
        <w:rPr>
          <w:rFonts w:asciiTheme="minorHAnsi" w:eastAsia="Times New Roman" w:hAnsiTheme="minorHAnsi" w:cstheme="minorHAnsi"/>
          <w:sz w:val="22"/>
          <w:szCs w:val="22"/>
          <w:lang w:val="en" w:eastAsia="en-AU"/>
        </w:rPr>
        <w:t xml:space="preserve">address </w:t>
      </w:r>
      <w:r>
        <w:rPr>
          <w:rFonts w:asciiTheme="minorHAnsi" w:eastAsia="Times New Roman" w:hAnsiTheme="minorHAnsi" w:cstheme="minorHAnsi"/>
          <w:sz w:val="22"/>
          <w:szCs w:val="22"/>
          <w:lang w:val="en" w:eastAsia="en-AU"/>
        </w:rPr>
        <w:t>challenges being faced by EMCRs. Noting this, t</w:t>
      </w:r>
      <w:r w:rsidR="00DF1F3B">
        <w:rPr>
          <w:rFonts w:asciiTheme="minorHAnsi" w:eastAsia="Times New Roman" w:hAnsiTheme="minorHAnsi" w:cstheme="minorHAnsi"/>
          <w:sz w:val="22"/>
          <w:szCs w:val="22"/>
          <w:lang w:val="en" w:eastAsia="en-AU"/>
        </w:rPr>
        <w:t xml:space="preserve">he focus of </w:t>
      </w:r>
      <w:r>
        <w:rPr>
          <w:rFonts w:asciiTheme="minorHAnsi" w:eastAsia="Times New Roman" w:hAnsiTheme="minorHAnsi" w:cstheme="minorHAnsi"/>
          <w:sz w:val="22"/>
          <w:szCs w:val="22"/>
          <w:lang w:val="en" w:eastAsia="en-AU"/>
        </w:rPr>
        <w:t xml:space="preserve">the Roundtable </w:t>
      </w:r>
      <w:r w:rsidR="00DF1F3B">
        <w:rPr>
          <w:rFonts w:asciiTheme="minorHAnsi" w:eastAsia="Times New Roman" w:hAnsiTheme="minorHAnsi" w:cstheme="minorHAnsi"/>
          <w:sz w:val="22"/>
          <w:szCs w:val="22"/>
          <w:lang w:val="en" w:eastAsia="en-AU"/>
        </w:rPr>
        <w:t xml:space="preserve">was on sharing ideas on what organisations </w:t>
      </w:r>
      <w:r w:rsidR="00D0359A">
        <w:rPr>
          <w:rFonts w:asciiTheme="minorHAnsi" w:eastAsia="Times New Roman" w:hAnsiTheme="minorHAnsi" w:cstheme="minorHAnsi"/>
          <w:sz w:val="22"/>
          <w:szCs w:val="22"/>
          <w:lang w:val="en" w:eastAsia="en-AU"/>
        </w:rPr>
        <w:t xml:space="preserve">are doing and </w:t>
      </w:r>
      <w:r w:rsidR="00DF1F3B">
        <w:rPr>
          <w:rFonts w:asciiTheme="minorHAnsi" w:eastAsia="Times New Roman" w:hAnsiTheme="minorHAnsi" w:cstheme="minorHAnsi"/>
          <w:sz w:val="22"/>
          <w:szCs w:val="22"/>
          <w:lang w:val="en" w:eastAsia="en-AU"/>
        </w:rPr>
        <w:t>could do to best support EMCRs.</w:t>
      </w:r>
      <w:r w:rsidR="00D0359A">
        <w:rPr>
          <w:rFonts w:asciiTheme="minorHAnsi" w:eastAsia="Times New Roman" w:hAnsiTheme="minorHAnsi" w:cstheme="minorHAnsi"/>
          <w:sz w:val="22"/>
          <w:szCs w:val="22"/>
          <w:lang w:val="en" w:eastAsia="en-AU"/>
        </w:rPr>
        <w:t xml:space="preserve"> </w:t>
      </w:r>
    </w:p>
    <w:p w14:paraId="40139BBB" w14:textId="6C88DD7E" w:rsidR="007F506D" w:rsidRDefault="007F506D" w:rsidP="00EC34FD">
      <w:pPr>
        <w:rPr>
          <w:rFonts w:asciiTheme="minorHAnsi" w:eastAsia="Times New Roman" w:hAnsiTheme="minorHAnsi" w:cstheme="minorHAnsi"/>
          <w:sz w:val="22"/>
          <w:szCs w:val="22"/>
          <w:lang w:val="en" w:eastAsia="en-AU"/>
        </w:rPr>
      </w:pPr>
      <w:r>
        <w:rPr>
          <w:rFonts w:asciiTheme="minorHAnsi" w:eastAsia="Times New Roman" w:hAnsiTheme="minorHAnsi" w:cstheme="minorHAnsi"/>
          <w:sz w:val="22"/>
          <w:szCs w:val="22"/>
          <w:lang w:val="en" w:eastAsia="en-AU"/>
        </w:rPr>
        <w:t>The five topics listed below were discussed during the Roundtable,</w:t>
      </w:r>
      <w:r w:rsidRPr="007F506D">
        <w:rPr>
          <w:rFonts w:asciiTheme="minorHAnsi" w:eastAsia="Times New Roman" w:hAnsiTheme="minorHAnsi" w:cstheme="minorHAnsi"/>
          <w:sz w:val="22"/>
          <w:szCs w:val="22"/>
          <w:lang w:val="en" w:eastAsia="en-AU"/>
        </w:rPr>
        <w:t xml:space="preserve"> </w:t>
      </w:r>
      <w:r>
        <w:rPr>
          <w:rFonts w:asciiTheme="minorHAnsi" w:eastAsia="Times New Roman" w:hAnsiTheme="minorHAnsi" w:cstheme="minorHAnsi"/>
          <w:sz w:val="22"/>
          <w:szCs w:val="22"/>
          <w:lang w:val="en" w:eastAsia="en-AU"/>
        </w:rPr>
        <w:t xml:space="preserve">noting that there are many intersections between them. Participants were asked to discuss what strategies were already being deployed, were being considered, or could be considered by organisations to address the issues listed below, including what the levers and barriers were. </w:t>
      </w:r>
    </w:p>
    <w:p w14:paraId="4F7F0F7C" w14:textId="59A61EE9" w:rsidR="007F506D" w:rsidRDefault="007F506D" w:rsidP="00EC34FD">
      <w:pPr>
        <w:rPr>
          <w:rFonts w:asciiTheme="minorHAnsi" w:eastAsia="Times New Roman" w:hAnsiTheme="minorHAnsi" w:cstheme="minorHAnsi"/>
          <w:sz w:val="22"/>
          <w:szCs w:val="22"/>
          <w:lang w:val="en" w:eastAsia="en-AU"/>
        </w:rPr>
      </w:pPr>
      <w:r>
        <w:rPr>
          <w:rFonts w:asciiTheme="minorHAnsi" w:eastAsia="Times New Roman" w:hAnsiTheme="minorHAnsi" w:cstheme="minorHAnsi"/>
          <w:sz w:val="22"/>
          <w:szCs w:val="22"/>
          <w:lang w:val="en" w:eastAsia="en-AU"/>
        </w:rPr>
        <w:t>A summary of the ideas discussed in alignment with the Roundtable purpose is presented below.</w:t>
      </w:r>
    </w:p>
    <w:p w14:paraId="616DD645" w14:textId="79EE6F47" w:rsidR="00111E73" w:rsidRPr="004648D6" w:rsidRDefault="009703DE" w:rsidP="004648D6">
      <w:pPr>
        <w:pStyle w:val="Heading3"/>
      </w:pPr>
      <w:r w:rsidRPr="004648D6">
        <w:t>Topic</w:t>
      </w:r>
      <w:r w:rsidR="00111E73" w:rsidRPr="004648D6">
        <w:t xml:space="preserve"> 1: Security of employment</w:t>
      </w:r>
    </w:p>
    <w:p w14:paraId="4DC20D40" w14:textId="2143B1A7" w:rsidR="00033A8F" w:rsidRDefault="00F73583" w:rsidP="00111E73">
      <w:pPr>
        <w:rPr>
          <w:rFonts w:asciiTheme="minorHAnsi" w:hAnsiTheme="minorHAnsi" w:cstheme="minorHAnsi"/>
          <w:sz w:val="22"/>
          <w:szCs w:val="22"/>
        </w:rPr>
      </w:pPr>
      <w:r>
        <w:rPr>
          <w:rFonts w:asciiTheme="minorHAnsi" w:hAnsiTheme="minorHAnsi" w:cstheme="minorHAnsi"/>
          <w:sz w:val="22"/>
          <w:szCs w:val="22"/>
        </w:rPr>
        <w:t>W</w:t>
      </w:r>
      <w:r w:rsidR="009562D6">
        <w:rPr>
          <w:rFonts w:asciiTheme="minorHAnsi" w:hAnsiTheme="minorHAnsi" w:cstheme="minorHAnsi"/>
          <w:sz w:val="22"/>
          <w:szCs w:val="22"/>
        </w:rPr>
        <w:t xml:space="preserve">ritten stakeholder </w:t>
      </w:r>
      <w:r w:rsidR="00F62B47">
        <w:rPr>
          <w:rFonts w:asciiTheme="minorHAnsi" w:hAnsiTheme="minorHAnsi" w:cstheme="minorHAnsi"/>
          <w:sz w:val="22"/>
          <w:szCs w:val="22"/>
        </w:rPr>
        <w:t xml:space="preserve">feedback prior to the Roundtable </w:t>
      </w:r>
      <w:r>
        <w:rPr>
          <w:rFonts w:asciiTheme="minorHAnsi" w:hAnsiTheme="minorHAnsi" w:cstheme="minorHAnsi"/>
          <w:sz w:val="22"/>
          <w:szCs w:val="22"/>
        </w:rPr>
        <w:t xml:space="preserve">suggested </w:t>
      </w:r>
      <w:r w:rsidR="00F62B47">
        <w:rPr>
          <w:rFonts w:asciiTheme="minorHAnsi" w:hAnsiTheme="minorHAnsi" w:cstheme="minorHAnsi"/>
          <w:sz w:val="22"/>
          <w:szCs w:val="22"/>
        </w:rPr>
        <w:t>that</w:t>
      </w:r>
      <w:r w:rsidR="00F75A2A">
        <w:rPr>
          <w:rFonts w:asciiTheme="minorHAnsi" w:hAnsiTheme="minorHAnsi" w:cstheme="minorHAnsi"/>
          <w:sz w:val="22"/>
          <w:szCs w:val="22"/>
        </w:rPr>
        <w:t xml:space="preserve"> </w:t>
      </w:r>
      <w:r w:rsidR="00935010">
        <w:rPr>
          <w:rFonts w:asciiTheme="minorHAnsi" w:hAnsiTheme="minorHAnsi" w:cstheme="minorHAnsi"/>
          <w:sz w:val="22"/>
          <w:szCs w:val="22"/>
        </w:rPr>
        <w:t>EMCR employment could be supported through fellowship schemes, maximising contract lengths, supporting clinician researchers, and mentoring programs. The reported barriers included gap</w:t>
      </w:r>
      <w:r w:rsidR="00C85644">
        <w:rPr>
          <w:rFonts w:asciiTheme="minorHAnsi" w:hAnsiTheme="minorHAnsi" w:cstheme="minorHAnsi"/>
          <w:sz w:val="22"/>
          <w:szCs w:val="22"/>
        </w:rPr>
        <w:t>s</w:t>
      </w:r>
      <w:r w:rsidR="00935010">
        <w:rPr>
          <w:rFonts w:asciiTheme="minorHAnsi" w:hAnsiTheme="minorHAnsi" w:cstheme="minorHAnsi"/>
          <w:sz w:val="22"/>
          <w:szCs w:val="22"/>
        </w:rPr>
        <w:t xml:space="preserve"> between research funding and actual salary costs, insufficient funding opportunities targeted at EMCRs, and COVID-19 </w:t>
      </w:r>
      <w:r w:rsidR="003E1B86">
        <w:rPr>
          <w:rFonts w:asciiTheme="minorHAnsi" w:hAnsiTheme="minorHAnsi" w:cstheme="minorHAnsi"/>
          <w:sz w:val="22"/>
          <w:szCs w:val="22"/>
        </w:rPr>
        <w:t>limiting the opportunities for networking</w:t>
      </w:r>
      <w:r w:rsidR="00935010">
        <w:rPr>
          <w:rFonts w:asciiTheme="minorHAnsi" w:hAnsiTheme="minorHAnsi" w:cstheme="minorHAnsi"/>
          <w:sz w:val="22"/>
          <w:szCs w:val="22"/>
        </w:rPr>
        <w:t xml:space="preserve">. </w:t>
      </w:r>
    </w:p>
    <w:p w14:paraId="56CD6F3B" w14:textId="71ACD56F" w:rsidR="008B3B71" w:rsidRPr="008B3B71" w:rsidRDefault="002F6DD9" w:rsidP="00111E73">
      <w:pPr>
        <w:rPr>
          <w:rFonts w:asciiTheme="minorHAnsi" w:hAnsiTheme="minorHAnsi" w:cstheme="minorHAnsi"/>
          <w:bCs/>
          <w:sz w:val="22"/>
          <w:szCs w:val="22"/>
        </w:rPr>
      </w:pPr>
      <w:r>
        <w:rPr>
          <w:rFonts w:asciiTheme="minorHAnsi" w:hAnsiTheme="minorHAnsi" w:cstheme="minorHAnsi"/>
          <w:bCs/>
          <w:sz w:val="22"/>
          <w:szCs w:val="22"/>
        </w:rPr>
        <w:t xml:space="preserve">Strategies </w:t>
      </w:r>
      <w:r w:rsidR="00A32CB2">
        <w:rPr>
          <w:rFonts w:asciiTheme="minorHAnsi" w:hAnsiTheme="minorHAnsi" w:cstheme="minorHAnsi"/>
          <w:bCs/>
          <w:sz w:val="22"/>
          <w:szCs w:val="22"/>
        </w:rPr>
        <w:t xml:space="preserve">pertaining to the Roundtable purpose </w:t>
      </w:r>
      <w:r>
        <w:rPr>
          <w:rFonts w:asciiTheme="minorHAnsi" w:hAnsiTheme="minorHAnsi" w:cstheme="minorHAnsi"/>
          <w:bCs/>
          <w:sz w:val="22"/>
          <w:szCs w:val="22"/>
        </w:rPr>
        <w:t>and</w:t>
      </w:r>
      <w:r w:rsidR="009562D6">
        <w:rPr>
          <w:rFonts w:asciiTheme="minorHAnsi" w:hAnsiTheme="minorHAnsi" w:cstheme="minorHAnsi"/>
          <w:bCs/>
          <w:sz w:val="22"/>
          <w:szCs w:val="22"/>
        </w:rPr>
        <w:t xml:space="preserve"> barriers </w:t>
      </w:r>
      <w:r w:rsidR="008B3B71" w:rsidRPr="008B3B71">
        <w:rPr>
          <w:rFonts w:asciiTheme="minorHAnsi" w:hAnsiTheme="minorHAnsi" w:cstheme="minorHAnsi"/>
          <w:bCs/>
          <w:sz w:val="22"/>
          <w:szCs w:val="22"/>
        </w:rPr>
        <w:t>included:</w:t>
      </w:r>
    </w:p>
    <w:tbl>
      <w:tblPr>
        <w:tblStyle w:val="TableGrid"/>
        <w:tblW w:w="9781" w:type="dxa"/>
        <w:tblInd w:w="137" w:type="dxa"/>
        <w:tblLook w:val="04A0" w:firstRow="1" w:lastRow="0" w:firstColumn="1" w:lastColumn="0" w:noHBand="0" w:noVBand="1"/>
      </w:tblPr>
      <w:tblGrid>
        <w:gridCol w:w="4961"/>
        <w:gridCol w:w="4820"/>
      </w:tblGrid>
      <w:tr w:rsidR="009B2647" w:rsidRPr="00D73857" w14:paraId="744AB940" w14:textId="1AB4B302" w:rsidTr="009B2647">
        <w:tc>
          <w:tcPr>
            <w:tcW w:w="4961" w:type="dxa"/>
            <w:shd w:val="clear" w:color="auto" w:fill="4472C4" w:themeFill="accent5"/>
          </w:tcPr>
          <w:p w14:paraId="160FC283" w14:textId="19513BC1" w:rsidR="009B2647" w:rsidRPr="00E630D5" w:rsidRDefault="009B2647" w:rsidP="00317FB9">
            <w:pPr>
              <w:spacing w:before="40"/>
              <w:rPr>
                <w:rFonts w:asciiTheme="minorHAnsi" w:hAnsiTheme="minorHAnsi" w:cstheme="minorHAnsi"/>
                <w:b/>
                <w:bCs/>
                <w:color w:val="FFFFFF" w:themeColor="background1"/>
                <w:sz w:val="21"/>
                <w:szCs w:val="21"/>
              </w:rPr>
            </w:pPr>
            <w:r w:rsidRPr="00E630D5">
              <w:rPr>
                <w:rFonts w:asciiTheme="minorHAnsi" w:hAnsiTheme="minorHAnsi" w:cstheme="minorHAnsi"/>
                <w:b/>
                <w:bCs/>
                <w:color w:val="FFFFFF" w:themeColor="background1"/>
                <w:sz w:val="21"/>
                <w:szCs w:val="21"/>
              </w:rPr>
              <w:t>Strategies</w:t>
            </w:r>
          </w:p>
        </w:tc>
        <w:tc>
          <w:tcPr>
            <w:tcW w:w="4820" w:type="dxa"/>
            <w:shd w:val="clear" w:color="auto" w:fill="4472C4" w:themeFill="accent5"/>
          </w:tcPr>
          <w:p w14:paraId="75A5CA31" w14:textId="038DDD50" w:rsidR="009B2647" w:rsidRPr="00E630D5" w:rsidRDefault="009B2647" w:rsidP="00317FB9">
            <w:pPr>
              <w:spacing w:before="40"/>
              <w:rPr>
                <w:rFonts w:asciiTheme="minorHAnsi" w:hAnsiTheme="minorHAnsi" w:cstheme="minorHAnsi"/>
                <w:b/>
                <w:bCs/>
                <w:color w:val="FFFFFF" w:themeColor="background1"/>
                <w:sz w:val="21"/>
                <w:szCs w:val="21"/>
              </w:rPr>
            </w:pPr>
            <w:r w:rsidRPr="00E630D5">
              <w:rPr>
                <w:rFonts w:asciiTheme="minorHAnsi" w:hAnsiTheme="minorHAnsi" w:cstheme="minorHAnsi"/>
                <w:b/>
                <w:bCs/>
                <w:color w:val="FFFFFF" w:themeColor="background1"/>
                <w:sz w:val="21"/>
                <w:szCs w:val="21"/>
              </w:rPr>
              <w:t>Barriers</w:t>
            </w:r>
          </w:p>
        </w:tc>
      </w:tr>
      <w:tr w:rsidR="009B2647" w:rsidRPr="00D73857" w14:paraId="2CF1FD36" w14:textId="49ACE95F" w:rsidTr="009B2647">
        <w:tc>
          <w:tcPr>
            <w:tcW w:w="4961" w:type="dxa"/>
          </w:tcPr>
          <w:p w14:paraId="322593AC" w14:textId="0BF71461" w:rsidR="009B2647" w:rsidRDefault="009B2647" w:rsidP="00317FB9">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 xml:space="preserve">Seed funding allowing EMCRs to develop their skills, ideas, and track record </w:t>
            </w:r>
          </w:p>
          <w:p w14:paraId="3550C369" w14:textId="77777777" w:rsidR="009B2647" w:rsidRDefault="009B2647" w:rsidP="00433E16">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Bridging funding providing employment security between grants</w:t>
            </w:r>
          </w:p>
          <w:p w14:paraId="5FC1316B" w14:textId="77777777" w:rsidR="009B2647" w:rsidRDefault="009B2647" w:rsidP="00433E16">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Near miss funding supporting promising EMCRs with promising ideas to further develop those ideas and their track record</w:t>
            </w:r>
          </w:p>
          <w:p w14:paraId="552DAEDD" w14:textId="77777777" w:rsidR="009B2647" w:rsidRDefault="009B2647" w:rsidP="00433E16">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 xml:space="preserve">Naming EMCR researchers on grant applications </w:t>
            </w:r>
          </w:p>
          <w:p w14:paraId="20D593AC" w14:textId="73D320D3" w:rsidR="009B2647" w:rsidRDefault="009B2647" w:rsidP="00317FB9">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Programs that allow EMCRs to be more mobile i.e. able to pursue careers in academia and beyond (</w:t>
            </w:r>
            <w:r w:rsidR="004459C5">
              <w:rPr>
                <w:rFonts w:cstheme="minorHAnsi"/>
                <w:sz w:val="21"/>
                <w:szCs w:val="21"/>
              </w:rPr>
              <w:t>an</w:t>
            </w:r>
            <w:r>
              <w:rPr>
                <w:rFonts w:cstheme="minorHAnsi"/>
                <w:sz w:val="21"/>
                <w:szCs w:val="21"/>
              </w:rPr>
              <w:t xml:space="preserve"> example</w:t>
            </w:r>
            <w:r w:rsidR="004459C5">
              <w:rPr>
                <w:rFonts w:cstheme="minorHAnsi"/>
                <w:sz w:val="21"/>
                <w:szCs w:val="21"/>
              </w:rPr>
              <w:t xml:space="preserve"> shared was</w:t>
            </w:r>
            <w:r>
              <w:rPr>
                <w:rFonts w:cstheme="minorHAnsi"/>
                <w:sz w:val="21"/>
                <w:szCs w:val="21"/>
              </w:rPr>
              <w:t xml:space="preserve"> the </w:t>
            </w:r>
            <w:hyperlink r:id="rId9" w:history="1">
              <w:r w:rsidRPr="00433E16">
                <w:rPr>
                  <w:rStyle w:val="Hyperlink"/>
                  <w:rFonts w:cstheme="minorHAnsi"/>
                  <w:sz w:val="21"/>
                  <w:szCs w:val="21"/>
                </w:rPr>
                <w:t>CSIRO Early Research Career (CERC) Fellowships Program</w:t>
              </w:r>
            </w:hyperlink>
            <w:r>
              <w:rPr>
                <w:rFonts w:cstheme="minorHAnsi"/>
                <w:sz w:val="21"/>
                <w:szCs w:val="21"/>
              </w:rPr>
              <w:t>)</w:t>
            </w:r>
          </w:p>
          <w:p w14:paraId="289C954D" w14:textId="05FBC23D" w:rsidR="009B2647" w:rsidRDefault="009B2647" w:rsidP="00433E16">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Promoting a range of career paths for trained researchers including in and out of government, industry, and teaching (</w:t>
            </w:r>
            <w:r w:rsidR="004459C5">
              <w:rPr>
                <w:rFonts w:cstheme="minorHAnsi"/>
                <w:sz w:val="21"/>
                <w:szCs w:val="21"/>
              </w:rPr>
              <w:t>an</w:t>
            </w:r>
            <w:r>
              <w:rPr>
                <w:rFonts w:cstheme="minorHAnsi"/>
                <w:sz w:val="21"/>
                <w:szCs w:val="21"/>
              </w:rPr>
              <w:t xml:space="preserve"> example </w:t>
            </w:r>
            <w:r w:rsidR="004459C5">
              <w:rPr>
                <w:rFonts w:cstheme="minorHAnsi"/>
                <w:sz w:val="21"/>
                <w:szCs w:val="21"/>
              </w:rPr>
              <w:t xml:space="preserve">shared was </w:t>
            </w:r>
            <w:r>
              <w:rPr>
                <w:rFonts w:cstheme="minorHAnsi"/>
                <w:sz w:val="21"/>
                <w:szCs w:val="21"/>
              </w:rPr>
              <w:t xml:space="preserve">the </w:t>
            </w:r>
            <w:hyperlink r:id="rId10" w:history="1">
              <w:r w:rsidRPr="00433E16">
                <w:rPr>
                  <w:rStyle w:val="Hyperlink"/>
                  <w:rFonts w:cstheme="minorHAnsi"/>
                  <w:sz w:val="21"/>
                  <w:szCs w:val="21"/>
                </w:rPr>
                <w:t>Researcher Exchange and Development within Industry Initiative</w:t>
              </w:r>
            </w:hyperlink>
            <w:r w:rsidRPr="00433E16">
              <w:rPr>
                <w:rFonts w:cstheme="minorHAnsi"/>
                <w:sz w:val="21"/>
                <w:szCs w:val="21"/>
              </w:rPr>
              <w:t xml:space="preserve"> supports the transition between academic and industry sectors to build research workforce</w:t>
            </w:r>
            <w:r>
              <w:rPr>
                <w:rFonts w:cstheme="minorHAnsi"/>
                <w:sz w:val="21"/>
                <w:szCs w:val="21"/>
              </w:rPr>
              <w:t>)</w:t>
            </w:r>
          </w:p>
          <w:p w14:paraId="148A363E" w14:textId="4792C840" w:rsidR="009B2647" w:rsidRPr="00433E16" w:rsidRDefault="009B2647" w:rsidP="00433E16">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 xml:space="preserve">Requiring </w:t>
            </w:r>
            <w:r w:rsidR="00F00E54">
              <w:rPr>
                <w:rFonts w:cstheme="minorHAnsi"/>
                <w:sz w:val="21"/>
                <w:szCs w:val="21"/>
              </w:rPr>
              <w:t>EMCR</w:t>
            </w:r>
            <w:r>
              <w:rPr>
                <w:rFonts w:cstheme="minorHAnsi"/>
                <w:sz w:val="21"/>
                <w:szCs w:val="21"/>
              </w:rPr>
              <w:t xml:space="preserve"> employment contracts to be routinely offered for the total duration of the grant funded</w:t>
            </w:r>
          </w:p>
        </w:tc>
        <w:tc>
          <w:tcPr>
            <w:tcW w:w="4820" w:type="dxa"/>
          </w:tcPr>
          <w:p w14:paraId="0BEABBC3" w14:textId="5CB42478" w:rsidR="009B2647" w:rsidRDefault="009B2647" w:rsidP="00317FB9">
            <w:pPr>
              <w:pStyle w:val="ListParagraph"/>
              <w:numPr>
                <w:ilvl w:val="0"/>
                <w:numId w:val="3"/>
              </w:numPr>
              <w:spacing w:before="40" w:after="0" w:line="240" w:lineRule="auto"/>
              <w:ind w:left="442" w:hanging="357"/>
              <w:contextualSpacing w:val="0"/>
              <w:rPr>
                <w:rFonts w:cstheme="minorHAnsi"/>
                <w:iCs/>
                <w:sz w:val="21"/>
                <w:szCs w:val="21"/>
              </w:rPr>
            </w:pPr>
            <w:r w:rsidRPr="009C08D3">
              <w:rPr>
                <w:rFonts w:cstheme="minorHAnsi"/>
                <w:iCs/>
                <w:sz w:val="21"/>
                <w:szCs w:val="21"/>
              </w:rPr>
              <w:t xml:space="preserve">Need for research leaders to maintain flexibility in their </w:t>
            </w:r>
            <w:r>
              <w:rPr>
                <w:rFonts w:cstheme="minorHAnsi"/>
                <w:iCs/>
                <w:sz w:val="21"/>
                <w:szCs w:val="21"/>
              </w:rPr>
              <w:t xml:space="preserve">unit’s </w:t>
            </w:r>
            <w:r w:rsidRPr="009C08D3">
              <w:rPr>
                <w:rFonts w:cstheme="minorHAnsi"/>
                <w:iCs/>
                <w:sz w:val="21"/>
                <w:szCs w:val="21"/>
              </w:rPr>
              <w:t>staffing</w:t>
            </w:r>
          </w:p>
          <w:p w14:paraId="05E7FE57" w14:textId="4ACE3238" w:rsidR="009B2647" w:rsidRPr="009C08D3" w:rsidRDefault="009B2647" w:rsidP="00317FB9">
            <w:pPr>
              <w:pStyle w:val="ListParagraph"/>
              <w:numPr>
                <w:ilvl w:val="0"/>
                <w:numId w:val="3"/>
              </w:numPr>
              <w:spacing w:before="40" w:after="0" w:line="240" w:lineRule="auto"/>
              <w:ind w:left="442" w:hanging="357"/>
              <w:contextualSpacing w:val="0"/>
              <w:rPr>
                <w:rFonts w:cstheme="minorHAnsi"/>
                <w:iCs/>
                <w:sz w:val="21"/>
                <w:szCs w:val="21"/>
              </w:rPr>
            </w:pPr>
            <w:r>
              <w:rPr>
                <w:rFonts w:cstheme="minorHAnsi"/>
                <w:iCs/>
                <w:sz w:val="21"/>
                <w:szCs w:val="21"/>
              </w:rPr>
              <w:t>Pressure on EMCRs to fund their salary gaps</w:t>
            </w:r>
          </w:p>
          <w:p w14:paraId="07041CF3" w14:textId="29DB902A" w:rsidR="009B2647" w:rsidRPr="009C08D3" w:rsidRDefault="009B2647" w:rsidP="00317FB9">
            <w:pPr>
              <w:pStyle w:val="ListParagraph"/>
              <w:numPr>
                <w:ilvl w:val="0"/>
                <w:numId w:val="3"/>
              </w:numPr>
              <w:spacing w:before="40" w:after="0" w:line="240" w:lineRule="auto"/>
              <w:ind w:left="442" w:hanging="357"/>
              <w:contextualSpacing w:val="0"/>
              <w:rPr>
                <w:rFonts w:cstheme="minorHAnsi"/>
                <w:i/>
                <w:sz w:val="21"/>
                <w:szCs w:val="21"/>
              </w:rPr>
            </w:pPr>
            <w:r>
              <w:rPr>
                <w:rFonts w:cstheme="minorHAnsi"/>
                <w:iCs/>
                <w:sz w:val="21"/>
                <w:szCs w:val="21"/>
              </w:rPr>
              <w:t>Differences in superannuation and on-costs being paid by institutions</w:t>
            </w:r>
          </w:p>
          <w:p w14:paraId="63C9C9FE" w14:textId="064DC768" w:rsidR="009B2647" w:rsidRPr="000A7CFF" w:rsidRDefault="009B2647" w:rsidP="000A7CFF">
            <w:pPr>
              <w:pStyle w:val="ListParagraph"/>
              <w:numPr>
                <w:ilvl w:val="0"/>
                <w:numId w:val="3"/>
              </w:numPr>
              <w:spacing w:before="40" w:after="0" w:line="240" w:lineRule="auto"/>
              <w:ind w:left="442" w:hanging="357"/>
              <w:contextualSpacing w:val="0"/>
              <w:rPr>
                <w:rFonts w:cstheme="minorHAnsi"/>
                <w:sz w:val="21"/>
                <w:szCs w:val="21"/>
              </w:rPr>
            </w:pPr>
            <w:r w:rsidRPr="009C08D3">
              <w:rPr>
                <w:rFonts w:cstheme="minorHAnsi"/>
                <w:sz w:val="21"/>
                <w:szCs w:val="21"/>
              </w:rPr>
              <w:t xml:space="preserve">Unclear reporting lines for </w:t>
            </w:r>
            <w:r>
              <w:rPr>
                <w:rFonts w:cstheme="minorHAnsi"/>
                <w:sz w:val="21"/>
                <w:szCs w:val="21"/>
              </w:rPr>
              <w:t>EMCRs with both clinical and academic workload</w:t>
            </w:r>
          </w:p>
          <w:p w14:paraId="53882375" w14:textId="4D928CC7" w:rsidR="009B2647" w:rsidRDefault="009B2647" w:rsidP="00024E53">
            <w:pPr>
              <w:pStyle w:val="ListParagraph"/>
              <w:numPr>
                <w:ilvl w:val="0"/>
                <w:numId w:val="3"/>
              </w:numPr>
              <w:spacing w:before="40" w:after="0" w:line="240" w:lineRule="auto"/>
              <w:ind w:left="442" w:hanging="357"/>
              <w:contextualSpacing w:val="0"/>
              <w:rPr>
                <w:rFonts w:cstheme="minorHAnsi"/>
                <w:iCs/>
                <w:sz w:val="21"/>
                <w:szCs w:val="21"/>
              </w:rPr>
            </w:pPr>
            <w:r>
              <w:rPr>
                <w:rFonts w:cstheme="minorHAnsi"/>
                <w:iCs/>
                <w:sz w:val="21"/>
                <w:szCs w:val="21"/>
              </w:rPr>
              <w:t>University sector stretched due to COVID-19 impacts making it difficult to implement any strategies that require more money</w:t>
            </w:r>
          </w:p>
          <w:p w14:paraId="5C35D5A5" w14:textId="77777777" w:rsidR="009B2647" w:rsidRPr="001400F4" w:rsidRDefault="009B2647" w:rsidP="001400F4">
            <w:pPr>
              <w:pStyle w:val="ListParagraph"/>
              <w:numPr>
                <w:ilvl w:val="0"/>
                <w:numId w:val="3"/>
              </w:numPr>
              <w:spacing w:before="40" w:after="0" w:line="240" w:lineRule="auto"/>
              <w:ind w:left="442" w:hanging="357"/>
              <w:contextualSpacing w:val="0"/>
              <w:rPr>
                <w:rFonts w:cstheme="minorHAnsi"/>
                <w:i/>
                <w:sz w:val="21"/>
                <w:szCs w:val="21"/>
              </w:rPr>
            </w:pPr>
            <w:r w:rsidRPr="00A80240">
              <w:rPr>
                <w:rFonts w:cstheme="minorHAnsi"/>
                <w:iCs/>
                <w:sz w:val="21"/>
                <w:szCs w:val="21"/>
              </w:rPr>
              <w:t>Limited grant funding from external sources to help support EMCR workforce</w:t>
            </w:r>
          </w:p>
          <w:p w14:paraId="154FAECF" w14:textId="45E6A2F7" w:rsidR="009B2647" w:rsidRPr="00A32CB2" w:rsidRDefault="0088297E" w:rsidP="00A32CB2">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 xml:space="preserve">Lack of understanding of research workforce needs across the system </w:t>
            </w:r>
          </w:p>
        </w:tc>
      </w:tr>
      <w:tr w:rsidR="009B2647" w:rsidRPr="00D73857" w14:paraId="1162D302" w14:textId="77777777" w:rsidTr="0020548E">
        <w:tc>
          <w:tcPr>
            <w:tcW w:w="9781" w:type="dxa"/>
            <w:gridSpan w:val="2"/>
          </w:tcPr>
          <w:p w14:paraId="4C3E6984" w14:textId="099675A0" w:rsidR="009B2647" w:rsidRPr="009B2647" w:rsidRDefault="009B2647" w:rsidP="009B2647">
            <w:pPr>
              <w:pStyle w:val="ListParagraph"/>
              <w:spacing w:before="40" w:after="0" w:line="240" w:lineRule="auto"/>
              <w:ind w:left="442"/>
              <w:contextualSpacing w:val="0"/>
              <w:rPr>
                <w:rFonts w:cstheme="minorHAnsi"/>
                <w:i/>
                <w:sz w:val="21"/>
                <w:szCs w:val="21"/>
              </w:rPr>
            </w:pPr>
            <w:r w:rsidRPr="009B2647">
              <w:rPr>
                <w:rFonts w:cstheme="minorHAnsi"/>
                <w:i/>
                <w:sz w:val="21"/>
                <w:szCs w:val="21"/>
              </w:rPr>
              <w:t>Note that there was a high level of crossover between security of employment and access to grant funding</w:t>
            </w:r>
          </w:p>
        </w:tc>
      </w:tr>
    </w:tbl>
    <w:p w14:paraId="559006EF" w14:textId="384E6B31" w:rsidR="0020548E" w:rsidRDefault="0020548E" w:rsidP="006A7401">
      <w:pPr>
        <w:rPr>
          <w:rFonts w:asciiTheme="minorHAnsi" w:hAnsiTheme="minorHAnsi" w:cstheme="minorHAnsi"/>
          <w:sz w:val="22"/>
          <w:szCs w:val="22"/>
        </w:rPr>
      </w:pPr>
    </w:p>
    <w:p w14:paraId="1924EABF" w14:textId="294FA5C0" w:rsidR="00957CBD" w:rsidRDefault="00957CBD" w:rsidP="006A7401">
      <w:pPr>
        <w:rPr>
          <w:rFonts w:asciiTheme="minorHAnsi" w:hAnsiTheme="minorHAnsi" w:cstheme="minorHAnsi"/>
          <w:sz w:val="22"/>
          <w:szCs w:val="22"/>
        </w:rPr>
      </w:pPr>
    </w:p>
    <w:p w14:paraId="6F968738" w14:textId="77777777" w:rsidR="00392E65" w:rsidRPr="00E630D5" w:rsidRDefault="00392E65" w:rsidP="006A7401">
      <w:pPr>
        <w:rPr>
          <w:rFonts w:asciiTheme="minorHAnsi" w:hAnsiTheme="minorHAnsi" w:cstheme="minorHAnsi"/>
          <w:sz w:val="22"/>
          <w:szCs w:val="22"/>
        </w:rPr>
      </w:pPr>
    </w:p>
    <w:p w14:paraId="5E8F0840" w14:textId="6CF235AE" w:rsidR="00033A8F" w:rsidRPr="00111E73" w:rsidRDefault="006A7401" w:rsidP="004648D6">
      <w:pPr>
        <w:pStyle w:val="Heading3"/>
      </w:pPr>
      <w:r>
        <w:lastRenderedPageBreak/>
        <w:t>Topic</w:t>
      </w:r>
      <w:r w:rsidR="00033A8F" w:rsidRPr="00111E73">
        <w:t xml:space="preserve"> 2: Access to grant funding</w:t>
      </w:r>
    </w:p>
    <w:p w14:paraId="142A30CE" w14:textId="2AE64E1E" w:rsidR="008B3B71" w:rsidRDefault="00F73583" w:rsidP="008B3B71">
      <w:pPr>
        <w:rPr>
          <w:rFonts w:asciiTheme="minorHAnsi" w:hAnsiTheme="minorHAnsi" w:cstheme="minorHAnsi"/>
          <w:sz w:val="22"/>
          <w:szCs w:val="22"/>
        </w:rPr>
      </w:pPr>
      <w:r>
        <w:rPr>
          <w:rFonts w:asciiTheme="minorHAnsi" w:hAnsiTheme="minorHAnsi" w:cstheme="minorHAnsi"/>
          <w:sz w:val="22"/>
          <w:szCs w:val="22"/>
        </w:rPr>
        <w:t>W</w:t>
      </w:r>
      <w:r w:rsidR="001400F4">
        <w:rPr>
          <w:rFonts w:asciiTheme="minorHAnsi" w:hAnsiTheme="minorHAnsi" w:cstheme="minorHAnsi"/>
          <w:sz w:val="22"/>
          <w:szCs w:val="22"/>
        </w:rPr>
        <w:t>ritten stakeholder</w:t>
      </w:r>
      <w:r w:rsidR="001400F4" w:rsidRPr="00111E73">
        <w:rPr>
          <w:rFonts w:asciiTheme="minorHAnsi" w:hAnsiTheme="minorHAnsi" w:cstheme="minorHAnsi"/>
          <w:sz w:val="22"/>
          <w:szCs w:val="22"/>
        </w:rPr>
        <w:t xml:space="preserve"> </w:t>
      </w:r>
      <w:r w:rsidR="00033A8F" w:rsidRPr="00111E73">
        <w:rPr>
          <w:rFonts w:asciiTheme="minorHAnsi" w:hAnsiTheme="minorHAnsi" w:cstheme="minorHAnsi"/>
          <w:sz w:val="22"/>
          <w:szCs w:val="22"/>
        </w:rPr>
        <w:t>feedback</w:t>
      </w:r>
      <w:r w:rsidR="00F62B47">
        <w:rPr>
          <w:rFonts w:asciiTheme="minorHAnsi" w:hAnsiTheme="minorHAnsi" w:cstheme="minorHAnsi"/>
          <w:sz w:val="22"/>
          <w:szCs w:val="22"/>
        </w:rPr>
        <w:t xml:space="preserve"> prior to the Roundtable </w:t>
      </w:r>
      <w:r>
        <w:rPr>
          <w:rFonts w:asciiTheme="minorHAnsi" w:hAnsiTheme="minorHAnsi" w:cstheme="minorHAnsi"/>
          <w:sz w:val="22"/>
          <w:szCs w:val="22"/>
        </w:rPr>
        <w:t xml:space="preserve">suggested </w:t>
      </w:r>
      <w:r w:rsidR="00F62B47">
        <w:rPr>
          <w:rFonts w:asciiTheme="minorHAnsi" w:hAnsiTheme="minorHAnsi" w:cstheme="minorHAnsi"/>
          <w:sz w:val="22"/>
          <w:szCs w:val="22"/>
        </w:rPr>
        <w:t xml:space="preserve">that </w:t>
      </w:r>
      <w:r w:rsidR="008B3B71">
        <w:rPr>
          <w:rFonts w:asciiTheme="minorHAnsi" w:hAnsiTheme="minorHAnsi" w:cstheme="minorHAnsi"/>
          <w:sz w:val="22"/>
          <w:szCs w:val="22"/>
        </w:rPr>
        <w:t xml:space="preserve">EMCR access to grant </w:t>
      </w:r>
      <w:r w:rsidR="001400F4">
        <w:rPr>
          <w:rFonts w:asciiTheme="minorHAnsi" w:hAnsiTheme="minorHAnsi" w:cstheme="minorHAnsi"/>
          <w:sz w:val="22"/>
          <w:szCs w:val="22"/>
        </w:rPr>
        <w:t xml:space="preserve">funding </w:t>
      </w:r>
      <w:r w:rsidR="008B3B71">
        <w:rPr>
          <w:rFonts w:asciiTheme="minorHAnsi" w:hAnsiTheme="minorHAnsi" w:cstheme="minorHAnsi"/>
          <w:sz w:val="22"/>
          <w:szCs w:val="22"/>
        </w:rPr>
        <w:t xml:space="preserve">could be supported through internal investments, training and development, dissemination of information, and encouraging team-based research. The reported barriers included insufficient external funding opportunities for EMCRs, limited internal funding, time pressures, and competing priorities. </w:t>
      </w:r>
    </w:p>
    <w:p w14:paraId="21D7BDC8" w14:textId="0227E9E4" w:rsidR="008B3B71" w:rsidRPr="008B3B71" w:rsidRDefault="00BE2B4A" w:rsidP="008B3B71">
      <w:pPr>
        <w:rPr>
          <w:rFonts w:asciiTheme="minorHAnsi" w:hAnsiTheme="minorHAnsi" w:cstheme="minorHAnsi"/>
          <w:bCs/>
          <w:sz w:val="22"/>
          <w:szCs w:val="22"/>
        </w:rPr>
      </w:pPr>
      <w:r w:rsidRPr="00BE2B4A">
        <w:rPr>
          <w:rFonts w:asciiTheme="minorHAnsi" w:hAnsiTheme="minorHAnsi" w:cstheme="minorHAnsi"/>
          <w:bCs/>
          <w:sz w:val="22"/>
          <w:szCs w:val="22"/>
        </w:rPr>
        <w:t>Strategies pertaining to the Roundtable purpose and barriers included:</w:t>
      </w:r>
    </w:p>
    <w:tbl>
      <w:tblPr>
        <w:tblStyle w:val="TableGrid"/>
        <w:tblW w:w="9918" w:type="dxa"/>
        <w:tblLook w:val="04A0" w:firstRow="1" w:lastRow="0" w:firstColumn="1" w:lastColumn="0" w:noHBand="0" w:noVBand="1"/>
      </w:tblPr>
      <w:tblGrid>
        <w:gridCol w:w="5098"/>
        <w:gridCol w:w="4820"/>
      </w:tblGrid>
      <w:tr w:rsidR="007C5F25" w:rsidRPr="00D73857" w14:paraId="248AF56A" w14:textId="77777777" w:rsidTr="0020548E">
        <w:trPr>
          <w:trHeight w:val="112"/>
        </w:trPr>
        <w:tc>
          <w:tcPr>
            <w:tcW w:w="5098" w:type="dxa"/>
            <w:shd w:val="clear" w:color="auto" w:fill="4472C4" w:themeFill="accent5"/>
          </w:tcPr>
          <w:p w14:paraId="319F1951" w14:textId="77777777" w:rsidR="007C5F25" w:rsidRPr="00E630D5" w:rsidRDefault="007C5F25" w:rsidP="0020548E">
            <w:pPr>
              <w:spacing w:before="40"/>
              <w:rPr>
                <w:rFonts w:asciiTheme="minorHAnsi" w:hAnsiTheme="minorHAnsi" w:cstheme="minorHAnsi"/>
                <w:b/>
                <w:bCs/>
                <w:color w:val="FFFFFF" w:themeColor="background1"/>
                <w:sz w:val="21"/>
                <w:szCs w:val="21"/>
              </w:rPr>
            </w:pPr>
            <w:r w:rsidRPr="00E630D5">
              <w:rPr>
                <w:rFonts w:asciiTheme="minorHAnsi" w:hAnsiTheme="minorHAnsi" w:cstheme="minorHAnsi"/>
                <w:b/>
                <w:bCs/>
                <w:color w:val="FFFFFF" w:themeColor="background1"/>
                <w:sz w:val="21"/>
                <w:szCs w:val="21"/>
              </w:rPr>
              <w:t>Strategies</w:t>
            </w:r>
          </w:p>
        </w:tc>
        <w:tc>
          <w:tcPr>
            <w:tcW w:w="4820" w:type="dxa"/>
            <w:shd w:val="clear" w:color="auto" w:fill="4472C4" w:themeFill="accent5"/>
          </w:tcPr>
          <w:p w14:paraId="3F9B0108" w14:textId="77777777" w:rsidR="007C5F25" w:rsidRPr="00E630D5" w:rsidRDefault="007C5F25" w:rsidP="0020548E">
            <w:pPr>
              <w:spacing w:before="40"/>
              <w:rPr>
                <w:rFonts w:asciiTheme="minorHAnsi" w:hAnsiTheme="minorHAnsi" w:cstheme="minorHAnsi"/>
                <w:b/>
                <w:bCs/>
                <w:color w:val="FFFFFF" w:themeColor="background1"/>
                <w:sz w:val="21"/>
                <w:szCs w:val="21"/>
              </w:rPr>
            </w:pPr>
            <w:r w:rsidRPr="00E630D5">
              <w:rPr>
                <w:rFonts w:asciiTheme="minorHAnsi" w:hAnsiTheme="minorHAnsi" w:cstheme="minorHAnsi"/>
                <w:b/>
                <w:bCs/>
                <w:color w:val="FFFFFF" w:themeColor="background1"/>
                <w:sz w:val="21"/>
                <w:szCs w:val="21"/>
              </w:rPr>
              <w:t>Barriers</w:t>
            </w:r>
          </w:p>
        </w:tc>
      </w:tr>
      <w:tr w:rsidR="007C5F25" w:rsidRPr="00D73857" w14:paraId="3DD75EEA" w14:textId="77777777" w:rsidTr="0020548E">
        <w:trPr>
          <w:trHeight w:val="4723"/>
        </w:trPr>
        <w:tc>
          <w:tcPr>
            <w:tcW w:w="5098" w:type="dxa"/>
          </w:tcPr>
          <w:p w14:paraId="252AA697" w14:textId="0B3CE6C9" w:rsidR="007C5F25" w:rsidRDefault="007C5F25"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Seed funding to develop ideas, build track record, develop leadership skills, develop management skills (</w:t>
            </w:r>
            <w:r w:rsidR="004459C5">
              <w:rPr>
                <w:rFonts w:cstheme="minorHAnsi"/>
                <w:sz w:val="21"/>
                <w:szCs w:val="21"/>
              </w:rPr>
              <w:t>an</w:t>
            </w:r>
            <w:r>
              <w:rPr>
                <w:rFonts w:cstheme="minorHAnsi"/>
                <w:sz w:val="21"/>
                <w:szCs w:val="21"/>
              </w:rPr>
              <w:t xml:space="preserve"> example</w:t>
            </w:r>
            <w:r w:rsidR="004459C5">
              <w:rPr>
                <w:rFonts w:cstheme="minorHAnsi"/>
                <w:sz w:val="21"/>
                <w:szCs w:val="21"/>
              </w:rPr>
              <w:t xml:space="preserve"> shared was</w:t>
            </w:r>
            <w:r w:rsidR="00977E3D">
              <w:rPr>
                <w:rFonts w:cstheme="minorHAnsi"/>
                <w:sz w:val="21"/>
                <w:szCs w:val="21"/>
              </w:rPr>
              <w:t xml:space="preserve"> the</w:t>
            </w:r>
            <w:r>
              <w:rPr>
                <w:rFonts w:cstheme="minorHAnsi"/>
                <w:sz w:val="21"/>
                <w:szCs w:val="21"/>
              </w:rPr>
              <w:t xml:space="preserve"> CSIRO ACORN grants for research)</w:t>
            </w:r>
          </w:p>
          <w:p w14:paraId="48074AA2" w14:textId="194F66B7" w:rsidR="007C5F25" w:rsidRDefault="007C5F25"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Bridging funding to allow EMCRs to stay “in the game” until their next successful grant</w:t>
            </w:r>
          </w:p>
          <w:p w14:paraId="0AC25586" w14:textId="71EF9A6D" w:rsidR="007C5F25" w:rsidRDefault="007C5F25"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Funding for writing grants and papers</w:t>
            </w:r>
          </w:p>
          <w:p w14:paraId="0FBB0B98" w14:textId="321ECAA7" w:rsidR="007C5F25" w:rsidRDefault="007C5F25"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Mentoring</w:t>
            </w:r>
          </w:p>
          <w:p w14:paraId="625125E2" w14:textId="33CC40DF" w:rsidR="007C5F25" w:rsidRDefault="007C5F25"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Leadership training for EMCRs</w:t>
            </w:r>
          </w:p>
          <w:p w14:paraId="4536FDF8" w14:textId="76471B80" w:rsidR="007C5F25" w:rsidRDefault="007C5F25"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Suggestion of a ‘reverse Harkness’ where cross disciplinary groups of researchers are given opportunities to meet with health service providers, senior policy agencies etc. to learn how to design for impact and so they can consider other career opportunities</w:t>
            </w:r>
          </w:p>
          <w:p w14:paraId="4741F755" w14:textId="7C7C063F" w:rsidR="007C5F25" w:rsidRDefault="007C5F25"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Support officers for grant writing provided by organisations</w:t>
            </w:r>
          </w:p>
          <w:p w14:paraId="3D08A934" w14:textId="3A45C513" w:rsidR="007C5F25" w:rsidRDefault="007C5F25"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Multiple rounds of peer review of draft applications before submission</w:t>
            </w:r>
          </w:p>
          <w:p w14:paraId="068E5BD5" w14:textId="77777777" w:rsidR="007C5F25" w:rsidRDefault="007C5F25"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Leveraging success to build more collaborations and research networks</w:t>
            </w:r>
          </w:p>
          <w:p w14:paraId="77A6DD92" w14:textId="77777777" w:rsidR="007C5F25" w:rsidRDefault="007C5F25"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Role for academies to support EMCRs to network and collaborate in a non-competitive environment</w:t>
            </w:r>
          </w:p>
          <w:p w14:paraId="7AF9F2B8" w14:textId="77777777" w:rsidR="007C5F25" w:rsidRDefault="007C5F25" w:rsidP="007C5F25">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Redefining what “excellence” for funding looks like – ensuring community impact (e.g. in rural areas), not just publication numbers is considered</w:t>
            </w:r>
          </w:p>
          <w:p w14:paraId="797E845C" w14:textId="5E10C8EF" w:rsidR="007C5F25" w:rsidRPr="007C5F25" w:rsidRDefault="007C5F25" w:rsidP="007C5F25">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Promoting a team culture within organisations – it may also help address unconscious bias</w:t>
            </w:r>
          </w:p>
        </w:tc>
        <w:tc>
          <w:tcPr>
            <w:tcW w:w="4820" w:type="dxa"/>
          </w:tcPr>
          <w:p w14:paraId="1312FFFC" w14:textId="41E4E886" w:rsidR="007C5F25" w:rsidRPr="00526811" w:rsidRDefault="007C5F25" w:rsidP="0020548E">
            <w:pPr>
              <w:pStyle w:val="ListParagraph"/>
              <w:numPr>
                <w:ilvl w:val="0"/>
                <w:numId w:val="3"/>
              </w:numPr>
              <w:spacing w:before="40" w:after="0" w:line="240" w:lineRule="auto"/>
              <w:ind w:left="442" w:hanging="357"/>
              <w:contextualSpacing w:val="0"/>
              <w:rPr>
                <w:rFonts w:cstheme="minorHAnsi"/>
                <w:i/>
                <w:sz w:val="21"/>
                <w:szCs w:val="21"/>
              </w:rPr>
            </w:pPr>
            <w:r>
              <w:rPr>
                <w:rFonts w:cstheme="minorHAnsi"/>
                <w:iCs/>
                <w:sz w:val="21"/>
                <w:szCs w:val="21"/>
              </w:rPr>
              <w:t>Mental load and time taken to submit applications</w:t>
            </w:r>
          </w:p>
          <w:p w14:paraId="5DFBFD22" w14:textId="2CAF3927" w:rsidR="007C5F25" w:rsidRPr="00526811" w:rsidRDefault="007C5F25" w:rsidP="0020548E">
            <w:pPr>
              <w:pStyle w:val="ListParagraph"/>
              <w:numPr>
                <w:ilvl w:val="0"/>
                <w:numId w:val="3"/>
              </w:numPr>
              <w:spacing w:before="40" w:after="0" w:line="240" w:lineRule="auto"/>
              <w:ind w:left="442" w:hanging="357"/>
              <w:contextualSpacing w:val="0"/>
              <w:rPr>
                <w:rFonts w:cstheme="minorHAnsi"/>
                <w:i/>
                <w:sz w:val="21"/>
                <w:szCs w:val="21"/>
              </w:rPr>
            </w:pPr>
            <w:r>
              <w:rPr>
                <w:rFonts w:cstheme="minorHAnsi"/>
                <w:sz w:val="21"/>
                <w:szCs w:val="21"/>
              </w:rPr>
              <w:t>COVID-19 and the acute stress on the sector as a result – ‘breaking point moment’</w:t>
            </w:r>
          </w:p>
          <w:p w14:paraId="30DE2A0C" w14:textId="5370BF00" w:rsidR="007C5F25" w:rsidRPr="00D0359A" w:rsidRDefault="007C5F25" w:rsidP="0020548E">
            <w:pPr>
              <w:pStyle w:val="ListParagraph"/>
              <w:numPr>
                <w:ilvl w:val="0"/>
                <w:numId w:val="3"/>
              </w:numPr>
              <w:spacing w:before="40" w:after="0" w:line="240" w:lineRule="auto"/>
              <w:ind w:left="442" w:hanging="357"/>
              <w:contextualSpacing w:val="0"/>
              <w:rPr>
                <w:rFonts w:cstheme="minorHAnsi"/>
                <w:i/>
                <w:sz w:val="21"/>
                <w:szCs w:val="21"/>
              </w:rPr>
            </w:pPr>
            <w:r>
              <w:rPr>
                <w:rFonts w:cstheme="minorHAnsi"/>
                <w:iCs/>
                <w:sz w:val="21"/>
                <w:szCs w:val="21"/>
              </w:rPr>
              <w:t>EMCRs 0-15 years post PhD are a heterogenous group requiring different streams of funding– the needs of early and mid-career researchers can be very different</w:t>
            </w:r>
          </w:p>
          <w:p w14:paraId="286299DE" w14:textId="6291D88A" w:rsidR="007C5F25" w:rsidRPr="00D0359A" w:rsidRDefault="007C5F25" w:rsidP="0020548E">
            <w:pPr>
              <w:pStyle w:val="ListParagraph"/>
              <w:numPr>
                <w:ilvl w:val="0"/>
                <w:numId w:val="3"/>
              </w:numPr>
              <w:spacing w:before="40" w:after="0" w:line="240" w:lineRule="auto"/>
              <w:ind w:left="442" w:hanging="357"/>
              <w:contextualSpacing w:val="0"/>
              <w:rPr>
                <w:rFonts w:cstheme="minorHAnsi"/>
                <w:i/>
                <w:sz w:val="21"/>
                <w:szCs w:val="21"/>
              </w:rPr>
            </w:pPr>
            <w:r>
              <w:rPr>
                <w:rFonts w:cstheme="minorHAnsi"/>
                <w:iCs/>
                <w:sz w:val="21"/>
                <w:szCs w:val="21"/>
              </w:rPr>
              <w:t>Existing competitive grant funding paradigm</w:t>
            </w:r>
          </w:p>
          <w:p w14:paraId="102D116F" w14:textId="5A52A5D9" w:rsidR="007C5F25" w:rsidRPr="00D0359A" w:rsidRDefault="007C5F25" w:rsidP="0020548E">
            <w:pPr>
              <w:pStyle w:val="ListParagraph"/>
              <w:numPr>
                <w:ilvl w:val="0"/>
                <w:numId w:val="3"/>
              </w:numPr>
              <w:spacing w:before="40" w:after="0" w:line="240" w:lineRule="auto"/>
              <w:ind w:left="442" w:hanging="357"/>
              <w:contextualSpacing w:val="0"/>
              <w:rPr>
                <w:rFonts w:cstheme="minorHAnsi"/>
                <w:iCs/>
                <w:sz w:val="21"/>
                <w:szCs w:val="21"/>
              </w:rPr>
            </w:pPr>
            <w:r>
              <w:rPr>
                <w:rFonts w:cstheme="minorHAnsi"/>
                <w:iCs/>
                <w:sz w:val="21"/>
                <w:szCs w:val="21"/>
              </w:rPr>
              <w:t xml:space="preserve">Burden on university sector to support PhD graduates – (1) </w:t>
            </w:r>
            <w:r w:rsidRPr="00D0359A">
              <w:rPr>
                <w:rFonts w:cstheme="minorHAnsi"/>
                <w:iCs/>
                <w:sz w:val="21"/>
                <w:szCs w:val="21"/>
              </w:rPr>
              <w:t>No integrated R&amp;D comp</w:t>
            </w:r>
            <w:r w:rsidR="008E5299">
              <w:rPr>
                <w:rFonts w:cstheme="minorHAnsi"/>
                <w:iCs/>
                <w:sz w:val="21"/>
                <w:szCs w:val="21"/>
              </w:rPr>
              <w:t>onen</w:t>
            </w:r>
            <w:r w:rsidRPr="00D0359A">
              <w:rPr>
                <w:rFonts w:cstheme="minorHAnsi"/>
                <w:iCs/>
                <w:sz w:val="21"/>
                <w:szCs w:val="21"/>
              </w:rPr>
              <w:t>t within Australian public health system</w:t>
            </w:r>
            <w:r>
              <w:rPr>
                <w:rFonts w:cstheme="minorHAnsi"/>
                <w:iCs/>
                <w:sz w:val="21"/>
                <w:szCs w:val="21"/>
              </w:rPr>
              <w:t xml:space="preserve">, (2) immature industry </w:t>
            </w:r>
            <w:proofErr w:type="gramStart"/>
            <w:r>
              <w:rPr>
                <w:rFonts w:cstheme="minorHAnsi"/>
                <w:iCs/>
                <w:sz w:val="21"/>
                <w:szCs w:val="21"/>
              </w:rPr>
              <w:t>sector</w:t>
            </w:r>
            <w:proofErr w:type="gramEnd"/>
            <w:r>
              <w:rPr>
                <w:rFonts w:cstheme="minorHAnsi"/>
                <w:iCs/>
                <w:sz w:val="21"/>
                <w:szCs w:val="21"/>
              </w:rPr>
              <w:t xml:space="preserve"> in Australia</w:t>
            </w:r>
          </w:p>
          <w:p w14:paraId="2CA7F8A8" w14:textId="19DEBF4D" w:rsidR="007C5F25" w:rsidRPr="00024E53" w:rsidRDefault="007C5F25" w:rsidP="00526811">
            <w:pPr>
              <w:pStyle w:val="ListParagraph"/>
              <w:spacing w:before="40" w:after="0" w:line="240" w:lineRule="auto"/>
              <w:ind w:left="442"/>
              <w:contextualSpacing w:val="0"/>
              <w:rPr>
                <w:rFonts w:cstheme="minorHAnsi"/>
                <w:i/>
                <w:sz w:val="21"/>
                <w:szCs w:val="21"/>
              </w:rPr>
            </w:pPr>
          </w:p>
        </w:tc>
      </w:tr>
      <w:tr w:rsidR="007C5F25" w:rsidRPr="00D73857" w14:paraId="1827DC3B" w14:textId="77777777" w:rsidTr="007C5F25">
        <w:trPr>
          <w:trHeight w:val="475"/>
        </w:trPr>
        <w:tc>
          <w:tcPr>
            <w:tcW w:w="9918" w:type="dxa"/>
            <w:gridSpan w:val="2"/>
          </w:tcPr>
          <w:p w14:paraId="2599CBB0" w14:textId="483172EF" w:rsidR="007C5F25" w:rsidRPr="007C5F25" w:rsidRDefault="007C5F25" w:rsidP="008E5299">
            <w:pPr>
              <w:pStyle w:val="ListParagraph"/>
              <w:spacing w:before="40" w:after="0" w:line="240" w:lineRule="auto"/>
              <w:ind w:left="442"/>
              <w:contextualSpacing w:val="0"/>
              <w:rPr>
                <w:rFonts w:cstheme="minorHAnsi"/>
                <w:i/>
                <w:sz w:val="21"/>
                <w:szCs w:val="21"/>
              </w:rPr>
            </w:pPr>
            <w:r w:rsidRPr="007C5F25">
              <w:rPr>
                <w:rFonts w:cstheme="minorHAnsi"/>
                <w:i/>
                <w:sz w:val="21"/>
                <w:szCs w:val="21"/>
              </w:rPr>
              <w:t>Note that there was a high level of crossover between security of employment and access to grant funding</w:t>
            </w:r>
          </w:p>
        </w:tc>
      </w:tr>
    </w:tbl>
    <w:p w14:paraId="290331D8" w14:textId="77777777" w:rsidR="001A1C07" w:rsidRDefault="001A1C07" w:rsidP="00033A8F">
      <w:pPr>
        <w:rPr>
          <w:rFonts w:asciiTheme="minorHAnsi" w:hAnsiTheme="minorHAnsi" w:cstheme="minorHAnsi"/>
          <w:sz w:val="22"/>
          <w:szCs w:val="22"/>
        </w:rPr>
      </w:pPr>
    </w:p>
    <w:p w14:paraId="6F5EF04B" w14:textId="340ADCD1" w:rsidR="00033A8F" w:rsidRPr="00033A8F" w:rsidRDefault="00DB5D35" w:rsidP="004648D6">
      <w:pPr>
        <w:pStyle w:val="Heading3"/>
      </w:pPr>
      <w:r>
        <w:t>Topic</w:t>
      </w:r>
      <w:r w:rsidR="00033A8F" w:rsidRPr="00033A8F">
        <w:t xml:space="preserve"> 3: Workplace culture</w:t>
      </w:r>
    </w:p>
    <w:p w14:paraId="098B39EB" w14:textId="17F3EF38" w:rsidR="00DB5D35" w:rsidRDefault="00F73583" w:rsidP="0020548E">
      <w:pPr>
        <w:rPr>
          <w:rFonts w:asciiTheme="minorHAnsi" w:hAnsiTheme="minorHAnsi" w:cstheme="minorHAnsi"/>
          <w:sz w:val="22"/>
          <w:szCs w:val="22"/>
        </w:rPr>
      </w:pPr>
      <w:r>
        <w:rPr>
          <w:rFonts w:asciiTheme="minorHAnsi" w:hAnsiTheme="minorHAnsi" w:cstheme="minorHAnsi"/>
          <w:sz w:val="22"/>
          <w:szCs w:val="22"/>
        </w:rPr>
        <w:t>W</w:t>
      </w:r>
      <w:r w:rsidR="001400F4">
        <w:rPr>
          <w:rFonts w:asciiTheme="minorHAnsi" w:hAnsiTheme="minorHAnsi" w:cstheme="minorHAnsi"/>
          <w:sz w:val="22"/>
          <w:szCs w:val="22"/>
        </w:rPr>
        <w:t>ritten stakeholder</w:t>
      </w:r>
      <w:r w:rsidR="001400F4" w:rsidRPr="00111E73">
        <w:rPr>
          <w:rFonts w:asciiTheme="minorHAnsi" w:hAnsiTheme="minorHAnsi" w:cstheme="minorHAnsi"/>
          <w:sz w:val="22"/>
          <w:szCs w:val="22"/>
        </w:rPr>
        <w:t xml:space="preserve"> </w:t>
      </w:r>
      <w:r w:rsidR="00DB5D35" w:rsidRPr="00111E73">
        <w:rPr>
          <w:rFonts w:asciiTheme="minorHAnsi" w:hAnsiTheme="minorHAnsi" w:cstheme="minorHAnsi"/>
          <w:sz w:val="22"/>
          <w:szCs w:val="22"/>
        </w:rPr>
        <w:t>feedback</w:t>
      </w:r>
      <w:r w:rsidR="00DB5D35">
        <w:rPr>
          <w:rFonts w:asciiTheme="minorHAnsi" w:hAnsiTheme="minorHAnsi" w:cstheme="minorHAnsi"/>
          <w:sz w:val="22"/>
          <w:szCs w:val="22"/>
        </w:rPr>
        <w:t xml:space="preserve"> prior to the Roundtable </w:t>
      </w:r>
      <w:r>
        <w:rPr>
          <w:rFonts w:asciiTheme="minorHAnsi" w:hAnsiTheme="minorHAnsi" w:cstheme="minorHAnsi"/>
          <w:sz w:val="22"/>
          <w:szCs w:val="22"/>
        </w:rPr>
        <w:t xml:space="preserve">suggested </w:t>
      </w:r>
      <w:r w:rsidR="00DB5D35">
        <w:rPr>
          <w:rFonts w:asciiTheme="minorHAnsi" w:hAnsiTheme="minorHAnsi" w:cstheme="minorHAnsi"/>
          <w:sz w:val="22"/>
          <w:szCs w:val="22"/>
        </w:rPr>
        <w:t xml:space="preserve">that workplace culture could be improved </w:t>
      </w:r>
      <w:r w:rsidR="00A603ED">
        <w:rPr>
          <w:rFonts w:asciiTheme="minorHAnsi" w:hAnsiTheme="minorHAnsi" w:cstheme="minorHAnsi"/>
          <w:sz w:val="22"/>
          <w:szCs w:val="22"/>
        </w:rPr>
        <w:t xml:space="preserve">through organisations offering support such as parental leave, </w:t>
      </w:r>
      <w:r w:rsidR="002B4F7C">
        <w:rPr>
          <w:rFonts w:asciiTheme="minorHAnsi" w:hAnsiTheme="minorHAnsi" w:cstheme="minorHAnsi"/>
          <w:sz w:val="22"/>
          <w:szCs w:val="22"/>
        </w:rPr>
        <w:t xml:space="preserve">provision for </w:t>
      </w:r>
      <w:r w:rsidR="00A603ED">
        <w:rPr>
          <w:rFonts w:asciiTheme="minorHAnsi" w:hAnsiTheme="minorHAnsi" w:cstheme="minorHAnsi"/>
          <w:sz w:val="22"/>
          <w:szCs w:val="22"/>
        </w:rPr>
        <w:t>caring responsibilities, flexible working arrangements, and recognition of the full ecosystem of research</w:t>
      </w:r>
      <w:r>
        <w:rPr>
          <w:rFonts w:asciiTheme="minorHAnsi" w:hAnsiTheme="minorHAnsi" w:cstheme="minorHAnsi"/>
          <w:sz w:val="22"/>
          <w:szCs w:val="22"/>
        </w:rPr>
        <w:t xml:space="preserve"> impact</w:t>
      </w:r>
      <w:r w:rsidR="00A603ED">
        <w:rPr>
          <w:rFonts w:asciiTheme="minorHAnsi" w:hAnsiTheme="minorHAnsi" w:cstheme="minorHAnsi"/>
          <w:sz w:val="22"/>
          <w:szCs w:val="22"/>
        </w:rPr>
        <w:t xml:space="preserve"> (rather than just publications). However, issues such as the hypercompetitive nature of research, expectations that sacrifice is required for success, and high workloads particularly in relation to grant writing continue to be barriers. </w:t>
      </w:r>
    </w:p>
    <w:p w14:paraId="6EACD9C1" w14:textId="611AF937" w:rsidR="0020548E" w:rsidRDefault="00BE2B4A" w:rsidP="00DB5D35">
      <w:pPr>
        <w:rPr>
          <w:rFonts w:asciiTheme="minorHAnsi" w:hAnsiTheme="minorHAnsi" w:cstheme="minorHAnsi"/>
          <w:bCs/>
          <w:sz w:val="22"/>
          <w:szCs w:val="22"/>
        </w:rPr>
      </w:pPr>
      <w:r w:rsidRPr="00BE2B4A">
        <w:rPr>
          <w:rFonts w:asciiTheme="minorHAnsi" w:hAnsiTheme="minorHAnsi" w:cstheme="minorHAnsi"/>
          <w:bCs/>
          <w:sz w:val="22"/>
          <w:szCs w:val="22"/>
        </w:rPr>
        <w:t>Strategies pertaining to the Roundtable purpose and barriers included:</w:t>
      </w:r>
    </w:p>
    <w:p w14:paraId="62D7A9E4" w14:textId="77777777" w:rsidR="004648D6" w:rsidRPr="0020548E" w:rsidRDefault="004648D6" w:rsidP="00DB5D35">
      <w:pPr>
        <w:rPr>
          <w:rFonts w:asciiTheme="minorHAnsi" w:hAnsiTheme="minorHAnsi" w:cstheme="minorHAnsi"/>
          <w:bCs/>
          <w:sz w:val="22"/>
          <w:szCs w:val="22"/>
        </w:rPr>
      </w:pPr>
    </w:p>
    <w:tbl>
      <w:tblPr>
        <w:tblStyle w:val="TableGrid"/>
        <w:tblW w:w="10097" w:type="dxa"/>
        <w:tblLook w:val="04A0" w:firstRow="1" w:lastRow="0" w:firstColumn="1" w:lastColumn="0" w:noHBand="0" w:noVBand="1"/>
      </w:tblPr>
      <w:tblGrid>
        <w:gridCol w:w="5098"/>
        <w:gridCol w:w="4999"/>
      </w:tblGrid>
      <w:tr w:rsidR="0020548E" w:rsidRPr="00D73857" w14:paraId="257F63F9" w14:textId="77777777" w:rsidTr="0020548E">
        <w:trPr>
          <w:trHeight w:val="380"/>
        </w:trPr>
        <w:tc>
          <w:tcPr>
            <w:tcW w:w="5098" w:type="dxa"/>
            <w:shd w:val="clear" w:color="auto" w:fill="4472C4" w:themeFill="accent5"/>
          </w:tcPr>
          <w:p w14:paraId="3103BADB" w14:textId="77777777" w:rsidR="0020548E" w:rsidRPr="00E630D5" w:rsidRDefault="0020548E" w:rsidP="0020548E">
            <w:pPr>
              <w:spacing w:before="40"/>
              <w:rPr>
                <w:rFonts w:asciiTheme="minorHAnsi" w:hAnsiTheme="minorHAnsi" w:cstheme="minorHAnsi"/>
                <w:b/>
                <w:bCs/>
                <w:color w:val="FFFFFF" w:themeColor="background1"/>
                <w:sz w:val="21"/>
                <w:szCs w:val="21"/>
              </w:rPr>
            </w:pPr>
            <w:r w:rsidRPr="00E630D5">
              <w:rPr>
                <w:rFonts w:asciiTheme="minorHAnsi" w:hAnsiTheme="minorHAnsi" w:cstheme="minorHAnsi"/>
                <w:b/>
                <w:bCs/>
                <w:color w:val="FFFFFF" w:themeColor="background1"/>
                <w:sz w:val="21"/>
                <w:szCs w:val="21"/>
              </w:rPr>
              <w:lastRenderedPageBreak/>
              <w:t>Strategies</w:t>
            </w:r>
          </w:p>
        </w:tc>
        <w:tc>
          <w:tcPr>
            <w:tcW w:w="4999" w:type="dxa"/>
            <w:shd w:val="clear" w:color="auto" w:fill="4472C4" w:themeFill="accent5"/>
          </w:tcPr>
          <w:p w14:paraId="772424D1" w14:textId="77777777" w:rsidR="0020548E" w:rsidRPr="00E630D5" w:rsidRDefault="0020548E" w:rsidP="0020548E">
            <w:pPr>
              <w:spacing w:before="40"/>
              <w:rPr>
                <w:rFonts w:asciiTheme="minorHAnsi" w:hAnsiTheme="minorHAnsi" w:cstheme="minorHAnsi"/>
                <w:b/>
                <w:bCs/>
                <w:color w:val="FFFFFF" w:themeColor="background1"/>
                <w:sz w:val="21"/>
                <w:szCs w:val="21"/>
              </w:rPr>
            </w:pPr>
            <w:r w:rsidRPr="00E630D5">
              <w:rPr>
                <w:rFonts w:asciiTheme="minorHAnsi" w:hAnsiTheme="minorHAnsi" w:cstheme="minorHAnsi"/>
                <w:b/>
                <w:bCs/>
                <w:color w:val="FFFFFF" w:themeColor="background1"/>
                <w:sz w:val="21"/>
                <w:szCs w:val="21"/>
              </w:rPr>
              <w:t>Barriers</w:t>
            </w:r>
          </w:p>
        </w:tc>
      </w:tr>
      <w:tr w:rsidR="0020548E" w:rsidRPr="00D73857" w14:paraId="76480D40" w14:textId="77777777" w:rsidTr="0020548E">
        <w:trPr>
          <w:trHeight w:val="4384"/>
        </w:trPr>
        <w:tc>
          <w:tcPr>
            <w:tcW w:w="5098" w:type="dxa"/>
          </w:tcPr>
          <w:p w14:paraId="1EC82FE2" w14:textId="77777777" w:rsidR="0020548E" w:rsidRDefault="0020548E"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 xml:space="preserve">Role modelling in a way that is modern/appropriate/fit for purpose </w:t>
            </w:r>
          </w:p>
          <w:p w14:paraId="46E4D8CC" w14:textId="5627140B" w:rsidR="0020548E" w:rsidRDefault="0020548E"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Acknowledging many different types of successes/wins</w:t>
            </w:r>
          </w:p>
          <w:p w14:paraId="01EDA725" w14:textId="159C31B1" w:rsidR="0020548E" w:rsidRDefault="0020548E"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Early intervention mentoring</w:t>
            </w:r>
          </w:p>
          <w:p w14:paraId="051CDA2D" w14:textId="77777777" w:rsidR="0020548E" w:rsidRDefault="0020548E"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 xml:space="preserve">Sharing of resources between research groups to alleviate administrative burden </w:t>
            </w:r>
          </w:p>
          <w:p w14:paraId="7FD5D145" w14:textId="001D0588" w:rsidR="0020548E" w:rsidRDefault="0020548E"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Recognition of achievements and measuring research output relative to opportunity</w:t>
            </w:r>
          </w:p>
          <w:p w14:paraId="63439EB7" w14:textId="2E3AFDBA" w:rsidR="0020548E" w:rsidRDefault="0020548E"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Many things are done and not noticed, so effort and work need to be recognised</w:t>
            </w:r>
          </w:p>
          <w:p w14:paraId="61BD64B6" w14:textId="77777777" w:rsidR="0020548E" w:rsidRDefault="0020548E"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Transparent policies and procedures</w:t>
            </w:r>
          </w:p>
          <w:p w14:paraId="79A5C65A" w14:textId="77777777" w:rsidR="0020548E" w:rsidRDefault="0020548E"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Respecting need for time-off work</w:t>
            </w:r>
          </w:p>
          <w:p w14:paraId="4EB20A67" w14:textId="4AD1D320" w:rsidR="0020548E" w:rsidRPr="0020548E" w:rsidRDefault="0020548E" w:rsidP="0020548E">
            <w:pPr>
              <w:pStyle w:val="ListParagraph"/>
              <w:numPr>
                <w:ilvl w:val="0"/>
                <w:numId w:val="3"/>
              </w:numPr>
              <w:spacing w:before="40" w:after="0" w:line="240" w:lineRule="auto"/>
              <w:ind w:left="442" w:hanging="357"/>
              <w:contextualSpacing w:val="0"/>
              <w:rPr>
                <w:rFonts w:cstheme="minorHAnsi"/>
                <w:sz w:val="21"/>
                <w:szCs w:val="21"/>
              </w:rPr>
            </w:pPr>
            <w:r w:rsidRPr="0020548E">
              <w:rPr>
                <w:rFonts w:cstheme="minorHAnsi"/>
                <w:sz w:val="21"/>
                <w:szCs w:val="21"/>
              </w:rPr>
              <w:t>Giving EMCRs a voice and autonomy (</w:t>
            </w:r>
            <w:r>
              <w:rPr>
                <w:rFonts w:cstheme="minorHAnsi"/>
                <w:sz w:val="21"/>
                <w:szCs w:val="21"/>
              </w:rPr>
              <w:t>an</w:t>
            </w:r>
            <w:r w:rsidRPr="0020548E">
              <w:rPr>
                <w:rFonts w:cstheme="minorHAnsi"/>
                <w:sz w:val="21"/>
                <w:szCs w:val="21"/>
              </w:rPr>
              <w:t xml:space="preserve"> example </w:t>
            </w:r>
            <w:r>
              <w:rPr>
                <w:rFonts w:cstheme="minorHAnsi"/>
                <w:sz w:val="21"/>
                <w:szCs w:val="21"/>
              </w:rPr>
              <w:t xml:space="preserve">shared was the </w:t>
            </w:r>
            <w:r w:rsidRPr="0020548E">
              <w:rPr>
                <w:rFonts w:cstheme="minorHAnsi"/>
                <w:sz w:val="21"/>
                <w:szCs w:val="21"/>
              </w:rPr>
              <w:t>University of</w:t>
            </w:r>
            <w:r>
              <w:rPr>
                <w:rFonts w:cstheme="minorHAnsi"/>
                <w:sz w:val="21"/>
                <w:szCs w:val="21"/>
              </w:rPr>
              <w:t xml:space="preserve"> the</w:t>
            </w:r>
            <w:r w:rsidRPr="0020548E">
              <w:rPr>
                <w:rFonts w:cstheme="minorHAnsi"/>
                <w:sz w:val="21"/>
                <w:szCs w:val="21"/>
              </w:rPr>
              <w:t xml:space="preserve"> Sunshine Coast giv</w:t>
            </w:r>
            <w:r>
              <w:rPr>
                <w:rFonts w:cstheme="minorHAnsi"/>
                <w:sz w:val="21"/>
                <w:szCs w:val="21"/>
              </w:rPr>
              <w:t>ing</w:t>
            </w:r>
            <w:r w:rsidRPr="0020548E">
              <w:rPr>
                <w:rFonts w:cstheme="minorHAnsi"/>
                <w:sz w:val="21"/>
                <w:szCs w:val="21"/>
              </w:rPr>
              <w:t xml:space="preserve"> EMCRs a budget, autonomy, </w:t>
            </w:r>
            <w:r w:rsidR="004459C5">
              <w:rPr>
                <w:rFonts w:cstheme="minorHAnsi"/>
                <w:sz w:val="21"/>
                <w:szCs w:val="21"/>
              </w:rPr>
              <w:t>responsibility,</w:t>
            </w:r>
            <w:r>
              <w:rPr>
                <w:rFonts w:cstheme="minorHAnsi"/>
                <w:sz w:val="21"/>
                <w:szCs w:val="21"/>
              </w:rPr>
              <w:t xml:space="preserve"> and </w:t>
            </w:r>
            <w:r w:rsidR="004459C5">
              <w:rPr>
                <w:rFonts w:cstheme="minorHAnsi"/>
                <w:sz w:val="21"/>
                <w:szCs w:val="21"/>
              </w:rPr>
              <w:t>ability to hold leaders to account</w:t>
            </w:r>
            <w:r>
              <w:rPr>
                <w:rFonts w:cstheme="minorHAnsi"/>
                <w:sz w:val="21"/>
                <w:szCs w:val="21"/>
              </w:rPr>
              <w:t>)</w:t>
            </w:r>
          </w:p>
          <w:p w14:paraId="48E96348" w14:textId="1F45E617" w:rsidR="0020548E" w:rsidRPr="00D73857" w:rsidRDefault="0020548E" w:rsidP="0020548E">
            <w:pPr>
              <w:pStyle w:val="ListParagraph"/>
              <w:spacing w:before="40" w:after="0" w:line="240" w:lineRule="auto"/>
              <w:ind w:left="442"/>
              <w:contextualSpacing w:val="0"/>
              <w:rPr>
                <w:rFonts w:cstheme="minorHAnsi"/>
                <w:sz w:val="21"/>
                <w:szCs w:val="21"/>
              </w:rPr>
            </w:pPr>
          </w:p>
        </w:tc>
        <w:tc>
          <w:tcPr>
            <w:tcW w:w="4999" w:type="dxa"/>
          </w:tcPr>
          <w:p w14:paraId="7300132A" w14:textId="47DDBE7B" w:rsidR="0020548E" w:rsidRPr="00B269D8" w:rsidRDefault="0020548E" w:rsidP="0020548E">
            <w:pPr>
              <w:pStyle w:val="ListParagraph"/>
              <w:numPr>
                <w:ilvl w:val="0"/>
                <w:numId w:val="3"/>
              </w:numPr>
              <w:spacing w:before="40" w:after="0" w:line="240" w:lineRule="auto"/>
              <w:ind w:left="442" w:hanging="357"/>
              <w:contextualSpacing w:val="0"/>
              <w:rPr>
                <w:rFonts w:cstheme="minorHAnsi"/>
                <w:i/>
                <w:sz w:val="21"/>
                <w:szCs w:val="21"/>
              </w:rPr>
            </w:pPr>
            <w:r>
              <w:rPr>
                <w:rFonts w:cstheme="minorHAnsi"/>
                <w:iCs/>
                <w:sz w:val="21"/>
                <w:szCs w:val="21"/>
              </w:rPr>
              <w:t>Decreasing numbers of administrative and support staff</w:t>
            </w:r>
          </w:p>
          <w:p w14:paraId="37E51AEA" w14:textId="4BFBB60B" w:rsidR="0020548E" w:rsidRPr="001A1C07" w:rsidRDefault="0020548E" w:rsidP="0020548E">
            <w:pPr>
              <w:pStyle w:val="ListParagraph"/>
              <w:numPr>
                <w:ilvl w:val="0"/>
                <w:numId w:val="3"/>
              </w:numPr>
              <w:spacing w:before="40" w:after="0" w:line="240" w:lineRule="auto"/>
              <w:ind w:left="442" w:hanging="357"/>
              <w:contextualSpacing w:val="0"/>
              <w:rPr>
                <w:rFonts w:cstheme="minorHAnsi"/>
                <w:i/>
                <w:sz w:val="21"/>
                <w:szCs w:val="21"/>
              </w:rPr>
            </w:pPr>
            <w:r>
              <w:rPr>
                <w:rFonts w:cstheme="minorHAnsi"/>
                <w:iCs/>
                <w:sz w:val="21"/>
                <w:szCs w:val="21"/>
              </w:rPr>
              <w:t xml:space="preserve">Clinician researchers working for two organisations or at times doing unpaid work </w:t>
            </w:r>
          </w:p>
          <w:p w14:paraId="79375668" w14:textId="77777777" w:rsidR="0020548E" w:rsidRPr="001A1C07" w:rsidRDefault="0020548E" w:rsidP="0020548E">
            <w:pPr>
              <w:pStyle w:val="ListParagraph"/>
              <w:numPr>
                <w:ilvl w:val="0"/>
                <w:numId w:val="3"/>
              </w:numPr>
              <w:spacing w:before="40" w:after="0" w:line="240" w:lineRule="auto"/>
              <w:ind w:left="442" w:hanging="357"/>
              <w:contextualSpacing w:val="0"/>
              <w:rPr>
                <w:rFonts w:cstheme="minorHAnsi"/>
                <w:iCs/>
                <w:sz w:val="21"/>
                <w:szCs w:val="21"/>
              </w:rPr>
            </w:pPr>
            <w:r w:rsidRPr="001A1C07">
              <w:rPr>
                <w:rFonts w:cstheme="minorHAnsi"/>
                <w:iCs/>
                <w:sz w:val="21"/>
                <w:szCs w:val="21"/>
              </w:rPr>
              <w:t>Flexible hours in some instances are increasing workload</w:t>
            </w:r>
          </w:p>
          <w:p w14:paraId="613C8431" w14:textId="0E5252B2" w:rsidR="0020548E" w:rsidRPr="00024E53" w:rsidRDefault="0020548E" w:rsidP="0020548E">
            <w:pPr>
              <w:pStyle w:val="ListParagraph"/>
              <w:numPr>
                <w:ilvl w:val="0"/>
                <w:numId w:val="3"/>
              </w:numPr>
              <w:spacing w:before="40" w:after="0" w:line="240" w:lineRule="auto"/>
              <w:ind w:left="442" w:hanging="357"/>
              <w:contextualSpacing w:val="0"/>
              <w:rPr>
                <w:rFonts w:cstheme="minorHAnsi"/>
                <w:i/>
                <w:sz w:val="21"/>
                <w:szCs w:val="21"/>
              </w:rPr>
            </w:pPr>
            <w:r w:rsidRPr="001A1C07">
              <w:rPr>
                <w:rFonts w:cstheme="minorHAnsi"/>
                <w:iCs/>
                <w:sz w:val="21"/>
                <w:szCs w:val="21"/>
              </w:rPr>
              <w:t>Mentoring is not</w:t>
            </w:r>
            <w:r>
              <w:rPr>
                <w:rFonts w:cstheme="minorHAnsi"/>
                <w:iCs/>
                <w:sz w:val="21"/>
                <w:szCs w:val="21"/>
              </w:rPr>
              <w:t xml:space="preserve"> always</w:t>
            </w:r>
            <w:r w:rsidRPr="001A1C07">
              <w:rPr>
                <w:rFonts w:cstheme="minorHAnsi"/>
                <w:iCs/>
                <w:sz w:val="21"/>
                <w:szCs w:val="21"/>
              </w:rPr>
              <w:t xml:space="preserve"> fit for purpose</w:t>
            </w:r>
          </w:p>
        </w:tc>
      </w:tr>
    </w:tbl>
    <w:p w14:paraId="39A60E7F" w14:textId="4C83F946" w:rsidR="00A46182" w:rsidRDefault="00A46182" w:rsidP="00DB5D35">
      <w:pPr>
        <w:rPr>
          <w:rFonts w:asciiTheme="minorHAnsi" w:hAnsiTheme="minorHAnsi" w:cstheme="minorHAnsi"/>
          <w:sz w:val="22"/>
          <w:szCs w:val="22"/>
        </w:rPr>
      </w:pPr>
    </w:p>
    <w:p w14:paraId="7A25F85F" w14:textId="155C0B7C" w:rsidR="00033A8F" w:rsidRPr="00033A8F" w:rsidRDefault="00B269D8" w:rsidP="004648D6">
      <w:pPr>
        <w:pStyle w:val="Heading3"/>
      </w:pPr>
      <w:r>
        <w:t>Topic</w:t>
      </w:r>
      <w:r w:rsidR="00033A8F" w:rsidRPr="00033A8F">
        <w:t xml:space="preserve"> 4: Provision of training and support</w:t>
      </w:r>
    </w:p>
    <w:p w14:paraId="60B2878F" w14:textId="782361E5" w:rsidR="00B269D8" w:rsidRDefault="00F73583" w:rsidP="00B269D8">
      <w:pPr>
        <w:rPr>
          <w:rFonts w:asciiTheme="minorHAnsi" w:hAnsiTheme="minorHAnsi" w:cstheme="minorHAnsi"/>
          <w:sz w:val="22"/>
          <w:szCs w:val="22"/>
        </w:rPr>
      </w:pPr>
      <w:r>
        <w:rPr>
          <w:rFonts w:asciiTheme="minorHAnsi" w:hAnsiTheme="minorHAnsi" w:cstheme="minorHAnsi"/>
          <w:sz w:val="22"/>
          <w:szCs w:val="22"/>
        </w:rPr>
        <w:t>Written stakeholder</w:t>
      </w:r>
      <w:r w:rsidRPr="00111E73">
        <w:rPr>
          <w:rFonts w:asciiTheme="minorHAnsi" w:hAnsiTheme="minorHAnsi" w:cstheme="minorHAnsi"/>
          <w:sz w:val="22"/>
          <w:szCs w:val="22"/>
        </w:rPr>
        <w:t xml:space="preserve"> </w:t>
      </w:r>
      <w:r w:rsidR="00B269D8" w:rsidRPr="00111E73">
        <w:rPr>
          <w:rFonts w:asciiTheme="minorHAnsi" w:hAnsiTheme="minorHAnsi" w:cstheme="minorHAnsi"/>
          <w:sz w:val="22"/>
          <w:szCs w:val="22"/>
        </w:rPr>
        <w:t>feedback</w:t>
      </w:r>
      <w:r w:rsidR="00B269D8">
        <w:rPr>
          <w:rFonts w:asciiTheme="minorHAnsi" w:hAnsiTheme="minorHAnsi" w:cstheme="minorHAnsi"/>
          <w:sz w:val="22"/>
          <w:szCs w:val="22"/>
        </w:rPr>
        <w:t xml:space="preserve"> prior to the Roundtable </w:t>
      </w:r>
      <w:r>
        <w:rPr>
          <w:rFonts w:asciiTheme="minorHAnsi" w:hAnsiTheme="minorHAnsi" w:cstheme="minorHAnsi"/>
          <w:sz w:val="22"/>
          <w:szCs w:val="22"/>
        </w:rPr>
        <w:t xml:space="preserve">showed </w:t>
      </w:r>
      <w:r w:rsidR="00B269D8">
        <w:rPr>
          <w:rFonts w:asciiTheme="minorHAnsi" w:hAnsiTheme="minorHAnsi" w:cstheme="minorHAnsi"/>
          <w:sz w:val="22"/>
          <w:szCs w:val="22"/>
        </w:rPr>
        <w:t xml:space="preserve">that many institutions acknowledged the importance of mentoring, development programs, and networking opportunities. However, the main barriers were the capacity and resourcing to deliver programs, and difficulty engaging senior researchers as mentors.  </w:t>
      </w:r>
    </w:p>
    <w:p w14:paraId="3C075809" w14:textId="7BA4F8BF" w:rsidR="00B269D8" w:rsidRDefault="00BE2B4A" w:rsidP="00B269D8">
      <w:pPr>
        <w:rPr>
          <w:rFonts w:asciiTheme="minorHAnsi" w:hAnsiTheme="minorHAnsi" w:cstheme="minorHAnsi"/>
          <w:sz w:val="22"/>
          <w:szCs w:val="22"/>
        </w:rPr>
      </w:pPr>
      <w:r w:rsidRPr="00BE2B4A">
        <w:rPr>
          <w:rFonts w:asciiTheme="minorHAnsi" w:hAnsiTheme="minorHAnsi" w:cstheme="minorHAnsi"/>
          <w:bCs/>
          <w:sz w:val="22"/>
          <w:szCs w:val="22"/>
        </w:rPr>
        <w:t>Strategies pertaining to the Roundtable purpose and barriers included:</w:t>
      </w:r>
    </w:p>
    <w:tbl>
      <w:tblPr>
        <w:tblStyle w:val="TableGrid"/>
        <w:tblW w:w="10060" w:type="dxa"/>
        <w:tblLook w:val="04A0" w:firstRow="1" w:lastRow="0" w:firstColumn="1" w:lastColumn="0" w:noHBand="0" w:noVBand="1"/>
      </w:tblPr>
      <w:tblGrid>
        <w:gridCol w:w="5098"/>
        <w:gridCol w:w="4962"/>
      </w:tblGrid>
      <w:tr w:rsidR="007A638C" w:rsidRPr="00D73857" w14:paraId="12D91AE9" w14:textId="77777777" w:rsidTr="007A638C">
        <w:tc>
          <w:tcPr>
            <w:tcW w:w="5098" w:type="dxa"/>
            <w:shd w:val="clear" w:color="auto" w:fill="4472C4" w:themeFill="accent5"/>
          </w:tcPr>
          <w:p w14:paraId="00C91802" w14:textId="77777777" w:rsidR="007A638C" w:rsidRPr="00E630D5" w:rsidRDefault="007A638C" w:rsidP="0020548E">
            <w:pPr>
              <w:spacing w:before="40"/>
              <w:rPr>
                <w:rFonts w:asciiTheme="minorHAnsi" w:hAnsiTheme="minorHAnsi" w:cstheme="minorHAnsi"/>
                <w:b/>
                <w:bCs/>
                <w:color w:val="FFFFFF" w:themeColor="background1"/>
                <w:sz w:val="21"/>
                <w:szCs w:val="21"/>
              </w:rPr>
            </w:pPr>
            <w:r w:rsidRPr="00E630D5">
              <w:rPr>
                <w:rFonts w:asciiTheme="minorHAnsi" w:hAnsiTheme="minorHAnsi" w:cstheme="minorHAnsi"/>
                <w:b/>
                <w:bCs/>
                <w:color w:val="FFFFFF" w:themeColor="background1"/>
                <w:sz w:val="21"/>
                <w:szCs w:val="21"/>
              </w:rPr>
              <w:t>Strategies</w:t>
            </w:r>
          </w:p>
        </w:tc>
        <w:tc>
          <w:tcPr>
            <w:tcW w:w="4962" w:type="dxa"/>
            <w:shd w:val="clear" w:color="auto" w:fill="4472C4" w:themeFill="accent5"/>
          </w:tcPr>
          <w:p w14:paraId="3DAAA3D3" w14:textId="77777777" w:rsidR="007A638C" w:rsidRPr="00E630D5" w:rsidRDefault="007A638C" w:rsidP="0020548E">
            <w:pPr>
              <w:spacing w:before="40"/>
              <w:rPr>
                <w:rFonts w:asciiTheme="minorHAnsi" w:hAnsiTheme="minorHAnsi" w:cstheme="minorHAnsi"/>
                <w:b/>
                <w:bCs/>
                <w:color w:val="FFFFFF" w:themeColor="background1"/>
                <w:sz w:val="21"/>
                <w:szCs w:val="21"/>
              </w:rPr>
            </w:pPr>
            <w:r w:rsidRPr="00E630D5">
              <w:rPr>
                <w:rFonts w:asciiTheme="minorHAnsi" w:hAnsiTheme="minorHAnsi" w:cstheme="minorHAnsi"/>
                <w:b/>
                <w:bCs/>
                <w:color w:val="FFFFFF" w:themeColor="background1"/>
                <w:sz w:val="21"/>
                <w:szCs w:val="21"/>
              </w:rPr>
              <w:t>Barriers</w:t>
            </w:r>
          </w:p>
        </w:tc>
      </w:tr>
      <w:tr w:rsidR="007A638C" w:rsidRPr="00D73857" w14:paraId="786ADD4E" w14:textId="77777777" w:rsidTr="007A638C">
        <w:tc>
          <w:tcPr>
            <w:tcW w:w="5098" w:type="dxa"/>
          </w:tcPr>
          <w:p w14:paraId="144D0ED3" w14:textId="436D17E7" w:rsidR="007A638C" w:rsidRPr="00EE3C3D" w:rsidRDefault="007A638C" w:rsidP="00EE3C3D">
            <w:pPr>
              <w:pStyle w:val="ListParagraph"/>
              <w:numPr>
                <w:ilvl w:val="0"/>
                <w:numId w:val="3"/>
              </w:numPr>
              <w:spacing w:before="40" w:after="0" w:line="240" w:lineRule="auto"/>
              <w:ind w:left="442" w:hanging="357"/>
              <w:contextualSpacing w:val="0"/>
              <w:rPr>
                <w:rFonts w:cstheme="minorHAnsi"/>
                <w:sz w:val="21"/>
                <w:szCs w:val="21"/>
              </w:rPr>
            </w:pPr>
            <w:r w:rsidRPr="00EE3C3D">
              <w:rPr>
                <w:rFonts w:cstheme="minorHAnsi"/>
                <w:sz w:val="21"/>
                <w:szCs w:val="21"/>
              </w:rPr>
              <w:t>Mentoring programs that are set up in a way that is effective and efficient for senior researchers as well as EMCRs (e.g. group mentoring) (example</w:t>
            </w:r>
            <w:r>
              <w:rPr>
                <w:rFonts w:cstheme="minorHAnsi"/>
                <w:sz w:val="21"/>
                <w:szCs w:val="21"/>
              </w:rPr>
              <w:t>s</w:t>
            </w:r>
            <w:r w:rsidRPr="00EE3C3D">
              <w:rPr>
                <w:rFonts w:cstheme="minorHAnsi"/>
                <w:sz w:val="21"/>
                <w:szCs w:val="21"/>
              </w:rPr>
              <w:t xml:space="preserve"> shared </w:t>
            </w:r>
            <w:r>
              <w:rPr>
                <w:rFonts w:cstheme="minorHAnsi"/>
                <w:sz w:val="21"/>
                <w:szCs w:val="21"/>
              </w:rPr>
              <w:t>were</w:t>
            </w:r>
            <w:r w:rsidRPr="00EE3C3D">
              <w:rPr>
                <w:rFonts w:cstheme="minorHAnsi"/>
                <w:sz w:val="21"/>
                <w:szCs w:val="21"/>
              </w:rPr>
              <w:t xml:space="preserve"> </w:t>
            </w:r>
            <w:r>
              <w:rPr>
                <w:rFonts w:cstheme="minorHAnsi"/>
                <w:sz w:val="21"/>
                <w:szCs w:val="21"/>
              </w:rPr>
              <w:t>t</w:t>
            </w:r>
            <w:r w:rsidRPr="00EE3C3D">
              <w:rPr>
                <w:rFonts w:cstheme="minorHAnsi"/>
                <w:sz w:val="21"/>
                <w:szCs w:val="21"/>
              </w:rPr>
              <w:t xml:space="preserve">he </w:t>
            </w:r>
            <w:hyperlink r:id="rId11" w:history="1">
              <w:r w:rsidRPr="00EE3C3D">
                <w:rPr>
                  <w:rStyle w:val="Hyperlink"/>
                  <w:rFonts w:cstheme="minorHAnsi"/>
                  <w:sz w:val="21"/>
                  <w:szCs w:val="21"/>
                </w:rPr>
                <w:t>Australian Academy of Health and Medical Sciences (AAHMS) mentoring program</w:t>
              </w:r>
            </w:hyperlink>
            <w:r w:rsidRPr="00EE3C3D">
              <w:rPr>
                <w:rFonts w:cstheme="minorHAnsi"/>
                <w:sz w:val="21"/>
                <w:szCs w:val="21"/>
              </w:rPr>
              <w:t xml:space="preserve"> for Level D and early Level E researchers</w:t>
            </w:r>
            <w:r>
              <w:rPr>
                <w:rFonts w:cstheme="minorHAnsi"/>
                <w:sz w:val="21"/>
                <w:szCs w:val="21"/>
              </w:rPr>
              <w:t xml:space="preserve">; </w:t>
            </w:r>
            <w:hyperlink r:id="rId12" w:history="1">
              <w:r w:rsidRPr="00B10DC9">
                <w:rPr>
                  <w:rStyle w:val="Hyperlink"/>
                  <w:rFonts w:cstheme="minorHAnsi"/>
                  <w:sz w:val="21"/>
                  <w:szCs w:val="21"/>
                </w:rPr>
                <w:t>The Health Services Research Association Australia New Zealand (HSRAANZ) Mentoring Program</w:t>
              </w:r>
            </w:hyperlink>
            <w:r w:rsidR="00AC0825">
              <w:rPr>
                <w:rFonts w:cstheme="minorHAnsi"/>
                <w:sz w:val="21"/>
                <w:szCs w:val="21"/>
              </w:rPr>
              <w:t xml:space="preserve">; and </w:t>
            </w:r>
            <w:hyperlink r:id="rId13" w:history="1">
              <w:r w:rsidR="00AC0825" w:rsidRPr="00AC0825">
                <w:rPr>
                  <w:rStyle w:val="Hyperlink"/>
                  <w:rFonts w:cstheme="minorHAnsi"/>
                  <w:sz w:val="21"/>
                  <w:szCs w:val="21"/>
                </w:rPr>
                <w:t>The Industry Mentoring Network in STEM (IMNIS)</w:t>
              </w:r>
            </w:hyperlink>
            <w:r w:rsidR="00AC0825">
              <w:rPr>
                <w:rFonts w:cstheme="minorHAnsi"/>
                <w:sz w:val="21"/>
                <w:szCs w:val="21"/>
              </w:rPr>
              <w:t xml:space="preserve"> by </w:t>
            </w:r>
            <w:r w:rsidR="00AC0825" w:rsidRPr="00AC0825">
              <w:rPr>
                <w:rFonts w:cstheme="minorHAnsi"/>
                <w:sz w:val="21"/>
                <w:szCs w:val="21"/>
              </w:rPr>
              <w:t>the Australian Academy of Technology and Engineering (ATSE)</w:t>
            </w:r>
            <w:r>
              <w:rPr>
                <w:rFonts w:cstheme="minorHAnsi"/>
                <w:sz w:val="21"/>
                <w:szCs w:val="21"/>
              </w:rPr>
              <w:t>)</w:t>
            </w:r>
          </w:p>
          <w:p w14:paraId="779728FD" w14:textId="77777777" w:rsidR="007A638C" w:rsidRDefault="007A638C"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 xml:space="preserve">Developing senior researchers’ mentoring skills </w:t>
            </w:r>
          </w:p>
          <w:p w14:paraId="39789916" w14:textId="006F997D" w:rsidR="007A638C" w:rsidRDefault="007A638C"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Policies that promote leadership opportunities for EMCRs</w:t>
            </w:r>
          </w:p>
          <w:p w14:paraId="0D5A5FA0" w14:textId="7D0228C5" w:rsidR="007A638C" w:rsidRDefault="007A638C"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 xml:space="preserve">Engaging with groups outside one organisation, i.e. increased networking (examples shared were </w:t>
            </w:r>
            <w:hyperlink r:id="rId14" w:history="1">
              <w:r w:rsidRPr="00B94F64">
                <w:rPr>
                  <w:rStyle w:val="Hyperlink"/>
                  <w:rFonts w:cstheme="minorHAnsi"/>
                  <w:sz w:val="21"/>
                  <w:szCs w:val="21"/>
                </w:rPr>
                <w:t>Franklin Women</w:t>
              </w:r>
            </w:hyperlink>
            <w:r>
              <w:rPr>
                <w:rFonts w:cstheme="minorHAnsi"/>
                <w:sz w:val="21"/>
                <w:szCs w:val="21"/>
              </w:rPr>
              <w:t xml:space="preserve">, a social enterprise that connects individuals and organisations within the health and medical research sector; and </w:t>
            </w:r>
            <w:hyperlink r:id="rId15" w:history="1">
              <w:r w:rsidRPr="00B94F64">
                <w:rPr>
                  <w:rStyle w:val="Hyperlink"/>
                  <w:rFonts w:cstheme="minorHAnsi"/>
                  <w:sz w:val="21"/>
                  <w:szCs w:val="21"/>
                </w:rPr>
                <w:t>Life as a Clinician-Scientist events</w:t>
              </w:r>
            </w:hyperlink>
            <w:r>
              <w:rPr>
                <w:rFonts w:cstheme="minorHAnsi"/>
                <w:sz w:val="21"/>
                <w:szCs w:val="21"/>
              </w:rPr>
              <w:t xml:space="preserve"> by AAHMS)</w:t>
            </w:r>
          </w:p>
          <w:p w14:paraId="5F6FBEA8" w14:textId="6880E53F" w:rsidR="007A638C" w:rsidRDefault="007A638C"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Career path mentoring, not just mentoring on how to secure next grant</w:t>
            </w:r>
          </w:p>
          <w:p w14:paraId="1A9EAC55" w14:textId="2361063D" w:rsidR="007A638C" w:rsidRDefault="007A638C"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lastRenderedPageBreak/>
              <w:t xml:space="preserve">Training and programs that focus on leadership development, emerging leaders, communication and media training, improving collaboration (an example shared was the </w:t>
            </w:r>
            <w:hyperlink r:id="rId16" w:history="1">
              <w:r w:rsidRPr="00B10DC9">
                <w:rPr>
                  <w:rStyle w:val="Hyperlink"/>
                  <w:rFonts w:cstheme="minorHAnsi"/>
                  <w:sz w:val="21"/>
                  <w:szCs w:val="21"/>
                </w:rPr>
                <w:t>Superstars of STEM</w:t>
              </w:r>
            </w:hyperlink>
            <w:r>
              <w:rPr>
                <w:rFonts w:cstheme="minorHAnsi"/>
                <w:sz w:val="21"/>
                <w:szCs w:val="21"/>
              </w:rPr>
              <w:t xml:space="preserve"> program by Science and Technology Australia that increases public visibility of women in STEM)</w:t>
            </w:r>
          </w:p>
          <w:p w14:paraId="46FB859E" w14:textId="7508DF84" w:rsidR="007A638C" w:rsidRPr="00EB1C38" w:rsidRDefault="007A638C" w:rsidP="00EB1C38">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Staff members/local support to help write applications</w:t>
            </w:r>
          </w:p>
        </w:tc>
        <w:tc>
          <w:tcPr>
            <w:tcW w:w="4962" w:type="dxa"/>
          </w:tcPr>
          <w:p w14:paraId="513715C8" w14:textId="53C5222D" w:rsidR="007A638C" w:rsidRPr="009451D2" w:rsidRDefault="007A638C" w:rsidP="0020548E">
            <w:pPr>
              <w:pStyle w:val="ListParagraph"/>
              <w:numPr>
                <w:ilvl w:val="0"/>
                <w:numId w:val="3"/>
              </w:numPr>
              <w:spacing w:before="40" w:after="0" w:line="240" w:lineRule="auto"/>
              <w:ind w:left="442" w:hanging="357"/>
              <w:contextualSpacing w:val="0"/>
              <w:rPr>
                <w:rFonts w:cstheme="minorHAnsi"/>
                <w:iCs/>
                <w:sz w:val="21"/>
                <w:szCs w:val="21"/>
              </w:rPr>
            </w:pPr>
            <w:r>
              <w:rPr>
                <w:rFonts w:cstheme="minorHAnsi"/>
                <w:iCs/>
                <w:sz w:val="21"/>
                <w:szCs w:val="21"/>
              </w:rPr>
              <w:lastRenderedPageBreak/>
              <w:t xml:space="preserve">Funding for positions and training are in competition </w:t>
            </w:r>
          </w:p>
          <w:p w14:paraId="22ED2654" w14:textId="77777777" w:rsidR="007A638C" w:rsidRPr="009451D2" w:rsidRDefault="007A638C" w:rsidP="0020548E">
            <w:pPr>
              <w:pStyle w:val="ListParagraph"/>
              <w:numPr>
                <w:ilvl w:val="0"/>
                <w:numId w:val="3"/>
              </w:numPr>
              <w:spacing w:before="40" w:after="0" w:line="240" w:lineRule="auto"/>
              <w:ind w:left="442" w:hanging="357"/>
              <w:contextualSpacing w:val="0"/>
              <w:rPr>
                <w:rFonts w:cstheme="minorHAnsi"/>
                <w:iCs/>
                <w:sz w:val="21"/>
                <w:szCs w:val="21"/>
              </w:rPr>
            </w:pPr>
            <w:r w:rsidRPr="009451D2">
              <w:rPr>
                <w:rFonts w:cstheme="minorHAnsi"/>
                <w:iCs/>
                <w:sz w:val="21"/>
                <w:szCs w:val="21"/>
              </w:rPr>
              <w:t>Expectation to engage with mentoring/training outside in personal time on top of normal workload</w:t>
            </w:r>
          </w:p>
          <w:p w14:paraId="5433D6CF" w14:textId="77777777" w:rsidR="007A638C" w:rsidRPr="009451D2" w:rsidRDefault="007A638C" w:rsidP="0020548E">
            <w:pPr>
              <w:pStyle w:val="ListParagraph"/>
              <w:numPr>
                <w:ilvl w:val="0"/>
                <w:numId w:val="3"/>
              </w:numPr>
              <w:spacing w:before="40" w:after="0" w:line="240" w:lineRule="auto"/>
              <w:ind w:left="442" w:hanging="357"/>
              <w:contextualSpacing w:val="0"/>
              <w:rPr>
                <w:rFonts w:cstheme="minorHAnsi"/>
                <w:iCs/>
                <w:sz w:val="21"/>
                <w:szCs w:val="21"/>
              </w:rPr>
            </w:pPr>
            <w:r>
              <w:rPr>
                <w:rFonts w:cstheme="minorHAnsi"/>
                <w:iCs/>
                <w:sz w:val="21"/>
                <w:szCs w:val="21"/>
              </w:rPr>
              <w:t xml:space="preserve">Senior researchers don’t necessarily have mentoring skills </w:t>
            </w:r>
          </w:p>
          <w:p w14:paraId="1BB42AE5" w14:textId="77777777" w:rsidR="007A638C" w:rsidRDefault="007A638C" w:rsidP="0020548E">
            <w:pPr>
              <w:pStyle w:val="ListParagraph"/>
              <w:numPr>
                <w:ilvl w:val="0"/>
                <w:numId w:val="3"/>
              </w:numPr>
              <w:spacing w:before="40" w:after="0" w:line="240" w:lineRule="auto"/>
              <w:ind w:left="442" w:hanging="357"/>
              <w:contextualSpacing w:val="0"/>
              <w:rPr>
                <w:rFonts w:cstheme="minorHAnsi"/>
                <w:iCs/>
                <w:sz w:val="21"/>
                <w:szCs w:val="21"/>
              </w:rPr>
            </w:pPr>
            <w:r w:rsidRPr="009451D2">
              <w:rPr>
                <w:rFonts w:cstheme="minorHAnsi"/>
                <w:iCs/>
                <w:sz w:val="21"/>
                <w:szCs w:val="21"/>
              </w:rPr>
              <w:t>Diverse career pathways are not apparent</w:t>
            </w:r>
          </w:p>
          <w:p w14:paraId="449B2BC0" w14:textId="121694D4" w:rsidR="007A638C" w:rsidRPr="009451D2" w:rsidRDefault="007A638C" w:rsidP="0020548E">
            <w:pPr>
              <w:pStyle w:val="ListParagraph"/>
              <w:numPr>
                <w:ilvl w:val="0"/>
                <w:numId w:val="3"/>
              </w:numPr>
              <w:spacing w:before="40" w:after="0" w:line="240" w:lineRule="auto"/>
              <w:ind w:left="442" w:hanging="357"/>
              <w:contextualSpacing w:val="0"/>
              <w:rPr>
                <w:rFonts w:cstheme="minorHAnsi"/>
                <w:iCs/>
                <w:sz w:val="21"/>
                <w:szCs w:val="21"/>
              </w:rPr>
            </w:pPr>
            <w:r>
              <w:rPr>
                <w:rFonts w:cstheme="minorHAnsi"/>
                <w:iCs/>
                <w:sz w:val="21"/>
                <w:szCs w:val="21"/>
              </w:rPr>
              <w:t xml:space="preserve">Mentoring is a skill and </w:t>
            </w:r>
            <w:r w:rsidR="00094F02">
              <w:rPr>
                <w:rFonts w:cstheme="minorHAnsi"/>
                <w:iCs/>
                <w:sz w:val="21"/>
                <w:szCs w:val="21"/>
              </w:rPr>
              <w:t>seniority in a field is not an indicator of level of mentoring skill</w:t>
            </w:r>
          </w:p>
        </w:tc>
      </w:tr>
    </w:tbl>
    <w:p w14:paraId="4BCA33AC" w14:textId="77777777" w:rsidR="00D73857" w:rsidRDefault="00D73857" w:rsidP="00D73857">
      <w:pPr>
        <w:spacing w:before="120"/>
        <w:rPr>
          <w:rFonts w:asciiTheme="minorHAnsi" w:hAnsiTheme="minorHAnsi" w:cstheme="minorHAnsi"/>
          <w:b/>
          <w:sz w:val="22"/>
          <w:szCs w:val="22"/>
        </w:rPr>
      </w:pPr>
    </w:p>
    <w:p w14:paraId="4EE63BBF" w14:textId="593CE322" w:rsidR="00033A8F" w:rsidRPr="00033A8F" w:rsidRDefault="00487E03" w:rsidP="004648D6">
      <w:pPr>
        <w:pStyle w:val="Heading3"/>
      </w:pPr>
      <w:r>
        <w:t>Topic</w:t>
      </w:r>
      <w:r w:rsidR="00033A8F" w:rsidRPr="00033A8F">
        <w:t xml:space="preserve"> 5: Support for diversity</w:t>
      </w:r>
    </w:p>
    <w:p w14:paraId="0FE28285" w14:textId="2ED2D12F" w:rsidR="00487E03" w:rsidRDefault="00F73583" w:rsidP="00487E03">
      <w:pPr>
        <w:rPr>
          <w:rFonts w:asciiTheme="minorHAnsi" w:hAnsiTheme="minorHAnsi" w:cstheme="minorHAnsi"/>
          <w:sz w:val="22"/>
          <w:szCs w:val="22"/>
        </w:rPr>
      </w:pPr>
      <w:r>
        <w:rPr>
          <w:rFonts w:asciiTheme="minorHAnsi" w:hAnsiTheme="minorHAnsi" w:cstheme="minorHAnsi"/>
          <w:sz w:val="22"/>
          <w:szCs w:val="22"/>
        </w:rPr>
        <w:t>Written f</w:t>
      </w:r>
      <w:r w:rsidRPr="00111E73">
        <w:rPr>
          <w:rFonts w:asciiTheme="minorHAnsi" w:hAnsiTheme="minorHAnsi" w:cstheme="minorHAnsi"/>
          <w:sz w:val="22"/>
          <w:szCs w:val="22"/>
        </w:rPr>
        <w:t>eedback</w:t>
      </w:r>
      <w:r>
        <w:rPr>
          <w:rFonts w:asciiTheme="minorHAnsi" w:hAnsiTheme="minorHAnsi" w:cstheme="minorHAnsi"/>
          <w:sz w:val="22"/>
          <w:szCs w:val="22"/>
        </w:rPr>
        <w:t xml:space="preserve"> </w:t>
      </w:r>
      <w:r w:rsidR="00487E03">
        <w:rPr>
          <w:rFonts w:asciiTheme="minorHAnsi" w:hAnsiTheme="minorHAnsi" w:cstheme="minorHAnsi"/>
          <w:sz w:val="22"/>
          <w:szCs w:val="22"/>
        </w:rPr>
        <w:t xml:space="preserve">prior to the Roundtable showed that institutions deployed strategies to address diversity such as policies, diversity metrics, representation in leadership, support schemes for specific groups, and unconscious bias training. The reported </w:t>
      </w:r>
      <w:r>
        <w:rPr>
          <w:rFonts w:asciiTheme="minorHAnsi" w:hAnsiTheme="minorHAnsi" w:cstheme="minorHAnsi"/>
          <w:sz w:val="22"/>
          <w:szCs w:val="22"/>
        </w:rPr>
        <w:t xml:space="preserve">barriers </w:t>
      </w:r>
      <w:r w:rsidR="00487E03">
        <w:rPr>
          <w:rFonts w:asciiTheme="minorHAnsi" w:hAnsiTheme="minorHAnsi" w:cstheme="minorHAnsi"/>
          <w:sz w:val="22"/>
          <w:szCs w:val="22"/>
        </w:rPr>
        <w:t>included the lack of diversity in senior researchers despite efforts to improve this, the challenge of providing a robust evidence base for policies and processes, and ingrained expectations of success in academia (i</w:t>
      </w:r>
      <w:r w:rsidR="001E3C25">
        <w:rPr>
          <w:rFonts w:asciiTheme="minorHAnsi" w:hAnsiTheme="minorHAnsi" w:cstheme="minorHAnsi"/>
          <w:sz w:val="22"/>
          <w:szCs w:val="22"/>
        </w:rPr>
        <w:t>.</w:t>
      </w:r>
      <w:r w:rsidR="00487E03">
        <w:rPr>
          <w:rFonts w:asciiTheme="minorHAnsi" w:hAnsiTheme="minorHAnsi" w:cstheme="minorHAnsi"/>
          <w:sz w:val="22"/>
          <w:szCs w:val="22"/>
        </w:rPr>
        <w:t xml:space="preserve">e. </w:t>
      </w:r>
      <w:r w:rsidR="001E3C25">
        <w:rPr>
          <w:rFonts w:asciiTheme="minorHAnsi" w:hAnsiTheme="minorHAnsi" w:cstheme="minorHAnsi"/>
          <w:sz w:val="22"/>
          <w:szCs w:val="22"/>
        </w:rPr>
        <w:t xml:space="preserve">numbers of </w:t>
      </w:r>
      <w:r w:rsidR="003476EB">
        <w:rPr>
          <w:rFonts w:asciiTheme="minorHAnsi" w:hAnsiTheme="minorHAnsi" w:cstheme="minorHAnsi"/>
          <w:sz w:val="22"/>
          <w:szCs w:val="22"/>
        </w:rPr>
        <w:t>Category 1 grant</w:t>
      </w:r>
      <w:r w:rsidR="001E3C25">
        <w:rPr>
          <w:rFonts w:asciiTheme="minorHAnsi" w:hAnsiTheme="minorHAnsi" w:cstheme="minorHAnsi"/>
          <w:sz w:val="22"/>
          <w:szCs w:val="22"/>
        </w:rPr>
        <w:t>s</w:t>
      </w:r>
      <w:r w:rsidR="003476EB">
        <w:rPr>
          <w:rFonts w:asciiTheme="minorHAnsi" w:hAnsiTheme="minorHAnsi" w:cstheme="minorHAnsi"/>
          <w:sz w:val="22"/>
          <w:szCs w:val="22"/>
        </w:rPr>
        <w:t xml:space="preserve"> and many peer reviewed publications). </w:t>
      </w:r>
    </w:p>
    <w:p w14:paraId="7FB5E2C2" w14:textId="2805A2E1" w:rsidR="00487E03" w:rsidRDefault="00BE2B4A" w:rsidP="00487E03">
      <w:pPr>
        <w:rPr>
          <w:rFonts w:asciiTheme="minorHAnsi" w:hAnsiTheme="minorHAnsi" w:cstheme="minorHAnsi"/>
          <w:sz w:val="22"/>
          <w:szCs w:val="22"/>
        </w:rPr>
      </w:pPr>
      <w:r w:rsidRPr="00BE2B4A">
        <w:rPr>
          <w:rFonts w:asciiTheme="minorHAnsi" w:hAnsiTheme="minorHAnsi" w:cstheme="minorHAnsi"/>
          <w:bCs/>
          <w:sz w:val="22"/>
          <w:szCs w:val="22"/>
        </w:rPr>
        <w:t>Strategies pertaining to the Roundtable purpose and barriers included:</w:t>
      </w:r>
    </w:p>
    <w:tbl>
      <w:tblPr>
        <w:tblStyle w:val="TableGrid"/>
        <w:tblW w:w="10060" w:type="dxa"/>
        <w:tblLook w:val="04A0" w:firstRow="1" w:lastRow="0" w:firstColumn="1" w:lastColumn="0" w:noHBand="0" w:noVBand="1"/>
      </w:tblPr>
      <w:tblGrid>
        <w:gridCol w:w="5098"/>
        <w:gridCol w:w="4962"/>
      </w:tblGrid>
      <w:tr w:rsidR="00EB1C38" w:rsidRPr="00D73857" w14:paraId="4CD2F381" w14:textId="77777777" w:rsidTr="00EB1C38">
        <w:tc>
          <w:tcPr>
            <w:tcW w:w="5098" w:type="dxa"/>
            <w:shd w:val="clear" w:color="auto" w:fill="4472C4" w:themeFill="accent5"/>
          </w:tcPr>
          <w:p w14:paraId="7FC92063" w14:textId="77777777" w:rsidR="00EB1C38" w:rsidRPr="00E630D5" w:rsidRDefault="00EB1C38" w:rsidP="0020548E">
            <w:pPr>
              <w:spacing w:before="40"/>
              <w:rPr>
                <w:rFonts w:asciiTheme="minorHAnsi" w:hAnsiTheme="minorHAnsi" w:cstheme="minorHAnsi"/>
                <w:b/>
                <w:bCs/>
                <w:color w:val="FFFFFF" w:themeColor="background1"/>
                <w:sz w:val="21"/>
                <w:szCs w:val="21"/>
              </w:rPr>
            </w:pPr>
            <w:r w:rsidRPr="00E630D5">
              <w:rPr>
                <w:rFonts w:asciiTheme="minorHAnsi" w:hAnsiTheme="minorHAnsi" w:cstheme="minorHAnsi"/>
                <w:b/>
                <w:bCs/>
                <w:color w:val="FFFFFF" w:themeColor="background1"/>
                <w:sz w:val="21"/>
                <w:szCs w:val="21"/>
              </w:rPr>
              <w:t>Strategies</w:t>
            </w:r>
          </w:p>
        </w:tc>
        <w:tc>
          <w:tcPr>
            <w:tcW w:w="4962" w:type="dxa"/>
            <w:shd w:val="clear" w:color="auto" w:fill="4472C4" w:themeFill="accent5"/>
          </w:tcPr>
          <w:p w14:paraId="61EC762A" w14:textId="77777777" w:rsidR="00EB1C38" w:rsidRPr="00E630D5" w:rsidRDefault="00EB1C38" w:rsidP="0020548E">
            <w:pPr>
              <w:spacing w:before="40"/>
              <w:rPr>
                <w:rFonts w:asciiTheme="minorHAnsi" w:hAnsiTheme="minorHAnsi" w:cstheme="minorHAnsi"/>
                <w:b/>
                <w:bCs/>
                <w:color w:val="FFFFFF" w:themeColor="background1"/>
                <w:sz w:val="21"/>
                <w:szCs w:val="21"/>
              </w:rPr>
            </w:pPr>
            <w:r w:rsidRPr="00E630D5">
              <w:rPr>
                <w:rFonts w:asciiTheme="minorHAnsi" w:hAnsiTheme="minorHAnsi" w:cstheme="minorHAnsi"/>
                <w:b/>
                <w:bCs/>
                <w:color w:val="FFFFFF" w:themeColor="background1"/>
                <w:sz w:val="21"/>
                <w:szCs w:val="21"/>
              </w:rPr>
              <w:t>Barriers</w:t>
            </w:r>
          </w:p>
        </w:tc>
      </w:tr>
      <w:tr w:rsidR="00EB1C38" w:rsidRPr="00D73857" w14:paraId="4D3F79C5" w14:textId="77777777" w:rsidTr="00233226">
        <w:trPr>
          <w:trHeight w:val="4952"/>
        </w:trPr>
        <w:tc>
          <w:tcPr>
            <w:tcW w:w="5098" w:type="dxa"/>
          </w:tcPr>
          <w:p w14:paraId="63459E3D" w14:textId="68AFCEEA" w:rsidR="00EB1C38" w:rsidRDefault="00EB1C38" w:rsidP="001C6D7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Statement of support for diversity from leadership to set the tone</w:t>
            </w:r>
          </w:p>
          <w:p w14:paraId="607B6807" w14:textId="6B694159" w:rsidR="00EB1C38" w:rsidRPr="000B0069" w:rsidRDefault="00EB1C38" w:rsidP="001C6D7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Actions supporting diversity from leadership</w:t>
            </w:r>
          </w:p>
          <w:p w14:paraId="7700C2F5" w14:textId="4AE5C433" w:rsidR="00EB1C38" w:rsidRDefault="00EB1C38"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 xml:space="preserve">Good chairpersons who </w:t>
            </w:r>
            <w:r w:rsidR="002B4F7C">
              <w:rPr>
                <w:rFonts w:cstheme="minorHAnsi"/>
                <w:sz w:val="21"/>
                <w:szCs w:val="21"/>
              </w:rPr>
              <w:t>can</w:t>
            </w:r>
            <w:r>
              <w:rPr>
                <w:rFonts w:cstheme="minorHAnsi"/>
                <w:sz w:val="21"/>
                <w:szCs w:val="21"/>
              </w:rPr>
              <w:t xml:space="preserve"> encourage all to speak and support constructive discussions</w:t>
            </w:r>
          </w:p>
          <w:p w14:paraId="37D44D24" w14:textId="77777777" w:rsidR="00EB1C38" w:rsidRDefault="00EB1C38"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Head of program shares their performance agreement at start of year for transparency</w:t>
            </w:r>
          </w:p>
          <w:p w14:paraId="733B14D9" w14:textId="0DDECFBD" w:rsidR="00EB1C38" w:rsidRDefault="00EB1C38"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Provide shadowing opportunities for EMCRs to attend meetings to build their soft skills (learn about how meetings are run, when to speak, committee politics)</w:t>
            </w:r>
          </w:p>
          <w:p w14:paraId="2C42394E" w14:textId="77777777" w:rsidR="00EB1C38" w:rsidRDefault="00EB1C38" w:rsidP="00EB1C38">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Generous parental leave</w:t>
            </w:r>
          </w:p>
          <w:p w14:paraId="18031D79" w14:textId="24F70646" w:rsidR="00EB1C38" w:rsidRDefault="00EB1C38"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 xml:space="preserve">Encouraging retention of EMCRs in scientific fields especially after a career break/ parental leave (an example shared was the Advance Queensland Women’s Research Assistance Program by the </w:t>
            </w:r>
            <w:hyperlink r:id="rId17" w:history="1">
              <w:r w:rsidRPr="007A638C">
                <w:rPr>
                  <w:rStyle w:val="Hyperlink"/>
                  <w:rFonts w:cstheme="minorHAnsi"/>
                  <w:sz w:val="21"/>
                  <w:szCs w:val="21"/>
                </w:rPr>
                <w:t>Queensland Government</w:t>
              </w:r>
            </w:hyperlink>
            <w:r>
              <w:rPr>
                <w:rFonts w:cstheme="minorHAnsi"/>
                <w:sz w:val="21"/>
                <w:szCs w:val="21"/>
              </w:rPr>
              <w:t>, that supports women researchers following maternity or adoption leave)</w:t>
            </w:r>
          </w:p>
          <w:p w14:paraId="69223A1B" w14:textId="27481818" w:rsidR="00EB1C38" w:rsidRDefault="00EB1C38"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Flexible working arrangements to suit different needs, for example those who have a disability or are not neuro typical</w:t>
            </w:r>
          </w:p>
          <w:p w14:paraId="395CED54" w14:textId="7E7B2AE7" w:rsidR="00EB1C38" w:rsidRDefault="00EB1C38"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Transparency in decision making</w:t>
            </w:r>
          </w:p>
          <w:p w14:paraId="5629CC90" w14:textId="4E1B81FE" w:rsidR="00EB1C38" w:rsidRDefault="00EB1C38"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Opportunities for broad, organisation-wide feedback into strategic decisions</w:t>
            </w:r>
          </w:p>
          <w:p w14:paraId="65A6CEB2" w14:textId="77777777" w:rsidR="00EB1C38" w:rsidRDefault="00EB1C38"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Anonymous feedback, being able to call out bad behaviour</w:t>
            </w:r>
          </w:p>
          <w:p w14:paraId="0CCEBF2F" w14:textId="06B96F92" w:rsidR="00EB1C38" w:rsidRDefault="00EB1C38"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 xml:space="preserve">Making workplaces more welcoming </w:t>
            </w:r>
            <w:r w:rsidR="00546D5F">
              <w:rPr>
                <w:rFonts w:cstheme="minorHAnsi"/>
                <w:sz w:val="21"/>
                <w:szCs w:val="21"/>
              </w:rPr>
              <w:t xml:space="preserve">to diversity </w:t>
            </w:r>
            <w:r>
              <w:rPr>
                <w:rFonts w:cstheme="minorHAnsi"/>
                <w:sz w:val="21"/>
                <w:szCs w:val="21"/>
              </w:rPr>
              <w:t>and inclusive by taking small but powerful actions for example saying you’re an ally, ally sticker on office door</w:t>
            </w:r>
            <w:r w:rsidR="00546D5F">
              <w:rPr>
                <w:rFonts w:cstheme="minorHAnsi"/>
                <w:sz w:val="21"/>
                <w:szCs w:val="21"/>
              </w:rPr>
              <w:t>, accommodating working from home</w:t>
            </w:r>
          </w:p>
          <w:p w14:paraId="09A40E11" w14:textId="214BE1BC" w:rsidR="00EB1C38" w:rsidRDefault="00EB1C38"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lastRenderedPageBreak/>
              <w:t>Quotas and KPIs that are reported on annually – if not met, action plans articulated to address them</w:t>
            </w:r>
          </w:p>
          <w:p w14:paraId="13981A48" w14:textId="77777777" w:rsidR="00EB1C38" w:rsidRDefault="00EB1C38" w:rsidP="0020548E">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Organisations to report staff surveys to government funders and/or publish – potential impacts on funding access and broader reputation</w:t>
            </w:r>
          </w:p>
          <w:p w14:paraId="71469B32" w14:textId="113DBC7D" w:rsidR="00EB1C38" w:rsidRPr="00EB1C38" w:rsidRDefault="00EB1C38" w:rsidP="00EB1C38">
            <w:pPr>
              <w:pStyle w:val="ListParagraph"/>
              <w:numPr>
                <w:ilvl w:val="0"/>
                <w:numId w:val="3"/>
              </w:numPr>
              <w:spacing w:before="40" w:after="0" w:line="240" w:lineRule="auto"/>
              <w:ind w:left="442" w:hanging="357"/>
              <w:contextualSpacing w:val="0"/>
              <w:rPr>
                <w:rFonts w:cstheme="minorHAnsi"/>
                <w:sz w:val="21"/>
                <w:szCs w:val="21"/>
              </w:rPr>
            </w:pPr>
            <w:r>
              <w:rPr>
                <w:rFonts w:cstheme="minorHAnsi"/>
                <w:sz w:val="21"/>
                <w:szCs w:val="21"/>
              </w:rPr>
              <w:t>Diverse representation on committees and r</w:t>
            </w:r>
            <w:r w:rsidRPr="00EB1C38">
              <w:rPr>
                <w:rFonts w:cstheme="minorHAnsi"/>
                <w:sz w:val="21"/>
                <w:szCs w:val="21"/>
              </w:rPr>
              <w:t xml:space="preserve">egular turnover of members of diversity committees – to help with workload and give </w:t>
            </w:r>
            <w:proofErr w:type="gramStart"/>
            <w:r w:rsidRPr="00EB1C38">
              <w:rPr>
                <w:rFonts w:cstheme="minorHAnsi"/>
                <w:sz w:val="21"/>
                <w:szCs w:val="21"/>
              </w:rPr>
              <w:t>other</w:t>
            </w:r>
            <w:r>
              <w:rPr>
                <w:rFonts w:cstheme="minorHAnsi"/>
                <w:sz w:val="21"/>
                <w:szCs w:val="21"/>
              </w:rPr>
              <w:t>s</w:t>
            </w:r>
            <w:proofErr w:type="gramEnd"/>
            <w:r w:rsidRPr="00EB1C38">
              <w:rPr>
                <w:rFonts w:cstheme="minorHAnsi"/>
                <w:sz w:val="21"/>
                <w:szCs w:val="21"/>
              </w:rPr>
              <w:t xml:space="preserve"> opportunities to network and be visible to executive</w:t>
            </w:r>
          </w:p>
          <w:p w14:paraId="6EE7C62E" w14:textId="21F68E9E" w:rsidR="00EB1C38" w:rsidRPr="00D73857" w:rsidRDefault="00EB1C38" w:rsidP="0020548E">
            <w:pPr>
              <w:pStyle w:val="ListParagraph"/>
              <w:numPr>
                <w:ilvl w:val="0"/>
                <w:numId w:val="3"/>
              </w:numPr>
              <w:spacing w:before="40" w:after="0" w:line="240" w:lineRule="auto"/>
              <w:ind w:left="442" w:hanging="357"/>
              <w:contextualSpacing w:val="0"/>
              <w:rPr>
                <w:rFonts w:cstheme="minorHAnsi"/>
                <w:sz w:val="21"/>
                <w:szCs w:val="21"/>
              </w:rPr>
            </w:pPr>
            <w:r w:rsidRPr="007C5F25">
              <w:rPr>
                <w:rFonts w:cstheme="minorHAnsi"/>
                <w:sz w:val="21"/>
                <w:szCs w:val="21"/>
              </w:rPr>
              <w:t>Support rural researchers to become reviewers as they may better be able to identify the true community impact that similar researchers are having</w:t>
            </w:r>
          </w:p>
        </w:tc>
        <w:tc>
          <w:tcPr>
            <w:tcW w:w="4962" w:type="dxa"/>
          </w:tcPr>
          <w:p w14:paraId="6F702E9C" w14:textId="3BA1D4DA" w:rsidR="00EB1C38" w:rsidRPr="001A1C07" w:rsidRDefault="00EB1C38" w:rsidP="0020548E">
            <w:pPr>
              <w:pStyle w:val="ListParagraph"/>
              <w:numPr>
                <w:ilvl w:val="0"/>
                <w:numId w:val="3"/>
              </w:numPr>
              <w:spacing w:before="40" w:after="0" w:line="240" w:lineRule="auto"/>
              <w:ind w:left="442" w:hanging="357"/>
              <w:contextualSpacing w:val="0"/>
              <w:rPr>
                <w:rFonts w:cstheme="minorHAnsi"/>
                <w:i/>
                <w:sz w:val="21"/>
                <w:szCs w:val="21"/>
              </w:rPr>
            </w:pPr>
            <w:r>
              <w:rPr>
                <w:rFonts w:cstheme="minorHAnsi"/>
                <w:iCs/>
                <w:sz w:val="21"/>
                <w:szCs w:val="21"/>
              </w:rPr>
              <w:lastRenderedPageBreak/>
              <w:t>Lack of evidence to evaluate success of programs/initiatives</w:t>
            </w:r>
          </w:p>
          <w:p w14:paraId="2FF752D5" w14:textId="048F9797" w:rsidR="00EB1C38" w:rsidRPr="00546D5F" w:rsidRDefault="00EB1C38" w:rsidP="0020548E">
            <w:pPr>
              <w:pStyle w:val="ListParagraph"/>
              <w:numPr>
                <w:ilvl w:val="0"/>
                <w:numId w:val="3"/>
              </w:numPr>
              <w:spacing w:before="40" w:after="0" w:line="240" w:lineRule="auto"/>
              <w:ind w:left="442" w:hanging="357"/>
              <w:contextualSpacing w:val="0"/>
              <w:rPr>
                <w:rFonts w:cstheme="minorHAnsi"/>
                <w:i/>
                <w:sz w:val="21"/>
                <w:szCs w:val="21"/>
              </w:rPr>
            </w:pPr>
            <w:r w:rsidRPr="00546D5F">
              <w:rPr>
                <w:rFonts w:cstheme="minorHAnsi"/>
                <w:iCs/>
                <w:sz w:val="21"/>
                <w:szCs w:val="21"/>
              </w:rPr>
              <w:t>Lack of transparency</w:t>
            </w:r>
            <w:r w:rsidR="00546D5F" w:rsidRPr="00546D5F">
              <w:rPr>
                <w:rFonts w:cstheme="minorHAnsi"/>
                <w:iCs/>
                <w:sz w:val="21"/>
                <w:szCs w:val="21"/>
              </w:rPr>
              <w:t xml:space="preserve"> at EMCR level</w:t>
            </w:r>
            <w:r w:rsidRPr="00546D5F">
              <w:rPr>
                <w:rFonts w:cstheme="minorHAnsi"/>
                <w:iCs/>
                <w:sz w:val="21"/>
                <w:szCs w:val="21"/>
              </w:rPr>
              <w:t xml:space="preserve"> in strategic decision making within organisations</w:t>
            </w:r>
          </w:p>
          <w:p w14:paraId="5AEA7BD8" w14:textId="6B7BBD8F" w:rsidR="00EB1C38" w:rsidRPr="009451D2" w:rsidRDefault="001757FF" w:rsidP="0020548E">
            <w:pPr>
              <w:pStyle w:val="ListParagraph"/>
              <w:numPr>
                <w:ilvl w:val="0"/>
                <w:numId w:val="3"/>
              </w:numPr>
              <w:spacing w:before="40" w:after="0" w:line="240" w:lineRule="auto"/>
              <w:ind w:left="442" w:hanging="357"/>
              <w:contextualSpacing w:val="0"/>
              <w:rPr>
                <w:rFonts w:cstheme="minorHAnsi"/>
                <w:i/>
                <w:sz w:val="21"/>
                <w:szCs w:val="21"/>
              </w:rPr>
            </w:pPr>
            <w:r>
              <w:rPr>
                <w:rFonts w:cstheme="minorHAnsi"/>
                <w:sz w:val="21"/>
                <w:szCs w:val="21"/>
              </w:rPr>
              <w:t xml:space="preserve">A single </w:t>
            </w:r>
            <w:r w:rsidR="00EB1C38">
              <w:rPr>
                <w:rFonts w:cstheme="minorHAnsi"/>
                <w:sz w:val="21"/>
                <w:szCs w:val="21"/>
              </w:rPr>
              <w:t>‘diverse’ person</w:t>
            </w:r>
            <w:r>
              <w:rPr>
                <w:rFonts w:cstheme="minorHAnsi"/>
                <w:sz w:val="21"/>
                <w:szCs w:val="21"/>
              </w:rPr>
              <w:t xml:space="preserve"> contributing to a variety of service and Governance roles (e.g. on Boards and Committees)</w:t>
            </w:r>
            <w:r w:rsidR="00EB1C38">
              <w:rPr>
                <w:rFonts w:cstheme="minorHAnsi"/>
                <w:sz w:val="21"/>
                <w:szCs w:val="21"/>
              </w:rPr>
              <w:t xml:space="preserve"> is not </w:t>
            </w:r>
            <w:r>
              <w:rPr>
                <w:rFonts w:cstheme="minorHAnsi"/>
                <w:sz w:val="21"/>
                <w:szCs w:val="21"/>
              </w:rPr>
              <w:t xml:space="preserve">a </w:t>
            </w:r>
            <w:r w:rsidR="00EB1C38">
              <w:rPr>
                <w:rFonts w:cstheme="minorHAnsi"/>
                <w:sz w:val="21"/>
                <w:szCs w:val="21"/>
              </w:rPr>
              <w:t xml:space="preserve">true </w:t>
            </w:r>
            <w:r>
              <w:rPr>
                <w:rFonts w:cstheme="minorHAnsi"/>
                <w:sz w:val="21"/>
                <w:szCs w:val="21"/>
              </w:rPr>
              <w:t xml:space="preserve">representation of </w:t>
            </w:r>
            <w:r w:rsidR="00EB1C38">
              <w:rPr>
                <w:rFonts w:cstheme="minorHAnsi"/>
                <w:sz w:val="21"/>
                <w:szCs w:val="21"/>
              </w:rPr>
              <w:t>diversity</w:t>
            </w:r>
          </w:p>
          <w:p w14:paraId="1C7DCA22" w14:textId="1EBE25A4" w:rsidR="00EB1C38" w:rsidRPr="00024E53" w:rsidRDefault="00EB1C38" w:rsidP="0020548E">
            <w:pPr>
              <w:pStyle w:val="ListParagraph"/>
              <w:numPr>
                <w:ilvl w:val="0"/>
                <w:numId w:val="3"/>
              </w:numPr>
              <w:spacing w:before="40" w:after="0" w:line="240" w:lineRule="auto"/>
              <w:ind w:left="442" w:hanging="357"/>
              <w:contextualSpacing w:val="0"/>
              <w:rPr>
                <w:rFonts w:cstheme="minorHAnsi"/>
                <w:i/>
                <w:sz w:val="21"/>
                <w:szCs w:val="21"/>
              </w:rPr>
            </w:pPr>
            <w:r w:rsidRPr="009451D2">
              <w:rPr>
                <w:rFonts w:cstheme="minorHAnsi"/>
                <w:sz w:val="21"/>
                <w:szCs w:val="21"/>
              </w:rPr>
              <w:t>Lack of accountability</w:t>
            </w:r>
          </w:p>
        </w:tc>
      </w:tr>
    </w:tbl>
    <w:p w14:paraId="1C5C3C7F" w14:textId="77777777" w:rsidR="00225F68" w:rsidRDefault="00225F68" w:rsidP="00225F68">
      <w:pPr>
        <w:rPr>
          <w:rFonts w:asciiTheme="minorHAnsi" w:eastAsia="Times New Roman" w:hAnsiTheme="minorHAnsi" w:cstheme="minorHAnsi"/>
          <w:sz w:val="22"/>
          <w:szCs w:val="22"/>
          <w:lang w:val="en" w:eastAsia="en-AU"/>
        </w:rPr>
      </w:pPr>
    </w:p>
    <w:p w14:paraId="1989A5E3" w14:textId="3E6D73C9" w:rsidR="00225F68" w:rsidRDefault="00225F68" w:rsidP="004648D6">
      <w:pPr>
        <w:pStyle w:val="Heading2"/>
      </w:pPr>
      <w:r>
        <w:t>NEXT STEPS</w:t>
      </w:r>
    </w:p>
    <w:p w14:paraId="50ADAF75" w14:textId="53B10653" w:rsidR="00225F68" w:rsidRDefault="009451D2" w:rsidP="00225F68">
      <w:pPr>
        <w:rPr>
          <w:rFonts w:asciiTheme="minorHAnsi" w:eastAsia="Times New Roman" w:hAnsiTheme="minorHAnsi" w:cstheme="minorHAnsi"/>
          <w:sz w:val="22"/>
          <w:szCs w:val="22"/>
          <w:lang w:val="en" w:eastAsia="en-AU"/>
        </w:rPr>
      </w:pPr>
      <w:r w:rsidRPr="009451D2">
        <w:rPr>
          <w:rFonts w:asciiTheme="minorHAnsi" w:eastAsia="Times New Roman" w:hAnsiTheme="minorHAnsi" w:cstheme="minorHAnsi"/>
          <w:sz w:val="22"/>
          <w:szCs w:val="22"/>
          <w:lang w:val="en" w:eastAsia="en-AU"/>
        </w:rPr>
        <w:t xml:space="preserve">The Roundtable highlighted several examples of success and strategies that may have potential to be </w:t>
      </w:r>
      <w:r w:rsidR="007F7AA3">
        <w:rPr>
          <w:rFonts w:asciiTheme="minorHAnsi" w:eastAsia="Times New Roman" w:hAnsiTheme="minorHAnsi" w:cstheme="minorHAnsi"/>
          <w:sz w:val="22"/>
          <w:szCs w:val="22"/>
          <w:lang w:val="en" w:eastAsia="en-AU"/>
        </w:rPr>
        <w:t xml:space="preserve">refined and/or </w:t>
      </w:r>
      <w:r w:rsidRPr="009451D2">
        <w:rPr>
          <w:rFonts w:asciiTheme="minorHAnsi" w:eastAsia="Times New Roman" w:hAnsiTheme="minorHAnsi" w:cstheme="minorHAnsi"/>
          <w:sz w:val="22"/>
          <w:szCs w:val="22"/>
          <w:lang w:val="en" w:eastAsia="en-AU"/>
        </w:rPr>
        <w:t>adopted by</w:t>
      </w:r>
      <w:r w:rsidR="008C0550">
        <w:rPr>
          <w:rFonts w:asciiTheme="minorHAnsi" w:eastAsia="Times New Roman" w:hAnsiTheme="minorHAnsi" w:cstheme="minorHAnsi"/>
          <w:sz w:val="22"/>
          <w:szCs w:val="22"/>
          <w:lang w:val="en" w:eastAsia="en-AU"/>
        </w:rPr>
        <w:t xml:space="preserve"> other</w:t>
      </w:r>
      <w:r w:rsidRPr="009451D2">
        <w:rPr>
          <w:rFonts w:asciiTheme="minorHAnsi" w:eastAsia="Times New Roman" w:hAnsiTheme="minorHAnsi" w:cstheme="minorHAnsi"/>
          <w:sz w:val="22"/>
          <w:szCs w:val="22"/>
          <w:lang w:val="en" w:eastAsia="en-AU"/>
        </w:rPr>
        <w:t xml:space="preserve"> organisations more broadly. </w:t>
      </w:r>
      <w:r w:rsidR="00F73583">
        <w:rPr>
          <w:rFonts w:asciiTheme="minorHAnsi" w:eastAsia="Times New Roman" w:hAnsiTheme="minorHAnsi" w:cstheme="minorHAnsi"/>
          <w:sz w:val="22"/>
          <w:szCs w:val="22"/>
          <w:lang w:val="en" w:eastAsia="en-AU"/>
        </w:rPr>
        <w:t xml:space="preserve">Stakeholders are strongly encouraged to reflect on the discussion and ideas raised and </w:t>
      </w:r>
      <w:r w:rsidR="008E5299">
        <w:rPr>
          <w:rFonts w:asciiTheme="minorHAnsi" w:eastAsia="Times New Roman" w:hAnsiTheme="minorHAnsi" w:cstheme="minorHAnsi"/>
          <w:sz w:val="22"/>
          <w:szCs w:val="22"/>
          <w:lang w:val="en" w:eastAsia="en-AU"/>
        </w:rPr>
        <w:t>consider incorporating these ideas</w:t>
      </w:r>
      <w:r w:rsidR="00F73583">
        <w:rPr>
          <w:rFonts w:asciiTheme="minorHAnsi" w:eastAsia="Times New Roman" w:hAnsiTheme="minorHAnsi" w:cstheme="minorHAnsi"/>
          <w:sz w:val="22"/>
          <w:szCs w:val="22"/>
          <w:lang w:val="en" w:eastAsia="en-AU"/>
        </w:rPr>
        <w:t xml:space="preserve">, where possible, </w:t>
      </w:r>
      <w:r w:rsidR="008E5299">
        <w:rPr>
          <w:rFonts w:asciiTheme="minorHAnsi" w:eastAsia="Times New Roman" w:hAnsiTheme="minorHAnsi" w:cstheme="minorHAnsi"/>
          <w:sz w:val="22"/>
          <w:szCs w:val="22"/>
          <w:lang w:val="en" w:eastAsia="en-AU"/>
        </w:rPr>
        <w:t xml:space="preserve">as part of ongoing efforts </w:t>
      </w:r>
      <w:r w:rsidR="00F73583">
        <w:rPr>
          <w:rFonts w:asciiTheme="minorHAnsi" w:eastAsia="Times New Roman" w:hAnsiTheme="minorHAnsi" w:cstheme="minorHAnsi"/>
          <w:sz w:val="22"/>
          <w:szCs w:val="22"/>
          <w:lang w:val="en" w:eastAsia="en-AU"/>
        </w:rPr>
        <w:t xml:space="preserve">to better support EMCRs within the health and medical </w:t>
      </w:r>
      <w:r w:rsidR="008231D5">
        <w:rPr>
          <w:rFonts w:asciiTheme="minorHAnsi" w:eastAsia="Times New Roman" w:hAnsiTheme="minorHAnsi" w:cstheme="minorHAnsi"/>
          <w:sz w:val="22"/>
          <w:szCs w:val="22"/>
          <w:lang w:val="en" w:eastAsia="en-AU"/>
        </w:rPr>
        <w:t>research</w:t>
      </w:r>
      <w:r w:rsidR="00F73583">
        <w:rPr>
          <w:rFonts w:asciiTheme="minorHAnsi" w:eastAsia="Times New Roman" w:hAnsiTheme="minorHAnsi" w:cstheme="minorHAnsi"/>
          <w:sz w:val="22"/>
          <w:szCs w:val="22"/>
          <w:lang w:val="en" w:eastAsia="en-AU"/>
        </w:rPr>
        <w:t xml:space="preserve"> sector</w:t>
      </w:r>
      <w:r w:rsidR="008E5299">
        <w:rPr>
          <w:rFonts w:asciiTheme="minorHAnsi" w:eastAsia="Times New Roman" w:hAnsiTheme="minorHAnsi" w:cstheme="minorHAnsi"/>
          <w:sz w:val="22"/>
          <w:szCs w:val="22"/>
          <w:lang w:val="en" w:eastAsia="en-AU"/>
        </w:rPr>
        <w:t>.</w:t>
      </w:r>
    </w:p>
    <w:p w14:paraId="112EE1AE" w14:textId="2F873157" w:rsidR="009451D2" w:rsidRPr="008C0550" w:rsidRDefault="00F73583" w:rsidP="009451D2">
      <w:pPr>
        <w:rPr>
          <w:rFonts w:asciiTheme="minorHAnsi" w:eastAsia="Times New Roman" w:hAnsiTheme="minorHAnsi" w:cstheme="minorHAnsi"/>
          <w:sz w:val="22"/>
          <w:szCs w:val="22"/>
          <w:lang w:val="en" w:eastAsia="en-AU"/>
        </w:rPr>
      </w:pPr>
      <w:r>
        <w:rPr>
          <w:rFonts w:asciiTheme="minorHAnsi" w:eastAsia="Times New Roman" w:hAnsiTheme="minorHAnsi" w:cstheme="minorHAnsi"/>
          <w:sz w:val="22"/>
          <w:szCs w:val="22"/>
          <w:lang w:val="en" w:eastAsia="en-AU"/>
        </w:rPr>
        <w:t>The Department may f</w:t>
      </w:r>
      <w:r w:rsidR="008C0550" w:rsidRPr="008C0550">
        <w:rPr>
          <w:rFonts w:asciiTheme="minorHAnsi" w:eastAsia="Times New Roman" w:hAnsiTheme="minorHAnsi" w:cstheme="minorHAnsi"/>
          <w:sz w:val="22"/>
          <w:szCs w:val="22"/>
          <w:lang w:val="en" w:eastAsia="en-AU"/>
        </w:rPr>
        <w:t>ollow-up</w:t>
      </w:r>
      <w:r w:rsidR="00560A3C">
        <w:rPr>
          <w:rFonts w:asciiTheme="minorHAnsi" w:eastAsia="Times New Roman" w:hAnsiTheme="minorHAnsi" w:cstheme="minorHAnsi"/>
          <w:sz w:val="22"/>
          <w:szCs w:val="22"/>
          <w:lang w:val="en" w:eastAsia="en-AU"/>
        </w:rPr>
        <w:t xml:space="preserve"> </w:t>
      </w:r>
      <w:r>
        <w:rPr>
          <w:rFonts w:asciiTheme="minorHAnsi" w:eastAsia="Times New Roman" w:hAnsiTheme="minorHAnsi" w:cstheme="minorHAnsi"/>
          <w:sz w:val="22"/>
          <w:szCs w:val="22"/>
          <w:lang w:val="en" w:eastAsia="en-AU"/>
        </w:rPr>
        <w:t>with organisations in due course</w:t>
      </w:r>
      <w:r w:rsidR="006C37D7">
        <w:rPr>
          <w:rFonts w:asciiTheme="minorHAnsi" w:eastAsia="Times New Roman" w:hAnsiTheme="minorHAnsi" w:cstheme="minorHAnsi"/>
          <w:sz w:val="22"/>
          <w:szCs w:val="22"/>
          <w:lang w:val="en" w:eastAsia="en-AU"/>
        </w:rPr>
        <w:t>, via a survey or other mechanisms to</w:t>
      </w:r>
      <w:r w:rsidR="00AF3B07">
        <w:rPr>
          <w:rFonts w:asciiTheme="minorHAnsi" w:eastAsia="Times New Roman" w:hAnsiTheme="minorHAnsi" w:cstheme="minorHAnsi"/>
          <w:sz w:val="22"/>
          <w:szCs w:val="22"/>
          <w:lang w:val="en" w:eastAsia="en-AU"/>
        </w:rPr>
        <w:t xml:space="preserve"> discuss implementation of EMCR support strategies</w:t>
      </w:r>
      <w:r w:rsidR="006C37D7">
        <w:rPr>
          <w:rFonts w:asciiTheme="minorHAnsi" w:eastAsia="Times New Roman" w:hAnsiTheme="minorHAnsi" w:cstheme="minorHAnsi"/>
          <w:sz w:val="22"/>
          <w:szCs w:val="22"/>
          <w:lang w:val="en" w:eastAsia="en-AU"/>
        </w:rPr>
        <w:t>.</w:t>
      </w:r>
    </w:p>
    <w:p w14:paraId="2F836FB9" w14:textId="601F3C0D" w:rsidR="00147C27" w:rsidRPr="00147C27" w:rsidRDefault="00147C27" w:rsidP="00392E65">
      <w:pPr>
        <w:rPr>
          <w:rFonts w:asciiTheme="minorHAnsi" w:hAnsiTheme="minorHAnsi" w:cstheme="minorHAnsi"/>
          <w:sz w:val="22"/>
          <w:szCs w:val="22"/>
        </w:rPr>
      </w:pPr>
    </w:p>
    <w:sectPr w:rsidR="00147C27" w:rsidRPr="00147C27" w:rsidSect="00D73857">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5327E" w14:textId="77777777" w:rsidR="00647600" w:rsidRDefault="00647600" w:rsidP="00806500">
      <w:pPr>
        <w:spacing w:after="0" w:line="240" w:lineRule="auto"/>
      </w:pPr>
      <w:r>
        <w:separator/>
      </w:r>
    </w:p>
  </w:endnote>
  <w:endnote w:type="continuationSeparator" w:id="0">
    <w:p w14:paraId="6480BC84" w14:textId="77777777" w:rsidR="00647600" w:rsidRDefault="00647600" w:rsidP="0080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719189"/>
      <w:docPartObj>
        <w:docPartGallery w:val="Page Numbers (Bottom of Page)"/>
        <w:docPartUnique/>
      </w:docPartObj>
    </w:sdtPr>
    <w:sdtEndPr>
      <w:rPr>
        <w:rFonts w:asciiTheme="minorHAnsi" w:hAnsiTheme="minorHAnsi" w:cstheme="minorHAnsi"/>
        <w:noProof/>
        <w:sz w:val="22"/>
        <w:szCs w:val="22"/>
      </w:rPr>
    </w:sdtEndPr>
    <w:sdtContent>
      <w:p w14:paraId="51A3170E" w14:textId="4EE37597" w:rsidR="0020548E" w:rsidRPr="00806500" w:rsidRDefault="0020548E">
        <w:pPr>
          <w:pStyle w:val="Footer"/>
          <w:jc w:val="right"/>
          <w:rPr>
            <w:rFonts w:asciiTheme="minorHAnsi" w:hAnsiTheme="minorHAnsi" w:cstheme="minorHAnsi"/>
            <w:sz w:val="22"/>
            <w:szCs w:val="22"/>
          </w:rPr>
        </w:pPr>
        <w:r w:rsidRPr="00806500">
          <w:rPr>
            <w:rFonts w:asciiTheme="minorHAnsi" w:hAnsiTheme="minorHAnsi" w:cstheme="minorHAnsi"/>
            <w:sz w:val="22"/>
            <w:szCs w:val="22"/>
          </w:rPr>
          <w:fldChar w:fldCharType="begin"/>
        </w:r>
        <w:r w:rsidRPr="00806500">
          <w:rPr>
            <w:rFonts w:asciiTheme="minorHAnsi" w:hAnsiTheme="minorHAnsi" w:cstheme="minorHAnsi"/>
            <w:sz w:val="22"/>
            <w:szCs w:val="22"/>
          </w:rPr>
          <w:instrText xml:space="preserve"> PAGE   \* MERGEFORMAT </w:instrText>
        </w:r>
        <w:r w:rsidRPr="00806500">
          <w:rPr>
            <w:rFonts w:asciiTheme="minorHAnsi" w:hAnsiTheme="minorHAnsi" w:cstheme="minorHAnsi"/>
            <w:sz w:val="22"/>
            <w:szCs w:val="22"/>
          </w:rPr>
          <w:fldChar w:fldCharType="separate"/>
        </w:r>
        <w:r>
          <w:rPr>
            <w:rFonts w:asciiTheme="minorHAnsi" w:hAnsiTheme="minorHAnsi" w:cstheme="minorHAnsi"/>
            <w:noProof/>
            <w:sz w:val="22"/>
            <w:szCs w:val="22"/>
          </w:rPr>
          <w:t>6</w:t>
        </w:r>
        <w:r w:rsidRPr="00806500">
          <w:rPr>
            <w:rFonts w:asciiTheme="minorHAnsi" w:hAnsiTheme="minorHAnsi" w:cstheme="minorHAnsi"/>
            <w:noProof/>
            <w:sz w:val="22"/>
            <w:szCs w:val="22"/>
          </w:rPr>
          <w:fldChar w:fldCharType="end"/>
        </w:r>
      </w:p>
    </w:sdtContent>
  </w:sdt>
  <w:p w14:paraId="78B8623A" w14:textId="77777777" w:rsidR="0020548E" w:rsidRDefault="00205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130DE" w14:textId="77777777" w:rsidR="00647600" w:rsidRDefault="00647600" w:rsidP="00806500">
      <w:pPr>
        <w:spacing w:after="0" w:line="240" w:lineRule="auto"/>
      </w:pPr>
      <w:r>
        <w:separator/>
      </w:r>
    </w:p>
  </w:footnote>
  <w:footnote w:type="continuationSeparator" w:id="0">
    <w:p w14:paraId="6698F360" w14:textId="77777777" w:rsidR="00647600" w:rsidRDefault="00647600" w:rsidP="00806500">
      <w:pPr>
        <w:spacing w:after="0" w:line="240" w:lineRule="auto"/>
      </w:pPr>
      <w:r>
        <w:continuationSeparator/>
      </w:r>
    </w:p>
  </w:footnote>
  <w:footnote w:id="1">
    <w:p w14:paraId="0E17BC5A" w14:textId="355A0D8E" w:rsidR="0020548E" w:rsidRPr="00F65A5C" w:rsidRDefault="0020548E">
      <w:pPr>
        <w:pStyle w:val="FootnoteText"/>
        <w:rPr>
          <w:rFonts w:asciiTheme="minorHAnsi" w:hAnsiTheme="minorHAnsi" w:cstheme="minorHAnsi"/>
        </w:rPr>
      </w:pPr>
      <w:r>
        <w:rPr>
          <w:rStyle w:val="FootnoteReference"/>
        </w:rPr>
        <w:footnoteRef/>
      </w:r>
      <w:r>
        <w:t xml:space="preserve"> </w:t>
      </w:r>
      <w:r w:rsidRPr="00E630D5">
        <w:rPr>
          <w:rFonts w:asciiTheme="minorHAnsi" w:hAnsiTheme="minorHAnsi" w:cstheme="minorHAnsi"/>
        </w:rPr>
        <w:t xml:space="preserve">The Department defines EMCRs as emerging researchers within their first ten years of academic or other research-related employment, following completion of postgraduate research training (with consideration for career </w:t>
      </w:r>
      <w:r w:rsidRPr="00F65A5C">
        <w:rPr>
          <w:rFonts w:asciiTheme="minorHAnsi" w:hAnsiTheme="minorHAnsi" w:cstheme="minorHAnsi"/>
        </w:rPr>
        <w:t>disruptions). There is no age limit on who can be an EMCR.</w:t>
      </w:r>
    </w:p>
  </w:footnote>
  <w:footnote w:id="2">
    <w:p w14:paraId="0340ACF3" w14:textId="22EED121" w:rsidR="00F65A5C" w:rsidRDefault="00F65A5C">
      <w:pPr>
        <w:pStyle w:val="FootnoteText"/>
      </w:pPr>
      <w:r w:rsidRPr="00F65A5C">
        <w:rPr>
          <w:rStyle w:val="FootnoteReference"/>
          <w:rFonts w:asciiTheme="minorHAnsi" w:hAnsiTheme="minorHAnsi" w:cstheme="minorHAnsi"/>
        </w:rPr>
        <w:footnoteRef/>
      </w:r>
      <w:r w:rsidRPr="00F65A5C">
        <w:rPr>
          <w:rFonts w:asciiTheme="minorHAnsi" w:hAnsiTheme="minorHAnsi" w:cstheme="minorHAnsi"/>
        </w:rPr>
        <w:t xml:space="preserve"> Stakeholders that would be interested in and could contribute to this space were identified through internal consultation within the Department</w:t>
      </w:r>
      <w:r>
        <w:rPr>
          <w:rFonts w:asciiTheme="minorHAnsi" w:hAnsiTheme="minorHAnsi" w:cstheme="minorHAnsi"/>
        </w:rPr>
        <w:t xml:space="preserve"> and</w:t>
      </w:r>
      <w:r w:rsidRPr="00F65A5C">
        <w:rPr>
          <w:rFonts w:asciiTheme="minorHAnsi" w:hAnsiTheme="minorHAnsi" w:cstheme="minorHAnsi"/>
        </w:rPr>
        <w:t xml:space="preserve"> discussions with broader stakeholders</w:t>
      </w:r>
      <w:r w:rsidR="001C23F3">
        <w:rPr>
          <w:rFonts w:asciiTheme="minorHAnsi" w:hAnsiTheme="minorHAnsi" w:cstheme="minorHAnsi"/>
        </w:rPr>
        <w:t xml:space="preserve"> as part of the 6 May Roundtable</w:t>
      </w:r>
      <w:r w:rsidRPr="00F65A5C">
        <w:rPr>
          <w:rFonts w:asciiTheme="minorHAns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F403D"/>
    <w:multiLevelType w:val="hybridMultilevel"/>
    <w:tmpl w:val="308237D8"/>
    <w:lvl w:ilvl="0" w:tplc="0D04CFB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A730C1"/>
    <w:multiLevelType w:val="hybridMultilevel"/>
    <w:tmpl w:val="222654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D575BF"/>
    <w:multiLevelType w:val="hybridMultilevel"/>
    <w:tmpl w:val="05F01EA4"/>
    <w:lvl w:ilvl="0" w:tplc="0D04CFB6">
      <w:start w:val="1"/>
      <w:numFmt w:val="bullet"/>
      <w:lvlText w:val=""/>
      <w:lvlJc w:val="left"/>
      <w:pPr>
        <w:ind w:left="720" w:hanging="360"/>
      </w:pPr>
      <w:rPr>
        <w:rFonts w:ascii="Symbol" w:hAnsi="Symbol" w:hint="default"/>
      </w:rPr>
    </w:lvl>
    <w:lvl w:ilvl="1" w:tplc="0C090003" w:tentative="1">
      <w:start w:val="1"/>
      <w:numFmt w:val="bullet"/>
      <w:lvlText w:val="o"/>
      <w:lvlJc w:val="left"/>
      <w:pPr>
        <w:ind w:left="-702" w:hanging="360"/>
      </w:pPr>
      <w:rPr>
        <w:rFonts w:ascii="Courier New" w:hAnsi="Courier New" w:cs="Courier New" w:hint="default"/>
      </w:rPr>
    </w:lvl>
    <w:lvl w:ilvl="2" w:tplc="0C090005" w:tentative="1">
      <w:start w:val="1"/>
      <w:numFmt w:val="bullet"/>
      <w:lvlText w:val=""/>
      <w:lvlJc w:val="left"/>
      <w:pPr>
        <w:ind w:left="18" w:hanging="360"/>
      </w:pPr>
      <w:rPr>
        <w:rFonts w:ascii="Wingdings" w:hAnsi="Wingdings" w:hint="default"/>
      </w:rPr>
    </w:lvl>
    <w:lvl w:ilvl="3" w:tplc="0C090001" w:tentative="1">
      <w:start w:val="1"/>
      <w:numFmt w:val="bullet"/>
      <w:lvlText w:val=""/>
      <w:lvlJc w:val="left"/>
      <w:pPr>
        <w:ind w:left="738" w:hanging="360"/>
      </w:pPr>
      <w:rPr>
        <w:rFonts w:ascii="Symbol" w:hAnsi="Symbol" w:hint="default"/>
      </w:rPr>
    </w:lvl>
    <w:lvl w:ilvl="4" w:tplc="0C090003" w:tentative="1">
      <w:start w:val="1"/>
      <w:numFmt w:val="bullet"/>
      <w:lvlText w:val="o"/>
      <w:lvlJc w:val="left"/>
      <w:pPr>
        <w:ind w:left="1458" w:hanging="360"/>
      </w:pPr>
      <w:rPr>
        <w:rFonts w:ascii="Courier New" w:hAnsi="Courier New" w:cs="Courier New" w:hint="default"/>
      </w:rPr>
    </w:lvl>
    <w:lvl w:ilvl="5" w:tplc="0C090005" w:tentative="1">
      <w:start w:val="1"/>
      <w:numFmt w:val="bullet"/>
      <w:lvlText w:val=""/>
      <w:lvlJc w:val="left"/>
      <w:pPr>
        <w:ind w:left="2178" w:hanging="360"/>
      </w:pPr>
      <w:rPr>
        <w:rFonts w:ascii="Wingdings" w:hAnsi="Wingdings" w:hint="default"/>
      </w:rPr>
    </w:lvl>
    <w:lvl w:ilvl="6" w:tplc="0C090001" w:tentative="1">
      <w:start w:val="1"/>
      <w:numFmt w:val="bullet"/>
      <w:lvlText w:val=""/>
      <w:lvlJc w:val="left"/>
      <w:pPr>
        <w:ind w:left="2898" w:hanging="360"/>
      </w:pPr>
      <w:rPr>
        <w:rFonts w:ascii="Symbol" w:hAnsi="Symbol" w:hint="default"/>
      </w:rPr>
    </w:lvl>
    <w:lvl w:ilvl="7" w:tplc="0C090003" w:tentative="1">
      <w:start w:val="1"/>
      <w:numFmt w:val="bullet"/>
      <w:lvlText w:val="o"/>
      <w:lvlJc w:val="left"/>
      <w:pPr>
        <w:ind w:left="3618" w:hanging="360"/>
      </w:pPr>
      <w:rPr>
        <w:rFonts w:ascii="Courier New" w:hAnsi="Courier New" w:cs="Courier New" w:hint="default"/>
      </w:rPr>
    </w:lvl>
    <w:lvl w:ilvl="8" w:tplc="0C090005" w:tentative="1">
      <w:start w:val="1"/>
      <w:numFmt w:val="bullet"/>
      <w:lvlText w:val=""/>
      <w:lvlJc w:val="left"/>
      <w:pPr>
        <w:ind w:left="4338" w:hanging="360"/>
      </w:pPr>
      <w:rPr>
        <w:rFonts w:ascii="Wingdings" w:hAnsi="Wingdings" w:hint="default"/>
      </w:rPr>
    </w:lvl>
  </w:abstractNum>
  <w:abstractNum w:abstractNumId="3" w15:restartNumberingAfterBreak="0">
    <w:nsid w:val="1B1C3F2A"/>
    <w:multiLevelType w:val="hybridMultilevel"/>
    <w:tmpl w:val="2098C256"/>
    <w:lvl w:ilvl="0" w:tplc="194CE336">
      <w:start w:val="1"/>
      <w:numFmt w:val="decimal"/>
      <w:lvlText w:val="%1."/>
      <w:lvlJc w:val="left"/>
      <w:pPr>
        <w:ind w:left="802" w:hanging="360"/>
      </w:pPr>
      <w:rPr>
        <w:rFonts w:hint="default"/>
      </w:rPr>
    </w:lvl>
    <w:lvl w:ilvl="1" w:tplc="0C090019" w:tentative="1">
      <w:start w:val="1"/>
      <w:numFmt w:val="lowerLetter"/>
      <w:lvlText w:val="%2."/>
      <w:lvlJc w:val="left"/>
      <w:pPr>
        <w:ind w:left="1522" w:hanging="360"/>
      </w:pPr>
    </w:lvl>
    <w:lvl w:ilvl="2" w:tplc="0C09001B" w:tentative="1">
      <w:start w:val="1"/>
      <w:numFmt w:val="lowerRoman"/>
      <w:lvlText w:val="%3."/>
      <w:lvlJc w:val="right"/>
      <w:pPr>
        <w:ind w:left="2242" w:hanging="180"/>
      </w:pPr>
    </w:lvl>
    <w:lvl w:ilvl="3" w:tplc="0C09000F" w:tentative="1">
      <w:start w:val="1"/>
      <w:numFmt w:val="decimal"/>
      <w:lvlText w:val="%4."/>
      <w:lvlJc w:val="left"/>
      <w:pPr>
        <w:ind w:left="2962" w:hanging="360"/>
      </w:pPr>
    </w:lvl>
    <w:lvl w:ilvl="4" w:tplc="0C090019" w:tentative="1">
      <w:start w:val="1"/>
      <w:numFmt w:val="lowerLetter"/>
      <w:lvlText w:val="%5."/>
      <w:lvlJc w:val="left"/>
      <w:pPr>
        <w:ind w:left="3682" w:hanging="360"/>
      </w:pPr>
    </w:lvl>
    <w:lvl w:ilvl="5" w:tplc="0C09001B" w:tentative="1">
      <w:start w:val="1"/>
      <w:numFmt w:val="lowerRoman"/>
      <w:lvlText w:val="%6."/>
      <w:lvlJc w:val="right"/>
      <w:pPr>
        <w:ind w:left="4402" w:hanging="180"/>
      </w:pPr>
    </w:lvl>
    <w:lvl w:ilvl="6" w:tplc="0C09000F" w:tentative="1">
      <w:start w:val="1"/>
      <w:numFmt w:val="decimal"/>
      <w:lvlText w:val="%7."/>
      <w:lvlJc w:val="left"/>
      <w:pPr>
        <w:ind w:left="5122" w:hanging="360"/>
      </w:pPr>
    </w:lvl>
    <w:lvl w:ilvl="7" w:tplc="0C090019" w:tentative="1">
      <w:start w:val="1"/>
      <w:numFmt w:val="lowerLetter"/>
      <w:lvlText w:val="%8."/>
      <w:lvlJc w:val="left"/>
      <w:pPr>
        <w:ind w:left="5842" w:hanging="360"/>
      </w:pPr>
    </w:lvl>
    <w:lvl w:ilvl="8" w:tplc="0C09001B" w:tentative="1">
      <w:start w:val="1"/>
      <w:numFmt w:val="lowerRoman"/>
      <w:lvlText w:val="%9."/>
      <w:lvlJc w:val="right"/>
      <w:pPr>
        <w:ind w:left="6562" w:hanging="180"/>
      </w:pPr>
    </w:lvl>
  </w:abstractNum>
  <w:abstractNum w:abstractNumId="4" w15:restartNumberingAfterBreak="0">
    <w:nsid w:val="264B4810"/>
    <w:multiLevelType w:val="hybridMultilevel"/>
    <w:tmpl w:val="A1F01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75279DC"/>
    <w:multiLevelType w:val="hybridMultilevel"/>
    <w:tmpl w:val="778CC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301720"/>
    <w:multiLevelType w:val="hybridMultilevel"/>
    <w:tmpl w:val="D2C8C860"/>
    <w:lvl w:ilvl="0" w:tplc="0C09000F">
      <w:start w:val="1"/>
      <w:numFmt w:val="decimal"/>
      <w:lvlText w:val="%1."/>
      <w:lvlJc w:val="left"/>
      <w:pPr>
        <w:ind w:left="1162" w:hanging="360"/>
      </w:pPr>
    </w:lvl>
    <w:lvl w:ilvl="1" w:tplc="0C090019" w:tentative="1">
      <w:start w:val="1"/>
      <w:numFmt w:val="lowerLetter"/>
      <w:lvlText w:val="%2."/>
      <w:lvlJc w:val="left"/>
      <w:pPr>
        <w:ind w:left="1882" w:hanging="360"/>
      </w:pPr>
    </w:lvl>
    <w:lvl w:ilvl="2" w:tplc="0C09001B" w:tentative="1">
      <w:start w:val="1"/>
      <w:numFmt w:val="lowerRoman"/>
      <w:lvlText w:val="%3."/>
      <w:lvlJc w:val="right"/>
      <w:pPr>
        <w:ind w:left="2602" w:hanging="180"/>
      </w:pPr>
    </w:lvl>
    <w:lvl w:ilvl="3" w:tplc="0C09000F" w:tentative="1">
      <w:start w:val="1"/>
      <w:numFmt w:val="decimal"/>
      <w:lvlText w:val="%4."/>
      <w:lvlJc w:val="left"/>
      <w:pPr>
        <w:ind w:left="3322" w:hanging="360"/>
      </w:pPr>
    </w:lvl>
    <w:lvl w:ilvl="4" w:tplc="0C090019" w:tentative="1">
      <w:start w:val="1"/>
      <w:numFmt w:val="lowerLetter"/>
      <w:lvlText w:val="%5."/>
      <w:lvlJc w:val="left"/>
      <w:pPr>
        <w:ind w:left="4042" w:hanging="360"/>
      </w:pPr>
    </w:lvl>
    <w:lvl w:ilvl="5" w:tplc="0C09001B" w:tentative="1">
      <w:start w:val="1"/>
      <w:numFmt w:val="lowerRoman"/>
      <w:lvlText w:val="%6."/>
      <w:lvlJc w:val="right"/>
      <w:pPr>
        <w:ind w:left="4762" w:hanging="180"/>
      </w:pPr>
    </w:lvl>
    <w:lvl w:ilvl="6" w:tplc="0C09000F" w:tentative="1">
      <w:start w:val="1"/>
      <w:numFmt w:val="decimal"/>
      <w:lvlText w:val="%7."/>
      <w:lvlJc w:val="left"/>
      <w:pPr>
        <w:ind w:left="5482" w:hanging="360"/>
      </w:pPr>
    </w:lvl>
    <w:lvl w:ilvl="7" w:tplc="0C090019" w:tentative="1">
      <w:start w:val="1"/>
      <w:numFmt w:val="lowerLetter"/>
      <w:lvlText w:val="%8."/>
      <w:lvlJc w:val="left"/>
      <w:pPr>
        <w:ind w:left="6202" w:hanging="360"/>
      </w:pPr>
    </w:lvl>
    <w:lvl w:ilvl="8" w:tplc="0C09001B" w:tentative="1">
      <w:start w:val="1"/>
      <w:numFmt w:val="lowerRoman"/>
      <w:lvlText w:val="%9."/>
      <w:lvlJc w:val="right"/>
      <w:pPr>
        <w:ind w:left="6922" w:hanging="180"/>
      </w:pPr>
    </w:lvl>
  </w:abstractNum>
  <w:abstractNum w:abstractNumId="7" w15:restartNumberingAfterBreak="0">
    <w:nsid w:val="3A4117F0"/>
    <w:multiLevelType w:val="hybridMultilevel"/>
    <w:tmpl w:val="DDE07CF2"/>
    <w:lvl w:ilvl="0" w:tplc="7C6E14C2">
      <w:start w:val="1"/>
      <w:numFmt w:val="decimal"/>
      <w:lvlText w:val="%1."/>
      <w:lvlJc w:val="left"/>
      <w:pPr>
        <w:ind w:left="802" w:hanging="360"/>
      </w:pPr>
      <w:rPr>
        <w:rFonts w:hint="default"/>
      </w:rPr>
    </w:lvl>
    <w:lvl w:ilvl="1" w:tplc="0C090019" w:tentative="1">
      <w:start w:val="1"/>
      <w:numFmt w:val="lowerLetter"/>
      <w:lvlText w:val="%2."/>
      <w:lvlJc w:val="left"/>
      <w:pPr>
        <w:ind w:left="1522" w:hanging="360"/>
      </w:pPr>
    </w:lvl>
    <w:lvl w:ilvl="2" w:tplc="0C09001B" w:tentative="1">
      <w:start w:val="1"/>
      <w:numFmt w:val="lowerRoman"/>
      <w:lvlText w:val="%3."/>
      <w:lvlJc w:val="right"/>
      <w:pPr>
        <w:ind w:left="2242" w:hanging="180"/>
      </w:pPr>
    </w:lvl>
    <w:lvl w:ilvl="3" w:tplc="0C09000F" w:tentative="1">
      <w:start w:val="1"/>
      <w:numFmt w:val="decimal"/>
      <w:lvlText w:val="%4."/>
      <w:lvlJc w:val="left"/>
      <w:pPr>
        <w:ind w:left="2962" w:hanging="360"/>
      </w:pPr>
    </w:lvl>
    <w:lvl w:ilvl="4" w:tplc="0C090019" w:tentative="1">
      <w:start w:val="1"/>
      <w:numFmt w:val="lowerLetter"/>
      <w:lvlText w:val="%5."/>
      <w:lvlJc w:val="left"/>
      <w:pPr>
        <w:ind w:left="3682" w:hanging="360"/>
      </w:pPr>
    </w:lvl>
    <w:lvl w:ilvl="5" w:tplc="0C09001B" w:tentative="1">
      <w:start w:val="1"/>
      <w:numFmt w:val="lowerRoman"/>
      <w:lvlText w:val="%6."/>
      <w:lvlJc w:val="right"/>
      <w:pPr>
        <w:ind w:left="4402" w:hanging="180"/>
      </w:pPr>
    </w:lvl>
    <w:lvl w:ilvl="6" w:tplc="0C09000F" w:tentative="1">
      <w:start w:val="1"/>
      <w:numFmt w:val="decimal"/>
      <w:lvlText w:val="%7."/>
      <w:lvlJc w:val="left"/>
      <w:pPr>
        <w:ind w:left="5122" w:hanging="360"/>
      </w:pPr>
    </w:lvl>
    <w:lvl w:ilvl="7" w:tplc="0C090019" w:tentative="1">
      <w:start w:val="1"/>
      <w:numFmt w:val="lowerLetter"/>
      <w:lvlText w:val="%8."/>
      <w:lvlJc w:val="left"/>
      <w:pPr>
        <w:ind w:left="5842" w:hanging="360"/>
      </w:pPr>
    </w:lvl>
    <w:lvl w:ilvl="8" w:tplc="0C09001B" w:tentative="1">
      <w:start w:val="1"/>
      <w:numFmt w:val="lowerRoman"/>
      <w:lvlText w:val="%9."/>
      <w:lvlJc w:val="right"/>
      <w:pPr>
        <w:ind w:left="6562" w:hanging="180"/>
      </w:pPr>
    </w:lvl>
  </w:abstractNum>
  <w:abstractNum w:abstractNumId="8" w15:restartNumberingAfterBreak="0">
    <w:nsid w:val="3ADB12CC"/>
    <w:multiLevelType w:val="hybridMultilevel"/>
    <w:tmpl w:val="9198F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8E06DF"/>
    <w:multiLevelType w:val="hybridMultilevel"/>
    <w:tmpl w:val="A2DE8C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55456D"/>
    <w:multiLevelType w:val="hybridMultilevel"/>
    <w:tmpl w:val="06C860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99A3E4F"/>
    <w:multiLevelType w:val="hybridMultilevel"/>
    <w:tmpl w:val="6E4A75E8"/>
    <w:lvl w:ilvl="0" w:tplc="5F1404E6">
      <w:start w:val="5"/>
      <w:numFmt w:val="decimal"/>
      <w:lvlText w:val="%1."/>
      <w:lvlJc w:val="left"/>
      <w:pPr>
        <w:ind w:left="802" w:hanging="360"/>
      </w:pPr>
      <w:rPr>
        <w:rFonts w:hint="default"/>
      </w:rPr>
    </w:lvl>
    <w:lvl w:ilvl="1" w:tplc="0C090019" w:tentative="1">
      <w:start w:val="1"/>
      <w:numFmt w:val="lowerLetter"/>
      <w:lvlText w:val="%2."/>
      <w:lvlJc w:val="left"/>
      <w:pPr>
        <w:ind w:left="1522" w:hanging="360"/>
      </w:pPr>
    </w:lvl>
    <w:lvl w:ilvl="2" w:tplc="0C09001B" w:tentative="1">
      <w:start w:val="1"/>
      <w:numFmt w:val="lowerRoman"/>
      <w:lvlText w:val="%3."/>
      <w:lvlJc w:val="right"/>
      <w:pPr>
        <w:ind w:left="2242" w:hanging="180"/>
      </w:pPr>
    </w:lvl>
    <w:lvl w:ilvl="3" w:tplc="0C09000F" w:tentative="1">
      <w:start w:val="1"/>
      <w:numFmt w:val="decimal"/>
      <w:lvlText w:val="%4."/>
      <w:lvlJc w:val="left"/>
      <w:pPr>
        <w:ind w:left="2962" w:hanging="360"/>
      </w:pPr>
    </w:lvl>
    <w:lvl w:ilvl="4" w:tplc="0C090019" w:tentative="1">
      <w:start w:val="1"/>
      <w:numFmt w:val="lowerLetter"/>
      <w:lvlText w:val="%5."/>
      <w:lvlJc w:val="left"/>
      <w:pPr>
        <w:ind w:left="3682" w:hanging="360"/>
      </w:pPr>
    </w:lvl>
    <w:lvl w:ilvl="5" w:tplc="0C09001B" w:tentative="1">
      <w:start w:val="1"/>
      <w:numFmt w:val="lowerRoman"/>
      <w:lvlText w:val="%6."/>
      <w:lvlJc w:val="right"/>
      <w:pPr>
        <w:ind w:left="4402" w:hanging="180"/>
      </w:pPr>
    </w:lvl>
    <w:lvl w:ilvl="6" w:tplc="0C09000F" w:tentative="1">
      <w:start w:val="1"/>
      <w:numFmt w:val="decimal"/>
      <w:lvlText w:val="%7."/>
      <w:lvlJc w:val="left"/>
      <w:pPr>
        <w:ind w:left="5122" w:hanging="360"/>
      </w:pPr>
    </w:lvl>
    <w:lvl w:ilvl="7" w:tplc="0C090019" w:tentative="1">
      <w:start w:val="1"/>
      <w:numFmt w:val="lowerLetter"/>
      <w:lvlText w:val="%8."/>
      <w:lvlJc w:val="left"/>
      <w:pPr>
        <w:ind w:left="5842" w:hanging="360"/>
      </w:pPr>
    </w:lvl>
    <w:lvl w:ilvl="8" w:tplc="0C09001B" w:tentative="1">
      <w:start w:val="1"/>
      <w:numFmt w:val="lowerRoman"/>
      <w:lvlText w:val="%9."/>
      <w:lvlJc w:val="right"/>
      <w:pPr>
        <w:ind w:left="6562" w:hanging="180"/>
      </w:pPr>
    </w:lvl>
  </w:abstractNum>
  <w:abstractNum w:abstractNumId="12" w15:restartNumberingAfterBreak="0">
    <w:nsid w:val="757A2B68"/>
    <w:multiLevelType w:val="hybridMultilevel"/>
    <w:tmpl w:val="D0BA2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081F7C"/>
    <w:multiLevelType w:val="hybridMultilevel"/>
    <w:tmpl w:val="6310C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3"/>
  </w:num>
  <w:num w:numId="4">
    <w:abstractNumId w:val="10"/>
  </w:num>
  <w:num w:numId="5">
    <w:abstractNumId w:val="12"/>
  </w:num>
  <w:num w:numId="6">
    <w:abstractNumId w:val="2"/>
  </w:num>
  <w:num w:numId="7">
    <w:abstractNumId w:val="0"/>
  </w:num>
  <w:num w:numId="8">
    <w:abstractNumId w:val="4"/>
  </w:num>
  <w:num w:numId="9">
    <w:abstractNumId w:val="11"/>
  </w:num>
  <w:num w:numId="10">
    <w:abstractNumId w:val="6"/>
  </w:num>
  <w:num w:numId="11">
    <w:abstractNumId w:val="7"/>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632"/>
    <w:rsid w:val="0001010F"/>
    <w:rsid w:val="00010D07"/>
    <w:rsid w:val="00011C0E"/>
    <w:rsid w:val="00024E53"/>
    <w:rsid w:val="00033A8F"/>
    <w:rsid w:val="000346C8"/>
    <w:rsid w:val="0006291F"/>
    <w:rsid w:val="000656EF"/>
    <w:rsid w:val="0008088B"/>
    <w:rsid w:val="0008579F"/>
    <w:rsid w:val="00094F02"/>
    <w:rsid w:val="00096CE6"/>
    <w:rsid w:val="000A29F5"/>
    <w:rsid w:val="000A7CFF"/>
    <w:rsid w:val="000B0069"/>
    <w:rsid w:val="000B5C8B"/>
    <w:rsid w:val="000D1F6B"/>
    <w:rsid w:val="00111E73"/>
    <w:rsid w:val="0011564B"/>
    <w:rsid w:val="001400F4"/>
    <w:rsid w:val="00147C27"/>
    <w:rsid w:val="00155E80"/>
    <w:rsid w:val="00163313"/>
    <w:rsid w:val="00170D76"/>
    <w:rsid w:val="00174FF2"/>
    <w:rsid w:val="0017563D"/>
    <w:rsid w:val="001757FF"/>
    <w:rsid w:val="00180E7F"/>
    <w:rsid w:val="00181F62"/>
    <w:rsid w:val="001918B5"/>
    <w:rsid w:val="001A1C07"/>
    <w:rsid w:val="001C23F3"/>
    <w:rsid w:val="001C6D7E"/>
    <w:rsid w:val="001D6E6A"/>
    <w:rsid w:val="001E0123"/>
    <w:rsid w:val="001E3C25"/>
    <w:rsid w:val="001F6711"/>
    <w:rsid w:val="0020548E"/>
    <w:rsid w:val="00225F68"/>
    <w:rsid w:val="002260E9"/>
    <w:rsid w:val="00233226"/>
    <w:rsid w:val="00236616"/>
    <w:rsid w:val="00250421"/>
    <w:rsid w:val="00264AFC"/>
    <w:rsid w:val="00280050"/>
    <w:rsid w:val="002823C2"/>
    <w:rsid w:val="002B4F7C"/>
    <w:rsid w:val="002D66BB"/>
    <w:rsid w:val="002D70A7"/>
    <w:rsid w:val="002F0842"/>
    <w:rsid w:val="002F394F"/>
    <w:rsid w:val="002F6DD9"/>
    <w:rsid w:val="002F793F"/>
    <w:rsid w:val="0030368F"/>
    <w:rsid w:val="0031701F"/>
    <w:rsid w:val="00317FB9"/>
    <w:rsid w:val="0032067D"/>
    <w:rsid w:val="003476EB"/>
    <w:rsid w:val="00372B36"/>
    <w:rsid w:val="00373000"/>
    <w:rsid w:val="00375D5D"/>
    <w:rsid w:val="0038723A"/>
    <w:rsid w:val="003876F6"/>
    <w:rsid w:val="00392E65"/>
    <w:rsid w:val="003B63DF"/>
    <w:rsid w:val="003C75DF"/>
    <w:rsid w:val="003D7C2A"/>
    <w:rsid w:val="003E1B86"/>
    <w:rsid w:val="003E235B"/>
    <w:rsid w:val="003E373D"/>
    <w:rsid w:val="00402134"/>
    <w:rsid w:val="00425872"/>
    <w:rsid w:val="00433E16"/>
    <w:rsid w:val="004459C5"/>
    <w:rsid w:val="00455F43"/>
    <w:rsid w:val="004648D6"/>
    <w:rsid w:val="004770A4"/>
    <w:rsid w:val="00487E03"/>
    <w:rsid w:val="004B77BF"/>
    <w:rsid w:val="004C2059"/>
    <w:rsid w:val="004E788F"/>
    <w:rsid w:val="00526811"/>
    <w:rsid w:val="005308E9"/>
    <w:rsid w:val="00546D5F"/>
    <w:rsid w:val="00560A3C"/>
    <w:rsid w:val="00564897"/>
    <w:rsid w:val="00566627"/>
    <w:rsid w:val="005677CB"/>
    <w:rsid w:val="005B1ED9"/>
    <w:rsid w:val="005C6725"/>
    <w:rsid w:val="005C7CEF"/>
    <w:rsid w:val="005D649A"/>
    <w:rsid w:val="005E17C9"/>
    <w:rsid w:val="00600D86"/>
    <w:rsid w:val="006075F9"/>
    <w:rsid w:val="0061421E"/>
    <w:rsid w:val="006225AD"/>
    <w:rsid w:val="00623CC2"/>
    <w:rsid w:val="00634F76"/>
    <w:rsid w:val="00642D2A"/>
    <w:rsid w:val="00647600"/>
    <w:rsid w:val="0065593A"/>
    <w:rsid w:val="0066516A"/>
    <w:rsid w:val="00665F45"/>
    <w:rsid w:val="00680296"/>
    <w:rsid w:val="006A7401"/>
    <w:rsid w:val="006C37D7"/>
    <w:rsid w:val="006D056F"/>
    <w:rsid w:val="006D0639"/>
    <w:rsid w:val="00725107"/>
    <w:rsid w:val="00784AC0"/>
    <w:rsid w:val="00794BDB"/>
    <w:rsid w:val="007A638C"/>
    <w:rsid w:val="007A6DDC"/>
    <w:rsid w:val="007C5F25"/>
    <w:rsid w:val="007E191E"/>
    <w:rsid w:val="007F506D"/>
    <w:rsid w:val="007F7AA3"/>
    <w:rsid w:val="00806500"/>
    <w:rsid w:val="0082303F"/>
    <w:rsid w:val="008231D5"/>
    <w:rsid w:val="00823E85"/>
    <w:rsid w:val="00857585"/>
    <w:rsid w:val="00863AD1"/>
    <w:rsid w:val="008667B6"/>
    <w:rsid w:val="0088297E"/>
    <w:rsid w:val="008948B6"/>
    <w:rsid w:val="008B3B71"/>
    <w:rsid w:val="008C0550"/>
    <w:rsid w:val="008E5299"/>
    <w:rsid w:val="008E76DE"/>
    <w:rsid w:val="00915B05"/>
    <w:rsid w:val="00921EA3"/>
    <w:rsid w:val="00924706"/>
    <w:rsid w:val="00926850"/>
    <w:rsid w:val="00935010"/>
    <w:rsid w:val="00935632"/>
    <w:rsid w:val="009370DE"/>
    <w:rsid w:val="00941990"/>
    <w:rsid w:val="00945187"/>
    <w:rsid w:val="009451D2"/>
    <w:rsid w:val="0095342B"/>
    <w:rsid w:val="009562D6"/>
    <w:rsid w:val="00957CBD"/>
    <w:rsid w:val="00963D08"/>
    <w:rsid w:val="009703DE"/>
    <w:rsid w:val="0097603D"/>
    <w:rsid w:val="00977E3D"/>
    <w:rsid w:val="009A5A60"/>
    <w:rsid w:val="009A6F9E"/>
    <w:rsid w:val="009B2647"/>
    <w:rsid w:val="009C08D3"/>
    <w:rsid w:val="009C1573"/>
    <w:rsid w:val="00A06F1C"/>
    <w:rsid w:val="00A131A8"/>
    <w:rsid w:val="00A32CB2"/>
    <w:rsid w:val="00A4321D"/>
    <w:rsid w:val="00A46182"/>
    <w:rsid w:val="00A50C43"/>
    <w:rsid w:val="00A603ED"/>
    <w:rsid w:val="00A75E32"/>
    <w:rsid w:val="00AC0825"/>
    <w:rsid w:val="00AC1F69"/>
    <w:rsid w:val="00AC4A41"/>
    <w:rsid w:val="00AF3B07"/>
    <w:rsid w:val="00B10DC9"/>
    <w:rsid w:val="00B269D8"/>
    <w:rsid w:val="00B32C2E"/>
    <w:rsid w:val="00B42555"/>
    <w:rsid w:val="00B43394"/>
    <w:rsid w:val="00B56F8B"/>
    <w:rsid w:val="00B64266"/>
    <w:rsid w:val="00B85545"/>
    <w:rsid w:val="00B94F64"/>
    <w:rsid w:val="00BA124F"/>
    <w:rsid w:val="00BB5EF5"/>
    <w:rsid w:val="00BD7D38"/>
    <w:rsid w:val="00BE2B4A"/>
    <w:rsid w:val="00BF1D43"/>
    <w:rsid w:val="00BF3E5B"/>
    <w:rsid w:val="00BF4AE3"/>
    <w:rsid w:val="00C1401F"/>
    <w:rsid w:val="00C2100D"/>
    <w:rsid w:val="00C33ADF"/>
    <w:rsid w:val="00C44199"/>
    <w:rsid w:val="00C7511E"/>
    <w:rsid w:val="00C85644"/>
    <w:rsid w:val="00C94869"/>
    <w:rsid w:val="00CA1B81"/>
    <w:rsid w:val="00CA56BE"/>
    <w:rsid w:val="00CC1079"/>
    <w:rsid w:val="00D0359A"/>
    <w:rsid w:val="00D3159C"/>
    <w:rsid w:val="00D34EBA"/>
    <w:rsid w:val="00D73857"/>
    <w:rsid w:val="00D81FF7"/>
    <w:rsid w:val="00D9056C"/>
    <w:rsid w:val="00D92D3A"/>
    <w:rsid w:val="00DB1CA1"/>
    <w:rsid w:val="00DB5D35"/>
    <w:rsid w:val="00DC6383"/>
    <w:rsid w:val="00DF1F3B"/>
    <w:rsid w:val="00E014D9"/>
    <w:rsid w:val="00E0185F"/>
    <w:rsid w:val="00E31D85"/>
    <w:rsid w:val="00E3377F"/>
    <w:rsid w:val="00E34400"/>
    <w:rsid w:val="00E35291"/>
    <w:rsid w:val="00E630D5"/>
    <w:rsid w:val="00E6760B"/>
    <w:rsid w:val="00E818CB"/>
    <w:rsid w:val="00E87C6F"/>
    <w:rsid w:val="00E91343"/>
    <w:rsid w:val="00E96DEE"/>
    <w:rsid w:val="00EA4628"/>
    <w:rsid w:val="00EA6A10"/>
    <w:rsid w:val="00EB16BD"/>
    <w:rsid w:val="00EB1C38"/>
    <w:rsid w:val="00EC34FD"/>
    <w:rsid w:val="00EE3C3D"/>
    <w:rsid w:val="00F00E54"/>
    <w:rsid w:val="00F02124"/>
    <w:rsid w:val="00F11707"/>
    <w:rsid w:val="00F14450"/>
    <w:rsid w:val="00F14D6C"/>
    <w:rsid w:val="00F152C7"/>
    <w:rsid w:val="00F16324"/>
    <w:rsid w:val="00F21AD0"/>
    <w:rsid w:val="00F3326A"/>
    <w:rsid w:val="00F60F4D"/>
    <w:rsid w:val="00F62B47"/>
    <w:rsid w:val="00F65A5C"/>
    <w:rsid w:val="00F730C2"/>
    <w:rsid w:val="00F73583"/>
    <w:rsid w:val="00F75A2A"/>
    <w:rsid w:val="00F946A3"/>
    <w:rsid w:val="00FF1D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AF13"/>
  <w15:chartTrackingRefBased/>
  <w15:docId w15:val="{5CD8EA08-DB62-41A7-A5A5-DEEA1E42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8D6"/>
    <w:pPr>
      <w:spacing w:after="0"/>
      <w:jc w:val="center"/>
      <w:outlineLvl w:val="0"/>
    </w:pPr>
    <w:rPr>
      <w:rFonts w:asciiTheme="minorHAnsi" w:hAnsiTheme="minorHAnsi" w:cstheme="minorHAnsi"/>
      <w:b/>
      <w:sz w:val="28"/>
      <w:szCs w:val="28"/>
      <w:lang w:val="en-US"/>
    </w:rPr>
  </w:style>
  <w:style w:type="paragraph" w:styleId="Heading2">
    <w:name w:val="heading 2"/>
    <w:basedOn w:val="Normal"/>
    <w:next w:val="Normal"/>
    <w:link w:val="Heading2Char"/>
    <w:uiPriority w:val="9"/>
    <w:unhideWhenUsed/>
    <w:qFormat/>
    <w:rsid w:val="004648D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100" w:afterAutospacing="1" w:line="240" w:lineRule="auto"/>
      <w:jc w:val="both"/>
      <w:outlineLvl w:val="1"/>
    </w:pPr>
    <w:rPr>
      <w:rFonts w:asciiTheme="minorHAnsi" w:hAnsiTheme="minorHAnsi" w:cstheme="minorHAnsi"/>
      <w:caps/>
      <w:color w:val="000000"/>
      <w:spacing w:val="15"/>
      <w:sz w:val="22"/>
      <w:szCs w:val="22"/>
      <w:lang w:val="en-US"/>
    </w:rPr>
  </w:style>
  <w:style w:type="paragraph" w:styleId="Heading3">
    <w:name w:val="heading 3"/>
    <w:basedOn w:val="Normal"/>
    <w:next w:val="Normal"/>
    <w:link w:val="Heading3Char"/>
    <w:uiPriority w:val="9"/>
    <w:unhideWhenUsed/>
    <w:qFormat/>
    <w:rsid w:val="004648D6"/>
    <w:pPr>
      <w:outlineLvl w:val="2"/>
    </w:pPr>
    <w:rPr>
      <w:rFonts w:asciiTheme="minorHAnsi" w:hAnsiTheme="minorHAnsi" w:cstheme="min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48D6"/>
    <w:rPr>
      <w:rFonts w:asciiTheme="minorHAnsi" w:hAnsiTheme="minorHAnsi" w:cstheme="minorHAnsi"/>
      <w:caps/>
      <w:color w:val="000000"/>
      <w:spacing w:val="15"/>
      <w:sz w:val="22"/>
      <w:szCs w:val="22"/>
      <w:shd w:val="clear" w:color="auto" w:fill="DEEAF6" w:themeFill="accent1" w:themeFillTint="33"/>
      <w:lang w:val="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11E73"/>
    <w:pPr>
      <w:spacing w:before="200" w:after="200" w:line="276" w:lineRule="auto"/>
      <w:ind w:left="720"/>
      <w:contextualSpacing/>
    </w:pPr>
    <w:rPr>
      <w:rFonts w:asciiTheme="minorHAnsi" w:eastAsiaTheme="minorEastAsia" w:hAnsiTheme="minorHAnsi" w:cstheme="minorBidi"/>
      <w:sz w:val="20"/>
      <w:szCs w:val="2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11E73"/>
    <w:rPr>
      <w:rFonts w:asciiTheme="minorHAnsi" w:eastAsiaTheme="minorEastAsia" w:hAnsiTheme="minorHAnsi" w:cstheme="minorBidi"/>
      <w:sz w:val="20"/>
      <w:szCs w:val="20"/>
    </w:rPr>
  </w:style>
  <w:style w:type="paragraph" w:styleId="Header">
    <w:name w:val="header"/>
    <w:basedOn w:val="Normal"/>
    <w:link w:val="HeaderChar"/>
    <w:uiPriority w:val="99"/>
    <w:unhideWhenUsed/>
    <w:rsid w:val="00806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500"/>
  </w:style>
  <w:style w:type="paragraph" w:styleId="Footer">
    <w:name w:val="footer"/>
    <w:basedOn w:val="Normal"/>
    <w:link w:val="FooterChar"/>
    <w:uiPriority w:val="99"/>
    <w:unhideWhenUsed/>
    <w:rsid w:val="00806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500"/>
  </w:style>
  <w:style w:type="character" w:styleId="CommentReference">
    <w:name w:val="annotation reference"/>
    <w:basedOn w:val="DefaultParagraphFont"/>
    <w:uiPriority w:val="99"/>
    <w:semiHidden/>
    <w:unhideWhenUsed/>
    <w:rsid w:val="00806500"/>
    <w:rPr>
      <w:sz w:val="16"/>
      <w:szCs w:val="16"/>
    </w:rPr>
  </w:style>
  <w:style w:type="paragraph" w:styleId="CommentText">
    <w:name w:val="annotation text"/>
    <w:basedOn w:val="Normal"/>
    <w:link w:val="CommentTextChar"/>
    <w:uiPriority w:val="99"/>
    <w:semiHidden/>
    <w:unhideWhenUsed/>
    <w:rsid w:val="00806500"/>
    <w:pPr>
      <w:spacing w:line="240" w:lineRule="auto"/>
    </w:pPr>
    <w:rPr>
      <w:sz w:val="20"/>
      <w:szCs w:val="20"/>
    </w:rPr>
  </w:style>
  <w:style w:type="character" w:customStyle="1" w:styleId="CommentTextChar">
    <w:name w:val="Comment Text Char"/>
    <w:basedOn w:val="DefaultParagraphFont"/>
    <w:link w:val="CommentText"/>
    <w:uiPriority w:val="99"/>
    <w:semiHidden/>
    <w:rsid w:val="00806500"/>
    <w:rPr>
      <w:sz w:val="20"/>
      <w:szCs w:val="20"/>
    </w:rPr>
  </w:style>
  <w:style w:type="paragraph" w:styleId="CommentSubject">
    <w:name w:val="annotation subject"/>
    <w:basedOn w:val="CommentText"/>
    <w:next w:val="CommentText"/>
    <w:link w:val="CommentSubjectChar"/>
    <w:uiPriority w:val="99"/>
    <w:semiHidden/>
    <w:unhideWhenUsed/>
    <w:rsid w:val="00806500"/>
    <w:rPr>
      <w:b/>
      <w:bCs/>
    </w:rPr>
  </w:style>
  <w:style w:type="character" w:customStyle="1" w:styleId="CommentSubjectChar">
    <w:name w:val="Comment Subject Char"/>
    <w:basedOn w:val="CommentTextChar"/>
    <w:link w:val="CommentSubject"/>
    <w:uiPriority w:val="99"/>
    <w:semiHidden/>
    <w:rsid w:val="00806500"/>
    <w:rPr>
      <w:b/>
      <w:bCs/>
      <w:sz w:val="20"/>
      <w:szCs w:val="20"/>
    </w:rPr>
  </w:style>
  <w:style w:type="paragraph" w:styleId="BalloonText">
    <w:name w:val="Balloon Text"/>
    <w:basedOn w:val="Normal"/>
    <w:link w:val="BalloonTextChar"/>
    <w:uiPriority w:val="99"/>
    <w:semiHidden/>
    <w:unhideWhenUsed/>
    <w:rsid w:val="00806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500"/>
    <w:rPr>
      <w:rFonts w:ascii="Segoe UI" w:hAnsi="Segoe UI" w:cs="Segoe UI"/>
      <w:sz w:val="18"/>
      <w:szCs w:val="18"/>
    </w:rPr>
  </w:style>
  <w:style w:type="table" w:styleId="TableGrid">
    <w:name w:val="Table Grid"/>
    <w:basedOn w:val="TableNormal"/>
    <w:uiPriority w:val="39"/>
    <w:rsid w:val="00A0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0639"/>
    <w:pPr>
      <w:spacing w:after="0" w:line="240" w:lineRule="auto"/>
    </w:pPr>
  </w:style>
  <w:style w:type="paragraph" w:customStyle="1" w:styleId="Default">
    <w:name w:val="Default"/>
    <w:rsid w:val="003D7C2A"/>
    <w:pPr>
      <w:autoSpaceDE w:val="0"/>
      <w:autoSpaceDN w:val="0"/>
      <w:adjustRightInd w:val="0"/>
      <w:spacing w:after="0" w:line="240" w:lineRule="auto"/>
    </w:pPr>
    <w:rPr>
      <w:rFonts w:ascii="Calibri" w:hAnsi="Calibri" w:cs="Calibri"/>
      <w:color w:val="000000"/>
    </w:rPr>
  </w:style>
  <w:style w:type="paragraph" w:styleId="FootnoteText">
    <w:name w:val="footnote text"/>
    <w:basedOn w:val="Normal"/>
    <w:link w:val="FootnoteTextChar"/>
    <w:uiPriority w:val="99"/>
    <w:semiHidden/>
    <w:unhideWhenUsed/>
    <w:rsid w:val="00C856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644"/>
    <w:rPr>
      <w:sz w:val="20"/>
      <w:szCs w:val="20"/>
    </w:rPr>
  </w:style>
  <w:style w:type="character" w:styleId="FootnoteReference">
    <w:name w:val="footnote reference"/>
    <w:basedOn w:val="DefaultParagraphFont"/>
    <w:uiPriority w:val="99"/>
    <w:semiHidden/>
    <w:unhideWhenUsed/>
    <w:rsid w:val="00C85644"/>
    <w:rPr>
      <w:vertAlign w:val="superscript"/>
    </w:rPr>
  </w:style>
  <w:style w:type="character" w:styleId="Hyperlink">
    <w:name w:val="Hyperlink"/>
    <w:basedOn w:val="DefaultParagraphFont"/>
    <w:uiPriority w:val="99"/>
    <w:unhideWhenUsed/>
    <w:rsid w:val="00433E16"/>
    <w:rPr>
      <w:color w:val="0563C1" w:themeColor="hyperlink"/>
      <w:u w:val="single"/>
    </w:rPr>
  </w:style>
  <w:style w:type="character" w:styleId="UnresolvedMention">
    <w:name w:val="Unresolved Mention"/>
    <w:basedOn w:val="DefaultParagraphFont"/>
    <w:uiPriority w:val="99"/>
    <w:semiHidden/>
    <w:unhideWhenUsed/>
    <w:rsid w:val="00433E16"/>
    <w:rPr>
      <w:color w:val="605E5C"/>
      <w:shd w:val="clear" w:color="auto" w:fill="E1DFDD"/>
    </w:rPr>
  </w:style>
  <w:style w:type="paragraph" w:styleId="EndnoteText">
    <w:name w:val="endnote text"/>
    <w:basedOn w:val="Normal"/>
    <w:link w:val="EndnoteTextChar"/>
    <w:uiPriority w:val="99"/>
    <w:semiHidden/>
    <w:unhideWhenUsed/>
    <w:rsid w:val="00F65A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5A5C"/>
    <w:rPr>
      <w:sz w:val="20"/>
      <w:szCs w:val="20"/>
    </w:rPr>
  </w:style>
  <w:style w:type="character" w:styleId="EndnoteReference">
    <w:name w:val="endnote reference"/>
    <w:basedOn w:val="DefaultParagraphFont"/>
    <w:uiPriority w:val="99"/>
    <w:semiHidden/>
    <w:unhideWhenUsed/>
    <w:rsid w:val="00F65A5C"/>
    <w:rPr>
      <w:vertAlign w:val="superscript"/>
    </w:rPr>
  </w:style>
  <w:style w:type="character" w:customStyle="1" w:styleId="Heading1Char">
    <w:name w:val="Heading 1 Char"/>
    <w:basedOn w:val="DefaultParagraphFont"/>
    <w:link w:val="Heading1"/>
    <w:uiPriority w:val="9"/>
    <w:rsid w:val="004648D6"/>
    <w:rPr>
      <w:rFonts w:asciiTheme="minorHAnsi" w:hAnsiTheme="minorHAnsi" w:cstheme="minorHAnsi"/>
      <w:b/>
      <w:sz w:val="28"/>
      <w:szCs w:val="28"/>
      <w:lang w:val="en-US"/>
    </w:rPr>
  </w:style>
  <w:style w:type="character" w:customStyle="1" w:styleId="Heading3Char">
    <w:name w:val="Heading 3 Char"/>
    <w:basedOn w:val="DefaultParagraphFont"/>
    <w:link w:val="Heading3"/>
    <w:uiPriority w:val="9"/>
    <w:rsid w:val="004648D6"/>
    <w:rPr>
      <w:rFonts w:asciiTheme="minorHAnsi" w:hAnsiTheme="minorHAnsi" w:cstheme="minorHAns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47860">
      <w:bodyDiv w:val="1"/>
      <w:marLeft w:val="0"/>
      <w:marRight w:val="0"/>
      <w:marTop w:val="0"/>
      <w:marBottom w:val="0"/>
      <w:divBdr>
        <w:top w:val="none" w:sz="0" w:space="0" w:color="auto"/>
        <w:left w:val="none" w:sz="0" w:space="0" w:color="auto"/>
        <w:bottom w:val="none" w:sz="0" w:space="0" w:color="auto"/>
        <w:right w:val="none" w:sz="0" w:space="0" w:color="auto"/>
      </w:divBdr>
    </w:div>
    <w:div w:id="125781365">
      <w:bodyDiv w:val="1"/>
      <w:marLeft w:val="0"/>
      <w:marRight w:val="0"/>
      <w:marTop w:val="0"/>
      <w:marBottom w:val="0"/>
      <w:divBdr>
        <w:top w:val="none" w:sz="0" w:space="0" w:color="auto"/>
        <w:left w:val="none" w:sz="0" w:space="0" w:color="auto"/>
        <w:bottom w:val="none" w:sz="0" w:space="0" w:color="auto"/>
        <w:right w:val="none" w:sz="0" w:space="0" w:color="auto"/>
      </w:divBdr>
    </w:div>
    <w:div w:id="543101730">
      <w:bodyDiv w:val="1"/>
      <w:marLeft w:val="0"/>
      <w:marRight w:val="0"/>
      <w:marTop w:val="0"/>
      <w:marBottom w:val="0"/>
      <w:divBdr>
        <w:top w:val="none" w:sz="0" w:space="0" w:color="auto"/>
        <w:left w:val="none" w:sz="0" w:space="0" w:color="auto"/>
        <w:bottom w:val="none" w:sz="0" w:space="0" w:color="auto"/>
        <w:right w:val="none" w:sz="0" w:space="0" w:color="auto"/>
      </w:divBdr>
    </w:div>
    <w:div w:id="1001661654">
      <w:bodyDiv w:val="1"/>
      <w:marLeft w:val="0"/>
      <w:marRight w:val="0"/>
      <w:marTop w:val="0"/>
      <w:marBottom w:val="0"/>
      <w:divBdr>
        <w:top w:val="none" w:sz="0" w:space="0" w:color="auto"/>
        <w:left w:val="none" w:sz="0" w:space="0" w:color="auto"/>
        <w:bottom w:val="none" w:sz="0" w:space="0" w:color="auto"/>
        <w:right w:val="none" w:sz="0" w:space="0" w:color="auto"/>
      </w:divBdr>
    </w:div>
    <w:div w:id="1455634753">
      <w:bodyDiv w:val="1"/>
      <w:marLeft w:val="0"/>
      <w:marRight w:val="0"/>
      <w:marTop w:val="0"/>
      <w:marBottom w:val="0"/>
      <w:divBdr>
        <w:top w:val="none" w:sz="0" w:space="0" w:color="auto"/>
        <w:left w:val="none" w:sz="0" w:space="0" w:color="auto"/>
        <w:bottom w:val="none" w:sz="0" w:space="0" w:color="auto"/>
        <w:right w:val="none" w:sz="0" w:space="0" w:color="auto"/>
      </w:divBdr>
    </w:div>
    <w:div w:id="1826554012">
      <w:bodyDiv w:val="1"/>
      <w:marLeft w:val="0"/>
      <w:marRight w:val="0"/>
      <w:marTop w:val="0"/>
      <w:marBottom w:val="0"/>
      <w:divBdr>
        <w:top w:val="none" w:sz="0" w:space="0" w:color="auto"/>
        <w:left w:val="none" w:sz="0" w:space="0" w:color="auto"/>
        <w:bottom w:val="none" w:sz="0" w:space="0" w:color="auto"/>
        <w:right w:val="none" w:sz="0" w:space="0" w:color="auto"/>
      </w:divBdr>
    </w:div>
    <w:div w:id="19464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mnis.org.a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raanz.org/opportunities/hsraanz-mentoring-program-2019/" TargetMode="External"/><Relationship Id="rId17" Type="http://schemas.openxmlformats.org/officeDocument/2006/relationships/hyperlink" Target="https://advance.qld.gov.au/programs-funds" TargetMode="External"/><Relationship Id="rId2" Type="http://schemas.openxmlformats.org/officeDocument/2006/relationships/numbering" Target="numbering.xml"/><Relationship Id="rId16" Type="http://schemas.openxmlformats.org/officeDocument/2006/relationships/hyperlink" Target="https://scienceandtechnologyaustralia.org.au/what-we-do/superstars-of-ste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hms.org/mentorship-program/" TargetMode="External"/><Relationship Id="rId5" Type="http://schemas.openxmlformats.org/officeDocument/2006/relationships/webSettings" Target="webSettings.xml"/><Relationship Id="rId15" Type="http://schemas.openxmlformats.org/officeDocument/2006/relationships/hyperlink" Target="https://aahms.org/life-as-a-clinician-scientist/" TargetMode="External"/><Relationship Id="rId10" Type="http://schemas.openxmlformats.org/officeDocument/2006/relationships/hyperlink" Target="https://www.health.gov.au/initiatives-and-programs/researcher-exchange-and-development-within-industry-redi-initiati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iro.au/en/careers/career-opportunities/Postdoctoral-fellowships" TargetMode="External"/><Relationship Id="rId14" Type="http://schemas.openxmlformats.org/officeDocument/2006/relationships/hyperlink" Target="https://franklinwome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5656E-060A-4DBB-A61C-57A56DD5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6</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Findings and Outcomes of the Health and Medical Research Early to Mid-Career Researchers Stakeholder Roundtable - 14 October 2021</dc:title>
  <dc:subject/>
  <dc:creator>Australian Goverment Department of Health</dc:creator>
  <cp:keywords>"Medical Research Future Fund; MRFF; Early to Mid-Career Researchers</cp:keywords>
  <dc:description/>
  <cp:lastModifiedBy>SOLLAZZO, Maria</cp:lastModifiedBy>
  <cp:revision>3</cp:revision>
  <dcterms:created xsi:type="dcterms:W3CDTF">2021-10-18T00:27:00Z</dcterms:created>
  <dcterms:modified xsi:type="dcterms:W3CDTF">2021-12-07T00:59:00Z</dcterms:modified>
</cp:coreProperties>
</file>