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FC20F" w14:textId="77777777" w:rsidR="00280050" w:rsidRDefault="00935632">
      <w:r>
        <w:rPr>
          <w:rFonts w:cstheme="minorHAnsi"/>
          <w:noProof/>
          <w:sz w:val="28"/>
          <w:szCs w:val="28"/>
          <w:lang w:eastAsia="en-AU"/>
        </w:rPr>
        <w:drawing>
          <wp:inline distT="0" distB="0" distL="0" distR="0" wp14:anchorId="3B2E5A40" wp14:editId="624FD936">
            <wp:extent cx="5731510" cy="1246939"/>
            <wp:effectExtent l="0" t="0" r="2540" b="0"/>
            <wp:docPr id="2" name="Picture 2" descr="Medical Research Future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dical Research Future Fun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246939"/>
                    </a:xfrm>
                    <a:prstGeom prst="rect">
                      <a:avLst/>
                    </a:prstGeom>
                    <a:noFill/>
                  </pic:spPr>
                </pic:pic>
              </a:graphicData>
            </a:graphic>
          </wp:inline>
        </w:drawing>
      </w:r>
    </w:p>
    <w:p w14:paraId="70B46ECC" w14:textId="084735B5" w:rsidR="00935632" w:rsidRPr="00E94ECE" w:rsidRDefault="003B63DF" w:rsidP="00E94ECE">
      <w:pPr>
        <w:pStyle w:val="Heading1"/>
      </w:pPr>
      <w:r w:rsidRPr="00E94ECE">
        <w:t>KEY FINDINGS AND OUTCOMES OF T</w:t>
      </w:r>
      <w:r w:rsidR="00EC34FD" w:rsidRPr="00E94ECE">
        <w:t>HE HE</w:t>
      </w:r>
      <w:r w:rsidR="00935632" w:rsidRPr="00E94ECE">
        <w:t xml:space="preserve">ALTH AND MEDICAL RESEARCH EARLY TO MID-CAREER RESEARCHERS </w:t>
      </w:r>
      <w:r w:rsidR="00EC34FD" w:rsidRPr="00E94ECE">
        <w:t xml:space="preserve">ROUNDTABLE </w:t>
      </w:r>
    </w:p>
    <w:p w14:paraId="550B6E89" w14:textId="77777777" w:rsidR="00935632" w:rsidRPr="00935632" w:rsidRDefault="00935632" w:rsidP="00935632">
      <w:pPr>
        <w:spacing w:after="0"/>
        <w:rPr>
          <w:rFonts w:asciiTheme="minorHAnsi" w:hAnsiTheme="minorHAnsi" w:cstheme="minorHAnsi"/>
          <w:sz w:val="22"/>
          <w:szCs w:val="22"/>
          <w:lang w:val="en-US"/>
        </w:rPr>
      </w:pPr>
    </w:p>
    <w:p w14:paraId="329C634C" w14:textId="77777777" w:rsidR="00935632" w:rsidRPr="00E94ECE" w:rsidRDefault="00935632" w:rsidP="00E94ECE">
      <w:pPr>
        <w:pStyle w:val="Heading2"/>
      </w:pPr>
      <w:r w:rsidRPr="00E94ECE">
        <w:t>INTRODUCTION</w:t>
      </w:r>
    </w:p>
    <w:p w14:paraId="349A392B" w14:textId="4C3D2048" w:rsidR="003E235B" w:rsidRDefault="00935632" w:rsidP="00935632">
      <w:pPr>
        <w:rPr>
          <w:rFonts w:asciiTheme="minorHAnsi" w:hAnsiTheme="minorHAnsi" w:cstheme="minorHAnsi"/>
          <w:sz w:val="22"/>
          <w:szCs w:val="22"/>
        </w:rPr>
      </w:pPr>
      <w:r w:rsidRPr="00935632">
        <w:rPr>
          <w:rFonts w:asciiTheme="minorHAnsi" w:hAnsiTheme="minorHAnsi" w:cstheme="minorHAnsi"/>
          <w:sz w:val="22"/>
          <w:szCs w:val="22"/>
        </w:rPr>
        <w:t xml:space="preserve">The Minister for Health and Aged Care, the Hon Greg Hunt MP, asked the Department of Health (the Department) to convene a </w:t>
      </w:r>
      <w:r w:rsidR="000D1F6B">
        <w:rPr>
          <w:rFonts w:asciiTheme="minorHAnsi" w:hAnsiTheme="minorHAnsi" w:cstheme="minorHAnsi"/>
          <w:sz w:val="22"/>
          <w:szCs w:val="22"/>
        </w:rPr>
        <w:t>r</w:t>
      </w:r>
      <w:r w:rsidR="000D1F6B" w:rsidRPr="00935632">
        <w:rPr>
          <w:rFonts w:asciiTheme="minorHAnsi" w:hAnsiTheme="minorHAnsi" w:cstheme="minorHAnsi"/>
          <w:sz w:val="22"/>
          <w:szCs w:val="22"/>
        </w:rPr>
        <w:t xml:space="preserve">oundtable </w:t>
      </w:r>
      <w:r w:rsidRPr="00935632">
        <w:rPr>
          <w:rFonts w:asciiTheme="minorHAnsi" w:hAnsiTheme="minorHAnsi" w:cstheme="minorHAnsi"/>
          <w:sz w:val="22"/>
          <w:szCs w:val="22"/>
        </w:rPr>
        <w:t>with early to mid-career researchers (EMCRs) in order to better understand the factors impacting their ability to remain within the health and medical research sector.</w:t>
      </w:r>
      <w:r>
        <w:rPr>
          <w:rFonts w:asciiTheme="minorHAnsi" w:hAnsiTheme="minorHAnsi" w:cstheme="minorHAnsi"/>
          <w:sz w:val="22"/>
          <w:szCs w:val="22"/>
        </w:rPr>
        <w:t xml:space="preserve">  </w:t>
      </w:r>
    </w:p>
    <w:p w14:paraId="1B90094E" w14:textId="13B7C22C" w:rsidR="003E235B" w:rsidRDefault="003E235B" w:rsidP="00935632">
      <w:pPr>
        <w:rPr>
          <w:rFonts w:asciiTheme="minorHAnsi" w:hAnsiTheme="minorHAnsi" w:cstheme="minorHAnsi"/>
          <w:sz w:val="22"/>
          <w:szCs w:val="22"/>
        </w:rPr>
      </w:pPr>
      <w:r>
        <w:rPr>
          <w:rFonts w:asciiTheme="minorHAnsi" w:hAnsiTheme="minorHAnsi" w:cstheme="minorHAnsi"/>
          <w:sz w:val="22"/>
          <w:szCs w:val="22"/>
        </w:rPr>
        <w:t xml:space="preserve">The virtual </w:t>
      </w:r>
      <w:r w:rsidRPr="00935632">
        <w:rPr>
          <w:rFonts w:asciiTheme="minorHAnsi" w:eastAsia="Times New Roman" w:hAnsiTheme="minorHAnsi" w:cstheme="minorHAnsi"/>
          <w:sz w:val="22"/>
          <w:szCs w:val="22"/>
          <w:lang w:val="en" w:eastAsia="en-AU"/>
        </w:rPr>
        <w:t>Health and Medical Research EMCRs Roundtable</w:t>
      </w:r>
      <w:r>
        <w:rPr>
          <w:rFonts w:asciiTheme="minorHAnsi" w:hAnsiTheme="minorHAnsi" w:cstheme="minorHAnsi"/>
          <w:sz w:val="22"/>
          <w:szCs w:val="22"/>
        </w:rPr>
        <w:t xml:space="preserve"> (the Roundtable) took place on </w:t>
      </w:r>
      <w:r w:rsidRPr="00935632">
        <w:rPr>
          <w:rFonts w:asciiTheme="minorHAnsi" w:hAnsiTheme="minorHAnsi" w:cstheme="minorHAnsi"/>
          <w:sz w:val="22"/>
          <w:szCs w:val="22"/>
        </w:rPr>
        <w:t xml:space="preserve">Thursday 6 May 2021, 1-4pm </w:t>
      </w:r>
      <w:r>
        <w:rPr>
          <w:rFonts w:asciiTheme="minorHAnsi" w:hAnsiTheme="minorHAnsi" w:cstheme="minorHAnsi"/>
          <w:sz w:val="22"/>
          <w:szCs w:val="22"/>
        </w:rPr>
        <w:t>AEST.</w:t>
      </w:r>
    </w:p>
    <w:p w14:paraId="0D18A2ED" w14:textId="76285DBE" w:rsidR="000D1F6B" w:rsidRDefault="000D1F6B" w:rsidP="00935632">
      <w:pPr>
        <w:rPr>
          <w:rFonts w:asciiTheme="minorHAnsi" w:hAnsiTheme="minorHAnsi" w:cstheme="minorHAnsi"/>
          <w:sz w:val="22"/>
          <w:szCs w:val="22"/>
        </w:rPr>
      </w:pPr>
      <w:r>
        <w:rPr>
          <w:rFonts w:asciiTheme="minorHAnsi" w:hAnsiTheme="minorHAnsi" w:cstheme="minorHAnsi"/>
          <w:sz w:val="22"/>
          <w:szCs w:val="22"/>
        </w:rPr>
        <w:t xml:space="preserve">Prior to the Roundtable, written feedback was received from </w:t>
      </w:r>
      <w:r w:rsidR="0097603D">
        <w:rPr>
          <w:rFonts w:asciiTheme="minorHAnsi" w:hAnsiTheme="minorHAnsi" w:cstheme="minorHAnsi"/>
          <w:sz w:val="22"/>
          <w:szCs w:val="22"/>
        </w:rPr>
        <w:t xml:space="preserve">over twenty </w:t>
      </w:r>
      <w:r>
        <w:rPr>
          <w:rFonts w:asciiTheme="minorHAnsi" w:hAnsiTheme="minorHAnsi" w:cstheme="minorHAnsi"/>
          <w:sz w:val="22"/>
          <w:szCs w:val="22"/>
        </w:rPr>
        <w:t>sources (individual EMCR perspectives</w:t>
      </w:r>
      <w:r w:rsidR="00A75E32">
        <w:rPr>
          <w:rFonts w:asciiTheme="minorHAnsi" w:hAnsiTheme="minorHAnsi" w:cstheme="minorHAnsi"/>
          <w:sz w:val="22"/>
          <w:szCs w:val="22"/>
        </w:rPr>
        <w:t xml:space="preserve">, or </w:t>
      </w:r>
      <w:r>
        <w:rPr>
          <w:rFonts w:asciiTheme="minorHAnsi" w:hAnsiTheme="minorHAnsi" w:cstheme="minorHAnsi"/>
          <w:sz w:val="22"/>
          <w:szCs w:val="22"/>
        </w:rPr>
        <w:t xml:space="preserve">summaries </w:t>
      </w:r>
      <w:r w:rsidR="00A75E32">
        <w:rPr>
          <w:rFonts w:asciiTheme="minorHAnsi" w:hAnsiTheme="minorHAnsi" w:cstheme="minorHAnsi"/>
          <w:sz w:val="22"/>
          <w:szCs w:val="22"/>
        </w:rPr>
        <w:t xml:space="preserve">of </w:t>
      </w:r>
      <w:r>
        <w:rPr>
          <w:rFonts w:asciiTheme="minorHAnsi" w:hAnsiTheme="minorHAnsi" w:cstheme="minorHAnsi"/>
          <w:sz w:val="22"/>
          <w:szCs w:val="22"/>
        </w:rPr>
        <w:t xml:space="preserve">the views of </w:t>
      </w:r>
      <w:r w:rsidR="00A75E32">
        <w:rPr>
          <w:rFonts w:asciiTheme="minorHAnsi" w:hAnsiTheme="minorHAnsi" w:cstheme="minorHAnsi"/>
          <w:sz w:val="22"/>
          <w:szCs w:val="22"/>
        </w:rPr>
        <w:t>EMCR</w:t>
      </w:r>
      <w:r>
        <w:rPr>
          <w:rFonts w:asciiTheme="minorHAnsi" w:hAnsiTheme="minorHAnsi" w:cstheme="minorHAnsi"/>
          <w:sz w:val="22"/>
          <w:szCs w:val="22"/>
        </w:rPr>
        <w:t xml:space="preserve"> groups). This feedback was used as the basis for Roundtable discussion. </w:t>
      </w:r>
    </w:p>
    <w:p w14:paraId="1FB80F95" w14:textId="07393E83" w:rsidR="000D1F6B" w:rsidRDefault="000D1F6B" w:rsidP="00935632">
      <w:pPr>
        <w:rPr>
          <w:rFonts w:asciiTheme="minorHAnsi" w:hAnsiTheme="minorHAnsi" w:cstheme="minorHAnsi"/>
          <w:sz w:val="22"/>
          <w:szCs w:val="22"/>
        </w:rPr>
      </w:pPr>
      <w:r>
        <w:rPr>
          <w:rFonts w:asciiTheme="minorHAnsi" w:hAnsiTheme="minorHAnsi" w:cstheme="minorHAnsi"/>
          <w:sz w:val="22"/>
          <w:szCs w:val="22"/>
        </w:rPr>
        <w:t>At the Roundtable</w:t>
      </w:r>
      <w:r w:rsidR="00935632">
        <w:rPr>
          <w:rFonts w:asciiTheme="minorHAnsi" w:hAnsiTheme="minorHAnsi" w:cstheme="minorHAnsi"/>
          <w:sz w:val="22"/>
          <w:szCs w:val="22"/>
        </w:rPr>
        <w:t>, 27 EMCRs</w:t>
      </w:r>
      <w:r w:rsidR="003E235B">
        <w:rPr>
          <w:rFonts w:asciiTheme="minorHAnsi" w:hAnsiTheme="minorHAnsi" w:cstheme="minorHAnsi"/>
          <w:sz w:val="22"/>
          <w:szCs w:val="22"/>
        </w:rPr>
        <w:t xml:space="preserve"> contributed their time to bring a </w:t>
      </w:r>
      <w:r w:rsidR="0008088B">
        <w:rPr>
          <w:rFonts w:asciiTheme="minorHAnsi" w:hAnsiTheme="minorHAnsi" w:cstheme="minorHAnsi"/>
          <w:sz w:val="22"/>
          <w:szCs w:val="22"/>
        </w:rPr>
        <w:t xml:space="preserve">valuable </w:t>
      </w:r>
      <w:r w:rsidR="003E235B">
        <w:rPr>
          <w:rFonts w:asciiTheme="minorHAnsi" w:hAnsiTheme="minorHAnsi" w:cstheme="minorHAnsi"/>
          <w:sz w:val="22"/>
          <w:szCs w:val="22"/>
        </w:rPr>
        <w:t>m</w:t>
      </w:r>
      <w:r w:rsidR="003E235B" w:rsidRPr="003E235B">
        <w:rPr>
          <w:rFonts w:asciiTheme="minorHAnsi" w:hAnsiTheme="minorHAnsi" w:cstheme="minorHAnsi"/>
          <w:sz w:val="22"/>
          <w:szCs w:val="22"/>
        </w:rPr>
        <w:t xml:space="preserve">ix of </w:t>
      </w:r>
      <w:r w:rsidR="0008088B">
        <w:rPr>
          <w:rFonts w:asciiTheme="minorHAnsi" w:hAnsiTheme="minorHAnsi" w:cstheme="minorHAnsi"/>
          <w:sz w:val="22"/>
          <w:szCs w:val="22"/>
        </w:rPr>
        <w:t xml:space="preserve">diverse </w:t>
      </w:r>
      <w:r w:rsidR="003E235B">
        <w:rPr>
          <w:rFonts w:asciiTheme="minorHAnsi" w:hAnsiTheme="minorHAnsi" w:cstheme="minorHAnsi"/>
          <w:sz w:val="22"/>
          <w:szCs w:val="22"/>
        </w:rPr>
        <w:t>perspectives, v</w:t>
      </w:r>
      <w:r w:rsidR="003E235B" w:rsidRPr="003E235B">
        <w:rPr>
          <w:rFonts w:asciiTheme="minorHAnsi" w:hAnsiTheme="minorHAnsi" w:cstheme="minorHAnsi"/>
          <w:sz w:val="22"/>
          <w:szCs w:val="22"/>
        </w:rPr>
        <w:t>iews and experiences</w:t>
      </w:r>
      <w:r w:rsidR="003E235B">
        <w:rPr>
          <w:rFonts w:asciiTheme="minorHAnsi" w:hAnsiTheme="minorHAnsi" w:cstheme="minorHAnsi"/>
          <w:sz w:val="22"/>
          <w:szCs w:val="22"/>
        </w:rPr>
        <w:t xml:space="preserve"> to the discussion</w:t>
      </w:r>
      <w:r>
        <w:rPr>
          <w:rFonts w:asciiTheme="minorHAnsi" w:hAnsiTheme="minorHAnsi" w:cstheme="minorHAnsi"/>
          <w:sz w:val="22"/>
          <w:szCs w:val="22"/>
        </w:rPr>
        <w:t xml:space="preserve"> on the </w:t>
      </w:r>
      <w:r w:rsidRPr="00935632">
        <w:rPr>
          <w:rFonts w:asciiTheme="minorHAnsi" w:eastAsia="Times New Roman" w:hAnsiTheme="minorHAnsi" w:cstheme="minorHAnsi"/>
          <w:sz w:val="22"/>
          <w:szCs w:val="22"/>
          <w:lang w:val="en" w:eastAsia="en-AU"/>
        </w:rPr>
        <w:t>drivers impacting their ability to remain within the sector and potentia</w:t>
      </w:r>
      <w:r>
        <w:rPr>
          <w:rFonts w:asciiTheme="minorHAnsi" w:eastAsia="Times New Roman" w:hAnsiTheme="minorHAnsi" w:cstheme="minorHAnsi"/>
          <w:sz w:val="22"/>
          <w:szCs w:val="22"/>
          <w:lang w:val="en" w:eastAsia="en-AU"/>
        </w:rPr>
        <w:t>l solutions to these challenges</w:t>
      </w:r>
      <w:r w:rsidR="003E235B" w:rsidRPr="003E235B">
        <w:rPr>
          <w:rFonts w:asciiTheme="minorHAnsi" w:hAnsiTheme="minorHAnsi" w:cstheme="minorHAnsi"/>
          <w:sz w:val="22"/>
          <w:szCs w:val="22"/>
        </w:rPr>
        <w:t xml:space="preserve">.  </w:t>
      </w:r>
    </w:p>
    <w:p w14:paraId="7FC1B146" w14:textId="5E8A83E0" w:rsidR="00935632" w:rsidRPr="00935632" w:rsidRDefault="002F394F" w:rsidP="00935632">
      <w:pPr>
        <w:rPr>
          <w:rFonts w:asciiTheme="minorHAnsi" w:hAnsiTheme="minorHAnsi" w:cstheme="minorHAnsi"/>
          <w:sz w:val="22"/>
          <w:szCs w:val="22"/>
        </w:rPr>
      </w:pPr>
      <w:r>
        <w:rPr>
          <w:rFonts w:asciiTheme="minorHAnsi" w:hAnsiTheme="minorHAnsi" w:cstheme="minorHAnsi"/>
          <w:sz w:val="22"/>
          <w:szCs w:val="22"/>
        </w:rPr>
        <w:t xml:space="preserve">The </w:t>
      </w:r>
      <w:r w:rsidR="000D1F6B">
        <w:rPr>
          <w:rFonts w:asciiTheme="minorHAnsi" w:hAnsiTheme="minorHAnsi" w:cstheme="minorHAnsi"/>
          <w:sz w:val="22"/>
          <w:szCs w:val="22"/>
        </w:rPr>
        <w:t xml:space="preserve">CEOs and staff of both the </w:t>
      </w:r>
      <w:r w:rsidR="00EC34FD">
        <w:rPr>
          <w:rFonts w:asciiTheme="minorHAnsi" w:hAnsiTheme="minorHAnsi" w:cstheme="minorHAnsi"/>
          <w:sz w:val="22"/>
          <w:szCs w:val="22"/>
        </w:rPr>
        <w:t xml:space="preserve">National Health and Medical Research Council </w:t>
      </w:r>
      <w:r w:rsidR="000D1F6B">
        <w:rPr>
          <w:rFonts w:asciiTheme="minorHAnsi" w:hAnsiTheme="minorHAnsi" w:cstheme="minorHAnsi"/>
          <w:sz w:val="22"/>
          <w:szCs w:val="22"/>
        </w:rPr>
        <w:t xml:space="preserve">(NHMRC) </w:t>
      </w:r>
      <w:r w:rsidR="00EC34FD">
        <w:rPr>
          <w:rFonts w:asciiTheme="minorHAnsi" w:hAnsiTheme="minorHAnsi" w:cstheme="minorHAnsi"/>
          <w:sz w:val="22"/>
          <w:szCs w:val="22"/>
        </w:rPr>
        <w:t>Health and Medical Research Office</w:t>
      </w:r>
      <w:r w:rsidR="000D1F6B">
        <w:rPr>
          <w:rFonts w:asciiTheme="minorHAnsi" w:hAnsiTheme="minorHAnsi" w:cstheme="minorHAnsi"/>
          <w:sz w:val="22"/>
          <w:szCs w:val="22"/>
        </w:rPr>
        <w:t xml:space="preserve"> (HMRO, </w:t>
      </w:r>
      <w:r w:rsidR="00857585">
        <w:rPr>
          <w:rFonts w:asciiTheme="minorHAnsi" w:hAnsiTheme="minorHAnsi" w:cstheme="minorHAnsi"/>
          <w:sz w:val="22"/>
          <w:szCs w:val="22"/>
        </w:rPr>
        <w:t xml:space="preserve">responsible for </w:t>
      </w:r>
      <w:r>
        <w:rPr>
          <w:rFonts w:asciiTheme="minorHAnsi" w:hAnsiTheme="minorHAnsi" w:cstheme="minorHAnsi"/>
          <w:sz w:val="22"/>
          <w:szCs w:val="22"/>
        </w:rPr>
        <w:t>Medical Research Future Fund</w:t>
      </w:r>
      <w:r w:rsidR="00564897">
        <w:rPr>
          <w:rFonts w:asciiTheme="minorHAnsi" w:hAnsiTheme="minorHAnsi" w:cstheme="minorHAnsi"/>
          <w:sz w:val="22"/>
          <w:szCs w:val="22"/>
        </w:rPr>
        <w:t>’s</w:t>
      </w:r>
      <w:r>
        <w:rPr>
          <w:rFonts w:asciiTheme="minorHAnsi" w:hAnsiTheme="minorHAnsi" w:cstheme="minorHAnsi"/>
          <w:sz w:val="22"/>
          <w:szCs w:val="22"/>
        </w:rPr>
        <w:t xml:space="preserve"> (MRFF) </w:t>
      </w:r>
      <w:r w:rsidR="00857585">
        <w:rPr>
          <w:rFonts w:asciiTheme="minorHAnsi" w:hAnsiTheme="minorHAnsi" w:cstheme="minorHAnsi"/>
          <w:sz w:val="22"/>
          <w:szCs w:val="22"/>
        </w:rPr>
        <w:t>administration</w:t>
      </w:r>
      <w:r w:rsidR="000D1F6B">
        <w:rPr>
          <w:rFonts w:asciiTheme="minorHAnsi" w:hAnsiTheme="minorHAnsi" w:cstheme="minorHAnsi"/>
          <w:sz w:val="22"/>
          <w:szCs w:val="22"/>
        </w:rPr>
        <w:t>) were present to support and listen to the discussion</w:t>
      </w:r>
      <w:r w:rsidR="00857585">
        <w:rPr>
          <w:rFonts w:asciiTheme="minorHAnsi" w:hAnsiTheme="minorHAnsi" w:cstheme="minorHAnsi"/>
          <w:sz w:val="22"/>
          <w:szCs w:val="22"/>
        </w:rPr>
        <w:t>.</w:t>
      </w:r>
    </w:p>
    <w:p w14:paraId="677E1C58" w14:textId="146A7C61" w:rsidR="00F75A2A" w:rsidRDefault="00F75A2A" w:rsidP="00935632">
      <w:pPr>
        <w:rPr>
          <w:rFonts w:asciiTheme="minorHAnsi" w:eastAsia="Times New Roman" w:hAnsiTheme="minorHAnsi" w:cstheme="minorHAnsi"/>
          <w:sz w:val="22"/>
          <w:szCs w:val="22"/>
          <w:lang w:val="en" w:eastAsia="en-AU"/>
        </w:rPr>
      </w:pPr>
      <w:r w:rsidRPr="00F75A2A">
        <w:rPr>
          <w:rFonts w:asciiTheme="minorHAnsi" w:eastAsia="Times New Roman" w:hAnsiTheme="minorHAnsi" w:cstheme="minorHAnsi"/>
          <w:sz w:val="22"/>
          <w:szCs w:val="22"/>
          <w:lang w:val="en" w:eastAsia="en-AU"/>
        </w:rPr>
        <w:t>The Department defines EMCRs as emerging researchers within their first ten years of academic or other research-related employment, following completion of postgraduate research training (with consideration for career disruptions). There is no age limit on who can be an EMCR</w:t>
      </w:r>
      <w:r w:rsidR="002F394F">
        <w:rPr>
          <w:rFonts w:asciiTheme="minorHAnsi" w:eastAsia="Times New Roman" w:hAnsiTheme="minorHAnsi" w:cstheme="minorHAnsi"/>
          <w:sz w:val="22"/>
          <w:szCs w:val="22"/>
          <w:lang w:val="en" w:eastAsia="en-AU"/>
        </w:rPr>
        <w:t>.</w:t>
      </w:r>
    </w:p>
    <w:p w14:paraId="78FA4E71" w14:textId="2021D566" w:rsidR="00935632" w:rsidRPr="00E94ECE" w:rsidRDefault="003E235B" w:rsidP="00E94ECE">
      <w:pPr>
        <w:pStyle w:val="Heading2"/>
      </w:pPr>
      <w:r w:rsidRPr="00E94ECE">
        <w:t>THE ROUNDTABLE OUTCOMES</w:t>
      </w:r>
    </w:p>
    <w:p w14:paraId="35A04B19" w14:textId="7815B845" w:rsidR="00EC34FD" w:rsidRPr="00935632" w:rsidRDefault="00033A8F" w:rsidP="00EC34FD">
      <w:pPr>
        <w:rPr>
          <w:rFonts w:asciiTheme="minorHAnsi" w:eastAsia="Times New Roman" w:hAnsiTheme="minorHAnsi" w:cstheme="minorHAnsi"/>
          <w:sz w:val="22"/>
          <w:szCs w:val="22"/>
          <w:lang w:val="en" w:eastAsia="en-AU"/>
        </w:rPr>
      </w:pPr>
      <w:r>
        <w:rPr>
          <w:rFonts w:asciiTheme="minorHAnsi" w:eastAsia="Times New Roman" w:hAnsiTheme="minorHAnsi" w:cstheme="minorHAnsi"/>
          <w:sz w:val="22"/>
          <w:szCs w:val="22"/>
          <w:lang w:val="en" w:eastAsia="en-AU"/>
        </w:rPr>
        <w:t>The following challenges</w:t>
      </w:r>
      <w:r w:rsidR="002F394F">
        <w:rPr>
          <w:rFonts w:asciiTheme="minorHAnsi" w:eastAsia="Times New Roman" w:hAnsiTheme="minorHAnsi" w:cstheme="minorHAnsi"/>
          <w:sz w:val="22"/>
          <w:szCs w:val="22"/>
          <w:lang w:val="en" w:eastAsia="en-AU"/>
        </w:rPr>
        <w:t xml:space="preserve"> </w:t>
      </w:r>
      <w:r>
        <w:rPr>
          <w:rFonts w:asciiTheme="minorHAnsi" w:eastAsia="Times New Roman" w:hAnsiTheme="minorHAnsi" w:cstheme="minorHAnsi"/>
          <w:sz w:val="22"/>
          <w:szCs w:val="22"/>
          <w:lang w:val="en" w:eastAsia="en-AU"/>
        </w:rPr>
        <w:t xml:space="preserve">and potential </w:t>
      </w:r>
      <w:r w:rsidR="002F394F">
        <w:rPr>
          <w:rFonts w:asciiTheme="minorHAnsi" w:eastAsia="Times New Roman" w:hAnsiTheme="minorHAnsi" w:cstheme="minorHAnsi"/>
          <w:sz w:val="22"/>
          <w:szCs w:val="22"/>
          <w:lang w:val="en" w:eastAsia="en-AU"/>
        </w:rPr>
        <w:t>ideas for action</w:t>
      </w:r>
      <w:r>
        <w:rPr>
          <w:rFonts w:asciiTheme="minorHAnsi" w:eastAsia="Times New Roman" w:hAnsiTheme="minorHAnsi" w:cstheme="minorHAnsi"/>
          <w:sz w:val="22"/>
          <w:szCs w:val="22"/>
          <w:lang w:val="en" w:eastAsia="en-AU"/>
        </w:rPr>
        <w:t xml:space="preserve"> </w:t>
      </w:r>
      <w:r w:rsidR="000A29F5">
        <w:rPr>
          <w:rFonts w:asciiTheme="minorHAnsi" w:eastAsia="Times New Roman" w:hAnsiTheme="minorHAnsi" w:cstheme="minorHAnsi"/>
          <w:sz w:val="22"/>
          <w:szCs w:val="22"/>
          <w:lang w:val="en" w:eastAsia="en-AU"/>
        </w:rPr>
        <w:t xml:space="preserve">were raised prior </w:t>
      </w:r>
      <w:r w:rsidR="003B63DF">
        <w:rPr>
          <w:rFonts w:asciiTheme="minorHAnsi" w:eastAsia="Times New Roman" w:hAnsiTheme="minorHAnsi" w:cstheme="minorHAnsi"/>
          <w:sz w:val="22"/>
          <w:szCs w:val="22"/>
          <w:lang w:val="en" w:eastAsia="en-AU"/>
        </w:rPr>
        <w:t xml:space="preserve">to </w:t>
      </w:r>
      <w:r w:rsidR="000A29F5">
        <w:rPr>
          <w:rFonts w:asciiTheme="minorHAnsi" w:eastAsia="Times New Roman" w:hAnsiTheme="minorHAnsi" w:cstheme="minorHAnsi"/>
          <w:sz w:val="22"/>
          <w:szCs w:val="22"/>
          <w:lang w:val="en" w:eastAsia="en-AU"/>
        </w:rPr>
        <w:t>and/or during the Roundtable</w:t>
      </w:r>
      <w:r w:rsidR="00806500">
        <w:rPr>
          <w:rFonts w:asciiTheme="minorHAnsi" w:eastAsia="Times New Roman" w:hAnsiTheme="minorHAnsi" w:cstheme="minorHAnsi"/>
          <w:sz w:val="22"/>
          <w:szCs w:val="22"/>
          <w:lang w:val="en" w:eastAsia="en-AU"/>
        </w:rPr>
        <w:t>.</w:t>
      </w:r>
      <w:r w:rsidR="003B63DF">
        <w:rPr>
          <w:rFonts w:asciiTheme="minorHAnsi" w:eastAsia="Times New Roman" w:hAnsiTheme="minorHAnsi" w:cstheme="minorHAnsi"/>
          <w:sz w:val="22"/>
          <w:szCs w:val="22"/>
          <w:lang w:val="en" w:eastAsia="en-AU"/>
        </w:rPr>
        <w:t xml:space="preserve">  A summary is presented below in order of topics discussed</w:t>
      </w:r>
      <w:r w:rsidR="00564897">
        <w:rPr>
          <w:rFonts w:asciiTheme="minorHAnsi" w:eastAsia="Times New Roman" w:hAnsiTheme="minorHAnsi" w:cstheme="minorHAnsi"/>
          <w:sz w:val="22"/>
          <w:szCs w:val="22"/>
          <w:lang w:val="en" w:eastAsia="en-AU"/>
        </w:rPr>
        <w:t xml:space="preserve">, noting that are many intersections between </w:t>
      </w:r>
      <w:r w:rsidR="005677CB">
        <w:rPr>
          <w:rFonts w:asciiTheme="minorHAnsi" w:eastAsia="Times New Roman" w:hAnsiTheme="minorHAnsi" w:cstheme="minorHAnsi"/>
          <w:sz w:val="22"/>
          <w:szCs w:val="22"/>
          <w:lang w:val="en" w:eastAsia="en-AU"/>
        </w:rPr>
        <w:t>the topics and ideas for action</w:t>
      </w:r>
    </w:p>
    <w:p w14:paraId="616DD645" w14:textId="77777777" w:rsidR="00111E73" w:rsidRPr="00E94ECE" w:rsidRDefault="00033A8F" w:rsidP="00E94ECE">
      <w:pPr>
        <w:pStyle w:val="Heading3"/>
      </w:pPr>
      <w:r w:rsidRPr="00E94ECE">
        <w:t>Se</w:t>
      </w:r>
      <w:r w:rsidR="00111E73" w:rsidRPr="00E94ECE">
        <w:t>ssion 1: Security of employment</w:t>
      </w:r>
    </w:p>
    <w:p w14:paraId="4DC20D40" w14:textId="4036186D" w:rsidR="00033A8F" w:rsidRPr="00111E73" w:rsidRDefault="00F75A2A" w:rsidP="00111E73">
      <w:pPr>
        <w:rPr>
          <w:rFonts w:asciiTheme="minorHAnsi" w:hAnsiTheme="minorHAnsi" w:cstheme="minorHAnsi"/>
          <w:b/>
          <w:sz w:val="22"/>
          <w:szCs w:val="22"/>
        </w:rPr>
      </w:pPr>
      <w:r>
        <w:rPr>
          <w:rFonts w:asciiTheme="minorHAnsi" w:hAnsiTheme="minorHAnsi" w:cstheme="minorHAnsi"/>
          <w:sz w:val="22"/>
          <w:szCs w:val="22"/>
        </w:rPr>
        <w:t xml:space="preserve">The </w:t>
      </w:r>
      <w:r w:rsidRPr="00C1401F">
        <w:rPr>
          <w:rFonts w:asciiTheme="minorHAnsi" w:hAnsiTheme="minorHAnsi" w:cstheme="minorHAnsi"/>
          <w:sz w:val="22"/>
          <w:szCs w:val="22"/>
        </w:rPr>
        <w:t>key finding</w:t>
      </w:r>
      <w:r w:rsidR="00F62B47">
        <w:rPr>
          <w:rFonts w:asciiTheme="minorHAnsi" w:hAnsiTheme="minorHAnsi" w:cstheme="minorHAnsi"/>
          <w:sz w:val="22"/>
          <w:szCs w:val="22"/>
        </w:rPr>
        <w:t xml:space="preserve"> from feedback prior to the Roundtable </w:t>
      </w:r>
      <w:r>
        <w:rPr>
          <w:rFonts w:asciiTheme="minorHAnsi" w:hAnsiTheme="minorHAnsi" w:cstheme="minorHAnsi"/>
          <w:sz w:val="22"/>
          <w:szCs w:val="22"/>
        </w:rPr>
        <w:t xml:space="preserve">was </w:t>
      </w:r>
      <w:r w:rsidR="00F62B47">
        <w:rPr>
          <w:rFonts w:asciiTheme="minorHAnsi" w:hAnsiTheme="minorHAnsi" w:cstheme="minorHAnsi"/>
          <w:sz w:val="22"/>
          <w:szCs w:val="22"/>
        </w:rPr>
        <w:t>that</w:t>
      </w:r>
      <w:r>
        <w:rPr>
          <w:rFonts w:asciiTheme="minorHAnsi" w:hAnsiTheme="minorHAnsi" w:cstheme="minorHAnsi"/>
          <w:sz w:val="22"/>
          <w:szCs w:val="22"/>
        </w:rPr>
        <w:t xml:space="preserve"> </w:t>
      </w:r>
      <w:r w:rsidR="003B63DF">
        <w:rPr>
          <w:rFonts w:asciiTheme="minorHAnsi" w:hAnsiTheme="minorHAnsi" w:cstheme="minorHAnsi"/>
          <w:sz w:val="22"/>
          <w:szCs w:val="22"/>
        </w:rPr>
        <w:t>s</w:t>
      </w:r>
      <w:r w:rsidR="00033A8F" w:rsidRPr="00111E73">
        <w:rPr>
          <w:rFonts w:asciiTheme="minorHAnsi" w:hAnsiTheme="minorHAnsi" w:cstheme="minorHAnsi"/>
          <w:sz w:val="22"/>
          <w:szCs w:val="22"/>
        </w:rPr>
        <w:t>ecure employment allows EMCR</w:t>
      </w:r>
      <w:r w:rsidR="000656EF">
        <w:rPr>
          <w:rFonts w:asciiTheme="minorHAnsi" w:hAnsiTheme="minorHAnsi" w:cstheme="minorHAnsi"/>
          <w:sz w:val="22"/>
          <w:szCs w:val="22"/>
        </w:rPr>
        <w:t>s</w:t>
      </w:r>
      <w:r w:rsidR="00033A8F" w:rsidRPr="00111E73">
        <w:rPr>
          <w:rFonts w:asciiTheme="minorHAnsi" w:hAnsiTheme="minorHAnsi" w:cstheme="minorHAnsi"/>
          <w:sz w:val="22"/>
          <w:szCs w:val="22"/>
        </w:rPr>
        <w:t xml:space="preserve"> to plan their research projects, professional careers, and personal lives, and reduces uncertainty and stress</w:t>
      </w:r>
      <w:r w:rsidR="001D6E6A">
        <w:rPr>
          <w:rFonts w:asciiTheme="minorHAnsi" w:hAnsiTheme="minorHAnsi" w:cstheme="minorHAnsi"/>
          <w:sz w:val="22"/>
          <w:szCs w:val="22"/>
        </w:rPr>
        <w:t xml:space="preserve">. </w:t>
      </w:r>
      <w:r w:rsidR="003B63DF">
        <w:rPr>
          <w:rFonts w:asciiTheme="minorHAnsi" w:hAnsiTheme="minorHAnsi" w:cstheme="minorHAnsi"/>
          <w:sz w:val="22"/>
          <w:szCs w:val="22"/>
        </w:rPr>
        <w:t>H</w:t>
      </w:r>
      <w:r w:rsidR="001D6E6A">
        <w:rPr>
          <w:rFonts w:asciiTheme="minorHAnsi" w:hAnsiTheme="minorHAnsi" w:cstheme="minorHAnsi"/>
          <w:sz w:val="22"/>
          <w:szCs w:val="22"/>
        </w:rPr>
        <w:t xml:space="preserve">owever, EMCRs </w:t>
      </w:r>
      <w:r w:rsidR="00F14450">
        <w:rPr>
          <w:rFonts w:asciiTheme="minorHAnsi" w:hAnsiTheme="minorHAnsi" w:cstheme="minorHAnsi"/>
          <w:sz w:val="22"/>
          <w:szCs w:val="22"/>
        </w:rPr>
        <w:t xml:space="preserve">reported </w:t>
      </w:r>
      <w:r w:rsidR="001D6E6A">
        <w:rPr>
          <w:rFonts w:asciiTheme="minorHAnsi" w:hAnsiTheme="minorHAnsi" w:cstheme="minorHAnsi"/>
          <w:sz w:val="22"/>
          <w:szCs w:val="22"/>
        </w:rPr>
        <w:t>fac</w:t>
      </w:r>
      <w:r w:rsidR="00F14450">
        <w:rPr>
          <w:rFonts w:asciiTheme="minorHAnsi" w:hAnsiTheme="minorHAnsi" w:cstheme="minorHAnsi"/>
          <w:sz w:val="22"/>
          <w:szCs w:val="22"/>
        </w:rPr>
        <w:t>ing</w:t>
      </w:r>
      <w:r w:rsidR="001D6E6A">
        <w:rPr>
          <w:rFonts w:asciiTheme="minorHAnsi" w:hAnsiTheme="minorHAnsi" w:cstheme="minorHAnsi"/>
          <w:sz w:val="22"/>
          <w:szCs w:val="22"/>
        </w:rPr>
        <w:t xml:space="preserve"> multiple challenges in security of employment</w:t>
      </w:r>
      <w:r w:rsidR="00111E73" w:rsidRPr="00111E73">
        <w:rPr>
          <w:rFonts w:asciiTheme="minorHAnsi" w:hAnsiTheme="minorHAnsi" w:cstheme="minorHAnsi"/>
          <w:sz w:val="22"/>
          <w:szCs w:val="22"/>
        </w:rPr>
        <w:t xml:space="preserve"> including short employment contracts (often only 1 year, sometimes 6 months)</w:t>
      </w:r>
      <w:r w:rsidR="001D6E6A">
        <w:rPr>
          <w:rFonts w:asciiTheme="minorHAnsi" w:hAnsiTheme="minorHAnsi" w:cstheme="minorHAnsi"/>
          <w:sz w:val="22"/>
          <w:szCs w:val="22"/>
        </w:rPr>
        <w:t>,</w:t>
      </w:r>
      <w:r w:rsidR="00111E73" w:rsidRPr="00111E73">
        <w:rPr>
          <w:rFonts w:asciiTheme="minorHAnsi" w:hAnsiTheme="minorHAnsi" w:cstheme="minorHAnsi"/>
          <w:sz w:val="22"/>
          <w:szCs w:val="22"/>
        </w:rPr>
        <w:t xml:space="preserve"> extreme com</w:t>
      </w:r>
      <w:r w:rsidR="001D6E6A">
        <w:rPr>
          <w:rFonts w:asciiTheme="minorHAnsi" w:hAnsiTheme="minorHAnsi" w:cstheme="minorHAnsi"/>
          <w:sz w:val="22"/>
          <w:szCs w:val="22"/>
        </w:rPr>
        <w:t>petition for positions, low salaries,</w:t>
      </w:r>
      <w:r w:rsidR="00111E73" w:rsidRPr="00111E73">
        <w:rPr>
          <w:rFonts w:asciiTheme="minorHAnsi" w:hAnsiTheme="minorHAnsi" w:cstheme="minorHAnsi"/>
          <w:sz w:val="22"/>
          <w:szCs w:val="22"/>
        </w:rPr>
        <w:t xml:space="preserve"> higher pay as a clinician than a researcher </w:t>
      </w:r>
      <w:r w:rsidR="006D056F">
        <w:rPr>
          <w:rFonts w:asciiTheme="minorHAnsi" w:hAnsiTheme="minorHAnsi" w:cstheme="minorHAnsi"/>
          <w:sz w:val="22"/>
          <w:szCs w:val="22"/>
        </w:rPr>
        <w:t xml:space="preserve">(resulting in </w:t>
      </w:r>
      <w:r w:rsidR="00111E73" w:rsidRPr="00111E73">
        <w:rPr>
          <w:rFonts w:asciiTheme="minorHAnsi" w:hAnsiTheme="minorHAnsi" w:cstheme="minorHAnsi"/>
          <w:sz w:val="22"/>
          <w:szCs w:val="22"/>
        </w:rPr>
        <w:t>lack of incentives for clinician scientists</w:t>
      </w:r>
      <w:r w:rsidR="006D056F">
        <w:rPr>
          <w:rFonts w:asciiTheme="minorHAnsi" w:hAnsiTheme="minorHAnsi" w:cstheme="minorHAnsi"/>
          <w:sz w:val="22"/>
          <w:szCs w:val="22"/>
        </w:rPr>
        <w:t>)</w:t>
      </w:r>
      <w:r w:rsidR="001D6E6A">
        <w:rPr>
          <w:rFonts w:asciiTheme="minorHAnsi" w:hAnsiTheme="minorHAnsi" w:cstheme="minorHAnsi"/>
          <w:sz w:val="22"/>
          <w:szCs w:val="22"/>
        </w:rPr>
        <w:t>,</w:t>
      </w:r>
      <w:r w:rsidR="00111E73" w:rsidRPr="00111E73">
        <w:rPr>
          <w:rFonts w:asciiTheme="minorHAnsi" w:hAnsiTheme="minorHAnsi" w:cstheme="minorHAnsi"/>
          <w:sz w:val="22"/>
          <w:szCs w:val="22"/>
        </w:rPr>
        <w:t xml:space="preserve"> and limited career progression opportunities.  </w:t>
      </w:r>
    </w:p>
    <w:p w14:paraId="28833794" w14:textId="2396187E" w:rsidR="00033A8F" w:rsidRPr="00111E73" w:rsidRDefault="00033A8F" w:rsidP="00033A8F">
      <w:pPr>
        <w:rPr>
          <w:rFonts w:asciiTheme="minorHAnsi" w:hAnsiTheme="minorHAnsi" w:cstheme="minorHAnsi"/>
          <w:sz w:val="22"/>
          <w:szCs w:val="22"/>
        </w:rPr>
      </w:pPr>
      <w:r w:rsidRPr="00C1401F">
        <w:rPr>
          <w:rFonts w:asciiTheme="minorHAnsi" w:hAnsiTheme="minorHAnsi" w:cstheme="minorHAnsi"/>
          <w:sz w:val="22"/>
          <w:szCs w:val="22"/>
        </w:rPr>
        <w:t>Key strategies</w:t>
      </w:r>
      <w:r w:rsidRPr="00111E73">
        <w:rPr>
          <w:rFonts w:asciiTheme="minorHAnsi" w:hAnsiTheme="minorHAnsi" w:cstheme="minorHAnsi"/>
          <w:sz w:val="22"/>
          <w:szCs w:val="22"/>
        </w:rPr>
        <w:t xml:space="preserve"> to address this issue</w:t>
      </w:r>
      <w:r w:rsidR="0008088B">
        <w:rPr>
          <w:rFonts w:asciiTheme="minorHAnsi" w:hAnsiTheme="minorHAnsi" w:cstheme="minorHAnsi"/>
          <w:sz w:val="22"/>
          <w:szCs w:val="22"/>
        </w:rPr>
        <w:t xml:space="preserve"> raised at the Roun</w:t>
      </w:r>
      <w:r w:rsidR="00372B36">
        <w:rPr>
          <w:rFonts w:asciiTheme="minorHAnsi" w:hAnsiTheme="minorHAnsi" w:cstheme="minorHAnsi"/>
          <w:sz w:val="22"/>
          <w:szCs w:val="22"/>
        </w:rPr>
        <w:t>d</w:t>
      </w:r>
      <w:r w:rsidR="001D6E6A">
        <w:rPr>
          <w:rFonts w:asciiTheme="minorHAnsi" w:hAnsiTheme="minorHAnsi" w:cstheme="minorHAnsi"/>
          <w:sz w:val="22"/>
          <w:szCs w:val="22"/>
        </w:rPr>
        <w:t>table</w:t>
      </w:r>
      <w:r w:rsidR="00C1401F">
        <w:rPr>
          <w:rFonts w:asciiTheme="minorHAnsi" w:hAnsiTheme="minorHAnsi" w:cstheme="minorHAnsi"/>
          <w:sz w:val="22"/>
          <w:szCs w:val="22"/>
        </w:rPr>
        <w:t xml:space="preserve"> include r</w:t>
      </w:r>
      <w:r w:rsidR="00C1401F" w:rsidRPr="00111E73">
        <w:rPr>
          <w:rFonts w:asciiTheme="minorHAnsi" w:hAnsiTheme="minorHAnsi" w:cstheme="minorHAnsi"/>
          <w:sz w:val="22"/>
          <w:szCs w:val="22"/>
        </w:rPr>
        <w:t>estructur</w:t>
      </w:r>
      <w:r w:rsidR="00C1401F">
        <w:rPr>
          <w:rFonts w:asciiTheme="minorHAnsi" w:hAnsiTheme="minorHAnsi" w:cstheme="minorHAnsi"/>
          <w:sz w:val="22"/>
          <w:szCs w:val="22"/>
        </w:rPr>
        <w:t>ing</w:t>
      </w:r>
      <w:r w:rsidR="00C1401F" w:rsidRPr="00111E73">
        <w:rPr>
          <w:rFonts w:asciiTheme="minorHAnsi" w:hAnsiTheme="minorHAnsi" w:cstheme="minorHAnsi"/>
          <w:sz w:val="22"/>
          <w:szCs w:val="22"/>
        </w:rPr>
        <w:t xml:space="preserve"> </w:t>
      </w:r>
      <w:r w:rsidRPr="00111E73">
        <w:rPr>
          <w:rFonts w:asciiTheme="minorHAnsi" w:hAnsiTheme="minorHAnsi" w:cstheme="minorHAnsi"/>
          <w:sz w:val="22"/>
          <w:szCs w:val="22"/>
        </w:rPr>
        <w:t xml:space="preserve">grant opportunities </w:t>
      </w:r>
      <w:r w:rsidR="00425872">
        <w:rPr>
          <w:rFonts w:asciiTheme="minorHAnsi" w:hAnsiTheme="minorHAnsi" w:cstheme="minorHAnsi"/>
          <w:sz w:val="22"/>
          <w:szCs w:val="22"/>
        </w:rPr>
        <w:t xml:space="preserve">and </w:t>
      </w:r>
      <w:r w:rsidR="00C1401F">
        <w:rPr>
          <w:rFonts w:asciiTheme="minorHAnsi" w:hAnsiTheme="minorHAnsi" w:cstheme="minorHAnsi"/>
          <w:sz w:val="22"/>
          <w:szCs w:val="22"/>
        </w:rPr>
        <w:t>incentivising institutions to provide better support to EMCRs</w:t>
      </w:r>
      <w:r w:rsidR="00F3326A">
        <w:rPr>
          <w:rFonts w:asciiTheme="minorHAnsi" w:hAnsiTheme="minorHAnsi" w:cstheme="minorHAnsi"/>
          <w:sz w:val="22"/>
          <w:szCs w:val="22"/>
        </w:rPr>
        <w:t>.</w:t>
      </w:r>
    </w:p>
    <w:p w14:paraId="3F87410D" w14:textId="0D6A20EE" w:rsidR="00A06F1C" w:rsidRDefault="002F394F" w:rsidP="003B63DF">
      <w:pPr>
        <w:rPr>
          <w:rFonts w:asciiTheme="minorHAnsi" w:hAnsiTheme="minorHAnsi" w:cstheme="minorHAnsi"/>
          <w:sz w:val="22"/>
          <w:szCs w:val="22"/>
        </w:rPr>
      </w:pPr>
      <w:r>
        <w:rPr>
          <w:rFonts w:asciiTheme="minorHAnsi" w:hAnsiTheme="minorHAnsi" w:cstheme="minorHAnsi"/>
          <w:sz w:val="22"/>
          <w:szCs w:val="22"/>
        </w:rPr>
        <w:lastRenderedPageBreak/>
        <w:t>Ideas</w:t>
      </w:r>
      <w:r w:rsidR="003E373D" w:rsidRPr="00111E73">
        <w:rPr>
          <w:rFonts w:asciiTheme="minorHAnsi" w:hAnsiTheme="minorHAnsi" w:cstheme="minorHAnsi"/>
          <w:sz w:val="22"/>
          <w:szCs w:val="22"/>
        </w:rPr>
        <w:t xml:space="preserve"> </w:t>
      </w:r>
      <w:r w:rsidR="00111E73" w:rsidRPr="00111E73">
        <w:rPr>
          <w:rFonts w:asciiTheme="minorHAnsi" w:hAnsiTheme="minorHAnsi" w:cstheme="minorHAnsi"/>
          <w:sz w:val="22"/>
          <w:szCs w:val="22"/>
        </w:rPr>
        <w:t>for action</w:t>
      </w:r>
      <w:r w:rsidR="00D34EBA">
        <w:rPr>
          <w:rFonts w:asciiTheme="minorHAnsi" w:hAnsiTheme="minorHAnsi" w:cstheme="minorHAnsi"/>
          <w:sz w:val="22"/>
          <w:szCs w:val="22"/>
        </w:rPr>
        <w:t xml:space="preserve"> within the scope of the MRFF include</w:t>
      </w:r>
      <w:r w:rsidR="00963D08">
        <w:rPr>
          <w:rFonts w:asciiTheme="minorHAnsi" w:hAnsiTheme="minorHAnsi" w:cstheme="minorHAnsi"/>
          <w:sz w:val="22"/>
          <w:szCs w:val="22"/>
        </w:rPr>
        <w:t>:</w:t>
      </w:r>
    </w:p>
    <w:tbl>
      <w:tblPr>
        <w:tblStyle w:val="TableGrid"/>
        <w:tblW w:w="0" w:type="auto"/>
        <w:tblLook w:val="04A0" w:firstRow="1" w:lastRow="0" w:firstColumn="1" w:lastColumn="0" w:noHBand="0" w:noVBand="1"/>
      </w:tblPr>
      <w:tblGrid>
        <w:gridCol w:w="4508"/>
        <w:gridCol w:w="4508"/>
      </w:tblGrid>
      <w:tr w:rsidR="00A06F1C" w:rsidRPr="00D73857" w14:paraId="2CF1FD36" w14:textId="77777777" w:rsidTr="00A06F1C">
        <w:tc>
          <w:tcPr>
            <w:tcW w:w="4508" w:type="dxa"/>
          </w:tcPr>
          <w:p w14:paraId="00A85B5C" w14:textId="77777777" w:rsidR="00180E7F" w:rsidRPr="00D73857" w:rsidRDefault="001D6E6A" w:rsidP="001D6E6A">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t>I</w:t>
            </w:r>
            <w:r w:rsidR="00180E7F" w:rsidRPr="00D73857">
              <w:rPr>
                <w:rFonts w:cstheme="minorHAnsi"/>
                <w:sz w:val="21"/>
                <w:szCs w:val="21"/>
              </w:rPr>
              <w:t>nclud</w:t>
            </w:r>
            <w:r w:rsidR="002F394F" w:rsidRPr="00D73857">
              <w:rPr>
                <w:rFonts w:cstheme="minorHAnsi"/>
                <w:sz w:val="21"/>
                <w:szCs w:val="21"/>
              </w:rPr>
              <w:t>e</w:t>
            </w:r>
            <w:r w:rsidR="00180E7F" w:rsidRPr="00D73857">
              <w:rPr>
                <w:rFonts w:cstheme="minorHAnsi"/>
                <w:sz w:val="21"/>
                <w:szCs w:val="21"/>
              </w:rPr>
              <w:t xml:space="preserve"> ‘job creation’ as an assessment metric </w:t>
            </w:r>
            <w:r w:rsidR="002F394F" w:rsidRPr="00D73857">
              <w:rPr>
                <w:rFonts w:cstheme="minorHAnsi"/>
                <w:sz w:val="21"/>
                <w:szCs w:val="21"/>
              </w:rPr>
              <w:t>in</w:t>
            </w:r>
            <w:r w:rsidR="00180E7F" w:rsidRPr="00D73857">
              <w:rPr>
                <w:rFonts w:cstheme="minorHAnsi"/>
                <w:sz w:val="21"/>
                <w:szCs w:val="21"/>
              </w:rPr>
              <w:t xml:space="preserve"> grant applications </w:t>
            </w:r>
          </w:p>
          <w:p w14:paraId="364BF036" w14:textId="596A2543" w:rsidR="001D6E6A" w:rsidRPr="00D73857" w:rsidRDefault="005838ED" w:rsidP="001D6E6A">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Aim to revise</w:t>
            </w:r>
            <w:r w:rsidRPr="00D73857">
              <w:rPr>
                <w:rFonts w:cstheme="minorHAnsi"/>
                <w:sz w:val="21"/>
                <w:szCs w:val="21"/>
              </w:rPr>
              <w:t xml:space="preserve"> </w:t>
            </w:r>
            <w:r w:rsidR="001D6E6A" w:rsidRPr="00D73857">
              <w:rPr>
                <w:rFonts w:cstheme="minorHAnsi"/>
                <w:sz w:val="21"/>
                <w:szCs w:val="21"/>
              </w:rPr>
              <w:t>salaries provided through grants</w:t>
            </w:r>
            <w:r>
              <w:rPr>
                <w:rFonts w:cstheme="minorHAnsi"/>
                <w:sz w:val="21"/>
                <w:szCs w:val="21"/>
              </w:rPr>
              <w:t>, so that they</w:t>
            </w:r>
            <w:r w:rsidR="001D6E6A" w:rsidRPr="00D73857">
              <w:rPr>
                <w:rFonts w:cstheme="minorHAnsi"/>
                <w:sz w:val="21"/>
                <w:szCs w:val="21"/>
              </w:rPr>
              <w:t xml:space="preserve"> are competitive against standard full-time incomes outside of research</w:t>
            </w:r>
          </w:p>
          <w:p w14:paraId="148A363E" w14:textId="34B8C807" w:rsidR="001D6E6A" w:rsidRPr="00D73857" w:rsidRDefault="005838ED" w:rsidP="00372B36">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Promote</w:t>
            </w:r>
            <w:r w:rsidRPr="00D73857">
              <w:rPr>
                <w:rFonts w:cstheme="minorHAnsi"/>
                <w:sz w:val="21"/>
                <w:szCs w:val="21"/>
              </w:rPr>
              <w:t xml:space="preserve"> </w:t>
            </w:r>
            <w:r w:rsidR="001D6E6A" w:rsidRPr="00D73857">
              <w:rPr>
                <w:rFonts w:cstheme="minorHAnsi"/>
                <w:sz w:val="21"/>
                <w:szCs w:val="21"/>
              </w:rPr>
              <w:t>early visibility of grant opportunity opening, closing, and outcomes, so that EMCRs can plan ahead sufficiently for income stability and continuity purposes</w:t>
            </w:r>
          </w:p>
        </w:tc>
        <w:tc>
          <w:tcPr>
            <w:tcW w:w="4508" w:type="dxa"/>
          </w:tcPr>
          <w:p w14:paraId="783F9912" w14:textId="64527352" w:rsidR="00A06F1C" w:rsidRPr="00D73857" w:rsidRDefault="001D6E6A" w:rsidP="001D6E6A">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t>C</w:t>
            </w:r>
            <w:r w:rsidR="00A06F1C" w:rsidRPr="00D73857">
              <w:rPr>
                <w:rFonts w:cstheme="minorHAnsi"/>
                <w:sz w:val="21"/>
                <w:szCs w:val="21"/>
              </w:rPr>
              <w:t>onsider</w:t>
            </w:r>
            <w:r w:rsidR="005677CB" w:rsidRPr="00D73857">
              <w:rPr>
                <w:rFonts w:cstheme="minorHAnsi"/>
                <w:sz w:val="21"/>
                <w:szCs w:val="21"/>
              </w:rPr>
              <w:t xml:space="preserve"> co-funded grant opportunities</w:t>
            </w:r>
            <w:r w:rsidR="00A06F1C" w:rsidRPr="00D73857">
              <w:rPr>
                <w:rFonts w:cstheme="minorHAnsi"/>
                <w:sz w:val="21"/>
                <w:szCs w:val="21"/>
              </w:rPr>
              <w:t xml:space="preserve"> with </w:t>
            </w:r>
            <w:r w:rsidRPr="00D73857">
              <w:rPr>
                <w:rFonts w:cstheme="minorHAnsi"/>
                <w:sz w:val="21"/>
                <w:szCs w:val="21"/>
              </w:rPr>
              <w:t>research institutions and/or i</w:t>
            </w:r>
            <w:r w:rsidR="00A06F1C" w:rsidRPr="00D73857">
              <w:rPr>
                <w:rFonts w:cstheme="minorHAnsi"/>
                <w:sz w:val="21"/>
                <w:szCs w:val="21"/>
              </w:rPr>
              <w:t>ndustry</w:t>
            </w:r>
          </w:p>
          <w:p w14:paraId="1B2745E5" w14:textId="708C32DE" w:rsidR="0066516A" w:rsidRPr="00D73857" w:rsidRDefault="0066516A" w:rsidP="001D6E6A">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t xml:space="preserve">Incentivise research institutions </w:t>
            </w:r>
            <w:r w:rsidR="001D6E6A" w:rsidRPr="00D73857">
              <w:rPr>
                <w:rFonts w:cstheme="minorHAnsi"/>
                <w:sz w:val="21"/>
                <w:szCs w:val="21"/>
              </w:rPr>
              <w:t>to</w:t>
            </w:r>
            <w:r w:rsidRPr="00D73857">
              <w:rPr>
                <w:rFonts w:cstheme="minorHAnsi"/>
                <w:sz w:val="21"/>
                <w:szCs w:val="21"/>
              </w:rPr>
              <w:t xml:space="preserve"> support EMCRs (similar to </w:t>
            </w:r>
            <w:r w:rsidR="001D6E6A" w:rsidRPr="00D73857">
              <w:rPr>
                <w:rFonts w:cstheme="minorHAnsi"/>
                <w:sz w:val="21"/>
                <w:szCs w:val="21"/>
              </w:rPr>
              <w:t xml:space="preserve">Systemic Action for Gender Equality, </w:t>
            </w:r>
            <w:r w:rsidRPr="00D73857">
              <w:rPr>
                <w:rFonts w:cstheme="minorHAnsi"/>
                <w:sz w:val="21"/>
                <w:szCs w:val="21"/>
              </w:rPr>
              <w:t xml:space="preserve">SAGE). </w:t>
            </w:r>
            <w:r w:rsidR="001D6E6A" w:rsidRPr="00D73857">
              <w:rPr>
                <w:rFonts w:cstheme="minorHAnsi"/>
                <w:sz w:val="21"/>
                <w:szCs w:val="21"/>
              </w:rPr>
              <w:t xml:space="preserve">E.g. </w:t>
            </w:r>
            <w:r w:rsidR="00C2100D" w:rsidRPr="00D73857">
              <w:rPr>
                <w:rFonts w:cstheme="minorHAnsi"/>
                <w:sz w:val="21"/>
                <w:szCs w:val="21"/>
              </w:rPr>
              <w:t>Institutions</w:t>
            </w:r>
            <w:r w:rsidRPr="00D73857">
              <w:rPr>
                <w:rFonts w:cstheme="minorHAnsi"/>
                <w:sz w:val="21"/>
                <w:szCs w:val="21"/>
              </w:rPr>
              <w:t xml:space="preserve"> must meet criteri</w:t>
            </w:r>
            <w:r w:rsidR="001D6E6A" w:rsidRPr="00D73857">
              <w:rPr>
                <w:rFonts w:cstheme="minorHAnsi"/>
                <w:sz w:val="21"/>
                <w:szCs w:val="21"/>
              </w:rPr>
              <w:t>a</w:t>
            </w:r>
            <w:r w:rsidRPr="00D73857">
              <w:rPr>
                <w:rFonts w:cstheme="minorHAnsi"/>
                <w:sz w:val="21"/>
                <w:szCs w:val="21"/>
              </w:rPr>
              <w:t xml:space="preserve"> X</w:t>
            </w:r>
            <w:r w:rsidR="001D6E6A" w:rsidRPr="00D73857">
              <w:rPr>
                <w:rFonts w:cstheme="minorHAnsi"/>
                <w:sz w:val="21"/>
                <w:szCs w:val="21"/>
              </w:rPr>
              <w:t xml:space="preserve"> and Y in supporting EMCRs</w:t>
            </w:r>
            <w:r w:rsidRPr="00D73857">
              <w:rPr>
                <w:rFonts w:cstheme="minorHAnsi"/>
                <w:sz w:val="21"/>
                <w:szCs w:val="21"/>
              </w:rPr>
              <w:t xml:space="preserve"> to apply for </w:t>
            </w:r>
            <w:r w:rsidR="001D6E6A" w:rsidRPr="00D73857">
              <w:rPr>
                <w:rFonts w:cstheme="minorHAnsi"/>
                <w:sz w:val="21"/>
                <w:szCs w:val="21"/>
              </w:rPr>
              <w:t xml:space="preserve">grant opportunity A, or </w:t>
            </w:r>
            <w:r w:rsidRPr="00D73857">
              <w:rPr>
                <w:rFonts w:cstheme="minorHAnsi"/>
                <w:sz w:val="21"/>
                <w:szCs w:val="21"/>
              </w:rPr>
              <w:t xml:space="preserve">stream </w:t>
            </w:r>
            <w:r w:rsidR="001D6E6A" w:rsidRPr="00D73857">
              <w:rPr>
                <w:rFonts w:cstheme="minorHAnsi"/>
                <w:sz w:val="21"/>
                <w:szCs w:val="21"/>
              </w:rPr>
              <w:t>B</w:t>
            </w:r>
            <w:r w:rsidRPr="00D73857">
              <w:rPr>
                <w:rFonts w:cstheme="minorHAnsi"/>
                <w:sz w:val="21"/>
                <w:szCs w:val="21"/>
              </w:rPr>
              <w:t>.</w:t>
            </w:r>
          </w:p>
          <w:p w14:paraId="154FAECF" w14:textId="3B781D2F" w:rsidR="001D6E6A" w:rsidRPr="00D73857" w:rsidRDefault="001D6E6A" w:rsidP="001D6E6A">
            <w:pPr>
              <w:pStyle w:val="ListParagraph"/>
              <w:numPr>
                <w:ilvl w:val="0"/>
                <w:numId w:val="3"/>
              </w:numPr>
              <w:spacing w:before="40" w:after="0" w:line="240" w:lineRule="auto"/>
              <w:ind w:left="442" w:hanging="357"/>
              <w:contextualSpacing w:val="0"/>
              <w:rPr>
                <w:rFonts w:cstheme="minorHAnsi"/>
                <w:i/>
                <w:sz w:val="21"/>
                <w:szCs w:val="21"/>
              </w:rPr>
            </w:pPr>
            <w:r w:rsidRPr="00D73857">
              <w:rPr>
                <w:rFonts w:cstheme="minorHAnsi"/>
                <w:i/>
                <w:sz w:val="21"/>
                <w:szCs w:val="21"/>
              </w:rPr>
              <w:t xml:space="preserve">See also ideas for action under “Access to Grant Funding” as a key message </w:t>
            </w:r>
            <w:r w:rsidR="005677CB" w:rsidRPr="00D73857">
              <w:rPr>
                <w:rFonts w:cstheme="minorHAnsi"/>
                <w:i/>
                <w:sz w:val="21"/>
                <w:szCs w:val="21"/>
              </w:rPr>
              <w:t xml:space="preserve">heard </w:t>
            </w:r>
            <w:r w:rsidRPr="00D73857">
              <w:rPr>
                <w:rFonts w:cstheme="minorHAnsi"/>
                <w:i/>
                <w:sz w:val="21"/>
                <w:szCs w:val="21"/>
              </w:rPr>
              <w:t xml:space="preserve">was </w:t>
            </w:r>
            <w:r w:rsidR="005677CB" w:rsidRPr="00D73857">
              <w:rPr>
                <w:rFonts w:cstheme="minorHAnsi"/>
                <w:i/>
                <w:sz w:val="21"/>
                <w:szCs w:val="21"/>
              </w:rPr>
              <w:t xml:space="preserve">that </w:t>
            </w:r>
            <w:r w:rsidRPr="00D73857">
              <w:rPr>
                <w:rFonts w:cstheme="minorHAnsi"/>
                <w:i/>
                <w:sz w:val="21"/>
                <w:szCs w:val="21"/>
              </w:rPr>
              <w:t>grant funding leads to more secure employment</w:t>
            </w:r>
          </w:p>
        </w:tc>
      </w:tr>
    </w:tbl>
    <w:p w14:paraId="5426D57A" w14:textId="77777777" w:rsidR="00A06F1C" w:rsidRDefault="00A06F1C" w:rsidP="003B63DF">
      <w:pPr>
        <w:rPr>
          <w:rFonts w:asciiTheme="minorHAnsi" w:hAnsiTheme="minorHAnsi" w:cstheme="minorHAnsi"/>
          <w:sz w:val="22"/>
          <w:szCs w:val="22"/>
        </w:rPr>
      </w:pPr>
    </w:p>
    <w:p w14:paraId="0648FD7E" w14:textId="42CF259C" w:rsidR="00A06F1C" w:rsidRDefault="002F394F" w:rsidP="003B63DF">
      <w:pPr>
        <w:rPr>
          <w:rFonts w:asciiTheme="minorHAnsi" w:hAnsiTheme="minorHAnsi" w:cstheme="minorHAnsi"/>
          <w:sz w:val="22"/>
          <w:szCs w:val="22"/>
        </w:rPr>
      </w:pPr>
      <w:r>
        <w:rPr>
          <w:rFonts w:asciiTheme="minorHAnsi" w:hAnsiTheme="minorHAnsi" w:cstheme="minorHAnsi"/>
          <w:sz w:val="22"/>
          <w:szCs w:val="22"/>
        </w:rPr>
        <w:t>Ideas</w:t>
      </w:r>
      <w:r w:rsidR="00A06F1C">
        <w:rPr>
          <w:rFonts w:asciiTheme="minorHAnsi" w:hAnsiTheme="minorHAnsi" w:cstheme="minorHAnsi"/>
          <w:sz w:val="22"/>
          <w:szCs w:val="22"/>
        </w:rPr>
        <w:t xml:space="preserve"> for action outside the MRFF include:</w:t>
      </w:r>
    </w:p>
    <w:tbl>
      <w:tblPr>
        <w:tblStyle w:val="TableGrid"/>
        <w:tblW w:w="0" w:type="auto"/>
        <w:tblLook w:val="04A0" w:firstRow="1" w:lastRow="0" w:firstColumn="1" w:lastColumn="0" w:noHBand="0" w:noVBand="1"/>
      </w:tblPr>
      <w:tblGrid>
        <w:gridCol w:w="4508"/>
        <w:gridCol w:w="4508"/>
      </w:tblGrid>
      <w:tr w:rsidR="00957CBD" w14:paraId="3EED479A" w14:textId="77777777" w:rsidTr="00957CBD">
        <w:tc>
          <w:tcPr>
            <w:tcW w:w="4508" w:type="dxa"/>
          </w:tcPr>
          <w:p w14:paraId="460A815D" w14:textId="0322C0EF" w:rsidR="00957CBD" w:rsidRPr="00D73857" w:rsidRDefault="00957CBD" w:rsidP="001D6E6A">
            <w:pPr>
              <w:pStyle w:val="ListParagraph"/>
              <w:numPr>
                <w:ilvl w:val="0"/>
                <w:numId w:val="4"/>
              </w:numPr>
              <w:spacing w:before="40" w:after="0" w:line="240" w:lineRule="auto"/>
              <w:ind w:left="357" w:hanging="357"/>
              <w:rPr>
                <w:rFonts w:cstheme="minorHAnsi"/>
                <w:sz w:val="21"/>
                <w:szCs w:val="21"/>
              </w:rPr>
            </w:pPr>
            <w:r w:rsidRPr="00D73857">
              <w:rPr>
                <w:rFonts w:cstheme="minorHAnsi"/>
                <w:sz w:val="21"/>
                <w:szCs w:val="21"/>
              </w:rPr>
              <w:t>Review the current structure of PhD programs within universities</w:t>
            </w:r>
            <w:r w:rsidR="001D6E6A" w:rsidRPr="00D73857">
              <w:rPr>
                <w:rFonts w:cstheme="minorHAnsi"/>
                <w:sz w:val="21"/>
                <w:szCs w:val="21"/>
              </w:rPr>
              <w:t xml:space="preserve">. PhD programs are </w:t>
            </w:r>
            <w:r w:rsidRPr="00D73857">
              <w:rPr>
                <w:rFonts w:cstheme="minorHAnsi"/>
                <w:sz w:val="21"/>
                <w:szCs w:val="21"/>
              </w:rPr>
              <w:t xml:space="preserve">usually targeted towards an academic </w:t>
            </w:r>
            <w:r w:rsidR="001D6E6A" w:rsidRPr="00D73857">
              <w:rPr>
                <w:rFonts w:cstheme="minorHAnsi"/>
                <w:sz w:val="21"/>
                <w:szCs w:val="21"/>
              </w:rPr>
              <w:t xml:space="preserve">career track. Consideration </w:t>
            </w:r>
            <w:r w:rsidR="005838ED">
              <w:rPr>
                <w:rFonts w:cstheme="minorHAnsi"/>
                <w:sz w:val="21"/>
                <w:szCs w:val="21"/>
              </w:rPr>
              <w:t>could</w:t>
            </w:r>
            <w:r w:rsidR="005838ED" w:rsidRPr="00D73857">
              <w:rPr>
                <w:rFonts w:cstheme="minorHAnsi"/>
                <w:sz w:val="21"/>
                <w:szCs w:val="21"/>
              </w:rPr>
              <w:t xml:space="preserve"> </w:t>
            </w:r>
            <w:r w:rsidR="001D6E6A" w:rsidRPr="00D73857">
              <w:rPr>
                <w:rFonts w:cstheme="minorHAnsi"/>
                <w:sz w:val="21"/>
                <w:szCs w:val="21"/>
              </w:rPr>
              <w:t xml:space="preserve">be given to </w:t>
            </w:r>
            <w:r w:rsidRPr="00D73857">
              <w:rPr>
                <w:rFonts w:cstheme="minorHAnsi"/>
                <w:sz w:val="21"/>
                <w:szCs w:val="21"/>
              </w:rPr>
              <w:t xml:space="preserve">restructuring to facilitate acquisition of a diversified skill set </w:t>
            </w:r>
            <w:r w:rsidR="001D6E6A" w:rsidRPr="00D73857">
              <w:rPr>
                <w:rFonts w:cstheme="minorHAnsi"/>
                <w:sz w:val="21"/>
                <w:szCs w:val="21"/>
              </w:rPr>
              <w:t xml:space="preserve">during PhD studies </w:t>
            </w:r>
            <w:r w:rsidRPr="00D73857">
              <w:rPr>
                <w:rFonts w:cstheme="minorHAnsi"/>
                <w:sz w:val="21"/>
                <w:szCs w:val="21"/>
              </w:rPr>
              <w:t>that can be applied to careers outside of academia</w:t>
            </w:r>
          </w:p>
          <w:p w14:paraId="78C82BB8" w14:textId="48F88DCF" w:rsidR="0066516A" w:rsidRPr="00D73857" w:rsidRDefault="001D6E6A" w:rsidP="001D6E6A">
            <w:pPr>
              <w:pStyle w:val="ListParagraph"/>
              <w:numPr>
                <w:ilvl w:val="0"/>
                <w:numId w:val="4"/>
              </w:numPr>
              <w:spacing w:after="0" w:line="240" w:lineRule="auto"/>
              <w:rPr>
                <w:rFonts w:cstheme="minorHAnsi"/>
                <w:sz w:val="21"/>
                <w:szCs w:val="21"/>
              </w:rPr>
            </w:pPr>
            <w:r w:rsidRPr="00D73857">
              <w:rPr>
                <w:rFonts w:cstheme="minorHAnsi"/>
                <w:sz w:val="21"/>
                <w:szCs w:val="21"/>
              </w:rPr>
              <w:t xml:space="preserve">Diversify </w:t>
            </w:r>
            <w:r w:rsidR="005677CB" w:rsidRPr="00D73857">
              <w:rPr>
                <w:rFonts w:cstheme="minorHAnsi"/>
                <w:sz w:val="21"/>
                <w:szCs w:val="21"/>
              </w:rPr>
              <w:t xml:space="preserve">the </w:t>
            </w:r>
            <w:r w:rsidRPr="00D73857">
              <w:rPr>
                <w:rFonts w:cstheme="minorHAnsi"/>
                <w:sz w:val="21"/>
                <w:szCs w:val="21"/>
              </w:rPr>
              <w:t>available</w:t>
            </w:r>
            <w:r w:rsidR="0066516A" w:rsidRPr="00D73857">
              <w:rPr>
                <w:rFonts w:cstheme="minorHAnsi"/>
                <w:sz w:val="21"/>
                <w:szCs w:val="21"/>
              </w:rPr>
              <w:t xml:space="preserve"> career paths and job opportunities in Australia</w:t>
            </w:r>
            <w:r w:rsidR="00564897" w:rsidRPr="00D73857">
              <w:rPr>
                <w:rFonts w:cstheme="minorHAnsi"/>
                <w:sz w:val="21"/>
                <w:szCs w:val="21"/>
              </w:rPr>
              <w:t xml:space="preserve"> i</w:t>
            </w:r>
            <w:r w:rsidR="009C7CBC">
              <w:rPr>
                <w:rFonts w:cstheme="minorHAnsi"/>
                <w:sz w:val="21"/>
                <w:szCs w:val="21"/>
              </w:rPr>
              <w:t>.</w:t>
            </w:r>
            <w:r w:rsidR="00564897" w:rsidRPr="00D73857">
              <w:rPr>
                <w:rFonts w:cstheme="minorHAnsi"/>
                <w:sz w:val="21"/>
                <w:szCs w:val="21"/>
              </w:rPr>
              <w:t>e</w:t>
            </w:r>
            <w:r w:rsidR="009C7CBC">
              <w:rPr>
                <w:rFonts w:cstheme="minorHAnsi"/>
                <w:sz w:val="21"/>
                <w:szCs w:val="21"/>
              </w:rPr>
              <w:t>.</w:t>
            </w:r>
            <w:r w:rsidR="00564897" w:rsidRPr="00D73857">
              <w:rPr>
                <w:rFonts w:cstheme="minorHAnsi"/>
                <w:sz w:val="21"/>
                <w:szCs w:val="21"/>
              </w:rPr>
              <w:t xml:space="preserve"> alternatives outside of academia that can leverage qualifications gained through academia</w:t>
            </w:r>
          </w:p>
          <w:p w14:paraId="5AFEDBAE" w14:textId="55DBD317" w:rsidR="005677CB" w:rsidRPr="00D73857" w:rsidRDefault="00E014D9" w:rsidP="00D73857">
            <w:pPr>
              <w:pStyle w:val="ListParagraph"/>
              <w:numPr>
                <w:ilvl w:val="0"/>
                <w:numId w:val="4"/>
              </w:numPr>
              <w:spacing w:after="0" w:line="240" w:lineRule="auto"/>
              <w:rPr>
                <w:rFonts w:cstheme="minorHAnsi"/>
                <w:sz w:val="21"/>
                <w:szCs w:val="21"/>
              </w:rPr>
            </w:pPr>
            <w:r w:rsidRPr="00D73857">
              <w:rPr>
                <w:rFonts w:cstheme="minorHAnsi"/>
                <w:sz w:val="21"/>
                <w:szCs w:val="21"/>
              </w:rPr>
              <w:t>Encourag</w:t>
            </w:r>
            <w:r w:rsidR="00372B36" w:rsidRPr="00D73857">
              <w:rPr>
                <w:rFonts w:cstheme="minorHAnsi"/>
                <w:sz w:val="21"/>
                <w:szCs w:val="21"/>
              </w:rPr>
              <w:t>e</w:t>
            </w:r>
            <w:r w:rsidRPr="00D73857">
              <w:rPr>
                <w:rFonts w:cstheme="minorHAnsi"/>
                <w:sz w:val="21"/>
                <w:szCs w:val="21"/>
              </w:rPr>
              <w:t xml:space="preserve"> alternative income str</w:t>
            </w:r>
            <w:r w:rsidR="00D73857" w:rsidRPr="00D73857">
              <w:rPr>
                <w:rFonts w:cstheme="minorHAnsi"/>
                <w:sz w:val="21"/>
                <w:szCs w:val="21"/>
              </w:rPr>
              <w:t>eams from the research generated</w:t>
            </w:r>
          </w:p>
        </w:tc>
        <w:tc>
          <w:tcPr>
            <w:tcW w:w="4508" w:type="dxa"/>
          </w:tcPr>
          <w:p w14:paraId="31143ECC" w14:textId="5A25AFB7" w:rsidR="005677CB" w:rsidRPr="00D73857" w:rsidRDefault="00F16324" w:rsidP="001D6E6A">
            <w:pPr>
              <w:pStyle w:val="ListParagraph"/>
              <w:numPr>
                <w:ilvl w:val="0"/>
                <w:numId w:val="4"/>
              </w:numPr>
              <w:spacing w:before="40" w:after="0" w:line="240" w:lineRule="auto"/>
              <w:ind w:left="357" w:hanging="357"/>
              <w:rPr>
                <w:rFonts w:cstheme="minorHAnsi"/>
                <w:sz w:val="21"/>
                <w:szCs w:val="21"/>
              </w:rPr>
            </w:pPr>
            <w:r w:rsidRPr="00D73857">
              <w:rPr>
                <w:rFonts w:cstheme="minorHAnsi"/>
                <w:sz w:val="21"/>
                <w:szCs w:val="21"/>
              </w:rPr>
              <w:t>Provide n</w:t>
            </w:r>
            <w:r w:rsidR="005677CB" w:rsidRPr="00D73857">
              <w:rPr>
                <w:rFonts w:cstheme="minorHAnsi"/>
                <w:sz w:val="21"/>
                <w:szCs w:val="21"/>
              </w:rPr>
              <w:t>on-MRFF incentives for institutions to support EMCRs</w:t>
            </w:r>
            <w:r w:rsidRPr="00D73857">
              <w:rPr>
                <w:rFonts w:cstheme="minorHAnsi"/>
                <w:sz w:val="21"/>
                <w:szCs w:val="21"/>
              </w:rPr>
              <w:t xml:space="preserve"> and </w:t>
            </w:r>
            <w:r w:rsidR="005677CB" w:rsidRPr="00D73857">
              <w:rPr>
                <w:rFonts w:cstheme="minorHAnsi"/>
                <w:sz w:val="21"/>
                <w:szCs w:val="21"/>
              </w:rPr>
              <w:t xml:space="preserve">provide longer </w:t>
            </w:r>
            <w:r w:rsidRPr="00D73857">
              <w:rPr>
                <w:rFonts w:cstheme="minorHAnsi"/>
                <w:sz w:val="21"/>
                <w:szCs w:val="21"/>
              </w:rPr>
              <w:t xml:space="preserve">employment </w:t>
            </w:r>
            <w:r w:rsidR="005677CB" w:rsidRPr="00D73857">
              <w:rPr>
                <w:rFonts w:cstheme="minorHAnsi"/>
                <w:sz w:val="21"/>
                <w:szCs w:val="21"/>
              </w:rPr>
              <w:t xml:space="preserve">contracts </w:t>
            </w:r>
          </w:p>
          <w:p w14:paraId="5F4343C3" w14:textId="33D297BF" w:rsidR="00957CBD" w:rsidRPr="00D73857" w:rsidRDefault="00E014D9" w:rsidP="001D6E6A">
            <w:pPr>
              <w:pStyle w:val="ListParagraph"/>
              <w:numPr>
                <w:ilvl w:val="0"/>
                <w:numId w:val="4"/>
              </w:numPr>
              <w:spacing w:before="40" w:after="0" w:line="240" w:lineRule="auto"/>
              <w:ind w:left="357" w:hanging="357"/>
              <w:rPr>
                <w:rFonts w:cstheme="minorHAnsi"/>
                <w:sz w:val="21"/>
                <w:szCs w:val="21"/>
              </w:rPr>
            </w:pPr>
            <w:r w:rsidRPr="00D73857">
              <w:rPr>
                <w:rFonts w:cstheme="minorHAnsi"/>
                <w:sz w:val="21"/>
                <w:szCs w:val="21"/>
              </w:rPr>
              <w:t>Encourag</w:t>
            </w:r>
            <w:r w:rsidR="005677CB" w:rsidRPr="00D73857">
              <w:rPr>
                <w:rFonts w:cstheme="minorHAnsi"/>
                <w:sz w:val="21"/>
                <w:szCs w:val="21"/>
              </w:rPr>
              <w:t>e</w:t>
            </w:r>
            <w:r w:rsidRPr="00D73857">
              <w:rPr>
                <w:rFonts w:cstheme="minorHAnsi"/>
                <w:sz w:val="21"/>
                <w:szCs w:val="21"/>
              </w:rPr>
              <w:t xml:space="preserve"> institutions to provide dedicated funding for EMCRs</w:t>
            </w:r>
          </w:p>
          <w:p w14:paraId="7E9F2DEA" w14:textId="100D5F40" w:rsidR="00096CE6" w:rsidRPr="00D73857" w:rsidRDefault="005677CB" w:rsidP="001D6E6A">
            <w:pPr>
              <w:pStyle w:val="ListParagraph"/>
              <w:numPr>
                <w:ilvl w:val="0"/>
                <w:numId w:val="4"/>
              </w:numPr>
              <w:spacing w:before="40" w:after="0" w:line="240" w:lineRule="auto"/>
              <w:ind w:left="357" w:hanging="357"/>
              <w:rPr>
                <w:rFonts w:cstheme="minorHAnsi"/>
                <w:sz w:val="21"/>
                <w:szCs w:val="21"/>
              </w:rPr>
            </w:pPr>
            <w:r w:rsidRPr="00D73857">
              <w:rPr>
                <w:rFonts w:cstheme="minorHAnsi"/>
                <w:sz w:val="21"/>
                <w:szCs w:val="21"/>
              </w:rPr>
              <w:t>Encourage institutions to provide i</w:t>
            </w:r>
            <w:r w:rsidR="00096CE6" w:rsidRPr="00D73857">
              <w:rPr>
                <w:rFonts w:cstheme="minorHAnsi"/>
                <w:sz w:val="21"/>
                <w:szCs w:val="21"/>
              </w:rPr>
              <w:t>ncentives for senior researchers to train EMCRs</w:t>
            </w:r>
          </w:p>
          <w:p w14:paraId="5EFC1D2F" w14:textId="77777777" w:rsidR="002F793F" w:rsidRPr="00D73857" w:rsidRDefault="005677CB" w:rsidP="005677CB">
            <w:pPr>
              <w:pStyle w:val="ListParagraph"/>
              <w:numPr>
                <w:ilvl w:val="0"/>
                <w:numId w:val="4"/>
              </w:numPr>
              <w:spacing w:before="40" w:after="0" w:line="240" w:lineRule="auto"/>
              <w:ind w:left="357" w:hanging="357"/>
              <w:rPr>
                <w:rFonts w:cstheme="minorHAnsi"/>
                <w:sz w:val="21"/>
                <w:szCs w:val="21"/>
              </w:rPr>
            </w:pPr>
            <w:r w:rsidRPr="00D73857">
              <w:rPr>
                <w:rFonts w:cstheme="minorHAnsi"/>
                <w:sz w:val="21"/>
                <w:szCs w:val="21"/>
              </w:rPr>
              <w:t>Encourage universities to r</w:t>
            </w:r>
            <w:r w:rsidR="00E014D9" w:rsidRPr="00D73857">
              <w:rPr>
                <w:rFonts w:cstheme="minorHAnsi"/>
                <w:sz w:val="21"/>
                <w:szCs w:val="21"/>
              </w:rPr>
              <w:t>ecogni</w:t>
            </w:r>
            <w:r w:rsidRPr="00D73857">
              <w:rPr>
                <w:rFonts w:cstheme="minorHAnsi"/>
                <w:sz w:val="21"/>
                <w:szCs w:val="21"/>
              </w:rPr>
              <w:t>se</w:t>
            </w:r>
            <w:r w:rsidR="00372B36" w:rsidRPr="00D73857">
              <w:rPr>
                <w:rFonts w:cstheme="minorHAnsi"/>
                <w:sz w:val="21"/>
                <w:szCs w:val="21"/>
              </w:rPr>
              <w:t xml:space="preserve"> and/or </w:t>
            </w:r>
            <w:r w:rsidR="00E014D9" w:rsidRPr="00D73857">
              <w:rPr>
                <w:rFonts w:cstheme="minorHAnsi"/>
                <w:sz w:val="21"/>
                <w:szCs w:val="21"/>
              </w:rPr>
              <w:t>compensat</w:t>
            </w:r>
            <w:r w:rsidRPr="00D73857">
              <w:rPr>
                <w:rFonts w:cstheme="minorHAnsi"/>
                <w:sz w:val="21"/>
                <w:szCs w:val="21"/>
              </w:rPr>
              <w:t>e</w:t>
            </w:r>
            <w:r w:rsidR="00E014D9" w:rsidRPr="00D73857">
              <w:rPr>
                <w:rFonts w:cstheme="minorHAnsi"/>
                <w:sz w:val="21"/>
                <w:szCs w:val="21"/>
              </w:rPr>
              <w:t xml:space="preserve"> </w:t>
            </w:r>
            <w:r w:rsidRPr="00D73857">
              <w:rPr>
                <w:rFonts w:cstheme="minorHAnsi"/>
                <w:sz w:val="21"/>
                <w:szCs w:val="21"/>
              </w:rPr>
              <w:t>EMCRs for</w:t>
            </w:r>
            <w:r w:rsidR="00E014D9" w:rsidRPr="00D73857">
              <w:rPr>
                <w:rFonts w:cstheme="minorHAnsi"/>
                <w:sz w:val="21"/>
                <w:szCs w:val="21"/>
              </w:rPr>
              <w:t xml:space="preserve"> ‘free’ services such as student supervision </w:t>
            </w:r>
          </w:p>
          <w:p w14:paraId="7E3E8124" w14:textId="432A9AED" w:rsidR="003D7C2A" w:rsidRPr="00D73857" w:rsidRDefault="003D7C2A" w:rsidP="003D7C2A">
            <w:pPr>
              <w:pStyle w:val="ListParagraph"/>
              <w:spacing w:before="40" w:after="0" w:line="240" w:lineRule="auto"/>
              <w:ind w:left="357"/>
              <w:rPr>
                <w:rFonts w:cstheme="minorHAnsi"/>
                <w:sz w:val="21"/>
                <w:szCs w:val="21"/>
              </w:rPr>
            </w:pPr>
          </w:p>
        </w:tc>
      </w:tr>
    </w:tbl>
    <w:p w14:paraId="559006EF" w14:textId="77777777" w:rsidR="00957CBD" w:rsidRDefault="00957CBD" w:rsidP="003B63DF">
      <w:pPr>
        <w:rPr>
          <w:rFonts w:asciiTheme="minorHAnsi" w:hAnsiTheme="minorHAnsi" w:cstheme="minorHAnsi"/>
          <w:sz w:val="22"/>
          <w:szCs w:val="22"/>
        </w:rPr>
      </w:pPr>
    </w:p>
    <w:p w14:paraId="5E8F0840" w14:textId="77777777" w:rsidR="00033A8F" w:rsidRPr="00111E73" w:rsidRDefault="00033A8F" w:rsidP="00E94ECE">
      <w:pPr>
        <w:pStyle w:val="Heading3"/>
      </w:pPr>
      <w:r w:rsidRPr="00111E73">
        <w:t>Session 2: Access to grant funding</w:t>
      </w:r>
    </w:p>
    <w:p w14:paraId="303C6A8C" w14:textId="41E197D2" w:rsidR="00963D08" w:rsidRPr="00425872" w:rsidRDefault="00BB5EF5" w:rsidP="00963D08">
      <w:pPr>
        <w:rPr>
          <w:rFonts w:asciiTheme="minorHAnsi" w:hAnsiTheme="minorHAnsi" w:cstheme="minorHAnsi"/>
          <w:sz w:val="22"/>
          <w:szCs w:val="22"/>
        </w:rPr>
      </w:pPr>
      <w:r>
        <w:rPr>
          <w:rFonts w:asciiTheme="minorHAnsi" w:hAnsiTheme="minorHAnsi" w:cstheme="minorHAnsi"/>
          <w:sz w:val="22"/>
          <w:szCs w:val="22"/>
        </w:rPr>
        <w:t>The key finding</w:t>
      </w:r>
      <w:r w:rsidR="00033A8F" w:rsidRPr="00111E73">
        <w:rPr>
          <w:rFonts w:asciiTheme="minorHAnsi" w:hAnsiTheme="minorHAnsi" w:cstheme="minorHAnsi"/>
          <w:sz w:val="22"/>
          <w:szCs w:val="22"/>
        </w:rPr>
        <w:t xml:space="preserve"> from the feedback</w:t>
      </w:r>
      <w:r w:rsidR="00F62B47">
        <w:rPr>
          <w:rFonts w:asciiTheme="minorHAnsi" w:hAnsiTheme="minorHAnsi" w:cstheme="minorHAnsi"/>
          <w:sz w:val="22"/>
          <w:szCs w:val="22"/>
        </w:rPr>
        <w:t xml:space="preserve"> prior to the Roundtable </w:t>
      </w:r>
      <w:r>
        <w:rPr>
          <w:rFonts w:asciiTheme="minorHAnsi" w:hAnsiTheme="minorHAnsi" w:cstheme="minorHAnsi"/>
          <w:sz w:val="22"/>
          <w:szCs w:val="22"/>
        </w:rPr>
        <w:t xml:space="preserve">was </w:t>
      </w:r>
      <w:r w:rsidR="00F62B47">
        <w:rPr>
          <w:rFonts w:asciiTheme="minorHAnsi" w:hAnsiTheme="minorHAnsi" w:cstheme="minorHAnsi"/>
          <w:sz w:val="22"/>
          <w:szCs w:val="22"/>
        </w:rPr>
        <w:t>that a</w:t>
      </w:r>
      <w:r w:rsidR="00033A8F" w:rsidRPr="00111E73">
        <w:rPr>
          <w:rFonts w:asciiTheme="minorHAnsi" w:hAnsiTheme="minorHAnsi" w:cstheme="minorHAnsi"/>
          <w:sz w:val="22"/>
          <w:szCs w:val="22"/>
        </w:rPr>
        <w:t>ccess to grant funding allows EMCRs to pursue novel research ideas and provides employment security</w:t>
      </w:r>
      <w:r>
        <w:rPr>
          <w:rFonts w:asciiTheme="minorHAnsi" w:hAnsiTheme="minorHAnsi" w:cstheme="minorHAnsi"/>
          <w:sz w:val="22"/>
          <w:szCs w:val="22"/>
        </w:rPr>
        <w:t>. However</w:t>
      </w:r>
      <w:r w:rsidR="00F14450">
        <w:rPr>
          <w:rFonts w:asciiTheme="minorHAnsi" w:hAnsiTheme="minorHAnsi" w:cstheme="minorHAnsi"/>
          <w:sz w:val="22"/>
          <w:szCs w:val="22"/>
        </w:rPr>
        <w:t>,</w:t>
      </w:r>
      <w:r w:rsidR="00963D08">
        <w:rPr>
          <w:rFonts w:asciiTheme="minorHAnsi" w:hAnsiTheme="minorHAnsi" w:cstheme="minorHAnsi"/>
          <w:sz w:val="22"/>
          <w:szCs w:val="22"/>
        </w:rPr>
        <w:t xml:space="preserve"> </w:t>
      </w:r>
      <w:r w:rsidR="00963D08" w:rsidRPr="00111E73">
        <w:rPr>
          <w:rFonts w:asciiTheme="minorHAnsi" w:hAnsiTheme="minorHAnsi" w:cstheme="minorHAnsi"/>
          <w:sz w:val="22"/>
          <w:szCs w:val="22"/>
        </w:rPr>
        <w:t xml:space="preserve">EMCRs </w:t>
      </w:r>
      <w:r w:rsidR="00F14450">
        <w:rPr>
          <w:rFonts w:asciiTheme="minorHAnsi" w:hAnsiTheme="minorHAnsi" w:cstheme="minorHAnsi"/>
          <w:sz w:val="22"/>
          <w:szCs w:val="22"/>
        </w:rPr>
        <w:t xml:space="preserve">reported </w:t>
      </w:r>
      <w:r w:rsidR="00963D08" w:rsidRPr="00111E73">
        <w:rPr>
          <w:rFonts w:asciiTheme="minorHAnsi" w:hAnsiTheme="minorHAnsi" w:cstheme="minorHAnsi"/>
          <w:sz w:val="22"/>
          <w:szCs w:val="22"/>
        </w:rPr>
        <w:t>fac</w:t>
      </w:r>
      <w:r w:rsidR="00F14450">
        <w:rPr>
          <w:rFonts w:asciiTheme="minorHAnsi" w:hAnsiTheme="minorHAnsi" w:cstheme="minorHAnsi"/>
          <w:sz w:val="22"/>
          <w:szCs w:val="22"/>
        </w:rPr>
        <w:t>ing</w:t>
      </w:r>
      <w:r w:rsidR="00963D08" w:rsidRPr="00111E73">
        <w:rPr>
          <w:rFonts w:asciiTheme="minorHAnsi" w:hAnsiTheme="minorHAnsi" w:cstheme="minorHAnsi"/>
          <w:sz w:val="22"/>
          <w:szCs w:val="22"/>
        </w:rPr>
        <w:t xml:space="preserve"> multiple challenges </w:t>
      </w:r>
      <w:r w:rsidR="00372B36">
        <w:rPr>
          <w:rFonts w:asciiTheme="minorHAnsi" w:hAnsiTheme="minorHAnsi" w:cstheme="minorHAnsi"/>
          <w:sz w:val="22"/>
          <w:szCs w:val="22"/>
        </w:rPr>
        <w:t xml:space="preserve">in accessing grant funding </w:t>
      </w:r>
      <w:r w:rsidR="00963D08" w:rsidRPr="00111E73">
        <w:rPr>
          <w:rFonts w:asciiTheme="minorHAnsi" w:hAnsiTheme="minorHAnsi" w:cstheme="minorHAnsi"/>
          <w:sz w:val="22"/>
          <w:szCs w:val="22"/>
        </w:rPr>
        <w:t>including</w:t>
      </w:r>
      <w:r w:rsidR="00963D08">
        <w:rPr>
          <w:rFonts w:asciiTheme="minorHAnsi" w:hAnsiTheme="minorHAnsi" w:cstheme="minorHAnsi"/>
          <w:sz w:val="22"/>
          <w:szCs w:val="22"/>
        </w:rPr>
        <w:t xml:space="preserve"> l</w:t>
      </w:r>
      <w:r w:rsidR="00963D08" w:rsidRPr="00963D08">
        <w:rPr>
          <w:rFonts w:asciiTheme="minorHAnsi" w:hAnsiTheme="minorHAnsi" w:cstheme="minorHAnsi"/>
          <w:sz w:val="22"/>
          <w:szCs w:val="22"/>
        </w:rPr>
        <w:t>imited relevant grant opportunities</w:t>
      </w:r>
      <w:r w:rsidR="00372B36">
        <w:rPr>
          <w:rFonts w:asciiTheme="minorHAnsi" w:hAnsiTheme="minorHAnsi" w:cstheme="minorHAnsi"/>
          <w:sz w:val="22"/>
          <w:szCs w:val="22"/>
        </w:rPr>
        <w:t>,</w:t>
      </w:r>
      <w:r w:rsidR="00963D08">
        <w:rPr>
          <w:rFonts w:asciiTheme="minorHAnsi" w:hAnsiTheme="minorHAnsi" w:cstheme="minorHAnsi"/>
          <w:sz w:val="22"/>
          <w:szCs w:val="22"/>
        </w:rPr>
        <w:t xml:space="preserve"> l</w:t>
      </w:r>
      <w:r w:rsidR="00963D08" w:rsidRPr="00963D08">
        <w:rPr>
          <w:rFonts w:asciiTheme="minorHAnsi" w:hAnsiTheme="minorHAnsi" w:cstheme="minorHAnsi"/>
          <w:sz w:val="22"/>
          <w:szCs w:val="22"/>
        </w:rPr>
        <w:t>ow success rates</w:t>
      </w:r>
      <w:r w:rsidR="00372B36">
        <w:rPr>
          <w:rFonts w:asciiTheme="minorHAnsi" w:hAnsiTheme="minorHAnsi" w:cstheme="minorHAnsi"/>
          <w:sz w:val="22"/>
          <w:szCs w:val="22"/>
        </w:rPr>
        <w:t>,</w:t>
      </w:r>
      <w:r w:rsidR="00963D08">
        <w:rPr>
          <w:rFonts w:asciiTheme="minorHAnsi" w:hAnsiTheme="minorHAnsi" w:cstheme="minorHAnsi"/>
          <w:sz w:val="22"/>
          <w:szCs w:val="22"/>
        </w:rPr>
        <w:t xml:space="preserve"> s</w:t>
      </w:r>
      <w:r w:rsidR="00963D08" w:rsidRPr="00963D08">
        <w:rPr>
          <w:rFonts w:asciiTheme="minorHAnsi" w:hAnsiTheme="minorHAnsi" w:cstheme="minorHAnsi"/>
          <w:sz w:val="22"/>
          <w:szCs w:val="22"/>
        </w:rPr>
        <w:t xml:space="preserve">hort grant duration </w:t>
      </w:r>
      <w:r w:rsidR="00372B36">
        <w:rPr>
          <w:rFonts w:asciiTheme="minorHAnsi" w:hAnsiTheme="minorHAnsi" w:cstheme="minorHAnsi"/>
          <w:sz w:val="22"/>
          <w:szCs w:val="22"/>
        </w:rPr>
        <w:t>promoting</w:t>
      </w:r>
      <w:r w:rsidR="00963D08" w:rsidRPr="00963D08">
        <w:rPr>
          <w:rFonts w:asciiTheme="minorHAnsi" w:hAnsiTheme="minorHAnsi" w:cstheme="minorHAnsi"/>
          <w:sz w:val="22"/>
          <w:szCs w:val="22"/>
        </w:rPr>
        <w:t xml:space="preserve"> short employment contracts</w:t>
      </w:r>
      <w:r w:rsidR="00372B36">
        <w:rPr>
          <w:rFonts w:asciiTheme="minorHAnsi" w:hAnsiTheme="minorHAnsi" w:cstheme="minorHAnsi"/>
          <w:sz w:val="22"/>
          <w:szCs w:val="22"/>
        </w:rPr>
        <w:t>,</w:t>
      </w:r>
      <w:r w:rsidR="00963D08">
        <w:rPr>
          <w:rFonts w:asciiTheme="minorHAnsi" w:hAnsiTheme="minorHAnsi" w:cstheme="minorHAnsi"/>
          <w:sz w:val="22"/>
          <w:szCs w:val="22"/>
        </w:rPr>
        <w:t xml:space="preserve"> </w:t>
      </w:r>
      <w:r w:rsidR="00372B36">
        <w:rPr>
          <w:rFonts w:asciiTheme="minorHAnsi" w:hAnsiTheme="minorHAnsi" w:cstheme="minorHAnsi"/>
          <w:sz w:val="22"/>
          <w:szCs w:val="22"/>
        </w:rPr>
        <w:t>large</w:t>
      </w:r>
      <w:r w:rsidR="00963D08" w:rsidRPr="00963D08">
        <w:rPr>
          <w:rFonts w:asciiTheme="minorHAnsi" w:hAnsiTheme="minorHAnsi" w:cstheme="minorHAnsi"/>
          <w:sz w:val="22"/>
          <w:szCs w:val="22"/>
        </w:rPr>
        <w:t xml:space="preserve"> salary gaps meaning multiple grants </w:t>
      </w:r>
      <w:r w:rsidR="00564897">
        <w:rPr>
          <w:rFonts w:asciiTheme="minorHAnsi" w:hAnsiTheme="minorHAnsi" w:cstheme="minorHAnsi"/>
          <w:sz w:val="22"/>
          <w:szCs w:val="22"/>
        </w:rPr>
        <w:t xml:space="preserve">are </w:t>
      </w:r>
      <w:r w:rsidR="00963D08" w:rsidRPr="00963D08">
        <w:rPr>
          <w:rFonts w:asciiTheme="minorHAnsi" w:hAnsiTheme="minorHAnsi" w:cstheme="minorHAnsi"/>
          <w:sz w:val="22"/>
          <w:szCs w:val="22"/>
        </w:rPr>
        <w:t>required to cover a single position</w:t>
      </w:r>
      <w:r w:rsidR="00372B36">
        <w:rPr>
          <w:rFonts w:asciiTheme="minorHAnsi" w:hAnsiTheme="minorHAnsi" w:cstheme="minorHAnsi"/>
          <w:sz w:val="22"/>
          <w:szCs w:val="22"/>
        </w:rPr>
        <w:t>,</w:t>
      </w:r>
      <w:r w:rsidR="00963D08">
        <w:rPr>
          <w:rFonts w:asciiTheme="minorHAnsi" w:hAnsiTheme="minorHAnsi" w:cstheme="minorHAnsi"/>
          <w:sz w:val="22"/>
          <w:szCs w:val="22"/>
        </w:rPr>
        <w:t xml:space="preserve"> l</w:t>
      </w:r>
      <w:r w:rsidR="00963D08" w:rsidRPr="00963D08">
        <w:rPr>
          <w:rFonts w:asciiTheme="minorHAnsi" w:hAnsiTheme="minorHAnsi" w:cstheme="minorHAnsi"/>
          <w:sz w:val="22"/>
          <w:szCs w:val="22"/>
        </w:rPr>
        <w:t xml:space="preserve">imited </w:t>
      </w:r>
      <w:r w:rsidR="00372B36">
        <w:rPr>
          <w:rFonts w:asciiTheme="minorHAnsi" w:hAnsiTheme="minorHAnsi" w:cstheme="minorHAnsi"/>
          <w:sz w:val="22"/>
          <w:szCs w:val="22"/>
        </w:rPr>
        <w:t xml:space="preserve">available </w:t>
      </w:r>
      <w:r w:rsidR="00963D08" w:rsidRPr="00425872">
        <w:rPr>
          <w:rFonts w:asciiTheme="minorHAnsi" w:hAnsiTheme="minorHAnsi" w:cstheme="minorHAnsi"/>
          <w:sz w:val="22"/>
          <w:szCs w:val="22"/>
        </w:rPr>
        <w:t>bridging support/overlapping funding</w:t>
      </w:r>
      <w:r>
        <w:rPr>
          <w:rFonts w:asciiTheme="minorHAnsi" w:hAnsiTheme="minorHAnsi" w:cstheme="minorHAnsi"/>
          <w:sz w:val="22"/>
          <w:szCs w:val="22"/>
        </w:rPr>
        <w:t>/implementation funding</w:t>
      </w:r>
      <w:r w:rsidR="00564897">
        <w:rPr>
          <w:rFonts w:asciiTheme="minorHAnsi" w:hAnsiTheme="minorHAnsi" w:cstheme="minorHAnsi"/>
          <w:sz w:val="22"/>
          <w:szCs w:val="22"/>
        </w:rPr>
        <w:t>,</w:t>
      </w:r>
      <w:r w:rsidR="00372B36">
        <w:rPr>
          <w:rFonts w:asciiTheme="minorHAnsi" w:hAnsiTheme="minorHAnsi" w:cstheme="minorHAnsi"/>
          <w:sz w:val="22"/>
          <w:szCs w:val="22"/>
        </w:rPr>
        <w:t xml:space="preserve"> and</w:t>
      </w:r>
      <w:r>
        <w:rPr>
          <w:rFonts w:asciiTheme="minorHAnsi" w:hAnsiTheme="minorHAnsi" w:cstheme="minorHAnsi"/>
          <w:sz w:val="22"/>
          <w:szCs w:val="22"/>
        </w:rPr>
        <w:t xml:space="preserve"> pressure to focus on urgent research needs with high publication potential rather than explore </w:t>
      </w:r>
      <w:r w:rsidR="00372B36">
        <w:rPr>
          <w:rFonts w:asciiTheme="minorHAnsi" w:hAnsiTheme="minorHAnsi" w:cstheme="minorHAnsi"/>
          <w:sz w:val="22"/>
          <w:szCs w:val="22"/>
        </w:rPr>
        <w:t>novel</w:t>
      </w:r>
      <w:r>
        <w:rPr>
          <w:rFonts w:asciiTheme="minorHAnsi" w:hAnsiTheme="minorHAnsi" w:cstheme="minorHAnsi"/>
          <w:sz w:val="22"/>
          <w:szCs w:val="22"/>
        </w:rPr>
        <w:t>, longer-term questions</w:t>
      </w:r>
      <w:r w:rsidR="00963D08" w:rsidRPr="00425872">
        <w:rPr>
          <w:rFonts w:asciiTheme="minorHAnsi" w:hAnsiTheme="minorHAnsi" w:cstheme="minorHAnsi"/>
          <w:sz w:val="22"/>
          <w:szCs w:val="22"/>
        </w:rPr>
        <w:t>.</w:t>
      </w:r>
    </w:p>
    <w:p w14:paraId="0F06BC80" w14:textId="71DB620A" w:rsidR="00D73857" w:rsidRDefault="00963D08" w:rsidP="009370DE">
      <w:pPr>
        <w:rPr>
          <w:rFonts w:asciiTheme="minorHAnsi" w:hAnsiTheme="minorHAnsi" w:cstheme="minorHAnsi"/>
          <w:sz w:val="22"/>
          <w:szCs w:val="22"/>
        </w:rPr>
      </w:pPr>
      <w:r w:rsidRPr="00425872">
        <w:rPr>
          <w:rFonts w:asciiTheme="minorHAnsi" w:hAnsiTheme="minorHAnsi" w:cstheme="minorHAnsi"/>
          <w:sz w:val="22"/>
          <w:szCs w:val="22"/>
        </w:rPr>
        <w:t>Key strategies to address this issue</w:t>
      </w:r>
      <w:r w:rsidR="003E373D">
        <w:rPr>
          <w:rFonts w:asciiTheme="minorHAnsi" w:hAnsiTheme="minorHAnsi" w:cstheme="minorHAnsi"/>
          <w:sz w:val="22"/>
          <w:szCs w:val="22"/>
        </w:rPr>
        <w:t xml:space="preserve"> </w:t>
      </w:r>
      <w:r w:rsidR="00372B36">
        <w:rPr>
          <w:rFonts w:asciiTheme="minorHAnsi" w:hAnsiTheme="minorHAnsi" w:cstheme="minorHAnsi"/>
          <w:sz w:val="22"/>
          <w:szCs w:val="22"/>
        </w:rPr>
        <w:t xml:space="preserve">raised at the Roundtable </w:t>
      </w:r>
      <w:r w:rsidR="00564897">
        <w:rPr>
          <w:rFonts w:asciiTheme="minorHAnsi" w:hAnsiTheme="minorHAnsi" w:cstheme="minorHAnsi"/>
          <w:sz w:val="22"/>
          <w:szCs w:val="22"/>
        </w:rPr>
        <w:t xml:space="preserve">include </w:t>
      </w:r>
      <w:r w:rsidR="00F16324">
        <w:rPr>
          <w:rFonts w:asciiTheme="minorHAnsi" w:hAnsiTheme="minorHAnsi" w:cstheme="minorHAnsi"/>
          <w:sz w:val="22"/>
          <w:szCs w:val="22"/>
        </w:rPr>
        <w:t>providing more dedicated funding for EMCRs, revising assessment models</w:t>
      </w:r>
      <w:r w:rsidR="00425872" w:rsidRPr="00425872">
        <w:rPr>
          <w:rFonts w:asciiTheme="minorHAnsi" w:hAnsiTheme="minorHAnsi" w:cstheme="minorHAnsi"/>
          <w:sz w:val="22"/>
          <w:szCs w:val="22"/>
        </w:rPr>
        <w:t xml:space="preserve"> and </w:t>
      </w:r>
      <w:r w:rsidR="003E373D">
        <w:rPr>
          <w:rFonts w:asciiTheme="minorHAnsi" w:hAnsiTheme="minorHAnsi" w:cstheme="minorHAnsi"/>
          <w:sz w:val="22"/>
          <w:szCs w:val="22"/>
        </w:rPr>
        <w:t xml:space="preserve">increasing awareness amongst EMCRs of available grant opportunities and </w:t>
      </w:r>
      <w:r w:rsidR="00372B36">
        <w:rPr>
          <w:rFonts w:asciiTheme="minorHAnsi" w:hAnsiTheme="minorHAnsi" w:cstheme="minorHAnsi"/>
          <w:sz w:val="22"/>
          <w:szCs w:val="22"/>
        </w:rPr>
        <w:t>avenues</w:t>
      </w:r>
      <w:r w:rsidR="003E373D">
        <w:rPr>
          <w:rFonts w:asciiTheme="minorHAnsi" w:hAnsiTheme="minorHAnsi" w:cstheme="minorHAnsi"/>
          <w:sz w:val="22"/>
          <w:szCs w:val="22"/>
        </w:rPr>
        <w:t xml:space="preserve"> to learn about funding process</w:t>
      </w:r>
      <w:r w:rsidR="00F3326A">
        <w:rPr>
          <w:rFonts w:asciiTheme="minorHAnsi" w:hAnsiTheme="minorHAnsi" w:cstheme="minorHAnsi"/>
          <w:sz w:val="22"/>
          <w:szCs w:val="22"/>
        </w:rPr>
        <w:t>.</w:t>
      </w:r>
    </w:p>
    <w:p w14:paraId="55F7ACCD" w14:textId="6B8601FA" w:rsidR="00A46182" w:rsidRDefault="00372B36" w:rsidP="009370DE">
      <w:pPr>
        <w:rPr>
          <w:rFonts w:asciiTheme="minorHAnsi" w:hAnsiTheme="minorHAnsi" w:cstheme="minorHAnsi"/>
          <w:sz w:val="22"/>
          <w:szCs w:val="22"/>
        </w:rPr>
      </w:pPr>
      <w:r>
        <w:rPr>
          <w:rFonts w:asciiTheme="minorHAnsi" w:hAnsiTheme="minorHAnsi" w:cstheme="minorHAnsi"/>
          <w:sz w:val="22"/>
          <w:szCs w:val="22"/>
        </w:rPr>
        <w:t xml:space="preserve">Ideas </w:t>
      </w:r>
      <w:r w:rsidR="00963D08" w:rsidRPr="00425872">
        <w:rPr>
          <w:rFonts w:asciiTheme="minorHAnsi" w:hAnsiTheme="minorHAnsi" w:cstheme="minorHAnsi"/>
          <w:sz w:val="22"/>
          <w:szCs w:val="22"/>
        </w:rPr>
        <w:t>for action</w:t>
      </w:r>
      <w:r w:rsidR="00D34EBA">
        <w:rPr>
          <w:rFonts w:asciiTheme="minorHAnsi" w:hAnsiTheme="minorHAnsi" w:cstheme="minorHAnsi"/>
          <w:sz w:val="22"/>
          <w:szCs w:val="22"/>
        </w:rPr>
        <w:t xml:space="preserve"> within the scope of the MRFF include</w:t>
      </w:r>
      <w:r w:rsidR="00963D08" w:rsidRPr="00425872">
        <w:rPr>
          <w:rFonts w:asciiTheme="minorHAnsi" w:hAnsiTheme="minorHAnsi" w:cstheme="minorHAnsi"/>
          <w:sz w:val="22"/>
          <w:szCs w:val="22"/>
        </w:rPr>
        <w:t>:</w:t>
      </w:r>
      <w:r w:rsidR="00425872">
        <w:rPr>
          <w:rFonts w:asciiTheme="minorHAnsi" w:hAnsiTheme="minorHAnsi" w:cstheme="minorHAnsi"/>
          <w:sz w:val="22"/>
          <w:szCs w:val="22"/>
        </w:rPr>
        <w:t xml:space="preserve"> </w:t>
      </w:r>
    </w:p>
    <w:tbl>
      <w:tblPr>
        <w:tblStyle w:val="TableGrid"/>
        <w:tblW w:w="0" w:type="auto"/>
        <w:tblLook w:val="04A0" w:firstRow="1" w:lastRow="0" w:firstColumn="1" w:lastColumn="0" w:noHBand="0" w:noVBand="1"/>
      </w:tblPr>
      <w:tblGrid>
        <w:gridCol w:w="4508"/>
        <w:gridCol w:w="4508"/>
      </w:tblGrid>
      <w:tr w:rsidR="00A46182" w:rsidRPr="00D73857" w14:paraId="3A6C4553" w14:textId="77777777" w:rsidTr="00A46182">
        <w:tc>
          <w:tcPr>
            <w:tcW w:w="4508" w:type="dxa"/>
          </w:tcPr>
          <w:p w14:paraId="4BEDAFD9" w14:textId="77777777" w:rsidR="0030368F" w:rsidRPr="00D73857" w:rsidRDefault="0030368F" w:rsidP="0030368F">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t>Allow EMCRs to be listed as a chief investigator on more than one application within a grant opportunity</w:t>
            </w:r>
          </w:p>
          <w:p w14:paraId="787FF617" w14:textId="77777777" w:rsidR="0030368F" w:rsidRPr="00D73857" w:rsidRDefault="0030368F" w:rsidP="0030368F">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t>Provide feedback to unsuccessful grant applicants to allow them to improve their applications for future grant opportunities</w:t>
            </w:r>
          </w:p>
          <w:p w14:paraId="6C46E1E6" w14:textId="0F24FAF5" w:rsidR="0030368F" w:rsidRPr="00D73857" w:rsidRDefault="005838ED" w:rsidP="0030368F">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lastRenderedPageBreak/>
              <w:t>Aim to i</w:t>
            </w:r>
            <w:r w:rsidR="0030368F" w:rsidRPr="00D73857">
              <w:rPr>
                <w:rFonts w:cstheme="minorHAnsi"/>
                <w:sz w:val="21"/>
                <w:szCs w:val="21"/>
              </w:rPr>
              <w:t xml:space="preserve">ncrease communication to the sector and/or communicate using different channels to </w:t>
            </w:r>
            <w:r>
              <w:rPr>
                <w:rFonts w:cstheme="minorHAnsi"/>
                <w:sz w:val="21"/>
                <w:szCs w:val="21"/>
              </w:rPr>
              <w:t>so that</w:t>
            </w:r>
            <w:r w:rsidRPr="00D73857">
              <w:rPr>
                <w:rFonts w:cstheme="minorHAnsi"/>
                <w:sz w:val="21"/>
                <w:szCs w:val="21"/>
              </w:rPr>
              <w:t xml:space="preserve"> </w:t>
            </w:r>
            <w:r w:rsidR="0030368F" w:rsidRPr="00D73857">
              <w:rPr>
                <w:rFonts w:cstheme="minorHAnsi"/>
                <w:sz w:val="21"/>
                <w:szCs w:val="21"/>
              </w:rPr>
              <w:t>EMCRs are aware of MRFF priorities and opportunities for grant funding, peer review involvement, consultation on MRFF forward planning</w:t>
            </w:r>
          </w:p>
          <w:p w14:paraId="7A789B0B" w14:textId="7FA15BAC" w:rsidR="005677CB" w:rsidRPr="00D73857" w:rsidRDefault="005677CB" w:rsidP="0030368F">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t>Assessment of grant applications:</w:t>
            </w:r>
          </w:p>
          <w:p w14:paraId="66CFD6DC" w14:textId="07CEC277" w:rsidR="005677CB" w:rsidRPr="00D73857" w:rsidRDefault="005677CB" w:rsidP="005677CB">
            <w:pPr>
              <w:pStyle w:val="ListParagraph"/>
              <w:numPr>
                <w:ilvl w:val="0"/>
                <w:numId w:val="10"/>
              </w:numPr>
              <w:spacing w:before="40" w:after="0" w:line="240" w:lineRule="auto"/>
              <w:ind w:left="600"/>
              <w:contextualSpacing w:val="0"/>
              <w:rPr>
                <w:rFonts w:cstheme="minorHAnsi"/>
                <w:sz w:val="21"/>
                <w:szCs w:val="21"/>
              </w:rPr>
            </w:pPr>
            <w:r w:rsidRPr="00D73857">
              <w:rPr>
                <w:rFonts w:cstheme="minorHAnsi"/>
                <w:sz w:val="21"/>
                <w:szCs w:val="21"/>
              </w:rPr>
              <w:t>Better consider ‘relative to opportunity’ as EMCR track records will look different to those of more senior researchers</w:t>
            </w:r>
          </w:p>
          <w:p w14:paraId="04F478D0" w14:textId="77777777" w:rsidR="005677CB" w:rsidRPr="00D73857" w:rsidRDefault="00372B36" w:rsidP="0030368F">
            <w:pPr>
              <w:pStyle w:val="ListParagraph"/>
              <w:numPr>
                <w:ilvl w:val="0"/>
                <w:numId w:val="10"/>
              </w:numPr>
              <w:spacing w:before="40" w:after="0" w:line="240" w:lineRule="auto"/>
              <w:ind w:left="600"/>
              <w:contextualSpacing w:val="0"/>
              <w:rPr>
                <w:rFonts w:cstheme="minorHAnsi"/>
                <w:sz w:val="21"/>
                <w:szCs w:val="21"/>
              </w:rPr>
            </w:pPr>
            <w:r w:rsidRPr="00D73857">
              <w:rPr>
                <w:rFonts w:cstheme="minorHAnsi"/>
                <w:sz w:val="21"/>
                <w:szCs w:val="21"/>
              </w:rPr>
              <w:t xml:space="preserve">Alter framing and weighting of assessment criteria to allow EMCRs to showcase and gain recognition for their media, social media, relationship building and community work. E.g. EMCRs could provide and be assessed on a narrative of their background and what that means for their future potential, rather than providing metrics </w:t>
            </w:r>
          </w:p>
          <w:p w14:paraId="23418FDD" w14:textId="02651BF0" w:rsidR="005677CB" w:rsidRPr="00D73857" w:rsidRDefault="00372B36" w:rsidP="005677CB">
            <w:pPr>
              <w:pStyle w:val="ListParagraph"/>
              <w:numPr>
                <w:ilvl w:val="0"/>
                <w:numId w:val="10"/>
              </w:numPr>
              <w:spacing w:before="40" w:after="0" w:line="240" w:lineRule="auto"/>
              <w:ind w:left="600"/>
              <w:contextualSpacing w:val="0"/>
              <w:rPr>
                <w:rFonts w:cstheme="minorHAnsi"/>
                <w:sz w:val="21"/>
                <w:szCs w:val="21"/>
              </w:rPr>
            </w:pPr>
            <w:r w:rsidRPr="00D73857">
              <w:rPr>
                <w:rFonts w:cstheme="minorHAnsi"/>
                <w:sz w:val="21"/>
                <w:szCs w:val="21"/>
              </w:rPr>
              <w:t xml:space="preserve">Better recognise experience outside academia (e.g. recognition of </w:t>
            </w:r>
            <w:r w:rsidR="005677CB" w:rsidRPr="00D73857">
              <w:rPr>
                <w:rFonts w:cstheme="minorHAnsi"/>
                <w:sz w:val="21"/>
                <w:szCs w:val="21"/>
              </w:rPr>
              <w:t xml:space="preserve">previous </w:t>
            </w:r>
            <w:r w:rsidRPr="00D73857">
              <w:rPr>
                <w:rFonts w:cstheme="minorHAnsi"/>
                <w:sz w:val="21"/>
                <w:szCs w:val="21"/>
              </w:rPr>
              <w:t>industry, clinical, policy</w:t>
            </w:r>
            <w:r w:rsidR="009C7CBC">
              <w:rPr>
                <w:rFonts w:cstheme="minorHAnsi"/>
                <w:sz w:val="21"/>
                <w:szCs w:val="21"/>
              </w:rPr>
              <w:t>-</w:t>
            </w:r>
            <w:r w:rsidRPr="00D73857">
              <w:rPr>
                <w:rFonts w:cstheme="minorHAnsi"/>
                <w:sz w:val="21"/>
                <w:szCs w:val="21"/>
              </w:rPr>
              <w:t xml:space="preserve"> based experience</w:t>
            </w:r>
            <w:r w:rsidR="005677CB" w:rsidRPr="00D73857">
              <w:rPr>
                <w:rFonts w:cstheme="minorHAnsi"/>
                <w:sz w:val="21"/>
                <w:szCs w:val="21"/>
              </w:rPr>
              <w:t>)</w:t>
            </w:r>
          </w:p>
          <w:p w14:paraId="75D58064" w14:textId="77777777" w:rsidR="005677CB" w:rsidRPr="00D73857" w:rsidRDefault="005677CB" w:rsidP="005677CB">
            <w:pPr>
              <w:pStyle w:val="ListParagraph"/>
              <w:numPr>
                <w:ilvl w:val="0"/>
                <w:numId w:val="10"/>
              </w:numPr>
              <w:spacing w:before="40" w:after="0" w:line="240" w:lineRule="auto"/>
              <w:ind w:left="600"/>
              <w:contextualSpacing w:val="0"/>
              <w:rPr>
                <w:rFonts w:cstheme="minorHAnsi"/>
                <w:sz w:val="21"/>
                <w:szCs w:val="21"/>
              </w:rPr>
            </w:pPr>
            <w:r w:rsidRPr="00D73857">
              <w:rPr>
                <w:rFonts w:cstheme="minorHAnsi"/>
                <w:sz w:val="21"/>
                <w:szCs w:val="21"/>
              </w:rPr>
              <w:t>Better recognise research area mobility (e.g. impacts on track record due to pivoting research focus in response to COVID-19)</w:t>
            </w:r>
          </w:p>
          <w:p w14:paraId="28602C69" w14:textId="299B0DCB" w:rsidR="0008088B" w:rsidRPr="00D73857" w:rsidRDefault="0030368F" w:rsidP="00F16324">
            <w:pPr>
              <w:pStyle w:val="ListParagraph"/>
              <w:numPr>
                <w:ilvl w:val="0"/>
                <w:numId w:val="10"/>
              </w:numPr>
              <w:spacing w:before="40" w:after="0" w:line="240" w:lineRule="auto"/>
              <w:ind w:left="600"/>
              <w:contextualSpacing w:val="0"/>
              <w:rPr>
                <w:rFonts w:cstheme="minorHAnsi"/>
                <w:sz w:val="21"/>
                <w:szCs w:val="21"/>
              </w:rPr>
            </w:pPr>
            <w:r w:rsidRPr="00D73857">
              <w:rPr>
                <w:rFonts w:cstheme="minorHAnsi"/>
                <w:sz w:val="21"/>
                <w:szCs w:val="21"/>
              </w:rPr>
              <w:t>Better recognise that track record</w:t>
            </w:r>
            <w:r w:rsidR="00372B36" w:rsidRPr="00D73857">
              <w:rPr>
                <w:rFonts w:cstheme="minorHAnsi"/>
                <w:sz w:val="21"/>
                <w:szCs w:val="21"/>
              </w:rPr>
              <w:t xml:space="preserve"> metrics </w:t>
            </w:r>
            <w:r w:rsidRPr="00D73857">
              <w:rPr>
                <w:rFonts w:cstheme="minorHAnsi"/>
                <w:sz w:val="21"/>
                <w:szCs w:val="21"/>
              </w:rPr>
              <w:t xml:space="preserve">will look different for different research </w:t>
            </w:r>
            <w:r w:rsidR="00F16324" w:rsidRPr="00D73857">
              <w:rPr>
                <w:rFonts w:cstheme="minorHAnsi"/>
                <w:sz w:val="21"/>
                <w:szCs w:val="21"/>
              </w:rPr>
              <w:t xml:space="preserve">areas (e.g. clinician researchers </w:t>
            </w:r>
            <w:r w:rsidRPr="00D73857">
              <w:rPr>
                <w:rFonts w:cstheme="minorHAnsi"/>
                <w:sz w:val="21"/>
                <w:szCs w:val="21"/>
              </w:rPr>
              <w:t>vs bio</w:t>
            </w:r>
            <w:r w:rsidR="005677CB" w:rsidRPr="00D73857">
              <w:rPr>
                <w:rFonts w:cstheme="minorHAnsi"/>
                <w:sz w:val="21"/>
                <w:szCs w:val="21"/>
              </w:rPr>
              <w:t xml:space="preserve">medical </w:t>
            </w:r>
            <w:r w:rsidR="00F16324" w:rsidRPr="00D73857">
              <w:rPr>
                <w:rFonts w:cstheme="minorHAnsi"/>
                <w:sz w:val="21"/>
                <w:szCs w:val="21"/>
              </w:rPr>
              <w:t>researchers</w:t>
            </w:r>
            <w:r w:rsidRPr="00D73857">
              <w:rPr>
                <w:rFonts w:cstheme="minorHAnsi"/>
                <w:sz w:val="21"/>
                <w:szCs w:val="21"/>
              </w:rPr>
              <w:t>)</w:t>
            </w:r>
          </w:p>
        </w:tc>
        <w:tc>
          <w:tcPr>
            <w:tcW w:w="4508" w:type="dxa"/>
          </w:tcPr>
          <w:p w14:paraId="3FD2C64D" w14:textId="77777777" w:rsidR="0030368F" w:rsidRPr="00D73857" w:rsidRDefault="0030368F" w:rsidP="00372B36">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lastRenderedPageBreak/>
              <w:t>Different funding models</w:t>
            </w:r>
          </w:p>
          <w:p w14:paraId="11908367" w14:textId="0AB651D9" w:rsidR="0030368F" w:rsidRPr="00D73857" w:rsidRDefault="005838ED" w:rsidP="0030368F">
            <w:pPr>
              <w:pStyle w:val="ListParagraph"/>
              <w:numPr>
                <w:ilvl w:val="0"/>
                <w:numId w:val="12"/>
              </w:numPr>
              <w:spacing w:before="40" w:after="0" w:line="240" w:lineRule="auto"/>
              <w:ind w:left="625"/>
              <w:contextualSpacing w:val="0"/>
              <w:rPr>
                <w:rFonts w:cstheme="minorHAnsi"/>
                <w:sz w:val="21"/>
                <w:szCs w:val="21"/>
              </w:rPr>
            </w:pPr>
            <w:r>
              <w:rPr>
                <w:rFonts w:cstheme="minorHAnsi"/>
                <w:sz w:val="21"/>
                <w:szCs w:val="21"/>
              </w:rPr>
              <w:t>Options for d</w:t>
            </w:r>
            <w:r w:rsidR="0030368F" w:rsidRPr="00D73857">
              <w:rPr>
                <w:rFonts w:cstheme="minorHAnsi"/>
                <w:sz w:val="21"/>
                <w:szCs w:val="21"/>
              </w:rPr>
              <w:t>edicate</w:t>
            </w:r>
            <w:r>
              <w:rPr>
                <w:rFonts w:cstheme="minorHAnsi"/>
                <w:sz w:val="21"/>
                <w:szCs w:val="21"/>
              </w:rPr>
              <w:t>d</w:t>
            </w:r>
            <w:r w:rsidR="0030368F" w:rsidRPr="00D73857">
              <w:rPr>
                <w:rFonts w:cstheme="minorHAnsi"/>
                <w:sz w:val="21"/>
                <w:szCs w:val="21"/>
              </w:rPr>
              <w:t xml:space="preserve"> funding for EMCR only grant opportunities and/or streams </w:t>
            </w:r>
            <w:r>
              <w:rPr>
                <w:rFonts w:cstheme="minorHAnsi"/>
                <w:sz w:val="21"/>
                <w:szCs w:val="21"/>
              </w:rPr>
              <w:t xml:space="preserve">so that </w:t>
            </w:r>
            <w:r w:rsidR="0030368F" w:rsidRPr="00D73857">
              <w:rPr>
                <w:rFonts w:cstheme="minorHAnsi"/>
                <w:sz w:val="21"/>
                <w:szCs w:val="21"/>
              </w:rPr>
              <w:t>EMCRs are competing with researchers of a commensurate career stage</w:t>
            </w:r>
          </w:p>
          <w:p w14:paraId="49047CD0" w14:textId="3B09AC40" w:rsidR="0030368F" w:rsidRPr="00D73857" w:rsidRDefault="0030368F" w:rsidP="0030368F">
            <w:pPr>
              <w:pStyle w:val="ListParagraph"/>
              <w:numPr>
                <w:ilvl w:val="0"/>
                <w:numId w:val="12"/>
              </w:numPr>
              <w:spacing w:before="40" w:after="0" w:line="240" w:lineRule="auto"/>
              <w:ind w:left="625"/>
              <w:contextualSpacing w:val="0"/>
              <w:rPr>
                <w:rFonts w:cstheme="minorHAnsi"/>
                <w:sz w:val="21"/>
                <w:szCs w:val="21"/>
              </w:rPr>
            </w:pPr>
            <w:r w:rsidRPr="00D73857">
              <w:rPr>
                <w:rFonts w:cstheme="minorHAnsi"/>
                <w:sz w:val="21"/>
                <w:szCs w:val="21"/>
              </w:rPr>
              <w:lastRenderedPageBreak/>
              <w:t xml:space="preserve">When running EMCR focussed grant opportunities, </w:t>
            </w:r>
            <w:r w:rsidR="005838ED">
              <w:rPr>
                <w:rFonts w:cstheme="minorHAnsi"/>
                <w:sz w:val="21"/>
                <w:szCs w:val="21"/>
              </w:rPr>
              <w:t xml:space="preserve">seek to </w:t>
            </w:r>
            <w:r w:rsidRPr="00D73857">
              <w:rPr>
                <w:rFonts w:cstheme="minorHAnsi"/>
                <w:sz w:val="21"/>
                <w:szCs w:val="21"/>
              </w:rPr>
              <w:t xml:space="preserve">create smaller steps/increments in EMCR career stage to compare like against like (e.g. separate streams for researchers 0-2, 2-5, </w:t>
            </w:r>
            <w:proofErr w:type="gramStart"/>
            <w:r w:rsidRPr="00D73857">
              <w:rPr>
                <w:rFonts w:cstheme="minorHAnsi"/>
                <w:sz w:val="21"/>
                <w:szCs w:val="21"/>
              </w:rPr>
              <w:t>5-7 and 7-10 years</w:t>
            </w:r>
            <w:proofErr w:type="gramEnd"/>
            <w:r w:rsidRPr="00D73857">
              <w:rPr>
                <w:rFonts w:cstheme="minorHAnsi"/>
                <w:sz w:val="21"/>
                <w:szCs w:val="21"/>
              </w:rPr>
              <w:t xml:space="preserve"> post PhD) </w:t>
            </w:r>
          </w:p>
          <w:p w14:paraId="51451AFB" w14:textId="2297BB92" w:rsidR="0030368F" w:rsidRPr="00D73857" w:rsidRDefault="005838ED" w:rsidP="0030368F">
            <w:pPr>
              <w:pStyle w:val="ListParagraph"/>
              <w:numPr>
                <w:ilvl w:val="0"/>
                <w:numId w:val="12"/>
              </w:numPr>
              <w:spacing w:before="40" w:after="0" w:line="240" w:lineRule="auto"/>
              <w:ind w:left="625"/>
              <w:contextualSpacing w:val="0"/>
              <w:rPr>
                <w:rFonts w:cstheme="minorHAnsi"/>
                <w:sz w:val="21"/>
                <w:szCs w:val="21"/>
              </w:rPr>
            </w:pPr>
            <w:r>
              <w:rPr>
                <w:rFonts w:cstheme="minorHAnsi"/>
                <w:sz w:val="21"/>
                <w:szCs w:val="21"/>
              </w:rPr>
              <w:t>Explore s</w:t>
            </w:r>
            <w:r w:rsidR="0030368F" w:rsidRPr="00D73857">
              <w:rPr>
                <w:rFonts w:cstheme="minorHAnsi"/>
                <w:sz w:val="21"/>
                <w:szCs w:val="21"/>
              </w:rPr>
              <w:t>eed funding grant</w:t>
            </w:r>
            <w:r>
              <w:rPr>
                <w:rFonts w:cstheme="minorHAnsi"/>
                <w:sz w:val="21"/>
                <w:szCs w:val="21"/>
              </w:rPr>
              <w:t xml:space="preserve"> options</w:t>
            </w:r>
            <w:r w:rsidR="0030368F" w:rsidRPr="00D73857">
              <w:rPr>
                <w:rFonts w:cstheme="minorHAnsi"/>
                <w:sz w:val="21"/>
                <w:szCs w:val="21"/>
              </w:rPr>
              <w:t xml:space="preserve"> with small funding amounts to help EMCRs build their track record, generate data on novel ideas and/or improve their future capacity for managing grants. Such grants could have a senior researcher “sponsor” </w:t>
            </w:r>
          </w:p>
          <w:p w14:paraId="7D735EBB" w14:textId="3203A2C3" w:rsidR="0030368F" w:rsidRPr="00D73857" w:rsidRDefault="005838ED" w:rsidP="0030368F">
            <w:pPr>
              <w:pStyle w:val="ListParagraph"/>
              <w:numPr>
                <w:ilvl w:val="0"/>
                <w:numId w:val="12"/>
              </w:numPr>
              <w:spacing w:before="40" w:after="0" w:line="240" w:lineRule="auto"/>
              <w:ind w:left="625"/>
              <w:contextualSpacing w:val="0"/>
              <w:rPr>
                <w:rFonts w:cstheme="minorHAnsi"/>
                <w:sz w:val="21"/>
                <w:szCs w:val="21"/>
              </w:rPr>
            </w:pPr>
            <w:r>
              <w:rPr>
                <w:rFonts w:cstheme="minorHAnsi"/>
                <w:sz w:val="21"/>
                <w:szCs w:val="21"/>
              </w:rPr>
              <w:t>Explore s</w:t>
            </w:r>
            <w:r w:rsidR="0030368F" w:rsidRPr="00D73857">
              <w:rPr>
                <w:rFonts w:cstheme="minorHAnsi"/>
                <w:sz w:val="21"/>
                <w:szCs w:val="21"/>
              </w:rPr>
              <w:t>tage gated funding opportunities to allow EMCRs to develop an idea and grow their independence</w:t>
            </w:r>
          </w:p>
          <w:p w14:paraId="37E39A6A" w14:textId="269D21D5" w:rsidR="0030368F" w:rsidRPr="00D73857" w:rsidRDefault="005838ED" w:rsidP="0030368F">
            <w:pPr>
              <w:pStyle w:val="ListParagraph"/>
              <w:numPr>
                <w:ilvl w:val="0"/>
                <w:numId w:val="12"/>
              </w:numPr>
              <w:spacing w:before="40" w:after="0" w:line="240" w:lineRule="auto"/>
              <w:ind w:left="625"/>
              <w:contextualSpacing w:val="0"/>
              <w:rPr>
                <w:rFonts w:cstheme="minorHAnsi"/>
                <w:sz w:val="21"/>
                <w:szCs w:val="21"/>
              </w:rPr>
            </w:pPr>
            <w:r>
              <w:rPr>
                <w:rFonts w:cstheme="minorHAnsi"/>
                <w:sz w:val="21"/>
                <w:szCs w:val="21"/>
              </w:rPr>
              <w:t>Explore</w:t>
            </w:r>
            <w:r w:rsidR="0030368F" w:rsidRPr="00D73857">
              <w:rPr>
                <w:rFonts w:cstheme="minorHAnsi"/>
                <w:sz w:val="21"/>
                <w:szCs w:val="21"/>
              </w:rPr>
              <w:t xml:space="preserve"> </w:t>
            </w:r>
            <w:r>
              <w:rPr>
                <w:rFonts w:cstheme="minorHAnsi"/>
                <w:sz w:val="21"/>
                <w:szCs w:val="21"/>
              </w:rPr>
              <w:t xml:space="preserve">creation of </w:t>
            </w:r>
            <w:r w:rsidR="0030368F" w:rsidRPr="00D73857">
              <w:rPr>
                <w:rFonts w:cstheme="minorHAnsi"/>
                <w:sz w:val="21"/>
                <w:szCs w:val="21"/>
              </w:rPr>
              <w:t>grant opportunity specifically for EMCRs teams from different fields to encourage cross- and multi-disciplinary collaboration</w:t>
            </w:r>
          </w:p>
          <w:p w14:paraId="41ABF88F" w14:textId="77777777" w:rsidR="0030368F" w:rsidRPr="00D73857" w:rsidRDefault="0030368F" w:rsidP="0030368F">
            <w:pPr>
              <w:pStyle w:val="ListParagraph"/>
              <w:numPr>
                <w:ilvl w:val="0"/>
                <w:numId w:val="12"/>
              </w:numPr>
              <w:spacing w:before="40" w:after="0" w:line="240" w:lineRule="auto"/>
              <w:ind w:left="625"/>
              <w:contextualSpacing w:val="0"/>
              <w:rPr>
                <w:rFonts w:cstheme="minorHAnsi"/>
                <w:sz w:val="21"/>
                <w:szCs w:val="21"/>
              </w:rPr>
            </w:pPr>
            <w:r w:rsidRPr="00D73857">
              <w:rPr>
                <w:rFonts w:cstheme="minorHAnsi"/>
                <w:sz w:val="21"/>
                <w:szCs w:val="21"/>
              </w:rPr>
              <w:t xml:space="preserve">Receive idea pitches from EMCRs and connect EMCRs with similar ideas, so that they can collaborate on a grant application </w:t>
            </w:r>
          </w:p>
          <w:p w14:paraId="0B807363" w14:textId="4FD4A1ED" w:rsidR="0030368F" w:rsidRPr="00D73857" w:rsidRDefault="0030368F" w:rsidP="0030368F">
            <w:pPr>
              <w:pStyle w:val="ListParagraph"/>
              <w:numPr>
                <w:ilvl w:val="0"/>
                <w:numId w:val="12"/>
              </w:numPr>
              <w:spacing w:before="40" w:after="0" w:line="240" w:lineRule="auto"/>
              <w:ind w:left="625"/>
              <w:contextualSpacing w:val="0"/>
              <w:rPr>
                <w:rFonts w:cstheme="minorHAnsi"/>
                <w:sz w:val="21"/>
                <w:szCs w:val="21"/>
              </w:rPr>
            </w:pPr>
            <w:r w:rsidRPr="00D73857">
              <w:rPr>
                <w:rFonts w:cstheme="minorHAnsi"/>
                <w:sz w:val="21"/>
                <w:szCs w:val="21"/>
              </w:rPr>
              <w:t xml:space="preserve">Provide EMCRs with </w:t>
            </w:r>
            <w:r w:rsidR="00F16324" w:rsidRPr="00D73857">
              <w:rPr>
                <w:rFonts w:cstheme="minorHAnsi"/>
                <w:sz w:val="21"/>
                <w:szCs w:val="21"/>
              </w:rPr>
              <w:t xml:space="preserve">more </w:t>
            </w:r>
            <w:r w:rsidRPr="00D73857">
              <w:rPr>
                <w:rFonts w:cstheme="minorHAnsi"/>
                <w:sz w:val="21"/>
                <w:szCs w:val="21"/>
              </w:rPr>
              <w:t>opportunities to be competitive for grants that are focused on translational outcomes</w:t>
            </w:r>
          </w:p>
          <w:p w14:paraId="248FDACF" w14:textId="12C3310B" w:rsidR="0030368F" w:rsidRPr="00D73857" w:rsidRDefault="0030368F" w:rsidP="0030368F">
            <w:pPr>
              <w:pStyle w:val="ListParagraph"/>
              <w:numPr>
                <w:ilvl w:val="0"/>
                <w:numId w:val="12"/>
              </w:numPr>
              <w:spacing w:before="40" w:after="0" w:line="240" w:lineRule="auto"/>
              <w:ind w:left="625"/>
              <w:contextualSpacing w:val="0"/>
              <w:rPr>
                <w:rFonts w:cstheme="minorHAnsi"/>
                <w:sz w:val="21"/>
                <w:szCs w:val="21"/>
              </w:rPr>
            </w:pPr>
            <w:r w:rsidRPr="00D73857">
              <w:rPr>
                <w:rFonts w:cstheme="minorHAnsi"/>
                <w:sz w:val="21"/>
                <w:szCs w:val="21"/>
              </w:rPr>
              <w:t>Include EOIs as part of grant application process to reduce burden on researchers who may write a full application when they are clearly not competitive</w:t>
            </w:r>
          </w:p>
          <w:p w14:paraId="0C949030" w14:textId="7ACA9997" w:rsidR="00372B36" w:rsidRPr="00D73857" w:rsidRDefault="003D7C2A" w:rsidP="00372B36">
            <w:pPr>
              <w:pStyle w:val="ListParagraph"/>
              <w:numPr>
                <w:ilvl w:val="0"/>
                <w:numId w:val="12"/>
              </w:numPr>
              <w:spacing w:before="40" w:after="0" w:line="240" w:lineRule="auto"/>
              <w:ind w:left="625"/>
              <w:contextualSpacing w:val="0"/>
              <w:rPr>
                <w:rFonts w:cstheme="minorHAnsi"/>
                <w:sz w:val="21"/>
                <w:szCs w:val="21"/>
              </w:rPr>
            </w:pPr>
            <w:r w:rsidRPr="00D73857">
              <w:rPr>
                <w:rFonts w:cstheme="minorHAnsi"/>
                <w:sz w:val="21"/>
                <w:szCs w:val="21"/>
              </w:rPr>
              <w:t>Provide grants of longer duration</w:t>
            </w:r>
            <w:r w:rsidR="005838ED">
              <w:rPr>
                <w:rFonts w:cstheme="minorHAnsi"/>
                <w:sz w:val="21"/>
                <w:szCs w:val="21"/>
              </w:rPr>
              <w:t>, where possible</w:t>
            </w:r>
          </w:p>
        </w:tc>
      </w:tr>
    </w:tbl>
    <w:p w14:paraId="06658CB0" w14:textId="77777777" w:rsidR="00642D2A" w:rsidRDefault="00642D2A" w:rsidP="00A46182">
      <w:pPr>
        <w:rPr>
          <w:rFonts w:asciiTheme="minorHAnsi" w:hAnsiTheme="minorHAnsi" w:cstheme="minorHAnsi"/>
          <w:sz w:val="22"/>
          <w:szCs w:val="22"/>
        </w:rPr>
      </w:pPr>
    </w:p>
    <w:p w14:paraId="598BBE5E" w14:textId="6FE1BA14" w:rsidR="00A46182" w:rsidRDefault="0030368F" w:rsidP="00A46182">
      <w:pPr>
        <w:rPr>
          <w:rFonts w:asciiTheme="minorHAnsi" w:hAnsiTheme="minorHAnsi" w:cstheme="minorHAnsi"/>
          <w:sz w:val="22"/>
          <w:szCs w:val="22"/>
        </w:rPr>
      </w:pPr>
      <w:r>
        <w:rPr>
          <w:rFonts w:asciiTheme="minorHAnsi" w:hAnsiTheme="minorHAnsi" w:cstheme="minorHAnsi"/>
          <w:sz w:val="22"/>
          <w:szCs w:val="22"/>
        </w:rPr>
        <w:t>Ideas</w:t>
      </w:r>
      <w:r w:rsidR="00A46182">
        <w:rPr>
          <w:rFonts w:asciiTheme="minorHAnsi" w:hAnsiTheme="minorHAnsi" w:cstheme="minorHAnsi"/>
          <w:sz w:val="22"/>
          <w:szCs w:val="22"/>
        </w:rPr>
        <w:t xml:space="preserve"> for action outside the MRFF include:</w:t>
      </w:r>
    </w:p>
    <w:tbl>
      <w:tblPr>
        <w:tblStyle w:val="TableGrid"/>
        <w:tblW w:w="0" w:type="auto"/>
        <w:tblLook w:val="04A0" w:firstRow="1" w:lastRow="0" w:firstColumn="1" w:lastColumn="0" w:noHBand="0" w:noVBand="1"/>
      </w:tblPr>
      <w:tblGrid>
        <w:gridCol w:w="4508"/>
        <w:gridCol w:w="4508"/>
      </w:tblGrid>
      <w:tr w:rsidR="00B32C2E" w:rsidRPr="00D73857" w14:paraId="14A36FE6" w14:textId="77777777" w:rsidTr="00B32C2E">
        <w:tc>
          <w:tcPr>
            <w:tcW w:w="4508" w:type="dxa"/>
          </w:tcPr>
          <w:p w14:paraId="22B18D2E" w14:textId="157CA232" w:rsidR="00A50C43" w:rsidRPr="00D73857" w:rsidRDefault="00A50C43" w:rsidP="00A50C43">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t>I</w:t>
            </w:r>
            <w:r w:rsidR="003E373D" w:rsidRPr="00D73857">
              <w:rPr>
                <w:rFonts w:cstheme="minorHAnsi"/>
                <w:sz w:val="21"/>
                <w:szCs w:val="21"/>
              </w:rPr>
              <w:t xml:space="preserve">nstitutions </w:t>
            </w:r>
            <w:r w:rsidR="005838ED">
              <w:rPr>
                <w:rFonts w:cstheme="minorHAnsi"/>
                <w:sz w:val="21"/>
                <w:szCs w:val="21"/>
              </w:rPr>
              <w:t>could</w:t>
            </w:r>
            <w:r w:rsidR="005838ED" w:rsidRPr="00D73857">
              <w:rPr>
                <w:rFonts w:cstheme="minorHAnsi"/>
                <w:sz w:val="21"/>
                <w:szCs w:val="21"/>
              </w:rPr>
              <w:t xml:space="preserve"> </w:t>
            </w:r>
            <w:r w:rsidR="005838ED">
              <w:rPr>
                <w:rFonts w:cstheme="minorHAnsi"/>
                <w:sz w:val="21"/>
                <w:szCs w:val="21"/>
              </w:rPr>
              <w:t>improve communication so</w:t>
            </w:r>
            <w:r w:rsidR="005838ED" w:rsidRPr="00D73857">
              <w:rPr>
                <w:rFonts w:cstheme="minorHAnsi"/>
                <w:sz w:val="21"/>
                <w:szCs w:val="21"/>
              </w:rPr>
              <w:t xml:space="preserve"> </w:t>
            </w:r>
            <w:r w:rsidRPr="00D73857">
              <w:rPr>
                <w:rFonts w:cstheme="minorHAnsi"/>
                <w:sz w:val="21"/>
                <w:szCs w:val="21"/>
              </w:rPr>
              <w:t>that all relevant information is provided</w:t>
            </w:r>
            <w:r w:rsidR="003E373D" w:rsidRPr="00D73857">
              <w:rPr>
                <w:rFonts w:cstheme="minorHAnsi"/>
                <w:sz w:val="21"/>
                <w:szCs w:val="21"/>
              </w:rPr>
              <w:t xml:space="preserve"> to all researchers</w:t>
            </w:r>
            <w:r w:rsidRPr="00D73857">
              <w:rPr>
                <w:rFonts w:cstheme="minorHAnsi"/>
                <w:sz w:val="21"/>
                <w:szCs w:val="21"/>
              </w:rPr>
              <w:t>. There is a perception that some institutions</w:t>
            </w:r>
            <w:r w:rsidR="003E373D" w:rsidRPr="00D73857">
              <w:rPr>
                <w:rFonts w:cstheme="minorHAnsi"/>
                <w:sz w:val="21"/>
                <w:szCs w:val="21"/>
              </w:rPr>
              <w:t xml:space="preserve"> are filtering </w:t>
            </w:r>
            <w:r w:rsidR="00F14450" w:rsidRPr="00D73857">
              <w:rPr>
                <w:rFonts w:cstheme="minorHAnsi"/>
                <w:sz w:val="21"/>
                <w:szCs w:val="21"/>
              </w:rPr>
              <w:t>information with the impact that some (and not all)</w:t>
            </w:r>
            <w:r w:rsidRPr="00D73857">
              <w:rPr>
                <w:rFonts w:cstheme="minorHAnsi"/>
                <w:sz w:val="21"/>
                <w:szCs w:val="21"/>
              </w:rPr>
              <w:t xml:space="preserve"> EMCRs </w:t>
            </w:r>
            <w:r w:rsidR="00F14450" w:rsidRPr="00D73857">
              <w:rPr>
                <w:rFonts w:cstheme="minorHAnsi"/>
                <w:sz w:val="21"/>
                <w:szCs w:val="21"/>
              </w:rPr>
              <w:t xml:space="preserve">are able to </w:t>
            </w:r>
            <w:r w:rsidRPr="00D73857">
              <w:rPr>
                <w:rFonts w:cstheme="minorHAnsi"/>
                <w:sz w:val="21"/>
                <w:szCs w:val="21"/>
              </w:rPr>
              <w:t xml:space="preserve">submit applications and/or </w:t>
            </w:r>
            <w:r w:rsidR="00F14450" w:rsidRPr="00D73857">
              <w:rPr>
                <w:rFonts w:cstheme="minorHAnsi"/>
                <w:sz w:val="21"/>
                <w:szCs w:val="21"/>
              </w:rPr>
              <w:t xml:space="preserve">be </w:t>
            </w:r>
            <w:r w:rsidR="003E373D" w:rsidRPr="00D73857">
              <w:rPr>
                <w:rFonts w:cstheme="minorHAnsi"/>
                <w:sz w:val="21"/>
                <w:szCs w:val="21"/>
              </w:rPr>
              <w:t>involved in peer review</w:t>
            </w:r>
          </w:p>
          <w:p w14:paraId="0F044FAB" w14:textId="3458602B" w:rsidR="003E373D" w:rsidRPr="00D73857" w:rsidRDefault="00A50C43" w:rsidP="00D73857">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t xml:space="preserve">Institutions </w:t>
            </w:r>
            <w:r w:rsidR="005838ED">
              <w:rPr>
                <w:rFonts w:cstheme="minorHAnsi"/>
                <w:sz w:val="21"/>
                <w:szCs w:val="21"/>
              </w:rPr>
              <w:t>could</w:t>
            </w:r>
            <w:r w:rsidR="005838ED" w:rsidRPr="00D73857">
              <w:rPr>
                <w:rFonts w:cstheme="minorHAnsi"/>
                <w:sz w:val="21"/>
                <w:szCs w:val="21"/>
              </w:rPr>
              <w:t xml:space="preserve"> </w:t>
            </w:r>
            <w:r w:rsidRPr="00D73857">
              <w:rPr>
                <w:rFonts w:cstheme="minorHAnsi"/>
                <w:sz w:val="21"/>
                <w:szCs w:val="21"/>
              </w:rPr>
              <w:t>provide support to all EMCRs preparing grant applications</w:t>
            </w:r>
            <w:r w:rsidR="00F14450" w:rsidRPr="00D73857">
              <w:rPr>
                <w:rFonts w:cstheme="minorHAnsi"/>
                <w:sz w:val="21"/>
                <w:szCs w:val="21"/>
              </w:rPr>
              <w:t>, independent of</w:t>
            </w:r>
            <w:r w:rsidRPr="00D73857">
              <w:rPr>
                <w:rFonts w:cstheme="minorHAnsi"/>
                <w:sz w:val="21"/>
                <w:szCs w:val="21"/>
              </w:rPr>
              <w:t xml:space="preserve"> whether those applications are for category 1 funding or other funding</w:t>
            </w:r>
          </w:p>
        </w:tc>
        <w:tc>
          <w:tcPr>
            <w:tcW w:w="4508" w:type="dxa"/>
          </w:tcPr>
          <w:p w14:paraId="3371179B" w14:textId="7527B780" w:rsidR="00B32C2E" w:rsidRPr="00D73857" w:rsidRDefault="00642D2A" w:rsidP="00F16324">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t xml:space="preserve">EMCRs, </w:t>
            </w:r>
            <w:r w:rsidR="00A50C43" w:rsidRPr="00D73857">
              <w:rPr>
                <w:rFonts w:cstheme="minorHAnsi"/>
                <w:sz w:val="21"/>
                <w:szCs w:val="21"/>
              </w:rPr>
              <w:t>institutions</w:t>
            </w:r>
            <w:r w:rsidRPr="00D73857">
              <w:rPr>
                <w:rFonts w:cstheme="minorHAnsi"/>
                <w:sz w:val="21"/>
                <w:szCs w:val="21"/>
              </w:rPr>
              <w:t xml:space="preserve"> and industry </w:t>
            </w:r>
            <w:r w:rsidR="005838ED">
              <w:rPr>
                <w:rFonts w:cstheme="minorHAnsi"/>
                <w:sz w:val="21"/>
                <w:szCs w:val="21"/>
              </w:rPr>
              <w:t>could</w:t>
            </w:r>
            <w:r w:rsidR="005838ED" w:rsidRPr="00D73857">
              <w:rPr>
                <w:rFonts w:cstheme="minorHAnsi"/>
                <w:sz w:val="21"/>
                <w:szCs w:val="21"/>
              </w:rPr>
              <w:t xml:space="preserve"> </w:t>
            </w:r>
            <w:r w:rsidRPr="00D73857">
              <w:rPr>
                <w:rFonts w:cstheme="minorHAnsi"/>
                <w:sz w:val="21"/>
                <w:szCs w:val="21"/>
              </w:rPr>
              <w:t xml:space="preserve">consider how to </w:t>
            </w:r>
            <w:r w:rsidR="00A50C43" w:rsidRPr="00D73857">
              <w:rPr>
                <w:rFonts w:cstheme="minorHAnsi"/>
                <w:sz w:val="21"/>
                <w:szCs w:val="21"/>
              </w:rPr>
              <w:t>establish networks for</w:t>
            </w:r>
            <w:r w:rsidRPr="00D73857">
              <w:rPr>
                <w:rFonts w:cstheme="minorHAnsi"/>
                <w:sz w:val="21"/>
                <w:szCs w:val="21"/>
              </w:rPr>
              <w:t xml:space="preserve"> </w:t>
            </w:r>
            <w:r w:rsidR="00A50C43" w:rsidRPr="00D73857">
              <w:rPr>
                <w:rFonts w:cstheme="minorHAnsi"/>
                <w:sz w:val="21"/>
                <w:szCs w:val="21"/>
              </w:rPr>
              <w:t>collaboration</w:t>
            </w:r>
            <w:r w:rsidRPr="00D73857">
              <w:rPr>
                <w:rFonts w:cstheme="minorHAnsi"/>
                <w:sz w:val="21"/>
                <w:szCs w:val="21"/>
              </w:rPr>
              <w:t xml:space="preserve"> </w:t>
            </w:r>
            <w:r w:rsidR="003E373D" w:rsidRPr="00D73857">
              <w:rPr>
                <w:rFonts w:cstheme="minorHAnsi"/>
                <w:sz w:val="21"/>
                <w:szCs w:val="21"/>
              </w:rPr>
              <w:t xml:space="preserve">and information </w:t>
            </w:r>
            <w:r w:rsidR="00A50C43" w:rsidRPr="00D73857">
              <w:rPr>
                <w:rFonts w:cstheme="minorHAnsi"/>
                <w:sz w:val="21"/>
                <w:szCs w:val="21"/>
              </w:rPr>
              <w:t>flow</w:t>
            </w:r>
            <w:r w:rsidRPr="00D73857">
              <w:rPr>
                <w:rFonts w:cstheme="minorHAnsi"/>
                <w:sz w:val="21"/>
                <w:szCs w:val="21"/>
              </w:rPr>
              <w:t xml:space="preserve"> </w:t>
            </w:r>
            <w:r w:rsidR="00A50C43" w:rsidRPr="00D73857">
              <w:rPr>
                <w:rFonts w:cstheme="minorHAnsi"/>
                <w:sz w:val="21"/>
                <w:szCs w:val="21"/>
              </w:rPr>
              <w:t xml:space="preserve">in order that </w:t>
            </w:r>
            <w:r w:rsidR="00F16324" w:rsidRPr="00D73857">
              <w:rPr>
                <w:rFonts w:cstheme="minorHAnsi"/>
                <w:sz w:val="21"/>
                <w:szCs w:val="21"/>
              </w:rPr>
              <w:t xml:space="preserve">EMCRs can </w:t>
            </w:r>
            <w:r w:rsidR="00A50C43" w:rsidRPr="00D73857">
              <w:rPr>
                <w:rFonts w:cstheme="minorHAnsi"/>
                <w:sz w:val="21"/>
                <w:szCs w:val="21"/>
              </w:rPr>
              <w:t>build connections to put EMCRs in the best position</w:t>
            </w:r>
            <w:r w:rsidRPr="00D73857">
              <w:rPr>
                <w:rFonts w:cstheme="minorHAnsi"/>
                <w:sz w:val="21"/>
                <w:szCs w:val="21"/>
              </w:rPr>
              <w:t xml:space="preserve"> </w:t>
            </w:r>
            <w:r w:rsidR="00A50C43" w:rsidRPr="00D73857">
              <w:rPr>
                <w:rFonts w:cstheme="minorHAnsi"/>
                <w:sz w:val="21"/>
                <w:szCs w:val="21"/>
              </w:rPr>
              <w:t>to apply for relevant grant opportunities and have the most competitive team on that application</w:t>
            </w:r>
          </w:p>
        </w:tc>
      </w:tr>
    </w:tbl>
    <w:p w14:paraId="6D699EBC" w14:textId="77777777" w:rsidR="00A46182" w:rsidRDefault="00A46182" w:rsidP="00033A8F">
      <w:pPr>
        <w:rPr>
          <w:rFonts w:asciiTheme="minorHAnsi" w:hAnsiTheme="minorHAnsi" w:cstheme="minorHAnsi"/>
          <w:sz w:val="22"/>
          <w:szCs w:val="22"/>
        </w:rPr>
      </w:pPr>
    </w:p>
    <w:p w14:paraId="6F5EF04B" w14:textId="6B8877D2" w:rsidR="00033A8F" w:rsidRPr="00033A8F" w:rsidRDefault="00033A8F" w:rsidP="00E94ECE">
      <w:pPr>
        <w:pStyle w:val="Heading3"/>
      </w:pPr>
      <w:r w:rsidRPr="00033A8F">
        <w:t>Session 3: Workplace culture</w:t>
      </w:r>
    </w:p>
    <w:p w14:paraId="28355074" w14:textId="4AE81C13" w:rsidR="00033A8F" w:rsidRPr="00033A8F" w:rsidRDefault="00BB5EF5" w:rsidP="0031701F">
      <w:pPr>
        <w:rPr>
          <w:rFonts w:asciiTheme="minorHAnsi" w:hAnsiTheme="minorHAnsi" w:cstheme="minorHAnsi"/>
          <w:sz w:val="22"/>
          <w:szCs w:val="22"/>
        </w:rPr>
      </w:pPr>
      <w:r>
        <w:rPr>
          <w:rFonts w:asciiTheme="minorHAnsi" w:hAnsiTheme="minorHAnsi" w:cstheme="minorHAnsi"/>
          <w:sz w:val="22"/>
          <w:szCs w:val="22"/>
        </w:rPr>
        <w:t>The</w:t>
      </w:r>
      <w:r w:rsidRPr="00033A8F">
        <w:rPr>
          <w:rFonts w:asciiTheme="minorHAnsi" w:hAnsiTheme="minorHAnsi" w:cstheme="minorHAnsi"/>
          <w:sz w:val="22"/>
          <w:szCs w:val="22"/>
        </w:rPr>
        <w:t xml:space="preserve"> </w:t>
      </w:r>
      <w:r w:rsidR="00A50C43">
        <w:rPr>
          <w:rFonts w:asciiTheme="minorHAnsi" w:hAnsiTheme="minorHAnsi" w:cstheme="minorHAnsi"/>
          <w:sz w:val="22"/>
          <w:szCs w:val="22"/>
        </w:rPr>
        <w:t xml:space="preserve">key </w:t>
      </w:r>
      <w:r w:rsidR="00033A8F" w:rsidRPr="00033A8F">
        <w:rPr>
          <w:rFonts w:asciiTheme="minorHAnsi" w:hAnsiTheme="minorHAnsi" w:cstheme="minorHAnsi"/>
          <w:sz w:val="22"/>
          <w:szCs w:val="22"/>
        </w:rPr>
        <w:t>finding from the feedback</w:t>
      </w:r>
      <w:r w:rsidR="00F62B47">
        <w:rPr>
          <w:rFonts w:asciiTheme="minorHAnsi" w:hAnsiTheme="minorHAnsi" w:cstheme="minorHAnsi"/>
          <w:sz w:val="22"/>
          <w:szCs w:val="22"/>
        </w:rPr>
        <w:t xml:space="preserve"> prior to the Round</w:t>
      </w:r>
      <w:r w:rsidR="0031701F">
        <w:rPr>
          <w:rFonts w:asciiTheme="minorHAnsi" w:hAnsiTheme="minorHAnsi" w:cstheme="minorHAnsi"/>
          <w:sz w:val="22"/>
          <w:szCs w:val="22"/>
        </w:rPr>
        <w:t>t</w:t>
      </w:r>
      <w:r w:rsidR="00F62B47">
        <w:rPr>
          <w:rFonts w:asciiTheme="minorHAnsi" w:hAnsiTheme="minorHAnsi" w:cstheme="minorHAnsi"/>
          <w:sz w:val="22"/>
          <w:szCs w:val="22"/>
        </w:rPr>
        <w:t xml:space="preserve">able </w:t>
      </w:r>
      <w:r>
        <w:rPr>
          <w:rFonts w:asciiTheme="minorHAnsi" w:hAnsiTheme="minorHAnsi" w:cstheme="minorHAnsi"/>
          <w:sz w:val="22"/>
          <w:szCs w:val="22"/>
        </w:rPr>
        <w:t xml:space="preserve">was </w:t>
      </w:r>
      <w:r w:rsidR="00F62B47">
        <w:rPr>
          <w:rFonts w:asciiTheme="minorHAnsi" w:hAnsiTheme="minorHAnsi" w:cstheme="minorHAnsi"/>
          <w:sz w:val="22"/>
          <w:szCs w:val="22"/>
        </w:rPr>
        <w:t>that i</w:t>
      </w:r>
      <w:r w:rsidR="00033A8F" w:rsidRPr="00033A8F">
        <w:rPr>
          <w:rFonts w:asciiTheme="minorHAnsi" w:hAnsiTheme="minorHAnsi" w:cstheme="minorHAnsi"/>
          <w:sz w:val="22"/>
          <w:szCs w:val="22"/>
        </w:rPr>
        <w:t>t is important that workplaces set realistic expectations of what ‘success’ looks like and promote a healthy work-life balance</w:t>
      </w:r>
      <w:r>
        <w:rPr>
          <w:rFonts w:asciiTheme="minorHAnsi" w:hAnsiTheme="minorHAnsi" w:cstheme="minorHAnsi"/>
          <w:sz w:val="22"/>
          <w:szCs w:val="22"/>
        </w:rPr>
        <w:t>.</w:t>
      </w:r>
      <w:r w:rsidR="00D73857">
        <w:rPr>
          <w:rFonts w:asciiTheme="minorHAnsi" w:hAnsiTheme="minorHAnsi" w:cstheme="minorHAnsi"/>
          <w:sz w:val="22"/>
          <w:szCs w:val="22"/>
        </w:rPr>
        <w:t xml:space="preserve"> </w:t>
      </w:r>
      <w:r>
        <w:rPr>
          <w:rFonts w:asciiTheme="minorHAnsi" w:hAnsiTheme="minorHAnsi" w:cstheme="minorHAnsi"/>
          <w:sz w:val="22"/>
          <w:szCs w:val="22"/>
        </w:rPr>
        <w:t>H</w:t>
      </w:r>
      <w:r w:rsidR="00F62B47" w:rsidRPr="00111E73">
        <w:rPr>
          <w:rFonts w:asciiTheme="minorHAnsi" w:hAnsiTheme="minorHAnsi" w:cstheme="minorHAnsi"/>
          <w:sz w:val="22"/>
          <w:szCs w:val="22"/>
        </w:rPr>
        <w:t xml:space="preserve">owever, EMCRs </w:t>
      </w:r>
      <w:r w:rsidR="00F14450">
        <w:rPr>
          <w:rFonts w:asciiTheme="minorHAnsi" w:hAnsiTheme="minorHAnsi" w:cstheme="minorHAnsi"/>
          <w:sz w:val="22"/>
          <w:szCs w:val="22"/>
        </w:rPr>
        <w:t xml:space="preserve">reported </w:t>
      </w:r>
      <w:r w:rsidR="00F62B47" w:rsidRPr="00111E73">
        <w:rPr>
          <w:rFonts w:asciiTheme="minorHAnsi" w:hAnsiTheme="minorHAnsi" w:cstheme="minorHAnsi"/>
          <w:sz w:val="22"/>
          <w:szCs w:val="22"/>
        </w:rPr>
        <w:t>fac</w:t>
      </w:r>
      <w:r w:rsidR="00F14450">
        <w:rPr>
          <w:rFonts w:asciiTheme="minorHAnsi" w:hAnsiTheme="minorHAnsi" w:cstheme="minorHAnsi"/>
          <w:sz w:val="22"/>
          <w:szCs w:val="22"/>
        </w:rPr>
        <w:t>ing</w:t>
      </w:r>
      <w:r w:rsidR="00F62B47" w:rsidRPr="00111E73">
        <w:rPr>
          <w:rFonts w:asciiTheme="minorHAnsi" w:hAnsiTheme="minorHAnsi" w:cstheme="minorHAnsi"/>
          <w:sz w:val="22"/>
          <w:szCs w:val="22"/>
        </w:rPr>
        <w:t xml:space="preserve"> multiple challenges</w:t>
      </w:r>
      <w:r w:rsidR="00A50C43">
        <w:rPr>
          <w:rFonts w:asciiTheme="minorHAnsi" w:hAnsiTheme="minorHAnsi" w:cstheme="minorHAnsi"/>
          <w:sz w:val="22"/>
          <w:szCs w:val="22"/>
        </w:rPr>
        <w:t xml:space="preserve"> due to workplace culture</w:t>
      </w:r>
      <w:r w:rsidR="00F62B47" w:rsidRPr="00111E73">
        <w:rPr>
          <w:rFonts w:asciiTheme="minorHAnsi" w:hAnsiTheme="minorHAnsi" w:cstheme="minorHAnsi"/>
          <w:sz w:val="22"/>
          <w:szCs w:val="22"/>
        </w:rPr>
        <w:t xml:space="preserve"> including</w:t>
      </w:r>
      <w:r w:rsidR="0031701F">
        <w:rPr>
          <w:rFonts w:asciiTheme="minorHAnsi" w:hAnsiTheme="minorHAnsi" w:cstheme="minorHAnsi"/>
          <w:sz w:val="22"/>
          <w:szCs w:val="22"/>
        </w:rPr>
        <w:t xml:space="preserve"> maintaining a healthy </w:t>
      </w:r>
      <w:r w:rsidR="0031701F" w:rsidRPr="0031701F">
        <w:rPr>
          <w:rFonts w:asciiTheme="minorHAnsi" w:hAnsiTheme="minorHAnsi" w:cstheme="minorHAnsi"/>
          <w:sz w:val="22"/>
          <w:szCs w:val="22"/>
        </w:rPr>
        <w:t>work-life balance</w:t>
      </w:r>
      <w:r w:rsidR="0031701F">
        <w:rPr>
          <w:rFonts w:asciiTheme="minorHAnsi" w:hAnsiTheme="minorHAnsi" w:cstheme="minorHAnsi"/>
          <w:sz w:val="22"/>
          <w:szCs w:val="22"/>
        </w:rPr>
        <w:t xml:space="preserve"> with large </w:t>
      </w:r>
      <w:r w:rsidR="0031701F" w:rsidRPr="0031701F">
        <w:rPr>
          <w:rFonts w:asciiTheme="minorHAnsi" w:hAnsiTheme="minorHAnsi" w:cstheme="minorHAnsi"/>
          <w:sz w:val="22"/>
          <w:szCs w:val="22"/>
        </w:rPr>
        <w:t xml:space="preserve">workloads </w:t>
      </w:r>
      <w:r w:rsidR="00A50C43">
        <w:rPr>
          <w:rFonts w:asciiTheme="minorHAnsi" w:hAnsiTheme="minorHAnsi" w:cstheme="minorHAnsi"/>
          <w:sz w:val="22"/>
          <w:szCs w:val="22"/>
        </w:rPr>
        <w:t>(</w:t>
      </w:r>
      <w:r w:rsidR="0031701F" w:rsidRPr="0031701F">
        <w:rPr>
          <w:rFonts w:asciiTheme="minorHAnsi" w:hAnsiTheme="minorHAnsi" w:cstheme="minorHAnsi"/>
          <w:sz w:val="22"/>
          <w:szCs w:val="22"/>
        </w:rPr>
        <w:t>including research, teaching</w:t>
      </w:r>
      <w:r w:rsidR="00A50C43">
        <w:rPr>
          <w:rFonts w:asciiTheme="minorHAnsi" w:hAnsiTheme="minorHAnsi" w:cstheme="minorHAnsi"/>
          <w:sz w:val="22"/>
          <w:szCs w:val="22"/>
        </w:rPr>
        <w:t xml:space="preserve">, </w:t>
      </w:r>
      <w:r w:rsidR="0031701F" w:rsidRPr="0031701F">
        <w:rPr>
          <w:rFonts w:asciiTheme="minorHAnsi" w:hAnsiTheme="minorHAnsi" w:cstheme="minorHAnsi"/>
          <w:sz w:val="22"/>
          <w:szCs w:val="22"/>
        </w:rPr>
        <w:t>admin</w:t>
      </w:r>
      <w:r w:rsidR="00A50C43">
        <w:rPr>
          <w:rFonts w:asciiTheme="minorHAnsi" w:hAnsiTheme="minorHAnsi" w:cstheme="minorHAnsi"/>
          <w:sz w:val="22"/>
          <w:szCs w:val="22"/>
        </w:rPr>
        <w:t>istration</w:t>
      </w:r>
      <w:r w:rsidR="0031701F" w:rsidRPr="0031701F">
        <w:rPr>
          <w:rFonts w:asciiTheme="minorHAnsi" w:hAnsiTheme="minorHAnsi" w:cstheme="minorHAnsi"/>
          <w:sz w:val="22"/>
          <w:szCs w:val="22"/>
        </w:rPr>
        <w:t xml:space="preserve">, student supervision, service </w:t>
      </w:r>
      <w:r w:rsidR="0031701F" w:rsidRPr="0031701F">
        <w:rPr>
          <w:rFonts w:asciiTheme="minorHAnsi" w:hAnsiTheme="minorHAnsi" w:cstheme="minorHAnsi"/>
          <w:sz w:val="22"/>
          <w:szCs w:val="22"/>
        </w:rPr>
        <w:lastRenderedPageBreak/>
        <w:t xml:space="preserve">contributions, </w:t>
      </w:r>
      <w:r>
        <w:rPr>
          <w:rFonts w:asciiTheme="minorHAnsi" w:hAnsiTheme="minorHAnsi" w:cstheme="minorHAnsi"/>
          <w:sz w:val="22"/>
          <w:szCs w:val="22"/>
        </w:rPr>
        <w:t>repeatedly applying for job contracts/grants</w:t>
      </w:r>
      <w:r w:rsidR="00A50C43">
        <w:rPr>
          <w:rFonts w:asciiTheme="minorHAnsi" w:hAnsiTheme="minorHAnsi" w:cstheme="minorHAnsi"/>
          <w:sz w:val="22"/>
          <w:szCs w:val="22"/>
        </w:rPr>
        <w:t>),</w:t>
      </w:r>
      <w:r>
        <w:rPr>
          <w:rFonts w:asciiTheme="minorHAnsi" w:hAnsiTheme="minorHAnsi" w:cstheme="minorHAnsi"/>
          <w:sz w:val="22"/>
          <w:szCs w:val="22"/>
        </w:rPr>
        <w:t xml:space="preserve"> </w:t>
      </w:r>
      <w:r w:rsidR="0031701F" w:rsidRPr="0031701F">
        <w:rPr>
          <w:rFonts w:asciiTheme="minorHAnsi" w:hAnsiTheme="minorHAnsi" w:cstheme="minorHAnsi"/>
          <w:sz w:val="22"/>
          <w:szCs w:val="22"/>
        </w:rPr>
        <w:t>lack of technical assistants</w:t>
      </w:r>
      <w:r w:rsidR="00A50C43">
        <w:rPr>
          <w:rFonts w:asciiTheme="minorHAnsi" w:hAnsiTheme="minorHAnsi" w:cstheme="minorHAnsi"/>
          <w:sz w:val="22"/>
          <w:szCs w:val="22"/>
        </w:rPr>
        <w:t>,</w:t>
      </w:r>
      <w:r w:rsidR="0031701F">
        <w:rPr>
          <w:rFonts w:asciiTheme="minorHAnsi" w:hAnsiTheme="minorHAnsi" w:cstheme="minorHAnsi"/>
          <w:sz w:val="22"/>
          <w:szCs w:val="22"/>
        </w:rPr>
        <w:t xml:space="preserve"> u</w:t>
      </w:r>
      <w:r w:rsidR="0031701F" w:rsidRPr="0031701F">
        <w:rPr>
          <w:rFonts w:asciiTheme="minorHAnsi" w:hAnsiTheme="minorHAnsi" w:cstheme="minorHAnsi"/>
          <w:sz w:val="22"/>
          <w:szCs w:val="22"/>
        </w:rPr>
        <w:t>npaid hours to “keep</w:t>
      </w:r>
      <w:r w:rsidR="00A50C43">
        <w:rPr>
          <w:rFonts w:asciiTheme="minorHAnsi" w:hAnsiTheme="minorHAnsi" w:cstheme="minorHAnsi"/>
          <w:sz w:val="22"/>
          <w:szCs w:val="22"/>
        </w:rPr>
        <w:t xml:space="preserve"> up” in competitive environment</w:t>
      </w:r>
      <w:r w:rsidR="00F14450">
        <w:rPr>
          <w:rFonts w:asciiTheme="minorHAnsi" w:hAnsiTheme="minorHAnsi" w:cstheme="minorHAnsi"/>
          <w:sz w:val="22"/>
          <w:szCs w:val="22"/>
        </w:rPr>
        <w:t>s</w:t>
      </w:r>
      <w:r w:rsidR="00A50C43">
        <w:rPr>
          <w:rFonts w:asciiTheme="minorHAnsi" w:hAnsiTheme="minorHAnsi" w:cstheme="minorHAnsi"/>
          <w:sz w:val="22"/>
          <w:szCs w:val="22"/>
        </w:rPr>
        <w:t>,</w:t>
      </w:r>
      <w:r w:rsidR="0031701F">
        <w:rPr>
          <w:rFonts w:asciiTheme="minorHAnsi" w:hAnsiTheme="minorHAnsi" w:cstheme="minorHAnsi"/>
          <w:sz w:val="22"/>
          <w:szCs w:val="22"/>
        </w:rPr>
        <w:t xml:space="preserve"> hyper-competition </w:t>
      </w:r>
      <w:r>
        <w:rPr>
          <w:rFonts w:asciiTheme="minorHAnsi" w:hAnsiTheme="minorHAnsi" w:cstheme="minorHAnsi"/>
          <w:sz w:val="22"/>
          <w:szCs w:val="22"/>
        </w:rPr>
        <w:t xml:space="preserve">that </w:t>
      </w:r>
      <w:r w:rsidR="0031701F" w:rsidRPr="0031701F">
        <w:rPr>
          <w:rFonts w:asciiTheme="minorHAnsi" w:hAnsiTheme="minorHAnsi" w:cstheme="minorHAnsi"/>
          <w:sz w:val="22"/>
          <w:szCs w:val="22"/>
        </w:rPr>
        <w:t xml:space="preserve">impacts </w:t>
      </w:r>
      <w:r w:rsidR="0031701F">
        <w:rPr>
          <w:rFonts w:asciiTheme="minorHAnsi" w:hAnsiTheme="minorHAnsi" w:cstheme="minorHAnsi"/>
          <w:sz w:val="22"/>
          <w:szCs w:val="22"/>
        </w:rPr>
        <w:t xml:space="preserve">on </w:t>
      </w:r>
      <w:r w:rsidR="0031701F" w:rsidRPr="0031701F">
        <w:rPr>
          <w:rFonts w:asciiTheme="minorHAnsi" w:hAnsiTheme="minorHAnsi" w:cstheme="minorHAnsi"/>
          <w:sz w:val="22"/>
          <w:szCs w:val="22"/>
        </w:rPr>
        <w:t>collaboration</w:t>
      </w:r>
      <w:r w:rsidR="00A50C43">
        <w:rPr>
          <w:rFonts w:asciiTheme="minorHAnsi" w:hAnsiTheme="minorHAnsi" w:cstheme="minorHAnsi"/>
          <w:sz w:val="22"/>
          <w:szCs w:val="22"/>
        </w:rPr>
        <w:t>,</w:t>
      </w:r>
      <w:r w:rsidR="0031701F">
        <w:rPr>
          <w:rFonts w:asciiTheme="minorHAnsi" w:hAnsiTheme="minorHAnsi" w:cstheme="minorHAnsi"/>
          <w:sz w:val="22"/>
          <w:szCs w:val="22"/>
        </w:rPr>
        <w:t xml:space="preserve"> h</w:t>
      </w:r>
      <w:r w:rsidR="0031701F" w:rsidRPr="0031701F">
        <w:rPr>
          <w:rFonts w:asciiTheme="minorHAnsi" w:hAnsiTheme="minorHAnsi" w:cstheme="minorHAnsi"/>
          <w:sz w:val="22"/>
          <w:szCs w:val="22"/>
        </w:rPr>
        <w:t>igh expectations on what EMCRs should be achieving</w:t>
      </w:r>
      <w:r w:rsidR="00F14450">
        <w:rPr>
          <w:rFonts w:asciiTheme="minorHAnsi" w:hAnsiTheme="minorHAnsi" w:cstheme="minorHAnsi"/>
          <w:sz w:val="22"/>
          <w:szCs w:val="22"/>
        </w:rPr>
        <w:t>,</w:t>
      </w:r>
      <w:r w:rsidR="00A50C43">
        <w:rPr>
          <w:rFonts w:asciiTheme="minorHAnsi" w:hAnsiTheme="minorHAnsi" w:cstheme="minorHAnsi"/>
          <w:sz w:val="22"/>
          <w:szCs w:val="22"/>
        </w:rPr>
        <w:t xml:space="preserve"> and</w:t>
      </w:r>
      <w:r>
        <w:rPr>
          <w:rFonts w:asciiTheme="minorHAnsi" w:hAnsiTheme="minorHAnsi" w:cstheme="minorHAnsi"/>
          <w:sz w:val="22"/>
          <w:szCs w:val="22"/>
        </w:rPr>
        <w:t xml:space="preserve"> workplaces that do not have a nurturing culture</w:t>
      </w:r>
      <w:r w:rsidR="0031701F">
        <w:rPr>
          <w:rFonts w:asciiTheme="minorHAnsi" w:hAnsiTheme="minorHAnsi" w:cstheme="minorHAnsi"/>
          <w:sz w:val="22"/>
          <w:szCs w:val="22"/>
        </w:rPr>
        <w:t>.</w:t>
      </w:r>
    </w:p>
    <w:p w14:paraId="205C3880" w14:textId="5936A1BD" w:rsidR="0031701F" w:rsidRDefault="0031701F" w:rsidP="0031701F">
      <w:pPr>
        <w:rPr>
          <w:rFonts w:asciiTheme="minorHAnsi" w:hAnsiTheme="minorHAnsi" w:cstheme="minorHAnsi"/>
          <w:sz w:val="22"/>
          <w:szCs w:val="22"/>
        </w:rPr>
      </w:pPr>
      <w:r w:rsidRPr="00425872">
        <w:rPr>
          <w:rFonts w:asciiTheme="minorHAnsi" w:hAnsiTheme="minorHAnsi" w:cstheme="minorHAnsi"/>
          <w:sz w:val="22"/>
          <w:szCs w:val="22"/>
        </w:rPr>
        <w:t>Key strategies to address this issue</w:t>
      </w:r>
      <w:r w:rsidR="00C2100D">
        <w:rPr>
          <w:rFonts w:asciiTheme="minorHAnsi" w:hAnsiTheme="minorHAnsi" w:cstheme="minorHAnsi"/>
          <w:sz w:val="22"/>
          <w:szCs w:val="22"/>
        </w:rPr>
        <w:t xml:space="preserve"> include </w:t>
      </w:r>
      <w:r w:rsidR="00A50C43">
        <w:rPr>
          <w:rFonts w:asciiTheme="minorHAnsi" w:hAnsiTheme="minorHAnsi" w:cstheme="minorHAnsi"/>
          <w:sz w:val="22"/>
          <w:szCs w:val="22"/>
        </w:rPr>
        <w:t xml:space="preserve">better forward planning of grant opportunities and </w:t>
      </w:r>
      <w:r w:rsidR="00F16324">
        <w:rPr>
          <w:rFonts w:asciiTheme="minorHAnsi" w:hAnsiTheme="minorHAnsi" w:cstheme="minorHAnsi"/>
          <w:sz w:val="22"/>
          <w:szCs w:val="22"/>
        </w:rPr>
        <w:t xml:space="preserve">public accountability for </w:t>
      </w:r>
      <w:r w:rsidRPr="0031701F">
        <w:rPr>
          <w:rFonts w:asciiTheme="minorHAnsi" w:hAnsiTheme="minorHAnsi" w:cstheme="minorHAnsi"/>
          <w:sz w:val="22"/>
          <w:szCs w:val="22"/>
        </w:rPr>
        <w:t>cultural</w:t>
      </w:r>
      <w:r w:rsidR="00D81FF7">
        <w:rPr>
          <w:rFonts w:asciiTheme="minorHAnsi" w:hAnsiTheme="minorHAnsi" w:cstheme="minorHAnsi"/>
          <w:sz w:val="22"/>
          <w:szCs w:val="22"/>
        </w:rPr>
        <w:t xml:space="preserve"> </w:t>
      </w:r>
      <w:r w:rsidRPr="0031701F">
        <w:rPr>
          <w:rFonts w:asciiTheme="minorHAnsi" w:hAnsiTheme="minorHAnsi" w:cstheme="minorHAnsi"/>
          <w:sz w:val="22"/>
          <w:szCs w:val="22"/>
        </w:rPr>
        <w:t>issue</w:t>
      </w:r>
      <w:r w:rsidR="00D81FF7">
        <w:rPr>
          <w:rFonts w:asciiTheme="minorHAnsi" w:hAnsiTheme="minorHAnsi" w:cstheme="minorHAnsi"/>
          <w:sz w:val="22"/>
          <w:szCs w:val="22"/>
        </w:rPr>
        <w:t>s.</w:t>
      </w:r>
    </w:p>
    <w:p w14:paraId="776736EF" w14:textId="3606ED52" w:rsidR="00A46182" w:rsidRDefault="00A50C43" w:rsidP="00D81FF7">
      <w:pPr>
        <w:rPr>
          <w:rFonts w:asciiTheme="minorHAnsi" w:hAnsiTheme="minorHAnsi" w:cstheme="minorHAnsi"/>
          <w:sz w:val="22"/>
          <w:szCs w:val="22"/>
        </w:rPr>
      </w:pPr>
      <w:r>
        <w:rPr>
          <w:rFonts w:asciiTheme="minorHAnsi" w:hAnsiTheme="minorHAnsi" w:cstheme="minorHAnsi"/>
          <w:sz w:val="22"/>
          <w:szCs w:val="22"/>
        </w:rPr>
        <w:t>Ideas</w:t>
      </w:r>
      <w:r w:rsidR="0031701F" w:rsidRPr="00425872">
        <w:rPr>
          <w:rFonts w:asciiTheme="minorHAnsi" w:hAnsiTheme="minorHAnsi" w:cstheme="minorHAnsi"/>
          <w:sz w:val="22"/>
          <w:szCs w:val="22"/>
        </w:rPr>
        <w:t xml:space="preserve"> action </w:t>
      </w:r>
      <w:r w:rsidR="00D34EBA">
        <w:rPr>
          <w:rFonts w:asciiTheme="minorHAnsi" w:hAnsiTheme="minorHAnsi" w:cstheme="minorHAnsi"/>
          <w:sz w:val="22"/>
          <w:szCs w:val="22"/>
        </w:rPr>
        <w:t xml:space="preserve">within the scope of the MRFF </w:t>
      </w:r>
      <w:r w:rsidR="0031701F" w:rsidRPr="00425872">
        <w:rPr>
          <w:rFonts w:asciiTheme="minorHAnsi" w:hAnsiTheme="minorHAnsi" w:cstheme="minorHAnsi"/>
          <w:sz w:val="22"/>
          <w:szCs w:val="22"/>
        </w:rPr>
        <w:t>includ</w:t>
      </w:r>
      <w:r w:rsidR="00D34EBA">
        <w:rPr>
          <w:rFonts w:asciiTheme="minorHAnsi" w:hAnsiTheme="minorHAnsi" w:cstheme="minorHAnsi"/>
          <w:sz w:val="22"/>
          <w:szCs w:val="22"/>
        </w:rPr>
        <w:t>e</w:t>
      </w:r>
      <w:r w:rsidR="0031701F" w:rsidRPr="00425872">
        <w:rPr>
          <w:rFonts w:asciiTheme="minorHAnsi" w:hAnsiTheme="minorHAnsi" w:cstheme="minorHAnsi"/>
          <w:sz w:val="22"/>
          <w:szCs w:val="22"/>
        </w:rPr>
        <w:t>:</w:t>
      </w:r>
      <w:r w:rsidR="00D81FF7">
        <w:rPr>
          <w:rFonts w:asciiTheme="minorHAnsi" w:hAnsiTheme="minorHAnsi" w:cstheme="minorHAnsi"/>
          <w:sz w:val="22"/>
          <w:szCs w:val="22"/>
        </w:rPr>
        <w:t xml:space="preserve"> </w:t>
      </w:r>
    </w:p>
    <w:tbl>
      <w:tblPr>
        <w:tblStyle w:val="TableGrid"/>
        <w:tblW w:w="0" w:type="auto"/>
        <w:tblLook w:val="04A0" w:firstRow="1" w:lastRow="0" w:firstColumn="1" w:lastColumn="0" w:noHBand="0" w:noVBand="1"/>
      </w:tblPr>
      <w:tblGrid>
        <w:gridCol w:w="4508"/>
        <w:gridCol w:w="4508"/>
      </w:tblGrid>
      <w:tr w:rsidR="00A46182" w:rsidRPr="00D73857" w14:paraId="50A25713" w14:textId="77777777" w:rsidTr="00A46182">
        <w:tc>
          <w:tcPr>
            <w:tcW w:w="4508" w:type="dxa"/>
          </w:tcPr>
          <w:p w14:paraId="4892963E" w14:textId="3C8C3AAC" w:rsidR="00A50C43" w:rsidRPr="00D73857" w:rsidRDefault="00A50C43" w:rsidP="00A50C43">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t>Release an annual calendar of upcoming grant opportunities to facilitate work planning for EMCRs</w:t>
            </w:r>
          </w:p>
          <w:p w14:paraId="6AB3B4CB" w14:textId="0FB7A283" w:rsidR="00A50C43" w:rsidRPr="00D73857" w:rsidRDefault="005838ED" w:rsidP="00002C0C">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Revise</w:t>
            </w:r>
            <w:r w:rsidR="00A50C43" w:rsidRPr="00D73857">
              <w:rPr>
                <w:rFonts w:cstheme="minorHAnsi"/>
                <w:sz w:val="21"/>
                <w:szCs w:val="21"/>
              </w:rPr>
              <w:t xml:space="preserve"> sequencing of grant opportunities (e.g. receive outcomes from opportunity A, before you have to apply for opportunity B) </w:t>
            </w:r>
          </w:p>
          <w:p w14:paraId="26A3ACB7" w14:textId="7FFA2906" w:rsidR="00C2100D" w:rsidRPr="00D73857" w:rsidRDefault="00A50C43" w:rsidP="00E96DEE">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t>Extend</w:t>
            </w:r>
            <w:r w:rsidR="00A46182" w:rsidRPr="00D73857">
              <w:rPr>
                <w:rFonts w:cstheme="minorHAnsi"/>
                <w:sz w:val="21"/>
                <w:szCs w:val="21"/>
              </w:rPr>
              <w:t xml:space="preserve"> </w:t>
            </w:r>
            <w:r w:rsidR="00C2100D" w:rsidRPr="00D73857">
              <w:rPr>
                <w:rFonts w:cstheme="minorHAnsi"/>
                <w:sz w:val="21"/>
                <w:szCs w:val="21"/>
              </w:rPr>
              <w:t xml:space="preserve">open periods </w:t>
            </w:r>
            <w:r w:rsidR="00A46182" w:rsidRPr="00D73857">
              <w:rPr>
                <w:rFonts w:cstheme="minorHAnsi"/>
                <w:sz w:val="21"/>
                <w:szCs w:val="21"/>
              </w:rPr>
              <w:t>for grant</w:t>
            </w:r>
            <w:r w:rsidR="00C2100D" w:rsidRPr="00D73857">
              <w:rPr>
                <w:rFonts w:cstheme="minorHAnsi"/>
                <w:sz w:val="21"/>
                <w:szCs w:val="21"/>
              </w:rPr>
              <w:t xml:space="preserve"> applications</w:t>
            </w:r>
            <w:r w:rsidR="00A46182" w:rsidRPr="00D73857">
              <w:rPr>
                <w:rFonts w:cstheme="minorHAnsi"/>
                <w:sz w:val="21"/>
                <w:szCs w:val="21"/>
              </w:rPr>
              <w:t xml:space="preserve"> </w:t>
            </w:r>
            <w:r w:rsidRPr="00D73857">
              <w:rPr>
                <w:rFonts w:cstheme="minorHAnsi"/>
                <w:sz w:val="21"/>
                <w:szCs w:val="21"/>
              </w:rPr>
              <w:t>to reduce deadline pressure on EMCRs</w:t>
            </w:r>
          </w:p>
          <w:p w14:paraId="41BC265E" w14:textId="7CF7B286" w:rsidR="00E96DEE" w:rsidRPr="00D73857" w:rsidRDefault="00E96DEE" w:rsidP="00E96DEE">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t>Change the research funding model to emphasise collaboration rather than excessive competition with peers</w:t>
            </w:r>
          </w:p>
        </w:tc>
        <w:tc>
          <w:tcPr>
            <w:tcW w:w="4508" w:type="dxa"/>
          </w:tcPr>
          <w:p w14:paraId="1B771A4D" w14:textId="77777777" w:rsidR="00E96DEE" w:rsidRPr="00D73857" w:rsidRDefault="00E96DEE" w:rsidP="00E96DEE">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t>Include mentoring programs as part of grant proposals and assessment criteria</w:t>
            </w:r>
          </w:p>
          <w:p w14:paraId="6A18B345" w14:textId="7C8D9466" w:rsidR="00E96DEE" w:rsidRPr="00D73857" w:rsidRDefault="00E96DEE" w:rsidP="00E96DEE">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t>Incentivise research institutions to support EMCRs (similar to Systemic Action for Gender Equality, SAGE). E.g. Institutions must meet criteria X and Y in supporting EMCRs to apply for grant opportunity A, or stream B.</w:t>
            </w:r>
          </w:p>
        </w:tc>
      </w:tr>
    </w:tbl>
    <w:p w14:paraId="1476B7BB" w14:textId="77777777" w:rsidR="00A46182" w:rsidRDefault="00A46182" w:rsidP="00D81FF7">
      <w:pPr>
        <w:rPr>
          <w:rFonts w:asciiTheme="minorHAnsi" w:hAnsiTheme="minorHAnsi" w:cstheme="minorHAnsi"/>
          <w:sz w:val="22"/>
          <w:szCs w:val="22"/>
        </w:rPr>
      </w:pPr>
    </w:p>
    <w:p w14:paraId="2A0818E3" w14:textId="643C60D1" w:rsidR="00A46182" w:rsidRDefault="00E96DEE" w:rsidP="00A46182">
      <w:pPr>
        <w:rPr>
          <w:rFonts w:asciiTheme="minorHAnsi" w:hAnsiTheme="minorHAnsi" w:cstheme="minorHAnsi"/>
          <w:sz w:val="22"/>
          <w:szCs w:val="22"/>
        </w:rPr>
      </w:pPr>
      <w:r>
        <w:rPr>
          <w:rFonts w:asciiTheme="minorHAnsi" w:hAnsiTheme="minorHAnsi" w:cstheme="minorHAnsi"/>
          <w:sz w:val="22"/>
          <w:szCs w:val="22"/>
        </w:rPr>
        <w:t>Ideas</w:t>
      </w:r>
      <w:r w:rsidR="00A46182">
        <w:rPr>
          <w:rFonts w:asciiTheme="minorHAnsi" w:hAnsiTheme="minorHAnsi" w:cstheme="minorHAnsi"/>
          <w:sz w:val="22"/>
          <w:szCs w:val="22"/>
        </w:rPr>
        <w:t xml:space="preserve"> for action outside the MRFF include:</w:t>
      </w:r>
    </w:p>
    <w:tbl>
      <w:tblPr>
        <w:tblStyle w:val="TableGrid"/>
        <w:tblW w:w="0" w:type="auto"/>
        <w:tblLook w:val="04A0" w:firstRow="1" w:lastRow="0" w:firstColumn="1" w:lastColumn="0" w:noHBand="0" w:noVBand="1"/>
      </w:tblPr>
      <w:tblGrid>
        <w:gridCol w:w="4508"/>
        <w:gridCol w:w="4508"/>
      </w:tblGrid>
      <w:tr w:rsidR="000B5C8B" w:rsidRPr="00D73857" w14:paraId="70A5C8E2" w14:textId="77777777" w:rsidTr="000B5C8B">
        <w:tc>
          <w:tcPr>
            <w:tcW w:w="4508" w:type="dxa"/>
          </w:tcPr>
          <w:p w14:paraId="63D6CED9" w14:textId="6CF2710C" w:rsidR="00E96DEE" w:rsidRPr="00D73857" w:rsidRDefault="00E96DEE" w:rsidP="00E96DEE">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t>Increase clarity and establish guidelines within institutions on the role of a</w:t>
            </w:r>
            <w:r w:rsidR="00C33ADF" w:rsidRPr="00D73857">
              <w:rPr>
                <w:rFonts w:cstheme="minorHAnsi"/>
                <w:sz w:val="21"/>
                <w:szCs w:val="21"/>
              </w:rPr>
              <w:t>n</w:t>
            </w:r>
            <w:r w:rsidRPr="00D73857">
              <w:rPr>
                <w:rFonts w:cstheme="minorHAnsi"/>
                <w:sz w:val="21"/>
                <w:szCs w:val="21"/>
              </w:rPr>
              <w:t xml:space="preserve"> EMCR. Current EMCR KPIs are based on narrow metrics that don’t recognise the actual scope of the role in practice </w:t>
            </w:r>
          </w:p>
          <w:p w14:paraId="5A5288E2" w14:textId="77777777" w:rsidR="00E96DEE" w:rsidRPr="00D73857" w:rsidRDefault="00011C0E" w:rsidP="00E96DEE">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t>Promot</w:t>
            </w:r>
            <w:r w:rsidR="00E96DEE" w:rsidRPr="00D73857">
              <w:rPr>
                <w:rFonts w:cstheme="minorHAnsi"/>
                <w:sz w:val="21"/>
                <w:szCs w:val="21"/>
              </w:rPr>
              <w:t>e</w:t>
            </w:r>
            <w:r w:rsidRPr="00D73857">
              <w:rPr>
                <w:rFonts w:cstheme="minorHAnsi"/>
                <w:sz w:val="21"/>
                <w:szCs w:val="21"/>
              </w:rPr>
              <w:t xml:space="preserve"> mentoring culture</w:t>
            </w:r>
            <w:r w:rsidR="00E96DEE" w:rsidRPr="00D73857">
              <w:rPr>
                <w:rFonts w:cstheme="minorHAnsi"/>
                <w:sz w:val="21"/>
                <w:szCs w:val="21"/>
              </w:rPr>
              <w:t xml:space="preserve"> within institutions</w:t>
            </w:r>
          </w:p>
          <w:p w14:paraId="1145F2A0" w14:textId="77777777" w:rsidR="000B5C8B" w:rsidRPr="00D73857" w:rsidRDefault="00E96DEE" w:rsidP="00E96DEE">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t>Change</w:t>
            </w:r>
            <w:r w:rsidR="000B5C8B" w:rsidRPr="00D73857">
              <w:rPr>
                <w:rFonts w:cstheme="minorHAnsi"/>
                <w:sz w:val="21"/>
                <w:szCs w:val="21"/>
              </w:rPr>
              <w:t xml:space="preserve"> the research funding model to emphasise collaboration rather than excessive competition with peers</w:t>
            </w:r>
          </w:p>
          <w:p w14:paraId="0DC8F18C" w14:textId="45B0B6AA" w:rsidR="003D7C2A" w:rsidRPr="00D73857" w:rsidRDefault="003D7C2A" w:rsidP="00E96DEE">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t xml:space="preserve">Promote/increase visibility of </w:t>
            </w:r>
            <w:r w:rsidR="00F14450" w:rsidRPr="00D73857">
              <w:rPr>
                <w:rFonts w:cstheme="minorHAnsi"/>
                <w:sz w:val="21"/>
                <w:szCs w:val="21"/>
              </w:rPr>
              <w:t>‘</w:t>
            </w:r>
            <w:r w:rsidRPr="00D73857">
              <w:rPr>
                <w:rFonts w:cstheme="minorHAnsi"/>
                <w:sz w:val="21"/>
                <w:szCs w:val="21"/>
              </w:rPr>
              <w:t>health</w:t>
            </w:r>
            <w:r w:rsidR="00F14450" w:rsidRPr="00D73857">
              <w:rPr>
                <w:rFonts w:cstheme="minorHAnsi"/>
                <w:sz w:val="21"/>
                <w:szCs w:val="21"/>
              </w:rPr>
              <w:t>y’</w:t>
            </w:r>
            <w:r w:rsidRPr="00D73857">
              <w:rPr>
                <w:rFonts w:cstheme="minorHAnsi"/>
                <w:sz w:val="21"/>
                <w:szCs w:val="21"/>
              </w:rPr>
              <w:t xml:space="preserve"> role models within organisations</w:t>
            </w:r>
          </w:p>
        </w:tc>
        <w:tc>
          <w:tcPr>
            <w:tcW w:w="4508" w:type="dxa"/>
          </w:tcPr>
          <w:p w14:paraId="475B0DC7" w14:textId="69733247" w:rsidR="003D7C2A" w:rsidRPr="00D73857" w:rsidRDefault="003D7C2A" w:rsidP="00E96DEE">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t xml:space="preserve">Encourage institutions to provide increased resources to assist </w:t>
            </w:r>
            <w:r w:rsidR="00F14450" w:rsidRPr="00D73857">
              <w:rPr>
                <w:rFonts w:cstheme="minorHAnsi"/>
                <w:sz w:val="21"/>
                <w:szCs w:val="21"/>
              </w:rPr>
              <w:t xml:space="preserve">EMCRs </w:t>
            </w:r>
            <w:r w:rsidRPr="00D73857">
              <w:rPr>
                <w:rFonts w:cstheme="minorHAnsi"/>
                <w:sz w:val="21"/>
                <w:szCs w:val="21"/>
              </w:rPr>
              <w:t xml:space="preserve">in </w:t>
            </w:r>
            <w:r w:rsidR="00F14450" w:rsidRPr="00D73857">
              <w:rPr>
                <w:rFonts w:cstheme="minorHAnsi"/>
                <w:sz w:val="21"/>
                <w:szCs w:val="21"/>
              </w:rPr>
              <w:t xml:space="preserve">their </w:t>
            </w:r>
            <w:r w:rsidRPr="00D73857">
              <w:rPr>
                <w:rFonts w:cstheme="minorHAnsi"/>
                <w:sz w:val="21"/>
                <w:szCs w:val="21"/>
              </w:rPr>
              <w:t xml:space="preserve">day-to-day </w:t>
            </w:r>
            <w:r w:rsidR="00F14450" w:rsidRPr="00D73857">
              <w:rPr>
                <w:rFonts w:cstheme="minorHAnsi"/>
                <w:sz w:val="21"/>
                <w:szCs w:val="21"/>
              </w:rPr>
              <w:t>work</w:t>
            </w:r>
          </w:p>
          <w:p w14:paraId="5B110F8D" w14:textId="08E613DB" w:rsidR="000B5C8B" w:rsidRPr="00D73857" w:rsidRDefault="005838ED" w:rsidP="00E96DE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Aim for an</w:t>
            </w:r>
            <w:r w:rsidRPr="00D73857">
              <w:rPr>
                <w:rFonts w:cstheme="minorHAnsi"/>
                <w:sz w:val="21"/>
                <w:szCs w:val="21"/>
              </w:rPr>
              <w:t xml:space="preserve"> </w:t>
            </w:r>
            <w:r w:rsidR="00B43394" w:rsidRPr="00D73857">
              <w:rPr>
                <w:rFonts w:cstheme="minorHAnsi"/>
                <w:sz w:val="21"/>
                <w:szCs w:val="21"/>
              </w:rPr>
              <w:t>increase</w:t>
            </w:r>
            <w:r w:rsidR="00E96DEE" w:rsidRPr="00D73857">
              <w:rPr>
                <w:rFonts w:cstheme="minorHAnsi"/>
                <w:sz w:val="21"/>
                <w:szCs w:val="21"/>
              </w:rPr>
              <w:t>d</w:t>
            </w:r>
            <w:r w:rsidR="00B43394" w:rsidRPr="00D73857">
              <w:rPr>
                <w:rFonts w:cstheme="minorHAnsi"/>
                <w:sz w:val="21"/>
                <w:szCs w:val="21"/>
              </w:rPr>
              <w:t xml:space="preserve"> transparency </w:t>
            </w:r>
            <w:r w:rsidR="00E96DEE" w:rsidRPr="00D73857">
              <w:rPr>
                <w:rFonts w:cstheme="minorHAnsi"/>
                <w:sz w:val="21"/>
                <w:szCs w:val="21"/>
              </w:rPr>
              <w:t xml:space="preserve">of workplace cultures. </w:t>
            </w:r>
            <w:r>
              <w:rPr>
                <w:rFonts w:cstheme="minorHAnsi"/>
                <w:sz w:val="21"/>
                <w:szCs w:val="21"/>
              </w:rPr>
              <w:t>Encourage</w:t>
            </w:r>
            <w:r w:rsidRPr="00D73857">
              <w:rPr>
                <w:rFonts w:cstheme="minorHAnsi"/>
                <w:sz w:val="21"/>
                <w:szCs w:val="21"/>
              </w:rPr>
              <w:t xml:space="preserve"> </w:t>
            </w:r>
            <w:r w:rsidR="000B5C8B" w:rsidRPr="00D73857">
              <w:rPr>
                <w:rFonts w:cstheme="minorHAnsi"/>
                <w:sz w:val="21"/>
                <w:szCs w:val="21"/>
              </w:rPr>
              <w:t>organisations</w:t>
            </w:r>
            <w:r>
              <w:rPr>
                <w:rFonts w:cstheme="minorHAnsi"/>
                <w:sz w:val="21"/>
                <w:szCs w:val="21"/>
              </w:rPr>
              <w:t xml:space="preserve"> to be</w:t>
            </w:r>
            <w:r w:rsidR="000B5C8B" w:rsidRPr="00D73857">
              <w:rPr>
                <w:rFonts w:cstheme="minorHAnsi"/>
                <w:sz w:val="21"/>
                <w:szCs w:val="21"/>
              </w:rPr>
              <w:t xml:space="preserve"> accountable for poor workplace culture and </w:t>
            </w:r>
            <w:r w:rsidR="006075F9" w:rsidRPr="00D73857">
              <w:rPr>
                <w:rFonts w:cstheme="minorHAnsi"/>
                <w:sz w:val="21"/>
                <w:szCs w:val="21"/>
              </w:rPr>
              <w:t>incentivise/</w:t>
            </w:r>
            <w:r w:rsidR="000B5C8B" w:rsidRPr="00D73857">
              <w:rPr>
                <w:rFonts w:cstheme="minorHAnsi"/>
                <w:sz w:val="21"/>
                <w:szCs w:val="21"/>
              </w:rPr>
              <w:t>reward those with positive and healthy cultures</w:t>
            </w:r>
            <w:r w:rsidR="00C33ADF" w:rsidRPr="00D73857">
              <w:rPr>
                <w:rFonts w:cstheme="minorHAnsi"/>
                <w:sz w:val="21"/>
                <w:szCs w:val="21"/>
              </w:rPr>
              <w:t xml:space="preserve"> (e.g. mentoring programs, </w:t>
            </w:r>
            <w:proofErr w:type="gramStart"/>
            <w:r w:rsidR="00C33ADF" w:rsidRPr="00D73857">
              <w:rPr>
                <w:rFonts w:cstheme="minorHAnsi"/>
                <w:sz w:val="21"/>
                <w:szCs w:val="21"/>
              </w:rPr>
              <w:t>child care</w:t>
            </w:r>
            <w:proofErr w:type="gramEnd"/>
            <w:r w:rsidR="00C33ADF" w:rsidRPr="00D73857">
              <w:rPr>
                <w:rFonts w:cstheme="minorHAnsi"/>
                <w:sz w:val="21"/>
                <w:szCs w:val="21"/>
              </w:rPr>
              <w:t xml:space="preserve"> support, promotion of industry/policy placements, backfilling of positions whilst EMCR on a placement)</w:t>
            </w:r>
          </w:p>
          <w:p w14:paraId="70E7333E" w14:textId="1B43FF4C" w:rsidR="00B43394" w:rsidRPr="00D73857" w:rsidRDefault="00F14450" w:rsidP="00D73857">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t>Consider ways to measure researcher output relative to time input (e.g. output of someone who works 50h per week vs 80h per week)</w:t>
            </w:r>
          </w:p>
        </w:tc>
      </w:tr>
    </w:tbl>
    <w:p w14:paraId="39A60E7F" w14:textId="77777777" w:rsidR="00A46182" w:rsidRDefault="00A46182" w:rsidP="00033A8F">
      <w:pPr>
        <w:rPr>
          <w:rFonts w:asciiTheme="minorHAnsi" w:hAnsiTheme="minorHAnsi" w:cstheme="minorHAnsi"/>
          <w:sz w:val="22"/>
          <w:szCs w:val="22"/>
        </w:rPr>
      </w:pPr>
    </w:p>
    <w:p w14:paraId="7A25F85F" w14:textId="77777777" w:rsidR="00033A8F" w:rsidRPr="00033A8F" w:rsidRDefault="00033A8F" w:rsidP="00E94ECE">
      <w:pPr>
        <w:pStyle w:val="Heading3"/>
      </w:pPr>
      <w:r w:rsidRPr="00033A8F">
        <w:t>Session 4: Provision of training and support</w:t>
      </w:r>
    </w:p>
    <w:p w14:paraId="7AE226A8" w14:textId="3B17505D" w:rsidR="00D73857" w:rsidRDefault="00BB5EF5" w:rsidP="00D34EBA">
      <w:pPr>
        <w:rPr>
          <w:rFonts w:asciiTheme="minorHAnsi" w:hAnsiTheme="minorHAnsi" w:cstheme="minorHAnsi"/>
          <w:sz w:val="22"/>
          <w:szCs w:val="22"/>
        </w:rPr>
      </w:pPr>
      <w:r>
        <w:rPr>
          <w:rFonts w:asciiTheme="minorHAnsi" w:hAnsiTheme="minorHAnsi" w:cstheme="minorHAnsi"/>
          <w:sz w:val="22"/>
          <w:szCs w:val="22"/>
        </w:rPr>
        <w:t>The k</w:t>
      </w:r>
      <w:r w:rsidRPr="00033A8F">
        <w:rPr>
          <w:rFonts w:asciiTheme="minorHAnsi" w:hAnsiTheme="minorHAnsi" w:cstheme="minorHAnsi"/>
          <w:sz w:val="22"/>
          <w:szCs w:val="22"/>
        </w:rPr>
        <w:t xml:space="preserve">ey </w:t>
      </w:r>
      <w:r w:rsidR="00D81FF7" w:rsidRPr="00033A8F">
        <w:rPr>
          <w:rFonts w:asciiTheme="minorHAnsi" w:hAnsiTheme="minorHAnsi" w:cstheme="minorHAnsi"/>
          <w:sz w:val="22"/>
          <w:szCs w:val="22"/>
        </w:rPr>
        <w:t>finding from the feedback</w:t>
      </w:r>
      <w:r w:rsidR="00D81FF7">
        <w:rPr>
          <w:rFonts w:asciiTheme="minorHAnsi" w:hAnsiTheme="minorHAnsi" w:cstheme="minorHAnsi"/>
          <w:sz w:val="22"/>
          <w:szCs w:val="22"/>
        </w:rPr>
        <w:t xml:space="preserve"> prior to the Roundtable </w:t>
      </w:r>
      <w:r>
        <w:rPr>
          <w:rFonts w:asciiTheme="minorHAnsi" w:hAnsiTheme="minorHAnsi" w:cstheme="minorHAnsi"/>
          <w:sz w:val="22"/>
          <w:szCs w:val="22"/>
        </w:rPr>
        <w:t xml:space="preserve">was </w:t>
      </w:r>
      <w:r w:rsidR="00D81FF7">
        <w:rPr>
          <w:rFonts w:asciiTheme="minorHAnsi" w:hAnsiTheme="minorHAnsi" w:cstheme="minorHAnsi"/>
          <w:sz w:val="22"/>
          <w:szCs w:val="22"/>
        </w:rPr>
        <w:t>that</w:t>
      </w:r>
      <w:r w:rsidR="00033A8F" w:rsidRPr="00033A8F">
        <w:rPr>
          <w:rFonts w:asciiTheme="minorHAnsi" w:hAnsiTheme="minorHAnsi" w:cstheme="minorHAnsi"/>
          <w:sz w:val="22"/>
          <w:szCs w:val="22"/>
        </w:rPr>
        <w:t xml:space="preserve"> EMCRs need appropriate support to progress from pure researchers to leadership roles in academia and/or to careers in other sectors (e.g. industry, research policy</w:t>
      </w:r>
      <w:r w:rsidRPr="00033A8F">
        <w:rPr>
          <w:rFonts w:asciiTheme="minorHAnsi" w:hAnsiTheme="minorHAnsi" w:cstheme="minorHAnsi"/>
          <w:sz w:val="22"/>
          <w:szCs w:val="22"/>
        </w:rPr>
        <w:t>)</w:t>
      </w:r>
      <w:r>
        <w:rPr>
          <w:rFonts w:asciiTheme="minorHAnsi" w:hAnsiTheme="minorHAnsi" w:cstheme="minorHAnsi"/>
          <w:sz w:val="22"/>
          <w:szCs w:val="22"/>
        </w:rPr>
        <w:t>. H</w:t>
      </w:r>
      <w:r w:rsidR="00D81FF7">
        <w:rPr>
          <w:rFonts w:asciiTheme="minorHAnsi" w:hAnsiTheme="minorHAnsi" w:cstheme="minorHAnsi"/>
          <w:sz w:val="22"/>
          <w:szCs w:val="22"/>
        </w:rPr>
        <w:t xml:space="preserve">owever, EMCRs </w:t>
      </w:r>
      <w:r w:rsidR="00F14450">
        <w:rPr>
          <w:rFonts w:asciiTheme="minorHAnsi" w:hAnsiTheme="minorHAnsi" w:cstheme="minorHAnsi"/>
          <w:sz w:val="22"/>
          <w:szCs w:val="22"/>
        </w:rPr>
        <w:t xml:space="preserve">reported </w:t>
      </w:r>
      <w:r w:rsidR="00D81FF7">
        <w:rPr>
          <w:rFonts w:asciiTheme="minorHAnsi" w:hAnsiTheme="minorHAnsi" w:cstheme="minorHAnsi"/>
          <w:sz w:val="22"/>
          <w:szCs w:val="22"/>
        </w:rPr>
        <w:t>fac</w:t>
      </w:r>
      <w:r w:rsidR="00F14450">
        <w:rPr>
          <w:rFonts w:asciiTheme="minorHAnsi" w:hAnsiTheme="minorHAnsi" w:cstheme="minorHAnsi"/>
          <w:sz w:val="22"/>
          <w:szCs w:val="22"/>
        </w:rPr>
        <w:t>ing</w:t>
      </w:r>
      <w:r w:rsidR="00E96DEE">
        <w:rPr>
          <w:rFonts w:asciiTheme="minorHAnsi" w:hAnsiTheme="minorHAnsi" w:cstheme="minorHAnsi"/>
          <w:sz w:val="22"/>
          <w:szCs w:val="22"/>
        </w:rPr>
        <w:t xml:space="preserve"> multiple challenges including</w:t>
      </w:r>
      <w:r w:rsidR="00D81FF7">
        <w:rPr>
          <w:rFonts w:asciiTheme="minorHAnsi" w:hAnsiTheme="minorHAnsi" w:cstheme="minorHAnsi"/>
          <w:sz w:val="22"/>
          <w:szCs w:val="22"/>
        </w:rPr>
        <w:t xml:space="preserve"> </w:t>
      </w:r>
      <w:r w:rsidR="00D34EBA">
        <w:rPr>
          <w:rFonts w:asciiTheme="minorHAnsi" w:hAnsiTheme="minorHAnsi" w:cstheme="minorHAnsi"/>
          <w:sz w:val="22"/>
          <w:szCs w:val="22"/>
        </w:rPr>
        <w:t>l</w:t>
      </w:r>
      <w:r w:rsidR="00D34EBA" w:rsidRPr="00D34EBA">
        <w:rPr>
          <w:rFonts w:asciiTheme="minorHAnsi" w:hAnsiTheme="minorHAnsi" w:cstheme="minorHAnsi"/>
          <w:sz w:val="22"/>
          <w:szCs w:val="22"/>
        </w:rPr>
        <w:t>imited mentoring and sponsorship (advocacy) by senior researchers</w:t>
      </w:r>
      <w:r w:rsidR="00E96DEE">
        <w:rPr>
          <w:rFonts w:asciiTheme="minorHAnsi" w:hAnsiTheme="minorHAnsi" w:cstheme="minorHAnsi"/>
          <w:sz w:val="22"/>
          <w:szCs w:val="22"/>
        </w:rPr>
        <w:t>,</w:t>
      </w:r>
      <w:r w:rsidR="00D34EBA">
        <w:rPr>
          <w:rFonts w:asciiTheme="minorHAnsi" w:hAnsiTheme="minorHAnsi" w:cstheme="minorHAnsi"/>
          <w:sz w:val="22"/>
          <w:szCs w:val="22"/>
        </w:rPr>
        <w:t xml:space="preserve"> l</w:t>
      </w:r>
      <w:r w:rsidR="00D34EBA" w:rsidRPr="00D34EBA">
        <w:rPr>
          <w:rFonts w:asciiTheme="minorHAnsi" w:hAnsiTheme="minorHAnsi" w:cstheme="minorHAnsi"/>
          <w:sz w:val="22"/>
          <w:szCs w:val="22"/>
        </w:rPr>
        <w:t>imited networking opportunities for (new) collaborations</w:t>
      </w:r>
      <w:r w:rsidR="00E96DEE">
        <w:rPr>
          <w:rFonts w:asciiTheme="minorHAnsi" w:hAnsiTheme="minorHAnsi" w:cstheme="minorHAnsi"/>
          <w:sz w:val="22"/>
          <w:szCs w:val="22"/>
        </w:rPr>
        <w:t>,</w:t>
      </w:r>
      <w:r w:rsidR="00D34EBA">
        <w:rPr>
          <w:rFonts w:asciiTheme="minorHAnsi" w:hAnsiTheme="minorHAnsi" w:cstheme="minorHAnsi"/>
          <w:sz w:val="22"/>
          <w:szCs w:val="22"/>
        </w:rPr>
        <w:t xml:space="preserve"> l</w:t>
      </w:r>
      <w:r w:rsidR="00D34EBA" w:rsidRPr="00D34EBA">
        <w:rPr>
          <w:rFonts w:asciiTheme="minorHAnsi" w:hAnsiTheme="minorHAnsi" w:cstheme="minorHAnsi"/>
          <w:sz w:val="22"/>
          <w:szCs w:val="22"/>
        </w:rPr>
        <w:t>ack of formalised management training</w:t>
      </w:r>
      <w:r w:rsidR="00E96DEE">
        <w:rPr>
          <w:rFonts w:asciiTheme="minorHAnsi" w:hAnsiTheme="minorHAnsi" w:cstheme="minorHAnsi"/>
          <w:sz w:val="22"/>
          <w:szCs w:val="22"/>
        </w:rPr>
        <w:t xml:space="preserve"> and</w:t>
      </w:r>
      <w:r>
        <w:rPr>
          <w:rFonts w:asciiTheme="minorHAnsi" w:hAnsiTheme="minorHAnsi" w:cstheme="minorHAnsi"/>
          <w:sz w:val="22"/>
          <w:szCs w:val="22"/>
        </w:rPr>
        <w:t xml:space="preserve"> limited training/information on pursuing career paths outside of academia</w:t>
      </w:r>
      <w:r w:rsidR="00D34EBA">
        <w:rPr>
          <w:rFonts w:asciiTheme="minorHAnsi" w:hAnsiTheme="minorHAnsi" w:cstheme="minorHAnsi"/>
          <w:sz w:val="22"/>
          <w:szCs w:val="22"/>
        </w:rPr>
        <w:t>.</w:t>
      </w:r>
    </w:p>
    <w:p w14:paraId="77C597AD" w14:textId="5E9AFCD3" w:rsidR="00033A8F" w:rsidRDefault="00B85545" w:rsidP="00D34EBA">
      <w:pPr>
        <w:rPr>
          <w:rFonts w:asciiTheme="minorHAnsi" w:hAnsiTheme="minorHAnsi" w:cstheme="minorHAnsi"/>
          <w:sz w:val="22"/>
          <w:szCs w:val="22"/>
        </w:rPr>
      </w:pPr>
      <w:r w:rsidRPr="00425872">
        <w:rPr>
          <w:rFonts w:asciiTheme="minorHAnsi" w:hAnsiTheme="minorHAnsi" w:cstheme="minorHAnsi"/>
          <w:sz w:val="22"/>
          <w:szCs w:val="22"/>
        </w:rPr>
        <w:t>Key strategies to address this issue</w:t>
      </w:r>
      <w:r w:rsidR="00C2100D">
        <w:rPr>
          <w:rFonts w:asciiTheme="minorHAnsi" w:hAnsiTheme="minorHAnsi" w:cstheme="minorHAnsi"/>
          <w:sz w:val="22"/>
          <w:szCs w:val="22"/>
        </w:rPr>
        <w:t xml:space="preserve"> include </w:t>
      </w:r>
      <w:r w:rsidR="00D34EBA" w:rsidRPr="00D34EBA">
        <w:rPr>
          <w:rFonts w:asciiTheme="minorHAnsi" w:hAnsiTheme="minorHAnsi" w:cstheme="minorHAnsi"/>
          <w:sz w:val="22"/>
          <w:szCs w:val="22"/>
        </w:rPr>
        <w:t>formal training and mentoring programs for</w:t>
      </w:r>
      <w:r w:rsidR="00D34EBA">
        <w:rPr>
          <w:rFonts w:asciiTheme="minorHAnsi" w:hAnsiTheme="minorHAnsi" w:cstheme="minorHAnsi"/>
          <w:sz w:val="22"/>
          <w:szCs w:val="22"/>
        </w:rPr>
        <w:t xml:space="preserve"> </w:t>
      </w:r>
      <w:r w:rsidR="00D34EBA" w:rsidRPr="00D34EBA">
        <w:rPr>
          <w:rFonts w:asciiTheme="minorHAnsi" w:hAnsiTheme="minorHAnsi" w:cstheme="minorHAnsi"/>
          <w:sz w:val="22"/>
          <w:szCs w:val="22"/>
        </w:rPr>
        <w:t>EMCRs</w:t>
      </w:r>
      <w:r w:rsidR="00E96DEE">
        <w:rPr>
          <w:rFonts w:asciiTheme="minorHAnsi" w:hAnsiTheme="minorHAnsi" w:cstheme="minorHAnsi"/>
          <w:sz w:val="22"/>
          <w:szCs w:val="22"/>
        </w:rPr>
        <w:t>.</w:t>
      </w:r>
    </w:p>
    <w:p w14:paraId="57FFC91B" w14:textId="328687C9" w:rsidR="0001010F" w:rsidRDefault="0001010F" w:rsidP="00D34EBA">
      <w:pPr>
        <w:rPr>
          <w:rFonts w:asciiTheme="minorHAnsi" w:hAnsiTheme="minorHAnsi" w:cstheme="minorHAnsi"/>
          <w:sz w:val="22"/>
          <w:szCs w:val="22"/>
        </w:rPr>
      </w:pPr>
    </w:p>
    <w:p w14:paraId="6E140641" w14:textId="77777777" w:rsidR="0001010F" w:rsidRDefault="0001010F" w:rsidP="00D34EBA">
      <w:pPr>
        <w:rPr>
          <w:rFonts w:asciiTheme="minorHAnsi" w:hAnsiTheme="minorHAnsi" w:cstheme="minorHAnsi"/>
          <w:sz w:val="22"/>
          <w:szCs w:val="22"/>
        </w:rPr>
      </w:pPr>
    </w:p>
    <w:p w14:paraId="30F9E277" w14:textId="2D624499" w:rsidR="00A46182" w:rsidRDefault="00E96DEE" w:rsidP="00D34EBA">
      <w:pPr>
        <w:rPr>
          <w:rFonts w:asciiTheme="minorHAnsi" w:hAnsiTheme="minorHAnsi" w:cstheme="minorHAnsi"/>
          <w:sz w:val="22"/>
          <w:szCs w:val="22"/>
        </w:rPr>
      </w:pPr>
      <w:r>
        <w:rPr>
          <w:rFonts w:asciiTheme="minorHAnsi" w:hAnsiTheme="minorHAnsi" w:cstheme="minorHAnsi"/>
          <w:sz w:val="22"/>
          <w:szCs w:val="22"/>
        </w:rPr>
        <w:lastRenderedPageBreak/>
        <w:t>Ideas</w:t>
      </w:r>
      <w:r w:rsidR="00C2100D" w:rsidRPr="00425872">
        <w:rPr>
          <w:rFonts w:asciiTheme="minorHAnsi" w:hAnsiTheme="minorHAnsi" w:cstheme="minorHAnsi"/>
          <w:sz w:val="22"/>
          <w:szCs w:val="22"/>
        </w:rPr>
        <w:t xml:space="preserve"> </w:t>
      </w:r>
      <w:r w:rsidR="00D34EBA" w:rsidRPr="00425872">
        <w:rPr>
          <w:rFonts w:asciiTheme="minorHAnsi" w:hAnsiTheme="minorHAnsi" w:cstheme="minorHAnsi"/>
          <w:sz w:val="22"/>
          <w:szCs w:val="22"/>
        </w:rPr>
        <w:t xml:space="preserve">for action </w:t>
      </w:r>
      <w:r w:rsidR="00D34EBA">
        <w:rPr>
          <w:rFonts w:asciiTheme="minorHAnsi" w:hAnsiTheme="minorHAnsi" w:cstheme="minorHAnsi"/>
          <w:sz w:val="22"/>
          <w:szCs w:val="22"/>
        </w:rPr>
        <w:t xml:space="preserve">within the scope of the MRFF </w:t>
      </w:r>
      <w:r w:rsidR="00D34EBA" w:rsidRPr="00425872">
        <w:rPr>
          <w:rFonts w:asciiTheme="minorHAnsi" w:hAnsiTheme="minorHAnsi" w:cstheme="minorHAnsi"/>
          <w:sz w:val="22"/>
          <w:szCs w:val="22"/>
        </w:rPr>
        <w:t>includ</w:t>
      </w:r>
      <w:r w:rsidR="00D34EBA">
        <w:rPr>
          <w:rFonts w:asciiTheme="minorHAnsi" w:hAnsiTheme="minorHAnsi" w:cstheme="minorHAnsi"/>
          <w:sz w:val="22"/>
          <w:szCs w:val="22"/>
        </w:rPr>
        <w:t xml:space="preserve">e: </w:t>
      </w:r>
    </w:p>
    <w:tbl>
      <w:tblPr>
        <w:tblStyle w:val="TableGrid"/>
        <w:tblW w:w="0" w:type="auto"/>
        <w:tblLook w:val="04A0" w:firstRow="1" w:lastRow="0" w:firstColumn="1" w:lastColumn="0" w:noHBand="0" w:noVBand="1"/>
      </w:tblPr>
      <w:tblGrid>
        <w:gridCol w:w="4508"/>
        <w:gridCol w:w="4508"/>
      </w:tblGrid>
      <w:tr w:rsidR="00A46182" w:rsidRPr="00D73857" w14:paraId="13AE87DE" w14:textId="77777777" w:rsidTr="00A46182">
        <w:tc>
          <w:tcPr>
            <w:tcW w:w="4508" w:type="dxa"/>
          </w:tcPr>
          <w:p w14:paraId="75A37B1C" w14:textId="57FEE2FC" w:rsidR="00C2100D" w:rsidRPr="00D73857" w:rsidRDefault="00C2100D" w:rsidP="00E96DEE">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t xml:space="preserve">Give senior researchers </w:t>
            </w:r>
            <w:r w:rsidR="00E96DEE" w:rsidRPr="00D73857">
              <w:rPr>
                <w:rFonts w:cstheme="minorHAnsi"/>
                <w:sz w:val="21"/>
                <w:szCs w:val="21"/>
              </w:rPr>
              <w:t xml:space="preserve">greater </w:t>
            </w:r>
            <w:r w:rsidRPr="00D73857">
              <w:rPr>
                <w:rFonts w:cstheme="minorHAnsi"/>
                <w:sz w:val="21"/>
                <w:szCs w:val="21"/>
              </w:rPr>
              <w:t xml:space="preserve">recognition in </w:t>
            </w:r>
            <w:r w:rsidR="00E96DEE" w:rsidRPr="00D73857">
              <w:rPr>
                <w:rFonts w:cstheme="minorHAnsi"/>
                <w:sz w:val="21"/>
                <w:szCs w:val="21"/>
              </w:rPr>
              <w:t xml:space="preserve">assessment of </w:t>
            </w:r>
            <w:r w:rsidRPr="00D73857">
              <w:rPr>
                <w:rFonts w:cstheme="minorHAnsi"/>
                <w:sz w:val="21"/>
                <w:szCs w:val="21"/>
              </w:rPr>
              <w:t xml:space="preserve">grant applications </w:t>
            </w:r>
            <w:r w:rsidR="00E96DEE" w:rsidRPr="00D73857">
              <w:rPr>
                <w:rFonts w:cstheme="minorHAnsi"/>
                <w:sz w:val="21"/>
                <w:szCs w:val="21"/>
              </w:rPr>
              <w:t>for</w:t>
            </w:r>
            <w:r w:rsidRPr="00D73857">
              <w:rPr>
                <w:rFonts w:cstheme="minorHAnsi"/>
                <w:sz w:val="21"/>
                <w:szCs w:val="21"/>
              </w:rPr>
              <w:t xml:space="preserve"> the quality of student support/mentoring</w:t>
            </w:r>
            <w:r w:rsidR="00E96DEE" w:rsidRPr="00D73857">
              <w:rPr>
                <w:rFonts w:cstheme="minorHAnsi"/>
                <w:sz w:val="21"/>
                <w:szCs w:val="21"/>
              </w:rPr>
              <w:t xml:space="preserve"> they provide</w:t>
            </w:r>
            <w:r w:rsidR="00D3159C" w:rsidRPr="00D73857">
              <w:rPr>
                <w:rFonts w:cstheme="minorHAnsi"/>
                <w:sz w:val="21"/>
                <w:szCs w:val="21"/>
              </w:rPr>
              <w:t xml:space="preserve"> and use more than number of PhD completions as the metric.</w:t>
            </w:r>
            <w:r w:rsidR="00E96DEE" w:rsidRPr="00D73857">
              <w:rPr>
                <w:rFonts w:cstheme="minorHAnsi"/>
                <w:sz w:val="21"/>
                <w:szCs w:val="21"/>
              </w:rPr>
              <w:t xml:space="preserve"> E</w:t>
            </w:r>
            <w:r w:rsidRPr="00D73857">
              <w:rPr>
                <w:rFonts w:cstheme="minorHAnsi"/>
                <w:sz w:val="21"/>
                <w:szCs w:val="21"/>
              </w:rPr>
              <w:t xml:space="preserve">.g. where have </w:t>
            </w:r>
            <w:r w:rsidR="00E96DEE" w:rsidRPr="00D73857">
              <w:rPr>
                <w:rFonts w:cstheme="minorHAnsi"/>
                <w:sz w:val="21"/>
                <w:szCs w:val="21"/>
              </w:rPr>
              <w:t xml:space="preserve">their </w:t>
            </w:r>
            <w:r w:rsidRPr="00D73857">
              <w:rPr>
                <w:rFonts w:cstheme="minorHAnsi"/>
                <w:sz w:val="21"/>
                <w:szCs w:val="21"/>
              </w:rPr>
              <w:t xml:space="preserve">students ended up, </w:t>
            </w:r>
            <w:r w:rsidR="00D3159C" w:rsidRPr="00D73857">
              <w:rPr>
                <w:rFonts w:cstheme="minorHAnsi"/>
                <w:sz w:val="21"/>
                <w:szCs w:val="21"/>
              </w:rPr>
              <w:t xml:space="preserve">obtain a </w:t>
            </w:r>
            <w:r w:rsidRPr="00D73857">
              <w:rPr>
                <w:rFonts w:cstheme="minorHAnsi"/>
                <w:sz w:val="21"/>
                <w:szCs w:val="21"/>
              </w:rPr>
              <w:t xml:space="preserve">reference from a post doc. </w:t>
            </w:r>
          </w:p>
          <w:p w14:paraId="236F610F" w14:textId="08A34977" w:rsidR="00E96DEE" w:rsidRPr="00D73857" w:rsidRDefault="00E96DEE" w:rsidP="00E96DEE">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t>Include mentoring programs as part of grant proposals and assessment criteria</w:t>
            </w:r>
          </w:p>
        </w:tc>
        <w:tc>
          <w:tcPr>
            <w:tcW w:w="4508" w:type="dxa"/>
          </w:tcPr>
          <w:p w14:paraId="74D9115F" w14:textId="77777777" w:rsidR="00E96DEE" w:rsidRPr="00D73857" w:rsidRDefault="00E96DEE" w:rsidP="00E96DEE">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t>Redesign the MRFF Researcher Exchange and Development within Industry (REDI) initiative to further promote EMCR engagement in commercialising and translating research with industry partners of all sizes</w:t>
            </w:r>
          </w:p>
          <w:p w14:paraId="02EB3074" w14:textId="24F4DB23" w:rsidR="00E96DEE" w:rsidRPr="00D73857" w:rsidRDefault="00E96DEE" w:rsidP="00E96DEE">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t>Facilitate work experience transitions, e.g. by providing funding to backfill researcher’s position so that they can take up a temporary placement in industry</w:t>
            </w:r>
          </w:p>
        </w:tc>
      </w:tr>
    </w:tbl>
    <w:p w14:paraId="18462464" w14:textId="2BA2556E" w:rsidR="00A46182" w:rsidRDefault="00A46182" w:rsidP="00D34EBA">
      <w:pPr>
        <w:rPr>
          <w:rFonts w:asciiTheme="minorHAnsi" w:hAnsiTheme="minorHAnsi" w:cstheme="minorHAnsi"/>
          <w:sz w:val="22"/>
          <w:szCs w:val="22"/>
        </w:rPr>
      </w:pPr>
    </w:p>
    <w:p w14:paraId="384CE25D" w14:textId="7A8ACF02" w:rsidR="00A46182" w:rsidRDefault="00E96DEE" w:rsidP="00A46182">
      <w:pPr>
        <w:rPr>
          <w:rFonts w:asciiTheme="minorHAnsi" w:hAnsiTheme="minorHAnsi" w:cstheme="minorHAnsi"/>
          <w:sz w:val="22"/>
          <w:szCs w:val="22"/>
        </w:rPr>
      </w:pPr>
      <w:r>
        <w:rPr>
          <w:rFonts w:asciiTheme="minorHAnsi" w:hAnsiTheme="minorHAnsi" w:cstheme="minorHAnsi"/>
          <w:sz w:val="22"/>
          <w:szCs w:val="22"/>
        </w:rPr>
        <w:t>Ideas</w:t>
      </w:r>
      <w:r w:rsidR="00A46182">
        <w:rPr>
          <w:rFonts w:asciiTheme="minorHAnsi" w:hAnsiTheme="minorHAnsi" w:cstheme="minorHAnsi"/>
          <w:sz w:val="22"/>
          <w:szCs w:val="22"/>
        </w:rPr>
        <w:t xml:space="preserve"> for action outside the MRFF include:</w:t>
      </w:r>
    </w:p>
    <w:tbl>
      <w:tblPr>
        <w:tblStyle w:val="TableGrid"/>
        <w:tblpPr w:leftFromText="180" w:rightFromText="180" w:vertAnchor="text" w:horzAnchor="margin" w:tblpY="19"/>
        <w:tblW w:w="0" w:type="auto"/>
        <w:tblLook w:val="04A0" w:firstRow="1" w:lastRow="0" w:firstColumn="1" w:lastColumn="0" w:noHBand="0" w:noVBand="1"/>
      </w:tblPr>
      <w:tblGrid>
        <w:gridCol w:w="4508"/>
        <w:gridCol w:w="4508"/>
      </w:tblGrid>
      <w:tr w:rsidR="00642D2A" w:rsidRPr="00D73857" w14:paraId="766CF22E" w14:textId="77777777" w:rsidTr="00642D2A">
        <w:tc>
          <w:tcPr>
            <w:tcW w:w="4508" w:type="dxa"/>
          </w:tcPr>
          <w:p w14:paraId="532F5544" w14:textId="2CFBAE08" w:rsidR="00642D2A" w:rsidRPr="00D73857" w:rsidRDefault="00E96DEE" w:rsidP="00642D2A">
            <w:pPr>
              <w:pStyle w:val="ListParagraph"/>
              <w:numPr>
                <w:ilvl w:val="0"/>
                <w:numId w:val="7"/>
              </w:numPr>
              <w:spacing w:before="40" w:after="0" w:line="240" w:lineRule="auto"/>
              <w:ind w:left="357" w:hanging="357"/>
              <w:rPr>
                <w:rFonts w:cstheme="minorHAnsi"/>
                <w:sz w:val="21"/>
                <w:szCs w:val="21"/>
              </w:rPr>
            </w:pPr>
            <w:r w:rsidRPr="00D73857">
              <w:rPr>
                <w:rFonts w:cstheme="minorHAnsi"/>
                <w:sz w:val="21"/>
                <w:szCs w:val="21"/>
              </w:rPr>
              <w:t xml:space="preserve">Provide </w:t>
            </w:r>
            <w:r w:rsidR="00642D2A" w:rsidRPr="00D73857">
              <w:rPr>
                <w:rFonts w:cstheme="minorHAnsi"/>
                <w:sz w:val="21"/>
                <w:szCs w:val="21"/>
              </w:rPr>
              <w:t xml:space="preserve">formal training </w:t>
            </w:r>
            <w:r w:rsidRPr="00D73857">
              <w:rPr>
                <w:rFonts w:cstheme="minorHAnsi"/>
                <w:sz w:val="21"/>
                <w:szCs w:val="21"/>
              </w:rPr>
              <w:t xml:space="preserve">to EMCRs </w:t>
            </w:r>
            <w:r w:rsidR="00642D2A" w:rsidRPr="00D73857">
              <w:rPr>
                <w:rFonts w:cstheme="minorHAnsi"/>
                <w:sz w:val="21"/>
                <w:szCs w:val="21"/>
              </w:rPr>
              <w:t xml:space="preserve">around </w:t>
            </w:r>
            <w:r w:rsidRPr="00D73857">
              <w:rPr>
                <w:rFonts w:cstheme="minorHAnsi"/>
                <w:sz w:val="21"/>
                <w:szCs w:val="21"/>
              </w:rPr>
              <w:t xml:space="preserve">general </w:t>
            </w:r>
            <w:r w:rsidR="00D3159C" w:rsidRPr="00D73857">
              <w:rPr>
                <w:rFonts w:cstheme="minorHAnsi"/>
                <w:sz w:val="21"/>
                <w:szCs w:val="21"/>
              </w:rPr>
              <w:t>grant/</w:t>
            </w:r>
            <w:r w:rsidR="00642D2A" w:rsidRPr="00D73857">
              <w:rPr>
                <w:rFonts w:cstheme="minorHAnsi"/>
                <w:sz w:val="21"/>
                <w:szCs w:val="21"/>
              </w:rPr>
              <w:t>research management</w:t>
            </w:r>
            <w:r w:rsidR="00D3159C" w:rsidRPr="00D73857">
              <w:rPr>
                <w:rFonts w:cstheme="minorHAnsi"/>
                <w:sz w:val="21"/>
                <w:szCs w:val="21"/>
              </w:rPr>
              <w:t xml:space="preserve"> and leadership</w:t>
            </w:r>
          </w:p>
          <w:p w14:paraId="59E6ED57" w14:textId="2DF779D1" w:rsidR="00642D2A" w:rsidRPr="00D73857" w:rsidRDefault="00E96DEE" w:rsidP="00642D2A">
            <w:pPr>
              <w:pStyle w:val="ListParagraph"/>
              <w:numPr>
                <w:ilvl w:val="0"/>
                <w:numId w:val="7"/>
              </w:numPr>
              <w:spacing w:before="40" w:after="0" w:line="240" w:lineRule="auto"/>
              <w:ind w:left="357" w:hanging="357"/>
              <w:rPr>
                <w:rFonts w:cstheme="minorHAnsi"/>
                <w:sz w:val="21"/>
                <w:szCs w:val="21"/>
              </w:rPr>
            </w:pPr>
            <w:r w:rsidRPr="00D73857">
              <w:rPr>
                <w:rFonts w:cstheme="minorHAnsi"/>
                <w:sz w:val="21"/>
                <w:szCs w:val="21"/>
              </w:rPr>
              <w:t>Provide f</w:t>
            </w:r>
            <w:r w:rsidR="00642D2A" w:rsidRPr="00D73857">
              <w:rPr>
                <w:rFonts w:cstheme="minorHAnsi"/>
                <w:sz w:val="21"/>
                <w:szCs w:val="21"/>
              </w:rPr>
              <w:t>ormal mentoring programs for EMCRs</w:t>
            </w:r>
            <w:r w:rsidR="00F14450" w:rsidRPr="00D73857">
              <w:rPr>
                <w:rFonts w:cstheme="minorHAnsi"/>
                <w:sz w:val="21"/>
                <w:szCs w:val="21"/>
              </w:rPr>
              <w:t>, i</w:t>
            </w:r>
            <w:r w:rsidR="00C33ADF" w:rsidRPr="00D73857">
              <w:rPr>
                <w:rFonts w:cstheme="minorHAnsi"/>
                <w:sz w:val="21"/>
                <w:szCs w:val="21"/>
              </w:rPr>
              <w:t>nclud</w:t>
            </w:r>
            <w:r w:rsidR="00F14450" w:rsidRPr="00D73857">
              <w:rPr>
                <w:rFonts w:cstheme="minorHAnsi"/>
                <w:sz w:val="21"/>
                <w:szCs w:val="21"/>
              </w:rPr>
              <w:t>ing</w:t>
            </w:r>
            <w:r w:rsidR="00C2100D" w:rsidRPr="00D73857">
              <w:rPr>
                <w:rFonts w:cstheme="minorHAnsi"/>
                <w:sz w:val="21"/>
                <w:szCs w:val="21"/>
              </w:rPr>
              <w:t xml:space="preserve"> mentors within and external to </w:t>
            </w:r>
            <w:r w:rsidRPr="00D73857">
              <w:rPr>
                <w:rFonts w:cstheme="minorHAnsi"/>
                <w:sz w:val="21"/>
                <w:szCs w:val="21"/>
              </w:rPr>
              <w:t>the EMCR’s</w:t>
            </w:r>
            <w:r w:rsidR="00C2100D" w:rsidRPr="00D73857">
              <w:rPr>
                <w:rFonts w:cstheme="minorHAnsi"/>
                <w:sz w:val="21"/>
                <w:szCs w:val="21"/>
              </w:rPr>
              <w:t xml:space="preserve"> specialty area</w:t>
            </w:r>
          </w:p>
          <w:p w14:paraId="285DA4E9" w14:textId="77777777" w:rsidR="004B77BF" w:rsidRPr="00D73857" w:rsidRDefault="004B77BF" w:rsidP="004B77BF">
            <w:pPr>
              <w:pStyle w:val="ListParagraph"/>
              <w:numPr>
                <w:ilvl w:val="0"/>
                <w:numId w:val="7"/>
              </w:numPr>
              <w:spacing w:before="40" w:after="0" w:line="240" w:lineRule="auto"/>
              <w:rPr>
                <w:rFonts w:cstheme="minorHAnsi"/>
                <w:sz w:val="21"/>
                <w:szCs w:val="21"/>
              </w:rPr>
            </w:pPr>
            <w:r w:rsidRPr="00D73857">
              <w:rPr>
                <w:rFonts w:cstheme="minorHAnsi"/>
                <w:sz w:val="21"/>
                <w:szCs w:val="21"/>
              </w:rPr>
              <w:t xml:space="preserve">Train senior researchers on how to mentor EMCRs </w:t>
            </w:r>
          </w:p>
          <w:p w14:paraId="68671A6A" w14:textId="2AD8812E" w:rsidR="004B77BF" w:rsidRPr="00D73857" w:rsidRDefault="004B77BF" w:rsidP="004B77BF">
            <w:pPr>
              <w:pStyle w:val="ListParagraph"/>
              <w:numPr>
                <w:ilvl w:val="0"/>
                <w:numId w:val="7"/>
              </w:numPr>
              <w:spacing w:before="40" w:after="0" w:line="240" w:lineRule="auto"/>
              <w:rPr>
                <w:rFonts w:cstheme="minorHAnsi"/>
                <w:sz w:val="21"/>
                <w:szCs w:val="21"/>
              </w:rPr>
            </w:pPr>
            <w:r w:rsidRPr="00D73857">
              <w:rPr>
                <w:rFonts w:cstheme="minorHAnsi"/>
                <w:sz w:val="21"/>
                <w:szCs w:val="21"/>
              </w:rPr>
              <w:t>Create incentives to senior researchers to train and mentor EMCRs appropriately (i.e. provide quality mentoring, not just another PhD completion)</w:t>
            </w:r>
          </w:p>
          <w:p w14:paraId="6B4679E3" w14:textId="77777777" w:rsidR="00642D2A" w:rsidRPr="00D73857" w:rsidRDefault="00D3159C" w:rsidP="00D3159C">
            <w:pPr>
              <w:pStyle w:val="ListParagraph"/>
              <w:numPr>
                <w:ilvl w:val="0"/>
                <w:numId w:val="7"/>
              </w:numPr>
              <w:spacing w:before="40" w:after="0" w:line="240" w:lineRule="auto"/>
              <w:rPr>
                <w:rFonts w:cstheme="minorHAnsi"/>
                <w:sz w:val="21"/>
                <w:szCs w:val="21"/>
              </w:rPr>
            </w:pPr>
            <w:r w:rsidRPr="00D73857">
              <w:rPr>
                <w:rFonts w:cstheme="minorHAnsi"/>
                <w:sz w:val="21"/>
                <w:szCs w:val="21"/>
              </w:rPr>
              <w:t>Promote structured succession planning within research groups. This may also include consideration of senior authorship guidance</w:t>
            </w:r>
            <w:r w:rsidR="003D7C2A" w:rsidRPr="00D73857">
              <w:rPr>
                <w:rFonts w:cstheme="minorHAnsi"/>
                <w:sz w:val="21"/>
                <w:szCs w:val="21"/>
              </w:rPr>
              <w:t xml:space="preserve"> and positioning on grant applications</w:t>
            </w:r>
          </w:p>
          <w:p w14:paraId="0B2C0211" w14:textId="7912D479" w:rsidR="003D7C2A" w:rsidRPr="00D73857" w:rsidRDefault="003D7C2A" w:rsidP="00D3159C">
            <w:pPr>
              <w:pStyle w:val="ListParagraph"/>
              <w:numPr>
                <w:ilvl w:val="0"/>
                <w:numId w:val="7"/>
              </w:numPr>
              <w:spacing w:before="40" w:after="0" w:line="240" w:lineRule="auto"/>
              <w:rPr>
                <w:rFonts w:cstheme="minorHAnsi"/>
                <w:sz w:val="21"/>
                <w:szCs w:val="21"/>
              </w:rPr>
            </w:pPr>
            <w:r w:rsidRPr="00D73857">
              <w:rPr>
                <w:rFonts w:cstheme="minorHAnsi"/>
                <w:sz w:val="21"/>
                <w:szCs w:val="21"/>
              </w:rPr>
              <w:t>Review the current structure of PhD programs within universities (see session 1 ideas)</w:t>
            </w:r>
          </w:p>
        </w:tc>
        <w:tc>
          <w:tcPr>
            <w:tcW w:w="4508" w:type="dxa"/>
          </w:tcPr>
          <w:p w14:paraId="4D24A972" w14:textId="77777777" w:rsidR="003D7C2A" w:rsidRPr="00D73857" w:rsidRDefault="003D7C2A" w:rsidP="003D7C2A">
            <w:pPr>
              <w:pStyle w:val="ListParagraph"/>
              <w:numPr>
                <w:ilvl w:val="0"/>
                <w:numId w:val="7"/>
              </w:numPr>
              <w:spacing w:before="40" w:after="0" w:line="240" w:lineRule="auto"/>
              <w:rPr>
                <w:rFonts w:cstheme="minorHAnsi"/>
                <w:sz w:val="21"/>
                <w:szCs w:val="21"/>
              </w:rPr>
            </w:pPr>
            <w:r w:rsidRPr="00D73857">
              <w:rPr>
                <w:rFonts w:cstheme="minorHAnsi"/>
                <w:sz w:val="21"/>
                <w:szCs w:val="21"/>
              </w:rPr>
              <w:t xml:space="preserve">Promote seminars/career fairs for </w:t>
            </w:r>
            <w:r w:rsidRPr="00D73857">
              <w:rPr>
                <w:sz w:val="21"/>
                <w:szCs w:val="21"/>
              </w:rPr>
              <w:t>PhDs for exposure to non-academic industries looking to recruit PhDs and to hear from individuals who have successfully transitioned</w:t>
            </w:r>
          </w:p>
          <w:p w14:paraId="6798704B" w14:textId="7546ECB8" w:rsidR="003D7C2A" w:rsidRPr="00D73857" w:rsidRDefault="003D7C2A" w:rsidP="003D7C2A">
            <w:pPr>
              <w:pStyle w:val="ListParagraph"/>
              <w:numPr>
                <w:ilvl w:val="0"/>
                <w:numId w:val="7"/>
              </w:numPr>
              <w:spacing w:before="40" w:after="0" w:line="240" w:lineRule="auto"/>
              <w:rPr>
                <w:rFonts w:cstheme="minorHAnsi"/>
                <w:sz w:val="21"/>
                <w:szCs w:val="21"/>
              </w:rPr>
            </w:pPr>
            <w:r w:rsidRPr="00D73857">
              <w:rPr>
                <w:sz w:val="21"/>
                <w:szCs w:val="21"/>
              </w:rPr>
              <w:t>Promote work placements in industry/policy/etc</w:t>
            </w:r>
          </w:p>
          <w:p w14:paraId="49B507E1" w14:textId="77777777" w:rsidR="003D7C2A" w:rsidRPr="00D73857" w:rsidRDefault="003D7C2A" w:rsidP="003D7C2A">
            <w:pPr>
              <w:pStyle w:val="ListParagraph"/>
              <w:numPr>
                <w:ilvl w:val="0"/>
                <w:numId w:val="7"/>
              </w:numPr>
              <w:spacing w:before="40" w:after="0" w:line="240" w:lineRule="auto"/>
              <w:rPr>
                <w:rFonts w:cstheme="minorHAnsi"/>
                <w:sz w:val="21"/>
                <w:szCs w:val="21"/>
              </w:rPr>
            </w:pPr>
            <w:r w:rsidRPr="00D73857">
              <w:rPr>
                <w:sz w:val="21"/>
                <w:szCs w:val="21"/>
              </w:rPr>
              <w:t xml:space="preserve">Promote industry/research policy as a viable career option, not a “failed” academic career </w:t>
            </w:r>
          </w:p>
          <w:p w14:paraId="26D178B0" w14:textId="47BF185D" w:rsidR="003D7C2A" w:rsidRPr="00D73857" w:rsidRDefault="004B77BF" w:rsidP="003D7C2A">
            <w:pPr>
              <w:pStyle w:val="ListParagraph"/>
              <w:numPr>
                <w:ilvl w:val="0"/>
                <w:numId w:val="7"/>
              </w:numPr>
              <w:spacing w:before="40" w:after="0" w:line="240" w:lineRule="auto"/>
              <w:rPr>
                <w:rFonts w:cstheme="minorHAnsi"/>
                <w:sz w:val="21"/>
                <w:szCs w:val="21"/>
              </w:rPr>
            </w:pPr>
            <w:r w:rsidRPr="00D73857">
              <w:rPr>
                <w:sz w:val="21"/>
                <w:szCs w:val="21"/>
              </w:rPr>
              <w:t>Create industry</w:t>
            </w:r>
            <w:r w:rsidR="003D7C2A" w:rsidRPr="00D73857">
              <w:rPr>
                <w:sz w:val="21"/>
                <w:szCs w:val="21"/>
              </w:rPr>
              <w:t xml:space="preserve"> incentives to employ highly skilled EMCRs who do not have prior industry training </w:t>
            </w:r>
          </w:p>
          <w:p w14:paraId="1B5CA81E" w14:textId="49321024" w:rsidR="003D7C2A" w:rsidRPr="00D73857" w:rsidRDefault="004B77BF" w:rsidP="003D7C2A">
            <w:pPr>
              <w:pStyle w:val="ListParagraph"/>
              <w:numPr>
                <w:ilvl w:val="0"/>
                <w:numId w:val="7"/>
              </w:numPr>
              <w:spacing w:before="40" w:after="0" w:line="240" w:lineRule="auto"/>
              <w:rPr>
                <w:rFonts w:cstheme="minorHAnsi"/>
                <w:sz w:val="21"/>
                <w:szCs w:val="21"/>
              </w:rPr>
            </w:pPr>
            <w:r w:rsidRPr="00D73857">
              <w:rPr>
                <w:sz w:val="21"/>
                <w:szCs w:val="21"/>
              </w:rPr>
              <w:t>Create f</w:t>
            </w:r>
            <w:r w:rsidR="003D7C2A" w:rsidRPr="00D73857">
              <w:rPr>
                <w:sz w:val="21"/>
                <w:szCs w:val="21"/>
              </w:rPr>
              <w:t>inancial incentives for NGOs, private practices, etc. to undertake meaningful research using qualified researchers</w:t>
            </w:r>
          </w:p>
          <w:p w14:paraId="32580963" w14:textId="4F0626CC" w:rsidR="003D7C2A" w:rsidRPr="00D73857" w:rsidRDefault="003D7C2A" w:rsidP="004B77BF">
            <w:pPr>
              <w:pStyle w:val="ListParagraph"/>
              <w:numPr>
                <w:ilvl w:val="0"/>
                <w:numId w:val="7"/>
              </w:numPr>
              <w:spacing w:before="40" w:after="0" w:line="240" w:lineRule="auto"/>
              <w:rPr>
                <w:rFonts w:cstheme="minorHAnsi"/>
                <w:sz w:val="21"/>
                <w:szCs w:val="21"/>
              </w:rPr>
            </w:pPr>
            <w:r w:rsidRPr="00D73857">
              <w:rPr>
                <w:sz w:val="21"/>
                <w:szCs w:val="21"/>
              </w:rPr>
              <w:t xml:space="preserve">Decentralise policy jobs – currently Canberra-centric </w:t>
            </w:r>
          </w:p>
        </w:tc>
      </w:tr>
    </w:tbl>
    <w:p w14:paraId="0DB41F6D" w14:textId="77777777" w:rsidR="00A46182" w:rsidRDefault="00A46182" w:rsidP="00D34EBA">
      <w:pPr>
        <w:rPr>
          <w:rFonts w:asciiTheme="minorHAnsi" w:hAnsiTheme="minorHAnsi" w:cstheme="minorHAnsi"/>
          <w:sz w:val="22"/>
          <w:szCs w:val="22"/>
        </w:rPr>
      </w:pPr>
    </w:p>
    <w:p w14:paraId="0BE97DE9" w14:textId="77777777" w:rsidR="00D73857" w:rsidRDefault="00D73857" w:rsidP="00033A8F">
      <w:pPr>
        <w:rPr>
          <w:rFonts w:asciiTheme="minorHAnsi" w:hAnsiTheme="minorHAnsi" w:cstheme="minorHAnsi"/>
          <w:b/>
          <w:sz w:val="22"/>
          <w:szCs w:val="22"/>
        </w:rPr>
      </w:pPr>
    </w:p>
    <w:p w14:paraId="6AA783E8" w14:textId="77777777" w:rsidR="00D73857" w:rsidRDefault="00D73857" w:rsidP="00033A8F">
      <w:pPr>
        <w:rPr>
          <w:rFonts w:asciiTheme="minorHAnsi" w:hAnsiTheme="minorHAnsi" w:cstheme="minorHAnsi"/>
          <w:b/>
          <w:sz w:val="22"/>
          <w:szCs w:val="22"/>
        </w:rPr>
      </w:pPr>
    </w:p>
    <w:p w14:paraId="37856932" w14:textId="77777777" w:rsidR="00D73857" w:rsidRDefault="00D73857" w:rsidP="00D73857">
      <w:pPr>
        <w:spacing w:before="120"/>
        <w:rPr>
          <w:rFonts w:asciiTheme="minorHAnsi" w:hAnsiTheme="minorHAnsi" w:cstheme="minorHAnsi"/>
          <w:b/>
          <w:sz w:val="22"/>
          <w:szCs w:val="22"/>
        </w:rPr>
      </w:pPr>
    </w:p>
    <w:p w14:paraId="70C7D57C" w14:textId="77777777" w:rsidR="00D73857" w:rsidRDefault="00D73857" w:rsidP="00D73857">
      <w:pPr>
        <w:spacing w:before="120"/>
        <w:rPr>
          <w:rFonts w:asciiTheme="minorHAnsi" w:hAnsiTheme="minorHAnsi" w:cstheme="minorHAnsi"/>
          <w:b/>
          <w:sz w:val="22"/>
          <w:szCs w:val="22"/>
        </w:rPr>
      </w:pPr>
    </w:p>
    <w:p w14:paraId="5AF2B184" w14:textId="77777777" w:rsidR="00D73857" w:rsidRDefault="00D73857" w:rsidP="00D73857">
      <w:pPr>
        <w:spacing w:before="120"/>
        <w:rPr>
          <w:rFonts w:asciiTheme="minorHAnsi" w:hAnsiTheme="minorHAnsi" w:cstheme="minorHAnsi"/>
          <w:b/>
          <w:sz w:val="22"/>
          <w:szCs w:val="22"/>
        </w:rPr>
      </w:pPr>
    </w:p>
    <w:p w14:paraId="79828110" w14:textId="77777777" w:rsidR="00D73857" w:rsidRDefault="00D73857" w:rsidP="00D73857">
      <w:pPr>
        <w:spacing w:before="120"/>
        <w:rPr>
          <w:rFonts w:asciiTheme="minorHAnsi" w:hAnsiTheme="minorHAnsi" w:cstheme="minorHAnsi"/>
          <w:b/>
          <w:sz w:val="22"/>
          <w:szCs w:val="22"/>
        </w:rPr>
      </w:pPr>
    </w:p>
    <w:p w14:paraId="6853E9DD" w14:textId="77777777" w:rsidR="00D73857" w:rsidRDefault="00D73857" w:rsidP="00D73857">
      <w:pPr>
        <w:spacing w:before="120"/>
        <w:rPr>
          <w:rFonts w:asciiTheme="minorHAnsi" w:hAnsiTheme="minorHAnsi" w:cstheme="minorHAnsi"/>
          <w:b/>
          <w:sz w:val="22"/>
          <w:szCs w:val="22"/>
        </w:rPr>
      </w:pPr>
    </w:p>
    <w:p w14:paraId="370DC5F6" w14:textId="77777777" w:rsidR="00D73857" w:rsidRDefault="00D73857" w:rsidP="00D73857">
      <w:pPr>
        <w:spacing w:before="120"/>
        <w:rPr>
          <w:rFonts w:asciiTheme="minorHAnsi" w:hAnsiTheme="minorHAnsi" w:cstheme="minorHAnsi"/>
          <w:b/>
          <w:sz w:val="22"/>
          <w:szCs w:val="22"/>
        </w:rPr>
      </w:pPr>
    </w:p>
    <w:p w14:paraId="58CCB51A" w14:textId="77777777" w:rsidR="00D73857" w:rsidRDefault="00D73857" w:rsidP="00D73857">
      <w:pPr>
        <w:spacing w:before="120"/>
        <w:rPr>
          <w:rFonts w:asciiTheme="minorHAnsi" w:hAnsiTheme="minorHAnsi" w:cstheme="minorHAnsi"/>
          <w:b/>
          <w:sz w:val="22"/>
          <w:szCs w:val="22"/>
        </w:rPr>
      </w:pPr>
    </w:p>
    <w:p w14:paraId="0ED0512C" w14:textId="77777777" w:rsidR="00D73857" w:rsidRDefault="00D73857" w:rsidP="00D73857">
      <w:pPr>
        <w:spacing w:before="120"/>
        <w:rPr>
          <w:rFonts w:asciiTheme="minorHAnsi" w:hAnsiTheme="minorHAnsi" w:cstheme="minorHAnsi"/>
          <w:b/>
          <w:sz w:val="22"/>
          <w:szCs w:val="22"/>
        </w:rPr>
      </w:pPr>
    </w:p>
    <w:p w14:paraId="4BCA33AC" w14:textId="77777777" w:rsidR="00D73857" w:rsidRDefault="00D73857" w:rsidP="00D73857">
      <w:pPr>
        <w:spacing w:before="120"/>
        <w:rPr>
          <w:rFonts w:asciiTheme="minorHAnsi" w:hAnsiTheme="minorHAnsi" w:cstheme="minorHAnsi"/>
          <w:b/>
          <w:sz w:val="22"/>
          <w:szCs w:val="22"/>
        </w:rPr>
      </w:pPr>
    </w:p>
    <w:p w14:paraId="4EE63BBF" w14:textId="10F61682" w:rsidR="00033A8F" w:rsidRPr="00033A8F" w:rsidRDefault="00033A8F" w:rsidP="00E94ECE">
      <w:pPr>
        <w:pStyle w:val="Heading3"/>
      </w:pPr>
      <w:r w:rsidRPr="00033A8F">
        <w:t>Session 5: Support for diversity</w:t>
      </w:r>
    </w:p>
    <w:p w14:paraId="718EFDCD" w14:textId="59221A75" w:rsidR="00033A8F" w:rsidRDefault="00BB5EF5" w:rsidP="005308E9">
      <w:pPr>
        <w:rPr>
          <w:rFonts w:asciiTheme="minorHAnsi" w:hAnsiTheme="minorHAnsi" w:cstheme="minorHAnsi"/>
          <w:sz w:val="22"/>
          <w:szCs w:val="22"/>
        </w:rPr>
      </w:pPr>
      <w:r>
        <w:rPr>
          <w:rFonts w:asciiTheme="minorHAnsi" w:hAnsiTheme="minorHAnsi" w:cstheme="minorHAnsi"/>
          <w:sz w:val="22"/>
          <w:szCs w:val="22"/>
        </w:rPr>
        <w:t>The k</w:t>
      </w:r>
      <w:r w:rsidRPr="00033A8F">
        <w:rPr>
          <w:rFonts w:asciiTheme="minorHAnsi" w:hAnsiTheme="minorHAnsi" w:cstheme="minorHAnsi"/>
          <w:sz w:val="22"/>
          <w:szCs w:val="22"/>
        </w:rPr>
        <w:t xml:space="preserve">ey </w:t>
      </w:r>
      <w:r w:rsidR="005308E9" w:rsidRPr="00033A8F">
        <w:rPr>
          <w:rFonts w:asciiTheme="minorHAnsi" w:hAnsiTheme="minorHAnsi" w:cstheme="minorHAnsi"/>
          <w:sz w:val="22"/>
          <w:szCs w:val="22"/>
        </w:rPr>
        <w:t>finding from the feedback</w:t>
      </w:r>
      <w:r w:rsidR="005308E9">
        <w:rPr>
          <w:rFonts w:asciiTheme="minorHAnsi" w:hAnsiTheme="minorHAnsi" w:cstheme="minorHAnsi"/>
          <w:sz w:val="22"/>
          <w:szCs w:val="22"/>
        </w:rPr>
        <w:t xml:space="preserve"> prior to the Roundtable </w:t>
      </w:r>
      <w:r>
        <w:rPr>
          <w:rFonts w:asciiTheme="minorHAnsi" w:hAnsiTheme="minorHAnsi" w:cstheme="minorHAnsi"/>
          <w:sz w:val="22"/>
          <w:szCs w:val="22"/>
        </w:rPr>
        <w:t xml:space="preserve">was </w:t>
      </w:r>
      <w:r w:rsidR="005308E9">
        <w:rPr>
          <w:rFonts w:asciiTheme="minorHAnsi" w:hAnsiTheme="minorHAnsi" w:cstheme="minorHAnsi"/>
          <w:sz w:val="22"/>
          <w:szCs w:val="22"/>
        </w:rPr>
        <w:t>that</w:t>
      </w:r>
      <w:r>
        <w:rPr>
          <w:rFonts w:asciiTheme="minorHAnsi" w:hAnsiTheme="minorHAnsi" w:cstheme="minorHAnsi"/>
          <w:sz w:val="22"/>
          <w:szCs w:val="22"/>
        </w:rPr>
        <w:t xml:space="preserve"> d</w:t>
      </w:r>
      <w:r w:rsidR="00033A8F" w:rsidRPr="00033A8F">
        <w:rPr>
          <w:rFonts w:asciiTheme="minorHAnsi" w:hAnsiTheme="minorHAnsi" w:cstheme="minorHAnsi"/>
          <w:sz w:val="22"/>
          <w:szCs w:val="22"/>
        </w:rPr>
        <w:t>iversity needs to be championed to ensure a wide range of perspectives are embedded in research and that individuals from all backgrounds are valued</w:t>
      </w:r>
      <w:r>
        <w:rPr>
          <w:rFonts w:asciiTheme="minorHAnsi" w:hAnsiTheme="minorHAnsi" w:cstheme="minorHAnsi"/>
          <w:sz w:val="22"/>
          <w:szCs w:val="22"/>
        </w:rPr>
        <w:t>. H</w:t>
      </w:r>
      <w:r w:rsidR="005308E9">
        <w:rPr>
          <w:rFonts w:asciiTheme="minorHAnsi" w:hAnsiTheme="minorHAnsi" w:cstheme="minorHAnsi"/>
          <w:sz w:val="22"/>
          <w:szCs w:val="22"/>
        </w:rPr>
        <w:t xml:space="preserve">owever, EMCRs </w:t>
      </w:r>
      <w:r w:rsidR="00F14450">
        <w:rPr>
          <w:rFonts w:asciiTheme="minorHAnsi" w:hAnsiTheme="minorHAnsi" w:cstheme="minorHAnsi"/>
          <w:sz w:val="22"/>
          <w:szCs w:val="22"/>
        </w:rPr>
        <w:t xml:space="preserve">reported </w:t>
      </w:r>
      <w:r w:rsidR="005308E9">
        <w:rPr>
          <w:rFonts w:asciiTheme="minorHAnsi" w:hAnsiTheme="minorHAnsi" w:cstheme="minorHAnsi"/>
          <w:sz w:val="22"/>
          <w:szCs w:val="22"/>
        </w:rPr>
        <w:t>fac</w:t>
      </w:r>
      <w:r w:rsidR="00F14450">
        <w:rPr>
          <w:rFonts w:asciiTheme="minorHAnsi" w:hAnsiTheme="minorHAnsi" w:cstheme="minorHAnsi"/>
          <w:sz w:val="22"/>
          <w:szCs w:val="22"/>
        </w:rPr>
        <w:t>ing</w:t>
      </w:r>
      <w:r w:rsidR="005308E9">
        <w:rPr>
          <w:rFonts w:asciiTheme="minorHAnsi" w:hAnsiTheme="minorHAnsi" w:cstheme="minorHAnsi"/>
          <w:sz w:val="22"/>
          <w:szCs w:val="22"/>
        </w:rPr>
        <w:t xml:space="preserve"> multiple challenges</w:t>
      </w:r>
      <w:r w:rsidR="00D3159C">
        <w:rPr>
          <w:rFonts w:asciiTheme="minorHAnsi" w:hAnsiTheme="minorHAnsi" w:cstheme="minorHAnsi"/>
          <w:sz w:val="22"/>
          <w:szCs w:val="22"/>
        </w:rPr>
        <w:t xml:space="preserve"> with respect to diversity including</w:t>
      </w:r>
      <w:r w:rsidR="005308E9">
        <w:rPr>
          <w:rFonts w:asciiTheme="minorHAnsi" w:hAnsiTheme="minorHAnsi" w:cstheme="minorHAnsi"/>
          <w:sz w:val="22"/>
          <w:szCs w:val="22"/>
        </w:rPr>
        <w:t xml:space="preserve"> </w:t>
      </w:r>
      <w:r w:rsidR="00D73857">
        <w:rPr>
          <w:rFonts w:asciiTheme="minorHAnsi" w:hAnsiTheme="minorHAnsi" w:cstheme="minorHAnsi"/>
          <w:sz w:val="22"/>
          <w:szCs w:val="22"/>
        </w:rPr>
        <w:t xml:space="preserve">there being too strong a focus on </w:t>
      </w:r>
      <w:r w:rsidR="005308E9">
        <w:rPr>
          <w:rFonts w:asciiTheme="minorHAnsi" w:hAnsiTheme="minorHAnsi" w:cstheme="minorHAnsi"/>
          <w:sz w:val="22"/>
          <w:szCs w:val="22"/>
        </w:rPr>
        <w:t>a</w:t>
      </w:r>
      <w:r w:rsidR="005308E9" w:rsidRPr="005308E9">
        <w:rPr>
          <w:rFonts w:asciiTheme="minorHAnsi" w:hAnsiTheme="minorHAnsi" w:cstheme="minorHAnsi"/>
          <w:sz w:val="22"/>
          <w:szCs w:val="22"/>
        </w:rPr>
        <w:t>cademic metrics (e.g. number of publications)</w:t>
      </w:r>
      <w:r w:rsidR="00D3159C">
        <w:rPr>
          <w:rFonts w:asciiTheme="minorHAnsi" w:hAnsiTheme="minorHAnsi" w:cstheme="minorHAnsi"/>
          <w:sz w:val="22"/>
          <w:szCs w:val="22"/>
        </w:rPr>
        <w:t>,</w:t>
      </w:r>
      <w:r w:rsidR="005308E9">
        <w:rPr>
          <w:rFonts w:asciiTheme="minorHAnsi" w:hAnsiTheme="minorHAnsi" w:cstheme="minorHAnsi"/>
          <w:sz w:val="22"/>
          <w:szCs w:val="22"/>
        </w:rPr>
        <w:t xml:space="preserve"> </w:t>
      </w:r>
      <w:r w:rsidR="00F14450">
        <w:rPr>
          <w:rFonts w:asciiTheme="minorHAnsi" w:hAnsiTheme="minorHAnsi" w:cstheme="minorHAnsi"/>
          <w:sz w:val="22"/>
          <w:szCs w:val="22"/>
        </w:rPr>
        <w:t xml:space="preserve">that </w:t>
      </w:r>
      <w:r w:rsidR="00D73857">
        <w:rPr>
          <w:rFonts w:asciiTheme="minorHAnsi" w:hAnsiTheme="minorHAnsi" w:cstheme="minorHAnsi"/>
          <w:sz w:val="22"/>
          <w:szCs w:val="22"/>
        </w:rPr>
        <w:t xml:space="preserve">being associated with </w:t>
      </w:r>
      <w:r w:rsidR="005308E9" w:rsidRPr="005308E9">
        <w:rPr>
          <w:rFonts w:asciiTheme="minorHAnsi" w:hAnsiTheme="minorHAnsi" w:cstheme="minorHAnsi"/>
          <w:sz w:val="22"/>
          <w:szCs w:val="22"/>
        </w:rPr>
        <w:t xml:space="preserve">an established lab and under an existing research program </w:t>
      </w:r>
      <w:r w:rsidR="00D73857">
        <w:rPr>
          <w:rFonts w:asciiTheme="minorHAnsi" w:hAnsiTheme="minorHAnsi" w:cstheme="minorHAnsi"/>
          <w:sz w:val="22"/>
          <w:szCs w:val="22"/>
        </w:rPr>
        <w:t xml:space="preserve">is more likely to result in success </w:t>
      </w:r>
      <w:r w:rsidR="005308E9" w:rsidRPr="005308E9">
        <w:rPr>
          <w:rFonts w:asciiTheme="minorHAnsi" w:hAnsiTheme="minorHAnsi" w:cstheme="minorHAnsi"/>
          <w:sz w:val="22"/>
          <w:szCs w:val="22"/>
        </w:rPr>
        <w:t>than explor</w:t>
      </w:r>
      <w:r w:rsidR="00D73857">
        <w:rPr>
          <w:rFonts w:asciiTheme="minorHAnsi" w:hAnsiTheme="minorHAnsi" w:cstheme="minorHAnsi"/>
          <w:sz w:val="22"/>
          <w:szCs w:val="22"/>
        </w:rPr>
        <w:t>ing</w:t>
      </w:r>
      <w:r w:rsidR="005308E9" w:rsidRPr="005308E9">
        <w:rPr>
          <w:rFonts w:asciiTheme="minorHAnsi" w:hAnsiTheme="minorHAnsi" w:cstheme="minorHAnsi"/>
          <w:sz w:val="22"/>
          <w:szCs w:val="22"/>
        </w:rPr>
        <w:t xml:space="preserve"> new questions/innovative ideas</w:t>
      </w:r>
      <w:r w:rsidR="00D3159C">
        <w:rPr>
          <w:rFonts w:asciiTheme="minorHAnsi" w:hAnsiTheme="minorHAnsi" w:cstheme="minorHAnsi"/>
          <w:sz w:val="22"/>
          <w:szCs w:val="22"/>
        </w:rPr>
        <w:t>,</w:t>
      </w:r>
      <w:r w:rsidR="00D73857">
        <w:rPr>
          <w:rFonts w:asciiTheme="minorHAnsi" w:hAnsiTheme="minorHAnsi" w:cstheme="minorHAnsi"/>
          <w:sz w:val="22"/>
          <w:szCs w:val="22"/>
        </w:rPr>
        <w:t xml:space="preserve"> there being a</w:t>
      </w:r>
      <w:r w:rsidR="005308E9">
        <w:rPr>
          <w:rFonts w:asciiTheme="minorHAnsi" w:hAnsiTheme="minorHAnsi" w:cstheme="minorHAnsi"/>
          <w:sz w:val="22"/>
          <w:szCs w:val="22"/>
        </w:rPr>
        <w:t xml:space="preserve"> l</w:t>
      </w:r>
      <w:r w:rsidR="005308E9" w:rsidRPr="005308E9">
        <w:rPr>
          <w:rFonts w:asciiTheme="minorHAnsi" w:hAnsiTheme="minorHAnsi" w:cstheme="minorHAnsi"/>
          <w:sz w:val="22"/>
          <w:szCs w:val="22"/>
        </w:rPr>
        <w:t>ack of diversity in peer reviewers</w:t>
      </w:r>
      <w:r w:rsidR="00D3159C">
        <w:rPr>
          <w:rFonts w:asciiTheme="minorHAnsi" w:hAnsiTheme="minorHAnsi" w:cstheme="minorHAnsi"/>
          <w:sz w:val="22"/>
          <w:szCs w:val="22"/>
        </w:rPr>
        <w:t xml:space="preserve"> (</w:t>
      </w:r>
      <w:r w:rsidR="005308E9" w:rsidRPr="005308E9">
        <w:rPr>
          <w:rFonts w:asciiTheme="minorHAnsi" w:hAnsiTheme="minorHAnsi" w:cstheme="minorHAnsi"/>
          <w:sz w:val="22"/>
          <w:szCs w:val="22"/>
        </w:rPr>
        <w:t>e.g. with families, women, culturally and linguistically diverse, rural backgrounds</w:t>
      </w:r>
      <w:r w:rsidR="00D3159C">
        <w:rPr>
          <w:rFonts w:asciiTheme="minorHAnsi" w:hAnsiTheme="minorHAnsi" w:cstheme="minorHAnsi"/>
          <w:sz w:val="22"/>
          <w:szCs w:val="22"/>
        </w:rPr>
        <w:t>),</w:t>
      </w:r>
      <w:r w:rsidR="005308E9">
        <w:rPr>
          <w:rFonts w:asciiTheme="minorHAnsi" w:hAnsiTheme="minorHAnsi" w:cstheme="minorHAnsi"/>
          <w:sz w:val="22"/>
          <w:szCs w:val="22"/>
        </w:rPr>
        <w:t xml:space="preserve"> </w:t>
      </w:r>
      <w:r w:rsidR="00D73857">
        <w:rPr>
          <w:rFonts w:asciiTheme="minorHAnsi" w:hAnsiTheme="minorHAnsi" w:cstheme="minorHAnsi"/>
          <w:sz w:val="22"/>
          <w:szCs w:val="22"/>
        </w:rPr>
        <w:t xml:space="preserve">a </w:t>
      </w:r>
      <w:r w:rsidR="005308E9">
        <w:rPr>
          <w:rFonts w:asciiTheme="minorHAnsi" w:hAnsiTheme="minorHAnsi" w:cstheme="minorHAnsi"/>
          <w:sz w:val="22"/>
          <w:szCs w:val="22"/>
        </w:rPr>
        <w:t>f</w:t>
      </w:r>
      <w:r w:rsidR="005308E9" w:rsidRPr="005308E9">
        <w:rPr>
          <w:rFonts w:asciiTheme="minorHAnsi" w:hAnsiTheme="minorHAnsi" w:cstheme="minorHAnsi"/>
          <w:sz w:val="22"/>
          <w:szCs w:val="22"/>
        </w:rPr>
        <w:t>ailure to recognise future feasibility/impact of commercially geared research</w:t>
      </w:r>
      <w:r w:rsidR="00D3159C">
        <w:rPr>
          <w:rFonts w:asciiTheme="minorHAnsi" w:hAnsiTheme="minorHAnsi" w:cstheme="minorHAnsi"/>
          <w:sz w:val="22"/>
          <w:szCs w:val="22"/>
        </w:rPr>
        <w:t>,</w:t>
      </w:r>
      <w:r w:rsidR="005308E9">
        <w:rPr>
          <w:rFonts w:asciiTheme="minorHAnsi" w:hAnsiTheme="minorHAnsi" w:cstheme="minorHAnsi"/>
          <w:sz w:val="22"/>
          <w:szCs w:val="22"/>
        </w:rPr>
        <w:t xml:space="preserve"> </w:t>
      </w:r>
      <w:r w:rsidR="00D73857">
        <w:rPr>
          <w:rFonts w:asciiTheme="minorHAnsi" w:hAnsiTheme="minorHAnsi" w:cstheme="minorHAnsi"/>
          <w:sz w:val="22"/>
          <w:szCs w:val="22"/>
        </w:rPr>
        <w:t xml:space="preserve">that </w:t>
      </w:r>
      <w:r w:rsidR="005308E9">
        <w:rPr>
          <w:rFonts w:asciiTheme="minorHAnsi" w:hAnsiTheme="minorHAnsi" w:cstheme="minorHAnsi"/>
          <w:sz w:val="22"/>
          <w:szCs w:val="22"/>
        </w:rPr>
        <w:t>r</w:t>
      </w:r>
      <w:r w:rsidR="005308E9" w:rsidRPr="005308E9">
        <w:rPr>
          <w:rFonts w:asciiTheme="minorHAnsi" w:hAnsiTheme="minorHAnsi" w:cstheme="minorHAnsi"/>
          <w:sz w:val="22"/>
          <w:szCs w:val="22"/>
        </w:rPr>
        <w:t>esearch involving protected IP cannot be published</w:t>
      </w:r>
      <w:r w:rsidR="00D3159C">
        <w:rPr>
          <w:rFonts w:asciiTheme="minorHAnsi" w:hAnsiTheme="minorHAnsi" w:cstheme="minorHAnsi"/>
          <w:sz w:val="22"/>
          <w:szCs w:val="22"/>
        </w:rPr>
        <w:t>, and</w:t>
      </w:r>
      <w:r>
        <w:rPr>
          <w:rFonts w:asciiTheme="minorHAnsi" w:hAnsiTheme="minorHAnsi" w:cstheme="minorHAnsi"/>
          <w:sz w:val="22"/>
          <w:szCs w:val="22"/>
        </w:rPr>
        <w:t xml:space="preserve"> overly restrictive career disruption guidelines</w:t>
      </w:r>
      <w:r w:rsidR="005308E9">
        <w:rPr>
          <w:rFonts w:asciiTheme="minorHAnsi" w:hAnsiTheme="minorHAnsi" w:cstheme="minorHAnsi"/>
          <w:sz w:val="22"/>
          <w:szCs w:val="22"/>
        </w:rPr>
        <w:t>.</w:t>
      </w:r>
    </w:p>
    <w:p w14:paraId="15ABA580" w14:textId="39A6AF39" w:rsidR="005308E9" w:rsidRDefault="005308E9" w:rsidP="00806500">
      <w:pPr>
        <w:rPr>
          <w:rFonts w:asciiTheme="minorHAnsi" w:hAnsiTheme="minorHAnsi" w:cstheme="minorHAnsi"/>
          <w:sz w:val="22"/>
          <w:szCs w:val="22"/>
        </w:rPr>
      </w:pPr>
      <w:r w:rsidRPr="00425872">
        <w:rPr>
          <w:rFonts w:asciiTheme="minorHAnsi" w:hAnsiTheme="minorHAnsi" w:cstheme="minorHAnsi"/>
          <w:sz w:val="22"/>
          <w:szCs w:val="22"/>
        </w:rPr>
        <w:t>Key strategies to address this issue</w:t>
      </w:r>
      <w:r w:rsidR="00C2100D">
        <w:rPr>
          <w:rFonts w:asciiTheme="minorHAnsi" w:hAnsiTheme="minorHAnsi" w:cstheme="minorHAnsi"/>
          <w:sz w:val="22"/>
          <w:szCs w:val="22"/>
        </w:rPr>
        <w:t xml:space="preserve"> include </w:t>
      </w:r>
      <w:r w:rsidR="00D3159C">
        <w:rPr>
          <w:rFonts w:asciiTheme="minorHAnsi" w:hAnsiTheme="minorHAnsi" w:cstheme="minorHAnsi"/>
          <w:sz w:val="22"/>
          <w:szCs w:val="22"/>
        </w:rPr>
        <w:t xml:space="preserve">embedding of </w:t>
      </w:r>
      <w:r w:rsidR="00C2100D">
        <w:rPr>
          <w:rFonts w:asciiTheme="minorHAnsi" w:hAnsiTheme="minorHAnsi" w:cstheme="minorHAnsi"/>
          <w:sz w:val="22"/>
          <w:szCs w:val="22"/>
        </w:rPr>
        <w:t>d</w:t>
      </w:r>
      <w:r w:rsidR="00806500" w:rsidRPr="00806500">
        <w:rPr>
          <w:rFonts w:asciiTheme="minorHAnsi" w:hAnsiTheme="minorHAnsi" w:cstheme="minorHAnsi"/>
          <w:sz w:val="22"/>
          <w:szCs w:val="22"/>
        </w:rPr>
        <w:t xml:space="preserve">iversity </w:t>
      </w:r>
      <w:r w:rsidR="00D3159C">
        <w:rPr>
          <w:rFonts w:asciiTheme="minorHAnsi" w:hAnsiTheme="minorHAnsi" w:cstheme="minorHAnsi"/>
          <w:sz w:val="22"/>
          <w:szCs w:val="22"/>
        </w:rPr>
        <w:t xml:space="preserve">within research. Note that a clear message was that strategies </w:t>
      </w:r>
      <w:r w:rsidR="005838ED">
        <w:rPr>
          <w:rFonts w:asciiTheme="minorHAnsi" w:hAnsiTheme="minorHAnsi" w:cstheme="minorHAnsi"/>
          <w:sz w:val="22"/>
          <w:szCs w:val="22"/>
        </w:rPr>
        <w:t>should</w:t>
      </w:r>
      <w:r w:rsidR="005838ED" w:rsidRPr="00806500">
        <w:rPr>
          <w:rFonts w:asciiTheme="minorHAnsi" w:hAnsiTheme="minorHAnsi" w:cstheme="minorHAnsi"/>
          <w:sz w:val="22"/>
          <w:szCs w:val="22"/>
        </w:rPr>
        <w:t xml:space="preserve"> </w:t>
      </w:r>
      <w:r w:rsidR="005838ED">
        <w:rPr>
          <w:rFonts w:asciiTheme="minorHAnsi" w:hAnsiTheme="minorHAnsi" w:cstheme="minorHAnsi"/>
          <w:sz w:val="22"/>
          <w:szCs w:val="22"/>
        </w:rPr>
        <w:t xml:space="preserve">support </w:t>
      </w:r>
      <w:r w:rsidR="00806500" w:rsidRPr="00806500">
        <w:rPr>
          <w:rFonts w:asciiTheme="minorHAnsi" w:hAnsiTheme="minorHAnsi" w:cstheme="minorHAnsi"/>
          <w:sz w:val="22"/>
          <w:szCs w:val="22"/>
        </w:rPr>
        <w:t>diversity</w:t>
      </w:r>
      <w:r w:rsidR="005838ED">
        <w:rPr>
          <w:rFonts w:asciiTheme="minorHAnsi" w:hAnsiTheme="minorHAnsi" w:cstheme="minorHAnsi"/>
          <w:sz w:val="22"/>
          <w:szCs w:val="22"/>
        </w:rPr>
        <w:t>, so that it</w:t>
      </w:r>
      <w:r w:rsidR="00806500" w:rsidRPr="00806500">
        <w:rPr>
          <w:rFonts w:asciiTheme="minorHAnsi" w:hAnsiTheme="minorHAnsi" w:cstheme="minorHAnsi"/>
          <w:sz w:val="22"/>
          <w:szCs w:val="22"/>
        </w:rPr>
        <w:t xml:space="preserve"> </w:t>
      </w:r>
      <w:r w:rsidR="00D3159C">
        <w:rPr>
          <w:rFonts w:asciiTheme="minorHAnsi" w:hAnsiTheme="minorHAnsi" w:cstheme="minorHAnsi"/>
          <w:sz w:val="22"/>
          <w:szCs w:val="22"/>
        </w:rPr>
        <w:t>does not</w:t>
      </w:r>
      <w:r w:rsidR="00806500" w:rsidRPr="00806500">
        <w:rPr>
          <w:rFonts w:asciiTheme="minorHAnsi" w:hAnsiTheme="minorHAnsi" w:cstheme="minorHAnsi"/>
          <w:sz w:val="22"/>
          <w:szCs w:val="22"/>
        </w:rPr>
        <w:t xml:space="preserve"> become an</w:t>
      </w:r>
      <w:r w:rsidR="00806500">
        <w:rPr>
          <w:rFonts w:asciiTheme="minorHAnsi" w:hAnsiTheme="minorHAnsi" w:cstheme="minorHAnsi"/>
          <w:sz w:val="22"/>
          <w:szCs w:val="22"/>
        </w:rPr>
        <w:t xml:space="preserve"> </w:t>
      </w:r>
      <w:r w:rsidR="00806500" w:rsidRPr="00806500">
        <w:rPr>
          <w:rFonts w:asciiTheme="minorHAnsi" w:hAnsiTheme="minorHAnsi" w:cstheme="minorHAnsi"/>
          <w:sz w:val="22"/>
          <w:szCs w:val="22"/>
        </w:rPr>
        <w:t xml:space="preserve">additional burden for those </w:t>
      </w:r>
      <w:r w:rsidR="00806500">
        <w:rPr>
          <w:rFonts w:asciiTheme="minorHAnsi" w:hAnsiTheme="minorHAnsi" w:cstheme="minorHAnsi"/>
          <w:sz w:val="22"/>
          <w:szCs w:val="22"/>
        </w:rPr>
        <w:t>of</w:t>
      </w:r>
      <w:r w:rsidR="00806500" w:rsidRPr="00806500">
        <w:rPr>
          <w:rFonts w:asciiTheme="minorHAnsi" w:hAnsiTheme="minorHAnsi" w:cstheme="minorHAnsi"/>
          <w:sz w:val="22"/>
          <w:szCs w:val="22"/>
        </w:rPr>
        <w:t xml:space="preserve"> a</w:t>
      </w:r>
      <w:r w:rsidR="00806500">
        <w:rPr>
          <w:rFonts w:asciiTheme="minorHAnsi" w:hAnsiTheme="minorHAnsi" w:cstheme="minorHAnsi"/>
          <w:sz w:val="22"/>
          <w:szCs w:val="22"/>
        </w:rPr>
        <w:t xml:space="preserve"> </w:t>
      </w:r>
      <w:r w:rsidR="00806500" w:rsidRPr="00806500">
        <w:rPr>
          <w:rFonts w:asciiTheme="minorHAnsi" w:hAnsiTheme="minorHAnsi" w:cstheme="minorHAnsi"/>
          <w:sz w:val="22"/>
          <w:szCs w:val="22"/>
        </w:rPr>
        <w:t>minority population</w:t>
      </w:r>
      <w:r w:rsidR="00806500">
        <w:rPr>
          <w:rFonts w:asciiTheme="minorHAnsi" w:hAnsiTheme="minorHAnsi" w:cstheme="minorHAnsi"/>
          <w:sz w:val="22"/>
          <w:szCs w:val="22"/>
        </w:rPr>
        <w:t>.</w:t>
      </w:r>
    </w:p>
    <w:p w14:paraId="78A6FEFD" w14:textId="77777777" w:rsidR="00D73857" w:rsidRDefault="00D73857" w:rsidP="00806500">
      <w:pPr>
        <w:rPr>
          <w:rFonts w:asciiTheme="minorHAnsi" w:hAnsiTheme="minorHAnsi" w:cstheme="minorHAnsi"/>
          <w:sz w:val="22"/>
          <w:szCs w:val="22"/>
        </w:rPr>
      </w:pPr>
    </w:p>
    <w:p w14:paraId="1B22D7E3" w14:textId="77777777" w:rsidR="0001010F" w:rsidRDefault="0001010F" w:rsidP="00806500">
      <w:pPr>
        <w:rPr>
          <w:rFonts w:asciiTheme="minorHAnsi" w:hAnsiTheme="minorHAnsi" w:cstheme="minorHAnsi"/>
          <w:sz w:val="22"/>
          <w:szCs w:val="22"/>
        </w:rPr>
      </w:pPr>
    </w:p>
    <w:p w14:paraId="5F079484" w14:textId="01CC714A" w:rsidR="00A46182" w:rsidRDefault="00D3159C" w:rsidP="00806500">
      <w:pPr>
        <w:rPr>
          <w:rFonts w:asciiTheme="minorHAnsi" w:hAnsiTheme="minorHAnsi" w:cstheme="minorHAnsi"/>
          <w:sz w:val="22"/>
          <w:szCs w:val="22"/>
        </w:rPr>
      </w:pPr>
      <w:r>
        <w:rPr>
          <w:rFonts w:asciiTheme="minorHAnsi" w:hAnsiTheme="minorHAnsi" w:cstheme="minorHAnsi"/>
          <w:sz w:val="22"/>
          <w:szCs w:val="22"/>
        </w:rPr>
        <w:lastRenderedPageBreak/>
        <w:t>Ideas</w:t>
      </w:r>
      <w:r w:rsidR="005308E9" w:rsidRPr="00425872">
        <w:rPr>
          <w:rFonts w:asciiTheme="minorHAnsi" w:hAnsiTheme="minorHAnsi" w:cstheme="minorHAnsi"/>
          <w:sz w:val="22"/>
          <w:szCs w:val="22"/>
        </w:rPr>
        <w:t xml:space="preserve"> for action </w:t>
      </w:r>
      <w:r w:rsidR="005308E9">
        <w:rPr>
          <w:rFonts w:asciiTheme="minorHAnsi" w:hAnsiTheme="minorHAnsi" w:cstheme="minorHAnsi"/>
          <w:sz w:val="22"/>
          <w:szCs w:val="22"/>
        </w:rPr>
        <w:t xml:space="preserve">within the scope of the MRFF </w:t>
      </w:r>
      <w:r w:rsidR="005308E9" w:rsidRPr="00425872">
        <w:rPr>
          <w:rFonts w:asciiTheme="minorHAnsi" w:hAnsiTheme="minorHAnsi" w:cstheme="minorHAnsi"/>
          <w:sz w:val="22"/>
          <w:szCs w:val="22"/>
        </w:rPr>
        <w:t>includ</w:t>
      </w:r>
      <w:r w:rsidR="005308E9">
        <w:rPr>
          <w:rFonts w:asciiTheme="minorHAnsi" w:hAnsiTheme="minorHAnsi" w:cstheme="minorHAnsi"/>
          <w:sz w:val="22"/>
          <w:szCs w:val="22"/>
        </w:rPr>
        <w:t>e:</w:t>
      </w:r>
      <w:r w:rsidR="00806500">
        <w:rPr>
          <w:rFonts w:asciiTheme="minorHAnsi" w:hAnsiTheme="minorHAnsi" w:cstheme="minorHAnsi"/>
          <w:sz w:val="22"/>
          <w:szCs w:val="22"/>
        </w:rPr>
        <w:t xml:space="preserve"> </w:t>
      </w:r>
    </w:p>
    <w:tbl>
      <w:tblPr>
        <w:tblStyle w:val="TableGrid"/>
        <w:tblW w:w="0" w:type="auto"/>
        <w:tblLook w:val="04A0" w:firstRow="1" w:lastRow="0" w:firstColumn="1" w:lastColumn="0" w:noHBand="0" w:noVBand="1"/>
      </w:tblPr>
      <w:tblGrid>
        <w:gridCol w:w="4508"/>
        <w:gridCol w:w="4508"/>
      </w:tblGrid>
      <w:tr w:rsidR="00A46182" w:rsidRPr="00D73857" w14:paraId="1AAC21D6" w14:textId="77777777" w:rsidTr="00A46182">
        <w:tc>
          <w:tcPr>
            <w:tcW w:w="4508" w:type="dxa"/>
          </w:tcPr>
          <w:p w14:paraId="5CAC724A" w14:textId="0B65143B" w:rsidR="00D3159C" w:rsidRPr="00D73857" w:rsidRDefault="00D3159C" w:rsidP="00D3159C">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t>Include greater diversity on Grant Assessment Committees</w:t>
            </w:r>
            <w:r w:rsidR="003D7C2A" w:rsidRPr="00D73857">
              <w:rPr>
                <w:rFonts w:cstheme="minorHAnsi"/>
                <w:sz w:val="21"/>
                <w:szCs w:val="21"/>
              </w:rPr>
              <w:t xml:space="preserve"> to reflect the community</w:t>
            </w:r>
            <w:r w:rsidRPr="00D73857">
              <w:rPr>
                <w:rFonts w:cstheme="minorHAnsi"/>
                <w:sz w:val="21"/>
                <w:szCs w:val="21"/>
              </w:rPr>
              <w:t xml:space="preserve"> (e.g. industry v academia representation, women, CALD, rural, carers, consumers, </w:t>
            </w:r>
            <w:proofErr w:type="gramStart"/>
            <w:r w:rsidRPr="00D73857">
              <w:rPr>
                <w:rFonts w:cstheme="minorHAnsi"/>
                <w:sz w:val="21"/>
                <w:szCs w:val="21"/>
              </w:rPr>
              <w:t>internationally-based</w:t>
            </w:r>
            <w:proofErr w:type="gramEnd"/>
            <w:r w:rsidRPr="00D73857">
              <w:rPr>
                <w:rFonts w:cstheme="minorHAnsi"/>
                <w:sz w:val="21"/>
                <w:szCs w:val="21"/>
              </w:rPr>
              <w:t xml:space="preserve"> people)</w:t>
            </w:r>
          </w:p>
          <w:p w14:paraId="5DA3DC80" w14:textId="5DB22D34" w:rsidR="00A46182" w:rsidRPr="00D73857" w:rsidRDefault="00D3159C" w:rsidP="00D3159C">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t>Address</w:t>
            </w:r>
            <w:r w:rsidR="00A46182" w:rsidRPr="00D73857">
              <w:rPr>
                <w:rFonts w:cstheme="minorHAnsi"/>
                <w:sz w:val="21"/>
                <w:szCs w:val="21"/>
              </w:rPr>
              <w:t xml:space="preserve"> unconscious bias in the </w:t>
            </w:r>
            <w:r w:rsidR="005C6725" w:rsidRPr="00D73857">
              <w:rPr>
                <w:rFonts w:cstheme="minorHAnsi"/>
                <w:sz w:val="21"/>
                <w:szCs w:val="21"/>
              </w:rPr>
              <w:t xml:space="preserve">assessment </w:t>
            </w:r>
            <w:r w:rsidR="00A46182" w:rsidRPr="00D73857">
              <w:rPr>
                <w:rFonts w:cstheme="minorHAnsi"/>
                <w:sz w:val="21"/>
                <w:szCs w:val="21"/>
              </w:rPr>
              <w:t>of applications – e.g. words like “strong" are male biased</w:t>
            </w:r>
          </w:p>
          <w:p w14:paraId="177D01EE" w14:textId="4A9CFD64" w:rsidR="00F16324" w:rsidRPr="00D73857" w:rsidRDefault="005838ED" w:rsidP="00F16324">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Address safety of</w:t>
            </w:r>
            <w:r w:rsidRPr="00D73857">
              <w:rPr>
                <w:rFonts w:cstheme="minorHAnsi"/>
                <w:sz w:val="21"/>
                <w:szCs w:val="21"/>
              </w:rPr>
              <w:t xml:space="preserve"> </w:t>
            </w:r>
            <w:r w:rsidR="00F16324" w:rsidRPr="00D73857">
              <w:rPr>
                <w:rFonts w:cstheme="minorHAnsi"/>
                <w:sz w:val="21"/>
                <w:szCs w:val="21"/>
              </w:rPr>
              <w:t>personal information</w:t>
            </w:r>
            <w:r>
              <w:rPr>
                <w:rFonts w:cstheme="minorHAnsi"/>
                <w:sz w:val="21"/>
                <w:szCs w:val="21"/>
              </w:rPr>
              <w:t>, so that information</w:t>
            </w:r>
            <w:r w:rsidR="00F16324" w:rsidRPr="00D73857">
              <w:rPr>
                <w:rFonts w:cstheme="minorHAnsi"/>
                <w:sz w:val="21"/>
                <w:szCs w:val="21"/>
              </w:rPr>
              <w:t xml:space="preserve"> disclosed to peer reviewers in applications (e.g. to identify diversity and/or career stage such as Indigenous background, mental health career disruptions) does not have a potentially negative effect on the application through conscious or unconscious bia</w:t>
            </w:r>
            <w:r w:rsidR="00D73857">
              <w:rPr>
                <w:rFonts w:cstheme="minorHAnsi"/>
                <w:sz w:val="21"/>
                <w:szCs w:val="21"/>
              </w:rPr>
              <w:t>s from peer reviewers</w:t>
            </w:r>
            <w:r w:rsidR="00F16324" w:rsidRPr="00D73857">
              <w:rPr>
                <w:rFonts w:cstheme="minorHAnsi"/>
                <w:sz w:val="21"/>
                <w:szCs w:val="21"/>
              </w:rPr>
              <w:t xml:space="preserve"> (e.g. bias) on the grant applicant.</w:t>
            </w:r>
          </w:p>
          <w:p w14:paraId="60041D06" w14:textId="0647E127" w:rsidR="00D3159C" w:rsidRPr="00D73857" w:rsidRDefault="005838ED" w:rsidP="00D3159C">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Revise</w:t>
            </w:r>
            <w:r w:rsidRPr="00D73857">
              <w:rPr>
                <w:rFonts w:cstheme="minorHAnsi"/>
                <w:sz w:val="21"/>
                <w:szCs w:val="21"/>
              </w:rPr>
              <w:t xml:space="preserve"> </w:t>
            </w:r>
            <w:r w:rsidR="00D3159C" w:rsidRPr="00D73857">
              <w:rPr>
                <w:rFonts w:cstheme="minorHAnsi"/>
                <w:sz w:val="21"/>
                <w:szCs w:val="21"/>
              </w:rPr>
              <w:t xml:space="preserve">assessment criteria metrics </w:t>
            </w:r>
            <w:r>
              <w:rPr>
                <w:rFonts w:cstheme="minorHAnsi"/>
                <w:sz w:val="21"/>
                <w:szCs w:val="21"/>
              </w:rPr>
              <w:t xml:space="preserve">so they </w:t>
            </w:r>
            <w:r w:rsidR="00D3159C" w:rsidRPr="00D73857">
              <w:rPr>
                <w:rFonts w:cstheme="minorHAnsi"/>
                <w:sz w:val="21"/>
                <w:szCs w:val="21"/>
              </w:rPr>
              <w:t>do not disadvantage female EMCRs</w:t>
            </w:r>
          </w:p>
          <w:p w14:paraId="6B8BF3FD" w14:textId="2A75B9C8" w:rsidR="00C1401F" w:rsidRPr="00D73857" w:rsidRDefault="00D3159C" w:rsidP="00F16324">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t>Review career disruption guidelines</w:t>
            </w:r>
          </w:p>
        </w:tc>
        <w:tc>
          <w:tcPr>
            <w:tcW w:w="4508" w:type="dxa"/>
          </w:tcPr>
          <w:p w14:paraId="7E50DE55" w14:textId="77777777" w:rsidR="00F16324" w:rsidRPr="00D73857" w:rsidRDefault="00F16324" w:rsidP="00D3159C">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t>Introduce ‘relative to opportunity’ metrics to account for regional/rural researchers or those from smaller institutions. There are likely understandable differences between the track record and research proposals of these groups compared to peers from larger institutions/metropolitan regions</w:t>
            </w:r>
          </w:p>
          <w:p w14:paraId="3F2381CD" w14:textId="1BF0C20B" w:rsidR="00D3159C" w:rsidRPr="00D73857" w:rsidRDefault="00D3159C" w:rsidP="00D3159C">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t>Promote diversity in research teams such as equal representation from industry, biomedical research, clinical research, academia where relevant</w:t>
            </w:r>
          </w:p>
          <w:p w14:paraId="5037730F" w14:textId="12C85452" w:rsidR="00D3159C" w:rsidRPr="00D73857" w:rsidRDefault="005838ED" w:rsidP="00D3159C">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Enable</w:t>
            </w:r>
            <w:r w:rsidRPr="00D73857">
              <w:rPr>
                <w:rFonts w:cstheme="minorHAnsi"/>
                <w:sz w:val="21"/>
                <w:szCs w:val="21"/>
              </w:rPr>
              <w:t xml:space="preserve"> </w:t>
            </w:r>
            <w:r w:rsidR="00D3159C" w:rsidRPr="00D73857">
              <w:rPr>
                <w:rFonts w:cstheme="minorHAnsi"/>
                <w:sz w:val="21"/>
                <w:szCs w:val="21"/>
              </w:rPr>
              <w:t xml:space="preserve">consumers and patients </w:t>
            </w:r>
            <w:r>
              <w:rPr>
                <w:rFonts w:cstheme="minorHAnsi"/>
                <w:sz w:val="21"/>
                <w:szCs w:val="21"/>
              </w:rPr>
              <w:t>to</w:t>
            </w:r>
            <w:r w:rsidRPr="00D73857">
              <w:rPr>
                <w:rFonts w:cstheme="minorHAnsi"/>
                <w:sz w:val="21"/>
                <w:szCs w:val="21"/>
              </w:rPr>
              <w:t xml:space="preserve"> </w:t>
            </w:r>
            <w:r w:rsidR="00D3159C" w:rsidRPr="00D73857">
              <w:rPr>
                <w:rFonts w:cstheme="minorHAnsi"/>
                <w:sz w:val="21"/>
                <w:szCs w:val="21"/>
              </w:rPr>
              <w:t>be listed as Associate Investigators to encourage their involvement in research</w:t>
            </w:r>
          </w:p>
          <w:p w14:paraId="2F887EF4" w14:textId="76C6B59B" w:rsidR="00D3159C" w:rsidRPr="00D73857" w:rsidRDefault="005838ED" w:rsidP="00D3159C">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Amend</w:t>
            </w:r>
            <w:r w:rsidRPr="00D73857">
              <w:rPr>
                <w:rFonts w:cstheme="minorHAnsi"/>
                <w:sz w:val="21"/>
                <w:szCs w:val="21"/>
              </w:rPr>
              <w:t xml:space="preserve"> </w:t>
            </w:r>
            <w:r w:rsidR="00D3159C" w:rsidRPr="00D73857">
              <w:rPr>
                <w:rFonts w:cstheme="minorHAnsi"/>
                <w:sz w:val="21"/>
                <w:szCs w:val="21"/>
              </w:rPr>
              <w:t xml:space="preserve">grant </w:t>
            </w:r>
            <w:r w:rsidRPr="00D73857">
              <w:rPr>
                <w:rFonts w:cstheme="minorHAnsi"/>
                <w:sz w:val="21"/>
                <w:szCs w:val="21"/>
              </w:rPr>
              <w:t>opportunit</w:t>
            </w:r>
            <w:r>
              <w:rPr>
                <w:rFonts w:cstheme="minorHAnsi"/>
                <w:sz w:val="21"/>
                <w:szCs w:val="21"/>
              </w:rPr>
              <w:t>y</w:t>
            </w:r>
            <w:r w:rsidRPr="00D73857">
              <w:rPr>
                <w:rFonts w:cstheme="minorHAnsi"/>
                <w:sz w:val="21"/>
                <w:szCs w:val="21"/>
              </w:rPr>
              <w:t xml:space="preserve"> </w:t>
            </w:r>
            <w:r w:rsidR="00D3159C" w:rsidRPr="00D73857">
              <w:rPr>
                <w:rFonts w:cstheme="minorHAnsi"/>
                <w:sz w:val="21"/>
                <w:szCs w:val="21"/>
              </w:rPr>
              <w:t>require</w:t>
            </w:r>
            <w:r>
              <w:rPr>
                <w:rFonts w:cstheme="minorHAnsi"/>
                <w:sz w:val="21"/>
                <w:szCs w:val="21"/>
              </w:rPr>
              <w:t>ments so that</w:t>
            </w:r>
            <w:r w:rsidR="00D3159C" w:rsidRPr="00D73857">
              <w:rPr>
                <w:rFonts w:cstheme="minorHAnsi"/>
                <w:sz w:val="21"/>
                <w:szCs w:val="21"/>
              </w:rPr>
              <w:t xml:space="preserve"> research </w:t>
            </w:r>
            <w:r>
              <w:rPr>
                <w:rFonts w:cstheme="minorHAnsi"/>
                <w:sz w:val="21"/>
                <w:szCs w:val="21"/>
              </w:rPr>
              <w:t>can be done</w:t>
            </w:r>
            <w:r w:rsidR="00D3159C" w:rsidRPr="00D73857">
              <w:rPr>
                <w:rFonts w:cstheme="minorHAnsi"/>
                <w:sz w:val="21"/>
                <w:szCs w:val="21"/>
              </w:rPr>
              <w:t xml:space="preserve"> with and within the relevant community</w:t>
            </w:r>
          </w:p>
          <w:p w14:paraId="4ED7655E" w14:textId="740DA29B" w:rsidR="00642D2A" w:rsidRPr="00D73857" w:rsidRDefault="00642D2A" w:rsidP="00D3159C">
            <w:pPr>
              <w:spacing w:before="40"/>
              <w:rPr>
                <w:rFonts w:cstheme="minorHAnsi"/>
                <w:sz w:val="21"/>
                <w:szCs w:val="21"/>
              </w:rPr>
            </w:pPr>
          </w:p>
          <w:p w14:paraId="731C2B0A" w14:textId="40F33F7D" w:rsidR="00642D2A" w:rsidRPr="00D73857" w:rsidRDefault="00642D2A" w:rsidP="00D3159C">
            <w:pPr>
              <w:spacing w:before="40"/>
              <w:rPr>
                <w:rFonts w:cstheme="minorHAnsi"/>
                <w:sz w:val="21"/>
                <w:szCs w:val="21"/>
              </w:rPr>
            </w:pPr>
          </w:p>
        </w:tc>
      </w:tr>
    </w:tbl>
    <w:p w14:paraId="2AE5745B" w14:textId="77777777" w:rsidR="00D73857" w:rsidRDefault="00D73857" w:rsidP="00A46182">
      <w:pPr>
        <w:rPr>
          <w:rFonts w:asciiTheme="minorHAnsi" w:hAnsiTheme="minorHAnsi" w:cstheme="minorHAnsi"/>
          <w:sz w:val="22"/>
          <w:szCs w:val="22"/>
        </w:rPr>
      </w:pPr>
    </w:p>
    <w:p w14:paraId="561D2471" w14:textId="3F153029" w:rsidR="00A46182" w:rsidRDefault="00D3159C" w:rsidP="00A46182">
      <w:pPr>
        <w:rPr>
          <w:rFonts w:asciiTheme="minorHAnsi" w:hAnsiTheme="minorHAnsi" w:cstheme="minorHAnsi"/>
          <w:sz w:val="22"/>
          <w:szCs w:val="22"/>
        </w:rPr>
      </w:pPr>
      <w:r>
        <w:rPr>
          <w:rFonts w:asciiTheme="minorHAnsi" w:hAnsiTheme="minorHAnsi" w:cstheme="minorHAnsi"/>
          <w:sz w:val="22"/>
          <w:szCs w:val="22"/>
        </w:rPr>
        <w:t>Ideas</w:t>
      </w:r>
      <w:r w:rsidR="00A46182">
        <w:rPr>
          <w:rFonts w:asciiTheme="minorHAnsi" w:hAnsiTheme="minorHAnsi" w:cstheme="minorHAnsi"/>
          <w:sz w:val="22"/>
          <w:szCs w:val="22"/>
        </w:rPr>
        <w:t xml:space="preserve"> for action outside the MRFF include:</w:t>
      </w:r>
    </w:p>
    <w:tbl>
      <w:tblPr>
        <w:tblStyle w:val="TableGrid"/>
        <w:tblW w:w="0" w:type="auto"/>
        <w:tblLook w:val="04A0" w:firstRow="1" w:lastRow="0" w:firstColumn="1" w:lastColumn="0" w:noHBand="0" w:noVBand="1"/>
      </w:tblPr>
      <w:tblGrid>
        <w:gridCol w:w="4508"/>
        <w:gridCol w:w="4508"/>
      </w:tblGrid>
      <w:tr w:rsidR="00642D2A" w:rsidRPr="00D73857" w14:paraId="34A1E63F" w14:textId="77777777" w:rsidTr="005677CB">
        <w:tc>
          <w:tcPr>
            <w:tcW w:w="4508" w:type="dxa"/>
          </w:tcPr>
          <w:p w14:paraId="6C811084" w14:textId="4031EF39" w:rsidR="003D7C2A" w:rsidRPr="00D73857" w:rsidRDefault="00F16324" w:rsidP="00F16324">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t xml:space="preserve">Encourage institutions </w:t>
            </w:r>
            <w:r w:rsidR="006D0639" w:rsidRPr="00D73857">
              <w:rPr>
                <w:rFonts w:cstheme="minorHAnsi"/>
                <w:sz w:val="21"/>
                <w:szCs w:val="21"/>
              </w:rPr>
              <w:t xml:space="preserve">to address </w:t>
            </w:r>
            <w:r w:rsidRPr="00D73857">
              <w:rPr>
                <w:rFonts w:cstheme="minorHAnsi"/>
                <w:sz w:val="21"/>
                <w:szCs w:val="21"/>
              </w:rPr>
              <w:t xml:space="preserve">conscious and </w:t>
            </w:r>
            <w:r w:rsidR="006D0639" w:rsidRPr="00D73857">
              <w:rPr>
                <w:rFonts w:cstheme="minorHAnsi"/>
                <w:sz w:val="21"/>
                <w:szCs w:val="21"/>
              </w:rPr>
              <w:t xml:space="preserve">unconscious bias within their organisation </w:t>
            </w:r>
            <w:r w:rsidR="005838ED">
              <w:rPr>
                <w:rFonts w:cstheme="minorHAnsi"/>
                <w:sz w:val="21"/>
                <w:szCs w:val="21"/>
              </w:rPr>
              <w:t xml:space="preserve">so that </w:t>
            </w:r>
            <w:r w:rsidR="006D0639" w:rsidRPr="00D73857">
              <w:rPr>
                <w:rFonts w:cstheme="minorHAnsi"/>
                <w:sz w:val="21"/>
                <w:szCs w:val="21"/>
              </w:rPr>
              <w:t xml:space="preserve">diversity </w:t>
            </w:r>
            <w:r w:rsidRPr="00D73857">
              <w:rPr>
                <w:rFonts w:cstheme="minorHAnsi"/>
                <w:sz w:val="21"/>
                <w:szCs w:val="21"/>
              </w:rPr>
              <w:t>of</w:t>
            </w:r>
            <w:r w:rsidR="006D0639" w:rsidRPr="00D73857">
              <w:rPr>
                <w:rFonts w:cstheme="minorHAnsi"/>
                <w:sz w:val="21"/>
                <w:szCs w:val="21"/>
              </w:rPr>
              <w:t xml:space="preserve"> EMCRs is supported</w:t>
            </w:r>
            <w:r w:rsidRPr="00D73857">
              <w:rPr>
                <w:rFonts w:cstheme="minorHAnsi"/>
                <w:sz w:val="21"/>
                <w:szCs w:val="21"/>
              </w:rPr>
              <w:t>, valued</w:t>
            </w:r>
            <w:r w:rsidR="006D0639" w:rsidRPr="00D73857">
              <w:rPr>
                <w:rFonts w:cstheme="minorHAnsi"/>
                <w:sz w:val="21"/>
                <w:szCs w:val="21"/>
              </w:rPr>
              <w:t xml:space="preserve"> and cultivated</w:t>
            </w:r>
          </w:p>
          <w:p w14:paraId="6FA66677" w14:textId="0ABB76B3" w:rsidR="00642D2A" w:rsidRPr="00D73857" w:rsidRDefault="003D7C2A" w:rsidP="004B77BF">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t>Create structures and guidelines to support diversity and create meaningful change within organisations</w:t>
            </w:r>
          </w:p>
        </w:tc>
        <w:tc>
          <w:tcPr>
            <w:tcW w:w="4508" w:type="dxa"/>
          </w:tcPr>
          <w:p w14:paraId="0DA5E74C" w14:textId="77777777" w:rsidR="004B77BF" w:rsidRPr="00D73857" w:rsidRDefault="003D7C2A" w:rsidP="003D7C2A">
            <w:pPr>
              <w:pStyle w:val="ListParagraph"/>
              <w:numPr>
                <w:ilvl w:val="0"/>
                <w:numId w:val="3"/>
              </w:numPr>
              <w:spacing w:before="40" w:after="0" w:line="240" w:lineRule="auto"/>
              <w:ind w:left="442" w:hanging="357"/>
              <w:contextualSpacing w:val="0"/>
              <w:rPr>
                <w:rFonts w:cstheme="minorHAnsi"/>
                <w:sz w:val="21"/>
                <w:szCs w:val="21"/>
              </w:rPr>
            </w:pPr>
            <w:r w:rsidRPr="00D73857">
              <w:rPr>
                <w:rFonts w:cstheme="minorHAnsi"/>
                <w:sz w:val="21"/>
                <w:szCs w:val="21"/>
              </w:rPr>
              <w:t>Increase paternity leave to normalise equitable division of parenting responsibilities</w:t>
            </w:r>
          </w:p>
          <w:p w14:paraId="3B1846FC" w14:textId="54C56447" w:rsidR="003D7C2A" w:rsidRPr="00D73857" w:rsidRDefault="003D7C2A" w:rsidP="003D7C2A">
            <w:pPr>
              <w:pStyle w:val="ListParagraph"/>
              <w:numPr>
                <w:ilvl w:val="0"/>
                <w:numId w:val="3"/>
              </w:numPr>
              <w:spacing w:before="40" w:after="0" w:line="240" w:lineRule="auto"/>
              <w:ind w:left="442" w:hanging="357"/>
              <w:contextualSpacing w:val="0"/>
              <w:rPr>
                <w:rFonts w:cstheme="minorHAnsi"/>
                <w:sz w:val="21"/>
                <w:szCs w:val="21"/>
              </w:rPr>
            </w:pPr>
            <w:r w:rsidRPr="00D73857">
              <w:rPr>
                <w:sz w:val="21"/>
                <w:szCs w:val="21"/>
              </w:rPr>
              <w:t xml:space="preserve">Incentivise moves </w:t>
            </w:r>
            <w:r w:rsidR="00D73857" w:rsidRPr="00D73857">
              <w:rPr>
                <w:sz w:val="21"/>
                <w:szCs w:val="21"/>
              </w:rPr>
              <w:t xml:space="preserve">to </w:t>
            </w:r>
            <w:r w:rsidRPr="00D73857">
              <w:rPr>
                <w:sz w:val="21"/>
                <w:szCs w:val="21"/>
              </w:rPr>
              <w:t>rural</w:t>
            </w:r>
            <w:r w:rsidR="00D73857" w:rsidRPr="00D73857">
              <w:rPr>
                <w:sz w:val="21"/>
                <w:szCs w:val="21"/>
              </w:rPr>
              <w:t>, regional and remote areas to conduct</w:t>
            </w:r>
            <w:r w:rsidRPr="00D73857">
              <w:rPr>
                <w:sz w:val="21"/>
                <w:szCs w:val="21"/>
              </w:rPr>
              <w:t xml:space="preserve"> research issues there and build research capacity. </w:t>
            </w:r>
          </w:p>
          <w:p w14:paraId="26AC2205" w14:textId="71337B6B" w:rsidR="003D7C2A" w:rsidRPr="00D73857" w:rsidRDefault="003D7C2A" w:rsidP="004B77BF">
            <w:pPr>
              <w:spacing w:before="40"/>
              <w:rPr>
                <w:rFonts w:cstheme="minorHAnsi"/>
                <w:sz w:val="21"/>
                <w:szCs w:val="21"/>
              </w:rPr>
            </w:pPr>
          </w:p>
        </w:tc>
      </w:tr>
    </w:tbl>
    <w:p w14:paraId="09130EE0" w14:textId="77777777" w:rsidR="003E235B" w:rsidRPr="00935632" w:rsidRDefault="003E235B">
      <w:pPr>
        <w:rPr>
          <w:rFonts w:asciiTheme="minorHAnsi" w:hAnsiTheme="minorHAnsi" w:cstheme="minorHAnsi"/>
          <w:sz w:val="22"/>
          <w:szCs w:val="22"/>
        </w:rPr>
      </w:pPr>
    </w:p>
    <w:sectPr w:rsidR="003E235B" w:rsidRPr="00935632" w:rsidSect="00D73857">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850E9" w14:textId="77777777" w:rsidR="00A329C6" w:rsidRDefault="00A329C6" w:rsidP="00806500">
      <w:pPr>
        <w:spacing w:after="0" w:line="240" w:lineRule="auto"/>
      </w:pPr>
      <w:r>
        <w:separator/>
      </w:r>
    </w:p>
  </w:endnote>
  <w:endnote w:type="continuationSeparator" w:id="0">
    <w:p w14:paraId="5410FE07" w14:textId="77777777" w:rsidR="00A329C6" w:rsidRDefault="00A329C6" w:rsidP="00806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719189"/>
      <w:docPartObj>
        <w:docPartGallery w:val="Page Numbers (Bottom of Page)"/>
        <w:docPartUnique/>
      </w:docPartObj>
    </w:sdtPr>
    <w:sdtEndPr>
      <w:rPr>
        <w:rFonts w:asciiTheme="minorHAnsi" w:hAnsiTheme="minorHAnsi" w:cstheme="minorHAnsi"/>
        <w:noProof/>
        <w:sz w:val="22"/>
        <w:szCs w:val="22"/>
      </w:rPr>
    </w:sdtEndPr>
    <w:sdtContent>
      <w:p w14:paraId="51A3170E" w14:textId="4EE37597" w:rsidR="005677CB" w:rsidRPr="00806500" w:rsidRDefault="005677CB">
        <w:pPr>
          <w:pStyle w:val="Footer"/>
          <w:jc w:val="right"/>
          <w:rPr>
            <w:rFonts w:asciiTheme="minorHAnsi" w:hAnsiTheme="minorHAnsi" w:cstheme="minorHAnsi"/>
            <w:sz w:val="22"/>
            <w:szCs w:val="22"/>
          </w:rPr>
        </w:pPr>
        <w:r w:rsidRPr="00806500">
          <w:rPr>
            <w:rFonts w:asciiTheme="minorHAnsi" w:hAnsiTheme="minorHAnsi" w:cstheme="minorHAnsi"/>
            <w:sz w:val="22"/>
            <w:szCs w:val="22"/>
          </w:rPr>
          <w:fldChar w:fldCharType="begin"/>
        </w:r>
        <w:r w:rsidRPr="00806500">
          <w:rPr>
            <w:rFonts w:asciiTheme="minorHAnsi" w:hAnsiTheme="minorHAnsi" w:cstheme="minorHAnsi"/>
            <w:sz w:val="22"/>
            <w:szCs w:val="22"/>
          </w:rPr>
          <w:instrText xml:space="preserve"> PAGE   \* MERGEFORMAT </w:instrText>
        </w:r>
        <w:r w:rsidRPr="00806500">
          <w:rPr>
            <w:rFonts w:asciiTheme="minorHAnsi" w:hAnsiTheme="minorHAnsi" w:cstheme="minorHAnsi"/>
            <w:sz w:val="22"/>
            <w:szCs w:val="22"/>
          </w:rPr>
          <w:fldChar w:fldCharType="separate"/>
        </w:r>
        <w:r w:rsidR="00DC6383">
          <w:rPr>
            <w:rFonts w:asciiTheme="minorHAnsi" w:hAnsiTheme="minorHAnsi" w:cstheme="minorHAnsi"/>
            <w:noProof/>
            <w:sz w:val="22"/>
            <w:szCs w:val="22"/>
          </w:rPr>
          <w:t>6</w:t>
        </w:r>
        <w:r w:rsidRPr="00806500">
          <w:rPr>
            <w:rFonts w:asciiTheme="minorHAnsi" w:hAnsiTheme="minorHAnsi" w:cstheme="minorHAnsi"/>
            <w:noProof/>
            <w:sz w:val="22"/>
            <w:szCs w:val="22"/>
          </w:rPr>
          <w:fldChar w:fldCharType="end"/>
        </w:r>
      </w:p>
    </w:sdtContent>
  </w:sdt>
  <w:p w14:paraId="78B8623A" w14:textId="77777777" w:rsidR="005677CB" w:rsidRDefault="00567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38CB5" w14:textId="77777777" w:rsidR="00A329C6" w:rsidRDefault="00A329C6" w:rsidP="00806500">
      <w:pPr>
        <w:spacing w:after="0" w:line="240" w:lineRule="auto"/>
      </w:pPr>
      <w:r>
        <w:separator/>
      </w:r>
    </w:p>
  </w:footnote>
  <w:footnote w:type="continuationSeparator" w:id="0">
    <w:p w14:paraId="333B49BA" w14:textId="77777777" w:rsidR="00A329C6" w:rsidRDefault="00A329C6" w:rsidP="008065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F403D"/>
    <w:multiLevelType w:val="hybridMultilevel"/>
    <w:tmpl w:val="308237D8"/>
    <w:lvl w:ilvl="0" w:tplc="0D04CFB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A730C1"/>
    <w:multiLevelType w:val="hybridMultilevel"/>
    <w:tmpl w:val="222654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D575BF"/>
    <w:multiLevelType w:val="hybridMultilevel"/>
    <w:tmpl w:val="05F01EA4"/>
    <w:lvl w:ilvl="0" w:tplc="0D04CFB6">
      <w:start w:val="1"/>
      <w:numFmt w:val="bullet"/>
      <w:lvlText w:val=""/>
      <w:lvlJc w:val="left"/>
      <w:pPr>
        <w:ind w:left="720" w:hanging="360"/>
      </w:pPr>
      <w:rPr>
        <w:rFonts w:ascii="Symbol" w:hAnsi="Symbol" w:hint="default"/>
      </w:rPr>
    </w:lvl>
    <w:lvl w:ilvl="1" w:tplc="0C090003" w:tentative="1">
      <w:start w:val="1"/>
      <w:numFmt w:val="bullet"/>
      <w:lvlText w:val="o"/>
      <w:lvlJc w:val="left"/>
      <w:pPr>
        <w:ind w:left="-702" w:hanging="360"/>
      </w:pPr>
      <w:rPr>
        <w:rFonts w:ascii="Courier New" w:hAnsi="Courier New" w:cs="Courier New" w:hint="default"/>
      </w:rPr>
    </w:lvl>
    <w:lvl w:ilvl="2" w:tplc="0C090005" w:tentative="1">
      <w:start w:val="1"/>
      <w:numFmt w:val="bullet"/>
      <w:lvlText w:val=""/>
      <w:lvlJc w:val="left"/>
      <w:pPr>
        <w:ind w:left="18" w:hanging="360"/>
      </w:pPr>
      <w:rPr>
        <w:rFonts w:ascii="Wingdings" w:hAnsi="Wingdings" w:hint="default"/>
      </w:rPr>
    </w:lvl>
    <w:lvl w:ilvl="3" w:tplc="0C090001" w:tentative="1">
      <w:start w:val="1"/>
      <w:numFmt w:val="bullet"/>
      <w:lvlText w:val=""/>
      <w:lvlJc w:val="left"/>
      <w:pPr>
        <w:ind w:left="738" w:hanging="360"/>
      </w:pPr>
      <w:rPr>
        <w:rFonts w:ascii="Symbol" w:hAnsi="Symbol" w:hint="default"/>
      </w:rPr>
    </w:lvl>
    <w:lvl w:ilvl="4" w:tplc="0C090003" w:tentative="1">
      <w:start w:val="1"/>
      <w:numFmt w:val="bullet"/>
      <w:lvlText w:val="o"/>
      <w:lvlJc w:val="left"/>
      <w:pPr>
        <w:ind w:left="1458" w:hanging="360"/>
      </w:pPr>
      <w:rPr>
        <w:rFonts w:ascii="Courier New" w:hAnsi="Courier New" w:cs="Courier New" w:hint="default"/>
      </w:rPr>
    </w:lvl>
    <w:lvl w:ilvl="5" w:tplc="0C090005" w:tentative="1">
      <w:start w:val="1"/>
      <w:numFmt w:val="bullet"/>
      <w:lvlText w:val=""/>
      <w:lvlJc w:val="left"/>
      <w:pPr>
        <w:ind w:left="2178" w:hanging="360"/>
      </w:pPr>
      <w:rPr>
        <w:rFonts w:ascii="Wingdings" w:hAnsi="Wingdings" w:hint="default"/>
      </w:rPr>
    </w:lvl>
    <w:lvl w:ilvl="6" w:tplc="0C090001" w:tentative="1">
      <w:start w:val="1"/>
      <w:numFmt w:val="bullet"/>
      <w:lvlText w:val=""/>
      <w:lvlJc w:val="left"/>
      <w:pPr>
        <w:ind w:left="2898" w:hanging="360"/>
      </w:pPr>
      <w:rPr>
        <w:rFonts w:ascii="Symbol" w:hAnsi="Symbol" w:hint="default"/>
      </w:rPr>
    </w:lvl>
    <w:lvl w:ilvl="7" w:tplc="0C090003" w:tentative="1">
      <w:start w:val="1"/>
      <w:numFmt w:val="bullet"/>
      <w:lvlText w:val="o"/>
      <w:lvlJc w:val="left"/>
      <w:pPr>
        <w:ind w:left="3618" w:hanging="360"/>
      </w:pPr>
      <w:rPr>
        <w:rFonts w:ascii="Courier New" w:hAnsi="Courier New" w:cs="Courier New" w:hint="default"/>
      </w:rPr>
    </w:lvl>
    <w:lvl w:ilvl="8" w:tplc="0C090005" w:tentative="1">
      <w:start w:val="1"/>
      <w:numFmt w:val="bullet"/>
      <w:lvlText w:val=""/>
      <w:lvlJc w:val="left"/>
      <w:pPr>
        <w:ind w:left="4338" w:hanging="360"/>
      </w:pPr>
      <w:rPr>
        <w:rFonts w:ascii="Wingdings" w:hAnsi="Wingdings" w:hint="default"/>
      </w:rPr>
    </w:lvl>
  </w:abstractNum>
  <w:abstractNum w:abstractNumId="3" w15:restartNumberingAfterBreak="0">
    <w:nsid w:val="1B1C3F2A"/>
    <w:multiLevelType w:val="hybridMultilevel"/>
    <w:tmpl w:val="2098C256"/>
    <w:lvl w:ilvl="0" w:tplc="194CE336">
      <w:start w:val="1"/>
      <w:numFmt w:val="decimal"/>
      <w:lvlText w:val="%1."/>
      <w:lvlJc w:val="left"/>
      <w:pPr>
        <w:ind w:left="802" w:hanging="360"/>
      </w:pPr>
      <w:rPr>
        <w:rFonts w:hint="default"/>
      </w:rPr>
    </w:lvl>
    <w:lvl w:ilvl="1" w:tplc="0C090019" w:tentative="1">
      <w:start w:val="1"/>
      <w:numFmt w:val="lowerLetter"/>
      <w:lvlText w:val="%2."/>
      <w:lvlJc w:val="left"/>
      <w:pPr>
        <w:ind w:left="1522" w:hanging="360"/>
      </w:pPr>
    </w:lvl>
    <w:lvl w:ilvl="2" w:tplc="0C09001B" w:tentative="1">
      <w:start w:val="1"/>
      <w:numFmt w:val="lowerRoman"/>
      <w:lvlText w:val="%3."/>
      <w:lvlJc w:val="right"/>
      <w:pPr>
        <w:ind w:left="2242" w:hanging="180"/>
      </w:pPr>
    </w:lvl>
    <w:lvl w:ilvl="3" w:tplc="0C09000F" w:tentative="1">
      <w:start w:val="1"/>
      <w:numFmt w:val="decimal"/>
      <w:lvlText w:val="%4."/>
      <w:lvlJc w:val="left"/>
      <w:pPr>
        <w:ind w:left="2962" w:hanging="360"/>
      </w:pPr>
    </w:lvl>
    <w:lvl w:ilvl="4" w:tplc="0C090019" w:tentative="1">
      <w:start w:val="1"/>
      <w:numFmt w:val="lowerLetter"/>
      <w:lvlText w:val="%5."/>
      <w:lvlJc w:val="left"/>
      <w:pPr>
        <w:ind w:left="3682" w:hanging="360"/>
      </w:pPr>
    </w:lvl>
    <w:lvl w:ilvl="5" w:tplc="0C09001B" w:tentative="1">
      <w:start w:val="1"/>
      <w:numFmt w:val="lowerRoman"/>
      <w:lvlText w:val="%6."/>
      <w:lvlJc w:val="right"/>
      <w:pPr>
        <w:ind w:left="4402" w:hanging="180"/>
      </w:pPr>
    </w:lvl>
    <w:lvl w:ilvl="6" w:tplc="0C09000F" w:tentative="1">
      <w:start w:val="1"/>
      <w:numFmt w:val="decimal"/>
      <w:lvlText w:val="%7."/>
      <w:lvlJc w:val="left"/>
      <w:pPr>
        <w:ind w:left="5122" w:hanging="360"/>
      </w:pPr>
    </w:lvl>
    <w:lvl w:ilvl="7" w:tplc="0C090019" w:tentative="1">
      <w:start w:val="1"/>
      <w:numFmt w:val="lowerLetter"/>
      <w:lvlText w:val="%8."/>
      <w:lvlJc w:val="left"/>
      <w:pPr>
        <w:ind w:left="5842" w:hanging="360"/>
      </w:pPr>
    </w:lvl>
    <w:lvl w:ilvl="8" w:tplc="0C09001B" w:tentative="1">
      <w:start w:val="1"/>
      <w:numFmt w:val="lowerRoman"/>
      <w:lvlText w:val="%9."/>
      <w:lvlJc w:val="right"/>
      <w:pPr>
        <w:ind w:left="6562" w:hanging="180"/>
      </w:pPr>
    </w:lvl>
  </w:abstractNum>
  <w:abstractNum w:abstractNumId="4" w15:restartNumberingAfterBreak="0">
    <w:nsid w:val="264B4810"/>
    <w:multiLevelType w:val="hybridMultilevel"/>
    <w:tmpl w:val="A1F01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9301720"/>
    <w:multiLevelType w:val="hybridMultilevel"/>
    <w:tmpl w:val="D2C8C860"/>
    <w:lvl w:ilvl="0" w:tplc="0C09000F">
      <w:start w:val="1"/>
      <w:numFmt w:val="decimal"/>
      <w:lvlText w:val="%1."/>
      <w:lvlJc w:val="left"/>
      <w:pPr>
        <w:ind w:left="1162" w:hanging="360"/>
      </w:pPr>
    </w:lvl>
    <w:lvl w:ilvl="1" w:tplc="0C090019" w:tentative="1">
      <w:start w:val="1"/>
      <w:numFmt w:val="lowerLetter"/>
      <w:lvlText w:val="%2."/>
      <w:lvlJc w:val="left"/>
      <w:pPr>
        <w:ind w:left="1882" w:hanging="360"/>
      </w:pPr>
    </w:lvl>
    <w:lvl w:ilvl="2" w:tplc="0C09001B" w:tentative="1">
      <w:start w:val="1"/>
      <w:numFmt w:val="lowerRoman"/>
      <w:lvlText w:val="%3."/>
      <w:lvlJc w:val="right"/>
      <w:pPr>
        <w:ind w:left="2602" w:hanging="180"/>
      </w:pPr>
    </w:lvl>
    <w:lvl w:ilvl="3" w:tplc="0C09000F" w:tentative="1">
      <w:start w:val="1"/>
      <w:numFmt w:val="decimal"/>
      <w:lvlText w:val="%4."/>
      <w:lvlJc w:val="left"/>
      <w:pPr>
        <w:ind w:left="3322" w:hanging="360"/>
      </w:pPr>
    </w:lvl>
    <w:lvl w:ilvl="4" w:tplc="0C090019" w:tentative="1">
      <w:start w:val="1"/>
      <w:numFmt w:val="lowerLetter"/>
      <w:lvlText w:val="%5."/>
      <w:lvlJc w:val="left"/>
      <w:pPr>
        <w:ind w:left="4042" w:hanging="360"/>
      </w:pPr>
    </w:lvl>
    <w:lvl w:ilvl="5" w:tplc="0C09001B" w:tentative="1">
      <w:start w:val="1"/>
      <w:numFmt w:val="lowerRoman"/>
      <w:lvlText w:val="%6."/>
      <w:lvlJc w:val="right"/>
      <w:pPr>
        <w:ind w:left="4762" w:hanging="180"/>
      </w:pPr>
    </w:lvl>
    <w:lvl w:ilvl="6" w:tplc="0C09000F" w:tentative="1">
      <w:start w:val="1"/>
      <w:numFmt w:val="decimal"/>
      <w:lvlText w:val="%7."/>
      <w:lvlJc w:val="left"/>
      <w:pPr>
        <w:ind w:left="5482" w:hanging="360"/>
      </w:pPr>
    </w:lvl>
    <w:lvl w:ilvl="7" w:tplc="0C090019" w:tentative="1">
      <w:start w:val="1"/>
      <w:numFmt w:val="lowerLetter"/>
      <w:lvlText w:val="%8."/>
      <w:lvlJc w:val="left"/>
      <w:pPr>
        <w:ind w:left="6202" w:hanging="360"/>
      </w:pPr>
    </w:lvl>
    <w:lvl w:ilvl="8" w:tplc="0C09001B" w:tentative="1">
      <w:start w:val="1"/>
      <w:numFmt w:val="lowerRoman"/>
      <w:lvlText w:val="%9."/>
      <w:lvlJc w:val="right"/>
      <w:pPr>
        <w:ind w:left="6922" w:hanging="180"/>
      </w:pPr>
    </w:lvl>
  </w:abstractNum>
  <w:abstractNum w:abstractNumId="6" w15:restartNumberingAfterBreak="0">
    <w:nsid w:val="3A4117F0"/>
    <w:multiLevelType w:val="hybridMultilevel"/>
    <w:tmpl w:val="DDE07CF2"/>
    <w:lvl w:ilvl="0" w:tplc="7C6E14C2">
      <w:start w:val="1"/>
      <w:numFmt w:val="decimal"/>
      <w:lvlText w:val="%1."/>
      <w:lvlJc w:val="left"/>
      <w:pPr>
        <w:ind w:left="802" w:hanging="360"/>
      </w:pPr>
      <w:rPr>
        <w:rFonts w:hint="default"/>
      </w:rPr>
    </w:lvl>
    <w:lvl w:ilvl="1" w:tplc="0C090019" w:tentative="1">
      <w:start w:val="1"/>
      <w:numFmt w:val="lowerLetter"/>
      <w:lvlText w:val="%2."/>
      <w:lvlJc w:val="left"/>
      <w:pPr>
        <w:ind w:left="1522" w:hanging="360"/>
      </w:pPr>
    </w:lvl>
    <w:lvl w:ilvl="2" w:tplc="0C09001B" w:tentative="1">
      <w:start w:val="1"/>
      <w:numFmt w:val="lowerRoman"/>
      <w:lvlText w:val="%3."/>
      <w:lvlJc w:val="right"/>
      <w:pPr>
        <w:ind w:left="2242" w:hanging="180"/>
      </w:pPr>
    </w:lvl>
    <w:lvl w:ilvl="3" w:tplc="0C09000F" w:tentative="1">
      <w:start w:val="1"/>
      <w:numFmt w:val="decimal"/>
      <w:lvlText w:val="%4."/>
      <w:lvlJc w:val="left"/>
      <w:pPr>
        <w:ind w:left="2962" w:hanging="360"/>
      </w:pPr>
    </w:lvl>
    <w:lvl w:ilvl="4" w:tplc="0C090019" w:tentative="1">
      <w:start w:val="1"/>
      <w:numFmt w:val="lowerLetter"/>
      <w:lvlText w:val="%5."/>
      <w:lvlJc w:val="left"/>
      <w:pPr>
        <w:ind w:left="3682" w:hanging="360"/>
      </w:pPr>
    </w:lvl>
    <w:lvl w:ilvl="5" w:tplc="0C09001B" w:tentative="1">
      <w:start w:val="1"/>
      <w:numFmt w:val="lowerRoman"/>
      <w:lvlText w:val="%6."/>
      <w:lvlJc w:val="right"/>
      <w:pPr>
        <w:ind w:left="4402" w:hanging="180"/>
      </w:pPr>
    </w:lvl>
    <w:lvl w:ilvl="6" w:tplc="0C09000F" w:tentative="1">
      <w:start w:val="1"/>
      <w:numFmt w:val="decimal"/>
      <w:lvlText w:val="%7."/>
      <w:lvlJc w:val="left"/>
      <w:pPr>
        <w:ind w:left="5122" w:hanging="360"/>
      </w:pPr>
    </w:lvl>
    <w:lvl w:ilvl="7" w:tplc="0C090019" w:tentative="1">
      <w:start w:val="1"/>
      <w:numFmt w:val="lowerLetter"/>
      <w:lvlText w:val="%8."/>
      <w:lvlJc w:val="left"/>
      <w:pPr>
        <w:ind w:left="5842" w:hanging="360"/>
      </w:pPr>
    </w:lvl>
    <w:lvl w:ilvl="8" w:tplc="0C09001B" w:tentative="1">
      <w:start w:val="1"/>
      <w:numFmt w:val="lowerRoman"/>
      <w:lvlText w:val="%9."/>
      <w:lvlJc w:val="right"/>
      <w:pPr>
        <w:ind w:left="6562" w:hanging="180"/>
      </w:pPr>
    </w:lvl>
  </w:abstractNum>
  <w:abstractNum w:abstractNumId="7" w15:restartNumberingAfterBreak="0">
    <w:nsid w:val="3ADB12CC"/>
    <w:multiLevelType w:val="hybridMultilevel"/>
    <w:tmpl w:val="9198F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55456D"/>
    <w:multiLevelType w:val="hybridMultilevel"/>
    <w:tmpl w:val="06C860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99A3E4F"/>
    <w:multiLevelType w:val="hybridMultilevel"/>
    <w:tmpl w:val="6E4A75E8"/>
    <w:lvl w:ilvl="0" w:tplc="5F1404E6">
      <w:start w:val="5"/>
      <w:numFmt w:val="decimal"/>
      <w:lvlText w:val="%1."/>
      <w:lvlJc w:val="left"/>
      <w:pPr>
        <w:ind w:left="802" w:hanging="360"/>
      </w:pPr>
      <w:rPr>
        <w:rFonts w:hint="default"/>
      </w:rPr>
    </w:lvl>
    <w:lvl w:ilvl="1" w:tplc="0C090019" w:tentative="1">
      <w:start w:val="1"/>
      <w:numFmt w:val="lowerLetter"/>
      <w:lvlText w:val="%2."/>
      <w:lvlJc w:val="left"/>
      <w:pPr>
        <w:ind w:left="1522" w:hanging="360"/>
      </w:pPr>
    </w:lvl>
    <w:lvl w:ilvl="2" w:tplc="0C09001B" w:tentative="1">
      <w:start w:val="1"/>
      <w:numFmt w:val="lowerRoman"/>
      <w:lvlText w:val="%3."/>
      <w:lvlJc w:val="right"/>
      <w:pPr>
        <w:ind w:left="2242" w:hanging="180"/>
      </w:pPr>
    </w:lvl>
    <w:lvl w:ilvl="3" w:tplc="0C09000F" w:tentative="1">
      <w:start w:val="1"/>
      <w:numFmt w:val="decimal"/>
      <w:lvlText w:val="%4."/>
      <w:lvlJc w:val="left"/>
      <w:pPr>
        <w:ind w:left="2962" w:hanging="360"/>
      </w:pPr>
    </w:lvl>
    <w:lvl w:ilvl="4" w:tplc="0C090019" w:tentative="1">
      <w:start w:val="1"/>
      <w:numFmt w:val="lowerLetter"/>
      <w:lvlText w:val="%5."/>
      <w:lvlJc w:val="left"/>
      <w:pPr>
        <w:ind w:left="3682" w:hanging="360"/>
      </w:pPr>
    </w:lvl>
    <w:lvl w:ilvl="5" w:tplc="0C09001B" w:tentative="1">
      <w:start w:val="1"/>
      <w:numFmt w:val="lowerRoman"/>
      <w:lvlText w:val="%6."/>
      <w:lvlJc w:val="right"/>
      <w:pPr>
        <w:ind w:left="4402" w:hanging="180"/>
      </w:pPr>
    </w:lvl>
    <w:lvl w:ilvl="6" w:tplc="0C09000F" w:tentative="1">
      <w:start w:val="1"/>
      <w:numFmt w:val="decimal"/>
      <w:lvlText w:val="%7."/>
      <w:lvlJc w:val="left"/>
      <w:pPr>
        <w:ind w:left="5122" w:hanging="360"/>
      </w:pPr>
    </w:lvl>
    <w:lvl w:ilvl="7" w:tplc="0C090019" w:tentative="1">
      <w:start w:val="1"/>
      <w:numFmt w:val="lowerLetter"/>
      <w:lvlText w:val="%8."/>
      <w:lvlJc w:val="left"/>
      <w:pPr>
        <w:ind w:left="5842" w:hanging="360"/>
      </w:pPr>
    </w:lvl>
    <w:lvl w:ilvl="8" w:tplc="0C09001B" w:tentative="1">
      <w:start w:val="1"/>
      <w:numFmt w:val="lowerRoman"/>
      <w:lvlText w:val="%9."/>
      <w:lvlJc w:val="right"/>
      <w:pPr>
        <w:ind w:left="6562" w:hanging="180"/>
      </w:pPr>
    </w:lvl>
  </w:abstractNum>
  <w:abstractNum w:abstractNumId="10" w15:restartNumberingAfterBreak="0">
    <w:nsid w:val="757A2B68"/>
    <w:multiLevelType w:val="hybridMultilevel"/>
    <w:tmpl w:val="D0BA2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081F7C"/>
    <w:multiLevelType w:val="hybridMultilevel"/>
    <w:tmpl w:val="6310C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1"/>
  </w:num>
  <w:num w:numId="4">
    <w:abstractNumId w:val="8"/>
  </w:num>
  <w:num w:numId="5">
    <w:abstractNumId w:val="10"/>
  </w:num>
  <w:num w:numId="6">
    <w:abstractNumId w:val="2"/>
  </w:num>
  <w:num w:numId="7">
    <w:abstractNumId w:val="0"/>
  </w:num>
  <w:num w:numId="8">
    <w:abstractNumId w:val="4"/>
  </w:num>
  <w:num w:numId="9">
    <w:abstractNumId w:val="9"/>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632"/>
    <w:rsid w:val="0001010F"/>
    <w:rsid w:val="00011C0E"/>
    <w:rsid w:val="00033A8F"/>
    <w:rsid w:val="000346C8"/>
    <w:rsid w:val="000656EF"/>
    <w:rsid w:val="0008088B"/>
    <w:rsid w:val="0008579F"/>
    <w:rsid w:val="00096CE6"/>
    <w:rsid w:val="000A29F5"/>
    <w:rsid w:val="000B5C8B"/>
    <w:rsid w:val="000D1F6B"/>
    <w:rsid w:val="000E5957"/>
    <w:rsid w:val="00111E73"/>
    <w:rsid w:val="00174FF2"/>
    <w:rsid w:val="00180E7F"/>
    <w:rsid w:val="001D6E6A"/>
    <w:rsid w:val="001E0123"/>
    <w:rsid w:val="00280050"/>
    <w:rsid w:val="002823C2"/>
    <w:rsid w:val="002F394F"/>
    <w:rsid w:val="002F793F"/>
    <w:rsid w:val="0030368F"/>
    <w:rsid w:val="0031701F"/>
    <w:rsid w:val="0032067D"/>
    <w:rsid w:val="00372B36"/>
    <w:rsid w:val="003B63DF"/>
    <w:rsid w:val="003D7C2A"/>
    <w:rsid w:val="003E235B"/>
    <w:rsid w:val="003E373D"/>
    <w:rsid w:val="00425872"/>
    <w:rsid w:val="0045533F"/>
    <w:rsid w:val="004B77BF"/>
    <w:rsid w:val="004C2059"/>
    <w:rsid w:val="005308E9"/>
    <w:rsid w:val="00564897"/>
    <w:rsid w:val="005677CB"/>
    <w:rsid w:val="005838ED"/>
    <w:rsid w:val="005C6725"/>
    <w:rsid w:val="005D649A"/>
    <w:rsid w:val="005E17C9"/>
    <w:rsid w:val="00600D86"/>
    <w:rsid w:val="006075F9"/>
    <w:rsid w:val="00642D2A"/>
    <w:rsid w:val="0066516A"/>
    <w:rsid w:val="006B6BA9"/>
    <w:rsid w:val="006D056F"/>
    <w:rsid w:val="006D0639"/>
    <w:rsid w:val="00784AC0"/>
    <w:rsid w:val="00806500"/>
    <w:rsid w:val="00857585"/>
    <w:rsid w:val="008948B6"/>
    <w:rsid w:val="00924706"/>
    <w:rsid w:val="00935632"/>
    <w:rsid w:val="009370DE"/>
    <w:rsid w:val="00957CBD"/>
    <w:rsid w:val="00963D08"/>
    <w:rsid w:val="0097603D"/>
    <w:rsid w:val="009C1573"/>
    <w:rsid w:val="009C7CBC"/>
    <w:rsid w:val="00A06F1C"/>
    <w:rsid w:val="00A329C6"/>
    <w:rsid w:val="00A4321D"/>
    <w:rsid w:val="00A46182"/>
    <w:rsid w:val="00A50C43"/>
    <w:rsid w:val="00A75E32"/>
    <w:rsid w:val="00B052CE"/>
    <w:rsid w:val="00B32C2E"/>
    <w:rsid w:val="00B42555"/>
    <w:rsid w:val="00B43394"/>
    <w:rsid w:val="00B56F8B"/>
    <w:rsid w:val="00B85545"/>
    <w:rsid w:val="00B94574"/>
    <w:rsid w:val="00BB5EF5"/>
    <w:rsid w:val="00C1401F"/>
    <w:rsid w:val="00C2100D"/>
    <w:rsid w:val="00C33ADF"/>
    <w:rsid w:val="00D3159C"/>
    <w:rsid w:val="00D34EBA"/>
    <w:rsid w:val="00D510AF"/>
    <w:rsid w:val="00D73857"/>
    <w:rsid w:val="00D81FF7"/>
    <w:rsid w:val="00DC6383"/>
    <w:rsid w:val="00E014D9"/>
    <w:rsid w:val="00E0185F"/>
    <w:rsid w:val="00E3377F"/>
    <w:rsid w:val="00E94ECE"/>
    <w:rsid w:val="00E96DEE"/>
    <w:rsid w:val="00EA4628"/>
    <w:rsid w:val="00EB16BD"/>
    <w:rsid w:val="00EC34FD"/>
    <w:rsid w:val="00F14450"/>
    <w:rsid w:val="00F14D6C"/>
    <w:rsid w:val="00F152C7"/>
    <w:rsid w:val="00F16324"/>
    <w:rsid w:val="00F3326A"/>
    <w:rsid w:val="00F62B47"/>
    <w:rsid w:val="00F75A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AF13"/>
  <w15:chartTrackingRefBased/>
  <w15:docId w15:val="{5CD8EA08-DB62-41A7-A5A5-DEEA1E42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4ECE"/>
    <w:pPr>
      <w:spacing w:after="0"/>
      <w:jc w:val="center"/>
      <w:outlineLvl w:val="0"/>
    </w:pPr>
    <w:rPr>
      <w:rFonts w:asciiTheme="minorHAnsi" w:hAnsiTheme="minorHAnsi" w:cstheme="minorHAnsi"/>
      <w:b/>
      <w:sz w:val="28"/>
      <w:szCs w:val="28"/>
      <w:lang w:val="en-US"/>
    </w:rPr>
  </w:style>
  <w:style w:type="paragraph" w:styleId="Heading2">
    <w:name w:val="heading 2"/>
    <w:basedOn w:val="Normal"/>
    <w:next w:val="Normal"/>
    <w:link w:val="Heading2Char"/>
    <w:uiPriority w:val="9"/>
    <w:unhideWhenUsed/>
    <w:qFormat/>
    <w:rsid w:val="00E94EC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100" w:afterAutospacing="1" w:line="240" w:lineRule="auto"/>
      <w:jc w:val="both"/>
      <w:outlineLvl w:val="1"/>
    </w:pPr>
    <w:rPr>
      <w:rFonts w:asciiTheme="minorHAnsi" w:hAnsiTheme="minorHAnsi" w:cstheme="minorHAnsi"/>
      <w:caps/>
      <w:color w:val="000000"/>
      <w:spacing w:val="15"/>
      <w:sz w:val="22"/>
      <w:szCs w:val="22"/>
      <w:lang w:val="en-US"/>
    </w:rPr>
  </w:style>
  <w:style w:type="paragraph" w:styleId="Heading3">
    <w:name w:val="heading 3"/>
    <w:basedOn w:val="Normal"/>
    <w:next w:val="Normal"/>
    <w:link w:val="Heading3Char"/>
    <w:uiPriority w:val="9"/>
    <w:unhideWhenUsed/>
    <w:qFormat/>
    <w:rsid w:val="00E94ECE"/>
    <w:pPr>
      <w:outlineLvl w:val="2"/>
    </w:pPr>
    <w:rPr>
      <w:rFonts w:asciiTheme="minorHAnsi" w:hAnsiTheme="minorHAnsi" w:cstheme="min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4ECE"/>
    <w:rPr>
      <w:rFonts w:asciiTheme="minorHAnsi" w:hAnsiTheme="minorHAnsi" w:cstheme="minorHAnsi"/>
      <w:caps/>
      <w:color w:val="000000"/>
      <w:spacing w:val="15"/>
      <w:sz w:val="22"/>
      <w:szCs w:val="22"/>
      <w:shd w:val="clear" w:color="auto" w:fill="DEEAF6" w:themeFill="accent1" w:themeFillTint="33"/>
      <w:lang w:val="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11E73"/>
    <w:pPr>
      <w:spacing w:before="200" w:after="200" w:line="276" w:lineRule="auto"/>
      <w:ind w:left="720"/>
      <w:contextualSpacing/>
    </w:pPr>
    <w:rPr>
      <w:rFonts w:asciiTheme="minorHAnsi" w:eastAsiaTheme="minorEastAsia" w:hAnsiTheme="minorHAnsi" w:cstheme="minorBidi"/>
      <w:sz w:val="20"/>
      <w:szCs w:val="20"/>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111E73"/>
    <w:rPr>
      <w:rFonts w:asciiTheme="minorHAnsi" w:eastAsiaTheme="minorEastAsia" w:hAnsiTheme="minorHAnsi" w:cstheme="minorBidi"/>
      <w:sz w:val="20"/>
      <w:szCs w:val="20"/>
    </w:rPr>
  </w:style>
  <w:style w:type="paragraph" w:styleId="Header">
    <w:name w:val="header"/>
    <w:basedOn w:val="Normal"/>
    <w:link w:val="HeaderChar"/>
    <w:uiPriority w:val="99"/>
    <w:unhideWhenUsed/>
    <w:rsid w:val="00806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500"/>
  </w:style>
  <w:style w:type="paragraph" w:styleId="Footer">
    <w:name w:val="footer"/>
    <w:basedOn w:val="Normal"/>
    <w:link w:val="FooterChar"/>
    <w:uiPriority w:val="99"/>
    <w:unhideWhenUsed/>
    <w:rsid w:val="00806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500"/>
  </w:style>
  <w:style w:type="character" w:styleId="CommentReference">
    <w:name w:val="annotation reference"/>
    <w:basedOn w:val="DefaultParagraphFont"/>
    <w:uiPriority w:val="99"/>
    <w:semiHidden/>
    <w:unhideWhenUsed/>
    <w:rsid w:val="00806500"/>
    <w:rPr>
      <w:sz w:val="16"/>
      <w:szCs w:val="16"/>
    </w:rPr>
  </w:style>
  <w:style w:type="paragraph" w:styleId="CommentText">
    <w:name w:val="annotation text"/>
    <w:basedOn w:val="Normal"/>
    <w:link w:val="CommentTextChar"/>
    <w:uiPriority w:val="99"/>
    <w:semiHidden/>
    <w:unhideWhenUsed/>
    <w:rsid w:val="00806500"/>
    <w:pPr>
      <w:spacing w:line="240" w:lineRule="auto"/>
    </w:pPr>
    <w:rPr>
      <w:sz w:val="20"/>
      <w:szCs w:val="20"/>
    </w:rPr>
  </w:style>
  <w:style w:type="character" w:customStyle="1" w:styleId="CommentTextChar">
    <w:name w:val="Comment Text Char"/>
    <w:basedOn w:val="DefaultParagraphFont"/>
    <w:link w:val="CommentText"/>
    <w:uiPriority w:val="99"/>
    <w:semiHidden/>
    <w:rsid w:val="00806500"/>
    <w:rPr>
      <w:sz w:val="20"/>
      <w:szCs w:val="20"/>
    </w:rPr>
  </w:style>
  <w:style w:type="paragraph" w:styleId="CommentSubject">
    <w:name w:val="annotation subject"/>
    <w:basedOn w:val="CommentText"/>
    <w:next w:val="CommentText"/>
    <w:link w:val="CommentSubjectChar"/>
    <w:uiPriority w:val="99"/>
    <w:semiHidden/>
    <w:unhideWhenUsed/>
    <w:rsid w:val="00806500"/>
    <w:rPr>
      <w:b/>
      <w:bCs/>
    </w:rPr>
  </w:style>
  <w:style w:type="character" w:customStyle="1" w:styleId="CommentSubjectChar">
    <w:name w:val="Comment Subject Char"/>
    <w:basedOn w:val="CommentTextChar"/>
    <w:link w:val="CommentSubject"/>
    <w:uiPriority w:val="99"/>
    <w:semiHidden/>
    <w:rsid w:val="00806500"/>
    <w:rPr>
      <w:b/>
      <w:bCs/>
      <w:sz w:val="20"/>
      <w:szCs w:val="20"/>
    </w:rPr>
  </w:style>
  <w:style w:type="paragraph" w:styleId="BalloonText">
    <w:name w:val="Balloon Text"/>
    <w:basedOn w:val="Normal"/>
    <w:link w:val="BalloonTextChar"/>
    <w:uiPriority w:val="99"/>
    <w:semiHidden/>
    <w:unhideWhenUsed/>
    <w:rsid w:val="00806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500"/>
    <w:rPr>
      <w:rFonts w:ascii="Segoe UI" w:hAnsi="Segoe UI" w:cs="Segoe UI"/>
      <w:sz w:val="18"/>
      <w:szCs w:val="18"/>
    </w:rPr>
  </w:style>
  <w:style w:type="table" w:styleId="TableGrid">
    <w:name w:val="Table Grid"/>
    <w:basedOn w:val="TableNormal"/>
    <w:uiPriority w:val="39"/>
    <w:rsid w:val="00A06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0639"/>
    <w:pPr>
      <w:spacing w:after="0" w:line="240" w:lineRule="auto"/>
    </w:pPr>
  </w:style>
  <w:style w:type="paragraph" w:customStyle="1" w:styleId="Default">
    <w:name w:val="Default"/>
    <w:rsid w:val="003D7C2A"/>
    <w:pPr>
      <w:autoSpaceDE w:val="0"/>
      <w:autoSpaceDN w:val="0"/>
      <w:adjustRightInd w:val="0"/>
      <w:spacing w:after="0" w:line="240" w:lineRule="auto"/>
    </w:pPr>
    <w:rPr>
      <w:rFonts w:ascii="Calibri" w:hAnsi="Calibri" w:cs="Calibri"/>
      <w:color w:val="000000"/>
    </w:rPr>
  </w:style>
  <w:style w:type="character" w:customStyle="1" w:styleId="Heading1Char">
    <w:name w:val="Heading 1 Char"/>
    <w:basedOn w:val="DefaultParagraphFont"/>
    <w:link w:val="Heading1"/>
    <w:uiPriority w:val="9"/>
    <w:rsid w:val="00E94ECE"/>
    <w:rPr>
      <w:rFonts w:asciiTheme="minorHAnsi" w:hAnsiTheme="minorHAnsi" w:cstheme="minorHAnsi"/>
      <w:b/>
      <w:sz w:val="28"/>
      <w:szCs w:val="28"/>
      <w:lang w:val="en-US"/>
    </w:rPr>
  </w:style>
  <w:style w:type="character" w:customStyle="1" w:styleId="Heading3Char">
    <w:name w:val="Heading 3 Char"/>
    <w:basedOn w:val="DefaultParagraphFont"/>
    <w:link w:val="Heading3"/>
    <w:uiPriority w:val="9"/>
    <w:rsid w:val="00E94ECE"/>
    <w:rPr>
      <w:rFonts w:asciiTheme="minorHAnsi" w:hAnsiTheme="minorHAnsi" w:cstheme="minorHAns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4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5656E-060A-4DBB-A61C-57A56DD55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Key Findings and Outcomes of the MRFF Health and Medical Research Early to Mid-Career Researchers Roundtable - 6 May 2021</vt:lpstr>
    </vt:vector>
  </TitlesOfParts>
  <Company>Department of Health</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Findings and Outcomes of the MRFF Health and Medical Research Early to Mid-Career Researchers Roundtable - 6 May 2021</dc:title>
  <dc:subject/>
  <dc:creator>Australian Goverment Department of Health</dc:creator>
  <cp:keywords>"Medical Research Future Fund; MRFF; Early to Mid-Career Researchers</cp:keywords>
  <dc:description/>
  <cp:lastModifiedBy>SOLLAZZO, Maria</cp:lastModifiedBy>
  <cp:revision>4</cp:revision>
  <dcterms:created xsi:type="dcterms:W3CDTF">2021-12-07T01:45:00Z</dcterms:created>
  <dcterms:modified xsi:type="dcterms:W3CDTF">2021-12-14T22:28:00Z</dcterms:modified>
</cp:coreProperties>
</file>