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7247B" w14:textId="23FB0CC3" w:rsidR="00775FE4" w:rsidRDefault="00420D02" w:rsidP="00420D02">
      <w:pPr>
        <w:spacing w:after="480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40AA70" wp14:editId="6DDDEB58">
                <wp:simplePos x="0" y="0"/>
                <wp:positionH relativeFrom="column">
                  <wp:posOffset>4445</wp:posOffset>
                </wp:positionH>
                <wp:positionV relativeFrom="paragraph">
                  <wp:posOffset>1019810</wp:posOffset>
                </wp:positionV>
                <wp:extent cx="5759450" cy="1404620"/>
                <wp:effectExtent l="0" t="0" r="1270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FCDC0" w14:textId="77777777" w:rsidR="00A61729" w:rsidRPr="00A61729" w:rsidRDefault="00A61729" w:rsidP="00A6172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61729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Guideline for substantiating personal </w:t>
                            </w:r>
                          </w:p>
                          <w:p w14:paraId="7E151164" w14:textId="77777777" w:rsidR="00A61729" w:rsidRPr="00A61729" w:rsidRDefault="00A61729" w:rsidP="00A6172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61729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performance by a consultant </w:t>
                            </w:r>
                          </w:p>
                          <w:p w14:paraId="18527A2E" w14:textId="094936F2" w:rsidR="00946FFB" w:rsidRPr="00946FFB" w:rsidRDefault="00A61729" w:rsidP="00A6172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61729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physician/specialist in a public hospital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40AA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80.3pt;width:45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" fillcolor="#17365d [2415]">
                <v:textbox style="mso-fit-shape-to-text:t">
                  <w:txbxContent>
                    <w:p w14:paraId="4BCFCDC0" w14:textId="77777777" w:rsidR="00A61729" w:rsidRPr="00A61729" w:rsidRDefault="00A61729" w:rsidP="00A61729">
                      <w:pP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61729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Guideline for substantiating personal </w:t>
                      </w:r>
                    </w:p>
                    <w:p w14:paraId="7E151164" w14:textId="77777777" w:rsidR="00A61729" w:rsidRPr="00A61729" w:rsidRDefault="00A61729" w:rsidP="00A61729">
                      <w:pP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61729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performance by a consultant </w:t>
                      </w:r>
                    </w:p>
                    <w:p w14:paraId="18527A2E" w14:textId="094936F2" w:rsidR="00946FFB" w:rsidRPr="00946FFB" w:rsidRDefault="00A61729" w:rsidP="00A61729">
                      <w:pP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61729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physician/specialist in a public hospital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4E6D9D" wp14:editId="73C290F5">
            <wp:extent cx="2695575" cy="647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6DFD19" wp14:editId="4E1D9F0B">
            <wp:extent cx="5759450" cy="1244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72F83" w14:textId="7D904D86" w:rsidR="00946FFB" w:rsidRPr="00946FFB" w:rsidRDefault="00946FFB" w:rsidP="00946FFB">
      <w:bookmarkStart w:id="0" w:name="Title"/>
      <w:bookmarkStart w:id="1" w:name="imageHolder"/>
      <w:bookmarkEnd w:id="0"/>
      <w:bookmarkEnd w:id="1"/>
    </w:p>
    <w:p w14:paraId="24BE91D9" w14:textId="6C856238" w:rsidR="00BC6687" w:rsidRPr="00D95ABD" w:rsidRDefault="00946FFB" w:rsidP="00BC6687">
      <w:pPr>
        <w:contextualSpacing/>
        <w:rPr>
          <w:rFonts w:ascii="Arial" w:hAnsi="Arial" w:cs="Arial"/>
          <w:b/>
          <w:bCs/>
          <w:color w:val="008080"/>
          <w:sz w:val="26"/>
          <w:szCs w:val="26"/>
        </w:rPr>
      </w:pPr>
      <w:r w:rsidRPr="00D95ABD">
        <w:rPr>
          <w:rFonts w:ascii="Arial" w:hAnsi="Arial" w:cs="Arial"/>
          <w:b/>
          <w:bCs/>
          <w:color w:val="008080"/>
          <w:sz w:val="26"/>
          <w:szCs w:val="26"/>
        </w:rPr>
        <w:t>What you need to know</w:t>
      </w:r>
    </w:p>
    <w:p w14:paraId="5415F554" w14:textId="77777777" w:rsidR="00BC6687" w:rsidRPr="00BC6687" w:rsidRDefault="00BC6687" w:rsidP="00BC6687">
      <w:pPr>
        <w:contextualSpacing/>
        <w:rPr>
          <w:rFonts w:ascii="Arial" w:hAnsi="Arial" w:cs="Arial"/>
          <w:b/>
          <w:bCs/>
          <w:color w:val="008080"/>
        </w:rPr>
      </w:pPr>
    </w:p>
    <w:p w14:paraId="639A771C" w14:textId="22C60F5E" w:rsidR="00A61729" w:rsidRDefault="00A61729" w:rsidP="00BC6687">
      <w:pPr>
        <w:contextualSpacing/>
        <w:rPr>
          <w:rFonts w:ascii="Arial" w:hAnsi="Arial" w:cs="Arial"/>
        </w:rPr>
      </w:pPr>
      <w:r w:rsidRPr="00A61729">
        <w:rPr>
          <w:rFonts w:ascii="Arial" w:hAnsi="Arial" w:cs="Arial"/>
        </w:rPr>
        <w:t xml:space="preserve">Where a service for a patient in a public hospital is billed to Medicare, the hospital consultant physician or specialist may be asked to substantiate the </w:t>
      </w:r>
      <w:r w:rsidR="00C94B88">
        <w:rPr>
          <w:rFonts w:ascii="Arial" w:hAnsi="Arial" w:cs="Arial"/>
        </w:rPr>
        <w:t>billing</w:t>
      </w:r>
      <w:r w:rsidRPr="00A61729">
        <w:rPr>
          <w:rFonts w:ascii="Arial" w:hAnsi="Arial" w:cs="Arial"/>
        </w:rPr>
        <w:t xml:space="preserve">. </w:t>
      </w:r>
    </w:p>
    <w:p w14:paraId="7F262FE3" w14:textId="77777777" w:rsidR="00A61729" w:rsidRDefault="00A61729" w:rsidP="00BC6687">
      <w:pPr>
        <w:contextualSpacing/>
        <w:rPr>
          <w:rFonts w:ascii="Arial" w:hAnsi="Arial" w:cs="Arial"/>
        </w:rPr>
      </w:pPr>
    </w:p>
    <w:p w14:paraId="0D0DA676" w14:textId="2B8B2091" w:rsidR="00A61729" w:rsidRDefault="00A61729" w:rsidP="00BC6687">
      <w:pPr>
        <w:contextualSpacing/>
        <w:rPr>
          <w:rFonts w:ascii="Arial" w:hAnsi="Arial" w:cs="Arial"/>
        </w:rPr>
      </w:pPr>
      <w:r w:rsidRPr="00A61729">
        <w:rPr>
          <w:rFonts w:ascii="Arial" w:hAnsi="Arial" w:cs="Arial"/>
        </w:rPr>
        <w:t>This guideline outlines what you can do to substantiate that you</w:t>
      </w:r>
      <w:r w:rsidR="00D2278F">
        <w:rPr>
          <w:rFonts w:ascii="Arial" w:hAnsi="Arial" w:cs="Arial"/>
        </w:rPr>
        <w:t>,</w:t>
      </w:r>
      <w:r w:rsidRPr="00A61729">
        <w:rPr>
          <w:rFonts w:ascii="Arial" w:hAnsi="Arial" w:cs="Arial"/>
        </w:rPr>
        <w:t xml:space="preserve"> as a consultant physician or specialist</w:t>
      </w:r>
      <w:r w:rsidR="00D2278F">
        <w:rPr>
          <w:rFonts w:ascii="Arial" w:hAnsi="Arial" w:cs="Arial"/>
        </w:rPr>
        <w:t>,</w:t>
      </w:r>
      <w:r w:rsidRPr="00A61729">
        <w:rPr>
          <w:rFonts w:ascii="Arial" w:hAnsi="Arial" w:cs="Arial"/>
        </w:rPr>
        <w:t xml:space="preserve"> personally performed a referred consultation service on a private patient in a public hospital </w:t>
      </w:r>
      <w:r w:rsidR="00D2278F">
        <w:rPr>
          <w:rFonts w:ascii="Arial" w:hAnsi="Arial" w:cs="Arial"/>
        </w:rPr>
        <w:t xml:space="preserve">and appropriately </w:t>
      </w:r>
      <w:r w:rsidRPr="00A61729">
        <w:rPr>
          <w:rFonts w:ascii="Arial" w:hAnsi="Arial" w:cs="Arial"/>
        </w:rPr>
        <w:t xml:space="preserve">claimed </w:t>
      </w:r>
      <w:r w:rsidR="00D2278F">
        <w:rPr>
          <w:rFonts w:ascii="Arial" w:hAnsi="Arial" w:cs="Arial"/>
        </w:rPr>
        <w:t xml:space="preserve">the service </w:t>
      </w:r>
      <w:r w:rsidRPr="00A61729">
        <w:rPr>
          <w:rFonts w:ascii="Arial" w:hAnsi="Arial" w:cs="Arial"/>
        </w:rPr>
        <w:t xml:space="preserve">under </w:t>
      </w:r>
      <w:r w:rsidR="00D2278F">
        <w:rPr>
          <w:rFonts w:ascii="Arial" w:hAnsi="Arial" w:cs="Arial"/>
        </w:rPr>
        <w:t>Medicare</w:t>
      </w:r>
      <w:r w:rsidRPr="00A61729">
        <w:rPr>
          <w:rFonts w:ascii="Arial" w:hAnsi="Arial" w:cs="Arial"/>
        </w:rPr>
        <w:t xml:space="preserve">. </w:t>
      </w:r>
    </w:p>
    <w:p w14:paraId="236283C0" w14:textId="77777777" w:rsidR="00A61729" w:rsidRDefault="00A61729" w:rsidP="00BC6687">
      <w:pPr>
        <w:contextualSpacing/>
        <w:rPr>
          <w:rFonts w:ascii="Arial" w:hAnsi="Arial" w:cs="Arial"/>
        </w:rPr>
      </w:pPr>
    </w:p>
    <w:p w14:paraId="1ADA3B78" w14:textId="23484611" w:rsidR="00A61729" w:rsidRDefault="00A61729" w:rsidP="00BC6687">
      <w:pPr>
        <w:contextualSpacing/>
        <w:rPr>
          <w:rFonts w:ascii="Arial" w:hAnsi="Arial" w:cs="Arial"/>
        </w:rPr>
      </w:pPr>
      <w:r w:rsidRPr="00A61729">
        <w:rPr>
          <w:rFonts w:ascii="Arial" w:hAnsi="Arial" w:cs="Arial"/>
        </w:rPr>
        <w:t>Th</w:t>
      </w:r>
      <w:r w:rsidR="00D2278F">
        <w:rPr>
          <w:rFonts w:ascii="Arial" w:hAnsi="Arial" w:cs="Arial"/>
        </w:rPr>
        <w:t>is</w:t>
      </w:r>
      <w:r w:rsidRPr="00A61729">
        <w:rPr>
          <w:rFonts w:ascii="Arial" w:hAnsi="Arial" w:cs="Arial"/>
        </w:rPr>
        <w:t xml:space="preserve"> guideline is not exhaustive</w:t>
      </w:r>
      <w:r w:rsidR="00D2278F">
        <w:rPr>
          <w:rFonts w:ascii="Arial" w:hAnsi="Arial" w:cs="Arial"/>
        </w:rPr>
        <w:t>;</w:t>
      </w:r>
      <w:r w:rsidRPr="00A61729">
        <w:rPr>
          <w:rFonts w:ascii="Arial" w:hAnsi="Arial" w:cs="Arial"/>
        </w:rPr>
        <w:t xml:space="preserve"> you can respond to a Medicare compliance audit or review using any documents you believe substantiate the concern raised. </w:t>
      </w:r>
      <w:r w:rsidR="00D2278F">
        <w:rPr>
          <w:rFonts w:ascii="Arial" w:hAnsi="Arial" w:cs="Arial"/>
        </w:rPr>
        <w:t>W</w:t>
      </w:r>
      <w:r w:rsidRPr="00A61729">
        <w:rPr>
          <w:rFonts w:ascii="Arial" w:hAnsi="Arial" w:cs="Arial"/>
        </w:rPr>
        <w:t xml:space="preserve">e may determine more information is needed and request additional documentation to substantiate services you have </w:t>
      </w:r>
      <w:r w:rsidR="005455D2">
        <w:rPr>
          <w:rFonts w:ascii="Arial" w:hAnsi="Arial" w:cs="Arial"/>
        </w:rPr>
        <w:t>rendered</w:t>
      </w:r>
      <w:r w:rsidRPr="00A61729">
        <w:rPr>
          <w:rFonts w:ascii="Arial" w:hAnsi="Arial" w:cs="Arial"/>
        </w:rPr>
        <w:t xml:space="preserve">. </w:t>
      </w:r>
    </w:p>
    <w:p w14:paraId="3B5E46FA" w14:textId="77777777" w:rsidR="00A61729" w:rsidRDefault="00A61729" w:rsidP="00BC6687">
      <w:pPr>
        <w:contextualSpacing/>
        <w:rPr>
          <w:rFonts w:ascii="Arial" w:hAnsi="Arial" w:cs="Arial"/>
        </w:rPr>
      </w:pPr>
    </w:p>
    <w:p w14:paraId="66BDB705" w14:textId="77777777" w:rsidR="00A61729" w:rsidRDefault="00A61729" w:rsidP="00BC6687">
      <w:pPr>
        <w:contextualSpacing/>
        <w:rPr>
          <w:rFonts w:ascii="Arial" w:hAnsi="Arial" w:cs="Arial"/>
        </w:rPr>
      </w:pPr>
      <w:r w:rsidRPr="00A61729">
        <w:rPr>
          <w:rFonts w:ascii="Arial" w:hAnsi="Arial" w:cs="Arial"/>
        </w:rPr>
        <w:t xml:space="preserve">Public hospitals are funded under an arrangement with the Australian Government to provide free public hospital services to eligible patients. </w:t>
      </w:r>
    </w:p>
    <w:p w14:paraId="39CD8C55" w14:textId="77777777" w:rsidR="00A61729" w:rsidRDefault="00A61729" w:rsidP="00BC6687">
      <w:pPr>
        <w:contextualSpacing/>
        <w:rPr>
          <w:rFonts w:ascii="Arial" w:hAnsi="Arial" w:cs="Arial"/>
        </w:rPr>
      </w:pPr>
    </w:p>
    <w:p w14:paraId="534458F4" w14:textId="77777777" w:rsidR="00A61729" w:rsidRDefault="00A61729" w:rsidP="00BC6687">
      <w:pPr>
        <w:contextualSpacing/>
        <w:rPr>
          <w:rFonts w:ascii="Arial" w:hAnsi="Arial" w:cs="Arial"/>
        </w:rPr>
      </w:pPr>
      <w:r w:rsidRPr="00A61729">
        <w:rPr>
          <w:rFonts w:ascii="Arial" w:hAnsi="Arial" w:cs="Arial"/>
        </w:rPr>
        <w:t xml:space="preserve">For a Medicare claim to be paid for a patient in a public hospital: </w:t>
      </w:r>
    </w:p>
    <w:p w14:paraId="2B4CAB5A" w14:textId="23B36973" w:rsidR="00A61729" w:rsidRPr="00A61729" w:rsidRDefault="00A61729" w:rsidP="00A6172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61729">
        <w:rPr>
          <w:rFonts w:ascii="Arial" w:hAnsi="Arial" w:cs="Arial"/>
        </w:rPr>
        <w:t xml:space="preserve">the patient must </w:t>
      </w:r>
      <w:r w:rsidR="00823D0F">
        <w:rPr>
          <w:rFonts w:ascii="Arial" w:hAnsi="Arial" w:cs="Arial"/>
        </w:rPr>
        <w:t xml:space="preserve">give </w:t>
      </w:r>
      <w:r w:rsidR="00D2278F">
        <w:rPr>
          <w:rFonts w:ascii="Arial" w:hAnsi="Arial" w:cs="Arial"/>
        </w:rPr>
        <w:t xml:space="preserve">informed financial </w:t>
      </w:r>
      <w:r w:rsidR="00823D0F">
        <w:rPr>
          <w:rFonts w:ascii="Arial" w:hAnsi="Arial" w:cs="Arial"/>
        </w:rPr>
        <w:t>consent</w:t>
      </w:r>
      <w:r w:rsidR="00823D0F" w:rsidRPr="00A61729">
        <w:rPr>
          <w:rFonts w:ascii="Arial" w:hAnsi="Arial" w:cs="Arial"/>
        </w:rPr>
        <w:t xml:space="preserve"> </w:t>
      </w:r>
      <w:r w:rsidRPr="00A61729">
        <w:rPr>
          <w:rFonts w:ascii="Arial" w:hAnsi="Arial" w:cs="Arial"/>
        </w:rPr>
        <w:t xml:space="preserve">to be treated as a private patient, and </w:t>
      </w:r>
    </w:p>
    <w:p w14:paraId="4F55FB85" w14:textId="77777777" w:rsidR="00A61729" w:rsidRPr="00A61729" w:rsidRDefault="00A61729" w:rsidP="00A6172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61729">
        <w:rPr>
          <w:rFonts w:ascii="Arial" w:hAnsi="Arial" w:cs="Arial"/>
        </w:rPr>
        <w:t xml:space="preserve">the consultant physician or specialist must be exercising their right to private practice when the service is rendered </w:t>
      </w:r>
    </w:p>
    <w:p w14:paraId="5D3A7BD0" w14:textId="77777777" w:rsidR="00A61729" w:rsidRDefault="00A61729" w:rsidP="00BC6687">
      <w:pPr>
        <w:contextualSpacing/>
        <w:rPr>
          <w:rFonts w:ascii="Arial" w:hAnsi="Arial" w:cs="Arial"/>
        </w:rPr>
      </w:pPr>
    </w:p>
    <w:p w14:paraId="0EFA4F29" w14:textId="67843E31" w:rsidR="00420D02" w:rsidRPr="00BC6687" w:rsidRDefault="00A61729" w:rsidP="00BC6687">
      <w:pPr>
        <w:contextualSpacing/>
        <w:rPr>
          <w:rFonts w:ascii="Arial" w:hAnsi="Arial" w:cs="Arial"/>
        </w:rPr>
      </w:pPr>
      <w:r w:rsidRPr="00A61729">
        <w:rPr>
          <w:rFonts w:ascii="Arial" w:hAnsi="Arial" w:cs="Arial"/>
        </w:rPr>
        <w:t xml:space="preserve">Consultation refers to professional attendances or consultations as described in the </w:t>
      </w:r>
      <w:r w:rsidR="00D2278F">
        <w:rPr>
          <w:rFonts w:ascii="Arial" w:hAnsi="Arial" w:cs="Arial"/>
        </w:rPr>
        <w:t>Medical Benefits Schedule (</w:t>
      </w:r>
      <w:r w:rsidRPr="00A61729">
        <w:rPr>
          <w:rFonts w:ascii="Arial" w:hAnsi="Arial" w:cs="Arial"/>
        </w:rPr>
        <w:t>MBS</w:t>
      </w:r>
      <w:r w:rsidR="00D2278F">
        <w:rPr>
          <w:rFonts w:ascii="Arial" w:hAnsi="Arial" w:cs="Arial"/>
        </w:rPr>
        <w:t>;</w:t>
      </w:r>
      <w:r w:rsidR="00823D0F">
        <w:rPr>
          <w:rFonts w:ascii="Arial" w:hAnsi="Arial" w:cs="Arial"/>
        </w:rPr>
        <w:t xml:space="preserve"> </w:t>
      </w:r>
      <w:r w:rsidR="00D2278F">
        <w:rPr>
          <w:rFonts w:ascii="Arial" w:hAnsi="Arial" w:cs="Arial"/>
        </w:rPr>
        <w:t>s</w:t>
      </w:r>
      <w:r w:rsidR="00823D0F" w:rsidRPr="00A61729">
        <w:rPr>
          <w:rFonts w:ascii="Arial" w:hAnsi="Arial" w:cs="Arial"/>
        </w:rPr>
        <w:t xml:space="preserve">ee </w:t>
      </w:r>
      <w:r w:rsidR="00823D0F">
        <w:rPr>
          <w:rFonts w:ascii="Arial" w:hAnsi="Arial" w:cs="Arial"/>
        </w:rPr>
        <w:t>Additional</w:t>
      </w:r>
      <w:r w:rsidR="00823D0F" w:rsidRPr="00A61729">
        <w:rPr>
          <w:rFonts w:ascii="Arial" w:hAnsi="Arial" w:cs="Arial"/>
        </w:rPr>
        <w:t xml:space="preserve"> Note</w:t>
      </w:r>
      <w:r w:rsidR="00823D0F">
        <w:rPr>
          <w:rFonts w:ascii="Arial" w:hAnsi="Arial" w:cs="Arial"/>
        </w:rPr>
        <w:t>s</w:t>
      </w:r>
      <w:r w:rsidR="00823D0F" w:rsidRPr="00A61729">
        <w:rPr>
          <w:rFonts w:ascii="Arial" w:hAnsi="Arial" w:cs="Arial"/>
        </w:rPr>
        <w:t xml:space="preserve"> </w:t>
      </w:r>
      <w:r w:rsidR="00823D0F">
        <w:rPr>
          <w:rFonts w:ascii="Arial" w:hAnsi="Arial" w:cs="Arial"/>
        </w:rPr>
        <w:t>AN.0.1 and AN.0.3)</w:t>
      </w:r>
      <w:r w:rsidRPr="00A61729">
        <w:rPr>
          <w:rFonts w:ascii="Arial" w:hAnsi="Arial" w:cs="Arial"/>
        </w:rPr>
        <w:t xml:space="preserve">. MBS </w:t>
      </w:r>
      <w:r w:rsidR="00D2278F">
        <w:rPr>
          <w:rFonts w:ascii="Arial" w:hAnsi="Arial" w:cs="Arial"/>
        </w:rPr>
        <w:t xml:space="preserve">consultation </w:t>
      </w:r>
      <w:r w:rsidRPr="00A61729">
        <w:rPr>
          <w:rFonts w:ascii="Arial" w:hAnsi="Arial" w:cs="Arial"/>
        </w:rPr>
        <w:t xml:space="preserve">items </w:t>
      </w:r>
      <w:r w:rsidR="00D2278F">
        <w:rPr>
          <w:rFonts w:ascii="Arial" w:hAnsi="Arial" w:cs="Arial"/>
        </w:rPr>
        <w:t xml:space="preserve">include items </w:t>
      </w:r>
      <w:r w:rsidRPr="00A61729">
        <w:rPr>
          <w:rFonts w:ascii="Arial" w:hAnsi="Arial" w:cs="Arial"/>
        </w:rPr>
        <w:t xml:space="preserve">104, 105, 110, 116 and 119. </w:t>
      </w:r>
      <w:r w:rsidR="001B3452">
        <w:rPr>
          <w:rFonts w:ascii="Arial" w:hAnsi="Arial" w:cs="Arial"/>
        </w:rPr>
        <w:t>Professional a</w:t>
      </w:r>
      <w:r w:rsidRPr="00A61729">
        <w:rPr>
          <w:rFonts w:ascii="Arial" w:hAnsi="Arial" w:cs="Arial"/>
        </w:rPr>
        <w:t>ttendance</w:t>
      </w:r>
      <w:r w:rsidR="00D2278F">
        <w:rPr>
          <w:rFonts w:ascii="Arial" w:hAnsi="Arial" w:cs="Arial"/>
        </w:rPr>
        <w:t xml:space="preserve"> items funded </w:t>
      </w:r>
      <w:r w:rsidR="00501BE0">
        <w:rPr>
          <w:rFonts w:ascii="Arial" w:hAnsi="Arial" w:cs="Arial"/>
        </w:rPr>
        <w:t xml:space="preserve">under Medicare </w:t>
      </w:r>
      <w:r w:rsidR="00823D0F">
        <w:rPr>
          <w:rFonts w:ascii="Arial" w:hAnsi="Arial" w:cs="Arial"/>
        </w:rPr>
        <w:t xml:space="preserve">can be found </w:t>
      </w:r>
      <w:r w:rsidRPr="00A61729">
        <w:rPr>
          <w:rFonts w:ascii="Arial" w:hAnsi="Arial" w:cs="Arial"/>
        </w:rPr>
        <w:t xml:space="preserve">at </w:t>
      </w:r>
      <w:hyperlink r:id="rId10" w:history="1">
        <w:r w:rsidRPr="00A61729">
          <w:rPr>
            <w:rStyle w:val="Hyperlink"/>
            <w:rFonts w:ascii="Arial" w:hAnsi="Arial" w:cs="Arial"/>
          </w:rPr>
          <w:t>MBS online</w:t>
        </w:r>
      </w:hyperlink>
      <w:r w:rsidR="001B3452">
        <w:rPr>
          <w:rStyle w:val="CommentReference"/>
        </w:rPr>
        <w:t xml:space="preserve"> </w:t>
      </w:r>
      <w:r w:rsidR="001B3452" w:rsidRPr="00E8736E">
        <w:rPr>
          <w:rFonts w:ascii="Arial" w:hAnsi="Arial" w:cs="Arial"/>
        </w:rPr>
        <w:t>by searching for ‘professional attendances’</w:t>
      </w:r>
      <w:r w:rsidRPr="00A61729">
        <w:rPr>
          <w:rFonts w:ascii="Arial" w:hAnsi="Arial" w:cs="Arial"/>
        </w:rPr>
        <w:t>.</w:t>
      </w:r>
    </w:p>
    <w:p w14:paraId="75D8DF5C" w14:textId="77777777" w:rsidR="00A61729" w:rsidRDefault="00A61729" w:rsidP="00BC6687">
      <w:pPr>
        <w:contextualSpacing/>
        <w:rPr>
          <w:rFonts w:ascii="Arial" w:hAnsi="Arial" w:cs="Arial"/>
        </w:rPr>
      </w:pPr>
    </w:p>
    <w:p w14:paraId="530D1E51" w14:textId="5455ACF4" w:rsidR="00420D02" w:rsidRPr="00BC6687" w:rsidRDefault="00420D02" w:rsidP="00BC6687">
      <w:pPr>
        <w:contextualSpacing/>
        <w:rPr>
          <w:rFonts w:ascii="Arial" w:hAnsi="Arial" w:cs="Arial"/>
          <w:b/>
          <w:bCs/>
          <w:color w:val="008080"/>
        </w:rPr>
      </w:pPr>
      <w:r w:rsidRPr="00BC6687">
        <w:rPr>
          <w:rFonts w:ascii="Arial" w:hAnsi="Arial" w:cs="Arial"/>
        </w:rPr>
        <w:t xml:space="preserve">Read the </w:t>
      </w:r>
      <w:hyperlink r:id="rId11" w:history="1">
        <w:r w:rsidRPr="00BC6687">
          <w:rPr>
            <w:rStyle w:val="Hyperlink"/>
            <w:rFonts w:ascii="Arial" w:hAnsi="Arial" w:cs="Arial"/>
          </w:rPr>
          <w:t>health professional guidelines</w:t>
        </w:r>
      </w:hyperlink>
      <w:r w:rsidRPr="00BC6687">
        <w:rPr>
          <w:rFonts w:ascii="Arial" w:hAnsi="Arial" w:cs="Arial"/>
        </w:rPr>
        <w:t xml:space="preserve"> about substantiating claims for Medicare compliance purposes before proceeding.</w:t>
      </w:r>
    </w:p>
    <w:p w14:paraId="36B0CA66" w14:textId="37518E0A" w:rsidR="00946FFB" w:rsidRPr="00BC6687" w:rsidRDefault="00946FFB" w:rsidP="00BC6687">
      <w:pPr>
        <w:contextualSpacing/>
        <w:rPr>
          <w:rFonts w:ascii="Arial" w:hAnsi="Arial" w:cs="Arial"/>
        </w:rPr>
      </w:pPr>
    </w:p>
    <w:p w14:paraId="4EC2D4B9" w14:textId="005664BA" w:rsidR="00946FFB" w:rsidRPr="00D95ABD" w:rsidRDefault="00420D02" w:rsidP="00634FF8">
      <w:pPr>
        <w:tabs>
          <w:tab w:val="right" w:pos="9412"/>
        </w:tabs>
        <w:contextualSpacing/>
        <w:rPr>
          <w:rFonts w:ascii="Arial" w:hAnsi="Arial" w:cs="Arial"/>
          <w:b/>
          <w:bCs/>
          <w:color w:val="008080"/>
          <w:sz w:val="26"/>
          <w:szCs w:val="26"/>
        </w:rPr>
      </w:pPr>
      <w:r w:rsidRPr="00D95ABD">
        <w:rPr>
          <w:rFonts w:ascii="Arial" w:hAnsi="Arial" w:cs="Arial"/>
          <w:b/>
          <w:bCs/>
          <w:color w:val="008080"/>
          <w:sz w:val="26"/>
          <w:szCs w:val="26"/>
        </w:rPr>
        <w:t xml:space="preserve">Documents you may use to substantiate </w:t>
      </w:r>
      <w:r w:rsidR="00C94B88" w:rsidRPr="00C94B88">
        <w:rPr>
          <w:rFonts w:ascii="Arial" w:hAnsi="Arial" w:cs="Arial"/>
          <w:b/>
          <w:bCs/>
          <w:color w:val="008080"/>
          <w:sz w:val="26"/>
          <w:szCs w:val="26"/>
        </w:rPr>
        <w:t xml:space="preserve">your Medicare billing </w:t>
      </w:r>
    </w:p>
    <w:p w14:paraId="57C43CE9" w14:textId="1E619894" w:rsidR="00946FFB" w:rsidRPr="00BC6687" w:rsidRDefault="00946FFB" w:rsidP="00BC6687">
      <w:pPr>
        <w:contextualSpacing/>
        <w:rPr>
          <w:rFonts w:ascii="Arial" w:hAnsi="Arial" w:cs="Arial"/>
        </w:rPr>
      </w:pPr>
    </w:p>
    <w:p w14:paraId="72695736" w14:textId="77777777" w:rsidR="00A61729" w:rsidRDefault="00A61729" w:rsidP="00BC6687">
      <w:pPr>
        <w:contextualSpacing/>
        <w:rPr>
          <w:rFonts w:ascii="Arial" w:hAnsi="Arial" w:cs="Arial"/>
        </w:rPr>
      </w:pPr>
      <w:r w:rsidRPr="00A61729">
        <w:rPr>
          <w:rFonts w:ascii="Arial" w:hAnsi="Arial" w:cs="Arial"/>
        </w:rPr>
        <w:t xml:space="preserve">It is expected that consultant physicians or specialists maintain adequate and contemporaneous records of services rendered. Similarly, adequate and contemporaneous records should be maintained when you provide a referral or request for a patient. </w:t>
      </w:r>
    </w:p>
    <w:p w14:paraId="16BFAD93" w14:textId="77777777" w:rsidR="00A61729" w:rsidRDefault="00A61729" w:rsidP="00BC6687">
      <w:pPr>
        <w:contextualSpacing/>
        <w:rPr>
          <w:rFonts w:ascii="Arial" w:hAnsi="Arial" w:cs="Arial"/>
        </w:rPr>
      </w:pPr>
    </w:p>
    <w:p w14:paraId="0FBE5DB0" w14:textId="77777777" w:rsidR="00A61729" w:rsidRDefault="00A61729" w:rsidP="00BC6687">
      <w:pPr>
        <w:contextualSpacing/>
        <w:rPr>
          <w:rFonts w:ascii="Arial" w:hAnsi="Arial" w:cs="Arial"/>
        </w:rPr>
      </w:pPr>
    </w:p>
    <w:p w14:paraId="71365D2B" w14:textId="77777777" w:rsidR="00A61729" w:rsidRDefault="00A61729" w:rsidP="00BC6687">
      <w:pPr>
        <w:contextualSpacing/>
        <w:rPr>
          <w:rFonts w:ascii="Arial" w:hAnsi="Arial" w:cs="Arial"/>
        </w:rPr>
      </w:pPr>
    </w:p>
    <w:p w14:paraId="39978DA6" w14:textId="0185802E" w:rsidR="00A61729" w:rsidRDefault="00A61729" w:rsidP="00BC6687">
      <w:pPr>
        <w:contextualSpacing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799308D3" wp14:editId="18C675A0">
            <wp:extent cx="2695575" cy="647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45CB" w14:textId="7DF0DCFE" w:rsidR="00A61729" w:rsidRDefault="00A61729" w:rsidP="00BC6687">
      <w:pPr>
        <w:contextualSpacing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C5AF13D" wp14:editId="67E57977">
            <wp:extent cx="5759450" cy="1244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AD0AF" w14:textId="280F7523" w:rsidR="00A61729" w:rsidRDefault="00A61729" w:rsidP="00BC6687">
      <w:pPr>
        <w:contextualSpacing/>
        <w:rPr>
          <w:rFonts w:ascii="Arial" w:hAnsi="Arial" w:cs="Arial"/>
        </w:rPr>
      </w:pPr>
    </w:p>
    <w:p w14:paraId="432968E4" w14:textId="0D62E447" w:rsidR="001B3452" w:rsidRDefault="00A61729" w:rsidP="00BC6687">
      <w:pPr>
        <w:contextualSpacing/>
        <w:rPr>
          <w:rFonts w:ascii="Arial" w:hAnsi="Arial" w:cs="Arial"/>
        </w:rPr>
      </w:pPr>
      <w:r w:rsidRPr="00A61729">
        <w:rPr>
          <w:rFonts w:ascii="Arial" w:hAnsi="Arial" w:cs="Arial"/>
        </w:rPr>
        <w:t xml:space="preserve">To substantiate </w:t>
      </w:r>
      <w:r w:rsidR="00C94B88" w:rsidRPr="00C94B88">
        <w:rPr>
          <w:rFonts w:ascii="Arial" w:hAnsi="Arial" w:cs="Arial"/>
        </w:rPr>
        <w:t>that your Medicare billing is compliant</w:t>
      </w:r>
      <w:r w:rsidRPr="00A61729">
        <w:rPr>
          <w:rFonts w:ascii="Arial" w:hAnsi="Arial" w:cs="Arial"/>
        </w:rPr>
        <w:t xml:space="preserve">, </w:t>
      </w:r>
      <w:r w:rsidR="00C94B88">
        <w:rPr>
          <w:rFonts w:ascii="Arial" w:hAnsi="Arial" w:cs="Arial"/>
        </w:rPr>
        <w:t xml:space="preserve">you may </w:t>
      </w:r>
      <w:r w:rsidRPr="00A61729">
        <w:rPr>
          <w:rFonts w:ascii="Arial" w:hAnsi="Arial" w:cs="Arial"/>
        </w:rPr>
        <w:t>provide:</w:t>
      </w:r>
    </w:p>
    <w:p w14:paraId="39E61343" w14:textId="26772093" w:rsidR="00A61729" w:rsidRDefault="00A61729" w:rsidP="00BC6687">
      <w:pPr>
        <w:contextualSpacing/>
        <w:rPr>
          <w:rFonts w:ascii="Arial" w:hAnsi="Arial" w:cs="Arial"/>
        </w:rPr>
      </w:pPr>
      <w:r w:rsidRPr="00A61729">
        <w:rPr>
          <w:rFonts w:ascii="Arial" w:hAnsi="Arial" w:cs="Arial"/>
        </w:rPr>
        <w:t xml:space="preserve"> </w:t>
      </w:r>
    </w:p>
    <w:p w14:paraId="7750FFC7" w14:textId="1B9DFD47" w:rsidR="00A61729" w:rsidRPr="00A61729" w:rsidRDefault="00A61729" w:rsidP="00A6172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61729">
        <w:rPr>
          <w:rFonts w:ascii="Arial" w:hAnsi="Arial" w:cs="Arial"/>
        </w:rPr>
        <w:t>an extract from the clinical report showing you have personally provided the service to the patient</w:t>
      </w:r>
      <w:r w:rsidR="001B3452">
        <w:rPr>
          <w:rFonts w:ascii="Arial" w:hAnsi="Arial" w:cs="Arial"/>
        </w:rPr>
        <w:t xml:space="preserve"> e.g.</w:t>
      </w:r>
      <w:r w:rsidRPr="00A61729">
        <w:rPr>
          <w:rFonts w:ascii="Arial" w:hAnsi="Arial" w:cs="Arial"/>
        </w:rPr>
        <w:t xml:space="preserve"> notes in the clinical record made by you during or soon after consultation with the patient </w:t>
      </w:r>
    </w:p>
    <w:p w14:paraId="10B0A21D" w14:textId="71B29113" w:rsidR="00A61729" w:rsidRPr="00A61729" w:rsidRDefault="00A61729" w:rsidP="00A6172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61729">
        <w:rPr>
          <w:rFonts w:ascii="Arial" w:hAnsi="Arial" w:cs="Arial"/>
        </w:rPr>
        <w:t>a valid referral clearly showing the patient's name, date of referral</w:t>
      </w:r>
      <w:r w:rsidR="001B3452">
        <w:rPr>
          <w:rFonts w:ascii="Arial" w:hAnsi="Arial" w:cs="Arial"/>
        </w:rPr>
        <w:t>,</w:t>
      </w:r>
      <w:r w:rsidRPr="00A61729">
        <w:rPr>
          <w:rFonts w:ascii="Arial" w:hAnsi="Arial" w:cs="Arial"/>
        </w:rPr>
        <w:t xml:space="preserve"> and the name/s of the referring practitioner, specialist and</w:t>
      </w:r>
      <w:r w:rsidR="001B3452">
        <w:rPr>
          <w:rFonts w:ascii="Arial" w:hAnsi="Arial" w:cs="Arial"/>
        </w:rPr>
        <w:t>/</w:t>
      </w:r>
      <w:r w:rsidRPr="00A61729">
        <w:rPr>
          <w:rFonts w:ascii="Arial" w:hAnsi="Arial" w:cs="Arial"/>
        </w:rPr>
        <w:t xml:space="preserve">or consultant physician, and </w:t>
      </w:r>
    </w:p>
    <w:p w14:paraId="3F2A2AC9" w14:textId="77777777" w:rsidR="00A61729" w:rsidRPr="00A61729" w:rsidRDefault="00A61729" w:rsidP="00A6172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61729">
        <w:rPr>
          <w:rFonts w:ascii="Arial" w:hAnsi="Arial" w:cs="Arial"/>
        </w:rPr>
        <w:t xml:space="preserve">any other documents that you consider may show you personally performed the consultation to the patient on the specific day and time </w:t>
      </w:r>
    </w:p>
    <w:p w14:paraId="66DCBC71" w14:textId="77777777" w:rsidR="00A61729" w:rsidRDefault="00A61729" w:rsidP="00BC6687">
      <w:pPr>
        <w:contextualSpacing/>
        <w:rPr>
          <w:rFonts w:ascii="Arial" w:hAnsi="Arial" w:cs="Arial"/>
        </w:rPr>
      </w:pPr>
    </w:p>
    <w:p w14:paraId="605EAE65" w14:textId="6A746AAE" w:rsidR="00A61729" w:rsidRDefault="00A61729" w:rsidP="00BC6687">
      <w:pPr>
        <w:contextualSpacing/>
        <w:rPr>
          <w:rFonts w:ascii="Arial" w:hAnsi="Arial" w:cs="Arial"/>
        </w:rPr>
      </w:pPr>
      <w:r w:rsidRPr="00A61729">
        <w:rPr>
          <w:rFonts w:ascii="Arial" w:hAnsi="Arial" w:cs="Arial"/>
        </w:rPr>
        <w:t>If you need to use a patient's clinical information</w:t>
      </w:r>
      <w:r w:rsidR="001B3452">
        <w:rPr>
          <w:rFonts w:ascii="Arial" w:hAnsi="Arial" w:cs="Arial"/>
        </w:rPr>
        <w:t>,</w:t>
      </w:r>
      <w:r w:rsidRPr="00A61729">
        <w:rPr>
          <w:rFonts w:ascii="Arial" w:hAnsi="Arial" w:cs="Arial"/>
        </w:rPr>
        <w:t xml:space="preserve"> you can censor any details that ar</w:t>
      </w:r>
      <w:r w:rsidR="001B3452">
        <w:rPr>
          <w:rFonts w:ascii="Arial" w:hAnsi="Arial" w:cs="Arial"/>
        </w:rPr>
        <w:t xml:space="preserve">e </w:t>
      </w:r>
      <w:r w:rsidRPr="00A61729">
        <w:rPr>
          <w:rFonts w:ascii="Arial" w:hAnsi="Arial" w:cs="Arial"/>
        </w:rPr>
        <w:t xml:space="preserve"> </w:t>
      </w:r>
      <w:r w:rsidR="00E07D92">
        <w:rPr>
          <w:rFonts w:ascii="Arial" w:hAnsi="Arial" w:cs="Arial"/>
        </w:rPr>
        <w:t>ir</w:t>
      </w:r>
      <w:r w:rsidRPr="00A61729">
        <w:rPr>
          <w:rFonts w:ascii="Arial" w:hAnsi="Arial" w:cs="Arial"/>
        </w:rPr>
        <w:t>relevant</w:t>
      </w:r>
      <w:r w:rsidR="001B3452">
        <w:rPr>
          <w:rFonts w:ascii="Arial" w:hAnsi="Arial" w:cs="Arial"/>
        </w:rPr>
        <w:t xml:space="preserve"> to substantiating the claim</w:t>
      </w:r>
      <w:r w:rsidRPr="00A61729">
        <w:rPr>
          <w:rFonts w:ascii="Arial" w:hAnsi="Arial" w:cs="Arial"/>
        </w:rPr>
        <w:t xml:space="preserve">. You can also choose to provide the information to one of our medical advisers. </w:t>
      </w:r>
    </w:p>
    <w:p w14:paraId="7E35A070" w14:textId="77777777" w:rsidR="00A61729" w:rsidRDefault="00A61729" w:rsidP="00BC6687">
      <w:pPr>
        <w:contextualSpacing/>
        <w:rPr>
          <w:rFonts w:ascii="Arial" w:hAnsi="Arial" w:cs="Arial"/>
        </w:rPr>
      </w:pPr>
    </w:p>
    <w:p w14:paraId="7238DE08" w14:textId="0F2D91D2" w:rsidR="00BC6687" w:rsidRDefault="00A61729" w:rsidP="00BC6687">
      <w:pPr>
        <w:contextualSpacing/>
        <w:rPr>
          <w:rFonts w:ascii="Arial" w:hAnsi="Arial" w:cs="Arial"/>
        </w:rPr>
      </w:pPr>
      <w:r w:rsidRPr="00A61729">
        <w:rPr>
          <w:rFonts w:ascii="Arial" w:hAnsi="Arial" w:cs="Arial"/>
        </w:rPr>
        <w:t>To understand the special referral requirements for referrals made within a hospital, and for additional information on general referral requirements, refer to MBS explanatory note G</w:t>
      </w:r>
      <w:r w:rsidR="000672D8">
        <w:rPr>
          <w:rFonts w:ascii="Arial" w:hAnsi="Arial" w:cs="Arial"/>
        </w:rPr>
        <w:t>N</w:t>
      </w:r>
      <w:r w:rsidRPr="00A61729">
        <w:rPr>
          <w:rFonts w:ascii="Arial" w:hAnsi="Arial" w:cs="Arial"/>
        </w:rPr>
        <w:t>6.1</w:t>
      </w:r>
      <w:r w:rsidR="0027526B">
        <w:rPr>
          <w:rFonts w:ascii="Arial" w:hAnsi="Arial" w:cs="Arial"/>
        </w:rPr>
        <w:t>6</w:t>
      </w:r>
      <w:r w:rsidRPr="00A61729">
        <w:rPr>
          <w:rFonts w:ascii="Arial" w:hAnsi="Arial" w:cs="Arial"/>
        </w:rPr>
        <w:t xml:space="preserve">, available at </w:t>
      </w:r>
      <w:hyperlink r:id="rId12" w:history="1">
        <w:r w:rsidRPr="00A61729">
          <w:rPr>
            <w:rStyle w:val="Hyperlink"/>
            <w:rFonts w:ascii="Arial" w:hAnsi="Arial" w:cs="Arial"/>
          </w:rPr>
          <w:t>MBS Online</w:t>
        </w:r>
      </w:hyperlink>
      <w:r w:rsidR="001B3452">
        <w:rPr>
          <w:rFonts w:ascii="Arial" w:hAnsi="Arial" w:cs="Arial"/>
        </w:rPr>
        <w:t xml:space="preserve"> provides information on referral requirements</w:t>
      </w:r>
    </w:p>
    <w:p w14:paraId="302F11B9" w14:textId="77777777" w:rsidR="00420D02" w:rsidRPr="00BC6687" w:rsidRDefault="00420D02" w:rsidP="00BC6687">
      <w:pPr>
        <w:contextualSpacing/>
        <w:rPr>
          <w:rFonts w:ascii="Arial" w:hAnsi="Arial" w:cs="Arial"/>
        </w:rPr>
      </w:pPr>
    </w:p>
    <w:p w14:paraId="6B050FA1" w14:textId="77777777" w:rsidR="00420D02" w:rsidRPr="00D95ABD" w:rsidRDefault="00420D02" w:rsidP="00BC6687">
      <w:pPr>
        <w:contextualSpacing/>
        <w:rPr>
          <w:rFonts w:ascii="Arial" w:hAnsi="Arial" w:cs="Arial"/>
          <w:b/>
          <w:bCs/>
          <w:color w:val="008080"/>
          <w:sz w:val="26"/>
          <w:szCs w:val="26"/>
        </w:rPr>
      </w:pPr>
      <w:r w:rsidRPr="00D95ABD">
        <w:rPr>
          <w:rFonts w:ascii="Arial" w:hAnsi="Arial" w:cs="Arial"/>
          <w:b/>
          <w:bCs/>
          <w:color w:val="008080"/>
          <w:sz w:val="26"/>
          <w:szCs w:val="26"/>
        </w:rPr>
        <w:t xml:space="preserve">Resources </w:t>
      </w:r>
    </w:p>
    <w:p w14:paraId="212728C1" w14:textId="25A324A0" w:rsidR="00946FFB" w:rsidRPr="00A61729" w:rsidRDefault="00A61729" w:rsidP="00BC6687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"http://www.mbsonline.gov.au/internet/mbsonline/publishing.nsf/Content/Home" </w:instrText>
      </w:r>
      <w:r>
        <w:rPr>
          <w:rFonts w:ascii="Arial" w:hAnsi="Arial" w:cs="Arial"/>
        </w:rPr>
        <w:fldChar w:fldCharType="separate"/>
      </w:r>
      <w:r w:rsidR="00420D02" w:rsidRPr="00A61729">
        <w:rPr>
          <w:rStyle w:val="Hyperlink"/>
          <w:rFonts w:ascii="Arial" w:hAnsi="Arial" w:cs="Arial"/>
        </w:rPr>
        <w:t>MBS Online</w:t>
      </w:r>
    </w:p>
    <w:p w14:paraId="0202A2AB" w14:textId="293A1A88" w:rsidR="00A61729" w:rsidRPr="00A61729" w:rsidRDefault="00A61729" w:rsidP="00BC668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hyperlink r:id="rId13" w:history="1">
        <w:r w:rsidRPr="00A61729">
          <w:rPr>
            <w:rStyle w:val="Hyperlink"/>
            <w:rFonts w:ascii="Arial" w:hAnsi="Arial" w:cs="Arial"/>
          </w:rPr>
          <w:t>Health Insurance Act 1973</w:t>
        </w:r>
      </w:hyperlink>
      <w:r w:rsidRPr="00A61729">
        <w:rPr>
          <w:rFonts w:ascii="Arial" w:hAnsi="Arial" w:cs="Arial"/>
        </w:rPr>
        <w:t xml:space="preserve"> </w:t>
      </w:r>
    </w:p>
    <w:p w14:paraId="2A518524" w14:textId="498B95F1" w:rsidR="00A61729" w:rsidRPr="00A61729" w:rsidRDefault="00A8699A" w:rsidP="00BC668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hyperlink r:id="rId14" w:history="1">
        <w:r w:rsidR="00A61729" w:rsidRPr="00A61729">
          <w:rPr>
            <w:rStyle w:val="Hyperlink"/>
            <w:rFonts w:ascii="Arial" w:hAnsi="Arial" w:cs="Arial"/>
          </w:rPr>
          <w:t>Health Insurance (general Medical Services Table) Regulations 2021</w:t>
        </w:r>
      </w:hyperlink>
    </w:p>
    <w:p w14:paraId="4C1C914F" w14:textId="043721A5" w:rsidR="00A61729" w:rsidRPr="00A61729" w:rsidRDefault="00A8699A" w:rsidP="00BC668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hyperlink r:id="rId15" w:history="1">
        <w:r w:rsidR="00A61729" w:rsidRPr="00823D0F">
          <w:rPr>
            <w:rStyle w:val="Hyperlink"/>
            <w:rFonts w:ascii="Arial" w:hAnsi="Arial" w:cs="Arial"/>
          </w:rPr>
          <w:t xml:space="preserve">Health Insurance Regulations </w:t>
        </w:r>
        <w:r w:rsidR="00823D0F" w:rsidRPr="00823D0F">
          <w:rPr>
            <w:rStyle w:val="Hyperlink"/>
            <w:rFonts w:ascii="Arial" w:hAnsi="Arial" w:cs="Arial"/>
          </w:rPr>
          <w:t>2018</w:t>
        </w:r>
      </w:hyperlink>
    </w:p>
    <w:p w14:paraId="7D1453DC" w14:textId="5AA0CD6B" w:rsidR="00A61729" w:rsidRPr="00A61729" w:rsidRDefault="00A8699A" w:rsidP="00BC668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hyperlink r:id="rId16" w:history="1">
        <w:r w:rsidR="00A61729" w:rsidRPr="00823D0F">
          <w:rPr>
            <w:rStyle w:val="Hyperlink"/>
            <w:rFonts w:ascii="Arial" w:hAnsi="Arial" w:cs="Arial"/>
          </w:rPr>
          <w:t>Health Professional Guideline – Substantiating that a valid referral existed (from specialist or consultant physician</w:t>
        </w:r>
      </w:hyperlink>
    </w:p>
    <w:sectPr w:rsidR="00A61729" w:rsidRPr="00A61729" w:rsidSect="00BC6687">
      <w:footerReference w:type="default" r:id="rId17"/>
      <w:footerReference w:type="first" r:id="rId18"/>
      <w:pgSz w:w="11906" w:h="16838" w:code="9"/>
      <w:pgMar w:top="567" w:right="1247" w:bottom="992" w:left="124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78311" w14:textId="77777777" w:rsidR="00BC772E" w:rsidRDefault="00BC772E">
      <w:r>
        <w:separator/>
      </w:r>
    </w:p>
  </w:endnote>
  <w:endnote w:type="continuationSeparator" w:id="0">
    <w:p w14:paraId="4346AB25" w14:textId="77777777" w:rsidR="00BC772E" w:rsidRDefault="00BC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0829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B5EBF" w14:textId="332D13EA" w:rsidR="00634FF8" w:rsidRDefault="00634F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486C1B" w14:textId="3F581285" w:rsidR="00634FF8" w:rsidRPr="00634FF8" w:rsidRDefault="00634FF8" w:rsidP="00634FF8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3527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7780C" w14:textId="1EB7E35F" w:rsidR="00634FF8" w:rsidRDefault="00634F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C39B64" w14:textId="7BCE90D7" w:rsidR="00D912DB" w:rsidRPr="00CF3477" w:rsidRDefault="00D912DB" w:rsidP="004557B9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C4F9A" w14:textId="77777777" w:rsidR="00BC772E" w:rsidRDefault="00BC772E">
      <w:r>
        <w:separator/>
      </w:r>
    </w:p>
  </w:footnote>
  <w:footnote w:type="continuationSeparator" w:id="0">
    <w:p w14:paraId="0BF3D38A" w14:textId="77777777" w:rsidR="00BC772E" w:rsidRDefault="00BC7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750DD"/>
    <w:multiLevelType w:val="hybridMultilevel"/>
    <w:tmpl w:val="0B5C0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B34EC"/>
    <w:multiLevelType w:val="hybridMultilevel"/>
    <w:tmpl w:val="25BE6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C2A8B"/>
    <w:multiLevelType w:val="hybridMultilevel"/>
    <w:tmpl w:val="80B4F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07B82"/>
    <w:multiLevelType w:val="hybridMultilevel"/>
    <w:tmpl w:val="F5240B7C"/>
    <w:lvl w:ilvl="0" w:tplc="E05CC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81313"/>
    <w:multiLevelType w:val="hybridMultilevel"/>
    <w:tmpl w:val="ED684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52E8"/>
    <w:multiLevelType w:val="hybridMultilevel"/>
    <w:tmpl w:val="AEE6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FB"/>
    <w:rsid w:val="0000021D"/>
    <w:rsid w:val="00041E2E"/>
    <w:rsid w:val="000460C4"/>
    <w:rsid w:val="00047105"/>
    <w:rsid w:val="00063FB6"/>
    <w:rsid w:val="000672D8"/>
    <w:rsid w:val="00072F0C"/>
    <w:rsid w:val="000906BD"/>
    <w:rsid w:val="000A1FE5"/>
    <w:rsid w:val="000B478D"/>
    <w:rsid w:val="000E4D22"/>
    <w:rsid w:val="000F2591"/>
    <w:rsid w:val="001014B8"/>
    <w:rsid w:val="00112C73"/>
    <w:rsid w:val="001162DE"/>
    <w:rsid w:val="001305E2"/>
    <w:rsid w:val="001360C1"/>
    <w:rsid w:val="001572D2"/>
    <w:rsid w:val="00160564"/>
    <w:rsid w:val="0017608F"/>
    <w:rsid w:val="00182C46"/>
    <w:rsid w:val="00190EE6"/>
    <w:rsid w:val="0019136C"/>
    <w:rsid w:val="001B3452"/>
    <w:rsid w:val="001D75A2"/>
    <w:rsid w:val="001E4026"/>
    <w:rsid w:val="001E4F10"/>
    <w:rsid w:val="001F0D48"/>
    <w:rsid w:val="00235958"/>
    <w:rsid w:val="002426B3"/>
    <w:rsid w:val="0024276B"/>
    <w:rsid w:val="00250594"/>
    <w:rsid w:val="00251E49"/>
    <w:rsid w:val="0026397D"/>
    <w:rsid w:val="00273053"/>
    <w:rsid w:val="0027526B"/>
    <w:rsid w:val="002D1A4C"/>
    <w:rsid w:val="002E45FF"/>
    <w:rsid w:val="002F3611"/>
    <w:rsid w:val="00300F73"/>
    <w:rsid w:val="00305883"/>
    <w:rsid w:val="003060D2"/>
    <w:rsid w:val="0030702A"/>
    <w:rsid w:val="00310CDA"/>
    <w:rsid w:val="00363CF2"/>
    <w:rsid w:val="00372506"/>
    <w:rsid w:val="003C1944"/>
    <w:rsid w:val="003C464D"/>
    <w:rsid w:val="004124E0"/>
    <w:rsid w:val="00413130"/>
    <w:rsid w:val="00420B2C"/>
    <w:rsid w:val="00420D02"/>
    <w:rsid w:val="004227ED"/>
    <w:rsid w:val="004352FF"/>
    <w:rsid w:val="0044416F"/>
    <w:rsid w:val="0044779A"/>
    <w:rsid w:val="004557B9"/>
    <w:rsid w:val="00461016"/>
    <w:rsid w:val="00465451"/>
    <w:rsid w:val="004701C4"/>
    <w:rsid w:val="004735A2"/>
    <w:rsid w:val="004776E8"/>
    <w:rsid w:val="0048137D"/>
    <w:rsid w:val="004864D9"/>
    <w:rsid w:val="004972B9"/>
    <w:rsid w:val="004C0B1F"/>
    <w:rsid w:val="004C7B6B"/>
    <w:rsid w:val="004E33D9"/>
    <w:rsid w:val="004F3200"/>
    <w:rsid w:val="00501BE0"/>
    <w:rsid w:val="005025B0"/>
    <w:rsid w:val="005041DA"/>
    <w:rsid w:val="00516621"/>
    <w:rsid w:val="00531B2D"/>
    <w:rsid w:val="00536627"/>
    <w:rsid w:val="0054002A"/>
    <w:rsid w:val="005455D2"/>
    <w:rsid w:val="005527BE"/>
    <w:rsid w:val="00552FCD"/>
    <w:rsid w:val="00556242"/>
    <w:rsid w:val="00562816"/>
    <w:rsid w:val="005704BD"/>
    <w:rsid w:val="0057330E"/>
    <w:rsid w:val="0057442F"/>
    <w:rsid w:val="005D2DB1"/>
    <w:rsid w:val="005E3018"/>
    <w:rsid w:val="005E57FD"/>
    <w:rsid w:val="005F028C"/>
    <w:rsid w:val="006009CC"/>
    <w:rsid w:val="00631ADC"/>
    <w:rsid w:val="006344A2"/>
    <w:rsid w:val="00634FF8"/>
    <w:rsid w:val="0063526B"/>
    <w:rsid w:val="006353C6"/>
    <w:rsid w:val="00635412"/>
    <w:rsid w:val="00641F00"/>
    <w:rsid w:val="00650E1D"/>
    <w:rsid w:val="00654CE5"/>
    <w:rsid w:val="00676983"/>
    <w:rsid w:val="00691B7D"/>
    <w:rsid w:val="006A3B8F"/>
    <w:rsid w:val="006B4D31"/>
    <w:rsid w:val="006E7D7A"/>
    <w:rsid w:val="006F025E"/>
    <w:rsid w:val="006F3DF8"/>
    <w:rsid w:val="007004A3"/>
    <w:rsid w:val="00706A24"/>
    <w:rsid w:val="007211BC"/>
    <w:rsid w:val="0072510E"/>
    <w:rsid w:val="00730354"/>
    <w:rsid w:val="00731FCD"/>
    <w:rsid w:val="007744F2"/>
    <w:rsid w:val="00775FE4"/>
    <w:rsid w:val="00782FCB"/>
    <w:rsid w:val="007A3D38"/>
    <w:rsid w:val="007A6745"/>
    <w:rsid w:val="007B097B"/>
    <w:rsid w:val="007C7AFD"/>
    <w:rsid w:val="007F3885"/>
    <w:rsid w:val="00820DF9"/>
    <w:rsid w:val="00822C1A"/>
    <w:rsid w:val="008237DB"/>
    <w:rsid w:val="00823D0F"/>
    <w:rsid w:val="00834CB4"/>
    <w:rsid w:val="00855778"/>
    <w:rsid w:val="008621C3"/>
    <w:rsid w:val="0089317D"/>
    <w:rsid w:val="00893978"/>
    <w:rsid w:val="0089439E"/>
    <w:rsid w:val="00894F47"/>
    <w:rsid w:val="008A4ACD"/>
    <w:rsid w:val="008A79A4"/>
    <w:rsid w:val="008B0D7D"/>
    <w:rsid w:val="00910FFC"/>
    <w:rsid w:val="00911F6E"/>
    <w:rsid w:val="00912F75"/>
    <w:rsid w:val="00915116"/>
    <w:rsid w:val="0093202A"/>
    <w:rsid w:val="0093466D"/>
    <w:rsid w:val="00935E4C"/>
    <w:rsid w:val="00937489"/>
    <w:rsid w:val="00946FFB"/>
    <w:rsid w:val="009537B3"/>
    <w:rsid w:val="009539F4"/>
    <w:rsid w:val="00960916"/>
    <w:rsid w:val="0096146C"/>
    <w:rsid w:val="0096629A"/>
    <w:rsid w:val="00973568"/>
    <w:rsid w:val="009800E4"/>
    <w:rsid w:val="009A2CD9"/>
    <w:rsid w:val="009A7761"/>
    <w:rsid w:val="009C3F3F"/>
    <w:rsid w:val="009E3D9F"/>
    <w:rsid w:val="009F2C8F"/>
    <w:rsid w:val="009F4DAC"/>
    <w:rsid w:val="009F5453"/>
    <w:rsid w:val="00A07D4C"/>
    <w:rsid w:val="00A114A1"/>
    <w:rsid w:val="00A20BC6"/>
    <w:rsid w:val="00A235B4"/>
    <w:rsid w:val="00A241EB"/>
    <w:rsid w:val="00A309A6"/>
    <w:rsid w:val="00A3597C"/>
    <w:rsid w:val="00A53488"/>
    <w:rsid w:val="00A61729"/>
    <w:rsid w:val="00A832DF"/>
    <w:rsid w:val="00A84ACC"/>
    <w:rsid w:val="00A8699A"/>
    <w:rsid w:val="00A932D3"/>
    <w:rsid w:val="00AB2279"/>
    <w:rsid w:val="00AC7598"/>
    <w:rsid w:val="00AD398E"/>
    <w:rsid w:val="00AD5262"/>
    <w:rsid w:val="00AD718D"/>
    <w:rsid w:val="00AE2684"/>
    <w:rsid w:val="00AF08B4"/>
    <w:rsid w:val="00B047E4"/>
    <w:rsid w:val="00B07DEA"/>
    <w:rsid w:val="00B14849"/>
    <w:rsid w:val="00B20688"/>
    <w:rsid w:val="00B21ED6"/>
    <w:rsid w:val="00B33270"/>
    <w:rsid w:val="00B372F0"/>
    <w:rsid w:val="00B53800"/>
    <w:rsid w:val="00B5725E"/>
    <w:rsid w:val="00B60BFA"/>
    <w:rsid w:val="00B61C58"/>
    <w:rsid w:val="00B7391A"/>
    <w:rsid w:val="00B8737D"/>
    <w:rsid w:val="00BC6687"/>
    <w:rsid w:val="00BC772E"/>
    <w:rsid w:val="00BE388C"/>
    <w:rsid w:val="00BF7CB2"/>
    <w:rsid w:val="00C12EEB"/>
    <w:rsid w:val="00C21FDA"/>
    <w:rsid w:val="00C23A31"/>
    <w:rsid w:val="00C45D29"/>
    <w:rsid w:val="00C67E28"/>
    <w:rsid w:val="00C8019D"/>
    <w:rsid w:val="00C853DD"/>
    <w:rsid w:val="00C91ACF"/>
    <w:rsid w:val="00C94B88"/>
    <w:rsid w:val="00CA627A"/>
    <w:rsid w:val="00CB6189"/>
    <w:rsid w:val="00CC0246"/>
    <w:rsid w:val="00CD5206"/>
    <w:rsid w:val="00CE4691"/>
    <w:rsid w:val="00CE4823"/>
    <w:rsid w:val="00CF3477"/>
    <w:rsid w:val="00D2278F"/>
    <w:rsid w:val="00D23FF4"/>
    <w:rsid w:val="00D451B8"/>
    <w:rsid w:val="00D67CDE"/>
    <w:rsid w:val="00D73387"/>
    <w:rsid w:val="00D8450A"/>
    <w:rsid w:val="00D912DB"/>
    <w:rsid w:val="00D91587"/>
    <w:rsid w:val="00D95ABD"/>
    <w:rsid w:val="00DA0569"/>
    <w:rsid w:val="00DB0AD2"/>
    <w:rsid w:val="00DD3C8A"/>
    <w:rsid w:val="00DD5414"/>
    <w:rsid w:val="00DF116F"/>
    <w:rsid w:val="00E07D92"/>
    <w:rsid w:val="00E25AED"/>
    <w:rsid w:val="00E50657"/>
    <w:rsid w:val="00E5582E"/>
    <w:rsid w:val="00E579D8"/>
    <w:rsid w:val="00E645C6"/>
    <w:rsid w:val="00E6675A"/>
    <w:rsid w:val="00E8736E"/>
    <w:rsid w:val="00E873F1"/>
    <w:rsid w:val="00E90961"/>
    <w:rsid w:val="00EB0ED3"/>
    <w:rsid w:val="00EC415E"/>
    <w:rsid w:val="00EC4A7B"/>
    <w:rsid w:val="00ED7514"/>
    <w:rsid w:val="00EE4373"/>
    <w:rsid w:val="00EF14F5"/>
    <w:rsid w:val="00F00237"/>
    <w:rsid w:val="00F016A4"/>
    <w:rsid w:val="00F054E3"/>
    <w:rsid w:val="00F141C6"/>
    <w:rsid w:val="00F21E8A"/>
    <w:rsid w:val="00F35708"/>
    <w:rsid w:val="00F41061"/>
    <w:rsid w:val="00F54B4A"/>
    <w:rsid w:val="00F72B1B"/>
    <w:rsid w:val="00F872E2"/>
    <w:rsid w:val="00FC3B9C"/>
    <w:rsid w:val="00FC639D"/>
    <w:rsid w:val="00FE41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A382F5B"/>
  <w15:docId w15:val="{D327E665-3C3C-46DC-805D-BEC4CB03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CD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5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FCD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D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6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6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2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78F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78F"/>
    <w:rPr>
      <w:rFonts w:ascii="Book Antiqua" w:hAnsi="Book Antiqua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2278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B3452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legislation.gov.au/Details/C2021C0028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bsonline.gov.au/internet/mbsonline/publishing.nsf/Content/Hom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health.gov.au/resources/publications/guideline-for-substantiating-that-a-valid-referral-existed-from-specialist-or-consultant-physici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collections/health-professional-guidelines?utm_source=health.gov.au&amp;utm_medium=callout-auto-custom&amp;utm_campaign=digital_transform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gislation.gov.au/Details/F2021C00789" TargetMode="External"/><Relationship Id="rId10" Type="http://schemas.openxmlformats.org/officeDocument/2006/relationships/hyperlink" Target="http://www.mbsonline.gov.au/internet/mbsonline/publishing.nsf/Content/Hom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egislation.gov.au/Details/F2021C011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D318-6B79-46F3-B0BA-09AFE74B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3607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Letterhead Templates</vt:lpstr>
    </vt:vector>
  </TitlesOfParts>
  <Company>Department of Health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Letterhead Templates</dc:title>
  <dc:creator>BRANNON, Sean</dc:creator>
  <cp:lastModifiedBy>ABEL, Dion</cp:lastModifiedBy>
  <cp:revision>2</cp:revision>
  <cp:lastPrinted>2007-10-31T23:22:00Z</cp:lastPrinted>
  <dcterms:created xsi:type="dcterms:W3CDTF">2022-01-17T00:02:00Z</dcterms:created>
  <dcterms:modified xsi:type="dcterms:W3CDTF">2022-01-17T00:02:00Z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Address">
    <vt:lpwstr> GPO Box 9848 Canberra ACT 2601</vt:lpwstr>
  </property>
  <property fmtid="{D5CDD505-2E9C-101B-9397-08002B2CF9AE}" pid="3" name="PhoneLabel">
    <vt:lpwstr/>
  </property>
  <property fmtid="{D5CDD505-2E9C-101B-9397-08002B2CF9AE}" pid="4" name="EmailLabel">
    <vt:lpwstr/>
  </property>
  <property fmtid="{D5CDD505-2E9C-101B-9397-08002B2CF9AE}" pid="5" name="Website">
    <vt:lpwstr>- www.health.gov.au</vt:lpwstr>
  </property>
  <property fmtid="{D5CDD505-2E9C-101B-9397-08002B2CF9AE}" pid="6" name="PhoneValue">
    <vt:lpwstr/>
  </property>
  <property fmtid="{D5CDD505-2E9C-101B-9397-08002B2CF9AE}" pid="7" name="EmailValue">
    <vt:lpwstr/>
  </property>
</Properties>
</file>