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BC8E9" w14:textId="73359897" w:rsidR="000E0F5B" w:rsidRPr="00907903" w:rsidRDefault="000E0F5B" w:rsidP="000E0F5B">
      <w:pPr>
        <w:pStyle w:val="Heading1"/>
        <w:sectPr w:rsidR="000E0F5B" w:rsidRPr="00907903" w:rsidSect="009A32AD">
          <w:headerReference w:type="default" r:id="rId8"/>
          <w:footerReference w:type="default" r:id="rId9"/>
          <w:headerReference w:type="first" r:id="rId10"/>
          <w:footerReference w:type="first" r:id="rId11"/>
          <w:pgSz w:w="11906" w:h="16838"/>
          <w:pgMar w:top="1701" w:right="1418" w:bottom="1418" w:left="1418" w:header="57" w:footer="567" w:gutter="0"/>
          <w:cols w:space="708"/>
          <w:titlePg/>
          <w:docGrid w:linePitch="360"/>
        </w:sectPr>
      </w:pPr>
      <w:bookmarkStart w:id="0" w:name="_Hlk83975470"/>
      <w:bookmarkEnd w:id="0"/>
      <w:r w:rsidRPr="00907903">
        <w:t>Commonwealth Home Support Programme (CHSP)</w:t>
      </w:r>
      <w:r w:rsidR="00524BFF">
        <w:t xml:space="preserve"> Extension – </w:t>
      </w:r>
      <w:r w:rsidR="00B44888">
        <w:t xml:space="preserve">Negotiations, </w:t>
      </w:r>
      <w:r w:rsidR="00524BFF">
        <w:t xml:space="preserve">Transition Support and </w:t>
      </w:r>
      <w:r w:rsidR="002343B0">
        <w:t xml:space="preserve">Remote </w:t>
      </w:r>
      <w:r w:rsidR="00524BFF">
        <w:t>Loadings</w:t>
      </w:r>
    </w:p>
    <w:p w14:paraId="0BD751D0" w14:textId="1B98793D" w:rsidR="000E0F5B" w:rsidRDefault="00187213" w:rsidP="000E0F5B">
      <w:pPr>
        <w:pStyle w:val="Heading2"/>
      </w:pPr>
      <w:r>
        <w:t>Overview</w:t>
      </w:r>
    </w:p>
    <w:p w14:paraId="766AF0F5" w14:textId="72E99F32" w:rsidR="00524BFF" w:rsidRDefault="00733041" w:rsidP="00524BFF">
      <w:pPr>
        <w:pStyle w:val="Paragraphtext"/>
      </w:pPr>
      <w:r>
        <w:t>In October</w:t>
      </w:r>
      <w:r w:rsidR="00B61127">
        <w:t xml:space="preserve"> 2021</w:t>
      </w:r>
      <w:r>
        <w:t xml:space="preserve">, the Department of Health announced transition support options to help CHSP providers transition to payment in arrears. Further, in recognition of the cost of service delivery in remote and very remote regions, providers </w:t>
      </w:r>
      <w:r w:rsidR="004A4519">
        <w:t xml:space="preserve">were advised they </w:t>
      </w:r>
      <w:r>
        <w:t xml:space="preserve">may </w:t>
      </w:r>
      <w:r w:rsidR="00B61127">
        <w:t xml:space="preserve">request to </w:t>
      </w:r>
      <w:r>
        <w:t xml:space="preserve">receive a unit price loading if they predominately deliver services in </w:t>
      </w:r>
      <w:r w:rsidR="00043648" w:rsidRPr="00007A8A">
        <w:t>Modified Monash Model</w:t>
      </w:r>
      <w:r>
        <w:t xml:space="preserve"> (MMM) 6 and 7 regions. </w:t>
      </w:r>
    </w:p>
    <w:p w14:paraId="718F1CEF" w14:textId="436FD7CD" w:rsidR="004E3E82" w:rsidRDefault="004E3E82" w:rsidP="004E3E82">
      <w:pPr>
        <w:pStyle w:val="Heading2"/>
      </w:pPr>
      <w:r>
        <w:t>2022-23 CHSP Contracts and Negotiations</w:t>
      </w:r>
    </w:p>
    <w:p w14:paraId="1A55E594" w14:textId="5B2254BD" w:rsidR="004E3E82" w:rsidRPr="00CE33D0" w:rsidRDefault="004E3E82" w:rsidP="004E3E82">
      <w:pPr>
        <w:pStyle w:val="Paragraphtext"/>
      </w:pPr>
      <w:r>
        <w:t xml:space="preserve">Detailed information about the Grant Agreements and the National Unit Prices were provided in the </w:t>
      </w:r>
      <w:hyperlink r:id="rId12" w:history="1">
        <w:r w:rsidRPr="00CE33D0">
          <w:rPr>
            <w:rStyle w:val="Hyperlink"/>
          </w:rPr>
          <w:t>CHSP – Payment in Arrears and Unit Pricing October update.</w:t>
        </w:r>
      </w:hyperlink>
      <w:r>
        <w:t xml:space="preserve"> As previously explained, t</w:t>
      </w:r>
      <w:r w:rsidRPr="00CE33D0">
        <w:t>here is only modest scope for CHSP providers to negotiate unit prices. Where a CHSP provider is already funded within the 2022-23 National Unit Price Range, there will be no option to negotiate, unless:</w:t>
      </w:r>
    </w:p>
    <w:p w14:paraId="6C550FD7" w14:textId="1EB96538" w:rsidR="004E3E82" w:rsidRPr="00CE33D0" w:rsidRDefault="004E3E82" w:rsidP="004E3E82">
      <w:pPr>
        <w:pStyle w:val="Paragraphtext"/>
        <w:numPr>
          <w:ilvl w:val="0"/>
          <w:numId w:val="31"/>
        </w:numPr>
      </w:pPr>
      <w:r w:rsidRPr="00CE33D0">
        <w:t xml:space="preserve">They deliver majority of services </w:t>
      </w:r>
      <w:r w:rsidRPr="00CE33D0">
        <w:rPr>
          <w:b/>
          <w:bCs/>
        </w:rPr>
        <w:t>(51% or more)</w:t>
      </w:r>
      <w:r w:rsidRPr="00CE33D0">
        <w:t xml:space="preserve"> in MMM 6 or 7</w:t>
      </w:r>
      <w:r>
        <w:t>.</w:t>
      </w:r>
    </w:p>
    <w:p w14:paraId="164DAA56" w14:textId="77777777" w:rsidR="004E3E82" w:rsidRPr="00CE33D0" w:rsidRDefault="004E3E82" w:rsidP="004E3E82">
      <w:pPr>
        <w:pStyle w:val="Paragraphtext"/>
        <w:numPr>
          <w:ilvl w:val="0"/>
          <w:numId w:val="31"/>
        </w:numPr>
      </w:pPr>
      <w:r w:rsidRPr="00CE33D0">
        <w:t>They have historically been delivering at a materially different unit price.</w:t>
      </w:r>
    </w:p>
    <w:p w14:paraId="3C8C6934" w14:textId="74205F42" w:rsidR="004E3E82" w:rsidRPr="00CE33D0" w:rsidRDefault="004E3E82" w:rsidP="004E3E82">
      <w:pPr>
        <w:pStyle w:val="Paragraphtext"/>
        <w:numPr>
          <w:ilvl w:val="0"/>
          <w:numId w:val="31"/>
        </w:numPr>
      </w:pPr>
      <w:r w:rsidRPr="00CE33D0">
        <w:t>They want to re-categorise a service into another service type</w:t>
      </w:r>
      <w:r>
        <w:t xml:space="preserve"> to </w:t>
      </w:r>
      <w:r w:rsidRPr="004E3E82">
        <w:rPr>
          <w:b/>
          <w:bCs/>
        </w:rPr>
        <w:t>correct historical anomalies</w:t>
      </w:r>
      <w:r w:rsidRPr="00CE33D0">
        <w:t>. In this instance, if they already deliver this service type, the unit price will match</w:t>
      </w:r>
      <w:r w:rsidR="008F025A">
        <w:t xml:space="preserve"> the</w:t>
      </w:r>
      <w:r w:rsidR="00070769">
        <w:t>ir</w:t>
      </w:r>
      <w:r w:rsidR="008F025A">
        <w:t xml:space="preserve"> </w:t>
      </w:r>
      <w:proofErr w:type="gramStart"/>
      <w:r w:rsidR="008F025A">
        <w:t>2022-23 unit</w:t>
      </w:r>
      <w:proofErr w:type="gramEnd"/>
      <w:r w:rsidR="008F025A">
        <w:t xml:space="preserve"> price</w:t>
      </w:r>
      <w:r w:rsidRPr="00CE33D0">
        <w:t xml:space="preserve">, </w:t>
      </w:r>
      <w:r w:rsidR="008F025A">
        <w:t>and</w:t>
      </w:r>
      <w:r w:rsidRPr="00CE33D0">
        <w:t xml:space="preserve"> outputs would be calculated such that there is no change to the total value of the contract. Otherwise, if they are adding a new service type to their contract, Health will need to confirm the new unit price and outputs.</w:t>
      </w:r>
    </w:p>
    <w:p w14:paraId="71ACC010" w14:textId="755F8ADB" w:rsidR="004E3E82" w:rsidRPr="00CE33D0" w:rsidRDefault="004E3E82" w:rsidP="004E3E82">
      <w:pPr>
        <w:pStyle w:val="Paragraphtext"/>
      </w:pPr>
      <w:r w:rsidRPr="00CE33D0">
        <w:t xml:space="preserve">In order to ensure funding </w:t>
      </w:r>
      <w:proofErr w:type="gramStart"/>
      <w:r w:rsidRPr="00CE33D0">
        <w:t>levels</w:t>
      </w:r>
      <w:proofErr w:type="gramEnd"/>
      <w:r w:rsidRPr="00CE33D0">
        <w:t xml:space="preserve"> remain unchanged, </w:t>
      </w:r>
      <w:r w:rsidR="000F7EC9">
        <w:t>the number of units (or outputs)</w:t>
      </w:r>
      <w:r w:rsidRPr="004E3E82">
        <w:t xml:space="preserve"> for activities will</w:t>
      </w:r>
      <w:r w:rsidRPr="00CE33D0">
        <w:t xml:space="preserve"> also be adjusted in the following way</w:t>
      </w:r>
      <w:r w:rsidR="004A4519">
        <w:t>s</w:t>
      </w:r>
      <w:r w:rsidRPr="00CE33D0">
        <w:t xml:space="preserve">: </w:t>
      </w:r>
    </w:p>
    <w:p w14:paraId="0B510D4B" w14:textId="04620C35" w:rsidR="004E3E82" w:rsidRPr="00CE33D0" w:rsidRDefault="004E3E82" w:rsidP="00447288">
      <w:pPr>
        <w:pStyle w:val="Paragraphtext"/>
        <w:numPr>
          <w:ilvl w:val="0"/>
          <w:numId w:val="30"/>
        </w:numPr>
      </w:pPr>
      <w:r w:rsidRPr="00CE33D0">
        <w:rPr>
          <w:b/>
          <w:bCs/>
        </w:rPr>
        <w:t>Provider is currently funded above the price range</w:t>
      </w:r>
      <w:r w:rsidRPr="00CE33D0">
        <w:t xml:space="preserve"> - the funded unit price will be reduced to the top of the </w:t>
      </w:r>
      <w:r>
        <w:t>National U</w:t>
      </w:r>
      <w:r w:rsidRPr="00CE33D0">
        <w:t xml:space="preserve">nit </w:t>
      </w:r>
      <w:r>
        <w:t>P</w:t>
      </w:r>
      <w:r w:rsidRPr="00CE33D0">
        <w:t xml:space="preserve">rice </w:t>
      </w:r>
      <w:r>
        <w:t>R</w:t>
      </w:r>
      <w:r w:rsidRPr="00CE33D0">
        <w:t xml:space="preserve">ange. Outputs will be increased to ensure there is no reduction in the overall value of the contract. </w:t>
      </w:r>
    </w:p>
    <w:p w14:paraId="3F77A3E1" w14:textId="77777777" w:rsidR="004E3E82" w:rsidRPr="00CE33D0" w:rsidRDefault="004E3E82" w:rsidP="004E3E82">
      <w:pPr>
        <w:pStyle w:val="Paragraphtext"/>
        <w:numPr>
          <w:ilvl w:val="1"/>
          <w:numId w:val="30"/>
        </w:numPr>
      </w:pPr>
      <w:r w:rsidRPr="00CE33D0">
        <w:t>This may impact provider</w:t>
      </w:r>
      <w:r>
        <w:t>s</w:t>
      </w:r>
      <w:r w:rsidRPr="00CE33D0">
        <w:t xml:space="preserve"> who have recently received growth funding where the unit prices were based on the Deloitte Access Economics data study. These prices were higher than the ACIL Allen Unit Price Ranges</w:t>
      </w:r>
      <w:r>
        <w:t xml:space="preserve"> and are being brought into line with the new unit price ranges</w:t>
      </w:r>
      <w:r w:rsidRPr="00CE33D0">
        <w:t>.</w:t>
      </w:r>
    </w:p>
    <w:p w14:paraId="6BD6B9F7" w14:textId="77777777" w:rsidR="004E3E82" w:rsidRPr="00CE33D0" w:rsidRDefault="004E3E82" w:rsidP="004E3E82">
      <w:pPr>
        <w:pStyle w:val="Paragraphtext"/>
        <w:numPr>
          <w:ilvl w:val="0"/>
          <w:numId w:val="30"/>
        </w:numPr>
      </w:pPr>
      <w:r w:rsidRPr="00CE33D0">
        <w:rPr>
          <w:b/>
          <w:bCs/>
        </w:rPr>
        <w:t>Provider is funded below the price range and underdelivering</w:t>
      </w:r>
      <w:r w:rsidRPr="00CE33D0">
        <w:t xml:space="preserve"> - the funded price will be increased to the bottom of the unit price range, and outputs will be reduced. </w:t>
      </w:r>
    </w:p>
    <w:p w14:paraId="27A920A8" w14:textId="77777777" w:rsidR="004E3E82" w:rsidRPr="00CE33D0" w:rsidRDefault="004E3E82" w:rsidP="004E3E82">
      <w:pPr>
        <w:pStyle w:val="Paragraphtext"/>
        <w:numPr>
          <w:ilvl w:val="0"/>
          <w:numId w:val="30"/>
        </w:numPr>
      </w:pPr>
      <w:r w:rsidRPr="00CE33D0">
        <w:rPr>
          <w:b/>
          <w:bCs/>
        </w:rPr>
        <w:t>Provider is funded below the price range and delivering close to agreed outputs</w:t>
      </w:r>
      <w:r>
        <w:rPr>
          <w:b/>
          <w:bCs/>
        </w:rPr>
        <w:t> </w:t>
      </w:r>
      <w:r w:rsidRPr="00CE33D0">
        <w:t>– these providers will receive additional funding and their unit price will be increased to the bottom of the unit price range.</w:t>
      </w:r>
    </w:p>
    <w:p w14:paraId="1E56A47A" w14:textId="69AA2AB5" w:rsidR="004E3E82" w:rsidRPr="00CE33D0" w:rsidRDefault="004E3E82" w:rsidP="004E3E82">
      <w:pPr>
        <w:pStyle w:val="Paragraphtext"/>
        <w:numPr>
          <w:ilvl w:val="0"/>
          <w:numId w:val="30"/>
        </w:numPr>
      </w:pPr>
      <w:r w:rsidRPr="00CE33D0">
        <w:rPr>
          <w:b/>
          <w:bCs/>
        </w:rPr>
        <w:t xml:space="preserve">MMM 6 and 7 loading </w:t>
      </w:r>
      <w:r w:rsidRPr="00CE33D0">
        <w:t xml:space="preserve">– providers who predominately deliver in these areas will be able to seek a change to their contract to provide a loading to the unit price range for a specific </w:t>
      </w:r>
      <w:r w:rsidR="002D77FD">
        <w:t>Aged Care Planning Region (</w:t>
      </w:r>
      <w:r w:rsidRPr="00CE33D0">
        <w:t>ACPR</w:t>
      </w:r>
      <w:r w:rsidR="002D77FD">
        <w:t>)</w:t>
      </w:r>
      <w:r w:rsidRPr="00CE33D0">
        <w:t xml:space="preserve">. Outputs would then be reduced by an equivalent amount so that funding levels don’t change. </w:t>
      </w:r>
    </w:p>
    <w:p w14:paraId="3D588C06" w14:textId="5EFBF6EC" w:rsidR="00E14060" w:rsidRDefault="00E14060" w:rsidP="00E14060">
      <w:pPr>
        <w:pStyle w:val="Heading3"/>
      </w:pPr>
      <w:r>
        <w:lastRenderedPageBreak/>
        <w:t xml:space="preserve">Contractual obligations </w:t>
      </w:r>
    </w:p>
    <w:p w14:paraId="450F4FDC" w14:textId="77777777" w:rsidR="00DF3C1C" w:rsidRDefault="00AD411C" w:rsidP="00AD411C">
      <w:pPr>
        <w:spacing w:before="0" w:after="160" w:line="259" w:lineRule="auto"/>
      </w:pPr>
      <w:r>
        <w:t xml:space="preserve">Providers are </w:t>
      </w:r>
      <w:r w:rsidRPr="000F7EC9">
        <w:t xml:space="preserve">responsible for sustainably managing </w:t>
      </w:r>
      <w:r>
        <w:t>their</w:t>
      </w:r>
      <w:r w:rsidRPr="000F7EC9">
        <w:t xml:space="preserve"> service delivery and number of clients. </w:t>
      </w:r>
      <w:r>
        <w:t>Providers</w:t>
      </w:r>
      <w:r w:rsidRPr="000F7EC9">
        <w:t xml:space="preserve"> are contracted to deliver a specific number of outputs</w:t>
      </w:r>
      <w:r>
        <w:t xml:space="preserve">. Compliance against the contract is taken seriously, however, Health understands localised factors may impact on the number of outputs a provider is able to deliver. That is, the prices being used for contracts are based on a nationally representative footprint, which is not necessarily representative of a provider’s local footprint. </w:t>
      </w:r>
    </w:p>
    <w:p w14:paraId="0E705981" w14:textId="5B9B9A49" w:rsidR="00AD411C" w:rsidRDefault="00AD411C" w:rsidP="00AD411C">
      <w:pPr>
        <w:spacing w:before="0" w:after="160" w:line="259" w:lineRule="auto"/>
      </w:pPr>
      <w:r>
        <w:t>Compliance mechanisms will consider whether localised factors are an appropriate reason for under delivery against contracted outputs. This include things like higher recruitment/wage costs or atypical service delivery locations, such as proportionately lower service delivery in urban regions within an ACPR, compared to regional. Other events, such as natural disasters</w:t>
      </w:r>
      <w:r w:rsidR="0036027C">
        <w:t xml:space="preserve"> and the COVID-19 pandemic</w:t>
      </w:r>
      <w:r>
        <w:t xml:space="preserve"> </w:t>
      </w:r>
      <w:r w:rsidR="0036027C">
        <w:t>will</w:t>
      </w:r>
      <w:r>
        <w:t xml:space="preserve"> also </w:t>
      </w:r>
      <w:r w:rsidR="0036027C">
        <w:t xml:space="preserve">be </w:t>
      </w:r>
      <w:r>
        <w:t>considered.</w:t>
      </w:r>
    </w:p>
    <w:p w14:paraId="4A84690F" w14:textId="4914EDCE" w:rsidR="00E14060" w:rsidRDefault="00E14060" w:rsidP="00E14060">
      <w:pPr>
        <w:pStyle w:val="Heading3"/>
      </w:pPr>
      <w:r>
        <w:t>Cross-subsidisation</w:t>
      </w:r>
    </w:p>
    <w:p w14:paraId="538C91B5" w14:textId="14CDA683" w:rsidR="00843E14" w:rsidRDefault="00205239">
      <w:pPr>
        <w:spacing w:before="0" w:after="160" w:line="259" w:lineRule="auto"/>
      </w:pPr>
      <w:r>
        <w:t>In Addition, H</w:t>
      </w:r>
      <w:r w:rsidR="00843E14">
        <w:t>ealth recognises some providers cross-subsidise to supplement their CHSP funding.</w:t>
      </w:r>
      <w:r w:rsidR="00832283">
        <w:t xml:space="preserve"> Cross-subsidisation prevents Health from understanding the true cost of service delivery. Therefore, f</w:t>
      </w:r>
      <w:r w:rsidR="00843E14">
        <w:t xml:space="preserve">uture consultation </w:t>
      </w:r>
      <w:r w:rsidR="00832283">
        <w:t>will be required to</w:t>
      </w:r>
      <w:r w:rsidR="00843E14">
        <w:t xml:space="preserve"> assess the impact of cross subsidisation</w:t>
      </w:r>
      <w:r w:rsidR="00832283">
        <w:t xml:space="preserve"> on unit prices to better inform </w:t>
      </w:r>
      <w:r w:rsidR="00843E14">
        <w:t xml:space="preserve">the new Support at Home Program. </w:t>
      </w:r>
    </w:p>
    <w:p w14:paraId="5D7F74F8" w14:textId="7DB7472D" w:rsidR="00843E14" w:rsidRDefault="00843E14" w:rsidP="00843E14">
      <w:pPr>
        <w:pStyle w:val="Heading3"/>
      </w:pPr>
      <w:r>
        <w:t xml:space="preserve">Exiting the CHSP program </w:t>
      </w:r>
    </w:p>
    <w:p w14:paraId="23A6F848" w14:textId="1A934F05" w:rsidR="00843E14" w:rsidRDefault="00843E14" w:rsidP="00843E14">
      <w:r>
        <w:t xml:space="preserve">If a CHSP service provider </w:t>
      </w:r>
      <w:r w:rsidR="00AD411C">
        <w:t xml:space="preserve">is </w:t>
      </w:r>
      <w:r>
        <w:t>plan</w:t>
      </w:r>
      <w:r w:rsidR="00AD411C">
        <w:t>ning</w:t>
      </w:r>
      <w:r>
        <w:t xml:space="preserve"> to exit the program at 30 June 2022 </w:t>
      </w:r>
      <w:r w:rsidR="00AD411C">
        <w:t xml:space="preserve">Health requests </w:t>
      </w:r>
      <w:r>
        <w:t>th</w:t>
      </w:r>
      <w:r w:rsidR="00AD411C">
        <w:t>is advice be provided to</w:t>
      </w:r>
      <w:r>
        <w:t xml:space="preserve"> the </w:t>
      </w:r>
      <w:r w:rsidR="00376BA5">
        <w:t>Community Grants Hub (CGH</w:t>
      </w:r>
      <w:r w:rsidR="00490640">
        <w:t>)</w:t>
      </w:r>
      <w:r>
        <w:t xml:space="preserve">, in writing, </w:t>
      </w:r>
      <w:r w:rsidR="009D11F4">
        <w:t>by</w:t>
      </w:r>
      <w:r w:rsidR="00376BA5">
        <w:t xml:space="preserve"> </w:t>
      </w:r>
      <w:r w:rsidR="009D11F4">
        <w:rPr>
          <w:b/>
          <w:bCs/>
        </w:rPr>
        <w:t>18</w:t>
      </w:r>
      <w:r w:rsidR="007B011F">
        <w:rPr>
          <w:b/>
          <w:bCs/>
        </w:rPr>
        <w:t> </w:t>
      </w:r>
      <w:r w:rsidR="00376BA5" w:rsidRPr="00C013EE">
        <w:rPr>
          <w:b/>
          <w:bCs/>
        </w:rPr>
        <w:t>December</w:t>
      </w:r>
      <w:r w:rsidR="007B011F">
        <w:rPr>
          <w:b/>
          <w:bCs/>
        </w:rPr>
        <w:t> </w:t>
      </w:r>
      <w:r w:rsidR="00376BA5" w:rsidRPr="00C013EE">
        <w:rPr>
          <w:b/>
          <w:bCs/>
        </w:rPr>
        <w:t>2021</w:t>
      </w:r>
      <w:r w:rsidR="00AD411C">
        <w:t>, noting this is a complex decision that may be subject to ongoing negotiations with the CGH.</w:t>
      </w:r>
    </w:p>
    <w:p w14:paraId="7CF08ED2" w14:textId="4C2512B3" w:rsidR="004E3E82" w:rsidRDefault="004E3E82" w:rsidP="004E3E82">
      <w:pPr>
        <w:pStyle w:val="Heading2"/>
      </w:pPr>
      <w:r>
        <w:t>MMM 6 and 7 Loadings</w:t>
      </w:r>
    </w:p>
    <w:p w14:paraId="33A3F877" w14:textId="77777777" w:rsidR="004E3E82" w:rsidRDefault="004E3E82" w:rsidP="004E3E82">
      <w:pPr>
        <w:pStyle w:val="Paragraphtext"/>
      </w:pPr>
      <w:r w:rsidRPr="005C20B5">
        <w:t xml:space="preserve">The </w:t>
      </w:r>
      <w:hyperlink r:id="rId13" w:anchor="how-to-find-current-areas-under-the-mmm" w:history="1">
        <w:r>
          <w:rPr>
            <w:rStyle w:val="Hyperlink"/>
          </w:rPr>
          <w:t>MMM</w:t>
        </w:r>
      </w:hyperlink>
      <w:r w:rsidRPr="005C20B5">
        <w:t xml:space="preserve"> is how we define whether a location is a city, rural, remote or very remote.</w:t>
      </w:r>
    </w:p>
    <w:p w14:paraId="347FAF8B" w14:textId="77777777" w:rsidR="004E3E82" w:rsidRDefault="004E3E82" w:rsidP="004E3E82">
      <w:pPr>
        <w:pStyle w:val="Paragraphtext"/>
      </w:pPr>
      <w:r>
        <w:t>Health has reviewed the rural loadings in the National Disability Insurance Scheme, the Bulk Billing Incentive, the Workforce Incentive Program and the Resource Utilisation and Classification Study to inform the application of a percent loading to CHSP unit prices.</w:t>
      </w:r>
    </w:p>
    <w:p w14:paraId="217E37D2" w14:textId="20620601" w:rsidR="004E3E82" w:rsidRDefault="004E3E82" w:rsidP="004E3E82">
      <w:pPr>
        <w:pStyle w:val="Paragraphtext"/>
      </w:pPr>
      <w:r>
        <w:t xml:space="preserve">Providers who deliver </w:t>
      </w:r>
      <w:proofErr w:type="gramStart"/>
      <w:r w:rsidR="001158BF">
        <w:t xml:space="preserve">the </w:t>
      </w:r>
      <w:r>
        <w:t>majority of</w:t>
      </w:r>
      <w:proofErr w:type="gramEnd"/>
      <w:r>
        <w:t xml:space="preserve"> services (51% or more) in MMM 6 or 7 may be eligible to apply for a loading.</w:t>
      </w:r>
    </w:p>
    <w:p w14:paraId="66CAF253" w14:textId="57A9497F" w:rsidR="00F07C9E" w:rsidRDefault="00E51455" w:rsidP="00E51455">
      <w:pPr>
        <w:pStyle w:val="Paragraphtext"/>
      </w:pPr>
      <w:r>
        <w:t xml:space="preserve">As part of the CHSP 2022-23 extension, </w:t>
      </w:r>
      <w:r w:rsidR="00F07C9E">
        <w:t xml:space="preserve">all </w:t>
      </w:r>
      <w:r w:rsidR="006A01EC">
        <w:t>Assistance with Care and Housing (</w:t>
      </w:r>
      <w:r w:rsidR="00F07C9E">
        <w:t>ACH</w:t>
      </w:r>
      <w:r w:rsidR="006A01EC">
        <w:t>)</w:t>
      </w:r>
      <w:r w:rsidR="00F07C9E">
        <w:t xml:space="preserve"> and </w:t>
      </w:r>
      <w:r w:rsidR="006A01EC">
        <w:t>Sector Support and Development (</w:t>
      </w:r>
      <w:r w:rsidR="00F07C9E">
        <w:t>SSD</w:t>
      </w:r>
      <w:r w:rsidR="006A01EC">
        <w:t>)</w:t>
      </w:r>
      <w:r w:rsidR="00F07C9E">
        <w:t xml:space="preserve"> activities </w:t>
      </w:r>
      <w:r w:rsidR="00F07C9E" w:rsidRPr="001158BF">
        <w:rPr>
          <w:b/>
          <w:bCs/>
        </w:rPr>
        <w:t>will not</w:t>
      </w:r>
      <w:r w:rsidR="00F07C9E">
        <w:t xml:space="preserve"> be eligible to apply for a MMM loading. This is because:</w:t>
      </w:r>
    </w:p>
    <w:p w14:paraId="5A17F43E" w14:textId="4E89DCF0" w:rsidR="00E51455" w:rsidRDefault="00F07C9E" w:rsidP="001158BF">
      <w:pPr>
        <w:pStyle w:val="Paragraphtext"/>
        <w:numPr>
          <w:ilvl w:val="0"/>
          <w:numId w:val="50"/>
        </w:numPr>
        <w:rPr>
          <w:rFonts w:cs="Arial"/>
        </w:rPr>
      </w:pPr>
      <w:r>
        <w:t>A</w:t>
      </w:r>
      <w:r w:rsidR="00E51455">
        <w:t xml:space="preserve">ll ACH activities will move to monthly payment in arrears and monthly </w:t>
      </w:r>
      <w:proofErr w:type="gramStart"/>
      <w:r w:rsidR="00E51455">
        <w:t>reporting</w:t>
      </w:r>
      <w:r w:rsidR="001158BF">
        <w:t>,</w:t>
      </w:r>
      <w:proofErr w:type="gramEnd"/>
      <w:r w:rsidR="001158BF">
        <w:t xml:space="preserve"> </w:t>
      </w:r>
      <w:r w:rsidR="00E51455">
        <w:t>however</w:t>
      </w:r>
      <w:r w:rsidR="001158BF">
        <w:t>,</w:t>
      </w:r>
      <w:r w:rsidR="00E51455">
        <w:t xml:space="preserve"> consistent unit prices will not be applied. Therefore, ACH activities will </w:t>
      </w:r>
      <w:r w:rsidR="00E51455">
        <w:rPr>
          <w:rFonts w:cs="Arial"/>
        </w:rPr>
        <w:t>not be eligible for a MMM loading.</w:t>
      </w:r>
    </w:p>
    <w:p w14:paraId="27946585" w14:textId="7E191A57" w:rsidR="002A2892" w:rsidRPr="001158BF" w:rsidRDefault="002A2892" w:rsidP="001158BF">
      <w:pPr>
        <w:pStyle w:val="ListParagraph"/>
        <w:numPr>
          <w:ilvl w:val="0"/>
          <w:numId w:val="50"/>
        </w:numPr>
        <w:spacing w:before="0" w:after="160" w:line="256" w:lineRule="auto"/>
        <w:rPr>
          <w:rFonts w:cs="Arial"/>
          <w:color w:val="000000" w:themeColor="text1"/>
        </w:rPr>
      </w:pPr>
      <w:r w:rsidRPr="001158BF">
        <w:rPr>
          <w:rFonts w:cs="Arial"/>
          <w:color w:val="000000" w:themeColor="text1"/>
        </w:rPr>
        <w:t xml:space="preserve">SSD funding will remain upfront quarterly payments and reporting will remain on a six-monthly schedule. Therefore, SSD activities will </w:t>
      </w:r>
      <w:bookmarkStart w:id="1" w:name="_Hlk91088959"/>
      <w:r w:rsidRPr="001158BF">
        <w:rPr>
          <w:rFonts w:cs="Arial"/>
          <w:color w:val="000000" w:themeColor="text1"/>
        </w:rPr>
        <w:t>not be eligible for a MMM loading</w:t>
      </w:r>
      <w:bookmarkEnd w:id="1"/>
      <w:r w:rsidR="006A01EC">
        <w:rPr>
          <w:rFonts w:cs="Arial"/>
          <w:color w:val="000000" w:themeColor="text1"/>
        </w:rPr>
        <w:t>.</w:t>
      </w:r>
    </w:p>
    <w:p w14:paraId="05016B21" w14:textId="77777777" w:rsidR="004A77CD" w:rsidRDefault="004A77CD">
      <w:pPr>
        <w:spacing w:before="0" w:after="160" w:line="259" w:lineRule="auto"/>
        <w:rPr>
          <w:rFonts w:cs="Arial"/>
          <w:b/>
          <w:iCs/>
          <w:color w:val="358189"/>
          <w:sz w:val="26"/>
          <w:szCs w:val="26"/>
        </w:rPr>
      </w:pPr>
      <w:r>
        <w:br w:type="page"/>
      </w:r>
    </w:p>
    <w:p w14:paraId="02304258" w14:textId="6F48AE0E" w:rsidR="004E3E82" w:rsidRDefault="004E3E82" w:rsidP="004E3E82">
      <w:pPr>
        <w:pStyle w:val="Heading3"/>
      </w:pPr>
      <w:r>
        <w:lastRenderedPageBreak/>
        <w:t xml:space="preserve">MMM loadings - Frequently Asked Questions </w:t>
      </w:r>
    </w:p>
    <w:p w14:paraId="106DCF49" w14:textId="77777777" w:rsidR="004E3E82" w:rsidRDefault="004E3E82" w:rsidP="004E3E82">
      <w:pPr>
        <w:pStyle w:val="ListParagraph"/>
        <w:numPr>
          <w:ilvl w:val="0"/>
          <w:numId w:val="45"/>
        </w:numPr>
        <w:ind w:left="426"/>
        <w:rPr>
          <w:b/>
          <w:bCs/>
        </w:rPr>
      </w:pPr>
      <w:r>
        <w:rPr>
          <w:b/>
          <w:bCs/>
        </w:rPr>
        <w:t>What is the maximum percent loading that can be applied?</w:t>
      </w:r>
    </w:p>
    <w:p w14:paraId="5FB5E887" w14:textId="77777777" w:rsidR="004E3E82" w:rsidRPr="002707E2" w:rsidRDefault="004E3E82" w:rsidP="004E3E82">
      <w:pPr>
        <w:ind w:left="426"/>
      </w:pPr>
      <w:r>
        <w:t>The loading is capped at 40%.</w:t>
      </w:r>
    </w:p>
    <w:p w14:paraId="60A67F0C" w14:textId="524A36F0" w:rsidR="004E3E82" w:rsidRPr="007A167C" w:rsidRDefault="004E3E82" w:rsidP="004E3E82">
      <w:pPr>
        <w:numPr>
          <w:ilvl w:val="0"/>
          <w:numId w:val="45"/>
        </w:numPr>
        <w:ind w:left="360"/>
        <w:rPr>
          <w:b/>
          <w:bCs/>
        </w:rPr>
      </w:pPr>
      <w:r w:rsidRPr="007A167C">
        <w:rPr>
          <w:b/>
          <w:bCs/>
        </w:rPr>
        <w:t>If a provider is already within the</w:t>
      </w:r>
      <w:r>
        <w:rPr>
          <w:b/>
          <w:bCs/>
        </w:rPr>
        <w:t xml:space="preserve"> unit price</w:t>
      </w:r>
      <w:r w:rsidRPr="007A167C">
        <w:rPr>
          <w:b/>
          <w:bCs/>
        </w:rPr>
        <w:t xml:space="preserve"> range and has fully delivered (100%), or over delivered, can they apply for the MMM loading? </w:t>
      </w:r>
    </w:p>
    <w:p w14:paraId="0628366F" w14:textId="71EEEFF0" w:rsidR="00442680" w:rsidRDefault="00DD0AFE" w:rsidP="004A77CD">
      <w:pPr>
        <w:ind w:left="360"/>
      </w:pPr>
      <w:r>
        <w:t xml:space="preserve">These providers should discuss their specific situation with </w:t>
      </w:r>
      <w:r w:rsidR="00070769">
        <w:t xml:space="preserve">the </w:t>
      </w:r>
      <w:r w:rsidR="008F025A">
        <w:t>CGH</w:t>
      </w:r>
      <w:r>
        <w:t xml:space="preserve">. </w:t>
      </w:r>
      <w:r w:rsidR="0022003A" w:rsidRPr="007A167C">
        <w:t xml:space="preserve">The provider </w:t>
      </w:r>
      <w:r w:rsidR="0022003A">
        <w:t xml:space="preserve">may not be able to </w:t>
      </w:r>
      <w:r w:rsidR="0022003A" w:rsidRPr="007A167C">
        <w:t xml:space="preserve">apply for the MMM loading as they are currently delivering services at that unit price. Any changes to the unit price will result in a further reduction of outputs. This may result in the provider continuing to overdeliver or </w:t>
      </w:r>
      <w:r w:rsidR="0022003A">
        <w:t xml:space="preserve">there may be a risk of reducing </w:t>
      </w:r>
      <w:r w:rsidR="0022003A" w:rsidRPr="007A167C">
        <w:t>the number of services delivered in those regions.</w:t>
      </w:r>
    </w:p>
    <w:p w14:paraId="2F10F277" w14:textId="77777777" w:rsidR="004E3E82" w:rsidRPr="007A167C" w:rsidRDefault="004E3E82" w:rsidP="004E3E82">
      <w:pPr>
        <w:numPr>
          <w:ilvl w:val="0"/>
          <w:numId w:val="45"/>
        </w:numPr>
        <w:ind w:left="360"/>
        <w:rPr>
          <w:b/>
          <w:bCs/>
        </w:rPr>
      </w:pPr>
      <w:r w:rsidRPr="007A167C">
        <w:rPr>
          <w:b/>
          <w:bCs/>
        </w:rPr>
        <w:t>If a provider is already within the range and has previously delivered between 70% and 90% of their contracted outputs, and they have reasons/evidence to warrant a further unit price review, what loading would best match their service delivery?</w:t>
      </w:r>
    </w:p>
    <w:p w14:paraId="3832788D" w14:textId="02183208" w:rsidR="004E3E82" w:rsidRPr="007A167C" w:rsidRDefault="004E3E82" w:rsidP="004E3E82">
      <w:pPr>
        <w:ind w:left="360"/>
      </w:pPr>
      <w:r w:rsidRPr="007A167C">
        <w:t xml:space="preserve">The </w:t>
      </w:r>
      <w:r w:rsidR="008F025A">
        <w:t>CGH</w:t>
      </w:r>
      <w:r w:rsidRPr="007A167C">
        <w:t xml:space="preserve"> and the provider will need to assess this together to determine the loading which best matches the provider</w:t>
      </w:r>
      <w:r>
        <w:t>’</w:t>
      </w:r>
      <w:r w:rsidRPr="007A167C">
        <w:t xml:space="preserve">s service delivery. </w:t>
      </w:r>
    </w:p>
    <w:p w14:paraId="03479158" w14:textId="77777777" w:rsidR="004E3E82" w:rsidRPr="007A167C" w:rsidRDefault="004E3E82" w:rsidP="004E3E82">
      <w:pPr>
        <w:ind w:left="360"/>
      </w:pPr>
      <w:r>
        <w:t>T</w:t>
      </w:r>
      <w:r w:rsidRPr="007A167C">
        <w:t xml:space="preserve">he loading </w:t>
      </w:r>
      <w:r>
        <w:t xml:space="preserve">should </w:t>
      </w:r>
      <w:r w:rsidRPr="007A167C">
        <w:t>be based on the percentage of services not delivered. For example:</w:t>
      </w:r>
    </w:p>
    <w:p w14:paraId="6B9F8175" w14:textId="77777777" w:rsidR="004E3E82" w:rsidRPr="007A167C" w:rsidRDefault="004E3E82" w:rsidP="004E3E82">
      <w:pPr>
        <w:numPr>
          <w:ilvl w:val="0"/>
          <w:numId w:val="36"/>
        </w:numPr>
      </w:pPr>
      <w:r w:rsidRPr="007A167C">
        <w:t xml:space="preserve">If </w:t>
      </w:r>
      <w:r>
        <w:t>the provider</w:t>
      </w:r>
      <w:r w:rsidRPr="007A167C">
        <w:t xml:space="preserve"> delivered 70% of their outputs, they would receive a loading of 30%. </w:t>
      </w:r>
    </w:p>
    <w:p w14:paraId="613650F4" w14:textId="77777777" w:rsidR="004E3E82" w:rsidRPr="007A167C" w:rsidRDefault="004E3E82" w:rsidP="004E3E82">
      <w:pPr>
        <w:numPr>
          <w:ilvl w:val="0"/>
          <w:numId w:val="36"/>
        </w:numPr>
      </w:pPr>
      <w:r w:rsidRPr="007A167C">
        <w:t>If they delivered 90% of their outputs, they would receive a 10% loading.</w:t>
      </w:r>
    </w:p>
    <w:p w14:paraId="7BCC7D53" w14:textId="77777777" w:rsidR="004E3E82" w:rsidRPr="007A167C" w:rsidRDefault="004E3E82" w:rsidP="004E3E82">
      <w:pPr>
        <w:numPr>
          <w:ilvl w:val="0"/>
          <w:numId w:val="45"/>
        </w:numPr>
        <w:ind w:left="360"/>
        <w:rPr>
          <w:b/>
          <w:bCs/>
        </w:rPr>
      </w:pPr>
      <w:r w:rsidRPr="007A167C">
        <w:rPr>
          <w:b/>
          <w:bCs/>
        </w:rPr>
        <w:t>If a provider seeks a 40% loading and they have reasons/evidence to warrant a further unit price review, how is the 40% offset?</w:t>
      </w:r>
    </w:p>
    <w:p w14:paraId="6EF0CD70" w14:textId="30D8BE06" w:rsidR="004E3E82" w:rsidRDefault="004E3E82" w:rsidP="004E3E82">
      <w:pPr>
        <w:ind w:left="360"/>
      </w:pPr>
      <w:r>
        <w:t>T</w:t>
      </w:r>
      <w:r w:rsidRPr="007A167C">
        <w:t xml:space="preserve">he outputs would be reduced in </w:t>
      </w:r>
      <w:r>
        <w:t>the ACPR containing MMM 6 and/or 7 regions by</w:t>
      </w:r>
      <w:r w:rsidRPr="007A167C">
        <w:t xml:space="preserve"> an equivalent amount</w:t>
      </w:r>
      <w:r w:rsidR="00C5009A">
        <w:t xml:space="preserve"> </w:t>
      </w:r>
      <w:r w:rsidRPr="007A167C">
        <w:t>to offset the loading.</w:t>
      </w:r>
    </w:p>
    <w:p w14:paraId="27063E4C" w14:textId="77777777" w:rsidR="004E3E82" w:rsidRPr="00085AAE" w:rsidRDefault="004E3E82" w:rsidP="004E3E82">
      <w:pPr>
        <w:pStyle w:val="ListParagraph"/>
        <w:numPr>
          <w:ilvl w:val="0"/>
          <w:numId w:val="45"/>
        </w:numPr>
        <w:ind w:left="426"/>
      </w:pPr>
      <w:r>
        <w:rPr>
          <w:b/>
          <w:bCs/>
        </w:rPr>
        <w:t>How will a loading impact my targeted outputs?</w:t>
      </w:r>
    </w:p>
    <w:p w14:paraId="35909FC9" w14:textId="77777777" w:rsidR="004E3E82" w:rsidRDefault="004E3E82" w:rsidP="004E3E82">
      <w:pPr>
        <w:ind w:left="426"/>
      </w:pPr>
      <w:r w:rsidRPr="00085AAE">
        <w:t xml:space="preserve">Once </w:t>
      </w:r>
      <w:r>
        <w:t xml:space="preserve">a loading is </w:t>
      </w:r>
      <w:r w:rsidRPr="00085AAE">
        <w:t xml:space="preserve">determined (0%, 10%, 20%, 30% or 40%) an equivalent amount of outputs across that ACPR </w:t>
      </w:r>
      <w:r>
        <w:t>will be</w:t>
      </w:r>
      <w:r w:rsidRPr="00085AAE">
        <w:t xml:space="preserve"> reduced to offset the loadin</w:t>
      </w:r>
      <w:r>
        <w:t>g.</w:t>
      </w:r>
    </w:p>
    <w:p w14:paraId="084EA203" w14:textId="77777777" w:rsidR="004E3E82" w:rsidRDefault="004E3E82" w:rsidP="004E3E82">
      <w:pPr>
        <w:pStyle w:val="ListParagraph"/>
        <w:numPr>
          <w:ilvl w:val="0"/>
          <w:numId w:val="45"/>
        </w:numPr>
        <w:ind w:left="426"/>
        <w:rPr>
          <w:b/>
          <w:bCs/>
        </w:rPr>
      </w:pPr>
      <w:r w:rsidRPr="00F90952">
        <w:rPr>
          <w:b/>
          <w:bCs/>
        </w:rPr>
        <w:t>How will this change the indicative contract I have already received?</w:t>
      </w:r>
    </w:p>
    <w:p w14:paraId="1E94F303" w14:textId="070BEBAC" w:rsidR="00BA481E" w:rsidRDefault="004E3E82" w:rsidP="00C013EE">
      <w:pPr>
        <w:ind w:left="426"/>
      </w:pPr>
      <w:r>
        <w:t xml:space="preserve">At the activity level, the average unit price and total outputs will need to be updated depending on the load applied. </w:t>
      </w:r>
      <w:r w:rsidR="00C5009A" w:rsidRPr="00C5009A">
        <w:t xml:space="preserve">If </w:t>
      </w:r>
      <w:r w:rsidR="00C5009A">
        <w:t>a provider receives approval to have a rural loading, they</w:t>
      </w:r>
      <w:r w:rsidR="00C5009A" w:rsidRPr="00C5009A">
        <w:t xml:space="preserve"> will receive their cont</w:t>
      </w:r>
      <w:r w:rsidR="00043648">
        <w:t>r</w:t>
      </w:r>
      <w:r w:rsidR="00C5009A" w:rsidRPr="00C5009A">
        <w:t>act extension offer detailing the new average unit price and total outputs (at the activity level).</w:t>
      </w:r>
    </w:p>
    <w:p w14:paraId="5496C454" w14:textId="7E3B99ED" w:rsidR="004E3E82" w:rsidRDefault="004E3E82" w:rsidP="004E3E82">
      <w:pPr>
        <w:pStyle w:val="ListParagraph"/>
        <w:numPr>
          <w:ilvl w:val="0"/>
          <w:numId w:val="45"/>
        </w:numPr>
        <w:ind w:left="426"/>
        <w:rPr>
          <w:b/>
          <w:bCs/>
        </w:rPr>
      </w:pPr>
      <w:r>
        <w:rPr>
          <w:b/>
          <w:bCs/>
        </w:rPr>
        <w:t>Will the MMM loading change the total value of my contract?</w:t>
      </w:r>
    </w:p>
    <w:p w14:paraId="4C2229E4" w14:textId="2E25B477" w:rsidR="00C5009A" w:rsidRDefault="004E3E82" w:rsidP="00BA481E">
      <w:pPr>
        <w:ind w:left="426"/>
      </w:pPr>
      <w:r>
        <w:t>No</w:t>
      </w:r>
      <w:r w:rsidR="00A9234C">
        <w:t>. T</w:t>
      </w:r>
      <w:r w:rsidRPr="00F90952">
        <w:t>he total value of the contract does not change but the new unit price may be above the national unit price range and the output</w:t>
      </w:r>
      <w:r>
        <w:t>s may be reduced.</w:t>
      </w:r>
    </w:p>
    <w:p w14:paraId="30EEF301" w14:textId="2A71488D" w:rsidR="004E3E82" w:rsidRDefault="004E3E82" w:rsidP="004E3E82">
      <w:pPr>
        <w:pStyle w:val="ListParagraph"/>
        <w:numPr>
          <w:ilvl w:val="0"/>
          <w:numId w:val="45"/>
        </w:numPr>
        <w:ind w:left="426"/>
        <w:rPr>
          <w:b/>
          <w:bCs/>
        </w:rPr>
      </w:pPr>
      <w:r>
        <w:rPr>
          <w:b/>
          <w:bCs/>
        </w:rPr>
        <w:t>Can I receive a higher loading for MMM 7 compared to MMM 6?</w:t>
      </w:r>
    </w:p>
    <w:p w14:paraId="41A85319" w14:textId="56F90BAF" w:rsidR="0007036E" w:rsidRDefault="004E3E82" w:rsidP="00C5009A">
      <w:pPr>
        <w:ind w:left="426"/>
      </w:pPr>
      <w:r>
        <w:t>No</w:t>
      </w:r>
      <w:r w:rsidR="00A9234C">
        <w:t>. G</w:t>
      </w:r>
      <w:r>
        <w:t>iven the complexities of applying a MMM loading, providers will receive a combined loading for MMM 6 and 7 for a particular ACPR.</w:t>
      </w:r>
    </w:p>
    <w:p w14:paraId="7E7B2B70" w14:textId="701C72A8" w:rsidR="004E3E82" w:rsidRPr="004E3E82" w:rsidRDefault="004E3E82" w:rsidP="00C013EE">
      <w:pPr>
        <w:pStyle w:val="ListParagraph"/>
        <w:numPr>
          <w:ilvl w:val="0"/>
          <w:numId w:val="45"/>
        </w:numPr>
        <w:ind w:left="425" w:hanging="357"/>
        <w:contextualSpacing w:val="0"/>
      </w:pPr>
      <w:r>
        <w:rPr>
          <w:b/>
          <w:bCs/>
        </w:rPr>
        <w:t>I deliver services in MMM 3 to 5, why can’t I get a loading?</w:t>
      </w:r>
    </w:p>
    <w:p w14:paraId="3127A6D3" w14:textId="77777777" w:rsidR="00490640" w:rsidRDefault="004E3E82" w:rsidP="004E3E82">
      <w:pPr>
        <w:pStyle w:val="ListParagraph"/>
        <w:numPr>
          <w:ilvl w:val="0"/>
          <w:numId w:val="0"/>
        </w:numPr>
        <w:ind w:left="425"/>
        <w:contextualSpacing w:val="0"/>
      </w:pPr>
      <w:r w:rsidRPr="00C40A1E">
        <w:t xml:space="preserve">Health recognises the cost of service delivery in remote and very remote areas can be higher compared to metropolitan, </w:t>
      </w:r>
      <w:proofErr w:type="gramStart"/>
      <w:r w:rsidRPr="00C40A1E">
        <w:t>regional</w:t>
      </w:r>
      <w:proofErr w:type="gramEnd"/>
      <w:r w:rsidRPr="00C40A1E">
        <w:t xml:space="preserve"> and rural areas</w:t>
      </w:r>
      <w:r>
        <w:t xml:space="preserve">. Aligning providers with nationally consistent unit prices is an important step to transitioning to the new Support at Home Program in 2023-24. </w:t>
      </w:r>
    </w:p>
    <w:p w14:paraId="139E51E3" w14:textId="3B53039E" w:rsidR="00442680" w:rsidRDefault="00490640" w:rsidP="001158BF">
      <w:pPr>
        <w:pStyle w:val="ListParagraph"/>
        <w:numPr>
          <w:ilvl w:val="0"/>
          <w:numId w:val="0"/>
        </w:numPr>
        <w:ind w:left="425"/>
        <w:contextualSpacing w:val="0"/>
        <w:rPr>
          <w:rFonts w:cs="Arial"/>
          <w:b/>
          <w:iCs/>
          <w:color w:val="358189"/>
          <w:sz w:val="26"/>
          <w:szCs w:val="26"/>
        </w:rPr>
      </w:pPr>
      <w:r>
        <w:lastRenderedPageBreak/>
        <w:t>There was limited evidence that underlying costs for MMM 3-5 was significantly higher than MMM 1 and 2 when looking at unit prices nationally. However, as detailed above,</w:t>
      </w:r>
      <w:r w:rsidRPr="00C655D6">
        <w:t xml:space="preserve"> </w:t>
      </w:r>
      <w:r>
        <w:t>compliance mechanisms will consider whether localised factors are an appropriate reason for under delivery against contracted outputs.</w:t>
      </w:r>
    </w:p>
    <w:p w14:paraId="1C5AFEF4" w14:textId="1C696D99" w:rsidR="004E3E82" w:rsidRDefault="004E3E82" w:rsidP="004E3E82">
      <w:pPr>
        <w:pStyle w:val="Heading3"/>
      </w:pPr>
      <w:r>
        <w:t>Provider Journey - negotiating a M</w:t>
      </w:r>
      <w:r w:rsidR="00007A8A">
        <w:t>M</w:t>
      </w:r>
      <w:r>
        <w:t>M 6 and 7 loading</w:t>
      </w:r>
    </w:p>
    <w:p w14:paraId="69F3A2D7" w14:textId="691958CB" w:rsidR="004E3E82" w:rsidRPr="00B246C1" w:rsidRDefault="004E3E82" w:rsidP="004E3E82">
      <w:pPr>
        <w:numPr>
          <w:ilvl w:val="0"/>
          <w:numId w:val="44"/>
        </w:numPr>
        <w:rPr>
          <w:b/>
          <w:bCs/>
        </w:rPr>
      </w:pPr>
      <w:r>
        <w:t xml:space="preserve">If a </w:t>
      </w:r>
      <w:r w:rsidRPr="00B246C1">
        <w:t>provider</w:t>
      </w:r>
      <w:r>
        <w:t xml:space="preserve"> meets the eligibility criteria for the MM</w:t>
      </w:r>
      <w:r w:rsidR="00007A8A">
        <w:t>M</w:t>
      </w:r>
      <w:r>
        <w:t xml:space="preserve"> loading, they should contact </w:t>
      </w:r>
      <w:r w:rsidR="00B4748E">
        <w:t>the</w:t>
      </w:r>
      <w:r>
        <w:t xml:space="preserve"> </w:t>
      </w:r>
      <w:r w:rsidR="008F025A">
        <w:t>CGH</w:t>
      </w:r>
      <w:r w:rsidR="00B4748E">
        <w:t xml:space="preserve"> </w:t>
      </w:r>
      <w:r>
        <w:t xml:space="preserve">to </w:t>
      </w:r>
      <w:r w:rsidRPr="00B246C1">
        <w:t>negotiate their indicative service offer.</w:t>
      </w:r>
      <w:r w:rsidR="0039421C">
        <w:t xml:space="preserve"> </w:t>
      </w:r>
      <w:r w:rsidR="00A0256A">
        <w:t xml:space="preserve">In some </w:t>
      </w:r>
      <w:r w:rsidR="00A12625">
        <w:t>instances,</w:t>
      </w:r>
      <w:r w:rsidR="00A0256A">
        <w:t xml:space="preserve"> </w:t>
      </w:r>
      <w:r w:rsidR="00B4748E">
        <w:t xml:space="preserve">the </w:t>
      </w:r>
      <w:r w:rsidR="008F025A">
        <w:t>CGH</w:t>
      </w:r>
      <w:r w:rsidR="0039421C">
        <w:t xml:space="preserve"> may </w:t>
      </w:r>
      <w:r w:rsidR="00A0256A">
        <w:t xml:space="preserve">reach out to providers meeting eligibility criteria to </w:t>
      </w:r>
      <w:r w:rsidR="00A0256A" w:rsidRPr="00B246C1">
        <w:t>negotiate their indicative service offer</w:t>
      </w:r>
      <w:r w:rsidR="00A0256A">
        <w:t>, however this will be in limited circumstances and the onus to negotiate a MM</w:t>
      </w:r>
      <w:r w:rsidR="00B4748E">
        <w:t>M</w:t>
      </w:r>
      <w:r w:rsidR="00A0256A">
        <w:t xml:space="preserve"> loading remains with the provider. </w:t>
      </w:r>
    </w:p>
    <w:p w14:paraId="42BB07E5" w14:textId="0937C893" w:rsidR="004E3E82" w:rsidRPr="00B246C1" w:rsidRDefault="004E3E82" w:rsidP="004E3E82">
      <w:pPr>
        <w:numPr>
          <w:ilvl w:val="0"/>
          <w:numId w:val="44"/>
        </w:numPr>
        <w:rPr>
          <w:b/>
          <w:bCs/>
        </w:rPr>
      </w:pPr>
      <w:r>
        <w:t xml:space="preserve">Providers should discuss the percent loading they wish to have applied. The </w:t>
      </w:r>
      <w:r w:rsidR="008F025A">
        <w:t>CGH</w:t>
      </w:r>
      <w:r w:rsidRPr="00B246C1">
        <w:t xml:space="preserve"> </w:t>
      </w:r>
      <w:r>
        <w:t>will compare the</w:t>
      </w:r>
      <w:r w:rsidRPr="00B246C1">
        <w:t xml:space="preserve"> reasons/evidence against performance information/data</w:t>
      </w:r>
      <w:r>
        <w:t>.</w:t>
      </w:r>
    </w:p>
    <w:p w14:paraId="1C2AA45A" w14:textId="07C9D219" w:rsidR="004E3E82" w:rsidRPr="00B246C1" w:rsidRDefault="004E3E82" w:rsidP="004E3E82">
      <w:pPr>
        <w:numPr>
          <w:ilvl w:val="0"/>
          <w:numId w:val="44"/>
        </w:numPr>
        <w:rPr>
          <w:b/>
          <w:bCs/>
        </w:rPr>
      </w:pPr>
      <w:r>
        <w:t xml:space="preserve">The </w:t>
      </w:r>
      <w:r w:rsidR="00B4748E">
        <w:t>CGH</w:t>
      </w:r>
      <w:r>
        <w:t xml:space="preserve"> will</w:t>
      </w:r>
      <w:r w:rsidRPr="00B246C1">
        <w:t xml:space="preserve"> </w:t>
      </w:r>
      <w:r w:rsidR="008F025A">
        <w:t xml:space="preserve">provide Health with a </w:t>
      </w:r>
      <w:r>
        <w:t xml:space="preserve">recommendation </w:t>
      </w:r>
      <w:r w:rsidR="00606488">
        <w:t xml:space="preserve">using the existing </w:t>
      </w:r>
      <w:r w:rsidR="00DD0AFE">
        <w:t>framework</w:t>
      </w:r>
      <w:r w:rsidR="00606488">
        <w:t xml:space="preserve"> for negotiations of the indicative offers</w:t>
      </w:r>
      <w:r w:rsidR="008F025A">
        <w:t>.</w:t>
      </w:r>
    </w:p>
    <w:p w14:paraId="2AEFC11A" w14:textId="5C6504AD" w:rsidR="004E3E82" w:rsidRPr="00B246C1" w:rsidRDefault="004E3E82" w:rsidP="004E3E82">
      <w:pPr>
        <w:numPr>
          <w:ilvl w:val="0"/>
          <w:numId w:val="44"/>
        </w:numPr>
        <w:rPr>
          <w:b/>
          <w:bCs/>
        </w:rPr>
      </w:pPr>
      <w:r w:rsidRPr="00B246C1">
        <w:t xml:space="preserve">Health assesses </w:t>
      </w:r>
      <w:r w:rsidR="00A9234C">
        <w:t>(</w:t>
      </w:r>
      <w:r w:rsidRPr="00B246C1">
        <w:t>approves or rejects</w:t>
      </w:r>
      <w:r w:rsidR="00A9234C">
        <w:t>)</w:t>
      </w:r>
      <w:r w:rsidRPr="00B246C1">
        <w:t xml:space="preserve"> the request for </w:t>
      </w:r>
      <w:r w:rsidR="00C5009A">
        <w:t xml:space="preserve">the </w:t>
      </w:r>
      <w:r>
        <w:t xml:space="preserve">MMM loading and </w:t>
      </w:r>
      <w:r w:rsidRPr="00B246C1">
        <w:t>new unit price.</w:t>
      </w:r>
    </w:p>
    <w:p w14:paraId="249B1773" w14:textId="059C2ED5" w:rsidR="005D1CBA" w:rsidRPr="00007A8A" w:rsidRDefault="004E3E82" w:rsidP="00007A8A">
      <w:pPr>
        <w:numPr>
          <w:ilvl w:val="0"/>
          <w:numId w:val="44"/>
        </w:numPr>
        <w:rPr>
          <w:b/>
          <w:bCs/>
        </w:rPr>
      </w:pPr>
      <w:r>
        <w:t xml:space="preserve">If approved, the provider will receive their </w:t>
      </w:r>
      <w:r w:rsidR="00606488">
        <w:t>funding agreement</w:t>
      </w:r>
      <w:r>
        <w:t xml:space="preserve"> extension offer detailing the new unit price and outputs (at the activity level).</w:t>
      </w:r>
    </w:p>
    <w:p w14:paraId="59F073F3" w14:textId="6D1BA5D9" w:rsidR="00524BFF" w:rsidRDefault="00524BFF" w:rsidP="00A17A39">
      <w:pPr>
        <w:pStyle w:val="Heading3"/>
      </w:pPr>
      <w:r>
        <w:t>Transition Support</w:t>
      </w:r>
    </w:p>
    <w:p w14:paraId="36528246" w14:textId="74238916" w:rsidR="00524BFF" w:rsidRDefault="008319AF" w:rsidP="00524BFF">
      <w:pPr>
        <w:spacing w:after="0"/>
        <w:rPr>
          <w:rFonts w:cstheme="minorHAnsi"/>
        </w:rPr>
      </w:pPr>
      <w:r>
        <w:rPr>
          <w:rFonts w:cstheme="minorHAnsi"/>
        </w:rPr>
        <w:t>Health</w:t>
      </w:r>
      <w:r w:rsidR="00524BFF" w:rsidRPr="00B57487">
        <w:rPr>
          <w:rFonts w:cstheme="minorHAnsi"/>
        </w:rPr>
        <w:t xml:space="preserve"> acknowledges that some providers may require assistance to manage the</w:t>
      </w:r>
      <w:r w:rsidR="00524BFF">
        <w:rPr>
          <w:rFonts w:cstheme="minorHAnsi"/>
        </w:rPr>
        <w:t xml:space="preserve"> </w:t>
      </w:r>
      <w:r w:rsidR="00524BFF" w:rsidRPr="00B57487">
        <w:rPr>
          <w:rFonts w:cstheme="minorHAnsi"/>
        </w:rPr>
        <w:t xml:space="preserve">cashflow impact of transitioning to payment in arrears. In </w:t>
      </w:r>
      <w:r w:rsidR="003771A4">
        <w:rPr>
          <w:rFonts w:cstheme="minorHAnsi"/>
        </w:rPr>
        <w:t>the</w:t>
      </w:r>
      <w:r w:rsidR="003771A4" w:rsidRPr="00B57487">
        <w:rPr>
          <w:rFonts w:cstheme="minorHAnsi"/>
        </w:rPr>
        <w:t xml:space="preserve"> </w:t>
      </w:r>
      <w:r w:rsidR="00524BFF" w:rsidRPr="00B57487">
        <w:rPr>
          <w:rFonts w:cstheme="minorHAnsi"/>
        </w:rPr>
        <w:t>recent CHSP readiness survey</w:t>
      </w:r>
      <w:r w:rsidR="003771A4">
        <w:rPr>
          <w:rFonts w:cstheme="minorHAnsi"/>
        </w:rPr>
        <w:t>,</w:t>
      </w:r>
      <w:r w:rsidR="00524BFF" w:rsidRPr="00B57487">
        <w:rPr>
          <w:rFonts w:cstheme="minorHAnsi"/>
        </w:rPr>
        <w:t xml:space="preserve"> nearly 78% of respondents indicated the biggest barrier to transitioning to payment in arrears was the financial/cash flow impact. </w:t>
      </w:r>
    </w:p>
    <w:p w14:paraId="7CE7A8BC" w14:textId="27C5C527" w:rsidR="00524BFF" w:rsidRPr="00B57487" w:rsidRDefault="00733041" w:rsidP="00524BFF">
      <w:pPr>
        <w:spacing w:after="0"/>
        <w:rPr>
          <w:rFonts w:cstheme="minorHAnsi"/>
        </w:rPr>
      </w:pPr>
      <w:r>
        <w:rPr>
          <w:rFonts w:cstheme="minorHAnsi"/>
        </w:rPr>
        <w:t xml:space="preserve">As a result, </w:t>
      </w:r>
      <w:r w:rsidR="008319AF">
        <w:rPr>
          <w:rFonts w:cstheme="minorHAnsi"/>
        </w:rPr>
        <w:t>Health</w:t>
      </w:r>
      <w:r w:rsidR="00524BFF" w:rsidRPr="00B57487">
        <w:rPr>
          <w:rFonts w:cstheme="minorHAnsi"/>
        </w:rPr>
        <w:t xml:space="preserve"> will provide targeted</w:t>
      </w:r>
      <w:r w:rsidR="00524BFF">
        <w:rPr>
          <w:rFonts w:cstheme="minorHAnsi"/>
        </w:rPr>
        <w:t xml:space="preserve"> </w:t>
      </w:r>
      <w:r w:rsidR="00524BFF" w:rsidRPr="00B57487">
        <w:rPr>
          <w:rFonts w:cstheme="minorHAnsi"/>
        </w:rPr>
        <w:t>assistance</w:t>
      </w:r>
      <w:r w:rsidR="00524BFF">
        <w:rPr>
          <w:rFonts w:cstheme="minorHAnsi"/>
        </w:rPr>
        <w:t xml:space="preserve"> through a staged process:</w:t>
      </w:r>
    </w:p>
    <w:p w14:paraId="186E4E2F" w14:textId="1C24358F" w:rsidR="00337A15" w:rsidRPr="00337A15" w:rsidRDefault="000221F2" w:rsidP="00524BFF">
      <w:pPr>
        <w:pStyle w:val="ListParagraph"/>
        <w:numPr>
          <w:ilvl w:val="0"/>
          <w:numId w:val="20"/>
        </w:numPr>
        <w:spacing w:before="0" w:after="0"/>
        <w:rPr>
          <w:rFonts w:cstheme="minorHAnsi"/>
          <w:b/>
          <w:bCs/>
        </w:rPr>
      </w:pPr>
      <w:r>
        <w:rPr>
          <w:rFonts w:cstheme="minorHAnsi"/>
          <w:b/>
          <w:bCs/>
        </w:rPr>
        <w:t>Initial</w:t>
      </w:r>
      <w:r w:rsidR="00337A15" w:rsidRPr="00337A15">
        <w:rPr>
          <w:rFonts w:cstheme="minorHAnsi"/>
          <w:b/>
          <w:bCs/>
        </w:rPr>
        <w:t xml:space="preserve"> </w:t>
      </w:r>
      <w:r w:rsidR="00A17A39" w:rsidRPr="00A17A39">
        <w:rPr>
          <w:rFonts w:cstheme="minorHAnsi"/>
          <w:b/>
          <w:bCs/>
        </w:rPr>
        <w:t>Support</w:t>
      </w:r>
      <w:r w:rsidR="00A17A39">
        <w:rPr>
          <w:rFonts w:cstheme="minorHAnsi"/>
        </w:rPr>
        <w:t xml:space="preserve"> –</w:t>
      </w:r>
      <w:r w:rsidR="00C5009A">
        <w:rPr>
          <w:rFonts w:cstheme="minorHAnsi"/>
        </w:rPr>
        <w:t xml:space="preserve"> </w:t>
      </w:r>
      <w:r w:rsidR="00A17A39">
        <w:rPr>
          <w:rFonts w:cstheme="minorHAnsi"/>
        </w:rPr>
        <w:t xml:space="preserve">all </w:t>
      </w:r>
      <w:r>
        <w:rPr>
          <w:rFonts w:cstheme="minorHAnsi"/>
        </w:rPr>
        <w:t>providers</w:t>
      </w:r>
      <w:r w:rsidR="00C5009A">
        <w:rPr>
          <w:rFonts w:cstheme="minorHAnsi"/>
        </w:rPr>
        <w:t xml:space="preserve"> will receive a </w:t>
      </w:r>
      <w:proofErr w:type="gramStart"/>
      <w:r w:rsidR="00337A15">
        <w:rPr>
          <w:rFonts w:cstheme="minorHAnsi"/>
        </w:rPr>
        <w:t>one month</w:t>
      </w:r>
      <w:proofErr w:type="gramEnd"/>
      <w:r w:rsidR="00337A15">
        <w:rPr>
          <w:rFonts w:cstheme="minorHAnsi"/>
        </w:rPr>
        <w:t xml:space="preserve"> upfront payment</w:t>
      </w:r>
      <w:r w:rsidR="00C5009A">
        <w:rPr>
          <w:rFonts w:cstheme="minorHAnsi"/>
        </w:rPr>
        <w:t xml:space="preserve"> in July</w:t>
      </w:r>
      <w:r w:rsidR="00337A15">
        <w:rPr>
          <w:rFonts w:cstheme="minorHAnsi"/>
        </w:rPr>
        <w:t>.</w:t>
      </w:r>
    </w:p>
    <w:p w14:paraId="5E4121C4" w14:textId="11CB014A" w:rsidR="00524BFF" w:rsidRPr="00EB2E0A" w:rsidRDefault="000221F2" w:rsidP="00524BFF">
      <w:pPr>
        <w:pStyle w:val="ListParagraph"/>
        <w:numPr>
          <w:ilvl w:val="0"/>
          <w:numId w:val="20"/>
        </w:numPr>
        <w:spacing w:before="0" w:after="0"/>
        <w:rPr>
          <w:rFonts w:cstheme="minorHAnsi"/>
        </w:rPr>
      </w:pPr>
      <w:r>
        <w:rPr>
          <w:rFonts w:cstheme="minorHAnsi"/>
          <w:b/>
          <w:bCs/>
        </w:rPr>
        <w:t>Rollover</w:t>
      </w:r>
      <w:r w:rsidR="00524BFF" w:rsidRPr="00524BFF">
        <w:rPr>
          <w:rFonts w:cstheme="minorHAnsi"/>
          <w:b/>
          <w:bCs/>
        </w:rPr>
        <w:t xml:space="preserve"> </w:t>
      </w:r>
      <w:r w:rsidR="00C24422">
        <w:rPr>
          <w:rFonts w:cstheme="minorHAnsi"/>
          <w:b/>
          <w:bCs/>
        </w:rPr>
        <w:t>Support</w:t>
      </w:r>
      <w:r w:rsidR="00524BFF">
        <w:rPr>
          <w:rFonts w:cstheme="minorHAnsi"/>
        </w:rPr>
        <w:t xml:space="preserve"> – Upon request, providers</w:t>
      </w:r>
      <w:r w:rsidR="003E6CE2">
        <w:rPr>
          <w:rFonts w:cstheme="minorHAnsi"/>
        </w:rPr>
        <w:t xml:space="preserve"> (excluding</w:t>
      </w:r>
      <w:r w:rsidR="00B61127">
        <w:rPr>
          <w:rFonts w:cstheme="minorHAnsi"/>
        </w:rPr>
        <w:t xml:space="preserve"> providers exclusively funded to deliver</w:t>
      </w:r>
      <w:r w:rsidR="003E6CE2">
        <w:rPr>
          <w:rFonts w:cstheme="minorHAnsi"/>
        </w:rPr>
        <w:t xml:space="preserve"> </w:t>
      </w:r>
      <w:r w:rsidR="00EB2E0A">
        <w:rPr>
          <w:rFonts w:cstheme="minorHAnsi"/>
        </w:rPr>
        <w:t>SSD</w:t>
      </w:r>
      <w:r w:rsidR="003E6CE2">
        <w:rPr>
          <w:rFonts w:cstheme="minorHAnsi"/>
        </w:rPr>
        <w:t>)</w:t>
      </w:r>
      <w:r w:rsidR="00524BFF">
        <w:rPr>
          <w:rFonts w:cstheme="minorHAnsi"/>
        </w:rPr>
        <w:t xml:space="preserve"> will be allowed to </w:t>
      </w:r>
      <w:r w:rsidR="00524BFF" w:rsidRPr="00B57487">
        <w:rPr>
          <w:rFonts w:cstheme="minorHAnsi"/>
        </w:rPr>
        <w:t xml:space="preserve">rollover unspent funds </w:t>
      </w:r>
      <w:r w:rsidR="00D20CC5" w:rsidRPr="00B57487">
        <w:rPr>
          <w:rFonts w:cstheme="minorHAnsi"/>
        </w:rPr>
        <w:t>up to a maximum of one month’s worth of funding</w:t>
      </w:r>
      <w:r w:rsidR="00D20CC5">
        <w:rPr>
          <w:rFonts w:cstheme="minorHAnsi"/>
        </w:rPr>
        <w:t xml:space="preserve"> </w:t>
      </w:r>
      <w:r w:rsidR="00524BFF" w:rsidRPr="00B57487">
        <w:rPr>
          <w:rFonts w:cstheme="minorHAnsi"/>
        </w:rPr>
        <w:t>from 2021-22 to 2022-23</w:t>
      </w:r>
      <w:r w:rsidR="00D20CC5">
        <w:rPr>
          <w:rFonts w:cstheme="minorHAnsi"/>
        </w:rPr>
        <w:t xml:space="preserve">. Requests are </w:t>
      </w:r>
      <w:r w:rsidR="00D20CC5" w:rsidRPr="00EB2E0A">
        <w:rPr>
          <w:rFonts w:cstheme="minorHAnsi"/>
        </w:rPr>
        <w:t xml:space="preserve">due </w:t>
      </w:r>
      <w:r w:rsidR="00F957A7" w:rsidRPr="00007A8A">
        <w:rPr>
          <w:rFonts w:cstheme="minorHAnsi"/>
        </w:rPr>
        <w:t>30</w:t>
      </w:r>
      <w:r w:rsidR="00C81970" w:rsidRPr="00007A8A">
        <w:rPr>
          <w:rFonts w:cstheme="minorHAnsi"/>
        </w:rPr>
        <w:t xml:space="preserve"> May</w:t>
      </w:r>
      <w:r w:rsidR="00947EC7" w:rsidRPr="00007A8A">
        <w:rPr>
          <w:rFonts w:cstheme="minorHAnsi"/>
        </w:rPr>
        <w:t xml:space="preserve"> 2022</w:t>
      </w:r>
      <w:r w:rsidR="004E3E82" w:rsidRPr="00007A8A">
        <w:rPr>
          <w:rFonts w:cstheme="minorHAnsi"/>
        </w:rPr>
        <w:t>.</w:t>
      </w:r>
    </w:p>
    <w:p w14:paraId="03B94495" w14:textId="6F2AD1E5" w:rsidR="009262F9" w:rsidRDefault="009D5F88" w:rsidP="00524BFF">
      <w:pPr>
        <w:pStyle w:val="ListParagraph"/>
        <w:numPr>
          <w:ilvl w:val="0"/>
          <w:numId w:val="20"/>
        </w:numPr>
        <w:spacing w:before="0" w:after="0"/>
        <w:rPr>
          <w:rFonts w:cstheme="minorHAnsi"/>
        </w:rPr>
      </w:pPr>
      <w:r w:rsidRPr="00EB2E0A">
        <w:rPr>
          <w:rFonts w:cstheme="minorHAnsi"/>
          <w:b/>
          <w:bCs/>
        </w:rPr>
        <w:t>Transition</w:t>
      </w:r>
      <w:r w:rsidR="00C24422" w:rsidRPr="00EB2E0A">
        <w:rPr>
          <w:rFonts w:cstheme="minorHAnsi"/>
          <w:b/>
          <w:bCs/>
        </w:rPr>
        <w:t xml:space="preserve"> Support Funding</w:t>
      </w:r>
      <w:r w:rsidR="00524BFF" w:rsidRPr="00EB2E0A">
        <w:rPr>
          <w:rFonts w:cstheme="minorHAnsi"/>
        </w:rPr>
        <w:t>–</w:t>
      </w:r>
      <w:r w:rsidR="00337A15" w:rsidRPr="00EB2E0A">
        <w:rPr>
          <w:rFonts w:cstheme="minorHAnsi"/>
        </w:rPr>
        <w:t xml:space="preserve"> if providers </w:t>
      </w:r>
      <w:r w:rsidR="00136C75" w:rsidRPr="00EB2E0A">
        <w:rPr>
          <w:rFonts w:cstheme="minorHAnsi"/>
        </w:rPr>
        <w:t>have minimal or no projected underspends, they</w:t>
      </w:r>
      <w:r w:rsidR="00524BFF" w:rsidRPr="00EB2E0A">
        <w:rPr>
          <w:rFonts w:cstheme="minorHAnsi"/>
        </w:rPr>
        <w:t xml:space="preserve"> may </w:t>
      </w:r>
      <w:r w:rsidR="0008526C">
        <w:rPr>
          <w:rFonts w:cstheme="minorHAnsi"/>
        </w:rPr>
        <w:t xml:space="preserve">apply through a grant round </w:t>
      </w:r>
      <w:r w:rsidR="0008526C" w:rsidRPr="00EB2E0A">
        <w:rPr>
          <w:rFonts w:cstheme="minorHAnsi"/>
        </w:rPr>
        <w:t>to receive targeted transition funding to sustain cashflow</w:t>
      </w:r>
      <w:r w:rsidR="00524BFF" w:rsidRPr="00EB2E0A">
        <w:rPr>
          <w:rFonts w:cstheme="minorHAnsi"/>
        </w:rPr>
        <w:t>.</w:t>
      </w:r>
      <w:r w:rsidR="00D20CC5" w:rsidRPr="00EB2E0A">
        <w:rPr>
          <w:rFonts w:cstheme="minorHAnsi"/>
        </w:rPr>
        <w:t xml:space="preserve"> </w:t>
      </w:r>
      <w:r w:rsidR="00602C3E" w:rsidRPr="00EB2E0A">
        <w:rPr>
          <w:rFonts w:cstheme="minorHAnsi"/>
        </w:rPr>
        <w:t xml:space="preserve">Approved </w:t>
      </w:r>
      <w:r w:rsidR="00602C3E">
        <w:rPr>
          <w:rFonts w:cstheme="minorHAnsi"/>
        </w:rPr>
        <w:t xml:space="preserve">grantees </w:t>
      </w:r>
      <w:r w:rsidR="00602C3E" w:rsidRPr="00EB2E0A">
        <w:rPr>
          <w:rFonts w:cstheme="minorHAnsi"/>
        </w:rPr>
        <w:t xml:space="preserve">will </w:t>
      </w:r>
      <w:r w:rsidR="00602C3E">
        <w:rPr>
          <w:rFonts w:cstheme="minorHAnsi"/>
        </w:rPr>
        <w:t xml:space="preserve">receive funding </w:t>
      </w:r>
      <w:r w:rsidR="00602C3E" w:rsidRPr="00EB2E0A">
        <w:rPr>
          <w:rFonts w:cstheme="minorHAnsi"/>
        </w:rPr>
        <w:t>through a separate</w:t>
      </w:r>
      <w:r w:rsidR="00552F57">
        <w:rPr>
          <w:rFonts w:cstheme="minorHAnsi"/>
        </w:rPr>
        <w:t>, and simplified</w:t>
      </w:r>
      <w:r w:rsidR="00602C3E" w:rsidRPr="00EB2E0A">
        <w:rPr>
          <w:rFonts w:cstheme="minorHAnsi"/>
        </w:rPr>
        <w:t xml:space="preserve"> grant </w:t>
      </w:r>
      <w:r w:rsidR="00552F57">
        <w:rPr>
          <w:rFonts w:cstheme="minorHAnsi"/>
        </w:rPr>
        <w:t>process</w:t>
      </w:r>
      <w:r w:rsidR="00602C3E" w:rsidRPr="00EB2E0A">
        <w:rPr>
          <w:rFonts w:cstheme="minorHAnsi"/>
        </w:rPr>
        <w:t>.</w:t>
      </w:r>
      <w:r w:rsidR="00602C3E">
        <w:rPr>
          <w:rFonts w:cstheme="minorHAnsi"/>
        </w:rPr>
        <w:t xml:space="preserve"> The upcoming grant round will be advertised </w:t>
      </w:r>
      <w:r w:rsidR="007B21FC">
        <w:rPr>
          <w:rFonts w:cstheme="minorHAnsi"/>
        </w:rPr>
        <w:t xml:space="preserve">on </w:t>
      </w:r>
      <w:hyperlink r:id="rId14" w:history="1">
        <w:proofErr w:type="spellStart"/>
        <w:r w:rsidR="007B21FC" w:rsidRPr="00C00F36">
          <w:rPr>
            <w:rStyle w:val="Hyperlink"/>
            <w:rFonts w:cstheme="minorHAnsi"/>
          </w:rPr>
          <w:t>GrantCo</w:t>
        </w:r>
        <w:r w:rsidR="007B21FC" w:rsidRPr="00C00F36">
          <w:rPr>
            <w:rStyle w:val="Hyperlink"/>
            <w:rFonts w:cstheme="minorHAnsi"/>
          </w:rPr>
          <w:t>n</w:t>
        </w:r>
        <w:r w:rsidR="007B21FC" w:rsidRPr="00C00F36">
          <w:rPr>
            <w:rStyle w:val="Hyperlink"/>
            <w:rFonts w:cstheme="minorHAnsi"/>
          </w:rPr>
          <w:t>nect</w:t>
        </w:r>
        <w:proofErr w:type="spellEnd"/>
      </w:hyperlink>
      <w:r w:rsidR="00C00F36">
        <w:rPr>
          <w:rFonts w:cstheme="minorHAnsi"/>
        </w:rPr>
        <w:t xml:space="preserve"> in early 2022. </w:t>
      </w:r>
    </w:p>
    <w:p w14:paraId="58C33062" w14:textId="77777777" w:rsidR="009262F9" w:rsidRDefault="009262F9">
      <w:pPr>
        <w:spacing w:before="0" w:after="160" w:line="259" w:lineRule="auto"/>
        <w:rPr>
          <w:rFonts w:cstheme="minorHAnsi"/>
        </w:rPr>
      </w:pPr>
      <w:r>
        <w:rPr>
          <w:rFonts w:cstheme="minorHAnsi"/>
        </w:rPr>
        <w:br w:type="page"/>
      </w:r>
    </w:p>
    <w:p w14:paraId="09F1F1E9" w14:textId="34B6A79E" w:rsidR="00524BFF" w:rsidRPr="00B57487" w:rsidRDefault="00524BFF" w:rsidP="00524BFF">
      <w:pPr>
        <w:pStyle w:val="Heading2"/>
        <w:rPr>
          <w:rFonts w:cstheme="minorHAnsi"/>
          <w:b w:val="0"/>
        </w:rPr>
      </w:pPr>
      <w:r>
        <w:rPr>
          <w:rFonts w:cstheme="minorHAnsi"/>
        </w:rPr>
        <w:lastRenderedPageBreak/>
        <w:t>Stages</w:t>
      </w:r>
      <w:r w:rsidRPr="00B57487">
        <w:rPr>
          <w:rFonts w:cstheme="minorHAnsi"/>
        </w:rPr>
        <w:t xml:space="preserve"> for transition support</w:t>
      </w:r>
    </w:p>
    <w:p w14:paraId="586D7AFC" w14:textId="786202E1" w:rsidR="00B61127" w:rsidRDefault="000221F2" w:rsidP="00524BFF">
      <w:pPr>
        <w:pStyle w:val="Heading3"/>
        <w:rPr>
          <w:rFonts w:cstheme="minorHAnsi"/>
        </w:rPr>
      </w:pPr>
      <w:r>
        <w:rPr>
          <w:rFonts w:cstheme="minorHAnsi"/>
        </w:rPr>
        <w:t xml:space="preserve">Initial </w:t>
      </w:r>
      <w:r w:rsidR="00B4748E">
        <w:rPr>
          <w:rFonts w:cstheme="minorHAnsi"/>
        </w:rPr>
        <w:t>Support</w:t>
      </w:r>
      <w:r w:rsidR="00524BFF" w:rsidRPr="00B57487">
        <w:rPr>
          <w:rFonts w:cstheme="minorHAnsi"/>
        </w:rPr>
        <w:t xml:space="preserve"> – </w:t>
      </w:r>
      <w:r w:rsidR="00B61127">
        <w:rPr>
          <w:rFonts w:cstheme="minorHAnsi"/>
        </w:rPr>
        <w:t>One Month upfront payment</w:t>
      </w:r>
    </w:p>
    <w:p w14:paraId="18068792" w14:textId="77777777" w:rsidR="00FA7198" w:rsidRPr="00FA7198" w:rsidRDefault="00FA7198" w:rsidP="00FA7198">
      <w:pPr>
        <w:spacing w:before="0" w:after="0"/>
        <w:rPr>
          <w:rFonts w:cstheme="minorHAnsi"/>
        </w:rPr>
      </w:pPr>
      <w:r w:rsidRPr="00FA7198">
        <w:rPr>
          <w:rFonts w:cstheme="minorHAnsi"/>
        </w:rPr>
        <w:t>All CHSP providers will transition from upfront quarterly payments to fixed monthly</w:t>
      </w:r>
    </w:p>
    <w:p w14:paraId="4D8BA3DC" w14:textId="77777777" w:rsidR="00FA7198" w:rsidRPr="00FA7198" w:rsidRDefault="00FA7198" w:rsidP="00FA7198">
      <w:pPr>
        <w:spacing w:before="0" w:after="0"/>
        <w:rPr>
          <w:rFonts w:cstheme="minorHAnsi"/>
        </w:rPr>
      </w:pPr>
      <w:r w:rsidRPr="00FA7198">
        <w:rPr>
          <w:rFonts w:cstheme="minorHAnsi"/>
        </w:rPr>
        <w:t>payments in arrears based on 1/12 of the total value of the grant agreement. To help</w:t>
      </w:r>
    </w:p>
    <w:p w14:paraId="011A1521" w14:textId="77777777" w:rsidR="00FA7198" w:rsidRPr="00FA7198" w:rsidRDefault="00FA7198" w:rsidP="00FA7198">
      <w:pPr>
        <w:spacing w:before="0" w:after="0"/>
        <w:rPr>
          <w:rFonts w:cstheme="minorHAnsi"/>
        </w:rPr>
      </w:pPr>
      <w:r w:rsidRPr="00FA7198">
        <w:rPr>
          <w:rFonts w:cstheme="minorHAnsi"/>
        </w:rPr>
        <w:t>manage the transition and associated cashflow impacts, providers will be paid the</w:t>
      </w:r>
    </w:p>
    <w:p w14:paraId="60A93D2C" w14:textId="77777777" w:rsidR="00FA7198" w:rsidRPr="00FA7198" w:rsidRDefault="00FA7198" w:rsidP="00FA7198">
      <w:pPr>
        <w:spacing w:before="0" w:after="0"/>
        <w:rPr>
          <w:rFonts w:cstheme="minorHAnsi"/>
        </w:rPr>
      </w:pPr>
      <w:r w:rsidRPr="00FA7198">
        <w:rPr>
          <w:rFonts w:cstheme="minorHAnsi"/>
        </w:rPr>
        <w:t>July 2022 monthly payment in advance. The August 2022 payment will then be made</w:t>
      </w:r>
    </w:p>
    <w:p w14:paraId="0BD9FFF9" w14:textId="579CA4F0" w:rsidR="00B61127" w:rsidRPr="00FA7198" w:rsidRDefault="00FA7198">
      <w:pPr>
        <w:spacing w:before="0" w:after="0"/>
        <w:rPr>
          <w:rFonts w:cstheme="minorHAnsi"/>
        </w:rPr>
      </w:pPr>
      <w:r w:rsidRPr="00FA7198">
        <w:rPr>
          <w:rFonts w:cstheme="minorHAnsi"/>
        </w:rPr>
        <w:t>at the start of September 2022.</w:t>
      </w:r>
    </w:p>
    <w:p w14:paraId="5C121B02" w14:textId="35A0919A" w:rsidR="00B961A2" w:rsidRDefault="00B961A2">
      <w:pPr>
        <w:pStyle w:val="Heading4"/>
      </w:pPr>
      <w:r>
        <w:t xml:space="preserve">Eligibility Criteria for </w:t>
      </w:r>
      <w:r w:rsidR="000221F2">
        <w:t>initial support</w:t>
      </w:r>
    </w:p>
    <w:p w14:paraId="213E636F" w14:textId="77777777" w:rsidR="00FD36BA" w:rsidRDefault="00FD36BA" w:rsidP="00FD36BA">
      <w:pPr>
        <w:pStyle w:val="ListParagraph"/>
        <w:rPr>
          <w:rFonts w:cstheme="minorHAnsi"/>
        </w:rPr>
      </w:pPr>
      <w:r>
        <w:t xml:space="preserve">Providers must have signed their grant agreement for the 2022-23 CHSP Extension. </w:t>
      </w:r>
    </w:p>
    <w:p w14:paraId="33A47FF5" w14:textId="503EC215" w:rsidR="00B961A2" w:rsidRDefault="00B961A2" w:rsidP="00B961A2">
      <w:pPr>
        <w:pStyle w:val="ListParagraph"/>
      </w:pPr>
      <w:r>
        <w:t>By default, all providers will receive the July 2022 monthly payment in advance, requiring no action from providers</w:t>
      </w:r>
      <w:r w:rsidR="001A56AA">
        <w:t>.</w:t>
      </w:r>
    </w:p>
    <w:p w14:paraId="21DA2F9E" w14:textId="40144BFE" w:rsidR="00524BFF" w:rsidRPr="00B57487" w:rsidRDefault="000221F2" w:rsidP="00524BFF">
      <w:pPr>
        <w:pStyle w:val="Heading3"/>
        <w:rPr>
          <w:rFonts w:cstheme="minorHAnsi"/>
        </w:rPr>
      </w:pPr>
      <w:r>
        <w:rPr>
          <w:rFonts w:cstheme="minorHAnsi"/>
        </w:rPr>
        <w:t>Rollover support</w:t>
      </w:r>
      <w:r w:rsidR="00B61127">
        <w:rPr>
          <w:rFonts w:cstheme="minorHAnsi"/>
        </w:rPr>
        <w:t xml:space="preserve"> </w:t>
      </w:r>
    </w:p>
    <w:p w14:paraId="4A618E2C" w14:textId="40611483" w:rsidR="00524BFF" w:rsidRPr="00B57487" w:rsidRDefault="00A5166E" w:rsidP="00A9234C">
      <w:pPr>
        <w:spacing w:before="0" w:after="0"/>
        <w:rPr>
          <w:rFonts w:cstheme="minorHAnsi"/>
        </w:rPr>
      </w:pPr>
      <w:r w:rsidRPr="00A9234C">
        <w:rPr>
          <w:rFonts w:cstheme="minorHAnsi"/>
        </w:rPr>
        <w:t xml:space="preserve">In addition, to support providers, </w:t>
      </w:r>
      <w:r w:rsidR="008319AF" w:rsidRPr="00A9234C">
        <w:rPr>
          <w:rFonts w:cstheme="minorHAnsi"/>
        </w:rPr>
        <w:t>Health</w:t>
      </w:r>
      <w:r w:rsidR="00524BFF" w:rsidRPr="00A9234C">
        <w:rPr>
          <w:rFonts w:cstheme="minorHAnsi"/>
        </w:rPr>
        <w:t xml:space="preserve"> has agreed to allow all providers </w:t>
      </w:r>
      <w:r w:rsidR="00D66CAE" w:rsidRPr="00A9234C">
        <w:rPr>
          <w:rFonts w:cstheme="minorHAnsi"/>
        </w:rPr>
        <w:t xml:space="preserve">(excluding </w:t>
      </w:r>
      <w:r w:rsidRPr="00A9234C">
        <w:rPr>
          <w:rFonts w:cstheme="minorHAnsi"/>
        </w:rPr>
        <w:t>provider</w:t>
      </w:r>
      <w:r w:rsidR="00220D0E" w:rsidRPr="00A9234C">
        <w:rPr>
          <w:rFonts w:cstheme="minorHAnsi"/>
        </w:rPr>
        <w:t>s</w:t>
      </w:r>
      <w:r w:rsidRPr="00A9234C">
        <w:rPr>
          <w:rFonts w:cstheme="minorHAnsi"/>
        </w:rPr>
        <w:t xml:space="preserve"> exclusively delivering </w:t>
      </w:r>
      <w:r w:rsidR="00D66CAE" w:rsidRPr="00A9234C">
        <w:rPr>
          <w:rFonts w:cstheme="minorHAnsi"/>
        </w:rPr>
        <w:t xml:space="preserve">SSD) </w:t>
      </w:r>
      <w:r w:rsidR="00FD36BA">
        <w:rPr>
          <w:rFonts w:cstheme="minorHAnsi"/>
        </w:rPr>
        <w:t xml:space="preserve">that have signed their grant agreement for the 2022-23 CHSP Extension </w:t>
      </w:r>
      <w:r w:rsidR="00524BFF" w:rsidRPr="00A9234C">
        <w:rPr>
          <w:rFonts w:cstheme="minorHAnsi"/>
        </w:rPr>
        <w:t>to rollover unspent funds from 2021-22 to 2022-23</w:t>
      </w:r>
      <w:r w:rsidR="00220D0E" w:rsidRPr="00A9234C">
        <w:rPr>
          <w:rFonts w:cstheme="minorHAnsi"/>
        </w:rPr>
        <w:t xml:space="preserve"> </w:t>
      </w:r>
      <w:r w:rsidR="00B961A2" w:rsidRPr="00A9234C">
        <w:rPr>
          <w:rFonts w:cstheme="minorHAnsi"/>
        </w:rPr>
        <w:t xml:space="preserve">capped at one month’s worth of funding for that particular provider. </w:t>
      </w:r>
      <w:r w:rsidR="00A9234C" w:rsidRPr="00A9234C">
        <w:rPr>
          <w:rFonts w:cstheme="minorHAnsi"/>
        </w:rPr>
        <w:t>It is intended that this one-off payment to sustain cashflow, is in addition to the grant funding</w:t>
      </w:r>
      <w:r w:rsidR="00A9234C">
        <w:rPr>
          <w:rFonts w:cstheme="minorHAnsi"/>
        </w:rPr>
        <w:t xml:space="preserve">. Any remaining unspent funds </w:t>
      </w:r>
      <w:r w:rsidR="00A9234C" w:rsidRPr="00A9234C">
        <w:rPr>
          <w:rFonts w:cstheme="minorHAnsi"/>
        </w:rPr>
        <w:t>will need to be acquitted.</w:t>
      </w:r>
    </w:p>
    <w:p w14:paraId="04071423" w14:textId="3FEE2009" w:rsidR="00B961A2" w:rsidRDefault="00B61127" w:rsidP="004E3E82">
      <w:pPr>
        <w:rPr>
          <w:rFonts w:eastAsiaTheme="majorEastAsia" w:cstheme="majorBidi"/>
          <w:iCs/>
          <w:color w:val="358189"/>
        </w:rPr>
      </w:pPr>
      <w:r>
        <w:t xml:space="preserve">Providers must email the </w:t>
      </w:r>
      <w:r w:rsidR="008F025A">
        <w:t>CGH</w:t>
      </w:r>
      <w:r w:rsidR="00C12D22">
        <w:t xml:space="preserve"> </w:t>
      </w:r>
      <w:r>
        <w:t xml:space="preserve">to request to rollover their unspent funds by </w:t>
      </w:r>
      <w:r w:rsidR="001A56AA" w:rsidRPr="00C013EE">
        <w:rPr>
          <w:b/>
          <w:bCs/>
        </w:rPr>
        <w:t>30</w:t>
      </w:r>
      <w:r w:rsidRPr="00C013EE">
        <w:rPr>
          <w:b/>
          <w:bCs/>
        </w:rPr>
        <w:t xml:space="preserve"> May 2022</w:t>
      </w:r>
      <w:r w:rsidR="00C81970">
        <w:t xml:space="preserve"> outlining their projected underspend</w:t>
      </w:r>
      <w:r>
        <w:t>.</w:t>
      </w:r>
      <w:r w:rsidR="00B961A2">
        <w:t xml:space="preserve"> </w:t>
      </w:r>
    </w:p>
    <w:p w14:paraId="5F7DBD9A" w14:textId="21627B40" w:rsidR="00B961A2" w:rsidRDefault="00B961A2" w:rsidP="00B961A2">
      <w:pPr>
        <w:pStyle w:val="Heading4"/>
      </w:pPr>
      <w:r>
        <w:t xml:space="preserve">Eligibility Criteria for </w:t>
      </w:r>
      <w:r w:rsidR="00DD0AFE" w:rsidRPr="00DD0AFE">
        <w:t>Rollover Support</w:t>
      </w:r>
    </w:p>
    <w:p w14:paraId="75DFAEE9" w14:textId="0C7887FB" w:rsidR="00B961A2" w:rsidRDefault="00FD36BA" w:rsidP="00B961A2">
      <w:pPr>
        <w:pStyle w:val="ListParagraph"/>
        <w:numPr>
          <w:ilvl w:val="0"/>
          <w:numId w:val="22"/>
        </w:numPr>
        <w:spacing w:after="0"/>
        <w:ind w:left="714" w:hanging="357"/>
        <w:rPr>
          <w:rFonts w:cstheme="minorHAnsi"/>
        </w:rPr>
      </w:pPr>
      <w:r>
        <w:t>Providers must have signed their grant agreement for the 2022-23 CHSP Extension</w:t>
      </w:r>
      <w:r w:rsidR="00B961A2">
        <w:t xml:space="preserve">. </w:t>
      </w:r>
    </w:p>
    <w:p w14:paraId="2146050D" w14:textId="4C66B459" w:rsidR="00B961A2" w:rsidRDefault="00B961A2" w:rsidP="00B961A2">
      <w:pPr>
        <w:pStyle w:val="ListParagraph"/>
        <w:numPr>
          <w:ilvl w:val="0"/>
          <w:numId w:val="22"/>
        </w:numPr>
        <w:spacing w:after="0"/>
        <w:ind w:left="714" w:hanging="357"/>
        <w:rPr>
          <w:rFonts w:cstheme="minorHAnsi"/>
        </w:rPr>
      </w:pPr>
      <w:r>
        <w:rPr>
          <w:rFonts w:cstheme="minorHAnsi"/>
        </w:rPr>
        <w:t>Providers</w:t>
      </w:r>
      <w:r w:rsidRPr="00E5018F">
        <w:rPr>
          <w:rFonts w:cstheme="minorHAnsi"/>
        </w:rPr>
        <w:t xml:space="preserve"> </w:t>
      </w:r>
      <w:r>
        <w:rPr>
          <w:rFonts w:cstheme="minorHAnsi"/>
        </w:rPr>
        <w:t>must</w:t>
      </w:r>
      <w:r w:rsidRPr="00E5018F">
        <w:rPr>
          <w:rFonts w:cstheme="minorHAnsi"/>
        </w:rPr>
        <w:t xml:space="preserve"> </w:t>
      </w:r>
      <w:r>
        <w:rPr>
          <w:rFonts w:cstheme="minorHAnsi"/>
        </w:rPr>
        <w:t xml:space="preserve">email the </w:t>
      </w:r>
      <w:r w:rsidR="008F025A">
        <w:rPr>
          <w:rFonts w:cstheme="minorHAnsi"/>
        </w:rPr>
        <w:t>CGH</w:t>
      </w:r>
      <w:r>
        <w:rPr>
          <w:rFonts w:cstheme="minorHAnsi"/>
        </w:rPr>
        <w:t xml:space="preserve"> requesting to rollover </w:t>
      </w:r>
      <w:r w:rsidR="0024182C">
        <w:rPr>
          <w:rFonts w:cstheme="minorHAnsi"/>
        </w:rPr>
        <w:t>their projected underspend</w:t>
      </w:r>
      <w:r>
        <w:rPr>
          <w:rFonts w:cstheme="minorHAnsi"/>
        </w:rPr>
        <w:t xml:space="preserve"> by </w:t>
      </w:r>
      <w:r w:rsidR="00F957A7" w:rsidRPr="003771A4">
        <w:rPr>
          <w:rFonts w:cstheme="minorHAnsi"/>
        </w:rPr>
        <w:t>30</w:t>
      </w:r>
      <w:r w:rsidR="00C5009A" w:rsidRPr="00007A8A">
        <w:rPr>
          <w:rFonts w:cstheme="minorHAnsi"/>
        </w:rPr>
        <w:t xml:space="preserve"> May</w:t>
      </w:r>
      <w:r w:rsidRPr="00007A8A">
        <w:rPr>
          <w:rFonts w:cstheme="minorHAnsi"/>
        </w:rPr>
        <w:t xml:space="preserve"> 2022</w:t>
      </w:r>
      <w:r w:rsidRPr="003771A4">
        <w:rPr>
          <w:rFonts w:cstheme="minorHAnsi"/>
        </w:rPr>
        <w:t>.</w:t>
      </w:r>
    </w:p>
    <w:p w14:paraId="163C867D" w14:textId="37B02691" w:rsidR="00B961A2" w:rsidRDefault="00B961A2" w:rsidP="00B961A2">
      <w:pPr>
        <w:pStyle w:val="ListParagraph"/>
        <w:numPr>
          <w:ilvl w:val="0"/>
          <w:numId w:val="22"/>
        </w:numPr>
        <w:spacing w:before="0" w:after="0"/>
        <w:rPr>
          <w:rFonts w:cstheme="minorHAnsi"/>
        </w:rPr>
      </w:pPr>
      <w:r>
        <w:rPr>
          <w:rFonts w:cstheme="minorHAnsi"/>
        </w:rPr>
        <w:t xml:space="preserve">If requested, </w:t>
      </w:r>
      <w:r w:rsidR="004121A3">
        <w:rPr>
          <w:rFonts w:cstheme="minorHAnsi"/>
        </w:rPr>
        <w:t>providers</w:t>
      </w:r>
      <w:r>
        <w:rPr>
          <w:rFonts w:cstheme="minorHAnsi"/>
        </w:rPr>
        <w:t xml:space="preserve"> will </w:t>
      </w:r>
      <w:r w:rsidR="00606488">
        <w:rPr>
          <w:rFonts w:cstheme="minorHAnsi"/>
        </w:rPr>
        <w:t>be</w:t>
      </w:r>
      <w:r w:rsidR="00A17A39">
        <w:rPr>
          <w:rFonts w:cstheme="minorHAnsi"/>
        </w:rPr>
        <w:t xml:space="preserve"> </w:t>
      </w:r>
      <w:r>
        <w:rPr>
          <w:rFonts w:cstheme="minorHAnsi"/>
        </w:rPr>
        <w:t>allow</w:t>
      </w:r>
      <w:r w:rsidR="00606488">
        <w:rPr>
          <w:rFonts w:cstheme="minorHAnsi"/>
        </w:rPr>
        <w:t>ed</w:t>
      </w:r>
      <w:r>
        <w:rPr>
          <w:rFonts w:cstheme="minorHAnsi"/>
        </w:rPr>
        <w:t xml:space="preserve"> to rollover unspent funds up to the value of </w:t>
      </w:r>
      <w:r w:rsidR="00EB2E0A">
        <w:rPr>
          <w:rFonts w:cstheme="minorHAnsi"/>
        </w:rPr>
        <w:t>one months’ worth of their annual CHSP funding amount</w:t>
      </w:r>
      <w:r>
        <w:rPr>
          <w:rFonts w:cstheme="minorHAnsi"/>
        </w:rPr>
        <w:t>.</w:t>
      </w:r>
      <w:r w:rsidRPr="00E5018F">
        <w:rPr>
          <w:rFonts w:cstheme="minorHAnsi"/>
        </w:rPr>
        <w:t xml:space="preserve"> </w:t>
      </w:r>
    </w:p>
    <w:p w14:paraId="5F9D3441" w14:textId="5E91DE2F" w:rsidR="00B961A2" w:rsidRDefault="00B961A2" w:rsidP="00B961A2">
      <w:pPr>
        <w:spacing w:after="0"/>
        <w:rPr>
          <w:rFonts w:cstheme="minorHAnsi"/>
        </w:rPr>
      </w:pPr>
      <w:r>
        <w:rPr>
          <w:rFonts w:cstheme="minorHAnsi"/>
        </w:rPr>
        <w:t xml:space="preserve">If an organisation receives funding </w:t>
      </w:r>
      <w:r w:rsidR="00DD0AFE">
        <w:rPr>
          <w:rFonts w:cstheme="minorHAnsi"/>
        </w:rPr>
        <w:t>through T</w:t>
      </w:r>
      <w:r>
        <w:rPr>
          <w:rFonts w:cstheme="minorHAnsi"/>
        </w:rPr>
        <w:t xml:space="preserve">ransition </w:t>
      </w:r>
      <w:r w:rsidR="00DD0AFE">
        <w:rPr>
          <w:rFonts w:cstheme="minorHAnsi"/>
        </w:rPr>
        <w:t>S</w:t>
      </w:r>
      <w:r>
        <w:rPr>
          <w:rFonts w:cstheme="minorHAnsi"/>
        </w:rPr>
        <w:t xml:space="preserve">upport </w:t>
      </w:r>
      <w:r w:rsidR="00DD0AFE">
        <w:rPr>
          <w:rFonts w:cstheme="minorHAnsi"/>
        </w:rPr>
        <w:t>Funding</w:t>
      </w:r>
      <w:r w:rsidR="000221F2">
        <w:rPr>
          <w:rFonts w:cstheme="minorHAnsi"/>
        </w:rPr>
        <w:t xml:space="preserve"> </w:t>
      </w:r>
      <w:r>
        <w:rPr>
          <w:rFonts w:cstheme="minorHAnsi"/>
        </w:rPr>
        <w:t>and subsequently has an underspend</w:t>
      </w:r>
      <w:r w:rsidR="00D20CC5">
        <w:rPr>
          <w:rFonts w:cstheme="minorHAnsi"/>
        </w:rPr>
        <w:t xml:space="preserve"> by 30 June 2023</w:t>
      </w:r>
      <w:r>
        <w:rPr>
          <w:rFonts w:cstheme="minorHAnsi"/>
        </w:rPr>
        <w:t>, they will not be able to rollover that funding, and it will be recovered</w:t>
      </w:r>
      <w:r w:rsidR="00D20CC5">
        <w:rPr>
          <w:rFonts w:cstheme="minorHAnsi"/>
        </w:rPr>
        <w:t xml:space="preserve"> post 30 June 2023</w:t>
      </w:r>
      <w:r>
        <w:rPr>
          <w:rFonts w:cstheme="minorHAnsi"/>
        </w:rPr>
        <w:t>.</w:t>
      </w:r>
    </w:p>
    <w:p w14:paraId="27B80843" w14:textId="16459501" w:rsidR="004E3E82" w:rsidRDefault="003771A4" w:rsidP="004E3E82">
      <w:pPr>
        <w:pStyle w:val="Heading4"/>
      </w:pPr>
      <w:r>
        <w:t>Steps to apply</w:t>
      </w:r>
      <w:r w:rsidR="00B4748E">
        <w:t xml:space="preserve"> for Rollover Support</w:t>
      </w:r>
    </w:p>
    <w:p w14:paraId="2DBB5DAB" w14:textId="71A5D482" w:rsidR="004E3E82" w:rsidRDefault="004E3E82" w:rsidP="004E3E82">
      <w:pPr>
        <w:pStyle w:val="ListParagraph"/>
        <w:numPr>
          <w:ilvl w:val="0"/>
          <w:numId w:val="28"/>
        </w:numPr>
        <w:spacing w:before="0" w:after="0"/>
        <w:rPr>
          <w:rFonts w:cstheme="minorHAnsi"/>
        </w:rPr>
      </w:pPr>
      <w:r w:rsidRPr="00B57487">
        <w:rPr>
          <w:rFonts w:cstheme="minorHAnsi"/>
        </w:rPr>
        <w:t>Provider</w:t>
      </w:r>
      <w:r w:rsidR="00696AC8">
        <w:rPr>
          <w:rFonts w:cstheme="minorHAnsi"/>
        </w:rPr>
        <w:t>s</w:t>
      </w:r>
      <w:r w:rsidRPr="00B57487">
        <w:rPr>
          <w:rFonts w:cstheme="minorHAnsi"/>
        </w:rPr>
        <w:t xml:space="preserve"> </w:t>
      </w:r>
      <w:r>
        <w:rPr>
          <w:rFonts w:cstheme="minorHAnsi"/>
        </w:rPr>
        <w:t xml:space="preserve">must email the </w:t>
      </w:r>
      <w:r w:rsidR="008F025A">
        <w:rPr>
          <w:rFonts w:cstheme="minorHAnsi"/>
        </w:rPr>
        <w:t>CGH</w:t>
      </w:r>
      <w:r>
        <w:rPr>
          <w:rFonts w:cstheme="minorHAnsi"/>
        </w:rPr>
        <w:t xml:space="preserve"> </w:t>
      </w:r>
      <w:r w:rsidRPr="003771A4">
        <w:rPr>
          <w:rFonts w:cstheme="minorHAnsi"/>
        </w:rPr>
        <w:t xml:space="preserve">by </w:t>
      </w:r>
      <w:r w:rsidR="003303F6" w:rsidRPr="003771A4">
        <w:rPr>
          <w:rFonts w:cstheme="minorHAnsi"/>
        </w:rPr>
        <w:t>30</w:t>
      </w:r>
      <w:r w:rsidRPr="00B4748E">
        <w:rPr>
          <w:rFonts w:cstheme="minorHAnsi"/>
        </w:rPr>
        <w:t xml:space="preserve"> </w:t>
      </w:r>
      <w:r w:rsidR="00F957A7" w:rsidRPr="00B4748E">
        <w:rPr>
          <w:rFonts w:cstheme="minorHAnsi"/>
        </w:rPr>
        <w:t>May</w:t>
      </w:r>
      <w:r w:rsidRPr="00B4748E">
        <w:rPr>
          <w:rFonts w:cstheme="minorHAnsi"/>
        </w:rPr>
        <w:t xml:space="preserve"> </w:t>
      </w:r>
      <w:r w:rsidRPr="00007A8A">
        <w:rPr>
          <w:rFonts w:cstheme="minorHAnsi"/>
        </w:rPr>
        <w:t>2022</w:t>
      </w:r>
      <w:r>
        <w:rPr>
          <w:rFonts w:cstheme="minorHAnsi"/>
        </w:rPr>
        <w:t xml:space="preserve"> requesting to roll over </w:t>
      </w:r>
      <w:r w:rsidR="00696AC8">
        <w:rPr>
          <w:rFonts w:cstheme="minorHAnsi"/>
        </w:rPr>
        <w:t>their projected underspend</w:t>
      </w:r>
      <w:r>
        <w:rPr>
          <w:rFonts w:cstheme="minorHAnsi"/>
        </w:rPr>
        <w:t xml:space="preserve"> (equivalent to one months’ worth of their annual CHSP funding amount).</w:t>
      </w:r>
    </w:p>
    <w:p w14:paraId="080546A3" w14:textId="03B2D751" w:rsidR="004E3E82" w:rsidRDefault="00696AC8" w:rsidP="004E3E82">
      <w:pPr>
        <w:pStyle w:val="ListParagraph"/>
        <w:numPr>
          <w:ilvl w:val="1"/>
          <w:numId w:val="28"/>
        </w:numPr>
        <w:spacing w:before="0" w:after="0"/>
        <w:rPr>
          <w:rFonts w:cstheme="minorHAnsi"/>
        </w:rPr>
      </w:pPr>
      <w:r>
        <w:rPr>
          <w:rFonts w:cstheme="minorHAnsi"/>
        </w:rPr>
        <w:t>The p</w:t>
      </w:r>
      <w:r w:rsidR="004E3E82">
        <w:rPr>
          <w:rFonts w:cstheme="minorHAnsi"/>
        </w:rPr>
        <w:t xml:space="preserve">rovider </w:t>
      </w:r>
      <w:r>
        <w:rPr>
          <w:rFonts w:cstheme="minorHAnsi"/>
        </w:rPr>
        <w:t>must</w:t>
      </w:r>
      <w:r w:rsidR="004E3E82">
        <w:rPr>
          <w:rFonts w:cstheme="minorHAnsi"/>
        </w:rPr>
        <w:t xml:space="preserve"> attach proof from an accountant or financial officer that demonstrates a projected underspend.</w:t>
      </w:r>
    </w:p>
    <w:p w14:paraId="4D7382B4" w14:textId="13A640A3" w:rsidR="004E3E82" w:rsidRDefault="004E3E82" w:rsidP="004E3E82">
      <w:pPr>
        <w:pStyle w:val="ListParagraph"/>
        <w:numPr>
          <w:ilvl w:val="0"/>
          <w:numId w:val="28"/>
        </w:numPr>
        <w:rPr>
          <w:rFonts w:cstheme="minorHAnsi"/>
        </w:rPr>
      </w:pPr>
      <w:r w:rsidRPr="00C247BB">
        <w:rPr>
          <w:rFonts w:cstheme="minorHAnsi"/>
        </w:rPr>
        <w:t xml:space="preserve">CGH </w:t>
      </w:r>
      <w:r w:rsidR="00696AC8">
        <w:rPr>
          <w:rFonts w:cstheme="minorHAnsi"/>
        </w:rPr>
        <w:t>will</w:t>
      </w:r>
      <w:r w:rsidRPr="00C247BB">
        <w:rPr>
          <w:rFonts w:cstheme="minorHAnsi"/>
        </w:rPr>
        <w:t xml:space="preserve"> </w:t>
      </w:r>
      <w:r>
        <w:rPr>
          <w:rFonts w:cstheme="minorHAnsi"/>
        </w:rPr>
        <w:t xml:space="preserve">approve a </w:t>
      </w:r>
      <w:r w:rsidRPr="00C247BB">
        <w:rPr>
          <w:rFonts w:cstheme="minorHAnsi"/>
        </w:rPr>
        <w:t>provider</w:t>
      </w:r>
      <w:r>
        <w:rPr>
          <w:rFonts w:cstheme="minorHAnsi"/>
        </w:rPr>
        <w:t xml:space="preserve">’s request to rollover their </w:t>
      </w:r>
      <w:r w:rsidR="00696AC8">
        <w:rPr>
          <w:rFonts w:cstheme="minorHAnsi"/>
        </w:rPr>
        <w:t>project</w:t>
      </w:r>
      <w:r w:rsidR="000221F2">
        <w:rPr>
          <w:rFonts w:cstheme="minorHAnsi"/>
        </w:rPr>
        <w:t>ed</w:t>
      </w:r>
      <w:r w:rsidR="00696AC8">
        <w:rPr>
          <w:rFonts w:cstheme="minorHAnsi"/>
        </w:rPr>
        <w:t xml:space="preserve"> underspend</w:t>
      </w:r>
      <w:r w:rsidRPr="00C247BB">
        <w:rPr>
          <w:rFonts w:cstheme="minorHAnsi"/>
        </w:rPr>
        <w:t>.</w:t>
      </w:r>
    </w:p>
    <w:p w14:paraId="636A02AA" w14:textId="16C143A4" w:rsidR="004E3E82" w:rsidRPr="00B57487" w:rsidRDefault="004E3E82" w:rsidP="004E3E82">
      <w:pPr>
        <w:pStyle w:val="ListParagraph"/>
        <w:numPr>
          <w:ilvl w:val="1"/>
          <w:numId w:val="28"/>
        </w:numPr>
        <w:spacing w:before="0" w:after="0"/>
        <w:rPr>
          <w:rFonts w:cstheme="minorHAnsi"/>
        </w:rPr>
      </w:pPr>
      <w:r>
        <w:rPr>
          <w:rFonts w:cstheme="minorHAnsi"/>
        </w:rPr>
        <w:t xml:space="preserve">The provider will receive a confirmation letter outlining </w:t>
      </w:r>
      <w:r w:rsidRPr="00B57487">
        <w:rPr>
          <w:rFonts w:cstheme="minorHAnsi"/>
        </w:rPr>
        <w:t xml:space="preserve">the total amount approved </w:t>
      </w:r>
      <w:r w:rsidR="00696AC8">
        <w:rPr>
          <w:rFonts w:cstheme="minorHAnsi"/>
        </w:rPr>
        <w:t>to</w:t>
      </w:r>
      <w:r w:rsidRPr="00B57487">
        <w:rPr>
          <w:rFonts w:cstheme="minorHAnsi"/>
        </w:rPr>
        <w:t xml:space="preserve"> roll over </w:t>
      </w:r>
      <w:r>
        <w:rPr>
          <w:rFonts w:cstheme="minorHAnsi"/>
        </w:rPr>
        <w:t>from 2021-22 t</w:t>
      </w:r>
      <w:r w:rsidRPr="00B57487">
        <w:rPr>
          <w:rFonts w:cstheme="minorHAnsi"/>
        </w:rPr>
        <w:t>o</w:t>
      </w:r>
      <w:r>
        <w:rPr>
          <w:rFonts w:cstheme="minorHAnsi"/>
        </w:rPr>
        <w:t xml:space="preserve"> </w:t>
      </w:r>
      <w:r w:rsidRPr="00B57487">
        <w:rPr>
          <w:rFonts w:cstheme="minorHAnsi"/>
        </w:rPr>
        <w:t>2022-23</w:t>
      </w:r>
      <w:r>
        <w:rPr>
          <w:rFonts w:cstheme="minorHAnsi"/>
        </w:rPr>
        <w:t>.</w:t>
      </w:r>
    </w:p>
    <w:p w14:paraId="74F51456" w14:textId="5BBFD05C" w:rsidR="004E3E82" w:rsidRPr="00C247BB" w:rsidRDefault="004E3E82" w:rsidP="004E3E82">
      <w:pPr>
        <w:pStyle w:val="ListParagraph"/>
        <w:numPr>
          <w:ilvl w:val="0"/>
          <w:numId w:val="28"/>
        </w:numPr>
        <w:rPr>
          <w:rFonts w:cstheme="minorHAnsi"/>
        </w:rPr>
      </w:pPr>
      <w:r w:rsidRPr="00B57487">
        <w:rPr>
          <w:rFonts w:cstheme="minorHAnsi"/>
        </w:rPr>
        <w:t xml:space="preserve">The amount that can be rolled over </w:t>
      </w:r>
      <w:r>
        <w:rPr>
          <w:rFonts w:cstheme="minorHAnsi"/>
        </w:rPr>
        <w:t xml:space="preserve">from 2021-22 </w:t>
      </w:r>
      <w:r w:rsidRPr="00B57487">
        <w:rPr>
          <w:rFonts w:cstheme="minorHAnsi"/>
        </w:rPr>
        <w:t xml:space="preserve">is capped at one month’s worth of funding for that </w:t>
      </w:r>
      <w:proofErr w:type="gramStart"/>
      <w:r w:rsidRPr="00B57487">
        <w:rPr>
          <w:rFonts w:cstheme="minorHAnsi"/>
        </w:rPr>
        <w:t>particular provider</w:t>
      </w:r>
      <w:proofErr w:type="gramEnd"/>
      <w:r w:rsidRPr="00B57487">
        <w:rPr>
          <w:rFonts w:cstheme="minorHAnsi"/>
        </w:rPr>
        <w:t xml:space="preserve">. </w:t>
      </w:r>
      <w:r>
        <w:rPr>
          <w:rFonts w:cstheme="minorHAnsi"/>
        </w:rPr>
        <w:t xml:space="preserve">For example, a provider that is </w:t>
      </w:r>
      <w:r w:rsidRPr="00B57487">
        <w:rPr>
          <w:rFonts w:cstheme="minorHAnsi"/>
        </w:rPr>
        <w:t>fund</w:t>
      </w:r>
      <w:r>
        <w:rPr>
          <w:rFonts w:cstheme="minorHAnsi"/>
        </w:rPr>
        <w:t xml:space="preserve">ed </w:t>
      </w:r>
      <w:r w:rsidRPr="00B57487">
        <w:rPr>
          <w:rFonts w:cstheme="minorHAnsi"/>
        </w:rPr>
        <w:t>$120</w:t>
      </w:r>
      <w:r>
        <w:rPr>
          <w:rFonts w:cstheme="minorHAnsi"/>
        </w:rPr>
        <w:t>,000</w:t>
      </w:r>
      <w:r w:rsidR="00313EBD">
        <w:rPr>
          <w:rFonts w:cstheme="minorHAnsi"/>
        </w:rPr>
        <w:t xml:space="preserve"> (GST Excl)</w:t>
      </w:r>
      <w:r w:rsidRPr="00B57487">
        <w:rPr>
          <w:rFonts w:cstheme="minorHAnsi"/>
        </w:rPr>
        <w:t xml:space="preserve"> </w:t>
      </w:r>
      <w:r>
        <w:rPr>
          <w:rFonts w:cstheme="minorHAnsi"/>
        </w:rPr>
        <w:t xml:space="preserve">in 2021-22 will be allowed to </w:t>
      </w:r>
      <w:r w:rsidRPr="00B57487">
        <w:rPr>
          <w:rFonts w:cstheme="minorHAnsi"/>
        </w:rPr>
        <w:t>roll over $10</w:t>
      </w:r>
      <w:r>
        <w:rPr>
          <w:rFonts w:cstheme="minorHAnsi"/>
        </w:rPr>
        <w:t xml:space="preserve">,000 </w:t>
      </w:r>
      <w:r w:rsidR="00313EBD">
        <w:rPr>
          <w:rFonts w:cstheme="minorHAnsi"/>
        </w:rPr>
        <w:t>(GST Excl)</w:t>
      </w:r>
      <w:r w:rsidR="00AB447E">
        <w:rPr>
          <w:rFonts w:cstheme="minorHAnsi"/>
        </w:rPr>
        <w:t xml:space="preserve"> </w:t>
      </w:r>
      <w:r>
        <w:rPr>
          <w:rFonts w:cstheme="minorHAnsi"/>
        </w:rPr>
        <w:t>– which is equivalent to one months’ funding</w:t>
      </w:r>
      <w:r w:rsidR="00696AC8">
        <w:rPr>
          <w:rFonts w:cstheme="minorHAnsi"/>
        </w:rPr>
        <w:t xml:space="preserve"> (indexation will not be applied)</w:t>
      </w:r>
      <w:r w:rsidRPr="00B57487">
        <w:rPr>
          <w:rFonts w:cstheme="minorHAnsi"/>
        </w:rPr>
        <w:t>.</w:t>
      </w:r>
    </w:p>
    <w:p w14:paraId="791A2C9D" w14:textId="721AB0A5" w:rsidR="004E3E82" w:rsidRPr="00EB2E0A" w:rsidRDefault="004E3E82" w:rsidP="004E3E82">
      <w:pPr>
        <w:pStyle w:val="ListParagraph"/>
        <w:numPr>
          <w:ilvl w:val="0"/>
          <w:numId w:val="28"/>
        </w:numPr>
        <w:spacing w:before="0" w:after="0"/>
        <w:rPr>
          <w:rFonts w:cstheme="minorHAnsi"/>
        </w:rPr>
      </w:pPr>
      <w:r>
        <w:rPr>
          <w:rFonts w:cstheme="minorHAnsi"/>
        </w:rPr>
        <w:t xml:space="preserve">If an organisation has minimal or no projected </w:t>
      </w:r>
      <w:r w:rsidRPr="00EB2E0A">
        <w:rPr>
          <w:rFonts w:cstheme="minorHAnsi"/>
        </w:rPr>
        <w:t xml:space="preserve">underspends to rollover, they may seek approval to receive </w:t>
      </w:r>
      <w:r w:rsidR="009D5F88" w:rsidRPr="00EB2E0A">
        <w:rPr>
          <w:rFonts w:cstheme="minorHAnsi"/>
        </w:rPr>
        <w:t xml:space="preserve">funding </w:t>
      </w:r>
      <w:r w:rsidRPr="00EB2E0A">
        <w:rPr>
          <w:rFonts w:cstheme="minorHAnsi"/>
        </w:rPr>
        <w:t xml:space="preserve">through </w:t>
      </w:r>
      <w:r w:rsidR="00DD0AFE" w:rsidRPr="00EB2E0A">
        <w:rPr>
          <w:rFonts w:cstheme="minorHAnsi"/>
        </w:rPr>
        <w:t>Transition Support Funding</w:t>
      </w:r>
      <w:r w:rsidR="009D5F88" w:rsidRPr="00EB2E0A">
        <w:rPr>
          <w:rFonts w:cstheme="minorHAnsi"/>
        </w:rPr>
        <w:t xml:space="preserve"> </w:t>
      </w:r>
      <w:r w:rsidRPr="00EB2E0A">
        <w:rPr>
          <w:rFonts w:cstheme="minorHAnsi"/>
        </w:rPr>
        <w:t>instead</w:t>
      </w:r>
      <w:r w:rsidR="009D5F88" w:rsidRPr="00EB2E0A">
        <w:rPr>
          <w:rFonts w:cstheme="minorHAnsi"/>
        </w:rPr>
        <w:t xml:space="preserve"> (outlined below)</w:t>
      </w:r>
      <w:r w:rsidRPr="00EB2E0A">
        <w:rPr>
          <w:rFonts w:cstheme="minorHAnsi"/>
        </w:rPr>
        <w:t>.</w:t>
      </w:r>
    </w:p>
    <w:p w14:paraId="7C2E6929" w14:textId="59C27579" w:rsidR="004E3E82" w:rsidRPr="00007A8A" w:rsidRDefault="004E3E82" w:rsidP="004E3E82">
      <w:pPr>
        <w:pStyle w:val="ListParagraph"/>
        <w:numPr>
          <w:ilvl w:val="0"/>
          <w:numId w:val="28"/>
        </w:numPr>
        <w:spacing w:before="0" w:after="0"/>
        <w:rPr>
          <w:rFonts w:cstheme="minorHAnsi"/>
        </w:rPr>
      </w:pPr>
      <w:r w:rsidRPr="00007A8A">
        <w:rPr>
          <w:rFonts w:cstheme="minorHAnsi"/>
        </w:rPr>
        <w:t>Requests to rollover unspent funds close</w:t>
      </w:r>
      <w:r w:rsidRPr="00B4748E">
        <w:rPr>
          <w:rFonts w:cstheme="minorHAnsi"/>
        </w:rPr>
        <w:t xml:space="preserve"> </w:t>
      </w:r>
      <w:r w:rsidR="00F957A7" w:rsidRPr="00C013EE">
        <w:rPr>
          <w:rFonts w:cstheme="minorHAnsi"/>
          <w:b/>
          <w:bCs/>
        </w:rPr>
        <w:t>30</w:t>
      </w:r>
      <w:r w:rsidRPr="00C013EE">
        <w:rPr>
          <w:rFonts w:cstheme="minorHAnsi"/>
          <w:b/>
          <w:bCs/>
        </w:rPr>
        <w:t xml:space="preserve"> May 2022</w:t>
      </w:r>
      <w:r w:rsidRPr="00007A8A">
        <w:rPr>
          <w:rFonts w:cstheme="minorHAnsi"/>
        </w:rPr>
        <w:t>.</w:t>
      </w:r>
    </w:p>
    <w:p w14:paraId="120A5318" w14:textId="1CAFE561" w:rsidR="00524BFF" w:rsidRPr="00B57487" w:rsidRDefault="009D5F88" w:rsidP="00524BFF">
      <w:pPr>
        <w:pStyle w:val="Heading3"/>
        <w:rPr>
          <w:rFonts w:cstheme="minorHAnsi"/>
        </w:rPr>
      </w:pPr>
      <w:r>
        <w:rPr>
          <w:rFonts w:cstheme="minorHAnsi"/>
        </w:rPr>
        <w:lastRenderedPageBreak/>
        <w:t xml:space="preserve">Transition </w:t>
      </w:r>
      <w:r w:rsidR="00DD0AFE">
        <w:rPr>
          <w:rFonts w:cstheme="minorHAnsi"/>
        </w:rPr>
        <w:t>Support Funding</w:t>
      </w:r>
    </w:p>
    <w:p w14:paraId="2595BEE2" w14:textId="145429A5" w:rsidR="00442680" w:rsidRDefault="00C00F36" w:rsidP="001158BF">
      <w:pPr>
        <w:spacing w:after="0"/>
        <w:rPr>
          <w:rFonts w:eastAsiaTheme="majorEastAsia" w:cstheme="majorBidi"/>
          <w:b/>
          <w:iCs/>
        </w:rPr>
      </w:pPr>
      <w:r>
        <w:rPr>
          <w:rFonts w:cstheme="minorHAnsi"/>
        </w:rPr>
        <w:t xml:space="preserve">In early 2022 </w:t>
      </w:r>
      <w:r w:rsidR="007E6106">
        <w:rPr>
          <w:rFonts w:cstheme="minorHAnsi"/>
        </w:rPr>
        <w:t xml:space="preserve">Health </w:t>
      </w:r>
      <w:r>
        <w:rPr>
          <w:rFonts w:cstheme="minorHAnsi"/>
        </w:rPr>
        <w:t xml:space="preserve">will be opening a grant </w:t>
      </w:r>
      <w:r w:rsidR="00552F57">
        <w:rPr>
          <w:rFonts w:cstheme="minorHAnsi"/>
        </w:rPr>
        <w:t>opportunity</w:t>
      </w:r>
      <w:r>
        <w:rPr>
          <w:rFonts w:cstheme="minorHAnsi"/>
        </w:rPr>
        <w:t xml:space="preserve"> </w:t>
      </w:r>
      <w:r w:rsidR="00602C3E">
        <w:rPr>
          <w:rFonts w:cstheme="minorHAnsi"/>
        </w:rPr>
        <w:t xml:space="preserve">for Transition Support funding </w:t>
      </w:r>
      <w:r w:rsidR="001E3AC2">
        <w:rPr>
          <w:rFonts w:cstheme="minorHAnsi"/>
        </w:rPr>
        <w:t>t</w:t>
      </w:r>
      <w:r w:rsidR="007E6106">
        <w:rPr>
          <w:rFonts w:cstheme="minorHAnsi"/>
        </w:rPr>
        <w:t xml:space="preserve">o </w:t>
      </w:r>
      <w:r w:rsidR="007E6106" w:rsidRPr="001832D0">
        <w:rPr>
          <w:rFonts w:cstheme="minorHAnsi"/>
        </w:rPr>
        <w:t xml:space="preserve">support smaller providers </w:t>
      </w:r>
      <w:r w:rsidR="00AB447E" w:rsidRPr="001832D0">
        <w:rPr>
          <w:rFonts w:cstheme="minorHAnsi"/>
        </w:rPr>
        <w:t>with</w:t>
      </w:r>
      <w:r w:rsidR="007E6106" w:rsidRPr="001832D0">
        <w:rPr>
          <w:rFonts w:cstheme="minorHAnsi"/>
        </w:rPr>
        <w:t xml:space="preserve"> low cash reserves</w:t>
      </w:r>
      <w:r>
        <w:rPr>
          <w:rFonts w:cstheme="minorHAnsi"/>
        </w:rPr>
        <w:t>.</w:t>
      </w:r>
      <w:r w:rsidR="007E6106" w:rsidRPr="001832D0">
        <w:rPr>
          <w:rFonts w:cstheme="minorHAnsi"/>
        </w:rPr>
        <w:t xml:space="preserve"> </w:t>
      </w:r>
      <w:r w:rsidR="007B21FC">
        <w:rPr>
          <w:rFonts w:cstheme="minorHAnsi"/>
        </w:rPr>
        <w:t>The grant opportunity</w:t>
      </w:r>
      <w:r w:rsidR="00552F57">
        <w:rPr>
          <w:rFonts w:cstheme="minorHAnsi"/>
        </w:rPr>
        <w:t>,</w:t>
      </w:r>
      <w:r w:rsidR="007B21FC">
        <w:rPr>
          <w:rFonts w:cstheme="minorHAnsi"/>
        </w:rPr>
        <w:t xml:space="preserve"> including </w:t>
      </w:r>
      <w:r>
        <w:rPr>
          <w:rFonts w:cstheme="minorHAnsi"/>
        </w:rPr>
        <w:t>G</w:t>
      </w:r>
      <w:r w:rsidR="00043444">
        <w:rPr>
          <w:rFonts w:cstheme="minorHAnsi"/>
        </w:rPr>
        <w:t xml:space="preserve">rant </w:t>
      </w:r>
      <w:r>
        <w:rPr>
          <w:rFonts w:cstheme="minorHAnsi"/>
        </w:rPr>
        <w:t>O</w:t>
      </w:r>
      <w:r w:rsidR="00043444">
        <w:rPr>
          <w:rFonts w:cstheme="minorHAnsi"/>
        </w:rPr>
        <w:t xml:space="preserve">pportunity </w:t>
      </w:r>
      <w:r>
        <w:rPr>
          <w:rFonts w:cstheme="minorHAnsi"/>
        </w:rPr>
        <w:t>G</w:t>
      </w:r>
      <w:r w:rsidR="00043444">
        <w:rPr>
          <w:rFonts w:cstheme="minorHAnsi"/>
        </w:rPr>
        <w:t>uideline</w:t>
      </w:r>
      <w:r>
        <w:rPr>
          <w:rFonts w:cstheme="minorHAnsi"/>
        </w:rPr>
        <w:t>s</w:t>
      </w:r>
      <w:r w:rsidR="00552F57">
        <w:rPr>
          <w:rFonts w:cstheme="minorHAnsi"/>
        </w:rPr>
        <w:t>,</w:t>
      </w:r>
      <w:r>
        <w:rPr>
          <w:rFonts w:cstheme="minorHAnsi"/>
        </w:rPr>
        <w:t xml:space="preserve"> will be published on </w:t>
      </w:r>
      <w:hyperlink r:id="rId15" w:history="1">
        <w:proofErr w:type="spellStart"/>
        <w:r w:rsidRPr="00C00F36">
          <w:rPr>
            <w:rStyle w:val="Hyperlink"/>
            <w:rFonts w:cstheme="minorHAnsi"/>
          </w:rPr>
          <w:t>GrantConn</w:t>
        </w:r>
        <w:r w:rsidRPr="00C00F36">
          <w:rPr>
            <w:rStyle w:val="Hyperlink"/>
            <w:rFonts w:cstheme="minorHAnsi"/>
          </w:rPr>
          <w:t>e</w:t>
        </w:r>
        <w:r w:rsidRPr="00C00F36">
          <w:rPr>
            <w:rStyle w:val="Hyperlink"/>
            <w:rFonts w:cstheme="minorHAnsi"/>
          </w:rPr>
          <w:t>ct</w:t>
        </w:r>
        <w:proofErr w:type="spellEnd"/>
      </w:hyperlink>
      <w:r w:rsidR="007B21FC">
        <w:rPr>
          <w:rFonts w:cstheme="minorHAnsi"/>
        </w:rPr>
        <w:t>.</w:t>
      </w:r>
      <w:r>
        <w:rPr>
          <w:rFonts w:cstheme="minorHAnsi"/>
        </w:rPr>
        <w:t xml:space="preserve"> </w:t>
      </w:r>
      <w:r w:rsidR="007B21FC">
        <w:rPr>
          <w:rFonts w:cstheme="minorHAnsi"/>
        </w:rPr>
        <w:t xml:space="preserve">All </w:t>
      </w:r>
      <w:r>
        <w:rPr>
          <w:rFonts w:cstheme="minorHAnsi"/>
        </w:rPr>
        <w:t xml:space="preserve">applicants will </w:t>
      </w:r>
      <w:r w:rsidR="007E6106" w:rsidRPr="001832D0">
        <w:rPr>
          <w:rFonts w:cstheme="minorHAnsi"/>
        </w:rPr>
        <w:t>be considered on a case by case basis.</w:t>
      </w:r>
      <w:r w:rsidR="0021534E" w:rsidRPr="001832D0">
        <w:rPr>
          <w:rFonts w:cstheme="minorHAnsi"/>
        </w:rPr>
        <w:t xml:space="preserve"> </w:t>
      </w:r>
      <w:r w:rsidR="00602C3E">
        <w:rPr>
          <w:rFonts w:cstheme="minorHAnsi"/>
        </w:rPr>
        <w:t xml:space="preserve">Successful applicants </w:t>
      </w:r>
      <w:r w:rsidR="0021534E" w:rsidRPr="001832D0">
        <w:rPr>
          <w:rFonts w:cstheme="minorHAnsi"/>
        </w:rPr>
        <w:t xml:space="preserve">will </w:t>
      </w:r>
      <w:r w:rsidR="00602C3E">
        <w:rPr>
          <w:rFonts w:cstheme="minorHAnsi"/>
        </w:rPr>
        <w:t xml:space="preserve">receive funding </w:t>
      </w:r>
      <w:r w:rsidR="0021534E" w:rsidRPr="001832D0">
        <w:rPr>
          <w:rFonts w:cstheme="minorHAnsi"/>
        </w:rPr>
        <w:t xml:space="preserve">through a </w:t>
      </w:r>
      <w:r w:rsidR="00552F57">
        <w:rPr>
          <w:rFonts w:cstheme="minorHAnsi"/>
        </w:rPr>
        <w:t>simplified grant process</w:t>
      </w:r>
      <w:r w:rsidR="009D5F88" w:rsidRPr="001832D0">
        <w:rPr>
          <w:rFonts w:cstheme="minorHAnsi"/>
        </w:rPr>
        <w:t>.</w:t>
      </w:r>
    </w:p>
    <w:p w14:paraId="24BE4DDE" w14:textId="3BB839FF" w:rsidR="00B961A2" w:rsidRDefault="00B961A2">
      <w:pPr>
        <w:pStyle w:val="Heading4"/>
      </w:pPr>
      <w:r>
        <w:t xml:space="preserve">Eligibility Criteria for </w:t>
      </w:r>
      <w:r w:rsidR="00DD0AFE" w:rsidRPr="00DD0AFE">
        <w:t>Transition Support Funding</w:t>
      </w:r>
    </w:p>
    <w:p w14:paraId="6C127DA5" w14:textId="3B421758" w:rsidR="00947EC7" w:rsidRDefault="00B961A2" w:rsidP="00B961A2">
      <w:pPr>
        <w:spacing w:after="0"/>
        <w:rPr>
          <w:rFonts w:cstheme="minorHAnsi"/>
        </w:rPr>
      </w:pPr>
      <w:r w:rsidRPr="00B57487">
        <w:rPr>
          <w:rFonts w:cstheme="minorHAnsi"/>
        </w:rPr>
        <w:t xml:space="preserve">For a provider to be eligible </w:t>
      </w:r>
      <w:r>
        <w:rPr>
          <w:rFonts w:cstheme="minorHAnsi"/>
        </w:rPr>
        <w:t xml:space="preserve">for </w:t>
      </w:r>
      <w:r w:rsidR="00DD0AFE">
        <w:rPr>
          <w:rFonts w:cstheme="minorHAnsi"/>
        </w:rPr>
        <w:t>Transition Support Funding</w:t>
      </w:r>
      <w:r w:rsidR="00AB447E">
        <w:rPr>
          <w:rFonts w:cstheme="minorHAnsi"/>
        </w:rPr>
        <w:t xml:space="preserve"> </w:t>
      </w:r>
      <w:r w:rsidRPr="00B57487">
        <w:rPr>
          <w:rFonts w:cstheme="minorHAnsi"/>
        </w:rPr>
        <w:t>they must</w:t>
      </w:r>
      <w:r w:rsidR="00696AC8">
        <w:rPr>
          <w:rFonts w:cstheme="minorHAnsi"/>
        </w:rPr>
        <w:t>:</w:t>
      </w:r>
    </w:p>
    <w:p w14:paraId="72D768D2" w14:textId="5FD91178" w:rsidR="003303F6" w:rsidRDefault="003303F6" w:rsidP="00007A8A">
      <w:pPr>
        <w:pStyle w:val="ListParagraph"/>
        <w:numPr>
          <w:ilvl w:val="0"/>
          <w:numId w:val="47"/>
        </w:numPr>
        <w:spacing w:before="0" w:after="0"/>
        <w:ind w:left="714" w:hanging="357"/>
        <w:rPr>
          <w:rFonts w:cstheme="minorHAnsi"/>
        </w:rPr>
      </w:pPr>
      <w:r>
        <w:t xml:space="preserve">Have signed their grant agreement for the 2022-23 CHSP Extension. </w:t>
      </w:r>
    </w:p>
    <w:p w14:paraId="737AA76E" w14:textId="65B42776" w:rsidR="00947EC7" w:rsidRPr="00EB2E0A" w:rsidRDefault="00947EC7" w:rsidP="00007A8A">
      <w:pPr>
        <w:pStyle w:val="ListParagraph"/>
        <w:numPr>
          <w:ilvl w:val="0"/>
          <w:numId w:val="47"/>
        </w:numPr>
        <w:spacing w:before="0" w:after="0"/>
        <w:ind w:left="714" w:hanging="357"/>
        <w:rPr>
          <w:rFonts w:cstheme="minorHAnsi"/>
        </w:rPr>
      </w:pPr>
      <w:r>
        <w:rPr>
          <w:rFonts w:cstheme="minorHAnsi"/>
        </w:rPr>
        <w:t xml:space="preserve">Receive less than </w:t>
      </w:r>
      <w:r w:rsidRPr="003063E4">
        <w:rPr>
          <w:rFonts w:cstheme="minorHAnsi"/>
        </w:rPr>
        <w:t>$625,</w:t>
      </w:r>
      <w:r>
        <w:rPr>
          <w:rFonts w:cstheme="minorHAnsi"/>
        </w:rPr>
        <w:t>000</w:t>
      </w:r>
      <w:r w:rsidR="004D6417">
        <w:rPr>
          <w:rFonts w:cstheme="minorHAnsi"/>
        </w:rPr>
        <w:t xml:space="preserve"> (GST Excl)</w:t>
      </w:r>
      <w:r w:rsidRPr="00B57487">
        <w:rPr>
          <w:rFonts w:cstheme="minorHAnsi"/>
        </w:rPr>
        <w:t xml:space="preserve"> </w:t>
      </w:r>
      <w:r>
        <w:rPr>
          <w:rFonts w:cstheme="minorHAnsi"/>
        </w:rPr>
        <w:t xml:space="preserve">in </w:t>
      </w:r>
      <w:r w:rsidRPr="00EB2E0A">
        <w:rPr>
          <w:rFonts w:cstheme="minorHAnsi"/>
        </w:rPr>
        <w:t>CHSP funding per annum</w:t>
      </w:r>
      <w:r w:rsidR="00696AC8" w:rsidRPr="00EB2E0A">
        <w:rPr>
          <w:rFonts w:cstheme="minorHAnsi"/>
        </w:rPr>
        <w:t>.</w:t>
      </w:r>
    </w:p>
    <w:p w14:paraId="33BE0C8D" w14:textId="782317A8" w:rsidR="00B961A2" w:rsidRPr="004E3E82" w:rsidRDefault="001251BB" w:rsidP="004E3E82">
      <w:pPr>
        <w:pStyle w:val="ListParagraph"/>
        <w:numPr>
          <w:ilvl w:val="0"/>
          <w:numId w:val="47"/>
        </w:numPr>
        <w:spacing w:after="0"/>
        <w:rPr>
          <w:rFonts w:cstheme="minorHAnsi"/>
        </w:rPr>
      </w:pPr>
      <w:r>
        <w:rPr>
          <w:rFonts w:cstheme="minorHAnsi"/>
        </w:rPr>
        <w:t>In their application i</w:t>
      </w:r>
      <w:r w:rsidR="00B961A2" w:rsidRPr="004E3E82">
        <w:rPr>
          <w:rFonts w:cstheme="minorHAnsi"/>
        </w:rPr>
        <w:t>nclude the following:</w:t>
      </w:r>
    </w:p>
    <w:p w14:paraId="1CF43AF7" w14:textId="484A5E0D" w:rsidR="00B961A2" w:rsidRDefault="00A9234C" w:rsidP="00B961A2">
      <w:pPr>
        <w:pStyle w:val="ListParagraph"/>
        <w:numPr>
          <w:ilvl w:val="0"/>
          <w:numId w:val="21"/>
        </w:numPr>
        <w:spacing w:before="0" w:after="0"/>
        <w:rPr>
          <w:rFonts w:cstheme="minorHAnsi"/>
        </w:rPr>
      </w:pPr>
      <w:r>
        <w:rPr>
          <w:rFonts w:cstheme="minorHAnsi"/>
        </w:rPr>
        <w:t>A</w:t>
      </w:r>
      <w:r w:rsidR="00B961A2" w:rsidRPr="00B57487">
        <w:rPr>
          <w:rFonts w:cstheme="minorHAnsi"/>
        </w:rPr>
        <w:t xml:space="preserve">dvice </w:t>
      </w:r>
      <w:r w:rsidR="00B961A2">
        <w:rPr>
          <w:rFonts w:cstheme="minorHAnsi"/>
        </w:rPr>
        <w:t xml:space="preserve">from an accountant or financial officer confirming </w:t>
      </w:r>
      <w:r w:rsidR="00B961A2" w:rsidRPr="00B57487">
        <w:rPr>
          <w:rFonts w:cstheme="minorHAnsi"/>
        </w:rPr>
        <w:t>the organisation has 0-1 months cash reserve</w:t>
      </w:r>
      <w:r w:rsidR="00B961A2">
        <w:rPr>
          <w:rFonts w:cstheme="minorHAnsi"/>
        </w:rPr>
        <w:t xml:space="preserve"> for CHSP services (as a proportion of their grant agreement)</w:t>
      </w:r>
      <w:r w:rsidR="00B961A2" w:rsidRPr="00B57487">
        <w:rPr>
          <w:rFonts w:cstheme="minorHAnsi"/>
        </w:rPr>
        <w:t>;</w:t>
      </w:r>
      <w:r w:rsidR="00B961A2">
        <w:rPr>
          <w:rFonts w:cstheme="minorHAnsi"/>
        </w:rPr>
        <w:t xml:space="preserve"> or</w:t>
      </w:r>
    </w:p>
    <w:p w14:paraId="6086E2FB" w14:textId="28D71352" w:rsidR="00B961A2" w:rsidRPr="00B57487" w:rsidRDefault="00A9234C" w:rsidP="004E3E82">
      <w:pPr>
        <w:pStyle w:val="ListParagraph"/>
        <w:numPr>
          <w:ilvl w:val="0"/>
          <w:numId w:val="21"/>
        </w:numPr>
        <w:spacing w:before="0" w:after="0"/>
        <w:rPr>
          <w:rFonts w:cstheme="minorHAnsi"/>
        </w:rPr>
      </w:pPr>
      <w:r>
        <w:rPr>
          <w:rFonts w:cstheme="minorHAnsi"/>
        </w:rPr>
        <w:t>Advice from an accountant or financial officer, confirming</w:t>
      </w:r>
      <w:r w:rsidR="00B961A2">
        <w:rPr>
          <w:rFonts w:cstheme="minorHAnsi"/>
        </w:rPr>
        <w:t xml:space="preserve"> the</w:t>
      </w:r>
      <w:r>
        <w:rPr>
          <w:rFonts w:cstheme="minorHAnsi"/>
        </w:rPr>
        <w:t xml:space="preserve"> organisation is</w:t>
      </w:r>
      <w:r w:rsidR="00B961A2">
        <w:rPr>
          <w:rFonts w:cstheme="minorHAnsi"/>
        </w:rPr>
        <w:t xml:space="preserve"> unable to fund the months of August</w:t>
      </w:r>
      <w:r w:rsidR="00947EC7">
        <w:rPr>
          <w:rFonts w:cstheme="minorHAnsi"/>
        </w:rPr>
        <w:t xml:space="preserve"> and/or </w:t>
      </w:r>
      <w:r w:rsidR="00B961A2">
        <w:rPr>
          <w:rFonts w:cstheme="minorHAnsi"/>
        </w:rPr>
        <w:t>September 2022 through other financing mechanisms.</w:t>
      </w:r>
    </w:p>
    <w:p w14:paraId="785DF2DF" w14:textId="64AD17BB" w:rsidR="00B961A2" w:rsidRPr="00B57487" w:rsidRDefault="00B961A2" w:rsidP="004E3E82">
      <w:pPr>
        <w:pStyle w:val="ListParagraph"/>
        <w:numPr>
          <w:ilvl w:val="0"/>
          <w:numId w:val="21"/>
        </w:numPr>
        <w:spacing w:before="0" w:after="0"/>
        <w:rPr>
          <w:rFonts w:cstheme="minorHAnsi"/>
        </w:rPr>
      </w:pPr>
      <w:r w:rsidRPr="00B57487">
        <w:rPr>
          <w:rFonts w:cstheme="minorHAnsi"/>
        </w:rPr>
        <w:t>Acknowledge</w:t>
      </w:r>
      <w:r w:rsidR="00947EC7">
        <w:rPr>
          <w:rFonts w:cstheme="minorHAnsi"/>
        </w:rPr>
        <w:t xml:space="preserve">ment </w:t>
      </w:r>
      <w:r w:rsidRPr="00B57487">
        <w:rPr>
          <w:rFonts w:cstheme="minorHAnsi"/>
        </w:rPr>
        <w:t>the organisation understands the</w:t>
      </w:r>
      <w:r>
        <w:rPr>
          <w:rFonts w:cstheme="minorHAnsi"/>
        </w:rPr>
        <w:t xml:space="preserve"> transition support</w:t>
      </w:r>
      <w:r w:rsidRPr="00B57487">
        <w:rPr>
          <w:rFonts w:cstheme="minorHAnsi"/>
        </w:rPr>
        <w:t xml:space="preserve"> funding is </w:t>
      </w:r>
      <w:r w:rsidR="00A9234C">
        <w:rPr>
          <w:rFonts w:cstheme="minorHAnsi"/>
        </w:rPr>
        <w:t>only</w:t>
      </w:r>
      <w:r w:rsidRPr="00B57487">
        <w:rPr>
          <w:rFonts w:cstheme="minorHAnsi"/>
        </w:rPr>
        <w:t xml:space="preserve"> to assist with the transition to payment in arrears</w:t>
      </w:r>
      <w:r w:rsidR="00C013EE">
        <w:rPr>
          <w:rFonts w:cstheme="minorHAnsi"/>
        </w:rPr>
        <w:t>.</w:t>
      </w:r>
    </w:p>
    <w:p w14:paraId="473B5763" w14:textId="77777777" w:rsidR="00B961A2" w:rsidRDefault="00B961A2" w:rsidP="00B961A2">
      <w:pPr>
        <w:spacing w:after="0"/>
        <w:rPr>
          <w:rFonts w:cstheme="minorHAnsi"/>
        </w:rPr>
      </w:pPr>
      <w:r w:rsidRPr="003E6CE2">
        <w:rPr>
          <w:rFonts w:cstheme="minorHAnsi"/>
        </w:rPr>
        <w:t xml:space="preserve">The eligibility criteria </w:t>
      </w:r>
      <w:proofErr w:type="gramStart"/>
      <w:r w:rsidRPr="00085315">
        <w:rPr>
          <w:rFonts w:cstheme="minorHAnsi"/>
          <w:b/>
          <w:bCs/>
        </w:rPr>
        <w:t>excludes</w:t>
      </w:r>
      <w:proofErr w:type="gramEnd"/>
      <w:r w:rsidRPr="003E6CE2">
        <w:rPr>
          <w:rFonts w:cstheme="minorHAnsi"/>
        </w:rPr>
        <w:t xml:space="preserve"> </w:t>
      </w:r>
      <w:r>
        <w:rPr>
          <w:rFonts w:cstheme="minorHAnsi"/>
        </w:rPr>
        <w:t>the following:</w:t>
      </w:r>
    </w:p>
    <w:p w14:paraId="63CCE3B3" w14:textId="20495E7B" w:rsidR="003303F6" w:rsidRDefault="003303F6" w:rsidP="003303F6">
      <w:pPr>
        <w:pStyle w:val="ListParagraph"/>
        <w:numPr>
          <w:ilvl w:val="0"/>
          <w:numId w:val="29"/>
        </w:numPr>
        <w:spacing w:before="0" w:after="0"/>
        <w:rPr>
          <w:rFonts w:cstheme="minorHAnsi"/>
        </w:rPr>
      </w:pPr>
      <w:r>
        <w:t xml:space="preserve">Organisations that have not signed their grant agreement for the 2022-23 CHSP Extension. </w:t>
      </w:r>
    </w:p>
    <w:p w14:paraId="4A944CE7" w14:textId="4B5AD20D" w:rsidR="00B961A2" w:rsidRPr="004E3E82" w:rsidRDefault="00B961A2" w:rsidP="00B961A2">
      <w:pPr>
        <w:pStyle w:val="ListParagraph"/>
        <w:numPr>
          <w:ilvl w:val="0"/>
          <w:numId w:val="29"/>
        </w:numPr>
        <w:spacing w:after="0"/>
        <w:rPr>
          <w:rFonts w:cstheme="minorHAnsi"/>
        </w:rPr>
      </w:pPr>
      <w:r w:rsidRPr="004E3E82">
        <w:rPr>
          <w:rFonts w:cstheme="minorHAnsi"/>
        </w:rPr>
        <w:t xml:space="preserve">Organisations receiving more than $625,000 </w:t>
      </w:r>
      <w:r w:rsidR="004D6417">
        <w:rPr>
          <w:rFonts w:cstheme="minorHAnsi"/>
        </w:rPr>
        <w:t xml:space="preserve">(GST Excl) </w:t>
      </w:r>
      <w:r w:rsidRPr="004E3E82">
        <w:rPr>
          <w:rFonts w:cstheme="minorHAnsi"/>
        </w:rPr>
        <w:t>CHSP funding per annum</w:t>
      </w:r>
      <w:r w:rsidR="00696AC8">
        <w:rPr>
          <w:rFonts w:cstheme="minorHAnsi"/>
        </w:rPr>
        <w:t>;</w:t>
      </w:r>
    </w:p>
    <w:p w14:paraId="36570EE3" w14:textId="77777777" w:rsidR="00B961A2" w:rsidRDefault="00B961A2" w:rsidP="00B961A2">
      <w:pPr>
        <w:pStyle w:val="ListParagraph"/>
        <w:numPr>
          <w:ilvl w:val="0"/>
          <w:numId w:val="29"/>
        </w:numPr>
        <w:spacing w:after="0"/>
        <w:rPr>
          <w:rFonts w:cstheme="minorHAnsi"/>
        </w:rPr>
      </w:pPr>
      <w:r>
        <w:rPr>
          <w:rFonts w:cstheme="minorHAnsi"/>
        </w:rPr>
        <w:t xml:space="preserve">Organisations </w:t>
      </w:r>
      <w:r w:rsidRPr="003E6CE2">
        <w:rPr>
          <w:rFonts w:cstheme="minorHAnsi"/>
        </w:rPr>
        <w:t xml:space="preserve">who already receive </w:t>
      </w:r>
      <w:r>
        <w:rPr>
          <w:rFonts w:cstheme="minorHAnsi"/>
        </w:rPr>
        <w:t>payments</w:t>
      </w:r>
      <w:r w:rsidRPr="003E6CE2">
        <w:rPr>
          <w:rFonts w:cstheme="minorHAnsi"/>
        </w:rPr>
        <w:t xml:space="preserve"> in arrears through other government funded programs (e.g. National Disability Insurance Scheme or Home Care packages)</w:t>
      </w:r>
      <w:r>
        <w:rPr>
          <w:rFonts w:cstheme="minorHAnsi"/>
        </w:rPr>
        <w:t>; and</w:t>
      </w:r>
    </w:p>
    <w:p w14:paraId="44E2F38E" w14:textId="7639240C" w:rsidR="00B961A2" w:rsidRDefault="00B961A2" w:rsidP="00B961A2">
      <w:pPr>
        <w:pStyle w:val="ListParagraph"/>
        <w:numPr>
          <w:ilvl w:val="0"/>
          <w:numId w:val="29"/>
        </w:numPr>
        <w:spacing w:after="0"/>
        <w:rPr>
          <w:rFonts w:cstheme="minorHAnsi"/>
        </w:rPr>
      </w:pPr>
      <w:r>
        <w:rPr>
          <w:rFonts w:cstheme="minorHAnsi"/>
        </w:rPr>
        <w:t>Organisations only delivering</w:t>
      </w:r>
      <w:r w:rsidR="00EB2E0A">
        <w:rPr>
          <w:rFonts w:cstheme="minorHAnsi"/>
        </w:rPr>
        <w:t xml:space="preserve"> SSD</w:t>
      </w:r>
      <w:r>
        <w:rPr>
          <w:rFonts w:cstheme="minorHAnsi"/>
        </w:rPr>
        <w:t xml:space="preserve"> as they are not transitioning to payment in arrears.</w:t>
      </w:r>
    </w:p>
    <w:p w14:paraId="6A9F18C1" w14:textId="14C15556" w:rsidR="004E3E82" w:rsidRDefault="00EB2E0A" w:rsidP="004E3E82">
      <w:pPr>
        <w:pStyle w:val="Heading4"/>
      </w:pPr>
      <w:r>
        <w:t>Steps to apply</w:t>
      </w:r>
      <w:r w:rsidR="00B4748E">
        <w:t xml:space="preserve"> for Transition Support Funding</w:t>
      </w:r>
    </w:p>
    <w:p w14:paraId="0C50EDBE" w14:textId="05981346" w:rsidR="001251BB" w:rsidRDefault="00602C3E" w:rsidP="00602C3E">
      <w:pPr>
        <w:pStyle w:val="ListParagraph"/>
        <w:numPr>
          <w:ilvl w:val="0"/>
          <w:numId w:val="27"/>
        </w:numPr>
        <w:spacing w:before="0" w:after="0"/>
        <w:rPr>
          <w:rFonts w:cstheme="minorHAnsi"/>
        </w:rPr>
      </w:pPr>
      <w:r>
        <w:rPr>
          <w:rFonts w:cstheme="minorHAnsi"/>
        </w:rPr>
        <w:t xml:space="preserve">In early 2022 the upcoming grant round will be advertised on </w:t>
      </w:r>
      <w:hyperlink r:id="rId16" w:history="1">
        <w:proofErr w:type="spellStart"/>
        <w:r w:rsidRPr="00C00F36">
          <w:rPr>
            <w:rStyle w:val="Hyperlink"/>
            <w:rFonts w:cstheme="minorHAnsi"/>
          </w:rPr>
          <w:t>GrantCon</w:t>
        </w:r>
        <w:r w:rsidRPr="00C00F36">
          <w:rPr>
            <w:rStyle w:val="Hyperlink"/>
            <w:rFonts w:cstheme="minorHAnsi"/>
          </w:rPr>
          <w:t>n</w:t>
        </w:r>
        <w:r w:rsidRPr="00C00F36">
          <w:rPr>
            <w:rStyle w:val="Hyperlink"/>
            <w:rFonts w:cstheme="minorHAnsi"/>
          </w:rPr>
          <w:t>ect</w:t>
        </w:r>
        <w:proofErr w:type="spellEnd"/>
      </w:hyperlink>
      <w:r>
        <w:rPr>
          <w:rFonts w:cstheme="minorHAnsi"/>
        </w:rPr>
        <w:t>.</w:t>
      </w:r>
      <w:r w:rsidR="001251BB">
        <w:rPr>
          <w:rFonts w:cstheme="minorHAnsi"/>
        </w:rPr>
        <w:t xml:space="preserve"> </w:t>
      </w:r>
      <w:r>
        <w:rPr>
          <w:rFonts w:cstheme="minorHAnsi"/>
        </w:rPr>
        <w:t>This will include the eligibility criteria, how and when to apply</w:t>
      </w:r>
      <w:r w:rsidR="001251BB">
        <w:rPr>
          <w:rFonts w:cstheme="minorHAnsi"/>
        </w:rPr>
        <w:t>,</w:t>
      </w:r>
      <w:r>
        <w:rPr>
          <w:rFonts w:cstheme="minorHAnsi"/>
        </w:rPr>
        <w:t xml:space="preserve"> and how much funding is available.</w:t>
      </w:r>
    </w:p>
    <w:p w14:paraId="67019D0F" w14:textId="04D301FB" w:rsidR="00524BFF" w:rsidRDefault="001251BB" w:rsidP="00602C3E">
      <w:pPr>
        <w:pStyle w:val="ListParagraph"/>
        <w:numPr>
          <w:ilvl w:val="0"/>
          <w:numId w:val="27"/>
        </w:numPr>
        <w:spacing w:before="0" w:after="0"/>
        <w:rPr>
          <w:rFonts w:cstheme="minorHAnsi"/>
        </w:rPr>
      </w:pPr>
      <w:r>
        <w:rPr>
          <w:rFonts w:cstheme="minorHAnsi"/>
        </w:rPr>
        <w:t>Applicants will have four weeks to apply once the grant round is advertised</w:t>
      </w:r>
      <w:r w:rsidR="00602C3E">
        <w:rPr>
          <w:rFonts w:cstheme="minorHAnsi"/>
        </w:rPr>
        <w:t xml:space="preserve"> </w:t>
      </w:r>
      <w:r>
        <w:rPr>
          <w:rFonts w:cstheme="minorHAnsi"/>
        </w:rPr>
        <w:t xml:space="preserve">on </w:t>
      </w:r>
      <w:hyperlink r:id="rId17" w:history="1">
        <w:proofErr w:type="spellStart"/>
        <w:r w:rsidRPr="00C00F36">
          <w:rPr>
            <w:rStyle w:val="Hyperlink"/>
            <w:rFonts w:cstheme="minorHAnsi"/>
          </w:rPr>
          <w:t>Grant</w:t>
        </w:r>
        <w:r w:rsidRPr="00C00F36">
          <w:rPr>
            <w:rStyle w:val="Hyperlink"/>
            <w:rFonts w:cstheme="minorHAnsi"/>
          </w:rPr>
          <w:t>C</w:t>
        </w:r>
        <w:r w:rsidRPr="00C00F36">
          <w:rPr>
            <w:rStyle w:val="Hyperlink"/>
            <w:rFonts w:cstheme="minorHAnsi"/>
          </w:rPr>
          <w:t>onnect</w:t>
        </w:r>
        <w:proofErr w:type="spellEnd"/>
      </w:hyperlink>
      <w:r>
        <w:rPr>
          <w:rFonts w:cstheme="minorHAnsi"/>
        </w:rPr>
        <w:t>.</w:t>
      </w:r>
    </w:p>
    <w:p w14:paraId="664B5182" w14:textId="09D95475" w:rsidR="001251BB" w:rsidRDefault="001251BB" w:rsidP="00602C3E">
      <w:pPr>
        <w:pStyle w:val="ListParagraph"/>
        <w:numPr>
          <w:ilvl w:val="0"/>
          <w:numId w:val="27"/>
        </w:numPr>
        <w:spacing w:before="0" w:after="0"/>
        <w:rPr>
          <w:rFonts w:cstheme="minorHAnsi"/>
        </w:rPr>
      </w:pPr>
      <w:r>
        <w:rPr>
          <w:rFonts w:cstheme="minorHAnsi"/>
        </w:rPr>
        <w:t xml:space="preserve">Applications will be assessed against stated eligibility criteria. </w:t>
      </w:r>
    </w:p>
    <w:p w14:paraId="151DC4BE" w14:textId="0A22A7E8" w:rsidR="001251BB" w:rsidRDefault="001251BB" w:rsidP="001251BB">
      <w:pPr>
        <w:pStyle w:val="ListParagraph"/>
        <w:numPr>
          <w:ilvl w:val="0"/>
          <w:numId w:val="27"/>
        </w:numPr>
        <w:spacing w:before="0" w:after="0"/>
      </w:pPr>
      <w:r w:rsidRPr="001832D0">
        <w:t xml:space="preserve">If approved, </w:t>
      </w:r>
      <w:r>
        <w:t xml:space="preserve">the </w:t>
      </w:r>
      <w:r w:rsidRPr="001832D0">
        <w:rPr>
          <w:rFonts w:cstheme="minorHAnsi"/>
        </w:rPr>
        <w:t xml:space="preserve">provider will receive a </w:t>
      </w:r>
      <w:r w:rsidRPr="001832D0">
        <w:t xml:space="preserve">letter </w:t>
      </w:r>
      <w:r>
        <w:t xml:space="preserve">outlining </w:t>
      </w:r>
      <w:r w:rsidRPr="001832D0">
        <w:t xml:space="preserve">the total amount of </w:t>
      </w:r>
      <w:r w:rsidRPr="001832D0">
        <w:rPr>
          <w:rFonts w:cstheme="minorHAnsi"/>
        </w:rPr>
        <w:t xml:space="preserve">Transition Support </w:t>
      </w:r>
      <w:r>
        <w:rPr>
          <w:rFonts w:cstheme="minorHAnsi"/>
        </w:rPr>
        <w:t>f</w:t>
      </w:r>
      <w:r w:rsidRPr="001832D0">
        <w:rPr>
          <w:rFonts w:cstheme="minorHAnsi"/>
        </w:rPr>
        <w:t>unding they</w:t>
      </w:r>
      <w:r w:rsidRPr="001832D0">
        <w:rPr>
          <w:rStyle w:val="CommentReference"/>
        </w:rPr>
        <w:t xml:space="preserve"> </w:t>
      </w:r>
      <w:r w:rsidRPr="001832D0">
        <w:t>will receive for 2022-23</w:t>
      </w:r>
      <w:r>
        <w:t>.</w:t>
      </w:r>
    </w:p>
    <w:p w14:paraId="3211715C" w14:textId="6E9014AB" w:rsidR="001251BB" w:rsidRPr="00EB2E0A" w:rsidRDefault="001251BB" w:rsidP="001251BB">
      <w:pPr>
        <w:pStyle w:val="ListParagraph"/>
        <w:numPr>
          <w:ilvl w:val="0"/>
          <w:numId w:val="27"/>
        </w:numPr>
        <w:spacing w:before="0" w:after="0"/>
      </w:pPr>
      <w:r>
        <w:rPr>
          <w:rFonts w:cstheme="minorHAnsi"/>
        </w:rPr>
        <w:t xml:space="preserve">A new </w:t>
      </w:r>
      <w:r w:rsidR="0036027C">
        <w:rPr>
          <w:rFonts w:cstheme="minorHAnsi"/>
        </w:rPr>
        <w:t>one-off</w:t>
      </w:r>
      <w:r>
        <w:rPr>
          <w:rFonts w:cstheme="minorHAnsi"/>
        </w:rPr>
        <w:t xml:space="preserve"> grant </w:t>
      </w:r>
      <w:r w:rsidRPr="00EB2E0A">
        <w:rPr>
          <w:rFonts w:cstheme="minorHAnsi"/>
        </w:rPr>
        <w:t xml:space="preserve">agreement </w:t>
      </w:r>
      <w:r>
        <w:rPr>
          <w:rFonts w:cstheme="minorHAnsi"/>
        </w:rPr>
        <w:t xml:space="preserve">(without acquittal) </w:t>
      </w:r>
      <w:r w:rsidRPr="00EB2E0A">
        <w:rPr>
          <w:rFonts w:cstheme="minorHAnsi"/>
        </w:rPr>
        <w:t>will be prepared for the providers consideration</w:t>
      </w:r>
      <w:r w:rsidRPr="00EB2E0A">
        <w:t xml:space="preserve">. </w:t>
      </w:r>
    </w:p>
    <w:p w14:paraId="5169090A" w14:textId="76F8B2D9" w:rsidR="000E0F5B" w:rsidRPr="0032761A" w:rsidRDefault="000E0F5B" w:rsidP="000E0F5B">
      <w:pPr>
        <w:pStyle w:val="Heading2"/>
        <w:rPr>
          <w:b w:val="0"/>
          <w:bCs w:val="0"/>
          <w:sz w:val="22"/>
          <w:szCs w:val="22"/>
        </w:rPr>
      </w:pPr>
      <w:r w:rsidRPr="0032761A">
        <w:rPr>
          <w:bCs w:val="0"/>
          <w:sz w:val="22"/>
          <w:szCs w:val="22"/>
        </w:rPr>
        <w:t>Further Information</w:t>
      </w:r>
    </w:p>
    <w:p w14:paraId="458CAC8F" w14:textId="4192FCDA" w:rsidR="000E0F5B" w:rsidRDefault="000E0F5B" w:rsidP="000E0F5B">
      <w:r>
        <w:t xml:space="preserve">Health aims to regularly update providers on the changes to CHSP. All CHSP providers will be able to access these updates under </w:t>
      </w:r>
      <w:bookmarkStart w:id="2" w:name="_Hlk86162827"/>
      <w:r w:rsidR="00F5311D">
        <w:fldChar w:fldCharType="begin"/>
      </w:r>
      <w:r w:rsidR="00F5311D">
        <w:instrText xml:space="preserve"> HYPERLINK "https://www.health.gov.au/initiatives-and-programs/commonwealth-home-support-programme-chsp/commonwealth-home-support-programme-chsp-news" </w:instrText>
      </w:r>
      <w:r w:rsidR="00F5311D">
        <w:fldChar w:fldCharType="separate"/>
      </w:r>
      <w:r w:rsidRPr="00377CB1">
        <w:rPr>
          <w:rStyle w:val="Hyperlink"/>
        </w:rPr>
        <w:t>CHSP news</w:t>
      </w:r>
      <w:r w:rsidR="00F5311D">
        <w:rPr>
          <w:rStyle w:val="Hyperlink"/>
        </w:rPr>
        <w:fldChar w:fldCharType="end"/>
      </w:r>
      <w:bookmarkEnd w:id="2"/>
      <w:r w:rsidRPr="00377CB1">
        <w:t>.</w:t>
      </w:r>
      <w:r>
        <w:t xml:space="preserve"> Alternatively, please direct any enquiries to </w:t>
      </w:r>
      <w:hyperlink r:id="rId18" w:history="1">
        <w:r w:rsidR="0022089F">
          <w:rPr>
            <w:rStyle w:val="Hyperlink"/>
          </w:rPr>
          <w:t>CHSPextension@health.gov.au</w:t>
        </w:r>
      </w:hyperlink>
      <w:r>
        <w:t>.</w:t>
      </w:r>
    </w:p>
    <w:p w14:paraId="0CF25B36" w14:textId="589089FC" w:rsidR="0077417D" w:rsidRDefault="000E0F5B" w:rsidP="00022400">
      <w:pPr>
        <w:spacing w:before="960"/>
        <w:jc w:val="right"/>
      </w:pPr>
      <w:r w:rsidRPr="00AC1CFA">
        <w:t xml:space="preserve">(Updated </w:t>
      </w:r>
      <w:r w:rsidR="009262F9">
        <w:t xml:space="preserve">January </w:t>
      </w:r>
      <w:r w:rsidRPr="00AC1CFA">
        <w:t>202</w:t>
      </w:r>
      <w:r w:rsidR="009262F9">
        <w:t>2</w:t>
      </w:r>
      <w:r w:rsidRPr="00AC1CFA">
        <w:t>)</w:t>
      </w:r>
    </w:p>
    <w:p w14:paraId="2FF31387" w14:textId="77777777" w:rsidR="0077417D" w:rsidRDefault="0077417D">
      <w:pPr>
        <w:spacing w:before="0" w:after="160" w:line="259" w:lineRule="auto"/>
      </w:pPr>
      <w:r>
        <w:br w:type="page"/>
      </w:r>
    </w:p>
    <w:p w14:paraId="242D03EF" w14:textId="77777777" w:rsidR="0077417D" w:rsidRPr="0077417D" w:rsidRDefault="0077417D" w:rsidP="0077417D">
      <w:pPr>
        <w:pStyle w:val="Heading2"/>
      </w:pPr>
      <w:r w:rsidRPr="0077417D">
        <w:lastRenderedPageBreak/>
        <w:t>Attachment A: CHSP Extension 2022-23 Modified Monash Model (MMM) loading worked example</w:t>
      </w:r>
    </w:p>
    <w:p w14:paraId="6DFC9DFF" w14:textId="77777777" w:rsidR="0077417D" w:rsidRPr="0077417D" w:rsidRDefault="0077417D" w:rsidP="0077417D">
      <w:pPr>
        <w:pStyle w:val="Heading3"/>
      </w:pPr>
      <w:r w:rsidRPr="0077417D">
        <w:t>Provider A – Domestic Assistance</w:t>
      </w:r>
    </w:p>
    <w:p w14:paraId="0F4625FE" w14:textId="77777777" w:rsidR="0077417D" w:rsidRPr="0077417D" w:rsidRDefault="0077417D" w:rsidP="0077417D">
      <w:r w:rsidRPr="0077417D">
        <w:t xml:space="preserve">Provider </w:t>
      </w:r>
      <w:proofErr w:type="gramStart"/>
      <w:r w:rsidRPr="0077417D">
        <w:t>A is located in</w:t>
      </w:r>
      <w:proofErr w:type="gramEnd"/>
      <w:r w:rsidRPr="0077417D">
        <w:t xml:space="preserve"> Mataranka, Northern Territory which has a Modified Monash Model (MMM) classification of 7 in the Aged Care Planning Region (ACPR) of Katherine. Provider A delivers </w:t>
      </w:r>
      <w:proofErr w:type="gramStart"/>
      <w:r w:rsidRPr="0077417D">
        <w:t>all of</w:t>
      </w:r>
      <w:proofErr w:type="gramEnd"/>
      <w:r w:rsidRPr="0077417D">
        <w:t xml:space="preserve"> their services to clients who are in MMM 7 regions within the ACPRs of Katherine, Barkly and Darwin.</w:t>
      </w:r>
    </w:p>
    <w:p w14:paraId="112C398C" w14:textId="15F6D35D" w:rsidR="0077417D" w:rsidRPr="0077417D" w:rsidRDefault="0077417D" w:rsidP="0077417D">
      <w:r w:rsidRPr="0077417D">
        <w:t>Provider A has received their indicative service offer for the 2022-23 CHSP Extension and contacts the</w:t>
      </w:r>
      <w:r w:rsidR="00C12D22">
        <w:t xml:space="preserve"> </w:t>
      </w:r>
      <w:r w:rsidRPr="0077417D">
        <w:t>Community Grants Hub</w:t>
      </w:r>
      <w:r w:rsidR="00C12D22">
        <w:t xml:space="preserve"> (CGH)</w:t>
      </w:r>
      <w:r w:rsidRPr="0077417D">
        <w:t xml:space="preserve"> to discuss a MMM loading that best matches their service delivery. </w:t>
      </w:r>
    </w:p>
    <w:p w14:paraId="68A87325" w14:textId="77777777" w:rsidR="0077417D" w:rsidRPr="0077417D" w:rsidRDefault="0077417D" w:rsidP="0077417D">
      <w:r w:rsidRPr="0077417D">
        <w:t xml:space="preserve">To assess their eligibility for a MMM loading the CGH reviews Provider A’s service delivery performance for the previous financial years from 2018-19 to 2020-21. In 2020-21 Provider A was funded </w:t>
      </w:r>
      <w:r w:rsidRPr="0077417D">
        <w:rPr>
          <w:b/>
          <w:bCs/>
        </w:rPr>
        <w:t>$199,984</w:t>
      </w:r>
      <w:r w:rsidRPr="0077417D">
        <w:t xml:space="preserve"> (GST Excl) to deliver </w:t>
      </w:r>
      <w:r w:rsidRPr="0077417D">
        <w:rPr>
          <w:b/>
          <w:bCs/>
        </w:rPr>
        <w:t>3,448</w:t>
      </w:r>
      <w:r w:rsidRPr="0077417D">
        <w:t xml:space="preserve"> hours of domestic assistance at an average unit price of </w:t>
      </w:r>
      <w:r w:rsidRPr="0077417D">
        <w:rPr>
          <w:b/>
          <w:bCs/>
        </w:rPr>
        <w:t>$58 per hour</w:t>
      </w:r>
      <w:r w:rsidRPr="0077417D">
        <w:t xml:space="preserve">. </w:t>
      </w:r>
    </w:p>
    <w:p w14:paraId="215630A1" w14:textId="77777777" w:rsidR="0077417D" w:rsidRPr="0077417D" w:rsidRDefault="0077417D" w:rsidP="0077417D">
      <w:r w:rsidRPr="0077417D">
        <w:t>Provider A is already funded within the 2022-23 CHSP National Unit Price Range for domestic assistance (</w:t>
      </w:r>
      <w:r w:rsidRPr="0077417D">
        <w:rPr>
          <w:b/>
          <w:bCs/>
        </w:rPr>
        <w:t>$48-$61</w:t>
      </w:r>
      <w:r w:rsidRPr="0077417D">
        <w:t xml:space="preserve">). </w:t>
      </w:r>
    </w:p>
    <w:p w14:paraId="02945055" w14:textId="77777777" w:rsidR="0077417D" w:rsidRPr="0077417D" w:rsidRDefault="0077417D" w:rsidP="0077417D">
      <w:r w:rsidRPr="0077417D">
        <w:t>Using the DEX performance data, the CGH can see that the provider delivered 3,103 hours of domestic assistance (90% of their target) in 2020-21. The CGH recommends a 10% loading may be appropriate as this aligns with their ability to meet target outputs and ensures reduction in service delivery is minimised. The provider agrees to a 10% loading and requests it be applied to their grant agreement.</w:t>
      </w:r>
    </w:p>
    <w:p w14:paraId="0EDA7711" w14:textId="77777777" w:rsidR="0077417D" w:rsidRPr="0077417D" w:rsidRDefault="0077417D" w:rsidP="0077417D">
      <w:pPr>
        <w:pStyle w:val="Heading3"/>
      </w:pPr>
      <w:r w:rsidRPr="0077417D">
        <w:t xml:space="preserve">New unit prices and number of services </w:t>
      </w:r>
    </w:p>
    <w:p w14:paraId="6E1684C4" w14:textId="77777777" w:rsidR="0077417D" w:rsidRPr="0077417D" w:rsidRDefault="0077417D" w:rsidP="0077417D">
      <w:r w:rsidRPr="0077417D">
        <w:t xml:space="preserve">By applying a 10% MMM loading to all services delivered in the ACPRs of Katherine, Barkly and Darwin, Provider A will still be funded </w:t>
      </w:r>
      <w:r w:rsidRPr="0077417D">
        <w:rPr>
          <w:b/>
          <w:bCs/>
        </w:rPr>
        <w:t>$199,984</w:t>
      </w:r>
      <w:r w:rsidRPr="0077417D">
        <w:t xml:space="preserve"> (GST Excl) for 2022-23 but will have the following changes applied to their Activity Work Plan (AWP) and grant agreement: </w:t>
      </w:r>
    </w:p>
    <w:p w14:paraId="70F04FE2" w14:textId="0BA31137" w:rsidR="0077417D" w:rsidRPr="0077417D" w:rsidRDefault="0077417D" w:rsidP="0077417D">
      <w:pPr>
        <w:numPr>
          <w:ilvl w:val="0"/>
          <w:numId w:val="49"/>
        </w:numPr>
      </w:pPr>
      <w:r w:rsidRPr="0077417D">
        <w:rPr>
          <w:b/>
          <w:bCs/>
        </w:rPr>
        <w:t>AWP</w:t>
      </w:r>
      <w:r w:rsidRPr="0077417D">
        <w:t xml:space="preserve">: Provider A, previously funded to deliver </w:t>
      </w:r>
      <w:r w:rsidRPr="0077417D">
        <w:rPr>
          <w:b/>
          <w:bCs/>
        </w:rPr>
        <w:t>3,448 hours</w:t>
      </w:r>
      <w:r w:rsidRPr="0077417D">
        <w:t xml:space="preserve"> of domestic assistance will now be funded to deliver </w:t>
      </w:r>
      <w:r w:rsidRPr="0077417D">
        <w:rPr>
          <w:b/>
          <w:bCs/>
        </w:rPr>
        <w:t>3,134</w:t>
      </w:r>
      <w:r w:rsidRPr="0077417D">
        <w:t xml:space="preserve"> </w:t>
      </w:r>
      <w:r w:rsidRPr="0077417D">
        <w:rPr>
          <w:b/>
          <w:bCs/>
        </w:rPr>
        <w:t>hours</w:t>
      </w:r>
      <w:r w:rsidRPr="0077417D">
        <w:t xml:space="preserve"> of domestic assistance across the ACPRs of Katherine (</w:t>
      </w:r>
      <w:r w:rsidRPr="0077417D">
        <w:rPr>
          <w:b/>
          <w:bCs/>
        </w:rPr>
        <w:t>909 hours</w:t>
      </w:r>
      <w:r w:rsidRPr="0077417D">
        <w:t>), Barkly (</w:t>
      </w:r>
      <w:r w:rsidRPr="0077417D">
        <w:rPr>
          <w:b/>
          <w:bCs/>
        </w:rPr>
        <w:t>909</w:t>
      </w:r>
      <w:r w:rsidRPr="0077417D">
        <w:t xml:space="preserve"> </w:t>
      </w:r>
      <w:r w:rsidRPr="0077417D">
        <w:rPr>
          <w:b/>
          <w:bCs/>
        </w:rPr>
        <w:t>hours</w:t>
      </w:r>
      <w:r w:rsidRPr="0077417D">
        <w:t>) and Darwin (</w:t>
      </w:r>
      <w:r w:rsidRPr="0077417D">
        <w:rPr>
          <w:b/>
          <w:bCs/>
        </w:rPr>
        <w:t>1,</w:t>
      </w:r>
      <w:r w:rsidR="001A56AA">
        <w:rPr>
          <w:b/>
          <w:bCs/>
        </w:rPr>
        <w:t>316</w:t>
      </w:r>
      <w:r w:rsidRPr="0077417D">
        <w:rPr>
          <w:b/>
          <w:bCs/>
        </w:rPr>
        <w:t xml:space="preserve"> hours</w:t>
      </w:r>
      <w:r w:rsidRPr="0077417D">
        <w:t xml:space="preserve">). The revised outputs now better reflect the amount of services delivered and Provider A will still be funded at </w:t>
      </w:r>
      <w:r w:rsidRPr="0077417D">
        <w:rPr>
          <w:b/>
          <w:bCs/>
        </w:rPr>
        <w:t>$199,984</w:t>
      </w:r>
      <w:r w:rsidRPr="0077417D">
        <w:t xml:space="preserve"> (GST Excl) for 2022-23.</w:t>
      </w:r>
    </w:p>
    <w:p w14:paraId="4E357488" w14:textId="546DA8A2" w:rsidR="0077417D" w:rsidRPr="0077417D" w:rsidRDefault="0077417D" w:rsidP="0077417D">
      <w:pPr>
        <w:numPr>
          <w:ilvl w:val="0"/>
          <w:numId w:val="49"/>
        </w:numPr>
      </w:pPr>
      <w:r w:rsidRPr="0077417D">
        <w:rPr>
          <w:b/>
          <w:bCs/>
        </w:rPr>
        <w:t>Grant agreement</w:t>
      </w:r>
      <w:r w:rsidRPr="0077417D">
        <w:t xml:space="preserve">: Provider A will now be funded to deliver </w:t>
      </w:r>
      <w:r w:rsidRPr="0077417D">
        <w:rPr>
          <w:b/>
          <w:bCs/>
        </w:rPr>
        <w:t>3</w:t>
      </w:r>
      <w:r w:rsidR="004A77CD">
        <w:rPr>
          <w:b/>
          <w:bCs/>
        </w:rPr>
        <w:t>,</w:t>
      </w:r>
      <w:r w:rsidRPr="0077417D">
        <w:rPr>
          <w:b/>
          <w:bCs/>
        </w:rPr>
        <w:t>13</w:t>
      </w:r>
      <w:r w:rsidR="001A56AA">
        <w:rPr>
          <w:b/>
          <w:bCs/>
        </w:rPr>
        <w:t>4</w:t>
      </w:r>
      <w:r w:rsidRPr="0077417D">
        <w:t xml:space="preserve"> </w:t>
      </w:r>
      <w:r w:rsidRPr="0077417D">
        <w:rPr>
          <w:b/>
          <w:bCs/>
        </w:rPr>
        <w:t>hours</w:t>
      </w:r>
      <w:r w:rsidRPr="0077417D">
        <w:t xml:space="preserve"> of domestic assistance at a new average unit price of </w:t>
      </w:r>
      <w:r w:rsidRPr="0077417D">
        <w:rPr>
          <w:b/>
          <w:bCs/>
        </w:rPr>
        <w:t>$63.80 per hour</w:t>
      </w:r>
      <w:r w:rsidRPr="0077417D">
        <w:t xml:space="preserve">. Provider A will still be funded at </w:t>
      </w:r>
      <w:r w:rsidRPr="0077417D">
        <w:rPr>
          <w:b/>
          <w:bCs/>
        </w:rPr>
        <w:t>$199,984</w:t>
      </w:r>
      <w:r w:rsidRPr="0077417D">
        <w:t xml:space="preserve"> (GST Excl) for 2022-23.</w:t>
      </w:r>
    </w:p>
    <w:p w14:paraId="73C460BE" w14:textId="77777777" w:rsidR="0077417D" w:rsidRPr="0077417D" w:rsidRDefault="0077417D" w:rsidP="0077417D">
      <w:r w:rsidRPr="0077417D">
        <w:t>This new unit price will bring Provider A’s average unit price above the 2022-23 CHSP National Unit Price Range for domestic assistance.</w:t>
      </w:r>
    </w:p>
    <w:p w14:paraId="4FC042F9" w14:textId="77777777" w:rsidR="0077417D" w:rsidRPr="0077417D" w:rsidRDefault="0077417D" w:rsidP="0077417D">
      <w:pPr>
        <w:spacing w:before="960"/>
        <w:rPr>
          <w:b/>
          <w:iCs/>
        </w:rPr>
      </w:pPr>
      <w:r w:rsidRPr="0077417D">
        <w:br w:type="page"/>
      </w:r>
    </w:p>
    <w:p w14:paraId="1DD61E4E" w14:textId="1223E574" w:rsidR="0077417D" w:rsidRPr="0077417D" w:rsidRDefault="0077417D" w:rsidP="0077417D">
      <w:pPr>
        <w:pStyle w:val="Heading2"/>
      </w:pPr>
      <w:r w:rsidRPr="0077417D">
        <w:lastRenderedPageBreak/>
        <w:t>How the MMM loading is applied to the AWP and Grant Agreement</w:t>
      </w:r>
    </w:p>
    <w:p w14:paraId="3A5553A1" w14:textId="77777777" w:rsidR="0077417D" w:rsidRPr="0077417D" w:rsidRDefault="0077417D" w:rsidP="0077417D">
      <w:pPr>
        <w:pStyle w:val="Heading3"/>
      </w:pPr>
      <w:r w:rsidRPr="0077417D">
        <w:t xml:space="preserve">Before loading </w:t>
      </w:r>
    </w:p>
    <w:p w14:paraId="7676114A" w14:textId="77777777" w:rsidR="0077417D" w:rsidRPr="0077417D" w:rsidRDefault="0077417D" w:rsidP="0077417D">
      <w:pPr>
        <w:pStyle w:val="Heading4"/>
      </w:pPr>
      <w:r w:rsidRPr="0077417D">
        <w:t>Activity Work Plan</w:t>
      </w:r>
    </w:p>
    <w:tbl>
      <w:tblPr>
        <w:tblStyle w:val="TableGridLight"/>
        <w:tblW w:w="9263" w:type="dxa"/>
        <w:tblLayout w:type="fixed"/>
        <w:tblLook w:val="04A0" w:firstRow="1" w:lastRow="0" w:firstColumn="1" w:lastColumn="0" w:noHBand="0" w:noVBand="1"/>
        <w:tblCaption w:val="Activity work plan before a MMM Loading"/>
        <w:tblDescription w:val="Activity work plan details before a MMM Loading is applied."/>
      </w:tblPr>
      <w:tblGrid>
        <w:gridCol w:w="1435"/>
        <w:gridCol w:w="1368"/>
        <w:gridCol w:w="1615"/>
        <w:gridCol w:w="1615"/>
        <w:gridCol w:w="1615"/>
        <w:gridCol w:w="1615"/>
      </w:tblGrid>
      <w:tr w:rsidR="0077417D" w:rsidRPr="0077417D" w14:paraId="64CF47C0" w14:textId="77777777" w:rsidTr="00DF6DB3">
        <w:trPr>
          <w:trHeight w:val="677"/>
          <w:tblHeader/>
        </w:trPr>
        <w:tc>
          <w:tcPr>
            <w:tcW w:w="1435" w:type="dxa"/>
          </w:tcPr>
          <w:p w14:paraId="2A8240DD" w14:textId="77777777" w:rsidR="0077417D" w:rsidRPr="0077417D" w:rsidRDefault="0077417D" w:rsidP="0077417D">
            <w:pPr>
              <w:spacing w:after="0"/>
              <w:contextualSpacing/>
              <w:rPr>
                <w:b/>
                <w:bCs/>
              </w:rPr>
            </w:pPr>
            <w:r w:rsidRPr="0077417D">
              <w:rPr>
                <w:b/>
                <w:bCs/>
              </w:rPr>
              <w:t>ACPR</w:t>
            </w:r>
          </w:p>
        </w:tc>
        <w:tc>
          <w:tcPr>
            <w:tcW w:w="1368" w:type="dxa"/>
          </w:tcPr>
          <w:p w14:paraId="61FF3739" w14:textId="77777777" w:rsidR="0077417D" w:rsidRPr="0077417D" w:rsidRDefault="0077417D" w:rsidP="0077417D">
            <w:pPr>
              <w:spacing w:after="0"/>
              <w:contextualSpacing/>
              <w:rPr>
                <w:b/>
                <w:bCs/>
              </w:rPr>
            </w:pPr>
            <w:r w:rsidRPr="0077417D">
              <w:rPr>
                <w:b/>
                <w:bCs/>
              </w:rPr>
              <w:t>Financial Year</w:t>
            </w:r>
          </w:p>
        </w:tc>
        <w:tc>
          <w:tcPr>
            <w:tcW w:w="1615" w:type="dxa"/>
          </w:tcPr>
          <w:p w14:paraId="16F676DA" w14:textId="77777777" w:rsidR="0077417D" w:rsidRPr="0077417D" w:rsidRDefault="0077417D" w:rsidP="0077417D">
            <w:pPr>
              <w:spacing w:after="0"/>
              <w:contextualSpacing/>
              <w:rPr>
                <w:b/>
                <w:bCs/>
              </w:rPr>
            </w:pPr>
            <w:r w:rsidRPr="0077417D">
              <w:rPr>
                <w:b/>
                <w:bCs/>
              </w:rPr>
              <w:t>Type of Units</w:t>
            </w:r>
          </w:p>
        </w:tc>
        <w:tc>
          <w:tcPr>
            <w:tcW w:w="1615" w:type="dxa"/>
          </w:tcPr>
          <w:p w14:paraId="083A4751" w14:textId="77777777" w:rsidR="0077417D" w:rsidRPr="0077417D" w:rsidRDefault="0077417D" w:rsidP="0077417D">
            <w:pPr>
              <w:spacing w:after="0"/>
              <w:contextualSpacing/>
              <w:rPr>
                <w:b/>
                <w:bCs/>
              </w:rPr>
            </w:pPr>
            <w:r w:rsidRPr="0077417D">
              <w:rPr>
                <w:b/>
                <w:bCs/>
              </w:rPr>
              <w:t>Number of units</w:t>
            </w:r>
          </w:p>
        </w:tc>
        <w:tc>
          <w:tcPr>
            <w:tcW w:w="1615" w:type="dxa"/>
          </w:tcPr>
          <w:p w14:paraId="3ECE91CB" w14:textId="77777777" w:rsidR="0077417D" w:rsidRPr="0077417D" w:rsidRDefault="0077417D" w:rsidP="0077417D">
            <w:pPr>
              <w:spacing w:after="0"/>
              <w:contextualSpacing/>
              <w:rPr>
                <w:b/>
                <w:bCs/>
              </w:rPr>
            </w:pPr>
            <w:r w:rsidRPr="0077417D">
              <w:rPr>
                <w:b/>
                <w:bCs/>
              </w:rPr>
              <w:t>Amount (excl GST)</w:t>
            </w:r>
          </w:p>
        </w:tc>
        <w:tc>
          <w:tcPr>
            <w:tcW w:w="1615" w:type="dxa"/>
          </w:tcPr>
          <w:p w14:paraId="15BBE866" w14:textId="699190CA" w:rsidR="0077417D" w:rsidRPr="0077417D" w:rsidRDefault="0077417D" w:rsidP="0077417D">
            <w:pPr>
              <w:spacing w:after="0"/>
              <w:contextualSpacing/>
              <w:rPr>
                <w:b/>
                <w:bCs/>
              </w:rPr>
            </w:pPr>
            <w:r w:rsidRPr="0077417D">
              <w:rPr>
                <w:b/>
                <w:bCs/>
              </w:rPr>
              <w:t>F</w:t>
            </w:r>
            <w:r w:rsidR="001A66BE">
              <w:rPr>
                <w:b/>
                <w:bCs/>
              </w:rPr>
              <w:t xml:space="preserve">unded </w:t>
            </w:r>
            <w:r w:rsidRPr="0077417D">
              <w:rPr>
                <w:b/>
                <w:bCs/>
              </w:rPr>
              <w:t>U</w:t>
            </w:r>
            <w:r w:rsidR="001A66BE">
              <w:rPr>
                <w:b/>
                <w:bCs/>
              </w:rPr>
              <w:t xml:space="preserve">nit </w:t>
            </w:r>
            <w:r w:rsidRPr="0077417D">
              <w:rPr>
                <w:b/>
                <w:bCs/>
              </w:rPr>
              <w:t>P</w:t>
            </w:r>
            <w:r w:rsidR="001A66BE">
              <w:rPr>
                <w:b/>
                <w:bCs/>
              </w:rPr>
              <w:t>rice</w:t>
            </w:r>
          </w:p>
        </w:tc>
      </w:tr>
      <w:tr w:rsidR="0077417D" w:rsidRPr="0077417D" w14:paraId="3CB8D042" w14:textId="77777777" w:rsidTr="0077417D">
        <w:trPr>
          <w:trHeight w:val="677"/>
        </w:trPr>
        <w:tc>
          <w:tcPr>
            <w:tcW w:w="1435" w:type="dxa"/>
          </w:tcPr>
          <w:p w14:paraId="7F008183" w14:textId="77777777" w:rsidR="0077417D" w:rsidRPr="0077417D" w:rsidRDefault="0077417D" w:rsidP="0077417D">
            <w:pPr>
              <w:spacing w:after="0"/>
              <w:contextualSpacing/>
            </w:pPr>
            <w:r w:rsidRPr="0077417D">
              <w:t>Katherine</w:t>
            </w:r>
          </w:p>
        </w:tc>
        <w:tc>
          <w:tcPr>
            <w:tcW w:w="1368" w:type="dxa"/>
          </w:tcPr>
          <w:p w14:paraId="51758CF4" w14:textId="77777777" w:rsidR="0077417D" w:rsidRPr="0077417D" w:rsidRDefault="0077417D" w:rsidP="0077417D">
            <w:pPr>
              <w:spacing w:after="0"/>
              <w:contextualSpacing/>
            </w:pPr>
            <w:r w:rsidRPr="0077417D">
              <w:t>2022-23</w:t>
            </w:r>
          </w:p>
        </w:tc>
        <w:tc>
          <w:tcPr>
            <w:tcW w:w="1615" w:type="dxa"/>
          </w:tcPr>
          <w:p w14:paraId="25AD4AFA" w14:textId="77777777" w:rsidR="0077417D" w:rsidRPr="0077417D" w:rsidRDefault="0077417D" w:rsidP="0077417D">
            <w:pPr>
              <w:spacing w:after="0"/>
              <w:contextualSpacing/>
            </w:pPr>
            <w:r w:rsidRPr="0077417D">
              <w:t>Hours</w:t>
            </w:r>
          </w:p>
        </w:tc>
        <w:tc>
          <w:tcPr>
            <w:tcW w:w="1615" w:type="dxa"/>
          </w:tcPr>
          <w:p w14:paraId="0422269A" w14:textId="77777777" w:rsidR="0077417D" w:rsidRPr="0077417D" w:rsidRDefault="0077417D" w:rsidP="0077417D">
            <w:pPr>
              <w:spacing w:after="0"/>
              <w:contextualSpacing/>
            </w:pPr>
            <w:r w:rsidRPr="0077417D">
              <w:t>1,000.00</w:t>
            </w:r>
          </w:p>
        </w:tc>
        <w:tc>
          <w:tcPr>
            <w:tcW w:w="1615" w:type="dxa"/>
          </w:tcPr>
          <w:p w14:paraId="2D2F83E4" w14:textId="77777777" w:rsidR="0077417D" w:rsidRPr="0077417D" w:rsidRDefault="0077417D" w:rsidP="0077417D">
            <w:pPr>
              <w:spacing w:after="0"/>
              <w:contextualSpacing/>
              <w:jc w:val="right"/>
            </w:pPr>
            <w:r w:rsidRPr="0077417D">
              <w:t>$58,000.00</w:t>
            </w:r>
          </w:p>
        </w:tc>
        <w:tc>
          <w:tcPr>
            <w:tcW w:w="1615" w:type="dxa"/>
          </w:tcPr>
          <w:p w14:paraId="12E3802C" w14:textId="77777777" w:rsidR="0077417D" w:rsidRPr="0077417D" w:rsidRDefault="0077417D" w:rsidP="0077417D">
            <w:pPr>
              <w:spacing w:after="0"/>
              <w:contextualSpacing/>
              <w:jc w:val="right"/>
            </w:pPr>
            <w:r w:rsidRPr="0077417D">
              <w:t>$58.00</w:t>
            </w:r>
          </w:p>
        </w:tc>
      </w:tr>
      <w:tr w:rsidR="0077417D" w:rsidRPr="0077417D" w14:paraId="2F16CCED" w14:textId="77777777" w:rsidTr="0077417D">
        <w:trPr>
          <w:trHeight w:val="667"/>
        </w:trPr>
        <w:tc>
          <w:tcPr>
            <w:tcW w:w="1435" w:type="dxa"/>
          </w:tcPr>
          <w:p w14:paraId="191A3744" w14:textId="77777777" w:rsidR="0077417D" w:rsidRPr="0077417D" w:rsidRDefault="0077417D" w:rsidP="0077417D">
            <w:pPr>
              <w:spacing w:after="0"/>
              <w:contextualSpacing/>
            </w:pPr>
            <w:r w:rsidRPr="0077417D">
              <w:t>Barkly</w:t>
            </w:r>
          </w:p>
        </w:tc>
        <w:tc>
          <w:tcPr>
            <w:tcW w:w="1368" w:type="dxa"/>
          </w:tcPr>
          <w:p w14:paraId="1DC6E387" w14:textId="77777777" w:rsidR="0077417D" w:rsidRPr="0077417D" w:rsidRDefault="0077417D" w:rsidP="0077417D">
            <w:pPr>
              <w:spacing w:after="0"/>
              <w:contextualSpacing/>
            </w:pPr>
            <w:r w:rsidRPr="0077417D">
              <w:t>2022-23</w:t>
            </w:r>
          </w:p>
        </w:tc>
        <w:tc>
          <w:tcPr>
            <w:tcW w:w="1615" w:type="dxa"/>
          </w:tcPr>
          <w:p w14:paraId="721371E1" w14:textId="77777777" w:rsidR="0077417D" w:rsidRPr="0077417D" w:rsidRDefault="0077417D" w:rsidP="0077417D">
            <w:pPr>
              <w:spacing w:after="0"/>
              <w:contextualSpacing/>
            </w:pPr>
            <w:r w:rsidRPr="0077417D">
              <w:t>Hours</w:t>
            </w:r>
          </w:p>
        </w:tc>
        <w:tc>
          <w:tcPr>
            <w:tcW w:w="1615" w:type="dxa"/>
          </w:tcPr>
          <w:p w14:paraId="6F04BBA6" w14:textId="77777777" w:rsidR="0077417D" w:rsidRPr="0077417D" w:rsidRDefault="0077417D" w:rsidP="0077417D">
            <w:pPr>
              <w:spacing w:after="0"/>
              <w:contextualSpacing/>
            </w:pPr>
            <w:r w:rsidRPr="0077417D">
              <w:t>1,000.00</w:t>
            </w:r>
          </w:p>
        </w:tc>
        <w:tc>
          <w:tcPr>
            <w:tcW w:w="1615" w:type="dxa"/>
          </w:tcPr>
          <w:p w14:paraId="239FB356" w14:textId="77777777" w:rsidR="0077417D" w:rsidRPr="0077417D" w:rsidRDefault="0077417D" w:rsidP="0077417D">
            <w:pPr>
              <w:spacing w:after="0"/>
              <w:contextualSpacing/>
              <w:jc w:val="right"/>
            </w:pPr>
            <w:r w:rsidRPr="0077417D">
              <w:t>$58,000.00</w:t>
            </w:r>
          </w:p>
        </w:tc>
        <w:tc>
          <w:tcPr>
            <w:tcW w:w="1615" w:type="dxa"/>
          </w:tcPr>
          <w:p w14:paraId="40AFB09A" w14:textId="77777777" w:rsidR="0077417D" w:rsidRPr="0077417D" w:rsidRDefault="0077417D" w:rsidP="0077417D">
            <w:pPr>
              <w:spacing w:after="0"/>
              <w:contextualSpacing/>
              <w:jc w:val="right"/>
            </w:pPr>
            <w:r w:rsidRPr="0077417D">
              <w:t>$58.00</w:t>
            </w:r>
          </w:p>
        </w:tc>
      </w:tr>
      <w:tr w:rsidR="0077417D" w:rsidRPr="0077417D" w14:paraId="3E873DFA" w14:textId="77777777" w:rsidTr="0077417D">
        <w:trPr>
          <w:trHeight w:val="677"/>
        </w:trPr>
        <w:tc>
          <w:tcPr>
            <w:tcW w:w="1435" w:type="dxa"/>
          </w:tcPr>
          <w:p w14:paraId="18C076CB" w14:textId="77777777" w:rsidR="0077417D" w:rsidRPr="0077417D" w:rsidRDefault="0077417D" w:rsidP="0077417D">
            <w:pPr>
              <w:spacing w:after="0"/>
              <w:contextualSpacing/>
            </w:pPr>
            <w:r w:rsidRPr="0077417D">
              <w:t>Darwin</w:t>
            </w:r>
          </w:p>
        </w:tc>
        <w:tc>
          <w:tcPr>
            <w:tcW w:w="1368" w:type="dxa"/>
          </w:tcPr>
          <w:p w14:paraId="2A9A034B" w14:textId="77777777" w:rsidR="0077417D" w:rsidRPr="0077417D" w:rsidRDefault="0077417D" w:rsidP="0077417D">
            <w:pPr>
              <w:spacing w:after="0"/>
              <w:contextualSpacing/>
            </w:pPr>
            <w:r w:rsidRPr="0077417D">
              <w:t>2022-23</w:t>
            </w:r>
          </w:p>
        </w:tc>
        <w:tc>
          <w:tcPr>
            <w:tcW w:w="1615" w:type="dxa"/>
          </w:tcPr>
          <w:p w14:paraId="717D1AE7" w14:textId="77777777" w:rsidR="0077417D" w:rsidRPr="0077417D" w:rsidRDefault="0077417D" w:rsidP="0077417D">
            <w:pPr>
              <w:spacing w:after="0"/>
              <w:contextualSpacing/>
            </w:pPr>
            <w:r w:rsidRPr="0077417D">
              <w:t>Hours</w:t>
            </w:r>
          </w:p>
        </w:tc>
        <w:tc>
          <w:tcPr>
            <w:tcW w:w="1615" w:type="dxa"/>
          </w:tcPr>
          <w:p w14:paraId="677DF4C5" w14:textId="77777777" w:rsidR="0077417D" w:rsidRPr="0077417D" w:rsidRDefault="0077417D" w:rsidP="0077417D">
            <w:pPr>
              <w:spacing w:after="0"/>
              <w:contextualSpacing/>
            </w:pPr>
            <w:r w:rsidRPr="0077417D">
              <w:t>1,448.00</w:t>
            </w:r>
          </w:p>
        </w:tc>
        <w:tc>
          <w:tcPr>
            <w:tcW w:w="1615" w:type="dxa"/>
          </w:tcPr>
          <w:p w14:paraId="66241649" w14:textId="77777777" w:rsidR="0077417D" w:rsidRPr="0077417D" w:rsidRDefault="0077417D" w:rsidP="0077417D">
            <w:pPr>
              <w:spacing w:after="0"/>
              <w:contextualSpacing/>
              <w:jc w:val="right"/>
            </w:pPr>
            <w:r w:rsidRPr="0077417D">
              <w:t>$83,984.00</w:t>
            </w:r>
          </w:p>
        </w:tc>
        <w:tc>
          <w:tcPr>
            <w:tcW w:w="1615" w:type="dxa"/>
          </w:tcPr>
          <w:p w14:paraId="1177DDDE" w14:textId="77777777" w:rsidR="0077417D" w:rsidRPr="0077417D" w:rsidRDefault="0077417D" w:rsidP="0077417D">
            <w:pPr>
              <w:spacing w:after="0"/>
              <w:contextualSpacing/>
              <w:jc w:val="right"/>
            </w:pPr>
            <w:r w:rsidRPr="0077417D">
              <w:t>$58.00</w:t>
            </w:r>
          </w:p>
        </w:tc>
      </w:tr>
      <w:tr w:rsidR="0077417D" w:rsidRPr="0077417D" w14:paraId="175FC590" w14:textId="77777777" w:rsidTr="0077417D">
        <w:trPr>
          <w:trHeight w:val="677"/>
        </w:trPr>
        <w:tc>
          <w:tcPr>
            <w:tcW w:w="4418" w:type="dxa"/>
            <w:gridSpan w:val="3"/>
            <w:vAlign w:val="center"/>
          </w:tcPr>
          <w:p w14:paraId="65617FBA" w14:textId="77777777" w:rsidR="0077417D" w:rsidRPr="0077417D" w:rsidRDefault="0077417D" w:rsidP="0077417D">
            <w:pPr>
              <w:spacing w:after="0"/>
              <w:contextualSpacing/>
              <w:jc w:val="right"/>
              <w:rPr>
                <w:b/>
                <w:bCs/>
              </w:rPr>
            </w:pPr>
            <w:r w:rsidRPr="0077417D">
              <w:rPr>
                <w:b/>
                <w:bCs/>
              </w:rPr>
              <w:t>Total</w:t>
            </w:r>
          </w:p>
        </w:tc>
        <w:tc>
          <w:tcPr>
            <w:tcW w:w="1615" w:type="dxa"/>
            <w:vAlign w:val="center"/>
          </w:tcPr>
          <w:p w14:paraId="686DEF97" w14:textId="77777777" w:rsidR="0077417D" w:rsidRPr="0077417D" w:rsidRDefault="0077417D" w:rsidP="0077417D">
            <w:pPr>
              <w:spacing w:after="0"/>
              <w:contextualSpacing/>
              <w:jc w:val="right"/>
            </w:pPr>
            <w:r w:rsidRPr="0077417D">
              <w:rPr>
                <w:b/>
                <w:bCs/>
              </w:rPr>
              <w:t>3,448.00</w:t>
            </w:r>
          </w:p>
        </w:tc>
        <w:tc>
          <w:tcPr>
            <w:tcW w:w="1615" w:type="dxa"/>
            <w:vAlign w:val="center"/>
          </w:tcPr>
          <w:p w14:paraId="5C8D58B5" w14:textId="77777777" w:rsidR="0077417D" w:rsidRPr="0077417D" w:rsidRDefault="0077417D" w:rsidP="0077417D">
            <w:pPr>
              <w:spacing w:after="0"/>
              <w:contextualSpacing/>
              <w:jc w:val="right"/>
            </w:pPr>
            <w:r w:rsidRPr="0077417D">
              <w:rPr>
                <w:b/>
                <w:bCs/>
              </w:rPr>
              <w:t>$199,984.00</w:t>
            </w:r>
          </w:p>
        </w:tc>
        <w:tc>
          <w:tcPr>
            <w:tcW w:w="1615" w:type="dxa"/>
          </w:tcPr>
          <w:p w14:paraId="35910453" w14:textId="77777777" w:rsidR="0077417D" w:rsidRPr="0077417D" w:rsidRDefault="0077417D" w:rsidP="0077417D">
            <w:pPr>
              <w:spacing w:after="0"/>
              <w:contextualSpacing/>
              <w:jc w:val="right"/>
            </w:pPr>
          </w:p>
        </w:tc>
      </w:tr>
    </w:tbl>
    <w:p w14:paraId="502ADDE2" w14:textId="770D2960" w:rsidR="0077417D" w:rsidRPr="0077417D" w:rsidRDefault="0077417D" w:rsidP="0077417D">
      <w:pPr>
        <w:pStyle w:val="Heading4"/>
      </w:pPr>
      <w:r w:rsidRPr="0077417D">
        <w:t xml:space="preserve">Payment </w:t>
      </w:r>
      <w:r w:rsidR="0022668B">
        <w:t>in</w:t>
      </w:r>
      <w:r w:rsidRPr="0077417D">
        <w:t xml:space="preserve"> the Grant Agreement </w:t>
      </w:r>
    </w:p>
    <w:tbl>
      <w:tblPr>
        <w:tblStyle w:val="TableGridLight"/>
        <w:tblW w:w="9250" w:type="dxa"/>
        <w:tblLook w:val="04A0" w:firstRow="1" w:lastRow="0" w:firstColumn="1" w:lastColumn="0" w:noHBand="0" w:noVBand="1"/>
        <w:tblCaption w:val="Payment of the Grant Agreement details before a MMM loading"/>
        <w:tblDescription w:val="Payment of the Grant Agreement details before a MMM loading is applied."/>
      </w:tblPr>
      <w:tblGrid>
        <w:gridCol w:w="1414"/>
        <w:gridCol w:w="1555"/>
        <w:gridCol w:w="1559"/>
        <w:gridCol w:w="1575"/>
        <w:gridCol w:w="1818"/>
        <w:gridCol w:w="1329"/>
      </w:tblGrid>
      <w:tr w:rsidR="0077417D" w:rsidRPr="0077417D" w14:paraId="55844636" w14:textId="77777777" w:rsidTr="00DF6DB3">
        <w:trPr>
          <w:trHeight w:val="598"/>
          <w:tblHeader/>
        </w:trPr>
        <w:tc>
          <w:tcPr>
            <w:tcW w:w="1414" w:type="dxa"/>
          </w:tcPr>
          <w:p w14:paraId="178F0643" w14:textId="77777777" w:rsidR="0077417D" w:rsidRPr="0077417D" w:rsidRDefault="0077417D" w:rsidP="0077417D">
            <w:pPr>
              <w:spacing w:after="0"/>
              <w:contextualSpacing/>
              <w:rPr>
                <w:b/>
                <w:bCs/>
              </w:rPr>
            </w:pPr>
            <w:r w:rsidRPr="0077417D">
              <w:rPr>
                <w:b/>
                <w:bCs/>
              </w:rPr>
              <w:t xml:space="preserve">Service type </w:t>
            </w:r>
          </w:p>
        </w:tc>
        <w:tc>
          <w:tcPr>
            <w:tcW w:w="1555" w:type="dxa"/>
          </w:tcPr>
          <w:p w14:paraId="64F0060A" w14:textId="77777777" w:rsidR="0077417D" w:rsidRPr="0077417D" w:rsidRDefault="0077417D" w:rsidP="0077417D">
            <w:pPr>
              <w:spacing w:after="0"/>
              <w:contextualSpacing/>
              <w:rPr>
                <w:b/>
                <w:bCs/>
              </w:rPr>
            </w:pPr>
            <w:r w:rsidRPr="0077417D">
              <w:rPr>
                <w:b/>
                <w:bCs/>
              </w:rPr>
              <w:t>Financial Year</w:t>
            </w:r>
          </w:p>
        </w:tc>
        <w:tc>
          <w:tcPr>
            <w:tcW w:w="1559" w:type="dxa"/>
          </w:tcPr>
          <w:p w14:paraId="67249555" w14:textId="77777777" w:rsidR="0077417D" w:rsidRPr="0077417D" w:rsidRDefault="0077417D" w:rsidP="0077417D">
            <w:pPr>
              <w:spacing w:after="0"/>
              <w:contextualSpacing/>
              <w:rPr>
                <w:b/>
                <w:bCs/>
              </w:rPr>
            </w:pPr>
            <w:r w:rsidRPr="0077417D">
              <w:rPr>
                <w:b/>
                <w:bCs/>
              </w:rPr>
              <w:t>Type of Units</w:t>
            </w:r>
          </w:p>
        </w:tc>
        <w:tc>
          <w:tcPr>
            <w:tcW w:w="1575" w:type="dxa"/>
          </w:tcPr>
          <w:p w14:paraId="0181C6B5" w14:textId="77777777" w:rsidR="0077417D" w:rsidRPr="0077417D" w:rsidRDefault="0077417D" w:rsidP="0077417D">
            <w:pPr>
              <w:spacing w:after="0"/>
              <w:contextualSpacing/>
              <w:rPr>
                <w:b/>
                <w:bCs/>
              </w:rPr>
            </w:pPr>
            <w:r w:rsidRPr="0077417D">
              <w:rPr>
                <w:b/>
                <w:bCs/>
              </w:rPr>
              <w:t>Number of units</w:t>
            </w:r>
          </w:p>
        </w:tc>
        <w:tc>
          <w:tcPr>
            <w:tcW w:w="1818" w:type="dxa"/>
          </w:tcPr>
          <w:p w14:paraId="6AB0C5A6" w14:textId="77777777" w:rsidR="0077417D" w:rsidRPr="0077417D" w:rsidRDefault="0077417D" w:rsidP="0077417D">
            <w:pPr>
              <w:spacing w:after="0"/>
              <w:contextualSpacing/>
              <w:rPr>
                <w:b/>
                <w:bCs/>
              </w:rPr>
            </w:pPr>
            <w:r w:rsidRPr="0077417D">
              <w:rPr>
                <w:b/>
                <w:bCs/>
              </w:rPr>
              <w:t>Amount</w:t>
            </w:r>
          </w:p>
        </w:tc>
        <w:tc>
          <w:tcPr>
            <w:tcW w:w="1329" w:type="dxa"/>
          </w:tcPr>
          <w:p w14:paraId="1A9B5E7B" w14:textId="0FE0F3DD" w:rsidR="0077417D" w:rsidRPr="0077417D" w:rsidRDefault="001A66BE" w:rsidP="0077417D">
            <w:pPr>
              <w:spacing w:after="0"/>
              <w:contextualSpacing/>
              <w:rPr>
                <w:b/>
                <w:bCs/>
              </w:rPr>
            </w:pPr>
            <w:r w:rsidRPr="0077417D">
              <w:rPr>
                <w:b/>
                <w:bCs/>
              </w:rPr>
              <w:t>F</w:t>
            </w:r>
            <w:r>
              <w:rPr>
                <w:b/>
                <w:bCs/>
              </w:rPr>
              <w:t xml:space="preserve">unded </w:t>
            </w:r>
            <w:r w:rsidRPr="0077417D">
              <w:rPr>
                <w:b/>
                <w:bCs/>
              </w:rPr>
              <w:t>U</w:t>
            </w:r>
            <w:r>
              <w:rPr>
                <w:b/>
                <w:bCs/>
              </w:rPr>
              <w:t xml:space="preserve">nit </w:t>
            </w:r>
            <w:r w:rsidRPr="0077417D">
              <w:rPr>
                <w:b/>
                <w:bCs/>
              </w:rPr>
              <w:t>P</w:t>
            </w:r>
            <w:r>
              <w:rPr>
                <w:b/>
                <w:bCs/>
              </w:rPr>
              <w:t>rice</w:t>
            </w:r>
          </w:p>
        </w:tc>
      </w:tr>
      <w:tr w:rsidR="0077417D" w:rsidRPr="0077417D" w14:paraId="35F72FC5" w14:textId="77777777" w:rsidTr="0077417D">
        <w:trPr>
          <w:trHeight w:val="598"/>
        </w:trPr>
        <w:tc>
          <w:tcPr>
            <w:tcW w:w="1414" w:type="dxa"/>
          </w:tcPr>
          <w:p w14:paraId="4E8661EE" w14:textId="77777777" w:rsidR="0077417D" w:rsidRPr="0077417D" w:rsidRDefault="0077417D" w:rsidP="0077417D">
            <w:pPr>
              <w:spacing w:after="0"/>
              <w:contextualSpacing/>
            </w:pPr>
            <w:r w:rsidRPr="0077417D">
              <w:t>Domestic Assistance</w:t>
            </w:r>
          </w:p>
        </w:tc>
        <w:tc>
          <w:tcPr>
            <w:tcW w:w="1555" w:type="dxa"/>
          </w:tcPr>
          <w:p w14:paraId="1467B8E9" w14:textId="77777777" w:rsidR="0077417D" w:rsidRPr="0077417D" w:rsidRDefault="0077417D" w:rsidP="0077417D">
            <w:pPr>
              <w:spacing w:after="0"/>
              <w:contextualSpacing/>
            </w:pPr>
            <w:r w:rsidRPr="0077417D">
              <w:t>2022-23</w:t>
            </w:r>
          </w:p>
        </w:tc>
        <w:tc>
          <w:tcPr>
            <w:tcW w:w="1559" w:type="dxa"/>
          </w:tcPr>
          <w:p w14:paraId="6A2D8720" w14:textId="77777777" w:rsidR="0077417D" w:rsidRPr="0077417D" w:rsidRDefault="0077417D" w:rsidP="0077417D">
            <w:pPr>
              <w:spacing w:after="0"/>
              <w:contextualSpacing/>
            </w:pPr>
            <w:r w:rsidRPr="0077417D">
              <w:t>Hours</w:t>
            </w:r>
          </w:p>
        </w:tc>
        <w:tc>
          <w:tcPr>
            <w:tcW w:w="1575" w:type="dxa"/>
          </w:tcPr>
          <w:p w14:paraId="6FA5D793" w14:textId="77777777" w:rsidR="0077417D" w:rsidRPr="0077417D" w:rsidRDefault="0077417D" w:rsidP="0077417D">
            <w:pPr>
              <w:spacing w:after="0"/>
              <w:contextualSpacing/>
              <w:rPr>
                <w:b/>
                <w:bCs/>
              </w:rPr>
            </w:pPr>
            <w:r w:rsidRPr="0077417D">
              <w:rPr>
                <w:b/>
                <w:bCs/>
              </w:rPr>
              <w:t>3,448.00</w:t>
            </w:r>
          </w:p>
        </w:tc>
        <w:tc>
          <w:tcPr>
            <w:tcW w:w="1818" w:type="dxa"/>
          </w:tcPr>
          <w:p w14:paraId="484C1365" w14:textId="77777777" w:rsidR="0077417D" w:rsidRPr="0077417D" w:rsidRDefault="0077417D" w:rsidP="0077417D">
            <w:pPr>
              <w:spacing w:after="0"/>
              <w:contextualSpacing/>
              <w:jc w:val="right"/>
              <w:rPr>
                <w:b/>
                <w:bCs/>
              </w:rPr>
            </w:pPr>
            <w:r w:rsidRPr="0077417D">
              <w:rPr>
                <w:b/>
                <w:bCs/>
              </w:rPr>
              <w:t xml:space="preserve"> $199,984.00</w:t>
            </w:r>
          </w:p>
        </w:tc>
        <w:tc>
          <w:tcPr>
            <w:tcW w:w="1329" w:type="dxa"/>
          </w:tcPr>
          <w:p w14:paraId="2990E03C" w14:textId="77777777" w:rsidR="0077417D" w:rsidRPr="0077417D" w:rsidRDefault="0077417D" w:rsidP="0077417D">
            <w:pPr>
              <w:spacing w:after="0"/>
              <w:contextualSpacing/>
              <w:jc w:val="right"/>
            </w:pPr>
            <w:r w:rsidRPr="0077417D">
              <w:t xml:space="preserve"> $ 58.00 </w:t>
            </w:r>
          </w:p>
        </w:tc>
      </w:tr>
    </w:tbl>
    <w:p w14:paraId="2FBE2456" w14:textId="77777777" w:rsidR="0077417D" w:rsidRPr="0077417D" w:rsidRDefault="0077417D" w:rsidP="0077417D">
      <w:pPr>
        <w:pStyle w:val="Heading3"/>
      </w:pPr>
      <w:r w:rsidRPr="0077417D">
        <w:t xml:space="preserve">After loading </w:t>
      </w:r>
    </w:p>
    <w:p w14:paraId="2C84C47F" w14:textId="77777777" w:rsidR="0077417D" w:rsidRPr="0077417D" w:rsidRDefault="0077417D" w:rsidP="0077417D">
      <w:pPr>
        <w:pStyle w:val="Heading4"/>
      </w:pPr>
      <w:r w:rsidRPr="0077417D">
        <w:t>Activity Work Plan</w:t>
      </w:r>
    </w:p>
    <w:tbl>
      <w:tblPr>
        <w:tblStyle w:val="TableGridLight"/>
        <w:tblW w:w="9280" w:type="dxa"/>
        <w:tblLook w:val="04A0" w:firstRow="1" w:lastRow="0" w:firstColumn="1" w:lastColumn="0" w:noHBand="0" w:noVBand="1"/>
        <w:tblCaption w:val="Activity work plan after a MMM Loading is applied."/>
        <w:tblDescription w:val="Activity work plan details after a MMM Loading is applied."/>
      </w:tblPr>
      <w:tblGrid>
        <w:gridCol w:w="1471"/>
        <w:gridCol w:w="1472"/>
        <w:gridCol w:w="1619"/>
        <w:gridCol w:w="1619"/>
        <w:gridCol w:w="1766"/>
        <w:gridCol w:w="1333"/>
      </w:tblGrid>
      <w:tr w:rsidR="0077417D" w:rsidRPr="0077417D" w14:paraId="29322B91" w14:textId="77777777" w:rsidTr="00DF6DB3">
        <w:trPr>
          <w:trHeight w:val="607"/>
          <w:tblHeader/>
        </w:trPr>
        <w:tc>
          <w:tcPr>
            <w:tcW w:w="1471" w:type="dxa"/>
          </w:tcPr>
          <w:p w14:paraId="7C72FA06" w14:textId="77777777" w:rsidR="0077417D" w:rsidRPr="0077417D" w:rsidRDefault="0077417D" w:rsidP="0077417D">
            <w:pPr>
              <w:spacing w:after="0"/>
              <w:contextualSpacing/>
              <w:rPr>
                <w:b/>
                <w:bCs/>
              </w:rPr>
            </w:pPr>
            <w:r w:rsidRPr="0077417D">
              <w:rPr>
                <w:b/>
                <w:bCs/>
              </w:rPr>
              <w:t>ACPR</w:t>
            </w:r>
          </w:p>
        </w:tc>
        <w:tc>
          <w:tcPr>
            <w:tcW w:w="1472" w:type="dxa"/>
          </w:tcPr>
          <w:p w14:paraId="61EEB9BB" w14:textId="77777777" w:rsidR="0077417D" w:rsidRPr="0077417D" w:rsidRDefault="0077417D" w:rsidP="0077417D">
            <w:pPr>
              <w:spacing w:after="0"/>
              <w:contextualSpacing/>
              <w:rPr>
                <w:b/>
                <w:bCs/>
              </w:rPr>
            </w:pPr>
            <w:r w:rsidRPr="0077417D">
              <w:rPr>
                <w:b/>
                <w:bCs/>
              </w:rPr>
              <w:t>Financial Year</w:t>
            </w:r>
          </w:p>
        </w:tc>
        <w:tc>
          <w:tcPr>
            <w:tcW w:w="1619" w:type="dxa"/>
          </w:tcPr>
          <w:p w14:paraId="1E581706" w14:textId="77777777" w:rsidR="0077417D" w:rsidRPr="0077417D" w:rsidRDefault="0077417D" w:rsidP="0077417D">
            <w:pPr>
              <w:spacing w:after="0"/>
              <w:contextualSpacing/>
              <w:rPr>
                <w:b/>
                <w:bCs/>
              </w:rPr>
            </w:pPr>
            <w:r w:rsidRPr="0077417D">
              <w:rPr>
                <w:b/>
                <w:bCs/>
              </w:rPr>
              <w:t>Type of Units</w:t>
            </w:r>
          </w:p>
        </w:tc>
        <w:tc>
          <w:tcPr>
            <w:tcW w:w="1619" w:type="dxa"/>
          </w:tcPr>
          <w:p w14:paraId="3477FDB9" w14:textId="77777777" w:rsidR="0077417D" w:rsidRPr="0077417D" w:rsidRDefault="0077417D" w:rsidP="0077417D">
            <w:pPr>
              <w:spacing w:after="0"/>
              <w:contextualSpacing/>
              <w:rPr>
                <w:b/>
                <w:bCs/>
              </w:rPr>
            </w:pPr>
            <w:r w:rsidRPr="0077417D">
              <w:rPr>
                <w:b/>
                <w:bCs/>
              </w:rPr>
              <w:t>Number of units</w:t>
            </w:r>
          </w:p>
        </w:tc>
        <w:tc>
          <w:tcPr>
            <w:tcW w:w="1766" w:type="dxa"/>
          </w:tcPr>
          <w:p w14:paraId="7A4D730D" w14:textId="77777777" w:rsidR="0077417D" w:rsidRPr="0077417D" w:rsidRDefault="0077417D" w:rsidP="0077417D">
            <w:pPr>
              <w:spacing w:after="0"/>
              <w:contextualSpacing/>
              <w:rPr>
                <w:b/>
                <w:bCs/>
              </w:rPr>
            </w:pPr>
            <w:r w:rsidRPr="0077417D">
              <w:rPr>
                <w:b/>
                <w:bCs/>
              </w:rPr>
              <w:t>Amount</w:t>
            </w:r>
          </w:p>
        </w:tc>
        <w:tc>
          <w:tcPr>
            <w:tcW w:w="1333" w:type="dxa"/>
          </w:tcPr>
          <w:p w14:paraId="0843B98E" w14:textId="199DF4CE" w:rsidR="0077417D" w:rsidRPr="0077417D" w:rsidRDefault="001A66BE" w:rsidP="0077417D">
            <w:pPr>
              <w:spacing w:after="0"/>
              <w:contextualSpacing/>
              <w:rPr>
                <w:b/>
                <w:bCs/>
              </w:rPr>
            </w:pPr>
            <w:r w:rsidRPr="0077417D">
              <w:rPr>
                <w:b/>
                <w:bCs/>
              </w:rPr>
              <w:t>F</w:t>
            </w:r>
            <w:r>
              <w:rPr>
                <w:b/>
                <w:bCs/>
              </w:rPr>
              <w:t xml:space="preserve">unded </w:t>
            </w:r>
            <w:r w:rsidRPr="0077417D">
              <w:rPr>
                <w:b/>
                <w:bCs/>
              </w:rPr>
              <w:t>U</w:t>
            </w:r>
            <w:r>
              <w:rPr>
                <w:b/>
                <w:bCs/>
              </w:rPr>
              <w:t xml:space="preserve">nit </w:t>
            </w:r>
            <w:r w:rsidRPr="0077417D">
              <w:rPr>
                <w:b/>
                <w:bCs/>
              </w:rPr>
              <w:t>P</w:t>
            </w:r>
            <w:r>
              <w:rPr>
                <w:b/>
                <w:bCs/>
              </w:rPr>
              <w:t>rice</w:t>
            </w:r>
          </w:p>
        </w:tc>
      </w:tr>
      <w:tr w:rsidR="0077417D" w:rsidRPr="0077417D" w14:paraId="267FD118" w14:textId="77777777" w:rsidTr="0077417D">
        <w:trPr>
          <w:trHeight w:val="607"/>
        </w:trPr>
        <w:tc>
          <w:tcPr>
            <w:tcW w:w="1471" w:type="dxa"/>
          </w:tcPr>
          <w:p w14:paraId="04BE2F3F" w14:textId="77777777" w:rsidR="0077417D" w:rsidRPr="0077417D" w:rsidRDefault="0077417D" w:rsidP="0077417D">
            <w:pPr>
              <w:spacing w:after="0"/>
              <w:contextualSpacing/>
            </w:pPr>
            <w:r w:rsidRPr="0077417D">
              <w:t>Katherine</w:t>
            </w:r>
          </w:p>
        </w:tc>
        <w:tc>
          <w:tcPr>
            <w:tcW w:w="1472" w:type="dxa"/>
          </w:tcPr>
          <w:p w14:paraId="0F274800" w14:textId="77777777" w:rsidR="0077417D" w:rsidRPr="0077417D" w:rsidRDefault="0077417D" w:rsidP="0077417D">
            <w:pPr>
              <w:spacing w:after="0"/>
              <w:contextualSpacing/>
            </w:pPr>
            <w:r w:rsidRPr="0077417D">
              <w:t>2022-23</w:t>
            </w:r>
          </w:p>
        </w:tc>
        <w:tc>
          <w:tcPr>
            <w:tcW w:w="1619" w:type="dxa"/>
          </w:tcPr>
          <w:p w14:paraId="7101DFBE" w14:textId="77777777" w:rsidR="0077417D" w:rsidRPr="0077417D" w:rsidRDefault="0077417D" w:rsidP="0077417D">
            <w:pPr>
              <w:spacing w:after="0"/>
              <w:contextualSpacing/>
            </w:pPr>
            <w:r w:rsidRPr="0077417D">
              <w:t>Hours</w:t>
            </w:r>
          </w:p>
        </w:tc>
        <w:tc>
          <w:tcPr>
            <w:tcW w:w="1619" w:type="dxa"/>
          </w:tcPr>
          <w:p w14:paraId="6FF1819E" w14:textId="77777777" w:rsidR="0077417D" w:rsidRPr="0077417D" w:rsidRDefault="0077417D" w:rsidP="0077417D">
            <w:pPr>
              <w:spacing w:after="0"/>
              <w:contextualSpacing/>
            </w:pPr>
            <w:r w:rsidRPr="0077417D">
              <w:t>909</w:t>
            </w:r>
          </w:p>
        </w:tc>
        <w:tc>
          <w:tcPr>
            <w:tcW w:w="1766" w:type="dxa"/>
          </w:tcPr>
          <w:p w14:paraId="1F068582" w14:textId="77777777" w:rsidR="0077417D" w:rsidRPr="0077417D" w:rsidRDefault="0077417D" w:rsidP="0077417D">
            <w:pPr>
              <w:spacing w:after="0"/>
              <w:contextualSpacing/>
              <w:jc w:val="right"/>
            </w:pPr>
            <w:r w:rsidRPr="0077417D">
              <w:t xml:space="preserve"> $58,000.00 </w:t>
            </w:r>
          </w:p>
        </w:tc>
        <w:tc>
          <w:tcPr>
            <w:tcW w:w="1333" w:type="dxa"/>
          </w:tcPr>
          <w:p w14:paraId="583C907C" w14:textId="77777777" w:rsidR="0077417D" w:rsidRPr="0077417D" w:rsidRDefault="0077417D" w:rsidP="0077417D">
            <w:pPr>
              <w:spacing w:after="0"/>
              <w:contextualSpacing/>
              <w:jc w:val="right"/>
            </w:pPr>
            <w:r w:rsidRPr="0077417D">
              <w:t xml:space="preserve"> $63.80 </w:t>
            </w:r>
          </w:p>
        </w:tc>
      </w:tr>
      <w:tr w:rsidR="0077417D" w:rsidRPr="0077417D" w14:paraId="5740DB45" w14:textId="77777777" w:rsidTr="0077417D">
        <w:trPr>
          <w:trHeight w:val="599"/>
        </w:trPr>
        <w:tc>
          <w:tcPr>
            <w:tcW w:w="1471" w:type="dxa"/>
          </w:tcPr>
          <w:p w14:paraId="10855CB7" w14:textId="77777777" w:rsidR="0077417D" w:rsidRPr="0077417D" w:rsidRDefault="0077417D" w:rsidP="0077417D">
            <w:pPr>
              <w:spacing w:after="0"/>
              <w:contextualSpacing/>
            </w:pPr>
            <w:r w:rsidRPr="0077417D">
              <w:t>Barkly</w:t>
            </w:r>
          </w:p>
        </w:tc>
        <w:tc>
          <w:tcPr>
            <w:tcW w:w="1472" w:type="dxa"/>
          </w:tcPr>
          <w:p w14:paraId="67428789" w14:textId="77777777" w:rsidR="0077417D" w:rsidRPr="0077417D" w:rsidRDefault="0077417D" w:rsidP="0077417D">
            <w:pPr>
              <w:spacing w:after="0"/>
              <w:contextualSpacing/>
            </w:pPr>
            <w:r w:rsidRPr="0077417D">
              <w:t>2022-23</w:t>
            </w:r>
          </w:p>
        </w:tc>
        <w:tc>
          <w:tcPr>
            <w:tcW w:w="1619" w:type="dxa"/>
          </w:tcPr>
          <w:p w14:paraId="7E566F4D" w14:textId="77777777" w:rsidR="0077417D" w:rsidRPr="0077417D" w:rsidRDefault="0077417D" w:rsidP="0077417D">
            <w:pPr>
              <w:spacing w:after="0"/>
              <w:contextualSpacing/>
            </w:pPr>
            <w:r w:rsidRPr="0077417D">
              <w:t>Hours</w:t>
            </w:r>
          </w:p>
        </w:tc>
        <w:tc>
          <w:tcPr>
            <w:tcW w:w="1619" w:type="dxa"/>
          </w:tcPr>
          <w:p w14:paraId="54F8E9B0" w14:textId="77777777" w:rsidR="0077417D" w:rsidRPr="0077417D" w:rsidRDefault="0077417D" w:rsidP="0077417D">
            <w:pPr>
              <w:spacing w:after="0"/>
              <w:contextualSpacing/>
            </w:pPr>
            <w:r w:rsidRPr="0077417D">
              <w:t>909</w:t>
            </w:r>
          </w:p>
        </w:tc>
        <w:tc>
          <w:tcPr>
            <w:tcW w:w="1766" w:type="dxa"/>
          </w:tcPr>
          <w:p w14:paraId="6C29E392" w14:textId="77777777" w:rsidR="0077417D" w:rsidRPr="0077417D" w:rsidRDefault="0077417D" w:rsidP="0077417D">
            <w:pPr>
              <w:spacing w:after="0"/>
              <w:contextualSpacing/>
              <w:jc w:val="right"/>
            </w:pPr>
            <w:r w:rsidRPr="0077417D">
              <w:t xml:space="preserve"> $58,000.00 </w:t>
            </w:r>
          </w:p>
        </w:tc>
        <w:tc>
          <w:tcPr>
            <w:tcW w:w="1333" w:type="dxa"/>
          </w:tcPr>
          <w:p w14:paraId="1E0C41B1" w14:textId="77777777" w:rsidR="0077417D" w:rsidRPr="0077417D" w:rsidRDefault="0077417D" w:rsidP="0077417D">
            <w:pPr>
              <w:spacing w:after="0"/>
              <w:contextualSpacing/>
              <w:jc w:val="right"/>
            </w:pPr>
            <w:r w:rsidRPr="0077417D">
              <w:t xml:space="preserve"> $63.80</w:t>
            </w:r>
          </w:p>
        </w:tc>
      </w:tr>
      <w:tr w:rsidR="0077417D" w:rsidRPr="0077417D" w14:paraId="6556937C" w14:textId="77777777" w:rsidTr="0077417D">
        <w:trPr>
          <w:trHeight w:val="607"/>
        </w:trPr>
        <w:tc>
          <w:tcPr>
            <w:tcW w:w="1471" w:type="dxa"/>
          </w:tcPr>
          <w:p w14:paraId="6E28DA34" w14:textId="77777777" w:rsidR="0077417D" w:rsidRPr="0077417D" w:rsidRDefault="0077417D" w:rsidP="0077417D">
            <w:pPr>
              <w:spacing w:after="0"/>
              <w:contextualSpacing/>
            </w:pPr>
            <w:r w:rsidRPr="0077417D">
              <w:t>Darwin</w:t>
            </w:r>
          </w:p>
        </w:tc>
        <w:tc>
          <w:tcPr>
            <w:tcW w:w="1472" w:type="dxa"/>
          </w:tcPr>
          <w:p w14:paraId="3047EB90" w14:textId="77777777" w:rsidR="0077417D" w:rsidRPr="0077417D" w:rsidRDefault="0077417D" w:rsidP="0077417D">
            <w:pPr>
              <w:spacing w:after="0"/>
              <w:contextualSpacing/>
            </w:pPr>
            <w:r w:rsidRPr="0077417D">
              <w:t>2022-23</w:t>
            </w:r>
          </w:p>
        </w:tc>
        <w:tc>
          <w:tcPr>
            <w:tcW w:w="1619" w:type="dxa"/>
          </w:tcPr>
          <w:p w14:paraId="5224B1BA" w14:textId="77777777" w:rsidR="0077417D" w:rsidRPr="0077417D" w:rsidRDefault="0077417D" w:rsidP="0077417D">
            <w:pPr>
              <w:spacing w:after="0"/>
              <w:contextualSpacing/>
            </w:pPr>
            <w:r w:rsidRPr="0077417D">
              <w:t>Hours</w:t>
            </w:r>
          </w:p>
        </w:tc>
        <w:tc>
          <w:tcPr>
            <w:tcW w:w="1619" w:type="dxa"/>
          </w:tcPr>
          <w:p w14:paraId="64C3122C" w14:textId="77777777" w:rsidR="0077417D" w:rsidRPr="0077417D" w:rsidRDefault="0077417D" w:rsidP="0077417D">
            <w:pPr>
              <w:spacing w:after="0"/>
              <w:contextualSpacing/>
            </w:pPr>
            <w:r w:rsidRPr="0077417D">
              <w:t>1,316</w:t>
            </w:r>
          </w:p>
        </w:tc>
        <w:tc>
          <w:tcPr>
            <w:tcW w:w="1766" w:type="dxa"/>
          </w:tcPr>
          <w:p w14:paraId="2A9D0784" w14:textId="77777777" w:rsidR="0077417D" w:rsidRPr="0077417D" w:rsidRDefault="0077417D" w:rsidP="0077417D">
            <w:pPr>
              <w:spacing w:after="0"/>
              <w:contextualSpacing/>
              <w:jc w:val="right"/>
            </w:pPr>
            <w:r w:rsidRPr="0077417D">
              <w:t xml:space="preserve"> $83,984.00 </w:t>
            </w:r>
          </w:p>
        </w:tc>
        <w:tc>
          <w:tcPr>
            <w:tcW w:w="1333" w:type="dxa"/>
          </w:tcPr>
          <w:p w14:paraId="65360B26" w14:textId="77777777" w:rsidR="0077417D" w:rsidRPr="0077417D" w:rsidRDefault="0077417D" w:rsidP="0077417D">
            <w:pPr>
              <w:spacing w:after="0"/>
              <w:contextualSpacing/>
              <w:jc w:val="right"/>
            </w:pPr>
            <w:r w:rsidRPr="0077417D">
              <w:t xml:space="preserve"> $63.80</w:t>
            </w:r>
          </w:p>
        </w:tc>
      </w:tr>
      <w:tr w:rsidR="0077417D" w:rsidRPr="0077417D" w14:paraId="3C9452CB" w14:textId="77777777" w:rsidTr="0077417D">
        <w:trPr>
          <w:trHeight w:val="607"/>
        </w:trPr>
        <w:tc>
          <w:tcPr>
            <w:tcW w:w="4562" w:type="dxa"/>
            <w:gridSpan w:val="3"/>
            <w:vAlign w:val="center"/>
          </w:tcPr>
          <w:p w14:paraId="4564DE5A" w14:textId="77777777" w:rsidR="0077417D" w:rsidRPr="0077417D" w:rsidRDefault="0077417D" w:rsidP="0077417D">
            <w:pPr>
              <w:spacing w:after="0"/>
              <w:contextualSpacing/>
              <w:jc w:val="right"/>
              <w:rPr>
                <w:b/>
                <w:bCs/>
              </w:rPr>
            </w:pPr>
            <w:r w:rsidRPr="0077417D">
              <w:rPr>
                <w:b/>
                <w:bCs/>
              </w:rPr>
              <w:t>Total</w:t>
            </w:r>
          </w:p>
        </w:tc>
        <w:tc>
          <w:tcPr>
            <w:tcW w:w="1619" w:type="dxa"/>
            <w:vAlign w:val="center"/>
          </w:tcPr>
          <w:p w14:paraId="49B30886" w14:textId="77777777" w:rsidR="0077417D" w:rsidRPr="0077417D" w:rsidRDefault="0077417D" w:rsidP="0077417D">
            <w:pPr>
              <w:spacing w:after="0"/>
              <w:contextualSpacing/>
              <w:jc w:val="right"/>
            </w:pPr>
            <w:r w:rsidRPr="0077417D">
              <w:rPr>
                <w:b/>
                <w:bCs/>
              </w:rPr>
              <w:t>3,134</w:t>
            </w:r>
          </w:p>
        </w:tc>
        <w:tc>
          <w:tcPr>
            <w:tcW w:w="1766" w:type="dxa"/>
            <w:vAlign w:val="center"/>
          </w:tcPr>
          <w:p w14:paraId="745AD0BF" w14:textId="77777777" w:rsidR="0077417D" w:rsidRPr="0077417D" w:rsidRDefault="0077417D" w:rsidP="0077417D">
            <w:pPr>
              <w:spacing w:after="0"/>
              <w:contextualSpacing/>
              <w:jc w:val="right"/>
            </w:pPr>
            <w:r w:rsidRPr="0077417D">
              <w:rPr>
                <w:b/>
                <w:bCs/>
              </w:rPr>
              <w:t>$199,984.00</w:t>
            </w:r>
          </w:p>
        </w:tc>
        <w:tc>
          <w:tcPr>
            <w:tcW w:w="1333" w:type="dxa"/>
          </w:tcPr>
          <w:p w14:paraId="5B0727F2" w14:textId="77777777" w:rsidR="0077417D" w:rsidRPr="0077417D" w:rsidRDefault="0077417D" w:rsidP="0077417D">
            <w:pPr>
              <w:spacing w:after="0"/>
              <w:contextualSpacing/>
              <w:jc w:val="right"/>
            </w:pPr>
          </w:p>
        </w:tc>
      </w:tr>
    </w:tbl>
    <w:p w14:paraId="21391475" w14:textId="22661A62" w:rsidR="0077417D" w:rsidRPr="0077417D" w:rsidRDefault="0077417D" w:rsidP="0077417D">
      <w:pPr>
        <w:pStyle w:val="Heading4"/>
      </w:pPr>
      <w:r w:rsidRPr="0077417D">
        <w:t xml:space="preserve">Payment </w:t>
      </w:r>
      <w:r w:rsidR="0022668B">
        <w:t>in</w:t>
      </w:r>
      <w:r w:rsidRPr="0077417D">
        <w:t xml:space="preserve"> the Grant Agreement</w:t>
      </w:r>
    </w:p>
    <w:tbl>
      <w:tblPr>
        <w:tblStyle w:val="TableGridLight"/>
        <w:tblW w:w="9265" w:type="dxa"/>
        <w:tblLook w:val="04A0" w:firstRow="1" w:lastRow="0" w:firstColumn="1" w:lastColumn="0" w:noHBand="0" w:noVBand="1"/>
        <w:tblCaption w:val="Payment of the Grant Agreement details after a MMM loading"/>
        <w:tblDescription w:val="Payment of the Grant Agreement details after a 10% MMM loading is applied."/>
      </w:tblPr>
      <w:tblGrid>
        <w:gridCol w:w="1416"/>
        <w:gridCol w:w="1558"/>
        <w:gridCol w:w="1561"/>
        <w:gridCol w:w="1578"/>
        <w:gridCol w:w="1821"/>
        <w:gridCol w:w="1331"/>
      </w:tblGrid>
      <w:tr w:rsidR="0077417D" w:rsidRPr="0077417D" w14:paraId="0F68A6B7" w14:textId="77777777" w:rsidTr="00DF6DB3">
        <w:trPr>
          <w:trHeight w:val="679"/>
          <w:tblHeader/>
        </w:trPr>
        <w:tc>
          <w:tcPr>
            <w:tcW w:w="1416" w:type="dxa"/>
          </w:tcPr>
          <w:p w14:paraId="25D296C3" w14:textId="77777777" w:rsidR="0077417D" w:rsidRPr="0077417D" w:rsidRDefault="0077417D" w:rsidP="0077417D">
            <w:pPr>
              <w:spacing w:after="0"/>
              <w:contextualSpacing/>
              <w:rPr>
                <w:b/>
                <w:bCs/>
              </w:rPr>
            </w:pPr>
            <w:r w:rsidRPr="0077417D">
              <w:rPr>
                <w:b/>
                <w:bCs/>
              </w:rPr>
              <w:t xml:space="preserve">Service type </w:t>
            </w:r>
          </w:p>
        </w:tc>
        <w:tc>
          <w:tcPr>
            <w:tcW w:w="1558" w:type="dxa"/>
          </w:tcPr>
          <w:p w14:paraId="1AEE6A8B" w14:textId="77777777" w:rsidR="0077417D" w:rsidRPr="0077417D" w:rsidRDefault="0077417D" w:rsidP="0077417D">
            <w:pPr>
              <w:spacing w:after="0"/>
              <w:contextualSpacing/>
              <w:rPr>
                <w:b/>
                <w:bCs/>
              </w:rPr>
            </w:pPr>
            <w:r w:rsidRPr="0077417D">
              <w:rPr>
                <w:b/>
                <w:bCs/>
              </w:rPr>
              <w:t>Financial Year</w:t>
            </w:r>
          </w:p>
        </w:tc>
        <w:tc>
          <w:tcPr>
            <w:tcW w:w="1561" w:type="dxa"/>
          </w:tcPr>
          <w:p w14:paraId="477A16B6" w14:textId="77777777" w:rsidR="0077417D" w:rsidRPr="0077417D" w:rsidRDefault="0077417D" w:rsidP="0077417D">
            <w:pPr>
              <w:spacing w:after="0"/>
              <w:contextualSpacing/>
              <w:rPr>
                <w:b/>
                <w:bCs/>
              </w:rPr>
            </w:pPr>
            <w:r w:rsidRPr="0077417D">
              <w:rPr>
                <w:b/>
                <w:bCs/>
              </w:rPr>
              <w:t>Type of Units</w:t>
            </w:r>
          </w:p>
        </w:tc>
        <w:tc>
          <w:tcPr>
            <w:tcW w:w="1578" w:type="dxa"/>
          </w:tcPr>
          <w:p w14:paraId="31C61125" w14:textId="77777777" w:rsidR="0077417D" w:rsidRPr="0077417D" w:rsidRDefault="0077417D" w:rsidP="0077417D">
            <w:pPr>
              <w:spacing w:after="0"/>
              <w:contextualSpacing/>
              <w:rPr>
                <w:b/>
                <w:bCs/>
              </w:rPr>
            </w:pPr>
            <w:r w:rsidRPr="0077417D">
              <w:rPr>
                <w:b/>
                <w:bCs/>
              </w:rPr>
              <w:t>Number of units</w:t>
            </w:r>
          </w:p>
        </w:tc>
        <w:tc>
          <w:tcPr>
            <w:tcW w:w="1821" w:type="dxa"/>
          </w:tcPr>
          <w:p w14:paraId="168C87CB" w14:textId="77777777" w:rsidR="0077417D" w:rsidRPr="0077417D" w:rsidRDefault="0077417D" w:rsidP="0077417D">
            <w:pPr>
              <w:spacing w:after="0"/>
              <w:contextualSpacing/>
              <w:rPr>
                <w:b/>
                <w:bCs/>
              </w:rPr>
            </w:pPr>
            <w:r w:rsidRPr="0077417D">
              <w:rPr>
                <w:b/>
                <w:bCs/>
              </w:rPr>
              <w:t>Amount</w:t>
            </w:r>
          </w:p>
        </w:tc>
        <w:tc>
          <w:tcPr>
            <w:tcW w:w="1331" w:type="dxa"/>
          </w:tcPr>
          <w:p w14:paraId="284237EF" w14:textId="3B452442" w:rsidR="0077417D" w:rsidRPr="0077417D" w:rsidRDefault="001A66BE" w:rsidP="0077417D">
            <w:pPr>
              <w:spacing w:after="0"/>
              <w:contextualSpacing/>
              <w:rPr>
                <w:b/>
                <w:bCs/>
              </w:rPr>
            </w:pPr>
            <w:r w:rsidRPr="0077417D">
              <w:rPr>
                <w:b/>
                <w:bCs/>
              </w:rPr>
              <w:t>F</w:t>
            </w:r>
            <w:r>
              <w:rPr>
                <w:b/>
                <w:bCs/>
              </w:rPr>
              <w:t xml:space="preserve">unded </w:t>
            </w:r>
            <w:r w:rsidRPr="0077417D">
              <w:rPr>
                <w:b/>
                <w:bCs/>
              </w:rPr>
              <w:t>U</w:t>
            </w:r>
            <w:r>
              <w:rPr>
                <w:b/>
                <w:bCs/>
              </w:rPr>
              <w:t xml:space="preserve">nit </w:t>
            </w:r>
            <w:r w:rsidRPr="0077417D">
              <w:rPr>
                <w:b/>
                <w:bCs/>
              </w:rPr>
              <w:t>P</w:t>
            </w:r>
            <w:r>
              <w:rPr>
                <w:b/>
                <w:bCs/>
              </w:rPr>
              <w:t>rice</w:t>
            </w:r>
          </w:p>
        </w:tc>
      </w:tr>
      <w:tr w:rsidR="0077417D" w:rsidRPr="0077417D" w14:paraId="1280AF47" w14:textId="77777777" w:rsidTr="0077417D">
        <w:trPr>
          <w:trHeight w:val="679"/>
        </w:trPr>
        <w:tc>
          <w:tcPr>
            <w:tcW w:w="1416" w:type="dxa"/>
          </w:tcPr>
          <w:p w14:paraId="3CD07A9F" w14:textId="77777777" w:rsidR="0077417D" w:rsidRPr="0077417D" w:rsidRDefault="0077417D" w:rsidP="0077417D">
            <w:pPr>
              <w:spacing w:after="0"/>
              <w:contextualSpacing/>
            </w:pPr>
            <w:r w:rsidRPr="0077417D">
              <w:t xml:space="preserve">Domestic Assistance </w:t>
            </w:r>
          </w:p>
        </w:tc>
        <w:tc>
          <w:tcPr>
            <w:tcW w:w="1558" w:type="dxa"/>
          </w:tcPr>
          <w:p w14:paraId="24FCEBD2" w14:textId="77777777" w:rsidR="0077417D" w:rsidRPr="0077417D" w:rsidRDefault="0077417D" w:rsidP="0077417D">
            <w:pPr>
              <w:spacing w:after="0"/>
              <w:contextualSpacing/>
            </w:pPr>
            <w:r w:rsidRPr="0077417D">
              <w:t>2022-23</w:t>
            </w:r>
          </w:p>
        </w:tc>
        <w:tc>
          <w:tcPr>
            <w:tcW w:w="1561" w:type="dxa"/>
          </w:tcPr>
          <w:p w14:paraId="15EFAAC3" w14:textId="77777777" w:rsidR="0077417D" w:rsidRPr="0077417D" w:rsidRDefault="0077417D" w:rsidP="0077417D">
            <w:pPr>
              <w:spacing w:after="0"/>
              <w:contextualSpacing/>
            </w:pPr>
            <w:r w:rsidRPr="0077417D">
              <w:t>Hours</w:t>
            </w:r>
          </w:p>
        </w:tc>
        <w:tc>
          <w:tcPr>
            <w:tcW w:w="1578" w:type="dxa"/>
          </w:tcPr>
          <w:p w14:paraId="2676BBA8" w14:textId="77777777" w:rsidR="0077417D" w:rsidRPr="0077417D" w:rsidRDefault="0077417D" w:rsidP="0077417D">
            <w:pPr>
              <w:spacing w:after="0"/>
              <w:contextualSpacing/>
              <w:rPr>
                <w:b/>
                <w:bCs/>
              </w:rPr>
            </w:pPr>
            <w:r w:rsidRPr="0077417D">
              <w:rPr>
                <w:b/>
                <w:bCs/>
              </w:rPr>
              <w:t>3,134</w:t>
            </w:r>
          </w:p>
        </w:tc>
        <w:tc>
          <w:tcPr>
            <w:tcW w:w="1821" w:type="dxa"/>
          </w:tcPr>
          <w:p w14:paraId="3409D414" w14:textId="77777777" w:rsidR="0077417D" w:rsidRPr="0077417D" w:rsidRDefault="0077417D" w:rsidP="0077417D">
            <w:pPr>
              <w:spacing w:after="0"/>
              <w:contextualSpacing/>
              <w:jc w:val="right"/>
              <w:rPr>
                <w:b/>
                <w:bCs/>
              </w:rPr>
            </w:pPr>
            <w:r w:rsidRPr="0077417D">
              <w:rPr>
                <w:b/>
                <w:bCs/>
              </w:rPr>
              <w:t>$199,984.00</w:t>
            </w:r>
          </w:p>
        </w:tc>
        <w:tc>
          <w:tcPr>
            <w:tcW w:w="1331" w:type="dxa"/>
          </w:tcPr>
          <w:p w14:paraId="7819D802" w14:textId="77777777" w:rsidR="0077417D" w:rsidRPr="0077417D" w:rsidRDefault="0077417D" w:rsidP="0077417D">
            <w:pPr>
              <w:spacing w:after="0"/>
              <w:contextualSpacing/>
              <w:jc w:val="right"/>
            </w:pPr>
            <w:r w:rsidRPr="0077417D">
              <w:t xml:space="preserve"> $63.80</w:t>
            </w:r>
          </w:p>
        </w:tc>
      </w:tr>
    </w:tbl>
    <w:p w14:paraId="14DB5733" w14:textId="77777777" w:rsidR="00280050" w:rsidRDefault="00280050" w:rsidP="0077417D">
      <w:pPr>
        <w:spacing w:after="0"/>
        <w:contextualSpacing/>
      </w:pPr>
    </w:p>
    <w:sectPr w:rsidR="00280050" w:rsidSect="0007036E">
      <w:headerReference w:type="default" r:id="rId19"/>
      <w:type w:val="continuous"/>
      <w:pgSz w:w="11906" w:h="16838"/>
      <w:pgMar w:top="1701" w:right="1418" w:bottom="1418" w:left="1418" w:header="850"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3C930" w14:textId="77777777" w:rsidR="003369A9" w:rsidRDefault="003369A9">
      <w:pPr>
        <w:spacing w:before="0" w:after="0"/>
      </w:pPr>
      <w:r>
        <w:separator/>
      </w:r>
    </w:p>
  </w:endnote>
  <w:endnote w:type="continuationSeparator" w:id="0">
    <w:p w14:paraId="7C30C0C0" w14:textId="77777777" w:rsidR="003369A9" w:rsidRDefault="003369A9">
      <w:pPr>
        <w:spacing w:before="0" w:after="0"/>
      </w:pPr>
      <w:r>
        <w:continuationSeparator/>
      </w:r>
    </w:p>
  </w:endnote>
  <w:endnote w:type="continuationNotice" w:id="1">
    <w:p w14:paraId="6AA8CA25" w14:textId="77777777" w:rsidR="003369A9" w:rsidRDefault="003369A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A4883" w14:textId="1616BAB2" w:rsidR="008D48C9" w:rsidRPr="003D033A" w:rsidRDefault="00B22687" w:rsidP="00893606">
    <w:pPr>
      <w:pStyle w:val="Footer"/>
      <w:tabs>
        <w:tab w:val="clear" w:pos="4513"/>
      </w:tabs>
      <w:rPr>
        <w:szCs w:val="20"/>
      </w:rPr>
    </w:pPr>
    <w:r>
      <w:t xml:space="preserve">Department of Health – </w:t>
    </w:r>
    <w:r>
      <w:rPr>
        <w:szCs w:val="20"/>
      </w:rPr>
      <w:t>CHSP –</w:t>
    </w:r>
    <w:r w:rsidR="008319AF">
      <w:rPr>
        <w:szCs w:val="20"/>
      </w:rPr>
      <w:t xml:space="preserve"> </w:t>
    </w:r>
    <w:r w:rsidR="00EB2E0A">
      <w:t>Negotiations, Transition Support and Remote Loadings</w:t>
    </w:r>
    <w:r w:rsidR="00EB2E0A" w:rsidDel="00EB2E0A">
      <w:rPr>
        <w:szCs w:val="20"/>
      </w:rPr>
      <w:t xml:space="preserve"> </w:t>
    </w:r>
    <w:sdt>
      <w:sdtPr>
        <w:rPr>
          <w:szCs w:val="20"/>
        </w:rPr>
        <w:id w:val="601842316"/>
        <w:docPartObj>
          <w:docPartGallery w:val="Page Numbers (Bottom of Page)"/>
          <w:docPartUnique/>
        </w:docPartObj>
      </w:sdtPr>
      <w:sdtEndPr>
        <w:rPr>
          <w:noProof/>
        </w:rPr>
      </w:sdtEndPr>
      <w:sdtContent>
        <w:r w:rsidR="000E0F5B">
          <w:rPr>
            <w:szCs w:val="20"/>
          </w:rPr>
          <w:tab/>
        </w:r>
        <w:r w:rsidR="000E0F5B" w:rsidRPr="006043C7">
          <w:rPr>
            <w:szCs w:val="20"/>
          </w:rPr>
          <w:fldChar w:fldCharType="begin"/>
        </w:r>
        <w:r w:rsidR="000E0F5B" w:rsidRPr="006043C7">
          <w:rPr>
            <w:szCs w:val="20"/>
          </w:rPr>
          <w:instrText xml:space="preserve"> PAGE   \* MERGEFORMAT </w:instrText>
        </w:r>
        <w:r w:rsidR="000E0F5B" w:rsidRPr="006043C7">
          <w:rPr>
            <w:szCs w:val="20"/>
          </w:rPr>
          <w:fldChar w:fldCharType="separate"/>
        </w:r>
        <w:r w:rsidR="000E0F5B">
          <w:rPr>
            <w:noProof/>
            <w:szCs w:val="20"/>
          </w:rPr>
          <w:t>2</w:t>
        </w:r>
        <w:r w:rsidR="000E0F5B"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795DC" w14:textId="419CB11E" w:rsidR="008D48C9" w:rsidRPr="00DE3355" w:rsidRDefault="000E0F5B" w:rsidP="003D033A">
    <w:pPr>
      <w:pStyle w:val="Footer"/>
      <w:tabs>
        <w:tab w:val="clear" w:pos="4513"/>
      </w:tabs>
    </w:pPr>
    <w:r>
      <w:t xml:space="preserve">Department of Health – </w:t>
    </w:r>
    <w:r>
      <w:rPr>
        <w:szCs w:val="20"/>
      </w:rPr>
      <w:t xml:space="preserve">CHSP </w:t>
    </w:r>
    <w:r w:rsidR="004A4A50">
      <w:rPr>
        <w:szCs w:val="20"/>
      </w:rPr>
      <w:t>–</w:t>
    </w:r>
    <w:r w:rsidR="008319AF">
      <w:rPr>
        <w:szCs w:val="20"/>
      </w:rPr>
      <w:t xml:space="preserve"> </w:t>
    </w:r>
    <w:r w:rsidR="00376BA5">
      <w:rPr>
        <w:szCs w:val="20"/>
      </w:rPr>
      <w:t xml:space="preserve">Negotiations, </w:t>
    </w:r>
    <w:r w:rsidR="008319AF">
      <w:rPr>
        <w:szCs w:val="20"/>
      </w:rPr>
      <w:t>Transition Support and R</w:t>
    </w:r>
    <w:r w:rsidR="00376BA5">
      <w:rPr>
        <w:szCs w:val="20"/>
      </w:rPr>
      <w:t>emote</w:t>
    </w:r>
    <w:r w:rsidR="008319AF">
      <w:rPr>
        <w:szCs w:val="20"/>
      </w:rPr>
      <w:t xml:space="preserve"> Loadings</w:t>
    </w:r>
    <w:r>
      <w:rPr>
        <w:szCs w:val="20"/>
      </w:rPr>
      <w:tab/>
    </w:r>
    <w:sdt>
      <w:sdtPr>
        <w:id w:val="-20566870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709C5" w14:textId="77777777" w:rsidR="003369A9" w:rsidRDefault="003369A9">
      <w:pPr>
        <w:spacing w:before="0" w:after="0"/>
      </w:pPr>
      <w:r>
        <w:separator/>
      </w:r>
    </w:p>
  </w:footnote>
  <w:footnote w:type="continuationSeparator" w:id="0">
    <w:p w14:paraId="0583B2EC" w14:textId="77777777" w:rsidR="003369A9" w:rsidRDefault="003369A9">
      <w:pPr>
        <w:spacing w:before="0" w:after="0"/>
      </w:pPr>
      <w:r>
        <w:continuationSeparator/>
      </w:r>
    </w:p>
  </w:footnote>
  <w:footnote w:type="continuationNotice" w:id="1">
    <w:p w14:paraId="7A4C5F03" w14:textId="77777777" w:rsidR="003369A9" w:rsidRDefault="003369A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AEF19" w14:textId="77777777" w:rsidR="008D48C9" w:rsidRDefault="000E0F5B" w:rsidP="00090316">
    <w:pPr>
      <w:pStyle w:val="Header"/>
    </w:pPr>
    <w:r>
      <w:rPr>
        <w:noProof/>
        <w:lang w:eastAsia="en-AU"/>
      </w:rPr>
      <w:drawing>
        <wp:anchor distT="0" distB="0" distL="114300" distR="114300" simplePos="0" relativeHeight="251657216" behindDoc="0" locked="0" layoutInCell="1" allowOverlap="1" wp14:anchorId="389874F9" wp14:editId="4BCC4C6C">
          <wp:simplePos x="0" y="0"/>
          <wp:positionH relativeFrom="column">
            <wp:posOffset>4688205</wp:posOffset>
          </wp:positionH>
          <wp:positionV relativeFrom="paragraph">
            <wp:posOffset>-3175</wp:posOffset>
          </wp:positionV>
          <wp:extent cx="1403985" cy="870585"/>
          <wp:effectExtent l="0" t="0" r="5715" b="571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779CAE83" wp14:editId="50DFCB47">
          <wp:extent cx="1404000" cy="932400"/>
          <wp:effectExtent l="0" t="0" r="5715" b="1270"/>
          <wp:docPr id="3" name="Pictur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A82C5" w14:textId="77777777" w:rsidR="008D48C9" w:rsidRDefault="000E0F5B">
    <w:pPr>
      <w:pStyle w:val="Header"/>
    </w:pPr>
    <w:r>
      <w:rPr>
        <w:noProof/>
        <w:lang w:eastAsia="en-AU"/>
      </w:rPr>
      <w:drawing>
        <wp:inline distT="0" distB="0" distL="0" distR="0" wp14:anchorId="34864E04" wp14:editId="1F6BC686">
          <wp:extent cx="5865806" cy="959485"/>
          <wp:effectExtent l="0" t="0" r="1905" b="0"/>
          <wp:docPr id="4" name="Picture 4"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BB8B5" w14:textId="4A97D791" w:rsidR="008E0C77" w:rsidRDefault="000E0F5B" w:rsidP="00ED3204">
    <w:pPr>
      <w:pStyle w:val="Headertext"/>
      <w:spacing w:after="180"/>
    </w:pPr>
    <w:r>
      <w:rPr>
        <w:noProof/>
        <w:lang w:eastAsia="en-AU"/>
      </w:rPr>
      <w:drawing>
        <wp:anchor distT="0" distB="0" distL="114300" distR="114300" simplePos="0" relativeHeight="251658240" behindDoc="0" locked="0" layoutInCell="1" hidden="0" allowOverlap="1" wp14:anchorId="1B542A91" wp14:editId="06F1B147">
          <wp:simplePos x="0" y="0"/>
          <wp:positionH relativeFrom="margin">
            <wp:align>right</wp:align>
          </wp:positionH>
          <wp:positionV relativeFrom="paragraph">
            <wp:posOffset>339725</wp:posOffset>
          </wp:positionV>
          <wp:extent cx="5753735" cy="85725"/>
          <wp:effectExtent l="0" t="0" r="0" b="9525"/>
          <wp:wrapSquare wrapText="bothSides" distT="0" distB="0" distL="114300" distR="114300"/>
          <wp:docPr id="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rotWithShape="1">
                  <a:blip r:embed="rId1"/>
                  <a:srcRect l="-794" t="1" r="1" b="13016"/>
                  <a:stretch/>
                </pic:blipFill>
                <pic:spPr>
                  <a:xfrm>
                    <a:off x="0" y="0"/>
                    <a:ext cx="5753735" cy="857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6E1F"/>
    <w:multiLevelType w:val="hybridMultilevel"/>
    <w:tmpl w:val="CD7CC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7D22EC"/>
    <w:multiLevelType w:val="hybridMultilevel"/>
    <w:tmpl w:val="03728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3067B8"/>
    <w:multiLevelType w:val="hybridMultilevel"/>
    <w:tmpl w:val="B57493F6"/>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3" w15:restartNumberingAfterBreak="0">
    <w:nsid w:val="0E6F715E"/>
    <w:multiLevelType w:val="hybridMultilevel"/>
    <w:tmpl w:val="FB00F9C0"/>
    <w:lvl w:ilvl="0" w:tplc="44804258">
      <w:start w:val="1"/>
      <w:numFmt w:val="decimal"/>
      <w:lvlText w:val="%1."/>
      <w:lvlJc w:val="left"/>
      <w:pPr>
        <w:ind w:left="720" w:hanging="360"/>
      </w:pPr>
      <w:rPr>
        <w:b/>
        <w:bCs/>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0B2A56"/>
    <w:multiLevelType w:val="hybridMultilevel"/>
    <w:tmpl w:val="B6EA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12828"/>
    <w:multiLevelType w:val="hybridMultilevel"/>
    <w:tmpl w:val="63260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6D7832"/>
    <w:multiLevelType w:val="hybridMultilevel"/>
    <w:tmpl w:val="6B74CAC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C6A533B"/>
    <w:multiLevelType w:val="hybridMultilevel"/>
    <w:tmpl w:val="794CF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5E271D"/>
    <w:multiLevelType w:val="hybridMultilevel"/>
    <w:tmpl w:val="08C8208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9" w15:restartNumberingAfterBreak="0">
    <w:nsid w:val="22E67B65"/>
    <w:multiLevelType w:val="hybridMultilevel"/>
    <w:tmpl w:val="48FEB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175CDF"/>
    <w:multiLevelType w:val="hybridMultilevel"/>
    <w:tmpl w:val="4B5C9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2D10EA"/>
    <w:multiLevelType w:val="hybridMultilevel"/>
    <w:tmpl w:val="2AF08C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A276560"/>
    <w:multiLevelType w:val="hybridMultilevel"/>
    <w:tmpl w:val="B8E6C8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EA0FB4"/>
    <w:multiLevelType w:val="hybridMultilevel"/>
    <w:tmpl w:val="253844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16325E"/>
    <w:multiLevelType w:val="hybridMultilevel"/>
    <w:tmpl w:val="DA4C2AC8"/>
    <w:lvl w:ilvl="0" w:tplc="98406BF8">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D65A4D"/>
    <w:multiLevelType w:val="hybridMultilevel"/>
    <w:tmpl w:val="F4143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BA67A5"/>
    <w:multiLevelType w:val="hybridMultilevel"/>
    <w:tmpl w:val="CA20AF6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FB2DFC"/>
    <w:multiLevelType w:val="hybridMultilevel"/>
    <w:tmpl w:val="8E443C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8B656E6"/>
    <w:multiLevelType w:val="hybridMultilevel"/>
    <w:tmpl w:val="EA488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0866D8"/>
    <w:multiLevelType w:val="hybridMultilevel"/>
    <w:tmpl w:val="46523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E35467"/>
    <w:multiLevelType w:val="hybridMultilevel"/>
    <w:tmpl w:val="FB00F9C0"/>
    <w:lvl w:ilvl="0" w:tplc="44804258">
      <w:start w:val="1"/>
      <w:numFmt w:val="decimal"/>
      <w:lvlText w:val="%1."/>
      <w:lvlJc w:val="left"/>
      <w:pPr>
        <w:ind w:left="720" w:hanging="360"/>
      </w:pPr>
      <w:rPr>
        <w:b/>
        <w:bCs/>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944B7E"/>
    <w:multiLevelType w:val="hybridMultilevel"/>
    <w:tmpl w:val="1BC0F23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8CC0908"/>
    <w:multiLevelType w:val="hybridMultilevel"/>
    <w:tmpl w:val="69F68EB6"/>
    <w:lvl w:ilvl="0" w:tplc="6584E6CC">
      <w:start w:val="1"/>
      <w:numFmt w:val="decimal"/>
      <w:lvlText w:val="%1."/>
      <w:lvlJc w:val="left"/>
      <w:pPr>
        <w:ind w:left="360" w:hanging="360"/>
      </w:pPr>
      <w:rPr>
        <w:b/>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B780D8A"/>
    <w:multiLevelType w:val="hybridMultilevel"/>
    <w:tmpl w:val="A6AA7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665E67"/>
    <w:multiLevelType w:val="hybridMultilevel"/>
    <w:tmpl w:val="235E4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8C038C"/>
    <w:multiLevelType w:val="hybridMultilevel"/>
    <w:tmpl w:val="24A4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F72DBB"/>
    <w:multiLevelType w:val="hybridMultilevel"/>
    <w:tmpl w:val="51D6D43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F9006D6"/>
    <w:multiLevelType w:val="hybridMultilevel"/>
    <w:tmpl w:val="F39C28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C46A63"/>
    <w:multiLevelType w:val="hybridMultilevel"/>
    <w:tmpl w:val="6C30E80E"/>
    <w:lvl w:ilvl="0" w:tplc="6584E6CC">
      <w:start w:val="1"/>
      <w:numFmt w:val="decimal"/>
      <w:lvlText w:val="%1."/>
      <w:lvlJc w:val="left"/>
      <w:pPr>
        <w:ind w:left="360" w:hanging="360"/>
      </w:pPr>
      <w:rPr>
        <w:b/>
        <w:bCs/>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1F3200D"/>
    <w:multiLevelType w:val="hybridMultilevel"/>
    <w:tmpl w:val="D1C86D6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ED6F2C"/>
    <w:multiLevelType w:val="hybridMultilevel"/>
    <w:tmpl w:val="4F583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F64885"/>
    <w:multiLevelType w:val="hybridMultilevel"/>
    <w:tmpl w:val="FB00F9C0"/>
    <w:lvl w:ilvl="0" w:tplc="44804258">
      <w:start w:val="1"/>
      <w:numFmt w:val="decimal"/>
      <w:lvlText w:val="%1."/>
      <w:lvlJc w:val="left"/>
      <w:pPr>
        <w:ind w:left="720" w:hanging="360"/>
      </w:pPr>
      <w:rPr>
        <w:b/>
        <w:bCs/>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554486B"/>
    <w:multiLevelType w:val="hybridMultilevel"/>
    <w:tmpl w:val="B414F3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8E526A"/>
    <w:multiLevelType w:val="hybridMultilevel"/>
    <w:tmpl w:val="0D3642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ACB5701"/>
    <w:multiLevelType w:val="hybridMultilevel"/>
    <w:tmpl w:val="0734B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78734E"/>
    <w:multiLevelType w:val="hybridMultilevel"/>
    <w:tmpl w:val="74B25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A541A0"/>
    <w:multiLevelType w:val="hybridMultilevel"/>
    <w:tmpl w:val="FB00F9C0"/>
    <w:lvl w:ilvl="0" w:tplc="44804258">
      <w:start w:val="1"/>
      <w:numFmt w:val="decimal"/>
      <w:lvlText w:val="%1."/>
      <w:lvlJc w:val="left"/>
      <w:pPr>
        <w:ind w:left="720" w:hanging="360"/>
      </w:pPr>
      <w:rPr>
        <w:b/>
        <w:bCs/>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A52D70"/>
    <w:multiLevelType w:val="hybridMultilevel"/>
    <w:tmpl w:val="FB00F9C0"/>
    <w:lvl w:ilvl="0" w:tplc="44804258">
      <w:start w:val="1"/>
      <w:numFmt w:val="decimal"/>
      <w:lvlText w:val="%1."/>
      <w:lvlJc w:val="left"/>
      <w:pPr>
        <w:ind w:left="720" w:hanging="360"/>
      </w:pPr>
      <w:rPr>
        <w:b/>
        <w:bCs/>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8B5460D"/>
    <w:multiLevelType w:val="hybridMultilevel"/>
    <w:tmpl w:val="3EF82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1116F2"/>
    <w:multiLevelType w:val="hybridMultilevel"/>
    <w:tmpl w:val="DD78EE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CA55410"/>
    <w:multiLevelType w:val="hybridMultilevel"/>
    <w:tmpl w:val="3C8E96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ED47DB6"/>
    <w:multiLevelType w:val="hybridMultilevel"/>
    <w:tmpl w:val="1ED2A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C84649"/>
    <w:multiLevelType w:val="hybridMultilevel"/>
    <w:tmpl w:val="472A94C4"/>
    <w:lvl w:ilvl="0" w:tplc="8828EBF8">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3165376"/>
    <w:multiLevelType w:val="hybridMultilevel"/>
    <w:tmpl w:val="28709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8A1D43"/>
    <w:multiLevelType w:val="hybridMultilevel"/>
    <w:tmpl w:val="B5949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8D172E"/>
    <w:multiLevelType w:val="hybridMultilevel"/>
    <w:tmpl w:val="9300F65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57F6C45"/>
    <w:multiLevelType w:val="hybridMultilevel"/>
    <w:tmpl w:val="BD9C96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97D00B2"/>
    <w:multiLevelType w:val="hybridMultilevel"/>
    <w:tmpl w:val="D6807AD6"/>
    <w:lvl w:ilvl="0" w:tplc="D3446232">
      <w:start w:val="1"/>
      <w:numFmt w:val="bullet"/>
      <w:lvlText w:val="•"/>
      <w:lvlJc w:val="left"/>
      <w:pPr>
        <w:tabs>
          <w:tab w:val="num" w:pos="720"/>
        </w:tabs>
        <w:ind w:left="720" w:hanging="360"/>
      </w:pPr>
      <w:rPr>
        <w:rFonts w:ascii="Arial" w:hAnsi="Arial" w:hint="default"/>
      </w:rPr>
    </w:lvl>
    <w:lvl w:ilvl="1" w:tplc="800A7C0E" w:tentative="1">
      <w:start w:val="1"/>
      <w:numFmt w:val="bullet"/>
      <w:lvlText w:val="•"/>
      <w:lvlJc w:val="left"/>
      <w:pPr>
        <w:tabs>
          <w:tab w:val="num" w:pos="1440"/>
        </w:tabs>
        <w:ind w:left="1440" w:hanging="360"/>
      </w:pPr>
      <w:rPr>
        <w:rFonts w:ascii="Arial" w:hAnsi="Arial" w:hint="default"/>
      </w:rPr>
    </w:lvl>
    <w:lvl w:ilvl="2" w:tplc="CB8C783C" w:tentative="1">
      <w:start w:val="1"/>
      <w:numFmt w:val="bullet"/>
      <w:lvlText w:val="•"/>
      <w:lvlJc w:val="left"/>
      <w:pPr>
        <w:tabs>
          <w:tab w:val="num" w:pos="2160"/>
        </w:tabs>
        <w:ind w:left="2160" w:hanging="360"/>
      </w:pPr>
      <w:rPr>
        <w:rFonts w:ascii="Arial" w:hAnsi="Arial" w:hint="default"/>
      </w:rPr>
    </w:lvl>
    <w:lvl w:ilvl="3" w:tplc="07F0F990" w:tentative="1">
      <w:start w:val="1"/>
      <w:numFmt w:val="bullet"/>
      <w:lvlText w:val="•"/>
      <w:lvlJc w:val="left"/>
      <w:pPr>
        <w:tabs>
          <w:tab w:val="num" w:pos="2880"/>
        </w:tabs>
        <w:ind w:left="2880" w:hanging="360"/>
      </w:pPr>
      <w:rPr>
        <w:rFonts w:ascii="Arial" w:hAnsi="Arial" w:hint="default"/>
      </w:rPr>
    </w:lvl>
    <w:lvl w:ilvl="4" w:tplc="955EAF7C" w:tentative="1">
      <w:start w:val="1"/>
      <w:numFmt w:val="bullet"/>
      <w:lvlText w:val="•"/>
      <w:lvlJc w:val="left"/>
      <w:pPr>
        <w:tabs>
          <w:tab w:val="num" w:pos="3600"/>
        </w:tabs>
        <w:ind w:left="3600" w:hanging="360"/>
      </w:pPr>
      <w:rPr>
        <w:rFonts w:ascii="Arial" w:hAnsi="Arial" w:hint="default"/>
      </w:rPr>
    </w:lvl>
    <w:lvl w:ilvl="5" w:tplc="959614E8" w:tentative="1">
      <w:start w:val="1"/>
      <w:numFmt w:val="bullet"/>
      <w:lvlText w:val="•"/>
      <w:lvlJc w:val="left"/>
      <w:pPr>
        <w:tabs>
          <w:tab w:val="num" w:pos="4320"/>
        </w:tabs>
        <w:ind w:left="4320" w:hanging="360"/>
      </w:pPr>
      <w:rPr>
        <w:rFonts w:ascii="Arial" w:hAnsi="Arial" w:hint="default"/>
      </w:rPr>
    </w:lvl>
    <w:lvl w:ilvl="6" w:tplc="69682812" w:tentative="1">
      <w:start w:val="1"/>
      <w:numFmt w:val="bullet"/>
      <w:lvlText w:val="•"/>
      <w:lvlJc w:val="left"/>
      <w:pPr>
        <w:tabs>
          <w:tab w:val="num" w:pos="5040"/>
        </w:tabs>
        <w:ind w:left="5040" w:hanging="360"/>
      </w:pPr>
      <w:rPr>
        <w:rFonts w:ascii="Arial" w:hAnsi="Arial" w:hint="default"/>
      </w:rPr>
    </w:lvl>
    <w:lvl w:ilvl="7" w:tplc="7F3A4BAC" w:tentative="1">
      <w:start w:val="1"/>
      <w:numFmt w:val="bullet"/>
      <w:lvlText w:val="•"/>
      <w:lvlJc w:val="left"/>
      <w:pPr>
        <w:tabs>
          <w:tab w:val="num" w:pos="5760"/>
        </w:tabs>
        <w:ind w:left="5760" w:hanging="360"/>
      </w:pPr>
      <w:rPr>
        <w:rFonts w:ascii="Arial" w:hAnsi="Arial" w:hint="default"/>
      </w:rPr>
    </w:lvl>
    <w:lvl w:ilvl="8" w:tplc="54FCCDF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E97383F"/>
    <w:multiLevelType w:val="hybridMultilevel"/>
    <w:tmpl w:val="1CC4D50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4"/>
  </w:num>
  <w:num w:numId="2">
    <w:abstractNumId w:val="0"/>
  </w:num>
  <w:num w:numId="3">
    <w:abstractNumId w:val="2"/>
  </w:num>
  <w:num w:numId="4">
    <w:abstractNumId w:val="10"/>
  </w:num>
  <w:num w:numId="5">
    <w:abstractNumId w:val="39"/>
  </w:num>
  <w:num w:numId="6">
    <w:abstractNumId w:val="24"/>
  </w:num>
  <w:num w:numId="7">
    <w:abstractNumId w:val="48"/>
  </w:num>
  <w:num w:numId="8">
    <w:abstractNumId w:val="41"/>
  </w:num>
  <w:num w:numId="9">
    <w:abstractNumId w:val="31"/>
  </w:num>
  <w:num w:numId="10">
    <w:abstractNumId w:val="17"/>
  </w:num>
  <w:num w:numId="11">
    <w:abstractNumId w:val="23"/>
  </w:num>
  <w:num w:numId="12">
    <w:abstractNumId w:val="29"/>
  </w:num>
  <w:num w:numId="13">
    <w:abstractNumId w:val="9"/>
  </w:num>
  <w:num w:numId="14">
    <w:abstractNumId w:val="19"/>
  </w:num>
  <w:num w:numId="15">
    <w:abstractNumId w:val="46"/>
  </w:num>
  <w:num w:numId="16">
    <w:abstractNumId w:val="26"/>
  </w:num>
  <w:num w:numId="17">
    <w:abstractNumId w:val="28"/>
  </w:num>
  <w:num w:numId="18">
    <w:abstractNumId w:val="1"/>
  </w:num>
  <w:num w:numId="19">
    <w:abstractNumId w:val="45"/>
  </w:num>
  <w:num w:numId="20">
    <w:abstractNumId w:val="36"/>
  </w:num>
  <w:num w:numId="21">
    <w:abstractNumId w:val="22"/>
  </w:num>
  <w:num w:numId="22">
    <w:abstractNumId w:val="33"/>
  </w:num>
  <w:num w:numId="23">
    <w:abstractNumId w:val="20"/>
  </w:num>
  <w:num w:numId="24">
    <w:abstractNumId w:val="6"/>
  </w:num>
  <w:num w:numId="25">
    <w:abstractNumId w:val="44"/>
  </w:num>
  <w:num w:numId="26">
    <w:abstractNumId w:val="35"/>
  </w:num>
  <w:num w:numId="27">
    <w:abstractNumId w:val="16"/>
  </w:num>
  <w:num w:numId="28">
    <w:abstractNumId w:val="12"/>
  </w:num>
  <w:num w:numId="29">
    <w:abstractNumId w:val="30"/>
  </w:num>
  <w:num w:numId="30">
    <w:abstractNumId w:val="47"/>
  </w:num>
  <w:num w:numId="31">
    <w:abstractNumId w:val="15"/>
  </w:num>
  <w:num w:numId="32">
    <w:abstractNumId w:val="40"/>
  </w:num>
  <w:num w:numId="33">
    <w:abstractNumId w:val="37"/>
  </w:num>
  <w:num w:numId="34">
    <w:abstractNumId w:val="18"/>
  </w:num>
  <w:num w:numId="35">
    <w:abstractNumId w:val="11"/>
  </w:num>
  <w:num w:numId="36">
    <w:abstractNumId w:val="27"/>
  </w:num>
  <w:num w:numId="37">
    <w:abstractNumId w:val="8"/>
  </w:num>
  <w:num w:numId="38">
    <w:abstractNumId w:val="38"/>
  </w:num>
  <w:num w:numId="39">
    <w:abstractNumId w:val="42"/>
  </w:num>
  <w:num w:numId="40">
    <w:abstractNumId w:val="32"/>
  </w:num>
  <w:num w:numId="41">
    <w:abstractNumId w:val="4"/>
  </w:num>
  <w:num w:numId="42">
    <w:abstractNumId w:val="3"/>
  </w:num>
  <w:num w:numId="43">
    <w:abstractNumId w:val="5"/>
  </w:num>
  <w:num w:numId="44">
    <w:abstractNumId w:val="43"/>
  </w:num>
  <w:num w:numId="45">
    <w:abstractNumId w:val="21"/>
  </w:num>
  <w:num w:numId="46">
    <w:abstractNumId w:val="13"/>
  </w:num>
  <w:num w:numId="47">
    <w:abstractNumId w:val="7"/>
  </w:num>
  <w:num w:numId="48">
    <w:abstractNumId w:val="34"/>
  </w:num>
  <w:num w:numId="49">
    <w:abstractNumId w:val="49"/>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5B"/>
    <w:rsid w:val="00000307"/>
    <w:rsid w:val="00004FDB"/>
    <w:rsid w:val="0000640B"/>
    <w:rsid w:val="00007A8A"/>
    <w:rsid w:val="0002207B"/>
    <w:rsid w:val="000221F2"/>
    <w:rsid w:val="00022400"/>
    <w:rsid w:val="0003385E"/>
    <w:rsid w:val="000378CC"/>
    <w:rsid w:val="00043444"/>
    <w:rsid w:val="00043648"/>
    <w:rsid w:val="00044656"/>
    <w:rsid w:val="00045E21"/>
    <w:rsid w:val="00066DF1"/>
    <w:rsid w:val="0007036E"/>
    <w:rsid w:val="00070769"/>
    <w:rsid w:val="00077785"/>
    <w:rsid w:val="0008095B"/>
    <w:rsid w:val="00083327"/>
    <w:rsid w:val="0008526C"/>
    <w:rsid w:val="00085AAE"/>
    <w:rsid w:val="00093D29"/>
    <w:rsid w:val="00097897"/>
    <w:rsid w:val="000A4B81"/>
    <w:rsid w:val="000B6293"/>
    <w:rsid w:val="000C076D"/>
    <w:rsid w:val="000C0E0D"/>
    <w:rsid w:val="000C7D0E"/>
    <w:rsid w:val="000E0F5B"/>
    <w:rsid w:val="000F3656"/>
    <w:rsid w:val="000F7EC9"/>
    <w:rsid w:val="00101A92"/>
    <w:rsid w:val="001069B5"/>
    <w:rsid w:val="00112A10"/>
    <w:rsid w:val="001150FE"/>
    <w:rsid w:val="001158BF"/>
    <w:rsid w:val="001161E1"/>
    <w:rsid w:val="0012513D"/>
    <w:rsid w:val="001251BB"/>
    <w:rsid w:val="0013246C"/>
    <w:rsid w:val="001337FE"/>
    <w:rsid w:val="00136C75"/>
    <w:rsid w:val="0014088D"/>
    <w:rsid w:val="001754BD"/>
    <w:rsid w:val="00175A83"/>
    <w:rsid w:val="001832D0"/>
    <w:rsid w:val="001859BC"/>
    <w:rsid w:val="00186193"/>
    <w:rsid w:val="00187213"/>
    <w:rsid w:val="00187355"/>
    <w:rsid w:val="00187739"/>
    <w:rsid w:val="001A56AA"/>
    <w:rsid w:val="001A66BE"/>
    <w:rsid w:val="001C4BC9"/>
    <w:rsid w:val="001C75AB"/>
    <w:rsid w:val="001C7B63"/>
    <w:rsid w:val="001E3AC2"/>
    <w:rsid w:val="001E490F"/>
    <w:rsid w:val="001F1A86"/>
    <w:rsid w:val="001F729F"/>
    <w:rsid w:val="00205239"/>
    <w:rsid w:val="0021534E"/>
    <w:rsid w:val="0022003A"/>
    <w:rsid w:val="0022089F"/>
    <w:rsid w:val="00220D0E"/>
    <w:rsid w:val="00224F33"/>
    <w:rsid w:val="0022668B"/>
    <w:rsid w:val="002343B0"/>
    <w:rsid w:val="00234DAB"/>
    <w:rsid w:val="0024043F"/>
    <w:rsid w:val="0024182C"/>
    <w:rsid w:val="00243407"/>
    <w:rsid w:val="0024794D"/>
    <w:rsid w:val="00254A1C"/>
    <w:rsid w:val="002578B8"/>
    <w:rsid w:val="00266BB5"/>
    <w:rsid w:val="002707E2"/>
    <w:rsid w:val="00277199"/>
    <w:rsid w:val="00277F6F"/>
    <w:rsid w:val="00280050"/>
    <w:rsid w:val="0028157E"/>
    <w:rsid w:val="00282FBE"/>
    <w:rsid w:val="0028487C"/>
    <w:rsid w:val="00286367"/>
    <w:rsid w:val="002A2892"/>
    <w:rsid w:val="002B7443"/>
    <w:rsid w:val="002C035B"/>
    <w:rsid w:val="002C4F6C"/>
    <w:rsid w:val="002C51AB"/>
    <w:rsid w:val="002C5201"/>
    <w:rsid w:val="002C55A0"/>
    <w:rsid w:val="002C7D77"/>
    <w:rsid w:val="002D4C27"/>
    <w:rsid w:val="002D77FD"/>
    <w:rsid w:val="002F0B99"/>
    <w:rsid w:val="003031D4"/>
    <w:rsid w:val="00313EBD"/>
    <w:rsid w:val="003303F6"/>
    <w:rsid w:val="00333DF5"/>
    <w:rsid w:val="003369A9"/>
    <w:rsid w:val="00337A15"/>
    <w:rsid w:val="00337FA1"/>
    <w:rsid w:val="00351F84"/>
    <w:rsid w:val="00356BCA"/>
    <w:rsid w:val="0036027C"/>
    <w:rsid w:val="0036796D"/>
    <w:rsid w:val="003750D7"/>
    <w:rsid w:val="00376BA5"/>
    <w:rsid w:val="003771A4"/>
    <w:rsid w:val="00381BF4"/>
    <w:rsid w:val="003873DC"/>
    <w:rsid w:val="00387AC4"/>
    <w:rsid w:val="003939EE"/>
    <w:rsid w:val="0039421C"/>
    <w:rsid w:val="003B06D2"/>
    <w:rsid w:val="003B078A"/>
    <w:rsid w:val="003C7584"/>
    <w:rsid w:val="003E39C1"/>
    <w:rsid w:val="003E6CE2"/>
    <w:rsid w:val="0040100D"/>
    <w:rsid w:val="004121A3"/>
    <w:rsid w:val="0041700E"/>
    <w:rsid w:val="00417F4A"/>
    <w:rsid w:val="00423E4F"/>
    <w:rsid w:val="004312AE"/>
    <w:rsid w:val="004371F4"/>
    <w:rsid w:val="00442680"/>
    <w:rsid w:val="00447288"/>
    <w:rsid w:val="004512BC"/>
    <w:rsid w:val="0045186E"/>
    <w:rsid w:val="00457608"/>
    <w:rsid w:val="004612C0"/>
    <w:rsid w:val="00467D77"/>
    <w:rsid w:val="00483981"/>
    <w:rsid w:val="00490640"/>
    <w:rsid w:val="00496FB7"/>
    <w:rsid w:val="00497631"/>
    <w:rsid w:val="004A3376"/>
    <w:rsid w:val="004A4519"/>
    <w:rsid w:val="004A4A50"/>
    <w:rsid w:val="004A6AB0"/>
    <w:rsid w:val="004A7022"/>
    <w:rsid w:val="004A7526"/>
    <w:rsid w:val="004A77CD"/>
    <w:rsid w:val="004B5C01"/>
    <w:rsid w:val="004C0A84"/>
    <w:rsid w:val="004C18D2"/>
    <w:rsid w:val="004D6417"/>
    <w:rsid w:val="004D6D61"/>
    <w:rsid w:val="004E3E82"/>
    <w:rsid w:val="004E79A9"/>
    <w:rsid w:val="00506120"/>
    <w:rsid w:val="00507B92"/>
    <w:rsid w:val="00507D53"/>
    <w:rsid w:val="00516968"/>
    <w:rsid w:val="005222FE"/>
    <w:rsid w:val="00524BFF"/>
    <w:rsid w:val="005340A0"/>
    <w:rsid w:val="00534305"/>
    <w:rsid w:val="00552F57"/>
    <w:rsid w:val="00561090"/>
    <w:rsid w:val="0056409A"/>
    <w:rsid w:val="00582D66"/>
    <w:rsid w:val="00583391"/>
    <w:rsid w:val="00586FAE"/>
    <w:rsid w:val="00592433"/>
    <w:rsid w:val="0059759E"/>
    <w:rsid w:val="005C20B5"/>
    <w:rsid w:val="005C5EDE"/>
    <w:rsid w:val="005D1CBA"/>
    <w:rsid w:val="005D513F"/>
    <w:rsid w:val="005E4ED8"/>
    <w:rsid w:val="005E5409"/>
    <w:rsid w:val="005F4714"/>
    <w:rsid w:val="00602C3E"/>
    <w:rsid w:val="00604FE5"/>
    <w:rsid w:val="00606488"/>
    <w:rsid w:val="00611451"/>
    <w:rsid w:val="006138E6"/>
    <w:rsid w:val="00624B62"/>
    <w:rsid w:val="0066366F"/>
    <w:rsid w:val="00663A49"/>
    <w:rsid w:val="00687090"/>
    <w:rsid w:val="006939BE"/>
    <w:rsid w:val="00694906"/>
    <w:rsid w:val="00696AC8"/>
    <w:rsid w:val="006A01EC"/>
    <w:rsid w:val="006C0F6E"/>
    <w:rsid w:val="006E1167"/>
    <w:rsid w:val="006E12D8"/>
    <w:rsid w:val="006E1A82"/>
    <w:rsid w:val="006E4BDF"/>
    <w:rsid w:val="006F2B34"/>
    <w:rsid w:val="00727437"/>
    <w:rsid w:val="00733041"/>
    <w:rsid w:val="00736913"/>
    <w:rsid w:val="0074415F"/>
    <w:rsid w:val="00746581"/>
    <w:rsid w:val="0075129F"/>
    <w:rsid w:val="00761E0D"/>
    <w:rsid w:val="00762062"/>
    <w:rsid w:val="007662C8"/>
    <w:rsid w:val="0077417D"/>
    <w:rsid w:val="007762C7"/>
    <w:rsid w:val="00777796"/>
    <w:rsid w:val="00786E7C"/>
    <w:rsid w:val="00797C3A"/>
    <w:rsid w:val="007A167C"/>
    <w:rsid w:val="007B011F"/>
    <w:rsid w:val="007B21FC"/>
    <w:rsid w:val="007C1A1C"/>
    <w:rsid w:val="007C6CF3"/>
    <w:rsid w:val="007D7371"/>
    <w:rsid w:val="007E6106"/>
    <w:rsid w:val="007F129D"/>
    <w:rsid w:val="007F5118"/>
    <w:rsid w:val="00802031"/>
    <w:rsid w:val="00802FED"/>
    <w:rsid w:val="008123DD"/>
    <w:rsid w:val="00814DE1"/>
    <w:rsid w:val="008319AF"/>
    <w:rsid w:val="00832283"/>
    <w:rsid w:val="00835E09"/>
    <w:rsid w:val="00843E14"/>
    <w:rsid w:val="008451AD"/>
    <w:rsid w:val="00847138"/>
    <w:rsid w:val="00847A0B"/>
    <w:rsid w:val="00852407"/>
    <w:rsid w:val="00853DAE"/>
    <w:rsid w:val="008619AF"/>
    <w:rsid w:val="00865A14"/>
    <w:rsid w:val="00880244"/>
    <w:rsid w:val="008804D4"/>
    <w:rsid w:val="008805D2"/>
    <w:rsid w:val="00890D01"/>
    <w:rsid w:val="00891A3C"/>
    <w:rsid w:val="008977EE"/>
    <w:rsid w:val="008B070D"/>
    <w:rsid w:val="008C0463"/>
    <w:rsid w:val="008C6F81"/>
    <w:rsid w:val="008D0025"/>
    <w:rsid w:val="008D0D10"/>
    <w:rsid w:val="008E43DA"/>
    <w:rsid w:val="008F025A"/>
    <w:rsid w:val="008F3826"/>
    <w:rsid w:val="008F63F9"/>
    <w:rsid w:val="008F7F90"/>
    <w:rsid w:val="00901290"/>
    <w:rsid w:val="0092473D"/>
    <w:rsid w:val="009262F9"/>
    <w:rsid w:val="00943EF0"/>
    <w:rsid w:val="00947EC7"/>
    <w:rsid w:val="00955CE5"/>
    <w:rsid w:val="0097236A"/>
    <w:rsid w:val="00985A2F"/>
    <w:rsid w:val="009965D5"/>
    <w:rsid w:val="009A23EA"/>
    <w:rsid w:val="009B5B9E"/>
    <w:rsid w:val="009D11F4"/>
    <w:rsid w:val="009D1382"/>
    <w:rsid w:val="009D45DA"/>
    <w:rsid w:val="009D5F88"/>
    <w:rsid w:val="009F0C60"/>
    <w:rsid w:val="009F3BAE"/>
    <w:rsid w:val="009F55FC"/>
    <w:rsid w:val="00A0256A"/>
    <w:rsid w:val="00A04950"/>
    <w:rsid w:val="00A113AE"/>
    <w:rsid w:val="00A12625"/>
    <w:rsid w:val="00A17A39"/>
    <w:rsid w:val="00A17D46"/>
    <w:rsid w:val="00A471A8"/>
    <w:rsid w:val="00A5166E"/>
    <w:rsid w:val="00A70F3E"/>
    <w:rsid w:val="00A75EF5"/>
    <w:rsid w:val="00A81403"/>
    <w:rsid w:val="00A86074"/>
    <w:rsid w:val="00A9234C"/>
    <w:rsid w:val="00A96671"/>
    <w:rsid w:val="00AB447E"/>
    <w:rsid w:val="00AB7B40"/>
    <w:rsid w:val="00AC1CFA"/>
    <w:rsid w:val="00AD04B4"/>
    <w:rsid w:val="00AD0640"/>
    <w:rsid w:val="00AD411C"/>
    <w:rsid w:val="00AE0A95"/>
    <w:rsid w:val="00AF55BA"/>
    <w:rsid w:val="00B00074"/>
    <w:rsid w:val="00B22687"/>
    <w:rsid w:val="00B241E5"/>
    <w:rsid w:val="00B246C1"/>
    <w:rsid w:val="00B25748"/>
    <w:rsid w:val="00B25B98"/>
    <w:rsid w:val="00B44888"/>
    <w:rsid w:val="00B4748E"/>
    <w:rsid w:val="00B57492"/>
    <w:rsid w:val="00B61127"/>
    <w:rsid w:val="00B71A4B"/>
    <w:rsid w:val="00B81DDC"/>
    <w:rsid w:val="00B85A19"/>
    <w:rsid w:val="00B961A2"/>
    <w:rsid w:val="00BA05F8"/>
    <w:rsid w:val="00BA2FA4"/>
    <w:rsid w:val="00BA3189"/>
    <w:rsid w:val="00BA356F"/>
    <w:rsid w:val="00BA481E"/>
    <w:rsid w:val="00BD17F6"/>
    <w:rsid w:val="00BD5CE7"/>
    <w:rsid w:val="00BE1366"/>
    <w:rsid w:val="00BF25C6"/>
    <w:rsid w:val="00BF405D"/>
    <w:rsid w:val="00BF76BA"/>
    <w:rsid w:val="00C00F36"/>
    <w:rsid w:val="00C013EE"/>
    <w:rsid w:val="00C0498B"/>
    <w:rsid w:val="00C066F6"/>
    <w:rsid w:val="00C10D19"/>
    <w:rsid w:val="00C12D22"/>
    <w:rsid w:val="00C204EF"/>
    <w:rsid w:val="00C24422"/>
    <w:rsid w:val="00C247BB"/>
    <w:rsid w:val="00C305B7"/>
    <w:rsid w:val="00C40A1E"/>
    <w:rsid w:val="00C5009A"/>
    <w:rsid w:val="00C54024"/>
    <w:rsid w:val="00C63F04"/>
    <w:rsid w:val="00C73151"/>
    <w:rsid w:val="00C73F84"/>
    <w:rsid w:val="00C818E3"/>
    <w:rsid w:val="00C81970"/>
    <w:rsid w:val="00C8538E"/>
    <w:rsid w:val="00C91B87"/>
    <w:rsid w:val="00C975C9"/>
    <w:rsid w:val="00CC0FC1"/>
    <w:rsid w:val="00CC1A76"/>
    <w:rsid w:val="00CD3E20"/>
    <w:rsid w:val="00CE33D0"/>
    <w:rsid w:val="00CE6813"/>
    <w:rsid w:val="00CF3228"/>
    <w:rsid w:val="00CF6DBF"/>
    <w:rsid w:val="00D01E31"/>
    <w:rsid w:val="00D0750F"/>
    <w:rsid w:val="00D1346A"/>
    <w:rsid w:val="00D20CC5"/>
    <w:rsid w:val="00D32197"/>
    <w:rsid w:val="00D355EC"/>
    <w:rsid w:val="00D40BB7"/>
    <w:rsid w:val="00D410FE"/>
    <w:rsid w:val="00D44E13"/>
    <w:rsid w:val="00D637E3"/>
    <w:rsid w:val="00D668BD"/>
    <w:rsid w:val="00D66CAE"/>
    <w:rsid w:val="00D70130"/>
    <w:rsid w:val="00D725F6"/>
    <w:rsid w:val="00D97F4C"/>
    <w:rsid w:val="00DA322B"/>
    <w:rsid w:val="00DA5776"/>
    <w:rsid w:val="00DB0C56"/>
    <w:rsid w:val="00DB2A70"/>
    <w:rsid w:val="00DC4549"/>
    <w:rsid w:val="00DD0AFE"/>
    <w:rsid w:val="00DD13D7"/>
    <w:rsid w:val="00DD166C"/>
    <w:rsid w:val="00DD5522"/>
    <w:rsid w:val="00DE566B"/>
    <w:rsid w:val="00DF352C"/>
    <w:rsid w:val="00DF3C1C"/>
    <w:rsid w:val="00DF6DB2"/>
    <w:rsid w:val="00DF6DB3"/>
    <w:rsid w:val="00DF7549"/>
    <w:rsid w:val="00DF7CB5"/>
    <w:rsid w:val="00E1322A"/>
    <w:rsid w:val="00E14060"/>
    <w:rsid w:val="00E20F14"/>
    <w:rsid w:val="00E27645"/>
    <w:rsid w:val="00E30389"/>
    <w:rsid w:val="00E3129B"/>
    <w:rsid w:val="00E45BA0"/>
    <w:rsid w:val="00E47D14"/>
    <w:rsid w:val="00E51455"/>
    <w:rsid w:val="00E66C67"/>
    <w:rsid w:val="00E76D90"/>
    <w:rsid w:val="00E81A1F"/>
    <w:rsid w:val="00E92DE7"/>
    <w:rsid w:val="00E93E72"/>
    <w:rsid w:val="00E94AEA"/>
    <w:rsid w:val="00EA3149"/>
    <w:rsid w:val="00EA66B6"/>
    <w:rsid w:val="00EB2E0A"/>
    <w:rsid w:val="00EB487C"/>
    <w:rsid w:val="00EB7F85"/>
    <w:rsid w:val="00ED3204"/>
    <w:rsid w:val="00EE3935"/>
    <w:rsid w:val="00EF2894"/>
    <w:rsid w:val="00EF5D01"/>
    <w:rsid w:val="00F00851"/>
    <w:rsid w:val="00F02A8A"/>
    <w:rsid w:val="00F02DFC"/>
    <w:rsid w:val="00F07C9E"/>
    <w:rsid w:val="00F14564"/>
    <w:rsid w:val="00F14D6C"/>
    <w:rsid w:val="00F24F26"/>
    <w:rsid w:val="00F24F35"/>
    <w:rsid w:val="00F26B3A"/>
    <w:rsid w:val="00F32FD7"/>
    <w:rsid w:val="00F50B24"/>
    <w:rsid w:val="00F5311D"/>
    <w:rsid w:val="00F53A14"/>
    <w:rsid w:val="00F87FB8"/>
    <w:rsid w:val="00F90952"/>
    <w:rsid w:val="00F957A7"/>
    <w:rsid w:val="00F9760F"/>
    <w:rsid w:val="00FA7198"/>
    <w:rsid w:val="00FB0CA7"/>
    <w:rsid w:val="00FB3490"/>
    <w:rsid w:val="00FB5286"/>
    <w:rsid w:val="00FD36BA"/>
    <w:rsid w:val="00FD3AC1"/>
    <w:rsid w:val="00FD52D5"/>
    <w:rsid w:val="00FE4D70"/>
    <w:rsid w:val="00FE5D22"/>
    <w:rsid w:val="00FE7F02"/>
    <w:rsid w:val="00FF5A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04DEB9"/>
  <w15:chartTrackingRefBased/>
  <w15:docId w15:val="{FB4DDDC4-93E2-4707-9B12-35E664E4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7022"/>
    <w:pPr>
      <w:spacing w:before="120" w:after="120" w:line="240" w:lineRule="auto"/>
    </w:pPr>
    <w:rPr>
      <w:rFonts w:ascii="Arial" w:eastAsia="Times New Roman" w:hAnsi="Arial"/>
      <w:sz w:val="22"/>
    </w:rPr>
  </w:style>
  <w:style w:type="paragraph" w:styleId="Heading1">
    <w:name w:val="heading 1"/>
    <w:basedOn w:val="Normal"/>
    <w:next w:val="Normal"/>
    <w:link w:val="Heading1Char"/>
    <w:qFormat/>
    <w:rsid w:val="000E0F5B"/>
    <w:pPr>
      <w:outlineLvl w:val="0"/>
    </w:pPr>
    <w:rPr>
      <w:color w:val="3F4A75"/>
      <w:kern w:val="28"/>
      <w:sz w:val="36"/>
      <w:szCs w:val="20"/>
    </w:rPr>
  </w:style>
  <w:style w:type="paragraph" w:styleId="Heading2">
    <w:name w:val="heading 2"/>
    <w:next w:val="Paragraphtext"/>
    <w:link w:val="Heading2Char"/>
    <w:qFormat/>
    <w:rsid w:val="00B961A2"/>
    <w:pPr>
      <w:keepNext/>
      <w:spacing w:before="240" w:after="60" w:line="240" w:lineRule="auto"/>
      <w:outlineLvl w:val="1"/>
    </w:pPr>
    <w:rPr>
      <w:rFonts w:ascii="Arial" w:eastAsia="Times New Roman" w:hAnsi="Arial" w:cs="Arial"/>
      <w:b/>
      <w:bCs/>
      <w:iCs/>
      <w:color w:val="358189"/>
      <w:sz w:val="28"/>
      <w:szCs w:val="28"/>
    </w:rPr>
  </w:style>
  <w:style w:type="paragraph" w:styleId="Heading3">
    <w:name w:val="heading 3"/>
    <w:basedOn w:val="Heading2"/>
    <w:next w:val="Normal"/>
    <w:link w:val="Heading3Char"/>
    <w:qFormat/>
    <w:rsid w:val="005E4ED8"/>
    <w:pPr>
      <w:outlineLvl w:val="2"/>
    </w:pPr>
    <w:rPr>
      <w:bCs w:val="0"/>
      <w:sz w:val="26"/>
      <w:szCs w:val="26"/>
    </w:rPr>
  </w:style>
  <w:style w:type="paragraph" w:styleId="Heading4">
    <w:name w:val="heading 4"/>
    <w:basedOn w:val="Normal"/>
    <w:next w:val="Normal"/>
    <w:link w:val="Heading4Char"/>
    <w:uiPriority w:val="9"/>
    <w:unhideWhenUsed/>
    <w:qFormat/>
    <w:rsid w:val="0077417D"/>
    <w:pPr>
      <w:keepNext/>
      <w:keepLines/>
      <w:spacing w:before="2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0F5B"/>
    <w:rPr>
      <w:rFonts w:ascii="Arial" w:eastAsia="Times New Roman" w:hAnsi="Arial"/>
      <w:color w:val="3F4A75"/>
      <w:kern w:val="28"/>
      <w:sz w:val="36"/>
      <w:szCs w:val="20"/>
    </w:rPr>
  </w:style>
  <w:style w:type="character" w:customStyle="1" w:styleId="Heading2Char">
    <w:name w:val="Heading 2 Char"/>
    <w:basedOn w:val="DefaultParagraphFont"/>
    <w:link w:val="Heading2"/>
    <w:rsid w:val="00B961A2"/>
    <w:rPr>
      <w:rFonts w:ascii="Arial" w:eastAsia="Times New Roman" w:hAnsi="Arial" w:cs="Arial"/>
      <w:b/>
      <w:bCs/>
      <w:iCs/>
      <w:color w:val="358189"/>
      <w:sz w:val="28"/>
      <w:szCs w:val="28"/>
    </w:rPr>
  </w:style>
  <w:style w:type="character" w:customStyle="1" w:styleId="Heading3Char">
    <w:name w:val="Heading 3 Char"/>
    <w:basedOn w:val="DefaultParagraphFont"/>
    <w:link w:val="Heading3"/>
    <w:rsid w:val="005E4ED8"/>
    <w:rPr>
      <w:rFonts w:ascii="Arial" w:eastAsia="Times New Roman" w:hAnsi="Arial" w:cs="Arial"/>
      <w:iCs/>
      <w:color w:val="358189"/>
      <w:sz w:val="26"/>
      <w:szCs w:val="26"/>
    </w:rPr>
  </w:style>
  <w:style w:type="paragraph" w:customStyle="1" w:styleId="Paragraphtext">
    <w:name w:val="Paragraph text"/>
    <w:basedOn w:val="Normal"/>
    <w:qFormat/>
    <w:rsid w:val="000E0F5B"/>
    <w:pPr>
      <w:spacing w:before="0"/>
    </w:pPr>
    <w:rPr>
      <w:color w:val="000000" w:themeColor="text1"/>
    </w:rPr>
  </w:style>
  <w:style w:type="paragraph" w:styleId="ListParagraph">
    <w:name w:val="List Paragraph"/>
    <w:basedOn w:val="Normal"/>
    <w:uiPriority w:val="34"/>
    <w:qFormat/>
    <w:rsid w:val="000E0F5B"/>
    <w:pPr>
      <w:numPr>
        <w:numId w:val="1"/>
      </w:numPr>
      <w:contextualSpacing/>
    </w:pPr>
  </w:style>
  <w:style w:type="table" w:styleId="TableGrid">
    <w:name w:val="Table Grid"/>
    <w:basedOn w:val="TableNormal"/>
    <w:rsid w:val="000E0F5B"/>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style>
  <w:style w:type="paragraph" w:styleId="Header">
    <w:name w:val="header"/>
    <w:basedOn w:val="Normal"/>
    <w:link w:val="HeaderChar"/>
    <w:uiPriority w:val="99"/>
    <w:qFormat/>
    <w:rsid w:val="000E0F5B"/>
    <w:pPr>
      <w:tabs>
        <w:tab w:val="center" w:pos="4513"/>
        <w:tab w:val="right" w:pos="9026"/>
      </w:tabs>
    </w:pPr>
  </w:style>
  <w:style w:type="character" w:customStyle="1" w:styleId="HeaderChar">
    <w:name w:val="Header Char"/>
    <w:basedOn w:val="DefaultParagraphFont"/>
    <w:link w:val="Header"/>
    <w:uiPriority w:val="99"/>
    <w:rsid w:val="000E0F5B"/>
    <w:rPr>
      <w:rFonts w:ascii="Arial" w:eastAsia="Times New Roman" w:hAnsi="Arial"/>
      <w:sz w:val="22"/>
    </w:rPr>
  </w:style>
  <w:style w:type="paragraph" w:styleId="Footer">
    <w:name w:val="footer"/>
    <w:basedOn w:val="Normal"/>
    <w:link w:val="FooterChar"/>
    <w:qFormat/>
    <w:rsid w:val="000E0F5B"/>
    <w:pPr>
      <w:tabs>
        <w:tab w:val="center" w:pos="4513"/>
        <w:tab w:val="right" w:pos="9026"/>
      </w:tabs>
    </w:pPr>
    <w:rPr>
      <w:sz w:val="20"/>
    </w:rPr>
  </w:style>
  <w:style w:type="character" w:customStyle="1" w:styleId="FooterChar">
    <w:name w:val="Footer Char"/>
    <w:basedOn w:val="DefaultParagraphFont"/>
    <w:link w:val="Footer"/>
    <w:rsid w:val="000E0F5B"/>
    <w:rPr>
      <w:rFonts w:ascii="Arial" w:eastAsia="Times New Roman" w:hAnsi="Arial"/>
      <w:sz w:val="20"/>
    </w:rPr>
  </w:style>
  <w:style w:type="paragraph" w:customStyle="1" w:styleId="Headertext">
    <w:name w:val="Header text"/>
    <w:basedOn w:val="Normal"/>
    <w:rsid w:val="000E0F5B"/>
    <w:pPr>
      <w:jc w:val="right"/>
    </w:pPr>
    <w:rPr>
      <w:sz w:val="20"/>
    </w:rPr>
  </w:style>
  <w:style w:type="character" w:styleId="Hyperlink">
    <w:name w:val="Hyperlink"/>
    <w:basedOn w:val="DefaultParagraphFont"/>
    <w:uiPriority w:val="99"/>
    <w:qFormat/>
    <w:rsid w:val="000E0F5B"/>
    <w:rPr>
      <w:color w:val="0563C1" w:themeColor="hyperlink"/>
      <w:u w:val="single"/>
    </w:rPr>
  </w:style>
  <w:style w:type="paragraph" w:customStyle="1" w:styleId="Tableheader">
    <w:name w:val="Table header"/>
    <w:basedOn w:val="Normal"/>
    <w:rsid w:val="000E0F5B"/>
    <w:pPr>
      <w:spacing w:before="0" w:after="0"/>
      <w:contextualSpacing/>
    </w:pPr>
    <w:rPr>
      <w:b/>
      <w:bCs/>
      <w:sz w:val="20"/>
      <w:szCs w:val="20"/>
    </w:rPr>
  </w:style>
  <w:style w:type="paragraph" w:customStyle="1" w:styleId="Tabletextleft">
    <w:name w:val="Table text left"/>
    <w:basedOn w:val="Normal"/>
    <w:rsid w:val="000E0F5B"/>
    <w:pPr>
      <w:spacing w:before="60" w:after="60"/>
    </w:pPr>
    <w:rPr>
      <w:color w:val="000000" w:themeColor="text1"/>
      <w:sz w:val="20"/>
      <w:szCs w:val="20"/>
    </w:rPr>
  </w:style>
  <w:style w:type="paragraph" w:styleId="Caption">
    <w:name w:val="caption"/>
    <w:basedOn w:val="Normal"/>
    <w:next w:val="Normal"/>
    <w:uiPriority w:val="35"/>
    <w:unhideWhenUsed/>
    <w:qFormat/>
    <w:rsid w:val="000E0F5B"/>
    <w:rPr>
      <w:b/>
      <w:iCs/>
      <w:sz w:val="18"/>
      <w:szCs w:val="18"/>
    </w:rPr>
  </w:style>
  <w:style w:type="paragraph" w:customStyle="1" w:styleId="Tabletext">
    <w:name w:val="Table text"/>
    <w:basedOn w:val="Normal"/>
    <w:qFormat/>
    <w:rsid w:val="000E0F5B"/>
    <w:pPr>
      <w:spacing w:before="60" w:after="0" w:line="240" w:lineRule="atLeast"/>
      <w:ind w:right="119"/>
    </w:pPr>
    <w:rPr>
      <w:rFonts w:ascii="Arial Narrow" w:eastAsiaTheme="minorHAnsi" w:hAnsi="Arial Narrow" w:cs="Arial"/>
      <w:color w:val="000100"/>
      <w:sz w:val="20"/>
      <w:szCs w:val="22"/>
    </w:rPr>
  </w:style>
  <w:style w:type="paragraph" w:customStyle="1" w:styleId="Tablecolumnheadings">
    <w:name w:val="Table column headings"/>
    <w:basedOn w:val="Tabletext"/>
    <w:qFormat/>
    <w:rsid w:val="000E0F5B"/>
    <w:pPr>
      <w:keepNext/>
      <w:spacing w:before="40" w:after="40"/>
    </w:pPr>
    <w:rPr>
      <w:b/>
      <w:color w:val="FFFFFF" w:themeColor="background1"/>
    </w:rPr>
  </w:style>
  <w:style w:type="character" w:styleId="UnresolvedMention">
    <w:name w:val="Unresolved Mention"/>
    <w:basedOn w:val="DefaultParagraphFont"/>
    <w:uiPriority w:val="99"/>
    <w:semiHidden/>
    <w:unhideWhenUsed/>
    <w:rsid w:val="00D0750F"/>
    <w:rPr>
      <w:color w:val="605E5C"/>
      <w:shd w:val="clear" w:color="auto" w:fill="E1DFDD"/>
    </w:rPr>
  </w:style>
  <w:style w:type="character" w:styleId="CommentReference">
    <w:name w:val="annotation reference"/>
    <w:basedOn w:val="DefaultParagraphFont"/>
    <w:uiPriority w:val="99"/>
    <w:semiHidden/>
    <w:unhideWhenUsed/>
    <w:rsid w:val="009D1382"/>
    <w:rPr>
      <w:sz w:val="16"/>
      <w:szCs w:val="16"/>
    </w:rPr>
  </w:style>
  <w:style w:type="paragraph" w:styleId="CommentText">
    <w:name w:val="annotation text"/>
    <w:basedOn w:val="Normal"/>
    <w:link w:val="CommentTextChar"/>
    <w:uiPriority w:val="99"/>
    <w:semiHidden/>
    <w:unhideWhenUsed/>
    <w:rsid w:val="009D1382"/>
    <w:rPr>
      <w:sz w:val="20"/>
      <w:szCs w:val="20"/>
    </w:rPr>
  </w:style>
  <w:style w:type="character" w:customStyle="1" w:styleId="CommentTextChar">
    <w:name w:val="Comment Text Char"/>
    <w:basedOn w:val="DefaultParagraphFont"/>
    <w:link w:val="CommentText"/>
    <w:uiPriority w:val="99"/>
    <w:semiHidden/>
    <w:rsid w:val="009D1382"/>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9D1382"/>
    <w:rPr>
      <w:b/>
      <w:bCs/>
    </w:rPr>
  </w:style>
  <w:style w:type="character" w:customStyle="1" w:styleId="CommentSubjectChar">
    <w:name w:val="Comment Subject Char"/>
    <w:basedOn w:val="CommentTextChar"/>
    <w:link w:val="CommentSubject"/>
    <w:uiPriority w:val="99"/>
    <w:semiHidden/>
    <w:rsid w:val="009D1382"/>
    <w:rPr>
      <w:rFonts w:ascii="Arial" w:eastAsia="Times New Roman" w:hAnsi="Arial"/>
      <w:b/>
      <w:bCs/>
      <w:sz w:val="20"/>
      <w:szCs w:val="20"/>
    </w:rPr>
  </w:style>
  <w:style w:type="paragraph" w:styleId="BalloonText">
    <w:name w:val="Balloon Text"/>
    <w:basedOn w:val="Normal"/>
    <w:link w:val="BalloonTextChar"/>
    <w:uiPriority w:val="99"/>
    <w:semiHidden/>
    <w:unhideWhenUsed/>
    <w:rsid w:val="009D13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382"/>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BA356F"/>
    <w:rPr>
      <w:color w:val="954F72" w:themeColor="followedHyperlink"/>
      <w:u w:val="single"/>
    </w:rPr>
  </w:style>
  <w:style w:type="paragraph" w:styleId="FootnoteText">
    <w:name w:val="footnote text"/>
    <w:basedOn w:val="Normal"/>
    <w:link w:val="FootnoteTextChar"/>
    <w:uiPriority w:val="99"/>
    <w:semiHidden/>
    <w:unhideWhenUsed/>
    <w:rsid w:val="0036796D"/>
    <w:pPr>
      <w:spacing w:before="0" w:after="0"/>
    </w:pPr>
    <w:rPr>
      <w:sz w:val="20"/>
      <w:szCs w:val="20"/>
    </w:rPr>
  </w:style>
  <w:style w:type="character" w:customStyle="1" w:styleId="FootnoteTextChar">
    <w:name w:val="Footnote Text Char"/>
    <w:basedOn w:val="DefaultParagraphFont"/>
    <w:link w:val="FootnoteText"/>
    <w:uiPriority w:val="99"/>
    <w:semiHidden/>
    <w:rsid w:val="0036796D"/>
    <w:rPr>
      <w:rFonts w:ascii="Arial" w:eastAsia="Times New Roman" w:hAnsi="Arial"/>
      <w:sz w:val="20"/>
      <w:szCs w:val="20"/>
    </w:rPr>
  </w:style>
  <w:style w:type="character" w:styleId="FootnoteReference">
    <w:name w:val="footnote reference"/>
    <w:basedOn w:val="DefaultParagraphFont"/>
    <w:uiPriority w:val="99"/>
    <w:semiHidden/>
    <w:unhideWhenUsed/>
    <w:rsid w:val="0036796D"/>
    <w:rPr>
      <w:vertAlign w:val="superscript"/>
    </w:rPr>
  </w:style>
  <w:style w:type="character" w:customStyle="1" w:styleId="Heading4Char">
    <w:name w:val="Heading 4 Char"/>
    <w:basedOn w:val="DefaultParagraphFont"/>
    <w:link w:val="Heading4"/>
    <w:uiPriority w:val="9"/>
    <w:rsid w:val="0077417D"/>
    <w:rPr>
      <w:rFonts w:ascii="Arial" w:eastAsiaTheme="majorEastAsia" w:hAnsi="Arial" w:cstheme="majorBidi"/>
      <w:b/>
      <w:iCs/>
      <w:sz w:val="22"/>
    </w:rPr>
  </w:style>
  <w:style w:type="table" w:styleId="GridTable1Light">
    <w:name w:val="Grid Table 1 Light"/>
    <w:basedOn w:val="TableNormal"/>
    <w:uiPriority w:val="46"/>
    <w:rsid w:val="007741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7741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14401">
      <w:bodyDiv w:val="1"/>
      <w:marLeft w:val="0"/>
      <w:marRight w:val="0"/>
      <w:marTop w:val="0"/>
      <w:marBottom w:val="0"/>
      <w:divBdr>
        <w:top w:val="none" w:sz="0" w:space="0" w:color="auto"/>
        <w:left w:val="none" w:sz="0" w:space="0" w:color="auto"/>
        <w:bottom w:val="none" w:sz="0" w:space="0" w:color="auto"/>
        <w:right w:val="none" w:sz="0" w:space="0" w:color="auto"/>
      </w:divBdr>
    </w:div>
    <w:div w:id="140970601">
      <w:bodyDiv w:val="1"/>
      <w:marLeft w:val="0"/>
      <w:marRight w:val="0"/>
      <w:marTop w:val="0"/>
      <w:marBottom w:val="0"/>
      <w:divBdr>
        <w:top w:val="none" w:sz="0" w:space="0" w:color="auto"/>
        <w:left w:val="none" w:sz="0" w:space="0" w:color="auto"/>
        <w:bottom w:val="none" w:sz="0" w:space="0" w:color="auto"/>
        <w:right w:val="none" w:sz="0" w:space="0" w:color="auto"/>
      </w:divBdr>
    </w:div>
    <w:div w:id="315426446">
      <w:bodyDiv w:val="1"/>
      <w:marLeft w:val="0"/>
      <w:marRight w:val="0"/>
      <w:marTop w:val="0"/>
      <w:marBottom w:val="0"/>
      <w:divBdr>
        <w:top w:val="none" w:sz="0" w:space="0" w:color="auto"/>
        <w:left w:val="none" w:sz="0" w:space="0" w:color="auto"/>
        <w:bottom w:val="none" w:sz="0" w:space="0" w:color="auto"/>
        <w:right w:val="none" w:sz="0" w:space="0" w:color="auto"/>
      </w:divBdr>
    </w:div>
    <w:div w:id="567232497">
      <w:bodyDiv w:val="1"/>
      <w:marLeft w:val="0"/>
      <w:marRight w:val="0"/>
      <w:marTop w:val="0"/>
      <w:marBottom w:val="0"/>
      <w:divBdr>
        <w:top w:val="none" w:sz="0" w:space="0" w:color="auto"/>
        <w:left w:val="none" w:sz="0" w:space="0" w:color="auto"/>
        <w:bottom w:val="none" w:sz="0" w:space="0" w:color="auto"/>
        <w:right w:val="none" w:sz="0" w:space="0" w:color="auto"/>
      </w:divBdr>
    </w:div>
    <w:div w:id="1070150052">
      <w:bodyDiv w:val="1"/>
      <w:marLeft w:val="0"/>
      <w:marRight w:val="0"/>
      <w:marTop w:val="0"/>
      <w:marBottom w:val="0"/>
      <w:divBdr>
        <w:top w:val="none" w:sz="0" w:space="0" w:color="auto"/>
        <w:left w:val="none" w:sz="0" w:space="0" w:color="auto"/>
        <w:bottom w:val="none" w:sz="0" w:space="0" w:color="auto"/>
        <w:right w:val="none" w:sz="0" w:space="0" w:color="auto"/>
      </w:divBdr>
    </w:div>
    <w:div w:id="1177891397">
      <w:bodyDiv w:val="1"/>
      <w:marLeft w:val="0"/>
      <w:marRight w:val="0"/>
      <w:marTop w:val="0"/>
      <w:marBottom w:val="0"/>
      <w:divBdr>
        <w:top w:val="none" w:sz="0" w:space="0" w:color="auto"/>
        <w:left w:val="none" w:sz="0" w:space="0" w:color="auto"/>
        <w:bottom w:val="none" w:sz="0" w:space="0" w:color="auto"/>
        <w:right w:val="none" w:sz="0" w:space="0" w:color="auto"/>
      </w:divBdr>
    </w:div>
    <w:div w:id="2057657137">
      <w:bodyDiv w:val="1"/>
      <w:marLeft w:val="0"/>
      <w:marRight w:val="0"/>
      <w:marTop w:val="0"/>
      <w:marBottom w:val="0"/>
      <w:divBdr>
        <w:top w:val="none" w:sz="0" w:space="0" w:color="auto"/>
        <w:left w:val="none" w:sz="0" w:space="0" w:color="auto"/>
        <w:bottom w:val="none" w:sz="0" w:space="0" w:color="auto"/>
        <w:right w:val="none" w:sz="0" w:space="0" w:color="auto"/>
      </w:divBdr>
      <w:divsChild>
        <w:div w:id="1553926878">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ealth.gov.au/health-topics/health-workforce/health-workforce-classifications/modified-monash-model" TargetMode="External"/><Relationship Id="rId18" Type="http://schemas.openxmlformats.org/officeDocument/2006/relationships/hyperlink" Target="mailto:CHSPextension@health.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lth.gov.au/resources/publications/commonwealth-home-support-programme-chsp-payment-in-arrears-and-unit-pricing-october-update" TargetMode="External"/><Relationship Id="rId17" Type="http://schemas.openxmlformats.org/officeDocument/2006/relationships/hyperlink" Target="https://www.grants.gov.au/" TargetMode="External"/><Relationship Id="rId2" Type="http://schemas.openxmlformats.org/officeDocument/2006/relationships/numbering" Target="numbering.xml"/><Relationship Id="rId16" Type="http://schemas.openxmlformats.org/officeDocument/2006/relationships/hyperlink" Target="https://www.grant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rants.gov.au/"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rants.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B13A6-6116-445C-AE3C-2CC9F4E8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3037</Words>
  <Characters>17316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Commonwealth Home Support Programme (CHSP) – Negotiations, transition support and MMM loading</vt:lpstr>
    </vt:vector>
  </TitlesOfParts>
  <Company/>
  <LinksUpToDate>false</LinksUpToDate>
  <CharactersWithSpaces>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Home Support Programme (CHSP) – Negotiations, transition support and MMM loading</dc:title>
  <dc:subject>Aged care</dc:subject>
  <dc:creator>Australian Government Department of Health</dc:creator>
  <cp:keywords>CHSP; extension</cp:keywords>
  <dc:description/>
  <cp:lastModifiedBy>SMITH, Gareth</cp:lastModifiedBy>
  <cp:revision>4</cp:revision>
  <cp:lastPrinted>2021-11-24T01:59:00Z</cp:lastPrinted>
  <dcterms:created xsi:type="dcterms:W3CDTF">2022-01-11T22:54:00Z</dcterms:created>
  <dcterms:modified xsi:type="dcterms:W3CDTF">2022-01-20T22:42:00Z</dcterms:modified>
</cp:coreProperties>
</file>