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8C944" w14:textId="4A43ED80" w:rsidR="00265D5F" w:rsidRDefault="001B420A" w:rsidP="0012158C">
      <w:pPr>
        <w:pStyle w:val="Title"/>
      </w:pPr>
      <w:bookmarkStart w:id="0" w:name="_Toc83808543"/>
      <w:bookmarkStart w:id="1" w:name="_Toc89856056"/>
      <w:bookmarkStart w:id="2" w:name="_Toc89943961"/>
      <w:bookmarkStart w:id="3" w:name="_Toc89944043"/>
      <w:bookmarkStart w:id="4" w:name="_Toc89955078"/>
      <w:bookmarkStart w:id="5" w:name="_Toc89971537"/>
      <w:r w:rsidRPr="00A2264C">
        <w:t>Q</w:t>
      </w:r>
      <w:r w:rsidR="00485B56" w:rsidRPr="00A2264C">
        <w:t xml:space="preserve">uestions </w:t>
      </w:r>
      <w:r w:rsidRPr="00A2264C">
        <w:t>&amp;</w:t>
      </w:r>
      <w:r w:rsidR="00485B56" w:rsidRPr="00A2264C">
        <w:t xml:space="preserve"> </w:t>
      </w:r>
      <w:r w:rsidRPr="00A2264C">
        <w:t>A</w:t>
      </w:r>
      <w:r w:rsidR="00485B56" w:rsidRPr="00A2264C">
        <w:t>nswers</w:t>
      </w:r>
      <w:bookmarkEnd w:id="0"/>
      <w:r w:rsidR="009353E5" w:rsidRPr="00A2264C">
        <w:t xml:space="preserve"> – </w:t>
      </w:r>
      <w:r w:rsidR="002E7AB3">
        <w:t>Commonwealth Home Support Programme (</w:t>
      </w:r>
      <w:r w:rsidR="003C794E" w:rsidRPr="00A2264C">
        <w:t>CHSP</w:t>
      </w:r>
      <w:r w:rsidR="002E7AB3">
        <w:t>)</w:t>
      </w:r>
      <w:r w:rsidR="003C794E" w:rsidRPr="00A2264C">
        <w:t xml:space="preserve"> </w:t>
      </w:r>
      <w:r w:rsidR="009353E5" w:rsidRPr="00A2264C">
        <w:t xml:space="preserve">2022-23 </w:t>
      </w:r>
      <w:r w:rsidR="00CD6A55" w:rsidRPr="00A2264C">
        <w:t>e</w:t>
      </w:r>
      <w:r w:rsidR="009353E5" w:rsidRPr="00A2264C">
        <w:t xml:space="preserve">xtension </w:t>
      </w:r>
      <w:bookmarkStart w:id="6" w:name="_Toc83808544"/>
      <w:r w:rsidR="003C794E">
        <w:t>w</w:t>
      </w:r>
      <w:r w:rsidR="0068326D" w:rsidRPr="00A2264C">
        <w:t>ebinar</w:t>
      </w:r>
      <w:r w:rsidR="002E7AB3">
        <w:t xml:space="preserve"> – </w:t>
      </w:r>
      <w:r w:rsidR="0068326D" w:rsidRPr="00A2264C">
        <w:t>17 November 2021</w:t>
      </w:r>
      <w:bookmarkEnd w:id="1"/>
      <w:bookmarkEnd w:id="2"/>
      <w:bookmarkEnd w:id="3"/>
      <w:bookmarkEnd w:id="4"/>
      <w:bookmarkEnd w:id="5"/>
      <w:bookmarkEnd w:id="6"/>
    </w:p>
    <w:p w14:paraId="71CCD3D2" w14:textId="77777777" w:rsidR="00161E6A" w:rsidRDefault="00161E6A" w:rsidP="00161E6A">
      <w:pPr>
        <w:rPr>
          <w:b/>
          <w:bCs/>
          <w:sz w:val="24"/>
          <w:szCs w:val="22"/>
        </w:rPr>
      </w:pPr>
    </w:p>
    <w:p w14:paraId="7D3A2EF1" w14:textId="259B24D5" w:rsidR="00161E6A" w:rsidRPr="00161E6A" w:rsidRDefault="00161E6A" w:rsidP="00161E6A">
      <w:pPr>
        <w:rPr>
          <w:b/>
          <w:bCs/>
          <w:sz w:val="24"/>
          <w:szCs w:val="22"/>
        </w:rPr>
      </w:pPr>
      <w:r w:rsidRPr="00161E6A">
        <w:rPr>
          <w:b/>
          <w:bCs/>
          <w:sz w:val="24"/>
          <w:szCs w:val="22"/>
        </w:rPr>
        <w:t>Table o</w:t>
      </w:r>
      <w:r w:rsidR="002E0C8E">
        <w:rPr>
          <w:b/>
          <w:bCs/>
          <w:sz w:val="24"/>
          <w:szCs w:val="22"/>
        </w:rPr>
        <w:t>f</w:t>
      </w:r>
      <w:r w:rsidRPr="00161E6A">
        <w:rPr>
          <w:b/>
          <w:bCs/>
          <w:sz w:val="24"/>
          <w:szCs w:val="22"/>
        </w:rPr>
        <w:t xml:space="preserve"> contents</w:t>
      </w:r>
    </w:p>
    <w:sdt>
      <w:sdtPr>
        <w:rPr>
          <w:b/>
          <w:bCs/>
        </w:rPr>
        <w:id w:val="561456693"/>
        <w:docPartObj>
          <w:docPartGallery w:val="Table of Contents"/>
          <w:docPartUnique/>
        </w:docPartObj>
      </w:sdtPr>
      <w:sdtEndPr>
        <w:rPr>
          <w:b w:val="0"/>
          <w:bCs w:val="0"/>
          <w:noProof/>
        </w:rPr>
      </w:sdtEndPr>
      <w:sdtContent>
        <w:p w14:paraId="16541239" w14:textId="39BDB6D6" w:rsidR="002E0C8E" w:rsidRDefault="0042219F">
          <w:pPr>
            <w:pStyle w:val="TOC1"/>
            <w:rPr>
              <w:rFonts w:eastAsiaTheme="minorEastAsia" w:cstheme="minorBidi"/>
              <w:noProof/>
              <w:szCs w:val="22"/>
              <w:lang w:eastAsia="en-AU"/>
            </w:rPr>
          </w:pPr>
          <w:r>
            <w:rPr>
              <w:b/>
              <w:bCs/>
              <w:color w:val="3374B8"/>
              <w:sz w:val="28"/>
              <w:szCs w:val="28"/>
              <w:lang w:val="en-US"/>
            </w:rPr>
            <w:fldChar w:fldCharType="begin"/>
          </w:r>
          <w:r>
            <w:instrText xml:space="preserve"> TOC \o "1-1" \h \z \u </w:instrText>
          </w:r>
          <w:r>
            <w:rPr>
              <w:b/>
              <w:bCs/>
              <w:color w:val="3374B8"/>
              <w:sz w:val="28"/>
              <w:szCs w:val="28"/>
              <w:lang w:val="en-US"/>
            </w:rPr>
            <w:fldChar w:fldCharType="separate"/>
          </w:r>
          <w:hyperlink w:anchor="_Toc89971538" w:history="1">
            <w:r w:rsidR="002E0C8E" w:rsidRPr="00C377AB">
              <w:rPr>
                <w:rStyle w:val="Hyperlink"/>
                <w:noProof/>
                <w:lang w:val="en-US"/>
              </w:rPr>
              <w:t>Introduction</w:t>
            </w:r>
            <w:r w:rsidR="002E0C8E">
              <w:rPr>
                <w:noProof/>
                <w:webHidden/>
              </w:rPr>
              <w:tab/>
            </w:r>
            <w:r w:rsidR="002E0C8E">
              <w:rPr>
                <w:noProof/>
                <w:webHidden/>
              </w:rPr>
              <w:fldChar w:fldCharType="begin"/>
            </w:r>
            <w:r w:rsidR="002E0C8E">
              <w:rPr>
                <w:noProof/>
                <w:webHidden/>
              </w:rPr>
              <w:instrText xml:space="preserve"> PAGEREF _Toc89971538 \h </w:instrText>
            </w:r>
            <w:r w:rsidR="002E0C8E">
              <w:rPr>
                <w:noProof/>
                <w:webHidden/>
              </w:rPr>
            </w:r>
            <w:r w:rsidR="002E0C8E">
              <w:rPr>
                <w:noProof/>
                <w:webHidden/>
              </w:rPr>
              <w:fldChar w:fldCharType="separate"/>
            </w:r>
            <w:r w:rsidR="00A024F9">
              <w:rPr>
                <w:noProof/>
                <w:webHidden/>
              </w:rPr>
              <w:t>1</w:t>
            </w:r>
            <w:r w:rsidR="002E0C8E">
              <w:rPr>
                <w:noProof/>
                <w:webHidden/>
              </w:rPr>
              <w:fldChar w:fldCharType="end"/>
            </w:r>
          </w:hyperlink>
        </w:p>
        <w:p w14:paraId="324BD1A0" w14:textId="79B576C7" w:rsidR="002E0C8E" w:rsidRDefault="00610410">
          <w:pPr>
            <w:pStyle w:val="TOC1"/>
            <w:rPr>
              <w:rFonts w:eastAsiaTheme="minorEastAsia" w:cstheme="minorBidi"/>
              <w:noProof/>
              <w:szCs w:val="22"/>
              <w:lang w:eastAsia="en-AU"/>
            </w:rPr>
          </w:pPr>
          <w:hyperlink w:anchor="_Toc89971539" w:history="1">
            <w:r w:rsidR="002E0C8E" w:rsidRPr="00C377AB">
              <w:rPr>
                <w:rStyle w:val="Hyperlink"/>
                <w:noProof/>
                <w:lang w:val="en-US"/>
              </w:rPr>
              <w:t>Version History</w:t>
            </w:r>
            <w:r w:rsidR="002E0C8E">
              <w:rPr>
                <w:noProof/>
                <w:webHidden/>
              </w:rPr>
              <w:tab/>
            </w:r>
            <w:r w:rsidR="002E0C8E">
              <w:rPr>
                <w:noProof/>
                <w:webHidden/>
              </w:rPr>
              <w:fldChar w:fldCharType="begin"/>
            </w:r>
            <w:r w:rsidR="002E0C8E">
              <w:rPr>
                <w:noProof/>
                <w:webHidden/>
              </w:rPr>
              <w:instrText xml:space="preserve"> PAGEREF _Toc89971539 \h </w:instrText>
            </w:r>
            <w:r w:rsidR="002E0C8E">
              <w:rPr>
                <w:noProof/>
                <w:webHidden/>
              </w:rPr>
            </w:r>
            <w:r w:rsidR="002E0C8E">
              <w:rPr>
                <w:noProof/>
                <w:webHidden/>
              </w:rPr>
              <w:fldChar w:fldCharType="separate"/>
            </w:r>
            <w:r w:rsidR="00A024F9">
              <w:rPr>
                <w:noProof/>
                <w:webHidden/>
              </w:rPr>
              <w:t>1</w:t>
            </w:r>
            <w:r w:rsidR="002E0C8E">
              <w:rPr>
                <w:noProof/>
                <w:webHidden/>
              </w:rPr>
              <w:fldChar w:fldCharType="end"/>
            </w:r>
          </w:hyperlink>
        </w:p>
        <w:p w14:paraId="21B5B474" w14:textId="12A95D08" w:rsidR="002E0C8E" w:rsidRDefault="00610410">
          <w:pPr>
            <w:pStyle w:val="TOC1"/>
            <w:rPr>
              <w:rFonts w:eastAsiaTheme="minorEastAsia" w:cstheme="minorBidi"/>
              <w:noProof/>
              <w:szCs w:val="22"/>
              <w:lang w:eastAsia="en-AU"/>
            </w:rPr>
          </w:pPr>
          <w:hyperlink w:anchor="_Toc89971540" w:history="1">
            <w:r w:rsidR="002E0C8E" w:rsidRPr="00C377AB">
              <w:rPr>
                <w:rStyle w:val="Hyperlink"/>
                <w:noProof/>
                <w:lang w:val="en-US"/>
              </w:rPr>
              <w:t>Acronyms and abbreviations</w:t>
            </w:r>
            <w:r w:rsidR="002E0C8E">
              <w:rPr>
                <w:noProof/>
                <w:webHidden/>
              </w:rPr>
              <w:tab/>
            </w:r>
            <w:r w:rsidR="002E0C8E">
              <w:rPr>
                <w:noProof/>
                <w:webHidden/>
              </w:rPr>
              <w:fldChar w:fldCharType="begin"/>
            </w:r>
            <w:r w:rsidR="002E0C8E">
              <w:rPr>
                <w:noProof/>
                <w:webHidden/>
              </w:rPr>
              <w:instrText xml:space="preserve"> PAGEREF _Toc89971540 \h </w:instrText>
            </w:r>
            <w:r w:rsidR="002E0C8E">
              <w:rPr>
                <w:noProof/>
                <w:webHidden/>
              </w:rPr>
            </w:r>
            <w:r w:rsidR="002E0C8E">
              <w:rPr>
                <w:noProof/>
                <w:webHidden/>
              </w:rPr>
              <w:fldChar w:fldCharType="separate"/>
            </w:r>
            <w:r w:rsidR="00A024F9">
              <w:rPr>
                <w:noProof/>
                <w:webHidden/>
              </w:rPr>
              <w:t>1</w:t>
            </w:r>
            <w:r w:rsidR="002E0C8E">
              <w:rPr>
                <w:noProof/>
                <w:webHidden/>
              </w:rPr>
              <w:fldChar w:fldCharType="end"/>
            </w:r>
          </w:hyperlink>
        </w:p>
        <w:p w14:paraId="52D88B00" w14:textId="43DBF599" w:rsidR="002E0C8E" w:rsidRDefault="00610410">
          <w:pPr>
            <w:pStyle w:val="TOC1"/>
            <w:rPr>
              <w:rFonts w:eastAsiaTheme="minorEastAsia" w:cstheme="minorBidi"/>
              <w:noProof/>
              <w:szCs w:val="22"/>
              <w:lang w:eastAsia="en-AU"/>
            </w:rPr>
          </w:pPr>
          <w:hyperlink w:anchor="_Toc89971541" w:history="1">
            <w:r w:rsidR="002E0C8E" w:rsidRPr="00C377AB">
              <w:rPr>
                <w:rStyle w:val="Hyperlink"/>
                <w:noProof/>
              </w:rPr>
              <w:t>Resources to reference with Question and Answers</w:t>
            </w:r>
            <w:r w:rsidR="002E0C8E">
              <w:rPr>
                <w:noProof/>
                <w:webHidden/>
              </w:rPr>
              <w:tab/>
            </w:r>
            <w:r w:rsidR="002E0C8E">
              <w:rPr>
                <w:noProof/>
                <w:webHidden/>
              </w:rPr>
              <w:fldChar w:fldCharType="begin"/>
            </w:r>
            <w:r w:rsidR="002E0C8E">
              <w:rPr>
                <w:noProof/>
                <w:webHidden/>
              </w:rPr>
              <w:instrText xml:space="preserve"> PAGEREF _Toc89971541 \h </w:instrText>
            </w:r>
            <w:r w:rsidR="002E0C8E">
              <w:rPr>
                <w:noProof/>
                <w:webHidden/>
              </w:rPr>
            </w:r>
            <w:r w:rsidR="002E0C8E">
              <w:rPr>
                <w:noProof/>
                <w:webHidden/>
              </w:rPr>
              <w:fldChar w:fldCharType="separate"/>
            </w:r>
            <w:r w:rsidR="00A024F9">
              <w:rPr>
                <w:noProof/>
                <w:webHidden/>
              </w:rPr>
              <w:t>2</w:t>
            </w:r>
            <w:r w:rsidR="002E0C8E">
              <w:rPr>
                <w:noProof/>
                <w:webHidden/>
              </w:rPr>
              <w:fldChar w:fldCharType="end"/>
            </w:r>
          </w:hyperlink>
        </w:p>
        <w:p w14:paraId="58595611" w14:textId="4D5C1688" w:rsidR="002E0C8E" w:rsidRDefault="00610410">
          <w:pPr>
            <w:pStyle w:val="TOC1"/>
            <w:rPr>
              <w:rFonts w:eastAsiaTheme="minorEastAsia" w:cstheme="minorBidi"/>
              <w:noProof/>
              <w:szCs w:val="22"/>
              <w:lang w:eastAsia="en-AU"/>
            </w:rPr>
          </w:pPr>
          <w:hyperlink w:anchor="_Toc89971542" w:history="1">
            <w:r w:rsidR="002E0C8E" w:rsidRPr="00C377AB">
              <w:rPr>
                <w:rStyle w:val="Hyperlink"/>
                <w:noProof/>
              </w:rPr>
              <w:t>Question and Answers</w:t>
            </w:r>
            <w:r w:rsidR="002E0C8E">
              <w:rPr>
                <w:noProof/>
                <w:webHidden/>
              </w:rPr>
              <w:tab/>
            </w:r>
            <w:r w:rsidR="002E0C8E">
              <w:rPr>
                <w:noProof/>
                <w:webHidden/>
              </w:rPr>
              <w:fldChar w:fldCharType="begin"/>
            </w:r>
            <w:r w:rsidR="002E0C8E">
              <w:rPr>
                <w:noProof/>
                <w:webHidden/>
              </w:rPr>
              <w:instrText xml:space="preserve"> PAGEREF _Toc89971542 \h </w:instrText>
            </w:r>
            <w:r w:rsidR="002E0C8E">
              <w:rPr>
                <w:noProof/>
                <w:webHidden/>
              </w:rPr>
            </w:r>
            <w:r w:rsidR="002E0C8E">
              <w:rPr>
                <w:noProof/>
                <w:webHidden/>
              </w:rPr>
              <w:fldChar w:fldCharType="separate"/>
            </w:r>
            <w:r w:rsidR="00A024F9">
              <w:rPr>
                <w:noProof/>
                <w:webHidden/>
              </w:rPr>
              <w:t>3</w:t>
            </w:r>
            <w:r w:rsidR="002E0C8E">
              <w:rPr>
                <w:noProof/>
                <w:webHidden/>
              </w:rPr>
              <w:fldChar w:fldCharType="end"/>
            </w:r>
          </w:hyperlink>
        </w:p>
        <w:p w14:paraId="0EC4C3BC" w14:textId="7647A68F" w:rsidR="00161E6A" w:rsidRPr="00161E6A" w:rsidRDefault="0042219F" w:rsidP="00161E6A">
          <w:r>
            <w:fldChar w:fldCharType="end"/>
          </w:r>
        </w:p>
      </w:sdtContent>
    </w:sdt>
    <w:p w14:paraId="7FC3BB30" w14:textId="68CC0A6C" w:rsidR="00161E6A" w:rsidRDefault="00161E6A" w:rsidP="00161E6A">
      <w:pPr>
        <w:pStyle w:val="Heading1"/>
        <w:rPr>
          <w:lang w:val="en-US"/>
        </w:rPr>
      </w:pPr>
      <w:bookmarkStart w:id="7" w:name="_Toc89971538"/>
      <w:r>
        <w:rPr>
          <w:lang w:val="en-US"/>
        </w:rPr>
        <w:t>Introduction</w:t>
      </w:r>
      <w:bookmarkEnd w:id="7"/>
    </w:p>
    <w:p w14:paraId="7058E6ED" w14:textId="3C2BCAB7" w:rsidR="003C794E" w:rsidRDefault="00F549A5" w:rsidP="003C794E">
      <w:pPr>
        <w:rPr>
          <w:lang w:val="en-US"/>
        </w:rPr>
      </w:pPr>
      <w:r>
        <w:rPr>
          <w:lang w:val="en-US"/>
        </w:rPr>
        <w:t>T</w:t>
      </w:r>
      <w:r w:rsidR="003C794E">
        <w:rPr>
          <w:lang w:val="en-US"/>
        </w:rPr>
        <w:t>he</w:t>
      </w:r>
      <w:r w:rsidR="007620A7" w:rsidRPr="007620A7">
        <w:t xml:space="preserve"> </w:t>
      </w:r>
      <w:r w:rsidR="007620A7" w:rsidRPr="007620A7">
        <w:rPr>
          <w:lang w:val="en-US"/>
        </w:rPr>
        <w:t xml:space="preserve">Department of Health (Health) </w:t>
      </w:r>
      <w:r w:rsidR="003C794E">
        <w:rPr>
          <w:lang w:val="en-US"/>
        </w:rPr>
        <w:t xml:space="preserve">hosted a </w:t>
      </w:r>
      <w:r>
        <w:rPr>
          <w:lang w:val="en-US"/>
        </w:rPr>
        <w:t xml:space="preserve">CHSP 2022-23 extension </w:t>
      </w:r>
      <w:r w:rsidR="003C794E">
        <w:rPr>
          <w:lang w:val="en-US"/>
        </w:rPr>
        <w:t xml:space="preserve">webinar on </w:t>
      </w:r>
      <w:r>
        <w:rPr>
          <w:lang w:val="en-US"/>
        </w:rPr>
        <w:t xml:space="preserve">17 November 2021 to update the sector on payment in arrears, </w:t>
      </w:r>
      <w:r w:rsidR="00F425B4">
        <w:rPr>
          <w:lang w:val="en-US"/>
        </w:rPr>
        <w:t xml:space="preserve">the </w:t>
      </w:r>
      <w:r>
        <w:rPr>
          <w:lang w:val="en-US"/>
        </w:rPr>
        <w:t>extension</w:t>
      </w:r>
      <w:r w:rsidR="0022497B">
        <w:rPr>
          <w:lang w:val="en-US"/>
        </w:rPr>
        <w:t xml:space="preserve"> process</w:t>
      </w:r>
      <w:r>
        <w:rPr>
          <w:lang w:val="en-US"/>
        </w:rPr>
        <w:t xml:space="preserve"> and unit pricing</w:t>
      </w:r>
      <w:r w:rsidR="003C794E">
        <w:rPr>
          <w:lang w:val="en-US"/>
        </w:rPr>
        <w:t xml:space="preserve">. </w:t>
      </w:r>
      <w:r>
        <w:rPr>
          <w:lang w:val="en-US"/>
        </w:rPr>
        <w:t xml:space="preserve">The webinar was attended by 1,991 people </w:t>
      </w:r>
      <w:r w:rsidR="00E01B29">
        <w:rPr>
          <w:lang w:val="en-US"/>
        </w:rPr>
        <w:t xml:space="preserve">and </w:t>
      </w:r>
      <w:r>
        <w:rPr>
          <w:lang w:val="en-US"/>
        </w:rPr>
        <w:t>398 questions</w:t>
      </w:r>
      <w:r w:rsidR="00BF5BE3">
        <w:rPr>
          <w:lang w:val="en-US"/>
        </w:rPr>
        <w:t xml:space="preserve"> were</w:t>
      </w:r>
      <w:r>
        <w:rPr>
          <w:lang w:val="en-US"/>
        </w:rPr>
        <w:t xml:space="preserve"> </w:t>
      </w:r>
      <w:r w:rsidR="00E01B29">
        <w:rPr>
          <w:lang w:val="en-US"/>
        </w:rPr>
        <w:t>submitted</w:t>
      </w:r>
      <w:r>
        <w:rPr>
          <w:lang w:val="en-US"/>
        </w:rPr>
        <w:t xml:space="preserve">. </w:t>
      </w:r>
      <w:r w:rsidR="002E7AB3">
        <w:rPr>
          <w:lang w:val="en-US"/>
        </w:rPr>
        <w:t>Health would like to thank all attendees for their engagement.</w:t>
      </w:r>
    </w:p>
    <w:p w14:paraId="2B34F135" w14:textId="4477445D" w:rsidR="009A3CA5" w:rsidRDefault="009A3CA5" w:rsidP="003C794E">
      <w:pPr>
        <w:rPr>
          <w:lang w:val="en-US"/>
        </w:rPr>
      </w:pPr>
      <w:r>
        <w:rPr>
          <w:lang w:val="en-US"/>
        </w:rPr>
        <w:t>Of the</w:t>
      </w:r>
      <w:r w:rsidR="002E7AB3">
        <w:rPr>
          <w:lang w:val="en-US"/>
        </w:rPr>
        <w:t xml:space="preserve"> </w:t>
      </w:r>
      <w:r>
        <w:rPr>
          <w:lang w:val="en-US"/>
        </w:rPr>
        <w:t xml:space="preserve">398 </w:t>
      </w:r>
      <w:r w:rsidR="002E7AB3">
        <w:rPr>
          <w:lang w:val="en-US"/>
        </w:rPr>
        <w:t>questions</w:t>
      </w:r>
      <w:r w:rsidR="0022497B">
        <w:rPr>
          <w:lang w:val="en-US"/>
        </w:rPr>
        <w:t xml:space="preserve">, </w:t>
      </w:r>
      <w:r>
        <w:rPr>
          <w:lang w:val="en-US"/>
        </w:rPr>
        <w:t xml:space="preserve">95 </w:t>
      </w:r>
      <w:r w:rsidR="00E01B29">
        <w:rPr>
          <w:lang w:val="en-US"/>
        </w:rPr>
        <w:t>were about</w:t>
      </w:r>
      <w:r>
        <w:rPr>
          <w:lang w:val="en-US"/>
        </w:rPr>
        <w:t xml:space="preserve"> technical issues, 76 </w:t>
      </w:r>
      <w:r w:rsidR="00E01B29">
        <w:rPr>
          <w:lang w:val="en-US"/>
        </w:rPr>
        <w:t>were on</w:t>
      </w:r>
      <w:r>
        <w:rPr>
          <w:lang w:val="en-US"/>
        </w:rPr>
        <w:t xml:space="preserve"> the future support at Home Program and 227</w:t>
      </w:r>
      <w:r w:rsidR="002E0C8E">
        <w:rPr>
          <w:lang w:val="en-US"/>
        </w:rPr>
        <w:t xml:space="preserve"> </w:t>
      </w:r>
      <w:r w:rsidR="00E01B29">
        <w:rPr>
          <w:lang w:val="en-US"/>
        </w:rPr>
        <w:t xml:space="preserve">were on </w:t>
      </w:r>
      <w:r>
        <w:rPr>
          <w:lang w:val="en-US"/>
        </w:rPr>
        <w:t xml:space="preserve">the 2022-23 CHSP extension. Questions </w:t>
      </w:r>
      <w:r w:rsidR="00E01B29">
        <w:rPr>
          <w:lang w:val="en-US"/>
        </w:rPr>
        <w:t>on</w:t>
      </w:r>
      <w:r>
        <w:rPr>
          <w:lang w:val="en-US"/>
        </w:rPr>
        <w:t xml:space="preserve"> the future Support at Home Program will be answered in future communications.</w:t>
      </w:r>
    </w:p>
    <w:p w14:paraId="7725097C" w14:textId="04F3BFDF" w:rsidR="002368F3" w:rsidRDefault="009A3CA5" w:rsidP="003C794E">
      <w:pPr>
        <w:rPr>
          <w:lang w:val="en-US"/>
        </w:rPr>
      </w:pPr>
      <w:r>
        <w:rPr>
          <w:lang w:val="en-US"/>
        </w:rPr>
        <w:t xml:space="preserve">Health has reviewed all 227 questions </w:t>
      </w:r>
      <w:r w:rsidR="00E01B29">
        <w:rPr>
          <w:lang w:val="en-US"/>
        </w:rPr>
        <w:t xml:space="preserve">on </w:t>
      </w:r>
      <w:r>
        <w:rPr>
          <w:lang w:val="en-US"/>
        </w:rPr>
        <w:t>the 2022-23 CHSP extension</w:t>
      </w:r>
      <w:r w:rsidR="00F549A5">
        <w:rPr>
          <w:lang w:val="en-US"/>
        </w:rPr>
        <w:t>.</w:t>
      </w:r>
      <w:r>
        <w:rPr>
          <w:lang w:val="en-US"/>
        </w:rPr>
        <w:t xml:space="preserve"> </w:t>
      </w:r>
      <w:r w:rsidR="00F549A5">
        <w:rPr>
          <w:lang w:val="en-US"/>
        </w:rPr>
        <w:t>D</w:t>
      </w:r>
      <w:r w:rsidR="002E7AB3">
        <w:rPr>
          <w:lang w:val="en-US"/>
        </w:rPr>
        <w:t xml:space="preserve">uplications </w:t>
      </w:r>
      <w:r w:rsidR="00D25070">
        <w:rPr>
          <w:lang w:val="en-US"/>
        </w:rPr>
        <w:t>were</w:t>
      </w:r>
      <w:r w:rsidR="00F549A5">
        <w:rPr>
          <w:lang w:val="en-US"/>
        </w:rPr>
        <w:t xml:space="preserve"> removed </w:t>
      </w:r>
      <w:r w:rsidR="002E7AB3">
        <w:rPr>
          <w:lang w:val="en-US"/>
        </w:rPr>
        <w:t xml:space="preserve">and </w:t>
      </w:r>
      <w:r>
        <w:rPr>
          <w:lang w:val="en-US"/>
        </w:rPr>
        <w:t xml:space="preserve">remaining questions </w:t>
      </w:r>
      <w:r w:rsidR="00F549A5">
        <w:rPr>
          <w:lang w:val="en-US"/>
        </w:rPr>
        <w:t>have been grouped</w:t>
      </w:r>
      <w:r w:rsidR="00D25070">
        <w:rPr>
          <w:lang w:val="en-US"/>
        </w:rPr>
        <w:t xml:space="preserve"> into themes</w:t>
      </w:r>
      <w:r>
        <w:rPr>
          <w:lang w:val="en-US"/>
        </w:rPr>
        <w:t xml:space="preserve">. </w:t>
      </w:r>
      <w:r w:rsidR="002368F3">
        <w:rPr>
          <w:lang w:val="en-US"/>
        </w:rPr>
        <w:t>The re</w:t>
      </w:r>
      <w:r w:rsidR="00F549A5">
        <w:rPr>
          <w:lang w:val="en-US"/>
        </w:rPr>
        <w:t xml:space="preserve">sources </w:t>
      </w:r>
      <w:r w:rsidR="002368F3">
        <w:rPr>
          <w:lang w:val="en-US"/>
        </w:rPr>
        <w:t xml:space="preserve">table at pages 2-3 </w:t>
      </w:r>
      <w:r w:rsidR="00E01B29">
        <w:rPr>
          <w:lang w:val="en-US"/>
        </w:rPr>
        <w:t>include</w:t>
      </w:r>
      <w:r w:rsidR="00D25070">
        <w:rPr>
          <w:lang w:val="en-US"/>
        </w:rPr>
        <w:t>s</w:t>
      </w:r>
      <w:r w:rsidR="002368F3">
        <w:rPr>
          <w:lang w:val="en-US"/>
        </w:rPr>
        <w:t xml:space="preserve"> links to </w:t>
      </w:r>
      <w:r w:rsidR="00D25070">
        <w:rPr>
          <w:lang w:val="en-US"/>
        </w:rPr>
        <w:t>more</w:t>
      </w:r>
      <w:r w:rsidR="002368F3">
        <w:rPr>
          <w:lang w:val="en-US"/>
        </w:rPr>
        <w:t xml:space="preserve"> information and should be read alongside</w:t>
      </w:r>
      <w:r w:rsidR="00F549A5">
        <w:rPr>
          <w:lang w:val="en-US"/>
        </w:rPr>
        <w:t xml:space="preserve"> </w:t>
      </w:r>
      <w:r w:rsidR="00D25070">
        <w:rPr>
          <w:lang w:val="en-US"/>
        </w:rPr>
        <w:t xml:space="preserve">some </w:t>
      </w:r>
      <w:r w:rsidR="002368F3">
        <w:rPr>
          <w:lang w:val="en-US"/>
        </w:rPr>
        <w:t>answers.</w:t>
      </w:r>
    </w:p>
    <w:p w14:paraId="76B8C9DE" w14:textId="4534A3CC" w:rsidR="003C794E" w:rsidRPr="002E0C8E" w:rsidRDefault="002368F3" w:rsidP="003C794E">
      <w:pPr>
        <w:rPr>
          <w:sz w:val="16"/>
          <w:szCs w:val="14"/>
          <w:lang w:val="en-US"/>
        </w:rPr>
      </w:pPr>
      <w:r>
        <w:rPr>
          <w:lang w:val="en-US"/>
        </w:rPr>
        <w:t xml:space="preserve">If you have </w:t>
      </w:r>
      <w:r w:rsidR="00D25070">
        <w:rPr>
          <w:lang w:val="en-US"/>
        </w:rPr>
        <w:t xml:space="preserve">extra </w:t>
      </w:r>
      <w:r>
        <w:rPr>
          <w:lang w:val="en-US"/>
        </w:rPr>
        <w:t xml:space="preserve">questions </w:t>
      </w:r>
      <w:r w:rsidR="00C57B04">
        <w:rPr>
          <w:lang w:val="en-US"/>
        </w:rPr>
        <w:t xml:space="preserve">you would like answered </w:t>
      </w:r>
      <w:r>
        <w:rPr>
          <w:lang w:val="en-US"/>
        </w:rPr>
        <w:t xml:space="preserve">or </w:t>
      </w:r>
      <w:r w:rsidR="008F0F30">
        <w:rPr>
          <w:lang w:val="en-US"/>
        </w:rPr>
        <w:t>believe your</w:t>
      </w:r>
      <w:r>
        <w:rPr>
          <w:lang w:val="en-US"/>
        </w:rPr>
        <w:t xml:space="preserve"> question</w:t>
      </w:r>
      <w:r w:rsidR="008F0F30">
        <w:rPr>
          <w:lang w:val="en-US"/>
        </w:rPr>
        <w:t xml:space="preserve"> </w:t>
      </w:r>
      <w:r w:rsidR="00C57B04">
        <w:rPr>
          <w:lang w:val="en-US"/>
        </w:rPr>
        <w:t>w</w:t>
      </w:r>
      <w:r w:rsidR="008F0F30">
        <w:rPr>
          <w:lang w:val="en-US"/>
        </w:rPr>
        <w:t>as</w:t>
      </w:r>
      <w:r>
        <w:rPr>
          <w:lang w:val="en-US"/>
        </w:rPr>
        <w:t xml:space="preserve"> </w:t>
      </w:r>
      <w:r w:rsidR="00D25070">
        <w:rPr>
          <w:lang w:val="en-US"/>
        </w:rPr>
        <w:t>not included</w:t>
      </w:r>
      <w:r>
        <w:rPr>
          <w:lang w:val="en-US"/>
        </w:rPr>
        <w:t>, please email us at</w:t>
      </w:r>
      <w:r w:rsidR="00083E6D">
        <w:rPr>
          <w:lang w:val="en-US"/>
        </w:rPr>
        <w:t xml:space="preserve"> </w:t>
      </w:r>
      <w:hyperlink r:id="rId8" w:history="1">
        <w:r w:rsidR="00083E6D" w:rsidRPr="0071463B">
          <w:rPr>
            <w:rStyle w:val="Hyperlink"/>
            <w:lang w:val="en-US"/>
          </w:rPr>
          <w:t>homesupportpolicy@health.gov.au</w:t>
        </w:r>
      </w:hyperlink>
      <w:r w:rsidR="00083E6D">
        <w:rPr>
          <w:lang w:val="en-US"/>
        </w:rPr>
        <w:t>.</w:t>
      </w:r>
    </w:p>
    <w:p w14:paraId="699FBDB9" w14:textId="09F7BADA" w:rsidR="00E51CE4" w:rsidRDefault="002E0C8E" w:rsidP="00A2264C">
      <w:pPr>
        <w:pStyle w:val="Heading1"/>
      </w:pPr>
      <w:bookmarkStart w:id="8" w:name="_Toc89971539"/>
      <w:r>
        <w:rPr>
          <w:lang w:val="en-US"/>
        </w:rPr>
        <w:t>Document hi</w:t>
      </w:r>
      <w:r w:rsidR="0055051B">
        <w:rPr>
          <w:lang w:val="en-US"/>
        </w:rPr>
        <w:t>story</w:t>
      </w:r>
      <w:bookmarkEnd w:id="8"/>
    </w:p>
    <w:tbl>
      <w:tblPr>
        <w:tblStyle w:val="TableGrid"/>
        <w:tblW w:w="0" w:type="auto"/>
        <w:tblLook w:val="04A0" w:firstRow="1" w:lastRow="0" w:firstColumn="1" w:lastColumn="0" w:noHBand="0" w:noVBand="1"/>
      </w:tblPr>
      <w:tblGrid>
        <w:gridCol w:w="1555"/>
        <w:gridCol w:w="1559"/>
        <w:gridCol w:w="2126"/>
        <w:gridCol w:w="3776"/>
      </w:tblGrid>
      <w:tr w:rsidR="0055051B" w14:paraId="008EA503" w14:textId="77777777" w:rsidTr="008614BC">
        <w:tc>
          <w:tcPr>
            <w:tcW w:w="1555" w:type="dxa"/>
            <w:shd w:val="clear" w:color="auto" w:fill="D9E2F3" w:themeFill="accent5" w:themeFillTint="33"/>
          </w:tcPr>
          <w:p w14:paraId="54193B20" w14:textId="5E878CBE" w:rsidR="0055051B" w:rsidRDefault="0055051B">
            <w:bookmarkStart w:id="9" w:name="_Hlk80952779"/>
            <w:r>
              <w:t>Version</w:t>
            </w:r>
          </w:p>
        </w:tc>
        <w:tc>
          <w:tcPr>
            <w:tcW w:w="1559" w:type="dxa"/>
            <w:shd w:val="clear" w:color="auto" w:fill="D9E2F3" w:themeFill="accent5" w:themeFillTint="33"/>
          </w:tcPr>
          <w:p w14:paraId="23A80076" w14:textId="67E194E0" w:rsidR="0055051B" w:rsidRDefault="0055051B">
            <w:r>
              <w:t>Date</w:t>
            </w:r>
          </w:p>
        </w:tc>
        <w:tc>
          <w:tcPr>
            <w:tcW w:w="2126" w:type="dxa"/>
            <w:shd w:val="clear" w:color="auto" w:fill="D9E2F3" w:themeFill="accent5" w:themeFillTint="33"/>
          </w:tcPr>
          <w:p w14:paraId="380B4AD0" w14:textId="009FD75C" w:rsidR="0055051B" w:rsidRDefault="0055051B">
            <w:r>
              <w:t>Q&amp;As added</w:t>
            </w:r>
          </w:p>
        </w:tc>
        <w:tc>
          <w:tcPr>
            <w:tcW w:w="3776" w:type="dxa"/>
            <w:shd w:val="clear" w:color="auto" w:fill="D9E2F3" w:themeFill="accent5" w:themeFillTint="33"/>
          </w:tcPr>
          <w:p w14:paraId="7F266F74" w14:textId="5D1A4234" w:rsidR="0055051B" w:rsidRDefault="0055051B">
            <w:r>
              <w:t>Q&amp;As edited</w:t>
            </w:r>
          </w:p>
        </w:tc>
      </w:tr>
      <w:tr w:rsidR="0055051B" w14:paraId="4B424C21" w14:textId="77777777" w:rsidTr="008614BC">
        <w:tc>
          <w:tcPr>
            <w:tcW w:w="1555" w:type="dxa"/>
          </w:tcPr>
          <w:p w14:paraId="403AFEAC" w14:textId="76504223" w:rsidR="0055051B" w:rsidRDefault="0055051B">
            <w:r>
              <w:t>1.</w:t>
            </w:r>
            <w:r w:rsidR="00BF5BE3">
              <w:t>1</w:t>
            </w:r>
          </w:p>
        </w:tc>
        <w:tc>
          <w:tcPr>
            <w:tcW w:w="1559" w:type="dxa"/>
          </w:tcPr>
          <w:p w14:paraId="3A2188A0" w14:textId="08A3C977" w:rsidR="0055051B" w:rsidRDefault="00B37A29">
            <w:r>
              <w:t>December 2021</w:t>
            </w:r>
          </w:p>
        </w:tc>
        <w:tc>
          <w:tcPr>
            <w:tcW w:w="2126" w:type="dxa"/>
          </w:tcPr>
          <w:p w14:paraId="0DF9EBC5" w14:textId="6D32AD04" w:rsidR="0055051B" w:rsidRDefault="0055051B">
            <w:r>
              <w:t>All</w:t>
            </w:r>
          </w:p>
        </w:tc>
        <w:tc>
          <w:tcPr>
            <w:tcW w:w="3776" w:type="dxa"/>
          </w:tcPr>
          <w:p w14:paraId="338332D8" w14:textId="4CA6C9C7" w:rsidR="0055051B" w:rsidRDefault="0055051B">
            <w:r>
              <w:t>N/A</w:t>
            </w:r>
          </w:p>
        </w:tc>
      </w:tr>
      <w:bookmarkEnd w:id="9"/>
    </w:tbl>
    <w:p w14:paraId="06411034" w14:textId="44133BE8" w:rsidR="00324531" w:rsidRPr="002E0C8E" w:rsidRDefault="00324531">
      <w:pPr>
        <w:rPr>
          <w:sz w:val="16"/>
          <w:szCs w:val="14"/>
        </w:rPr>
      </w:pPr>
    </w:p>
    <w:p w14:paraId="40D4E22C" w14:textId="12126FF4" w:rsidR="00FF0DEA" w:rsidRDefault="00FF0DEA" w:rsidP="00A2264C">
      <w:pPr>
        <w:pStyle w:val="Heading1"/>
      </w:pPr>
      <w:bookmarkStart w:id="10" w:name="_Toc89971540"/>
      <w:r>
        <w:rPr>
          <w:lang w:val="en-US"/>
        </w:rPr>
        <w:t>Acronyms</w:t>
      </w:r>
      <w:r w:rsidR="008F0F30">
        <w:rPr>
          <w:lang w:val="en-US"/>
        </w:rPr>
        <w:t xml:space="preserve"> and abbreviations</w:t>
      </w:r>
      <w:bookmarkEnd w:id="10"/>
    </w:p>
    <w:tbl>
      <w:tblPr>
        <w:tblStyle w:val="TableGrid"/>
        <w:tblW w:w="9067" w:type="dxa"/>
        <w:tblLook w:val="04A0" w:firstRow="1" w:lastRow="0" w:firstColumn="1" w:lastColumn="0" w:noHBand="0" w:noVBand="1"/>
      </w:tblPr>
      <w:tblGrid>
        <w:gridCol w:w="1555"/>
        <w:gridCol w:w="7512"/>
      </w:tblGrid>
      <w:tr w:rsidR="00126637" w14:paraId="20D45057" w14:textId="77777777" w:rsidTr="008614BC">
        <w:tc>
          <w:tcPr>
            <w:tcW w:w="1555" w:type="dxa"/>
            <w:shd w:val="clear" w:color="auto" w:fill="D9E2F3" w:themeFill="accent5" w:themeFillTint="33"/>
          </w:tcPr>
          <w:p w14:paraId="0AB1C07A" w14:textId="77777777" w:rsidR="002E0C8E" w:rsidRDefault="00126637" w:rsidP="00126637">
            <w:r>
              <w:t>Acronym</w:t>
            </w:r>
          </w:p>
          <w:p w14:paraId="309FBF05" w14:textId="152F4117" w:rsidR="00126637" w:rsidRDefault="002E0C8E" w:rsidP="00126637">
            <w:r>
              <w:t>/ abbreviation</w:t>
            </w:r>
            <w:r w:rsidR="00126637">
              <w:t xml:space="preserve"> </w:t>
            </w:r>
          </w:p>
        </w:tc>
        <w:tc>
          <w:tcPr>
            <w:tcW w:w="7512" w:type="dxa"/>
            <w:shd w:val="clear" w:color="auto" w:fill="D9E2F3" w:themeFill="accent5" w:themeFillTint="33"/>
          </w:tcPr>
          <w:p w14:paraId="7B6FE127" w14:textId="4DF9A38F" w:rsidR="00126637" w:rsidRDefault="00126637" w:rsidP="00126637">
            <w:r>
              <w:t xml:space="preserve">Definition </w:t>
            </w:r>
          </w:p>
        </w:tc>
      </w:tr>
      <w:tr w:rsidR="00E533F1" w14:paraId="28219715" w14:textId="77777777" w:rsidTr="00126637">
        <w:tc>
          <w:tcPr>
            <w:tcW w:w="1555" w:type="dxa"/>
          </w:tcPr>
          <w:p w14:paraId="7C7D70F0" w14:textId="7387BFD2" w:rsidR="00E533F1" w:rsidRDefault="00E533F1" w:rsidP="00126637">
            <w:r>
              <w:t>ACH</w:t>
            </w:r>
          </w:p>
        </w:tc>
        <w:tc>
          <w:tcPr>
            <w:tcW w:w="7512" w:type="dxa"/>
          </w:tcPr>
          <w:p w14:paraId="73629601" w14:textId="51BD807D" w:rsidR="00E533F1" w:rsidRDefault="00E533F1" w:rsidP="00126637">
            <w:r>
              <w:t>Assistance with Care and Housing</w:t>
            </w:r>
          </w:p>
        </w:tc>
      </w:tr>
      <w:tr w:rsidR="00324531" w14:paraId="713C8386" w14:textId="77777777" w:rsidTr="00126637">
        <w:tc>
          <w:tcPr>
            <w:tcW w:w="1555" w:type="dxa"/>
          </w:tcPr>
          <w:p w14:paraId="2A25F3BB" w14:textId="455AE89E" w:rsidR="00324531" w:rsidRDefault="00324531" w:rsidP="00126637">
            <w:r>
              <w:t>ACPR</w:t>
            </w:r>
          </w:p>
        </w:tc>
        <w:tc>
          <w:tcPr>
            <w:tcW w:w="7512" w:type="dxa"/>
          </w:tcPr>
          <w:p w14:paraId="0D0418EA" w14:textId="479F68AC" w:rsidR="00324531" w:rsidRDefault="00324531" w:rsidP="00126637">
            <w:r>
              <w:t>Aged Care Planning Region</w:t>
            </w:r>
          </w:p>
        </w:tc>
      </w:tr>
      <w:tr w:rsidR="00FF0DEA" w14:paraId="2D07C186" w14:textId="77777777" w:rsidTr="00126637">
        <w:tc>
          <w:tcPr>
            <w:tcW w:w="1555" w:type="dxa"/>
          </w:tcPr>
          <w:p w14:paraId="1EFC0A6F" w14:textId="4CC93B3F" w:rsidR="00FF0DEA" w:rsidRDefault="00FF0DEA" w:rsidP="00126637">
            <w:r>
              <w:t>CALD</w:t>
            </w:r>
          </w:p>
        </w:tc>
        <w:tc>
          <w:tcPr>
            <w:tcW w:w="7512" w:type="dxa"/>
          </w:tcPr>
          <w:p w14:paraId="4628F9E6" w14:textId="77777777" w:rsidR="00FF0DEA" w:rsidRDefault="00FF0DEA" w:rsidP="00126637">
            <w:r>
              <w:t>Culturally an</w:t>
            </w:r>
            <w:r w:rsidR="00324531">
              <w:t>d Linguistically Diverse</w:t>
            </w:r>
          </w:p>
        </w:tc>
      </w:tr>
      <w:tr w:rsidR="00324531" w14:paraId="04B12593" w14:textId="77777777" w:rsidTr="00126637">
        <w:tc>
          <w:tcPr>
            <w:tcW w:w="1555" w:type="dxa"/>
          </w:tcPr>
          <w:p w14:paraId="290CF5B6" w14:textId="689DCE5A" w:rsidR="00324531" w:rsidRDefault="00324531" w:rsidP="00126637">
            <w:r>
              <w:t>CGH</w:t>
            </w:r>
          </w:p>
        </w:tc>
        <w:tc>
          <w:tcPr>
            <w:tcW w:w="7512" w:type="dxa"/>
          </w:tcPr>
          <w:p w14:paraId="713B22C0" w14:textId="01ED744A" w:rsidR="00324531" w:rsidRDefault="00324531" w:rsidP="00126637">
            <w:r>
              <w:t>Community Grants Hub</w:t>
            </w:r>
          </w:p>
        </w:tc>
      </w:tr>
      <w:tr w:rsidR="00126637" w14:paraId="48F89A61" w14:textId="77777777" w:rsidTr="008614BC">
        <w:tc>
          <w:tcPr>
            <w:tcW w:w="1555" w:type="dxa"/>
          </w:tcPr>
          <w:p w14:paraId="0C1AD554" w14:textId="2C38C383" w:rsidR="00126637" w:rsidRDefault="00126637" w:rsidP="00126637">
            <w:r>
              <w:lastRenderedPageBreak/>
              <w:t xml:space="preserve">CHSP </w:t>
            </w:r>
          </w:p>
        </w:tc>
        <w:tc>
          <w:tcPr>
            <w:tcW w:w="7512" w:type="dxa"/>
          </w:tcPr>
          <w:p w14:paraId="7C76A212" w14:textId="7C6E76B7" w:rsidR="00126637" w:rsidRDefault="00126637" w:rsidP="00126637">
            <w:r>
              <w:t>Commonwealth Home Support Programme</w:t>
            </w:r>
          </w:p>
        </w:tc>
      </w:tr>
      <w:tr w:rsidR="00FF0DEA" w14:paraId="7985A01E" w14:textId="77777777" w:rsidTr="00126637">
        <w:tc>
          <w:tcPr>
            <w:tcW w:w="1555" w:type="dxa"/>
          </w:tcPr>
          <w:p w14:paraId="58B9DC74" w14:textId="55622733" w:rsidR="00FF0DEA" w:rsidRDefault="00FF0DEA" w:rsidP="00126637">
            <w:r>
              <w:t>DEX</w:t>
            </w:r>
          </w:p>
        </w:tc>
        <w:tc>
          <w:tcPr>
            <w:tcW w:w="7512" w:type="dxa"/>
          </w:tcPr>
          <w:p w14:paraId="6D4B36E3" w14:textId="30AD08FB" w:rsidR="00FF0DEA" w:rsidRDefault="00FF0DEA" w:rsidP="00126637">
            <w:r>
              <w:t>Data Exchange</w:t>
            </w:r>
          </w:p>
        </w:tc>
      </w:tr>
      <w:tr w:rsidR="00DC2927" w14:paraId="09DF85AC" w14:textId="77777777" w:rsidTr="00126637">
        <w:tc>
          <w:tcPr>
            <w:tcW w:w="1555" w:type="dxa"/>
          </w:tcPr>
          <w:p w14:paraId="3D367D76" w14:textId="2DD521DF" w:rsidR="00DC2927" w:rsidRDefault="00DC2927" w:rsidP="00126637">
            <w:r>
              <w:t>FY</w:t>
            </w:r>
          </w:p>
        </w:tc>
        <w:tc>
          <w:tcPr>
            <w:tcW w:w="7512" w:type="dxa"/>
          </w:tcPr>
          <w:p w14:paraId="6E77ED82" w14:textId="464D6BA6" w:rsidR="00DC2927" w:rsidRDefault="00DC2927" w:rsidP="00126637">
            <w:r>
              <w:t>Financial Year</w:t>
            </w:r>
          </w:p>
        </w:tc>
      </w:tr>
      <w:tr w:rsidR="0001253F" w14:paraId="389DE170" w14:textId="77777777" w:rsidTr="00126637">
        <w:tc>
          <w:tcPr>
            <w:tcW w:w="1555" w:type="dxa"/>
          </w:tcPr>
          <w:p w14:paraId="212137D7" w14:textId="6BE0F5A9" w:rsidR="0001253F" w:rsidRDefault="0001253F" w:rsidP="000D6CE7">
            <w:r>
              <w:t>HACC</w:t>
            </w:r>
          </w:p>
        </w:tc>
        <w:tc>
          <w:tcPr>
            <w:tcW w:w="7512" w:type="dxa"/>
          </w:tcPr>
          <w:p w14:paraId="1267F139" w14:textId="0DCC9848" w:rsidR="0001253F" w:rsidRDefault="0001253F" w:rsidP="000D6CE7">
            <w:r>
              <w:t>Home and Community Care program</w:t>
            </w:r>
          </w:p>
        </w:tc>
      </w:tr>
      <w:tr w:rsidR="000D6CE7" w14:paraId="3BA9AF77" w14:textId="77777777" w:rsidTr="00126637">
        <w:tc>
          <w:tcPr>
            <w:tcW w:w="1555" w:type="dxa"/>
          </w:tcPr>
          <w:p w14:paraId="2875D49B" w14:textId="415B103F" w:rsidR="000D6CE7" w:rsidRDefault="000D6CE7" w:rsidP="000D6CE7">
            <w:r>
              <w:t>Health</w:t>
            </w:r>
          </w:p>
        </w:tc>
        <w:tc>
          <w:tcPr>
            <w:tcW w:w="7512" w:type="dxa"/>
          </w:tcPr>
          <w:p w14:paraId="4B69FA07" w14:textId="5D8B085E" w:rsidR="000D6CE7" w:rsidRDefault="000D6CE7" w:rsidP="000D6CE7">
            <w:r>
              <w:t>The Department of Health</w:t>
            </w:r>
          </w:p>
        </w:tc>
      </w:tr>
      <w:tr w:rsidR="0015195D" w14:paraId="42FC1115" w14:textId="77777777" w:rsidTr="00126637">
        <w:tc>
          <w:tcPr>
            <w:tcW w:w="1555" w:type="dxa"/>
          </w:tcPr>
          <w:p w14:paraId="54910858" w14:textId="48E94C72" w:rsidR="0015195D" w:rsidRDefault="0015195D" w:rsidP="000D6CE7">
            <w:r>
              <w:t>HCP</w:t>
            </w:r>
          </w:p>
        </w:tc>
        <w:tc>
          <w:tcPr>
            <w:tcW w:w="7512" w:type="dxa"/>
          </w:tcPr>
          <w:p w14:paraId="5AF9FA16" w14:textId="05B17C6E" w:rsidR="0015195D" w:rsidRDefault="0015195D" w:rsidP="000D6CE7">
            <w:r w:rsidRPr="00786B2E">
              <w:t>Home Care Package</w:t>
            </w:r>
            <w:r>
              <w:t>s</w:t>
            </w:r>
          </w:p>
        </w:tc>
      </w:tr>
      <w:tr w:rsidR="000D6CE7" w14:paraId="691B6610" w14:textId="77777777" w:rsidTr="00126637">
        <w:tc>
          <w:tcPr>
            <w:tcW w:w="1555" w:type="dxa"/>
          </w:tcPr>
          <w:p w14:paraId="31F6A3CF" w14:textId="3ED271B1" w:rsidR="000D6CE7" w:rsidRDefault="000D6CE7" w:rsidP="000D6CE7">
            <w:r>
              <w:t xml:space="preserve">IT </w:t>
            </w:r>
          </w:p>
        </w:tc>
        <w:tc>
          <w:tcPr>
            <w:tcW w:w="7512" w:type="dxa"/>
          </w:tcPr>
          <w:p w14:paraId="5DF708D9" w14:textId="79AF7C16" w:rsidR="000D6CE7" w:rsidRDefault="000D6CE7" w:rsidP="000D6CE7">
            <w:r>
              <w:t>Information Technology</w:t>
            </w:r>
          </w:p>
        </w:tc>
      </w:tr>
      <w:tr w:rsidR="000D6CE7" w14:paraId="0FAB560A" w14:textId="77777777" w:rsidTr="00126637">
        <w:tc>
          <w:tcPr>
            <w:tcW w:w="1555" w:type="dxa"/>
          </w:tcPr>
          <w:p w14:paraId="6B12D246" w14:textId="42111495" w:rsidR="000D6CE7" w:rsidRDefault="000D6CE7" w:rsidP="000D6CE7">
            <w:r>
              <w:t>MMM</w:t>
            </w:r>
          </w:p>
        </w:tc>
        <w:tc>
          <w:tcPr>
            <w:tcW w:w="7512" w:type="dxa"/>
          </w:tcPr>
          <w:p w14:paraId="4C19AA69" w14:textId="52421A27" w:rsidR="000D6CE7" w:rsidRDefault="000D6CE7" w:rsidP="000D6CE7">
            <w:r>
              <w:t>Modified Monash Model</w:t>
            </w:r>
          </w:p>
        </w:tc>
      </w:tr>
      <w:tr w:rsidR="00D26BED" w14:paraId="46E50D50" w14:textId="77777777" w:rsidTr="00126637">
        <w:tc>
          <w:tcPr>
            <w:tcW w:w="1555" w:type="dxa"/>
          </w:tcPr>
          <w:p w14:paraId="13F6B51B" w14:textId="7FA2A9BD" w:rsidR="00D26BED" w:rsidRDefault="0015195D" w:rsidP="000D6CE7">
            <w:r>
              <w:t>NDIS</w:t>
            </w:r>
          </w:p>
        </w:tc>
        <w:tc>
          <w:tcPr>
            <w:tcW w:w="7512" w:type="dxa"/>
          </w:tcPr>
          <w:p w14:paraId="7A8E79D6" w14:textId="43195222" w:rsidR="00D26BED" w:rsidRDefault="0015195D" w:rsidP="000D6CE7">
            <w:r w:rsidRPr="00786B2E">
              <w:t>National Disability Insurance Scheme</w:t>
            </w:r>
          </w:p>
        </w:tc>
      </w:tr>
      <w:tr w:rsidR="000D6CE7" w14:paraId="38BD307E" w14:textId="77777777" w:rsidTr="00126637">
        <w:tc>
          <w:tcPr>
            <w:tcW w:w="1555" w:type="dxa"/>
          </w:tcPr>
          <w:p w14:paraId="0D9E6ABA" w14:textId="1AE1CF3B" w:rsidR="000D6CE7" w:rsidRDefault="000D6CE7" w:rsidP="000D6CE7">
            <w:r>
              <w:t>SSD</w:t>
            </w:r>
          </w:p>
        </w:tc>
        <w:tc>
          <w:tcPr>
            <w:tcW w:w="7512" w:type="dxa"/>
          </w:tcPr>
          <w:p w14:paraId="11710AEF" w14:textId="52D26DD4" w:rsidR="000D6CE7" w:rsidRDefault="000D6CE7" w:rsidP="000D6CE7">
            <w:r>
              <w:t>Sector Support and Development</w:t>
            </w:r>
          </w:p>
        </w:tc>
      </w:tr>
      <w:tr w:rsidR="00E533F1" w14:paraId="7444A4EC" w14:textId="77777777" w:rsidTr="00126637">
        <w:tc>
          <w:tcPr>
            <w:tcW w:w="1555" w:type="dxa"/>
          </w:tcPr>
          <w:p w14:paraId="3A5C80F5" w14:textId="0C75D664" w:rsidR="00E533F1" w:rsidRDefault="00E533F1" w:rsidP="000D6CE7">
            <w:r>
              <w:t>SSS</w:t>
            </w:r>
          </w:p>
        </w:tc>
        <w:tc>
          <w:tcPr>
            <w:tcW w:w="7512" w:type="dxa"/>
          </w:tcPr>
          <w:p w14:paraId="09CC0E13" w14:textId="164596EE" w:rsidR="00E533F1" w:rsidRDefault="00E533F1" w:rsidP="000D6CE7">
            <w:r>
              <w:t xml:space="preserve">Specialised Support Services </w:t>
            </w:r>
          </w:p>
        </w:tc>
      </w:tr>
    </w:tbl>
    <w:p w14:paraId="3D443F4B" w14:textId="77777777" w:rsidR="00B37A29" w:rsidRDefault="00B37A29" w:rsidP="00C9316D"/>
    <w:p w14:paraId="338B654A" w14:textId="6BA312BD" w:rsidR="00393E2D" w:rsidRDefault="00083E6D" w:rsidP="0012158C">
      <w:pPr>
        <w:pStyle w:val="Heading1"/>
      </w:pPr>
      <w:bookmarkStart w:id="11" w:name="_Toc89971541"/>
      <w:r>
        <w:t>R</w:t>
      </w:r>
      <w:r w:rsidR="00B37A29">
        <w:t xml:space="preserve">esources to reference </w:t>
      </w:r>
      <w:r w:rsidR="0012158C">
        <w:t>with Question and Answers</w:t>
      </w:r>
      <w:bookmarkEnd w:id="11"/>
    </w:p>
    <w:tbl>
      <w:tblPr>
        <w:tblStyle w:val="TableGrid"/>
        <w:tblW w:w="9067" w:type="dxa"/>
        <w:tblLook w:val="04A0" w:firstRow="1" w:lastRow="0" w:firstColumn="1" w:lastColumn="0" w:noHBand="0" w:noVBand="1"/>
      </w:tblPr>
      <w:tblGrid>
        <w:gridCol w:w="3114"/>
        <w:gridCol w:w="5953"/>
      </w:tblGrid>
      <w:tr w:rsidR="004D5667" w14:paraId="17FE1984" w14:textId="77777777" w:rsidTr="001C30E2">
        <w:trPr>
          <w:tblHeader/>
        </w:trPr>
        <w:tc>
          <w:tcPr>
            <w:tcW w:w="3114" w:type="dxa"/>
            <w:shd w:val="clear" w:color="auto" w:fill="D9E2F3" w:themeFill="accent5" w:themeFillTint="33"/>
          </w:tcPr>
          <w:p w14:paraId="4D772999" w14:textId="77CB1462" w:rsidR="004D5667" w:rsidRPr="00327FA1" w:rsidRDefault="004D5667" w:rsidP="0012158C">
            <w:r w:rsidRPr="00327FA1">
              <w:t>Resource</w:t>
            </w:r>
          </w:p>
        </w:tc>
        <w:tc>
          <w:tcPr>
            <w:tcW w:w="5953" w:type="dxa"/>
            <w:shd w:val="clear" w:color="auto" w:fill="D9E2F3" w:themeFill="accent5" w:themeFillTint="33"/>
          </w:tcPr>
          <w:p w14:paraId="6F83B21D" w14:textId="56894534" w:rsidR="004D5667" w:rsidRPr="00327FA1" w:rsidRDefault="004D5667" w:rsidP="0012158C">
            <w:r w:rsidRPr="00327FA1">
              <w:t>Description</w:t>
            </w:r>
          </w:p>
        </w:tc>
      </w:tr>
      <w:tr w:rsidR="004D5667" w14:paraId="0A6AD5A6" w14:textId="77777777" w:rsidTr="001C30E2">
        <w:tc>
          <w:tcPr>
            <w:tcW w:w="3114" w:type="dxa"/>
          </w:tcPr>
          <w:p w14:paraId="6F656642" w14:textId="7AEACC09" w:rsidR="004D5667" w:rsidRPr="00A2264C" w:rsidDel="00416496" w:rsidRDefault="00610410" w:rsidP="00161E6A">
            <w:hyperlink r:id="rId9" w:history="1">
              <w:r w:rsidR="004D5667" w:rsidRPr="001E618A">
                <w:rPr>
                  <w:rStyle w:val="Hyperlink"/>
                </w:rPr>
                <w:t>Commonwealth Home Support Programme 2022-23 extension webinar</w:t>
              </w:r>
            </w:hyperlink>
          </w:p>
        </w:tc>
        <w:tc>
          <w:tcPr>
            <w:tcW w:w="5953" w:type="dxa"/>
          </w:tcPr>
          <w:p w14:paraId="2010F720" w14:textId="1E213DB9" w:rsidR="004D5667" w:rsidRPr="008F0F30" w:rsidRDefault="004D5667" w:rsidP="008F0F30">
            <w:pPr>
              <w:spacing w:before="0" w:after="160" w:line="259" w:lineRule="auto"/>
              <w:rPr>
                <w:szCs w:val="22"/>
              </w:rPr>
            </w:pPr>
            <w:r w:rsidRPr="008F0F30">
              <w:rPr>
                <w:szCs w:val="22"/>
                <w:shd w:val="clear" w:color="auto" w:fill="FFFFFF"/>
              </w:rPr>
              <w:t>The webinar provides CHSP providers with information about the one-year extension from 1 July 2022 to 30 June 2023 and the move to payment in arrears</w:t>
            </w:r>
            <w:r>
              <w:rPr>
                <w:szCs w:val="22"/>
                <w:shd w:val="clear" w:color="auto" w:fill="FFFFFF"/>
              </w:rPr>
              <w:t>.</w:t>
            </w:r>
          </w:p>
        </w:tc>
      </w:tr>
      <w:tr w:rsidR="004D5667" w14:paraId="474D5945" w14:textId="77777777" w:rsidTr="001C30E2">
        <w:tc>
          <w:tcPr>
            <w:tcW w:w="3114" w:type="dxa"/>
          </w:tcPr>
          <w:p w14:paraId="4BB55B13" w14:textId="32720D4C" w:rsidR="004D5667" w:rsidRPr="00A2264C" w:rsidRDefault="00610410" w:rsidP="00161E6A">
            <w:hyperlink r:id="rId10" w:history="1">
              <w:r w:rsidR="004D5667" w:rsidRPr="001E618A">
                <w:rPr>
                  <w:rStyle w:val="Hyperlink"/>
                </w:rPr>
                <w:t>CHSP 2020-22 Manual</w:t>
              </w:r>
            </w:hyperlink>
          </w:p>
          <w:p w14:paraId="0A2588DD" w14:textId="77777777" w:rsidR="004D5667" w:rsidRPr="008E5909" w:rsidRDefault="004D5667" w:rsidP="00161E6A"/>
        </w:tc>
        <w:tc>
          <w:tcPr>
            <w:tcW w:w="5953" w:type="dxa"/>
          </w:tcPr>
          <w:p w14:paraId="5D004AB1" w14:textId="5C74ED4E" w:rsidR="004D5667" w:rsidRPr="008E5909" w:rsidRDefault="004D5667" w:rsidP="00161E6A">
            <w:r w:rsidRPr="00A2264C">
              <w:rPr>
                <w:shd w:val="clear" w:color="auto" w:fill="FFFFFF"/>
              </w:rPr>
              <w:t>Th</w:t>
            </w:r>
            <w:r>
              <w:rPr>
                <w:shd w:val="clear" w:color="auto" w:fill="FFFFFF"/>
              </w:rPr>
              <w:t xml:space="preserve">e CHSP </w:t>
            </w:r>
            <w:r w:rsidRPr="00A2264C">
              <w:rPr>
                <w:shd w:val="clear" w:color="auto" w:fill="FFFFFF"/>
              </w:rPr>
              <w:t>2020–2022 manual provides an overview of the CHSP, including the service types it funds and requirements for delivering those services. It is for CHSP-funded service providers to use, and forms part of their CHSP grant agreement.</w:t>
            </w:r>
          </w:p>
        </w:tc>
      </w:tr>
      <w:tr w:rsidR="004D5667" w14:paraId="01B9CF25" w14:textId="77777777" w:rsidTr="001C30E2">
        <w:tc>
          <w:tcPr>
            <w:tcW w:w="3114" w:type="dxa"/>
          </w:tcPr>
          <w:p w14:paraId="6CE574C9" w14:textId="0CC0BB3B" w:rsidR="004D5667" w:rsidRPr="00A2264C" w:rsidRDefault="00610410" w:rsidP="00161E6A">
            <w:hyperlink r:id="rId11" w:history="1">
              <w:r w:rsidR="004D5667" w:rsidRPr="001E618A">
                <w:rPr>
                  <w:rStyle w:val="Hyperlink"/>
                </w:rPr>
                <w:t>National Guide to the CHSP Client Contribution Framework</w:t>
              </w:r>
            </w:hyperlink>
          </w:p>
          <w:p w14:paraId="7D66824E" w14:textId="77777777" w:rsidR="004D5667" w:rsidRPr="008E5909" w:rsidRDefault="004D5667" w:rsidP="00161E6A"/>
        </w:tc>
        <w:tc>
          <w:tcPr>
            <w:tcW w:w="5953" w:type="dxa"/>
          </w:tcPr>
          <w:p w14:paraId="60A1ED29" w14:textId="776AAB1B" w:rsidR="004D5667" w:rsidRPr="008E5909" w:rsidRDefault="004D5667" w:rsidP="00161E6A">
            <w:r w:rsidRPr="00A2264C">
              <w:rPr>
                <w:shd w:val="clear" w:color="auto" w:fill="FFFFFF"/>
              </w:rPr>
              <w:t>We developed this guide to help</w:t>
            </w:r>
            <w:r>
              <w:rPr>
                <w:shd w:val="clear" w:color="auto" w:fill="FFFFFF"/>
              </w:rPr>
              <w:t xml:space="preserve"> CHSP</w:t>
            </w:r>
            <w:r w:rsidRPr="00A2264C">
              <w:rPr>
                <w:shd w:val="clear" w:color="auto" w:fill="FFFFFF"/>
              </w:rPr>
              <w:t xml:space="preserve"> service providers </w:t>
            </w:r>
            <w:r>
              <w:rPr>
                <w:shd w:val="clear" w:color="auto" w:fill="FFFFFF"/>
              </w:rPr>
              <w:t xml:space="preserve">establish </w:t>
            </w:r>
            <w:r w:rsidRPr="00A2264C">
              <w:rPr>
                <w:shd w:val="clear" w:color="auto" w:fill="FFFFFF"/>
              </w:rPr>
              <w:t>client contribution a</w:t>
            </w:r>
            <w:r>
              <w:rPr>
                <w:shd w:val="clear" w:color="auto" w:fill="FFFFFF"/>
              </w:rPr>
              <w:t xml:space="preserve">greements </w:t>
            </w:r>
            <w:r w:rsidRPr="00A2264C">
              <w:rPr>
                <w:shd w:val="clear" w:color="auto" w:fill="FFFFFF"/>
              </w:rPr>
              <w:t>that align to the CHSP client contribution framework. Clients can also use the guide to understand the CHSP client contribution arrangements.</w:t>
            </w:r>
          </w:p>
        </w:tc>
      </w:tr>
      <w:tr w:rsidR="004D5667" w14:paraId="63FA533C" w14:textId="77777777" w:rsidTr="001C30E2">
        <w:tc>
          <w:tcPr>
            <w:tcW w:w="3114" w:type="dxa"/>
          </w:tcPr>
          <w:p w14:paraId="73048053" w14:textId="52332491" w:rsidR="004D5667" w:rsidRPr="00A2264C" w:rsidRDefault="00610410" w:rsidP="00161E6A">
            <w:hyperlink r:id="rId12" w:history="1">
              <w:r w:rsidR="004D5667" w:rsidRPr="001E618A">
                <w:rPr>
                  <w:rStyle w:val="Hyperlink"/>
                </w:rPr>
                <w:t>CHSP - Negotiations, transition support and MMM loading</w:t>
              </w:r>
            </w:hyperlink>
          </w:p>
          <w:p w14:paraId="504C6B2C" w14:textId="77777777" w:rsidR="004D5667" w:rsidRPr="008E5909" w:rsidRDefault="004D5667" w:rsidP="00161E6A"/>
        </w:tc>
        <w:tc>
          <w:tcPr>
            <w:tcW w:w="5953" w:type="dxa"/>
          </w:tcPr>
          <w:p w14:paraId="1EB861B0" w14:textId="0C8FBB29" w:rsidR="004D5667" w:rsidRPr="008E5909" w:rsidRDefault="004D5667" w:rsidP="00161E6A">
            <w:r w:rsidRPr="00A2264C">
              <w:rPr>
                <w:shd w:val="clear" w:color="auto" w:fill="FFFFFF"/>
              </w:rPr>
              <w:t>This fact sheet provided CHSP providers with details on negotiations, transition support and MMM loadings for the 2022–23 CHSP extension.</w:t>
            </w:r>
          </w:p>
        </w:tc>
      </w:tr>
      <w:tr w:rsidR="004D5667" w14:paraId="0EFC7C09" w14:textId="77777777" w:rsidTr="001C30E2">
        <w:tc>
          <w:tcPr>
            <w:tcW w:w="3114" w:type="dxa"/>
          </w:tcPr>
          <w:p w14:paraId="155821C8" w14:textId="415AD681" w:rsidR="004D5667" w:rsidRPr="00A2264C" w:rsidRDefault="00610410" w:rsidP="00161E6A">
            <w:hyperlink r:id="rId13" w:history="1">
              <w:r w:rsidR="004D5667" w:rsidRPr="004D5667">
                <w:rPr>
                  <w:rStyle w:val="Hyperlink"/>
                </w:rPr>
                <w:t>CHSP - Payment in Arrears and Unit Pricing - October update</w:t>
              </w:r>
            </w:hyperlink>
          </w:p>
        </w:tc>
        <w:tc>
          <w:tcPr>
            <w:tcW w:w="5953" w:type="dxa"/>
          </w:tcPr>
          <w:p w14:paraId="7114A83B" w14:textId="52A81757" w:rsidR="004D5667" w:rsidRPr="008E5909" w:rsidRDefault="004D5667" w:rsidP="00161E6A">
            <w:r w:rsidRPr="00A2264C">
              <w:rPr>
                <w:shd w:val="clear" w:color="auto" w:fill="FFFFFF"/>
              </w:rPr>
              <w:t>This fact sheet has been developed to provide CHSP providers with details on CHSP reforms and the administrative requirements for the 2022-23 CHSP Extension.</w:t>
            </w:r>
          </w:p>
        </w:tc>
      </w:tr>
      <w:tr w:rsidR="004D5667" w14:paraId="3F35D973" w14:textId="77777777" w:rsidTr="001C30E2">
        <w:tc>
          <w:tcPr>
            <w:tcW w:w="3114" w:type="dxa"/>
          </w:tcPr>
          <w:p w14:paraId="072F1693" w14:textId="54E3E31C" w:rsidR="004D5667" w:rsidRPr="00A2264C" w:rsidRDefault="00610410" w:rsidP="00161E6A">
            <w:hyperlink r:id="rId14" w:history="1">
              <w:r w:rsidR="004D5667" w:rsidRPr="004D5667">
                <w:rPr>
                  <w:rStyle w:val="Hyperlink"/>
                </w:rPr>
                <w:t>MMM - fact sheet</w:t>
              </w:r>
            </w:hyperlink>
          </w:p>
        </w:tc>
        <w:tc>
          <w:tcPr>
            <w:tcW w:w="5953" w:type="dxa"/>
          </w:tcPr>
          <w:p w14:paraId="3481CCCF" w14:textId="37EDB0DF" w:rsidR="004D5667" w:rsidRPr="008E5909" w:rsidRDefault="004D5667" w:rsidP="00161E6A">
            <w:r w:rsidRPr="00A2264C">
              <w:rPr>
                <w:shd w:val="clear" w:color="auto" w:fill="FFFFFF"/>
              </w:rPr>
              <w:t xml:space="preserve">Information about the </w:t>
            </w:r>
            <w:r>
              <w:rPr>
                <w:shd w:val="clear" w:color="auto" w:fill="FFFFFF"/>
              </w:rPr>
              <w:t>MMM</w:t>
            </w:r>
            <w:r w:rsidRPr="00A2264C">
              <w:rPr>
                <w:shd w:val="clear" w:color="auto" w:fill="FFFFFF"/>
              </w:rPr>
              <w:t xml:space="preserve"> geographical classification.</w:t>
            </w:r>
          </w:p>
        </w:tc>
      </w:tr>
      <w:tr w:rsidR="004D5667" w14:paraId="5EAE6F6C" w14:textId="77777777" w:rsidTr="001C30E2">
        <w:tc>
          <w:tcPr>
            <w:tcW w:w="3114" w:type="dxa"/>
          </w:tcPr>
          <w:p w14:paraId="611C7A46" w14:textId="403E9857" w:rsidR="004D5667" w:rsidRPr="008E5909" w:rsidRDefault="00610410" w:rsidP="00C87239">
            <w:hyperlink r:id="rId15" w:history="1">
              <w:r w:rsidR="004D5667" w:rsidRPr="004D5667">
                <w:rPr>
                  <w:rStyle w:val="Hyperlink"/>
                </w:rPr>
                <w:t>COVID-19 - changes to CHSP flexibility provisions</w:t>
              </w:r>
            </w:hyperlink>
          </w:p>
        </w:tc>
        <w:tc>
          <w:tcPr>
            <w:tcW w:w="5953" w:type="dxa"/>
          </w:tcPr>
          <w:p w14:paraId="1C8BC72B" w14:textId="5406EAF4" w:rsidR="004D5667" w:rsidRPr="008E5909" w:rsidRDefault="004D5667" w:rsidP="00161E6A">
            <w:pPr>
              <w:rPr>
                <w:shd w:val="clear" w:color="auto" w:fill="FFFFFF"/>
              </w:rPr>
            </w:pPr>
            <w:r w:rsidRPr="00A2264C">
              <w:rPr>
                <w:shd w:val="clear" w:color="auto" w:fill="FFFFFF"/>
              </w:rPr>
              <w:t>Information about the temporary changes to the CHSP flexibility provisions during the COVID-19 pandemic.</w:t>
            </w:r>
          </w:p>
        </w:tc>
      </w:tr>
      <w:tr w:rsidR="004D5667" w14:paraId="794963C7" w14:textId="77777777" w:rsidTr="001C30E2">
        <w:tc>
          <w:tcPr>
            <w:tcW w:w="3114" w:type="dxa"/>
          </w:tcPr>
          <w:p w14:paraId="1ADEF1FB" w14:textId="3C672855" w:rsidR="004D5667" w:rsidRPr="00AF3228" w:rsidRDefault="00610410" w:rsidP="00C87239">
            <w:pPr>
              <w:rPr>
                <w:b/>
                <w:bCs/>
              </w:rPr>
            </w:pPr>
            <w:hyperlink r:id="rId16" w:history="1">
              <w:r w:rsidR="004D5667" w:rsidRPr="004D5667">
                <w:rPr>
                  <w:rStyle w:val="Hyperlink"/>
                </w:rPr>
                <w:t>Charging for the CHSP</w:t>
              </w:r>
            </w:hyperlink>
          </w:p>
        </w:tc>
        <w:tc>
          <w:tcPr>
            <w:tcW w:w="5953" w:type="dxa"/>
          </w:tcPr>
          <w:p w14:paraId="75F5DEEE" w14:textId="06A86EF1" w:rsidR="004D5667" w:rsidRPr="00AF3228" w:rsidRDefault="004D5667" w:rsidP="00161E6A">
            <w:pPr>
              <w:rPr>
                <w:shd w:val="clear" w:color="auto" w:fill="FFFFFF"/>
              </w:rPr>
            </w:pPr>
            <w:r w:rsidRPr="00A2264C">
              <w:rPr>
                <w:shd w:val="clear" w:color="auto" w:fill="FFFFFF"/>
              </w:rPr>
              <w:t>CHSP service providers collect client contributions from people receiving their care. Find out about these contributions and how to collect and report them.</w:t>
            </w:r>
          </w:p>
        </w:tc>
      </w:tr>
      <w:tr w:rsidR="004D5667" w14:paraId="03BEFD5E" w14:textId="77777777" w:rsidTr="001C30E2">
        <w:tc>
          <w:tcPr>
            <w:tcW w:w="3114" w:type="dxa"/>
          </w:tcPr>
          <w:p w14:paraId="6C275291" w14:textId="71C16129" w:rsidR="004D5667" w:rsidRPr="00A2264C" w:rsidRDefault="00610410" w:rsidP="00161E6A">
            <w:hyperlink r:id="rId17" w:history="1">
              <w:r w:rsidR="004D5667" w:rsidRPr="004D5667">
                <w:rPr>
                  <w:rStyle w:val="Hyperlink"/>
                </w:rPr>
                <w:t>COVID-19 vaccine program for aged care</w:t>
              </w:r>
            </w:hyperlink>
          </w:p>
        </w:tc>
        <w:tc>
          <w:tcPr>
            <w:tcW w:w="5953" w:type="dxa"/>
          </w:tcPr>
          <w:p w14:paraId="3B97870D" w14:textId="0C3F5F2A" w:rsidR="004D5667" w:rsidRPr="00A2264C" w:rsidRDefault="004D5667" w:rsidP="00161E6A">
            <w:pPr>
              <w:rPr>
                <w:shd w:val="clear" w:color="auto" w:fill="FFFFFF"/>
              </w:rPr>
            </w:pPr>
            <w:r>
              <w:t xml:space="preserve">Information for aged care providers, </w:t>
            </w:r>
            <w:proofErr w:type="gramStart"/>
            <w:r>
              <w:t>workers</w:t>
            </w:r>
            <w:proofErr w:type="gramEnd"/>
            <w:r>
              <w:t xml:space="preserve"> and residents about COVID-19 vaccines</w:t>
            </w:r>
          </w:p>
        </w:tc>
      </w:tr>
    </w:tbl>
    <w:p w14:paraId="504F6F7E" w14:textId="71C0F9AF" w:rsidR="0012158C" w:rsidRDefault="0012158C" w:rsidP="00AF3228">
      <w:pPr>
        <w:pStyle w:val="Heading1"/>
      </w:pPr>
      <w:bookmarkStart w:id="12" w:name="_Toc89971542"/>
      <w:r>
        <w:t>Question and Answers</w:t>
      </w:r>
      <w:bookmarkEnd w:id="12"/>
    </w:p>
    <w:p w14:paraId="529D80B2" w14:textId="2A45BC24" w:rsidR="00F07275" w:rsidRPr="00A2264C" w:rsidRDefault="00BE4F14" w:rsidP="00A2264C">
      <w:pPr>
        <w:pStyle w:val="Heading2"/>
        <w:numPr>
          <w:ilvl w:val="0"/>
          <w:numId w:val="0"/>
        </w:numPr>
        <w:tabs>
          <w:tab w:val="left" w:pos="993"/>
        </w:tabs>
        <w:rPr>
          <w:sz w:val="24"/>
          <w:szCs w:val="22"/>
        </w:rPr>
      </w:pPr>
      <w:r w:rsidRPr="00A2264C">
        <w:rPr>
          <w:sz w:val="24"/>
          <w:szCs w:val="22"/>
        </w:rPr>
        <w:t xml:space="preserve">Payments </w:t>
      </w:r>
    </w:p>
    <w:p w14:paraId="3463D8FF" w14:textId="11C1499E" w:rsidR="00F07275" w:rsidRPr="00001655" w:rsidRDefault="00950DAA" w:rsidP="00A2264C">
      <w:pPr>
        <w:pStyle w:val="Heading3"/>
        <w:tabs>
          <w:tab w:val="left" w:pos="284"/>
        </w:tabs>
        <w:ind w:left="0" w:firstLine="0"/>
      </w:pPr>
      <w:r>
        <w:t xml:space="preserve">If our organisation underdelivers outputs in </w:t>
      </w:r>
      <w:r w:rsidR="008C47AE">
        <w:t xml:space="preserve">a particular </w:t>
      </w:r>
      <w:r>
        <w:t>month</w:t>
      </w:r>
      <w:r w:rsidR="00757039">
        <w:t>,</w:t>
      </w:r>
      <w:r w:rsidR="00C140BF">
        <w:t xml:space="preserve"> </w:t>
      </w:r>
      <w:r>
        <w:t xml:space="preserve">will we still </w:t>
      </w:r>
      <w:r w:rsidR="00C140BF">
        <w:t xml:space="preserve">receive the </w:t>
      </w:r>
      <w:r w:rsidR="008C47AE">
        <w:t>standard</w:t>
      </w:r>
      <w:r w:rsidR="00C140BF">
        <w:t xml:space="preserve"> monthly payment</w:t>
      </w:r>
      <w:r>
        <w:t>?</w:t>
      </w:r>
    </w:p>
    <w:p w14:paraId="294ADC87" w14:textId="3029283C" w:rsidR="00482F04" w:rsidRDefault="00950DAA" w:rsidP="00A2264C">
      <w:pPr>
        <w:tabs>
          <w:tab w:val="left" w:pos="993"/>
          <w:tab w:val="left" w:pos="7304"/>
        </w:tabs>
        <w:rPr>
          <w:szCs w:val="22"/>
        </w:rPr>
      </w:pPr>
      <w:r w:rsidRPr="0053303D">
        <w:rPr>
          <w:szCs w:val="22"/>
        </w:rPr>
        <w:t>Yes</w:t>
      </w:r>
      <w:r w:rsidR="00C140BF">
        <w:rPr>
          <w:szCs w:val="22"/>
        </w:rPr>
        <w:t>.</w:t>
      </w:r>
      <w:r w:rsidRPr="00950DAA">
        <w:rPr>
          <w:szCs w:val="22"/>
        </w:rPr>
        <w:t xml:space="preserve"> </w:t>
      </w:r>
      <w:r w:rsidR="00C140BF">
        <w:rPr>
          <w:szCs w:val="22"/>
        </w:rPr>
        <w:t>A</w:t>
      </w:r>
      <w:r w:rsidR="00C80D04">
        <w:rPr>
          <w:szCs w:val="22"/>
        </w:rPr>
        <w:t>ll CHSP providers</w:t>
      </w:r>
      <w:r w:rsidR="00C140BF">
        <w:rPr>
          <w:szCs w:val="22"/>
        </w:rPr>
        <w:t>, excluding providers wh</w:t>
      </w:r>
      <w:r w:rsidR="004025E0">
        <w:rPr>
          <w:szCs w:val="22"/>
        </w:rPr>
        <w:t>o</w:t>
      </w:r>
      <w:r w:rsidR="00C140BF">
        <w:rPr>
          <w:szCs w:val="22"/>
        </w:rPr>
        <w:t xml:space="preserve"> only deliver SSD,</w:t>
      </w:r>
      <w:r w:rsidR="00C80D04">
        <w:rPr>
          <w:szCs w:val="22"/>
        </w:rPr>
        <w:t xml:space="preserve"> will be paid</w:t>
      </w:r>
      <w:r w:rsidR="00482F04">
        <w:rPr>
          <w:szCs w:val="22"/>
        </w:rPr>
        <w:t xml:space="preserve"> a standard monthly payment</w:t>
      </w:r>
      <w:r w:rsidR="009F7D37">
        <w:rPr>
          <w:szCs w:val="22"/>
        </w:rPr>
        <w:t xml:space="preserve">. The standard monthly payment is </w:t>
      </w:r>
      <w:r w:rsidR="00482F04">
        <w:rPr>
          <w:szCs w:val="22"/>
        </w:rPr>
        <w:t xml:space="preserve">the </w:t>
      </w:r>
      <w:r w:rsidR="00C140BF">
        <w:rPr>
          <w:szCs w:val="22"/>
        </w:rPr>
        <w:t xml:space="preserve">total value of the grant agreement </w:t>
      </w:r>
      <w:r w:rsidR="00482F04">
        <w:rPr>
          <w:szCs w:val="22"/>
        </w:rPr>
        <w:t>divided by twelve</w:t>
      </w:r>
      <w:r w:rsidR="00C140BF">
        <w:rPr>
          <w:szCs w:val="22"/>
        </w:rPr>
        <w:t xml:space="preserve">. </w:t>
      </w:r>
    </w:p>
    <w:p w14:paraId="7F6CA795" w14:textId="55C2A3AF" w:rsidR="00950DAA" w:rsidRDefault="009F7D37" w:rsidP="00A2264C">
      <w:pPr>
        <w:tabs>
          <w:tab w:val="left" w:pos="993"/>
        </w:tabs>
        <w:rPr>
          <w:szCs w:val="22"/>
        </w:rPr>
      </w:pPr>
      <w:r>
        <w:rPr>
          <w:szCs w:val="22"/>
        </w:rPr>
        <w:t xml:space="preserve">Standard monthly </w:t>
      </w:r>
      <w:r w:rsidR="008C47AE">
        <w:rPr>
          <w:szCs w:val="22"/>
        </w:rPr>
        <w:t>payment</w:t>
      </w:r>
      <w:r>
        <w:rPr>
          <w:szCs w:val="22"/>
        </w:rPr>
        <w:t>s</w:t>
      </w:r>
      <w:r w:rsidR="008C47AE">
        <w:rPr>
          <w:szCs w:val="22"/>
        </w:rPr>
        <w:t xml:space="preserve"> will be made automatically</w:t>
      </w:r>
      <w:r>
        <w:rPr>
          <w:szCs w:val="22"/>
        </w:rPr>
        <w:t>.</w:t>
      </w:r>
      <w:r w:rsidR="008C47AE">
        <w:rPr>
          <w:szCs w:val="22"/>
        </w:rPr>
        <w:t xml:space="preserve"> </w:t>
      </w:r>
      <w:r>
        <w:rPr>
          <w:szCs w:val="22"/>
        </w:rPr>
        <w:t xml:space="preserve">They </w:t>
      </w:r>
      <w:r w:rsidR="008C47AE">
        <w:rPr>
          <w:szCs w:val="22"/>
        </w:rPr>
        <w:t>will be released</w:t>
      </w:r>
      <w:r w:rsidR="00C80D04">
        <w:rPr>
          <w:szCs w:val="22"/>
        </w:rPr>
        <w:t xml:space="preserve"> </w:t>
      </w:r>
      <w:proofErr w:type="gramStart"/>
      <w:r w:rsidR="00950DAA" w:rsidRPr="00950DAA">
        <w:rPr>
          <w:szCs w:val="22"/>
        </w:rPr>
        <w:t>as long as</w:t>
      </w:r>
      <w:proofErr w:type="gramEnd"/>
      <w:r w:rsidR="00950DAA" w:rsidRPr="00950DAA">
        <w:rPr>
          <w:szCs w:val="22"/>
        </w:rPr>
        <w:t xml:space="preserve"> the provider </w:t>
      </w:r>
      <w:r w:rsidR="00482F04">
        <w:rPr>
          <w:szCs w:val="22"/>
        </w:rPr>
        <w:t xml:space="preserve">is up to date with their </w:t>
      </w:r>
      <w:r w:rsidR="00950DAA" w:rsidRPr="00950DAA">
        <w:rPr>
          <w:szCs w:val="22"/>
        </w:rPr>
        <w:t xml:space="preserve">monthly performance reporting through </w:t>
      </w:r>
      <w:r w:rsidR="00C80D04">
        <w:rPr>
          <w:szCs w:val="22"/>
        </w:rPr>
        <w:t>DEX</w:t>
      </w:r>
      <w:r w:rsidR="00950DAA" w:rsidRPr="00950DAA">
        <w:rPr>
          <w:szCs w:val="22"/>
        </w:rPr>
        <w:t xml:space="preserve">. </w:t>
      </w:r>
    </w:p>
    <w:p w14:paraId="194665A0" w14:textId="1FA901AD" w:rsidR="005414A1" w:rsidRDefault="008C47AE" w:rsidP="005414A1">
      <w:pPr>
        <w:tabs>
          <w:tab w:val="left" w:pos="993"/>
          <w:tab w:val="left" w:pos="7304"/>
        </w:tabs>
        <w:rPr>
          <w:szCs w:val="22"/>
        </w:rPr>
      </w:pPr>
      <w:r>
        <w:rPr>
          <w:szCs w:val="22"/>
        </w:rPr>
        <w:t xml:space="preserve">Health understands that under delivery in a particular month does not mean a provider is under </w:t>
      </w:r>
      <w:proofErr w:type="gramStart"/>
      <w:r>
        <w:rPr>
          <w:szCs w:val="22"/>
        </w:rPr>
        <w:t xml:space="preserve">delivering </w:t>
      </w:r>
      <w:r w:rsidR="009F7D37">
        <w:rPr>
          <w:szCs w:val="22"/>
        </w:rPr>
        <w:t>as a whole</w:t>
      </w:r>
      <w:proofErr w:type="gramEnd"/>
      <w:r>
        <w:rPr>
          <w:szCs w:val="22"/>
        </w:rPr>
        <w:t xml:space="preserve">. If a trend of under delivery presents over a </w:t>
      </w:r>
      <w:r w:rsidR="00482F04">
        <w:rPr>
          <w:szCs w:val="22"/>
        </w:rPr>
        <w:t>length</w:t>
      </w:r>
      <w:r>
        <w:rPr>
          <w:szCs w:val="22"/>
        </w:rPr>
        <w:t xml:space="preserve"> of time, the </w:t>
      </w:r>
      <w:r w:rsidR="00324531">
        <w:rPr>
          <w:szCs w:val="22"/>
        </w:rPr>
        <w:t>CGH</w:t>
      </w:r>
      <w:r>
        <w:rPr>
          <w:szCs w:val="22"/>
        </w:rPr>
        <w:t xml:space="preserve"> will work with the provider to </w:t>
      </w:r>
      <w:r w:rsidR="00482F04">
        <w:rPr>
          <w:szCs w:val="22"/>
        </w:rPr>
        <w:t xml:space="preserve">review and understand </w:t>
      </w:r>
      <w:r>
        <w:rPr>
          <w:szCs w:val="22"/>
        </w:rPr>
        <w:t>these matters.</w:t>
      </w:r>
    </w:p>
    <w:p w14:paraId="31B21BD2" w14:textId="77777777" w:rsidR="00A61455" w:rsidRPr="00C87239" w:rsidRDefault="00A61455" w:rsidP="005414A1">
      <w:pPr>
        <w:tabs>
          <w:tab w:val="left" w:pos="993"/>
          <w:tab w:val="left" w:pos="7304"/>
        </w:tabs>
        <w:rPr>
          <w:sz w:val="2"/>
          <w:szCs w:val="2"/>
        </w:rPr>
      </w:pPr>
    </w:p>
    <w:p w14:paraId="21A05DBA" w14:textId="77777777" w:rsidR="00623948" w:rsidRDefault="00623948" w:rsidP="00A2264C">
      <w:pPr>
        <w:pStyle w:val="Heading3"/>
        <w:tabs>
          <w:tab w:val="left" w:pos="284"/>
        </w:tabs>
        <w:ind w:left="0" w:firstLine="0"/>
      </w:pPr>
      <w:r>
        <w:t>Will we be paid for actual outputs delivered for the month?</w:t>
      </w:r>
    </w:p>
    <w:p w14:paraId="3DE178E7" w14:textId="39A9F11F" w:rsidR="0056685F" w:rsidRDefault="00623948" w:rsidP="00A2264C">
      <w:pPr>
        <w:tabs>
          <w:tab w:val="left" w:pos="993"/>
        </w:tabs>
      </w:pPr>
      <w:r w:rsidRPr="0053303D">
        <w:t>No</w:t>
      </w:r>
      <w:r w:rsidR="00482F04">
        <w:t xml:space="preserve">. </w:t>
      </w:r>
      <w:r w:rsidR="00002B1A">
        <w:t>Please see</w:t>
      </w:r>
      <w:r w:rsidR="00482F04">
        <w:t xml:space="preserve"> the Question and Answer above for more detail.</w:t>
      </w:r>
    </w:p>
    <w:p w14:paraId="1D508586" w14:textId="77777777" w:rsidR="00BE4F14" w:rsidRPr="00D5264A" w:rsidRDefault="00BE4F14" w:rsidP="00002B1A">
      <w:pPr>
        <w:tabs>
          <w:tab w:val="left" w:pos="993"/>
        </w:tabs>
        <w:spacing w:before="0" w:after="0"/>
        <w:rPr>
          <w:sz w:val="2"/>
          <w:szCs w:val="2"/>
        </w:rPr>
      </w:pPr>
    </w:p>
    <w:p w14:paraId="392B88DB" w14:textId="556A6315" w:rsidR="00DD2F59" w:rsidRDefault="00BE4F14" w:rsidP="00A2264C">
      <w:pPr>
        <w:pStyle w:val="Heading3"/>
        <w:tabs>
          <w:tab w:val="left" w:pos="284"/>
        </w:tabs>
        <w:ind w:left="0" w:firstLine="0"/>
      </w:pPr>
      <w:r>
        <w:t>For</w:t>
      </w:r>
      <w:r w:rsidR="00DD2F59" w:rsidRPr="0082152F">
        <w:t xml:space="preserve"> providers </w:t>
      </w:r>
      <w:r>
        <w:t>wh</w:t>
      </w:r>
      <w:r w:rsidR="00757039">
        <w:t>o</w:t>
      </w:r>
      <w:r>
        <w:t xml:space="preserve"> have delivered more than their contractual outputs, </w:t>
      </w:r>
      <w:r w:rsidR="00BD0612">
        <w:t xml:space="preserve">will there be any </w:t>
      </w:r>
      <w:r w:rsidR="00AF12C0">
        <w:t>extra</w:t>
      </w:r>
      <w:r w:rsidR="0053303D">
        <w:t xml:space="preserve"> funding</w:t>
      </w:r>
      <w:r w:rsidR="00BD0612">
        <w:t xml:space="preserve"> available</w:t>
      </w:r>
      <w:r>
        <w:t>?</w:t>
      </w:r>
      <w:r w:rsidR="0053303D">
        <w:t xml:space="preserve"> </w:t>
      </w:r>
    </w:p>
    <w:p w14:paraId="4165D30F" w14:textId="7E09F3D5" w:rsidR="0053303D" w:rsidRPr="0053303D" w:rsidRDefault="0053303D" w:rsidP="00A2264C">
      <w:pPr>
        <w:tabs>
          <w:tab w:val="left" w:pos="993"/>
        </w:tabs>
      </w:pPr>
      <w:r w:rsidRPr="008614BC">
        <w:t xml:space="preserve">If a CHSP provider exceeds their contractual outputs they will not receive </w:t>
      </w:r>
      <w:r w:rsidR="00AF12C0">
        <w:t>extra</w:t>
      </w:r>
      <w:r w:rsidRPr="008614BC">
        <w:t xml:space="preserve"> funding.</w:t>
      </w:r>
      <w:r>
        <w:t xml:space="preserve"> </w:t>
      </w:r>
    </w:p>
    <w:p w14:paraId="617D79FA" w14:textId="5EDC3F18" w:rsidR="00DD2F59" w:rsidRDefault="00DD2F59" w:rsidP="00A2264C">
      <w:pPr>
        <w:tabs>
          <w:tab w:val="left" w:pos="993"/>
        </w:tabs>
      </w:pPr>
      <w:r>
        <w:t xml:space="preserve">Under the 2022-23 CHSP extension, all providers will retain grant agreements with a fixed funding amount based on price and outputs, </w:t>
      </w:r>
      <w:proofErr w:type="gramStart"/>
      <w:r>
        <w:t>similar to</w:t>
      </w:r>
      <w:proofErr w:type="gramEnd"/>
      <w:r>
        <w:t xml:space="preserve"> </w:t>
      </w:r>
      <w:r w:rsidR="00AF12C0">
        <w:t>existing</w:t>
      </w:r>
      <w:r>
        <w:t xml:space="preserve"> arrangements. </w:t>
      </w:r>
    </w:p>
    <w:p w14:paraId="6BDF52E9" w14:textId="77777777" w:rsidR="00BE4F14" w:rsidRPr="00D5264A" w:rsidRDefault="00BE4F14" w:rsidP="00A2264C">
      <w:pPr>
        <w:tabs>
          <w:tab w:val="left" w:pos="993"/>
        </w:tabs>
        <w:rPr>
          <w:sz w:val="2"/>
          <w:szCs w:val="2"/>
        </w:rPr>
      </w:pPr>
    </w:p>
    <w:p w14:paraId="4E72B1F9" w14:textId="4E0604A7" w:rsidR="00DD2F59" w:rsidRDefault="00DD2F59" w:rsidP="00A2264C">
      <w:pPr>
        <w:pStyle w:val="Heading3"/>
        <w:tabs>
          <w:tab w:val="left" w:pos="284"/>
        </w:tabs>
        <w:ind w:left="0" w:firstLine="0"/>
      </w:pPr>
      <w:r>
        <w:t xml:space="preserve">Will any services remain </w:t>
      </w:r>
      <w:r w:rsidR="003B0917">
        <w:t>grant funded with quarterly payments in advance</w:t>
      </w:r>
      <w:r>
        <w:t>?</w:t>
      </w:r>
    </w:p>
    <w:p w14:paraId="6475A972" w14:textId="180682B6" w:rsidR="0056685F" w:rsidRDefault="00BE4F14" w:rsidP="00A2264C">
      <w:pPr>
        <w:tabs>
          <w:tab w:val="left" w:pos="993"/>
        </w:tabs>
      </w:pPr>
      <w:r>
        <w:t>Yes</w:t>
      </w:r>
      <w:r w:rsidR="0053303D">
        <w:t>.</w:t>
      </w:r>
      <w:r>
        <w:t xml:space="preserve"> </w:t>
      </w:r>
      <w:r w:rsidR="00DD2F59">
        <w:t>SSD</w:t>
      </w:r>
      <w:r w:rsidR="0053303D">
        <w:t xml:space="preserve"> will remain grant</w:t>
      </w:r>
      <w:r w:rsidR="00BD0612">
        <w:t xml:space="preserve"> funded with quarterly payments in advance</w:t>
      </w:r>
      <w:r w:rsidR="00DD2F59">
        <w:t>.</w:t>
      </w:r>
    </w:p>
    <w:p w14:paraId="69EA89A1" w14:textId="6F264EC2" w:rsidR="00A76BBA" w:rsidRPr="00D5264A" w:rsidRDefault="00A76BBA" w:rsidP="00A2264C">
      <w:pPr>
        <w:tabs>
          <w:tab w:val="left" w:pos="993"/>
        </w:tabs>
        <w:rPr>
          <w:sz w:val="2"/>
          <w:szCs w:val="2"/>
        </w:rPr>
      </w:pPr>
    </w:p>
    <w:p w14:paraId="347A138B" w14:textId="77777777" w:rsidR="00A61455" w:rsidRDefault="00A61455">
      <w:pPr>
        <w:spacing w:before="0" w:after="160" w:line="259" w:lineRule="auto"/>
        <w:rPr>
          <w:b/>
          <w:bCs/>
          <w:sz w:val="26"/>
          <w:szCs w:val="26"/>
        </w:rPr>
      </w:pPr>
      <w:r>
        <w:rPr>
          <w:sz w:val="26"/>
          <w:szCs w:val="26"/>
        </w:rPr>
        <w:br w:type="page"/>
      </w:r>
    </w:p>
    <w:p w14:paraId="19296254" w14:textId="18E21631" w:rsidR="00FA45D5" w:rsidRPr="00A2264C" w:rsidRDefault="0053303D" w:rsidP="00A2264C">
      <w:pPr>
        <w:pStyle w:val="Heading2"/>
        <w:numPr>
          <w:ilvl w:val="0"/>
          <w:numId w:val="0"/>
        </w:numPr>
        <w:tabs>
          <w:tab w:val="left" w:pos="993"/>
        </w:tabs>
        <w:rPr>
          <w:sz w:val="26"/>
          <w:szCs w:val="26"/>
        </w:rPr>
      </w:pPr>
      <w:r w:rsidRPr="00A2264C">
        <w:rPr>
          <w:sz w:val="26"/>
          <w:szCs w:val="26"/>
        </w:rPr>
        <w:lastRenderedPageBreak/>
        <w:t>R</w:t>
      </w:r>
      <w:r w:rsidR="00FA45D5" w:rsidRPr="00A2264C">
        <w:rPr>
          <w:sz w:val="26"/>
          <w:szCs w:val="26"/>
        </w:rPr>
        <w:t>eporting</w:t>
      </w:r>
    </w:p>
    <w:p w14:paraId="7D637B0F" w14:textId="709045EA" w:rsidR="00D27529" w:rsidRDefault="00D27529" w:rsidP="00A2264C">
      <w:pPr>
        <w:pStyle w:val="Heading3"/>
        <w:tabs>
          <w:tab w:val="left" w:pos="284"/>
        </w:tabs>
        <w:ind w:left="0" w:firstLine="0"/>
      </w:pPr>
      <w:r>
        <w:t>What are the new reporting requirements</w:t>
      </w:r>
      <w:r w:rsidR="00FC6C52">
        <w:t xml:space="preserve"> for CHSP providers</w:t>
      </w:r>
      <w:r>
        <w:t>?</w:t>
      </w:r>
    </w:p>
    <w:p w14:paraId="6FFA1BD4" w14:textId="78301857" w:rsidR="0050034B" w:rsidRDefault="00D27529" w:rsidP="00A2264C">
      <w:pPr>
        <w:tabs>
          <w:tab w:val="left" w:pos="993"/>
        </w:tabs>
        <w:rPr>
          <w:szCs w:val="22"/>
        </w:rPr>
      </w:pPr>
      <w:r>
        <w:rPr>
          <w:szCs w:val="22"/>
        </w:rPr>
        <w:t xml:space="preserve">From </w:t>
      </w:r>
      <w:r w:rsidR="00C833D3">
        <w:rPr>
          <w:szCs w:val="22"/>
        </w:rPr>
        <w:t xml:space="preserve">1 </w:t>
      </w:r>
      <w:r>
        <w:rPr>
          <w:szCs w:val="22"/>
        </w:rPr>
        <w:t xml:space="preserve">July 2022 </w:t>
      </w:r>
      <w:r w:rsidR="00C833D3">
        <w:rPr>
          <w:szCs w:val="22"/>
        </w:rPr>
        <w:t xml:space="preserve">CHSP </w:t>
      </w:r>
      <w:r>
        <w:rPr>
          <w:szCs w:val="22"/>
        </w:rPr>
        <w:t>p</w:t>
      </w:r>
      <w:r w:rsidRPr="00D27529">
        <w:rPr>
          <w:szCs w:val="22"/>
        </w:rPr>
        <w:t xml:space="preserve">roviders </w:t>
      </w:r>
      <w:r w:rsidR="00AF12C0">
        <w:rPr>
          <w:szCs w:val="22"/>
        </w:rPr>
        <w:t>are</w:t>
      </w:r>
      <w:r>
        <w:rPr>
          <w:szCs w:val="22"/>
        </w:rPr>
        <w:t xml:space="preserve"> required to </w:t>
      </w:r>
      <w:r w:rsidR="00F841BC">
        <w:rPr>
          <w:szCs w:val="22"/>
        </w:rPr>
        <w:t>submit monthly performance reports</w:t>
      </w:r>
      <w:r>
        <w:rPr>
          <w:szCs w:val="22"/>
        </w:rPr>
        <w:t xml:space="preserve"> through DEX</w:t>
      </w:r>
      <w:r w:rsidR="00F841BC">
        <w:rPr>
          <w:szCs w:val="22"/>
        </w:rPr>
        <w:t xml:space="preserve">. </w:t>
      </w:r>
      <w:r w:rsidR="0050034B">
        <w:rPr>
          <w:szCs w:val="22"/>
        </w:rPr>
        <w:t xml:space="preserve">This is a change from the six-monthly performance reports that most CHSP providers are familiar with. </w:t>
      </w:r>
    </w:p>
    <w:p w14:paraId="3753ADD0" w14:textId="4980D800" w:rsidR="00D27529" w:rsidRPr="00D27529" w:rsidRDefault="00F841BC" w:rsidP="00A2264C">
      <w:pPr>
        <w:tabs>
          <w:tab w:val="left" w:pos="993"/>
        </w:tabs>
        <w:rPr>
          <w:szCs w:val="22"/>
        </w:rPr>
      </w:pPr>
      <w:r>
        <w:rPr>
          <w:szCs w:val="22"/>
        </w:rPr>
        <w:t>Monthly performance reports will be due 10</w:t>
      </w:r>
      <w:r w:rsidR="00D27529" w:rsidRPr="00D27529">
        <w:rPr>
          <w:szCs w:val="22"/>
        </w:rPr>
        <w:t xml:space="preserve"> business days after the end of the month. The submission of a monthly DEX report will be mandatory and may be linked to the release of </w:t>
      </w:r>
      <w:r w:rsidR="00D27529">
        <w:rPr>
          <w:szCs w:val="22"/>
        </w:rPr>
        <w:t>a provider’s</w:t>
      </w:r>
      <w:r w:rsidR="00D27529" w:rsidRPr="00D27529">
        <w:rPr>
          <w:szCs w:val="22"/>
        </w:rPr>
        <w:t xml:space="preserve"> next monthly payment. </w:t>
      </w:r>
    </w:p>
    <w:p w14:paraId="203FD963" w14:textId="7F2BAAA7" w:rsidR="00D27529" w:rsidRPr="004025E0" w:rsidRDefault="00D27529" w:rsidP="00A2264C">
      <w:pPr>
        <w:tabs>
          <w:tab w:val="left" w:pos="993"/>
        </w:tabs>
        <w:rPr>
          <w:szCs w:val="22"/>
        </w:rPr>
      </w:pPr>
      <w:r w:rsidRPr="00D27529">
        <w:rPr>
          <w:szCs w:val="22"/>
        </w:rPr>
        <w:t xml:space="preserve">A provider can </w:t>
      </w:r>
      <w:r w:rsidR="0042473C">
        <w:rPr>
          <w:szCs w:val="22"/>
        </w:rPr>
        <w:t>choose to</w:t>
      </w:r>
      <w:r w:rsidRPr="00D27529">
        <w:rPr>
          <w:szCs w:val="22"/>
        </w:rPr>
        <w:t xml:space="preserve"> submit a report more frequently, such as each fortnight, however at a </w:t>
      </w:r>
      <w:r w:rsidRPr="004025E0">
        <w:rPr>
          <w:szCs w:val="22"/>
        </w:rPr>
        <w:t>minimum a report must be submitted monthly.</w:t>
      </w:r>
    </w:p>
    <w:p w14:paraId="493EB7A3" w14:textId="77777777" w:rsidR="00D26BED" w:rsidRPr="004025E0" w:rsidRDefault="00D26BED" w:rsidP="00A2264C">
      <w:pPr>
        <w:tabs>
          <w:tab w:val="left" w:pos="993"/>
        </w:tabs>
        <w:rPr>
          <w:sz w:val="2"/>
          <w:szCs w:val="2"/>
        </w:rPr>
      </w:pPr>
    </w:p>
    <w:p w14:paraId="13B4862B" w14:textId="67F2609D" w:rsidR="00FC6C52" w:rsidRPr="004025E0" w:rsidRDefault="00FC6C52" w:rsidP="00FC6C52">
      <w:pPr>
        <w:pStyle w:val="Heading3"/>
        <w:tabs>
          <w:tab w:val="left" w:pos="284"/>
        </w:tabs>
        <w:ind w:left="0" w:firstLine="0"/>
      </w:pPr>
      <w:r w:rsidRPr="004025E0">
        <w:t>What are the reporting requirements for providers only delivering SSD?</w:t>
      </w:r>
    </w:p>
    <w:p w14:paraId="1349DD1E" w14:textId="021FA857" w:rsidR="00FC6C52" w:rsidRDefault="00FC6C52" w:rsidP="00A2264C">
      <w:pPr>
        <w:tabs>
          <w:tab w:val="left" w:pos="993"/>
        </w:tabs>
        <w:rPr>
          <w:szCs w:val="22"/>
        </w:rPr>
      </w:pPr>
      <w:r w:rsidRPr="004025E0">
        <w:rPr>
          <w:szCs w:val="22"/>
        </w:rPr>
        <w:t>Providers wh</w:t>
      </w:r>
      <w:r w:rsidR="00757039" w:rsidRPr="004025E0">
        <w:rPr>
          <w:szCs w:val="22"/>
        </w:rPr>
        <w:t>o</w:t>
      </w:r>
      <w:r w:rsidRPr="004025E0">
        <w:rPr>
          <w:szCs w:val="22"/>
        </w:rPr>
        <w:t xml:space="preserve"> only deliver SSD will remain at </w:t>
      </w:r>
      <w:r w:rsidR="007620A7" w:rsidRPr="004025E0">
        <w:rPr>
          <w:szCs w:val="22"/>
        </w:rPr>
        <w:t>six-</w:t>
      </w:r>
      <w:r w:rsidRPr="004025E0">
        <w:rPr>
          <w:szCs w:val="22"/>
        </w:rPr>
        <w:t>monthly reporting. These providers will be required to report in January 2022</w:t>
      </w:r>
      <w:r w:rsidR="00757039" w:rsidRPr="004025E0">
        <w:rPr>
          <w:szCs w:val="22"/>
        </w:rPr>
        <w:t>,</w:t>
      </w:r>
      <w:r w:rsidR="004025E0">
        <w:rPr>
          <w:szCs w:val="22"/>
        </w:rPr>
        <w:t xml:space="preserve"> July 2022,</w:t>
      </w:r>
      <w:r w:rsidR="00757039" w:rsidRPr="004025E0">
        <w:rPr>
          <w:szCs w:val="22"/>
        </w:rPr>
        <w:t xml:space="preserve"> January </w:t>
      </w:r>
      <w:proofErr w:type="gramStart"/>
      <w:r w:rsidR="00757039" w:rsidRPr="004025E0">
        <w:rPr>
          <w:szCs w:val="22"/>
        </w:rPr>
        <w:t>2023</w:t>
      </w:r>
      <w:proofErr w:type="gramEnd"/>
      <w:r w:rsidRPr="004025E0">
        <w:rPr>
          <w:szCs w:val="22"/>
        </w:rPr>
        <w:t xml:space="preserve"> and July </w:t>
      </w:r>
      <w:r w:rsidR="00654766" w:rsidRPr="004025E0">
        <w:rPr>
          <w:szCs w:val="22"/>
        </w:rPr>
        <w:t>2023</w:t>
      </w:r>
      <w:r w:rsidRPr="004025E0">
        <w:rPr>
          <w:szCs w:val="22"/>
        </w:rPr>
        <w:t>.</w:t>
      </w:r>
    </w:p>
    <w:p w14:paraId="27A4A5BB" w14:textId="500B9CC3" w:rsidR="004E44DF" w:rsidRPr="00D26BED" w:rsidRDefault="004E44DF" w:rsidP="00D26BED">
      <w:pPr>
        <w:rPr>
          <w:sz w:val="2"/>
          <w:szCs w:val="2"/>
        </w:rPr>
      </w:pPr>
    </w:p>
    <w:p w14:paraId="1CA77CAE" w14:textId="233CB4E5" w:rsidR="00D27529" w:rsidRDefault="00D27529" w:rsidP="00A2264C">
      <w:pPr>
        <w:pStyle w:val="Heading3"/>
        <w:tabs>
          <w:tab w:val="left" w:pos="284"/>
        </w:tabs>
        <w:ind w:left="0" w:firstLine="0"/>
      </w:pPr>
      <w:r>
        <w:t xml:space="preserve">Will </w:t>
      </w:r>
      <w:r w:rsidR="00E87C0A">
        <w:t>late</w:t>
      </w:r>
      <w:r w:rsidR="008E2F05">
        <w:t xml:space="preserve"> monthly</w:t>
      </w:r>
      <w:r w:rsidR="00E87C0A">
        <w:t xml:space="preserve"> </w:t>
      </w:r>
      <w:r w:rsidR="0030656B">
        <w:t xml:space="preserve">DEX reports </w:t>
      </w:r>
      <w:r w:rsidR="00FA4317">
        <w:t xml:space="preserve">be </w:t>
      </w:r>
      <w:r w:rsidR="0030656B">
        <w:t>allowed</w:t>
      </w:r>
      <w:r>
        <w:t>?</w:t>
      </w:r>
    </w:p>
    <w:p w14:paraId="2C856220" w14:textId="0A400A3A" w:rsidR="006634BE" w:rsidRDefault="00714D13" w:rsidP="00A2264C">
      <w:pPr>
        <w:tabs>
          <w:tab w:val="left" w:pos="993"/>
        </w:tabs>
        <w:rPr>
          <w:szCs w:val="22"/>
        </w:rPr>
      </w:pPr>
      <w:r>
        <w:rPr>
          <w:szCs w:val="22"/>
        </w:rPr>
        <w:t>Monthly reports will be due 10</w:t>
      </w:r>
      <w:r w:rsidRPr="00D27529">
        <w:rPr>
          <w:szCs w:val="22"/>
        </w:rPr>
        <w:t xml:space="preserve"> business days after the end of the month</w:t>
      </w:r>
      <w:r>
        <w:rPr>
          <w:szCs w:val="22"/>
        </w:rPr>
        <w:t xml:space="preserve">. </w:t>
      </w:r>
    </w:p>
    <w:p w14:paraId="7D8A3504" w14:textId="65AAEEBB" w:rsidR="00B15924" w:rsidRDefault="00714D13" w:rsidP="00A2264C">
      <w:pPr>
        <w:tabs>
          <w:tab w:val="left" w:pos="993"/>
        </w:tabs>
        <w:rPr>
          <w:szCs w:val="22"/>
        </w:rPr>
      </w:pPr>
      <w:r>
        <w:rPr>
          <w:szCs w:val="22"/>
        </w:rPr>
        <w:t xml:space="preserve">A </w:t>
      </w:r>
      <w:r w:rsidR="0042473C">
        <w:rPr>
          <w:szCs w:val="22"/>
        </w:rPr>
        <w:t xml:space="preserve">CHSP </w:t>
      </w:r>
      <w:r>
        <w:rPr>
          <w:szCs w:val="22"/>
        </w:rPr>
        <w:t>provider will be required to report on the</w:t>
      </w:r>
      <w:r w:rsidR="00052DF7">
        <w:rPr>
          <w:szCs w:val="22"/>
        </w:rPr>
        <w:t>ir</w:t>
      </w:r>
      <w:r>
        <w:rPr>
          <w:szCs w:val="22"/>
        </w:rPr>
        <w:t xml:space="preserve"> service delivery</w:t>
      </w:r>
      <w:r w:rsidR="00052DF7">
        <w:rPr>
          <w:szCs w:val="22"/>
        </w:rPr>
        <w:t>,</w:t>
      </w:r>
      <w:r>
        <w:rPr>
          <w:szCs w:val="22"/>
        </w:rPr>
        <w:t xml:space="preserve"> to the best of their ability</w:t>
      </w:r>
      <w:r w:rsidR="00052DF7">
        <w:rPr>
          <w:szCs w:val="22"/>
        </w:rPr>
        <w:t xml:space="preserve">, </w:t>
      </w:r>
      <w:r w:rsidR="002A521D">
        <w:rPr>
          <w:szCs w:val="22"/>
        </w:rPr>
        <w:br/>
      </w:r>
      <w:r w:rsidR="00052DF7">
        <w:rPr>
          <w:szCs w:val="22"/>
        </w:rPr>
        <w:t>10</w:t>
      </w:r>
      <w:r w:rsidR="00757039">
        <w:rPr>
          <w:szCs w:val="22"/>
        </w:rPr>
        <w:t>-</w:t>
      </w:r>
      <w:r w:rsidR="00052DF7" w:rsidRPr="00D27529">
        <w:rPr>
          <w:szCs w:val="22"/>
        </w:rPr>
        <w:t>business days after the end of the month</w:t>
      </w:r>
      <w:r w:rsidR="00052DF7">
        <w:rPr>
          <w:szCs w:val="22"/>
        </w:rPr>
        <w:t>.</w:t>
      </w:r>
      <w:r>
        <w:rPr>
          <w:szCs w:val="22"/>
        </w:rPr>
        <w:t xml:space="preserve"> </w:t>
      </w:r>
      <w:r w:rsidR="00052DF7">
        <w:rPr>
          <w:szCs w:val="22"/>
        </w:rPr>
        <w:t>Health acknowledges</w:t>
      </w:r>
      <w:r>
        <w:rPr>
          <w:szCs w:val="22"/>
        </w:rPr>
        <w:t xml:space="preserve"> </w:t>
      </w:r>
      <w:r w:rsidR="0042473C">
        <w:rPr>
          <w:szCs w:val="22"/>
        </w:rPr>
        <w:t xml:space="preserve">that because of </w:t>
      </w:r>
      <w:r w:rsidR="00052DF7">
        <w:rPr>
          <w:szCs w:val="22"/>
        </w:rPr>
        <w:t>differing</w:t>
      </w:r>
      <w:r w:rsidR="00B15924">
        <w:rPr>
          <w:szCs w:val="22"/>
        </w:rPr>
        <w:t xml:space="preserve"> business </w:t>
      </w:r>
      <w:r w:rsidR="00052DF7">
        <w:rPr>
          <w:szCs w:val="22"/>
        </w:rPr>
        <w:t xml:space="preserve">models not all service delivery information may be available at that time. To overcome this, a provider will </w:t>
      </w:r>
      <w:r w:rsidR="0042473C">
        <w:rPr>
          <w:szCs w:val="22"/>
        </w:rPr>
        <w:t xml:space="preserve">be able </w:t>
      </w:r>
      <w:r w:rsidR="00052DF7">
        <w:rPr>
          <w:szCs w:val="22"/>
        </w:rPr>
        <w:t xml:space="preserve">to retrospectively update and amend service delivery information for a previous month. </w:t>
      </w:r>
    </w:p>
    <w:p w14:paraId="60BEC132" w14:textId="30C09DD4" w:rsidR="00B15924" w:rsidRDefault="00052DF7" w:rsidP="00A2264C">
      <w:pPr>
        <w:tabs>
          <w:tab w:val="left" w:pos="993"/>
        </w:tabs>
        <w:rPr>
          <w:szCs w:val="22"/>
        </w:rPr>
      </w:pPr>
      <w:r>
        <w:rPr>
          <w:szCs w:val="22"/>
        </w:rPr>
        <w:t xml:space="preserve">It is important that </w:t>
      </w:r>
      <w:r w:rsidR="00B15924">
        <w:rPr>
          <w:szCs w:val="22"/>
        </w:rPr>
        <w:t xml:space="preserve">CHSP providers are up to date with their monthly performance reporting through DEX as </w:t>
      </w:r>
      <w:r>
        <w:rPr>
          <w:szCs w:val="22"/>
        </w:rPr>
        <w:t>it may be</w:t>
      </w:r>
      <w:r w:rsidR="00B15924">
        <w:rPr>
          <w:szCs w:val="22"/>
        </w:rPr>
        <w:t xml:space="preserve"> linked to the automatic release of a monthly payment.</w:t>
      </w:r>
    </w:p>
    <w:p w14:paraId="2890DBD3" w14:textId="749967E0" w:rsidR="006634BE" w:rsidRPr="00D5264A" w:rsidRDefault="006634BE" w:rsidP="00A2264C">
      <w:pPr>
        <w:tabs>
          <w:tab w:val="left" w:pos="993"/>
        </w:tabs>
        <w:rPr>
          <w:sz w:val="2"/>
          <w:szCs w:val="2"/>
        </w:rPr>
      </w:pPr>
    </w:p>
    <w:p w14:paraId="16FBC800" w14:textId="24277AA7" w:rsidR="00CA59C0" w:rsidRDefault="00CA59C0" w:rsidP="00A2264C">
      <w:pPr>
        <w:pStyle w:val="Heading3"/>
        <w:tabs>
          <w:tab w:val="left" w:pos="284"/>
        </w:tabs>
        <w:ind w:left="0" w:firstLine="0"/>
      </w:pPr>
      <w:r>
        <w:t xml:space="preserve">Our organisation invoices fortnightly meaning </w:t>
      </w:r>
      <w:r w:rsidR="00791979">
        <w:t xml:space="preserve">on occasion we may not meet the </w:t>
      </w:r>
      <w:r w:rsidR="002A521D">
        <w:t>10-business</w:t>
      </w:r>
      <w:r w:rsidR="00791979">
        <w:t xml:space="preserve"> day reporting requirement, how can we overcome this</w:t>
      </w:r>
      <w:r>
        <w:t>?</w:t>
      </w:r>
    </w:p>
    <w:p w14:paraId="0868F6D2" w14:textId="0F7CABF1" w:rsidR="00791979" w:rsidRPr="00E3113F" w:rsidRDefault="006604E4" w:rsidP="00A2264C">
      <w:pPr>
        <w:tabs>
          <w:tab w:val="left" w:pos="993"/>
        </w:tabs>
      </w:pPr>
      <w:r>
        <w:t>Please see</w:t>
      </w:r>
      <w:r w:rsidR="005A08BB">
        <w:t xml:space="preserve"> Question and Answer </w:t>
      </w:r>
      <w:r w:rsidR="00C87239">
        <w:t xml:space="preserve">seven </w:t>
      </w:r>
      <w:r w:rsidR="005A08BB">
        <w:t>above for more detail.</w:t>
      </w:r>
    </w:p>
    <w:p w14:paraId="2F2BB18D" w14:textId="76A5D55A" w:rsidR="00E87C0A" w:rsidRPr="00D5264A" w:rsidRDefault="006562C9" w:rsidP="00A2264C">
      <w:pPr>
        <w:tabs>
          <w:tab w:val="left" w:pos="993"/>
        </w:tabs>
        <w:rPr>
          <w:sz w:val="2"/>
          <w:szCs w:val="2"/>
        </w:rPr>
      </w:pPr>
      <w:r>
        <w:rPr>
          <w:szCs w:val="22"/>
        </w:rPr>
        <w:t xml:space="preserve"> </w:t>
      </w:r>
    </w:p>
    <w:p w14:paraId="6AB45162" w14:textId="6B6DBB43" w:rsidR="00D27529" w:rsidRDefault="00D27529" w:rsidP="00A2264C">
      <w:pPr>
        <w:pStyle w:val="Heading3"/>
        <w:tabs>
          <w:tab w:val="left" w:pos="284"/>
        </w:tabs>
        <w:ind w:left="0" w:firstLine="0"/>
      </w:pPr>
      <w:r w:rsidRPr="000543F2">
        <w:t xml:space="preserve">Will </w:t>
      </w:r>
      <w:r>
        <w:t xml:space="preserve">there </w:t>
      </w:r>
      <w:r w:rsidRPr="000543F2">
        <w:t>be an opportunity to re-submit a report to pick up retrospective adjustments of service delivery after the monthly reporting?</w:t>
      </w:r>
    </w:p>
    <w:p w14:paraId="6989CBF6" w14:textId="7DDA7149" w:rsidR="00BC679C" w:rsidRPr="00E3113F" w:rsidRDefault="00BC679C" w:rsidP="00BC679C">
      <w:pPr>
        <w:tabs>
          <w:tab w:val="left" w:pos="993"/>
        </w:tabs>
      </w:pPr>
      <w:r>
        <w:t>DEX will have cut-off dates of 30 January 2022</w:t>
      </w:r>
      <w:r w:rsidR="002A521D">
        <w:t>/2023</w:t>
      </w:r>
      <w:r>
        <w:t xml:space="preserve"> and 30 July 2022</w:t>
      </w:r>
      <w:r w:rsidR="002A521D">
        <w:t>/2023</w:t>
      </w:r>
      <w:r>
        <w:t>. CHSP providers must ensure they adjust their DEX reporting data before these dates.</w:t>
      </w:r>
    </w:p>
    <w:p w14:paraId="5E6190BB" w14:textId="595D73EC" w:rsidR="00D27529" w:rsidRPr="00D5264A" w:rsidRDefault="00D27529" w:rsidP="00A2264C">
      <w:pPr>
        <w:tabs>
          <w:tab w:val="left" w:pos="993"/>
        </w:tabs>
        <w:rPr>
          <w:sz w:val="2"/>
          <w:szCs w:val="2"/>
        </w:rPr>
      </w:pPr>
    </w:p>
    <w:p w14:paraId="2CA9E11B" w14:textId="3AECD20D" w:rsidR="00CA59C0" w:rsidRPr="00CA59C0" w:rsidRDefault="00CA59C0" w:rsidP="00A2264C">
      <w:pPr>
        <w:pStyle w:val="Heading3"/>
        <w:tabs>
          <w:tab w:val="left" w:pos="284"/>
        </w:tabs>
        <w:ind w:left="0" w:firstLine="0"/>
      </w:pPr>
      <w:r w:rsidRPr="00CA59C0">
        <w:t xml:space="preserve">Will </w:t>
      </w:r>
      <w:r w:rsidR="005A08BB">
        <w:t xml:space="preserve">Health be providing </w:t>
      </w:r>
      <w:r w:rsidRPr="00CA59C0">
        <w:t xml:space="preserve">any administrative funding to </w:t>
      </w:r>
      <w:r w:rsidR="00FA3D8D">
        <w:t>help</w:t>
      </w:r>
      <w:r w:rsidRPr="00CA59C0">
        <w:t xml:space="preserve"> </w:t>
      </w:r>
      <w:r>
        <w:t>providers</w:t>
      </w:r>
      <w:r w:rsidRPr="00CA59C0">
        <w:t xml:space="preserve"> with monthly reporting? </w:t>
      </w:r>
    </w:p>
    <w:p w14:paraId="37AABF87" w14:textId="6A2A2AF7" w:rsidR="00F10082" w:rsidRDefault="00CA59C0" w:rsidP="00A2264C">
      <w:pPr>
        <w:tabs>
          <w:tab w:val="left" w:pos="993"/>
        </w:tabs>
      </w:pPr>
      <w:r>
        <w:t>No</w:t>
      </w:r>
      <w:r w:rsidR="005A08BB">
        <w:t>.</w:t>
      </w:r>
      <w:r>
        <w:t xml:space="preserve"> </w:t>
      </w:r>
      <w:r w:rsidR="003222CC">
        <w:t>There will be</w:t>
      </w:r>
      <w:r w:rsidR="007F79BA">
        <w:t xml:space="preserve"> no</w:t>
      </w:r>
      <w:r w:rsidR="003222CC">
        <w:t xml:space="preserve"> </w:t>
      </w:r>
      <w:r w:rsidR="00FA3D8D">
        <w:t>extra</w:t>
      </w:r>
      <w:r w:rsidR="003222CC">
        <w:t xml:space="preserve"> funding allocated to CHSP providers to </w:t>
      </w:r>
      <w:r w:rsidR="00FA3D8D">
        <w:t>help</w:t>
      </w:r>
      <w:r w:rsidR="003222CC">
        <w:t xml:space="preserve"> with monthly reporting through DEX.</w:t>
      </w:r>
      <w:r>
        <w:t xml:space="preserve"> </w:t>
      </w:r>
    </w:p>
    <w:p w14:paraId="5AF45ABE" w14:textId="6DD8C79D" w:rsidR="00CA59C0" w:rsidRDefault="007F79BA" w:rsidP="00A2264C">
      <w:pPr>
        <w:tabs>
          <w:tab w:val="left" w:pos="993"/>
        </w:tabs>
      </w:pPr>
      <w:r>
        <w:t>CHSP p</w:t>
      </w:r>
      <w:r w:rsidR="00CA59C0">
        <w:t xml:space="preserve">roviders are already required to </w:t>
      </w:r>
      <w:r>
        <w:t xml:space="preserve">submit performance </w:t>
      </w:r>
      <w:r w:rsidR="00CA59C0">
        <w:t>report</w:t>
      </w:r>
      <w:r>
        <w:t>s through DEX every six months</w:t>
      </w:r>
      <w:r w:rsidR="00CA59C0">
        <w:t xml:space="preserve"> and </w:t>
      </w:r>
      <w:r>
        <w:t xml:space="preserve">therefore </w:t>
      </w:r>
      <w:r w:rsidR="00CA59C0">
        <w:t xml:space="preserve">should be familiar with the process. </w:t>
      </w:r>
    </w:p>
    <w:p w14:paraId="6C965EBF" w14:textId="19F7A5C8" w:rsidR="00D5264A" w:rsidRDefault="007F79BA">
      <w:pPr>
        <w:spacing w:before="0" w:after="160" w:line="259" w:lineRule="auto"/>
        <w:rPr>
          <w:sz w:val="2"/>
          <w:szCs w:val="2"/>
        </w:rPr>
      </w:pPr>
      <w:r>
        <w:t xml:space="preserve">However, Health </w:t>
      </w:r>
      <w:r w:rsidR="00CA59C0">
        <w:t xml:space="preserve">acknowledges monthly </w:t>
      </w:r>
      <w:r>
        <w:t xml:space="preserve">performance </w:t>
      </w:r>
      <w:r w:rsidR="00CA59C0">
        <w:t xml:space="preserve">reporting may </w:t>
      </w:r>
      <w:r w:rsidR="00FA3D8D">
        <w:t>lead to</w:t>
      </w:r>
      <w:r w:rsidR="00CA59C0">
        <w:t xml:space="preserve"> </w:t>
      </w:r>
      <w:r w:rsidR="00FA3D8D">
        <w:t>more</w:t>
      </w:r>
      <w:r w:rsidR="00CA59C0">
        <w:t xml:space="preserve"> administrative </w:t>
      </w:r>
      <w:r w:rsidR="006604E4">
        <w:t>activities f</w:t>
      </w:r>
      <w:r w:rsidR="00FA3D8D">
        <w:t>or</w:t>
      </w:r>
      <w:r w:rsidR="00CA59C0">
        <w:t xml:space="preserve"> some organisations</w:t>
      </w:r>
      <w:r w:rsidR="00FA3D8D">
        <w:t>.</w:t>
      </w:r>
      <w:r w:rsidR="00CA59C0">
        <w:t xml:space="preserve"> </w:t>
      </w:r>
      <w:r w:rsidR="00FA3D8D">
        <w:t>T</w:t>
      </w:r>
      <w:r w:rsidR="00CA59C0">
        <w:t xml:space="preserve">o </w:t>
      </w:r>
      <w:r w:rsidR="00FA3D8D">
        <w:t>help</w:t>
      </w:r>
      <w:r w:rsidR="00CA59C0">
        <w:t xml:space="preserve"> with this, there will </w:t>
      </w:r>
      <w:r w:rsidR="000A145D">
        <w:t xml:space="preserve">soon </w:t>
      </w:r>
      <w:r w:rsidR="00CA59C0">
        <w:t xml:space="preserve">be DEX data training available to upskill organisational staff </w:t>
      </w:r>
      <w:r w:rsidR="00E533F1">
        <w:t xml:space="preserve">to improve reporting </w:t>
      </w:r>
      <w:r w:rsidR="00CA59C0">
        <w:t>efficiency.</w:t>
      </w:r>
    </w:p>
    <w:p w14:paraId="5F56E2C6" w14:textId="1224B44B" w:rsidR="00A61455" w:rsidRDefault="00A61455">
      <w:pPr>
        <w:spacing w:before="0" w:after="160" w:line="259" w:lineRule="auto"/>
        <w:rPr>
          <w:b/>
          <w:bCs/>
          <w:sz w:val="2"/>
          <w:szCs w:val="2"/>
        </w:rPr>
      </w:pPr>
      <w:r>
        <w:rPr>
          <w:sz w:val="2"/>
          <w:szCs w:val="2"/>
        </w:rPr>
        <w:br w:type="page"/>
      </w:r>
    </w:p>
    <w:p w14:paraId="23260124" w14:textId="6054A390" w:rsidR="00086BA8" w:rsidRPr="00D26BED" w:rsidRDefault="00086BA8" w:rsidP="00D26BED">
      <w:pPr>
        <w:pStyle w:val="Heading2"/>
        <w:numPr>
          <w:ilvl w:val="0"/>
          <w:numId w:val="0"/>
        </w:numPr>
        <w:rPr>
          <w:sz w:val="26"/>
          <w:szCs w:val="26"/>
        </w:rPr>
      </w:pPr>
      <w:r w:rsidRPr="00D26BED">
        <w:rPr>
          <w:sz w:val="26"/>
          <w:szCs w:val="26"/>
        </w:rPr>
        <w:lastRenderedPageBreak/>
        <w:t xml:space="preserve">Unit Pricing </w:t>
      </w:r>
    </w:p>
    <w:p w14:paraId="59ED946F" w14:textId="10E38E6F" w:rsidR="004C2275" w:rsidRDefault="004C2275" w:rsidP="00A2264C">
      <w:pPr>
        <w:pStyle w:val="Heading3"/>
        <w:tabs>
          <w:tab w:val="left" w:pos="426"/>
        </w:tabs>
        <w:ind w:left="0" w:firstLine="0"/>
      </w:pPr>
      <w:r w:rsidRPr="004C2275">
        <w:t xml:space="preserve">Are </w:t>
      </w:r>
      <w:r w:rsidR="00363ABD">
        <w:t xml:space="preserve">CHSP providers </w:t>
      </w:r>
      <w:r w:rsidRPr="004C2275">
        <w:t>able to negotiate the</w:t>
      </w:r>
      <w:r w:rsidR="00363ABD">
        <w:t>ir</w:t>
      </w:r>
      <w:r w:rsidRPr="004C2275">
        <w:t xml:space="preserve"> proposed </w:t>
      </w:r>
      <w:r w:rsidR="00363ABD">
        <w:t xml:space="preserve">unit </w:t>
      </w:r>
      <w:r w:rsidRPr="004C2275">
        <w:t>prices</w:t>
      </w:r>
      <w:r>
        <w:t>?</w:t>
      </w:r>
    </w:p>
    <w:p w14:paraId="42F89D30" w14:textId="3B8C71D4" w:rsidR="004C2275" w:rsidRPr="007074E2" w:rsidRDefault="00240273" w:rsidP="00A2264C">
      <w:pPr>
        <w:tabs>
          <w:tab w:val="left" w:pos="993"/>
        </w:tabs>
      </w:pPr>
      <w:r>
        <w:t>T</w:t>
      </w:r>
      <w:r w:rsidR="00960CFC" w:rsidRPr="00960CFC">
        <w:t xml:space="preserve">here is only modest scope for CHSP providers to negotiate </w:t>
      </w:r>
      <w:r w:rsidR="00363ABD">
        <w:t xml:space="preserve">their </w:t>
      </w:r>
      <w:r w:rsidR="00960CFC" w:rsidRPr="00960CFC">
        <w:t xml:space="preserve">unit prices. Where a CHSP provider is already funded in the 2022-23 National Unit Price Ranges, there will be no option to negotiate, unless: </w:t>
      </w:r>
    </w:p>
    <w:p w14:paraId="3D3C2361" w14:textId="77777777" w:rsidR="00960CFC" w:rsidRPr="007074E2" w:rsidRDefault="00960CFC" w:rsidP="00A2264C">
      <w:pPr>
        <w:pStyle w:val="Paragraphtext"/>
        <w:numPr>
          <w:ilvl w:val="0"/>
          <w:numId w:val="28"/>
        </w:numPr>
        <w:tabs>
          <w:tab w:val="left" w:pos="993"/>
        </w:tabs>
        <w:ind w:left="284" w:hanging="284"/>
        <w:rPr>
          <w:rFonts w:asciiTheme="minorHAnsi" w:hAnsiTheme="minorHAnsi" w:cstheme="minorHAnsi"/>
        </w:rPr>
      </w:pPr>
      <w:r w:rsidRPr="007074E2">
        <w:rPr>
          <w:rFonts w:asciiTheme="minorHAnsi" w:hAnsiTheme="minorHAnsi" w:cstheme="minorHAnsi"/>
        </w:rPr>
        <w:t>They deliver majority of services (51% or more) in MMM 6 or 7.</w:t>
      </w:r>
    </w:p>
    <w:p w14:paraId="47262312" w14:textId="77777777" w:rsidR="00960CFC" w:rsidRPr="007074E2" w:rsidRDefault="00960CFC" w:rsidP="00A2264C">
      <w:pPr>
        <w:pStyle w:val="Paragraphtext"/>
        <w:numPr>
          <w:ilvl w:val="0"/>
          <w:numId w:val="28"/>
        </w:numPr>
        <w:tabs>
          <w:tab w:val="left" w:pos="993"/>
        </w:tabs>
        <w:ind w:left="284" w:hanging="284"/>
        <w:rPr>
          <w:rFonts w:asciiTheme="minorHAnsi" w:hAnsiTheme="minorHAnsi" w:cstheme="minorHAnsi"/>
        </w:rPr>
      </w:pPr>
      <w:r w:rsidRPr="007074E2">
        <w:rPr>
          <w:rFonts w:asciiTheme="minorHAnsi" w:hAnsiTheme="minorHAnsi" w:cstheme="minorHAnsi"/>
        </w:rPr>
        <w:t>They have historically been delivering at a materially different unit price.</w:t>
      </w:r>
    </w:p>
    <w:p w14:paraId="1D1C336C" w14:textId="6433C27A" w:rsidR="00960CFC" w:rsidRDefault="00960CFC" w:rsidP="00A2264C">
      <w:pPr>
        <w:pStyle w:val="Paragraphtext"/>
        <w:numPr>
          <w:ilvl w:val="0"/>
          <w:numId w:val="28"/>
        </w:numPr>
        <w:tabs>
          <w:tab w:val="left" w:pos="993"/>
        </w:tabs>
        <w:ind w:left="284" w:hanging="284"/>
        <w:rPr>
          <w:rFonts w:asciiTheme="minorHAnsi" w:hAnsiTheme="minorHAnsi" w:cstheme="minorHAnsi"/>
        </w:rPr>
      </w:pPr>
      <w:r w:rsidRPr="007074E2">
        <w:rPr>
          <w:rFonts w:asciiTheme="minorHAnsi" w:hAnsiTheme="minorHAnsi" w:cstheme="minorHAnsi"/>
        </w:rPr>
        <w:t>They want to re-categorise a service into another service type to correct historical anomalies. In</w:t>
      </w:r>
      <w:r w:rsidRPr="00960CFC">
        <w:rPr>
          <w:rFonts w:asciiTheme="minorHAnsi" w:hAnsiTheme="minorHAnsi" w:cstheme="minorHAnsi"/>
        </w:rPr>
        <w:t xml:space="preserve"> this instance, if they already deliver this service type, the unit price will match their </w:t>
      </w:r>
      <w:proofErr w:type="gramStart"/>
      <w:r w:rsidRPr="00960CFC">
        <w:rPr>
          <w:rFonts w:asciiTheme="minorHAnsi" w:hAnsiTheme="minorHAnsi" w:cstheme="minorHAnsi"/>
        </w:rPr>
        <w:t>2022-23 unit</w:t>
      </w:r>
      <w:proofErr w:type="gramEnd"/>
      <w:r w:rsidRPr="00960CFC">
        <w:rPr>
          <w:rFonts w:asciiTheme="minorHAnsi" w:hAnsiTheme="minorHAnsi" w:cstheme="minorHAnsi"/>
        </w:rPr>
        <w:t xml:space="preserve"> price, and outputs would be calculated such that there is no change to the total value of the contract. Otherwise, if they are adding a new service type to their contract, </w:t>
      </w:r>
      <w:r w:rsidR="00757039">
        <w:rPr>
          <w:rFonts w:asciiTheme="minorHAnsi" w:hAnsiTheme="minorHAnsi" w:cstheme="minorHAnsi"/>
        </w:rPr>
        <w:t>Health</w:t>
      </w:r>
      <w:r w:rsidRPr="00960CFC">
        <w:rPr>
          <w:rFonts w:asciiTheme="minorHAnsi" w:hAnsiTheme="minorHAnsi" w:cstheme="minorHAnsi"/>
        </w:rPr>
        <w:t xml:space="preserve"> will need to confirm the new unit price and outputs.</w:t>
      </w:r>
    </w:p>
    <w:p w14:paraId="6A1A5BF5" w14:textId="77777777" w:rsidR="00270F0C" w:rsidRPr="00D5264A" w:rsidRDefault="00270F0C" w:rsidP="00A2264C">
      <w:pPr>
        <w:pStyle w:val="Paragraphtext"/>
        <w:tabs>
          <w:tab w:val="left" w:pos="993"/>
        </w:tabs>
        <w:rPr>
          <w:rFonts w:asciiTheme="minorHAnsi" w:hAnsiTheme="minorHAnsi" w:cstheme="minorHAnsi"/>
          <w:sz w:val="2"/>
          <w:szCs w:val="2"/>
        </w:rPr>
      </w:pPr>
    </w:p>
    <w:p w14:paraId="570610DE" w14:textId="3966A494" w:rsidR="004C2275" w:rsidRPr="004C2275" w:rsidRDefault="000C32DB" w:rsidP="00A2264C">
      <w:pPr>
        <w:pStyle w:val="Heading3"/>
        <w:tabs>
          <w:tab w:val="left" w:pos="426"/>
        </w:tabs>
        <w:ind w:left="0" w:firstLine="0"/>
      </w:pPr>
      <w:r>
        <w:t>For the 2022-23 CHSP extension</w:t>
      </w:r>
      <w:r w:rsidR="006604E4">
        <w:t>,</w:t>
      </w:r>
      <w:r>
        <w:t xml:space="preserve"> w</w:t>
      </w:r>
      <w:r w:rsidR="004C2275" w:rsidRPr="004C2275">
        <w:t xml:space="preserve">ill all </w:t>
      </w:r>
      <w:r>
        <w:t xml:space="preserve">CHSP </w:t>
      </w:r>
      <w:r w:rsidR="004C2275" w:rsidRPr="004C2275">
        <w:t>providers be offered the same unit price</w:t>
      </w:r>
      <w:r w:rsidR="005C708F">
        <w:t>?</w:t>
      </w:r>
    </w:p>
    <w:p w14:paraId="3148C3BB" w14:textId="364CD765" w:rsidR="000C32DB" w:rsidRDefault="00E20CF9" w:rsidP="00A2264C">
      <w:pPr>
        <w:tabs>
          <w:tab w:val="left" w:pos="993"/>
        </w:tabs>
      </w:pPr>
      <w:r>
        <w:t>No</w:t>
      </w:r>
      <w:r w:rsidR="00363ABD">
        <w:t>.</w:t>
      </w:r>
      <w:r>
        <w:t xml:space="preserve"> </w:t>
      </w:r>
      <w:r w:rsidR="00363ABD">
        <w:t>F</w:t>
      </w:r>
      <w:r>
        <w:t xml:space="preserve">or the 2022-23 CHSP extension </w:t>
      </w:r>
      <w:r w:rsidR="000C32DB">
        <w:t xml:space="preserve">CHSP </w:t>
      </w:r>
      <w:r w:rsidR="00686BBC">
        <w:t xml:space="preserve">providers </w:t>
      </w:r>
      <w:r w:rsidR="00260030">
        <w:t>may</w:t>
      </w:r>
      <w:r w:rsidR="00686BBC">
        <w:t xml:space="preserve"> be funded anywhere within the</w:t>
      </w:r>
      <w:r>
        <w:t xml:space="preserve"> 2022-23 National Unit Price Range </w:t>
      </w:r>
      <w:r w:rsidR="00686BBC">
        <w:t>for the services they deliver</w:t>
      </w:r>
      <w:r w:rsidR="00B157D1">
        <w:t>.</w:t>
      </w:r>
      <w:r w:rsidR="00686BBC">
        <w:t xml:space="preserve"> </w:t>
      </w:r>
      <w:r w:rsidR="00C122D1">
        <w:t xml:space="preserve">The unit price that a </w:t>
      </w:r>
      <w:r w:rsidR="000C32DB">
        <w:t xml:space="preserve">CHSP </w:t>
      </w:r>
      <w:r w:rsidR="00686BBC">
        <w:t>provider</w:t>
      </w:r>
      <w:r w:rsidR="00C122D1">
        <w:t xml:space="preserve"> receive</w:t>
      </w:r>
      <w:r w:rsidR="00686BBC">
        <w:t xml:space="preserve">s </w:t>
      </w:r>
      <w:r w:rsidR="00C122D1">
        <w:t xml:space="preserve">for 2022-23 will depend on their </w:t>
      </w:r>
      <w:r w:rsidR="00686BBC">
        <w:t xml:space="preserve">service delivery history and previously funded unit price. </w:t>
      </w:r>
    </w:p>
    <w:p w14:paraId="095AB3B1" w14:textId="607BDCD2" w:rsidR="00260030" w:rsidRDefault="00260030" w:rsidP="00A2264C">
      <w:pPr>
        <w:pStyle w:val="Paragraphtext"/>
        <w:tabs>
          <w:tab w:val="left" w:pos="993"/>
        </w:tabs>
        <w:rPr>
          <w:rFonts w:asciiTheme="minorHAnsi" w:hAnsiTheme="minorHAnsi" w:cstheme="minorHAnsi"/>
        </w:rPr>
      </w:pPr>
      <w:r w:rsidRPr="00260030">
        <w:rPr>
          <w:rFonts w:asciiTheme="minorHAnsi" w:hAnsiTheme="minorHAnsi" w:cstheme="minorHAnsi"/>
          <w:szCs w:val="22"/>
        </w:rPr>
        <w:t xml:space="preserve">In November 2021, </w:t>
      </w:r>
      <w:r w:rsidR="002D7D06">
        <w:rPr>
          <w:rFonts w:asciiTheme="minorHAnsi" w:hAnsiTheme="minorHAnsi" w:cstheme="minorHAnsi"/>
        </w:rPr>
        <w:t>Health</w:t>
      </w:r>
      <w:r w:rsidRPr="00260030">
        <w:rPr>
          <w:rFonts w:asciiTheme="minorHAnsi" w:hAnsiTheme="minorHAnsi" w:cstheme="minorHAnsi"/>
          <w:szCs w:val="22"/>
        </w:rPr>
        <w:t xml:space="preserve"> </w:t>
      </w:r>
      <w:r w:rsidR="00C122D1">
        <w:rPr>
          <w:rFonts w:asciiTheme="minorHAnsi" w:hAnsiTheme="minorHAnsi" w:cstheme="minorHAnsi"/>
          <w:szCs w:val="22"/>
        </w:rPr>
        <w:t xml:space="preserve">sent </w:t>
      </w:r>
      <w:r w:rsidRPr="00260030">
        <w:rPr>
          <w:rFonts w:asciiTheme="minorHAnsi" w:hAnsiTheme="minorHAnsi" w:cstheme="minorHAnsi"/>
          <w:szCs w:val="22"/>
        </w:rPr>
        <w:t>CHSP providers a letter outlining the indicative service offer and funding being proposed</w:t>
      </w:r>
      <w:r w:rsidR="00D63046">
        <w:rPr>
          <w:rFonts w:asciiTheme="minorHAnsi" w:hAnsiTheme="minorHAnsi" w:cstheme="minorHAnsi"/>
          <w:szCs w:val="22"/>
        </w:rPr>
        <w:t>, excluding SSD, ACH and SSS service providers</w:t>
      </w:r>
      <w:r w:rsidRPr="00260030">
        <w:rPr>
          <w:rFonts w:asciiTheme="minorHAnsi" w:hAnsiTheme="minorHAnsi" w:cstheme="minorHAnsi"/>
          <w:szCs w:val="22"/>
        </w:rPr>
        <w:t xml:space="preserve">. </w:t>
      </w:r>
      <w:r w:rsidR="00BC679C">
        <w:rPr>
          <w:rFonts w:asciiTheme="minorHAnsi" w:hAnsiTheme="minorHAnsi" w:cstheme="minorHAnsi"/>
          <w:szCs w:val="22"/>
        </w:rPr>
        <w:t>Providers delivering SSD, ACH and SSS services can expect to receive their indicative letter in early 2022.</w:t>
      </w:r>
    </w:p>
    <w:p w14:paraId="2A373231" w14:textId="77777777" w:rsidR="00026555" w:rsidRPr="00D5264A" w:rsidRDefault="00026555" w:rsidP="00A2264C">
      <w:pPr>
        <w:pStyle w:val="Paragraphtext"/>
        <w:tabs>
          <w:tab w:val="left" w:pos="993"/>
        </w:tabs>
        <w:rPr>
          <w:rFonts w:asciiTheme="minorHAnsi" w:hAnsiTheme="minorHAnsi" w:cstheme="minorHAnsi"/>
          <w:sz w:val="2"/>
          <w:szCs w:val="2"/>
        </w:rPr>
      </w:pPr>
    </w:p>
    <w:p w14:paraId="003566C1" w14:textId="264A65AC" w:rsidR="00726C5B" w:rsidRDefault="00726C5B" w:rsidP="00A2264C">
      <w:pPr>
        <w:pStyle w:val="Heading3"/>
        <w:tabs>
          <w:tab w:val="left" w:pos="426"/>
        </w:tabs>
        <w:ind w:left="0" w:firstLine="0"/>
      </w:pPr>
      <w:r>
        <w:t xml:space="preserve">Do the </w:t>
      </w:r>
      <w:r w:rsidR="00F200AC">
        <w:t>2022-23 National U</w:t>
      </w:r>
      <w:r>
        <w:t xml:space="preserve">nit </w:t>
      </w:r>
      <w:r w:rsidR="00F200AC">
        <w:t>P</w:t>
      </w:r>
      <w:r>
        <w:t>rice</w:t>
      </w:r>
      <w:r w:rsidR="00F200AC">
        <w:t xml:space="preserve"> Range</w:t>
      </w:r>
      <w:r>
        <w:t>s factor in fixed and variable costs?</w:t>
      </w:r>
    </w:p>
    <w:p w14:paraId="18A4E715" w14:textId="61CFD293" w:rsidR="005D72AF" w:rsidRDefault="005D72AF" w:rsidP="00A2264C">
      <w:pPr>
        <w:tabs>
          <w:tab w:val="left" w:pos="993"/>
        </w:tabs>
      </w:pPr>
      <w:r>
        <w:t xml:space="preserve">The </w:t>
      </w:r>
      <w:r w:rsidR="004F5926">
        <w:t xml:space="preserve">2022-23 National Unit Price Ranges </w:t>
      </w:r>
      <w:r w:rsidR="002D7D06">
        <w:t>w</w:t>
      </w:r>
      <w:r w:rsidR="004F5926">
        <w:t xml:space="preserve">ere developed </w:t>
      </w:r>
      <w:r w:rsidR="002D7D06">
        <w:t>by ACIL Allen Consulting</w:t>
      </w:r>
      <w:r w:rsidR="004F5926">
        <w:t>.</w:t>
      </w:r>
      <w:r w:rsidR="002D7D06">
        <w:t xml:space="preserve"> </w:t>
      </w:r>
      <w:r w:rsidR="004F5926">
        <w:t xml:space="preserve">Their analysis </w:t>
      </w:r>
      <w:r>
        <w:t>consider</w:t>
      </w:r>
      <w:r w:rsidR="002D7D06">
        <w:t>ed</w:t>
      </w:r>
      <w:r>
        <w:t xml:space="preserve"> </w:t>
      </w:r>
      <w:r w:rsidR="006614F8">
        <w:t xml:space="preserve">fixed </w:t>
      </w:r>
      <w:r w:rsidR="00D63046">
        <w:t>and</w:t>
      </w:r>
      <w:r w:rsidR="006614F8">
        <w:t xml:space="preserve"> variable </w:t>
      </w:r>
      <w:r>
        <w:t xml:space="preserve">cost structures in addition to usual corporate overhead costs. </w:t>
      </w:r>
    </w:p>
    <w:p w14:paraId="2C45CC3B" w14:textId="699E3EE5" w:rsidR="004F5926" w:rsidRDefault="005D72AF" w:rsidP="00A2264C">
      <w:pPr>
        <w:tabs>
          <w:tab w:val="left" w:pos="993"/>
        </w:tabs>
      </w:pPr>
      <w:r>
        <w:t xml:space="preserve">ACIL Allen </w:t>
      </w:r>
      <w:r w:rsidR="00786B2E">
        <w:t xml:space="preserve">Consulting </w:t>
      </w:r>
      <w:r w:rsidR="004F5926">
        <w:t xml:space="preserve">also </w:t>
      </w:r>
      <w:r w:rsidR="006614F8">
        <w:t xml:space="preserve">considered historical CHSP funding which </w:t>
      </w:r>
      <w:r w:rsidR="004F5926">
        <w:t xml:space="preserve">is </w:t>
      </w:r>
      <w:r w:rsidR="006614F8">
        <w:t>inclusive of</w:t>
      </w:r>
      <w:r w:rsidR="004F5926">
        <w:t>:</w:t>
      </w:r>
    </w:p>
    <w:p w14:paraId="0620562C" w14:textId="1C8C8EAF" w:rsidR="004F5926" w:rsidRDefault="00CA559B" w:rsidP="004F5926">
      <w:pPr>
        <w:pStyle w:val="ListParagraph"/>
        <w:numPr>
          <w:ilvl w:val="0"/>
          <w:numId w:val="39"/>
        </w:numPr>
        <w:tabs>
          <w:tab w:val="left" w:pos="993"/>
        </w:tabs>
      </w:pPr>
      <w:r>
        <w:t>P</w:t>
      </w:r>
      <w:r w:rsidR="006614F8">
        <w:t xml:space="preserve">rogram </w:t>
      </w:r>
      <w:proofErr w:type="gramStart"/>
      <w:r w:rsidR="006614F8">
        <w:t>administration</w:t>
      </w:r>
      <w:r w:rsidR="004F5926">
        <w:t>;</w:t>
      </w:r>
      <w:proofErr w:type="gramEnd"/>
    </w:p>
    <w:p w14:paraId="02CE6BF1" w14:textId="62024AD7" w:rsidR="004F5926" w:rsidRDefault="00CA559B" w:rsidP="004F5926">
      <w:pPr>
        <w:pStyle w:val="ListParagraph"/>
        <w:numPr>
          <w:ilvl w:val="0"/>
          <w:numId w:val="39"/>
        </w:numPr>
        <w:tabs>
          <w:tab w:val="left" w:pos="993"/>
        </w:tabs>
      </w:pPr>
      <w:r>
        <w:t>C</w:t>
      </w:r>
      <w:r w:rsidR="006614F8">
        <w:t>lient management</w:t>
      </w:r>
      <w:r w:rsidR="004F5926">
        <w:t>;</w:t>
      </w:r>
      <w:r w:rsidR="006614F8">
        <w:t xml:space="preserve"> and</w:t>
      </w:r>
    </w:p>
    <w:p w14:paraId="12A55765" w14:textId="06E30CD0" w:rsidR="005C708F" w:rsidRDefault="00CA559B" w:rsidP="009414AC">
      <w:pPr>
        <w:pStyle w:val="ListParagraph"/>
        <w:numPr>
          <w:ilvl w:val="0"/>
          <w:numId w:val="39"/>
        </w:numPr>
        <w:tabs>
          <w:tab w:val="left" w:pos="993"/>
        </w:tabs>
      </w:pPr>
      <w:r>
        <w:t>C</w:t>
      </w:r>
      <w:r w:rsidR="006614F8">
        <w:t>osts such as training, quality and safety compliance, information technology or asset replacement.</w:t>
      </w:r>
    </w:p>
    <w:p w14:paraId="5EB731F0" w14:textId="77777777" w:rsidR="006614F8" w:rsidRPr="00D5264A" w:rsidRDefault="006614F8" w:rsidP="00A2264C">
      <w:pPr>
        <w:tabs>
          <w:tab w:val="left" w:pos="993"/>
        </w:tabs>
        <w:rPr>
          <w:sz w:val="2"/>
          <w:szCs w:val="2"/>
        </w:rPr>
      </w:pPr>
    </w:p>
    <w:p w14:paraId="1C3223F5" w14:textId="1D33668C" w:rsidR="004C2275" w:rsidRDefault="00726C5B" w:rsidP="00A2264C">
      <w:pPr>
        <w:pStyle w:val="Heading3"/>
        <w:tabs>
          <w:tab w:val="left" w:pos="426"/>
        </w:tabs>
        <w:ind w:left="0" w:firstLine="0"/>
      </w:pPr>
      <w:r>
        <w:t xml:space="preserve">What other government funded programs </w:t>
      </w:r>
      <w:r w:rsidR="004F5926">
        <w:t xml:space="preserve">were </w:t>
      </w:r>
      <w:r w:rsidR="00B6203C">
        <w:t>used</w:t>
      </w:r>
      <w:r>
        <w:t xml:space="preserve"> for </w:t>
      </w:r>
      <w:r w:rsidR="006661DE">
        <w:t>benchmarking the 2022-23 National Unit Price Ranges</w:t>
      </w:r>
      <w:r>
        <w:t>?</w:t>
      </w:r>
    </w:p>
    <w:p w14:paraId="172C12F0" w14:textId="77777777" w:rsidR="004F5926" w:rsidRDefault="00845D4F" w:rsidP="00A2264C">
      <w:pPr>
        <w:tabs>
          <w:tab w:val="left" w:pos="993"/>
        </w:tabs>
        <w:spacing w:before="0"/>
      </w:pPr>
      <w:r w:rsidRPr="00786B2E">
        <w:t xml:space="preserve">As part of their analysis ACIL Allen </w:t>
      </w:r>
      <w:r w:rsidR="00786B2E">
        <w:t xml:space="preserve">Consulting </w:t>
      </w:r>
      <w:r w:rsidR="006661DE" w:rsidRPr="00786B2E">
        <w:t xml:space="preserve">compared </w:t>
      </w:r>
      <w:r w:rsidR="001F32E3" w:rsidRPr="00786B2E">
        <w:t xml:space="preserve">the unit pricing </w:t>
      </w:r>
      <w:r w:rsidR="006661DE" w:rsidRPr="00786B2E">
        <w:t xml:space="preserve">and pricing factors </w:t>
      </w:r>
      <w:r w:rsidR="00E137A9">
        <w:t xml:space="preserve">across all applicable service types </w:t>
      </w:r>
      <w:r w:rsidR="001F32E3" w:rsidRPr="00786B2E">
        <w:t>of</w:t>
      </w:r>
      <w:r w:rsidR="004F5926">
        <w:t>:</w:t>
      </w:r>
    </w:p>
    <w:p w14:paraId="25C5A104" w14:textId="788C4810" w:rsidR="004F5926" w:rsidRDefault="00CA559B" w:rsidP="004F5926">
      <w:pPr>
        <w:pStyle w:val="ListParagraph"/>
        <w:numPr>
          <w:ilvl w:val="0"/>
          <w:numId w:val="40"/>
        </w:numPr>
        <w:tabs>
          <w:tab w:val="left" w:pos="993"/>
        </w:tabs>
        <w:spacing w:before="0"/>
      </w:pPr>
      <w:r>
        <w:t>T</w:t>
      </w:r>
      <w:r w:rsidR="001F32E3" w:rsidRPr="00786B2E">
        <w:t xml:space="preserve">he </w:t>
      </w:r>
      <w:proofErr w:type="gramStart"/>
      <w:r w:rsidR="0015195D">
        <w:t>NDIS</w:t>
      </w:r>
      <w:r w:rsidR="004F5926">
        <w:t>;</w:t>
      </w:r>
      <w:proofErr w:type="gramEnd"/>
    </w:p>
    <w:p w14:paraId="46232215" w14:textId="6EAB8475" w:rsidR="004F5926" w:rsidRDefault="001F32E3" w:rsidP="004F5926">
      <w:pPr>
        <w:pStyle w:val="ListParagraph"/>
        <w:numPr>
          <w:ilvl w:val="0"/>
          <w:numId w:val="40"/>
        </w:numPr>
        <w:tabs>
          <w:tab w:val="left" w:pos="993"/>
        </w:tabs>
        <w:spacing w:before="0"/>
      </w:pPr>
      <w:r w:rsidRPr="00786B2E">
        <w:t>Veterans’ Home Care</w:t>
      </w:r>
      <w:r w:rsidR="004F5926">
        <w:t>;</w:t>
      </w:r>
      <w:r w:rsidR="006661DE" w:rsidRPr="00786B2E">
        <w:t xml:space="preserve"> and</w:t>
      </w:r>
    </w:p>
    <w:p w14:paraId="18F6A76E" w14:textId="7E37E5A5" w:rsidR="00E137A9" w:rsidRDefault="0015195D" w:rsidP="009414AC">
      <w:pPr>
        <w:pStyle w:val="ListParagraph"/>
        <w:numPr>
          <w:ilvl w:val="0"/>
          <w:numId w:val="40"/>
        </w:numPr>
        <w:tabs>
          <w:tab w:val="left" w:pos="993"/>
        </w:tabs>
        <w:spacing w:before="0"/>
      </w:pPr>
      <w:r>
        <w:t>HCP</w:t>
      </w:r>
      <w:r w:rsidR="00E137A9">
        <w:t>.</w:t>
      </w:r>
      <w:r w:rsidR="00E137A9" w:rsidRPr="00E137A9">
        <w:t xml:space="preserve"> </w:t>
      </w:r>
    </w:p>
    <w:p w14:paraId="56A1E2CB" w14:textId="21D946C7" w:rsidR="00E137A9" w:rsidRDefault="00E137A9" w:rsidP="00A2264C">
      <w:pPr>
        <w:tabs>
          <w:tab w:val="left" w:pos="993"/>
        </w:tabs>
        <w:spacing w:before="0"/>
      </w:pPr>
      <w:r>
        <w:t>The 2022-23 National Unit Price Ranges are broadly in line with historical CHSP funding, and in many cases are consistent with unit costs in other programs (for standard weekday delivery during business hours).</w:t>
      </w:r>
    </w:p>
    <w:p w14:paraId="5A69DFCE" w14:textId="30B8AA9F" w:rsidR="006661DE" w:rsidRDefault="00E137A9" w:rsidP="00A2264C">
      <w:pPr>
        <w:tabs>
          <w:tab w:val="left" w:pos="993"/>
        </w:tabs>
        <w:spacing w:before="0"/>
      </w:pPr>
      <w:r w:rsidRPr="00786B2E">
        <w:t>ACIL Allen</w:t>
      </w:r>
      <w:r w:rsidR="00786B2E">
        <w:t xml:space="preserve"> Consulting</w:t>
      </w:r>
      <w:r w:rsidRPr="00786B2E">
        <w:t xml:space="preserve"> also reported the proposed 2022-23 National Unit Price Ranges were consistent with preliminary costs of delivery identified via the parallel </w:t>
      </w:r>
      <w:r w:rsidRPr="00786B2E">
        <w:rPr>
          <w:i/>
          <w:iCs/>
        </w:rPr>
        <w:t>HealthConsult</w:t>
      </w:r>
      <w:r w:rsidRPr="00786B2E">
        <w:t xml:space="preserve"> study</w:t>
      </w:r>
      <w:r w:rsidR="00914F46">
        <w:t xml:space="preserve">. This study is helping </w:t>
      </w:r>
      <w:r w:rsidRPr="00786B2E">
        <w:t xml:space="preserve">to inform </w:t>
      </w:r>
      <w:r w:rsidR="001F32E3" w:rsidRPr="00786B2E">
        <w:t>the funding model of the future Support at Home Program.</w:t>
      </w:r>
      <w:r w:rsidR="006661DE" w:rsidRPr="006661DE">
        <w:t xml:space="preserve"> </w:t>
      </w:r>
    </w:p>
    <w:p w14:paraId="66FA015C" w14:textId="0E98BF6E" w:rsidR="00845D4F" w:rsidRPr="00D5264A" w:rsidRDefault="00845D4F" w:rsidP="00A2264C">
      <w:pPr>
        <w:tabs>
          <w:tab w:val="left" w:pos="993"/>
        </w:tabs>
        <w:rPr>
          <w:sz w:val="2"/>
          <w:szCs w:val="2"/>
        </w:rPr>
      </w:pPr>
    </w:p>
    <w:p w14:paraId="5C195DA5" w14:textId="418C3F89" w:rsidR="00726C5B" w:rsidRDefault="00726C5B" w:rsidP="00A2264C">
      <w:pPr>
        <w:pStyle w:val="Heading3"/>
        <w:tabs>
          <w:tab w:val="left" w:pos="426"/>
        </w:tabs>
        <w:ind w:left="0" w:firstLine="0"/>
      </w:pPr>
      <w:r w:rsidRPr="00537C04">
        <w:lastRenderedPageBreak/>
        <w:t xml:space="preserve">If a </w:t>
      </w:r>
      <w:r w:rsidR="00E137A9">
        <w:t xml:space="preserve">CHSP </w:t>
      </w:r>
      <w:r w:rsidR="00B00BA4">
        <w:t xml:space="preserve">service </w:t>
      </w:r>
      <w:r w:rsidRPr="00537C04">
        <w:t xml:space="preserve">provider </w:t>
      </w:r>
      <w:r w:rsidR="00914F46">
        <w:t xml:space="preserve">is </w:t>
      </w:r>
      <w:r w:rsidR="00EB38C4">
        <w:t>receiv</w:t>
      </w:r>
      <w:r w:rsidR="00914F46">
        <w:t>ing</w:t>
      </w:r>
      <w:r w:rsidR="00EB38C4">
        <w:t xml:space="preserve"> a funded </w:t>
      </w:r>
      <w:r w:rsidRPr="00537C04">
        <w:t xml:space="preserve">unit price </w:t>
      </w:r>
      <w:r w:rsidR="00EB38C4">
        <w:t>above</w:t>
      </w:r>
      <w:r w:rsidRPr="00537C04">
        <w:t xml:space="preserve"> the </w:t>
      </w:r>
      <w:r w:rsidR="00E137A9">
        <w:t>2022-23 National Unit Price Ranges</w:t>
      </w:r>
      <w:r w:rsidR="00E137A9" w:rsidRPr="00537C04">
        <w:t xml:space="preserve"> </w:t>
      </w:r>
      <w:r w:rsidRPr="00537C04">
        <w:t xml:space="preserve">for a specific service </w:t>
      </w:r>
      <w:r w:rsidR="00E137A9">
        <w:t>type</w:t>
      </w:r>
      <w:r w:rsidR="00914F46">
        <w:t>,</w:t>
      </w:r>
      <w:r w:rsidR="00E137A9">
        <w:t xml:space="preserve"> </w:t>
      </w:r>
      <w:r w:rsidRPr="00537C04">
        <w:t xml:space="preserve">will this </w:t>
      </w:r>
      <w:r w:rsidR="00EB38C4">
        <w:t xml:space="preserve">unit </w:t>
      </w:r>
      <w:r w:rsidRPr="00537C04">
        <w:t xml:space="preserve">price be </w:t>
      </w:r>
      <w:r w:rsidR="00534CDD">
        <w:t>reduced</w:t>
      </w:r>
      <w:r w:rsidRPr="00537C04">
        <w:t>?</w:t>
      </w:r>
    </w:p>
    <w:p w14:paraId="1802A072" w14:textId="38B57849" w:rsidR="00013EED" w:rsidRDefault="00EB38C4" w:rsidP="00A2264C">
      <w:pPr>
        <w:tabs>
          <w:tab w:val="left" w:pos="993"/>
        </w:tabs>
      </w:pPr>
      <w:r>
        <w:t xml:space="preserve">Yes. CHSP </w:t>
      </w:r>
      <w:r w:rsidR="00013EED">
        <w:t>provider</w:t>
      </w:r>
      <w:r w:rsidR="006E6E47">
        <w:t>s</w:t>
      </w:r>
      <w:r>
        <w:t xml:space="preserve"> </w:t>
      </w:r>
      <w:r w:rsidR="00534CDD">
        <w:t>receiv</w:t>
      </w:r>
      <w:r w:rsidR="00914F46">
        <w:t>ing</w:t>
      </w:r>
      <w:r w:rsidR="00534CDD">
        <w:t xml:space="preserve"> a </w:t>
      </w:r>
      <w:r w:rsidR="00013EED">
        <w:t xml:space="preserve">funded </w:t>
      </w:r>
      <w:r>
        <w:t xml:space="preserve">unit price </w:t>
      </w:r>
      <w:r w:rsidR="00013EED">
        <w:t xml:space="preserve">above the </w:t>
      </w:r>
      <w:r w:rsidR="00013EED" w:rsidRPr="00013EED">
        <w:t>2022-23 National Unit Price Ranges</w:t>
      </w:r>
      <w:r w:rsidR="00013EED">
        <w:t xml:space="preserve"> will </w:t>
      </w:r>
      <w:r w:rsidR="006E6E47">
        <w:t xml:space="preserve">have this unit price </w:t>
      </w:r>
      <w:r w:rsidR="00013EED">
        <w:t>reduced to the top of</w:t>
      </w:r>
      <w:r w:rsidR="007074E2">
        <w:t xml:space="preserve"> the</w:t>
      </w:r>
      <w:r w:rsidR="00013EED">
        <w:t xml:space="preserve"> 2022-23 range</w:t>
      </w:r>
      <w:r w:rsidR="00914F46">
        <w:t>.</w:t>
      </w:r>
      <w:r w:rsidR="002D001B">
        <w:t xml:space="preserve"> </w:t>
      </w:r>
      <w:r w:rsidR="00914F46">
        <w:t xml:space="preserve">The CHSP providers </w:t>
      </w:r>
      <w:r>
        <w:t>o</w:t>
      </w:r>
      <w:r w:rsidR="00013EED">
        <w:t>utputs</w:t>
      </w:r>
      <w:r>
        <w:t xml:space="preserve"> </w:t>
      </w:r>
      <w:r w:rsidR="00013EED">
        <w:t xml:space="preserve">will be </w:t>
      </w:r>
      <w:r w:rsidR="00F16D2A">
        <w:t xml:space="preserve">adjusted </w:t>
      </w:r>
      <w:r w:rsidR="00013EED">
        <w:t xml:space="preserve">to ensure there is no reduction in the overall value of the </w:t>
      </w:r>
      <w:r>
        <w:t>grant agreement</w:t>
      </w:r>
      <w:r w:rsidR="00013EED">
        <w:t>.</w:t>
      </w:r>
    </w:p>
    <w:p w14:paraId="594384F8" w14:textId="77777777" w:rsidR="007074E2" w:rsidRPr="00D5264A" w:rsidRDefault="007074E2" w:rsidP="00A2264C">
      <w:pPr>
        <w:tabs>
          <w:tab w:val="left" w:pos="993"/>
        </w:tabs>
        <w:rPr>
          <w:sz w:val="2"/>
          <w:szCs w:val="2"/>
        </w:rPr>
      </w:pPr>
    </w:p>
    <w:p w14:paraId="248397FA" w14:textId="7050D41E" w:rsidR="007458B1" w:rsidRDefault="00EB38C4" w:rsidP="00A2264C">
      <w:pPr>
        <w:pStyle w:val="Heading3"/>
        <w:tabs>
          <w:tab w:val="left" w:pos="426"/>
        </w:tabs>
        <w:ind w:left="0" w:firstLine="0"/>
      </w:pPr>
      <w:r>
        <w:t>If a CHSP</w:t>
      </w:r>
      <w:r w:rsidR="00B00BA4" w:rsidRPr="00B00BA4">
        <w:t xml:space="preserve"> </w:t>
      </w:r>
      <w:r w:rsidR="00B00BA4">
        <w:t>service</w:t>
      </w:r>
      <w:r>
        <w:t xml:space="preserve"> provider</w:t>
      </w:r>
      <w:r w:rsidR="006E6E47">
        <w:t xml:space="preserve"> is</w:t>
      </w:r>
      <w:r>
        <w:t xml:space="preserve"> receiv</w:t>
      </w:r>
      <w:r w:rsidR="006E6E47">
        <w:t>ing</w:t>
      </w:r>
      <w:r>
        <w:t xml:space="preserve"> </w:t>
      </w:r>
      <w:r w:rsidR="00534CDD">
        <w:t>a</w:t>
      </w:r>
      <w:r>
        <w:t xml:space="preserve"> funded </w:t>
      </w:r>
      <w:r w:rsidR="00726C5B" w:rsidRPr="00D42FDC">
        <w:t xml:space="preserve">unit </w:t>
      </w:r>
      <w:r w:rsidR="0060330B">
        <w:t xml:space="preserve">price </w:t>
      </w:r>
      <w:r w:rsidR="00726C5B" w:rsidRPr="00D42FDC">
        <w:t xml:space="preserve">below the </w:t>
      </w:r>
      <w:r>
        <w:t>2022-23 National Unit Price Ranges</w:t>
      </w:r>
      <w:r w:rsidRPr="00537C04">
        <w:t xml:space="preserve"> for a specific service </w:t>
      </w:r>
      <w:r>
        <w:t>type</w:t>
      </w:r>
      <w:r w:rsidR="006E6E47">
        <w:t>,</w:t>
      </w:r>
      <w:r>
        <w:t xml:space="preserve"> </w:t>
      </w:r>
      <w:r w:rsidRPr="00537C04">
        <w:t>will th</w:t>
      </w:r>
      <w:r>
        <w:t>ey receive a</w:t>
      </w:r>
      <w:r w:rsidR="00534CDD">
        <w:t xml:space="preserve"> </w:t>
      </w:r>
      <w:r w:rsidR="00726C5B" w:rsidRPr="00D42FDC">
        <w:t>funding</w:t>
      </w:r>
      <w:r w:rsidR="00534CDD">
        <w:t xml:space="preserve"> </w:t>
      </w:r>
      <w:proofErr w:type="gramStart"/>
      <w:r w:rsidR="00534CDD">
        <w:t>boost</w:t>
      </w:r>
      <w:proofErr w:type="gramEnd"/>
      <w:r w:rsidR="00726C5B" w:rsidRPr="00D42FDC">
        <w:t xml:space="preserve"> or will the</w:t>
      </w:r>
      <w:r w:rsidR="00534CDD">
        <w:t xml:space="preserve">ir outputs be </w:t>
      </w:r>
      <w:r w:rsidR="006E6E47">
        <w:t>reduced</w:t>
      </w:r>
      <w:r w:rsidR="00726C5B" w:rsidRPr="00D42FDC">
        <w:t>?</w:t>
      </w:r>
    </w:p>
    <w:p w14:paraId="2066D873" w14:textId="3384A526" w:rsidR="006E6E47" w:rsidRDefault="0026385A" w:rsidP="00A2264C">
      <w:pPr>
        <w:tabs>
          <w:tab w:val="left" w:pos="993"/>
        </w:tabs>
      </w:pPr>
      <w:r>
        <w:t>CHSP p</w:t>
      </w:r>
      <w:r w:rsidR="0060330B" w:rsidRPr="00013EED">
        <w:t xml:space="preserve">roviders funded </w:t>
      </w:r>
      <w:r w:rsidR="00534CDD">
        <w:t xml:space="preserve">at a unit price that is </w:t>
      </w:r>
      <w:r w:rsidR="0060330B" w:rsidRPr="00013EED">
        <w:t xml:space="preserve">below the 2022-23 National Unit Price Ranges and </w:t>
      </w:r>
      <w:r w:rsidR="00534CDD">
        <w:t xml:space="preserve">are </w:t>
      </w:r>
      <w:r w:rsidR="0060330B" w:rsidRPr="00013EED">
        <w:t xml:space="preserve">underdelivering </w:t>
      </w:r>
      <w:r w:rsidR="00654766">
        <w:t xml:space="preserve">against contracted outputs </w:t>
      </w:r>
      <w:r w:rsidR="0060330B" w:rsidRPr="00013EED">
        <w:t>will</w:t>
      </w:r>
      <w:r w:rsidR="006E6E47">
        <w:t>:</w:t>
      </w:r>
    </w:p>
    <w:p w14:paraId="0730A361" w14:textId="11FB25B7" w:rsidR="006E6E47" w:rsidRDefault="0060330B" w:rsidP="006E6E47">
      <w:pPr>
        <w:pStyle w:val="ListParagraph"/>
        <w:numPr>
          <w:ilvl w:val="0"/>
          <w:numId w:val="42"/>
        </w:numPr>
        <w:tabs>
          <w:tab w:val="left" w:pos="993"/>
        </w:tabs>
      </w:pPr>
      <w:r w:rsidRPr="00013EED">
        <w:t xml:space="preserve">have their funded unit price increased to the bottom of the 2022-23 </w:t>
      </w:r>
      <w:proofErr w:type="gramStart"/>
      <w:r w:rsidRPr="00013EED">
        <w:t>range</w:t>
      </w:r>
      <w:r w:rsidR="006E6E47">
        <w:t>;</w:t>
      </w:r>
      <w:proofErr w:type="gramEnd"/>
      <w:r w:rsidRPr="00013EED">
        <w:t xml:space="preserve"> and</w:t>
      </w:r>
    </w:p>
    <w:p w14:paraId="1227CA40" w14:textId="10E8784A" w:rsidR="00534CDD" w:rsidRDefault="006E6E47" w:rsidP="009414AC">
      <w:pPr>
        <w:pStyle w:val="ListParagraph"/>
        <w:numPr>
          <w:ilvl w:val="0"/>
          <w:numId w:val="42"/>
        </w:numPr>
        <w:tabs>
          <w:tab w:val="left" w:pos="993"/>
        </w:tabs>
      </w:pPr>
      <w:r>
        <w:t xml:space="preserve">will have their </w:t>
      </w:r>
      <w:r w:rsidR="0060330B" w:rsidRPr="00013EED">
        <w:t xml:space="preserve">outputs reduced. </w:t>
      </w:r>
    </w:p>
    <w:p w14:paraId="7CB13D49" w14:textId="77777777" w:rsidR="006E6E47" w:rsidRDefault="0026385A" w:rsidP="00A2264C">
      <w:pPr>
        <w:tabs>
          <w:tab w:val="left" w:pos="993"/>
        </w:tabs>
      </w:pPr>
      <w:r>
        <w:t>CHSP p</w:t>
      </w:r>
      <w:r w:rsidR="0060330B" w:rsidRPr="00013EED">
        <w:t xml:space="preserve">roviders funded </w:t>
      </w:r>
      <w:r w:rsidR="00534CDD">
        <w:t xml:space="preserve">at a unit price that is </w:t>
      </w:r>
      <w:r w:rsidR="0060330B" w:rsidRPr="00013EED">
        <w:t xml:space="preserve">below the 2022-23 National Unit Price Ranges and </w:t>
      </w:r>
      <w:r w:rsidR="00534CDD">
        <w:t xml:space="preserve">are </w:t>
      </w:r>
      <w:r w:rsidR="0060330B" w:rsidRPr="00013EED">
        <w:t xml:space="preserve">delivering close to </w:t>
      </w:r>
      <w:r w:rsidR="00013EED" w:rsidRPr="00013EED">
        <w:t xml:space="preserve">agreed outputs </w:t>
      </w:r>
      <w:r w:rsidR="0060330B" w:rsidRPr="00013EED">
        <w:t>will</w:t>
      </w:r>
      <w:r w:rsidR="006E6E47">
        <w:t>:</w:t>
      </w:r>
    </w:p>
    <w:p w14:paraId="6575EEEF" w14:textId="6DB048DD" w:rsidR="006E6E47" w:rsidRDefault="00013EED" w:rsidP="006E6E47">
      <w:pPr>
        <w:pStyle w:val="ListParagraph"/>
        <w:numPr>
          <w:ilvl w:val="0"/>
          <w:numId w:val="41"/>
        </w:numPr>
        <w:tabs>
          <w:tab w:val="left" w:pos="993"/>
        </w:tabs>
      </w:pPr>
      <w:r w:rsidRPr="00013EED">
        <w:t xml:space="preserve">receive </w:t>
      </w:r>
      <w:r w:rsidR="006E6E47">
        <w:t>more</w:t>
      </w:r>
      <w:r w:rsidRPr="00013EED">
        <w:t xml:space="preserve"> </w:t>
      </w:r>
      <w:r w:rsidR="0060330B" w:rsidRPr="00013EED">
        <w:t>fund</w:t>
      </w:r>
      <w:r w:rsidRPr="00013EED">
        <w:t>ing</w:t>
      </w:r>
      <w:r w:rsidR="006E6E47">
        <w:t>;</w:t>
      </w:r>
      <w:r w:rsidRPr="00013EED">
        <w:t xml:space="preserve"> and</w:t>
      </w:r>
    </w:p>
    <w:p w14:paraId="6A56FAE6" w14:textId="1EE829B8" w:rsidR="007458B1" w:rsidRDefault="00013EED" w:rsidP="009414AC">
      <w:pPr>
        <w:pStyle w:val="ListParagraph"/>
        <w:numPr>
          <w:ilvl w:val="0"/>
          <w:numId w:val="41"/>
        </w:numPr>
        <w:tabs>
          <w:tab w:val="left" w:pos="993"/>
        </w:tabs>
      </w:pPr>
      <w:r w:rsidRPr="00013EED">
        <w:t>will have their funded unit price increased to the bottom of the 2022-23 range.</w:t>
      </w:r>
    </w:p>
    <w:p w14:paraId="1FEED1FB" w14:textId="4B952CD1" w:rsidR="00534CDD" w:rsidRDefault="00534CDD" w:rsidP="00A2264C">
      <w:pPr>
        <w:tabs>
          <w:tab w:val="left" w:pos="993"/>
        </w:tabs>
      </w:pPr>
      <w:r w:rsidRPr="00286AB9">
        <w:rPr>
          <w:szCs w:val="24"/>
        </w:rPr>
        <w:t xml:space="preserve">More information on </w:t>
      </w:r>
      <w:r>
        <w:rPr>
          <w:szCs w:val="24"/>
        </w:rPr>
        <w:t xml:space="preserve">how </w:t>
      </w:r>
      <w:r w:rsidR="00F72836">
        <w:rPr>
          <w:szCs w:val="24"/>
        </w:rPr>
        <w:t xml:space="preserve">the number of outputs for activities will be adjusted </w:t>
      </w:r>
      <w:r w:rsidR="001C6804">
        <w:rPr>
          <w:szCs w:val="24"/>
        </w:rPr>
        <w:t>is available</w:t>
      </w:r>
      <w:r w:rsidRPr="00286AB9">
        <w:rPr>
          <w:szCs w:val="24"/>
        </w:rPr>
        <w:t xml:space="preserve"> in the </w:t>
      </w:r>
      <w:r w:rsidR="008E5909" w:rsidRPr="00A2264C">
        <w:rPr>
          <w:szCs w:val="24"/>
        </w:rPr>
        <w:t>CHSP fact sheet</w:t>
      </w:r>
      <w:r w:rsidRPr="00286AB9">
        <w:rPr>
          <w:szCs w:val="24"/>
        </w:rPr>
        <w:t xml:space="preserve"> on negotiations, transition support and MMM loading</w:t>
      </w:r>
      <w:r>
        <w:t>.</w:t>
      </w:r>
    </w:p>
    <w:p w14:paraId="30D54C49" w14:textId="77777777" w:rsidR="00534CDD" w:rsidRPr="00D5264A" w:rsidRDefault="00534CDD" w:rsidP="00A2264C">
      <w:pPr>
        <w:tabs>
          <w:tab w:val="left" w:pos="993"/>
        </w:tabs>
        <w:rPr>
          <w:sz w:val="2"/>
          <w:szCs w:val="2"/>
        </w:rPr>
      </w:pPr>
    </w:p>
    <w:p w14:paraId="6DD17E07" w14:textId="012798E9" w:rsidR="007458B1" w:rsidRDefault="00F72836" w:rsidP="00A2264C">
      <w:pPr>
        <w:pStyle w:val="Heading3"/>
        <w:tabs>
          <w:tab w:val="left" w:pos="426"/>
        </w:tabs>
        <w:ind w:left="0" w:firstLine="0"/>
      </w:pPr>
      <w:r>
        <w:t xml:space="preserve">Do the 2022-23 National Unit Price Ranges </w:t>
      </w:r>
      <w:r w:rsidR="007458B1" w:rsidRPr="00D42FDC">
        <w:t>factor in overhead costs</w:t>
      </w:r>
      <w:r w:rsidR="002C73B8">
        <w:t>,</w:t>
      </w:r>
      <w:r>
        <w:t xml:space="preserve"> </w:t>
      </w:r>
      <w:r w:rsidR="002C73B8" w:rsidRPr="00D42FDC">
        <w:t>client contributions</w:t>
      </w:r>
      <w:r w:rsidR="002C73B8">
        <w:t xml:space="preserve"> </w:t>
      </w:r>
      <w:r>
        <w:t xml:space="preserve">and </w:t>
      </w:r>
      <w:r w:rsidR="002C73B8">
        <w:t>rurality</w:t>
      </w:r>
      <w:r w:rsidR="007458B1" w:rsidRPr="00D42FDC">
        <w:t>?</w:t>
      </w:r>
    </w:p>
    <w:p w14:paraId="7FA20442" w14:textId="6AA06A49" w:rsidR="00F72836" w:rsidRDefault="00F72836" w:rsidP="00A2264C">
      <w:pPr>
        <w:tabs>
          <w:tab w:val="left" w:pos="993"/>
        </w:tabs>
      </w:pPr>
      <w:r>
        <w:rPr>
          <w:szCs w:val="22"/>
        </w:rPr>
        <w:t xml:space="preserve">Please </w:t>
      </w:r>
      <w:r w:rsidR="007074E2">
        <w:rPr>
          <w:szCs w:val="22"/>
        </w:rPr>
        <w:t>see</w:t>
      </w:r>
      <w:r>
        <w:t xml:space="preserve"> Question and Answer </w:t>
      </w:r>
      <w:r w:rsidRPr="00301FFD">
        <w:t>1</w:t>
      </w:r>
      <w:r w:rsidR="00301FFD" w:rsidRPr="00301FFD">
        <w:t>3</w:t>
      </w:r>
      <w:r>
        <w:t xml:space="preserve"> for more detail on overhead costs.</w:t>
      </w:r>
    </w:p>
    <w:p w14:paraId="759BF541" w14:textId="431A80EB" w:rsidR="006A756C" w:rsidRPr="00B00BA4" w:rsidRDefault="004A5728" w:rsidP="00A2264C">
      <w:pPr>
        <w:tabs>
          <w:tab w:val="left" w:pos="993"/>
        </w:tabs>
        <w:rPr>
          <w:szCs w:val="22"/>
        </w:rPr>
      </w:pPr>
      <w:r w:rsidRPr="00B00BA4">
        <w:rPr>
          <w:szCs w:val="22"/>
        </w:rPr>
        <w:t>The 2022-23 National Unit Price Ranges exclude client contributions.</w:t>
      </w:r>
      <w:r w:rsidR="00B00BA4" w:rsidRPr="00B00BA4">
        <w:rPr>
          <w:szCs w:val="22"/>
        </w:rPr>
        <w:t xml:space="preserve"> CHSP providers should have a client contribution policy in place.</w:t>
      </w:r>
      <w:r w:rsidR="00B00BA4">
        <w:rPr>
          <w:szCs w:val="22"/>
        </w:rPr>
        <w:t xml:space="preserve"> The</w:t>
      </w:r>
      <w:r w:rsidRPr="00B00BA4">
        <w:rPr>
          <w:szCs w:val="22"/>
        </w:rPr>
        <w:t xml:space="preserve"> </w:t>
      </w:r>
      <w:r w:rsidR="008E5909" w:rsidRPr="00A2264C">
        <w:rPr>
          <w:szCs w:val="22"/>
        </w:rPr>
        <w:t>National Guide to the CHSP Client Contribution Framework</w:t>
      </w:r>
      <w:r w:rsidR="00B00BA4" w:rsidRPr="00B00BA4">
        <w:rPr>
          <w:szCs w:val="22"/>
        </w:rPr>
        <w:t xml:space="preserve"> is available on the Health website</w:t>
      </w:r>
      <w:r w:rsidR="001C6804">
        <w:rPr>
          <w:szCs w:val="22"/>
        </w:rPr>
        <w:t>.</w:t>
      </w:r>
      <w:r w:rsidR="00B00BA4" w:rsidRPr="00B00BA4">
        <w:rPr>
          <w:szCs w:val="22"/>
        </w:rPr>
        <w:t xml:space="preserve"> CHSP providers </w:t>
      </w:r>
      <w:r w:rsidR="00757039">
        <w:rPr>
          <w:szCs w:val="22"/>
        </w:rPr>
        <w:t>should</w:t>
      </w:r>
      <w:r w:rsidR="00B00BA4" w:rsidRPr="00B00BA4">
        <w:rPr>
          <w:szCs w:val="22"/>
        </w:rPr>
        <w:t xml:space="preserve"> read </w:t>
      </w:r>
      <w:r w:rsidR="001C6804">
        <w:rPr>
          <w:szCs w:val="22"/>
        </w:rPr>
        <w:t xml:space="preserve">this </w:t>
      </w:r>
      <w:r w:rsidR="00757039">
        <w:rPr>
          <w:szCs w:val="22"/>
        </w:rPr>
        <w:t>alongside</w:t>
      </w:r>
      <w:r w:rsidR="00B00BA4" w:rsidRPr="00B00BA4">
        <w:rPr>
          <w:szCs w:val="22"/>
        </w:rPr>
        <w:t xml:space="preserve"> the chapter on the client contribution framework in the </w:t>
      </w:r>
      <w:r w:rsidR="008E5909" w:rsidRPr="00A2264C">
        <w:rPr>
          <w:szCs w:val="22"/>
        </w:rPr>
        <w:t>CHSP Manual</w:t>
      </w:r>
      <w:r w:rsidR="00B00BA4" w:rsidRPr="00B00BA4">
        <w:rPr>
          <w:szCs w:val="22"/>
        </w:rPr>
        <w:t>.</w:t>
      </w:r>
      <w:r w:rsidR="00B00BA4" w:rsidRPr="00B00BA4">
        <w:rPr>
          <w:color w:val="313131"/>
          <w:szCs w:val="22"/>
          <w:shd w:val="clear" w:color="auto" w:fill="FFFFFF"/>
        </w:rPr>
        <w:t xml:space="preserve"> </w:t>
      </w:r>
    </w:p>
    <w:p w14:paraId="3670F2F7" w14:textId="6AD09900" w:rsidR="004A5728" w:rsidRPr="00F20B8A" w:rsidRDefault="004A5728" w:rsidP="007074E2">
      <w:pPr>
        <w:pStyle w:val="Paragraphtext"/>
        <w:tabs>
          <w:tab w:val="left" w:pos="426"/>
          <w:tab w:val="left" w:pos="993"/>
        </w:tabs>
        <w:rPr>
          <w:rFonts w:asciiTheme="minorHAnsi" w:hAnsiTheme="minorHAnsi" w:cstheme="minorHAnsi"/>
        </w:rPr>
      </w:pPr>
      <w:r>
        <w:rPr>
          <w:rFonts w:asciiTheme="minorHAnsi" w:hAnsiTheme="minorHAnsi" w:cstheme="minorHAnsi"/>
        </w:rPr>
        <w:t xml:space="preserve">Health </w:t>
      </w:r>
      <w:r w:rsidRPr="006A756C">
        <w:rPr>
          <w:rFonts w:asciiTheme="minorHAnsi" w:hAnsiTheme="minorHAnsi" w:cstheme="minorHAnsi"/>
        </w:rPr>
        <w:t>acknowledges the cost of service delivery in remote and very remote regions</w:t>
      </w:r>
      <w:r w:rsidR="001C6804">
        <w:rPr>
          <w:rFonts w:asciiTheme="minorHAnsi" w:hAnsiTheme="minorHAnsi" w:cstheme="minorHAnsi"/>
        </w:rPr>
        <w:t xml:space="preserve"> (MMM 6 or 7 regions)</w:t>
      </w:r>
      <w:r w:rsidRPr="006A756C">
        <w:rPr>
          <w:rFonts w:asciiTheme="minorHAnsi" w:hAnsiTheme="minorHAnsi" w:cstheme="minorHAnsi"/>
        </w:rPr>
        <w:t xml:space="preserve"> </w:t>
      </w:r>
      <w:r w:rsidR="00757039">
        <w:rPr>
          <w:rFonts w:asciiTheme="minorHAnsi" w:hAnsiTheme="minorHAnsi" w:cstheme="minorHAnsi"/>
        </w:rPr>
        <w:t>may be</w:t>
      </w:r>
      <w:r w:rsidRPr="006A756C">
        <w:rPr>
          <w:rFonts w:asciiTheme="minorHAnsi" w:hAnsiTheme="minorHAnsi" w:cstheme="minorHAnsi"/>
        </w:rPr>
        <w:t xml:space="preserve"> higher than metropolitan areas. As such, </w:t>
      </w:r>
      <w:r w:rsidR="001C6804">
        <w:rPr>
          <w:rFonts w:asciiTheme="minorHAnsi" w:hAnsiTheme="minorHAnsi" w:cstheme="minorHAnsi"/>
        </w:rPr>
        <w:t xml:space="preserve">CHSP </w:t>
      </w:r>
      <w:r w:rsidRPr="006A756C">
        <w:rPr>
          <w:rFonts w:asciiTheme="minorHAnsi" w:hAnsiTheme="minorHAnsi" w:cstheme="minorHAnsi"/>
        </w:rPr>
        <w:t xml:space="preserve">providers are advised they may be able to negotiate a loading to their unit prices if they deliver </w:t>
      </w:r>
      <w:proofErr w:type="gramStart"/>
      <w:r w:rsidRPr="006A756C">
        <w:rPr>
          <w:rFonts w:asciiTheme="minorHAnsi" w:hAnsiTheme="minorHAnsi" w:cstheme="minorHAnsi"/>
        </w:rPr>
        <w:t>the majority of</w:t>
      </w:r>
      <w:proofErr w:type="gramEnd"/>
      <w:r w:rsidRPr="006A756C">
        <w:rPr>
          <w:rFonts w:asciiTheme="minorHAnsi" w:hAnsiTheme="minorHAnsi" w:cstheme="minorHAnsi"/>
        </w:rPr>
        <w:t xml:space="preserve"> </w:t>
      </w:r>
      <w:r w:rsidRPr="007074E2">
        <w:rPr>
          <w:rFonts w:asciiTheme="minorHAnsi" w:hAnsiTheme="minorHAnsi" w:cstheme="minorHAnsi"/>
        </w:rPr>
        <w:t>services (51% or more)</w:t>
      </w:r>
      <w:r w:rsidRPr="006A756C">
        <w:rPr>
          <w:rFonts w:asciiTheme="minorHAnsi" w:hAnsiTheme="minorHAnsi" w:cstheme="minorHAnsi"/>
        </w:rPr>
        <w:t xml:space="preserve"> in MMM 6 or 7 regions.</w:t>
      </w:r>
    </w:p>
    <w:p w14:paraId="340E2CAF" w14:textId="794B5DE8" w:rsidR="00F72836" w:rsidRDefault="00F72836" w:rsidP="00A2264C">
      <w:pPr>
        <w:pStyle w:val="Paragraphtext"/>
        <w:tabs>
          <w:tab w:val="left" w:pos="993"/>
        </w:tabs>
        <w:rPr>
          <w:rFonts w:asciiTheme="minorHAnsi" w:hAnsiTheme="minorHAnsi" w:cstheme="minorHAnsi"/>
        </w:rPr>
      </w:pPr>
      <w:r>
        <w:rPr>
          <w:rFonts w:asciiTheme="minorHAnsi" w:hAnsiTheme="minorHAnsi" w:cstheme="minorHAnsi"/>
        </w:rPr>
        <w:t xml:space="preserve">The </w:t>
      </w:r>
      <w:r w:rsidR="008E5909" w:rsidRPr="00A2264C">
        <w:rPr>
          <w:rFonts w:asciiTheme="minorHAnsi" w:hAnsiTheme="minorHAnsi" w:cstheme="minorHAnsi"/>
        </w:rPr>
        <w:t>MMM</w:t>
      </w:r>
      <w:r>
        <w:rPr>
          <w:rFonts w:asciiTheme="minorHAnsi" w:hAnsiTheme="minorHAnsi" w:cstheme="minorHAnsi"/>
        </w:rPr>
        <w:t xml:space="preserve"> is how Health defines whether a location is a city, rural, </w:t>
      </w:r>
      <w:proofErr w:type="gramStart"/>
      <w:r>
        <w:rPr>
          <w:rFonts w:asciiTheme="minorHAnsi" w:hAnsiTheme="minorHAnsi" w:cstheme="minorHAnsi"/>
        </w:rPr>
        <w:t>remote</w:t>
      </w:r>
      <w:proofErr w:type="gramEnd"/>
      <w:r>
        <w:rPr>
          <w:rFonts w:asciiTheme="minorHAnsi" w:hAnsiTheme="minorHAnsi" w:cstheme="minorHAnsi"/>
        </w:rPr>
        <w:t xml:space="preserve"> or very remote region.</w:t>
      </w:r>
    </w:p>
    <w:p w14:paraId="7FD0851A" w14:textId="18D36607" w:rsidR="00665A4C" w:rsidRPr="00D5264A" w:rsidRDefault="00665A4C" w:rsidP="00A2264C">
      <w:pPr>
        <w:tabs>
          <w:tab w:val="left" w:pos="993"/>
        </w:tabs>
        <w:rPr>
          <w:sz w:val="2"/>
          <w:szCs w:val="2"/>
        </w:rPr>
      </w:pPr>
    </w:p>
    <w:p w14:paraId="28D6F783" w14:textId="10DF253A" w:rsidR="0083553D" w:rsidRDefault="00665A4C" w:rsidP="00A2264C">
      <w:pPr>
        <w:pStyle w:val="Heading3"/>
        <w:tabs>
          <w:tab w:val="left" w:pos="426"/>
        </w:tabs>
        <w:ind w:left="0" w:firstLine="0"/>
      </w:pPr>
      <w:r w:rsidRPr="00537C04">
        <w:t xml:space="preserve">Where a </w:t>
      </w:r>
      <w:r w:rsidR="00CD6A55">
        <w:t>CHSP</w:t>
      </w:r>
      <w:r w:rsidR="00B00BA4">
        <w:t xml:space="preserve"> </w:t>
      </w:r>
      <w:r w:rsidRPr="00537C04">
        <w:t xml:space="preserve">provider </w:t>
      </w:r>
      <w:r>
        <w:t>is</w:t>
      </w:r>
      <w:r w:rsidRPr="00537C04">
        <w:t xml:space="preserve"> </w:t>
      </w:r>
      <w:r>
        <w:t xml:space="preserve">delivering services </w:t>
      </w:r>
      <w:r w:rsidRPr="00537C04">
        <w:t>across multiple ACPR</w:t>
      </w:r>
      <w:r w:rsidR="00B00BA4">
        <w:t>s</w:t>
      </w:r>
      <w:r w:rsidRPr="00537C04">
        <w:t xml:space="preserve"> (and a range of MM</w:t>
      </w:r>
      <w:r>
        <w:t>M</w:t>
      </w:r>
      <w:r w:rsidRPr="00537C04">
        <w:t xml:space="preserve"> </w:t>
      </w:r>
      <w:r>
        <w:t>regions</w:t>
      </w:r>
      <w:r w:rsidRPr="00537C04">
        <w:t xml:space="preserve">) with different grant amounts and outputs, will only one </w:t>
      </w:r>
      <w:r w:rsidR="00E368D2">
        <w:t xml:space="preserve">funded </w:t>
      </w:r>
      <w:r w:rsidRPr="00537C04">
        <w:t>unit price be applied to the provider</w:t>
      </w:r>
      <w:r w:rsidR="00E368D2">
        <w:t>s grant agreement</w:t>
      </w:r>
      <w:r w:rsidRPr="00537C04">
        <w:t>?</w:t>
      </w:r>
    </w:p>
    <w:p w14:paraId="26A18D06" w14:textId="1D7A39BC" w:rsidR="0083553D" w:rsidRDefault="00BF7BC8" w:rsidP="00A2264C">
      <w:pPr>
        <w:tabs>
          <w:tab w:val="left" w:pos="993"/>
        </w:tabs>
      </w:pPr>
      <w:r>
        <w:t>Yes</w:t>
      </w:r>
      <w:r w:rsidR="00E368D2">
        <w:t>.</w:t>
      </w:r>
      <w:r>
        <w:t xml:space="preserve"> CHSP </w:t>
      </w:r>
      <w:r w:rsidR="00B00BA4">
        <w:t xml:space="preserve">service </w:t>
      </w:r>
      <w:r>
        <w:t xml:space="preserve">providers will have </w:t>
      </w:r>
      <w:proofErr w:type="gramStart"/>
      <w:r>
        <w:t>one unit</w:t>
      </w:r>
      <w:proofErr w:type="gramEnd"/>
      <w:r>
        <w:t xml:space="preserve"> price for each service type they deliver. </w:t>
      </w:r>
      <w:r w:rsidR="00E368D2">
        <w:t xml:space="preserve">This unit price will be </w:t>
      </w:r>
      <w:r w:rsidR="00B00BA4">
        <w:t xml:space="preserve">an average of the unit prices for each ACPR and it will be </w:t>
      </w:r>
      <w:r w:rsidR="001C6804">
        <w:t>i</w:t>
      </w:r>
      <w:r w:rsidR="00E368D2">
        <w:t xml:space="preserve">n the 2022-23 National Unit Price Range.  </w:t>
      </w:r>
    </w:p>
    <w:p w14:paraId="75059F56" w14:textId="7800A315" w:rsidR="00301FFD" w:rsidRDefault="00301FFD" w:rsidP="00A2264C">
      <w:pPr>
        <w:tabs>
          <w:tab w:val="left" w:pos="993"/>
        </w:tabs>
      </w:pPr>
      <w:r w:rsidRPr="000C6A4C">
        <w:t>However, this may change if a provider has a MMM loading applied to a particular ACPR.</w:t>
      </w:r>
    </w:p>
    <w:p w14:paraId="4D9AFB75" w14:textId="77777777" w:rsidR="00E368D2" w:rsidRPr="00D5264A" w:rsidRDefault="00E368D2" w:rsidP="00A2264C">
      <w:pPr>
        <w:tabs>
          <w:tab w:val="left" w:pos="993"/>
        </w:tabs>
        <w:rPr>
          <w:sz w:val="2"/>
          <w:szCs w:val="2"/>
        </w:rPr>
      </w:pPr>
    </w:p>
    <w:p w14:paraId="4F515FAE" w14:textId="37DF668C" w:rsidR="00665A4C" w:rsidRDefault="0083553D" w:rsidP="00A2264C">
      <w:pPr>
        <w:pStyle w:val="Heading3"/>
        <w:tabs>
          <w:tab w:val="left" w:pos="426"/>
        </w:tabs>
        <w:ind w:left="0" w:firstLine="0"/>
      </w:pPr>
      <w:r w:rsidRPr="007F4B27">
        <w:t xml:space="preserve">For </w:t>
      </w:r>
      <w:r w:rsidR="00E368D2">
        <w:t xml:space="preserve">CHSP </w:t>
      </w:r>
      <w:r w:rsidRPr="007F4B27">
        <w:t xml:space="preserve">providers who have been paid </w:t>
      </w:r>
      <w:r w:rsidR="00E368D2">
        <w:t>below</w:t>
      </w:r>
      <w:r w:rsidRPr="007F4B27">
        <w:t xml:space="preserve"> the </w:t>
      </w:r>
      <w:r w:rsidR="00E368D2">
        <w:t>2022-23 National Unit Price Ranges</w:t>
      </w:r>
      <w:r w:rsidRPr="007F4B27">
        <w:t xml:space="preserve">, will there be scope to </w:t>
      </w:r>
      <w:r w:rsidR="00E368D2">
        <w:t>claim missed funding</w:t>
      </w:r>
      <w:r w:rsidRPr="007F4B27">
        <w:t>?</w:t>
      </w:r>
    </w:p>
    <w:p w14:paraId="04E5813C" w14:textId="3E8707A9" w:rsidR="005C708F" w:rsidRDefault="005C708F" w:rsidP="00A2264C">
      <w:pPr>
        <w:tabs>
          <w:tab w:val="left" w:pos="993"/>
        </w:tabs>
      </w:pPr>
      <w:r>
        <w:t>No</w:t>
      </w:r>
      <w:r w:rsidR="00E368D2">
        <w:t>.</w:t>
      </w:r>
      <w:r>
        <w:t xml:space="preserve"> </w:t>
      </w:r>
    </w:p>
    <w:p w14:paraId="0BBB870C" w14:textId="09C08FBA" w:rsidR="0026385A" w:rsidRPr="00D5264A" w:rsidRDefault="0026385A" w:rsidP="00A2264C">
      <w:pPr>
        <w:tabs>
          <w:tab w:val="left" w:pos="993"/>
        </w:tabs>
        <w:rPr>
          <w:sz w:val="2"/>
          <w:szCs w:val="2"/>
        </w:rPr>
      </w:pPr>
    </w:p>
    <w:p w14:paraId="59E7819B" w14:textId="7FA12B91" w:rsidR="007458B1" w:rsidRDefault="004C2275" w:rsidP="007074E2">
      <w:pPr>
        <w:pStyle w:val="Heading3"/>
        <w:tabs>
          <w:tab w:val="left" w:pos="426"/>
        </w:tabs>
        <w:ind w:left="0" w:firstLine="0"/>
      </w:pPr>
      <w:r>
        <w:lastRenderedPageBreak/>
        <w:t xml:space="preserve">How will the payment in arrears system allow for client cancellations when the </w:t>
      </w:r>
      <w:r w:rsidR="000427F1">
        <w:t>CHSP</w:t>
      </w:r>
      <w:r w:rsidR="002B089C">
        <w:t xml:space="preserve"> service</w:t>
      </w:r>
      <w:r w:rsidR="000427F1">
        <w:t xml:space="preserve"> </w:t>
      </w:r>
      <w:r>
        <w:t>provider is already out of pocket for arranging the service?</w:t>
      </w:r>
    </w:p>
    <w:p w14:paraId="39750FC6" w14:textId="77777777" w:rsidR="004025E0" w:rsidRDefault="004025E0" w:rsidP="00A2264C">
      <w:pPr>
        <w:tabs>
          <w:tab w:val="left" w:pos="993"/>
        </w:tabs>
        <w:rPr>
          <w:szCs w:val="22"/>
        </w:rPr>
      </w:pPr>
      <w:r>
        <w:rPr>
          <w:szCs w:val="22"/>
        </w:rPr>
        <w:t xml:space="preserve">All CHSP providers, excluding providers who only deliver SSD, will be paid a standard monthly payment. The standard monthly payment is the total value of the grant agreement divided by twelve. </w:t>
      </w:r>
    </w:p>
    <w:p w14:paraId="0DF1F6CA" w14:textId="52259754" w:rsidR="004025E0" w:rsidRDefault="004025E0" w:rsidP="00A2264C">
      <w:pPr>
        <w:tabs>
          <w:tab w:val="left" w:pos="993"/>
        </w:tabs>
        <w:rPr>
          <w:szCs w:val="22"/>
        </w:rPr>
      </w:pPr>
      <w:r>
        <w:rPr>
          <w:szCs w:val="22"/>
        </w:rPr>
        <w:t xml:space="preserve">The standard monthly payment will provide cashflow certainty for CHSP providers </w:t>
      </w:r>
      <w:r w:rsidR="00553B85">
        <w:rPr>
          <w:szCs w:val="22"/>
        </w:rPr>
        <w:t>which will</w:t>
      </w:r>
      <w:r>
        <w:rPr>
          <w:szCs w:val="22"/>
        </w:rPr>
        <w:t xml:space="preserve"> assist </w:t>
      </w:r>
      <w:r w:rsidR="00553B85">
        <w:rPr>
          <w:szCs w:val="22"/>
        </w:rPr>
        <w:t>managing</w:t>
      </w:r>
      <w:r>
        <w:rPr>
          <w:szCs w:val="22"/>
        </w:rPr>
        <w:t xml:space="preserve"> </w:t>
      </w:r>
      <w:r w:rsidR="00553B85">
        <w:rPr>
          <w:szCs w:val="22"/>
        </w:rPr>
        <w:t xml:space="preserve">client cancellations. </w:t>
      </w:r>
      <w:r>
        <w:rPr>
          <w:szCs w:val="22"/>
        </w:rPr>
        <w:t xml:space="preserve">  </w:t>
      </w:r>
    </w:p>
    <w:p w14:paraId="7BD41442" w14:textId="4C2E0C6C" w:rsidR="004C2275" w:rsidRDefault="0005531F" w:rsidP="00A2264C">
      <w:pPr>
        <w:tabs>
          <w:tab w:val="left" w:pos="993"/>
        </w:tabs>
      </w:pPr>
      <w:r>
        <w:t xml:space="preserve">In addition, </w:t>
      </w:r>
      <w:r w:rsidR="00C833D3">
        <w:t>CHSP</w:t>
      </w:r>
      <w:r w:rsidR="002B089C">
        <w:t xml:space="preserve"> service</w:t>
      </w:r>
      <w:r w:rsidR="00C833D3">
        <w:t xml:space="preserve"> providers should have a clear cancellation policy</w:t>
      </w:r>
      <w:r w:rsidR="001C6804">
        <w:t>.</w:t>
      </w:r>
      <w:r w:rsidR="007074E2">
        <w:t xml:space="preserve"> </w:t>
      </w:r>
      <w:r w:rsidR="001C6804">
        <w:t xml:space="preserve">This should </w:t>
      </w:r>
      <w:r w:rsidR="007074E2">
        <w:t>outline any late cancellation fees payable by the client,</w:t>
      </w:r>
      <w:r w:rsidR="00C833D3">
        <w:t xml:space="preserve"> as part of their client contribution policy</w:t>
      </w:r>
      <w:r w:rsidR="00671DD6">
        <w:t>,</w:t>
      </w:r>
      <w:r w:rsidR="00C833D3">
        <w:t xml:space="preserve"> and clients should be </w:t>
      </w:r>
      <w:r w:rsidR="00F5098A">
        <w:t xml:space="preserve">informed </w:t>
      </w:r>
      <w:r w:rsidR="00C833D3">
        <w:t xml:space="preserve">of this as part of their care plan discussions. </w:t>
      </w:r>
    </w:p>
    <w:p w14:paraId="0EE4C181" w14:textId="539C36B3" w:rsidR="007458B1" w:rsidRDefault="007458B1" w:rsidP="00A2264C">
      <w:pPr>
        <w:pStyle w:val="Heading3"/>
        <w:tabs>
          <w:tab w:val="left" w:pos="426"/>
        </w:tabs>
        <w:ind w:left="0" w:firstLine="0"/>
      </w:pPr>
      <w:r>
        <w:t xml:space="preserve">What is the reason for the variance in lower and higher </w:t>
      </w:r>
      <w:r w:rsidR="003966D7">
        <w:t>ranges for the 2022-23 National Unit Price Ranges</w:t>
      </w:r>
      <w:r>
        <w:t>?</w:t>
      </w:r>
    </w:p>
    <w:p w14:paraId="2B8EB60B" w14:textId="1CEA9DD6" w:rsidR="000316F1" w:rsidRDefault="000316F1" w:rsidP="0005531F">
      <w:pPr>
        <w:tabs>
          <w:tab w:val="left" w:pos="993"/>
        </w:tabs>
        <w:spacing w:before="0"/>
      </w:pPr>
      <w:r>
        <w:t>Currently, the u</w:t>
      </w:r>
      <w:r w:rsidR="0005531F">
        <w:t xml:space="preserve">nit prices across the different CHSP service types are nationally inconsistent and do not reflect the actual cost of delivering services (net of fees contributed by consumers). In addition, CHSP service types have different outputs (e.g. time in hours) and some service types like Social Support Group and Transport have varying group/client sizes which also affect unit prices. </w:t>
      </w:r>
    </w:p>
    <w:p w14:paraId="0440C9FA" w14:textId="090CC2FE" w:rsidR="0005531F" w:rsidRDefault="00725722" w:rsidP="0005531F">
      <w:pPr>
        <w:tabs>
          <w:tab w:val="left" w:pos="993"/>
        </w:tabs>
        <w:spacing w:before="0"/>
      </w:pPr>
      <w:r>
        <w:t>T</w:t>
      </w:r>
      <w:r w:rsidR="000316F1">
        <w:t xml:space="preserve">he </w:t>
      </w:r>
      <w:r>
        <w:t xml:space="preserve">CHSP </w:t>
      </w:r>
      <w:r w:rsidR="000316F1">
        <w:t xml:space="preserve">National Unit Pricing Policy, </w:t>
      </w:r>
      <w:r w:rsidR="009B0F1E">
        <w:t xml:space="preserve">developed by ACIL Allen Consulting, aims </w:t>
      </w:r>
      <w:r w:rsidR="008052E0">
        <w:t xml:space="preserve">to address </w:t>
      </w:r>
      <w:r w:rsidR="000316F1">
        <w:t>t</w:t>
      </w:r>
      <w:r w:rsidR="0005531F">
        <w:t xml:space="preserve">hese </w:t>
      </w:r>
      <w:r w:rsidR="0088195A">
        <w:t>inconsistencies,</w:t>
      </w:r>
      <w:r w:rsidR="0005531F">
        <w:t xml:space="preserve"> </w:t>
      </w:r>
      <w:r>
        <w:t xml:space="preserve">and will support the transition </w:t>
      </w:r>
      <w:r w:rsidR="0005531F">
        <w:t xml:space="preserve">to payment in arrears </w:t>
      </w:r>
      <w:r w:rsidR="008052E0">
        <w:t xml:space="preserve">under the CHSP </w:t>
      </w:r>
      <w:r w:rsidR="0005531F">
        <w:t xml:space="preserve">in advance of the new </w:t>
      </w:r>
      <w:r w:rsidR="0088195A">
        <w:t>S</w:t>
      </w:r>
      <w:r w:rsidR="0005531F">
        <w:t xml:space="preserve">upport at </w:t>
      </w:r>
      <w:r w:rsidR="0088195A">
        <w:t>H</w:t>
      </w:r>
      <w:r w:rsidR="0005531F">
        <w:t xml:space="preserve">ome </w:t>
      </w:r>
      <w:r w:rsidR="0088195A">
        <w:t>P</w:t>
      </w:r>
      <w:r w:rsidR="0005531F">
        <w:t xml:space="preserve">rogram. </w:t>
      </w:r>
    </w:p>
    <w:p w14:paraId="01764D2B" w14:textId="658C0958" w:rsidR="00B1666F" w:rsidRDefault="008052E0" w:rsidP="0005531F">
      <w:pPr>
        <w:tabs>
          <w:tab w:val="left" w:pos="993"/>
        </w:tabs>
        <w:spacing w:before="0"/>
      </w:pPr>
      <w:r>
        <w:t xml:space="preserve">ACIL Allen Consulting’s unit pricing </w:t>
      </w:r>
      <w:r w:rsidR="00F5098A">
        <w:t>analysis was</w:t>
      </w:r>
      <w:r w:rsidR="00B1666F">
        <w:t xml:space="preserve"> informed by historical pricing data which included variable factors such as geographical location, client complexity and workforce</w:t>
      </w:r>
      <w:r w:rsidR="00F5098A">
        <w:t>. This pricing</w:t>
      </w:r>
      <w:r w:rsidR="00B1666F">
        <w:t xml:space="preserve"> data vari</w:t>
      </w:r>
      <w:r w:rsidR="00F5098A">
        <w:t>ed</w:t>
      </w:r>
      <w:r w:rsidR="00B1666F">
        <w:t xml:space="preserve"> across states and territories.  </w:t>
      </w:r>
    </w:p>
    <w:p w14:paraId="327B2BBC" w14:textId="20B812DB" w:rsidR="00B1666F" w:rsidRDefault="00B1666F" w:rsidP="00A2264C">
      <w:pPr>
        <w:tabs>
          <w:tab w:val="left" w:pos="993"/>
        </w:tabs>
        <w:spacing w:before="0"/>
      </w:pPr>
      <w:r>
        <w:t xml:space="preserve">ACIL Allen </w:t>
      </w:r>
      <w:r w:rsidR="00FF0922">
        <w:t xml:space="preserve">Consulting </w:t>
      </w:r>
      <w:r>
        <w:t>also examined comparable pricing approaches for other programs and consider</w:t>
      </w:r>
      <w:r w:rsidR="007074E2">
        <w:t>ed</w:t>
      </w:r>
      <w:r>
        <w:t xml:space="preserve"> market implications of funding design.</w:t>
      </w:r>
    </w:p>
    <w:p w14:paraId="3AA8BB73" w14:textId="6798CF42" w:rsidR="00E03455" w:rsidRPr="00D5264A" w:rsidRDefault="00E03455" w:rsidP="00A2264C">
      <w:pPr>
        <w:tabs>
          <w:tab w:val="left" w:pos="993"/>
        </w:tabs>
        <w:spacing w:before="0"/>
        <w:rPr>
          <w:sz w:val="2"/>
          <w:szCs w:val="2"/>
        </w:rPr>
      </w:pPr>
    </w:p>
    <w:p w14:paraId="2B6EBAB6" w14:textId="51FDF55F" w:rsidR="004C2275" w:rsidRPr="00C920F0" w:rsidRDefault="004C2275" w:rsidP="00A2264C">
      <w:pPr>
        <w:pStyle w:val="Heading3"/>
        <w:tabs>
          <w:tab w:val="left" w:pos="426"/>
        </w:tabs>
        <w:ind w:left="0" w:firstLine="0"/>
      </w:pPr>
      <w:r w:rsidRPr="00C920F0">
        <w:t>If a</w:t>
      </w:r>
      <w:r w:rsidR="00CB0CD6">
        <w:t xml:space="preserve"> CHSP provider i</w:t>
      </w:r>
      <w:r w:rsidRPr="00C920F0">
        <w:t xml:space="preserve">s </w:t>
      </w:r>
      <w:r w:rsidR="00CB0CD6">
        <w:t xml:space="preserve">funded </w:t>
      </w:r>
      <w:r w:rsidRPr="00C920F0">
        <w:t xml:space="preserve">at the lower </w:t>
      </w:r>
      <w:r w:rsidR="00CB0CD6">
        <w:t>end of the 2022-23 National Unit Price Range</w:t>
      </w:r>
      <w:r w:rsidRPr="00C920F0">
        <w:t xml:space="preserve">, is </w:t>
      </w:r>
      <w:r w:rsidR="00CB0CD6">
        <w:t xml:space="preserve">there scope to negotiate a </w:t>
      </w:r>
      <w:r w:rsidRPr="00C920F0">
        <w:t xml:space="preserve">higher </w:t>
      </w:r>
      <w:r w:rsidR="00CB0CD6">
        <w:t>u</w:t>
      </w:r>
      <w:r w:rsidRPr="00C920F0">
        <w:t>nit price</w:t>
      </w:r>
      <w:r w:rsidR="00CB0CD6">
        <w:t xml:space="preserve"> in the 2022-23 range</w:t>
      </w:r>
      <w:r w:rsidRPr="00C920F0">
        <w:t xml:space="preserve">? </w:t>
      </w:r>
    </w:p>
    <w:p w14:paraId="086DC60C" w14:textId="29B55EEB" w:rsidR="004C2275" w:rsidRDefault="003966D7" w:rsidP="00A2264C">
      <w:pPr>
        <w:tabs>
          <w:tab w:val="left" w:pos="993"/>
        </w:tabs>
      </w:pPr>
      <w:r>
        <w:t xml:space="preserve">Please </w:t>
      </w:r>
      <w:r w:rsidR="007074E2">
        <w:t>see</w:t>
      </w:r>
      <w:r>
        <w:t xml:space="preserve"> Question and Answer </w:t>
      </w:r>
      <w:r w:rsidRPr="00FF0922">
        <w:t>1</w:t>
      </w:r>
      <w:r w:rsidR="00FF0922">
        <w:t>1</w:t>
      </w:r>
      <w:r>
        <w:t xml:space="preserve"> for more detail</w:t>
      </w:r>
      <w:r w:rsidR="007074E2">
        <w:t>s</w:t>
      </w:r>
      <w:r>
        <w:t>.</w:t>
      </w:r>
    </w:p>
    <w:p w14:paraId="420462A9" w14:textId="77777777" w:rsidR="00CB0CD6" w:rsidRPr="00D5264A" w:rsidRDefault="00CB0CD6" w:rsidP="00A2264C">
      <w:pPr>
        <w:tabs>
          <w:tab w:val="left" w:pos="993"/>
        </w:tabs>
        <w:rPr>
          <w:sz w:val="2"/>
          <w:szCs w:val="2"/>
        </w:rPr>
      </w:pPr>
    </w:p>
    <w:p w14:paraId="1D8ADBC1" w14:textId="475500AD" w:rsidR="004C2275" w:rsidRPr="004C2275" w:rsidRDefault="004C2275" w:rsidP="007074E2">
      <w:pPr>
        <w:pStyle w:val="Heading3"/>
        <w:tabs>
          <w:tab w:val="left" w:pos="426"/>
        </w:tabs>
        <w:ind w:left="0" w:firstLine="0"/>
      </w:pPr>
      <w:r w:rsidRPr="004C2275">
        <w:t xml:space="preserve">The proposed </w:t>
      </w:r>
      <w:r w:rsidR="00705C61">
        <w:t>2022-23 National Unit Price Ranges</w:t>
      </w:r>
      <w:r w:rsidR="00705C61" w:rsidRPr="004C2275">
        <w:t xml:space="preserve"> </w:t>
      </w:r>
      <w:r w:rsidR="00705C61">
        <w:t>are</w:t>
      </w:r>
      <w:r w:rsidRPr="004C2275">
        <w:t xml:space="preserve"> less tha</w:t>
      </w:r>
      <w:r w:rsidR="00705C61">
        <w:t>n</w:t>
      </w:r>
      <w:r w:rsidRPr="004C2275">
        <w:t xml:space="preserve"> what we receiv</w:t>
      </w:r>
      <w:r w:rsidR="00644015">
        <w:t>e now</w:t>
      </w:r>
      <w:r w:rsidRPr="004C2275">
        <w:t xml:space="preserve">, </w:t>
      </w:r>
      <w:r w:rsidR="007074E2">
        <w:t>what is the reason for this</w:t>
      </w:r>
      <w:r w:rsidRPr="004C2275">
        <w:t>?</w:t>
      </w:r>
    </w:p>
    <w:p w14:paraId="5D828F00" w14:textId="42B880E0" w:rsidR="00782B8C" w:rsidRDefault="00782B8C" w:rsidP="00A2264C">
      <w:pPr>
        <w:tabs>
          <w:tab w:val="left" w:pos="993"/>
        </w:tabs>
        <w:spacing w:before="0"/>
      </w:pPr>
      <w:r>
        <w:t xml:space="preserve">Please read Question and Answer 21 for more detail </w:t>
      </w:r>
      <w:r w:rsidR="00237887">
        <w:t>around</w:t>
      </w:r>
      <w:r>
        <w:t xml:space="preserve"> the variance</w:t>
      </w:r>
      <w:r w:rsidR="00237887">
        <w:t xml:space="preserve"> in lower and higher ranges for</w:t>
      </w:r>
      <w:r>
        <w:t xml:space="preserve"> the 2022-23 National Unit Price Ranges.</w:t>
      </w:r>
    </w:p>
    <w:p w14:paraId="347A2562" w14:textId="67CC5CBC" w:rsidR="00671DD6" w:rsidRDefault="00671DD6" w:rsidP="00A2264C">
      <w:pPr>
        <w:tabs>
          <w:tab w:val="left" w:pos="993"/>
        </w:tabs>
      </w:pPr>
      <w:r>
        <w:t xml:space="preserve">Where providers are currently funded above the 2022-23 National Unit Price Ranges, the funded </w:t>
      </w:r>
      <w:r w:rsidR="000D6CE7">
        <w:t xml:space="preserve">unit </w:t>
      </w:r>
      <w:r>
        <w:t xml:space="preserve">price will be reduced to the top of the </w:t>
      </w:r>
      <w:r w:rsidR="000D6CE7">
        <w:t>2022-23 National Unit Price Ranges</w:t>
      </w:r>
      <w:r>
        <w:t xml:space="preserve">. Outputs will be adjusted to ensure </w:t>
      </w:r>
      <w:r w:rsidR="000D6CE7">
        <w:t xml:space="preserve">the value of the contract </w:t>
      </w:r>
      <w:r>
        <w:t>is no</w:t>
      </w:r>
      <w:r w:rsidR="000D6CE7">
        <w:t>t</w:t>
      </w:r>
      <w:r>
        <w:t xml:space="preserve"> reduc</w:t>
      </w:r>
      <w:r w:rsidR="000D6CE7">
        <w:t>ed</w:t>
      </w:r>
      <w:r>
        <w:t>.</w:t>
      </w:r>
    </w:p>
    <w:p w14:paraId="6AC56979" w14:textId="4A12F6E3" w:rsidR="00237887" w:rsidRDefault="00237887" w:rsidP="00A2264C">
      <w:pPr>
        <w:tabs>
          <w:tab w:val="left" w:pos="993"/>
        </w:tabs>
      </w:pPr>
      <w:r>
        <w:t>Health understands localised factors may affect the number of outputs a provider can deliver. That is, the prices being used for contracts are based on a nationally representative footprint, and not necessarily representative of a provider’s local footprint. Please read Question and Answer 34 for more detail around service delivery as outlined in the grant agreement.</w:t>
      </w:r>
    </w:p>
    <w:p w14:paraId="4740FC25" w14:textId="77777777" w:rsidR="00F16D2A" w:rsidRDefault="00F16D2A">
      <w:pPr>
        <w:spacing w:before="0" w:after="160" w:line="259" w:lineRule="auto"/>
        <w:rPr>
          <w:b/>
          <w:bCs/>
        </w:rPr>
      </w:pPr>
      <w:r>
        <w:br w:type="page"/>
      </w:r>
    </w:p>
    <w:p w14:paraId="545A93AA" w14:textId="39031B74" w:rsidR="00055FCB" w:rsidRPr="00333454" w:rsidRDefault="00055FCB" w:rsidP="00055FCB">
      <w:pPr>
        <w:pStyle w:val="Heading3"/>
        <w:ind w:left="426" w:hanging="426"/>
        <w:rPr>
          <w:szCs w:val="22"/>
        </w:rPr>
      </w:pPr>
      <w:r w:rsidRPr="00B54197">
        <w:lastRenderedPageBreak/>
        <w:t xml:space="preserve">Why </w:t>
      </w:r>
      <w:r>
        <w:t>are</w:t>
      </w:r>
      <w:r w:rsidRPr="00B54197">
        <w:t xml:space="preserve"> the </w:t>
      </w:r>
      <w:r>
        <w:t>2022-23 National U</w:t>
      </w:r>
      <w:r w:rsidRPr="00B54197">
        <w:t xml:space="preserve">nit </w:t>
      </w:r>
      <w:r>
        <w:t>P</w:t>
      </w:r>
      <w:r w:rsidRPr="00B54197">
        <w:t>ric</w:t>
      </w:r>
      <w:r>
        <w:t>e</w:t>
      </w:r>
      <w:r w:rsidRPr="00B54197">
        <w:t xml:space="preserve"> </w:t>
      </w:r>
      <w:r>
        <w:t>R</w:t>
      </w:r>
      <w:r w:rsidRPr="00B54197">
        <w:t>ange</w:t>
      </w:r>
      <w:r>
        <w:t>s</w:t>
      </w:r>
      <w:r w:rsidRPr="00B54197">
        <w:t xml:space="preserve"> based on standard weekday delivery during business hours? Does it acknowledge emergency/unforeseen/out of hours service delivery which is more costly?</w:t>
      </w:r>
    </w:p>
    <w:p w14:paraId="5BF39115" w14:textId="49A1525B" w:rsidR="00237887" w:rsidRDefault="00237887" w:rsidP="00BC79C6">
      <w:pPr>
        <w:tabs>
          <w:tab w:val="left" w:pos="993"/>
        </w:tabs>
      </w:pPr>
      <w:r>
        <w:t>The CHSP provides entry-level support to assist older people aged 65 years and over (50 years and over for Aboriginal and Torres Strait Islander people) to remain living at home and in their community.</w:t>
      </w:r>
    </w:p>
    <w:p w14:paraId="0B6AF117" w14:textId="260E7582" w:rsidR="00584032" w:rsidRDefault="00644FF5" w:rsidP="00BC79C6">
      <w:pPr>
        <w:tabs>
          <w:tab w:val="left" w:pos="993"/>
        </w:tabs>
      </w:pPr>
      <w:r w:rsidRPr="000C6A4C">
        <w:t>The 2022-23 National Unit Price Ranges do not represent the full cost of service delivery</w:t>
      </w:r>
      <w:r w:rsidR="00584032">
        <w:t xml:space="preserve"> and are for entry-level support.</w:t>
      </w:r>
      <w:r w:rsidR="00BC79C6">
        <w:t xml:space="preserve"> </w:t>
      </w:r>
      <w:r w:rsidR="00584032">
        <w:t>Additionally, c</w:t>
      </w:r>
      <w:r w:rsidR="00584032" w:rsidRPr="000C6A4C">
        <w:t xml:space="preserve">lient contributions are a key feature of the CHSP, helping </w:t>
      </w:r>
      <w:r w:rsidR="00584032">
        <w:t>service delivery</w:t>
      </w:r>
      <w:r w:rsidR="00584032" w:rsidRPr="000C6A4C">
        <w:t xml:space="preserve"> to be financially sustainable</w:t>
      </w:r>
      <w:r w:rsidR="00584032">
        <w:t xml:space="preserve"> for a provider.</w:t>
      </w:r>
    </w:p>
    <w:p w14:paraId="5A2B4804" w14:textId="355D1008" w:rsidR="00BC79C6" w:rsidRPr="000C6A4C" w:rsidRDefault="00BC79C6" w:rsidP="00BC79C6">
      <w:pPr>
        <w:tabs>
          <w:tab w:val="left" w:pos="993"/>
        </w:tabs>
        <w:rPr>
          <w:szCs w:val="22"/>
        </w:rPr>
      </w:pPr>
      <w:r w:rsidRPr="000C6A4C">
        <w:rPr>
          <w:szCs w:val="22"/>
        </w:rPr>
        <w:t>For most of CHSP service delivery, the Commonwealth funding per unit of output will either not change or will increase (net of indexation).</w:t>
      </w:r>
      <w:r w:rsidRPr="00BC79C6">
        <w:t xml:space="preserve"> </w:t>
      </w:r>
    </w:p>
    <w:p w14:paraId="647AC168" w14:textId="7AA2E924" w:rsidR="00055FCB" w:rsidRDefault="00055FCB" w:rsidP="000C6A4C">
      <w:pPr>
        <w:tabs>
          <w:tab w:val="left" w:pos="993"/>
        </w:tabs>
      </w:pPr>
      <w:r w:rsidRPr="000C6A4C">
        <w:rPr>
          <w:szCs w:val="22"/>
        </w:rPr>
        <w:t>Any fluctuations or unusual demand resulting in a higher unit price for service delivery needs to be managed on a case by case basis, noting that providers have flexibility to manage their funds within their funded service types.</w:t>
      </w:r>
    </w:p>
    <w:p w14:paraId="12B90AFD" w14:textId="4F5E1837" w:rsidR="004C2275" w:rsidRPr="00D5264A" w:rsidRDefault="004C2275" w:rsidP="00A2264C">
      <w:pPr>
        <w:tabs>
          <w:tab w:val="left" w:pos="993"/>
        </w:tabs>
        <w:rPr>
          <w:sz w:val="2"/>
          <w:szCs w:val="2"/>
        </w:rPr>
      </w:pPr>
    </w:p>
    <w:p w14:paraId="67953107" w14:textId="1FB1ED31" w:rsidR="00240273" w:rsidRPr="00A2264C" w:rsidRDefault="00022F83" w:rsidP="00A2264C">
      <w:pPr>
        <w:pStyle w:val="Heading2"/>
        <w:numPr>
          <w:ilvl w:val="0"/>
          <w:numId w:val="0"/>
        </w:numPr>
        <w:tabs>
          <w:tab w:val="left" w:pos="993"/>
        </w:tabs>
        <w:rPr>
          <w:sz w:val="26"/>
          <w:szCs w:val="26"/>
        </w:rPr>
      </w:pPr>
      <w:r w:rsidRPr="00A2264C">
        <w:rPr>
          <w:sz w:val="26"/>
          <w:szCs w:val="26"/>
        </w:rPr>
        <w:t xml:space="preserve">Negotiations </w:t>
      </w:r>
    </w:p>
    <w:p w14:paraId="28367E35" w14:textId="61F918D9" w:rsidR="00022F83" w:rsidRDefault="00022F83" w:rsidP="00A2264C">
      <w:pPr>
        <w:pStyle w:val="Heading3"/>
        <w:tabs>
          <w:tab w:val="left" w:pos="426"/>
        </w:tabs>
        <w:ind w:left="0" w:firstLine="0"/>
      </w:pPr>
      <w:r w:rsidRPr="00537C04">
        <w:t xml:space="preserve">We have </w:t>
      </w:r>
      <w:r w:rsidR="00671DD6">
        <w:t xml:space="preserve">received </w:t>
      </w:r>
      <w:r w:rsidRPr="00537C04">
        <w:t>our unit price for 2022-23</w:t>
      </w:r>
      <w:r>
        <w:t>,</w:t>
      </w:r>
      <w:r w:rsidRPr="00537C04">
        <w:t xml:space="preserve"> is this negotiable or is it set?</w:t>
      </w:r>
    </w:p>
    <w:p w14:paraId="4797395C" w14:textId="677708C8" w:rsidR="00240273" w:rsidRDefault="00671DD6" w:rsidP="00A2264C">
      <w:pPr>
        <w:tabs>
          <w:tab w:val="left" w:pos="993"/>
        </w:tabs>
      </w:pPr>
      <w:r w:rsidRPr="00671DD6">
        <w:t>Please</w:t>
      </w:r>
      <w:r>
        <w:t xml:space="preserve"> see Question and Answer </w:t>
      </w:r>
      <w:r w:rsidRPr="00D222AB">
        <w:t>1</w:t>
      </w:r>
      <w:r w:rsidR="00D222AB">
        <w:t>1</w:t>
      </w:r>
      <w:r>
        <w:t xml:space="preserve"> for more detail.</w:t>
      </w:r>
    </w:p>
    <w:p w14:paraId="294F86D0" w14:textId="77777777" w:rsidR="00671DD6" w:rsidRPr="00D5264A" w:rsidRDefault="00671DD6" w:rsidP="00A2264C">
      <w:pPr>
        <w:tabs>
          <w:tab w:val="left" w:pos="993"/>
        </w:tabs>
        <w:rPr>
          <w:sz w:val="2"/>
          <w:szCs w:val="2"/>
        </w:rPr>
      </w:pPr>
    </w:p>
    <w:p w14:paraId="061051EB" w14:textId="140DF384" w:rsidR="00022F83" w:rsidRDefault="00022F83" w:rsidP="00A2264C">
      <w:pPr>
        <w:pStyle w:val="Heading3"/>
        <w:tabs>
          <w:tab w:val="left" w:pos="426"/>
        </w:tabs>
        <w:ind w:left="0" w:firstLine="0"/>
      </w:pPr>
      <w:r w:rsidRPr="00C63E6E">
        <w:t xml:space="preserve">Is it possible to have the </w:t>
      </w:r>
      <w:r>
        <w:t>u</w:t>
      </w:r>
      <w:r w:rsidRPr="00C63E6E">
        <w:t xml:space="preserve">nit price </w:t>
      </w:r>
      <w:r>
        <w:t xml:space="preserve">increased </w:t>
      </w:r>
      <w:r w:rsidRPr="00C63E6E">
        <w:t>if what we receiv</w:t>
      </w:r>
      <w:r w:rsidR="000D6CE7">
        <w:t>e now</w:t>
      </w:r>
      <w:r w:rsidRPr="00C63E6E">
        <w:t xml:space="preserve"> is at the lower end of the range?</w:t>
      </w:r>
    </w:p>
    <w:p w14:paraId="7A366824" w14:textId="201CB8FD" w:rsidR="00671DD6" w:rsidRDefault="00671DD6" w:rsidP="00671DD6">
      <w:pPr>
        <w:tabs>
          <w:tab w:val="left" w:pos="993"/>
        </w:tabs>
      </w:pPr>
      <w:r w:rsidRPr="00671DD6">
        <w:t>Please</w:t>
      </w:r>
      <w:r>
        <w:t xml:space="preserve"> see Question and Answer </w:t>
      </w:r>
      <w:r w:rsidR="00D222AB">
        <w:t>11</w:t>
      </w:r>
      <w:r>
        <w:t xml:space="preserve"> for more detail.</w:t>
      </w:r>
    </w:p>
    <w:p w14:paraId="6BABDC84" w14:textId="77777777" w:rsidR="00CA5F25" w:rsidRPr="00D5264A" w:rsidRDefault="00CA5F25" w:rsidP="00A2264C">
      <w:pPr>
        <w:tabs>
          <w:tab w:val="left" w:pos="993"/>
        </w:tabs>
        <w:rPr>
          <w:sz w:val="2"/>
          <w:szCs w:val="2"/>
        </w:rPr>
      </w:pPr>
    </w:p>
    <w:p w14:paraId="7A26EFD5" w14:textId="6AB44C0D" w:rsidR="00CA5F25" w:rsidRDefault="00CA5F25" w:rsidP="00666182">
      <w:pPr>
        <w:pStyle w:val="Heading3"/>
        <w:tabs>
          <w:tab w:val="left" w:pos="426"/>
        </w:tabs>
        <w:ind w:left="0" w:firstLine="0"/>
      </w:pPr>
      <w:r w:rsidRPr="00C63E6E">
        <w:t>Will we be able to put our case forward that our unit pricing is below what it costs us to deliver our services</w:t>
      </w:r>
      <w:r>
        <w:t>?</w:t>
      </w:r>
    </w:p>
    <w:p w14:paraId="1233FBCC" w14:textId="00F7ABC3" w:rsidR="00D5264A" w:rsidRDefault="00D5264A" w:rsidP="00D5264A">
      <w:pPr>
        <w:tabs>
          <w:tab w:val="left" w:pos="993"/>
        </w:tabs>
      </w:pPr>
      <w:r w:rsidRPr="00671DD6">
        <w:t>Please</w:t>
      </w:r>
      <w:r>
        <w:t xml:space="preserve"> see Question and Answer </w:t>
      </w:r>
      <w:r w:rsidR="00D222AB">
        <w:t>11</w:t>
      </w:r>
      <w:r>
        <w:t xml:space="preserve"> for more detail</w:t>
      </w:r>
      <w:r w:rsidR="00C933F3">
        <w:t xml:space="preserve"> about negotiating the unit prices</w:t>
      </w:r>
      <w:r>
        <w:t>.</w:t>
      </w:r>
    </w:p>
    <w:p w14:paraId="64C4E8A2" w14:textId="77777777" w:rsidR="00C933F3" w:rsidRDefault="00C933F3" w:rsidP="00C933F3">
      <w:pPr>
        <w:tabs>
          <w:tab w:val="left" w:pos="993"/>
        </w:tabs>
      </w:pPr>
      <w:r>
        <w:t>Health understands localised factors may affect the number of outputs a provider can deliver. That is, the prices being used for contracts are based on a nationally representative footprint, and not necessarily representative of a provider’s local footprint. Please read Question and Answer 34 for more detail around service delivery as outlined in the grant agreement.</w:t>
      </w:r>
    </w:p>
    <w:p w14:paraId="5B2C578C" w14:textId="77777777" w:rsidR="00240273" w:rsidRPr="00D5264A" w:rsidRDefault="00240273" w:rsidP="00A2264C">
      <w:pPr>
        <w:tabs>
          <w:tab w:val="left" w:pos="993"/>
        </w:tabs>
        <w:rPr>
          <w:sz w:val="2"/>
          <w:szCs w:val="2"/>
        </w:rPr>
      </w:pPr>
    </w:p>
    <w:p w14:paraId="5E1692A9" w14:textId="4C54B1E9" w:rsidR="00240273" w:rsidRDefault="00240273" w:rsidP="00666182">
      <w:pPr>
        <w:pStyle w:val="Heading3"/>
        <w:tabs>
          <w:tab w:val="left" w:pos="426"/>
        </w:tabs>
        <w:ind w:left="0" w:firstLine="0"/>
      </w:pPr>
      <w:r w:rsidRPr="00537C04">
        <w:t>W</w:t>
      </w:r>
      <w:r>
        <w:t>ho do w</w:t>
      </w:r>
      <w:r w:rsidRPr="00537C04">
        <w:t xml:space="preserve">e </w:t>
      </w:r>
      <w:r>
        <w:t xml:space="preserve">contact to discuss our </w:t>
      </w:r>
      <w:r w:rsidR="00757039">
        <w:t>new</w:t>
      </w:r>
      <w:r>
        <w:t xml:space="preserve"> unit prices?</w:t>
      </w:r>
    </w:p>
    <w:p w14:paraId="23053C55" w14:textId="15EBBD2A" w:rsidR="00240273" w:rsidRDefault="00240273" w:rsidP="00A2264C">
      <w:pPr>
        <w:tabs>
          <w:tab w:val="left" w:pos="993"/>
        </w:tabs>
      </w:pPr>
      <w:r>
        <w:t xml:space="preserve">CHSP providers should contact the </w:t>
      </w:r>
      <w:r w:rsidR="00324531" w:rsidRPr="00A62737">
        <w:rPr>
          <w:szCs w:val="22"/>
        </w:rPr>
        <w:t>CGH</w:t>
      </w:r>
      <w:r w:rsidR="00324531">
        <w:t xml:space="preserve"> </w:t>
      </w:r>
      <w:r>
        <w:t>should they wish to discuss their unit prices.</w:t>
      </w:r>
    </w:p>
    <w:p w14:paraId="5C454DCD" w14:textId="77777777" w:rsidR="008E5909" w:rsidRPr="00D5264A" w:rsidRDefault="008E5909" w:rsidP="00A2264C">
      <w:pPr>
        <w:tabs>
          <w:tab w:val="left" w:pos="993"/>
        </w:tabs>
        <w:rPr>
          <w:sz w:val="2"/>
          <w:szCs w:val="2"/>
        </w:rPr>
      </w:pPr>
    </w:p>
    <w:p w14:paraId="7C4EA0BA" w14:textId="29BDC8CF" w:rsidR="00086BA8" w:rsidRPr="00A2264C" w:rsidRDefault="00086BA8" w:rsidP="00A2264C">
      <w:pPr>
        <w:pStyle w:val="Heading2"/>
        <w:numPr>
          <w:ilvl w:val="0"/>
          <w:numId w:val="0"/>
        </w:numPr>
        <w:tabs>
          <w:tab w:val="left" w:pos="993"/>
        </w:tabs>
        <w:rPr>
          <w:sz w:val="26"/>
          <w:szCs w:val="26"/>
        </w:rPr>
      </w:pPr>
      <w:r w:rsidRPr="00A2264C">
        <w:rPr>
          <w:sz w:val="26"/>
          <w:szCs w:val="26"/>
        </w:rPr>
        <w:t xml:space="preserve">Payment in arrears </w:t>
      </w:r>
    </w:p>
    <w:p w14:paraId="268A1717" w14:textId="7643DCCD" w:rsidR="00B93EF6" w:rsidRDefault="00B93EF6" w:rsidP="00A2264C">
      <w:pPr>
        <w:pStyle w:val="Heading3"/>
        <w:tabs>
          <w:tab w:val="left" w:pos="426"/>
        </w:tabs>
        <w:ind w:left="0" w:firstLine="0"/>
      </w:pPr>
      <w:bookmarkStart w:id="13" w:name="_Hlk90908393"/>
      <w:r>
        <w:t>Why is payment in arrears ne</w:t>
      </w:r>
      <w:r w:rsidR="000D6CE7">
        <w:t>eded</w:t>
      </w:r>
      <w:r>
        <w:t>?</w:t>
      </w:r>
    </w:p>
    <w:bookmarkEnd w:id="13"/>
    <w:p w14:paraId="3DD6225E" w14:textId="49501199" w:rsidR="003C554D" w:rsidRDefault="003C554D" w:rsidP="003C554D">
      <w:pPr>
        <w:rPr>
          <w:rFonts w:ascii="Calibri" w:hAnsi="Calibri" w:cs="Calibri"/>
        </w:rPr>
      </w:pPr>
      <w:r>
        <w:t>The transition to payment in arrears is needed as it will help prepare CHSP providers for the future Support at Home Program, which is expected to include fee-for-service payments based on actual services delivered. These changes will make the overall transition process easier for providers to navigate.</w:t>
      </w:r>
    </w:p>
    <w:p w14:paraId="47EDB35F" w14:textId="77777777" w:rsidR="00674B3F" w:rsidRPr="005D3A8A" w:rsidRDefault="00674B3F" w:rsidP="00A2264C">
      <w:pPr>
        <w:tabs>
          <w:tab w:val="left" w:pos="993"/>
        </w:tabs>
        <w:rPr>
          <w:sz w:val="2"/>
          <w:szCs w:val="2"/>
        </w:rPr>
      </w:pPr>
    </w:p>
    <w:p w14:paraId="09537E43" w14:textId="64461AA3" w:rsidR="00B93EF6" w:rsidRPr="00B93EF6" w:rsidRDefault="00B93EF6" w:rsidP="00A2264C">
      <w:pPr>
        <w:pStyle w:val="Heading3"/>
        <w:tabs>
          <w:tab w:val="left" w:pos="426"/>
        </w:tabs>
        <w:ind w:left="0" w:firstLine="0"/>
      </w:pPr>
      <w:r w:rsidRPr="000543F2">
        <w:t xml:space="preserve">How quickly will payments be made to </w:t>
      </w:r>
      <w:r w:rsidR="00393AB2">
        <w:t xml:space="preserve">CHSP </w:t>
      </w:r>
      <w:r w:rsidRPr="000543F2">
        <w:t>providers each month?</w:t>
      </w:r>
    </w:p>
    <w:p w14:paraId="640D0258" w14:textId="31751E58" w:rsidR="000B4D3F" w:rsidRDefault="00540F62" w:rsidP="00A2264C">
      <w:pPr>
        <w:tabs>
          <w:tab w:val="left" w:pos="993"/>
        </w:tabs>
      </w:pPr>
      <w:r w:rsidRPr="00F30987">
        <w:t xml:space="preserve">Payments will be released automatically </w:t>
      </w:r>
      <w:r w:rsidR="0067187A">
        <w:t>on the first day of eac</w:t>
      </w:r>
      <w:r w:rsidR="000B4D3F" w:rsidRPr="00F30987">
        <w:t>h month</w:t>
      </w:r>
      <w:r w:rsidR="008B750C">
        <w:t xml:space="preserve"> because they are not tied to actual service delivery</w:t>
      </w:r>
      <w:r w:rsidR="004F094C" w:rsidRPr="00F30987">
        <w:t xml:space="preserve">. </w:t>
      </w:r>
      <w:r w:rsidR="00EB59FB">
        <w:t>Because of</w:t>
      </w:r>
      <w:r w:rsidR="004F094C" w:rsidRPr="00F30987">
        <w:t xml:space="preserve"> processing </w:t>
      </w:r>
      <w:r w:rsidR="0067187A">
        <w:t>it may take three-four days before CHSP</w:t>
      </w:r>
      <w:r w:rsidR="0067187A" w:rsidRPr="00F30987">
        <w:t xml:space="preserve"> providers </w:t>
      </w:r>
      <w:r w:rsidR="0067187A">
        <w:t>receive their monthly payment</w:t>
      </w:r>
      <w:r w:rsidR="000B4D3F" w:rsidRPr="00F30987">
        <w:t>.</w:t>
      </w:r>
      <w:r w:rsidR="008B750C">
        <w:t xml:space="preserve"> Payments will only be delayed if reporting obligations are not up to date.</w:t>
      </w:r>
    </w:p>
    <w:p w14:paraId="58AB3A35" w14:textId="0526077A" w:rsidR="00B93EF6" w:rsidRPr="00B93EF6" w:rsidRDefault="00B93EF6" w:rsidP="000F1853">
      <w:pPr>
        <w:pStyle w:val="Heading3"/>
        <w:tabs>
          <w:tab w:val="left" w:pos="426"/>
        </w:tabs>
        <w:ind w:left="0" w:firstLine="0"/>
      </w:pPr>
      <w:r w:rsidRPr="00D42FDC">
        <w:lastRenderedPageBreak/>
        <w:t xml:space="preserve">Will monthly payments need to be spent in full or </w:t>
      </w:r>
      <w:r w:rsidR="00D43584">
        <w:t>can funding be</w:t>
      </w:r>
      <w:r w:rsidRPr="00D42FDC">
        <w:t xml:space="preserve"> roll</w:t>
      </w:r>
      <w:r w:rsidR="00D43584">
        <w:t xml:space="preserve">ed </w:t>
      </w:r>
      <w:r w:rsidRPr="00D42FDC">
        <w:t>over to the next month?</w:t>
      </w:r>
    </w:p>
    <w:p w14:paraId="14CB0510" w14:textId="65A6ED9B" w:rsidR="00C933F3" w:rsidRDefault="00C933F3" w:rsidP="00A2264C">
      <w:pPr>
        <w:tabs>
          <w:tab w:val="left" w:pos="993"/>
        </w:tabs>
      </w:pPr>
      <w:r>
        <w:t xml:space="preserve">Please see Question and Answer </w:t>
      </w:r>
      <w:r w:rsidR="00A143A8">
        <w:t>57 for more details around acquittals under the 2022-23 extension.</w:t>
      </w:r>
    </w:p>
    <w:p w14:paraId="4FF64BB8" w14:textId="5F3C8688" w:rsidR="00A143A8" w:rsidRDefault="00A143A8" w:rsidP="00A2264C">
      <w:pPr>
        <w:tabs>
          <w:tab w:val="left" w:pos="993"/>
        </w:tabs>
      </w:pPr>
      <w:r>
        <w:t>In addition, please see Question and Answer 60 for more detail on the Rollover Support.</w:t>
      </w:r>
    </w:p>
    <w:p w14:paraId="48A1DA34" w14:textId="77777777" w:rsidR="00D43584" w:rsidRPr="00D5264A" w:rsidRDefault="00D43584" w:rsidP="00A2264C">
      <w:pPr>
        <w:tabs>
          <w:tab w:val="left" w:pos="993"/>
        </w:tabs>
        <w:rPr>
          <w:sz w:val="2"/>
          <w:szCs w:val="2"/>
        </w:rPr>
      </w:pPr>
    </w:p>
    <w:p w14:paraId="095ADAE2" w14:textId="1CD80082" w:rsidR="001963D6" w:rsidRPr="001963D6" w:rsidRDefault="001963D6" w:rsidP="00A2264C">
      <w:pPr>
        <w:pStyle w:val="Heading3"/>
        <w:tabs>
          <w:tab w:val="left" w:pos="426"/>
        </w:tabs>
        <w:ind w:left="0" w:firstLine="0"/>
      </w:pPr>
      <w:r>
        <w:rPr>
          <w:szCs w:val="22"/>
        </w:rPr>
        <w:t>H</w:t>
      </w:r>
      <w:r>
        <w:t xml:space="preserve">ow does payment in arrears ensure clients </w:t>
      </w:r>
      <w:r w:rsidR="00EB59FB">
        <w:t>receive</w:t>
      </w:r>
      <w:r>
        <w:t xml:space="preserve"> services in a timely </w:t>
      </w:r>
      <w:r w:rsidR="00EB59FB">
        <w:t>way</w:t>
      </w:r>
      <w:r>
        <w:t>?</w:t>
      </w:r>
    </w:p>
    <w:p w14:paraId="1B67D899" w14:textId="54CE99A6" w:rsidR="00120348" w:rsidRDefault="00120348" w:rsidP="00120348">
      <w:pPr>
        <w:tabs>
          <w:tab w:val="left" w:pos="993"/>
        </w:tabs>
        <w:rPr>
          <w:szCs w:val="22"/>
        </w:rPr>
      </w:pPr>
      <w:r>
        <w:rPr>
          <w:szCs w:val="22"/>
        </w:rPr>
        <w:t xml:space="preserve">All CHSP providers, excluding providers who only deliver SSD, will be paid a standard monthly payment. The standard monthly payment is the total value of the grant agreement divided by twelve. </w:t>
      </w:r>
      <w:r w:rsidR="00225254">
        <w:t>Payments are not based on number of services delivered.</w:t>
      </w:r>
    </w:p>
    <w:p w14:paraId="0525EFA9" w14:textId="410DF1E7" w:rsidR="00120348" w:rsidRDefault="00120348" w:rsidP="00120348">
      <w:pPr>
        <w:tabs>
          <w:tab w:val="left" w:pos="993"/>
        </w:tabs>
      </w:pPr>
      <w:r>
        <w:rPr>
          <w:szCs w:val="22"/>
        </w:rPr>
        <w:t xml:space="preserve">The standard monthly payment will provide cashflow certainty and </w:t>
      </w:r>
      <w:r>
        <w:t xml:space="preserve">to help manage the transition </w:t>
      </w:r>
      <w:r w:rsidR="001649F7">
        <w:t xml:space="preserve">to payment in arrears </w:t>
      </w:r>
      <w:r>
        <w:t xml:space="preserve">and </w:t>
      </w:r>
      <w:r w:rsidR="001649F7">
        <w:t xml:space="preserve">any </w:t>
      </w:r>
      <w:r>
        <w:t>associated cashflow impacts, providers will be paid the July 2022 monthly payment in advance. The August 2022 payment will then be made at the start of September 2022.</w:t>
      </w:r>
    </w:p>
    <w:p w14:paraId="49B66B55" w14:textId="2B3CD766" w:rsidR="00120348" w:rsidRDefault="00120348" w:rsidP="00120348">
      <w:pPr>
        <w:tabs>
          <w:tab w:val="left" w:pos="993"/>
        </w:tabs>
        <w:rPr>
          <w:rFonts w:ascii="Arial" w:hAnsi="Arial" w:cs="Times New Roman"/>
        </w:rPr>
      </w:pPr>
      <w:r>
        <w:t>CHSP providers are responsible for sustainably managing their service delivery and number of clients</w:t>
      </w:r>
      <w:r w:rsidR="001649F7">
        <w:t>.</w:t>
      </w:r>
      <w:r>
        <w:t xml:space="preserve"> A part of this will be managing </w:t>
      </w:r>
      <w:r w:rsidR="001649F7">
        <w:t>their budget</w:t>
      </w:r>
      <w:r>
        <w:t xml:space="preserve"> to ensure they hav</w:t>
      </w:r>
      <w:r w:rsidR="001649F7">
        <w:t xml:space="preserve">e enough funding to support the business to deliver a </w:t>
      </w:r>
      <w:proofErr w:type="gramStart"/>
      <w:r w:rsidR="001649F7">
        <w:t>month</w:t>
      </w:r>
      <w:r w:rsidR="00225254">
        <w:t>s</w:t>
      </w:r>
      <w:proofErr w:type="gramEnd"/>
      <w:r w:rsidR="001649F7">
        <w:t xml:space="preserve"> worth of services prior to receiving the next monthly payment in arrears.</w:t>
      </w:r>
    </w:p>
    <w:p w14:paraId="0EB64866" w14:textId="77777777" w:rsidR="00393AB2" w:rsidRPr="00D5264A" w:rsidRDefault="00393AB2" w:rsidP="00A2264C">
      <w:pPr>
        <w:tabs>
          <w:tab w:val="left" w:pos="993"/>
        </w:tabs>
        <w:rPr>
          <w:sz w:val="2"/>
          <w:szCs w:val="2"/>
        </w:rPr>
      </w:pPr>
    </w:p>
    <w:p w14:paraId="7DD027CE" w14:textId="0DBEA158" w:rsidR="00086BA8" w:rsidRPr="00A2264C" w:rsidRDefault="0049464B" w:rsidP="00A2264C">
      <w:pPr>
        <w:pStyle w:val="Heading2"/>
        <w:numPr>
          <w:ilvl w:val="0"/>
          <w:numId w:val="0"/>
        </w:numPr>
        <w:tabs>
          <w:tab w:val="left" w:pos="993"/>
        </w:tabs>
        <w:rPr>
          <w:sz w:val="26"/>
          <w:szCs w:val="26"/>
        </w:rPr>
      </w:pPr>
      <w:r w:rsidRPr="00A2264C">
        <w:rPr>
          <w:sz w:val="26"/>
          <w:szCs w:val="26"/>
        </w:rPr>
        <w:t>C</w:t>
      </w:r>
      <w:r w:rsidR="00086BA8" w:rsidRPr="00A2264C">
        <w:rPr>
          <w:sz w:val="26"/>
          <w:szCs w:val="26"/>
        </w:rPr>
        <w:t xml:space="preserve">ontractual arrangements </w:t>
      </w:r>
    </w:p>
    <w:p w14:paraId="0D01EC05" w14:textId="7F8A0320" w:rsidR="001A6A45" w:rsidRDefault="001A6A45" w:rsidP="00A2264C">
      <w:pPr>
        <w:pStyle w:val="Heading3"/>
        <w:tabs>
          <w:tab w:val="left" w:pos="426"/>
        </w:tabs>
        <w:ind w:left="0" w:firstLine="0"/>
      </w:pPr>
      <w:r>
        <w:t xml:space="preserve">Will </w:t>
      </w:r>
      <w:r w:rsidR="00B205E2">
        <w:t xml:space="preserve">CHSP providers </w:t>
      </w:r>
      <w:r w:rsidR="00D6643A">
        <w:t>have</w:t>
      </w:r>
      <w:r>
        <w:t xml:space="preserve"> reduced funding under </w:t>
      </w:r>
      <w:r w:rsidR="00B205E2">
        <w:t xml:space="preserve">the transition to </w:t>
      </w:r>
      <w:r>
        <w:t>payment in arrears?</w:t>
      </w:r>
    </w:p>
    <w:p w14:paraId="266E9BAE" w14:textId="5280CD4D" w:rsidR="001A6A45" w:rsidRDefault="001A6A45" w:rsidP="00A2264C">
      <w:pPr>
        <w:tabs>
          <w:tab w:val="left" w:pos="993"/>
        </w:tabs>
      </w:pPr>
      <w:r w:rsidRPr="00E5298E">
        <w:t>No</w:t>
      </w:r>
      <w:r w:rsidR="00E26522">
        <w:t xml:space="preserve"> CHSP</w:t>
      </w:r>
      <w:r w:rsidRPr="00E5298E">
        <w:t xml:space="preserve"> provider will have their funding level reduced as part of th</w:t>
      </w:r>
      <w:r>
        <w:t>e</w:t>
      </w:r>
      <w:r w:rsidR="00D5264A">
        <w:t xml:space="preserve"> transition to payment in arrears under the</w:t>
      </w:r>
      <w:r>
        <w:t xml:space="preserve"> 2022-23 CHSP </w:t>
      </w:r>
      <w:r w:rsidR="00395952">
        <w:t>e</w:t>
      </w:r>
      <w:r>
        <w:t>xtension</w:t>
      </w:r>
      <w:r w:rsidR="00E26522">
        <w:t>.</w:t>
      </w:r>
      <w:r>
        <w:t xml:space="preserve"> </w:t>
      </w:r>
      <w:r w:rsidR="00E26522">
        <w:t>R</w:t>
      </w:r>
      <w:r w:rsidRPr="00E5298E">
        <w:t>eductions may occur for other reasons, such as compliance action</w:t>
      </w:r>
      <w:r w:rsidR="00D6643A">
        <w:t>s</w:t>
      </w:r>
      <w:r w:rsidRPr="00E5298E">
        <w:t>.</w:t>
      </w:r>
    </w:p>
    <w:p w14:paraId="10D265C3" w14:textId="77777777" w:rsidR="008E5909" w:rsidRPr="00D5264A" w:rsidRDefault="008E5909" w:rsidP="00A2264C">
      <w:pPr>
        <w:tabs>
          <w:tab w:val="left" w:pos="993"/>
        </w:tabs>
        <w:rPr>
          <w:sz w:val="2"/>
          <w:szCs w:val="2"/>
        </w:rPr>
      </w:pPr>
    </w:p>
    <w:p w14:paraId="1C8EC417" w14:textId="621D15C7" w:rsidR="0049464B" w:rsidRDefault="00E26522" w:rsidP="00A2264C">
      <w:pPr>
        <w:pStyle w:val="Heading3"/>
        <w:tabs>
          <w:tab w:val="left" w:pos="426"/>
        </w:tabs>
        <w:ind w:left="0" w:firstLine="0"/>
      </w:pPr>
      <w:bookmarkStart w:id="14" w:name="_Hlk90453510"/>
      <w:r>
        <w:t>Are</w:t>
      </w:r>
      <w:r w:rsidR="00395952">
        <w:t xml:space="preserve"> CHSP</w:t>
      </w:r>
      <w:r w:rsidR="0049464B">
        <w:t xml:space="preserve"> providers </w:t>
      </w:r>
      <w:r>
        <w:t>required</w:t>
      </w:r>
      <w:r w:rsidR="0049464B">
        <w:t xml:space="preserve"> to meet the service delivery as outlined in their grant agreement?</w:t>
      </w:r>
    </w:p>
    <w:p w14:paraId="66A701D5" w14:textId="1252C8B6" w:rsidR="0049464B" w:rsidRDefault="00E26522" w:rsidP="00A2264C">
      <w:pPr>
        <w:tabs>
          <w:tab w:val="left" w:pos="993"/>
        </w:tabs>
        <w:rPr>
          <w:rFonts w:ascii="Arial" w:hAnsi="Arial" w:cs="Times New Roman"/>
        </w:rPr>
      </w:pPr>
      <w:r>
        <w:t>CHSP p</w:t>
      </w:r>
      <w:r w:rsidR="0049464B">
        <w:t xml:space="preserve">roviders are </w:t>
      </w:r>
      <w:r w:rsidR="00395952">
        <w:t xml:space="preserve">responsible for </w:t>
      </w:r>
      <w:r w:rsidR="0049464B">
        <w:t xml:space="preserve">sustainably </w:t>
      </w:r>
      <w:r w:rsidR="00F352F5">
        <w:t>manag</w:t>
      </w:r>
      <w:r w:rsidR="00395952">
        <w:t>ing</w:t>
      </w:r>
      <w:r w:rsidR="0049464B">
        <w:t xml:space="preserve"> their service delivery and number of clients</w:t>
      </w:r>
      <w:r w:rsidR="00395952">
        <w:t>.</w:t>
      </w:r>
      <w:r w:rsidR="0049464B">
        <w:t xml:space="preserve"> </w:t>
      </w:r>
      <w:r>
        <w:t>CHSP p</w:t>
      </w:r>
      <w:r w:rsidR="0049464B">
        <w:t>roviders are contracted to deliver a specific number of outputs</w:t>
      </w:r>
      <w:r w:rsidR="00395952">
        <w:t xml:space="preserve">. </w:t>
      </w:r>
      <w:r w:rsidR="0049464B">
        <w:t>Compliance against the contract is taken seriously, however</w:t>
      </w:r>
      <w:r w:rsidR="00395952">
        <w:t>,</w:t>
      </w:r>
      <w:r w:rsidR="0049464B">
        <w:t xml:space="preserve"> </w:t>
      </w:r>
      <w:r w:rsidR="00395952">
        <w:t xml:space="preserve">Health </w:t>
      </w:r>
      <w:r w:rsidR="0049464B">
        <w:t xml:space="preserve">understands localised factors may </w:t>
      </w:r>
      <w:r>
        <w:t>affect</w:t>
      </w:r>
      <w:r w:rsidR="0049464B">
        <w:t xml:space="preserve"> the number of outputs a provider </w:t>
      </w:r>
      <w:r w:rsidR="00266D9D">
        <w:t xml:space="preserve">can </w:t>
      </w:r>
      <w:r w:rsidR="0049464B">
        <w:t>deliver.</w:t>
      </w:r>
      <w:r w:rsidR="00395952">
        <w:t xml:space="preserve"> That is, the prices being used for contracts are based on a nationally representative footprint, </w:t>
      </w:r>
      <w:r w:rsidR="00266D9D">
        <w:t xml:space="preserve">and </w:t>
      </w:r>
      <w:r w:rsidR="00395952">
        <w:t>not necessarily representative of a provider’s local footprint</w:t>
      </w:r>
      <w:r w:rsidR="001F4CEE">
        <w:t>.</w:t>
      </w:r>
    </w:p>
    <w:p w14:paraId="10753544" w14:textId="77777777" w:rsidR="00266D9D" w:rsidRDefault="00395952" w:rsidP="00A2264C">
      <w:pPr>
        <w:tabs>
          <w:tab w:val="left" w:pos="993"/>
        </w:tabs>
      </w:pPr>
      <w:r>
        <w:t xml:space="preserve">Compliance mechanisms will consider whether localised factors are an appropriate reason for under delivery against contracted outputs. This </w:t>
      </w:r>
      <w:r w:rsidR="00266D9D">
        <w:t xml:space="preserve">may </w:t>
      </w:r>
      <w:r>
        <w:t xml:space="preserve">include things </w:t>
      </w:r>
      <w:r w:rsidR="00266D9D">
        <w:t>such as:</w:t>
      </w:r>
    </w:p>
    <w:p w14:paraId="1F31A301" w14:textId="0CEAB142" w:rsidR="00266D9D" w:rsidRDefault="00395952" w:rsidP="00266D9D">
      <w:pPr>
        <w:pStyle w:val="ListParagraph"/>
        <w:numPr>
          <w:ilvl w:val="0"/>
          <w:numId w:val="43"/>
        </w:numPr>
        <w:tabs>
          <w:tab w:val="left" w:pos="993"/>
        </w:tabs>
      </w:pPr>
      <w:r>
        <w:t xml:space="preserve">higher recruitment/wage </w:t>
      </w:r>
      <w:proofErr w:type="gramStart"/>
      <w:r>
        <w:t>costs</w:t>
      </w:r>
      <w:r w:rsidR="00266D9D">
        <w:t>;</w:t>
      </w:r>
      <w:proofErr w:type="gramEnd"/>
    </w:p>
    <w:p w14:paraId="5DD1737B" w14:textId="229EDADD" w:rsidR="00266D9D" w:rsidRDefault="00395952" w:rsidP="00266D9D">
      <w:pPr>
        <w:pStyle w:val="ListParagraph"/>
        <w:numPr>
          <w:ilvl w:val="0"/>
          <w:numId w:val="43"/>
        </w:numPr>
        <w:tabs>
          <w:tab w:val="left" w:pos="993"/>
        </w:tabs>
      </w:pPr>
      <w:r>
        <w:t>atypical service delivery locations, such as proportionately lower service delivery in urban regions within an ACPR, compared to regional</w:t>
      </w:r>
      <w:r w:rsidR="00266D9D">
        <w:t>; and</w:t>
      </w:r>
    </w:p>
    <w:p w14:paraId="11299BBE" w14:textId="66969DF2" w:rsidR="00395952" w:rsidRDefault="00266D9D" w:rsidP="007B215B">
      <w:pPr>
        <w:pStyle w:val="ListParagraph"/>
        <w:numPr>
          <w:ilvl w:val="0"/>
          <w:numId w:val="43"/>
        </w:numPr>
        <w:tabs>
          <w:tab w:val="left" w:pos="993"/>
        </w:tabs>
      </w:pPr>
      <w:r>
        <w:t>o</w:t>
      </w:r>
      <w:r w:rsidR="00395952">
        <w:t>ther events, such as natural disasters and the COVID-19 pandemic.</w:t>
      </w:r>
    </w:p>
    <w:bookmarkEnd w:id="14"/>
    <w:p w14:paraId="653D0C8C" w14:textId="77777777" w:rsidR="006B4211" w:rsidRPr="00D5264A" w:rsidRDefault="006B4211" w:rsidP="00A2264C">
      <w:pPr>
        <w:tabs>
          <w:tab w:val="left" w:pos="993"/>
        </w:tabs>
        <w:rPr>
          <w:sz w:val="2"/>
          <w:szCs w:val="2"/>
        </w:rPr>
      </w:pPr>
    </w:p>
    <w:p w14:paraId="7217392A" w14:textId="62EC045D" w:rsidR="006B4211" w:rsidRPr="00A2264C" w:rsidRDefault="006B4211" w:rsidP="00A2264C">
      <w:pPr>
        <w:pStyle w:val="Heading2"/>
        <w:numPr>
          <w:ilvl w:val="0"/>
          <w:numId w:val="0"/>
        </w:numPr>
        <w:tabs>
          <w:tab w:val="left" w:pos="993"/>
        </w:tabs>
        <w:rPr>
          <w:sz w:val="26"/>
          <w:szCs w:val="26"/>
        </w:rPr>
      </w:pPr>
      <w:r w:rsidRPr="00A2264C">
        <w:rPr>
          <w:sz w:val="26"/>
          <w:szCs w:val="26"/>
        </w:rPr>
        <w:t xml:space="preserve">Cross-subsidisation </w:t>
      </w:r>
    </w:p>
    <w:p w14:paraId="71C48A0D" w14:textId="385883DC" w:rsidR="006B4211" w:rsidRDefault="006B4211" w:rsidP="00A2264C">
      <w:pPr>
        <w:pStyle w:val="Heading3"/>
        <w:tabs>
          <w:tab w:val="left" w:pos="426"/>
        </w:tabs>
        <w:ind w:left="0" w:firstLine="0"/>
      </w:pPr>
      <w:r>
        <w:t xml:space="preserve">Our organisation cross-subsidises </w:t>
      </w:r>
      <w:r w:rsidR="00D5264A">
        <w:t>to</w:t>
      </w:r>
      <w:r>
        <w:t xml:space="preserve"> deliver CHSP services, is this allowed?</w:t>
      </w:r>
    </w:p>
    <w:p w14:paraId="7E0B955D" w14:textId="51586996" w:rsidR="006B4211" w:rsidRDefault="00395952" w:rsidP="00AF3228">
      <w:pPr>
        <w:tabs>
          <w:tab w:val="left" w:pos="993"/>
        </w:tabs>
        <w:spacing w:before="0" w:after="160" w:line="256" w:lineRule="auto"/>
      </w:pPr>
      <w:r>
        <w:t xml:space="preserve">Health </w:t>
      </w:r>
      <w:r w:rsidR="006B4211">
        <w:t xml:space="preserve">recognises some </w:t>
      </w:r>
      <w:r w:rsidR="00266D9D">
        <w:t xml:space="preserve">CHSP </w:t>
      </w:r>
      <w:r w:rsidR="006B4211">
        <w:t xml:space="preserve">providers cross-subsidise </w:t>
      </w:r>
      <w:r w:rsidR="00757039">
        <w:t xml:space="preserve">(e.g. fundraising activities) </w:t>
      </w:r>
      <w:r w:rsidR="006B4211">
        <w:t xml:space="preserve">to supplement their CHSP funding. </w:t>
      </w:r>
      <w:r w:rsidR="00864232">
        <w:t>Whilst, this can continue, c</w:t>
      </w:r>
      <w:r w:rsidR="006B4211">
        <w:t xml:space="preserve">ross-subsidisation prevents </w:t>
      </w:r>
      <w:r>
        <w:t xml:space="preserve">Health </w:t>
      </w:r>
      <w:r w:rsidR="006B4211">
        <w:t xml:space="preserve">from understanding the true cost of service delivery. Therefore, future consultation will be required to assess the </w:t>
      </w:r>
      <w:r w:rsidR="00266D9D">
        <w:t xml:space="preserve">effects </w:t>
      </w:r>
      <w:r w:rsidR="006B4211">
        <w:t>of cross subsidisation on unit prices</w:t>
      </w:r>
      <w:r w:rsidR="00266D9D">
        <w:t xml:space="preserve">. These consultations will help to </w:t>
      </w:r>
      <w:r w:rsidR="006B4211">
        <w:t xml:space="preserve">inform the </w:t>
      </w:r>
      <w:r w:rsidR="00266D9D">
        <w:t>future</w:t>
      </w:r>
      <w:r w:rsidR="006B4211">
        <w:t xml:space="preserve"> Support at Home Program. </w:t>
      </w:r>
    </w:p>
    <w:p w14:paraId="099BBA72" w14:textId="3ACD33D1" w:rsidR="00086BA8" w:rsidRPr="00A2264C" w:rsidRDefault="00086BA8" w:rsidP="00A2264C">
      <w:pPr>
        <w:pStyle w:val="Heading2"/>
        <w:numPr>
          <w:ilvl w:val="0"/>
          <w:numId w:val="0"/>
        </w:numPr>
        <w:tabs>
          <w:tab w:val="left" w:pos="993"/>
        </w:tabs>
        <w:rPr>
          <w:sz w:val="26"/>
          <w:szCs w:val="26"/>
        </w:rPr>
      </w:pPr>
      <w:r w:rsidRPr="00A2264C">
        <w:rPr>
          <w:sz w:val="26"/>
          <w:szCs w:val="26"/>
        </w:rPr>
        <w:lastRenderedPageBreak/>
        <w:t xml:space="preserve">Service delivery and outputs </w:t>
      </w:r>
    </w:p>
    <w:p w14:paraId="76E318EB" w14:textId="776C8767" w:rsidR="0092359E" w:rsidRDefault="0092359E" w:rsidP="00A2264C">
      <w:pPr>
        <w:pStyle w:val="Heading3"/>
        <w:tabs>
          <w:tab w:val="left" w:pos="426"/>
        </w:tabs>
        <w:ind w:left="0" w:firstLine="0"/>
      </w:pPr>
      <w:r>
        <w:t xml:space="preserve">What will happen to </w:t>
      </w:r>
      <w:r w:rsidR="00B5671E">
        <w:t xml:space="preserve">CHSP </w:t>
      </w:r>
      <w:r>
        <w:t xml:space="preserve">providers </w:t>
      </w:r>
      <w:r w:rsidR="00B5671E">
        <w:t xml:space="preserve">where there are </w:t>
      </w:r>
      <w:r>
        <w:t>peaks and troughs in service delivery across months?</w:t>
      </w:r>
    </w:p>
    <w:p w14:paraId="2B7E30A2" w14:textId="1DDDF457" w:rsidR="00594757" w:rsidRDefault="0092359E" w:rsidP="00A2264C">
      <w:pPr>
        <w:tabs>
          <w:tab w:val="left" w:pos="993"/>
        </w:tabs>
        <w:rPr>
          <w:szCs w:val="22"/>
        </w:rPr>
      </w:pPr>
      <w:r>
        <w:t xml:space="preserve">Under the 2022-23 CHSP extension all </w:t>
      </w:r>
      <w:r w:rsidR="00266D9D">
        <w:t xml:space="preserve">CHSP </w:t>
      </w:r>
      <w:r>
        <w:t xml:space="preserve">providers will </w:t>
      </w:r>
      <w:r w:rsidR="00266D9D">
        <w:t>keep</w:t>
      </w:r>
      <w:r>
        <w:t xml:space="preserve"> grant agreements with a fixed funding amount based on price and outputs, </w:t>
      </w:r>
      <w:proofErr w:type="gramStart"/>
      <w:r>
        <w:t>similar to</w:t>
      </w:r>
      <w:proofErr w:type="gramEnd"/>
      <w:r>
        <w:t xml:space="preserve"> current arrangements. This means all CHSP providers will transition from upfront quarterly payments to </w:t>
      </w:r>
      <w:r w:rsidR="00B5671E" w:rsidRPr="004C270A">
        <w:t xml:space="preserve">fixed monthly payments in </w:t>
      </w:r>
      <w:r w:rsidR="00B5671E" w:rsidRPr="004C270A">
        <w:rPr>
          <w:szCs w:val="22"/>
        </w:rPr>
        <w:t>arrears</w:t>
      </w:r>
      <w:r w:rsidR="00594757">
        <w:rPr>
          <w:szCs w:val="22"/>
        </w:rPr>
        <w:t>.</w:t>
      </w:r>
    </w:p>
    <w:p w14:paraId="42AA446F" w14:textId="5AD74D12" w:rsidR="00B5671E" w:rsidRDefault="00594757" w:rsidP="00A2264C">
      <w:pPr>
        <w:tabs>
          <w:tab w:val="left" w:pos="993"/>
        </w:tabs>
        <w:rPr>
          <w:szCs w:val="22"/>
        </w:rPr>
      </w:pPr>
      <w:r>
        <w:rPr>
          <w:szCs w:val="22"/>
        </w:rPr>
        <w:t xml:space="preserve">This monthly payment in arrears will be </w:t>
      </w:r>
      <w:r w:rsidR="00B5671E" w:rsidRPr="004C270A">
        <w:rPr>
          <w:szCs w:val="22"/>
        </w:rPr>
        <w:t xml:space="preserve">the total value of their grant agreement divided by twelve. </w:t>
      </w:r>
      <w:r>
        <w:rPr>
          <w:szCs w:val="22"/>
        </w:rPr>
        <w:t>P</w:t>
      </w:r>
      <w:r w:rsidR="00B5671E" w:rsidRPr="004C270A">
        <w:rPr>
          <w:szCs w:val="22"/>
        </w:rPr>
        <w:t>ayment</w:t>
      </w:r>
      <w:r>
        <w:rPr>
          <w:szCs w:val="22"/>
        </w:rPr>
        <w:t>s</w:t>
      </w:r>
      <w:r w:rsidR="00B5671E" w:rsidRPr="004C270A">
        <w:rPr>
          <w:szCs w:val="22"/>
        </w:rPr>
        <w:t xml:space="preserve"> </w:t>
      </w:r>
      <w:r>
        <w:rPr>
          <w:szCs w:val="22"/>
        </w:rPr>
        <w:t>are</w:t>
      </w:r>
      <w:r w:rsidR="00B5671E" w:rsidRPr="004C270A">
        <w:rPr>
          <w:szCs w:val="22"/>
        </w:rPr>
        <w:t xml:space="preserve"> made automatically and will be released </w:t>
      </w:r>
      <w:proofErr w:type="gramStart"/>
      <w:r w:rsidR="00B5671E" w:rsidRPr="004C270A">
        <w:rPr>
          <w:szCs w:val="22"/>
        </w:rPr>
        <w:t>as long as</w:t>
      </w:r>
      <w:proofErr w:type="gramEnd"/>
      <w:r w:rsidR="00B5671E" w:rsidRPr="004C270A">
        <w:rPr>
          <w:szCs w:val="22"/>
        </w:rPr>
        <w:t xml:space="preserve"> the </w:t>
      </w:r>
      <w:r w:rsidR="001C2655">
        <w:rPr>
          <w:szCs w:val="22"/>
        </w:rPr>
        <w:t xml:space="preserve">CHSP </w:t>
      </w:r>
      <w:r w:rsidR="00B5671E" w:rsidRPr="004C270A">
        <w:rPr>
          <w:szCs w:val="22"/>
        </w:rPr>
        <w:t xml:space="preserve">provider is up to date with their monthly performance reporting through DEX. </w:t>
      </w:r>
    </w:p>
    <w:p w14:paraId="2FC60756" w14:textId="5FE54F58" w:rsidR="00B5671E" w:rsidRDefault="00B5671E" w:rsidP="00A2264C">
      <w:pPr>
        <w:tabs>
          <w:tab w:val="left" w:pos="993"/>
        </w:tabs>
        <w:rPr>
          <w:szCs w:val="22"/>
        </w:rPr>
      </w:pPr>
      <w:r>
        <w:rPr>
          <w:szCs w:val="22"/>
        </w:rPr>
        <w:t xml:space="preserve">Health understands that under delivery in a particular month does not mean a provider is under </w:t>
      </w:r>
      <w:proofErr w:type="gramStart"/>
      <w:r>
        <w:rPr>
          <w:szCs w:val="22"/>
        </w:rPr>
        <w:t xml:space="preserve">delivering </w:t>
      </w:r>
      <w:r w:rsidR="00594757">
        <w:rPr>
          <w:szCs w:val="22"/>
        </w:rPr>
        <w:t>as a whole</w:t>
      </w:r>
      <w:proofErr w:type="gramEnd"/>
      <w:r>
        <w:rPr>
          <w:szCs w:val="22"/>
        </w:rPr>
        <w:t xml:space="preserve">. </w:t>
      </w:r>
    </w:p>
    <w:p w14:paraId="66D90224" w14:textId="59F3DC9A" w:rsidR="00864232" w:rsidRDefault="00864232" w:rsidP="00A2264C">
      <w:pPr>
        <w:tabs>
          <w:tab w:val="left" w:pos="993"/>
        </w:tabs>
        <w:rPr>
          <w:szCs w:val="22"/>
        </w:rPr>
      </w:pPr>
      <w:r>
        <w:rPr>
          <w:szCs w:val="22"/>
        </w:rPr>
        <w:t>CHSP providers can</w:t>
      </w:r>
      <w:r w:rsidRPr="00333454">
        <w:rPr>
          <w:szCs w:val="22"/>
        </w:rPr>
        <w:t xml:space="preserve"> </w:t>
      </w:r>
      <w:r w:rsidR="00711DA7">
        <w:rPr>
          <w:szCs w:val="22"/>
        </w:rPr>
        <w:t xml:space="preserve">utilise </w:t>
      </w:r>
      <w:r>
        <w:rPr>
          <w:szCs w:val="22"/>
        </w:rPr>
        <w:t xml:space="preserve">unspent </w:t>
      </w:r>
      <w:r w:rsidRPr="00333454">
        <w:rPr>
          <w:szCs w:val="22"/>
        </w:rPr>
        <w:t xml:space="preserve">funds </w:t>
      </w:r>
      <w:r>
        <w:rPr>
          <w:szCs w:val="22"/>
        </w:rPr>
        <w:t xml:space="preserve">from the previous month </w:t>
      </w:r>
      <w:r w:rsidRPr="00333454">
        <w:rPr>
          <w:szCs w:val="22"/>
        </w:rPr>
        <w:t>allow</w:t>
      </w:r>
      <w:r w:rsidR="00D63046">
        <w:rPr>
          <w:szCs w:val="22"/>
        </w:rPr>
        <w:t>ing</w:t>
      </w:r>
      <w:r w:rsidRPr="00333454">
        <w:rPr>
          <w:szCs w:val="22"/>
        </w:rPr>
        <w:t xml:space="preserve"> for flexibility in service provision</w:t>
      </w:r>
      <w:r>
        <w:rPr>
          <w:szCs w:val="22"/>
        </w:rPr>
        <w:t>.</w:t>
      </w:r>
      <w:r w:rsidR="00D63046" w:rsidRPr="00D63046">
        <w:rPr>
          <w:szCs w:val="22"/>
        </w:rPr>
        <w:t xml:space="preserve"> </w:t>
      </w:r>
      <w:r w:rsidR="00D63046">
        <w:rPr>
          <w:szCs w:val="22"/>
        </w:rPr>
        <w:t xml:space="preserve">If, however, a trend of under delivery presents over a length of time, the </w:t>
      </w:r>
      <w:r w:rsidR="00D63046" w:rsidRPr="00A62737">
        <w:rPr>
          <w:szCs w:val="22"/>
        </w:rPr>
        <w:t>CGH</w:t>
      </w:r>
      <w:r w:rsidR="00D63046">
        <w:rPr>
          <w:szCs w:val="22"/>
        </w:rPr>
        <w:t xml:space="preserve"> will work with them to review and understand these matters.</w:t>
      </w:r>
    </w:p>
    <w:p w14:paraId="20C09F96" w14:textId="77777777" w:rsidR="00022F83" w:rsidRPr="00672D88" w:rsidRDefault="00022F83" w:rsidP="001F4CEE">
      <w:pPr>
        <w:tabs>
          <w:tab w:val="left" w:pos="993"/>
        </w:tabs>
        <w:spacing w:before="0" w:after="0"/>
        <w:rPr>
          <w:sz w:val="2"/>
          <w:szCs w:val="2"/>
        </w:rPr>
      </w:pPr>
    </w:p>
    <w:p w14:paraId="18B705BA" w14:textId="77777777" w:rsidR="00022F83" w:rsidRPr="009F5A7B" w:rsidRDefault="00022F83" w:rsidP="00A2264C">
      <w:pPr>
        <w:pStyle w:val="Heading3"/>
        <w:tabs>
          <w:tab w:val="left" w:pos="426"/>
        </w:tabs>
        <w:ind w:left="0" w:firstLine="0"/>
      </w:pPr>
      <w:r w:rsidRPr="00C63E6E">
        <w:t xml:space="preserve">Will there </w:t>
      </w:r>
      <w:r>
        <w:t xml:space="preserve">be scope </w:t>
      </w:r>
      <w:r w:rsidRPr="00C63E6E">
        <w:t>to negotiate service delivery into another ACPR?</w:t>
      </w:r>
    </w:p>
    <w:p w14:paraId="40976B4E" w14:textId="5F81BAA4" w:rsidR="00022F83" w:rsidRDefault="00022F83" w:rsidP="00AF736D">
      <w:pPr>
        <w:tabs>
          <w:tab w:val="left" w:pos="993"/>
        </w:tabs>
      </w:pPr>
      <w:r w:rsidRPr="003530CA">
        <w:t>No</w:t>
      </w:r>
      <w:r w:rsidR="001C2655">
        <w:t>.</w:t>
      </w:r>
      <w:r w:rsidRPr="003530CA">
        <w:t xml:space="preserve"> CHSP providers cannot </w:t>
      </w:r>
      <w:r>
        <w:t xml:space="preserve">move funds to </w:t>
      </w:r>
      <w:r w:rsidRPr="003530CA">
        <w:t xml:space="preserve">deliver services in ACPRs </w:t>
      </w:r>
      <w:r w:rsidR="001F4CEE">
        <w:t xml:space="preserve">which </w:t>
      </w:r>
      <w:r w:rsidRPr="003530CA">
        <w:t>they are not already funded to deliver in. However,</w:t>
      </w:r>
      <w:r w:rsidR="00864232">
        <w:t xml:space="preserve"> </w:t>
      </w:r>
      <w:r w:rsidR="00D63046">
        <w:t xml:space="preserve">the </w:t>
      </w:r>
      <w:r w:rsidR="00864232">
        <w:t>100%</w:t>
      </w:r>
      <w:r w:rsidRPr="003530CA">
        <w:t xml:space="preserve"> flexibility provisions will be retained for the 2022-23 CHSP extension. Under</w:t>
      </w:r>
      <w:r w:rsidR="00D63046">
        <w:t xml:space="preserve"> these</w:t>
      </w:r>
      <w:r w:rsidRPr="003530CA">
        <w:t xml:space="preserve"> flexibility provisions</w:t>
      </w:r>
      <w:r w:rsidR="001C2655">
        <w:t>,</w:t>
      </w:r>
      <w:r w:rsidRPr="003530CA">
        <w:t xml:space="preserve"> all CHSP service providers will have full flexibility to move grant funds between their funded service types and ACPRs</w:t>
      </w:r>
      <w:r w:rsidR="001C2655">
        <w:t>. This allows CHSP providers</w:t>
      </w:r>
      <w:r w:rsidRPr="003530CA">
        <w:t xml:space="preserve"> to better meet community demand pressures.</w:t>
      </w:r>
    </w:p>
    <w:p w14:paraId="0609C4DD" w14:textId="1322CB16" w:rsidR="001C2655" w:rsidRDefault="001C2655" w:rsidP="00AF736D">
      <w:pPr>
        <w:tabs>
          <w:tab w:val="left" w:pos="993"/>
        </w:tabs>
      </w:pPr>
      <w:r>
        <w:t>More information on flexibility provisions is available in the CHSP flexibility provisions fact sheet.</w:t>
      </w:r>
    </w:p>
    <w:p w14:paraId="2C5DA749" w14:textId="5756D433" w:rsidR="00B5671E" w:rsidRPr="00AF736D" w:rsidRDefault="00B5671E" w:rsidP="00A2264C">
      <w:pPr>
        <w:tabs>
          <w:tab w:val="left" w:pos="993"/>
        </w:tabs>
        <w:rPr>
          <w:sz w:val="2"/>
          <w:szCs w:val="2"/>
        </w:rPr>
      </w:pPr>
    </w:p>
    <w:p w14:paraId="0D23F8C6" w14:textId="5F0FE92C" w:rsidR="00D0051D" w:rsidRDefault="00D0051D" w:rsidP="00A2264C">
      <w:pPr>
        <w:pStyle w:val="Heading3"/>
        <w:tabs>
          <w:tab w:val="left" w:pos="426"/>
        </w:tabs>
        <w:ind w:left="0" w:firstLine="0"/>
      </w:pPr>
      <w:r>
        <w:t>What will happen if a provider overdelivers on outputs?</w:t>
      </w:r>
    </w:p>
    <w:p w14:paraId="59F152E2" w14:textId="5A3DCCE2" w:rsidR="00137E1D" w:rsidRDefault="0092359E" w:rsidP="00A2264C">
      <w:pPr>
        <w:tabs>
          <w:tab w:val="left" w:pos="993"/>
        </w:tabs>
      </w:pPr>
      <w:r>
        <w:t>CHSP providers are funded to deliver the number of outputs as outlined in</w:t>
      </w:r>
      <w:r w:rsidR="00B5671E">
        <w:t xml:space="preserve"> their</w:t>
      </w:r>
      <w:r>
        <w:t xml:space="preserve"> grant agreement.</w:t>
      </w:r>
      <w:r w:rsidR="00D0051D">
        <w:t xml:space="preserve"> </w:t>
      </w:r>
      <w:r w:rsidR="00B5671E" w:rsidRPr="004C270A">
        <w:t xml:space="preserve">If </w:t>
      </w:r>
      <w:r w:rsidR="00B5671E">
        <w:t>a</w:t>
      </w:r>
      <w:r w:rsidR="00B5671E" w:rsidRPr="004C270A">
        <w:t xml:space="preserve"> CHSP provider exceeds their contractual outputs they will not receive </w:t>
      </w:r>
      <w:r w:rsidR="001C2655">
        <w:t>extra</w:t>
      </w:r>
      <w:r w:rsidR="00B5671E" w:rsidRPr="004C270A">
        <w:t xml:space="preserve"> funding.</w:t>
      </w:r>
      <w:r w:rsidR="00B5671E">
        <w:t xml:space="preserve"> </w:t>
      </w:r>
    </w:p>
    <w:p w14:paraId="75A0B832" w14:textId="387BC007" w:rsidR="00B5671E" w:rsidRPr="0053303D" w:rsidRDefault="00864232" w:rsidP="00A2264C">
      <w:pPr>
        <w:tabs>
          <w:tab w:val="left" w:pos="993"/>
        </w:tabs>
      </w:pPr>
      <w:r>
        <w:t xml:space="preserve">If </w:t>
      </w:r>
      <w:r w:rsidR="005D3A8A">
        <w:t>over delivery</w:t>
      </w:r>
      <w:r w:rsidR="00137E1D">
        <w:t xml:space="preserve"> </w:t>
      </w:r>
      <w:r>
        <w:t xml:space="preserve">is a continuing trend, </w:t>
      </w:r>
      <w:r w:rsidR="00137E1D">
        <w:t xml:space="preserve">CHSP </w:t>
      </w:r>
      <w:r>
        <w:t xml:space="preserve">providers should contact the </w:t>
      </w:r>
      <w:r w:rsidR="00137E1D">
        <w:t>CGH</w:t>
      </w:r>
      <w:r>
        <w:t xml:space="preserve"> so they can work with the provider to review and understand these matters.</w:t>
      </w:r>
    </w:p>
    <w:p w14:paraId="02D0F6A3" w14:textId="77777777" w:rsidR="007C649F" w:rsidRPr="00AF736D" w:rsidRDefault="007C649F" w:rsidP="00A2264C">
      <w:pPr>
        <w:tabs>
          <w:tab w:val="left" w:pos="993"/>
        </w:tabs>
        <w:rPr>
          <w:sz w:val="2"/>
          <w:szCs w:val="2"/>
        </w:rPr>
      </w:pPr>
    </w:p>
    <w:p w14:paraId="3BCE845B" w14:textId="55163B2E" w:rsidR="00D0051D" w:rsidRDefault="00B5671E" w:rsidP="00A2264C">
      <w:pPr>
        <w:pStyle w:val="Heading3"/>
        <w:tabs>
          <w:tab w:val="left" w:pos="426"/>
        </w:tabs>
        <w:ind w:left="0" w:firstLine="0"/>
      </w:pPr>
      <w:r>
        <w:t xml:space="preserve">If a CHSP provider </w:t>
      </w:r>
      <w:r w:rsidR="00083B09">
        <w:t>has been under delivering for a prolonged period, w</w:t>
      </w:r>
      <w:r w:rsidR="00D0051D" w:rsidRPr="00D42FDC">
        <w:t xml:space="preserve">ill </w:t>
      </w:r>
      <w:r w:rsidR="00083B09">
        <w:t>their grant agreement be reviewed</w:t>
      </w:r>
      <w:r w:rsidR="00B1666F">
        <w:t>?</w:t>
      </w:r>
    </w:p>
    <w:p w14:paraId="0E032449" w14:textId="5DC9CCB4" w:rsidR="00083B09" w:rsidRDefault="00D0051D" w:rsidP="00A2264C">
      <w:pPr>
        <w:tabs>
          <w:tab w:val="left" w:pos="993"/>
        </w:tabs>
        <w:rPr>
          <w:szCs w:val="22"/>
        </w:rPr>
      </w:pPr>
      <w:r>
        <w:rPr>
          <w:szCs w:val="22"/>
        </w:rPr>
        <w:t>Yes</w:t>
      </w:r>
      <w:r w:rsidR="00083B09">
        <w:rPr>
          <w:szCs w:val="22"/>
        </w:rPr>
        <w:t xml:space="preserve">. If a CHSP </w:t>
      </w:r>
      <w:r>
        <w:t>provider</w:t>
      </w:r>
      <w:r w:rsidR="00083B09">
        <w:t xml:space="preserve"> shows a </w:t>
      </w:r>
      <w:r w:rsidR="00083B09">
        <w:rPr>
          <w:szCs w:val="22"/>
        </w:rPr>
        <w:t xml:space="preserve">trend of under delivery over a length of time, the </w:t>
      </w:r>
      <w:r w:rsidR="00324531" w:rsidRPr="00A62737">
        <w:rPr>
          <w:szCs w:val="22"/>
        </w:rPr>
        <w:t>CGH</w:t>
      </w:r>
      <w:r w:rsidR="00083B09">
        <w:rPr>
          <w:szCs w:val="22"/>
        </w:rPr>
        <w:t xml:space="preserve"> will work with the provider to review and understand these matters. </w:t>
      </w:r>
    </w:p>
    <w:p w14:paraId="1799D3B8" w14:textId="750BA949" w:rsidR="00D0051D" w:rsidRDefault="001C2655" w:rsidP="00A2264C">
      <w:pPr>
        <w:tabs>
          <w:tab w:val="left" w:pos="993"/>
        </w:tabs>
      </w:pPr>
      <w:r>
        <w:t xml:space="preserve">In some </w:t>
      </w:r>
      <w:r w:rsidR="005D3A8A">
        <w:t>cases,</w:t>
      </w:r>
      <w:r>
        <w:t xml:space="preserve"> it may be necessary for a</w:t>
      </w:r>
      <w:r w:rsidR="00083B09">
        <w:t xml:space="preserve"> CHSP provider’s grant agreement </w:t>
      </w:r>
      <w:r>
        <w:t>to</w:t>
      </w:r>
      <w:r w:rsidR="00083B09">
        <w:t xml:space="preserve"> be amended</w:t>
      </w:r>
      <w:r>
        <w:t>.</w:t>
      </w:r>
      <w:r w:rsidR="00083B09">
        <w:t xml:space="preserve"> </w:t>
      </w:r>
      <w:r>
        <w:t xml:space="preserve">This may include </w:t>
      </w:r>
      <w:r w:rsidR="005536B5">
        <w:t xml:space="preserve">reducing </w:t>
      </w:r>
      <w:r w:rsidR="00083B09">
        <w:t xml:space="preserve">outputs to an appropriate level to better align with the CHSP providers ability to meet </w:t>
      </w:r>
      <w:r>
        <w:t xml:space="preserve">agreed </w:t>
      </w:r>
      <w:r w:rsidR="00083B09">
        <w:t>outputs.</w:t>
      </w:r>
    </w:p>
    <w:p w14:paraId="62D782DB" w14:textId="2FB536A1" w:rsidR="007C649F" w:rsidRPr="00AF736D" w:rsidRDefault="007C649F" w:rsidP="00A2264C">
      <w:pPr>
        <w:tabs>
          <w:tab w:val="left" w:pos="993"/>
        </w:tabs>
        <w:rPr>
          <w:sz w:val="2"/>
          <w:szCs w:val="2"/>
        </w:rPr>
      </w:pPr>
    </w:p>
    <w:p w14:paraId="13775DE9" w14:textId="7FC8D683" w:rsidR="001A6A45" w:rsidRDefault="001A6A45" w:rsidP="00A2264C">
      <w:pPr>
        <w:pStyle w:val="Heading3"/>
        <w:tabs>
          <w:tab w:val="left" w:pos="364"/>
        </w:tabs>
        <w:ind w:left="0" w:firstLine="0"/>
      </w:pPr>
      <w:r w:rsidRPr="00537C04">
        <w:t>There are recruitment challenges</w:t>
      </w:r>
      <w:r>
        <w:t xml:space="preserve"> and COVID-19 factors affecting our organisation. Will these </w:t>
      </w:r>
      <w:r w:rsidR="007E3381">
        <w:t xml:space="preserve">factors </w:t>
      </w:r>
      <w:r>
        <w:t xml:space="preserve">be </w:t>
      </w:r>
      <w:r w:rsidRPr="00537C04">
        <w:t>consider</w:t>
      </w:r>
      <w:r w:rsidR="007E3381">
        <w:t>ed</w:t>
      </w:r>
      <w:r w:rsidRPr="00537C04">
        <w:t xml:space="preserve"> </w:t>
      </w:r>
      <w:r>
        <w:t>if we cannot</w:t>
      </w:r>
      <w:r w:rsidRPr="00537C04">
        <w:t xml:space="preserve"> meet target</w:t>
      </w:r>
      <w:r>
        <w:t>ed outputs</w:t>
      </w:r>
      <w:r w:rsidRPr="00537C04">
        <w:t>?</w:t>
      </w:r>
    </w:p>
    <w:p w14:paraId="0BED0978" w14:textId="4770E99F" w:rsidR="00225254" w:rsidRDefault="005D3A8A" w:rsidP="00F95B4D">
      <w:pPr>
        <w:tabs>
          <w:tab w:val="left" w:pos="993"/>
        </w:tabs>
      </w:pPr>
      <w:r>
        <w:t>Yes,</w:t>
      </w:r>
      <w:r w:rsidR="00225254">
        <w:t xml:space="preserve"> these factors will be considered when reviewing the performance of an organisation to meet targeted outputs. </w:t>
      </w:r>
    </w:p>
    <w:p w14:paraId="35FC03C1" w14:textId="2685E612" w:rsidR="00F95B4D" w:rsidRDefault="007E3381" w:rsidP="00F95B4D">
      <w:pPr>
        <w:tabs>
          <w:tab w:val="left" w:pos="993"/>
        </w:tabs>
      </w:pPr>
      <w:r>
        <w:t>CHSP p</w:t>
      </w:r>
      <w:r w:rsidR="009D137F">
        <w:t xml:space="preserve">roviders are responsible for sustainably managing their service delivery and number of clients. </w:t>
      </w:r>
      <w:r w:rsidDel="003E28FF">
        <w:t>CHSP p</w:t>
      </w:r>
      <w:r w:rsidR="009D137F" w:rsidDel="003E28FF">
        <w:t xml:space="preserve">roviders are contracted to deliver a specific number of outputs. </w:t>
      </w:r>
      <w:r w:rsidR="009D137F">
        <w:t xml:space="preserve">Compliance against the contract is taken seriously, however, </w:t>
      </w:r>
      <w:r w:rsidR="00F95B4D">
        <w:t xml:space="preserve">Health understands localised factors may affect the number of outputs a provider can deliver, including the impacts of COVID-19. That is, the prices being used for contracts are based on a nationally representative footprint, and not necessarily representative </w:t>
      </w:r>
      <w:r w:rsidR="00F95B4D">
        <w:lastRenderedPageBreak/>
        <w:t>of a provider’s local footprint. Please read Question and Answer 34 for more detail around service delivery as outlined in the grant agreement.</w:t>
      </w:r>
    </w:p>
    <w:p w14:paraId="79FDC294" w14:textId="437104DB" w:rsidR="00F95B4D" w:rsidRDefault="00F95B4D" w:rsidP="00F95B4D">
      <w:pPr>
        <w:tabs>
          <w:tab w:val="left" w:pos="993"/>
        </w:tabs>
      </w:pPr>
      <w:r>
        <w:t>In addition, the Australian Government provided additional funding to CHSP service providers during COVID-19. More information about COVID-19 emergency funding is available on the Health website</w:t>
      </w:r>
      <w:r w:rsidR="00AB0030">
        <w:t>.</w:t>
      </w:r>
    </w:p>
    <w:p w14:paraId="66142ADD" w14:textId="77777777" w:rsidR="008E5909" w:rsidRPr="00BE50F3" w:rsidRDefault="008E5909" w:rsidP="00A2264C">
      <w:pPr>
        <w:tabs>
          <w:tab w:val="left" w:pos="993"/>
        </w:tabs>
        <w:rPr>
          <w:sz w:val="2"/>
          <w:szCs w:val="2"/>
        </w:rPr>
      </w:pPr>
    </w:p>
    <w:p w14:paraId="12A48E3C" w14:textId="693EDC4D" w:rsidR="00086BA8" w:rsidRPr="00A2264C" w:rsidRDefault="00086BA8" w:rsidP="00A2264C">
      <w:pPr>
        <w:pStyle w:val="Heading2"/>
        <w:numPr>
          <w:ilvl w:val="0"/>
          <w:numId w:val="0"/>
        </w:numPr>
        <w:tabs>
          <w:tab w:val="left" w:pos="993"/>
        </w:tabs>
        <w:rPr>
          <w:sz w:val="26"/>
          <w:szCs w:val="26"/>
        </w:rPr>
      </w:pPr>
      <w:r w:rsidRPr="00A2264C">
        <w:rPr>
          <w:sz w:val="26"/>
          <w:szCs w:val="26"/>
        </w:rPr>
        <w:t>MM</w:t>
      </w:r>
      <w:r w:rsidR="0049464B" w:rsidRPr="00A2264C">
        <w:rPr>
          <w:sz w:val="26"/>
          <w:szCs w:val="26"/>
        </w:rPr>
        <w:t>M</w:t>
      </w:r>
      <w:r w:rsidRPr="00A2264C">
        <w:rPr>
          <w:sz w:val="26"/>
          <w:szCs w:val="26"/>
        </w:rPr>
        <w:t xml:space="preserve"> loading </w:t>
      </w:r>
    </w:p>
    <w:p w14:paraId="5EBDFC45" w14:textId="464A4117" w:rsidR="009D137F" w:rsidRDefault="009D137F" w:rsidP="00A2264C">
      <w:pPr>
        <w:pStyle w:val="Heading3"/>
        <w:tabs>
          <w:tab w:val="left" w:pos="426"/>
        </w:tabs>
        <w:ind w:left="0" w:firstLine="0"/>
      </w:pPr>
      <w:r>
        <w:t xml:space="preserve">Are there eligibility requirements that must be met to apply for </w:t>
      </w:r>
      <w:r w:rsidR="00AF736D">
        <w:t>the</w:t>
      </w:r>
      <w:r>
        <w:t xml:space="preserve"> MMM loading?</w:t>
      </w:r>
    </w:p>
    <w:p w14:paraId="5131A83E" w14:textId="5E5BA33E" w:rsidR="00324531" w:rsidRPr="00AF736D" w:rsidRDefault="009D137F" w:rsidP="00A2264C">
      <w:pPr>
        <w:tabs>
          <w:tab w:val="left" w:pos="993"/>
        </w:tabs>
        <w:rPr>
          <w:sz w:val="2"/>
          <w:szCs w:val="2"/>
        </w:rPr>
      </w:pPr>
      <w:r>
        <w:t xml:space="preserve">Yes. To be eligible to apply for </w:t>
      </w:r>
      <w:r w:rsidR="00AF736D">
        <w:t>the</w:t>
      </w:r>
      <w:r>
        <w:t xml:space="preserve"> MMM loading to </w:t>
      </w:r>
      <w:r w:rsidR="005E7661">
        <w:t>CHSP</w:t>
      </w:r>
      <w:r>
        <w:t xml:space="preserve"> unit price</w:t>
      </w:r>
      <w:r w:rsidR="005E7661">
        <w:t>s</w:t>
      </w:r>
      <w:r>
        <w:t xml:space="preserve"> a CHSP provider must deliver </w:t>
      </w:r>
      <w:proofErr w:type="gramStart"/>
      <w:r>
        <w:t>the majority of</w:t>
      </w:r>
      <w:proofErr w:type="gramEnd"/>
      <w:r>
        <w:t xml:space="preserve"> </w:t>
      </w:r>
      <w:r w:rsidR="005E7661">
        <w:t xml:space="preserve">their </w:t>
      </w:r>
      <w:r>
        <w:t>services (51% or more) in MMM 6 or 7 regions.</w:t>
      </w:r>
    </w:p>
    <w:p w14:paraId="5051C019" w14:textId="281990EC" w:rsidR="006B6902" w:rsidRDefault="006B6902" w:rsidP="00A2264C">
      <w:pPr>
        <w:pStyle w:val="Heading3"/>
        <w:tabs>
          <w:tab w:val="left" w:pos="426"/>
        </w:tabs>
        <w:ind w:left="0" w:firstLine="0"/>
      </w:pPr>
      <w:r>
        <w:t>How will the MM</w:t>
      </w:r>
      <w:r w:rsidR="00572625">
        <w:t>M</w:t>
      </w:r>
      <w:r>
        <w:t xml:space="preserve"> loading be applied?</w:t>
      </w:r>
    </w:p>
    <w:p w14:paraId="73015C43" w14:textId="5C6126C5" w:rsidR="00572625" w:rsidRDefault="00AF736D" w:rsidP="00AF3228">
      <w:pPr>
        <w:tabs>
          <w:tab w:val="left" w:pos="993"/>
        </w:tabs>
      </w:pPr>
      <w:r>
        <w:t>The CGH and CHSP provider will work together to de</w:t>
      </w:r>
      <w:r w:rsidR="0095366E">
        <w:t>cide</w:t>
      </w:r>
      <w:r>
        <w:t xml:space="preserve"> which loading best matches the </w:t>
      </w:r>
      <w:r w:rsidR="0095366E">
        <w:t xml:space="preserve">CHSP </w:t>
      </w:r>
      <w:r>
        <w:t xml:space="preserve">provider’s service delivery. </w:t>
      </w:r>
      <w:r w:rsidR="00C51F4D">
        <w:t xml:space="preserve">Once determined, the loading </w:t>
      </w:r>
      <w:r w:rsidR="00AC17B5">
        <w:t xml:space="preserve">will be applied </w:t>
      </w:r>
      <w:r w:rsidR="005E7661">
        <w:t xml:space="preserve">at </w:t>
      </w:r>
      <w:r w:rsidR="00AC17B5">
        <w:t xml:space="preserve">the </w:t>
      </w:r>
      <w:r w:rsidR="00AC17B5" w:rsidRPr="00085AAE">
        <w:t>ACPR</w:t>
      </w:r>
      <w:r w:rsidR="00AC17B5">
        <w:t xml:space="preserve"> level</w:t>
      </w:r>
      <w:r w:rsidR="00C51F4D">
        <w:t xml:space="preserve"> where the </w:t>
      </w:r>
      <w:r w:rsidR="0095366E">
        <w:t xml:space="preserve">CHSP </w:t>
      </w:r>
      <w:r w:rsidR="00C51F4D">
        <w:t>provider delivers their</w:t>
      </w:r>
      <w:r w:rsidR="007C10C5">
        <w:t xml:space="preserve"> MMM 6 or 7</w:t>
      </w:r>
      <w:r w:rsidR="00C51F4D">
        <w:t xml:space="preserve"> services</w:t>
      </w:r>
      <w:r w:rsidR="00AC17B5">
        <w:t>. A</w:t>
      </w:r>
      <w:r w:rsidR="00AC17B5" w:rsidRPr="00085AAE">
        <w:t xml:space="preserve">n amount of outputs across that ACPR </w:t>
      </w:r>
      <w:r w:rsidR="00AC17B5">
        <w:t>will be</w:t>
      </w:r>
      <w:r w:rsidR="00AC17B5" w:rsidRPr="00085AAE">
        <w:t xml:space="preserve"> reduced to offset the loadin</w:t>
      </w:r>
      <w:r w:rsidR="00AC17B5">
        <w:t>g.</w:t>
      </w:r>
    </w:p>
    <w:p w14:paraId="161932E1" w14:textId="65681FDB" w:rsidR="007A3A55" w:rsidRDefault="007A3A55" w:rsidP="007A3A55">
      <w:pPr>
        <w:pStyle w:val="Heading3"/>
        <w:tabs>
          <w:tab w:val="left" w:pos="426"/>
        </w:tabs>
        <w:ind w:left="0" w:firstLine="0"/>
      </w:pPr>
      <w:r>
        <w:t>Will the MMM loading be applied to all CHSP services?</w:t>
      </w:r>
    </w:p>
    <w:p w14:paraId="669B045A" w14:textId="3ED117E2" w:rsidR="007A3A55" w:rsidRDefault="00D87CFB" w:rsidP="00AF3228">
      <w:pPr>
        <w:tabs>
          <w:tab w:val="left" w:pos="993"/>
        </w:tabs>
      </w:pPr>
      <w:r>
        <w:t>No, some service types will be excluded from MMM loading</w:t>
      </w:r>
      <w:r w:rsidR="006C7383">
        <w:t xml:space="preserve"> because there is no change to existing pricing</w:t>
      </w:r>
      <w:r>
        <w:t xml:space="preserve">. The service types </w:t>
      </w:r>
      <w:r w:rsidR="00504403">
        <w:t>excluded</w:t>
      </w:r>
      <w:r w:rsidR="003B3A09">
        <w:t xml:space="preserve"> are Assistance with Care and Housing (ACH)</w:t>
      </w:r>
      <w:r w:rsidR="009D3A0C">
        <w:t xml:space="preserve"> and </w:t>
      </w:r>
      <w:r w:rsidR="003B3A09">
        <w:t>Sector Support and Development (SSD)</w:t>
      </w:r>
      <w:r w:rsidR="009D3A0C">
        <w:t>.</w:t>
      </w:r>
    </w:p>
    <w:p w14:paraId="712833F9" w14:textId="77777777" w:rsidR="007F19FA" w:rsidRPr="00AF736D" w:rsidRDefault="007F19FA" w:rsidP="00A2264C">
      <w:pPr>
        <w:tabs>
          <w:tab w:val="left" w:pos="993"/>
        </w:tabs>
        <w:rPr>
          <w:sz w:val="2"/>
          <w:szCs w:val="2"/>
        </w:rPr>
      </w:pPr>
    </w:p>
    <w:p w14:paraId="5903E97F" w14:textId="19ECCD60" w:rsidR="0050402D" w:rsidRDefault="0050402D" w:rsidP="00A2264C">
      <w:pPr>
        <w:pStyle w:val="Heading3"/>
        <w:tabs>
          <w:tab w:val="left" w:pos="426"/>
        </w:tabs>
        <w:ind w:left="0" w:firstLine="0"/>
      </w:pPr>
      <w:r w:rsidRPr="00A53014">
        <w:t xml:space="preserve">Is there scope for CALD-targeted </w:t>
      </w:r>
      <w:r w:rsidR="007C649F">
        <w:t xml:space="preserve">CHSP </w:t>
      </w:r>
      <w:r w:rsidRPr="00A53014">
        <w:t xml:space="preserve">providers to </w:t>
      </w:r>
      <w:r w:rsidR="005E7661">
        <w:t>receive a loading to their unit price?</w:t>
      </w:r>
    </w:p>
    <w:p w14:paraId="2CB64100" w14:textId="1CC777A5" w:rsidR="007102A9" w:rsidRDefault="007102A9" w:rsidP="00A2264C">
      <w:pPr>
        <w:tabs>
          <w:tab w:val="left" w:pos="993"/>
        </w:tabs>
      </w:pPr>
      <w:r>
        <w:t>No</w:t>
      </w:r>
      <w:r w:rsidR="0095366E">
        <w:t>.</w:t>
      </w:r>
      <w:r>
        <w:t xml:space="preserve"> </w:t>
      </w:r>
      <w:r w:rsidR="0095366E">
        <w:t>T</w:t>
      </w:r>
      <w:r>
        <w:t xml:space="preserve">he only loading available is the MMM loading. However, </w:t>
      </w:r>
      <w:r w:rsidR="00B37A29">
        <w:t xml:space="preserve">Health </w:t>
      </w:r>
      <w:r w:rsidR="00C51F4D">
        <w:t>acknowledges there may be</w:t>
      </w:r>
      <w:r w:rsidR="00AE6D55">
        <w:t xml:space="preserve"> </w:t>
      </w:r>
      <w:r w:rsidR="00C51F4D">
        <w:t>factors that contribute to a higher cost of service delivery</w:t>
      </w:r>
      <w:r w:rsidR="00AE6D55">
        <w:t xml:space="preserve">. </w:t>
      </w:r>
    </w:p>
    <w:p w14:paraId="4E66A073" w14:textId="0C484AD2" w:rsidR="0050402D" w:rsidRDefault="0095366E" w:rsidP="00A2264C">
      <w:pPr>
        <w:tabs>
          <w:tab w:val="left" w:pos="993"/>
        </w:tabs>
      </w:pPr>
      <w:r>
        <w:t>CHSP p</w:t>
      </w:r>
      <w:r w:rsidR="00AE6D55">
        <w:t xml:space="preserve">roviders </w:t>
      </w:r>
      <w:r w:rsidR="00757039">
        <w:t>who</w:t>
      </w:r>
      <w:r w:rsidR="00B1666F">
        <w:t xml:space="preserve"> believe they have other factors that may contribute to a higher cost of service delivery </w:t>
      </w:r>
      <w:r w:rsidR="00AE6D55">
        <w:t xml:space="preserve">should contact the </w:t>
      </w:r>
      <w:r w:rsidR="00324531" w:rsidRPr="00A62737">
        <w:rPr>
          <w:szCs w:val="22"/>
        </w:rPr>
        <w:t>CGH</w:t>
      </w:r>
      <w:r w:rsidR="00324531" w:rsidDel="00022F83">
        <w:t xml:space="preserve"> </w:t>
      </w:r>
      <w:r w:rsidR="00A257F5">
        <w:t>to discuss.</w:t>
      </w:r>
      <w:r w:rsidR="00AE6D55">
        <w:t xml:space="preserve"> </w:t>
      </w:r>
    </w:p>
    <w:p w14:paraId="42DAA5BA" w14:textId="77777777" w:rsidR="005E7661" w:rsidRPr="00AF736D" w:rsidRDefault="005E7661" w:rsidP="00A2264C">
      <w:pPr>
        <w:tabs>
          <w:tab w:val="left" w:pos="993"/>
        </w:tabs>
        <w:rPr>
          <w:sz w:val="2"/>
          <w:szCs w:val="2"/>
        </w:rPr>
      </w:pPr>
    </w:p>
    <w:p w14:paraId="1579ADD6" w14:textId="21070C84" w:rsidR="0050402D" w:rsidRDefault="0050402D" w:rsidP="00A2264C">
      <w:pPr>
        <w:pStyle w:val="Heading3"/>
        <w:tabs>
          <w:tab w:val="left" w:pos="426"/>
        </w:tabs>
        <w:ind w:left="0" w:firstLine="0"/>
      </w:pPr>
      <w:r w:rsidRPr="0050402D">
        <w:t xml:space="preserve">Is there a </w:t>
      </w:r>
      <w:r w:rsidR="005E7661">
        <w:t xml:space="preserve">loading that can be applied to the unit price of service types that use </w:t>
      </w:r>
      <w:r w:rsidRPr="0050402D">
        <w:t>interpreter</w:t>
      </w:r>
      <w:r w:rsidR="005E7661">
        <w:t>s</w:t>
      </w:r>
      <w:r>
        <w:t>?</w:t>
      </w:r>
    </w:p>
    <w:p w14:paraId="57C3304A" w14:textId="77777777" w:rsidR="008A5B97" w:rsidRDefault="00137E1D" w:rsidP="00A2264C">
      <w:pPr>
        <w:tabs>
          <w:tab w:val="left" w:pos="993"/>
        </w:tabs>
      </w:pPr>
      <w:r>
        <w:t>No. The only loading available is the MMM loading.</w:t>
      </w:r>
    </w:p>
    <w:p w14:paraId="3774DB90" w14:textId="7CA16C43" w:rsidR="005E7661" w:rsidRPr="008A5B97" w:rsidRDefault="00137E1D" w:rsidP="00A2264C">
      <w:pPr>
        <w:tabs>
          <w:tab w:val="left" w:pos="993"/>
        </w:tabs>
        <w:rPr>
          <w:sz w:val="2"/>
          <w:szCs w:val="2"/>
        </w:rPr>
      </w:pPr>
      <w:r>
        <w:t xml:space="preserve"> </w:t>
      </w:r>
    </w:p>
    <w:p w14:paraId="26A342B5" w14:textId="6FF0EC16" w:rsidR="0050402D" w:rsidRPr="0050402D" w:rsidRDefault="0050402D" w:rsidP="00A2264C">
      <w:pPr>
        <w:pStyle w:val="Heading3"/>
        <w:tabs>
          <w:tab w:val="left" w:pos="426"/>
        </w:tabs>
        <w:ind w:left="0" w:firstLine="0"/>
      </w:pPr>
      <w:r w:rsidRPr="0050402D">
        <w:t xml:space="preserve">The averaging of unit pricing will not encourage </w:t>
      </w:r>
      <w:r w:rsidR="007C649F">
        <w:t xml:space="preserve">CHSP </w:t>
      </w:r>
      <w:r w:rsidRPr="0050402D">
        <w:t xml:space="preserve">providers to deliver in rural and remote areas. Providers need to be funded for the cost of service delivery in these areas otherwise we </w:t>
      </w:r>
      <w:r w:rsidR="005E7661">
        <w:t xml:space="preserve">will </w:t>
      </w:r>
      <w:r w:rsidR="00A257F5" w:rsidRPr="0050402D">
        <w:t>end</w:t>
      </w:r>
      <w:r w:rsidRPr="0050402D">
        <w:t xml:space="preserve"> up with </w:t>
      </w:r>
      <w:r w:rsidR="005E7661">
        <w:t xml:space="preserve">reduced </w:t>
      </w:r>
      <w:r w:rsidRPr="0050402D">
        <w:t>services.</w:t>
      </w:r>
    </w:p>
    <w:p w14:paraId="43BF08B9" w14:textId="4357BA3A" w:rsidR="00086BA8" w:rsidRDefault="005E7661" w:rsidP="00A2264C">
      <w:pPr>
        <w:tabs>
          <w:tab w:val="left" w:pos="993"/>
        </w:tabs>
      </w:pPr>
      <w:r>
        <w:t xml:space="preserve">Health </w:t>
      </w:r>
      <w:r w:rsidR="00A400C6">
        <w:t xml:space="preserve">acknowledges </w:t>
      </w:r>
      <w:r w:rsidR="00755FC6">
        <w:t>the</w:t>
      </w:r>
      <w:r w:rsidR="00A400C6">
        <w:t xml:space="preserve"> cost of service delivery in remote and very remote regions (MMM 6 and 7) </w:t>
      </w:r>
      <w:r w:rsidR="00757039">
        <w:t>may be</w:t>
      </w:r>
      <w:r w:rsidR="00A400C6">
        <w:t xml:space="preserve"> greater than rural, </w:t>
      </w:r>
      <w:proofErr w:type="gramStart"/>
      <w:r w:rsidR="00A400C6">
        <w:t>regional</w:t>
      </w:r>
      <w:proofErr w:type="gramEnd"/>
      <w:r w:rsidR="00A400C6">
        <w:t xml:space="preserve"> and metropolitan areas.</w:t>
      </w:r>
      <w:r w:rsidR="00755FC6">
        <w:t xml:space="preserve"> </w:t>
      </w:r>
      <w:r w:rsidR="0095366E">
        <w:t>CHSP</w:t>
      </w:r>
      <w:r w:rsidR="00755FC6">
        <w:t xml:space="preserve"> providers </w:t>
      </w:r>
      <w:r w:rsidR="00757039">
        <w:t>who</w:t>
      </w:r>
      <w:r w:rsidR="00755FC6">
        <w:t xml:space="preserve"> deliver </w:t>
      </w:r>
      <w:proofErr w:type="gramStart"/>
      <w:r w:rsidR="00755FC6">
        <w:t>the majority of</w:t>
      </w:r>
      <w:proofErr w:type="gramEnd"/>
      <w:r w:rsidR="00755FC6">
        <w:t xml:space="preserve"> services (51% or more) in MMM 6 or 7 regions may be eligible to receive a MMM loading to their unit price. </w:t>
      </w:r>
    </w:p>
    <w:p w14:paraId="4B344537" w14:textId="77777777" w:rsidR="005E7661" w:rsidRPr="009F48A9" w:rsidRDefault="005E7661" w:rsidP="00A2264C">
      <w:pPr>
        <w:tabs>
          <w:tab w:val="left" w:pos="993"/>
        </w:tabs>
        <w:rPr>
          <w:sz w:val="2"/>
          <w:szCs w:val="2"/>
        </w:rPr>
      </w:pPr>
    </w:p>
    <w:p w14:paraId="46978D70" w14:textId="228FB1F7" w:rsidR="009F5A7B" w:rsidRDefault="009F5A7B" w:rsidP="00A2264C">
      <w:pPr>
        <w:pStyle w:val="Heading3"/>
        <w:tabs>
          <w:tab w:val="left" w:pos="426"/>
        </w:tabs>
        <w:ind w:left="0" w:firstLine="0"/>
      </w:pPr>
      <w:r w:rsidRPr="00D42FDC">
        <w:t xml:space="preserve">Based on demand, can </w:t>
      </w:r>
      <w:r w:rsidR="00665EE4">
        <w:t xml:space="preserve">CHSP </w:t>
      </w:r>
      <w:r w:rsidRPr="00D42FDC">
        <w:t xml:space="preserve">providers negotiate </w:t>
      </w:r>
      <w:r w:rsidR="007C649F">
        <w:t xml:space="preserve">an increase </w:t>
      </w:r>
      <w:r w:rsidR="00665EE4">
        <w:t>in</w:t>
      </w:r>
      <w:r w:rsidR="007C649F">
        <w:t xml:space="preserve"> total funding </w:t>
      </w:r>
      <w:r w:rsidRPr="00D42FDC">
        <w:t>as part of the</w:t>
      </w:r>
      <w:r w:rsidR="00665EE4">
        <w:t>ir</w:t>
      </w:r>
      <w:r w:rsidRPr="00D42FDC">
        <w:t xml:space="preserve"> 2022</w:t>
      </w:r>
      <w:r w:rsidR="006C3600">
        <w:t>-</w:t>
      </w:r>
      <w:r w:rsidRPr="00D42FDC">
        <w:t xml:space="preserve">23 </w:t>
      </w:r>
      <w:r w:rsidR="00665EE4">
        <w:t xml:space="preserve">grant </w:t>
      </w:r>
      <w:r w:rsidRPr="00D42FDC">
        <w:t>agreement?</w:t>
      </w:r>
    </w:p>
    <w:p w14:paraId="69F42FC9" w14:textId="57DA2987" w:rsidR="006F70AA" w:rsidRDefault="006F70AA" w:rsidP="006F70AA">
      <w:pPr>
        <w:tabs>
          <w:tab w:val="left" w:pos="993"/>
        </w:tabs>
      </w:pPr>
      <w:r w:rsidRPr="00671DD6">
        <w:t>Please</w:t>
      </w:r>
      <w:r>
        <w:t xml:space="preserve"> see Question and Answer 11 for more detail.</w:t>
      </w:r>
    </w:p>
    <w:p w14:paraId="67781561" w14:textId="77777777" w:rsidR="006F70AA" w:rsidRPr="006F70AA" w:rsidRDefault="006F70AA" w:rsidP="006F70AA">
      <w:pPr>
        <w:tabs>
          <w:tab w:val="left" w:pos="993"/>
        </w:tabs>
        <w:rPr>
          <w:sz w:val="2"/>
          <w:szCs w:val="2"/>
        </w:rPr>
      </w:pPr>
    </w:p>
    <w:p w14:paraId="3BB851FE" w14:textId="77777777" w:rsidR="0045778A" w:rsidRDefault="009F5A7B" w:rsidP="00A2264C">
      <w:pPr>
        <w:pStyle w:val="Heading3"/>
        <w:tabs>
          <w:tab w:val="left" w:pos="426"/>
        </w:tabs>
        <w:ind w:left="0" w:firstLine="0"/>
      </w:pPr>
      <w:r w:rsidRPr="00C63E6E">
        <w:t>W</w:t>
      </w:r>
      <w:r>
        <w:t>i</w:t>
      </w:r>
      <w:r w:rsidRPr="00C63E6E">
        <w:t xml:space="preserve">ll </w:t>
      </w:r>
      <w:r w:rsidR="00665EE4">
        <w:t xml:space="preserve">CHSP </w:t>
      </w:r>
      <w:r w:rsidRPr="00C63E6E">
        <w:t xml:space="preserve">providers have capacity to renegotiate where they want to </w:t>
      </w:r>
      <w:r w:rsidR="0095366E">
        <w:t>stop</w:t>
      </w:r>
      <w:r w:rsidRPr="00C63E6E">
        <w:t xml:space="preserve"> </w:t>
      </w:r>
      <w:r w:rsidR="00665EE4">
        <w:t xml:space="preserve">delivering </w:t>
      </w:r>
      <w:r w:rsidRPr="00C63E6E">
        <w:t>service types they are currently funded for</w:t>
      </w:r>
      <w:r w:rsidR="009F48A9">
        <w:t>?</w:t>
      </w:r>
      <w:r w:rsidRPr="00C63E6E">
        <w:t xml:space="preserve"> </w:t>
      </w:r>
    </w:p>
    <w:p w14:paraId="06D8540E" w14:textId="750E7D23" w:rsidR="00F95B4D" w:rsidRDefault="00F95B4D" w:rsidP="00A2264C">
      <w:pPr>
        <w:tabs>
          <w:tab w:val="left" w:pos="993"/>
        </w:tabs>
      </w:pPr>
      <w:r w:rsidRPr="005D3A8A">
        <w:t>If a CHSP provider is planning to exit the program</w:t>
      </w:r>
      <w:r>
        <w:t xml:space="preserve">, or </w:t>
      </w:r>
      <w:r w:rsidR="00AB7469">
        <w:t>stop</w:t>
      </w:r>
      <w:r>
        <w:t xml:space="preserve"> service delivery for a funded service, </w:t>
      </w:r>
      <w:r w:rsidR="00AB7469">
        <w:t>they need to</w:t>
      </w:r>
      <w:r>
        <w:t xml:space="preserve"> contact the CGH as soon as possible to </w:t>
      </w:r>
      <w:r w:rsidR="00AB7469">
        <w:t>discuss their options and the continuity of care for their CHPS clients</w:t>
      </w:r>
      <w:r>
        <w:t>.</w:t>
      </w:r>
    </w:p>
    <w:p w14:paraId="1B37DBBD" w14:textId="77777777" w:rsidR="009F48A9" w:rsidRPr="006F70AA" w:rsidRDefault="009F48A9" w:rsidP="00A2264C">
      <w:pPr>
        <w:tabs>
          <w:tab w:val="left" w:pos="993"/>
        </w:tabs>
        <w:rPr>
          <w:sz w:val="2"/>
          <w:szCs w:val="2"/>
        </w:rPr>
      </w:pPr>
    </w:p>
    <w:p w14:paraId="78BC13AF" w14:textId="6A14E1C9" w:rsidR="00086BA8" w:rsidRPr="00A2264C" w:rsidRDefault="00086BA8" w:rsidP="00A2264C">
      <w:pPr>
        <w:pStyle w:val="Heading2"/>
        <w:numPr>
          <w:ilvl w:val="0"/>
          <w:numId w:val="0"/>
        </w:numPr>
        <w:tabs>
          <w:tab w:val="left" w:pos="993"/>
        </w:tabs>
        <w:rPr>
          <w:sz w:val="26"/>
          <w:szCs w:val="26"/>
        </w:rPr>
      </w:pPr>
      <w:r w:rsidRPr="00A2264C">
        <w:rPr>
          <w:sz w:val="26"/>
          <w:szCs w:val="26"/>
        </w:rPr>
        <w:lastRenderedPageBreak/>
        <w:t>Flexibility provisions</w:t>
      </w:r>
    </w:p>
    <w:p w14:paraId="5C41DDFD" w14:textId="45680024" w:rsidR="009D0E19" w:rsidRDefault="009D0E19" w:rsidP="00A2264C">
      <w:pPr>
        <w:pStyle w:val="Heading3"/>
        <w:tabs>
          <w:tab w:val="left" w:pos="426"/>
        </w:tabs>
        <w:ind w:left="0" w:firstLine="0"/>
      </w:pPr>
      <w:r w:rsidRPr="004C2275">
        <w:t>W</w:t>
      </w:r>
      <w:r>
        <w:t>hat does 100% flexibility mean?</w:t>
      </w:r>
    </w:p>
    <w:p w14:paraId="2E825A44" w14:textId="194A75D0" w:rsidR="00BE1C78" w:rsidRDefault="00BE1C78" w:rsidP="00A2264C">
      <w:pPr>
        <w:tabs>
          <w:tab w:val="left" w:pos="993"/>
        </w:tabs>
      </w:pPr>
      <w:r>
        <w:t>F</w:t>
      </w:r>
      <w:r w:rsidRPr="003530CA">
        <w:t xml:space="preserve">lexibility provisions </w:t>
      </w:r>
      <w:r>
        <w:t xml:space="preserve">allow for </w:t>
      </w:r>
      <w:r w:rsidRPr="003530CA">
        <w:t xml:space="preserve">all CHSP service providers </w:t>
      </w:r>
      <w:r>
        <w:t>to</w:t>
      </w:r>
      <w:r w:rsidRPr="003530CA">
        <w:t xml:space="preserve"> have full flexibility </w:t>
      </w:r>
      <w:r w:rsidR="00137E1D">
        <w:t xml:space="preserve">(100%) </w:t>
      </w:r>
      <w:r w:rsidRPr="003530CA">
        <w:t xml:space="preserve">to move grant funds between their funded service types and </w:t>
      </w:r>
      <w:r w:rsidR="00137E1D">
        <w:t xml:space="preserve">funded </w:t>
      </w:r>
      <w:r w:rsidRPr="003530CA">
        <w:t>ACPRs</w:t>
      </w:r>
      <w:r w:rsidR="006026BB">
        <w:t>.</w:t>
      </w:r>
      <w:r w:rsidRPr="003530CA">
        <w:t xml:space="preserve"> </w:t>
      </w:r>
      <w:r w:rsidR="006026BB">
        <w:t xml:space="preserve">This allows CHSP providers </w:t>
      </w:r>
      <w:r w:rsidRPr="003530CA">
        <w:t>to better meet community demand pressures.</w:t>
      </w:r>
    </w:p>
    <w:p w14:paraId="4C59C0FF" w14:textId="77777777" w:rsidR="006026BB" w:rsidRDefault="00BE1C78" w:rsidP="00A2264C">
      <w:pPr>
        <w:tabs>
          <w:tab w:val="left" w:pos="993"/>
        </w:tabs>
      </w:pPr>
      <w:r>
        <w:t xml:space="preserve">Flexibility provisions </w:t>
      </w:r>
      <w:r w:rsidRPr="000C1ADD">
        <w:rPr>
          <w:b/>
          <w:bCs/>
        </w:rPr>
        <w:t>do not allow</w:t>
      </w:r>
      <w:r>
        <w:t xml:space="preserve"> for </w:t>
      </w:r>
      <w:r w:rsidR="006026BB">
        <w:t xml:space="preserve">CHSP </w:t>
      </w:r>
      <w:r>
        <w:t>providers to</w:t>
      </w:r>
      <w:r w:rsidR="006026BB">
        <w:t>:</w:t>
      </w:r>
    </w:p>
    <w:p w14:paraId="5C56B9C5" w14:textId="045FEC1B" w:rsidR="006026BB" w:rsidRDefault="00E37AC4" w:rsidP="006026BB">
      <w:pPr>
        <w:pStyle w:val="ListParagraph"/>
        <w:numPr>
          <w:ilvl w:val="0"/>
          <w:numId w:val="44"/>
        </w:numPr>
        <w:tabs>
          <w:tab w:val="left" w:pos="993"/>
        </w:tabs>
      </w:pPr>
      <w:r>
        <w:t>M</w:t>
      </w:r>
      <w:r w:rsidR="00BE1C78">
        <w:t>ove funds to deliver services in ACPRs they are not funded for</w:t>
      </w:r>
      <w:r w:rsidR="006026BB">
        <w:t>; or</w:t>
      </w:r>
    </w:p>
    <w:p w14:paraId="1326DE21" w14:textId="47E3AC90" w:rsidR="00BE1C78" w:rsidRDefault="00E37AC4" w:rsidP="000C1ADD">
      <w:pPr>
        <w:pStyle w:val="ListParagraph"/>
        <w:numPr>
          <w:ilvl w:val="0"/>
          <w:numId w:val="44"/>
        </w:numPr>
        <w:tabs>
          <w:tab w:val="left" w:pos="993"/>
        </w:tabs>
      </w:pPr>
      <w:r>
        <w:t>M</w:t>
      </w:r>
      <w:r w:rsidR="00BE1C78">
        <w:t>ove funds to deliver services they are not funded for.</w:t>
      </w:r>
    </w:p>
    <w:p w14:paraId="0CFFF944" w14:textId="77777777" w:rsidR="00B37A29" w:rsidRPr="009F48A9" w:rsidRDefault="00B37A29" w:rsidP="00A2264C">
      <w:pPr>
        <w:tabs>
          <w:tab w:val="left" w:pos="993"/>
        </w:tabs>
        <w:rPr>
          <w:sz w:val="2"/>
          <w:szCs w:val="2"/>
        </w:rPr>
      </w:pPr>
    </w:p>
    <w:p w14:paraId="3C5892A2" w14:textId="426EC453" w:rsidR="00086BA8" w:rsidRPr="009F48A9" w:rsidRDefault="00086BA8" w:rsidP="00A2264C">
      <w:pPr>
        <w:pStyle w:val="Heading2"/>
        <w:numPr>
          <w:ilvl w:val="0"/>
          <w:numId w:val="0"/>
        </w:numPr>
        <w:tabs>
          <w:tab w:val="left" w:pos="993"/>
        </w:tabs>
        <w:rPr>
          <w:sz w:val="26"/>
          <w:szCs w:val="26"/>
        </w:rPr>
      </w:pPr>
      <w:bookmarkStart w:id="15" w:name="_Hlk90453449"/>
      <w:r w:rsidRPr="009F48A9">
        <w:rPr>
          <w:sz w:val="26"/>
          <w:szCs w:val="26"/>
        </w:rPr>
        <w:t xml:space="preserve">Compliance </w:t>
      </w:r>
    </w:p>
    <w:p w14:paraId="3C98C7FD" w14:textId="284231C9" w:rsidR="004C2275" w:rsidRDefault="004C2275" w:rsidP="00A2264C">
      <w:pPr>
        <w:pStyle w:val="Heading3"/>
        <w:tabs>
          <w:tab w:val="left" w:pos="426"/>
        </w:tabs>
        <w:ind w:left="0" w:firstLine="0"/>
      </w:pPr>
      <w:r w:rsidRPr="004C2275">
        <w:t xml:space="preserve">Will there be a manual that </w:t>
      </w:r>
      <w:r w:rsidR="008B2F15">
        <w:t xml:space="preserve">CHSP </w:t>
      </w:r>
      <w:r w:rsidRPr="004C2275">
        <w:t>providers need to adhere to?</w:t>
      </w:r>
    </w:p>
    <w:p w14:paraId="23B8A091" w14:textId="5CC24F07" w:rsidR="009940A1" w:rsidRDefault="009A64F5" w:rsidP="00A2264C">
      <w:pPr>
        <w:tabs>
          <w:tab w:val="left" w:pos="993"/>
        </w:tabs>
      </w:pPr>
      <w:bookmarkStart w:id="16" w:name="_Hlk90459653"/>
      <w:r w:rsidRPr="00A2264C">
        <w:t>Yes</w:t>
      </w:r>
      <w:r w:rsidR="00CA5F25" w:rsidRPr="00A2264C">
        <w:t>.</w:t>
      </w:r>
      <w:r w:rsidRPr="00A2264C">
        <w:t xml:space="preserve"> </w:t>
      </w:r>
      <w:r w:rsidR="00137E1D">
        <w:t xml:space="preserve">The 2020-22 CHSP Manual will be updated </w:t>
      </w:r>
      <w:r w:rsidR="00BB47FA">
        <w:t>for the 2022-23</w:t>
      </w:r>
      <w:r w:rsidR="00137E1D">
        <w:t xml:space="preserve"> extension</w:t>
      </w:r>
      <w:r w:rsidR="00772944">
        <w:t>.</w:t>
      </w:r>
      <w:r w:rsidR="00960721">
        <w:t xml:space="preserve"> </w:t>
      </w:r>
    </w:p>
    <w:bookmarkEnd w:id="16"/>
    <w:p w14:paraId="73B01E48" w14:textId="77777777" w:rsidR="00A36D22" w:rsidRPr="009F48A9" w:rsidRDefault="00A36D22" w:rsidP="00AF3228">
      <w:pPr>
        <w:rPr>
          <w:sz w:val="2"/>
          <w:szCs w:val="2"/>
        </w:rPr>
      </w:pPr>
    </w:p>
    <w:p w14:paraId="7CF4AFB7" w14:textId="6540EB2A" w:rsidR="009940A1" w:rsidRDefault="009940A1" w:rsidP="00A2264C">
      <w:pPr>
        <w:pStyle w:val="Heading3"/>
        <w:ind w:left="426" w:hanging="426"/>
      </w:pPr>
      <w:r w:rsidRPr="004C2275">
        <w:t xml:space="preserve">What </w:t>
      </w:r>
      <w:r w:rsidR="000B227A">
        <w:t>is</w:t>
      </w:r>
      <w:r w:rsidR="000B227A" w:rsidRPr="004C2275">
        <w:t xml:space="preserve"> </w:t>
      </w:r>
      <w:r w:rsidRPr="004C2275">
        <w:t xml:space="preserve">the compliance framework </w:t>
      </w:r>
      <w:r w:rsidR="000B227A">
        <w:t>and ho</w:t>
      </w:r>
      <w:r w:rsidRPr="004C2275">
        <w:t>w will it operate?</w:t>
      </w:r>
    </w:p>
    <w:p w14:paraId="6A64EB93" w14:textId="6131202D" w:rsidR="009A647B" w:rsidRDefault="006F70AA" w:rsidP="00AF3228">
      <w:bookmarkStart w:id="17" w:name="_Hlk90459661"/>
      <w:r>
        <w:t>Health already has a CHSP compliance framework in place</w:t>
      </w:r>
      <w:r w:rsidR="009A647B">
        <w:t xml:space="preserve"> which covers matters such as performance against the grant agreement, submitting financial and reporting information and COVID-19 staff reporting requirements. Health </w:t>
      </w:r>
      <w:r w:rsidR="00772944">
        <w:t xml:space="preserve">works closely with the CGH to monitor and manage CHSP providers delivery against their grant agreement. </w:t>
      </w:r>
    </w:p>
    <w:p w14:paraId="671CB800" w14:textId="0674A01C" w:rsidR="00A36D22" w:rsidRDefault="00772944" w:rsidP="00AF3228">
      <w:r>
        <w:t>F</w:t>
      </w:r>
      <w:r w:rsidR="006F70AA">
        <w:t xml:space="preserve">rom July 2022 </w:t>
      </w:r>
      <w:r w:rsidR="005E0C29">
        <w:t>the framework</w:t>
      </w:r>
      <w:r w:rsidR="006F70AA">
        <w:t xml:space="preserve"> will have a renewed focus on ensuring a CHSP provider </w:t>
      </w:r>
      <w:r w:rsidR="008B2F15">
        <w:t>is</w:t>
      </w:r>
      <w:r w:rsidR="006F70AA">
        <w:t xml:space="preserve"> meeting performance against their grant agreement.</w:t>
      </w:r>
      <w:r>
        <w:t xml:space="preserve"> The first stage of any compliance action will be a discussion between the</w:t>
      </w:r>
      <w:r w:rsidR="008B2F15">
        <w:t xml:space="preserve"> CHSP</w:t>
      </w:r>
      <w:r>
        <w:t xml:space="preserve"> provider and the CGH.</w:t>
      </w:r>
      <w:r w:rsidR="001D39A8">
        <w:t xml:space="preserve"> </w:t>
      </w:r>
    </w:p>
    <w:bookmarkEnd w:id="17"/>
    <w:p w14:paraId="24AE2C58" w14:textId="77777777" w:rsidR="006F70AA" w:rsidRPr="006F70AA" w:rsidRDefault="006F70AA" w:rsidP="00AF3228">
      <w:pPr>
        <w:rPr>
          <w:sz w:val="2"/>
          <w:szCs w:val="2"/>
        </w:rPr>
      </w:pPr>
    </w:p>
    <w:p w14:paraId="41124DA6" w14:textId="281C7E4F" w:rsidR="004C2275" w:rsidRPr="004C2275" w:rsidRDefault="004C2275" w:rsidP="00A2264C">
      <w:pPr>
        <w:pStyle w:val="Heading3"/>
        <w:ind w:left="426" w:hanging="426"/>
        <w:rPr>
          <w:szCs w:val="22"/>
        </w:rPr>
      </w:pPr>
      <w:r w:rsidRPr="004C2275">
        <w:rPr>
          <w:szCs w:val="22"/>
        </w:rPr>
        <w:t>What will be the performance threshold for compliance action?</w:t>
      </w:r>
    </w:p>
    <w:p w14:paraId="61839CB6" w14:textId="6EF1687A" w:rsidR="009A7FF4" w:rsidRDefault="009A7FF4" w:rsidP="009A7FF4">
      <w:bookmarkStart w:id="18" w:name="_Hlk90459676"/>
      <w:r w:rsidRPr="009F48A9">
        <w:t>Please read</w:t>
      </w:r>
      <w:r w:rsidR="000600EF">
        <w:t xml:space="preserve"> the</w:t>
      </w:r>
      <w:r w:rsidRPr="009F48A9">
        <w:t xml:space="preserve"> Question and Answer </w:t>
      </w:r>
      <w:r w:rsidR="00E37AC4">
        <w:t>50</w:t>
      </w:r>
      <w:r>
        <w:t xml:space="preserve"> </w:t>
      </w:r>
      <w:r w:rsidRPr="009F48A9">
        <w:t>for more detail</w:t>
      </w:r>
      <w:r w:rsidR="00772944">
        <w:t>s</w:t>
      </w:r>
      <w:r w:rsidRPr="009F48A9">
        <w:t>.</w:t>
      </w:r>
    </w:p>
    <w:p w14:paraId="1DAEE09C" w14:textId="344BF635" w:rsidR="004C2275" w:rsidRDefault="000600EF" w:rsidP="00AF3228">
      <w:r>
        <w:t>In addition, p</w:t>
      </w:r>
      <w:r w:rsidRPr="009F48A9">
        <w:t xml:space="preserve">lease read Question and Answer </w:t>
      </w:r>
      <w:r>
        <w:t xml:space="preserve">34 as </w:t>
      </w:r>
      <w:r w:rsidR="009A7FF4">
        <w:t xml:space="preserve">Health understands there are factors </w:t>
      </w:r>
      <w:r w:rsidR="005E0C29">
        <w:t xml:space="preserve">that </w:t>
      </w:r>
      <w:r w:rsidR="009A7FF4">
        <w:t>may affect the number of outputs a provider can deliver.</w:t>
      </w:r>
    </w:p>
    <w:bookmarkEnd w:id="15"/>
    <w:bookmarkEnd w:id="18"/>
    <w:p w14:paraId="37AFD09A" w14:textId="77777777" w:rsidR="00A36D22" w:rsidRPr="009F48A9" w:rsidRDefault="00A36D22" w:rsidP="00AF3228">
      <w:pPr>
        <w:rPr>
          <w:sz w:val="2"/>
          <w:szCs w:val="2"/>
        </w:rPr>
      </w:pPr>
    </w:p>
    <w:p w14:paraId="0A16A029" w14:textId="3C7791E4" w:rsidR="004C2275" w:rsidRPr="004C2275" w:rsidRDefault="00500274" w:rsidP="00A2264C">
      <w:pPr>
        <w:pStyle w:val="Heading3"/>
        <w:ind w:left="426" w:hanging="426"/>
      </w:pPr>
      <w:r>
        <w:t xml:space="preserve">Do CHSP providers need to make any IT or system changes for the reporting of </w:t>
      </w:r>
      <w:r w:rsidR="004C2275" w:rsidRPr="004C2275">
        <w:t>service</w:t>
      </w:r>
      <w:r>
        <w:t xml:space="preserve"> delivery</w:t>
      </w:r>
      <w:r w:rsidR="004C2275" w:rsidRPr="004C2275">
        <w:t>?</w:t>
      </w:r>
    </w:p>
    <w:p w14:paraId="2D739D14" w14:textId="3EF61266" w:rsidR="00086BA8" w:rsidRDefault="0067187A" w:rsidP="00AF3228">
      <w:r>
        <w:t xml:space="preserve">Health is not expecting </w:t>
      </w:r>
      <w:r w:rsidR="006213DA" w:rsidRPr="00A2264C">
        <w:t xml:space="preserve">CHSP providers </w:t>
      </w:r>
      <w:r>
        <w:t>will</w:t>
      </w:r>
      <w:r w:rsidR="006213DA" w:rsidRPr="00A2264C">
        <w:t xml:space="preserve"> </w:t>
      </w:r>
      <w:r w:rsidR="00AC0923">
        <w:t xml:space="preserve">need </w:t>
      </w:r>
      <w:r w:rsidR="006213DA" w:rsidRPr="00A2264C">
        <w:t>to make any</w:t>
      </w:r>
      <w:r w:rsidR="00AC0923">
        <w:t xml:space="preserve"> major</w:t>
      </w:r>
      <w:r w:rsidR="006213DA" w:rsidRPr="00A2264C">
        <w:t xml:space="preserve"> IT or system changes</w:t>
      </w:r>
      <w:r w:rsidR="00AC0923">
        <w:t xml:space="preserve"> to meet the monthly reporting requirements</w:t>
      </w:r>
      <w:r w:rsidR="006213DA" w:rsidRPr="00A2264C">
        <w:t xml:space="preserve">. CHSP providers will continue to report performance through </w:t>
      </w:r>
      <w:r w:rsidR="00E32620" w:rsidRPr="00A2264C">
        <w:t>DEX</w:t>
      </w:r>
      <w:r w:rsidR="00AC0923">
        <w:t xml:space="preserve"> as they do now</w:t>
      </w:r>
      <w:r w:rsidR="00D734A0">
        <w:t>.</w:t>
      </w:r>
      <w:r w:rsidR="00500274" w:rsidRPr="00A2264C">
        <w:t xml:space="preserve"> </w:t>
      </w:r>
      <w:r w:rsidR="00D734A0">
        <w:t>I</w:t>
      </w:r>
      <w:r w:rsidR="00500274" w:rsidRPr="00A2264C">
        <w:t>nstead of reporting through DEX every six months CHSP providers will be required to report every month.</w:t>
      </w:r>
    </w:p>
    <w:p w14:paraId="693298B8" w14:textId="77777777" w:rsidR="006213DA" w:rsidRPr="009F48A9" w:rsidRDefault="006213DA" w:rsidP="00AF3228">
      <w:pPr>
        <w:rPr>
          <w:sz w:val="2"/>
          <w:szCs w:val="2"/>
        </w:rPr>
      </w:pPr>
    </w:p>
    <w:p w14:paraId="1C3E73BB" w14:textId="4364F855" w:rsidR="009D0E19" w:rsidRPr="00A2264C" w:rsidRDefault="00086BA8" w:rsidP="00A2264C">
      <w:pPr>
        <w:pStyle w:val="Heading2"/>
        <w:numPr>
          <w:ilvl w:val="0"/>
          <w:numId w:val="0"/>
        </w:numPr>
        <w:rPr>
          <w:sz w:val="26"/>
          <w:szCs w:val="26"/>
        </w:rPr>
      </w:pPr>
      <w:r w:rsidRPr="00A2264C">
        <w:rPr>
          <w:sz w:val="26"/>
          <w:szCs w:val="26"/>
        </w:rPr>
        <w:t>Client contribution</w:t>
      </w:r>
      <w:r w:rsidR="009F48A9">
        <w:rPr>
          <w:sz w:val="26"/>
          <w:szCs w:val="26"/>
        </w:rPr>
        <w:t>s</w:t>
      </w:r>
    </w:p>
    <w:p w14:paraId="1BCB311C" w14:textId="1FA2C53A" w:rsidR="009D0E19" w:rsidRDefault="009D0E19" w:rsidP="00A2264C">
      <w:pPr>
        <w:pStyle w:val="Heading3"/>
        <w:ind w:left="426" w:hanging="426"/>
      </w:pPr>
      <w:r w:rsidRPr="00C63E6E">
        <w:t xml:space="preserve">Will </w:t>
      </w:r>
      <w:r w:rsidR="00D734A0">
        <w:t>Health</w:t>
      </w:r>
      <w:r w:rsidR="00D734A0" w:rsidRPr="00C63E6E">
        <w:t xml:space="preserve"> </w:t>
      </w:r>
      <w:r w:rsidR="00D734A0">
        <w:t xml:space="preserve">be releasing </w:t>
      </w:r>
      <w:r w:rsidRPr="00C63E6E">
        <w:t>communication</w:t>
      </w:r>
      <w:r w:rsidR="00D734A0">
        <w:t>s</w:t>
      </w:r>
      <w:r w:rsidRPr="00C63E6E">
        <w:t xml:space="preserve"> on </w:t>
      </w:r>
      <w:r w:rsidR="00500274">
        <w:t xml:space="preserve">the </w:t>
      </w:r>
      <w:r w:rsidRPr="00C63E6E">
        <w:t xml:space="preserve">client contribution policy in the context of the </w:t>
      </w:r>
      <w:r w:rsidR="00500274">
        <w:t>unit pricing changes</w:t>
      </w:r>
      <w:r w:rsidRPr="00C63E6E">
        <w:t>?</w:t>
      </w:r>
    </w:p>
    <w:p w14:paraId="3264A616" w14:textId="597D4BD9" w:rsidR="00137E1D" w:rsidRDefault="00756886" w:rsidP="00AF3228">
      <w:r w:rsidRPr="00500274">
        <w:t xml:space="preserve">The existing </w:t>
      </w:r>
      <w:r w:rsidR="008E5909" w:rsidRPr="00A2264C">
        <w:t>National Guide to the CHSP Client Contribution Framework</w:t>
      </w:r>
      <w:r w:rsidR="00152CF9" w:rsidRPr="00500274">
        <w:t xml:space="preserve"> </w:t>
      </w:r>
      <w:r w:rsidRPr="00500274">
        <w:t xml:space="preserve">will </w:t>
      </w:r>
      <w:r w:rsidR="00137E1D">
        <w:t xml:space="preserve">continue to </w:t>
      </w:r>
      <w:r w:rsidRPr="00500274">
        <w:t xml:space="preserve">apply to the 2022-23 CHSP extension. </w:t>
      </w:r>
      <w:r w:rsidR="00137E1D">
        <w:t>Whilst client contributions are not mandatory, all CHSP providers should have a client contribution</w:t>
      </w:r>
      <w:r w:rsidR="00555ED3">
        <w:t xml:space="preserve"> policy </w:t>
      </w:r>
      <w:r w:rsidR="00137E1D">
        <w:t>in place.</w:t>
      </w:r>
    </w:p>
    <w:p w14:paraId="12AAE5F6" w14:textId="6A5FCFD9" w:rsidR="009D0E19" w:rsidRDefault="00AC4842" w:rsidP="00AF3228">
      <w:r w:rsidRPr="00A2264C">
        <w:t>As part of th</w:t>
      </w:r>
      <w:r w:rsidR="00500274">
        <w:t xml:space="preserve">is </w:t>
      </w:r>
      <w:r w:rsidRPr="00A2264C">
        <w:t xml:space="preserve">extension </w:t>
      </w:r>
      <w:r w:rsidR="00500274">
        <w:t xml:space="preserve">Health </w:t>
      </w:r>
      <w:r w:rsidRPr="00A2264C">
        <w:t xml:space="preserve">asks </w:t>
      </w:r>
      <w:r w:rsidR="004F094C" w:rsidRPr="00A2264C">
        <w:t xml:space="preserve">CHSP providers to </w:t>
      </w:r>
      <w:r w:rsidR="00D734A0">
        <w:t xml:space="preserve">do </w:t>
      </w:r>
      <w:r w:rsidR="00B170BC" w:rsidRPr="00A2264C">
        <w:t xml:space="preserve">a preliminary </w:t>
      </w:r>
      <w:r w:rsidR="004F094C" w:rsidRPr="00A2264C">
        <w:t>review</w:t>
      </w:r>
      <w:r w:rsidR="00B170BC" w:rsidRPr="00A2264C">
        <w:t xml:space="preserve"> of</w:t>
      </w:r>
      <w:r w:rsidR="004F094C" w:rsidRPr="00A2264C">
        <w:t xml:space="preserve"> their </w:t>
      </w:r>
      <w:r w:rsidR="00137E1D">
        <w:t xml:space="preserve">existing </w:t>
      </w:r>
      <w:r w:rsidR="004F094C" w:rsidRPr="00A2264C">
        <w:t>client contribution fee polic</w:t>
      </w:r>
      <w:r w:rsidRPr="00A2264C">
        <w:t xml:space="preserve">y to </w:t>
      </w:r>
      <w:r w:rsidR="00137E1D">
        <w:t xml:space="preserve">ensure </w:t>
      </w:r>
      <w:r w:rsidRPr="00A2264C">
        <w:t>there is capacity to seek client contributions</w:t>
      </w:r>
      <w:r w:rsidR="00137E1D">
        <w:t xml:space="preserve"> from clients where they </w:t>
      </w:r>
      <w:r w:rsidR="00555ED3">
        <w:t>can afford</w:t>
      </w:r>
      <w:r w:rsidR="00137E1D">
        <w:t xml:space="preserve"> to pay</w:t>
      </w:r>
      <w:r w:rsidRPr="00A2264C">
        <w:t>.</w:t>
      </w:r>
    </w:p>
    <w:p w14:paraId="70EEE41F" w14:textId="77777777" w:rsidR="00500274" w:rsidRPr="009F48A9" w:rsidRDefault="00500274" w:rsidP="00AF3228">
      <w:pPr>
        <w:rPr>
          <w:sz w:val="2"/>
          <w:szCs w:val="2"/>
        </w:rPr>
      </w:pPr>
    </w:p>
    <w:p w14:paraId="78D68B16" w14:textId="0FD8D7EA" w:rsidR="009D0E19" w:rsidRDefault="009D0E19" w:rsidP="00A2264C">
      <w:pPr>
        <w:pStyle w:val="Heading3"/>
        <w:ind w:left="426" w:hanging="426"/>
      </w:pPr>
      <w:r w:rsidRPr="00990BBB">
        <w:lastRenderedPageBreak/>
        <w:t xml:space="preserve">As the consumer will be funding the gap between prices and </w:t>
      </w:r>
      <w:r w:rsidR="00E37AC4">
        <w:t xml:space="preserve">actual </w:t>
      </w:r>
      <w:r w:rsidRPr="00990BBB">
        <w:t xml:space="preserve">cost, what work will be done to inform and prepare </w:t>
      </w:r>
      <w:r w:rsidR="00500274">
        <w:t>the sector?</w:t>
      </w:r>
    </w:p>
    <w:p w14:paraId="01C97E2E" w14:textId="3E41F1A7" w:rsidR="00372C1A" w:rsidRDefault="00500274" w:rsidP="00AF3228">
      <w:r>
        <w:t xml:space="preserve">The 2022-23 National Unit Price Ranges do not represent the full cost of service delivery. </w:t>
      </w:r>
      <w:r w:rsidR="00F20B8A">
        <w:t>Client contributions are a</w:t>
      </w:r>
      <w:r w:rsidR="00D734A0">
        <w:t xml:space="preserve"> key</w:t>
      </w:r>
      <w:r w:rsidR="00F20B8A">
        <w:t xml:space="preserve"> feature of the CHSP, helping </w:t>
      </w:r>
      <w:r w:rsidR="00E37AC4">
        <w:t>service delivery</w:t>
      </w:r>
      <w:r w:rsidR="00F20B8A">
        <w:t xml:space="preserve"> to be financially sustainable.</w:t>
      </w:r>
      <w:r>
        <w:t xml:space="preserve"> </w:t>
      </w:r>
      <w:r w:rsidR="00372C1A" w:rsidRPr="00CB6025">
        <w:t>CHSP is not means tested and client contributions are not mandatory</w:t>
      </w:r>
      <w:r w:rsidR="00D734A0">
        <w:t>.</w:t>
      </w:r>
      <w:r w:rsidR="00372C1A" w:rsidRPr="00CB6025">
        <w:t xml:space="preserve"> </w:t>
      </w:r>
      <w:r w:rsidR="00D734A0">
        <w:t>H</w:t>
      </w:r>
      <w:r w:rsidR="00372C1A" w:rsidRPr="00CB6025">
        <w:t>owever</w:t>
      </w:r>
      <w:r w:rsidR="00D734A0">
        <w:t>,</w:t>
      </w:r>
      <w:r w:rsidR="00372C1A" w:rsidRPr="00CB6025">
        <w:t xml:space="preserve"> the expectation is that clients who can afford to contribute to the cost of their care and services do so.</w:t>
      </w:r>
      <w:r w:rsidR="00372C1A">
        <w:t xml:space="preserve"> </w:t>
      </w:r>
    </w:p>
    <w:p w14:paraId="25CCC84C" w14:textId="050D4144" w:rsidR="005E1608" w:rsidRDefault="00500274" w:rsidP="008B2F15">
      <w:r>
        <w:t xml:space="preserve">CHSP providers should </w:t>
      </w:r>
      <w:r w:rsidR="00372C1A">
        <w:t xml:space="preserve">work collaboratively with the client to determine a suitable client contribution. </w:t>
      </w:r>
      <w:r w:rsidR="00137E1D">
        <w:t>Whilst client contributions are not mandatory, all CHSP providers should have a client contribution in place.</w:t>
      </w:r>
      <w:r w:rsidR="00137E1D" w:rsidRPr="00A2264C">
        <w:t xml:space="preserve"> </w:t>
      </w:r>
      <w:r w:rsidR="00F20B8A" w:rsidRPr="00A2264C">
        <w:t>As part of the 2022-23 CHSP extension</w:t>
      </w:r>
      <w:r w:rsidR="009F48A9">
        <w:t>,</w:t>
      </w:r>
      <w:r w:rsidR="00F20B8A" w:rsidRPr="00A2264C">
        <w:t xml:space="preserve"> </w:t>
      </w:r>
      <w:r w:rsidR="00372C1A">
        <w:t xml:space="preserve">Health </w:t>
      </w:r>
      <w:r w:rsidR="00F20B8A" w:rsidRPr="00A2264C">
        <w:t xml:space="preserve">asks CHSP providers to </w:t>
      </w:r>
      <w:r w:rsidR="00D734A0">
        <w:t>do</w:t>
      </w:r>
      <w:r w:rsidR="00F20B8A" w:rsidRPr="00A2264C">
        <w:t xml:space="preserve"> a preliminary review of their</w:t>
      </w:r>
      <w:r w:rsidR="00137E1D">
        <w:t xml:space="preserve"> existing </w:t>
      </w:r>
      <w:r w:rsidR="00F20B8A" w:rsidRPr="00A2264C">
        <w:t xml:space="preserve">client contribution fee policy to </w:t>
      </w:r>
      <w:r w:rsidR="00137E1D">
        <w:t xml:space="preserve">ensure </w:t>
      </w:r>
      <w:r w:rsidR="00F20B8A" w:rsidRPr="00A2264C">
        <w:t>there is capacity to seek client contributions</w:t>
      </w:r>
      <w:r w:rsidR="00137E1D">
        <w:t xml:space="preserve"> from clients where they </w:t>
      </w:r>
      <w:r w:rsidR="00555ED3">
        <w:t>can</w:t>
      </w:r>
      <w:r w:rsidR="00137E1D">
        <w:t xml:space="preserve"> </w:t>
      </w:r>
      <w:r w:rsidR="00555ED3">
        <w:t>afford</w:t>
      </w:r>
      <w:r w:rsidR="00137E1D">
        <w:t xml:space="preserve"> to pay</w:t>
      </w:r>
      <w:r w:rsidR="00F20B8A" w:rsidRPr="00A2264C">
        <w:t>.</w:t>
      </w:r>
    </w:p>
    <w:p w14:paraId="688D76C3" w14:textId="77777777" w:rsidR="005E16AC" w:rsidRPr="00DB58FD" w:rsidRDefault="005E16AC" w:rsidP="008B2F15">
      <w:pPr>
        <w:rPr>
          <w:sz w:val="2"/>
          <w:szCs w:val="2"/>
        </w:rPr>
      </w:pPr>
    </w:p>
    <w:p w14:paraId="193F22AC" w14:textId="38A1DDE4" w:rsidR="009D0E19" w:rsidRDefault="009D0E19" w:rsidP="00A2264C">
      <w:pPr>
        <w:pStyle w:val="Heading3"/>
        <w:ind w:left="426" w:hanging="426"/>
      </w:pPr>
      <w:r w:rsidRPr="00537C04">
        <w:t xml:space="preserve">Will there be </w:t>
      </w:r>
      <w:r w:rsidR="00372C1A">
        <w:t xml:space="preserve">hardship provisions </w:t>
      </w:r>
      <w:r w:rsidRPr="00537C04">
        <w:t>for clients who can’t afford to contribute?</w:t>
      </w:r>
    </w:p>
    <w:p w14:paraId="04F079D1" w14:textId="734B3044" w:rsidR="00372C1A" w:rsidRDefault="00372C1A" w:rsidP="00ED3FA3">
      <w:r w:rsidRPr="00A2264C">
        <w:t>Yes. CHSP providers should have hardship provisions as part of their client contribution policies. These provisions should include arrangements for those who are unable to pay the requested contribution.</w:t>
      </w:r>
      <w:r w:rsidR="00AB0181">
        <w:t xml:space="preserve"> Clients will not be denied services if they are unable to pay a client contribution.</w:t>
      </w:r>
    </w:p>
    <w:p w14:paraId="2E73B765" w14:textId="77777777" w:rsidR="00372C1A" w:rsidRPr="009F48A9" w:rsidRDefault="00372C1A" w:rsidP="00AF3228">
      <w:pPr>
        <w:rPr>
          <w:sz w:val="2"/>
          <w:szCs w:val="2"/>
        </w:rPr>
      </w:pPr>
    </w:p>
    <w:p w14:paraId="2D2C7065" w14:textId="7775D5CE" w:rsidR="009D0E19" w:rsidRPr="009D0E19" w:rsidRDefault="009D0E19" w:rsidP="00A2264C">
      <w:pPr>
        <w:pStyle w:val="Heading3"/>
        <w:ind w:left="426" w:hanging="426"/>
      </w:pPr>
      <w:r w:rsidRPr="0028629D">
        <w:t xml:space="preserve">How will </w:t>
      </w:r>
      <w:r w:rsidR="009B7AB9">
        <w:t xml:space="preserve">CHSP </w:t>
      </w:r>
      <w:r w:rsidRPr="0028629D">
        <w:t>providers know how much a client can afford to pay?</w:t>
      </w:r>
    </w:p>
    <w:p w14:paraId="3664D521" w14:textId="2687A34E" w:rsidR="009B7AB9" w:rsidRDefault="009B7AB9" w:rsidP="00AF3228">
      <w:r>
        <w:t xml:space="preserve">It is the role of the CHSP provider to </w:t>
      </w:r>
      <w:r w:rsidR="00DC2927">
        <w:t xml:space="preserve">decide </w:t>
      </w:r>
      <w:r>
        <w:t>how much a client should contribute to the cost of their care or service.</w:t>
      </w:r>
      <w:r w:rsidR="00AB0181">
        <w:t xml:space="preserve"> All CHSP providers are expected to have a client contribution policy which outlines how the provider will manage these discussions and payment arrangements.</w:t>
      </w:r>
    </w:p>
    <w:p w14:paraId="104BE3C1" w14:textId="3C90B1E4" w:rsidR="009B7AB9" w:rsidRDefault="009B7AB9" w:rsidP="00A2264C">
      <w:r>
        <w:t xml:space="preserve">The existing </w:t>
      </w:r>
      <w:r w:rsidR="00AF3228" w:rsidRPr="00A2264C">
        <w:t>National Guide to the CHSP Client Contribution Framework</w:t>
      </w:r>
      <w:r>
        <w:t xml:space="preserve"> will </w:t>
      </w:r>
      <w:r w:rsidR="00AB0181">
        <w:t xml:space="preserve">continue to </w:t>
      </w:r>
      <w:r>
        <w:t>apply to the 2022-23 CHSP extension. CHSP providers should discuss with their clients to de</w:t>
      </w:r>
      <w:r w:rsidR="00DC2927">
        <w:t>cide</w:t>
      </w:r>
      <w:r>
        <w:t xml:space="preserve"> a reasonable client contribution. </w:t>
      </w:r>
    </w:p>
    <w:p w14:paraId="0A985A5E" w14:textId="2F54A53F" w:rsidR="00372C1A" w:rsidRPr="009F48A9" w:rsidRDefault="00372C1A" w:rsidP="00152CF9">
      <w:pPr>
        <w:rPr>
          <w:sz w:val="2"/>
          <w:szCs w:val="2"/>
        </w:rPr>
      </w:pPr>
    </w:p>
    <w:p w14:paraId="33853F2B" w14:textId="64BA094E" w:rsidR="00086BA8" w:rsidRPr="00A2264C" w:rsidRDefault="00086BA8" w:rsidP="00A2264C">
      <w:pPr>
        <w:pStyle w:val="Heading2"/>
        <w:numPr>
          <w:ilvl w:val="0"/>
          <w:numId w:val="0"/>
        </w:numPr>
        <w:ind w:left="284" w:hanging="284"/>
        <w:rPr>
          <w:sz w:val="26"/>
          <w:szCs w:val="26"/>
        </w:rPr>
      </w:pPr>
      <w:r w:rsidRPr="00A2264C">
        <w:rPr>
          <w:sz w:val="26"/>
          <w:szCs w:val="26"/>
        </w:rPr>
        <w:t xml:space="preserve">Acquittals </w:t>
      </w:r>
    </w:p>
    <w:p w14:paraId="3D74BFEB" w14:textId="5A5A2AE9" w:rsidR="009D0E19" w:rsidRPr="00BA7F3E" w:rsidRDefault="009D0E19" w:rsidP="00A2264C">
      <w:pPr>
        <w:pStyle w:val="Heading3"/>
        <w:ind w:left="426" w:hanging="426"/>
        <w:rPr>
          <w:szCs w:val="22"/>
        </w:rPr>
      </w:pPr>
      <w:r w:rsidRPr="00BA7F3E">
        <w:rPr>
          <w:szCs w:val="22"/>
        </w:rPr>
        <w:t>W</w:t>
      </w:r>
      <w:r w:rsidRPr="00A2264C">
        <w:rPr>
          <w:rStyle w:val="Heading3Char"/>
          <w:b/>
          <w:bCs/>
        </w:rPr>
        <w:t xml:space="preserve">ill there be acquittals as part of the 2022-23 CHSP </w:t>
      </w:r>
      <w:r w:rsidR="009B7AB9" w:rsidRPr="00A2264C">
        <w:rPr>
          <w:rStyle w:val="Heading3Char"/>
          <w:b/>
          <w:bCs/>
        </w:rPr>
        <w:t>e</w:t>
      </w:r>
      <w:r w:rsidRPr="00A2264C">
        <w:rPr>
          <w:rStyle w:val="Heading3Char"/>
          <w:b/>
          <w:bCs/>
        </w:rPr>
        <w:t>xtension?</w:t>
      </w:r>
    </w:p>
    <w:p w14:paraId="152D4539" w14:textId="02E06BB6" w:rsidR="009B7AB9" w:rsidRDefault="009B7AB9" w:rsidP="009D0E19">
      <w:r>
        <w:t xml:space="preserve">Yes. There will be an annual acquittal process. </w:t>
      </w:r>
      <w:r w:rsidR="00DC2927">
        <w:t xml:space="preserve">As </w:t>
      </w:r>
      <w:r w:rsidR="00746CFE">
        <w:t xml:space="preserve">a condition of </w:t>
      </w:r>
      <w:r w:rsidR="00DC2927">
        <w:t xml:space="preserve">the grant agreement all </w:t>
      </w:r>
      <w:r w:rsidR="00746CFE">
        <w:t xml:space="preserve">grant funding that </w:t>
      </w:r>
      <w:r w:rsidR="00DC2927">
        <w:t>is</w:t>
      </w:r>
      <w:r w:rsidR="00746CFE">
        <w:t xml:space="preserve"> unspent must be returned to Health.</w:t>
      </w:r>
    </w:p>
    <w:p w14:paraId="2E90BFF6" w14:textId="363CEEC0" w:rsidR="00746CFE" w:rsidRDefault="00746CFE" w:rsidP="00A2264C">
      <w:pPr>
        <w:spacing w:after="0"/>
      </w:pPr>
      <w:r w:rsidRPr="00A2264C">
        <w:rPr>
          <w:b/>
          <w:bCs/>
        </w:rPr>
        <w:t xml:space="preserve">Acquittals for 2021-22 </w:t>
      </w:r>
      <w:r w:rsidR="00BA7F3E">
        <w:rPr>
          <w:b/>
          <w:bCs/>
        </w:rPr>
        <w:t>F</w:t>
      </w:r>
      <w:r w:rsidRPr="00A2264C">
        <w:rPr>
          <w:b/>
          <w:bCs/>
        </w:rPr>
        <w:t>Y</w:t>
      </w:r>
      <w:r>
        <w:t xml:space="preserve"> </w:t>
      </w:r>
    </w:p>
    <w:p w14:paraId="34422A5D" w14:textId="538EA15D" w:rsidR="009B7AB9" w:rsidRDefault="00DC2927" w:rsidP="00A2264C">
      <w:pPr>
        <w:pStyle w:val="ListParagraph"/>
        <w:numPr>
          <w:ilvl w:val="0"/>
          <w:numId w:val="32"/>
        </w:numPr>
        <w:spacing w:before="0"/>
        <w:ind w:left="426" w:hanging="284"/>
      </w:pPr>
      <w:r>
        <w:rPr>
          <w:b/>
          <w:bCs/>
        </w:rPr>
        <w:t>CHSP provider r</w:t>
      </w:r>
      <w:r w:rsidR="00746CFE" w:rsidRPr="00A2264C">
        <w:rPr>
          <w:b/>
          <w:bCs/>
        </w:rPr>
        <w:t>equest</w:t>
      </w:r>
      <w:r>
        <w:rPr>
          <w:b/>
          <w:bCs/>
        </w:rPr>
        <w:t>s</w:t>
      </w:r>
      <w:r w:rsidR="00746CFE" w:rsidRPr="00A2264C">
        <w:rPr>
          <w:b/>
          <w:bCs/>
        </w:rPr>
        <w:t xml:space="preserve"> rollover of funds</w:t>
      </w:r>
      <w:r w:rsidR="00746CFE">
        <w:t xml:space="preserve">: </w:t>
      </w:r>
      <w:r>
        <w:t xml:space="preserve">CHSP providers will be able rollover </w:t>
      </w:r>
      <w:r w:rsidR="009B7AB9" w:rsidRPr="00B57487">
        <w:t>up to a maximum of one month’s worth of funding</w:t>
      </w:r>
      <w:r w:rsidR="009B7AB9">
        <w:t xml:space="preserve"> </w:t>
      </w:r>
      <w:r w:rsidR="009B7AB9" w:rsidRPr="00B57487">
        <w:t>from 2021-22</w:t>
      </w:r>
      <w:r>
        <w:t xml:space="preserve"> FY</w:t>
      </w:r>
      <w:r w:rsidR="009B7AB9" w:rsidRPr="00B57487">
        <w:t xml:space="preserve"> to</w:t>
      </w:r>
      <w:r>
        <w:t xml:space="preserve"> </w:t>
      </w:r>
      <w:r w:rsidR="009B7AB9" w:rsidRPr="00B57487">
        <w:t>2022-23</w:t>
      </w:r>
      <w:r>
        <w:t xml:space="preserve"> FY</w:t>
      </w:r>
      <w:r w:rsidR="009B7AB9">
        <w:t>.</w:t>
      </w:r>
      <w:r w:rsidR="001D39A8">
        <w:t xml:space="preserve"> Any remaining unspent funds for the 2021-22 FY will need to be acquitted.</w:t>
      </w:r>
    </w:p>
    <w:p w14:paraId="355B0918" w14:textId="7690E900" w:rsidR="00746CFE" w:rsidRDefault="00DC2927" w:rsidP="00A2264C">
      <w:pPr>
        <w:pStyle w:val="ListParagraph"/>
        <w:numPr>
          <w:ilvl w:val="0"/>
          <w:numId w:val="32"/>
        </w:numPr>
        <w:ind w:left="426" w:hanging="284"/>
      </w:pPr>
      <w:r>
        <w:rPr>
          <w:b/>
          <w:bCs/>
        </w:rPr>
        <w:t xml:space="preserve">CHSP provider does not </w:t>
      </w:r>
      <w:r w:rsidR="00746CFE" w:rsidRPr="00A2264C">
        <w:rPr>
          <w:b/>
          <w:bCs/>
        </w:rPr>
        <w:t>request rollover of funds</w:t>
      </w:r>
      <w:r w:rsidR="00746CFE">
        <w:t>: CHSP providers</w:t>
      </w:r>
      <w:r w:rsidR="00E37AC4">
        <w:t xml:space="preserve"> who</w:t>
      </w:r>
      <w:r w:rsidR="00746CFE">
        <w:t xml:space="preserve"> are not eligible or have not requested a rollover of funds will be required to fully acquit unspent 2021-22 </w:t>
      </w:r>
      <w:r>
        <w:t xml:space="preserve">FY </w:t>
      </w:r>
      <w:r w:rsidR="00746CFE">
        <w:t>funds</w:t>
      </w:r>
      <w:r w:rsidR="00AC0923">
        <w:t xml:space="preserve"> in July 2022</w:t>
      </w:r>
      <w:r w:rsidR="00746CFE">
        <w:t>.</w:t>
      </w:r>
    </w:p>
    <w:p w14:paraId="0C8706C1" w14:textId="1147F0E0" w:rsidR="009B7AB9" w:rsidRDefault="009B7AB9" w:rsidP="009B7AB9">
      <w:r w:rsidRPr="00286AB9">
        <w:rPr>
          <w:szCs w:val="24"/>
        </w:rPr>
        <w:t>More information on</w:t>
      </w:r>
      <w:r>
        <w:rPr>
          <w:szCs w:val="24"/>
        </w:rPr>
        <w:t xml:space="preserve"> requesting a rollover of unspent funds </w:t>
      </w:r>
      <w:r w:rsidRPr="00286AB9">
        <w:rPr>
          <w:szCs w:val="24"/>
        </w:rPr>
        <w:t xml:space="preserve">can be found in the </w:t>
      </w:r>
      <w:r w:rsidR="00BA7F3E" w:rsidRPr="00A2264C">
        <w:rPr>
          <w:szCs w:val="24"/>
        </w:rPr>
        <w:t>CHSP fact sheet</w:t>
      </w:r>
      <w:r w:rsidRPr="00286AB9">
        <w:rPr>
          <w:szCs w:val="24"/>
        </w:rPr>
        <w:t xml:space="preserve"> on negotiations, transition support and MMM loading</w:t>
      </w:r>
      <w:r>
        <w:t>.</w:t>
      </w:r>
    </w:p>
    <w:p w14:paraId="154B13C0" w14:textId="203D9ACE" w:rsidR="009E400D" w:rsidRDefault="00746CFE" w:rsidP="00A2264C">
      <w:pPr>
        <w:spacing w:before="0" w:after="0"/>
        <w:rPr>
          <w:b/>
          <w:bCs/>
        </w:rPr>
      </w:pPr>
      <w:r w:rsidRPr="00A2264C">
        <w:rPr>
          <w:b/>
          <w:bCs/>
        </w:rPr>
        <w:t xml:space="preserve">Acquittals for 2022-23 </w:t>
      </w:r>
      <w:r w:rsidR="00BA7F3E">
        <w:rPr>
          <w:b/>
          <w:bCs/>
        </w:rPr>
        <w:t>F</w:t>
      </w:r>
      <w:r w:rsidR="00BA7F3E" w:rsidRPr="0035660E">
        <w:rPr>
          <w:b/>
          <w:bCs/>
        </w:rPr>
        <w:t>Y</w:t>
      </w:r>
      <w:r w:rsidR="00BA7F3E">
        <w:t xml:space="preserve"> </w:t>
      </w:r>
    </w:p>
    <w:p w14:paraId="42F35D95" w14:textId="467385A7" w:rsidR="009D0E19" w:rsidRDefault="009E400D" w:rsidP="009E400D">
      <w:pPr>
        <w:spacing w:before="0"/>
      </w:pPr>
      <w:r>
        <w:t xml:space="preserve">All CHSP providers </w:t>
      </w:r>
      <w:r w:rsidR="009B7AB9" w:rsidRPr="00A2264C">
        <w:t>will</w:t>
      </w:r>
      <w:r w:rsidR="00E50416" w:rsidRPr="00A2264C">
        <w:t xml:space="preserve"> be </w:t>
      </w:r>
      <w:r>
        <w:t xml:space="preserve">required to acquit all unspent funds </w:t>
      </w:r>
      <w:r w:rsidR="009D0E19" w:rsidRPr="00A2264C">
        <w:t xml:space="preserve">at the end </w:t>
      </w:r>
      <w:r w:rsidR="00847260">
        <w:t>of the</w:t>
      </w:r>
      <w:r w:rsidR="00847260" w:rsidRPr="00A2264C">
        <w:t xml:space="preserve"> </w:t>
      </w:r>
      <w:r w:rsidR="009D0E19" w:rsidRPr="00A2264C">
        <w:t xml:space="preserve">2022-23 </w:t>
      </w:r>
      <w:r w:rsidR="00E50416" w:rsidRPr="00A2264C">
        <w:t>F</w:t>
      </w:r>
      <w:r w:rsidR="00DC2927">
        <w:t>Y</w:t>
      </w:r>
      <w:r w:rsidR="00E50416" w:rsidRPr="009E400D">
        <w:t xml:space="preserve"> as the CHSP will be transitioning into the future Support at Home Program from July 2023.</w:t>
      </w:r>
    </w:p>
    <w:p w14:paraId="0479C5A3" w14:textId="77777777" w:rsidR="009E400D" w:rsidRPr="009F48A9" w:rsidRDefault="009E400D" w:rsidP="00A2264C">
      <w:pPr>
        <w:spacing w:before="0"/>
        <w:rPr>
          <w:sz w:val="2"/>
          <w:szCs w:val="2"/>
        </w:rPr>
      </w:pPr>
    </w:p>
    <w:p w14:paraId="3203C73C" w14:textId="4B13662E" w:rsidR="00086BA8" w:rsidRPr="00A2264C" w:rsidRDefault="00086BA8" w:rsidP="00A2264C">
      <w:pPr>
        <w:pStyle w:val="Heading2"/>
        <w:numPr>
          <w:ilvl w:val="0"/>
          <w:numId w:val="0"/>
        </w:numPr>
        <w:ind w:left="357" w:hanging="357"/>
        <w:rPr>
          <w:sz w:val="26"/>
          <w:szCs w:val="26"/>
        </w:rPr>
      </w:pPr>
      <w:bookmarkStart w:id="19" w:name="_Hlk89941712"/>
      <w:r w:rsidRPr="00A2264C">
        <w:rPr>
          <w:sz w:val="26"/>
          <w:szCs w:val="26"/>
        </w:rPr>
        <w:t xml:space="preserve">Workforce and staffing </w:t>
      </w:r>
    </w:p>
    <w:p w14:paraId="2A034170" w14:textId="7DB9C8F2" w:rsidR="0045778A" w:rsidRPr="0048584D" w:rsidRDefault="0045778A" w:rsidP="00A2264C">
      <w:pPr>
        <w:pStyle w:val="Heading3"/>
        <w:ind w:left="357" w:hanging="357"/>
      </w:pPr>
      <w:r w:rsidRPr="0048584D">
        <w:t>Recruiting talent</w:t>
      </w:r>
      <w:r w:rsidR="0048584D" w:rsidRPr="0048584D">
        <w:t>ed staff</w:t>
      </w:r>
      <w:r w:rsidRPr="0048584D">
        <w:t xml:space="preserve"> can be </w:t>
      </w:r>
      <w:r w:rsidR="00847260" w:rsidRPr="0048584D">
        <w:t xml:space="preserve">difficult </w:t>
      </w:r>
      <w:r w:rsidRPr="0048584D">
        <w:t>for</w:t>
      </w:r>
      <w:r w:rsidR="00847260" w:rsidRPr="0048584D">
        <w:t xml:space="preserve"> CHSP</w:t>
      </w:r>
      <w:r w:rsidRPr="0048584D">
        <w:t xml:space="preserve"> providers</w:t>
      </w:r>
      <w:r w:rsidR="00C7465B">
        <w:t>,</w:t>
      </w:r>
      <w:r w:rsidRPr="0048584D">
        <w:t xml:space="preserve"> for instance against NDIS funded services</w:t>
      </w:r>
      <w:r w:rsidR="00E37AC4">
        <w:t>. How are we meant to attract staff?</w:t>
      </w:r>
      <w:r w:rsidRPr="0048584D">
        <w:t xml:space="preserve"> </w:t>
      </w:r>
    </w:p>
    <w:p w14:paraId="725AD73E" w14:textId="77777777" w:rsidR="00AB7469" w:rsidRDefault="00E85D49" w:rsidP="00AB7469">
      <w:pPr>
        <w:tabs>
          <w:tab w:val="left" w:pos="993"/>
        </w:tabs>
      </w:pPr>
      <w:r w:rsidDel="001E618A">
        <w:lastRenderedPageBreak/>
        <w:t xml:space="preserve">The NDIS funding and pricing approach </w:t>
      </w:r>
      <w:r w:rsidR="00A70292" w:rsidDel="001E618A">
        <w:t>is</w:t>
      </w:r>
      <w:r w:rsidDel="001E618A">
        <w:t xml:space="preserve"> different from the CHSP. </w:t>
      </w:r>
      <w:r w:rsidR="00AB7469">
        <w:t>The CHSP provides small amounts of entry-level support to assist older people aged 65 years and over (50 years and over for Aboriginal and Torres Strait Islander people) to remain living at home and in their community.</w:t>
      </w:r>
    </w:p>
    <w:p w14:paraId="61727C50" w14:textId="593298E5" w:rsidR="0068268C" w:rsidRDefault="00C7465B" w:rsidP="008257F2">
      <w:r>
        <w:t xml:space="preserve">The 2022-23 National Unit Price Ranges </w:t>
      </w:r>
      <w:r w:rsidR="000B6087">
        <w:t>are broadly in line with historical funding and in many cases consistent with unit costs of other government funded programs (for standard weekday delivery during business hours</w:t>
      </w:r>
      <w:r w:rsidR="0068268C">
        <w:t xml:space="preserve">). </w:t>
      </w:r>
    </w:p>
    <w:p w14:paraId="54FCCCFB" w14:textId="34DB92E7" w:rsidR="007B13B6" w:rsidRDefault="0068268C">
      <w:r>
        <w:t>C</w:t>
      </w:r>
      <w:r w:rsidR="000B6087">
        <w:t>lient contribution</w:t>
      </w:r>
      <w:r>
        <w:t xml:space="preserve">s should be </w:t>
      </w:r>
      <w:proofErr w:type="gramStart"/>
      <w:r>
        <w:t>taken into account</w:t>
      </w:r>
      <w:proofErr w:type="gramEnd"/>
      <w:r>
        <w:t xml:space="preserve"> when reviewing the 2022-23 National Unit Price Ranges. </w:t>
      </w:r>
      <w:r w:rsidR="005E22D1">
        <w:t>CHSP providers are encouraged to review their client contribution arrangements</w:t>
      </w:r>
      <w:r w:rsidR="00DC2927">
        <w:t>.</w:t>
      </w:r>
      <w:r w:rsidR="005E22D1">
        <w:t xml:space="preserve"> </w:t>
      </w:r>
      <w:r w:rsidR="00DC2927">
        <w:t xml:space="preserve">CHSP providers should </w:t>
      </w:r>
      <w:r w:rsidR="005E22D1">
        <w:t>ensure there is a clear expectation that where a client can afford to contribute to the cost of their services they do so.</w:t>
      </w:r>
    </w:p>
    <w:bookmarkEnd w:id="19"/>
    <w:p w14:paraId="34F6A26D" w14:textId="240C42A7" w:rsidR="00DF7A9E" w:rsidRPr="00A2264C" w:rsidRDefault="00086BA8" w:rsidP="00A2264C">
      <w:pPr>
        <w:pStyle w:val="Heading2"/>
        <w:numPr>
          <w:ilvl w:val="0"/>
          <w:numId w:val="0"/>
        </w:numPr>
        <w:rPr>
          <w:sz w:val="26"/>
          <w:szCs w:val="26"/>
        </w:rPr>
      </w:pPr>
      <w:r w:rsidRPr="00A2264C">
        <w:rPr>
          <w:sz w:val="26"/>
          <w:szCs w:val="26"/>
        </w:rPr>
        <w:t>Client assessment under CHSP</w:t>
      </w:r>
    </w:p>
    <w:p w14:paraId="5B509A38" w14:textId="0565BA4B" w:rsidR="00DF7A9E" w:rsidRDefault="00DF7A9E" w:rsidP="00A2264C">
      <w:pPr>
        <w:pStyle w:val="Heading3"/>
        <w:ind w:left="426" w:hanging="426"/>
      </w:pPr>
      <w:bookmarkStart w:id="20" w:name="_Hlk89941995"/>
      <w:r w:rsidRPr="00502256">
        <w:t>Will there still be an assessment for new clients entering CHSP?</w:t>
      </w:r>
    </w:p>
    <w:p w14:paraId="2AA87683" w14:textId="099CB55D" w:rsidR="006B20D3" w:rsidRDefault="00C335B5" w:rsidP="006B20D3">
      <w:r w:rsidRPr="00A2264C">
        <w:t>Yes</w:t>
      </w:r>
      <w:r w:rsidR="009E400D">
        <w:t>.</w:t>
      </w:r>
      <w:r w:rsidRPr="00A2264C">
        <w:t xml:space="preserve"> </w:t>
      </w:r>
      <w:r w:rsidR="00B91A6C">
        <w:t>As an entry-level home support program, a</w:t>
      </w:r>
      <w:r w:rsidRPr="00A2264C">
        <w:t xml:space="preserve">ll </w:t>
      </w:r>
      <w:r w:rsidR="009E400D">
        <w:t xml:space="preserve">older Australians </w:t>
      </w:r>
      <w:r w:rsidRPr="00A2264C">
        <w:t xml:space="preserve">referred for CHSP services will continue to be assessed by a Regional Assessment Service to determine the </w:t>
      </w:r>
      <w:r w:rsidR="009E400D" w:rsidRPr="009E400D">
        <w:t>person’s</w:t>
      </w:r>
      <w:r w:rsidRPr="00A2264C">
        <w:t xml:space="preserve"> needs</w:t>
      </w:r>
      <w:r w:rsidR="000A145D">
        <w:t>.</w:t>
      </w:r>
      <w:r w:rsidR="001808CB" w:rsidRPr="00A2264C">
        <w:t xml:space="preserve"> </w:t>
      </w:r>
      <w:r w:rsidR="000A145D">
        <w:t>T</w:t>
      </w:r>
      <w:r w:rsidR="001808CB" w:rsidRPr="00A2264C">
        <w:t>his will continue under the 2022-23 CHSP extension.</w:t>
      </w:r>
      <w:r w:rsidR="001808CB">
        <w:t xml:space="preserve"> </w:t>
      </w:r>
      <w:r w:rsidR="00AB0181">
        <w:t>Clients are encouraged to contact My Aged Care to arrange an assessment.</w:t>
      </w:r>
    </w:p>
    <w:bookmarkEnd w:id="20"/>
    <w:p w14:paraId="0C7B771D" w14:textId="77777777" w:rsidR="009E400D" w:rsidRPr="0048584D" w:rsidRDefault="009E400D" w:rsidP="006B20D3">
      <w:pPr>
        <w:rPr>
          <w:sz w:val="2"/>
          <w:szCs w:val="2"/>
        </w:rPr>
      </w:pPr>
    </w:p>
    <w:p w14:paraId="0901C44F" w14:textId="47D1F62D" w:rsidR="00FA45D5" w:rsidRPr="00A2264C" w:rsidRDefault="00086BA8" w:rsidP="00A2264C">
      <w:pPr>
        <w:pStyle w:val="Heading2"/>
        <w:numPr>
          <w:ilvl w:val="0"/>
          <w:numId w:val="0"/>
        </w:numPr>
        <w:rPr>
          <w:sz w:val="26"/>
          <w:szCs w:val="26"/>
        </w:rPr>
      </w:pPr>
      <w:r w:rsidRPr="00A2264C">
        <w:rPr>
          <w:sz w:val="26"/>
          <w:szCs w:val="26"/>
        </w:rPr>
        <w:t>Transition support</w:t>
      </w:r>
      <w:r w:rsidR="00FA45D5" w:rsidRPr="00A2264C">
        <w:rPr>
          <w:sz w:val="26"/>
          <w:szCs w:val="26"/>
        </w:rPr>
        <w:t xml:space="preserve"> </w:t>
      </w:r>
    </w:p>
    <w:p w14:paraId="4BA490D0" w14:textId="7998C1A5" w:rsidR="00DD2F59" w:rsidRDefault="00DD2F59" w:rsidP="00A2264C">
      <w:pPr>
        <w:pStyle w:val="Heading3"/>
        <w:ind w:left="426" w:hanging="426"/>
      </w:pPr>
      <w:r>
        <w:t xml:space="preserve">What supports or resources will the Department be providing to </w:t>
      </w:r>
      <w:r w:rsidR="000A145D">
        <w:t>help</w:t>
      </w:r>
      <w:r>
        <w:t xml:space="preserve"> </w:t>
      </w:r>
      <w:r w:rsidR="00B91A6C">
        <w:t xml:space="preserve">CHSP </w:t>
      </w:r>
      <w:r>
        <w:t>providers implement payment in arrears?</w:t>
      </w:r>
    </w:p>
    <w:p w14:paraId="27D61763" w14:textId="4C8DDDB1" w:rsidR="00255E8D" w:rsidRDefault="00B91A6C" w:rsidP="00DD2F59">
      <w:r>
        <w:t xml:space="preserve">Health </w:t>
      </w:r>
      <w:r w:rsidR="007A768D">
        <w:t xml:space="preserve">acknowledges some </w:t>
      </w:r>
      <w:r w:rsidR="000A145D">
        <w:t xml:space="preserve">CHSP </w:t>
      </w:r>
      <w:r w:rsidR="007A768D">
        <w:t xml:space="preserve">providers may </w:t>
      </w:r>
      <w:r w:rsidR="000A145D">
        <w:t>need</w:t>
      </w:r>
      <w:r w:rsidR="007A768D">
        <w:t xml:space="preserve"> </w:t>
      </w:r>
      <w:r w:rsidR="000A145D">
        <w:t>support</w:t>
      </w:r>
      <w:r w:rsidR="007A768D">
        <w:t xml:space="preserve"> to manage the cashflow impact of transitioning to payment in arrears. </w:t>
      </w:r>
    </w:p>
    <w:p w14:paraId="33C3C6EB" w14:textId="24AB97FE" w:rsidR="00286AB9" w:rsidRPr="00B57487" w:rsidRDefault="00B91A6C" w:rsidP="00960CFC">
      <w:r>
        <w:t xml:space="preserve">Health </w:t>
      </w:r>
      <w:r w:rsidR="00286AB9" w:rsidRPr="00B57487">
        <w:t xml:space="preserve">will </w:t>
      </w:r>
      <w:r w:rsidR="000A145D">
        <w:t>offer</w:t>
      </w:r>
      <w:r w:rsidR="00286AB9" w:rsidRPr="00B57487">
        <w:t xml:space="preserve"> targeted</w:t>
      </w:r>
      <w:r w:rsidR="00286AB9">
        <w:t xml:space="preserve"> </w:t>
      </w:r>
      <w:r w:rsidR="000A145D">
        <w:t xml:space="preserve">support </w:t>
      </w:r>
      <w:r w:rsidR="00286AB9">
        <w:t>through a staged process:</w:t>
      </w:r>
    </w:p>
    <w:p w14:paraId="78B2FEC2" w14:textId="7776084B" w:rsidR="00286AB9" w:rsidRPr="00337A15" w:rsidRDefault="00286AB9" w:rsidP="0048584D">
      <w:pPr>
        <w:pStyle w:val="ListParagraph"/>
        <w:numPr>
          <w:ilvl w:val="0"/>
          <w:numId w:val="25"/>
        </w:numPr>
        <w:spacing w:before="0"/>
        <w:ind w:left="284" w:hanging="284"/>
        <w:contextualSpacing w:val="0"/>
        <w:rPr>
          <w:b/>
          <w:bCs/>
        </w:rPr>
      </w:pPr>
      <w:r>
        <w:rPr>
          <w:b/>
          <w:bCs/>
        </w:rPr>
        <w:t>Initial</w:t>
      </w:r>
      <w:r w:rsidRPr="00337A15">
        <w:rPr>
          <w:b/>
          <w:bCs/>
        </w:rPr>
        <w:t xml:space="preserve"> </w:t>
      </w:r>
      <w:r w:rsidRPr="00A17A39">
        <w:rPr>
          <w:b/>
          <w:bCs/>
        </w:rPr>
        <w:t>Support</w:t>
      </w:r>
      <w:r>
        <w:t xml:space="preserve"> – all providers will receive a </w:t>
      </w:r>
      <w:proofErr w:type="gramStart"/>
      <w:r>
        <w:t>one month</w:t>
      </w:r>
      <w:proofErr w:type="gramEnd"/>
      <w:r>
        <w:t xml:space="preserve"> upfront payment in July</w:t>
      </w:r>
      <w:r w:rsidR="00267A37">
        <w:t xml:space="preserve"> 2022</w:t>
      </w:r>
      <w:r>
        <w:t>.</w:t>
      </w:r>
    </w:p>
    <w:p w14:paraId="612B9303" w14:textId="65F2AAF6" w:rsidR="00DA5395" w:rsidRPr="00EB2E0A" w:rsidRDefault="00286AB9" w:rsidP="0048584D">
      <w:pPr>
        <w:pStyle w:val="ListParagraph"/>
        <w:numPr>
          <w:ilvl w:val="0"/>
          <w:numId w:val="25"/>
        </w:numPr>
        <w:spacing w:before="0"/>
        <w:ind w:left="284" w:hanging="284"/>
        <w:contextualSpacing w:val="0"/>
      </w:pPr>
      <w:r>
        <w:rPr>
          <w:b/>
          <w:bCs/>
        </w:rPr>
        <w:t>Rollover</w:t>
      </w:r>
      <w:r w:rsidRPr="00524BFF">
        <w:rPr>
          <w:b/>
          <w:bCs/>
        </w:rPr>
        <w:t xml:space="preserve"> </w:t>
      </w:r>
      <w:r>
        <w:rPr>
          <w:b/>
          <w:bCs/>
        </w:rPr>
        <w:t>Support</w:t>
      </w:r>
      <w:r>
        <w:t xml:space="preserve"> – on request, providers (excluding providers exclusively funded to deliver SSD) will be allowed to </w:t>
      </w:r>
      <w:r w:rsidRPr="00B57487">
        <w:t>rollover unspent funds up to a maximum of one month’s worth of funding</w:t>
      </w:r>
      <w:r>
        <w:t xml:space="preserve"> </w:t>
      </w:r>
      <w:r w:rsidRPr="00B57487">
        <w:t>from 2021-22 to 2022-23</w:t>
      </w:r>
      <w:r>
        <w:t xml:space="preserve">. Requests are </w:t>
      </w:r>
      <w:r w:rsidRPr="00EB2E0A">
        <w:t xml:space="preserve">due </w:t>
      </w:r>
      <w:r w:rsidRPr="00007A8A">
        <w:t>30 May 2022.</w:t>
      </w:r>
    </w:p>
    <w:p w14:paraId="3E7CEB77" w14:textId="29958858" w:rsidR="00B91A6C" w:rsidRDefault="00286AB9">
      <w:pPr>
        <w:pStyle w:val="ListParagraph"/>
        <w:numPr>
          <w:ilvl w:val="0"/>
          <w:numId w:val="25"/>
        </w:numPr>
        <w:spacing w:before="0"/>
        <w:ind w:left="284" w:hanging="284"/>
        <w:contextualSpacing w:val="0"/>
      </w:pPr>
      <w:r w:rsidRPr="00DA5395">
        <w:rPr>
          <w:b/>
          <w:bCs/>
        </w:rPr>
        <w:t xml:space="preserve">Transition Support Funding </w:t>
      </w:r>
      <w:r w:rsidRPr="00EB2E0A">
        <w:t xml:space="preserve">– if </w:t>
      </w:r>
      <w:r w:rsidR="000A145D">
        <w:t xml:space="preserve">CHSP </w:t>
      </w:r>
      <w:r w:rsidRPr="00EB2E0A">
        <w:t xml:space="preserve">providers have minimal or no projected underspends, they may </w:t>
      </w:r>
      <w:r>
        <w:t xml:space="preserve">apply through a grant round </w:t>
      </w:r>
      <w:r w:rsidRPr="00EB2E0A">
        <w:t xml:space="preserve">to receive targeted transition funding to sustain cashflow. Approved </w:t>
      </w:r>
      <w:r>
        <w:t xml:space="preserve">grantees </w:t>
      </w:r>
      <w:r w:rsidRPr="00EB2E0A">
        <w:t xml:space="preserve">will </w:t>
      </w:r>
      <w:r>
        <w:t xml:space="preserve">receive funding </w:t>
      </w:r>
      <w:r w:rsidRPr="00EB2E0A">
        <w:t>through a separate</w:t>
      </w:r>
      <w:r>
        <w:t>, and simplified</w:t>
      </w:r>
      <w:r w:rsidRPr="00EB2E0A">
        <w:t xml:space="preserve"> grant </w:t>
      </w:r>
      <w:r>
        <w:t>process</w:t>
      </w:r>
      <w:r w:rsidRPr="00EB2E0A">
        <w:t>.</w:t>
      </w:r>
      <w:r>
        <w:t xml:space="preserve"> The upcoming grant round will be advertised on </w:t>
      </w:r>
      <w:r w:rsidR="00DA5395" w:rsidRPr="00A2264C">
        <w:t>GrantConnect</w:t>
      </w:r>
      <w:r>
        <w:t xml:space="preserve"> in early 2022.</w:t>
      </w:r>
      <w:r w:rsidR="008316F4" w:rsidRPr="008316F4">
        <w:t xml:space="preserve"> </w:t>
      </w:r>
      <w:r w:rsidR="008316F4">
        <w:t xml:space="preserve">This funding will be limited to CHSP Providers that receive funding under $625,000 (GST Excl) per annum. </w:t>
      </w:r>
    </w:p>
    <w:p w14:paraId="5D69A04E" w14:textId="541D77B7" w:rsidR="00FA5DB4" w:rsidRDefault="00267A37" w:rsidP="00A70292">
      <w:pPr>
        <w:spacing w:before="0"/>
      </w:pPr>
      <w:r>
        <w:t>M</w:t>
      </w:r>
      <w:r w:rsidR="00FA5DB4">
        <w:t xml:space="preserve">ore information on targeted support </w:t>
      </w:r>
      <w:r w:rsidR="00FA5DB4" w:rsidRPr="00286AB9">
        <w:rPr>
          <w:szCs w:val="24"/>
        </w:rPr>
        <w:t xml:space="preserve">can be found in the </w:t>
      </w:r>
      <w:r w:rsidR="00FA5DB4" w:rsidRPr="00A2264C">
        <w:rPr>
          <w:szCs w:val="24"/>
        </w:rPr>
        <w:t>CHSP fact sheet</w:t>
      </w:r>
      <w:r w:rsidR="00FA5DB4" w:rsidRPr="00286AB9">
        <w:rPr>
          <w:szCs w:val="24"/>
        </w:rPr>
        <w:t xml:space="preserve"> on negotiations, transition support and MMM loading</w:t>
      </w:r>
      <w:r w:rsidR="00FA5DB4">
        <w:t>.</w:t>
      </w:r>
    </w:p>
    <w:p w14:paraId="6DDB080D" w14:textId="77777777" w:rsidR="00DA5395" w:rsidRPr="0048584D" w:rsidRDefault="00DA5395" w:rsidP="00DA5395">
      <w:pPr>
        <w:rPr>
          <w:sz w:val="2"/>
          <w:szCs w:val="2"/>
        </w:rPr>
      </w:pPr>
    </w:p>
    <w:p w14:paraId="59620EBE" w14:textId="689C5DCD" w:rsidR="00B91A6C" w:rsidRDefault="00B91A6C" w:rsidP="00A2264C">
      <w:pPr>
        <w:pStyle w:val="Heading3"/>
        <w:ind w:left="426" w:hanging="426"/>
      </w:pPr>
      <w:r>
        <w:t xml:space="preserve">How will providing a July payment in advance </w:t>
      </w:r>
      <w:r w:rsidR="000A145D">
        <w:t>help</w:t>
      </w:r>
      <w:r>
        <w:t xml:space="preserve"> with managing the transition and associated cash flow impacts?</w:t>
      </w:r>
    </w:p>
    <w:p w14:paraId="0FBCE9B0" w14:textId="77777777" w:rsidR="009C240E" w:rsidRDefault="009C240E" w:rsidP="009C240E">
      <w:pPr>
        <w:tabs>
          <w:tab w:val="left" w:pos="993"/>
        </w:tabs>
        <w:rPr>
          <w:szCs w:val="22"/>
        </w:rPr>
      </w:pPr>
      <w:r>
        <w:rPr>
          <w:szCs w:val="22"/>
        </w:rPr>
        <w:t xml:space="preserve">All CHSP providers, excluding providers who only deliver SSD, will be paid a standard monthly payment. The standard monthly payment is the total value of the grant agreement divided by twelve. </w:t>
      </w:r>
    </w:p>
    <w:p w14:paraId="5D5DB5CA" w14:textId="699D07DE" w:rsidR="009C240E" w:rsidRDefault="0068268C" w:rsidP="009C240E">
      <w:pPr>
        <w:tabs>
          <w:tab w:val="left" w:pos="993"/>
        </w:tabs>
      </w:pPr>
      <w:r>
        <w:rPr>
          <w:szCs w:val="22"/>
        </w:rPr>
        <w:t>To</w:t>
      </w:r>
      <w:r w:rsidR="009C240E">
        <w:rPr>
          <w:szCs w:val="22"/>
        </w:rPr>
        <w:t xml:space="preserve"> </w:t>
      </w:r>
      <w:r w:rsidR="009C240E">
        <w:t xml:space="preserve">help manage the transition to payment in arrears and any associated cashflow impacts, providers will be paid the July 2022 monthly payment in advance. The August 2022 payment will then be made at the start of September 2022. </w:t>
      </w:r>
      <w:r w:rsidR="00267A37">
        <w:t>Through</w:t>
      </w:r>
      <w:r w:rsidR="009C240E">
        <w:t xml:space="preserve"> receiving the July 2022 monthly payment in </w:t>
      </w:r>
      <w:r w:rsidR="00267A37">
        <w:t>advance,</w:t>
      </w:r>
      <w:r w:rsidR="009C240E">
        <w:t xml:space="preserve"> providers will </w:t>
      </w:r>
      <w:r w:rsidR="005D3A8A">
        <w:t xml:space="preserve">not have to wait four months for their next payment, noting the last quarterly upfront </w:t>
      </w:r>
      <w:r w:rsidR="005D3A8A">
        <w:lastRenderedPageBreak/>
        <w:t xml:space="preserve">payment will be in </w:t>
      </w:r>
      <w:r>
        <w:t>April 2022.</w:t>
      </w:r>
      <w:r w:rsidR="005D3A8A">
        <w:t xml:space="preserve"> This means the maximum gap between payments will be three months rather than four months. </w:t>
      </w:r>
    </w:p>
    <w:p w14:paraId="7FFE3BFD" w14:textId="77777777" w:rsidR="00B91A6C" w:rsidRPr="0048584D" w:rsidRDefault="00B91A6C" w:rsidP="0034322F">
      <w:pPr>
        <w:rPr>
          <w:sz w:val="2"/>
          <w:szCs w:val="2"/>
        </w:rPr>
      </w:pPr>
    </w:p>
    <w:p w14:paraId="4A042E83" w14:textId="1976E22D" w:rsidR="00CD6A55" w:rsidRDefault="00CD6A55" w:rsidP="00A2264C">
      <w:pPr>
        <w:pStyle w:val="Heading3"/>
        <w:ind w:left="426" w:hanging="426"/>
      </w:pPr>
      <w:r>
        <w:t>Will</w:t>
      </w:r>
      <w:r w:rsidRPr="00537C04">
        <w:t xml:space="preserve"> </w:t>
      </w:r>
      <w:r>
        <w:t xml:space="preserve">smaller CHSP providers </w:t>
      </w:r>
      <w:r w:rsidR="000A145D">
        <w:t xml:space="preserve">receive </w:t>
      </w:r>
      <w:r w:rsidRPr="00537C04">
        <w:t xml:space="preserve">grants </w:t>
      </w:r>
      <w:r>
        <w:t xml:space="preserve">or other financial means </w:t>
      </w:r>
      <w:r w:rsidRPr="00537C04">
        <w:t xml:space="preserve">to </w:t>
      </w:r>
      <w:r>
        <w:t>ensure business viability?</w:t>
      </w:r>
    </w:p>
    <w:p w14:paraId="7A7E0BD0" w14:textId="71885F0D" w:rsidR="00CD6A55" w:rsidRDefault="00B91A6C" w:rsidP="00CD6A55">
      <w:r>
        <w:t xml:space="preserve">Please </w:t>
      </w:r>
      <w:r w:rsidR="0048584D">
        <w:t xml:space="preserve">see </w:t>
      </w:r>
      <w:r>
        <w:t xml:space="preserve">Question and Answer </w:t>
      </w:r>
      <w:r w:rsidR="00AB0181">
        <w:t xml:space="preserve">60 and 61 </w:t>
      </w:r>
      <w:r>
        <w:t>for more detail.</w:t>
      </w:r>
    </w:p>
    <w:p w14:paraId="64C822C2" w14:textId="77777777" w:rsidR="00B91A6C" w:rsidRPr="0048584D" w:rsidRDefault="00B91A6C" w:rsidP="00CD6A55">
      <w:pPr>
        <w:rPr>
          <w:sz w:val="2"/>
          <w:szCs w:val="2"/>
        </w:rPr>
      </w:pPr>
    </w:p>
    <w:p w14:paraId="7A6A5B90" w14:textId="17B3581B" w:rsidR="00B91A6C" w:rsidRDefault="00B91A6C" w:rsidP="00A2264C">
      <w:pPr>
        <w:pStyle w:val="Heading3"/>
        <w:ind w:left="426" w:hanging="426"/>
      </w:pPr>
      <w:r>
        <w:t xml:space="preserve">Will there be </w:t>
      </w:r>
      <w:r w:rsidR="000A145D">
        <w:t>extra</w:t>
      </w:r>
      <w:r>
        <w:t xml:space="preserve"> funding to support administration and compliance costs?</w:t>
      </w:r>
    </w:p>
    <w:p w14:paraId="5D47925B" w14:textId="5647CA51" w:rsidR="00B91A6C" w:rsidRDefault="00B91A6C" w:rsidP="00B91A6C">
      <w:r>
        <w:t xml:space="preserve">No. However, there will be transition support funding available to </w:t>
      </w:r>
      <w:r w:rsidR="000A145D">
        <w:t>help</w:t>
      </w:r>
      <w:r>
        <w:t xml:space="preserve"> providers with the transition to payment in arrears. </w:t>
      </w:r>
    </w:p>
    <w:p w14:paraId="39934753" w14:textId="0B656CD0" w:rsidR="00C7465B" w:rsidRDefault="009E6BE9" w:rsidP="005D3A8A">
      <w:r>
        <w:t>Health</w:t>
      </w:r>
      <w:r w:rsidR="00B91A6C">
        <w:t xml:space="preserve"> acknowledges monthly reporting may </w:t>
      </w:r>
      <w:r w:rsidR="000A145D">
        <w:t>lead to</w:t>
      </w:r>
      <w:r w:rsidR="00B91A6C">
        <w:t xml:space="preserve"> additional administrative strain on some organisations</w:t>
      </w:r>
      <w:r w:rsidR="000A145D">
        <w:t>.</w:t>
      </w:r>
      <w:r w:rsidR="00B91A6C">
        <w:t xml:space="preserve"> </w:t>
      </w:r>
      <w:r w:rsidR="000A145D">
        <w:t>T</w:t>
      </w:r>
      <w:r w:rsidR="00B91A6C">
        <w:t xml:space="preserve">o </w:t>
      </w:r>
      <w:r w:rsidR="000A145D">
        <w:t>help</w:t>
      </w:r>
      <w:r w:rsidR="00B91A6C">
        <w:t xml:space="preserve"> with this, there will </w:t>
      </w:r>
      <w:r w:rsidR="000A145D">
        <w:t xml:space="preserve">soon </w:t>
      </w:r>
      <w:r w:rsidR="00B91A6C">
        <w:t xml:space="preserve">be DEX data training available to assist and upskill organisational staff </w:t>
      </w:r>
      <w:r w:rsidR="00555ED3">
        <w:t xml:space="preserve">and improve reporting </w:t>
      </w:r>
      <w:r w:rsidR="00B91A6C">
        <w:t>efficiency.</w:t>
      </w:r>
    </w:p>
    <w:p w14:paraId="3B627164" w14:textId="6F57A1FB" w:rsidR="00CF56A5" w:rsidRDefault="00CF56A5" w:rsidP="00A2264C">
      <w:pPr>
        <w:pStyle w:val="Heading3"/>
        <w:ind w:left="426" w:hanging="426"/>
      </w:pPr>
      <w:r>
        <w:t xml:space="preserve">Will there be funding available to </w:t>
      </w:r>
      <w:r w:rsidR="000A145D">
        <w:t>help</w:t>
      </w:r>
      <w:r>
        <w:t xml:space="preserve"> providers update their IT systems?</w:t>
      </w:r>
    </w:p>
    <w:p w14:paraId="42676BBB" w14:textId="57626563" w:rsidR="00267A37" w:rsidRDefault="00267A37" w:rsidP="00267A37">
      <w:r>
        <w:t>No. Please see Question and Answer 52 for more detail.</w:t>
      </w:r>
    </w:p>
    <w:p w14:paraId="0CCCC586" w14:textId="3050A063" w:rsidR="00267A37" w:rsidRPr="005D3A8A" w:rsidRDefault="00267A37" w:rsidP="002A10E7">
      <w:pPr>
        <w:rPr>
          <w:sz w:val="2"/>
          <w:szCs w:val="2"/>
        </w:rPr>
      </w:pPr>
    </w:p>
    <w:p w14:paraId="65309D4B" w14:textId="323EA707" w:rsidR="00086BA8" w:rsidRPr="00A2264C" w:rsidRDefault="00267A37" w:rsidP="005D3A8A">
      <w:pPr>
        <w:pStyle w:val="Heading2"/>
        <w:numPr>
          <w:ilvl w:val="0"/>
          <w:numId w:val="0"/>
        </w:numPr>
        <w:rPr>
          <w:sz w:val="26"/>
          <w:szCs w:val="26"/>
        </w:rPr>
      </w:pPr>
      <w:r>
        <w:rPr>
          <w:sz w:val="26"/>
          <w:szCs w:val="26"/>
        </w:rPr>
        <w:t>V</w:t>
      </w:r>
      <w:r w:rsidR="00086BA8" w:rsidRPr="00A2264C">
        <w:rPr>
          <w:sz w:val="26"/>
          <w:szCs w:val="26"/>
        </w:rPr>
        <w:t>accinations</w:t>
      </w:r>
    </w:p>
    <w:p w14:paraId="2AABC2B4" w14:textId="0FEE0C14" w:rsidR="0045778A" w:rsidRDefault="0045778A" w:rsidP="00A2264C">
      <w:pPr>
        <w:pStyle w:val="Heading3"/>
        <w:ind w:left="426" w:hanging="426"/>
      </w:pPr>
      <w:r w:rsidRPr="0045778A">
        <w:t xml:space="preserve">Will there be a </w:t>
      </w:r>
      <w:r w:rsidR="000A145D">
        <w:t xml:space="preserve">need </w:t>
      </w:r>
      <w:r w:rsidRPr="0045778A">
        <w:t xml:space="preserve">for service recipients to be vaccinated prior to receiving service? </w:t>
      </w:r>
    </w:p>
    <w:p w14:paraId="1DE91D7B" w14:textId="79965A7C" w:rsidR="008257F2" w:rsidRDefault="00AB0181" w:rsidP="008257F2">
      <w:r>
        <w:t>Whilst strongly encouraged, t</w:t>
      </w:r>
      <w:r w:rsidR="008257F2">
        <w:t xml:space="preserve">here is no </w:t>
      </w:r>
      <w:r>
        <w:t xml:space="preserve">broad community mandate </w:t>
      </w:r>
      <w:r w:rsidR="008257F2">
        <w:t xml:space="preserve">for CHSP recipients to have received a COVID-19 </w:t>
      </w:r>
      <w:r w:rsidR="001E4833">
        <w:t xml:space="preserve">vaccination </w:t>
      </w:r>
      <w:proofErr w:type="gramStart"/>
      <w:r w:rsidR="001E4833">
        <w:t>in order to</w:t>
      </w:r>
      <w:proofErr w:type="gramEnd"/>
      <w:r w:rsidR="001E4833">
        <w:t xml:space="preserve"> access CHSP services</w:t>
      </w:r>
      <w:r w:rsidR="008257F2">
        <w:t>.</w:t>
      </w:r>
      <w:r w:rsidR="00B91A6C">
        <w:t xml:space="preserve"> </w:t>
      </w:r>
    </w:p>
    <w:p w14:paraId="6D1A09F2" w14:textId="062C0B67" w:rsidR="001E4833" w:rsidRDefault="00DA5395" w:rsidP="008257F2">
      <w:r>
        <w:t xml:space="preserve">The </w:t>
      </w:r>
      <w:r w:rsidR="00B91A6C">
        <w:t>Health</w:t>
      </w:r>
      <w:r>
        <w:t xml:space="preserve"> website</w:t>
      </w:r>
      <w:r w:rsidR="00B91A6C">
        <w:t xml:space="preserve"> </w:t>
      </w:r>
      <w:r w:rsidR="001E4833">
        <w:t>has information on</w:t>
      </w:r>
      <w:r w:rsidR="006B20D3">
        <w:t xml:space="preserve"> who is required to get a COVID-19 vaccination.</w:t>
      </w:r>
    </w:p>
    <w:p w14:paraId="614DB7FC" w14:textId="77777777" w:rsidR="00B91A6C" w:rsidRPr="009E6BE9" w:rsidRDefault="00B91A6C" w:rsidP="008257F2">
      <w:pPr>
        <w:rPr>
          <w:sz w:val="2"/>
          <w:szCs w:val="2"/>
        </w:rPr>
      </w:pPr>
    </w:p>
    <w:p w14:paraId="3F294AEE" w14:textId="43ADD2B6" w:rsidR="00FA45D5" w:rsidRPr="00A2264C" w:rsidRDefault="00086BA8" w:rsidP="00A2264C">
      <w:pPr>
        <w:pStyle w:val="Heading2"/>
        <w:numPr>
          <w:ilvl w:val="0"/>
          <w:numId w:val="0"/>
        </w:numPr>
        <w:rPr>
          <w:sz w:val="26"/>
          <w:szCs w:val="26"/>
        </w:rPr>
      </w:pPr>
      <w:r w:rsidRPr="00A2264C">
        <w:rPr>
          <w:sz w:val="26"/>
          <w:szCs w:val="26"/>
        </w:rPr>
        <w:t xml:space="preserve">Growth round  </w:t>
      </w:r>
    </w:p>
    <w:p w14:paraId="0A66037E" w14:textId="5291A8CD" w:rsidR="0092359E" w:rsidRDefault="0092359E" w:rsidP="00A2264C">
      <w:pPr>
        <w:pStyle w:val="Heading3"/>
        <w:ind w:left="426" w:hanging="426"/>
      </w:pPr>
      <w:r>
        <w:t xml:space="preserve">Will there be growth round funding available </w:t>
      </w:r>
      <w:r w:rsidR="00EB26C0">
        <w:t xml:space="preserve">for the 2022-23 CHSP extension </w:t>
      </w:r>
      <w:r>
        <w:t>to increase a provider’s outputs?</w:t>
      </w:r>
    </w:p>
    <w:p w14:paraId="5A918381" w14:textId="5B9B59B8" w:rsidR="0092359E" w:rsidRDefault="009E6BE9" w:rsidP="0092359E">
      <w:r>
        <w:t xml:space="preserve">At this </w:t>
      </w:r>
      <w:r w:rsidR="00AB0181">
        <w:t xml:space="preserve">point in </w:t>
      </w:r>
      <w:r>
        <w:t>time t</w:t>
      </w:r>
      <w:r w:rsidR="0092359E">
        <w:t xml:space="preserve">here is no growth round anticipated for the 2022-23 CHSP </w:t>
      </w:r>
      <w:r w:rsidR="00884545">
        <w:t>e</w:t>
      </w:r>
      <w:r w:rsidR="0092359E">
        <w:t xml:space="preserve">xtension. </w:t>
      </w:r>
    </w:p>
    <w:p w14:paraId="71CDC401" w14:textId="4BC29A0B" w:rsidR="007D5F76" w:rsidRDefault="007D5F76" w:rsidP="0092359E">
      <w:r>
        <w:t xml:space="preserve">Health will </w:t>
      </w:r>
      <w:r w:rsidR="00410F11">
        <w:t>update</w:t>
      </w:r>
      <w:r>
        <w:t xml:space="preserve"> CHSP providers </w:t>
      </w:r>
      <w:r w:rsidR="00410F11">
        <w:t>should a growth round become available</w:t>
      </w:r>
      <w:r w:rsidR="002A10E7">
        <w:t>.</w:t>
      </w:r>
    </w:p>
    <w:p w14:paraId="12B09A6F" w14:textId="77777777" w:rsidR="00B91A6C" w:rsidRPr="009E6BE9" w:rsidRDefault="00B91A6C" w:rsidP="0092359E">
      <w:pPr>
        <w:rPr>
          <w:sz w:val="2"/>
          <w:szCs w:val="2"/>
        </w:rPr>
      </w:pPr>
    </w:p>
    <w:p w14:paraId="1A71CA7A" w14:textId="58733B64" w:rsidR="00086BA8" w:rsidRPr="00A2264C" w:rsidRDefault="00086BA8" w:rsidP="00A2264C">
      <w:pPr>
        <w:pStyle w:val="Heading2"/>
        <w:numPr>
          <w:ilvl w:val="0"/>
          <w:numId w:val="0"/>
        </w:numPr>
        <w:rPr>
          <w:sz w:val="26"/>
          <w:szCs w:val="26"/>
        </w:rPr>
      </w:pPr>
      <w:r w:rsidRPr="00A2264C">
        <w:rPr>
          <w:sz w:val="26"/>
          <w:szCs w:val="26"/>
        </w:rPr>
        <w:t>Means testing</w:t>
      </w:r>
    </w:p>
    <w:p w14:paraId="54E4549E" w14:textId="7BCDA828" w:rsidR="009F5A7B" w:rsidRDefault="00EB26C0" w:rsidP="00A2264C">
      <w:pPr>
        <w:pStyle w:val="Heading3"/>
        <w:ind w:left="426" w:hanging="426"/>
      </w:pPr>
      <w:r>
        <w:t>Are</w:t>
      </w:r>
      <w:r w:rsidR="009F5A7B" w:rsidRPr="00990BBB">
        <w:t xml:space="preserve"> there any plans to means test CHSP?  </w:t>
      </w:r>
    </w:p>
    <w:p w14:paraId="02DF8065" w14:textId="7FC18D4E" w:rsidR="009F5A7B" w:rsidRDefault="002A10E7" w:rsidP="009F5A7B">
      <w:r>
        <w:t xml:space="preserve">At this point in time there is no </w:t>
      </w:r>
      <w:r w:rsidR="007D5F76">
        <w:t xml:space="preserve">plan </w:t>
      </w:r>
      <w:r w:rsidR="00884545" w:rsidRPr="00A2264C">
        <w:t xml:space="preserve">for </w:t>
      </w:r>
      <w:r w:rsidR="007D5F76">
        <w:t xml:space="preserve">the </w:t>
      </w:r>
      <w:r w:rsidR="00884545" w:rsidRPr="00A2264C">
        <w:t>2022-23 CHSP extension</w:t>
      </w:r>
      <w:r>
        <w:t xml:space="preserve"> to be </w:t>
      </w:r>
      <w:r w:rsidRPr="00A2264C">
        <w:t>means tested</w:t>
      </w:r>
      <w:r w:rsidR="00884545" w:rsidRPr="00A2264C">
        <w:t>.</w:t>
      </w:r>
      <w:r w:rsidR="00884545">
        <w:t xml:space="preserve"> </w:t>
      </w:r>
    </w:p>
    <w:sectPr w:rsidR="009F5A7B" w:rsidSect="00A2264C">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843" w:right="1440" w:bottom="993" w:left="1440"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933AD" w14:textId="77777777" w:rsidR="00C87239" w:rsidRDefault="00C87239" w:rsidP="00307621">
      <w:r>
        <w:separator/>
      </w:r>
    </w:p>
  </w:endnote>
  <w:endnote w:type="continuationSeparator" w:id="0">
    <w:p w14:paraId="14EF0770" w14:textId="77777777" w:rsidR="00C87239" w:rsidRDefault="00C87239" w:rsidP="0030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CA440" w14:textId="77777777" w:rsidR="00C87239" w:rsidRDefault="00C87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8033734"/>
      <w:docPartObj>
        <w:docPartGallery w:val="Page Numbers (Bottom of Page)"/>
        <w:docPartUnique/>
      </w:docPartObj>
    </w:sdtPr>
    <w:sdtEndPr/>
    <w:sdtContent>
      <w:sdt>
        <w:sdtPr>
          <w:id w:val="-1769616900"/>
          <w:docPartObj>
            <w:docPartGallery w:val="Page Numbers (Top of Page)"/>
            <w:docPartUnique/>
          </w:docPartObj>
        </w:sdtPr>
        <w:sdtEndPr/>
        <w:sdtContent>
          <w:p w14:paraId="7B1CD61A" w14:textId="44241F4F" w:rsidR="00C87239" w:rsidRDefault="00C87239" w:rsidP="00393E2D">
            <w:pPr>
              <w:pStyle w:val="Footer"/>
            </w:pPr>
            <w:r>
              <w:t xml:space="preserve">Q &amp; A: </w:t>
            </w:r>
            <w:r w:rsidRPr="00A2264C">
              <w:t xml:space="preserve">CHSP 2022-23 extension </w:t>
            </w:r>
            <w:r>
              <w:t xml:space="preserve">webinar </w:t>
            </w:r>
            <w:r>
              <w:tab/>
            </w:r>
            <w:r>
              <w:tab/>
              <w:t xml:space="preserve"> </w:t>
            </w:r>
            <w:r w:rsidRPr="00AB19E9">
              <w:t xml:space="preserve">Page </w:t>
            </w:r>
            <w:r w:rsidRPr="00AB19E9">
              <w:fldChar w:fldCharType="begin"/>
            </w:r>
            <w:r w:rsidRPr="00AB19E9">
              <w:instrText xml:space="preserve"> PAGE </w:instrText>
            </w:r>
            <w:r w:rsidRPr="00AB19E9">
              <w:fldChar w:fldCharType="separate"/>
            </w:r>
            <w:r>
              <w:rPr>
                <w:noProof/>
              </w:rPr>
              <w:t>9</w:t>
            </w:r>
            <w:r w:rsidRPr="00AB19E9">
              <w:fldChar w:fldCharType="end"/>
            </w:r>
            <w:r w:rsidRPr="00AB19E9">
              <w:t xml:space="preserve"> of </w:t>
            </w:r>
            <w:fldSimple w:instr=" NUMPAGES  ">
              <w:r>
                <w:rPr>
                  <w:noProof/>
                </w:rPr>
                <w:t>11</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1EC8D" w14:textId="77777777" w:rsidR="00C87239" w:rsidRDefault="00C87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863D2" w14:textId="77777777" w:rsidR="00C87239" w:rsidRDefault="00C87239" w:rsidP="00F77063">
      <w:r>
        <w:separator/>
      </w:r>
    </w:p>
  </w:footnote>
  <w:footnote w:type="continuationSeparator" w:id="0">
    <w:p w14:paraId="11E6C71D" w14:textId="77777777" w:rsidR="00C87239" w:rsidRDefault="00C87239" w:rsidP="0030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3D29B" w14:textId="77777777" w:rsidR="00C87239" w:rsidRDefault="00C87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FCDB3" w14:textId="7552EA14" w:rsidR="00C87239" w:rsidRDefault="00C87239">
    <w:pPr>
      <w:pStyle w:val="Header"/>
    </w:pPr>
    <w:r>
      <w:rPr>
        <w:noProof/>
        <w:lang w:eastAsia="en-AU"/>
      </w:rPr>
      <w:drawing>
        <wp:inline distT="0" distB="0" distL="0" distR="0" wp14:anchorId="57E09AA1" wp14:editId="7038B81D">
          <wp:extent cx="5731510" cy="937568"/>
          <wp:effectExtent l="0" t="0" r="2540" b="0"/>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731510" cy="93756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8E85F" w14:textId="77777777" w:rsidR="00C87239" w:rsidRDefault="00C87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4ADC"/>
    <w:multiLevelType w:val="hybridMultilevel"/>
    <w:tmpl w:val="5078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D66CA"/>
    <w:multiLevelType w:val="hybridMultilevel"/>
    <w:tmpl w:val="401CE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90EBD"/>
    <w:multiLevelType w:val="hybridMultilevel"/>
    <w:tmpl w:val="8FE60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624D6"/>
    <w:multiLevelType w:val="hybridMultilevel"/>
    <w:tmpl w:val="D60E5DA8"/>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4" w15:restartNumberingAfterBreak="0">
    <w:nsid w:val="125E566F"/>
    <w:multiLevelType w:val="hybridMultilevel"/>
    <w:tmpl w:val="4F62D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5537B"/>
    <w:multiLevelType w:val="hybridMultilevel"/>
    <w:tmpl w:val="495E306C"/>
    <w:lvl w:ilvl="0" w:tplc="0EA8B88E">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4F7A26"/>
    <w:multiLevelType w:val="hybridMultilevel"/>
    <w:tmpl w:val="A670CA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14A5E95"/>
    <w:multiLevelType w:val="hybridMultilevel"/>
    <w:tmpl w:val="75E076F8"/>
    <w:lvl w:ilvl="0" w:tplc="FB26A012">
      <w:numFmt w:val="bullet"/>
      <w:lvlText w:val=""/>
      <w:lvlJc w:val="left"/>
      <w:pPr>
        <w:ind w:left="720" w:hanging="360"/>
      </w:pPr>
      <w:rPr>
        <w:rFonts w:ascii="Symbol" w:eastAsiaTheme="minorHAns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F13965"/>
    <w:multiLevelType w:val="hybridMultilevel"/>
    <w:tmpl w:val="35708908"/>
    <w:lvl w:ilvl="0" w:tplc="67DCDAA2">
      <w:start w:val="1"/>
      <w:numFmt w:val="bullet"/>
      <w:lvlText w:val="•"/>
      <w:lvlJc w:val="left"/>
      <w:pPr>
        <w:tabs>
          <w:tab w:val="num" w:pos="720"/>
        </w:tabs>
        <w:ind w:left="720" w:hanging="360"/>
      </w:pPr>
      <w:rPr>
        <w:rFonts w:ascii="Arial" w:hAnsi="Arial" w:hint="default"/>
      </w:rPr>
    </w:lvl>
    <w:lvl w:ilvl="1" w:tplc="234C7DBC" w:tentative="1">
      <w:start w:val="1"/>
      <w:numFmt w:val="bullet"/>
      <w:lvlText w:val="•"/>
      <w:lvlJc w:val="left"/>
      <w:pPr>
        <w:tabs>
          <w:tab w:val="num" w:pos="1440"/>
        </w:tabs>
        <w:ind w:left="1440" w:hanging="360"/>
      </w:pPr>
      <w:rPr>
        <w:rFonts w:ascii="Arial" w:hAnsi="Arial" w:hint="default"/>
      </w:rPr>
    </w:lvl>
    <w:lvl w:ilvl="2" w:tplc="27B6D72C" w:tentative="1">
      <w:start w:val="1"/>
      <w:numFmt w:val="bullet"/>
      <w:lvlText w:val="•"/>
      <w:lvlJc w:val="left"/>
      <w:pPr>
        <w:tabs>
          <w:tab w:val="num" w:pos="2160"/>
        </w:tabs>
        <w:ind w:left="2160" w:hanging="360"/>
      </w:pPr>
      <w:rPr>
        <w:rFonts w:ascii="Arial" w:hAnsi="Arial" w:hint="default"/>
      </w:rPr>
    </w:lvl>
    <w:lvl w:ilvl="3" w:tplc="730C1DDA" w:tentative="1">
      <w:start w:val="1"/>
      <w:numFmt w:val="bullet"/>
      <w:lvlText w:val="•"/>
      <w:lvlJc w:val="left"/>
      <w:pPr>
        <w:tabs>
          <w:tab w:val="num" w:pos="2880"/>
        </w:tabs>
        <w:ind w:left="2880" w:hanging="360"/>
      </w:pPr>
      <w:rPr>
        <w:rFonts w:ascii="Arial" w:hAnsi="Arial" w:hint="default"/>
      </w:rPr>
    </w:lvl>
    <w:lvl w:ilvl="4" w:tplc="A2EC9EC0" w:tentative="1">
      <w:start w:val="1"/>
      <w:numFmt w:val="bullet"/>
      <w:lvlText w:val="•"/>
      <w:lvlJc w:val="left"/>
      <w:pPr>
        <w:tabs>
          <w:tab w:val="num" w:pos="3600"/>
        </w:tabs>
        <w:ind w:left="3600" w:hanging="360"/>
      </w:pPr>
      <w:rPr>
        <w:rFonts w:ascii="Arial" w:hAnsi="Arial" w:hint="default"/>
      </w:rPr>
    </w:lvl>
    <w:lvl w:ilvl="5" w:tplc="91AC0FA6" w:tentative="1">
      <w:start w:val="1"/>
      <w:numFmt w:val="bullet"/>
      <w:lvlText w:val="•"/>
      <w:lvlJc w:val="left"/>
      <w:pPr>
        <w:tabs>
          <w:tab w:val="num" w:pos="4320"/>
        </w:tabs>
        <w:ind w:left="4320" w:hanging="360"/>
      </w:pPr>
      <w:rPr>
        <w:rFonts w:ascii="Arial" w:hAnsi="Arial" w:hint="default"/>
      </w:rPr>
    </w:lvl>
    <w:lvl w:ilvl="6" w:tplc="A622146A" w:tentative="1">
      <w:start w:val="1"/>
      <w:numFmt w:val="bullet"/>
      <w:lvlText w:val="•"/>
      <w:lvlJc w:val="left"/>
      <w:pPr>
        <w:tabs>
          <w:tab w:val="num" w:pos="5040"/>
        </w:tabs>
        <w:ind w:left="5040" w:hanging="360"/>
      </w:pPr>
      <w:rPr>
        <w:rFonts w:ascii="Arial" w:hAnsi="Arial" w:hint="default"/>
      </w:rPr>
    </w:lvl>
    <w:lvl w:ilvl="7" w:tplc="AD80817E" w:tentative="1">
      <w:start w:val="1"/>
      <w:numFmt w:val="bullet"/>
      <w:lvlText w:val="•"/>
      <w:lvlJc w:val="left"/>
      <w:pPr>
        <w:tabs>
          <w:tab w:val="num" w:pos="5760"/>
        </w:tabs>
        <w:ind w:left="5760" w:hanging="360"/>
      </w:pPr>
      <w:rPr>
        <w:rFonts w:ascii="Arial" w:hAnsi="Arial" w:hint="default"/>
      </w:rPr>
    </w:lvl>
    <w:lvl w:ilvl="8" w:tplc="685610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A747B3"/>
    <w:multiLevelType w:val="hybridMultilevel"/>
    <w:tmpl w:val="DDB27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D56AEA"/>
    <w:multiLevelType w:val="hybridMultilevel"/>
    <w:tmpl w:val="E66A1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B16325E"/>
    <w:multiLevelType w:val="hybridMultilevel"/>
    <w:tmpl w:val="DA4C2AC8"/>
    <w:lvl w:ilvl="0" w:tplc="98406BF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D65A4D"/>
    <w:multiLevelType w:val="hybridMultilevel"/>
    <w:tmpl w:val="F4143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301AE0"/>
    <w:multiLevelType w:val="hybridMultilevel"/>
    <w:tmpl w:val="3B84AE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184002"/>
    <w:multiLevelType w:val="hybridMultilevel"/>
    <w:tmpl w:val="A23682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3FDC25A6"/>
    <w:multiLevelType w:val="hybridMultilevel"/>
    <w:tmpl w:val="08FABB9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 w15:restartNumberingAfterBreak="0">
    <w:nsid w:val="41521C0C"/>
    <w:multiLevelType w:val="hybridMultilevel"/>
    <w:tmpl w:val="75A00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C72617"/>
    <w:multiLevelType w:val="hybridMultilevel"/>
    <w:tmpl w:val="27D0DD16"/>
    <w:lvl w:ilvl="0" w:tplc="D66EF38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6E2610"/>
    <w:multiLevelType w:val="hybridMultilevel"/>
    <w:tmpl w:val="D97CF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944B7E"/>
    <w:multiLevelType w:val="hybridMultilevel"/>
    <w:tmpl w:val="1BC0F23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4582F89"/>
    <w:multiLevelType w:val="hybridMultilevel"/>
    <w:tmpl w:val="BEAA0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DC2C34"/>
    <w:multiLevelType w:val="hybridMultilevel"/>
    <w:tmpl w:val="09822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785426"/>
    <w:multiLevelType w:val="hybridMultilevel"/>
    <w:tmpl w:val="D9DED4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2F37978"/>
    <w:multiLevelType w:val="hybridMultilevel"/>
    <w:tmpl w:val="978EC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1A4825"/>
    <w:multiLevelType w:val="hybridMultilevel"/>
    <w:tmpl w:val="D5968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3ED6F2C"/>
    <w:multiLevelType w:val="hybridMultilevel"/>
    <w:tmpl w:val="BFDCE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E52C57"/>
    <w:multiLevelType w:val="hybridMultilevel"/>
    <w:tmpl w:val="A128E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AE19F5"/>
    <w:multiLevelType w:val="hybridMultilevel"/>
    <w:tmpl w:val="0ABAD14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28" w15:restartNumberingAfterBreak="0">
    <w:nsid w:val="5E2F0793"/>
    <w:multiLevelType w:val="hybridMultilevel"/>
    <w:tmpl w:val="621C3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5D595D"/>
    <w:multiLevelType w:val="hybridMultilevel"/>
    <w:tmpl w:val="12B27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78734E"/>
    <w:multiLevelType w:val="hybridMultilevel"/>
    <w:tmpl w:val="74B25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DD57F9"/>
    <w:multiLevelType w:val="hybridMultilevel"/>
    <w:tmpl w:val="4A4C93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7D2BC5"/>
    <w:multiLevelType w:val="hybridMultilevel"/>
    <w:tmpl w:val="C332D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7F6C45"/>
    <w:multiLevelType w:val="hybridMultilevel"/>
    <w:tmpl w:val="BD9C96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0F23A8"/>
    <w:multiLevelType w:val="hybridMultilevel"/>
    <w:tmpl w:val="01322ABE"/>
    <w:lvl w:ilvl="0" w:tplc="2C342830">
      <w:start w:val="1"/>
      <w:numFmt w:val="decimal"/>
      <w:pStyle w:val="Heading3"/>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E463E2"/>
    <w:multiLevelType w:val="hybridMultilevel"/>
    <w:tmpl w:val="2AB25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A196906"/>
    <w:multiLevelType w:val="hybridMultilevel"/>
    <w:tmpl w:val="BDA0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193FDD"/>
    <w:multiLevelType w:val="hybridMultilevel"/>
    <w:tmpl w:val="7B58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027C87"/>
    <w:multiLevelType w:val="hybridMultilevel"/>
    <w:tmpl w:val="14264BE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7"/>
  </w:num>
  <w:num w:numId="2">
    <w:abstractNumId w:val="34"/>
  </w:num>
  <w:num w:numId="3">
    <w:abstractNumId w:val="27"/>
  </w:num>
  <w:num w:numId="4">
    <w:abstractNumId w:val="2"/>
  </w:num>
  <w:num w:numId="5">
    <w:abstractNumId w:val="5"/>
  </w:num>
  <w:num w:numId="6">
    <w:abstractNumId w:val="31"/>
  </w:num>
  <w:num w:numId="7">
    <w:abstractNumId w:val="3"/>
  </w:num>
  <w:num w:numId="8">
    <w:abstractNumId w:val="29"/>
  </w:num>
  <w:num w:numId="9">
    <w:abstractNumId w:val="36"/>
  </w:num>
  <w:num w:numId="10">
    <w:abstractNumId w:val="23"/>
  </w:num>
  <w:num w:numId="11">
    <w:abstractNumId w:val="17"/>
  </w:num>
  <w:num w:numId="12">
    <w:abstractNumId w:val="34"/>
  </w:num>
  <w:num w:numId="13">
    <w:abstractNumId w:val="34"/>
  </w:num>
  <w:num w:numId="14">
    <w:abstractNumId w:val="13"/>
  </w:num>
  <w:num w:numId="15">
    <w:abstractNumId w:val="34"/>
  </w:num>
  <w:num w:numId="16">
    <w:abstractNumId w:val="15"/>
  </w:num>
  <w:num w:numId="17">
    <w:abstractNumId w:val="38"/>
  </w:num>
  <w:num w:numId="18">
    <w:abstractNumId w:val="24"/>
  </w:num>
  <w:num w:numId="19">
    <w:abstractNumId w:val="35"/>
  </w:num>
  <w:num w:numId="20">
    <w:abstractNumId w:val="16"/>
  </w:num>
  <w:num w:numId="21">
    <w:abstractNumId w:val="34"/>
  </w:num>
  <w:num w:numId="22">
    <w:abstractNumId w:val="34"/>
  </w:num>
  <w:num w:numId="23">
    <w:abstractNumId w:val="14"/>
  </w:num>
  <w:num w:numId="24">
    <w:abstractNumId w:val="11"/>
  </w:num>
  <w:num w:numId="25">
    <w:abstractNumId w:val="30"/>
  </w:num>
  <w:num w:numId="26">
    <w:abstractNumId w:val="8"/>
  </w:num>
  <w:num w:numId="27">
    <w:abstractNumId w:val="10"/>
  </w:num>
  <w:num w:numId="28">
    <w:abstractNumId w:val="12"/>
  </w:num>
  <w:num w:numId="29">
    <w:abstractNumId w:val="25"/>
  </w:num>
  <w:num w:numId="30">
    <w:abstractNumId w:val="37"/>
  </w:num>
  <w:num w:numId="31">
    <w:abstractNumId w:val="33"/>
  </w:num>
  <w:num w:numId="32">
    <w:abstractNumId w:val="0"/>
  </w:num>
  <w:num w:numId="33">
    <w:abstractNumId w:val="18"/>
  </w:num>
  <w:num w:numId="34">
    <w:abstractNumId w:val="22"/>
  </w:num>
  <w:num w:numId="35">
    <w:abstractNumId w:val="6"/>
  </w:num>
  <w:num w:numId="36">
    <w:abstractNumId w:val="21"/>
  </w:num>
  <w:num w:numId="37">
    <w:abstractNumId w:val="26"/>
  </w:num>
  <w:num w:numId="38">
    <w:abstractNumId w:val="19"/>
  </w:num>
  <w:num w:numId="39">
    <w:abstractNumId w:val="9"/>
  </w:num>
  <w:num w:numId="40">
    <w:abstractNumId w:val="28"/>
  </w:num>
  <w:num w:numId="41">
    <w:abstractNumId w:val="20"/>
  </w:num>
  <w:num w:numId="42">
    <w:abstractNumId w:val="32"/>
  </w:num>
  <w:num w:numId="43">
    <w:abstractNumId w:val="4"/>
  </w:num>
  <w:num w:numId="44">
    <w:abstractNumId w:val="1"/>
  </w:num>
  <w:num w:numId="45">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E3"/>
    <w:rsid w:val="00000970"/>
    <w:rsid w:val="000012A9"/>
    <w:rsid w:val="00001655"/>
    <w:rsid w:val="00002B1A"/>
    <w:rsid w:val="00002EF8"/>
    <w:rsid w:val="00004A0A"/>
    <w:rsid w:val="00007FDE"/>
    <w:rsid w:val="000110C4"/>
    <w:rsid w:val="0001253F"/>
    <w:rsid w:val="00013EED"/>
    <w:rsid w:val="000203D4"/>
    <w:rsid w:val="000220B2"/>
    <w:rsid w:val="00022F83"/>
    <w:rsid w:val="00023F1C"/>
    <w:rsid w:val="00025E22"/>
    <w:rsid w:val="00026555"/>
    <w:rsid w:val="00026733"/>
    <w:rsid w:val="000272B8"/>
    <w:rsid w:val="000272F0"/>
    <w:rsid w:val="00030A7F"/>
    <w:rsid w:val="000316F1"/>
    <w:rsid w:val="000356D2"/>
    <w:rsid w:val="00040B30"/>
    <w:rsid w:val="000427F1"/>
    <w:rsid w:val="00043494"/>
    <w:rsid w:val="00045873"/>
    <w:rsid w:val="0004708F"/>
    <w:rsid w:val="000470BF"/>
    <w:rsid w:val="00050A9D"/>
    <w:rsid w:val="000519BB"/>
    <w:rsid w:val="00052DF7"/>
    <w:rsid w:val="0005531F"/>
    <w:rsid w:val="0005541C"/>
    <w:rsid w:val="00055546"/>
    <w:rsid w:val="00055FCB"/>
    <w:rsid w:val="000600EF"/>
    <w:rsid w:val="000622FA"/>
    <w:rsid w:val="000661D7"/>
    <w:rsid w:val="00066861"/>
    <w:rsid w:val="000673C2"/>
    <w:rsid w:val="0006796F"/>
    <w:rsid w:val="0007358F"/>
    <w:rsid w:val="0007578C"/>
    <w:rsid w:val="000818A9"/>
    <w:rsid w:val="00081B92"/>
    <w:rsid w:val="000835C9"/>
    <w:rsid w:val="00083B09"/>
    <w:rsid w:val="00083E6D"/>
    <w:rsid w:val="000865C1"/>
    <w:rsid w:val="00086BA8"/>
    <w:rsid w:val="00090186"/>
    <w:rsid w:val="0009242E"/>
    <w:rsid w:val="000931A6"/>
    <w:rsid w:val="0009601E"/>
    <w:rsid w:val="000A145D"/>
    <w:rsid w:val="000A214A"/>
    <w:rsid w:val="000A220F"/>
    <w:rsid w:val="000A391A"/>
    <w:rsid w:val="000A5564"/>
    <w:rsid w:val="000B1E49"/>
    <w:rsid w:val="000B227A"/>
    <w:rsid w:val="000B383F"/>
    <w:rsid w:val="000B4D3F"/>
    <w:rsid w:val="000B6087"/>
    <w:rsid w:val="000B6D89"/>
    <w:rsid w:val="000B7A29"/>
    <w:rsid w:val="000C0B57"/>
    <w:rsid w:val="000C1ADD"/>
    <w:rsid w:val="000C32DB"/>
    <w:rsid w:val="000C6A4C"/>
    <w:rsid w:val="000D13C5"/>
    <w:rsid w:val="000D2C4F"/>
    <w:rsid w:val="000D4C39"/>
    <w:rsid w:val="000D6CE7"/>
    <w:rsid w:val="000D78CD"/>
    <w:rsid w:val="000D7D60"/>
    <w:rsid w:val="000E0805"/>
    <w:rsid w:val="000E090C"/>
    <w:rsid w:val="000E3671"/>
    <w:rsid w:val="000E6EC8"/>
    <w:rsid w:val="000F1853"/>
    <w:rsid w:val="000F65DF"/>
    <w:rsid w:val="0010039D"/>
    <w:rsid w:val="00105C46"/>
    <w:rsid w:val="00115706"/>
    <w:rsid w:val="00120348"/>
    <w:rsid w:val="0012158C"/>
    <w:rsid w:val="001228DF"/>
    <w:rsid w:val="001229F2"/>
    <w:rsid w:val="00126637"/>
    <w:rsid w:val="00126B16"/>
    <w:rsid w:val="001271BA"/>
    <w:rsid w:val="00130853"/>
    <w:rsid w:val="00130D7B"/>
    <w:rsid w:val="001336C8"/>
    <w:rsid w:val="001350E1"/>
    <w:rsid w:val="00135A62"/>
    <w:rsid w:val="00137E1D"/>
    <w:rsid w:val="001464C8"/>
    <w:rsid w:val="0014723F"/>
    <w:rsid w:val="0015025D"/>
    <w:rsid w:val="0015154F"/>
    <w:rsid w:val="0015195D"/>
    <w:rsid w:val="00151D5E"/>
    <w:rsid w:val="00152CF9"/>
    <w:rsid w:val="00157618"/>
    <w:rsid w:val="0016005D"/>
    <w:rsid w:val="00161E6A"/>
    <w:rsid w:val="001649F7"/>
    <w:rsid w:val="0016663D"/>
    <w:rsid w:val="001735A5"/>
    <w:rsid w:val="001746C2"/>
    <w:rsid w:val="00174D05"/>
    <w:rsid w:val="00175C51"/>
    <w:rsid w:val="0017609E"/>
    <w:rsid w:val="0017625B"/>
    <w:rsid w:val="00176ED1"/>
    <w:rsid w:val="00176FF2"/>
    <w:rsid w:val="001770F1"/>
    <w:rsid w:val="001808CB"/>
    <w:rsid w:val="0018789A"/>
    <w:rsid w:val="00192FDD"/>
    <w:rsid w:val="0019452B"/>
    <w:rsid w:val="00195965"/>
    <w:rsid w:val="001963D6"/>
    <w:rsid w:val="00196CE3"/>
    <w:rsid w:val="00196E2E"/>
    <w:rsid w:val="001A087E"/>
    <w:rsid w:val="001A6A45"/>
    <w:rsid w:val="001A71DF"/>
    <w:rsid w:val="001B0787"/>
    <w:rsid w:val="001B3502"/>
    <w:rsid w:val="001B3731"/>
    <w:rsid w:val="001B3D6F"/>
    <w:rsid w:val="001B420A"/>
    <w:rsid w:val="001B65B1"/>
    <w:rsid w:val="001C001B"/>
    <w:rsid w:val="001C1E96"/>
    <w:rsid w:val="001C2655"/>
    <w:rsid w:val="001C30E2"/>
    <w:rsid w:val="001C6804"/>
    <w:rsid w:val="001D0C87"/>
    <w:rsid w:val="001D2AE1"/>
    <w:rsid w:val="001D2DDB"/>
    <w:rsid w:val="001D361F"/>
    <w:rsid w:val="001D39A8"/>
    <w:rsid w:val="001D41A9"/>
    <w:rsid w:val="001D4559"/>
    <w:rsid w:val="001D6691"/>
    <w:rsid w:val="001E1FEE"/>
    <w:rsid w:val="001E2CF2"/>
    <w:rsid w:val="001E4833"/>
    <w:rsid w:val="001E504D"/>
    <w:rsid w:val="001E516B"/>
    <w:rsid w:val="001E618A"/>
    <w:rsid w:val="001F32E3"/>
    <w:rsid w:val="001F4CEE"/>
    <w:rsid w:val="00215165"/>
    <w:rsid w:val="00215BD8"/>
    <w:rsid w:val="00216D82"/>
    <w:rsid w:val="00217477"/>
    <w:rsid w:val="00221841"/>
    <w:rsid w:val="0022497B"/>
    <w:rsid w:val="00224D2A"/>
    <w:rsid w:val="00225254"/>
    <w:rsid w:val="0023260B"/>
    <w:rsid w:val="002368F3"/>
    <w:rsid w:val="00237887"/>
    <w:rsid w:val="00240273"/>
    <w:rsid w:val="00240B32"/>
    <w:rsid w:val="00242EA0"/>
    <w:rsid w:val="00243DDC"/>
    <w:rsid w:val="002459F0"/>
    <w:rsid w:val="00250B38"/>
    <w:rsid w:val="00252E63"/>
    <w:rsid w:val="00253689"/>
    <w:rsid w:val="00253FA9"/>
    <w:rsid w:val="00255E8D"/>
    <w:rsid w:val="00257974"/>
    <w:rsid w:val="00257B1F"/>
    <w:rsid w:val="00260030"/>
    <w:rsid w:val="002637D1"/>
    <w:rsid w:val="0026385A"/>
    <w:rsid w:val="0026512B"/>
    <w:rsid w:val="00265D5F"/>
    <w:rsid w:val="00266D9D"/>
    <w:rsid w:val="00267A37"/>
    <w:rsid w:val="00270F0C"/>
    <w:rsid w:val="002731AC"/>
    <w:rsid w:val="00273950"/>
    <w:rsid w:val="00275852"/>
    <w:rsid w:val="00280050"/>
    <w:rsid w:val="00284081"/>
    <w:rsid w:val="00286AB9"/>
    <w:rsid w:val="00290B09"/>
    <w:rsid w:val="00291FCA"/>
    <w:rsid w:val="00293B8B"/>
    <w:rsid w:val="00294A2A"/>
    <w:rsid w:val="00296629"/>
    <w:rsid w:val="00297682"/>
    <w:rsid w:val="002A0CBE"/>
    <w:rsid w:val="002A10E7"/>
    <w:rsid w:val="002A3BE7"/>
    <w:rsid w:val="002A47DE"/>
    <w:rsid w:val="002A521D"/>
    <w:rsid w:val="002A7890"/>
    <w:rsid w:val="002B089C"/>
    <w:rsid w:val="002B1011"/>
    <w:rsid w:val="002B2BF7"/>
    <w:rsid w:val="002B67CE"/>
    <w:rsid w:val="002C110B"/>
    <w:rsid w:val="002C3262"/>
    <w:rsid w:val="002C34F8"/>
    <w:rsid w:val="002C4B00"/>
    <w:rsid w:val="002C5272"/>
    <w:rsid w:val="002C73B8"/>
    <w:rsid w:val="002D001B"/>
    <w:rsid w:val="002D6A01"/>
    <w:rsid w:val="002D6D52"/>
    <w:rsid w:val="002D7D06"/>
    <w:rsid w:val="002E0C8E"/>
    <w:rsid w:val="002E2710"/>
    <w:rsid w:val="002E29B7"/>
    <w:rsid w:val="002E7AB3"/>
    <w:rsid w:val="002F0DAB"/>
    <w:rsid w:val="002F2F6A"/>
    <w:rsid w:val="00300262"/>
    <w:rsid w:val="00300AF8"/>
    <w:rsid w:val="00301FE9"/>
    <w:rsid w:val="00301FFD"/>
    <w:rsid w:val="003043A6"/>
    <w:rsid w:val="0030539A"/>
    <w:rsid w:val="0030656B"/>
    <w:rsid w:val="00307621"/>
    <w:rsid w:val="0032062C"/>
    <w:rsid w:val="00321769"/>
    <w:rsid w:val="003222CC"/>
    <w:rsid w:val="00324531"/>
    <w:rsid w:val="003253A7"/>
    <w:rsid w:val="003279A6"/>
    <w:rsid w:val="00327FA1"/>
    <w:rsid w:val="00330515"/>
    <w:rsid w:val="00330BFE"/>
    <w:rsid w:val="00330FD5"/>
    <w:rsid w:val="00332489"/>
    <w:rsid w:val="00334F66"/>
    <w:rsid w:val="003374B5"/>
    <w:rsid w:val="0034322F"/>
    <w:rsid w:val="003530CA"/>
    <w:rsid w:val="00353D39"/>
    <w:rsid w:val="00354196"/>
    <w:rsid w:val="00355043"/>
    <w:rsid w:val="0035608F"/>
    <w:rsid w:val="003570D8"/>
    <w:rsid w:val="003572DD"/>
    <w:rsid w:val="00363ABD"/>
    <w:rsid w:val="003665CA"/>
    <w:rsid w:val="00370BE1"/>
    <w:rsid w:val="003720D8"/>
    <w:rsid w:val="00372C1A"/>
    <w:rsid w:val="00382592"/>
    <w:rsid w:val="00383B25"/>
    <w:rsid w:val="00386FA3"/>
    <w:rsid w:val="00392925"/>
    <w:rsid w:val="003936B8"/>
    <w:rsid w:val="00393AB2"/>
    <w:rsid w:val="00393E2D"/>
    <w:rsid w:val="00395952"/>
    <w:rsid w:val="0039641E"/>
    <w:rsid w:val="003966D7"/>
    <w:rsid w:val="00396FD8"/>
    <w:rsid w:val="003A33CB"/>
    <w:rsid w:val="003A7AD6"/>
    <w:rsid w:val="003B0917"/>
    <w:rsid w:val="003B14C9"/>
    <w:rsid w:val="003B3A09"/>
    <w:rsid w:val="003C0170"/>
    <w:rsid w:val="003C27AE"/>
    <w:rsid w:val="003C3BCE"/>
    <w:rsid w:val="003C554D"/>
    <w:rsid w:val="003C62B6"/>
    <w:rsid w:val="003C794E"/>
    <w:rsid w:val="003D2276"/>
    <w:rsid w:val="003D2525"/>
    <w:rsid w:val="003D2FF8"/>
    <w:rsid w:val="003D40B6"/>
    <w:rsid w:val="003D40F2"/>
    <w:rsid w:val="003E173B"/>
    <w:rsid w:val="003E18FE"/>
    <w:rsid w:val="003E23A8"/>
    <w:rsid w:val="003E28FF"/>
    <w:rsid w:val="003E41B8"/>
    <w:rsid w:val="003E5FEA"/>
    <w:rsid w:val="003F3E36"/>
    <w:rsid w:val="003F75C8"/>
    <w:rsid w:val="003F7C29"/>
    <w:rsid w:val="00400B69"/>
    <w:rsid w:val="004025E0"/>
    <w:rsid w:val="00410F11"/>
    <w:rsid w:val="004113A3"/>
    <w:rsid w:val="0041409B"/>
    <w:rsid w:val="00416496"/>
    <w:rsid w:val="00416FF7"/>
    <w:rsid w:val="0042219F"/>
    <w:rsid w:val="004244BD"/>
    <w:rsid w:val="0042473C"/>
    <w:rsid w:val="004272D3"/>
    <w:rsid w:val="00427D61"/>
    <w:rsid w:val="0043293A"/>
    <w:rsid w:val="004343DD"/>
    <w:rsid w:val="00435E03"/>
    <w:rsid w:val="004400FC"/>
    <w:rsid w:val="004430D7"/>
    <w:rsid w:val="004441F8"/>
    <w:rsid w:val="00445A17"/>
    <w:rsid w:val="004464DB"/>
    <w:rsid w:val="00447841"/>
    <w:rsid w:val="004518E1"/>
    <w:rsid w:val="00453A11"/>
    <w:rsid w:val="0045778A"/>
    <w:rsid w:val="004629D7"/>
    <w:rsid w:val="00471795"/>
    <w:rsid w:val="00472896"/>
    <w:rsid w:val="00480071"/>
    <w:rsid w:val="00482B67"/>
    <w:rsid w:val="00482F04"/>
    <w:rsid w:val="00482FF2"/>
    <w:rsid w:val="00483C0E"/>
    <w:rsid w:val="0048584D"/>
    <w:rsid w:val="00485B56"/>
    <w:rsid w:val="00485B8C"/>
    <w:rsid w:val="00485C48"/>
    <w:rsid w:val="00485D70"/>
    <w:rsid w:val="00485DCD"/>
    <w:rsid w:val="004865F2"/>
    <w:rsid w:val="004900EC"/>
    <w:rsid w:val="004935A1"/>
    <w:rsid w:val="0049464B"/>
    <w:rsid w:val="004967A2"/>
    <w:rsid w:val="004A1AFC"/>
    <w:rsid w:val="004A1E4F"/>
    <w:rsid w:val="004A2874"/>
    <w:rsid w:val="004A5728"/>
    <w:rsid w:val="004A7390"/>
    <w:rsid w:val="004A7F28"/>
    <w:rsid w:val="004B5692"/>
    <w:rsid w:val="004B7B0A"/>
    <w:rsid w:val="004C2275"/>
    <w:rsid w:val="004D203F"/>
    <w:rsid w:val="004D2A64"/>
    <w:rsid w:val="004D2CA1"/>
    <w:rsid w:val="004D3A40"/>
    <w:rsid w:val="004D4120"/>
    <w:rsid w:val="004D5667"/>
    <w:rsid w:val="004E0022"/>
    <w:rsid w:val="004E2F09"/>
    <w:rsid w:val="004E44DF"/>
    <w:rsid w:val="004E46D3"/>
    <w:rsid w:val="004E76ED"/>
    <w:rsid w:val="004F0774"/>
    <w:rsid w:val="004F08CB"/>
    <w:rsid w:val="004F094C"/>
    <w:rsid w:val="004F564F"/>
    <w:rsid w:val="004F5926"/>
    <w:rsid w:val="00500274"/>
    <w:rsid w:val="0050034B"/>
    <w:rsid w:val="00500D24"/>
    <w:rsid w:val="00502B56"/>
    <w:rsid w:val="00503DA1"/>
    <w:rsid w:val="0050402D"/>
    <w:rsid w:val="00504403"/>
    <w:rsid w:val="00525DAC"/>
    <w:rsid w:val="00526F00"/>
    <w:rsid w:val="0053303D"/>
    <w:rsid w:val="00534A51"/>
    <w:rsid w:val="00534CDD"/>
    <w:rsid w:val="00535365"/>
    <w:rsid w:val="00540F62"/>
    <w:rsid w:val="005414A1"/>
    <w:rsid w:val="00541641"/>
    <w:rsid w:val="005448BB"/>
    <w:rsid w:val="0055051B"/>
    <w:rsid w:val="005536B5"/>
    <w:rsid w:val="00553B85"/>
    <w:rsid w:val="005551B3"/>
    <w:rsid w:val="00555ED3"/>
    <w:rsid w:val="00561446"/>
    <w:rsid w:val="005627E4"/>
    <w:rsid w:val="00564EAD"/>
    <w:rsid w:val="0056501F"/>
    <w:rsid w:val="0056685F"/>
    <w:rsid w:val="00572625"/>
    <w:rsid w:val="00574A63"/>
    <w:rsid w:val="00583BE3"/>
    <w:rsid w:val="00584032"/>
    <w:rsid w:val="0058533E"/>
    <w:rsid w:val="0059045F"/>
    <w:rsid w:val="005917CB"/>
    <w:rsid w:val="00594757"/>
    <w:rsid w:val="00595896"/>
    <w:rsid w:val="00597A96"/>
    <w:rsid w:val="005A08BB"/>
    <w:rsid w:val="005A6733"/>
    <w:rsid w:val="005A73A7"/>
    <w:rsid w:val="005B0E26"/>
    <w:rsid w:val="005B3082"/>
    <w:rsid w:val="005B5AD8"/>
    <w:rsid w:val="005B6CF5"/>
    <w:rsid w:val="005B7236"/>
    <w:rsid w:val="005C1606"/>
    <w:rsid w:val="005C5016"/>
    <w:rsid w:val="005C708F"/>
    <w:rsid w:val="005D1470"/>
    <w:rsid w:val="005D2A3C"/>
    <w:rsid w:val="005D3A8A"/>
    <w:rsid w:val="005D3B72"/>
    <w:rsid w:val="005D4B70"/>
    <w:rsid w:val="005D72AF"/>
    <w:rsid w:val="005E0C29"/>
    <w:rsid w:val="005E1608"/>
    <w:rsid w:val="005E16AC"/>
    <w:rsid w:val="005E1A6B"/>
    <w:rsid w:val="005E22D1"/>
    <w:rsid w:val="005E3544"/>
    <w:rsid w:val="005E3F87"/>
    <w:rsid w:val="005E533C"/>
    <w:rsid w:val="005E7661"/>
    <w:rsid w:val="006026BB"/>
    <w:rsid w:val="0060330B"/>
    <w:rsid w:val="00606DBC"/>
    <w:rsid w:val="00610410"/>
    <w:rsid w:val="00611C6C"/>
    <w:rsid w:val="00612FA5"/>
    <w:rsid w:val="006131E3"/>
    <w:rsid w:val="006173E0"/>
    <w:rsid w:val="006176BD"/>
    <w:rsid w:val="006213DA"/>
    <w:rsid w:val="006231C8"/>
    <w:rsid w:val="006234B9"/>
    <w:rsid w:val="00623948"/>
    <w:rsid w:val="00625967"/>
    <w:rsid w:val="00625D9F"/>
    <w:rsid w:val="00640DD7"/>
    <w:rsid w:val="00644015"/>
    <w:rsid w:val="00644FF5"/>
    <w:rsid w:val="00646264"/>
    <w:rsid w:val="00646613"/>
    <w:rsid w:val="006509B9"/>
    <w:rsid w:val="00653C5D"/>
    <w:rsid w:val="00654766"/>
    <w:rsid w:val="006562C9"/>
    <w:rsid w:val="0065690E"/>
    <w:rsid w:val="006604E4"/>
    <w:rsid w:val="006614F8"/>
    <w:rsid w:val="00661BDD"/>
    <w:rsid w:val="006634BE"/>
    <w:rsid w:val="00663782"/>
    <w:rsid w:val="00665A4C"/>
    <w:rsid w:val="00665EE4"/>
    <w:rsid w:val="00666182"/>
    <w:rsid w:val="006661DE"/>
    <w:rsid w:val="0067187A"/>
    <w:rsid w:val="00671DD6"/>
    <w:rsid w:val="00672D88"/>
    <w:rsid w:val="00674B3F"/>
    <w:rsid w:val="006753B9"/>
    <w:rsid w:val="00681BE3"/>
    <w:rsid w:val="0068268C"/>
    <w:rsid w:val="0068326D"/>
    <w:rsid w:val="00683B7E"/>
    <w:rsid w:val="00684A08"/>
    <w:rsid w:val="00685B49"/>
    <w:rsid w:val="00686BBC"/>
    <w:rsid w:val="00690641"/>
    <w:rsid w:val="00691488"/>
    <w:rsid w:val="00691BBF"/>
    <w:rsid w:val="00692156"/>
    <w:rsid w:val="00693D56"/>
    <w:rsid w:val="00695BE7"/>
    <w:rsid w:val="006A09AD"/>
    <w:rsid w:val="006A3369"/>
    <w:rsid w:val="006A33A5"/>
    <w:rsid w:val="006A586E"/>
    <w:rsid w:val="006A739E"/>
    <w:rsid w:val="006A756C"/>
    <w:rsid w:val="006B0367"/>
    <w:rsid w:val="006B20D3"/>
    <w:rsid w:val="006B4211"/>
    <w:rsid w:val="006B6902"/>
    <w:rsid w:val="006C05F3"/>
    <w:rsid w:val="006C3600"/>
    <w:rsid w:val="006C5D51"/>
    <w:rsid w:val="006C7383"/>
    <w:rsid w:val="006D470F"/>
    <w:rsid w:val="006D66DE"/>
    <w:rsid w:val="006D7BA5"/>
    <w:rsid w:val="006E051A"/>
    <w:rsid w:val="006E6E47"/>
    <w:rsid w:val="006E719C"/>
    <w:rsid w:val="006F0F09"/>
    <w:rsid w:val="006F70AA"/>
    <w:rsid w:val="00700E3E"/>
    <w:rsid w:val="00704718"/>
    <w:rsid w:val="00705C61"/>
    <w:rsid w:val="0070609C"/>
    <w:rsid w:val="007066A3"/>
    <w:rsid w:val="007074E2"/>
    <w:rsid w:val="007102A9"/>
    <w:rsid w:val="00710867"/>
    <w:rsid w:val="00711DA7"/>
    <w:rsid w:val="007136B0"/>
    <w:rsid w:val="00714D13"/>
    <w:rsid w:val="00715BF0"/>
    <w:rsid w:val="00715C9D"/>
    <w:rsid w:val="00720E9D"/>
    <w:rsid w:val="00723B39"/>
    <w:rsid w:val="00725722"/>
    <w:rsid w:val="00725FDE"/>
    <w:rsid w:val="00726C5B"/>
    <w:rsid w:val="0073326A"/>
    <w:rsid w:val="00741665"/>
    <w:rsid w:val="007458B1"/>
    <w:rsid w:val="00746488"/>
    <w:rsid w:val="00746CFE"/>
    <w:rsid w:val="00747840"/>
    <w:rsid w:val="007500AF"/>
    <w:rsid w:val="00755B8D"/>
    <w:rsid w:val="00755FC6"/>
    <w:rsid w:val="00756886"/>
    <w:rsid w:val="00756E9F"/>
    <w:rsid w:val="00757039"/>
    <w:rsid w:val="007603BE"/>
    <w:rsid w:val="00760BDB"/>
    <w:rsid w:val="00761178"/>
    <w:rsid w:val="007620A7"/>
    <w:rsid w:val="007628B2"/>
    <w:rsid w:val="007659FA"/>
    <w:rsid w:val="007724EB"/>
    <w:rsid w:val="007725E7"/>
    <w:rsid w:val="00772944"/>
    <w:rsid w:val="007823B4"/>
    <w:rsid w:val="00782B8C"/>
    <w:rsid w:val="007849B3"/>
    <w:rsid w:val="00786B2E"/>
    <w:rsid w:val="00787A2B"/>
    <w:rsid w:val="007909D5"/>
    <w:rsid w:val="00790CBF"/>
    <w:rsid w:val="00791979"/>
    <w:rsid w:val="00793FB7"/>
    <w:rsid w:val="0079552F"/>
    <w:rsid w:val="007A0EB8"/>
    <w:rsid w:val="007A21D6"/>
    <w:rsid w:val="007A2B26"/>
    <w:rsid w:val="007A3A55"/>
    <w:rsid w:val="007A3C72"/>
    <w:rsid w:val="007A61ED"/>
    <w:rsid w:val="007A768D"/>
    <w:rsid w:val="007B13B6"/>
    <w:rsid w:val="007B1961"/>
    <w:rsid w:val="007B215B"/>
    <w:rsid w:val="007B720A"/>
    <w:rsid w:val="007B72AE"/>
    <w:rsid w:val="007C10C5"/>
    <w:rsid w:val="007C32CB"/>
    <w:rsid w:val="007C649F"/>
    <w:rsid w:val="007D05B9"/>
    <w:rsid w:val="007D1E48"/>
    <w:rsid w:val="007D2392"/>
    <w:rsid w:val="007D266B"/>
    <w:rsid w:val="007D3D41"/>
    <w:rsid w:val="007D54CA"/>
    <w:rsid w:val="007D5F76"/>
    <w:rsid w:val="007D63D0"/>
    <w:rsid w:val="007D7324"/>
    <w:rsid w:val="007E0ACD"/>
    <w:rsid w:val="007E3381"/>
    <w:rsid w:val="007E3976"/>
    <w:rsid w:val="007E5055"/>
    <w:rsid w:val="007E62D8"/>
    <w:rsid w:val="007F098A"/>
    <w:rsid w:val="007F19FA"/>
    <w:rsid w:val="007F4EB7"/>
    <w:rsid w:val="007F5512"/>
    <w:rsid w:val="007F79BA"/>
    <w:rsid w:val="00800407"/>
    <w:rsid w:val="00800650"/>
    <w:rsid w:val="008030E6"/>
    <w:rsid w:val="008052E0"/>
    <w:rsid w:val="008054AE"/>
    <w:rsid w:val="008067DE"/>
    <w:rsid w:val="00813726"/>
    <w:rsid w:val="008165F8"/>
    <w:rsid w:val="00817B6A"/>
    <w:rsid w:val="00821251"/>
    <w:rsid w:val="008257F2"/>
    <w:rsid w:val="00825941"/>
    <w:rsid w:val="008316F4"/>
    <w:rsid w:val="008329DB"/>
    <w:rsid w:val="0083553D"/>
    <w:rsid w:val="00835755"/>
    <w:rsid w:val="00840EF4"/>
    <w:rsid w:val="00841BBB"/>
    <w:rsid w:val="00841CDF"/>
    <w:rsid w:val="00842100"/>
    <w:rsid w:val="0084582A"/>
    <w:rsid w:val="00845D4F"/>
    <w:rsid w:val="00845D7B"/>
    <w:rsid w:val="00847260"/>
    <w:rsid w:val="00855CBC"/>
    <w:rsid w:val="00856C29"/>
    <w:rsid w:val="00860CE2"/>
    <w:rsid w:val="008614BC"/>
    <w:rsid w:val="00864232"/>
    <w:rsid w:val="008710F0"/>
    <w:rsid w:val="0088195A"/>
    <w:rsid w:val="00882360"/>
    <w:rsid w:val="00884545"/>
    <w:rsid w:val="0088609D"/>
    <w:rsid w:val="0089028B"/>
    <w:rsid w:val="00890F23"/>
    <w:rsid w:val="0089334A"/>
    <w:rsid w:val="00894C98"/>
    <w:rsid w:val="00894EA6"/>
    <w:rsid w:val="00895032"/>
    <w:rsid w:val="0089662B"/>
    <w:rsid w:val="008A416D"/>
    <w:rsid w:val="008A45A0"/>
    <w:rsid w:val="008A5B97"/>
    <w:rsid w:val="008A6B5D"/>
    <w:rsid w:val="008B2F15"/>
    <w:rsid w:val="008B63E2"/>
    <w:rsid w:val="008B750C"/>
    <w:rsid w:val="008C2013"/>
    <w:rsid w:val="008C2B67"/>
    <w:rsid w:val="008C4237"/>
    <w:rsid w:val="008C47AE"/>
    <w:rsid w:val="008C7649"/>
    <w:rsid w:val="008D0A4C"/>
    <w:rsid w:val="008D7A24"/>
    <w:rsid w:val="008E2F05"/>
    <w:rsid w:val="008E5909"/>
    <w:rsid w:val="008E67FF"/>
    <w:rsid w:val="008F0352"/>
    <w:rsid w:val="008F07FA"/>
    <w:rsid w:val="008F0D8D"/>
    <w:rsid w:val="008F0F30"/>
    <w:rsid w:val="008F22F7"/>
    <w:rsid w:val="008F5E53"/>
    <w:rsid w:val="0090231E"/>
    <w:rsid w:val="00903F4A"/>
    <w:rsid w:val="009102F5"/>
    <w:rsid w:val="00911A5C"/>
    <w:rsid w:val="00912FAA"/>
    <w:rsid w:val="00914F46"/>
    <w:rsid w:val="0092359E"/>
    <w:rsid w:val="00925449"/>
    <w:rsid w:val="00925736"/>
    <w:rsid w:val="009353E5"/>
    <w:rsid w:val="00937DB0"/>
    <w:rsid w:val="009400AE"/>
    <w:rsid w:val="00940950"/>
    <w:rsid w:val="009414AC"/>
    <w:rsid w:val="0094458A"/>
    <w:rsid w:val="00946AF1"/>
    <w:rsid w:val="00946CE1"/>
    <w:rsid w:val="00950544"/>
    <w:rsid w:val="00950727"/>
    <w:rsid w:val="00950DAA"/>
    <w:rsid w:val="00951618"/>
    <w:rsid w:val="009526F1"/>
    <w:rsid w:val="00952BC5"/>
    <w:rsid w:val="0095366E"/>
    <w:rsid w:val="00954ED6"/>
    <w:rsid w:val="00955FC7"/>
    <w:rsid w:val="00960721"/>
    <w:rsid w:val="00960CFC"/>
    <w:rsid w:val="009637A7"/>
    <w:rsid w:val="00964681"/>
    <w:rsid w:val="0096499C"/>
    <w:rsid w:val="00965DDF"/>
    <w:rsid w:val="00966462"/>
    <w:rsid w:val="009717B6"/>
    <w:rsid w:val="00974ED6"/>
    <w:rsid w:val="0097625A"/>
    <w:rsid w:val="00980B05"/>
    <w:rsid w:val="00981C94"/>
    <w:rsid w:val="009821DB"/>
    <w:rsid w:val="00983D37"/>
    <w:rsid w:val="009872BC"/>
    <w:rsid w:val="00990278"/>
    <w:rsid w:val="0099120B"/>
    <w:rsid w:val="00991630"/>
    <w:rsid w:val="009940A1"/>
    <w:rsid w:val="009A0D68"/>
    <w:rsid w:val="009A13BC"/>
    <w:rsid w:val="009A2219"/>
    <w:rsid w:val="009A3CA5"/>
    <w:rsid w:val="009A647B"/>
    <w:rsid w:val="009A64F5"/>
    <w:rsid w:val="009A78B7"/>
    <w:rsid w:val="009A7FF4"/>
    <w:rsid w:val="009B06B5"/>
    <w:rsid w:val="009B0F1E"/>
    <w:rsid w:val="009B2391"/>
    <w:rsid w:val="009B7AB9"/>
    <w:rsid w:val="009C240E"/>
    <w:rsid w:val="009C725D"/>
    <w:rsid w:val="009D0E19"/>
    <w:rsid w:val="009D137F"/>
    <w:rsid w:val="009D3A0C"/>
    <w:rsid w:val="009D7CDE"/>
    <w:rsid w:val="009E0B4F"/>
    <w:rsid w:val="009E0F8F"/>
    <w:rsid w:val="009E400D"/>
    <w:rsid w:val="009E6BE9"/>
    <w:rsid w:val="009E79DB"/>
    <w:rsid w:val="009F3DAE"/>
    <w:rsid w:val="009F48A9"/>
    <w:rsid w:val="009F4901"/>
    <w:rsid w:val="009F5A7B"/>
    <w:rsid w:val="009F6B2D"/>
    <w:rsid w:val="009F7D37"/>
    <w:rsid w:val="00A00230"/>
    <w:rsid w:val="00A024F9"/>
    <w:rsid w:val="00A05058"/>
    <w:rsid w:val="00A075E6"/>
    <w:rsid w:val="00A10248"/>
    <w:rsid w:val="00A10BF9"/>
    <w:rsid w:val="00A143A8"/>
    <w:rsid w:val="00A17AA8"/>
    <w:rsid w:val="00A2264C"/>
    <w:rsid w:val="00A234AB"/>
    <w:rsid w:val="00A248A1"/>
    <w:rsid w:val="00A257F5"/>
    <w:rsid w:val="00A25BBD"/>
    <w:rsid w:val="00A33D1D"/>
    <w:rsid w:val="00A36D22"/>
    <w:rsid w:val="00A37F1C"/>
    <w:rsid w:val="00A400C6"/>
    <w:rsid w:val="00A406C2"/>
    <w:rsid w:val="00A412B5"/>
    <w:rsid w:val="00A42514"/>
    <w:rsid w:val="00A440ED"/>
    <w:rsid w:val="00A529D4"/>
    <w:rsid w:val="00A55ADD"/>
    <w:rsid w:val="00A61455"/>
    <w:rsid w:val="00A62F45"/>
    <w:rsid w:val="00A66B38"/>
    <w:rsid w:val="00A67AD8"/>
    <w:rsid w:val="00A67CD5"/>
    <w:rsid w:val="00A70292"/>
    <w:rsid w:val="00A733EC"/>
    <w:rsid w:val="00A74F90"/>
    <w:rsid w:val="00A76BBA"/>
    <w:rsid w:val="00A7783D"/>
    <w:rsid w:val="00A77DCB"/>
    <w:rsid w:val="00A81AA8"/>
    <w:rsid w:val="00A81C6B"/>
    <w:rsid w:val="00A84F39"/>
    <w:rsid w:val="00A8513F"/>
    <w:rsid w:val="00A85B5B"/>
    <w:rsid w:val="00A91791"/>
    <w:rsid w:val="00A929D6"/>
    <w:rsid w:val="00A935B6"/>
    <w:rsid w:val="00A95AAF"/>
    <w:rsid w:val="00A95AD1"/>
    <w:rsid w:val="00A9676F"/>
    <w:rsid w:val="00A97162"/>
    <w:rsid w:val="00AA5B00"/>
    <w:rsid w:val="00AA5BB6"/>
    <w:rsid w:val="00AA67AC"/>
    <w:rsid w:val="00AA7D9C"/>
    <w:rsid w:val="00AB0030"/>
    <w:rsid w:val="00AB0181"/>
    <w:rsid w:val="00AB0731"/>
    <w:rsid w:val="00AB1978"/>
    <w:rsid w:val="00AB19E9"/>
    <w:rsid w:val="00AB7469"/>
    <w:rsid w:val="00AC04D2"/>
    <w:rsid w:val="00AC0923"/>
    <w:rsid w:val="00AC17B5"/>
    <w:rsid w:val="00AC3948"/>
    <w:rsid w:val="00AC3BBD"/>
    <w:rsid w:val="00AC4842"/>
    <w:rsid w:val="00AC56F4"/>
    <w:rsid w:val="00AC79A4"/>
    <w:rsid w:val="00AD0AC9"/>
    <w:rsid w:val="00AD3453"/>
    <w:rsid w:val="00AD4210"/>
    <w:rsid w:val="00AD4A24"/>
    <w:rsid w:val="00AE5CEB"/>
    <w:rsid w:val="00AE6024"/>
    <w:rsid w:val="00AE6D55"/>
    <w:rsid w:val="00AF0B56"/>
    <w:rsid w:val="00AF12C0"/>
    <w:rsid w:val="00AF2D4A"/>
    <w:rsid w:val="00AF3228"/>
    <w:rsid w:val="00AF3681"/>
    <w:rsid w:val="00AF736D"/>
    <w:rsid w:val="00AF7D67"/>
    <w:rsid w:val="00B00BA4"/>
    <w:rsid w:val="00B0453B"/>
    <w:rsid w:val="00B06A33"/>
    <w:rsid w:val="00B07E92"/>
    <w:rsid w:val="00B11641"/>
    <w:rsid w:val="00B11EFA"/>
    <w:rsid w:val="00B12A3F"/>
    <w:rsid w:val="00B157D1"/>
    <w:rsid w:val="00B15924"/>
    <w:rsid w:val="00B1666F"/>
    <w:rsid w:val="00B170BC"/>
    <w:rsid w:val="00B205E2"/>
    <w:rsid w:val="00B239F8"/>
    <w:rsid w:val="00B23ABC"/>
    <w:rsid w:val="00B266AD"/>
    <w:rsid w:val="00B3247E"/>
    <w:rsid w:val="00B35DF5"/>
    <w:rsid w:val="00B37A29"/>
    <w:rsid w:val="00B40663"/>
    <w:rsid w:val="00B41F1F"/>
    <w:rsid w:val="00B4513F"/>
    <w:rsid w:val="00B454E3"/>
    <w:rsid w:val="00B459B7"/>
    <w:rsid w:val="00B4799F"/>
    <w:rsid w:val="00B508C5"/>
    <w:rsid w:val="00B50A2A"/>
    <w:rsid w:val="00B541EC"/>
    <w:rsid w:val="00B5671E"/>
    <w:rsid w:val="00B56C55"/>
    <w:rsid w:val="00B6203C"/>
    <w:rsid w:val="00B66955"/>
    <w:rsid w:val="00B71D5D"/>
    <w:rsid w:val="00B72FE1"/>
    <w:rsid w:val="00B74AF3"/>
    <w:rsid w:val="00B77DBE"/>
    <w:rsid w:val="00B81F59"/>
    <w:rsid w:val="00B8581E"/>
    <w:rsid w:val="00B86810"/>
    <w:rsid w:val="00B91A6C"/>
    <w:rsid w:val="00B93EF6"/>
    <w:rsid w:val="00B9449E"/>
    <w:rsid w:val="00B9469B"/>
    <w:rsid w:val="00B94ABA"/>
    <w:rsid w:val="00B954C4"/>
    <w:rsid w:val="00BA1C21"/>
    <w:rsid w:val="00BA7F3E"/>
    <w:rsid w:val="00BB2248"/>
    <w:rsid w:val="00BB3377"/>
    <w:rsid w:val="00BB47FA"/>
    <w:rsid w:val="00BB5A6C"/>
    <w:rsid w:val="00BC09F3"/>
    <w:rsid w:val="00BC13C9"/>
    <w:rsid w:val="00BC2A59"/>
    <w:rsid w:val="00BC4D8E"/>
    <w:rsid w:val="00BC679C"/>
    <w:rsid w:val="00BC79C6"/>
    <w:rsid w:val="00BD0612"/>
    <w:rsid w:val="00BD1D1B"/>
    <w:rsid w:val="00BD5BAD"/>
    <w:rsid w:val="00BD6725"/>
    <w:rsid w:val="00BE0305"/>
    <w:rsid w:val="00BE1C78"/>
    <w:rsid w:val="00BE3B85"/>
    <w:rsid w:val="00BE4F14"/>
    <w:rsid w:val="00BE50F3"/>
    <w:rsid w:val="00BF18BF"/>
    <w:rsid w:val="00BF5BE3"/>
    <w:rsid w:val="00BF73AA"/>
    <w:rsid w:val="00BF7BC8"/>
    <w:rsid w:val="00C01ACC"/>
    <w:rsid w:val="00C02111"/>
    <w:rsid w:val="00C02E3C"/>
    <w:rsid w:val="00C0403C"/>
    <w:rsid w:val="00C0462A"/>
    <w:rsid w:val="00C05D8D"/>
    <w:rsid w:val="00C078B0"/>
    <w:rsid w:val="00C11ED4"/>
    <w:rsid w:val="00C122D1"/>
    <w:rsid w:val="00C140BF"/>
    <w:rsid w:val="00C1523D"/>
    <w:rsid w:val="00C15EC5"/>
    <w:rsid w:val="00C1783D"/>
    <w:rsid w:val="00C3000C"/>
    <w:rsid w:val="00C30381"/>
    <w:rsid w:val="00C3058D"/>
    <w:rsid w:val="00C30C3A"/>
    <w:rsid w:val="00C3321F"/>
    <w:rsid w:val="00C335B5"/>
    <w:rsid w:val="00C33CEA"/>
    <w:rsid w:val="00C3554F"/>
    <w:rsid w:val="00C40F9C"/>
    <w:rsid w:val="00C43885"/>
    <w:rsid w:val="00C464E6"/>
    <w:rsid w:val="00C46C6D"/>
    <w:rsid w:val="00C51F4D"/>
    <w:rsid w:val="00C523F4"/>
    <w:rsid w:val="00C52A03"/>
    <w:rsid w:val="00C54EF1"/>
    <w:rsid w:val="00C57B04"/>
    <w:rsid w:val="00C670C8"/>
    <w:rsid w:val="00C672D5"/>
    <w:rsid w:val="00C72AFA"/>
    <w:rsid w:val="00C73FD3"/>
    <w:rsid w:val="00C7465B"/>
    <w:rsid w:val="00C761BE"/>
    <w:rsid w:val="00C76F91"/>
    <w:rsid w:val="00C77CA0"/>
    <w:rsid w:val="00C80D04"/>
    <w:rsid w:val="00C81866"/>
    <w:rsid w:val="00C833D3"/>
    <w:rsid w:val="00C837F3"/>
    <w:rsid w:val="00C86212"/>
    <w:rsid w:val="00C87239"/>
    <w:rsid w:val="00C920F0"/>
    <w:rsid w:val="00C9316D"/>
    <w:rsid w:val="00C933F3"/>
    <w:rsid w:val="00C93750"/>
    <w:rsid w:val="00CA559B"/>
    <w:rsid w:val="00CA59C0"/>
    <w:rsid w:val="00CA5DE5"/>
    <w:rsid w:val="00CA5F25"/>
    <w:rsid w:val="00CA6EE4"/>
    <w:rsid w:val="00CA7CFC"/>
    <w:rsid w:val="00CB0CD6"/>
    <w:rsid w:val="00CB20D7"/>
    <w:rsid w:val="00CB2D59"/>
    <w:rsid w:val="00CB53B6"/>
    <w:rsid w:val="00CB7F9E"/>
    <w:rsid w:val="00CC1EE4"/>
    <w:rsid w:val="00CC3CFB"/>
    <w:rsid w:val="00CC52C6"/>
    <w:rsid w:val="00CC7342"/>
    <w:rsid w:val="00CD240A"/>
    <w:rsid w:val="00CD265D"/>
    <w:rsid w:val="00CD6A55"/>
    <w:rsid w:val="00CD7254"/>
    <w:rsid w:val="00CE4E5B"/>
    <w:rsid w:val="00CE53AA"/>
    <w:rsid w:val="00CE5651"/>
    <w:rsid w:val="00CE671B"/>
    <w:rsid w:val="00CF2002"/>
    <w:rsid w:val="00CF23EC"/>
    <w:rsid w:val="00CF56A5"/>
    <w:rsid w:val="00CF5EFD"/>
    <w:rsid w:val="00CF74E6"/>
    <w:rsid w:val="00D0051D"/>
    <w:rsid w:val="00D00F17"/>
    <w:rsid w:val="00D01A43"/>
    <w:rsid w:val="00D03608"/>
    <w:rsid w:val="00D045F8"/>
    <w:rsid w:val="00D04966"/>
    <w:rsid w:val="00D04B6F"/>
    <w:rsid w:val="00D1163E"/>
    <w:rsid w:val="00D1507A"/>
    <w:rsid w:val="00D173BC"/>
    <w:rsid w:val="00D201A2"/>
    <w:rsid w:val="00D222AB"/>
    <w:rsid w:val="00D25070"/>
    <w:rsid w:val="00D26BED"/>
    <w:rsid w:val="00D27170"/>
    <w:rsid w:val="00D27529"/>
    <w:rsid w:val="00D300EF"/>
    <w:rsid w:val="00D327F9"/>
    <w:rsid w:val="00D34BA0"/>
    <w:rsid w:val="00D361B4"/>
    <w:rsid w:val="00D36BFA"/>
    <w:rsid w:val="00D4031E"/>
    <w:rsid w:val="00D43584"/>
    <w:rsid w:val="00D47CBD"/>
    <w:rsid w:val="00D51DAC"/>
    <w:rsid w:val="00D5264A"/>
    <w:rsid w:val="00D537CF"/>
    <w:rsid w:val="00D55605"/>
    <w:rsid w:val="00D56583"/>
    <w:rsid w:val="00D5778C"/>
    <w:rsid w:val="00D628FE"/>
    <w:rsid w:val="00D63046"/>
    <w:rsid w:val="00D6643A"/>
    <w:rsid w:val="00D734A0"/>
    <w:rsid w:val="00D76190"/>
    <w:rsid w:val="00D87CFB"/>
    <w:rsid w:val="00D9341F"/>
    <w:rsid w:val="00D94108"/>
    <w:rsid w:val="00D94BC9"/>
    <w:rsid w:val="00DA2044"/>
    <w:rsid w:val="00DA2588"/>
    <w:rsid w:val="00DA4AE7"/>
    <w:rsid w:val="00DA524B"/>
    <w:rsid w:val="00DA5395"/>
    <w:rsid w:val="00DA5E70"/>
    <w:rsid w:val="00DB21CA"/>
    <w:rsid w:val="00DB4281"/>
    <w:rsid w:val="00DB58FD"/>
    <w:rsid w:val="00DB71EB"/>
    <w:rsid w:val="00DC1528"/>
    <w:rsid w:val="00DC27FF"/>
    <w:rsid w:val="00DC2927"/>
    <w:rsid w:val="00DC6A3D"/>
    <w:rsid w:val="00DD2068"/>
    <w:rsid w:val="00DD2F59"/>
    <w:rsid w:val="00DD4FFF"/>
    <w:rsid w:val="00DD5819"/>
    <w:rsid w:val="00DD619F"/>
    <w:rsid w:val="00DD7520"/>
    <w:rsid w:val="00DE0D1F"/>
    <w:rsid w:val="00DE14F1"/>
    <w:rsid w:val="00DF4969"/>
    <w:rsid w:val="00DF6EDB"/>
    <w:rsid w:val="00DF7A9E"/>
    <w:rsid w:val="00E0084D"/>
    <w:rsid w:val="00E01B29"/>
    <w:rsid w:val="00E03455"/>
    <w:rsid w:val="00E03685"/>
    <w:rsid w:val="00E05B18"/>
    <w:rsid w:val="00E137A9"/>
    <w:rsid w:val="00E20CF9"/>
    <w:rsid w:val="00E21AA4"/>
    <w:rsid w:val="00E2492C"/>
    <w:rsid w:val="00E24DB7"/>
    <w:rsid w:val="00E257B3"/>
    <w:rsid w:val="00E26522"/>
    <w:rsid w:val="00E273F9"/>
    <w:rsid w:val="00E32620"/>
    <w:rsid w:val="00E337AC"/>
    <w:rsid w:val="00E33AFC"/>
    <w:rsid w:val="00E3586B"/>
    <w:rsid w:val="00E368D2"/>
    <w:rsid w:val="00E371C8"/>
    <w:rsid w:val="00E37AC4"/>
    <w:rsid w:val="00E41115"/>
    <w:rsid w:val="00E42BAC"/>
    <w:rsid w:val="00E46444"/>
    <w:rsid w:val="00E50416"/>
    <w:rsid w:val="00E51CE4"/>
    <w:rsid w:val="00E527C7"/>
    <w:rsid w:val="00E53218"/>
    <w:rsid w:val="00E533F1"/>
    <w:rsid w:val="00E55BF1"/>
    <w:rsid w:val="00E600DF"/>
    <w:rsid w:val="00E604F2"/>
    <w:rsid w:val="00E608E7"/>
    <w:rsid w:val="00E645B1"/>
    <w:rsid w:val="00E65743"/>
    <w:rsid w:val="00E658F3"/>
    <w:rsid w:val="00E746D5"/>
    <w:rsid w:val="00E74852"/>
    <w:rsid w:val="00E76F62"/>
    <w:rsid w:val="00E85D49"/>
    <w:rsid w:val="00E87C0A"/>
    <w:rsid w:val="00E92C6D"/>
    <w:rsid w:val="00E93757"/>
    <w:rsid w:val="00EA3799"/>
    <w:rsid w:val="00EA3CD0"/>
    <w:rsid w:val="00EA5453"/>
    <w:rsid w:val="00EB069D"/>
    <w:rsid w:val="00EB071F"/>
    <w:rsid w:val="00EB0F77"/>
    <w:rsid w:val="00EB26C0"/>
    <w:rsid w:val="00EB3251"/>
    <w:rsid w:val="00EB38C4"/>
    <w:rsid w:val="00EB3D29"/>
    <w:rsid w:val="00EB59FB"/>
    <w:rsid w:val="00EB7449"/>
    <w:rsid w:val="00EB7A1A"/>
    <w:rsid w:val="00EC0321"/>
    <w:rsid w:val="00EC3E25"/>
    <w:rsid w:val="00EC4006"/>
    <w:rsid w:val="00EC4A37"/>
    <w:rsid w:val="00ED3A1F"/>
    <w:rsid w:val="00ED3FA3"/>
    <w:rsid w:val="00ED6CFF"/>
    <w:rsid w:val="00EE0146"/>
    <w:rsid w:val="00EE29FC"/>
    <w:rsid w:val="00EE2BEE"/>
    <w:rsid w:val="00EE4407"/>
    <w:rsid w:val="00EE67A9"/>
    <w:rsid w:val="00EF0F0E"/>
    <w:rsid w:val="00EF14A7"/>
    <w:rsid w:val="00EF2556"/>
    <w:rsid w:val="00F04FE4"/>
    <w:rsid w:val="00F07275"/>
    <w:rsid w:val="00F073B7"/>
    <w:rsid w:val="00F10082"/>
    <w:rsid w:val="00F105D6"/>
    <w:rsid w:val="00F1136F"/>
    <w:rsid w:val="00F133D9"/>
    <w:rsid w:val="00F14304"/>
    <w:rsid w:val="00F14D6C"/>
    <w:rsid w:val="00F1619B"/>
    <w:rsid w:val="00F16D2A"/>
    <w:rsid w:val="00F200AC"/>
    <w:rsid w:val="00F20109"/>
    <w:rsid w:val="00F20B8A"/>
    <w:rsid w:val="00F21818"/>
    <w:rsid w:val="00F2238D"/>
    <w:rsid w:val="00F2594B"/>
    <w:rsid w:val="00F30987"/>
    <w:rsid w:val="00F316C4"/>
    <w:rsid w:val="00F35078"/>
    <w:rsid w:val="00F352F5"/>
    <w:rsid w:val="00F36256"/>
    <w:rsid w:val="00F425B4"/>
    <w:rsid w:val="00F47FFA"/>
    <w:rsid w:val="00F5098A"/>
    <w:rsid w:val="00F549A5"/>
    <w:rsid w:val="00F57CF1"/>
    <w:rsid w:val="00F6213B"/>
    <w:rsid w:val="00F63163"/>
    <w:rsid w:val="00F63AA6"/>
    <w:rsid w:val="00F66FD7"/>
    <w:rsid w:val="00F71F06"/>
    <w:rsid w:val="00F72836"/>
    <w:rsid w:val="00F72DD8"/>
    <w:rsid w:val="00F73A9C"/>
    <w:rsid w:val="00F746E0"/>
    <w:rsid w:val="00F75259"/>
    <w:rsid w:val="00F77063"/>
    <w:rsid w:val="00F841BC"/>
    <w:rsid w:val="00F95B4D"/>
    <w:rsid w:val="00F9746F"/>
    <w:rsid w:val="00FA031E"/>
    <w:rsid w:val="00FA3924"/>
    <w:rsid w:val="00FA3D8D"/>
    <w:rsid w:val="00FA4317"/>
    <w:rsid w:val="00FA45D5"/>
    <w:rsid w:val="00FA5DB4"/>
    <w:rsid w:val="00FA7584"/>
    <w:rsid w:val="00FB05B2"/>
    <w:rsid w:val="00FB0FFD"/>
    <w:rsid w:val="00FB0FFE"/>
    <w:rsid w:val="00FB1868"/>
    <w:rsid w:val="00FB1B33"/>
    <w:rsid w:val="00FB2284"/>
    <w:rsid w:val="00FB7C6F"/>
    <w:rsid w:val="00FC316F"/>
    <w:rsid w:val="00FC6B90"/>
    <w:rsid w:val="00FC6C52"/>
    <w:rsid w:val="00FD240F"/>
    <w:rsid w:val="00FD55C3"/>
    <w:rsid w:val="00FD796C"/>
    <w:rsid w:val="00FE3426"/>
    <w:rsid w:val="00FE4D82"/>
    <w:rsid w:val="00FE551D"/>
    <w:rsid w:val="00FE7450"/>
    <w:rsid w:val="00FF0132"/>
    <w:rsid w:val="00FF0922"/>
    <w:rsid w:val="00FF0DEA"/>
    <w:rsid w:val="00FF3FBD"/>
    <w:rsid w:val="00FF7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7EE58B"/>
  <w15:chartTrackingRefBased/>
  <w15:docId w15:val="{20E49615-8391-49DE-9CC6-C26422F2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6D"/>
    <w:pPr>
      <w:spacing w:before="120" w:after="120" w:line="240" w:lineRule="auto"/>
    </w:pPr>
    <w:rPr>
      <w:rFonts w:asciiTheme="minorHAnsi" w:hAnsiTheme="minorHAnsi" w:cstheme="minorHAnsi"/>
      <w:sz w:val="22"/>
      <w:szCs w:val="20"/>
    </w:rPr>
  </w:style>
  <w:style w:type="paragraph" w:styleId="Heading1">
    <w:name w:val="heading 1"/>
    <w:basedOn w:val="Heading2"/>
    <w:next w:val="Normal"/>
    <w:link w:val="Heading1Char"/>
    <w:uiPriority w:val="9"/>
    <w:qFormat/>
    <w:rsid w:val="00C9316D"/>
    <w:pPr>
      <w:numPr>
        <w:numId w:val="0"/>
      </w:numPr>
      <w:outlineLvl w:val="0"/>
    </w:pPr>
    <w:rPr>
      <w:color w:val="3374B8"/>
      <w:sz w:val="28"/>
      <w:szCs w:val="28"/>
    </w:rPr>
  </w:style>
  <w:style w:type="paragraph" w:styleId="Heading2">
    <w:name w:val="heading 2"/>
    <w:basedOn w:val="Heading3"/>
    <w:next w:val="Normal"/>
    <w:link w:val="Heading2Char"/>
    <w:uiPriority w:val="9"/>
    <w:unhideWhenUsed/>
    <w:qFormat/>
    <w:rsid w:val="00C9316D"/>
    <w:pPr>
      <w:keepNext/>
      <w:ind w:left="714" w:hanging="357"/>
      <w:outlineLvl w:val="1"/>
    </w:pPr>
  </w:style>
  <w:style w:type="paragraph" w:styleId="Heading3">
    <w:name w:val="heading 3"/>
    <w:basedOn w:val="ListParagraph"/>
    <w:next w:val="Normal"/>
    <w:link w:val="Heading3Char"/>
    <w:uiPriority w:val="9"/>
    <w:unhideWhenUsed/>
    <w:qFormat/>
    <w:rsid w:val="00393E2D"/>
    <w:pPr>
      <w:numPr>
        <w:numId w:val="2"/>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ullet Point,Bullet point,Bullet- First level,Bulletr List Paragraph,Content descriptions,Figure_name,FooterText,L,List NUmber,List Paragraph1,List Paragraph11,Listenabsatz1,Numbered Indented Text,Recommendation,lp1,リスト段落"/>
    <w:basedOn w:val="Normal"/>
    <w:link w:val="ListParagraphChar"/>
    <w:uiPriority w:val="34"/>
    <w:qFormat/>
    <w:rsid w:val="00196CE3"/>
    <w:pPr>
      <w:ind w:left="720"/>
      <w:contextualSpacing/>
    </w:pPr>
  </w:style>
  <w:style w:type="table" w:styleId="TableGrid">
    <w:name w:val="Table Grid"/>
    <w:basedOn w:val="TableNormal"/>
    <w:uiPriority w:val="39"/>
    <w:rsid w:val="002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5055"/>
    <w:rPr>
      <w:sz w:val="16"/>
      <w:szCs w:val="16"/>
    </w:rPr>
  </w:style>
  <w:style w:type="paragraph" w:styleId="CommentText">
    <w:name w:val="annotation text"/>
    <w:basedOn w:val="Normal"/>
    <w:link w:val="CommentTextChar"/>
    <w:uiPriority w:val="99"/>
    <w:unhideWhenUsed/>
    <w:rsid w:val="007E5055"/>
    <w:rPr>
      <w:sz w:val="20"/>
    </w:rPr>
  </w:style>
  <w:style w:type="character" w:customStyle="1" w:styleId="CommentTextChar">
    <w:name w:val="Comment Text Char"/>
    <w:basedOn w:val="DefaultParagraphFont"/>
    <w:link w:val="CommentText"/>
    <w:uiPriority w:val="99"/>
    <w:rsid w:val="007E5055"/>
    <w:rPr>
      <w:sz w:val="20"/>
      <w:szCs w:val="20"/>
    </w:rPr>
  </w:style>
  <w:style w:type="paragraph" w:styleId="CommentSubject">
    <w:name w:val="annotation subject"/>
    <w:basedOn w:val="CommentText"/>
    <w:next w:val="CommentText"/>
    <w:link w:val="CommentSubjectChar"/>
    <w:uiPriority w:val="99"/>
    <w:semiHidden/>
    <w:unhideWhenUsed/>
    <w:rsid w:val="007E5055"/>
    <w:rPr>
      <w:b/>
      <w:bCs/>
    </w:rPr>
  </w:style>
  <w:style w:type="character" w:customStyle="1" w:styleId="CommentSubjectChar">
    <w:name w:val="Comment Subject Char"/>
    <w:basedOn w:val="CommentTextChar"/>
    <w:link w:val="CommentSubject"/>
    <w:uiPriority w:val="99"/>
    <w:semiHidden/>
    <w:rsid w:val="007E5055"/>
    <w:rPr>
      <w:b/>
      <w:bCs/>
      <w:sz w:val="20"/>
      <w:szCs w:val="20"/>
    </w:rPr>
  </w:style>
  <w:style w:type="paragraph" w:styleId="BalloonText">
    <w:name w:val="Balloon Text"/>
    <w:basedOn w:val="Normal"/>
    <w:link w:val="BalloonTextChar"/>
    <w:uiPriority w:val="99"/>
    <w:semiHidden/>
    <w:unhideWhenUsed/>
    <w:rsid w:val="007E50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055"/>
    <w:rPr>
      <w:rFonts w:ascii="Segoe UI" w:hAnsi="Segoe UI" w:cs="Segoe UI"/>
      <w:sz w:val="18"/>
      <w:szCs w:val="18"/>
    </w:rPr>
  </w:style>
  <w:style w:type="character" w:customStyle="1" w:styleId="Heading2Char">
    <w:name w:val="Heading 2 Char"/>
    <w:basedOn w:val="DefaultParagraphFont"/>
    <w:link w:val="Heading2"/>
    <w:uiPriority w:val="9"/>
    <w:rsid w:val="00C9316D"/>
    <w:rPr>
      <w:rFonts w:asciiTheme="minorHAnsi" w:hAnsiTheme="minorHAnsi" w:cstheme="minorHAnsi"/>
      <w:b/>
      <w:bCs/>
      <w:sz w:val="22"/>
      <w:szCs w:val="20"/>
    </w:rPr>
  </w:style>
  <w:style w:type="character" w:customStyle="1" w:styleId="Heading3Char">
    <w:name w:val="Heading 3 Char"/>
    <w:basedOn w:val="DefaultParagraphFont"/>
    <w:link w:val="Heading3"/>
    <w:uiPriority w:val="9"/>
    <w:rsid w:val="00393E2D"/>
    <w:rPr>
      <w:rFonts w:asciiTheme="minorHAnsi" w:hAnsiTheme="minorHAnsi" w:cstheme="minorHAnsi"/>
      <w:b/>
      <w:bCs/>
      <w:sz w:val="22"/>
      <w:szCs w:val="20"/>
    </w:rPr>
  </w:style>
  <w:style w:type="paragraph" w:styleId="Revision">
    <w:name w:val="Revision"/>
    <w:hidden/>
    <w:uiPriority w:val="99"/>
    <w:semiHidden/>
    <w:rsid w:val="0016663D"/>
    <w:pPr>
      <w:spacing w:after="0" w:line="240" w:lineRule="auto"/>
    </w:pPr>
  </w:style>
  <w:style w:type="character" w:styleId="Hyperlink">
    <w:name w:val="Hyperlink"/>
    <w:basedOn w:val="DefaultParagraphFont"/>
    <w:uiPriority w:val="99"/>
    <w:unhideWhenUsed/>
    <w:qFormat/>
    <w:rsid w:val="00A412B5"/>
    <w:rPr>
      <w:color w:val="0563C1" w:themeColor="hyperlink"/>
      <w:u w:val="single"/>
    </w:rPr>
  </w:style>
  <w:style w:type="character" w:styleId="FollowedHyperlink">
    <w:name w:val="FollowedHyperlink"/>
    <w:basedOn w:val="DefaultParagraphFont"/>
    <w:uiPriority w:val="99"/>
    <w:semiHidden/>
    <w:unhideWhenUsed/>
    <w:rsid w:val="00AC79A4"/>
    <w:rPr>
      <w:color w:val="954F72" w:themeColor="followedHyperlink"/>
      <w:u w:val="single"/>
    </w:rPr>
  </w:style>
  <w:style w:type="paragraph" w:styleId="Header">
    <w:name w:val="header"/>
    <w:basedOn w:val="Normal"/>
    <w:link w:val="HeaderChar"/>
    <w:uiPriority w:val="99"/>
    <w:unhideWhenUsed/>
    <w:rsid w:val="00AB19E9"/>
    <w:pPr>
      <w:tabs>
        <w:tab w:val="center" w:pos="4513"/>
        <w:tab w:val="right" w:pos="9026"/>
      </w:tabs>
      <w:spacing w:after="0"/>
    </w:pPr>
  </w:style>
  <w:style w:type="character" w:customStyle="1" w:styleId="HeaderChar">
    <w:name w:val="Header Char"/>
    <w:basedOn w:val="DefaultParagraphFont"/>
    <w:link w:val="Header"/>
    <w:uiPriority w:val="99"/>
    <w:rsid w:val="00AB19E9"/>
  </w:style>
  <w:style w:type="paragraph" w:styleId="Footer">
    <w:name w:val="footer"/>
    <w:basedOn w:val="Normal"/>
    <w:link w:val="FooterChar"/>
    <w:uiPriority w:val="99"/>
    <w:unhideWhenUsed/>
    <w:rsid w:val="00AB19E9"/>
    <w:pPr>
      <w:tabs>
        <w:tab w:val="center" w:pos="4513"/>
        <w:tab w:val="right" w:pos="9026"/>
      </w:tabs>
      <w:spacing w:after="0"/>
    </w:pPr>
  </w:style>
  <w:style w:type="character" w:customStyle="1" w:styleId="FooterChar">
    <w:name w:val="Footer Char"/>
    <w:basedOn w:val="DefaultParagraphFont"/>
    <w:link w:val="Footer"/>
    <w:uiPriority w:val="99"/>
    <w:rsid w:val="00AB19E9"/>
  </w:style>
  <w:style w:type="character" w:customStyle="1" w:styleId="Heading1Char">
    <w:name w:val="Heading 1 Char"/>
    <w:basedOn w:val="DefaultParagraphFont"/>
    <w:link w:val="Heading1"/>
    <w:uiPriority w:val="9"/>
    <w:rsid w:val="00C9316D"/>
    <w:rPr>
      <w:rFonts w:asciiTheme="minorHAnsi" w:hAnsiTheme="minorHAnsi" w:cstheme="minorHAnsi"/>
      <w:b/>
      <w:bCs/>
      <w:color w:val="3374B8"/>
      <w:sz w:val="28"/>
      <w:szCs w:val="28"/>
    </w:rPr>
  </w:style>
  <w:style w:type="paragraph" w:styleId="TOCHeading">
    <w:name w:val="TOC Heading"/>
    <w:basedOn w:val="Heading1"/>
    <w:next w:val="Normal"/>
    <w:uiPriority w:val="39"/>
    <w:unhideWhenUsed/>
    <w:qFormat/>
    <w:rsid w:val="00C9316D"/>
    <w:pPr>
      <w:pBdr>
        <w:top w:val="single" w:sz="4" w:space="1" w:color="auto"/>
      </w:pBdr>
      <w:outlineLvl w:val="9"/>
    </w:pPr>
    <w:rPr>
      <w:lang w:val="en-US"/>
    </w:rPr>
  </w:style>
  <w:style w:type="paragraph" w:styleId="TOC2">
    <w:name w:val="toc 2"/>
    <w:basedOn w:val="Normal"/>
    <w:next w:val="Normal"/>
    <w:autoRedefine/>
    <w:uiPriority w:val="39"/>
    <w:unhideWhenUsed/>
    <w:rsid w:val="00393E2D"/>
    <w:pPr>
      <w:spacing w:after="100"/>
      <w:ind w:left="240"/>
    </w:pPr>
  </w:style>
  <w:style w:type="paragraph" w:styleId="Title">
    <w:name w:val="Title"/>
    <w:basedOn w:val="Heading1"/>
    <w:next w:val="Normal"/>
    <w:link w:val="TitleChar"/>
    <w:uiPriority w:val="10"/>
    <w:qFormat/>
    <w:rsid w:val="00393E2D"/>
  </w:style>
  <w:style w:type="character" w:customStyle="1" w:styleId="TitleChar">
    <w:name w:val="Title Char"/>
    <w:basedOn w:val="DefaultParagraphFont"/>
    <w:link w:val="Title"/>
    <w:uiPriority w:val="10"/>
    <w:rsid w:val="00393E2D"/>
    <w:rPr>
      <w:rFonts w:asciiTheme="minorHAnsi" w:hAnsiTheme="minorHAnsi" w:cstheme="minorHAnsi"/>
      <w:b/>
      <w:bCs/>
      <w:color w:val="3374B8"/>
      <w:sz w:val="28"/>
      <w:szCs w:val="28"/>
    </w:rPr>
  </w:style>
  <w:style w:type="paragraph" w:styleId="TOC1">
    <w:name w:val="toc 1"/>
    <w:basedOn w:val="Normal"/>
    <w:next w:val="Normal"/>
    <w:autoRedefine/>
    <w:uiPriority w:val="39"/>
    <w:unhideWhenUsed/>
    <w:rsid w:val="00354196"/>
    <w:pPr>
      <w:tabs>
        <w:tab w:val="right" w:leader="dot" w:pos="9016"/>
      </w:tabs>
      <w:spacing w:after="100"/>
    </w:pPr>
  </w:style>
  <w:style w:type="paragraph" w:styleId="TOC3">
    <w:name w:val="toc 3"/>
    <w:basedOn w:val="Normal"/>
    <w:next w:val="Normal"/>
    <w:autoRedefine/>
    <w:uiPriority w:val="39"/>
    <w:unhideWhenUsed/>
    <w:rsid w:val="00393E2D"/>
    <w:pPr>
      <w:spacing w:after="100"/>
      <w:ind w:left="440"/>
    </w:pPr>
  </w:style>
  <w:style w:type="character" w:styleId="UnresolvedMention">
    <w:name w:val="Unresolved Mention"/>
    <w:basedOn w:val="DefaultParagraphFont"/>
    <w:uiPriority w:val="99"/>
    <w:semiHidden/>
    <w:unhideWhenUsed/>
    <w:rsid w:val="00691488"/>
    <w:rPr>
      <w:color w:val="605E5C"/>
      <w:shd w:val="clear" w:color="auto" w:fill="E1DFDD"/>
    </w:rPr>
  </w:style>
  <w:style w:type="character" w:customStyle="1" w:styleId="ListParagraphChar">
    <w:name w:val="List Paragraph Char"/>
    <w:aliases w:val="#List Paragraph Char,Bullet Point Char,Bullet point Char,Bullet- First level Char,Bulletr List Paragraph Char,Content descriptions Char,Figure_name Char,FooterText Char,L Char,List NUmber Char,List Paragraph1 Char,Listenabsatz1 Char"/>
    <w:basedOn w:val="DefaultParagraphFont"/>
    <w:link w:val="ListParagraph"/>
    <w:uiPriority w:val="34"/>
    <w:locked/>
    <w:rsid w:val="004430D7"/>
    <w:rPr>
      <w:rFonts w:asciiTheme="minorHAnsi" w:hAnsiTheme="minorHAnsi" w:cstheme="minorHAnsi"/>
      <w:sz w:val="22"/>
      <w:szCs w:val="20"/>
    </w:rPr>
  </w:style>
  <w:style w:type="character" w:styleId="Strong">
    <w:name w:val="Strong"/>
    <w:basedOn w:val="DefaultParagraphFont"/>
    <w:uiPriority w:val="22"/>
    <w:qFormat/>
    <w:rsid w:val="001D4559"/>
    <w:rPr>
      <w:b/>
      <w:bCs/>
    </w:rPr>
  </w:style>
  <w:style w:type="character" w:customStyle="1" w:styleId="normaltextrun">
    <w:name w:val="normaltextrun"/>
    <w:basedOn w:val="DefaultParagraphFont"/>
    <w:rsid w:val="00AD3453"/>
  </w:style>
  <w:style w:type="character" w:customStyle="1" w:styleId="eop">
    <w:name w:val="eop"/>
    <w:basedOn w:val="DefaultParagraphFont"/>
    <w:rsid w:val="00DD5819"/>
  </w:style>
  <w:style w:type="paragraph" w:customStyle="1" w:styleId="paragraph">
    <w:name w:val="paragraph"/>
    <w:basedOn w:val="Normal"/>
    <w:rsid w:val="00DD5819"/>
    <w:pPr>
      <w:spacing w:before="100" w:beforeAutospacing="1" w:after="100" w:afterAutospacing="1"/>
    </w:pPr>
    <w:rPr>
      <w:rFonts w:ascii="Times New Roman" w:eastAsia="Times New Roman" w:hAnsi="Times New Roman" w:cs="Times New Roman"/>
      <w:sz w:val="24"/>
      <w:szCs w:val="24"/>
      <w:lang w:eastAsia="en-AU"/>
    </w:rPr>
  </w:style>
  <w:style w:type="table" w:styleId="GridTable1Light-Accent1">
    <w:name w:val="Grid Table 1 Light Accent 1"/>
    <w:basedOn w:val="TableNormal"/>
    <w:uiPriority w:val="46"/>
    <w:rsid w:val="001735A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7458B1"/>
    <w:pPr>
      <w:spacing w:before="0" w:after="0"/>
    </w:pPr>
    <w:rPr>
      <w:rFonts w:ascii="Calibri" w:hAnsi="Calibri" w:cstheme="minorBidi"/>
      <w:szCs w:val="21"/>
    </w:rPr>
  </w:style>
  <w:style w:type="character" w:customStyle="1" w:styleId="PlainTextChar">
    <w:name w:val="Plain Text Char"/>
    <w:basedOn w:val="DefaultParagraphFont"/>
    <w:link w:val="PlainText"/>
    <w:uiPriority w:val="99"/>
    <w:rsid w:val="007458B1"/>
    <w:rPr>
      <w:rFonts w:ascii="Calibri" w:hAnsi="Calibri" w:cstheme="minorBidi"/>
      <w:sz w:val="22"/>
      <w:szCs w:val="21"/>
    </w:rPr>
  </w:style>
  <w:style w:type="paragraph" w:customStyle="1" w:styleId="Paragraphtext">
    <w:name w:val="Paragraph text"/>
    <w:basedOn w:val="Normal"/>
    <w:qFormat/>
    <w:rsid w:val="00960CFC"/>
    <w:pPr>
      <w:spacing w:before="0"/>
    </w:pPr>
    <w:rPr>
      <w:rFonts w:ascii="Arial" w:eastAsia="Times New Roman" w:hAnsi="Arial"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2689">
      <w:bodyDiv w:val="1"/>
      <w:marLeft w:val="0"/>
      <w:marRight w:val="0"/>
      <w:marTop w:val="0"/>
      <w:marBottom w:val="0"/>
      <w:divBdr>
        <w:top w:val="none" w:sz="0" w:space="0" w:color="auto"/>
        <w:left w:val="none" w:sz="0" w:space="0" w:color="auto"/>
        <w:bottom w:val="none" w:sz="0" w:space="0" w:color="auto"/>
        <w:right w:val="none" w:sz="0" w:space="0" w:color="auto"/>
      </w:divBdr>
      <w:divsChild>
        <w:div w:id="1206915025">
          <w:marLeft w:val="274"/>
          <w:marRight w:val="0"/>
          <w:marTop w:val="0"/>
          <w:marBottom w:val="0"/>
          <w:divBdr>
            <w:top w:val="none" w:sz="0" w:space="0" w:color="auto"/>
            <w:left w:val="none" w:sz="0" w:space="0" w:color="auto"/>
            <w:bottom w:val="none" w:sz="0" w:space="0" w:color="auto"/>
            <w:right w:val="none" w:sz="0" w:space="0" w:color="auto"/>
          </w:divBdr>
        </w:div>
        <w:div w:id="776219710">
          <w:marLeft w:val="994"/>
          <w:marRight w:val="0"/>
          <w:marTop w:val="0"/>
          <w:marBottom w:val="0"/>
          <w:divBdr>
            <w:top w:val="none" w:sz="0" w:space="0" w:color="auto"/>
            <w:left w:val="none" w:sz="0" w:space="0" w:color="auto"/>
            <w:bottom w:val="none" w:sz="0" w:space="0" w:color="auto"/>
            <w:right w:val="none" w:sz="0" w:space="0" w:color="auto"/>
          </w:divBdr>
        </w:div>
        <w:div w:id="1773284495">
          <w:marLeft w:val="994"/>
          <w:marRight w:val="0"/>
          <w:marTop w:val="0"/>
          <w:marBottom w:val="0"/>
          <w:divBdr>
            <w:top w:val="none" w:sz="0" w:space="0" w:color="auto"/>
            <w:left w:val="none" w:sz="0" w:space="0" w:color="auto"/>
            <w:bottom w:val="none" w:sz="0" w:space="0" w:color="auto"/>
            <w:right w:val="none" w:sz="0" w:space="0" w:color="auto"/>
          </w:divBdr>
        </w:div>
      </w:divsChild>
    </w:div>
    <w:div w:id="27528487">
      <w:bodyDiv w:val="1"/>
      <w:marLeft w:val="0"/>
      <w:marRight w:val="0"/>
      <w:marTop w:val="0"/>
      <w:marBottom w:val="0"/>
      <w:divBdr>
        <w:top w:val="none" w:sz="0" w:space="0" w:color="auto"/>
        <w:left w:val="none" w:sz="0" w:space="0" w:color="auto"/>
        <w:bottom w:val="none" w:sz="0" w:space="0" w:color="auto"/>
        <w:right w:val="none" w:sz="0" w:space="0" w:color="auto"/>
      </w:divBdr>
    </w:div>
    <w:div w:id="108085645">
      <w:bodyDiv w:val="1"/>
      <w:marLeft w:val="0"/>
      <w:marRight w:val="0"/>
      <w:marTop w:val="0"/>
      <w:marBottom w:val="0"/>
      <w:divBdr>
        <w:top w:val="none" w:sz="0" w:space="0" w:color="auto"/>
        <w:left w:val="none" w:sz="0" w:space="0" w:color="auto"/>
        <w:bottom w:val="none" w:sz="0" w:space="0" w:color="auto"/>
        <w:right w:val="none" w:sz="0" w:space="0" w:color="auto"/>
      </w:divBdr>
    </w:div>
    <w:div w:id="127356751">
      <w:bodyDiv w:val="1"/>
      <w:marLeft w:val="0"/>
      <w:marRight w:val="0"/>
      <w:marTop w:val="0"/>
      <w:marBottom w:val="0"/>
      <w:divBdr>
        <w:top w:val="none" w:sz="0" w:space="0" w:color="auto"/>
        <w:left w:val="none" w:sz="0" w:space="0" w:color="auto"/>
        <w:bottom w:val="none" w:sz="0" w:space="0" w:color="auto"/>
        <w:right w:val="none" w:sz="0" w:space="0" w:color="auto"/>
      </w:divBdr>
    </w:div>
    <w:div w:id="176965727">
      <w:bodyDiv w:val="1"/>
      <w:marLeft w:val="0"/>
      <w:marRight w:val="0"/>
      <w:marTop w:val="0"/>
      <w:marBottom w:val="0"/>
      <w:divBdr>
        <w:top w:val="none" w:sz="0" w:space="0" w:color="auto"/>
        <w:left w:val="none" w:sz="0" w:space="0" w:color="auto"/>
        <w:bottom w:val="none" w:sz="0" w:space="0" w:color="auto"/>
        <w:right w:val="none" w:sz="0" w:space="0" w:color="auto"/>
      </w:divBdr>
    </w:div>
    <w:div w:id="243994900">
      <w:bodyDiv w:val="1"/>
      <w:marLeft w:val="0"/>
      <w:marRight w:val="0"/>
      <w:marTop w:val="0"/>
      <w:marBottom w:val="0"/>
      <w:divBdr>
        <w:top w:val="none" w:sz="0" w:space="0" w:color="auto"/>
        <w:left w:val="none" w:sz="0" w:space="0" w:color="auto"/>
        <w:bottom w:val="none" w:sz="0" w:space="0" w:color="auto"/>
        <w:right w:val="none" w:sz="0" w:space="0" w:color="auto"/>
      </w:divBdr>
    </w:div>
    <w:div w:id="258946492">
      <w:bodyDiv w:val="1"/>
      <w:marLeft w:val="0"/>
      <w:marRight w:val="0"/>
      <w:marTop w:val="0"/>
      <w:marBottom w:val="0"/>
      <w:divBdr>
        <w:top w:val="none" w:sz="0" w:space="0" w:color="auto"/>
        <w:left w:val="none" w:sz="0" w:space="0" w:color="auto"/>
        <w:bottom w:val="none" w:sz="0" w:space="0" w:color="auto"/>
        <w:right w:val="none" w:sz="0" w:space="0" w:color="auto"/>
      </w:divBdr>
    </w:div>
    <w:div w:id="296032598">
      <w:bodyDiv w:val="1"/>
      <w:marLeft w:val="0"/>
      <w:marRight w:val="0"/>
      <w:marTop w:val="0"/>
      <w:marBottom w:val="0"/>
      <w:divBdr>
        <w:top w:val="none" w:sz="0" w:space="0" w:color="auto"/>
        <w:left w:val="none" w:sz="0" w:space="0" w:color="auto"/>
        <w:bottom w:val="none" w:sz="0" w:space="0" w:color="auto"/>
        <w:right w:val="none" w:sz="0" w:space="0" w:color="auto"/>
      </w:divBdr>
      <w:divsChild>
        <w:div w:id="1890456921">
          <w:marLeft w:val="274"/>
          <w:marRight w:val="0"/>
          <w:marTop w:val="0"/>
          <w:marBottom w:val="0"/>
          <w:divBdr>
            <w:top w:val="none" w:sz="0" w:space="0" w:color="auto"/>
            <w:left w:val="none" w:sz="0" w:space="0" w:color="auto"/>
            <w:bottom w:val="none" w:sz="0" w:space="0" w:color="auto"/>
            <w:right w:val="none" w:sz="0" w:space="0" w:color="auto"/>
          </w:divBdr>
        </w:div>
        <w:div w:id="1583029683">
          <w:marLeft w:val="994"/>
          <w:marRight w:val="0"/>
          <w:marTop w:val="0"/>
          <w:marBottom w:val="0"/>
          <w:divBdr>
            <w:top w:val="none" w:sz="0" w:space="0" w:color="auto"/>
            <w:left w:val="none" w:sz="0" w:space="0" w:color="auto"/>
            <w:bottom w:val="none" w:sz="0" w:space="0" w:color="auto"/>
            <w:right w:val="none" w:sz="0" w:space="0" w:color="auto"/>
          </w:divBdr>
        </w:div>
        <w:div w:id="795568035">
          <w:marLeft w:val="994"/>
          <w:marRight w:val="0"/>
          <w:marTop w:val="0"/>
          <w:marBottom w:val="0"/>
          <w:divBdr>
            <w:top w:val="none" w:sz="0" w:space="0" w:color="auto"/>
            <w:left w:val="none" w:sz="0" w:space="0" w:color="auto"/>
            <w:bottom w:val="none" w:sz="0" w:space="0" w:color="auto"/>
            <w:right w:val="none" w:sz="0" w:space="0" w:color="auto"/>
          </w:divBdr>
        </w:div>
      </w:divsChild>
    </w:div>
    <w:div w:id="499349650">
      <w:bodyDiv w:val="1"/>
      <w:marLeft w:val="0"/>
      <w:marRight w:val="0"/>
      <w:marTop w:val="0"/>
      <w:marBottom w:val="0"/>
      <w:divBdr>
        <w:top w:val="none" w:sz="0" w:space="0" w:color="auto"/>
        <w:left w:val="none" w:sz="0" w:space="0" w:color="auto"/>
        <w:bottom w:val="none" w:sz="0" w:space="0" w:color="auto"/>
        <w:right w:val="none" w:sz="0" w:space="0" w:color="auto"/>
      </w:divBdr>
    </w:div>
    <w:div w:id="519398590">
      <w:bodyDiv w:val="1"/>
      <w:marLeft w:val="0"/>
      <w:marRight w:val="0"/>
      <w:marTop w:val="0"/>
      <w:marBottom w:val="0"/>
      <w:divBdr>
        <w:top w:val="none" w:sz="0" w:space="0" w:color="auto"/>
        <w:left w:val="none" w:sz="0" w:space="0" w:color="auto"/>
        <w:bottom w:val="none" w:sz="0" w:space="0" w:color="auto"/>
        <w:right w:val="none" w:sz="0" w:space="0" w:color="auto"/>
      </w:divBdr>
      <w:divsChild>
        <w:div w:id="1512136415">
          <w:marLeft w:val="994"/>
          <w:marRight w:val="0"/>
          <w:marTop w:val="0"/>
          <w:marBottom w:val="0"/>
          <w:divBdr>
            <w:top w:val="none" w:sz="0" w:space="0" w:color="auto"/>
            <w:left w:val="none" w:sz="0" w:space="0" w:color="auto"/>
            <w:bottom w:val="none" w:sz="0" w:space="0" w:color="auto"/>
            <w:right w:val="none" w:sz="0" w:space="0" w:color="auto"/>
          </w:divBdr>
        </w:div>
        <w:div w:id="1357124683">
          <w:marLeft w:val="994"/>
          <w:marRight w:val="0"/>
          <w:marTop w:val="0"/>
          <w:marBottom w:val="0"/>
          <w:divBdr>
            <w:top w:val="none" w:sz="0" w:space="0" w:color="auto"/>
            <w:left w:val="none" w:sz="0" w:space="0" w:color="auto"/>
            <w:bottom w:val="none" w:sz="0" w:space="0" w:color="auto"/>
            <w:right w:val="none" w:sz="0" w:space="0" w:color="auto"/>
          </w:divBdr>
        </w:div>
      </w:divsChild>
    </w:div>
    <w:div w:id="525144249">
      <w:bodyDiv w:val="1"/>
      <w:marLeft w:val="0"/>
      <w:marRight w:val="0"/>
      <w:marTop w:val="0"/>
      <w:marBottom w:val="0"/>
      <w:divBdr>
        <w:top w:val="none" w:sz="0" w:space="0" w:color="auto"/>
        <w:left w:val="none" w:sz="0" w:space="0" w:color="auto"/>
        <w:bottom w:val="none" w:sz="0" w:space="0" w:color="auto"/>
        <w:right w:val="none" w:sz="0" w:space="0" w:color="auto"/>
      </w:divBdr>
    </w:div>
    <w:div w:id="547759476">
      <w:bodyDiv w:val="1"/>
      <w:marLeft w:val="0"/>
      <w:marRight w:val="0"/>
      <w:marTop w:val="0"/>
      <w:marBottom w:val="0"/>
      <w:divBdr>
        <w:top w:val="none" w:sz="0" w:space="0" w:color="auto"/>
        <w:left w:val="none" w:sz="0" w:space="0" w:color="auto"/>
        <w:bottom w:val="none" w:sz="0" w:space="0" w:color="auto"/>
        <w:right w:val="none" w:sz="0" w:space="0" w:color="auto"/>
      </w:divBdr>
    </w:div>
    <w:div w:id="588388648">
      <w:bodyDiv w:val="1"/>
      <w:marLeft w:val="0"/>
      <w:marRight w:val="0"/>
      <w:marTop w:val="0"/>
      <w:marBottom w:val="0"/>
      <w:divBdr>
        <w:top w:val="none" w:sz="0" w:space="0" w:color="auto"/>
        <w:left w:val="none" w:sz="0" w:space="0" w:color="auto"/>
        <w:bottom w:val="none" w:sz="0" w:space="0" w:color="auto"/>
        <w:right w:val="none" w:sz="0" w:space="0" w:color="auto"/>
      </w:divBdr>
    </w:div>
    <w:div w:id="599338005">
      <w:bodyDiv w:val="1"/>
      <w:marLeft w:val="0"/>
      <w:marRight w:val="0"/>
      <w:marTop w:val="0"/>
      <w:marBottom w:val="0"/>
      <w:divBdr>
        <w:top w:val="none" w:sz="0" w:space="0" w:color="auto"/>
        <w:left w:val="none" w:sz="0" w:space="0" w:color="auto"/>
        <w:bottom w:val="none" w:sz="0" w:space="0" w:color="auto"/>
        <w:right w:val="none" w:sz="0" w:space="0" w:color="auto"/>
      </w:divBdr>
    </w:div>
    <w:div w:id="634868397">
      <w:bodyDiv w:val="1"/>
      <w:marLeft w:val="0"/>
      <w:marRight w:val="0"/>
      <w:marTop w:val="0"/>
      <w:marBottom w:val="0"/>
      <w:divBdr>
        <w:top w:val="none" w:sz="0" w:space="0" w:color="auto"/>
        <w:left w:val="none" w:sz="0" w:space="0" w:color="auto"/>
        <w:bottom w:val="none" w:sz="0" w:space="0" w:color="auto"/>
        <w:right w:val="none" w:sz="0" w:space="0" w:color="auto"/>
      </w:divBdr>
    </w:div>
    <w:div w:id="650598301">
      <w:bodyDiv w:val="1"/>
      <w:marLeft w:val="0"/>
      <w:marRight w:val="0"/>
      <w:marTop w:val="0"/>
      <w:marBottom w:val="0"/>
      <w:divBdr>
        <w:top w:val="none" w:sz="0" w:space="0" w:color="auto"/>
        <w:left w:val="none" w:sz="0" w:space="0" w:color="auto"/>
        <w:bottom w:val="none" w:sz="0" w:space="0" w:color="auto"/>
        <w:right w:val="none" w:sz="0" w:space="0" w:color="auto"/>
      </w:divBdr>
    </w:div>
    <w:div w:id="657265689">
      <w:bodyDiv w:val="1"/>
      <w:marLeft w:val="0"/>
      <w:marRight w:val="0"/>
      <w:marTop w:val="0"/>
      <w:marBottom w:val="0"/>
      <w:divBdr>
        <w:top w:val="none" w:sz="0" w:space="0" w:color="auto"/>
        <w:left w:val="none" w:sz="0" w:space="0" w:color="auto"/>
        <w:bottom w:val="none" w:sz="0" w:space="0" w:color="auto"/>
        <w:right w:val="none" w:sz="0" w:space="0" w:color="auto"/>
      </w:divBdr>
    </w:div>
    <w:div w:id="681274203">
      <w:bodyDiv w:val="1"/>
      <w:marLeft w:val="0"/>
      <w:marRight w:val="0"/>
      <w:marTop w:val="0"/>
      <w:marBottom w:val="0"/>
      <w:divBdr>
        <w:top w:val="none" w:sz="0" w:space="0" w:color="auto"/>
        <w:left w:val="none" w:sz="0" w:space="0" w:color="auto"/>
        <w:bottom w:val="none" w:sz="0" w:space="0" w:color="auto"/>
        <w:right w:val="none" w:sz="0" w:space="0" w:color="auto"/>
      </w:divBdr>
    </w:div>
    <w:div w:id="687752582">
      <w:bodyDiv w:val="1"/>
      <w:marLeft w:val="0"/>
      <w:marRight w:val="0"/>
      <w:marTop w:val="0"/>
      <w:marBottom w:val="0"/>
      <w:divBdr>
        <w:top w:val="none" w:sz="0" w:space="0" w:color="auto"/>
        <w:left w:val="none" w:sz="0" w:space="0" w:color="auto"/>
        <w:bottom w:val="none" w:sz="0" w:space="0" w:color="auto"/>
        <w:right w:val="none" w:sz="0" w:space="0" w:color="auto"/>
      </w:divBdr>
    </w:div>
    <w:div w:id="772358238">
      <w:bodyDiv w:val="1"/>
      <w:marLeft w:val="0"/>
      <w:marRight w:val="0"/>
      <w:marTop w:val="0"/>
      <w:marBottom w:val="0"/>
      <w:divBdr>
        <w:top w:val="none" w:sz="0" w:space="0" w:color="auto"/>
        <w:left w:val="none" w:sz="0" w:space="0" w:color="auto"/>
        <w:bottom w:val="none" w:sz="0" w:space="0" w:color="auto"/>
        <w:right w:val="none" w:sz="0" w:space="0" w:color="auto"/>
      </w:divBdr>
      <w:divsChild>
        <w:div w:id="721252318">
          <w:marLeft w:val="274"/>
          <w:marRight w:val="0"/>
          <w:marTop w:val="0"/>
          <w:marBottom w:val="0"/>
          <w:divBdr>
            <w:top w:val="none" w:sz="0" w:space="0" w:color="auto"/>
            <w:left w:val="none" w:sz="0" w:space="0" w:color="auto"/>
            <w:bottom w:val="none" w:sz="0" w:space="0" w:color="auto"/>
            <w:right w:val="none" w:sz="0" w:space="0" w:color="auto"/>
          </w:divBdr>
        </w:div>
      </w:divsChild>
    </w:div>
    <w:div w:id="796142683">
      <w:bodyDiv w:val="1"/>
      <w:marLeft w:val="0"/>
      <w:marRight w:val="0"/>
      <w:marTop w:val="0"/>
      <w:marBottom w:val="0"/>
      <w:divBdr>
        <w:top w:val="none" w:sz="0" w:space="0" w:color="auto"/>
        <w:left w:val="none" w:sz="0" w:space="0" w:color="auto"/>
        <w:bottom w:val="none" w:sz="0" w:space="0" w:color="auto"/>
        <w:right w:val="none" w:sz="0" w:space="0" w:color="auto"/>
      </w:divBdr>
    </w:div>
    <w:div w:id="829950064">
      <w:bodyDiv w:val="1"/>
      <w:marLeft w:val="0"/>
      <w:marRight w:val="0"/>
      <w:marTop w:val="0"/>
      <w:marBottom w:val="0"/>
      <w:divBdr>
        <w:top w:val="none" w:sz="0" w:space="0" w:color="auto"/>
        <w:left w:val="none" w:sz="0" w:space="0" w:color="auto"/>
        <w:bottom w:val="none" w:sz="0" w:space="0" w:color="auto"/>
        <w:right w:val="none" w:sz="0" w:space="0" w:color="auto"/>
      </w:divBdr>
    </w:div>
    <w:div w:id="1016809802">
      <w:bodyDiv w:val="1"/>
      <w:marLeft w:val="0"/>
      <w:marRight w:val="0"/>
      <w:marTop w:val="0"/>
      <w:marBottom w:val="0"/>
      <w:divBdr>
        <w:top w:val="none" w:sz="0" w:space="0" w:color="auto"/>
        <w:left w:val="none" w:sz="0" w:space="0" w:color="auto"/>
        <w:bottom w:val="none" w:sz="0" w:space="0" w:color="auto"/>
        <w:right w:val="none" w:sz="0" w:space="0" w:color="auto"/>
      </w:divBdr>
    </w:div>
    <w:div w:id="1017199318">
      <w:bodyDiv w:val="1"/>
      <w:marLeft w:val="0"/>
      <w:marRight w:val="0"/>
      <w:marTop w:val="0"/>
      <w:marBottom w:val="0"/>
      <w:divBdr>
        <w:top w:val="none" w:sz="0" w:space="0" w:color="auto"/>
        <w:left w:val="none" w:sz="0" w:space="0" w:color="auto"/>
        <w:bottom w:val="none" w:sz="0" w:space="0" w:color="auto"/>
        <w:right w:val="none" w:sz="0" w:space="0" w:color="auto"/>
      </w:divBdr>
    </w:div>
    <w:div w:id="1140540204">
      <w:bodyDiv w:val="1"/>
      <w:marLeft w:val="0"/>
      <w:marRight w:val="0"/>
      <w:marTop w:val="0"/>
      <w:marBottom w:val="0"/>
      <w:divBdr>
        <w:top w:val="none" w:sz="0" w:space="0" w:color="auto"/>
        <w:left w:val="none" w:sz="0" w:space="0" w:color="auto"/>
        <w:bottom w:val="none" w:sz="0" w:space="0" w:color="auto"/>
        <w:right w:val="none" w:sz="0" w:space="0" w:color="auto"/>
      </w:divBdr>
    </w:div>
    <w:div w:id="1141382925">
      <w:bodyDiv w:val="1"/>
      <w:marLeft w:val="0"/>
      <w:marRight w:val="0"/>
      <w:marTop w:val="0"/>
      <w:marBottom w:val="0"/>
      <w:divBdr>
        <w:top w:val="none" w:sz="0" w:space="0" w:color="auto"/>
        <w:left w:val="none" w:sz="0" w:space="0" w:color="auto"/>
        <w:bottom w:val="none" w:sz="0" w:space="0" w:color="auto"/>
        <w:right w:val="none" w:sz="0" w:space="0" w:color="auto"/>
      </w:divBdr>
    </w:div>
    <w:div w:id="1182940344">
      <w:bodyDiv w:val="1"/>
      <w:marLeft w:val="0"/>
      <w:marRight w:val="0"/>
      <w:marTop w:val="0"/>
      <w:marBottom w:val="0"/>
      <w:divBdr>
        <w:top w:val="none" w:sz="0" w:space="0" w:color="auto"/>
        <w:left w:val="none" w:sz="0" w:space="0" w:color="auto"/>
        <w:bottom w:val="none" w:sz="0" w:space="0" w:color="auto"/>
        <w:right w:val="none" w:sz="0" w:space="0" w:color="auto"/>
      </w:divBdr>
    </w:div>
    <w:div w:id="1201698991">
      <w:bodyDiv w:val="1"/>
      <w:marLeft w:val="0"/>
      <w:marRight w:val="0"/>
      <w:marTop w:val="0"/>
      <w:marBottom w:val="0"/>
      <w:divBdr>
        <w:top w:val="none" w:sz="0" w:space="0" w:color="auto"/>
        <w:left w:val="none" w:sz="0" w:space="0" w:color="auto"/>
        <w:bottom w:val="none" w:sz="0" w:space="0" w:color="auto"/>
        <w:right w:val="none" w:sz="0" w:space="0" w:color="auto"/>
      </w:divBdr>
    </w:div>
    <w:div w:id="1211185785">
      <w:bodyDiv w:val="1"/>
      <w:marLeft w:val="0"/>
      <w:marRight w:val="0"/>
      <w:marTop w:val="0"/>
      <w:marBottom w:val="0"/>
      <w:divBdr>
        <w:top w:val="none" w:sz="0" w:space="0" w:color="auto"/>
        <w:left w:val="none" w:sz="0" w:space="0" w:color="auto"/>
        <w:bottom w:val="none" w:sz="0" w:space="0" w:color="auto"/>
        <w:right w:val="none" w:sz="0" w:space="0" w:color="auto"/>
      </w:divBdr>
    </w:div>
    <w:div w:id="1268462008">
      <w:bodyDiv w:val="1"/>
      <w:marLeft w:val="0"/>
      <w:marRight w:val="0"/>
      <w:marTop w:val="0"/>
      <w:marBottom w:val="0"/>
      <w:divBdr>
        <w:top w:val="none" w:sz="0" w:space="0" w:color="auto"/>
        <w:left w:val="none" w:sz="0" w:space="0" w:color="auto"/>
        <w:bottom w:val="none" w:sz="0" w:space="0" w:color="auto"/>
        <w:right w:val="none" w:sz="0" w:space="0" w:color="auto"/>
      </w:divBdr>
    </w:div>
    <w:div w:id="1280914639">
      <w:bodyDiv w:val="1"/>
      <w:marLeft w:val="0"/>
      <w:marRight w:val="0"/>
      <w:marTop w:val="0"/>
      <w:marBottom w:val="0"/>
      <w:divBdr>
        <w:top w:val="none" w:sz="0" w:space="0" w:color="auto"/>
        <w:left w:val="none" w:sz="0" w:space="0" w:color="auto"/>
        <w:bottom w:val="none" w:sz="0" w:space="0" w:color="auto"/>
        <w:right w:val="none" w:sz="0" w:space="0" w:color="auto"/>
      </w:divBdr>
    </w:div>
    <w:div w:id="1311518441">
      <w:bodyDiv w:val="1"/>
      <w:marLeft w:val="0"/>
      <w:marRight w:val="0"/>
      <w:marTop w:val="0"/>
      <w:marBottom w:val="0"/>
      <w:divBdr>
        <w:top w:val="none" w:sz="0" w:space="0" w:color="auto"/>
        <w:left w:val="none" w:sz="0" w:space="0" w:color="auto"/>
        <w:bottom w:val="none" w:sz="0" w:space="0" w:color="auto"/>
        <w:right w:val="none" w:sz="0" w:space="0" w:color="auto"/>
      </w:divBdr>
      <w:divsChild>
        <w:div w:id="654797550">
          <w:marLeft w:val="274"/>
          <w:marRight w:val="0"/>
          <w:marTop w:val="0"/>
          <w:marBottom w:val="0"/>
          <w:divBdr>
            <w:top w:val="none" w:sz="0" w:space="0" w:color="auto"/>
            <w:left w:val="none" w:sz="0" w:space="0" w:color="auto"/>
            <w:bottom w:val="none" w:sz="0" w:space="0" w:color="auto"/>
            <w:right w:val="none" w:sz="0" w:space="0" w:color="auto"/>
          </w:divBdr>
        </w:div>
      </w:divsChild>
    </w:div>
    <w:div w:id="1320035458">
      <w:bodyDiv w:val="1"/>
      <w:marLeft w:val="0"/>
      <w:marRight w:val="0"/>
      <w:marTop w:val="0"/>
      <w:marBottom w:val="0"/>
      <w:divBdr>
        <w:top w:val="none" w:sz="0" w:space="0" w:color="auto"/>
        <w:left w:val="none" w:sz="0" w:space="0" w:color="auto"/>
        <w:bottom w:val="none" w:sz="0" w:space="0" w:color="auto"/>
        <w:right w:val="none" w:sz="0" w:space="0" w:color="auto"/>
      </w:divBdr>
    </w:div>
    <w:div w:id="1340235909">
      <w:bodyDiv w:val="1"/>
      <w:marLeft w:val="0"/>
      <w:marRight w:val="0"/>
      <w:marTop w:val="0"/>
      <w:marBottom w:val="0"/>
      <w:divBdr>
        <w:top w:val="none" w:sz="0" w:space="0" w:color="auto"/>
        <w:left w:val="none" w:sz="0" w:space="0" w:color="auto"/>
        <w:bottom w:val="none" w:sz="0" w:space="0" w:color="auto"/>
        <w:right w:val="none" w:sz="0" w:space="0" w:color="auto"/>
      </w:divBdr>
    </w:div>
    <w:div w:id="1366949926">
      <w:bodyDiv w:val="1"/>
      <w:marLeft w:val="0"/>
      <w:marRight w:val="0"/>
      <w:marTop w:val="0"/>
      <w:marBottom w:val="0"/>
      <w:divBdr>
        <w:top w:val="none" w:sz="0" w:space="0" w:color="auto"/>
        <w:left w:val="none" w:sz="0" w:space="0" w:color="auto"/>
        <w:bottom w:val="none" w:sz="0" w:space="0" w:color="auto"/>
        <w:right w:val="none" w:sz="0" w:space="0" w:color="auto"/>
      </w:divBdr>
    </w:div>
    <w:div w:id="1390301896">
      <w:bodyDiv w:val="1"/>
      <w:marLeft w:val="0"/>
      <w:marRight w:val="0"/>
      <w:marTop w:val="0"/>
      <w:marBottom w:val="0"/>
      <w:divBdr>
        <w:top w:val="none" w:sz="0" w:space="0" w:color="auto"/>
        <w:left w:val="none" w:sz="0" w:space="0" w:color="auto"/>
        <w:bottom w:val="none" w:sz="0" w:space="0" w:color="auto"/>
        <w:right w:val="none" w:sz="0" w:space="0" w:color="auto"/>
      </w:divBdr>
    </w:div>
    <w:div w:id="1396470617">
      <w:bodyDiv w:val="1"/>
      <w:marLeft w:val="0"/>
      <w:marRight w:val="0"/>
      <w:marTop w:val="0"/>
      <w:marBottom w:val="0"/>
      <w:divBdr>
        <w:top w:val="none" w:sz="0" w:space="0" w:color="auto"/>
        <w:left w:val="none" w:sz="0" w:space="0" w:color="auto"/>
        <w:bottom w:val="none" w:sz="0" w:space="0" w:color="auto"/>
        <w:right w:val="none" w:sz="0" w:space="0" w:color="auto"/>
      </w:divBdr>
    </w:div>
    <w:div w:id="1401949287">
      <w:bodyDiv w:val="1"/>
      <w:marLeft w:val="0"/>
      <w:marRight w:val="0"/>
      <w:marTop w:val="0"/>
      <w:marBottom w:val="0"/>
      <w:divBdr>
        <w:top w:val="none" w:sz="0" w:space="0" w:color="auto"/>
        <w:left w:val="none" w:sz="0" w:space="0" w:color="auto"/>
        <w:bottom w:val="none" w:sz="0" w:space="0" w:color="auto"/>
        <w:right w:val="none" w:sz="0" w:space="0" w:color="auto"/>
      </w:divBdr>
    </w:div>
    <w:div w:id="1419138319">
      <w:bodyDiv w:val="1"/>
      <w:marLeft w:val="0"/>
      <w:marRight w:val="0"/>
      <w:marTop w:val="0"/>
      <w:marBottom w:val="0"/>
      <w:divBdr>
        <w:top w:val="none" w:sz="0" w:space="0" w:color="auto"/>
        <w:left w:val="none" w:sz="0" w:space="0" w:color="auto"/>
        <w:bottom w:val="none" w:sz="0" w:space="0" w:color="auto"/>
        <w:right w:val="none" w:sz="0" w:space="0" w:color="auto"/>
      </w:divBdr>
    </w:div>
    <w:div w:id="1429043746">
      <w:bodyDiv w:val="1"/>
      <w:marLeft w:val="0"/>
      <w:marRight w:val="0"/>
      <w:marTop w:val="0"/>
      <w:marBottom w:val="0"/>
      <w:divBdr>
        <w:top w:val="none" w:sz="0" w:space="0" w:color="auto"/>
        <w:left w:val="none" w:sz="0" w:space="0" w:color="auto"/>
        <w:bottom w:val="none" w:sz="0" w:space="0" w:color="auto"/>
        <w:right w:val="none" w:sz="0" w:space="0" w:color="auto"/>
      </w:divBdr>
    </w:div>
    <w:div w:id="1485003697">
      <w:bodyDiv w:val="1"/>
      <w:marLeft w:val="0"/>
      <w:marRight w:val="0"/>
      <w:marTop w:val="0"/>
      <w:marBottom w:val="0"/>
      <w:divBdr>
        <w:top w:val="none" w:sz="0" w:space="0" w:color="auto"/>
        <w:left w:val="none" w:sz="0" w:space="0" w:color="auto"/>
        <w:bottom w:val="none" w:sz="0" w:space="0" w:color="auto"/>
        <w:right w:val="none" w:sz="0" w:space="0" w:color="auto"/>
      </w:divBdr>
      <w:divsChild>
        <w:div w:id="115873200">
          <w:marLeft w:val="0"/>
          <w:marRight w:val="0"/>
          <w:marTop w:val="0"/>
          <w:marBottom w:val="0"/>
          <w:divBdr>
            <w:top w:val="none" w:sz="0" w:space="0" w:color="auto"/>
            <w:left w:val="none" w:sz="0" w:space="0" w:color="auto"/>
            <w:bottom w:val="none" w:sz="0" w:space="0" w:color="auto"/>
            <w:right w:val="none" w:sz="0" w:space="0" w:color="auto"/>
          </w:divBdr>
        </w:div>
        <w:div w:id="570041478">
          <w:marLeft w:val="0"/>
          <w:marRight w:val="0"/>
          <w:marTop w:val="0"/>
          <w:marBottom w:val="0"/>
          <w:divBdr>
            <w:top w:val="none" w:sz="0" w:space="0" w:color="auto"/>
            <w:left w:val="none" w:sz="0" w:space="0" w:color="auto"/>
            <w:bottom w:val="none" w:sz="0" w:space="0" w:color="auto"/>
            <w:right w:val="none" w:sz="0" w:space="0" w:color="auto"/>
          </w:divBdr>
        </w:div>
        <w:div w:id="1096293848">
          <w:marLeft w:val="0"/>
          <w:marRight w:val="0"/>
          <w:marTop w:val="0"/>
          <w:marBottom w:val="0"/>
          <w:divBdr>
            <w:top w:val="none" w:sz="0" w:space="0" w:color="auto"/>
            <w:left w:val="none" w:sz="0" w:space="0" w:color="auto"/>
            <w:bottom w:val="none" w:sz="0" w:space="0" w:color="auto"/>
            <w:right w:val="none" w:sz="0" w:space="0" w:color="auto"/>
          </w:divBdr>
        </w:div>
        <w:div w:id="2044549627">
          <w:marLeft w:val="0"/>
          <w:marRight w:val="0"/>
          <w:marTop w:val="0"/>
          <w:marBottom w:val="0"/>
          <w:divBdr>
            <w:top w:val="none" w:sz="0" w:space="0" w:color="auto"/>
            <w:left w:val="none" w:sz="0" w:space="0" w:color="auto"/>
            <w:bottom w:val="none" w:sz="0" w:space="0" w:color="auto"/>
            <w:right w:val="none" w:sz="0" w:space="0" w:color="auto"/>
          </w:divBdr>
        </w:div>
        <w:div w:id="353851435">
          <w:marLeft w:val="0"/>
          <w:marRight w:val="0"/>
          <w:marTop w:val="0"/>
          <w:marBottom w:val="0"/>
          <w:divBdr>
            <w:top w:val="none" w:sz="0" w:space="0" w:color="auto"/>
            <w:left w:val="none" w:sz="0" w:space="0" w:color="auto"/>
            <w:bottom w:val="none" w:sz="0" w:space="0" w:color="auto"/>
            <w:right w:val="none" w:sz="0" w:space="0" w:color="auto"/>
          </w:divBdr>
        </w:div>
        <w:div w:id="243998604">
          <w:marLeft w:val="0"/>
          <w:marRight w:val="0"/>
          <w:marTop w:val="0"/>
          <w:marBottom w:val="0"/>
          <w:divBdr>
            <w:top w:val="none" w:sz="0" w:space="0" w:color="auto"/>
            <w:left w:val="none" w:sz="0" w:space="0" w:color="auto"/>
            <w:bottom w:val="none" w:sz="0" w:space="0" w:color="auto"/>
            <w:right w:val="none" w:sz="0" w:space="0" w:color="auto"/>
          </w:divBdr>
        </w:div>
        <w:div w:id="1557856832">
          <w:marLeft w:val="0"/>
          <w:marRight w:val="0"/>
          <w:marTop w:val="0"/>
          <w:marBottom w:val="0"/>
          <w:divBdr>
            <w:top w:val="none" w:sz="0" w:space="0" w:color="auto"/>
            <w:left w:val="none" w:sz="0" w:space="0" w:color="auto"/>
            <w:bottom w:val="none" w:sz="0" w:space="0" w:color="auto"/>
            <w:right w:val="none" w:sz="0" w:space="0" w:color="auto"/>
          </w:divBdr>
        </w:div>
      </w:divsChild>
    </w:div>
    <w:div w:id="1485465333">
      <w:bodyDiv w:val="1"/>
      <w:marLeft w:val="0"/>
      <w:marRight w:val="0"/>
      <w:marTop w:val="0"/>
      <w:marBottom w:val="0"/>
      <w:divBdr>
        <w:top w:val="none" w:sz="0" w:space="0" w:color="auto"/>
        <w:left w:val="none" w:sz="0" w:space="0" w:color="auto"/>
        <w:bottom w:val="none" w:sz="0" w:space="0" w:color="auto"/>
        <w:right w:val="none" w:sz="0" w:space="0" w:color="auto"/>
      </w:divBdr>
    </w:div>
    <w:div w:id="1510679369">
      <w:bodyDiv w:val="1"/>
      <w:marLeft w:val="0"/>
      <w:marRight w:val="0"/>
      <w:marTop w:val="0"/>
      <w:marBottom w:val="0"/>
      <w:divBdr>
        <w:top w:val="none" w:sz="0" w:space="0" w:color="auto"/>
        <w:left w:val="none" w:sz="0" w:space="0" w:color="auto"/>
        <w:bottom w:val="none" w:sz="0" w:space="0" w:color="auto"/>
        <w:right w:val="none" w:sz="0" w:space="0" w:color="auto"/>
      </w:divBdr>
    </w:div>
    <w:div w:id="1550607546">
      <w:bodyDiv w:val="1"/>
      <w:marLeft w:val="0"/>
      <w:marRight w:val="0"/>
      <w:marTop w:val="0"/>
      <w:marBottom w:val="0"/>
      <w:divBdr>
        <w:top w:val="none" w:sz="0" w:space="0" w:color="auto"/>
        <w:left w:val="none" w:sz="0" w:space="0" w:color="auto"/>
        <w:bottom w:val="none" w:sz="0" w:space="0" w:color="auto"/>
        <w:right w:val="none" w:sz="0" w:space="0" w:color="auto"/>
      </w:divBdr>
      <w:divsChild>
        <w:div w:id="279730972">
          <w:marLeft w:val="274"/>
          <w:marRight w:val="0"/>
          <w:marTop w:val="0"/>
          <w:marBottom w:val="0"/>
          <w:divBdr>
            <w:top w:val="none" w:sz="0" w:space="0" w:color="auto"/>
            <w:left w:val="none" w:sz="0" w:space="0" w:color="auto"/>
            <w:bottom w:val="none" w:sz="0" w:space="0" w:color="auto"/>
            <w:right w:val="none" w:sz="0" w:space="0" w:color="auto"/>
          </w:divBdr>
        </w:div>
      </w:divsChild>
    </w:div>
    <w:div w:id="1637569219">
      <w:bodyDiv w:val="1"/>
      <w:marLeft w:val="0"/>
      <w:marRight w:val="0"/>
      <w:marTop w:val="0"/>
      <w:marBottom w:val="0"/>
      <w:divBdr>
        <w:top w:val="none" w:sz="0" w:space="0" w:color="auto"/>
        <w:left w:val="none" w:sz="0" w:space="0" w:color="auto"/>
        <w:bottom w:val="none" w:sz="0" w:space="0" w:color="auto"/>
        <w:right w:val="none" w:sz="0" w:space="0" w:color="auto"/>
      </w:divBdr>
      <w:divsChild>
        <w:div w:id="1954634143">
          <w:marLeft w:val="0"/>
          <w:marRight w:val="0"/>
          <w:marTop w:val="0"/>
          <w:marBottom w:val="0"/>
          <w:divBdr>
            <w:top w:val="none" w:sz="0" w:space="0" w:color="auto"/>
            <w:left w:val="none" w:sz="0" w:space="0" w:color="auto"/>
            <w:bottom w:val="none" w:sz="0" w:space="0" w:color="auto"/>
            <w:right w:val="none" w:sz="0" w:space="0" w:color="auto"/>
          </w:divBdr>
        </w:div>
        <w:div w:id="1295408558">
          <w:marLeft w:val="0"/>
          <w:marRight w:val="0"/>
          <w:marTop w:val="0"/>
          <w:marBottom w:val="0"/>
          <w:divBdr>
            <w:top w:val="none" w:sz="0" w:space="0" w:color="auto"/>
            <w:left w:val="none" w:sz="0" w:space="0" w:color="auto"/>
            <w:bottom w:val="none" w:sz="0" w:space="0" w:color="auto"/>
            <w:right w:val="none" w:sz="0" w:space="0" w:color="auto"/>
          </w:divBdr>
        </w:div>
        <w:div w:id="251159772">
          <w:marLeft w:val="0"/>
          <w:marRight w:val="0"/>
          <w:marTop w:val="0"/>
          <w:marBottom w:val="0"/>
          <w:divBdr>
            <w:top w:val="none" w:sz="0" w:space="0" w:color="auto"/>
            <w:left w:val="none" w:sz="0" w:space="0" w:color="auto"/>
            <w:bottom w:val="none" w:sz="0" w:space="0" w:color="auto"/>
            <w:right w:val="none" w:sz="0" w:space="0" w:color="auto"/>
          </w:divBdr>
        </w:div>
      </w:divsChild>
    </w:div>
    <w:div w:id="1675110735">
      <w:bodyDiv w:val="1"/>
      <w:marLeft w:val="0"/>
      <w:marRight w:val="0"/>
      <w:marTop w:val="0"/>
      <w:marBottom w:val="0"/>
      <w:divBdr>
        <w:top w:val="none" w:sz="0" w:space="0" w:color="auto"/>
        <w:left w:val="none" w:sz="0" w:space="0" w:color="auto"/>
        <w:bottom w:val="none" w:sz="0" w:space="0" w:color="auto"/>
        <w:right w:val="none" w:sz="0" w:space="0" w:color="auto"/>
      </w:divBdr>
      <w:divsChild>
        <w:div w:id="406268233">
          <w:marLeft w:val="0"/>
          <w:marRight w:val="0"/>
          <w:marTop w:val="0"/>
          <w:marBottom w:val="0"/>
          <w:divBdr>
            <w:top w:val="none" w:sz="0" w:space="0" w:color="auto"/>
            <w:left w:val="none" w:sz="0" w:space="0" w:color="auto"/>
            <w:bottom w:val="none" w:sz="0" w:space="0" w:color="auto"/>
            <w:right w:val="none" w:sz="0" w:space="0" w:color="auto"/>
          </w:divBdr>
        </w:div>
      </w:divsChild>
    </w:div>
    <w:div w:id="1699356854">
      <w:bodyDiv w:val="1"/>
      <w:marLeft w:val="0"/>
      <w:marRight w:val="0"/>
      <w:marTop w:val="0"/>
      <w:marBottom w:val="0"/>
      <w:divBdr>
        <w:top w:val="none" w:sz="0" w:space="0" w:color="auto"/>
        <w:left w:val="none" w:sz="0" w:space="0" w:color="auto"/>
        <w:bottom w:val="none" w:sz="0" w:space="0" w:color="auto"/>
        <w:right w:val="none" w:sz="0" w:space="0" w:color="auto"/>
      </w:divBdr>
    </w:div>
    <w:div w:id="1711610338">
      <w:bodyDiv w:val="1"/>
      <w:marLeft w:val="0"/>
      <w:marRight w:val="0"/>
      <w:marTop w:val="0"/>
      <w:marBottom w:val="0"/>
      <w:divBdr>
        <w:top w:val="none" w:sz="0" w:space="0" w:color="auto"/>
        <w:left w:val="none" w:sz="0" w:space="0" w:color="auto"/>
        <w:bottom w:val="none" w:sz="0" w:space="0" w:color="auto"/>
        <w:right w:val="none" w:sz="0" w:space="0" w:color="auto"/>
      </w:divBdr>
      <w:divsChild>
        <w:div w:id="948901285">
          <w:marLeft w:val="0"/>
          <w:marRight w:val="0"/>
          <w:marTop w:val="0"/>
          <w:marBottom w:val="0"/>
          <w:divBdr>
            <w:top w:val="none" w:sz="0" w:space="0" w:color="auto"/>
            <w:left w:val="none" w:sz="0" w:space="0" w:color="auto"/>
            <w:bottom w:val="none" w:sz="0" w:space="0" w:color="auto"/>
            <w:right w:val="none" w:sz="0" w:space="0" w:color="auto"/>
          </w:divBdr>
        </w:div>
        <w:div w:id="1915236485">
          <w:marLeft w:val="0"/>
          <w:marRight w:val="0"/>
          <w:marTop w:val="0"/>
          <w:marBottom w:val="0"/>
          <w:divBdr>
            <w:top w:val="none" w:sz="0" w:space="0" w:color="auto"/>
            <w:left w:val="none" w:sz="0" w:space="0" w:color="auto"/>
            <w:bottom w:val="none" w:sz="0" w:space="0" w:color="auto"/>
            <w:right w:val="none" w:sz="0" w:space="0" w:color="auto"/>
          </w:divBdr>
        </w:div>
        <w:div w:id="61490606">
          <w:marLeft w:val="0"/>
          <w:marRight w:val="0"/>
          <w:marTop w:val="0"/>
          <w:marBottom w:val="0"/>
          <w:divBdr>
            <w:top w:val="none" w:sz="0" w:space="0" w:color="auto"/>
            <w:left w:val="none" w:sz="0" w:space="0" w:color="auto"/>
            <w:bottom w:val="none" w:sz="0" w:space="0" w:color="auto"/>
            <w:right w:val="none" w:sz="0" w:space="0" w:color="auto"/>
          </w:divBdr>
        </w:div>
        <w:div w:id="1206257439">
          <w:marLeft w:val="0"/>
          <w:marRight w:val="0"/>
          <w:marTop w:val="0"/>
          <w:marBottom w:val="0"/>
          <w:divBdr>
            <w:top w:val="none" w:sz="0" w:space="0" w:color="auto"/>
            <w:left w:val="none" w:sz="0" w:space="0" w:color="auto"/>
            <w:bottom w:val="none" w:sz="0" w:space="0" w:color="auto"/>
            <w:right w:val="none" w:sz="0" w:space="0" w:color="auto"/>
          </w:divBdr>
        </w:div>
        <w:div w:id="1147281919">
          <w:marLeft w:val="0"/>
          <w:marRight w:val="0"/>
          <w:marTop w:val="0"/>
          <w:marBottom w:val="0"/>
          <w:divBdr>
            <w:top w:val="none" w:sz="0" w:space="0" w:color="auto"/>
            <w:left w:val="none" w:sz="0" w:space="0" w:color="auto"/>
            <w:bottom w:val="none" w:sz="0" w:space="0" w:color="auto"/>
            <w:right w:val="none" w:sz="0" w:space="0" w:color="auto"/>
          </w:divBdr>
        </w:div>
        <w:div w:id="1280457693">
          <w:marLeft w:val="0"/>
          <w:marRight w:val="0"/>
          <w:marTop w:val="0"/>
          <w:marBottom w:val="0"/>
          <w:divBdr>
            <w:top w:val="none" w:sz="0" w:space="0" w:color="auto"/>
            <w:left w:val="none" w:sz="0" w:space="0" w:color="auto"/>
            <w:bottom w:val="none" w:sz="0" w:space="0" w:color="auto"/>
            <w:right w:val="none" w:sz="0" w:space="0" w:color="auto"/>
          </w:divBdr>
        </w:div>
        <w:div w:id="458229046">
          <w:marLeft w:val="0"/>
          <w:marRight w:val="0"/>
          <w:marTop w:val="0"/>
          <w:marBottom w:val="0"/>
          <w:divBdr>
            <w:top w:val="none" w:sz="0" w:space="0" w:color="auto"/>
            <w:left w:val="none" w:sz="0" w:space="0" w:color="auto"/>
            <w:bottom w:val="none" w:sz="0" w:space="0" w:color="auto"/>
            <w:right w:val="none" w:sz="0" w:space="0" w:color="auto"/>
          </w:divBdr>
        </w:div>
      </w:divsChild>
    </w:div>
    <w:div w:id="1764303011">
      <w:bodyDiv w:val="1"/>
      <w:marLeft w:val="0"/>
      <w:marRight w:val="0"/>
      <w:marTop w:val="0"/>
      <w:marBottom w:val="0"/>
      <w:divBdr>
        <w:top w:val="none" w:sz="0" w:space="0" w:color="auto"/>
        <w:left w:val="none" w:sz="0" w:space="0" w:color="auto"/>
        <w:bottom w:val="none" w:sz="0" w:space="0" w:color="auto"/>
        <w:right w:val="none" w:sz="0" w:space="0" w:color="auto"/>
      </w:divBdr>
    </w:div>
    <w:div w:id="1903786791">
      <w:bodyDiv w:val="1"/>
      <w:marLeft w:val="0"/>
      <w:marRight w:val="0"/>
      <w:marTop w:val="0"/>
      <w:marBottom w:val="0"/>
      <w:divBdr>
        <w:top w:val="none" w:sz="0" w:space="0" w:color="auto"/>
        <w:left w:val="none" w:sz="0" w:space="0" w:color="auto"/>
        <w:bottom w:val="none" w:sz="0" w:space="0" w:color="auto"/>
        <w:right w:val="none" w:sz="0" w:space="0" w:color="auto"/>
      </w:divBdr>
      <w:divsChild>
        <w:div w:id="946497539">
          <w:marLeft w:val="0"/>
          <w:marRight w:val="0"/>
          <w:marTop w:val="0"/>
          <w:marBottom w:val="0"/>
          <w:divBdr>
            <w:top w:val="none" w:sz="0" w:space="0" w:color="auto"/>
            <w:left w:val="none" w:sz="0" w:space="0" w:color="auto"/>
            <w:bottom w:val="none" w:sz="0" w:space="0" w:color="auto"/>
            <w:right w:val="none" w:sz="0" w:space="0" w:color="auto"/>
          </w:divBdr>
        </w:div>
      </w:divsChild>
    </w:div>
    <w:div w:id="1926835618">
      <w:bodyDiv w:val="1"/>
      <w:marLeft w:val="0"/>
      <w:marRight w:val="0"/>
      <w:marTop w:val="0"/>
      <w:marBottom w:val="0"/>
      <w:divBdr>
        <w:top w:val="none" w:sz="0" w:space="0" w:color="auto"/>
        <w:left w:val="none" w:sz="0" w:space="0" w:color="auto"/>
        <w:bottom w:val="none" w:sz="0" w:space="0" w:color="auto"/>
        <w:right w:val="none" w:sz="0" w:space="0" w:color="auto"/>
      </w:divBdr>
    </w:div>
    <w:div w:id="2062485435">
      <w:bodyDiv w:val="1"/>
      <w:marLeft w:val="0"/>
      <w:marRight w:val="0"/>
      <w:marTop w:val="0"/>
      <w:marBottom w:val="0"/>
      <w:divBdr>
        <w:top w:val="none" w:sz="0" w:space="0" w:color="auto"/>
        <w:left w:val="none" w:sz="0" w:space="0" w:color="auto"/>
        <w:bottom w:val="none" w:sz="0" w:space="0" w:color="auto"/>
        <w:right w:val="none" w:sz="0" w:space="0" w:color="auto"/>
      </w:divBdr>
    </w:div>
    <w:div w:id="2064940172">
      <w:bodyDiv w:val="1"/>
      <w:marLeft w:val="0"/>
      <w:marRight w:val="0"/>
      <w:marTop w:val="0"/>
      <w:marBottom w:val="0"/>
      <w:divBdr>
        <w:top w:val="none" w:sz="0" w:space="0" w:color="auto"/>
        <w:left w:val="none" w:sz="0" w:space="0" w:color="auto"/>
        <w:bottom w:val="none" w:sz="0" w:space="0" w:color="auto"/>
        <w:right w:val="none" w:sz="0" w:space="0" w:color="auto"/>
      </w:divBdr>
    </w:div>
    <w:div w:id="213136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supportpolicy@health.gov.au" TargetMode="External"/><Relationship Id="rId13" Type="http://schemas.openxmlformats.org/officeDocument/2006/relationships/hyperlink" Target="https://www.health.gov.au/resources/publications/commonwealth-home-support-programme-chsp-payment-in-arrears-and-unit-pricing-october-updat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ealth.gov.au/resources/publications/commonwealth-home-support-programme-chsp-negotiations-transition-support-and-mmm-loading" TargetMode="External"/><Relationship Id="rId17" Type="http://schemas.openxmlformats.org/officeDocument/2006/relationships/hyperlink" Target="https://www.health.gov.au/initiatives-and-programs/covid-19-vaccines/information-for-aged-care-providers-workers-and-residents-about-covid-19-vaccines/in-home-and-community-aged-care-recipients-workers-and-provide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gov.au/initiatives-and-programs/commonwealth-home-support-programme-chsp/charging-for-the-commonwealth-home-support-programme-ch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national-guide-to-the-chsp-client-contribution-framewor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ealth.gov.au/resources/publications/covid-19-changes-to-commonwealth-home-support-programme-chsp-flexibility-provisions" TargetMode="External"/><Relationship Id="rId23" Type="http://schemas.openxmlformats.org/officeDocument/2006/relationships/footer" Target="footer3.xml"/><Relationship Id="rId10" Type="http://schemas.openxmlformats.org/officeDocument/2006/relationships/hyperlink" Target="https://www.health.gov.au/resources/publications/commonwealth-home-support-programme-chsp-manua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health.gov.au/resources/webinars/commonwealth-home-support-programme-2022-23-extension-webinar" TargetMode="External"/><Relationship Id="rId14" Type="http://schemas.openxmlformats.org/officeDocument/2006/relationships/hyperlink" Target="https://www.health.gov.au/resources/publications/modified-monash-model-fact-shee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95777-FBA1-4269-AEC8-0FF0C5EC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15</Pages>
  <Words>6326</Words>
  <Characters>34163</Characters>
  <Application>Microsoft Office Word</Application>
  <DocSecurity>0</DocSecurity>
  <Lines>742</Lines>
  <Paragraphs>444</Paragraphs>
  <ScaleCrop>false</ScaleCrop>
  <HeadingPairs>
    <vt:vector size="2" baseType="variant">
      <vt:variant>
        <vt:lpstr>Title</vt:lpstr>
      </vt:variant>
      <vt:variant>
        <vt:i4>1</vt:i4>
      </vt:variant>
    </vt:vector>
  </HeadingPairs>
  <TitlesOfParts>
    <vt:vector size="1" baseType="lpstr">
      <vt:lpstr>IPA Question and Answer Fact Sheet - November 2021</vt:lpstr>
    </vt:vector>
  </TitlesOfParts>
  <Company>Department of Health</Company>
  <LinksUpToDate>false</LinksUpToDate>
  <CharactersWithSpaces>40045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&amp; Answers – Commonwealth Home Support Programme (CHSP) 2022-23 extension webinar – 17 November 2021</dc:title>
  <dc:subject>Aged Care</dc:subject>
  <dc:creator>Australian Government Department of Health</dc:creator>
  <cp:keywords>Improved Payment Arrangements; Aged Care</cp:keywords>
  <dc:description/>
  <cp:lastModifiedBy>JACOB, Reuben</cp:lastModifiedBy>
  <cp:revision>3</cp:revision>
  <cp:lastPrinted>2021-12-15T00:34:00Z</cp:lastPrinted>
  <dcterms:created xsi:type="dcterms:W3CDTF">2021-12-21T03:57:00Z</dcterms:created>
  <dcterms:modified xsi:type="dcterms:W3CDTF">2021-12-21T04:59:00Z</dcterms:modified>
</cp:coreProperties>
</file>