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089EA" w14:textId="77777777" w:rsidR="00B85FD6" w:rsidRDefault="00B85FD6" w:rsidP="00B85FD6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533"/>
        <w:gridCol w:w="26"/>
        <w:gridCol w:w="2562"/>
        <w:gridCol w:w="2611"/>
        <w:gridCol w:w="2724"/>
      </w:tblGrid>
      <w:tr w:rsidR="00B85FD6" w14:paraId="1115787A" w14:textId="77777777" w:rsidTr="00214681">
        <w:tc>
          <w:tcPr>
            <w:tcW w:w="10456" w:type="dxa"/>
            <w:gridSpan w:val="5"/>
          </w:tcPr>
          <w:p w14:paraId="3FF7B47E" w14:textId="77777777" w:rsidR="00B85FD6" w:rsidRDefault="00B85FD6" w:rsidP="00214681">
            <w:pPr>
              <w:pStyle w:val="Heading1"/>
              <w:jc w:val="center"/>
              <w:outlineLvl w:val="0"/>
            </w:pPr>
            <w:r>
              <w:t>Health Plan Vision</w:t>
            </w:r>
          </w:p>
          <w:p w14:paraId="1CD4217D" w14:textId="77777777" w:rsidR="00B85FD6" w:rsidRDefault="00B85FD6" w:rsidP="00214681">
            <w:r>
              <w:t xml:space="preserve">Aboriginal and Torres Strait Islander people enjoy long, healthy lives that are centred in culture, with access to services that are prevention-focused, culturally </w:t>
            </w:r>
            <w:proofErr w:type="gramStart"/>
            <w:r>
              <w:t>safe</w:t>
            </w:r>
            <w:proofErr w:type="gramEnd"/>
            <w:r>
              <w:t xml:space="preserve"> and responsive, equitable and free of racism.</w:t>
            </w:r>
          </w:p>
        </w:tc>
      </w:tr>
      <w:tr w:rsidR="00B85FD6" w14:paraId="220F512D" w14:textId="77777777" w:rsidTr="00214681">
        <w:tc>
          <w:tcPr>
            <w:tcW w:w="10456" w:type="dxa"/>
            <w:gridSpan w:val="5"/>
          </w:tcPr>
          <w:p w14:paraId="7FBB9F68" w14:textId="77777777" w:rsidR="00B85FD6" w:rsidRDefault="00B85FD6" w:rsidP="00214681">
            <w:pPr>
              <w:pStyle w:val="Heading3"/>
              <w:jc w:val="center"/>
              <w:outlineLvl w:val="2"/>
            </w:pPr>
            <w:r>
              <w:t>Foundations for a Healthy Life</w:t>
            </w:r>
          </w:p>
          <w:p w14:paraId="5BDF56BC" w14:textId="77777777" w:rsidR="00B85FD6" w:rsidRDefault="00B85FD6" w:rsidP="00214681">
            <w:r>
              <w:t xml:space="preserve">Aboriginal and Torres Strait Islander health is viewed in a holistic context that recognises not only physical health and wellbeing but also the social, </w:t>
            </w:r>
            <w:proofErr w:type="gramStart"/>
            <w:r>
              <w:t>emotional</w:t>
            </w:r>
            <w:proofErr w:type="gramEnd"/>
            <w:r>
              <w:t xml:space="preserve"> and cultural wellbeing of individuals, families and communities throughout the entire life course.</w:t>
            </w:r>
          </w:p>
        </w:tc>
      </w:tr>
      <w:tr w:rsidR="00B85FD6" w14:paraId="786C6B90" w14:textId="77777777" w:rsidTr="00214681">
        <w:tc>
          <w:tcPr>
            <w:tcW w:w="5121" w:type="dxa"/>
            <w:gridSpan w:val="3"/>
          </w:tcPr>
          <w:p w14:paraId="40A9EDE2" w14:textId="77777777" w:rsidR="00B85FD6" w:rsidRDefault="00B85FD6" w:rsidP="00214681">
            <w:pPr>
              <w:jc w:val="center"/>
            </w:pPr>
            <w:r w:rsidRPr="00DA1B6B">
              <w:rPr>
                <w:b/>
                <w:bCs/>
              </w:rPr>
              <w:t>The cultural determinants of health</w:t>
            </w:r>
          </w:p>
        </w:tc>
        <w:tc>
          <w:tcPr>
            <w:tcW w:w="5335" w:type="dxa"/>
            <w:gridSpan w:val="2"/>
          </w:tcPr>
          <w:p w14:paraId="5217DC54" w14:textId="77777777" w:rsidR="00B85FD6" w:rsidRDefault="00B85FD6" w:rsidP="00214681">
            <w:pPr>
              <w:jc w:val="center"/>
            </w:pPr>
            <w:r w:rsidRPr="00DA1B6B">
              <w:rPr>
                <w:b/>
                <w:bCs/>
              </w:rPr>
              <w:t>The social determinants of health</w:t>
            </w:r>
          </w:p>
        </w:tc>
      </w:tr>
      <w:tr w:rsidR="00B85FD6" w14:paraId="03D33735" w14:textId="77777777" w:rsidTr="00214681">
        <w:tc>
          <w:tcPr>
            <w:tcW w:w="10456" w:type="dxa"/>
            <w:gridSpan w:val="5"/>
          </w:tcPr>
          <w:p w14:paraId="72676679" w14:textId="77777777" w:rsidR="00B85FD6" w:rsidRDefault="00B85FD6" w:rsidP="00214681">
            <w:r>
              <w:t xml:space="preserve">Culture is a foundation for Aboriginal and Torres Strait Islander health and wellbeing. It is a protective factor across the life </w:t>
            </w:r>
            <w:proofErr w:type="gramStart"/>
            <w:r>
              <w:t>course, and</w:t>
            </w:r>
            <w:proofErr w:type="gramEnd"/>
            <w:r>
              <w:t xml:space="preserve"> has a direct influence on broader social determinan</w:t>
            </w:r>
            <w:r w:rsidRPr="004B7304">
              <w:t>ts</w:t>
            </w:r>
            <w:r>
              <w:t xml:space="preserve"> outcomes. Gains across these broader determinants, in turn, reinforce cultural connectedness, maintenance, resurgence, nation building and pride in cultural identity.</w:t>
            </w:r>
          </w:p>
        </w:tc>
      </w:tr>
      <w:tr w:rsidR="00B85FD6" w14:paraId="7AA863A8" w14:textId="77777777" w:rsidTr="00214681">
        <w:tc>
          <w:tcPr>
            <w:tcW w:w="10456" w:type="dxa"/>
            <w:gridSpan w:val="5"/>
          </w:tcPr>
          <w:p w14:paraId="58F99A7C" w14:textId="77777777" w:rsidR="00B85FD6" w:rsidRPr="007D3CAB" w:rsidRDefault="00B85FD6" w:rsidP="00214681">
            <w:pPr>
              <w:jc w:val="center"/>
              <w:rPr>
                <w:b/>
                <w:bCs/>
              </w:rPr>
            </w:pPr>
            <w:r w:rsidRPr="007D3CAB">
              <w:rPr>
                <w:b/>
                <w:bCs/>
              </w:rPr>
              <w:t>The Life Course</w:t>
            </w:r>
          </w:p>
        </w:tc>
      </w:tr>
      <w:tr w:rsidR="00B85FD6" w14:paraId="09C256E7" w14:textId="77777777" w:rsidTr="00214681">
        <w:tc>
          <w:tcPr>
            <w:tcW w:w="2533" w:type="dxa"/>
          </w:tcPr>
          <w:p w14:paraId="2904115A" w14:textId="77777777" w:rsidR="00B85FD6" w:rsidRDefault="00B85FD6" w:rsidP="00214681">
            <w:r>
              <w:t>Healthy babies and children (Ages 0 – 12)</w:t>
            </w:r>
          </w:p>
        </w:tc>
        <w:tc>
          <w:tcPr>
            <w:tcW w:w="2588" w:type="dxa"/>
            <w:gridSpan w:val="2"/>
          </w:tcPr>
          <w:p w14:paraId="1C1A8423" w14:textId="77777777" w:rsidR="00B85FD6" w:rsidRDefault="00B85FD6" w:rsidP="00214681">
            <w:r>
              <w:t>Healthy youth and adolescents (Ages 12 – 24)</w:t>
            </w:r>
          </w:p>
        </w:tc>
        <w:tc>
          <w:tcPr>
            <w:tcW w:w="2611" w:type="dxa"/>
          </w:tcPr>
          <w:p w14:paraId="404BEF68" w14:textId="77777777" w:rsidR="00B85FD6" w:rsidRDefault="00B85FD6" w:rsidP="00214681">
            <w:r>
              <w:t>Healthy adults (Ages 25 – 49)</w:t>
            </w:r>
          </w:p>
        </w:tc>
        <w:tc>
          <w:tcPr>
            <w:tcW w:w="2614" w:type="dxa"/>
          </w:tcPr>
          <w:p w14:paraId="3C2C4791" w14:textId="77777777" w:rsidR="00B85FD6" w:rsidRDefault="00B85FD6" w:rsidP="00214681">
            <w:r>
              <w:t>Healthy ageing (Ages 50+)</w:t>
            </w:r>
          </w:p>
        </w:tc>
      </w:tr>
      <w:tr w:rsidR="00B85FD6" w14:paraId="4DD06E16" w14:textId="77777777" w:rsidTr="00214681">
        <w:tc>
          <w:tcPr>
            <w:tcW w:w="10456" w:type="dxa"/>
            <w:gridSpan w:val="5"/>
          </w:tcPr>
          <w:p w14:paraId="7F8C8B7E" w14:textId="77777777" w:rsidR="00B85FD6" w:rsidRDefault="00B85FD6" w:rsidP="00214681">
            <w:pPr>
              <w:jc w:val="center"/>
            </w:pPr>
            <w:r w:rsidRPr="00DA1B6B">
              <w:rPr>
                <w:b/>
                <w:bCs/>
              </w:rPr>
              <w:t>Priorities</w:t>
            </w:r>
          </w:p>
        </w:tc>
      </w:tr>
      <w:tr w:rsidR="00B85FD6" w14:paraId="7003BC07" w14:textId="77777777" w:rsidTr="00214681">
        <w:tc>
          <w:tcPr>
            <w:tcW w:w="2559" w:type="dxa"/>
            <w:gridSpan w:val="2"/>
          </w:tcPr>
          <w:p w14:paraId="501C3202" w14:textId="77777777" w:rsidR="00B85FD6" w:rsidRPr="00DA1B6B" w:rsidRDefault="00B85FD6" w:rsidP="00214681">
            <w:pPr>
              <w:rPr>
                <w:b/>
                <w:bCs/>
              </w:rPr>
            </w:pPr>
            <w:r w:rsidRPr="00DA1B6B">
              <w:rPr>
                <w:b/>
                <w:bCs/>
              </w:rPr>
              <w:t>Enablers for Change</w:t>
            </w:r>
          </w:p>
          <w:p w14:paraId="64B765C5" w14:textId="77777777" w:rsidR="00B85FD6" w:rsidRDefault="00B85FD6" w:rsidP="00214681">
            <w:r>
              <w:t>Priority 1: Genuine shared decision making and partnerships</w:t>
            </w:r>
          </w:p>
          <w:p w14:paraId="6AC817BF" w14:textId="77777777" w:rsidR="00B85FD6" w:rsidRDefault="00B85FD6" w:rsidP="00214681">
            <w:r>
              <w:t>Priority 2: Aboriginal and Torres Strait Islander community controlled comprehensive primary health care</w:t>
            </w:r>
          </w:p>
          <w:p w14:paraId="1943EAC8" w14:textId="77777777" w:rsidR="00B85FD6" w:rsidRDefault="00B85FD6" w:rsidP="00214681">
            <w:r>
              <w:t>Priority 3: Workforce</w:t>
            </w:r>
          </w:p>
        </w:tc>
        <w:tc>
          <w:tcPr>
            <w:tcW w:w="2562" w:type="dxa"/>
          </w:tcPr>
          <w:p w14:paraId="5D92BFD0" w14:textId="77777777" w:rsidR="00B85FD6" w:rsidRPr="00DA1B6B" w:rsidRDefault="00B85FD6" w:rsidP="00214681">
            <w:pPr>
              <w:rPr>
                <w:b/>
                <w:bCs/>
              </w:rPr>
            </w:pPr>
            <w:r w:rsidRPr="00DA1B6B">
              <w:rPr>
                <w:b/>
                <w:bCs/>
              </w:rPr>
              <w:t>Focusing on Prevention</w:t>
            </w:r>
          </w:p>
          <w:p w14:paraId="61D58180" w14:textId="77777777" w:rsidR="00B85FD6" w:rsidRDefault="00B85FD6" w:rsidP="00214681">
            <w:r>
              <w:t>Priority 4: Health promotion</w:t>
            </w:r>
          </w:p>
          <w:p w14:paraId="56D5FDC4" w14:textId="77777777" w:rsidR="00B85FD6" w:rsidRDefault="00B85FD6" w:rsidP="00214681">
            <w:r>
              <w:t>Priority 5: Early intervention</w:t>
            </w:r>
          </w:p>
          <w:p w14:paraId="6A75221D" w14:textId="77777777" w:rsidR="00B85FD6" w:rsidRDefault="00B85FD6" w:rsidP="00214681">
            <w:r>
              <w:t>Priority 6: Social and emotional wellbeing and trauma-aware, healing-informed approaches</w:t>
            </w:r>
          </w:p>
          <w:p w14:paraId="2AAAB18A" w14:textId="77777777" w:rsidR="00B85FD6" w:rsidRDefault="00B85FD6" w:rsidP="00214681">
            <w:r>
              <w:t xml:space="preserve">Priority 7: Healthy environments, </w:t>
            </w:r>
            <w:proofErr w:type="gramStart"/>
            <w:r>
              <w:t>sustainability</w:t>
            </w:r>
            <w:proofErr w:type="gramEnd"/>
            <w:r>
              <w:t xml:space="preserve"> and preparedness</w:t>
            </w:r>
          </w:p>
        </w:tc>
        <w:tc>
          <w:tcPr>
            <w:tcW w:w="2611" w:type="dxa"/>
          </w:tcPr>
          <w:p w14:paraId="7169D066" w14:textId="77777777" w:rsidR="00B85FD6" w:rsidRPr="00DA1B6B" w:rsidRDefault="00B85FD6" w:rsidP="00214681">
            <w:pPr>
              <w:rPr>
                <w:b/>
                <w:bCs/>
              </w:rPr>
            </w:pPr>
            <w:r w:rsidRPr="00DA1B6B">
              <w:rPr>
                <w:b/>
                <w:bCs/>
              </w:rPr>
              <w:t>Improving the Health System</w:t>
            </w:r>
          </w:p>
          <w:p w14:paraId="036CCE06" w14:textId="77777777" w:rsidR="00B85FD6" w:rsidRDefault="00B85FD6" w:rsidP="00214681">
            <w:r>
              <w:t>Priority 8: Identify and eliminate racism</w:t>
            </w:r>
          </w:p>
          <w:p w14:paraId="00285E20" w14:textId="77777777" w:rsidR="00B85FD6" w:rsidRDefault="00B85FD6" w:rsidP="00214681">
            <w:r>
              <w:t>Priority 9: Access to person-centred and family-centred care</w:t>
            </w:r>
          </w:p>
          <w:p w14:paraId="27AFAFF8" w14:textId="77777777" w:rsidR="00B85FD6" w:rsidRDefault="00B85FD6" w:rsidP="00214681">
            <w:r>
              <w:t xml:space="preserve">Priority 10: Mental health and suicide prevention </w:t>
            </w:r>
          </w:p>
          <w:p w14:paraId="19FE755E" w14:textId="77777777" w:rsidR="00B85FD6" w:rsidRDefault="00B85FD6" w:rsidP="00214681"/>
        </w:tc>
        <w:tc>
          <w:tcPr>
            <w:tcW w:w="2724" w:type="dxa"/>
          </w:tcPr>
          <w:p w14:paraId="51E968D2" w14:textId="77777777" w:rsidR="00B85FD6" w:rsidRPr="00DA1B6B" w:rsidRDefault="00B85FD6" w:rsidP="00214681">
            <w:pPr>
              <w:rPr>
                <w:b/>
                <w:bCs/>
              </w:rPr>
            </w:pPr>
            <w:r w:rsidRPr="00DA1B6B">
              <w:rPr>
                <w:b/>
                <w:bCs/>
              </w:rPr>
              <w:t>Culturally Informed Evidence Base</w:t>
            </w:r>
          </w:p>
          <w:p w14:paraId="026719AF" w14:textId="77777777" w:rsidR="00B85FD6" w:rsidRDefault="00B85FD6" w:rsidP="00214681">
            <w:r>
              <w:t xml:space="preserve">Priority 11: Culturally informed and </w:t>
            </w:r>
            <w:proofErr w:type="gramStart"/>
            <w:r>
              <w:t>evidence based</w:t>
            </w:r>
            <w:proofErr w:type="gramEnd"/>
            <w:r>
              <w:t xml:space="preserve"> evaluation, research and practice</w:t>
            </w:r>
          </w:p>
          <w:p w14:paraId="4850F670" w14:textId="77777777" w:rsidR="00B85FD6" w:rsidRDefault="00B85FD6" w:rsidP="00214681">
            <w:r>
              <w:t>Priority 12: Shared access to data and information at a regional level</w:t>
            </w:r>
          </w:p>
          <w:p w14:paraId="650AF271" w14:textId="77777777" w:rsidR="00B85FD6" w:rsidRDefault="00B85FD6" w:rsidP="00214681"/>
        </w:tc>
      </w:tr>
    </w:tbl>
    <w:p w14:paraId="24E007A6" w14:textId="77777777" w:rsidR="00280050" w:rsidRDefault="00280050"/>
    <w:sectPr w:rsidR="00280050" w:rsidSect="00B85F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D6"/>
    <w:rsid w:val="00280050"/>
    <w:rsid w:val="00B85FD6"/>
    <w:rsid w:val="00BA7C60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2A705"/>
  <w15:chartTrackingRefBased/>
  <w15:docId w15:val="{5E0EE7FC-FC29-4A0E-931A-0E49824F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FD6"/>
    <w:pPr>
      <w:spacing w:before="120" w:after="120" w:line="276" w:lineRule="auto"/>
    </w:pPr>
    <w:rPr>
      <w:rFonts w:asciiTheme="minorHAnsi" w:hAnsiTheme="minorHAnsi"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FD6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5FD6"/>
    <w:pPr>
      <w:keepNext/>
      <w:keepLines/>
      <w:spacing w:before="240" w:after="16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FD6"/>
    <w:rPr>
      <w:rFonts w:asciiTheme="minorHAnsi" w:eastAsiaTheme="majorEastAsia" w:hAnsiTheme="minorHAnsi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85FD6"/>
    <w:rPr>
      <w:rFonts w:asciiTheme="minorHAnsi" w:eastAsiaTheme="majorEastAsia" w:hAnsiTheme="minorHAnsi" w:cstheme="majorBidi"/>
      <w:b/>
    </w:rPr>
  </w:style>
  <w:style w:type="table" w:styleId="TableGrid">
    <w:name w:val="Table Grid"/>
    <w:basedOn w:val="TableNormal"/>
    <w:uiPriority w:val="39"/>
    <w:rsid w:val="00B85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Aboriginal and Torres Strait Islander Health Plan 2021–2031 – Framework</dc:title>
  <dc:subject/>
  <dc:creator>Australian Government Department of Health</dc:creator>
  <cp:keywords>Aboriginal and Torres Strait Islander health</cp:keywords>
  <dc:description/>
  <cp:lastModifiedBy>JACOB, Reuben</cp:lastModifiedBy>
  <cp:revision>2</cp:revision>
  <dcterms:created xsi:type="dcterms:W3CDTF">2021-12-09T03:36:00Z</dcterms:created>
  <dcterms:modified xsi:type="dcterms:W3CDTF">2021-12-14T04:31:00Z</dcterms:modified>
</cp:coreProperties>
</file>