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11518984"/>
        <w:docPartObj>
          <w:docPartGallery w:val="Cover Pages"/>
          <w:docPartUnique/>
        </w:docPartObj>
      </w:sdtPr>
      <w:sdtEndPr/>
      <w:sdtContent>
        <w:p w14:paraId="47F4ABF8" w14:textId="77777777" w:rsidR="002E4DD6" w:rsidRDefault="002E4DD6" w:rsidP="00F155E8">
          <w:pPr>
            <w:sectPr w:rsidR="002E4DD6" w:rsidSect="002E4DD6">
              <w:footerReference w:type="default" r:id="rId11"/>
              <w:pgSz w:w="11906" w:h="16838"/>
              <w:pgMar w:top="1440" w:right="1440" w:bottom="1440" w:left="1440" w:header="708" w:footer="708" w:gutter="0"/>
              <w:pgNumType w:start="0"/>
              <w:cols w:space="708"/>
              <w:titlePg/>
              <w:docGrid w:linePitch="360"/>
            </w:sectPr>
          </w:pPr>
          <w:r>
            <w:rPr>
              <w:noProof/>
              <w:lang w:eastAsia="en-AU"/>
            </w:rPr>
            <w:drawing>
              <wp:inline distT="0" distB="0" distL="0" distR="0" wp14:anchorId="395B4B9A" wp14:editId="1B4CCE32">
                <wp:extent cx="5731510" cy="8110855"/>
                <wp:effectExtent l="0" t="0" r="2540" b="4445"/>
                <wp:docPr id="1" name="Picture 1" descr="Medical Research Future Fund Indigenous Health Research Fund National Consultation Report Nov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ical Research Future Fund Indigenous Health Research Fund National Consultation Report November 2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8110855"/>
                        </a:xfrm>
                        <a:prstGeom prst="rect">
                          <a:avLst/>
                        </a:prstGeom>
                        <a:noFill/>
                        <a:ln>
                          <a:noFill/>
                        </a:ln>
                      </pic:spPr>
                    </pic:pic>
                  </a:graphicData>
                </a:graphic>
              </wp:inline>
            </w:drawing>
          </w:r>
          <w:bookmarkStart w:id="0" w:name="_GoBack"/>
          <w:bookmarkEnd w:id="0"/>
        </w:p>
        <w:p w14:paraId="4B055A2D" w14:textId="4EDE79F5" w:rsidR="00F155E8" w:rsidRDefault="004D281E" w:rsidP="00F155E8"/>
      </w:sdtContent>
    </w:sdt>
    <w:sdt>
      <w:sdtPr>
        <w:rPr>
          <w:rFonts w:asciiTheme="minorHAnsi" w:eastAsiaTheme="minorHAnsi" w:hAnsiTheme="minorHAnsi" w:cstheme="minorBidi"/>
          <w:color w:val="auto"/>
          <w:sz w:val="22"/>
          <w:szCs w:val="22"/>
          <w:lang w:val="en-AU"/>
        </w:rPr>
        <w:id w:val="346448361"/>
        <w:docPartObj>
          <w:docPartGallery w:val="Table of Contents"/>
          <w:docPartUnique/>
        </w:docPartObj>
      </w:sdtPr>
      <w:sdtEndPr>
        <w:rPr>
          <w:b/>
          <w:bCs/>
          <w:noProof/>
        </w:rPr>
      </w:sdtEndPr>
      <w:sdtContent>
        <w:p w14:paraId="27614851" w14:textId="77777777" w:rsidR="00F155E8" w:rsidRDefault="00F155E8" w:rsidP="00F155E8">
          <w:pPr>
            <w:pStyle w:val="TOCHeading"/>
          </w:pPr>
          <w:r>
            <w:t>Table of Contents</w:t>
          </w:r>
        </w:p>
        <w:p w14:paraId="5A200857" w14:textId="77777777" w:rsidR="00F155E8" w:rsidRPr="006601C0" w:rsidRDefault="00F155E8" w:rsidP="00F155E8">
          <w:pPr>
            <w:rPr>
              <w:lang w:val="en-US"/>
            </w:rPr>
          </w:pPr>
        </w:p>
        <w:p w14:paraId="5F038703" w14:textId="3034948E" w:rsidR="006F0065" w:rsidRDefault="00F155E8">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77962039" w:history="1">
            <w:r w:rsidR="006F0065" w:rsidRPr="00E100DD">
              <w:rPr>
                <w:rStyle w:val="Hyperlink"/>
                <w:noProof/>
              </w:rPr>
              <w:t>Introduction</w:t>
            </w:r>
            <w:r w:rsidR="006F0065">
              <w:rPr>
                <w:noProof/>
                <w:webHidden/>
              </w:rPr>
              <w:tab/>
            </w:r>
            <w:r w:rsidR="006F0065">
              <w:rPr>
                <w:noProof/>
                <w:webHidden/>
              </w:rPr>
              <w:fldChar w:fldCharType="begin"/>
            </w:r>
            <w:r w:rsidR="006F0065">
              <w:rPr>
                <w:noProof/>
                <w:webHidden/>
              </w:rPr>
              <w:instrText xml:space="preserve"> PAGEREF _Toc77962039 \h </w:instrText>
            </w:r>
            <w:r w:rsidR="006F0065">
              <w:rPr>
                <w:noProof/>
                <w:webHidden/>
              </w:rPr>
            </w:r>
            <w:r w:rsidR="006F0065">
              <w:rPr>
                <w:noProof/>
                <w:webHidden/>
              </w:rPr>
              <w:fldChar w:fldCharType="separate"/>
            </w:r>
            <w:r w:rsidR="002E4DD6">
              <w:rPr>
                <w:noProof/>
                <w:webHidden/>
              </w:rPr>
              <w:t>2</w:t>
            </w:r>
            <w:r w:rsidR="006F0065">
              <w:rPr>
                <w:noProof/>
                <w:webHidden/>
              </w:rPr>
              <w:fldChar w:fldCharType="end"/>
            </w:r>
          </w:hyperlink>
        </w:p>
        <w:p w14:paraId="255F79E0" w14:textId="4EB4C7F4" w:rsidR="006F0065" w:rsidRDefault="004D281E">
          <w:pPr>
            <w:pStyle w:val="TOC2"/>
            <w:tabs>
              <w:tab w:val="right" w:leader="dot" w:pos="9016"/>
            </w:tabs>
            <w:rPr>
              <w:rFonts w:eastAsiaTheme="minorEastAsia"/>
              <w:noProof/>
              <w:lang w:eastAsia="en-AU"/>
            </w:rPr>
          </w:pPr>
          <w:hyperlink w:anchor="_Toc77962040" w:history="1">
            <w:r w:rsidR="006F0065" w:rsidRPr="00E100DD">
              <w:rPr>
                <w:rStyle w:val="Hyperlink"/>
                <w:noProof/>
              </w:rPr>
              <w:t>Community participation and submissions</w:t>
            </w:r>
            <w:r w:rsidR="006F0065">
              <w:rPr>
                <w:noProof/>
                <w:webHidden/>
              </w:rPr>
              <w:tab/>
            </w:r>
            <w:r w:rsidR="006F0065">
              <w:rPr>
                <w:noProof/>
                <w:webHidden/>
              </w:rPr>
              <w:fldChar w:fldCharType="begin"/>
            </w:r>
            <w:r w:rsidR="006F0065">
              <w:rPr>
                <w:noProof/>
                <w:webHidden/>
              </w:rPr>
              <w:instrText xml:space="preserve"> PAGEREF _Toc77962040 \h </w:instrText>
            </w:r>
            <w:r w:rsidR="006F0065">
              <w:rPr>
                <w:noProof/>
                <w:webHidden/>
              </w:rPr>
            </w:r>
            <w:r w:rsidR="006F0065">
              <w:rPr>
                <w:noProof/>
                <w:webHidden/>
              </w:rPr>
              <w:fldChar w:fldCharType="separate"/>
            </w:r>
            <w:r w:rsidR="002E4DD6">
              <w:rPr>
                <w:noProof/>
                <w:webHidden/>
              </w:rPr>
              <w:t>3</w:t>
            </w:r>
            <w:r w:rsidR="006F0065">
              <w:rPr>
                <w:noProof/>
                <w:webHidden/>
              </w:rPr>
              <w:fldChar w:fldCharType="end"/>
            </w:r>
          </w:hyperlink>
        </w:p>
        <w:p w14:paraId="5AD33C8C" w14:textId="19145156" w:rsidR="006F0065" w:rsidRDefault="004D281E">
          <w:pPr>
            <w:pStyle w:val="TOC1"/>
            <w:tabs>
              <w:tab w:val="right" w:leader="dot" w:pos="9016"/>
            </w:tabs>
            <w:rPr>
              <w:rFonts w:eastAsiaTheme="minorEastAsia"/>
              <w:noProof/>
              <w:lang w:eastAsia="en-AU"/>
            </w:rPr>
          </w:pPr>
          <w:hyperlink w:anchor="_Toc77962041" w:history="1">
            <w:r w:rsidR="006F0065" w:rsidRPr="00E100DD">
              <w:rPr>
                <w:rStyle w:val="Hyperlink"/>
                <w:noProof/>
              </w:rPr>
              <w:t>Responses to national consultation submissions</w:t>
            </w:r>
            <w:r w:rsidR="006F0065">
              <w:rPr>
                <w:noProof/>
                <w:webHidden/>
              </w:rPr>
              <w:tab/>
            </w:r>
            <w:r w:rsidR="006F0065">
              <w:rPr>
                <w:noProof/>
                <w:webHidden/>
              </w:rPr>
              <w:fldChar w:fldCharType="begin"/>
            </w:r>
            <w:r w:rsidR="006F0065">
              <w:rPr>
                <w:noProof/>
                <w:webHidden/>
              </w:rPr>
              <w:instrText xml:space="preserve"> PAGEREF _Toc77962041 \h </w:instrText>
            </w:r>
            <w:r w:rsidR="006F0065">
              <w:rPr>
                <w:noProof/>
                <w:webHidden/>
              </w:rPr>
            </w:r>
            <w:r w:rsidR="006F0065">
              <w:rPr>
                <w:noProof/>
                <w:webHidden/>
              </w:rPr>
              <w:fldChar w:fldCharType="separate"/>
            </w:r>
            <w:r w:rsidR="002E4DD6">
              <w:rPr>
                <w:noProof/>
                <w:webHidden/>
              </w:rPr>
              <w:t>4</w:t>
            </w:r>
            <w:r w:rsidR="006F0065">
              <w:rPr>
                <w:noProof/>
                <w:webHidden/>
              </w:rPr>
              <w:fldChar w:fldCharType="end"/>
            </w:r>
          </w:hyperlink>
        </w:p>
        <w:p w14:paraId="56838312" w14:textId="7CDA9593" w:rsidR="00F155E8" w:rsidRPr="0042163E" w:rsidRDefault="00F155E8" w:rsidP="00F155E8">
          <w:r>
            <w:rPr>
              <w:b/>
              <w:bCs/>
              <w:noProof/>
            </w:rPr>
            <w:fldChar w:fldCharType="end"/>
          </w:r>
        </w:p>
      </w:sdtContent>
    </w:sdt>
    <w:p w14:paraId="491DB1D3" w14:textId="77777777" w:rsidR="002E4DD6" w:rsidRDefault="002E4DD6">
      <w:pPr>
        <w:spacing w:after="160" w:line="259" w:lineRule="auto"/>
        <w:rPr>
          <w:rFonts w:ascii="Calibri" w:eastAsiaTheme="majorEastAsia" w:hAnsi="Calibri" w:cstheme="majorBidi"/>
          <w:color w:val="2E74B5" w:themeColor="accent1" w:themeShade="BF"/>
          <w:sz w:val="32"/>
          <w:szCs w:val="32"/>
        </w:rPr>
      </w:pPr>
      <w:bookmarkStart w:id="1" w:name="_Toc77962039"/>
      <w:r>
        <w:br w:type="page"/>
      </w:r>
    </w:p>
    <w:p w14:paraId="215CFA94" w14:textId="77777777" w:rsidR="00F155E8" w:rsidRDefault="00F155E8" w:rsidP="00F155E8">
      <w:pPr>
        <w:pStyle w:val="Heading1"/>
      </w:pPr>
      <w:r>
        <w:lastRenderedPageBreak/>
        <w:t>Introduction</w:t>
      </w:r>
      <w:bookmarkEnd w:id="1"/>
    </w:p>
    <w:p w14:paraId="53BE0E0C" w14:textId="105EDED1" w:rsidR="00A15344" w:rsidRPr="0050003F" w:rsidRDefault="00B570D3" w:rsidP="00A15344">
      <w:pPr>
        <w:spacing w:after="0"/>
        <w:rPr>
          <w:rFonts w:cstheme="minorHAnsi"/>
        </w:rPr>
      </w:pPr>
      <w:r w:rsidRPr="00B570D3">
        <w:rPr>
          <w:rFonts w:cstheme="minorHAnsi"/>
        </w:rPr>
        <w:t xml:space="preserve">The Medical Research Future Fund’s (MRFF) </w:t>
      </w:r>
      <w:r w:rsidR="00C826EC">
        <w:rPr>
          <w:rFonts w:cstheme="minorHAnsi"/>
        </w:rPr>
        <w:t>Indigenous Health Research Fund</w:t>
      </w:r>
      <w:r w:rsidRPr="00B570D3">
        <w:rPr>
          <w:rFonts w:cstheme="minorHAnsi"/>
        </w:rPr>
        <w:t xml:space="preserve"> was announced </w:t>
      </w:r>
      <w:r w:rsidR="005E2593">
        <w:rPr>
          <w:rFonts w:cstheme="minorHAnsi"/>
        </w:rPr>
        <w:t>as part of the 2019-20 budget</w:t>
      </w:r>
      <w:r w:rsidR="00A15344">
        <w:rPr>
          <w:rFonts w:cstheme="minorHAnsi"/>
        </w:rPr>
        <w:t xml:space="preserve">. </w:t>
      </w:r>
      <w:r w:rsidR="00A15344" w:rsidRPr="00A15344">
        <w:rPr>
          <w:rFonts w:cstheme="minorHAnsi"/>
        </w:rPr>
        <w:t xml:space="preserve">The </w:t>
      </w:r>
      <w:r w:rsidR="00C826EC">
        <w:rPr>
          <w:rFonts w:cstheme="minorHAnsi"/>
        </w:rPr>
        <w:t>Indigenous Health Research Fund</w:t>
      </w:r>
      <w:r w:rsidR="00A15344" w:rsidRPr="00A15344">
        <w:rPr>
          <w:rFonts w:cstheme="minorHAnsi"/>
        </w:rPr>
        <w:t xml:space="preserve"> will provide $</w:t>
      </w:r>
      <w:r w:rsidR="00C826EC">
        <w:rPr>
          <w:rFonts w:cstheme="minorHAnsi"/>
        </w:rPr>
        <w:t>16</w:t>
      </w:r>
      <w:r w:rsidR="00A15344" w:rsidRPr="00A15344">
        <w:rPr>
          <w:rFonts w:cstheme="minorHAnsi"/>
        </w:rPr>
        <w:t xml:space="preserve">0 million </w:t>
      </w:r>
      <w:r w:rsidR="005E2593">
        <w:rPr>
          <w:rFonts w:cstheme="minorHAnsi"/>
        </w:rPr>
        <w:t>over 1</w:t>
      </w:r>
      <w:r w:rsidR="00574C35">
        <w:rPr>
          <w:rFonts w:cstheme="minorHAnsi"/>
        </w:rPr>
        <w:t>1</w:t>
      </w:r>
      <w:r w:rsidR="00E731E4">
        <w:rPr>
          <w:rFonts w:cstheme="minorHAnsi"/>
        </w:rPr>
        <w:t> </w:t>
      </w:r>
      <w:r w:rsidR="005E2593">
        <w:rPr>
          <w:rFonts w:cstheme="minorHAnsi"/>
        </w:rPr>
        <w:t xml:space="preserve">years </w:t>
      </w:r>
      <w:r w:rsidR="00A15344" w:rsidRPr="00A15344">
        <w:rPr>
          <w:rFonts w:cstheme="minorHAnsi"/>
        </w:rPr>
        <w:t xml:space="preserve">to support </w:t>
      </w:r>
      <w:r w:rsidR="006F6D4D" w:rsidRPr="006F6D4D">
        <w:rPr>
          <w:rFonts w:cstheme="minorHAnsi"/>
        </w:rPr>
        <w:t>research to improve the health of Aboriginal and/or Torres Strait Islander people.</w:t>
      </w:r>
    </w:p>
    <w:p w14:paraId="6E59D4B0" w14:textId="77777777" w:rsidR="00B570D3" w:rsidRDefault="00B570D3" w:rsidP="00F155E8">
      <w:pPr>
        <w:spacing w:after="0" w:line="240" w:lineRule="auto"/>
        <w:rPr>
          <w:rFonts w:cstheme="minorHAnsi"/>
        </w:rPr>
      </w:pPr>
    </w:p>
    <w:p w14:paraId="77B2F482" w14:textId="51BD50D3" w:rsidR="00B570D3" w:rsidRPr="00B570D3" w:rsidRDefault="00B570D3" w:rsidP="00B570D3">
      <w:pPr>
        <w:spacing w:after="0" w:line="240" w:lineRule="auto"/>
        <w:rPr>
          <w:rFonts w:cstheme="minorHAnsi"/>
        </w:rPr>
      </w:pPr>
      <w:r w:rsidRPr="00B570D3">
        <w:rPr>
          <w:rFonts w:cstheme="minorHAnsi"/>
        </w:rPr>
        <w:t xml:space="preserve">An </w:t>
      </w:r>
      <w:r w:rsidR="008349F5">
        <w:rPr>
          <w:rFonts w:cstheme="minorHAnsi"/>
        </w:rPr>
        <w:t>E</w:t>
      </w:r>
      <w:r w:rsidR="008349F5" w:rsidRPr="00B570D3">
        <w:rPr>
          <w:rFonts w:cstheme="minorHAnsi"/>
        </w:rPr>
        <w:t xml:space="preserve">xpert </w:t>
      </w:r>
      <w:r w:rsidR="0050003F">
        <w:rPr>
          <w:rFonts w:cstheme="minorHAnsi"/>
        </w:rPr>
        <w:t>Advisory Panel</w:t>
      </w:r>
      <w:r w:rsidR="008349F5">
        <w:rPr>
          <w:rFonts w:cstheme="minorHAnsi"/>
        </w:rPr>
        <w:t xml:space="preserve"> </w:t>
      </w:r>
      <w:r w:rsidRPr="00B570D3">
        <w:rPr>
          <w:rFonts w:cstheme="minorHAnsi"/>
        </w:rPr>
        <w:t>was established to provide advice to the Minister for Health</w:t>
      </w:r>
      <w:r w:rsidR="0050003F">
        <w:rPr>
          <w:rFonts w:cstheme="minorHAnsi"/>
        </w:rPr>
        <w:t xml:space="preserve"> and Aged Care</w:t>
      </w:r>
      <w:r w:rsidRPr="00B570D3">
        <w:rPr>
          <w:rFonts w:cstheme="minorHAnsi"/>
        </w:rPr>
        <w:t xml:space="preserve"> on the strategic priorities for research investment through the </w:t>
      </w:r>
      <w:r w:rsidR="0050003F">
        <w:rPr>
          <w:rFonts w:cstheme="minorHAnsi"/>
        </w:rPr>
        <w:t>Indigenous Health Research Fund</w:t>
      </w:r>
      <w:r w:rsidRPr="00B570D3">
        <w:rPr>
          <w:rFonts w:cstheme="minorHAnsi"/>
        </w:rPr>
        <w:t>.</w:t>
      </w:r>
      <w:r w:rsidR="007B7429">
        <w:rPr>
          <w:rFonts w:cstheme="minorHAnsi"/>
        </w:rPr>
        <w:t xml:space="preserve"> </w:t>
      </w:r>
      <w:r w:rsidRPr="00B570D3">
        <w:rPr>
          <w:rFonts w:cstheme="minorHAnsi"/>
        </w:rPr>
        <w:t xml:space="preserve">As per the </w:t>
      </w:r>
      <w:r w:rsidR="00113B6A">
        <w:rPr>
          <w:rFonts w:cstheme="minorHAnsi"/>
        </w:rPr>
        <w:t>Minister</w:t>
      </w:r>
      <w:r w:rsidR="0050003F">
        <w:rPr>
          <w:rFonts w:cstheme="minorHAnsi"/>
        </w:rPr>
        <w:t>’s</w:t>
      </w:r>
      <w:r w:rsidR="00113B6A">
        <w:rPr>
          <w:rFonts w:cstheme="minorHAnsi"/>
        </w:rPr>
        <w:t xml:space="preserve"> agreed </w:t>
      </w:r>
      <w:hyperlink r:id="rId13" w:history="1">
        <w:r w:rsidR="00113B6A" w:rsidRPr="00A15344">
          <w:rPr>
            <w:rStyle w:val="Hyperlink"/>
            <w:rFonts w:cstheme="minorHAnsi"/>
          </w:rPr>
          <w:t xml:space="preserve">Governance arrangements for </w:t>
        </w:r>
        <w:r w:rsidRPr="00A15344">
          <w:rPr>
            <w:rStyle w:val="Hyperlink"/>
            <w:rFonts w:cstheme="minorHAnsi"/>
          </w:rPr>
          <w:t xml:space="preserve">MRFF </w:t>
        </w:r>
        <w:r w:rsidR="00113B6A" w:rsidRPr="00A15344">
          <w:rPr>
            <w:rStyle w:val="Hyperlink"/>
            <w:rFonts w:cstheme="minorHAnsi"/>
          </w:rPr>
          <w:t>Missions</w:t>
        </w:r>
      </w:hyperlink>
      <w:r w:rsidR="00113B6A">
        <w:rPr>
          <w:rFonts w:cstheme="minorHAnsi"/>
        </w:rPr>
        <w:t>,</w:t>
      </w:r>
      <w:r w:rsidRPr="00B570D3">
        <w:rPr>
          <w:rFonts w:cstheme="minorHAnsi"/>
        </w:rPr>
        <w:t xml:space="preserve"> the </w:t>
      </w:r>
      <w:r w:rsidR="008349F5">
        <w:rPr>
          <w:rFonts w:cstheme="minorHAnsi"/>
        </w:rPr>
        <w:t>E</w:t>
      </w:r>
      <w:r w:rsidR="008349F5" w:rsidRPr="00B570D3">
        <w:rPr>
          <w:rFonts w:cstheme="minorHAnsi"/>
        </w:rPr>
        <w:t xml:space="preserve">xpert </w:t>
      </w:r>
      <w:r w:rsidR="0050003F">
        <w:rPr>
          <w:rFonts w:cstheme="minorHAnsi"/>
        </w:rPr>
        <w:t xml:space="preserve">Advisory Panel </w:t>
      </w:r>
      <w:r w:rsidR="00113B6A">
        <w:rPr>
          <w:rFonts w:cstheme="minorHAnsi"/>
        </w:rPr>
        <w:t xml:space="preserve">has </w:t>
      </w:r>
      <w:r w:rsidRPr="00B570D3">
        <w:rPr>
          <w:rFonts w:cstheme="minorHAnsi"/>
        </w:rPr>
        <w:t>provide</w:t>
      </w:r>
      <w:r w:rsidR="00113B6A">
        <w:rPr>
          <w:rFonts w:cstheme="minorHAnsi"/>
        </w:rPr>
        <w:t>d</w:t>
      </w:r>
      <w:r w:rsidRPr="00B570D3">
        <w:rPr>
          <w:rFonts w:cstheme="minorHAnsi"/>
        </w:rPr>
        <w:t xml:space="preserve"> advice on priorities for research investment through the Mission by developing a Roadmap and Implementation Plan.</w:t>
      </w:r>
    </w:p>
    <w:p w14:paraId="275B0A27" w14:textId="77777777" w:rsidR="00B570D3" w:rsidRPr="00B570D3" w:rsidRDefault="00B570D3" w:rsidP="00B570D3">
      <w:pPr>
        <w:spacing w:after="0" w:line="240" w:lineRule="auto"/>
        <w:rPr>
          <w:rFonts w:cstheme="minorHAnsi"/>
        </w:rPr>
      </w:pPr>
    </w:p>
    <w:p w14:paraId="201BAC1D" w14:textId="131295B7" w:rsidR="005E76CE" w:rsidRDefault="00B570D3" w:rsidP="00F155E8">
      <w:pPr>
        <w:spacing w:after="0" w:line="240" w:lineRule="auto"/>
        <w:rPr>
          <w:rFonts w:cstheme="minorHAnsi"/>
        </w:rPr>
      </w:pPr>
      <w:r w:rsidRPr="00B570D3">
        <w:rPr>
          <w:rFonts w:cstheme="minorHAnsi"/>
        </w:rPr>
        <w:t>The Roadmap is a high</w:t>
      </w:r>
      <w:r w:rsidR="00782957">
        <w:rPr>
          <w:rFonts w:cstheme="minorHAnsi"/>
        </w:rPr>
        <w:t>-</w:t>
      </w:r>
      <w:r w:rsidRPr="00B570D3">
        <w:rPr>
          <w:rFonts w:cstheme="minorHAnsi"/>
        </w:rPr>
        <w:t xml:space="preserve">level strategic document that includes the aim, vision, goal and priorities for investment for the </w:t>
      </w:r>
      <w:r w:rsidR="005E2593">
        <w:rPr>
          <w:rFonts w:cstheme="minorHAnsi"/>
        </w:rPr>
        <w:t>Indigenous Health Research Fund</w:t>
      </w:r>
      <w:r w:rsidRPr="00B570D3">
        <w:rPr>
          <w:rFonts w:cstheme="minorHAnsi"/>
        </w:rPr>
        <w:t>. To support the Roadmap, the Implementation Plan outlines the priorities for investment (short, medium and long term), evaluation approaches and measures, supporting activities, and collaborative opportunities.</w:t>
      </w:r>
      <w:r w:rsidR="007B7429">
        <w:rPr>
          <w:rFonts w:cstheme="minorHAnsi"/>
        </w:rPr>
        <w:t xml:space="preserve"> </w:t>
      </w:r>
      <w:r w:rsidR="005E76CE" w:rsidRPr="005E76CE">
        <w:rPr>
          <w:rFonts w:cstheme="minorHAnsi"/>
        </w:rPr>
        <w:t xml:space="preserve">The Roadmap and Implementation Plan will be used by the Department </w:t>
      </w:r>
      <w:r w:rsidR="005E76CE">
        <w:rPr>
          <w:rFonts w:cstheme="minorHAnsi"/>
        </w:rPr>
        <w:t xml:space="preserve">of Health </w:t>
      </w:r>
      <w:r w:rsidR="005E76CE" w:rsidRPr="005E76CE">
        <w:rPr>
          <w:rFonts w:cstheme="minorHAnsi"/>
        </w:rPr>
        <w:t xml:space="preserve">to design and implement </w:t>
      </w:r>
      <w:r w:rsidR="005E2593">
        <w:rPr>
          <w:rFonts w:cstheme="minorHAnsi"/>
        </w:rPr>
        <w:t>I</w:t>
      </w:r>
      <w:r w:rsidR="007851E0">
        <w:rPr>
          <w:rFonts w:cstheme="minorHAnsi"/>
        </w:rPr>
        <w:t>ndigenous Health Research Fund</w:t>
      </w:r>
      <w:r w:rsidR="005E76CE" w:rsidRPr="005E76CE">
        <w:rPr>
          <w:rFonts w:cstheme="minorHAnsi"/>
        </w:rPr>
        <w:t xml:space="preserve"> investments via Grant Opportunities promoted through GrantConnect</w:t>
      </w:r>
      <w:r w:rsidR="005E76CE">
        <w:rPr>
          <w:rFonts w:cstheme="minorHAnsi"/>
        </w:rPr>
        <w:t xml:space="preserve"> (</w:t>
      </w:r>
      <w:hyperlink r:id="rId14" w:history="1">
        <w:r w:rsidR="005E76CE" w:rsidRPr="005E76CE">
          <w:rPr>
            <w:rStyle w:val="Hyperlink"/>
            <w:rFonts w:cstheme="minorHAnsi"/>
          </w:rPr>
          <w:t>grants.gov.au</w:t>
        </w:r>
      </w:hyperlink>
      <w:r w:rsidR="005E76CE">
        <w:rPr>
          <w:rFonts w:cstheme="minorHAnsi"/>
        </w:rPr>
        <w:t>)</w:t>
      </w:r>
      <w:r w:rsidR="005E76CE" w:rsidRPr="005E76CE">
        <w:rPr>
          <w:rFonts w:cstheme="minorHAnsi"/>
        </w:rPr>
        <w:t>.</w:t>
      </w:r>
    </w:p>
    <w:p w14:paraId="3FB7FFA1" w14:textId="77777777" w:rsidR="00B570D3" w:rsidRDefault="00B570D3" w:rsidP="00F155E8">
      <w:pPr>
        <w:spacing w:after="0" w:line="240" w:lineRule="auto"/>
        <w:rPr>
          <w:rFonts w:cstheme="minorHAnsi"/>
        </w:rPr>
      </w:pPr>
    </w:p>
    <w:p w14:paraId="60A699FE" w14:textId="7EADF387" w:rsidR="005E76CE" w:rsidRDefault="007B7429" w:rsidP="00F155E8">
      <w:pPr>
        <w:spacing w:after="0" w:line="240" w:lineRule="auto"/>
        <w:rPr>
          <w:rFonts w:cstheme="minorHAnsi"/>
        </w:rPr>
      </w:pPr>
      <w:r>
        <w:rPr>
          <w:rFonts w:cstheme="minorHAnsi"/>
        </w:rPr>
        <w:t xml:space="preserve">A draft </w:t>
      </w:r>
      <w:r w:rsidR="00B570D3">
        <w:rPr>
          <w:rFonts w:cstheme="minorHAnsi"/>
        </w:rPr>
        <w:t xml:space="preserve">Roadmap and Implementation Plan </w:t>
      </w:r>
      <w:r>
        <w:rPr>
          <w:rFonts w:cstheme="minorHAnsi"/>
        </w:rPr>
        <w:t xml:space="preserve">developed by the </w:t>
      </w:r>
      <w:r w:rsidR="008349F5">
        <w:rPr>
          <w:rFonts w:cstheme="minorHAnsi"/>
        </w:rPr>
        <w:t>E</w:t>
      </w:r>
      <w:r w:rsidR="008349F5" w:rsidRPr="00B570D3">
        <w:rPr>
          <w:rFonts w:cstheme="minorHAnsi"/>
        </w:rPr>
        <w:t xml:space="preserve">xpert </w:t>
      </w:r>
      <w:r w:rsidR="004976CE">
        <w:rPr>
          <w:rFonts w:cstheme="minorHAnsi"/>
        </w:rPr>
        <w:t xml:space="preserve">Advisory Panel </w:t>
      </w:r>
      <w:r>
        <w:rPr>
          <w:rFonts w:cstheme="minorHAnsi"/>
        </w:rPr>
        <w:t>underwent international</w:t>
      </w:r>
      <w:r w:rsidR="00B570D3">
        <w:rPr>
          <w:rFonts w:cstheme="minorHAnsi"/>
        </w:rPr>
        <w:t xml:space="preserve"> </w:t>
      </w:r>
      <w:r w:rsidR="00B570D3" w:rsidRPr="007851E0">
        <w:rPr>
          <w:rFonts w:cstheme="minorHAnsi"/>
        </w:rPr>
        <w:t xml:space="preserve">review </w:t>
      </w:r>
      <w:r w:rsidRPr="007851E0">
        <w:rPr>
          <w:rFonts w:cstheme="minorHAnsi"/>
        </w:rPr>
        <w:t xml:space="preserve">on </w:t>
      </w:r>
      <w:r w:rsidR="007851E0" w:rsidRPr="007851E0">
        <w:rPr>
          <w:rFonts w:cstheme="minorHAnsi"/>
        </w:rPr>
        <w:t>17 March</w:t>
      </w:r>
      <w:r w:rsidRPr="007851E0">
        <w:rPr>
          <w:rFonts w:cstheme="minorHAnsi"/>
        </w:rPr>
        <w:t xml:space="preserve"> 202</w:t>
      </w:r>
      <w:r w:rsidR="007851E0" w:rsidRPr="007851E0">
        <w:rPr>
          <w:rFonts w:cstheme="minorHAnsi"/>
        </w:rPr>
        <w:t>1</w:t>
      </w:r>
      <w:r w:rsidR="00113B6A" w:rsidRPr="007851E0">
        <w:rPr>
          <w:rFonts w:cstheme="minorHAnsi"/>
        </w:rPr>
        <w:t>; the outcome</w:t>
      </w:r>
      <w:r w:rsidR="00113B6A">
        <w:rPr>
          <w:rFonts w:cstheme="minorHAnsi"/>
        </w:rPr>
        <w:t xml:space="preserve"> of the review is outlined in a </w:t>
      </w:r>
      <w:hyperlink r:id="rId15" w:history="1">
        <w:r w:rsidR="00113B6A" w:rsidRPr="007851E0">
          <w:rPr>
            <w:rStyle w:val="Hyperlink"/>
            <w:rFonts w:cstheme="minorHAnsi"/>
          </w:rPr>
          <w:t>report endorsed by the International Review Panel</w:t>
        </w:r>
      </w:hyperlink>
      <w:r w:rsidR="008349F5">
        <w:rPr>
          <w:rFonts w:cstheme="minorHAnsi"/>
        </w:rPr>
        <w:t>.</w:t>
      </w:r>
      <w:r w:rsidR="00B570D3">
        <w:rPr>
          <w:rFonts w:cstheme="minorHAnsi"/>
        </w:rPr>
        <w:t xml:space="preserve"> </w:t>
      </w:r>
    </w:p>
    <w:p w14:paraId="133EFE20" w14:textId="77777777" w:rsidR="00B570D3" w:rsidRDefault="00B570D3" w:rsidP="00F155E8">
      <w:pPr>
        <w:spacing w:after="0" w:line="240" w:lineRule="auto"/>
        <w:rPr>
          <w:rFonts w:cstheme="minorHAnsi"/>
        </w:rPr>
      </w:pPr>
    </w:p>
    <w:p w14:paraId="7FF63579" w14:textId="498F4D55" w:rsidR="00BD5CFA" w:rsidRDefault="005E76CE" w:rsidP="00F155E8">
      <w:pPr>
        <w:spacing w:after="0" w:line="240" w:lineRule="auto"/>
        <w:rPr>
          <w:rFonts w:cstheme="minorHAnsi"/>
        </w:rPr>
      </w:pPr>
      <w:r>
        <w:rPr>
          <w:rFonts w:cstheme="minorHAnsi"/>
        </w:rPr>
        <w:t xml:space="preserve">A </w:t>
      </w:r>
      <w:r w:rsidR="00925145">
        <w:rPr>
          <w:rFonts w:cstheme="minorHAnsi"/>
        </w:rPr>
        <w:t>national</w:t>
      </w:r>
      <w:r w:rsidR="00F155E8" w:rsidRPr="00495AE8">
        <w:rPr>
          <w:rFonts w:cstheme="minorHAnsi"/>
        </w:rPr>
        <w:t xml:space="preserve"> consultation </w:t>
      </w:r>
      <w:r w:rsidRPr="005E76CE">
        <w:rPr>
          <w:rFonts w:cstheme="minorHAnsi"/>
        </w:rPr>
        <w:t xml:space="preserve">to seek feedback from the community on the </w:t>
      </w:r>
      <w:r w:rsidR="005E2593">
        <w:rPr>
          <w:rFonts w:cstheme="minorHAnsi"/>
        </w:rPr>
        <w:t>Indigenous Health Research Fund’s</w:t>
      </w:r>
      <w:r w:rsidR="005E2593" w:rsidDel="005E2593">
        <w:rPr>
          <w:rFonts w:cstheme="minorHAnsi"/>
        </w:rPr>
        <w:t xml:space="preserve"> </w:t>
      </w:r>
      <w:r w:rsidRPr="005E76CE">
        <w:rPr>
          <w:rFonts w:cstheme="minorHAnsi"/>
        </w:rPr>
        <w:t>draft Roadmap and Implementation Plan</w:t>
      </w:r>
      <w:r w:rsidR="00017D3D">
        <w:rPr>
          <w:rFonts w:cstheme="minorHAnsi"/>
        </w:rPr>
        <w:t xml:space="preserve"> </w:t>
      </w:r>
      <w:r w:rsidR="00F155E8" w:rsidRPr="00495AE8">
        <w:rPr>
          <w:rFonts w:cstheme="minorHAnsi"/>
        </w:rPr>
        <w:t xml:space="preserve">was conducted over the period </w:t>
      </w:r>
      <w:r w:rsidR="00017D3D">
        <w:rPr>
          <w:rFonts w:cstheme="minorHAnsi"/>
        </w:rPr>
        <w:t>14 December</w:t>
      </w:r>
      <w:r w:rsidR="00F155E8" w:rsidRPr="00495AE8">
        <w:rPr>
          <w:rFonts w:cstheme="minorHAnsi"/>
        </w:rPr>
        <w:t xml:space="preserve"> 2020 to </w:t>
      </w:r>
      <w:r w:rsidR="00017D3D">
        <w:rPr>
          <w:rFonts w:cstheme="minorHAnsi"/>
        </w:rPr>
        <w:t>23 April 2021</w:t>
      </w:r>
      <w:r w:rsidR="00F155E8" w:rsidRPr="00495AE8">
        <w:rPr>
          <w:rFonts w:cstheme="minorHAnsi"/>
        </w:rPr>
        <w:t xml:space="preserve">, during which time submissions were </w:t>
      </w:r>
      <w:r w:rsidR="00B570D3">
        <w:rPr>
          <w:rFonts w:cstheme="minorHAnsi"/>
        </w:rPr>
        <w:t xml:space="preserve">accepted </w:t>
      </w:r>
      <w:r w:rsidR="00F155E8" w:rsidRPr="00495AE8">
        <w:rPr>
          <w:rFonts w:cstheme="minorHAnsi"/>
        </w:rPr>
        <w:t xml:space="preserve">through the Department’s </w:t>
      </w:r>
      <w:hyperlink r:id="rId16" w:history="1">
        <w:r w:rsidR="00F155E8" w:rsidRPr="00495AE8">
          <w:rPr>
            <w:rStyle w:val="Hyperlink"/>
            <w:rFonts w:cstheme="minorHAnsi"/>
          </w:rPr>
          <w:t>consultation hub</w:t>
        </w:r>
      </w:hyperlink>
      <w:r w:rsidR="00775A7A" w:rsidRPr="00495AE8">
        <w:rPr>
          <w:rFonts w:cstheme="minorHAnsi"/>
        </w:rPr>
        <w:t xml:space="preserve">. </w:t>
      </w:r>
      <w:r w:rsidR="000C35F9">
        <w:rPr>
          <w:rFonts w:cstheme="minorHAnsi"/>
        </w:rPr>
        <w:t xml:space="preserve"> </w:t>
      </w:r>
    </w:p>
    <w:p w14:paraId="5D7FE666" w14:textId="77777777" w:rsidR="00BD5CFA" w:rsidRDefault="00BD5CFA" w:rsidP="00F155E8">
      <w:pPr>
        <w:spacing w:after="0" w:line="240" w:lineRule="auto"/>
        <w:rPr>
          <w:rFonts w:cstheme="minorHAnsi"/>
        </w:rPr>
      </w:pPr>
    </w:p>
    <w:p w14:paraId="29B46C66" w14:textId="1F320C71" w:rsidR="00F155E8" w:rsidRPr="00495AE8" w:rsidRDefault="000A27A6" w:rsidP="00F155E8">
      <w:pPr>
        <w:spacing w:after="0" w:line="240" w:lineRule="auto"/>
        <w:rPr>
          <w:rFonts w:cstheme="minorHAnsi"/>
        </w:rPr>
      </w:pPr>
      <w:r>
        <w:rPr>
          <w:rFonts w:cstheme="minorHAnsi"/>
        </w:rPr>
        <w:t>During the</w:t>
      </w:r>
      <w:r w:rsidR="000C35F9">
        <w:rPr>
          <w:rFonts w:cstheme="minorHAnsi"/>
        </w:rPr>
        <w:t xml:space="preserve"> consultation, th</w:t>
      </w:r>
      <w:r w:rsidR="00017D3D">
        <w:rPr>
          <w:rFonts w:cstheme="minorHAnsi"/>
        </w:rPr>
        <w:t xml:space="preserve">e </w:t>
      </w:r>
      <w:r w:rsidR="00C32C34">
        <w:rPr>
          <w:rFonts w:cstheme="minorHAnsi"/>
        </w:rPr>
        <w:t>Co-</w:t>
      </w:r>
      <w:r w:rsidR="00940DEB">
        <w:rPr>
          <w:rFonts w:cstheme="minorHAnsi"/>
        </w:rPr>
        <w:t>Chair</w:t>
      </w:r>
      <w:r w:rsidR="00C32C34">
        <w:rPr>
          <w:rFonts w:cstheme="minorHAnsi"/>
        </w:rPr>
        <w:t>s</w:t>
      </w:r>
      <w:r w:rsidR="00017D3D">
        <w:rPr>
          <w:rFonts w:cstheme="minorHAnsi"/>
        </w:rPr>
        <w:t xml:space="preserve"> of the </w:t>
      </w:r>
      <w:r w:rsidR="00940DEB">
        <w:rPr>
          <w:rFonts w:cstheme="minorHAnsi"/>
        </w:rPr>
        <w:t xml:space="preserve">Expert </w:t>
      </w:r>
      <w:r w:rsidR="00C32C34">
        <w:rPr>
          <w:rFonts w:cstheme="minorHAnsi"/>
        </w:rPr>
        <w:t>Advisory Panel</w:t>
      </w:r>
      <w:r w:rsidR="00940DEB">
        <w:rPr>
          <w:rFonts w:cstheme="minorHAnsi"/>
        </w:rPr>
        <w:t xml:space="preserve"> </w:t>
      </w:r>
      <w:r w:rsidR="000C35F9">
        <w:rPr>
          <w:rFonts w:cstheme="minorHAnsi"/>
        </w:rPr>
        <w:t>hosted</w:t>
      </w:r>
      <w:r w:rsidR="0094262F" w:rsidRPr="00495AE8">
        <w:rPr>
          <w:rFonts w:cstheme="minorHAnsi"/>
        </w:rPr>
        <w:t xml:space="preserve"> two webinars</w:t>
      </w:r>
      <w:r w:rsidR="00017D3D">
        <w:rPr>
          <w:rFonts w:cstheme="minorHAnsi"/>
        </w:rPr>
        <w:t>, on 23</w:t>
      </w:r>
      <w:r w:rsidR="00940DEB">
        <w:rPr>
          <w:rFonts w:cstheme="minorHAnsi"/>
        </w:rPr>
        <w:t xml:space="preserve"> </w:t>
      </w:r>
      <w:r w:rsidR="00C32C34">
        <w:rPr>
          <w:rFonts w:cstheme="minorHAnsi"/>
        </w:rPr>
        <w:t>and 30</w:t>
      </w:r>
      <w:r w:rsidR="00017D3D">
        <w:rPr>
          <w:rFonts w:cstheme="minorHAnsi"/>
        </w:rPr>
        <w:t xml:space="preserve"> March 2021</w:t>
      </w:r>
      <w:r w:rsidR="00A8101F">
        <w:rPr>
          <w:rFonts w:cstheme="minorHAnsi"/>
        </w:rPr>
        <w:t xml:space="preserve">. This </w:t>
      </w:r>
      <w:r>
        <w:rPr>
          <w:rFonts w:cstheme="minorHAnsi"/>
        </w:rPr>
        <w:t>gave</w:t>
      </w:r>
      <w:r w:rsidR="00017D3D" w:rsidRPr="00017D3D">
        <w:rPr>
          <w:rFonts w:cstheme="minorHAnsi"/>
        </w:rPr>
        <w:t xml:space="preserve"> an opportunity for the community to gain a greater understanding of the purpose of the Roadmap and Implementation Plan and ask questions</w:t>
      </w:r>
      <w:r w:rsidR="00A8101F">
        <w:rPr>
          <w:rFonts w:cstheme="minorHAnsi"/>
        </w:rPr>
        <w:t>, prior to providing written submissions to the consultation</w:t>
      </w:r>
      <w:r w:rsidR="00301A40" w:rsidRPr="00495AE8">
        <w:rPr>
          <w:rFonts w:cstheme="minorHAnsi"/>
        </w:rPr>
        <w:t xml:space="preserve">. </w:t>
      </w:r>
    </w:p>
    <w:p w14:paraId="09AF5695" w14:textId="77777777" w:rsidR="00301A40" w:rsidRDefault="00301A40" w:rsidP="00F155E8">
      <w:pPr>
        <w:spacing w:after="0" w:line="240" w:lineRule="auto"/>
        <w:rPr>
          <w:rFonts w:cstheme="minorHAnsi"/>
        </w:rPr>
      </w:pPr>
    </w:p>
    <w:p w14:paraId="0D653792" w14:textId="750AEFFE" w:rsidR="00495AE8" w:rsidRPr="00495AE8" w:rsidRDefault="002E1D93" w:rsidP="002E1D93">
      <w:pPr>
        <w:pStyle w:val="Default"/>
        <w:spacing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The following questions were provided on the consultation hub</w:t>
      </w:r>
      <w:r w:rsidR="009C1F39">
        <w:rPr>
          <w:rFonts w:asciiTheme="minorHAnsi" w:hAnsiTheme="minorHAnsi" w:cstheme="minorHAnsi"/>
          <w:color w:val="auto"/>
          <w:sz w:val="22"/>
          <w:szCs w:val="22"/>
        </w:rPr>
        <w:t xml:space="preserve"> to guide submissions</w:t>
      </w:r>
      <w:r>
        <w:rPr>
          <w:rFonts w:asciiTheme="minorHAnsi" w:hAnsiTheme="minorHAnsi" w:cstheme="minorHAnsi"/>
          <w:color w:val="auto"/>
          <w:sz w:val="22"/>
          <w:szCs w:val="22"/>
        </w:rPr>
        <w:t>:</w:t>
      </w:r>
      <w:r w:rsidR="00495AE8" w:rsidRPr="00495AE8">
        <w:rPr>
          <w:rFonts w:asciiTheme="minorHAnsi" w:hAnsiTheme="minorHAnsi" w:cstheme="minorHAnsi"/>
          <w:color w:val="auto"/>
          <w:sz w:val="22"/>
          <w:szCs w:val="22"/>
        </w:rPr>
        <w:t xml:space="preserve"> </w:t>
      </w:r>
    </w:p>
    <w:p w14:paraId="7285E55D" w14:textId="77777777" w:rsidR="00E406F1" w:rsidRDefault="00E406F1" w:rsidP="002E1D93">
      <w:pPr>
        <w:pStyle w:val="Default"/>
        <w:numPr>
          <w:ilvl w:val="0"/>
          <w:numId w:val="7"/>
        </w:numPr>
        <w:spacing w:after="120"/>
        <w:rPr>
          <w:rFonts w:asciiTheme="minorHAnsi" w:hAnsiTheme="minorHAnsi" w:cstheme="minorHAnsi"/>
          <w:sz w:val="22"/>
          <w:szCs w:val="22"/>
        </w:rPr>
      </w:pPr>
      <w:r w:rsidRPr="00E406F1">
        <w:rPr>
          <w:rFonts w:asciiTheme="minorHAnsi" w:hAnsiTheme="minorHAnsi" w:cstheme="minorHAnsi"/>
          <w:sz w:val="22"/>
          <w:szCs w:val="22"/>
        </w:rPr>
        <w:t>Are the priority areas for investment identified in the Implementation Plan the most effective way for delivering on the Indigenous Health Research Fund's goal and aims?</w:t>
      </w:r>
    </w:p>
    <w:p w14:paraId="7FC65D01" w14:textId="771776B1" w:rsidR="00E406F1" w:rsidRDefault="00E406F1" w:rsidP="002E1D93">
      <w:pPr>
        <w:pStyle w:val="Default"/>
        <w:numPr>
          <w:ilvl w:val="0"/>
          <w:numId w:val="7"/>
        </w:numPr>
        <w:spacing w:after="120"/>
        <w:rPr>
          <w:rFonts w:asciiTheme="minorHAnsi" w:hAnsiTheme="minorHAnsi" w:cstheme="minorHAnsi"/>
          <w:sz w:val="22"/>
          <w:szCs w:val="22"/>
        </w:rPr>
      </w:pPr>
      <w:r w:rsidRPr="00E406F1">
        <w:rPr>
          <w:rFonts w:asciiTheme="minorHAnsi" w:hAnsiTheme="minorHAnsi" w:cstheme="minorHAnsi"/>
          <w:sz w:val="22"/>
          <w:szCs w:val="22"/>
        </w:rPr>
        <w:t>Are there existing research activities which could be utilised to contribute to the Indigenous Health Research Fund Roadmap and/or Implementation Plan aims and priority areas for investment? How can these be leveraged?</w:t>
      </w:r>
    </w:p>
    <w:p w14:paraId="140270C7" w14:textId="353B9E90" w:rsidR="00017D3D" w:rsidRPr="00E406F1" w:rsidRDefault="00E406F1" w:rsidP="00E406F1">
      <w:pPr>
        <w:pStyle w:val="Default"/>
        <w:numPr>
          <w:ilvl w:val="0"/>
          <w:numId w:val="7"/>
        </w:numPr>
        <w:spacing w:after="120"/>
        <w:rPr>
          <w:rFonts w:asciiTheme="minorHAnsi" w:hAnsiTheme="minorHAnsi" w:cstheme="minorHAnsi"/>
          <w:sz w:val="22"/>
          <w:szCs w:val="22"/>
        </w:rPr>
      </w:pPr>
      <w:r w:rsidRPr="00E406F1">
        <w:rPr>
          <w:rFonts w:asciiTheme="minorHAnsi" w:hAnsiTheme="minorHAnsi" w:cstheme="minorHAnsi"/>
          <w:sz w:val="22"/>
          <w:szCs w:val="22"/>
        </w:rPr>
        <w:t>Are the ‘Evaluation approach and measures’ appropriate for assessing and monitoring progress towards the Indigenous Health Research Fund's goal and aims?</w:t>
      </w:r>
    </w:p>
    <w:p w14:paraId="4329152B" w14:textId="57D7F571" w:rsidR="002E4DD6" w:rsidRDefault="00495AE8" w:rsidP="00495AE8">
      <w:pPr>
        <w:pStyle w:val="BodyText"/>
        <w:rPr>
          <w:szCs w:val="22"/>
        </w:rPr>
      </w:pPr>
      <w:r w:rsidRPr="00495AE8">
        <w:rPr>
          <w:szCs w:val="22"/>
        </w:rPr>
        <w:t xml:space="preserve">This report </w:t>
      </w:r>
      <w:r>
        <w:rPr>
          <w:szCs w:val="22"/>
        </w:rPr>
        <w:t>summari</w:t>
      </w:r>
      <w:r w:rsidR="008349F5">
        <w:rPr>
          <w:szCs w:val="22"/>
        </w:rPr>
        <w:t>s</w:t>
      </w:r>
      <w:r>
        <w:rPr>
          <w:szCs w:val="22"/>
        </w:rPr>
        <w:t>es</w:t>
      </w:r>
      <w:r w:rsidRPr="00495AE8">
        <w:rPr>
          <w:szCs w:val="22"/>
        </w:rPr>
        <w:t xml:space="preserve"> </w:t>
      </w:r>
      <w:r w:rsidR="00D32789">
        <w:rPr>
          <w:szCs w:val="22"/>
        </w:rPr>
        <w:t xml:space="preserve">the </w:t>
      </w:r>
      <w:r w:rsidR="001B2F9B">
        <w:rPr>
          <w:szCs w:val="22"/>
        </w:rPr>
        <w:t>national</w:t>
      </w:r>
      <w:r w:rsidRPr="00495AE8">
        <w:rPr>
          <w:szCs w:val="22"/>
        </w:rPr>
        <w:t xml:space="preserve"> consultation </w:t>
      </w:r>
      <w:r w:rsidR="00D32789">
        <w:rPr>
          <w:szCs w:val="22"/>
        </w:rPr>
        <w:t>through webinar participation and written submission</w:t>
      </w:r>
      <w:r w:rsidR="008349F5">
        <w:rPr>
          <w:szCs w:val="22"/>
        </w:rPr>
        <w:t>s</w:t>
      </w:r>
      <w:r>
        <w:rPr>
          <w:szCs w:val="22"/>
        </w:rPr>
        <w:t xml:space="preserve">. </w:t>
      </w:r>
    </w:p>
    <w:p w14:paraId="12EFC732" w14:textId="77777777" w:rsidR="002E4DD6" w:rsidRDefault="002E4DD6">
      <w:pPr>
        <w:spacing w:after="160" w:line="259" w:lineRule="auto"/>
        <w:rPr>
          <w:rFonts w:ascii="Calibri" w:eastAsia="Calibri" w:hAnsi="Calibri" w:cs="Calibri"/>
        </w:rPr>
      </w:pPr>
      <w:r>
        <w:br w:type="page"/>
      </w:r>
    </w:p>
    <w:p w14:paraId="072625A4" w14:textId="30AC5BF4" w:rsidR="000A27A6" w:rsidRDefault="000A27A6" w:rsidP="000A27A6">
      <w:pPr>
        <w:pStyle w:val="Heading2"/>
      </w:pPr>
      <w:bookmarkStart w:id="2" w:name="_Toc77962040"/>
      <w:r>
        <w:lastRenderedPageBreak/>
        <w:t>Community participation and submissions</w:t>
      </w:r>
      <w:bookmarkEnd w:id="2"/>
    </w:p>
    <w:p w14:paraId="6765322A" w14:textId="20095DB1" w:rsidR="008349F5" w:rsidRPr="00CB41FA" w:rsidRDefault="00455D48" w:rsidP="008349F5">
      <w:pPr>
        <w:pStyle w:val="BodyText"/>
        <w:rPr>
          <w:szCs w:val="22"/>
        </w:rPr>
      </w:pPr>
      <w:r w:rsidRPr="00CB41FA">
        <w:rPr>
          <w:szCs w:val="22"/>
        </w:rPr>
        <w:t>49</w:t>
      </w:r>
      <w:r w:rsidR="008349F5" w:rsidRPr="00CB41FA">
        <w:rPr>
          <w:szCs w:val="22"/>
        </w:rPr>
        <w:t xml:space="preserve"> stakeholders</w:t>
      </w:r>
      <w:r w:rsidR="00CB41FA" w:rsidRPr="00CB41FA">
        <w:rPr>
          <w:szCs w:val="22"/>
        </w:rPr>
        <w:t xml:space="preserve"> (from 115 registrations)</w:t>
      </w:r>
      <w:r w:rsidR="008349F5" w:rsidRPr="00CB41FA">
        <w:rPr>
          <w:szCs w:val="22"/>
        </w:rPr>
        <w:t xml:space="preserve"> attended the two webinars from </w:t>
      </w:r>
      <w:r w:rsidR="008349F5" w:rsidRPr="00CB41FA">
        <w:rPr>
          <w:rFonts w:asciiTheme="minorHAnsi" w:hAnsiTheme="minorHAnsi" w:cstheme="minorHAnsi"/>
        </w:rPr>
        <w:t>across all states and territories of Australia. A diverse range of stakeholders participated including those from</w:t>
      </w:r>
      <w:r w:rsidR="00113B6A" w:rsidRPr="00CB41FA">
        <w:rPr>
          <w:rFonts w:asciiTheme="minorHAnsi" w:hAnsiTheme="minorHAnsi" w:cstheme="minorHAnsi"/>
        </w:rPr>
        <w:t>:</w:t>
      </w:r>
      <w:r w:rsidR="008349F5" w:rsidRPr="00CB41FA">
        <w:rPr>
          <w:rFonts w:asciiTheme="minorHAnsi" w:hAnsiTheme="minorHAnsi" w:cstheme="minorHAnsi"/>
        </w:rPr>
        <w:t xml:space="preserve"> research organisations (including </w:t>
      </w:r>
      <w:r w:rsidR="00104D10" w:rsidRPr="00CB41FA">
        <w:rPr>
          <w:rFonts w:asciiTheme="minorHAnsi" w:hAnsiTheme="minorHAnsi" w:cstheme="minorHAnsi"/>
        </w:rPr>
        <w:t>u</w:t>
      </w:r>
      <w:r w:rsidR="008349F5" w:rsidRPr="00CB41FA">
        <w:rPr>
          <w:rFonts w:asciiTheme="minorHAnsi" w:hAnsiTheme="minorHAnsi" w:cstheme="minorHAnsi"/>
        </w:rPr>
        <w:t xml:space="preserve">niversities and </w:t>
      </w:r>
      <w:r w:rsidR="00113B6A" w:rsidRPr="00CB41FA">
        <w:rPr>
          <w:rFonts w:asciiTheme="minorHAnsi" w:hAnsiTheme="minorHAnsi" w:cstheme="minorHAnsi"/>
        </w:rPr>
        <w:t>m</w:t>
      </w:r>
      <w:r w:rsidR="008349F5" w:rsidRPr="00CB41FA">
        <w:rPr>
          <w:rFonts w:asciiTheme="minorHAnsi" w:hAnsiTheme="minorHAnsi" w:cstheme="minorHAnsi"/>
        </w:rPr>
        <w:t xml:space="preserve">edical </w:t>
      </w:r>
      <w:r w:rsidR="00113B6A" w:rsidRPr="00CB41FA">
        <w:rPr>
          <w:rFonts w:asciiTheme="minorHAnsi" w:hAnsiTheme="minorHAnsi" w:cstheme="minorHAnsi"/>
        </w:rPr>
        <w:t>r</w:t>
      </w:r>
      <w:r w:rsidR="008349F5" w:rsidRPr="00CB41FA">
        <w:rPr>
          <w:rFonts w:asciiTheme="minorHAnsi" w:hAnsiTheme="minorHAnsi" w:cstheme="minorHAnsi"/>
        </w:rPr>
        <w:t xml:space="preserve">esearch </w:t>
      </w:r>
      <w:r w:rsidR="00113B6A" w:rsidRPr="00CB41FA">
        <w:rPr>
          <w:rFonts w:asciiTheme="minorHAnsi" w:hAnsiTheme="minorHAnsi" w:cstheme="minorHAnsi"/>
        </w:rPr>
        <w:t>i</w:t>
      </w:r>
      <w:r w:rsidR="008349F5" w:rsidRPr="00CB41FA">
        <w:rPr>
          <w:rFonts w:asciiTheme="minorHAnsi" w:hAnsiTheme="minorHAnsi" w:cstheme="minorHAnsi"/>
        </w:rPr>
        <w:t>nstitutes)</w:t>
      </w:r>
      <w:r w:rsidR="00113B6A" w:rsidRPr="00CB41FA">
        <w:rPr>
          <w:rFonts w:asciiTheme="minorHAnsi" w:hAnsiTheme="minorHAnsi" w:cstheme="minorHAnsi"/>
        </w:rPr>
        <w:t>;</w:t>
      </w:r>
      <w:r w:rsidR="008349F5" w:rsidRPr="00CB41FA">
        <w:rPr>
          <w:rFonts w:asciiTheme="minorHAnsi" w:hAnsiTheme="minorHAnsi" w:cstheme="minorHAnsi"/>
        </w:rPr>
        <w:t xml:space="preserve"> </w:t>
      </w:r>
      <w:r w:rsidR="00CB41FA" w:rsidRPr="00CB41FA">
        <w:rPr>
          <w:rFonts w:asciiTheme="minorHAnsi" w:hAnsiTheme="minorHAnsi" w:cstheme="minorHAnsi"/>
        </w:rPr>
        <w:t>Aboriginal and Torres Strait Islander health providers</w:t>
      </w:r>
      <w:r w:rsidR="00113B6A" w:rsidRPr="00CB41FA">
        <w:rPr>
          <w:rFonts w:asciiTheme="minorHAnsi" w:hAnsiTheme="minorHAnsi" w:cstheme="minorHAnsi"/>
        </w:rPr>
        <w:t>;</w:t>
      </w:r>
      <w:r w:rsidR="008349F5" w:rsidRPr="00CB41FA">
        <w:rPr>
          <w:rFonts w:asciiTheme="minorHAnsi" w:hAnsiTheme="minorHAnsi" w:cstheme="minorHAnsi"/>
        </w:rPr>
        <w:t xml:space="preserve"> advocacy </w:t>
      </w:r>
      <w:r w:rsidR="00104D10" w:rsidRPr="00CB41FA">
        <w:rPr>
          <w:rFonts w:asciiTheme="minorHAnsi" w:hAnsiTheme="minorHAnsi" w:cstheme="minorHAnsi"/>
        </w:rPr>
        <w:t>groups</w:t>
      </w:r>
      <w:r w:rsidR="00113B6A" w:rsidRPr="00CB41FA">
        <w:rPr>
          <w:rFonts w:asciiTheme="minorHAnsi" w:hAnsiTheme="minorHAnsi" w:cstheme="minorHAnsi"/>
        </w:rPr>
        <w:t>;</w:t>
      </w:r>
      <w:r w:rsidR="008349F5" w:rsidRPr="00CB41FA">
        <w:rPr>
          <w:rFonts w:asciiTheme="minorHAnsi" w:hAnsiTheme="minorHAnsi" w:cstheme="minorHAnsi"/>
        </w:rPr>
        <w:t xml:space="preserve"> </w:t>
      </w:r>
      <w:r w:rsidR="00113B6A" w:rsidRPr="00CB41FA">
        <w:rPr>
          <w:rFonts w:asciiTheme="minorHAnsi" w:hAnsiTheme="minorHAnsi" w:cstheme="minorHAnsi"/>
        </w:rPr>
        <w:t>g</w:t>
      </w:r>
      <w:r w:rsidR="008349F5" w:rsidRPr="00CB41FA">
        <w:rPr>
          <w:rFonts w:asciiTheme="minorHAnsi" w:hAnsiTheme="minorHAnsi" w:cstheme="minorHAnsi"/>
        </w:rPr>
        <w:t xml:space="preserve">overnment </w:t>
      </w:r>
      <w:r w:rsidR="00CB41FA" w:rsidRPr="00CB41FA">
        <w:rPr>
          <w:rFonts w:asciiTheme="minorHAnsi" w:hAnsiTheme="minorHAnsi" w:cstheme="minorHAnsi"/>
        </w:rPr>
        <w:t>agencies</w:t>
      </w:r>
      <w:r w:rsidR="00113B6A" w:rsidRPr="00CB41FA">
        <w:rPr>
          <w:rFonts w:asciiTheme="minorHAnsi" w:hAnsiTheme="minorHAnsi" w:cstheme="minorHAnsi"/>
        </w:rPr>
        <w:t>;</w:t>
      </w:r>
      <w:r w:rsidR="008349F5" w:rsidRPr="00CB41FA">
        <w:rPr>
          <w:rFonts w:asciiTheme="minorHAnsi" w:hAnsiTheme="minorHAnsi" w:cstheme="minorHAnsi"/>
        </w:rPr>
        <w:t xml:space="preserve"> and individual community members. </w:t>
      </w:r>
    </w:p>
    <w:p w14:paraId="3494DA88" w14:textId="16FE9B31" w:rsidR="000A27A6" w:rsidRDefault="00104D10" w:rsidP="00104D10">
      <w:pPr>
        <w:pStyle w:val="BodyText"/>
        <w:rPr>
          <w:szCs w:val="22"/>
        </w:rPr>
      </w:pPr>
      <w:r w:rsidRPr="00CB41FA">
        <w:rPr>
          <w:szCs w:val="22"/>
        </w:rPr>
        <w:t xml:space="preserve">At the close of the consultation period, </w:t>
      </w:r>
      <w:r w:rsidR="00455D48" w:rsidRPr="00CB41FA">
        <w:rPr>
          <w:szCs w:val="22"/>
        </w:rPr>
        <w:t>13</w:t>
      </w:r>
      <w:r w:rsidR="00925145" w:rsidRPr="00CB41FA">
        <w:rPr>
          <w:szCs w:val="22"/>
        </w:rPr>
        <w:t xml:space="preserve"> </w:t>
      </w:r>
      <w:r w:rsidR="00344207" w:rsidRPr="00CB41FA">
        <w:rPr>
          <w:szCs w:val="22"/>
        </w:rPr>
        <w:t xml:space="preserve">written </w:t>
      </w:r>
      <w:r w:rsidR="00495AE8" w:rsidRPr="00CB41FA">
        <w:rPr>
          <w:szCs w:val="22"/>
        </w:rPr>
        <w:t xml:space="preserve">submissions were received </w:t>
      </w:r>
      <w:r w:rsidR="00857F9A" w:rsidRPr="00CB41FA">
        <w:rPr>
          <w:szCs w:val="22"/>
        </w:rPr>
        <w:t xml:space="preserve">via the consultation hub, </w:t>
      </w:r>
      <w:r w:rsidR="000A27A6" w:rsidRPr="00CB41FA">
        <w:rPr>
          <w:szCs w:val="22"/>
        </w:rPr>
        <w:t xml:space="preserve">representing </w:t>
      </w:r>
      <w:r w:rsidR="00C023D0" w:rsidRPr="00CB41FA">
        <w:rPr>
          <w:rFonts w:asciiTheme="minorHAnsi" w:hAnsiTheme="minorHAnsi" w:cstheme="minorHAnsi"/>
        </w:rPr>
        <w:t>research organisations (including universities and medical research institutes)</w:t>
      </w:r>
      <w:r w:rsidR="00CB41FA" w:rsidRPr="00CB41FA">
        <w:rPr>
          <w:szCs w:val="22"/>
        </w:rPr>
        <w:t xml:space="preserve">, </w:t>
      </w:r>
      <w:r w:rsidR="00CB41FA" w:rsidRPr="00CB41FA">
        <w:rPr>
          <w:rFonts w:asciiTheme="minorHAnsi" w:hAnsiTheme="minorHAnsi" w:cstheme="minorHAnsi"/>
        </w:rPr>
        <w:t>Aboriginal and Torres Strait Islander health providers and advocacy groups</w:t>
      </w:r>
      <w:r w:rsidR="000A27A6" w:rsidRPr="00CB41FA">
        <w:rPr>
          <w:szCs w:val="22"/>
        </w:rPr>
        <w:t>.</w:t>
      </w:r>
      <w:r w:rsidR="000A27A6">
        <w:rPr>
          <w:szCs w:val="22"/>
        </w:rPr>
        <w:t xml:space="preserve"> </w:t>
      </w:r>
    </w:p>
    <w:p w14:paraId="0832296B" w14:textId="13B98629" w:rsidR="0010429A" w:rsidRPr="002E4DD6" w:rsidRDefault="008B5F90" w:rsidP="002E4DD6">
      <w:pPr>
        <w:pStyle w:val="BodyText"/>
      </w:pPr>
      <w:r>
        <w:t xml:space="preserve">The Expert </w:t>
      </w:r>
      <w:r w:rsidR="00455D48">
        <w:t xml:space="preserve">Advisory Panel </w:t>
      </w:r>
      <w:r w:rsidR="00495AE8" w:rsidRPr="00766467">
        <w:t xml:space="preserve">considered all responses from the </w:t>
      </w:r>
      <w:r w:rsidR="001B2F9B">
        <w:t>national</w:t>
      </w:r>
      <w:r w:rsidR="00495AE8" w:rsidRPr="00766467">
        <w:t xml:space="preserve"> consult</w:t>
      </w:r>
      <w:r w:rsidR="00495AE8">
        <w:t xml:space="preserve">ation </w:t>
      </w:r>
      <w:r w:rsidR="00495AE8" w:rsidRPr="00766467">
        <w:t xml:space="preserve">and, where </w:t>
      </w:r>
      <w:r w:rsidR="00104D10">
        <w:t>relevant</w:t>
      </w:r>
      <w:r w:rsidR="00495AE8" w:rsidRPr="00766467">
        <w:t>, revised the</w:t>
      </w:r>
      <w:r w:rsidR="00495AE8">
        <w:t xml:space="preserve"> </w:t>
      </w:r>
      <w:r w:rsidR="00017D3D">
        <w:t>Roadmap and Implementation Plan</w:t>
      </w:r>
      <w:r w:rsidR="00495AE8" w:rsidRPr="00766467">
        <w:t xml:space="preserve">. </w:t>
      </w:r>
      <w:r w:rsidR="00113B6A">
        <w:t>A s</w:t>
      </w:r>
      <w:r w:rsidR="00857F9A">
        <w:t>ummar</w:t>
      </w:r>
      <w:r w:rsidR="00113B6A">
        <w:t>y of the</w:t>
      </w:r>
      <w:r w:rsidR="00857F9A">
        <w:t xml:space="preserve"> feedback</w:t>
      </w:r>
      <w:r w:rsidR="00495AE8" w:rsidRPr="00766467">
        <w:t xml:space="preserve"> from the </w:t>
      </w:r>
      <w:r w:rsidR="00857F9A">
        <w:t>submissions and</w:t>
      </w:r>
      <w:r>
        <w:t xml:space="preserve"> the</w:t>
      </w:r>
      <w:r w:rsidR="00857F9A">
        <w:t xml:space="preserve"> </w:t>
      </w:r>
      <w:r w:rsidR="00017D3D">
        <w:t xml:space="preserve">Expert </w:t>
      </w:r>
      <w:r w:rsidR="00455D48">
        <w:t>Advisory</w:t>
      </w:r>
      <w:r w:rsidR="00A8101F">
        <w:t xml:space="preserve"> </w:t>
      </w:r>
      <w:r w:rsidR="00455D48">
        <w:t>Panel</w:t>
      </w:r>
      <w:r w:rsidR="00A8101F">
        <w:t>’s</w:t>
      </w:r>
      <w:r w:rsidR="00017D3D">
        <w:t xml:space="preserve"> </w:t>
      </w:r>
      <w:r w:rsidR="00495AE8" w:rsidRPr="00766467">
        <w:t xml:space="preserve">responses </w:t>
      </w:r>
      <w:r w:rsidR="008A6051">
        <w:t xml:space="preserve">are </w:t>
      </w:r>
      <w:r w:rsidR="004C0890">
        <w:t>outlined</w:t>
      </w:r>
      <w:r w:rsidR="00495AE8" w:rsidRPr="00766467">
        <w:t xml:space="preserve"> </w:t>
      </w:r>
      <w:r w:rsidR="00104D10">
        <w:t>below</w:t>
      </w:r>
      <w:r w:rsidR="00495AE8" w:rsidRPr="00766467">
        <w:t>.</w:t>
      </w:r>
    </w:p>
    <w:p w14:paraId="076B97FC" w14:textId="77777777" w:rsidR="0010429A" w:rsidRDefault="0010429A" w:rsidP="00AF2D92">
      <w:pPr>
        <w:spacing w:after="120"/>
        <w:rPr>
          <w:rFonts w:cstheme="minorHAnsi"/>
        </w:rPr>
        <w:sectPr w:rsidR="0010429A" w:rsidSect="002E4DD6">
          <w:footerReference w:type="default" r:id="rId17"/>
          <w:pgSz w:w="11906" w:h="16838"/>
          <w:pgMar w:top="1440" w:right="1440" w:bottom="1440" w:left="1440" w:header="708" w:footer="708" w:gutter="0"/>
          <w:pgNumType w:start="1"/>
          <w:cols w:space="708"/>
          <w:docGrid w:linePitch="360"/>
        </w:sectPr>
      </w:pPr>
    </w:p>
    <w:p w14:paraId="45B2552B" w14:textId="23EF0FB6" w:rsidR="00F155E8" w:rsidRDefault="00495AE8" w:rsidP="00F155E8">
      <w:pPr>
        <w:pStyle w:val="Heading1"/>
      </w:pPr>
      <w:bookmarkStart w:id="3" w:name="_Toc77962041"/>
      <w:r>
        <w:lastRenderedPageBreak/>
        <w:t xml:space="preserve">Responses to </w:t>
      </w:r>
      <w:r w:rsidR="001B2F9B">
        <w:t>national</w:t>
      </w:r>
      <w:r>
        <w:t xml:space="preserve"> consultation submissions</w:t>
      </w:r>
      <w:bookmarkEnd w:id="3"/>
    </w:p>
    <w:tbl>
      <w:tblPr>
        <w:tblStyle w:val="TableGrid"/>
        <w:tblW w:w="5000" w:type="pct"/>
        <w:tblLook w:val="0420" w:firstRow="1" w:lastRow="0" w:firstColumn="0" w:lastColumn="0" w:noHBand="0" w:noVBand="1"/>
      </w:tblPr>
      <w:tblGrid>
        <w:gridCol w:w="3113"/>
        <w:gridCol w:w="5529"/>
        <w:gridCol w:w="5306"/>
      </w:tblGrid>
      <w:tr w:rsidR="00015741" w14:paraId="2CC6C975" w14:textId="77777777" w:rsidTr="00E731E4">
        <w:trPr>
          <w:cantSplit/>
          <w:trHeight w:val="245"/>
        </w:trPr>
        <w:tc>
          <w:tcPr>
            <w:tcW w:w="1116" w:type="pct"/>
            <w:shd w:val="clear" w:color="auto" w:fill="2F5496" w:themeFill="accent5" w:themeFillShade="BF"/>
          </w:tcPr>
          <w:p w14:paraId="1519F758" w14:textId="3C592AAB" w:rsidR="00015741" w:rsidRPr="00C03FF9" w:rsidRDefault="00346974" w:rsidP="00C2595E">
            <w:pPr>
              <w:rPr>
                <w:rFonts w:ascii="Calibri" w:hAnsi="Calibri" w:cs="Calibri"/>
                <w:b/>
                <w:color w:val="FFFFFF" w:themeColor="background1"/>
              </w:rPr>
            </w:pPr>
            <w:r>
              <w:rPr>
                <w:rFonts w:ascii="Calibri" w:hAnsi="Calibri" w:cs="Calibri"/>
                <w:b/>
                <w:color w:val="FFFFFF" w:themeColor="background1"/>
              </w:rPr>
              <w:t xml:space="preserve">Consultation </w:t>
            </w:r>
            <w:r w:rsidR="00015741">
              <w:rPr>
                <w:rFonts w:ascii="Calibri" w:hAnsi="Calibri" w:cs="Calibri"/>
                <w:b/>
                <w:color w:val="FFFFFF" w:themeColor="background1"/>
              </w:rPr>
              <w:t>Question</w:t>
            </w:r>
          </w:p>
        </w:tc>
        <w:tc>
          <w:tcPr>
            <w:tcW w:w="1982" w:type="pct"/>
            <w:tcBorders>
              <w:bottom w:val="single" w:sz="4" w:space="0" w:color="auto"/>
            </w:tcBorders>
            <w:shd w:val="clear" w:color="auto" w:fill="2F5496" w:themeFill="accent5" w:themeFillShade="BF"/>
          </w:tcPr>
          <w:p w14:paraId="2032983A" w14:textId="7502C46B" w:rsidR="00015741" w:rsidRDefault="00346974" w:rsidP="00C2595E">
            <w:pPr>
              <w:rPr>
                <w:rFonts w:ascii="Calibri" w:hAnsi="Calibri" w:cs="Calibri"/>
                <w:b/>
                <w:color w:val="FFFFFF" w:themeColor="background1"/>
              </w:rPr>
            </w:pPr>
            <w:r>
              <w:rPr>
                <w:rFonts w:ascii="Calibri" w:hAnsi="Calibri" w:cs="Calibri"/>
                <w:b/>
                <w:color w:val="FFFFFF" w:themeColor="background1"/>
              </w:rPr>
              <w:t>Submission F</w:t>
            </w:r>
            <w:r w:rsidR="00015741">
              <w:rPr>
                <w:rFonts w:ascii="Calibri" w:hAnsi="Calibri" w:cs="Calibri"/>
                <w:b/>
                <w:color w:val="FFFFFF" w:themeColor="background1"/>
              </w:rPr>
              <w:t>eedback / Themes</w:t>
            </w:r>
          </w:p>
        </w:tc>
        <w:tc>
          <w:tcPr>
            <w:tcW w:w="1902" w:type="pct"/>
            <w:tcBorders>
              <w:bottom w:val="single" w:sz="4" w:space="0" w:color="auto"/>
            </w:tcBorders>
            <w:shd w:val="clear" w:color="auto" w:fill="2F5496" w:themeFill="accent5" w:themeFillShade="BF"/>
          </w:tcPr>
          <w:p w14:paraId="5006B7D2" w14:textId="18CACB46" w:rsidR="00015741" w:rsidRPr="00C03FF9" w:rsidRDefault="009866A9" w:rsidP="00C2595E">
            <w:pPr>
              <w:rPr>
                <w:rFonts w:ascii="Calibri" w:hAnsi="Calibri" w:cs="Calibri"/>
                <w:b/>
                <w:color w:val="FFFFFF" w:themeColor="background1"/>
              </w:rPr>
            </w:pPr>
            <w:r>
              <w:rPr>
                <w:rFonts w:ascii="Calibri" w:hAnsi="Calibri" w:cs="Calibri"/>
                <w:b/>
                <w:color w:val="FFFFFF" w:themeColor="background1"/>
              </w:rPr>
              <w:t>Action</w:t>
            </w:r>
            <w:r w:rsidR="00346974">
              <w:rPr>
                <w:rFonts w:ascii="Calibri" w:hAnsi="Calibri" w:cs="Calibri"/>
                <w:b/>
                <w:color w:val="FFFFFF" w:themeColor="background1"/>
              </w:rPr>
              <w:t xml:space="preserve"> by Expert </w:t>
            </w:r>
            <w:r w:rsidR="005E2593">
              <w:rPr>
                <w:rFonts w:ascii="Calibri" w:hAnsi="Calibri" w:cs="Calibri"/>
                <w:b/>
                <w:color w:val="FFFFFF" w:themeColor="background1"/>
              </w:rPr>
              <w:t>Advisory Panel (the Panel)</w:t>
            </w:r>
          </w:p>
        </w:tc>
      </w:tr>
      <w:tr w:rsidR="00D81E43" w14:paraId="1FC947DB" w14:textId="77777777" w:rsidTr="00E731E4">
        <w:trPr>
          <w:cantSplit/>
          <w:trHeight w:val="570"/>
        </w:trPr>
        <w:tc>
          <w:tcPr>
            <w:tcW w:w="1116" w:type="pct"/>
            <w:vMerge w:val="restart"/>
            <w:shd w:val="clear" w:color="auto" w:fill="D9E2F3" w:themeFill="accent5" w:themeFillTint="33"/>
          </w:tcPr>
          <w:p w14:paraId="612B62FF" w14:textId="120CFF31" w:rsidR="00D81E43" w:rsidRPr="005E2593" w:rsidRDefault="00D81E43" w:rsidP="005E2593">
            <w:pPr>
              <w:rPr>
                <w:rFonts w:cstheme="minorHAnsi"/>
                <w:b/>
                <w:bCs/>
                <w:sz w:val="20"/>
                <w:szCs w:val="20"/>
              </w:rPr>
            </w:pPr>
            <w:r w:rsidRPr="005E2593">
              <w:rPr>
                <w:rFonts w:cstheme="minorHAnsi"/>
                <w:b/>
                <w:bCs/>
              </w:rPr>
              <w:t>Are the priority areas for investment identified in the Implementation Plan the most effective way for delivering on the Indigenous Health Research Fund's goal and aims?</w:t>
            </w:r>
          </w:p>
        </w:tc>
        <w:tc>
          <w:tcPr>
            <w:tcW w:w="1982" w:type="pct"/>
            <w:tcBorders>
              <w:bottom w:val="single" w:sz="4" w:space="0" w:color="auto"/>
            </w:tcBorders>
          </w:tcPr>
          <w:p w14:paraId="2E9920BF" w14:textId="5865565B" w:rsidR="00D81E43" w:rsidRPr="005E2593" w:rsidRDefault="00D81E43" w:rsidP="005E2593">
            <w:pPr>
              <w:pStyle w:val="ListParagraph"/>
              <w:numPr>
                <w:ilvl w:val="0"/>
                <w:numId w:val="9"/>
              </w:numPr>
              <w:ind w:left="320"/>
              <w:rPr>
                <w:rFonts w:asciiTheme="minorHAnsi" w:hAnsiTheme="minorHAnsi" w:cstheme="minorHAnsi"/>
                <w:sz w:val="20"/>
                <w:szCs w:val="20"/>
              </w:rPr>
            </w:pPr>
            <w:r w:rsidRPr="005E2593">
              <w:rPr>
                <w:rFonts w:asciiTheme="minorHAnsi" w:hAnsiTheme="minorHAnsi" w:cstheme="minorHAnsi"/>
                <w:sz w:val="20"/>
                <w:szCs w:val="20"/>
              </w:rPr>
              <w:t>Ensure that there is investment into laboratory and discovery research as this is essential for addressing the lack of knowledge around disease mechanism</w:t>
            </w:r>
            <w:r>
              <w:rPr>
                <w:rFonts w:asciiTheme="minorHAnsi" w:hAnsiTheme="minorHAnsi" w:cstheme="minorHAnsi"/>
                <w:sz w:val="20"/>
                <w:szCs w:val="20"/>
              </w:rPr>
              <w:t>s</w:t>
            </w:r>
            <w:r w:rsidRPr="005E2593">
              <w:rPr>
                <w:rFonts w:asciiTheme="minorHAnsi" w:hAnsiTheme="minorHAnsi" w:cstheme="minorHAnsi"/>
                <w:sz w:val="20"/>
                <w:szCs w:val="20"/>
              </w:rPr>
              <w:t xml:space="preserve"> and </w:t>
            </w:r>
            <w:r>
              <w:rPr>
                <w:rFonts w:asciiTheme="minorHAnsi" w:hAnsiTheme="minorHAnsi" w:cstheme="minorHAnsi"/>
                <w:sz w:val="20"/>
                <w:szCs w:val="20"/>
              </w:rPr>
              <w:t>for the development of</w:t>
            </w:r>
            <w:r w:rsidRPr="005E2593">
              <w:rPr>
                <w:rFonts w:asciiTheme="minorHAnsi" w:hAnsiTheme="minorHAnsi" w:cstheme="minorHAnsi"/>
                <w:sz w:val="20"/>
                <w:szCs w:val="20"/>
              </w:rPr>
              <w:t xml:space="preserve"> novel therapeutic interventions</w:t>
            </w:r>
            <w:r>
              <w:rPr>
                <w:rFonts w:asciiTheme="minorHAnsi" w:hAnsiTheme="minorHAnsi" w:cstheme="minorHAnsi"/>
                <w:sz w:val="20"/>
                <w:szCs w:val="20"/>
              </w:rPr>
              <w:t>.</w:t>
            </w:r>
          </w:p>
        </w:tc>
        <w:tc>
          <w:tcPr>
            <w:tcW w:w="1902" w:type="pct"/>
            <w:tcBorders>
              <w:bottom w:val="single" w:sz="4" w:space="0" w:color="auto"/>
            </w:tcBorders>
          </w:tcPr>
          <w:p w14:paraId="4389FD5A" w14:textId="36E505C9" w:rsidR="00D81E43" w:rsidRPr="005E2593" w:rsidRDefault="00D81E43" w:rsidP="005E2593">
            <w:pPr>
              <w:pStyle w:val="ListParagraph"/>
              <w:numPr>
                <w:ilvl w:val="0"/>
                <w:numId w:val="16"/>
              </w:numPr>
              <w:rPr>
                <w:rFonts w:cstheme="minorHAnsi"/>
                <w:sz w:val="20"/>
                <w:szCs w:val="20"/>
              </w:rPr>
            </w:pPr>
            <w:r w:rsidRPr="005E2593">
              <w:rPr>
                <w:rFonts w:asciiTheme="minorHAnsi" w:hAnsiTheme="minorHAnsi" w:cstheme="minorHAnsi"/>
                <w:sz w:val="20"/>
                <w:szCs w:val="20"/>
              </w:rPr>
              <w:t xml:space="preserve">The Panel agreed that there will be no barrier to funding </w:t>
            </w:r>
            <w:r>
              <w:rPr>
                <w:rFonts w:asciiTheme="minorHAnsi" w:hAnsiTheme="minorHAnsi" w:cstheme="minorHAnsi"/>
                <w:sz w:val="20"/>
                <w:szCs w:val="20"/>
              </w:rPr>
              <w:t>such research</w:t>
            </w:r>
            <w:r w:rsidRPr="005E2593">
              <w:rPr>
                <w:rFonts w:asciiTheme="minorHAnsi" w:hAnsiTheme="minorHAnsi" w:cstheme="minorHAnsi"/>
                <w:sz w:val="20"/>
                <w:szCs w:val="20"/>
              </w:rPr>
              <w:t xml:space="preserve"> through the small-scale and early-stage developmental projects </w:t>
            </w:r>
            <w:r>
              <w:rPr>
                <w:rFonts w:asciiTheme="minorHAnsi" w:hAnsiTheme="minorHAnsi" w:cstheme="minorHAnsi"/>
                <w:sz w:val="20"/>
                <w:szCs w:val="20"/>
              </w:rPr>
              <w:t>identified</w:t>
            </w:r>
            <w:r w:rsidRPr="005E2593">
              <w:rPr>
                <w:rFonts w:asciiTheme="minorHAnsi" w:hAnsiTheme="minorHAnsi" w:cstheme="minorHAnsi"/>
                <w:sz w:val="20"/>
                <w:szCs w:val="20"/>
              </w:rPr>
              <w:t xml:space="preserve"> in the Implementation Plan.</w:t>
            </w:r>
          </w:p>
        </w:tc>
      </w:tr>
      <w:tr w:rsidR="00D81E43" w14:paraId="03D597DE" w14:textId="77777777" w:rsidTr="00E731E4">
        <w:trPr>
          <w:cantSplit/>
          <w:trHeight w:val="570"/>
        </w:trPr>
        <w:tc>
          <w:tcPr>
            <w:tcW w:w="1116" w:type="pct"/>
            <w:vMerge/>
            <w:shd w:val="clear" w:color="auto" w:fill="D9E2F3" w:themeFill="accent5" w:themeFillTint="33"/>
          </w:tcPr>
          <w:p w14:paraId="43D30BDD" w14:textId="77777777" w:rsidR="00D81E43" w:rsidRPr="005E2593" w:rsidRDefault="00D81E43" w:rsidP="005E2593">
            <w:pPr>
              <w:pStyle w:val="ListParagraph"/>
              <w:numPr>
                <w:ilvl w:val="0"/>
                <w:numId w:val="9"/>
              </w:numPr>
              <w:ind w:left="320"/>
              <w:rPr>
                <w:rFonts w:asciiTheme="minorHAnsi" w:hAnsiTheme="minorHAnsi" w:cstheme="minorHAnsi"/>
                <w:sz w:val="20"/>
                <w:szCs w:val="20"/>
              </w:rPr>
            </w:pPr>
          </w:p>
        </w:tc>
        <w:tc>
          <w:tcPr>
            <w:tcW w:w="1982" w:type="pct"/>
            <w:tcBorders>
              <w:top w:val="single" w:sz="4" w:space="0" w:color="auto"/>
              <w:bottom w:val="single" w:sz="4" w:space="0" w:color="auto"/>
            </w:tcBorders>
          </w:tcPr>
          <w:p w14:paraId="127B043D" w14:textId="11CEBB0E" w:rsidR="00D81E43" w:rsidRPr="005E2593" w:rsidDel="002C6918" w:rsidRDefault="00D81E43" w:rsidP="00520AE6">
            <w:pPr>
              <w:pStyle w:val="ListParagraph"/>
              <w:numPr>
                <w:ilvl w:val="0"/>
                <w:numId w:val="9"/>
              </w:numPr>
              <w:ind w:left="320"/>
              <w:rPr>
                <w:rFonts w:asciiTheme="minorHAnsi" w:hAnsiTheme="minorHAnsi" w:cstheme="minorHAnsi"/>
                <w:sz w:val="20"/>
                <w:szCs w:val="20"/>
              </w:rPr>
            </w:pPr>
            <w:r w:rsidRPr="005E2593">
              <w:rPr>
                <w:rFonts w:asciiTheme="minorHAnsi" w:hAnsiTheme="minorHAnsi" w:cstheme="minorHAnsi"/>
                <w:sz w:val="20"/>
                <w:szCs w:val="20"/>
              </w:rPr>
              <w:t>A decolonising approach should be taken in reviewing the Roadmap and Implementation Plan which involves more than having Aboriginal and Torres Strait Islander leadership, it involves focussing on the strengths, capacity and resilience of peoples and knowledges that have been colonised</w:t>
            </w:r>
            <w:r>
              <w:rPr>
                <w:rFonts w:asciiTheme="minorHAnsi" w:hAnsiTheme="minorHAnsi" w:cstheme="minorHAnsi"/>
                <w:sz w:val="20"/>
                <w:szCs w:val="20"/>
              </w:rPr>
              <w:t>.</w:t>
            </w:r>
          </w:p>
        </w:tc>
        <w:tc>
          <w:tcPr>
            <w:tcW w:w="1902" w:type="pct"/>
            <w:tcBorders>
              <w:top w:val="single" w:sz="4" w:space="0" w:color="auto"/>
              <w:bottom w:val="single" w:sz="4" w:space="0" w:color="auto"/>
            </w:tcBorders>
          </w:tcPr>
          <w:p w14:paraId="145E61AB" w14:textId="0B1BC332" w:rsidR="00D81E43" w:rsidRPr="005E2593" w:rsidDel="001511E2" w:rsidRDefault="00D81E43" w:rsidP="005E2593">
            <w:pPr>
              <w:pStyle w:val="ListParagraph"/>
              <w:numPr>
                <w:ilvl w:val="0"/>
                <w:numId w:val="15"/>
              </w:numPr>
              <w:rPr>
                <w:rFonts w:asciiTheme="minorHAnsi" w:hAnsiTheme="minorHAnsi" w:cstheme="minorHAnsi"/>
                <w:sz w:val="20"/>
                <w:szCs w:val="20"/>
              </w:rPr>
            </w:pPr>
            <w:r>
              <w:rPr>
                <w:rFonts w:asciiTheme="minorHAnsi" w:hAnsiTheme="minorHAnsi" w:cstheme="minorHAnsi"/>
                <w:sz w:val="20"/>
                <w:szCs w:val="20"/>
              </w:rPr>
              <w:t xml:space="preserve">The </w:t>
            </w:r>
            <w:r w:rsidRPr="005E2593">
              <w:rPr>
                <w:rFonts w:asciiTheme="minorHAnsi" w:hAnsiTheme="minorHAnsi" w:cstheme="minorHAnsi"/>
                <w:sz w:val="20"/>
                <w:szCs w:val="20"/>
              </w:rPr>
              <w:t xml:space="preserve">Roadmap and Implementation Plan were amended to make reference to the unique knowledge, strengths and endurance of Aboriginal and Torres Strait </w:t>
            </w:r>
            <w:r>
              <w:rPr>
                <w:rFonts w:asciiTheme="minorHAnsi" w:hAnsiTheme="minorHAnsi" w:cstheme="minorHAnsi"/>
                <w:sz w:val="20"/>
                <w:szCs w:val="20"/>
              </w:rPr>
              <w:t>I</w:t>
            </w:r>
            <w:r w:rsidRPr="005E2593">
              <w:rPr>
                <w:rFonts w:asciiTheme="minorHAnsi" w:hAnsiTheme="minorHAnsi" w:cstheme="minorHAnsi"/>
                <w:sz w:val="20"/>
                <w:szCs w:val="20"/>
              </w:rPr>
              <w:t xml:space="preserve">slander communities. </w:t>
            </w:r>
          </w:p>
        </w:tc>
      </w:tr>
      <w:tr w:rsidR="00D81E43" w14:paraId="696E8566" w14:textId="77777777" w:rsidTr="00E731E4">
        <w:trPr>
          <w:cantSplit/>
          <w:trHeight w:val="570"/>
        </w:trPr>
        <w:tc>
          <w:tcPr>
            <w:tcW w:w="1116" w:type="pct"/>
            <w:vMerge/>
            <w:shd w:val="clear" w:color="auto" w:fill="D9E2F3" w:themeFill="accent5" w:themeFillTint="33"/>
          </w:tcPr>
          <w:p w14:paraId="342FE2B6" w14:textId="77777777" w:rsidR="00D81E43" w:rsidRPr="005E2593" w:rsidRDefault="00D81E43" w:rsidP="005E2593">
            <w:pPr>
              <w:pStyle w:val="ListParagraph"/>
              <w:numPr>
                <w:ilvl w:val="0"/>
                <w:numId w:val="9"/>
              </w:numPr>
              <w:ind w:left="320"/>
              <w:rPr>
                <w:rFonts w:asciiTheme="minorHAnsi" w:hAnsiTheme="minorHAnsi" w:cstheme="minorHAnsi"/>
                <w:sz w:val="20"/>
                <w:szCs w:val="20"/>
              </w:rPr>
            </w:pPr>
          </w:p>
        </w:tc>
        <w:tc>
          <w:tcPr>
            <w:tcW w:w="1982" w:type="pct"/>
            <w:tcBorders>
              <w:top w:val="single" w:sz="4" w:space="0" w:color="auto"/>
              <w:bottom w:val="single" w:sz="4" w:space="0" w:color="auto"/>
            </w:tcBorders>
          </w:tcPr>
          <w:p w14:paraId="2C192966" w14:textId="7A963039" w:rsidR="00D81E43" w:rsidRPr="005E2593" w:rsidDel="002C6918" w:rsidRDefault="00D81E43" w:rsidP="00520AE6">
            <w:pPr>
              <w:pStyle w:val="ListParagraph"/>
              <w:numPr>
                <w:ilvl w:val="0"/>
                <w:numId w:val="9"/>
              </w:numPr>
              <w:ind w:left="320"/>
              <w:rPr>
                <w:rFonts w:asciiTheme="minorHAnsi" w:hAnsiTheme="minorHAnsi" w:cstheme="minorHAnsi"/>
                <w:sz w:val="20"/>
                <w:szCs w:val="20"/>
              </w:rPr>
            </w:pPr>
            <w:r w:rsidRPr="005E2593">
              <w:rPr>
                <w:rFonts w:asciiTheme="minorHAnsi" w:hAnsiTheme="minorHAnsi" w:cstheme="minorHAnsi"/>
                <w:sz w:val="20"/>
                <w:szCs w:val="20"/>
              </w:rPr>
              <w:t>Ensure investment targets the large rural and regional populations of Australia</w:t>
            </w:r>
            <w:r>
              <w:rPr>
                <w:rFonts w:asciiTheme="minorHAnsi" w:hAnsiTheme="minorHAnsi" w:cstheme="minorHAnsi"/>
                <w:sz w:val="20"/>
                <w:szCs w:val="20"/>
              </w:rPr>
              <w:t>.</w:t>
            </w:r>
          </w:p>
        </w:tc>
        <w:tc>
          <w:tcPr>
            <w:tcW w:w="1902" w:type="pct"/>
            <w:tcBorders>
              <w:top w:val="single" w:sz="4" w:space="0" w:color="auto"/>
              <w:bottom w:val="single" w:sz="4" w:space="0" w:color="auto"/>
            </w:tcBorders>
          </w:tcPr>
          <w:p w14:paraId="5C55FA41" w14:textId="680F824B" w:rsidR="00D81E43" w:rsidRPr="007576D2" w:rsidDel="001511E2" w:rsidRDefault="00D81E43" w:rsidP="007576D2">
            <w:pPr>
              <w:pStyle w:val="ListParagraph"/>
              <w:numPr>
                <w:ilvl w:val="0"/>
                <w:numId w:val="9"/>
              </w:numPr>
              <w:ind w:left="320"/>
              <w:rPr>
                <w:rFonts w:asciiTheme="minorHAnsi" w:hAnsiTheme="minorHAnsi" w:cstheme="minorHAnsi"/>
                <w:sz w:val="20"/>
                <w:szCs w:val="20"/>
              </w:rPr>
            </w:pPr>
            <w:r>
              <w:rPr>
                <w:rFonts w:asciiTheme="minorHAnsi" w:hAnsiTheme="minorHAnsi" w:cstheme="minorHAnsi"/>
                <w:sz w:val="20"/>
                <w:szCs w:val="20"/>
              </w:rPr>
              <w:t>T</w:t>
            </w:r>
            <w:r w:rsidRPr="00D17DC1">
              <w:rPr>
                <w:rFonts w:asciiTheme="minorHAnsi" w:hAnsiTheme="minorHAnsi" w:cstheme="minorHAnsi"/>
                <w:sz w:val="20"/>
                <w:szCs w:val="20"/>
              </w:rPr>
              <w:t xml:space="preserve">he Implementation Plan </w:t>
            </w:r>
            <w:r>
              <w:rPr>
                <w:rFonts w:asciiTheme="minorHAnsi" w:hAnsiTheme="minorHAnsi" w:cstheme="minorHAnsi"/>
                <w:sz w:val="20"/>
                <w:szCs w:val="20"/>
              </w:rPr>
              <w:t xml:space="preserve">states </w:t>
            </w:r>
            <w:r w:rsidRPr="00D17DC1">
              <w:rPr>
                <w:rFonts w:asciiTheme="minorHAnsi" w:hAnsiTheme="minorHAnsi" w:cstheme="minorHAnsi"/>
                <w:sz w:val="20"/>
                <w:szCs w:val="20"/>
              </w:rPr>
              <w:t>the need to support</w:t>
            </w:r>
            <w:r>
              <w:rPr>
                <w:rFonts w:asciiTheme="minorHAnsi" w:hAnsiTheme="minorHAnsi" w:cstheme="minorHAnsi"/>
                <w:sz w:val="20"/>
                <w:szCs w:val="20"/>
              </w:rPr>
              <w:t xml:space="preserve"> research for</w:t>
            </w:r>
            <w:r w:rsidRPr="00D17DC1">
              <w:rPr>
                <w:rFonts w:asciiTheme="minorHAnsi" w:hAnsiTheme="minorHAnsi" w:cstheme="minorHAnsi"/>
                <w:sz w:val="20"/>
                <w:szCs w:val="20"/>
              </w:rPr>
              <w:t xml:space="preserve"> </w:t>
            </w:r>
            <w:r>
              <w:rPr>
                <w:rFonts w:asciiTheme="minorHAnsi" w:hAnsiTheme="minorHAnsi" w:cstheme="minorHAnsi"/>
                <w:sz w:val="20"/>
                <w:szCs w:val="20"/>
              </w:rPr>
              <w:t>such</w:t>
            </w:r>
            <w:r w:rsidRPr="00D17DC1">
              <w:rPr>
                <w:rFonts w:asciiTheme="minorHAnsi" w:hAnsiTheme="minorHAnsi" w:cstheme="minorHAnsi"/>
                <w:sz w:val="20"/>
                <w:szCs w:val="20"/>
              </w:rPr>
              <w:t xml:space="preserve"> populations</w:t>
            </w:r>
            <w:r>
              <w:rPr>
                <w:rFonts w:asciiTheme="minorHAnsi" w:hAnsiTheme="minorHAnsi" w:cstheme="minorHAnsi"/>
                <w:sz w:val="20"/>
                <w:szCs w:val="20"/>
              </w:rPr>
              <w:t xml:space="preserve">, with </w:t>
            </w:r>
            <w:r w:rsidRPr="00D17DC1">
              <w:rPr>
                <w:rFonts w:asciiTheme="minorHAnsi" w:hAnsiTheme="minorHAnsi" w:cstheme="minorHAnsi"/>
                <w:sz w:val="20"/>
                <w:szCs w:val="20"/>
              </w:rPr>
              <w:t xml:space="preserve">priorities that include a focus on </w:t>
            </w:r>
            <w:r>
              <w:rPr>
                <w:rFonts w:asciiTheme="minorHAnsi" w:hAnsiTheme="minorHAnsi" w:cstheme="minorHAnsi"/>
                <w:sz w:val="20"/>
                <w:szCs w:val="20"/>
              </w:rPr>
              <w:t>such</w:t>
            </w:r>
            <w:r w:rsidRPr="00D17DC1">
              <w:rPr>
                <w:rFonts w:asciiTheme="minorHAnsi" w:hAnsiTheme="minorHAnsi" w:cstheme="minorHAnsi"/>
                <w:sz w:val="20"/>
                <w:szCs w:val="20"/>
              </w:rPr>
              <w:t xml:space="preserve"> populations</w:t>
            </w:r>
            <w:r>
              <w:rPr>
                <w:rFonts w:asciiTheme="minorHAnsi" w:hAnsiTheme="minorHAnsi" w:cstheme="minorHAnsi"/>
                <w:sz w:val="20"/>
                <w:szCs w:val="20"/>
              </w:rPr>
              <w:t>. No changes were recommended</w:t>
            </w:r>
            <w:r w:rsidRPr="00D17DC1">
              <w:rPr>
                <w:rFonts w:asciiTheme="minorHAnsi" w:hAnsiTheme="minorHAnsi" w:cstheme="minorHAnsi"/>
                <w:sz w:val="20"/>
                <w:szCs w:val="20"/>
              </w:rPr>
              <w:t>.</w:t>
            </w:r>
            <w:r w:rsidRPr="00D17DC1" w:rsidDel="0041004D">
              <w:rPr>
                <w:rFonts w:asciiTheme="minorHAnsi" w:hAnsiTheme="minorHAnsi" w:cstheme="minorHAnsi"/>
                <w:sz w:val="20"/>
                <w:szCs w:val="20"/>
              </w:rPr>
              <w:t xml:space="preserve"> </w:t>
            </w:r>
          </w:p>
        </w:tc>
      </w:tr>
      <w:tr w:rsidR="00D81E43" w14:paraId="10BFDF0A" w14:textId="77777777" w:rsidTr="00E731E4">
        <w:trPr>
          <w:cantSplit/>
          <w:trHeight w:val="570"/>
        </w:trPr>
        <w:tc>
          <w:tcPr>
            <w:tcW w:w="1116" w:type="pct"/>
            <w:vMerge/>
            <w:shd w:val="clear" w:color="auto" w:fill="D9E2F3" w:themeFill="accent5" w:themeFillTint="33"/>
          </w:tcPr>
          <w:p w14:paraId="50008893" w14:textId="77777777" w:rsidR="00D81E43" w:rsidRPr="005E2593" w:rsidRDefault="00D81E43" w:rsidP="005E2593">
            <w:pPr>
              <w:pStyle w:val="ListParagraph"/>
              <w:numPr>
                <w:ilvl w:val="0"/>
                <w:numId w:val="9"/>
              </w:numPr>
              <w:ind w:left="320"/>
              <w:rPr>
                <w:rFonts w:asciiTheme="minorHAnsi" w:hAnsiTheme="minorHAnsi" w:cstheme="minorHAnsi"/>
                <w:sz w:val="20"/>
                <w:szCs w:val="20"/>
              </w:rPr>
            </w:pPr>
          </w:p>
        </w:tc>
        <w:tc>
          <w:tcPr>
            <w:tcW w:w="1982" w:type="pct"/>
            <w:tcBorders>
              <w:top w:val="single" w:sz="4" w:space="0" w:color="auto"/>
              <w:bottom w:val="single" w:sz="4" w:space="0" w:color="auto"/>
            </w:tcBorders>
          </w:tcPr>
          <w:p w14:paraId="71F5B08B" w14:textId="6FD481A3" w:rsidR="00D81E43" w:rsidRPr="005E2593" w:rsidRDefault="00D81E43" w:rsidP="00520AE6">
            <w:pPr>
              <w:pStyle w:val="ListParagraph"/>
              <w:numPr>
                <w:ilvl w:val="0"/>
                <w:numId w:val="9"/>
              </w:numPr>
              <w:ind w:left="320"/>
              <w:rPr>
                <w:rFonts w:asciiTheme="minorHAnsi" w:hAnsiTheme="minorHAnsi" w:cstheme="minorHAnsi"/>
                <w:sz w:val="20"/>
                <w:szCs w:val="20"/>
              </w:rPr>
            </w:pPr>
            <w:r w:rsidRPr="005E2593">
              <w:rPr>
                <w:rFonts w:asciiTheme="minorHAnsi" w:hAnsiTheme="minorHAnsi" w:cstheme="minorHAnsi"/>
                <w:sz w:val="20"/>
                <w:szCs w:val="20"/>
              </w:rPr>
              <w:t>Reference that transformative health and medical research requires long-term collaborative research</w:t>
            </w:r>
            <w:r>
              <w:rPr>
                <w:rFonts w:asciiTheme="minorHAnsi" w:hAnsiTheme="minorHAnsi" w:cstheme="minorHAnsi"/>
                <w:sz w:val="20"/>
                <w:szCs w:val="20"/>
              </w:rPr>
              <w:t>.</w:t>
            </w:r>
          </w:p>
          <w:p w14:paraId="3F84462B" w14:textId="77777777" w:rsidR="00D81E43" w:rsidRPr="005E2593" w:rsidDel="002C6918" w:rsidRDefault="00D81E43" w:rsidP="005E2593">
            <w:pPr>
              <w:pStyle w:val="ListParagraph"/>
              <w:ind w:left="320"/>
              <w:rPr>
                <w:rFonts w:asciiTheme="minorHAnsi" w:hAnsiTheme="minorHAnsi" w:cstheme="minorHAnsi"/>
                <w:sz w:val="20"/>
                <w:szCs w:val="20"/>
              </w:rPr>
            </w:pPr>
          </w:p>
        </w:tc>
        <w:tc>
          <w:tcPr>
            <w:tcW w:w="1902" w:type="pct"/>
            <w:tcBorders>
              <w:top w:val="single" w:sz="4" w:space="0" w:color="auto"/>
              <w:bottom w:val="single" w:sz="4" w:space="0" w:color="auto"/>
            </w:tcBorders>
          </w:tcPr>
          <w:p w14:paraId="1AC2F658" w14:textId="4E105DD9" w:rsidR="00D81E43" w:rsidRDefault="00D81E43" w:rsidP="007576D2">
            <w:pPr>
              <w:pStyle w:val="ListParagraph"/>
              <w:numPr>
                <w:ilvl w:val="0"/>
                <w:numId w:val="9"/>
              </w:numPr>
              <w:ind w:left="320"/>
              <w:rPr>
                <w:rFonts w:asciiTheme="minorHAnsi" w:hAnsiTheme="minorHAnsi" w:cstheme="minorHAnsi"/>
                <w:sz w:val="20"/>
                <w:szCs w:val="20"/>
              </w:rPr>
            </w:pPr>
            <w:r>
              <w:rPr>
                <w:rFonts w:asciiTheme="minorHAnsi" w:hAnsiTheme="minorHAnsi" w:cstheme="minorHAnsi"/>
                <w:sz w:val="20"/>
                <w:szCs w:val="20"/>
              </w:rPr>
              <w:t xml:space="preserve">The Roadmap and Implementation Plan state that </w:t>
            </w:r>
            <w:r w:rsidRPr="00172547">
              <w:rPr>
                <w:rFonts w:asciiTheme="minorHAnsi" w:hAnsiTheme="minorHAnsi" w:cstheme="minorHAnsi"/>
                <w:sz w:val="20"/>
                <w:szCs w:val="20"/>
              </w:rPr>
              <w:t xml:space="preserve">long-term, collaborative and sustained research efforts </w:t>
            </w:r>
            <w:r>
              <w:rPr>
                <w:rFonts w:asciiTheme="minorHAnsi" w:hAnsiTheme="minorHAnsi" w:cstheme="minorHAnsi"/>
                <w:sz w:val="20"/>
                <w:szCs w:val="20"/>
              </w:rPr>
              <w:t>are needed to address the outlined challenges</w:t>
            </w:r>
            <w:r w:rsidRPr="00172547">
              <w:rPr>
                <w:rFonts w:asciiTheme="minorHAnsi" w:hAnsiTheme="minorHAnsi" w:cstheme="minorHAnsi"/>
                <w:sz w:val="20"/>
                <w:szCs w:val="20"/>
              </w:rPr>
              <w:t>.</w:t>
            </w:r>
          </w:p>
          <w:p w14:paraId="5084C67F" w14:textId="360673C7" w:rsidR="00D81E43" w:rsidRPr="007576D2" w:rsidDel="001511E2" w:rsidRDefault="00D81E43" w:rsidP="007576D2">
            <w:pPr>
              <w:pStyle w:val="ListParagraph"/>
              <w:numPr>
                <w:ilvl w:val="0"/>
                <w:numId w:val="9"/>
              </w:numPr>
              <w:ind w:left="320"/>
              <w:rPr>
                <w:rFonts w:asciiTheme="minorHAnsi" w:hAnsiTheme="minorHAnsi" w:cstheme="minorHAnsi"/>
                <w:sz w:val="20"/>
                <w:szCs w:val="20"/>
              </w:rPr>
            </w:pPr>
            <w:r>
              <w:rPr>
                <w:rFonts w:asciiTheme="minorHAnsi" w:hAnsiTheme="minorHAnsi" w:cstheme="minorHAnsi"/>
                <w:sz w:val="20"/>
                <w:szCs w:val="20"/>
              </w:rPr>
              <w:t xml:space="preserve">To further emphasise this, </w:t>
            </w:r>
            <w:r w:rsidRPr="00172547">
              <w:rPr>
                <w:rFonts w:asciiTheme="minorHAnsi" w:hAnsiTheme="minorHAnsi" w:cstheme="minorHAnsi"/>
                <w:sz w:val="20"/>
                <w:szCs w:val="20"/>
              </w:rPr>
              <w:t>several priorities</w:t>
            </w:r>
            <w:r>
              <w:rPr>
                <w:rFonts w:asciiTheme="minorHAnsi" w:hAnsiTheme="minorHAnsi" w:cstheme="minorHAnsi"/>
                <w:sz w:val="20"/>
                <w:szCs w:val="20"/>
              </w:rPr>
              <w:t xml:space="preserve"> in the Implementation Plan</w:t>
            </w:r>
            <w:r w:rsidRPr="00172547">
              <w:rPr>
                <w:rFonts w:asciiTheme="minorHAnsi" w:hAnsiTheme="minorHAnsi" w:cstheme="minorHAnsi"/>
                <w:sz w:val="20"/>
                <w:szCs w:val="20"/>
              </w:rPr>
              <w:t xml:space="preserve"> have been amended to make clear that there needs to be investment in large-scale multidisciplinary projects and consorti</w:t>
            </w:r>
            <w:r>
              <w:rPr>
                <w:rFonts w:asciiTheme="minorHAnsi" w:hAnsiTheme="minorHAnsi" w:cstheme="minorHAnsi"/>
                <w:sz w:val="20"/>
                <w:szCs w:val="20"/>
              </w:rPr>
              <w:t>a</w:t>
            </w:r>
            <w:r w:rsidRPr="00172547">
              <w:rPr>
                <w:rFonts w:asciiTheme="minorHAnsi" w:hAnsiTheme="minorHAnsi" w:cstheme="minorHAnsi"/>
                <w:sz w:val="20"/>
                <w:szCs w:val="20"/>
              </w:rPr>
              <w:t>.</w:t>
            </w:r>
          </w:p>
        </w:tc>
      </w:tr>
      <w:tr w:rsidR="00D81E43" w14:paraId="1A23C8F8" w14:textId="77777777" w:rsidTr="00E731E4">
        <w:trPr>
          <w:cantSplit/>
          <w:trHeight w:val="570"/>
        </w:trPr>
        <w:tc>
          <w:tcPr>
            <w:tcW w:w="1116" w:type="pct"/>
            <w:vMerge/>
            <w:shd w:val="clear" w:color="auto" w:fill="D9E2F3" w:themeFill="accent5" w:themeFillTint="33"/>
          </w:tcPr>
          <w:p w14:paraId="2BDC4180" w14:textId="77777777" w:rsidR="00D81E43" w:rsidRPr="00BA0175" w:rsidRDefault="00D81E43" w:rsidP="002C6918">
            <w:pPr>
              <w:spacing w:before="240"/>
              <w:rPr>
                <w:rFonts w:ascii="Calibri" w:hAnsi="Calibri" w:cs="Calibri"/>
                <w:b/>
              </w:rPr>
            </w:pPr>
          </w:p>
        </w:tc>
        <w:tc>
          <w:tcPr>
            <w:tcW w:w="1982" w:type="pct"/>
            <w:tcBorders>
              <w:top w:val="single" w:sz="4" w:space="0" w:color="auto"/>
              <w:bottom w:val="single" w:sz="4" w:space="0" w:color="auto"/>
            </w:tcBorders>
          </w:tcPr>
          <w:p w14:paraId="3BC98E30" w14:textId="4ACF4204" w:rsidR="00D81E43" w:rsidRPr="005E2593" w:rsidDel="002C6918" w:rsidRDefault="00D81E43" w:rsidP="005E2593">
            <w:pPr>
              <w:pStyle w:val="ListParagraph"/>
              <w:numPr>
                <w:ilvl w:val="0"/>
                <w:numId w:val="17"/>
              </w:numPr>
              <w:rPr>
                <w:rFonts w:cstheme="minorHAnsi"/>
                <w:sz w:val="20"/>
                <w:szCs w:val="20"/>
              </w:rPr>
            </w:pPr>
            <w:r w:rsidRPr="00AE46F7">
              <w:rPr>
                <w:rFonts w:asciiTheme="minorHAnsi" w:eastAsiaTheme="minorHAnsi" w:hAnsiTheme="minorHAnsi" w:cstheme="minorHAnsi"/>
                <w:sz w:val="20"/>
                <w:szCs w:val="20"/>
              </w:rPr>
              <w:t>Priority areas for investment need to have a cross-cutting approach that reflect system changes, rather than a focus on a specific disease or issue. It is essential the root cause of inequity is addressed in all areas and imbedded in the priority areas</w:t>
            </w:r>
            <w:r>
              <w:rPr>
                <w:rFonts w:asciiTheme="minorHAnsi" w:eastAsiaTheme="minorHAnsi" w:hAnsiTheme="minorHAnsi" w:cstheme="minorHAnsi"/>
                <w:sz w:val="20"/>
                <w:szCs w:val="20"/>
              </w:rPr>
              <w:t>.</w:t>
            </w:r>
          </w:p>
        </w:tc>
        <w:tc>
          <w:tcPr>
            <w:tcW w:w="1902" w:type="pct"/>
            <w:tcBorders>
              <w:top w:val="single" w:sz="4" w:space="0" w:color="auto"/>
              <w:bottom w:val="single" w:sz="4" w:space="0" w:color="auto"/>
            </w:tcBorders>
          </w:tcPr>
          <w:p w14:paraId="31A13E94" w14:textId="19C89962" w:rsidR="00D81E43" w:rsidRDefault="00D81E43" w:rsidP="007576D2">
            <w:pPr>
              <w:pStyle w:val="ListParagraph"/>
              <w:numPr>
                <w:ilvl w:val="0"/>
                <w:numId w:val="9"/>
              </w:numPr>
              <w:ind w:left="320"/>
              <w:rPr>
                <w:rFonts w:asciiTheme="minorHAnsi" w:hAnsiTheme="minorHAnsi" w:cstheme="minorHAnsi"/>
                <w:sz w:val="20"/>
                <w:szCs w:val="20"/>
              </w:rPr>
            </w:pPr>
            <w:r>
              <w:rPr>
                <w:rFonts w:asciiTheme="minorHAnsi" w:hAnsiTheme="minorHAnsi" w:cstheme="minorHAnsi"/>
                <w:sz w:val="20"/>
                <w:szCs w:val="20"/>
              </w:rPr>
              <w:t>The Panel agreed that given that this is a stated overarching objective of the fund and are the priorities within Aim 4: ‘</w:t>
            </w:r>
            <w:r w:rsidRPr="004A71DB">
              <w:rPr>
                <w:rFonts w:asciiTheme="minorHAnsi" w:hAnsiTheme="minorHAnsi" w:cstheme="minorHAnsi"/>
                <w:sz w:val="20"/>
                <w:szCs w:val="20"/>
              </w:rPr>
              <w:t>Address the root causes of inequality</w:t>
            </w:r>
            <w:r>
              <w:rPr>
                <w:rFonts w:asciiTheme="minorHAnsi" w:hAnsiTheme="minorHAnsi" w:cstheme="minorHAnsi"/>
                <w:sz w:val="20"/>
                <w:szCs w:val="20"/>
              </w:rPr>
              <w:t>’, that</w:t>
            </w:r>
            <w:r w:rsidRPr="00D17DC1">
              <w:rPr>
                <w:rFonts w:asciiTheme="minorHAnsi" w:hAnsiTheme="minorHAnsi" w:cstheme="minorHAnsi"/>
                <w:sz w:val="20"/>
                <w:szCs w:val="20"/>
              </w:rPr>
              <w:t xml:space="preserve"> no further additions were required.</w:t>
            </w:r>
          </w:p>
          <w:p w14:paraId="3E60943D" w14:textId="161B553A" w:rsidR="00D81E43" w:rsidRPr="005E2593" w:rsidDel="001511E2" w:rsidRDefault="00D81E43" w:rsidP="005E2593">
            <w:pPr>
              <w:rPr>
                <w:rFonts w:cstheme="minorHAnsi"/>
                <w:sz w:val="20"/>
                <w:szCs w:val="20"/>
              </w:rPr>
            </w:pPr>
          </w:p>
        </w:tc>
      </w:tr>
      <w:tr w:rsidR="00D81E43" w14:paraId="024DB933" w14:textId="77777777" w:rsidTr="00E731E4">
        <w:trPr>
          <w:cantSplit/>
          <w:trHeight w:val="570"/>
        </w:trPr>
        <w:tc>
          <w:tcPr>
            <w:tcW w:w="1116" w:type="pct"/>
            <w:vMerge/>
            <w:shd w:val="clear" w:color="auto" w:fill="D9E2F3" w:themeFill="accent5" w:themeFillTint="33"/>
          </w:tcPr>
          <w:p w14:paraId="18C0A8F9" w14:textId="77777777" w:rsidR="00D81E43" w:rsidRPr="00BA0175" w:rsidRDefault="00D81E43" w:rsidP="002C6918">
            <w:pPr>
              <w:spacing w:before="240"/>
              <w:rPr>
                <w:rFonts w:ascii="Calibri" w:hAnsi="Calibri" w:cs="Calibri"/>
                <w:b/>
              </w:rPr>
            </w:pPr>
          </w:p>
        </w:tc>
        <w:tc>
          <w:tcPr>
            <w:tcW w:w="1982" w:type="pct"/>
            <w:tcBorders>
              <w:top w:val="single" w:sz="4" w:space="0" w:color="auto"/>
              <w:bottom w:val="single" w:sz="4" w:space="0" w:color="auto"/>
            </w:tcBorders>
          </w:tcPr>
          <w:p w14:paraId="321F2842" w14:textId="0C248379" w:rsidR="00D81E43" w:rsidRPr="005E2593" w:rsidRDefault="00D81E43" w:rsidP="005E2593">
            <w:pPr>
              <w:pStyle w:val="ListParagraph"/>
              <w:numPr>
                <w:ilvl w:val="0"/>
                <w:numId w:val="9"/>
              </w:numPr>
              <w:ind w:left="320"/>
              <w:rPr>
                <w:rFonts w:cstheme="minorHAnsi"/>
                <w:sz w:val="20"/>
                <w:szCs w:val="20"/>
              </w:rPr>
            </w:pPr>
            <w:r w:rsidRPr="005E2593">
              <w:rPr>
                <w:rFonts w:asciiTheme="minorHAnsi" w:hAnsiTheme="minorHAnsi" w:cstheme="minorHAnsi"/>
                <w:sz w:val="20"/>
                <w:szCs w:val="20"/>
              </w:rPr>
              <w:t>Ensure that the issues of data sovereignty are considered</w:t>
            </w:r>
            <w:r>
              <w:rPr>
                <w:rFonts w:asciiTheme="minorHAnsi" w:hAnsiTheme="minorHAnsi" w:cstheme="minorHAnsi"/>
                <w:sz w:val="20"/>
                <w:szCs w:val="20"/>
              </w:rPr>
              <w:t>.</w:t>
            </w:r>
          </w:p>
        </w:tc>
        <w:tc>
          <w:tcPr>
            <w:tcW w:w="1902" w:type="pct"/>
            <w:tcBorders>
              <w:top w:val="single" w:sz="4" w:space="0" w:color="auto"/>
              <w:bottom w:val="single" w:sz="4" w:space="0" w:color="auto"/>
            </w:tcBorders>
          </w:tcPr>
          <w:p w14:paraId="39D506AD" w14:textId="77777777" w:rsidR="00D81E43" w:rsidRDefault="00D81E43" w:rsidP="007576D2">
            <w:pPr>
              <w:pStyle w:val="ListParagraph"/>
              <w:numPr>
                <w:ilvl w:val="0"/>
                <w:numId w:val="9"/>
              </w:numPr>
              <w:ind w:left="320"/>
              <w:rPr>
                <w:rFonts w:asciiTheme="minorHAnsi" w:hAnsiTheme="minorHAnsi" w:cstheme="minorHAnsi"/>
                <w:sz w:val="20"/>
                <w:szCs w:val="20"/>
              </w:rPr>
            </w:pPr>
            <w:r>
              <w:rPr>
                <w:rFonts w:asciiTheme="minorHAnsi" w:hAnsiTheme="minorHAnsi" w:cstheme="minorHAnsi"/>
                <w:sz w:val="20"/>
                <w:szCs w:val="20"/>
              </w:rPr>
              <w:t xml:space="preserve">The Roadmap lists </w:t>
            </w:r>
            <w:r w:rsidRPr="008071FB">
              <w:rPr>
                <w:rFonts w:asciiTheme="minorHAnsi" w:hAnsiTheme="minorHAnsi" w:cstheme="minorHAnsi"/>
                <w:sz w:val="20"/>
                <w:szCs w:val="20"/>
              </w:rPr>
              <w:t>Indigenous data sovereignty and governance</w:t>
            </w:r>
            <w:r>
              <w:rPr>
                <w:rFonts w:asciiTheme="minorHAnsi" w:hAnsiTheme="minorHAnsi" w:cstheme="minorHAnsi"/>
                <w:sz w:val="20"/>
                <w:szCs w:val="20"/>
              </w:rPr>
              <w:t xml:space="preserve"> as an enabling priority of the fund.</w:t>
            </w:r>
          </w:p>
          <w:p w14:paraId="7058309C" w14:textId="28A8300E" w:rsidR="00D81E43" w:rsidRPr="007576D2" w:rsidDel="0041004D" w:rsidRDefault="00D81E43" w:rsidP="007576D2">
            <w:pPr>
              <w:pStyle w:val="ListParagraph"/>
              <w:numPr>
                <w:ilvl w:val="0"/>
                <w:numId w:val="9"/>
              </w:numPr>
              <w:ind w:left="320"/>
              <w:rPr>
                <w:rFonts w:asciiTheme="minorHAnsi" w:hAnsiTheme="minorHAnsi" w:cstheme="minorHAnsi"/>
                <w:sz w:val="20"/>
                <w:szCs w:val="20"/>
              </w:rPr>
            </w:pPr>
            <w:r>
              <w:rPr>
                <w:rFonts w:asciiTheme="minorHAnsi" w:hAnsiTheme="minorHAnsi" w:cstheme="minorHAnsi"/>
                <w:sz w:val="20"/>
                <w:szCs w:val="20"/>
              </w:rPr>
              <w:t xml:space="preserve">To further emphasise this, the Roadmap and Implementation Plan were amended to align with the </w:t>
            </w:r>
            <w:r w:rsidRPr="00EB2811">
              <w:rPr>
                <w:rFonts w:asciiTheme="minorHAnsi" w:hAnsiTheme="minorHAnsi" w:cstheme="minorHAnsi"/>
                <w:sz w:val="20"/>
                <w:szCs w:val="20"/>
              </w:rPr>
              <w:t xml:space="preserve">National Agreement on Closing the Gap </w:t>
            </w:r>
            <w:r>
              <w:rPr>
                <w:rFonts w:asciiTheme="minorHAnsi" w:hAnsiTheme="minorHAnsi" w:cstheme="minorHAnsi"/>
                <w:sz w:val="20"/>
                <w:szCs w:val="20"/>
              </w:rPr>
              <w:t xml:space="preserve">and its emphasis on </w:t>
            </w:r>
            <w:r w:rsidRPr="009D3D9E">
              <w:rPr>
                <w:rFonts w:asciiTheme="minorHAnsi" w:hAnsiTheme="minorHAnsi" w:cstheme="minorHAnsi"/>
                <w:sz w:val="20"/>
                <w:szCs w:val="20"/>
              </w:rPr>
              <w:t>Aboriginal and Torres Strait Islander Data governance</w:t>
            </w:r>
            <w:r>
              <w:rPr>
                <w:rFonts w:asciiTheme="minorHAnsi" w:hAnsiTheme="minorHAnsi" w:cstheme="minorHAnsi"/>
                <w:sz w:val="20"/>
                <w:szCs w:val="20"/>
              </w:rPr>
              <w:t>.</w:t>
            </w:r>
          </w:p>
        </w:tc>
      </w:tr>
      <w:tr w:rsidR="00D81E43" w14:paraId="1C7574DF" w14:textId="77777777" w:rsidTr="00E731E4">
        <w:trPr>
          <w:cantSplit/>
          <w:trHeight w:val="570"/>
        </w:trPr>
        <w:tc>
          <w:tcPr>
            <w:tcW w:w="1116" w:type="pct"/>
            <w:vMerge/>
            <w:shd w:val="clear" w:color="auto" w:fill="D9E2F3" w:themeFill="accent5" w:themeFillTint="33"/>
          </w:tcPr>
          <w:p w14:paraId="0E5F9CBA" w14:textId="77777777" w:rsidR="00D81E43" w:rsidRPr="00BA0175" w:rsidRDefault="00D81E43" w:rsidP="002C6918">
            <w:pPr>
              <w:spacing w:before="240"/>
              <w:rPr>
                <w:rFonts w:ascii="Calibri" w:hAnsi="Calibri" w:cs="Calibri"/>
                <w:b/>
              </w:rPr>
            </w:pPr>
          </w:p>
        </w:tc>
        <w:tc>
          <w:tcPr>
            <w:tcW w:w="1982" w:type="pct"/>
            <w:tcBorders>
              <w:top w:val="single" w:sz="4" w:space="0" w:color="auto"/>
              <w:bottom w:val="single" w:sz="4" w:space="0" w:color="auto"/>
            </w:tcBorders>
          </w:tcPr>
          <w:p w14:paraId="050C5288" w14:textId="030D74E0" w:rsidR="00D81E43" w:rsidRPr="005E2593" w:rsidRDefault="00D81E43" w:rsidP="005E2593">
            <w:pPr>
              <w:pStyle w:val="ListParagraph"/>
              <w:numPr>
                <w:ilvl w:val="0"/>
                <w:numId w:val="9"/>
              </w:numPr>
              <w:ind w:left="320"/>
              <w:rPr>
                <w:rFonts w:cstheme="minorHAnsi"/>
                <w:sz w:val="20"/>
                <w:szCs w:val="20"/>
              </w:rPr>
            </w:pPr>
            <w:r w:rsidRPr="005E2593">
              <w:rPr>
                <w:rFonts w:asciiTheme="minorHAnsi" w:hAnsiTheme="minorHAnsi" w:cstheme="minorHAnsi"/>
                <w:sz w:val="20"/>
                <w:szCs w:val="20"/>
              </w:rPr>
              <w:t xml:space="preserve">Greater clarity that the fund will facilitate truly community-led research </w:t>
            </w:r>
            <w:r>
              <w:rPr>
                <w:rFonts w:asciiTheme="minorHAnsi" w:hAnsiTheme="minorHAnsi" w:cstheme="minorHAnsi"/>
                <w:sz w:val="20"/>
                <w:szCs w:val="20"/>
              </w:rPr>
              <w:t>and</w:t>
            </w:r>
            <w:r w:rsidRPr="005E2593">
              <w:rPr>
                <w:rFonts w:asciiTheme="minorHAnsi" w:hAnsiTheme="minorHAnsi" w:cstheme="minorHAnsi"/>
                <w:sz w:val="20"/>
                <w:szCs w:val="20"/>
              </w:rPr>
              <w:t xml:space="preserve"> demonstrable involvement with, input from, co-design and true partnerships with Aboriginal and Torres Strait Islander people communities and community-controlled health services</w:t>
            </w:r>
            <w:r>
              <w:rPr>
                <w:rFonts w:asciiTheme="minorHAnsi" w:hAnsiTheme="minorHAnsi" w:cstheme="minorHAnsi"/>
                <w:sz w:val="20"/>
                <w:szCs w:val="20"/>
              </w:rPr>
              <w:t>.</w:t>
            </w:r>
          </w:p>
        </w:tc>
        <w:tc>
          <w:tcPr>
            <w:tcW w:w="1902" w:type="pct"/>
            <w:tcBorders>
              <w:top w:val="single" w:sz="4" w:space="0" w:color="auto"/>
              <w:bottom w:val="single" w:sz="4" w:space="0" w:color="auto"/>
            </w:tcBorders>
          </w:tcPr>
          <w:p w14:paraId="33245D87" w14:textId="664AA21D" w:rsidR="00D81E43" w:rsidRDefault="00D81E43" w:rsidP="00087515">
            <w:pPr>
              <w:pStyle w:val="ListParagraph"/>
              <w:numPr>
                <w:ilvl w:val="0"/>
                <w:numId w:val="9"/>
              </w:numPr>
              <w:ind w:left="320"/>
              <w:rPr>
                <w:rFonts w:asciiTheme="minorHAnsi" w:hAnsiTheme="minorHAnsi" w:cstheme="minorHAnsi"/>
                <w:sz w:val="20"/>
                <w:szCs w:val="20"/>
              </w:rPr>
            </w:pPr>
            <w:r w:rsidRPr="005E2593">
              <w:rPr>
                <w:rFonts w:asciiTheme="minorHAnsi" w:hAnsiTheme="minorHAnsi" w:cstheme="minorHAnsi"/>
                <w:sz w:val="20"/>
                <w:szCs w:val="20"/>
              </w:rPr>
              <w:t xml:space="preserve">The Roadmap was amended to include an additional </w:t>
            </w:r>
            <w:r>
              <w:rPr>
                <w:rFonts w:asciiTheme="minorHAnsi" w:hAnsiTheme="minorHAnsi" w:cstheme="minorHAnsi"/>
                <w:sz w:val="20"/>
                <w:szCs w:val="20"/>
              </w:rPr>
              <w:t xml:space="preserve">overarching </w:t>
            </w:r>
            <w:r w:rsidRPr="005E2593">
              <w:rPr>
                <w:rFonts w:asciiTheme="minorHAnsi" w:hAnsiTheme="minorHAnsi" w:cstheme="minorHAnsi"/>
                <w:sz w:val="20"/>
                <w:szCs w:val="20"/>
              </w:rPr>
              <w:t>focus of facilitating involvement in, leadership of, input from and co-design with Aboriginal and Torres Strait Islander people and communities</w:t>
            </w:r>
            <w:r>
              <w:rPr>
                <w:rFonts w:asciiTheme="minorHAnsi" w:hAnsiTheme="minorHAnsi" w:cstheme="minorHAnsi"/>
                <w:sz w:val="20"/>
                <w:szCs w:val="20"/>
              </w:rPr>
              <w:t>.</w:t>
            </w:r>
          </w:p>
          <w:p w14:paraId="24D6C180" w14:textId="7F9BE81F" w:rsidR="00D81E43" w:rsidRDefault="00D81E43" w:rsidP="00087515">
            <w:pPr>
              <w:pStyle w:val="ListParagraph"/>
              <w:numPr>
                <w:ilvl w:val="0"/>
                <w:numId w:val="9"/>
              </w:numPr>
              <w:ind w:left="320"/>
              <w:rPr>
                <w:rFonts w:asciiTheme="minorHAnsi" w:hAnsiTheme="minorHAnsi" w:cstheme="minorHAnsi"/>
                <w:sz w:val="20"/>
                <w:szCs w:val="20"/>
              </w:rPr>
            </w:pPr>
            <w:r>
              <w:rPr>
                <w:rFonts w:asciiTheme="minorHAnsi" w:hAnsiTheme="minorHAnsi" w:cstheme="minorHAnsi"/>
                <w:sz w:val="20"/>
                <w:szCs w:val="20"/>
              </w:rPr>
              <w:t xml:space="preserve">A number of priorities have also been amended to include a focus of the community-control health services and community involvement. </w:t>
            </w:r>
          </w:p>
          <w:p w14:paraId="44C6DF68" w14:textId="31FBA81B" w:rsidR="00D81E43" w:rsidRPr="005E2593" w:rsidDel="0041004D" w:rsidRDefault="00D81E43" w:rsidP="00CF444D">
            <w:pPr>
              <w:pStyle w:val="ListParagraph"/>
              <w:numPr>
                <w:ilvl w:val="0"/>
                <w:numId w:val="9"/>
              </w:numPr>
              <w:ind w:left="320"/>
              <w:rPr>
                <w:rFonts w:asciiTheme="minorHAnsi" w:hAnsiTheme="minorHAnsi" w:cstheme="minorHAnsi"/>
                <w:sz w:val="20"/>
                <w:szCs w:val="20"/>
              </w:rPr>
            </w:pPr>
            <w:r>
              <w:rPr>
                <w:rFonts w:asciiTheme="minorHAnsi" w:hAnsiTheme="minorHAnsi" w:cstheme="minorHAnsi"/>
                <w:sz w:val="20"/>
                <w:szCs w:val="20"/>
              </w:rPr>
              <w:t xml:space="preserve">The Roadmap and Implementation Plan were amended to align with the </w:t>
            </w:r>
            <w:r w:rsidRPr="00EB2811">
              <w:rPr>
                <w:rFonts w:asciiTheme="minorHAnsi" w:hAnsiTheme="minorHAnsi" w:cstheme="minorHAnsi"/>
                <w:sz w:val="20"/>
                <w:szCs w:val="20"/>
              </w:rPr>
              <w:t xml:space="preserve">National Agreement on Closing the Gap </w:t>
            </w:r>
            <w:r>
              <w:rPr>
                <w:rFonts w:asciiTheme="minorHAnsi" w:hAnsiTheme="minorHAnsi" w:cstheme="minorHAnsi"/>
                <w:sz w:val="20"/>
                <w:szCs w:val="20"/>
              </w:rPr>
              <w:t>and its emphasis on</w:t>
            </w:r>
            <w:r w:rsidR="005B4763">
              <w:rPr>
                <w:rFonts w:asciiTheme="minorHAnsi" w:hAnsiTheme="minorHAnsi" w:cstheme="minorHAnsi"/>
                <w:sz w:val="20"/>
                <w:szCs w:val="20"/>
              </w:rPr>
              <w:t xml:space="preserve"> </w:t>
            </w:r>
            <w:r w:rsidRPr="00EB2811">
              <w:rPr>
                <w:rFonts w:asciiTheme="minorHAnsi" w:hAnsiTheme="minorHAnsi" w:cstheme="minorHAnsi"/>
                <w:sz w:val="20"/>
                <w:szCs w:val="20"/>
              </w:rPr>
              <w:t>the importance of Shared Decision Making</w:t>
            </w:r>
            <w:r>
              <w:rPr>
                <w:rFonts w:asciiTheme="minorHAnsi" w:hAnsiTheme="minorHAnsi" w:cstheme="minorHAnsi"/>
                <w:sz w:val="20"/>
                <w:szCs w:val="20"/>
              </w:rPr>
              <w:t xml:space="preserve"> and</w:t>
            </w:r>
            <w:r w:rsidRPr="00EB2811">
              <w:rPr>
                <w:rFonts w:asciiTheme="minorHAnsi" w:hAnsiTheme="minorHAnsi" w:cstheme="minorHAnsi"/>
                <w:sz w:val="20"/>
                <w:szCs w:val="20"/>
              </w:rPr>
              <w:t xml:space="preserve"> Building the Community Controlled Sector</w:t>
            </w:r>
            <w:r>
              <w:rPr>
                <w:rFonts w:asciiTheme="minorHAnsi" w:hAnsiTheme="minorHAnsi" w:cstheme="minorHAnsi"/>
                <w:sz w:val="20"/>
                <w:szCs w:val="20"/>
              </w:rPr>
              <w:t xml:space="preserve">. </w:t>
            </w:r>
          </w:p>
        </w:tc>
      </w:tr>
      <w:tr w:rsidR="00D81E43" w14:paraId="5561E11F" w14:textId="77777777" w:rsidTr="00E731E4">
        <w:trPr>
          <w:cantSplit/>
          <w:trHeight w:val="570"/>
        </w:trPr>
        <w:tc>
          <w:tcPr>
            <w:tcW w:w="1116" w:type="pct"/>
            <w:vMerge/>
            <w:shd w:val="clear" w:color="auto" w:fill="D9E2F3" w:themeFill="accent5" w:themeFillTint="33"/>
          </w:tcPr>
          <w:p w14:paraId="3654BD37" w14:textId="77777777" w:rsidR="00D81E43" w:rsidRPr="00BA0175" w:rsidRDefault="00D81E43" w:rsidP="002C6918">
            <w:pPr>
              <w:spacing w:before="240"/>
              <w:rPr>
                <w:rFonts w:ascii="Calibri" w:hAnsi="Calibri" w:cs="Calibri"/>
                <w:b/>
              </w:rPr>
            </w:pPr>
          </w:p>
        </w:tc>
        <w:tc>
          <w:tcPr>
            <w:tcW w:w="1982" w:type="pct"/>
            <w:tcBorders>
              <w:top w:val="single" w:sz="4" w:space="0" w:color="auto"/>
              <w:bottom w:val="single" w:sz="4" w:space="0" w:color="auto"/>
            </w:tcBorders>
          </w:tcPr>
          <w:p w14:paraId="144FE451" w14:textId="2F624545" w:rsidR="00D81E43" w:rsidRDefault="005B4763" w:rsidP="00A300CA">
            <w:pPr>
              <w:spacing w:after="0"/>
              <w:rPr>
                <w:rFonts w:cstheme="minorHAnsi"/>
                <w:sz w:val="20"/>
                <w:szCs w:val="20"/>
              </w:rPr>
            </w:pPr>
            <w:r w:rsidRPr="005E47B8">
              <w:rPr>
                <w:rFonts w:cstheme="minorHAnsi"/>
                <w:sz w:val="20"/>
                <w:szCs w:val="20"/>
              </w:rPr>
              <w:t>A number of specific areas were suggested for funding</w:t>
            </w:r>
            <w:r>
              <w:rPr>
                <w:rFonts w:cstheme="minorHAnsi"/>
                <w:sz w:val="20"/>
                <w:szCs w:val="20"/>
              </w:rPr>
              <w:t xml:space="preserve"> </w:t>
            </w:r>
            <w:r w:rsidRPr="005E47B8">
              <w:rPr>
                <w:rFonts w:cstheme="minorHAnsi"/>
                <w:sz w:val="20"/>
                <w:szCs w:val="20"/>
              </w:rPr>
              <w:t>including</w:t>
            </w:r>
            <w:r>
              <w:rPr>
                <w:rFonts w:cstheme="minorHAnsi"/>
                <w:sz w:val="20"/>
                <w:szCs w:val="20"/>
              </w:rPr>
              <w:t>:</w:t>
            </w:r>
          </w:p>
          <w:p w14:paraId="410FAC30" w14:textId="6BD2E2B3" w:rsidR="00D81E43" w:rsidRPr="00E731E4" w:rsidRDefault="00D81E43" w:rsidP="00E731E4">
            <w:pPr>
              <w:pStyle w:val="ListParagraph"/>
              <w:numPr>
                <w:ilvl w:val="0"/>
                <w:numId w:val="19"/>
              </w:numPr>
              <w:rPr>
                <w:rFonts w:asciiTheme="minorHAnsi" w:hAnsiTheme="minorHAnsi" w:cstheme="minorHAnsi"/>
                <w:sz w:val="20"/>
                <w:szCs w:val="20"/>
              </w:rPr>
            </w:pPr>
            <w:r w:rsidRPr="005E2593">
              <w:rPr>
                <w:rFonts w:asciiTheme="minorHAnsi" w:hAnsiTheme="minorHAnsi" w:cstheme="minorHAnsi"/>
                <w:sz w:val="20"/>
                <w:szCs w:val="20"/>
              </w:rPr>
              <w:t>Blindness prevention</w:t>
            </w:r>
          </w:p>
          <w:p w14:paraId="114D90F2" w14:textId="77777777" w:rsidR="00D81E43" w:rsidRPr="00E731E4" w:rsidRDefault="00D81E43" w:rsidP="00E731E4">
            <w:pPr>
              <w:pStyle w:val="ListParagraph"/>
              <w:numPr>
                <w:ilvl w:val="0"/>
                <w:numId w:val="19"/>
              </w:numPr>
              <w:rPr>
                <w:rFonts w:asciiTheme="minorHAnsi" w:hAnsiTheme="minorHAnsi" w:cstheme="minorHAnsi"/>
                <w:sz w:val="20"/>
                <w:szCs w:val="20"/>
              </w:rPr>
            </w:pPr>
            <w:r w:rsidRPr="005E2593">
              <w:rPr>
                <w:rFonts w:asciiTheme="minorHAnsi" w:hAnsiTheme="minorHAnsi" w:cstheme="minorHAnsi"/>
                <w:sz w:val="20"/>
                <w:szCs w:val="20"/>
              </w:rPr>
              <w:t>Liver disease and liver cancer</w:t>
            </w:r>
          </w:p>
          <w:p w14:paraId="67BE4FC8" w14:textId="77777777" w:rsidR="00D81E43" w:rsidRPr="00E731E4" w:rsidRDefault="00D81E43" w:rsidP="00E731E4">
            <w:pPr>
              <w:pStyle w:val="ListParagraph"/>
              <w:numPr>
                <w:ilvl w:val="0"/>
                <w:numId w:val="19"/>
              </w:numPr>
              <w:rPr>
                <w:rFonts w:asciiTheme="minorHAnsi" w:hAnsiTheme="minorHAnsi" w:cstheme="minorHAnsi"/>
                <w:sz w:val="20"/>
                <w:szCs w:val="20"/>
              </w:rPr>
            </w:pPr>
            <w:r w:rsidRPr="005E2593">
              <w:rPr>
                <w:rFonts w:asciiTheme="minorHAnsi" w:hAnsiTheme="minorHAnsi" w:cstheme="minorHAnsi"/>
                <w:sz w:val="20"/>
                <w:szCs w:val="20"/>
              </w:rPr>
              <w:t xml:space="preserve">Incontinence </w:t>
            </w:r>
          </w:p>
          <w:p w14:paraId="0B078A85" w14:textId="217884B3" w:rsidR="00D81E43" w:rsidRPr="00E731E4" w:rsidRDefault="00D81E43" w:rsidP="00E731E4">
            <w:pPr>
              <w:pStyle w:val="ListParagraph"/>
              <w:numPr>
                <w:ilvl w:val="0"/>
                <w:numId w:val="19"/>
              </w:numPr>
              <w:rPr>
                <w:rFonts w:asciiTheme="minorHAnsi" w:hAnsiTheme="minorHAnsi" w:cstheme="minorHAnsi"/>
                <w:sz w:val="20"/>
                <w:szCs w:val="20"/>
              </w:rPr>
            </w:pPr>
            <w:r w:rsidRPr="005E2593">
              <w:rPr>
                <w:rFonts w:asciiTheme="minorHAnsi" w:hAnsiTheme="minorHAnsi" w:cstheme="minorHAnsi"/>
                <w:sz w:val="20"/>
                <w:szCs w:val="20"/>
              </w:rPr>
              <w:t>Social and emotional wellbeing</w:t>
            </w:r>
          </w:p>
          <w:p w14:paraId="27878931" w14:textId="0F30A2CF" w:rsidR="00D81E43" w:rsidRPr="00E731E4" w:rsidRDefault="00D81E43" w:rsidP="00E731E4">
            <w:pPr>
              <w:pStyle w:val="ListParagraph"/>
              <w:numPr>
                <w:ilvl w:val="0"/>
                <w:numId w:val="19"/>
              </w:numPr>
              <w:rPr>
                <w:rFonts w:asciiTheme="minorHAnsi" w:hAnsiTheme="minorHAnsi" w:cstheme="minorHAnsi"/>
                <w:sz w:val="20"/>
                <w:szCs w:val="20"/>
              </w:rPr>
            </w:pPr>
            <w:r w:rsidRPr="005E2593">
              <w:rPr>
                <w:rFonts w:asciiTheme="minorHAnsi" w:hAnsiTheme="minorHAnsi" w:cstheme="minorHAnsi"/>
                <w:sz w:val="20"/>
                <w:szCs w:val="20"/>
              </w:rPr>
              <w:t>Mental health</w:t>
            </w:r>
          </w:p>
          <w:p w14:paraId="271944D3" w14:textId="77777777" w:rsidR="00D81E43" w:rsidRPr="00E731E4" w:rsidRDefault="00D81E43" w:rsidP="00E731E4">
            <w:pPr>
              <w:pStyle w:val="ListParagraph"/>
              <w:numPr>
                <w:ilvl w:val="0"/>
                <w:numId w:val="19"/>
              </w:numPr>
              <w:rPr>
                <w:rFonts w:asciiTheme="minorHAnsi" w:hAnsiTheme="minorHAnsi" w:cstheme="minorHAnsi"/>
                <w:sz w:val="20"/>
                <w:szCs w:val="20"/>
              </w:rPr>
            </w:pPr>
            <w:r w:rsidRPr="005E2593">
              <w:rPr>
                <w:rFonts w:asciiTheme="minorHAnsi" w:hAnsiTheme="minorHAnsi" w:cstheme="minorHAnsi"/>
                <w:sz w:val="20"/>
                <w:szCs w:val="20"/>
              </w:rPr>
              <w:t>Preventing spread of infectious diseases (STIs, respiratory viruses, including COVID-19)</w:t>
            </w:r>
          </w:p>
          <w:p w14:paraId="3B59C225" w14:textId="3800939D" w:rsidR="00D81E43" w:rsidRPr="00E731E4" w:rsidRDefault="00D81E43" w:rsidP="00E731E4">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C</w:t>
            </w:r>
            <w:r w:rsidRPr="005E2593">
              <w:rPr>
                <w:rFonts w:asciiTheme="minorHAnsi" w:hAnsiTheme="minorHAnsi" w:cstheme="minorHAnsi"/>
                <w:sz w:val="20"/>
                <w:szCs w:val="20"/>
              </w:rPr>
              <w:t>hronic diabetes</w:t>
            </w:r>
          </w:p>
          <w:p w14:paraId="642DD1D4" w14:textId="77777777" w:rsidR="00D81E43" w:rsidRPr="005E2593" w:rsidRDefault="00D81E43" w:rsidP="00E731E4">
            <w:pPr>
              <w:pStyle w:val="ListParagraph"/>
              <w:numPr>
                <w:ilvl w:val="0"/>
                <w:numId w:val="19"/>
              </w:numPr>
              <w:rPr>
                <w:rFonts w:asciiTheme="minorHAnsi" w:hAnsiTheme="minorHAnsi" w:cstheme="minorHAnsi"/>
                <w:sz w:val="20"/>
                <w:szCs w:val="20"/>
              </w:rPr>
            </w:pPr>
            <w:r w:rsidRPr="005E2593">
              <w:rPr>
                <w:rFonts w:asciiTheme="minorHAnsi" w:hAnsiTheme="minorHAnsi" w:cstheme="minorHAnsi"/>
                <w:sz w:val="20"/>
                <w:szCs w:val="20"/>
              </w:rPr>
              <w:t>Enhancing Aboriginal and/or Torres Strait Islander communities response to medical emergencies, including providing first responder support</w:t>
            </w:r>
          </w:p>
          <w:p w14:paraId="4CD79957" w14:textId="77777777" w:rsidR="00D81E43" w:rsidRPr="005E2593" w:rsidRDefault="00D81E43" w:rsidP="00E731E4">
            <w:pPr>
              <w:pStyle w:val="ListParagraph"/>
              <w:numPr>
                <w:ilvl w:val="0"/>
                <w:numId w:val="19"/>
              </w:numPr>
              <w:rPr>
                <w:rFonts w:asciiTheme="minorHAnsi" w:hAnsiTheme="minorHAnsi" w:cstheme="minorHAnsi"/>
                <w:sz w:val="20"/>
                <w:szCs w:val="20"/>
              </w:rPr>
            </w:pPr>
            <w:r w:rsidRPr="005E2593">
              <w:rPr>
                <w:rFonts w:asciiTheme="minorHAnsi" w:hAnsiTheme="minorHAnsi" w:cstheme="minorHAnsi"/>
                <w:sz w:val="20"/>
                <w:szCs w:val="20"/>
              </w:rPr>
              <w:t>Research to identify relevant clinical imaging resources to support translational research – and build Aboriginal and Torres Strait Islander capacity in this area</w:t>
            </w:r>
          </w:p>
          <w:p w14:paraId="6BEBB0DB" w14:textId="74618705" w:rsidR="00D81E43" w:rsidRPr="005E2593" w:rsidDel="002C6918" w:rsidRDefault="00D81E43" w:rsidP="00E731E4">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R</w:t>
            </w:r>
            <w:r w:rsidRPr="005E2593">
              <w:rPr>
                <w:rFonts w:asciiTheme="minorHAnsi" w:hAnsiTheme="minorHAnsi" w:cstheme="minorHAnsi"/>
                <w:sz w:val="20"/>
                <w:szCs w:val="20"/>
              </w:rPr>
              <w:t>educing pre-term births, improving food security for children, and reducing acute and chronic infections in young children</w:t>
            </w:r>
            <w:r>
              <w:rPr>
                <w:rFonts w:asciiTheme="minorHAnsi" w:hAnsiTheme="minorHAnsi" w:cstheme="minorHAnsi"/>
                <w:sz w:val="20"/>
                <w:szCs w:val="20"/>
              </w:rPr>
              <w:t>.</w:t>
            </w:r>
          </w:p>
        </w:tc>
        <w:tc>
          <w:tcPr>
            <w:tcW w:w="1902" w:type="pct"/>
            <w:tcBorders>
              <w:top w:val="single" w:sz="4" w:space="0" w:color="auto"/>
              <w:bottom w:val="single" w:sz="4" w:space="0" w:color="auto"/>
            </w:tcBorders>
          </w:tcPr>
          <w:p w14:paraId="4BECC582" w14:textId="31928CB5" w:rsidR="00D81E43" w:rsidRPr="005E2593" w:rsidDel="001511E2" w:rsidRDefault="00D81E43">
            <w:pPr>
              <w:pStyle w:val="ListParagraph"/>
              <w:numPr>
                <w:ilvl w:val="0"/>
                <w:numId w:val="9"/>
              </w:numPr>
              <w:rPr>
                <w:rFonts w:cstheme="minorHAnsi"/>
                <w:sz w:val="20"/>
                <w:szCs w:val="20"/>
              </w:rPr>
            </w:pPr>
            <w:r w:rsidRPr="005E2593">
              <w:rPr>
                <w:rFonts w:asciiTheme="minorHAnsi" w:hAnsiTheme="minorHAnsi" w:cstheme="minorHAnsi"/>
                <w:sz w:val="20"/>
                <w:szCs w:val="20"/>
              </w:rPr>
              <w:t>The Panel agreed that there will be no barrier to funding these specific areas (or others) as long as they are relevant to a grant opportunity</w:t>
            </w:r>
            <w:r>
              <w:rPr>
                <w:rFonts w:asciiTheme="minorHAnsi" w:hAnsiTheme="minorHAnsi" w:cstheme="minorHAnsi"/>
                <w:sz w:val="20"/>
                <w:szCs w:val="20"/>
              </w:rPr>
              <w:t>.</w:t>
            </w:r>
          </w:p>
        </w:tc>
      </w:tr>
      <w:tr w:rsidR="00D81E43" w14:paraId="2D0580CB" w14:textId="77777777" w:rsidTr="00E731E4">
        <w:trPr>
          <w:cantSplit/>
          <w:trHeight w:val="570"/>
        </w:trPr>
        <w:tc>
          <w:tcPr>
            <w:tcW w:w="1116" w:type="pct"/>
            <w:vMerge/>
            <w:shd w:val="clear" w:color="auto" w:fill="D9E2F3" w:themeFill="accent5" w:themeFillTint="33"/>
          </w:tcPr>
          <w:p w14:paraId="0335D989" w14:textId="77777777" w:rsidR="00D81E43" w:rsidRPr="00BA0175" w:rsidRDefault="00D81E43" w:rsidP="002C6918">
            <w:pPr>
              <w:spacing w:before="240"/>
              <w:rPr>
                <w:rFonts w:ascii="Calibri" w:hAnsi="Calibri" w:cs="Calibri"/>
                <w:b/>
              </w:rPr>
            </w:pPr>
          </w:p>
        </w:tc>
        <w:tc>
          <w:tcPr>
            <w:tcW w:w="1982" w:type="pct"/>
            <w:tcBorders>
              <w:top w:val="single" w:sz="4" w:space="0" w:color="auto"/>
              <w:bottom w:val="single" w:sz="4" w:space="0" w:color="auto"/>
            </w:tcBorders>
          </w:tcPr>
          <w:p w14:paraId="0BC55E9E" w14:textId="6A0D4333" w:rsidR="00D81E43" w:rsidRPr="00D81E43" w:rsidRDefault="00D81E43" w:rsidP="00D81E43">
            <w:pPr>
              <w:spacing w:after="0"/>
              <w:rPr>
                <w:rFonts w:cstheme="minorHAnsi"/>
                <w:sz w:val="20"/>
                <w:szCs w:val="20"/>
              </w:rPr>
            </w:pPr>
            <w:r w:rsidRPr="00D81E43">
              <w:rPr>
                <w:rFonts w:cstheme="minorHAnsi"/>
                <w:sz w:val="20"/>
                <w:szCs w:val="20"/>
              </w:rPr>
              <w:t>A number of recommendations against specific aims/priority areas were suggested, such as:</w:t>
            </w:r>
          </w:p>
          <w:p w14:paraId="750C0287" w14:textId="1EFCAB8A" w:rsidR="00D81E43" w:rsidRPr="00D81E43" w:rsidRDefault="00D81E43" w:rsidP="00D81E43">
            <w:pPr>
              <w:pStyle w:val="ListParagraph"/>
              <w:numPr>
                <w:ilvl w:val="0"/>
                <w:numId w:val="19"/>
              </w:numPr>
              <w:rPr>
                <w:rFonts w:asciiTheme="minorHAnsi" w:hAnsiTheme="minorHAnsi" w:cstheme="minorHAnsi"/>
                <w:sz w:val="20"/>
                <w:szCs w:val="20"/>
              </w:rPr>
            </w:pPr>
            <w:r w:rsidRPr="00D81E43">
              <w:rPr>
                <w:rFonts w:asciiTheme="minorHAnsi" w:hAnsiTheme="minorHAnsi" w:cstheme="minorHAnsi"/>
                <w:sz w:val="20"/>
                <w:szCs w:val="20"/>
              </w:rPr>
              <w:t>Include social and emotional wellbeing and suicide prevention for adults and older adults (Priorities 1.3 and 1.4)</w:t>
            </w:r>
          </w:p>
          <w:p w14:paraId="43E70BD3" w14:textId="204CD094" w:rsidR="00D81E43" w:rsidRPr="00D81E43" w:rsidRDefault="00D81E43" w:rsidP="00D81E43">
            <w:pPr>
              <w:pStyle w:val="ListParagraph"/>
              <w:numPr>
                <w:ilvl w:val="0"/>
                <w:numId w:val="19"/>
              </w:numPr>
              <w:rPr>
                <w:rFonts w:cstheme="minorHAnsi"/>
                <w:sz w:val="20"/>
                <w:szCs w:val="20"/>
              </w:rPr>
            </w:pPr>
            <w:r w:rsidRPr="00D81E43">
              <w:rPr>
                <w:rFonts w:asciiTheme="minorHAnsi" w:hAnsiTheme="minorHAnsi" w:cstheme="minorHAnsi"/>
                <w:sz w:val="20"/>
                <w:szCs w:val="20"/>
              </w:rPr>
              <w:t>Include health promotion as a focus (Priorities 2.1 and 2.2).</w:t>
            </w:r>
          </w:p>
        </w:tc>
        <w:tc>
          <w:tcPr>
            <w:tcW w:w="1902" w:type="pct"/>
            <w:tcBorders>
              <w:top w:val="single" w:sz="4" w:space="0" w:color="auto"/>
              <w:bottom w:val="single" w:sz="4" w:space="0" w:color="auto"/>
            </w:tcBorders>
          </w:tcPr>
          <w:p w14:paraId="11BD7A32" w14:textId="4801B831" w:rsidR="00D81E43" w:rsidRPr="005E2593" w:rsidRDefault="00D81E43">
            <w:pPr>
              <w:pStyle w:val="ListParagraph"/>
              <w:numPr>
                <w:ilvl w:val="0"/>
                <w:numId w:val="9"/>
              </w:numPr>
              <w:rPr>
                <w:rFonts w:asciiTheme="minorHAnsi" w:hAnsiTheme="minorHAnsi" w:cstheme="minorHAnsi"/>
                <w:sz w:val="20"/>
                <w:szCs w:val="20"/>
              </w:rPr>
            </w:pPr>
            <w:r w:rsidRPr="005E2593">
              <w:rPr>
                <w:rFonts w:asciiTheme="minorHAnsi" w:hAnsiTheme="minorHAnsi" w:cstheme="minorHAnsi"/>
                <w:sz w:val="20"/>
                <w:szCs w:val="20"/>
              </w:rPr>
              <w:t xml:space="preserve">The Panel agreed </w:t>
            </w:r>
            <w:r>
              <w:rPr>
                <w:rFonts w:asciiTheme="minorHAnsi" w:hAnsiTheme="minorHAnsi" w:cstheme="minorHAnsi"/>
                <w:sz w:val="20"/>
                <w:szCs w:val="20"/>
              </w:rPr>
              <w:t xml:space="preserve">that some changes should be included within the Implementation Plan but noted that for the majority of recommendations, </w:t>
            </w:r>
            <w:r w:rsidRPr="005E2593">
              <w:rPr>
                <w:rFonts w:asciiTheme="minorHAnsi" w:hAnsiTheme="minorHAnsi" w:cstheme="minorHAnsi"/>
                <w:sz w:val="20"/>
                <w:szCs w:val="20"/>
              </w:rPr>
              <w:t>there will be no barrier to funding these specific areas (or others) as long as they are relevant to a grant opportunity</w:t>
            </w:r>
            <w:r>
              <w:rPr>
                <w:rFonts w:asciiTheme="minorHAnsi" w:hAnsiTheme="minorHAnsi" w:cstheme="minorHAnsi"/>
                <w:sz w:val="20"/>
                <w:szCs w:val="20"/>
              </w:rPr>
              <w:t>.</w:t>
            </w:r>
          </w:p>
        </w:tc>
      </w:tr>
      <w:tr w:rsidR="00D915E7" w14:paraId="798EAE80" w14:textId="77777777" w:rsidTr="00E731E4">
        <w:trPr>
          <w:cantSplit/>
          <w:trHeight w:val="1125"/>
        </w:trPr>
        <w:tc>
          <w:tcPr>
            <w:tcW w:w="1116" w:type="pct"/>
            <w:vMerge w:val="restart"/>
            <w:shd w:val="clear" w:color="auto" w:fill="D9E2F3" w:themeFill="accent5" w:themeFillTint="33"/>
          </w:tcPr>
          <w:p w14:paraId="07D64E17" w14:textId="1C39F0FD" w:rsidR="00D915E7" w:rsidRPr="005E2593" w:rsidRDefault="00D915E7" w:rsidP="000C35F9">
            <w:pPr>
              <w:spacing w:after="0"/>
              <w:rPr>
                <w:rFonts w:ascii="Calibri" w:hAnsi="Calibri" w:cs="Calibri"/>
                <w:b/>
              </w:rPr>
            </w:pPr>
            <w:r w:rsidRPr="005E2593">
              <w:rPr>
                <w:rFonts w:ascii="Calibri" w:hAnsi="Calibri" w:cs="Calibri"/>
                <w:b/>
              </w:rPr>
              <w:t>Are there existing research activities which could be utilised to contribute to the Indigenous Health Research Fund Roadmap and/or Implementation Plan aims and priority areas for investment? How can these be leveraged?</w:t>
            </w:r>
          </w:p>
        </w:tc>
        <w:tc>
          <w:tcPr>
            <w:tcW w:w="1982" w:type="pct"/>
          </w:tcPr>
          <w:p w14:paraId="437E7E4E" w14:textId="271B2CAC" w:rsidR="00D915E7" w:rsidRPr="005E2593" w:rsidRDefault="00D915E7" w:rsidP="005E2593">
            <w:pPr>
              <w:pStyle w:val="ListParagraph"/>
              <w:numPr>
                <w:ilvl w:val="0"/>
                <w:numId w:val="18"/>
              </w:numPr>
              <w:rPr>
                <w:rFonts w:asciiTheme="minorHAnsi" w:hAnsiTheme="minorHAnsi" w:cstheme="minorHAnsi"/>
                <w:sz w:val="20"/>
                <w:szCs w:val="20"/>
              </w:rPr>
            </w:pPr>
            <w:r w:rsidRPr="005E2593">
              <w:rPr>
                <w:rFonts w:asciiTheme="minorHAnsi" w:hAnsiTheme="minorHAnsi" w:cstheme="minorHAnsi"/>
                <w:sz w:val="20"/>
                <w:szCs w:val="20"/>
              </w:rPr>
              <w:t>Partner with state, territory and local government health services as they have a role in the provision of many of public health measures</w:t>
            </w:r>
            <w:r w:rsidR="005C2324">
              <w:rPr>
                <w:rFonts w:asciiTheme="minorHAnsi" w:hAnsiTheme="minorHAnsi" w:cstheme="minorHAnsi"/>
                <w:sz w:val="20"/>
                <w:szCs w:val="20"/>
              </w:rPr>
              <w:t>.</w:t>
            </w:r>
          </w:p>
        </w:tc>
        <w:tc>
          <w:tcPr>
            <w:tcW w:w="1902" w:type="pct"/>
          </w:tcPr>
          <w:p w14:paraId="66C047C8" w14:textId="6DBBD9C7" w:rsidR="00D915E7" w:rsidRPr="007576D2" w:rsidRDefault="00520AE6" w:rsidP="007576D2">
            <w:pPr>
              <w:pStyle w:val="ListParagraph"/>
              <w:numPr>
                <w:ilvl w:val="0"/>
                <w:numId w:val="9"/>
              </w:numPr>
              <w:ind w:left="320"/>
              <w:rPr>
                <w:rFonts w:asciiTheme="minorHAnsi" w:hAnsiTheme="minorHAnsi" w:cstheme="minorHAnsi"/>
                <w:sz w:val="20"/>
                <w:szCs w:val="20"/>
              </w:rPr>
            </w:pPr>
            <w:r>
              <w:rPr>
                <w:rFonts w:asciiTheme="minorHAnsi" w:hAnsiTheme="minorHAnsi" w:cstheme="minorHAnsi"/>
                <w:sz w:val="20"/>
                <w:szCs w:val="20"/>
              </w:rPr>
              <w:t>As partnering with and leveraging other government investment (including state government activities) is stated through</w:t>
            </w:r>
            <w:r w:rsidR="008473B7">
              <w:rPr>
                <w:rFonts w:asciiTheme="minorHAnsi" w:hAnsiTheme="minorHAnsi" w:cstheme="minorHAnsi"/>
                <w:sz w:val="20"/>
                <w:szCs w:val="20"/>
              </w:rPr>
              <w:t>out</w:t>
            </w:r>
            <w:r>
              <w:rPr>
                <w:rFonts w:asciiTheme="minorHAnsi" w:hAnsiTheme="minorHAnsi" w:cstheme="minorHAnsi"/>
                <w:sz w:val="20"/>
                <w:szCs w:val="20"/>
              </w:rPr>
              <w:t xml:space="preserve"> the Implementation Plan and in the Roadmap, no further amendments were required.</w:t>
            </w:r>
          </w:p>
        </w:tc>
      </w:tr>
      <w:tr w:rsidR="00D915E7" w14:paraId="66726CD6" w14:textId="77777777" w:rsidTr="00E731E4">
        <w:trPr>
          <w:cantSplit/>
          <w:trHeight w:val="622"/>
        </w:trPr>
        <w:tc>
          <w:tcPr>
            <w:tcW w:w="1116" w:type="pct"/>
            <w:vMerge/>
            <w:shd w:val="clear" w:color="auto" w:fill="D9E2F3" w:themeFill="accent5" w:themeFillTint="33"/>
          </w:tcPr>
          <w:p w14:paraId="5491B8B3" w14:textId="77777777" w:rsidR="00D915E7" w:rsidRPr="00BA0175" w:rsidRDefault="00D915E7" w:rsidP="00C2595E">
            <w:pPr>
              <w:spacing w:after="0"/>
              <w:rPr>
                <w:rFonts w:ascii="Calibri" w:hAnsi="Calibri" w:cs="Calibri"/>
                <w:b/>
              </w:rPr>
            </w:pPr>
          </w:p>
        </w:tc>
        <w:tc>
          <w:tcPr>
            <w:tcW w:w="1982" w:type="pct"/>
          </w:tcPr>
          <w:p w14:paraId="756795A6" w14:textId="588D8B17" w:rsidR="00D915E7" w:rsidRPr="005E2593" w:rsidRDefault="00D915E7" w:rsidP="005E2593">
            <w:pPr>
              <w:pStyle w:val="ListParagraph"/>
              <w:numPr>
                <w:ilvl w:val="0"/>
                <w:numId w:val="18"/>
              </w:numPr>
              <w:rPr>
                <w:rFonts w:asciiTheme="minorHAnsi" w:hAnsiTheme="minorHAnsi" w:cstheme="minorHAnsi"/>
                <w:sz w:val="20"/>
                <w:szCs w:val="20"/>
              </w:rPr>
            </w:pPr>
            <w:r w:rsidRPr="005E2593">
              <w:rPr>
                <w:rFonts w:asciiTheme="minorHAnsi" w:hAnsiTheme="minorHAnsi" w:cstheme="minorHAnsi"/>
                <w:sz w:val="20"/>
                <w:szCs w:val="20"/>
              </w:rPr>
              <w:t>Build upon and collaborate with other MRFF initiatives</w:t>
            </w:r>
            <w:r w:rsidR="005C2324">
              <w:rPr>
                <w:rFonts w:asciiTheme="minorHAnsi" w:hAnsiTheme="minorHAnsi" w:cstheme="minorHAnsi"/>
                <w:sz w:val="20"/>
                <w:szCs w:val="20"/>
              </w:rPr>
              <w:t>.</w:t>
            </w:r>
          </w:p>
        </w:tc>
        <w:tc>
          <w:tcPr>
            <w:tcW w:w="1902" w:type="pct"/>
          </w:tcPr>
          <w:p w14:paraId="0E4E13D7" w14:textId="7DD4DD3E" w:rsidR="00DB0569" w:rsidRPr="005E2593" w:rsidRDefault="00DB0569" w:rsidP="00DB0569">
            <w:pPr>
              <w:pStyle w:val="ListParagraph"/>
              <w:numPr>
                <w:ilvl w:val="0"/>
                <w:numId w:val="18"/>
              </w:numPr>
              <w:rPr>
                <w:rFonts w:cstheme="minorHAnsi"/>
                <w:sz w:val="20"/>
                <w:szCs w:val="20"/>
              </w:rPr>
            </w:pPr>
            <w:r w:rsidRPr="00AE46F7">
              <w:rPr>
                <w:rFonts w:asciiTheme="minorHAnsi" w:hAnsiTheme="minorHAnsi" w:cstheme="minorHAnsi"/>
                <w:sz w:val="20"/>
                <w:szCs w:val="20"/>
              </w:rPr>
              <w:t>Leveraging other MRFF missions is stated throughout the Implementation Plan.</w:t>
            </w:r>
          </w:p>
          <w:p w14:paraId="21E4ED5A" w14:textId="31BEE97E" w:rsidR="00D915E7" w:rsidRPr="005E2593" w:rsidDel="004B73E6" w:rsidRDefault="00DB0569" w:rsidP="005E2593">
            <w:pPr>
              <w:pStyle w:val="ListParagraph"/>
              <w:numPr>
                <w:ilvl w:val="0"/>
                <w:numId w:val="18"/>
              </w:numPr>
              <w:rPr>
                <w:rFonts w:cstheme="minorHAnsi"/>
                <w:sz w:val="20"/>
                <w:szCs w:val="20"/>
              </w:rPr>
            </w:pPr>
            <w:r w:rsidRPr="00AE46F7">
              <w:rPr>
                <w:rFonts w:asciiTheme="minorHAnsi" w:hAnsiTheme="minorHAnsi" w:cstheme="minorHAnsi"/>
                <w:sz w:val="20"/>
                <w:szCs w:val="20"/>
              </w:rPr>
              <w:t xml:space="preserve">To expand on this, the Implementation Plan was amended to also </w:t>
            </w:r>
            <w:r w:rsidRPr="005C2324">
              <w:rPr>
                <w:rFonts w:asciiTheme="minorHAnsi" w:hAnsiTheme="minorHAnsi" w:cstheme="minorHAnsi"/>
                <w:sz w:val="20"/>
                <w:szCs w:val="20"/>
              </w:rPr>
              <w:t>state that the</w:t>
            </w:r>
            <w:r w:rsidRPr="00AE46F7">
              <w:rPr>
                <w:rFonts w:asciiTheme="minorHAnsi" w:hAnsiTheme="minorHAnsi" w:cstheme="minorHAnsi"/>
                <w:sz w:val="20"/>
                <w:szCs w:val="20"/>
              </w:rPr>
              <w:t xml:space="preserve"> entire MRFF</w:t>
            </w:r>
            <w:r w:rsidRPr="005C2324">
              <w:rPr>
                <w:rFonts w:asciiTheme="minorHAnsi" w:hAnsiTheme="minorHAnsi" w:cstheme="minorHAnsi"/>
                <w:sz w:val="20"/>
                <w:szCs w:val="20"/>
              </w:rPr>
              <w:t xml:space="preserve"> </w:t>
            </w:r>
            <w:r w:rsidRPr="00AE46F7">
              <w:rPr>
                <w:rFonts w:asciiTheme="minorHAnsi" w:hAnsiTheme="minorHAnsi" w:cstheme="minorHAnsi"/>
                <w:sz w:val="20"/>
                <w:szCs w:val="20"/>
              </w:rPr>
              <w:t>has a role to play in improving the health and wellbeing of Indigenous people</w:t>
            </w:r>
            <w:r w:rsidRPr="005C2324">
              <w:rPr>
                <w:rFonts w:asciiTheme="minorHAnsi" w:hAnsiTheme="minorHAnsi" w:cstheme="minorHAnsi"/>
                <w:sz w:val="20"/>
                <w:szCs w:val="20"/>
              </w:rPr>
              <w:t>.</w:t>
            </w:r>
          </w:p>
        </w:tc>
      </w:tr>
      <w:tr w:rsidR="00D915E7" w14:paraId="0D6811CE" w14:textId="77777777" w:rsidTr="00E731E4">
        <w:trPr>
          <w:cantSplit/>
          <w:trHeight w:val="715"/>
        </w:trPr>
        <w:tc>
          <w:tcPr>
            <w:tcW w:w="1116" w:type="pct"/>
            <w:vMerge/>
            <w:shd w:val="clear" w:color="auto" w:fill="D9E2F3" w:themeFill="accent5" w:themeFillTint="33"/>
          </w:tcPr>
          <w:p w14:paraId="07D69FB1" w14:textId="77777777" w:rsidR="00D915E7" w:rsidRPr="00BA0175" w:rsidRDefault="00D915E7" w:rsidP="000C35F9">
            <w:pPr>
              <w:spacing w:after="0"/>
              <w:rPr>
                <w:rFonts w:ascii="Calibri" w:hAnsi="Calibri" w:cs="Calibri"/>
                <w:b/>
              </w:rPr>
            </w:pPr>
          </w:p>
        </w:tc>
        <w:tc>
          <w:tcPr>
            <w:tcW w:w="1982" w:type="pct"/>
          </w:tcPr>
          <w:p w14:paraId="4FB9102F" w14:textId="3A85B4C6" w:rsidR="00D915E7" w:rsidRPr="005E2593" w:rsidDel="0041004D" w:rsidRDefault="00D915E7" w:rsidP="005E2593">
            <w:pPr>
              <w:pStyle w:val="ListParagraph"/>
              <w:numPr>
                <w:ilvl w:val="0"/>
                <w:numId w:val="9"/>
              </w:numPr>
              <w:rPr>
                <w:rFonts w:asciiTheme="minorHAnsi" w:hAnsiTheme="minorHAnsi" w:cstheme="minorHAnsi"/>
                <w:sz w:val="20"/>
                <w:szCs w:val="20"/>
              </w:rPr>
            </w:pPr>
            <w:r w:rsidRPr="00D915E7">
              <w:rPr>
                <w:rFonts w:asciiTheme="minorHAnsi" w:hAnsiTheme="minorHAnsi" w:cstheme="minorHAnsi"/>
                <w:sz w:val="20"/>
                <w:szCs w:val="20"/>
              </w:rPr>
              <w:t>Partner with industry to maximise translational research outcomes</w:t>
            </w:r>
            <w:r w:rsidR="005C2324">
              <w:rPr>
                <w:rFonts w:asciiTheme="minorHAnsi" w:hAnsiTheme="minorHAnsi" w:cstheme="minorHAnsi"/>
                <w:sz w:val="20"/>
                <w:szCs w:val="20"/>
              </w:rPr>
              <w:t>.</w:t>
            </w:r>
          </w:p>
        </w:tc>
        <w:tc>
          <w:tcPr>
            <w:tcW w:w="1902" w:type="pct"/>
          </w:tcPr>
          <w:p w14:paraId="5233C29F" w14:textId="77777777" w:rsidR="00D915E7" w:rsidRDefault="008D6125" w:rsidP="007576D2">
            <w:pPr>
              <w:pStyle w:val="ListParagraph"/>
              <w:numPr>
                <w:ilvl w:val="0"/>
                <w:numId w:val="9"/>
              </w:numPr>
              <w:ind w:left="320"/>
              <w:rPr>
                <w:rFonts w:asciiTheme="minorHAnsi" w:hAnsiTheme="minorHAnsi" w:cstheme="minorHAnsi"/>
                <w:sz w:val="20"/>
                <w:szCs w:val="20"/>
              </w:rPr>
            </w:pPr>
            <w:r>
              <w:rPr>
                <w:rFonts w:asciiTheme="minorHAnsi" w:hAnsiTheme="minorHAnsi" w:cstheme="minorHAnsi"/>
                <w:sz w:val="20"/>
                <w:szCs w:val="20"/>
              </w:rPr>
              <w:t>Partnering and co-investing with industry is stated in the Roadmap.</w:t>
            </w:r>
          </w:p>
          <w:p w14:paraId="09AEAE79" w14:textId="26BEAD6B" w:rsidR="008D6125" w:rsidRPr="007576D2" w:rsidDel="0041004D" w:rsidRDefault="008D6125" w:rsidP="007576D2">
            <w:pPr>
              <w:pStyle w:val="ListParagraph"/>
              <w:numPr>
                <w:ilvl w:val="0"/>
                <w:numId w:val="9"/>
              </w:numPr>
              <w:ind w:left="320"/>
              <w:rPr>
                <w:rFonts w:asciiTheme="minorHAnsi" w:hAnsiTheme="minorHAnsi" w:cstheme="minorHAnsi"/>
                <w:sz w:val="20"/>
                <w:szCs w:val="20"/>
              </w:rPr>
            </w:pPr>
            <w:r>
              <w:rPr>
                <w:rFonts w:asciiTheme="minorHAnsi" w:hAnsiTheme="minorHAnsi" w:cstheme="minorHAnsi"/>
                <w:sz w:val="20"/>
                <w:szCs w:val="20"/>
              </w:rPr>
              <w:t xml:space="preserve">To further emphasis this, </w:t>
            </w:r>
            <w:r w:rsidR="00242597">
              <w:rPr>
                <w:rFonts w:asciiTheme="minorHAnsi" w:hAnsiTheme="minorHAnsi" w:cstheme="minorHAnsi"/>
                <w:sz w:val="20"/>
                <w:szCs w:val="20"/>
              </w:rPr>
              <w:t>an overarching objective was added to the Implementation Plan of recognising the key role</w:t>
            </w:r>
            <w:r w:rsidR="00242597">
              <w:t xml:space="preserve"> </w:t>
            </w:r>
            <w:r w:rsidR="00242597" w:rsidRPr="00242597">
              <w:rPr>
                <w:rFonts w:asciiTheme="minorHAnsi" w:hAnsiTheme="minorHAnsi" w:cstheme="minorHAnsi"/>
                <w:sz w:val="20"/>
                <w:szCs w:val="20"/>
              </w:rPr>
              <w:t>industry must play in improving Aboriginal and Torres Strait Islander peoples’ health and wellbeing</w:t>
            </w:r>
            <w:r w:rsidR="00242597">
              <w:rPr>
                <w:rFonts w:asciiTheme="minorHAnsi" w:hAnsiTheme="minorHAnsi" w:cstheme="minorHAnsi"/>
                <w:sz w:val="20"/>
                <w:szCs w:val="20"/>
              </w:rPr>
              <w:t>.</w:t>
            </w:r>
          </w:p>
        </w:tc>
      </w:tr>
      <w:tr w:rsidR="00D915E7" w14:paraId="41FE4E59" w14:textId="77777777" w:rsidTr="00E731E4">
        <w:trPr>
          <w:cantSplit/>
          <w:trHeight w:val="1010"/>
        </w:trPr>
        <w:tc>
          <w:tcPr>
            <w:tcW w:w="1116" w:type="pct"/>
            <w:vMerge w:val="restart"/>
            <w:shd w:val="clear" w:color="auto" w:fill="D9E2F3" w:themeFill="accent5" w:themeFillTint="33"/>
          </w:tcPr>
          <w:p w14:paraId="7226E6C6" w14:textId="1B3D1824" w:rsidR="00D915E7" w:rsidRPr="00455D48" w:rsidRDefault="00D915E7" w:rsidP="000C35F9">
            <w:pPr>
              <w:spacing w:after="0"/>
              <w:rPr>
                <w:rFonts w:ascii="Calibri" w:hAnsi="Calibri" w:cs="Calibri"/>
                <w:b/>
              </w:rPr>
            </w:pPr>
            <w:r w:rsidRPr="00455D48">
              <w:rPr>
                <w:rFonts w:ascii="Calibri" w:hAnsi="Calibri" w:cs="Calibri"/>
                <w:b/>
              </w:rPr>
              <w:t xml:space="preserve">Are the ‘Evaluation approach and measures’ appropriate for assessing </w:t>
            </w:r>
            <w:r w:rsidRPr="00455D48">
              <w:rPr>
                <w:rFonts w:ascii="Calibri" w:hAnsi="Calibri" w:cs="Calibri"/>
                <w:b/>
              </w:rPr>
              <w:lastRenderedPageBreak/>
              <w:t>and monitoring progress towards the Indigenous Health Research Fund's goal and aims?</w:t>
            </w:r>
          </w:p>
        </w:tc>
        <w:tc>
          <w:tcPr>
            <w:tcW w:w="1982" w:type="pct"/>
          </w:tcPr>
          <w:p w14:paraId="59703AE1" w14:textId="3674EAAB" w:rsidR="00D915E7" w:rsidRPr="005E2593" w:rsidDel="0041004D" w:rsidRDefault="00E57608" w:rsidP="005E2593">
            <w:pPr>
              <w:pStyle w:val="ListParagraph"/>
              <w:numPr>
                <w:ilvl w:val="0"/>
                <w:numId w:val="9"/>
              </w:numPr>
              <w:rPr>
                <w:rFonts w:asciiTheme="minorHAnsi" w:hAnsiTheme="minorHAnsi" w:cstheme="minorHAnsi"/>
                <w:sz w:val="20"/>
                <w:szCs w:val="20"/>
              </w:rPr>
            </w:pPr>
            <w:r w:rsidRPr="00D915E7">
              <w:rPr>
                <w:rFonts w:asciiTheme="minorHAnsi" w:hAnsiTheme="minorHAnsi" w:cstheme="minorHAnsi"/>
                <w:sz w:val="20"/>
                <w:szCs w:val="20"/>
              </w:rPr>
              <w:lastRenderedPageBreak/>
              <w:t>Local level and health services level evaluation is necessary</w:t>
            </w:r>
            <w:r w:rsidR="00D81E43">
              <w:rPr>
                <w:rFonts w:asciiTheme="minorHAnsi" w:hAnsiTheme="minorHAnsi" w:cstheme="minorHAnsi"/>
                <w:sz w:val="20"/>
                <w:szCs w:val="20"/>
              </w:rPr>
              <w:t>.</w:t>
            </w:r>
          </w:p>
        </w:tc>
        <w:tc>
          <w:tcPr>
            <w:tcW w:w="1902" w:type="pct"/>
          </w:tcPr>
          <w:p w14:paraId="418FBACE" w14:textId="2BEC4D9B" w:rsidR="00D915E7" w:rsidRPr="007576D2" w:rsidDel="0041004D" w:rsidRDefault="000E5E2C" w:rsidP="007576D2">
            <w:pPr>
              <w:pStyle w:val="ListParagraph"/>
              <w:numPr>
                <w:ilvl w:val="0"/>
                <w:numId w:val="9"/>
              </w:numPr>
              <w:ind w:left="320"/>
              <w:rPr>
                <w:rFonts w:asciiTheme="minorHAnsi" w:hAnsiTheme="minorHAnsi" w:cstheme="minorHAnsi"/>
                <w:sz w:val="20"/>
                <w:szCs w:val="20"/>
              </w:rPr>
            </w:pPr>
            <w:r>
              <w:rPr>
                <w:rFonts w:asciiTheme="minorHAnsi" w:hAnsiTheme="minorHAnsi" w:cstheme="minorHAnsi"/>
                <w:sz w:val="20"/>
                <w:szCs w:val="20"/>
              </w:rPr>
              <w:t xml:space="preserve">The importance of evaluation expertise at all levels has been added as an enabling priority in the Roadmap to ensure the Indigenous Health Research Fund builds on the evidence base and has an impact over time. </w:t>
            </w:r>
          </w:p>
        </w:tc>
      </w:tr>
      <w:tr w:rsidR="00D915E7" w14:paraId="64E1E4D3" w14:textId="77777777" w:rsidTr="00E731E4">
        <w:trPr>
          <w:cantSplit/>
          <w:trHeight w:val="1010"/>
        </w:trPr>
        <w:tc>
          <w:tcPr>
            <w:tcW w:w="1116" w:type="pct"/>
            <w:vMerge/>
            <w:shd w:val="clear" w:color="auto" w:fill="D9E2F3" w:themeFill="accent5" w:themeFillTint="33"/>
          </w:tcPr>
          <w:p w14:paraId="34AA097B" w14:textId="10CEC661" w:rsidR="00D915E7" w:rsidRPr="00455D48" w:rsidRDefault="00D915E7" w:rsidP="000C35F9">
            <w:pPr>
              <w:spacing w:after="0"/>
              <w:rPr>
                <w:rFonts w:ascii="Calibri" w:hAnsi="Calibri" w:cs="Calibri"/>
                <w:b/>
              </w:rPr>
            </w:pPr>
          </w:p>
        </w:tc>
        <w:tc>
          <w:tcPr>
            <w:tcW w:w="1982" w:type="pct"/>
          </w:tcPr>
          <w:p w14:paraId="7A3A8427" w14:textId="100946DA" w:rsidR="00D915E7" w:rsidRPr="005E2593" w:rsidDel="0041004D" w:rsidRDefault="00D915E7" w:rsidP="005E2593">
            <w:pPr>
              <w:pStyle w:val="ListParagraph"/>
              <w:numPr>
                <w:ilvl w:val="0"/>
                <w:numId w:val="9"/>
              </w:numPr>
              <w:rPr>
                <w:rFonts w:asciiTheme="minorHAnsi" w:hAnsiTheme="minorHAnsi" w:cstheme="minorHAnsi"/>
                <w:sz w:val="20"/>
                <w:szCs w:val="20"/>
              </w:rPr>
            </w:pPr>
            <w:r w:rsidRPr="00D915E7">
              <w:rPr>
                <w:rFonts w:asciiTheme="minorHAnsi" w:hAnsiTheme="minorHAnsi" w:cstheme="minorHAnsi"/>
                <w:sz w:val="20"/>
                <w:szCs w:val="20"/>
              </w:rPr>
              <w:t>Include the requirements of scalability and sustainability to ensure benefits reach beyond the target communities</w:t>
            </w:r>
            <w:r w:rsidR="00D81E43">
              <w:rPr>
                <w:rFonts w:asciiTheme="minorHAnsi" w:hAnsiTheme="minorHAnsi" w:cstheme="minorHAnsi"/>
                <w:sz w:val="20"/>
                <w:szCs w:val="20"/>
              </w:rPr>
              <w:t>.</w:t>
            </w:r>
          </w:p>
        </w:tc>
        <w:tc>
          <w:tcPr>
            <w:tcW w:w="1902" w:type="pct"/>
          </w:tcPr>
          <w:p w14:paraId="10143B39" w14:textId="7CB714CD" w:rsidR="00D915E7" w:rsidRDefault="003A01EB" w:rsidP="007576D2">
            <w:pPr>
              <w:pStyle w:val="ListParagraph"/>
              <w:numPr>
                <w:ilvl w:val="0"/>
                <w:numId w:val="9"/>
              </w:numPr>
              <w:ind w:left="320"/>
              <w:rPr>
                <w:rFonts w:asciiTheme="minorHAnsi" w:hAnsiTheme="minorHAnsi" w:cstheme="minorHAnsi"/>
                <w:sz w:val="20"/>
                <w:szCs w:val="20"/>
              </w:rPr>
            </w:pPr>
            <w:r>
              <w:rPr>
                <w:rFonts w:asciiTheme="minorHAnsi" w:hAnsiTheme="minorHAnsi" w:cstheme="minorHAnsi"/>
                <w:sz w:val="20"/>
                <w:szCs w:val="20"/>
              </w:rPr>
              <w:t xml:space="preserve">The Implementation Plan </w:t>
            </w:r>
            <w:r w:rsidR="008473B7">
              <w:rPr>
                <w:rFonts w:asciiTheme="minorHAnsi" w:hAnsiTheme="minorHAnsi" w:cstheme="minorHAnsi"/>
                <w:sz w:val="20"/>
                <w:szCs w:val="20"/>
              </w:rPr>
              <w:t xml:space="preserve">states the </w:t>
            </w:r>
            <w:r>
              <w:rPr>
                <w:rFonts w:asciiTheme="minorHAnsi" w:hAnsiTheme="minorHAnsi" w:cstheme="minorHAnsi"/>
                <w:sz w:val="20"/>
                <w:szCs w:val="20"/>
              </w:rPr>
              <w:t xml:space="preserve">importance of scaling and sustainability to </w:t>
            </w:r>
            <w:r w:rsidRPr="003A01EB">
              <w:rPr>
                <w:rFonts w:asciiTheme="minorHAnsi" w:hAnsiTheme="minorHAnsi" w:cstheme="minorHAnsi"/>
                <w:sz w:val="20"/>
                <w:szCs w:val="20"/>
              </w:rPr>
              <w:t>achieve system change and transform health outcomes</w:t>
            </w:r>
            <w:r>
              <w:rPr>
                <w:rFonts w:asciiTheme="minorHAnsi" w:hAnsiTheme="minorHAnsi" w:cstheme="minorHAnsi"/>
                <w:sz w:val="20"/>
                <w:szCs w:val="20"/>
              </w:rPr>
              <w:t>.</w:t>
            </w:r>
          </w:p>
          <w:p w14:paraId="31ECCF85" w14:textId="2296A9FB" w:rsidR="003A01EB" w:rsidRPr="007576D2" w:rsidDel="0041004D" w:rsidRDefault="003A01EB" w:rsidP="007576D2">
            <w:pPr>
              <w:pStyle w:val="ListParagraph"/>
              <w:numPr>
                <w:ilvl w:val="0"/>
                <w:numId w:val="9"/>
              </w:numPr>
              <w:ind w:left="320"/>
              <w:rPr>
                <w:rFonts w:asciiTheme="minorHAnsi" w:hAnsiTheme="minorHAnsi" w:cstheme="minorHAnsi"/>
                <w:sz w:val="20"/>
                <w:szCs w:val="20"/>
              </w:rPr>
            </w:pPr>
            <w:r>
              <w:rPr>
                <w:rFonts w:asciiTheme="minorHAnsi" w:hAnsiTheme="minorHAnsi" w:cstheme="minorHAnsi"/>
                <w:sz w:val="20"/>
                <w:szCs w:val="20"/>
              </w:rPr>
              <w:t>To further emphasis</w:t>
            </w:r>
            <w:r w:rsidR="00E731E4">
              <w:rPr>
                <w:rFonts w:asciiTheme="minorHAnsi" w:hAnsiTheme="minorHAnsi" w:cstheme="minorHAnsi"/>
                <w:sz w:val="20"/>
                <w:szCs w:val="20"/>
              </w:rPr>
              <w:t>e</w:t>
            </w:r>
            <w:r>
              <w:rPr>
                <w:rFonts w:asciiTheme="minorHAnsi" w:hAnsiTheme="minorHAnsi" w:cstheme="minorHAnsi"/>
                <w:sz w:val="20"/>
                <w:szCs w:val="20"/>
              </w:rPr>
              <w:t xml:space="preserve"> this, the Implementation Plan has been amended to include </w:t>
            </w:r>
            <w:r w:rsidR="008473B7">
              <w:rPr>
                <w:rFonts w:asciiTheme="minorHAnsi" w:hAnsiTheme="minorHAnsi" w:cstheme="minorHAnsi"/>
                <w:sz w:val="20"/>
                <w:szCs w:val="20"/>
              </w:rPr>
              <w:t>additional</w:t>
            </w:r>
            <w:r>
              <w:rPr>
                <w:rFonts w:asciiTheme="minorHAnsi" w:hAnsiTheme="minorHAnsi" w:cstheme="minorHAnsi"/>
                <w:sz w:val="20"/>
                <w:szCs w:val="20"/>
              </w:rPr>
              <w:t xml:space="preserve"> Investment priorities of l</w:t>
            </w:r>
            <w:r w:rsidRPr="003A01EB">
              <w:rPr>
                <w:rFonts w:asciiTheme="minorHAnsi" w:hAnsiTheme="minorHAnsi" w:cstheme="minorHAnsi"/>
                <w:sz w:val="20"/>
                <w:szCs w:val="20"/>
              </w:rPr>
              <w:t>arge-scale collaborative and integrated research programs that support the development of real world solutions</w:t>
            </w:r>
            <w:r>
              <w:rPr>
                <w:rFonts w:asciiTheme="minorHAnsi" w:hAnsiTheme="minorHAnsi" w:cstheme="minorHAnsi"/>
                <w:sz w:val="20"/>
                <w:szCs w:val="20"/>
              </w:rPr>
              <w:t>, as well as further emphasise</w:t>
            </w:r>
            <w:r w:rsidR="008473B7">
              <w:rPr>
                <w:rFonts w:asciiTheme="minorHAnsi" w:hAnsiTheme="minorHAnsi" w:cstheme="minorHAnsi"/>
                <w:sz w:val="20"/>
                <w:szCs w:val="20"/>
              </w:rPr>
              <w:t xml:space="preserve"> of</w:t>
            </w:r>
            <w:r>
              <w:rPr>
                <w:rFonts w:asciiTheme="minorHAnsi" w:hAnsiTheme="minorHAnsi" w:cstheme="minorHAnsi"/>
                <w:sz w:val="20"/>
                <w:szCs w:val="20"/>
              </w:rPr>
              <w:t xml:space="preserve"> the importance of capacity building to ensure the sustainability </w:t>
            </w:r>
            <w:r w:rsidRPr="003A01EB">
              <w:rPr>
                <w:rFonts w:asciiTheme="minorHAnsi" w:hAnsiTheme="minorHAnsi" w:cstheme="minorHAnsi"/>
                <w:sz w:val="20"/>
                <w:szCs w:val="20"/>
              </w:rPr>
              <w:t>of an agenda led by Aboriginal and/or Torres Strait Islander people</w:t>
            </w:r>
            <w:r>
              <w:rPr>
                <w:rFonts w:asciiTheme="minorHAnsi" w:hAnsiTheme="minorHAnsi" w:cstheme="minorHAnsi"/>
                <w:sz w:val="20"/>
                <w:szCs w:val="20"/>
              </w:rPr>
              <w:t>.</w:t>
            </w:r>
          </w:p>
        </w:tc>
      </w:tr>
      <w:tr w:rsidR="00D915E7" w14:paraId="3C432FFD" w14:textId="77777777" w:rsidTr="00E731E4">
        <w:trPr>
          <w:cantSplit/>
          <w:trHeight w:val="1010"/>
        </w:trPr>
        <w:tc>
          <w:tcPr>
            <w:tcW w:w="1116" w:type="pct"/>
            <w:vMerge/>
            <w:shd w:val="clear" w:color="auto" w:fill="D9E2F3" w:themeFill="accent5" w:themeFillTint="33"/>
          </w:tcPr>
          <w:p w14:paraId="73D318F4" w14:textId="54B78A48" w:rsidR="00D915E7" w:rsidRPr="00455D48" w:rsidRDefault="00D915E7" w:rsidP="000C35F9">
            <w:pPr>
              <w:spacing w:after="0"/>
              <w:rPr>
                <w:rFonts w:ascii="Calibri" w:hAnsi="Calibri" w:cs="Calibri"/>
                <w:b/>
              </w:rPr>
            </w:pPr>
          </w:p>
        </w:tc>
        <w:tc>
          <w:tcPr>
            <w:tcW w:w="1982" w:type="pct"/>
          </w:tcPr>
          <w:p w14:paraId="04713A03" w14:textId="055D1793" w:rsidR="00D915E7" w:rsidRPr="005E2593" w:rsidDel="0041004D" w:rsidRDefault="00D915E7" w:rsidP="005E2593">
            <w:pPr>
              <w:pStyle w:val="ListParagraph"/>
              <w:numPr>
                <w:ilvl w:val="0"/>
                <w:numId w:val="9"/>
              </w:numPr>
              <w:rPr>
                <w:rFonts w:asciiTheme="minorHAnsi" w:hAnsiTheme="minorHAnsi" w:cstheme="minorHAnsi"/>
                <w:sz w:val="20"/>
                <w:szCs w:val="20"/>
              </w:rPr>
            </w:pPr>
            <w:r w:rsidRPr="00D915E7">
              <w:rPr>
                <w:rFonts w:asciiTheme="minorHAnsi" w:hAnsiTheme="minorHAnsi" w:cstheme="minorHAnsi"/>
                <w:sz w:val="20"/>
                <w:szCs w:val="20"/>
              </w:rPr>
              <w:t>Strengthen the collaboration element of the evaluation framework by including explicit reference to co-design and partnership with Aboriginal and/or Torres Strait Islander people for priority activities</w:t>
            </w:r>
            <w:r w:rsidR="005B4763">
              <w:rPr>
                <w:rFonts w:asciiTheme="minorHAnsi" w:hAnsiTheme="minorHAnsi" w:cstheme="minorHAnsi"/>
                <w:sz w:val="20"/>
                <w:szCs w:val="20"/>
              </w:rPr>
              <w:t>.</w:t>
            </w:r>
          </w:p>
        </w:tc>
        <w:tc>
          <w:tcPr>
            <w:tcW w:w="1902" w:type="pct"/>
          </w:tcPr>
          <w:p w14:paraId="06CB31D3" w14:textId="351B6CA9" w:rsidR="00D915E7" w:rsidRPr="005E2593" w:rsidDel="0041004D" w:rsidRDefault="003A01EB" w:rsidP="005E2593">
            <w:pPr>
              <w:pStyle w:val="ListParagraph"/>
              <w:numPr>
                <w:ilvl w:val="0"/>
                <w:numId w:val="9"/>
              </w:numPr>
              <w:rPr>
                <w:rFonts w:asciiTheme="minorHAnsi" w:hAnsiTheme="minorHAnsi" w:cstheme="minorHAnsi"/>
                <w:sz w:val="20"/>
                <w:szCs w:val="20"/>
              </w:rPr>
            </w:pPr>
            <w:r w:rsidRPr="003A01EB">
              <w:rPr>
                <w:rFonts w:asciiTheme="minorHAnsi" w:hAnsiTheme="minorHAnsi" w:cstheme="minorHAnsi"/>
                <w:sz w:val="20"/>
                <w:szCs w:val="20"/>
              </w:rPr>
              <w:t xml:space="preserve">The Roadmap and Implementation Plan have been amended to </w:t>
            </w:r>
            <w:r w:rsidR="001C5EDD">
              <w:rPr>
                <w:rFonts w:asciiTheme="minorHAnsi" w:hAnsiTheme="minorHAnsi" w:cstheme="minorHAnsi"/>
                <w:sz w:val="20"/>
                <w:szCs w:val="20"/>
              </w:rPr>
              <w:t xml:space="preserve">include that an overall focus is to </w:t>
            </w:r>
            <w:r w:rsidRPr="003A01EB">
              <w:rPr>
                <w:rFonts w:asciiTheme="minorHAnsi" w:hAnsiTheme="minorHAnsi" w:cstheme="minorHAnsi"/>
                <w:sz w:val="20"/>
                <w:szCs w:val="20"/>
              </w:rPr>
              <w:t>facilitat</w:t>
            </w:r>
            <w:r w:rsidR="001C5EDD">
              <w:rPr>
                <w:rFonts w:asciiTheme="minorHAnsi" w:hAnsiTheme="minorHAnsi" w:cstheme="minorHAnsi"/>
                <w:sz w:val="20"/>
                <w:szCs w:val="20"/>
              </w:rPr>
              <w:t>e</w:t>
            </w:r>
            <w:r w:rsidRPr="003A01EB">
              <w:rPr>
                <w:rFonts w:asciiTheme="minorHAnsi" w:hAnsiTheme="minorHAnsi" w:cstheme="minorHAnsi"/>
                <w:sz w:val="20"/>
                <w:szCs w:val="20"/>
              </w:rPr>
              <w:t xml:space="preserve"> involvement in, leadership of, input from and co-design with Aboriginal and Torres Strait Islander people and communities</w:t>
            </w:r>
            <w:r w:rsidR="001C5EDD">
              <w:rPr>
                <w:rFonts w:asciiTheme="minorHAnsi" w:hAnsiTheme="minorHAnsi" w:cstheme="minorHAnsi"/>
                <w:sz w:val="20"/>
                <w:szCs w:val="20"/>
              </w:rPr>
              <w:t>.</w:t>
            </w:r>
          </w:p>
        </w:tc>
      </w:tr>
    </w:tbl>
    <w:p w14:paraId="200D7323" w14:textId="211D3132" w:rsidR="008B5F90" w:rsidRPr="008B5F90" w:rsidRDefault="008B5F90" w:rsidP="00782957"/>
    <w:sectPr w:rsidR="008B5F90" w:rsidRPr="008B5F90" w:rsidSect="00782957">
      <w:footerReference w:type="default" r:id="rId18"/>
      <w:footerReference w:type="first" r:id="rId19"/>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56EA3" w14:textId="77777777" w:rsidR="00A47E2E" w:rsidRDefault="00A47E2E">
      <w:pPr>
        <w:spacing w:after="0" w:line="240" w:lineRule="auto"/>
      </w:pPr>
      <w:r>
        <w:separator/>
      </w:r>
    </w:p>
  </w:endnote>
  <w:endnote w:type="continuationSeparator" w:id="0">
    <w:p w14:paraId="12C5B9D2" w14:textId="77777777" w:rsidR="00A47E2E" w:rsidRDefault="00A47E2E">
      <w:pPr>
        <w:spacing w:after="0" w:line="240" w:lineRule="auto"/>
      </w:pPr>
      <w:r>
        <w:continuationSeparator/>
      </w:r>
    </w:p>
  </w:endnote>
  <w:endnote w:type="continuationNotice" w:id="1">
    <w:p w14:paraId="4A5363DF" w14:textId="77777777" w:rsidR="00A47E2E" w:rsidRDefault="00A47E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872992"/>
      <w:docPartObj>
        <w:docPartGallery w:val="Page Numbers (Bottom of Page)"/>
        <w:docPartUnique/>
      </w:docPartObj>
    </w:sdtPr>
    <w:sdtEndPr/>
    <w:sdtContent>
      <w:sdt>
        <w:sdtPr>
          <w:id w:val="-308637275"/>
          <w:docPartObj>
            <w:docPartGallery w:val="Page Numbers (Top of Page)"/>
            <w:docPartUnique/>
          </w:docPartObj>
        </w:sdtPr>
        <w:sdtEndPr/>
        <w:sdtContent>
          <w:p w14:paraId="2C22A55A" w14:textId="6C5F2043" w:rsidR="008D0B49" w:rsidRDefault="008D0B49" w:rsidP="00520B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F006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0065">
              <w:rPr>
                <w:b/>
                <w:bCs/>
                <w:noProof/>
              </w:rPr>
              <w:t>5</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47138"/>
      <w:docPartObj>
        <w:docPartGallery w:val="Page Numbers (Bottom of Page)"/>
        <w:docPartUnique/>
      </w:docPartObj>
    </w:sdtPr>
    <w:sdtEndPr/>
    <w:sdtContent>
      <w:sdt>
        <w:sdtPr>
          <w:id w:val="-4445022"/>
          <w:docPartObj>
            <w:docPartGallery w:val="Page Numbers (Top of Page)"/>
            <w:docPartUnique/>
          </w:docPartObj>
        </w:sdtPr>
        <w:sdtEndPr/>
        <w:sdtContent>
          <w:p w14:paraId="46CAD36E" w14:textId="196AC798" w:rsidR="00A300CA" w:rsidRDefault="00A300CA" w:rsidP="00520B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281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281E">
              <w:rPr>
                <w:b/>
                <w:bCs/>
                <w:noProof/>
              </w:rPr>
              <w:t>7</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606339"/>
      <w:docPartObj>
        <w:docPartGallery w:val="Page Numbers (Bottom of Page)"/>
        <w:docPartUnique/>
      </w:docPartObj>
    </w:sdtPr>
    <w:sdtEndPr/>
    <w:sdtContent>
      <w:sdt>
        <w:sdtPr>
          <w:id w:val="1178084900"/>
          <w:docPartObj>
            <w:docPartGallery w:val="Page Numbers (Top of Page)"/>
            <w:docPartUnique/>
          </w:docPartObj>
        </w:sdtPr>
        <w:sdtEndPr/>
        <w:sdtContent>
          <w:p w14:paraId="444E85C9" w14:textId="47373D34" w:rsidR="00A300CA" w:rsidRDefault="00A300CA" w:rsidP="00520B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281E">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281E">
              <w:rPr>
                <w:b/>
                <w:bCs/>
                <w:noProof/>
              </w:rPr>
              <w:t>7</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616044"/>
      <w:docPartObj>
        <w:docPartGallery w:val="Page Numbers (Top of Page)"/>
        <w:docPartUnique/>
      </w:docPartObj>
    </w:sdtPr>
    <w:sdtEndPr/>
    <w:sdtContent>
      <w:p w14:paraId="029987B0" w14:textId="72D619B0" w:rsidR="00A300CA" w:rsidRDefault="00A300CA" w:rsidP="00A300C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281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281E">
          <w:rPr>
            <w:b/>
            <w:bCs/>
            <w:noProof/>
          </w:rPr>
          <w:t>7</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9D060" w14:textId="77777777" w:rsidR="00A47E2E" w:rsidRDefault="00A47E2E">
      <w:pPr>
        <w:spacing w:after="0" w:line="240" w:lineRule="auto"/>
      </w:pPr>
      <w:r>
        <w:separator/>
      </w:r>
    </w:p>
  </w:footnote>
  <w:footnote w:type="continuationSeparator" w:id="0">
    <w:p w14:paraId="2EA2190C" w14:textId="77777777" w:rsidR="00A47E2E" w:rsidRDefault="00A47E2E">
      <w:pPr>
        <w:spacing w:after="0" w:line="240" w:lineRule="auto"/>
      </w:pPr>
      <w:r>
        <w:continuationSeparator/>
      </w:r>
    </w:p>
  </w:footnote>
  <w:footnote w:type="continuationNotice" w:id="1">
    <w:p w14:paraId="0CF08343" w14:textId="77777777" w:rsidR="00A47E2E" w:rsidRDefault="00A47E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22A"/>
    <w:multiLevelType w:val="hybridMultilevel"/>
    <w:tmpl w:val="F5267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BF48A3"/>
    <w:multiLevelType w:val="hybridMultilevel"/>
    <w:tmpl w:val="C5281054"/>
    <w:lvl w:ilvl="0" w:tplc="A546E20A">
      <w:start w:val="1"/>
      <w:numFmt w:val="decimal"/>
      <w:lvlText w:val="%1."/>
      <w:lvlJc w:val="left"/>
      <w:pPr>
        <w:tabs>
          <w:tab w:val="num" w:pos="720"/>
        </w:tabs>
        <w:ind w:left="720" w:hanging="360"/>
      </w:pPr>
    </w:lvl>
    <w:lvl w:ilvl="1" w:tplc="48AAFEB2" w:tentative="1">
      <w:start w:val="1"/>
      <w:numFmt w:val="decimal"/>
      <w:lvlText w:val="%2."/>
      <w:lvlJc w:val="left"/>
      <w:pPr>
        <w:tabs>
          <w:tab w:val="num" w:pos="1440"/>
        </w:tabs>
        <w:ind w:left="1440" w:hanging="360"/>
      </w:pPr>
    </w:lvl>
    <w:lvl w:ilvl="2" w:tplc="A0486D16" w:tentative="1">
      <w:start w:val="1"/>
      <w:numFmt w:val="decimal"/>
      <w:lvlText w:val="%3."/>
      <w:lvlJc w:val="left"/>
      <w:pPr>
        <w:tabs>
          <w:tab w:val="num" w:pos="2160"/>
        </w:tabs>
        <w:ind w:left="2160" w:hanging="360"/>
      </w:pPr>
    </w:lvl>
    <w:lvl w:ilvl="3" w:tplc="79BECDFC" w:tentative="1">
      <w:start w:val="1"/>
      <w:numFmt w:val="decimal"/>
      <w:lvlText w:val="%4."/>
      <w:lvlJc w:val="left"/>
      <w:pPr>
        <w:tabs>
          <w:tab w:val="num" w:pos="2880"/>
        </w:tabs>
        <w:ind w:left="2880" w:hanging="360"/>
      </w:pPr>
    </w:lvl>
    <w:lvl w:ilvl="4" w:tplc="DB32C028" w:tentative="1">
      <w:start w:val="1"/>
      <w:numFmt w:val="decimal"/>
      <w:lvlText w:val="%5."/>
      <w:lvlJc w:val="left"/>
      <w:pPr>
        <w:tabs>
          <w:tab w:val="num" w:pos="3600"/>
        </w:tabs>
        <w:ind w:left="3600" w:hanging="360"/>
      </w:pPr>
    </w:lvl>
    <w:lvl w:ilvl="5" w:tplc="60BA15EC" w:tentative="1">
      <w:start w:val="1"/>
      <w:numFmt w:val="decimal"/>
      <w:lvlText w:val="%6."/>
      <w:lvlJc w:val="left"/>
      <w:pPr>
        <w:tabs>
          <w:tab w:val="num" w:pos="4320"/>
        </w:tabs>
        <w:ind w:left="4320" w:hanging="360"/>
      </w:pPr>
    </w:lvl>
    <w:lvl w:ilvl="6" w:tplc="5C6E660E" w:tentative="1">
      <w:start w:val="1"/>
      <w:numFmt w:val="decimal"/>
      <w:lvlText w:val="%7."/>
      <w:lvlJc w:val="left"/>
      <w:pPr>
        <w:tabs>
          <w:tab w:val="num" w:pos="5040"/>
        </w:tabs>
        <w:ind w:left="5040" w:hanging="360"/>
      </w:pPr>
    </w:lvl>
    <w:lvl w:ilvl="7" w:tplc="A22852DE" w:tentative="1">
      <w:start w:val="1"/>
      <w:numFmt w:val="decimal"/>
      <w:lvlText w:val="%8."/>
      <w:lvlJc w:val="left"/>
      <w:pPr>
        <w:tabs>
          <w:tab w:val="num" w:pos="5760"/>
        </w:tabs>
        <w:ind w:left="5760" w:hanging="360"/>
      </w:pPr>
    </w:lvl>
    <w:lvl w:ilvl="8" w:tplc="90CAFFF8" w:tentative="1">
      <w:start w:val="1"/>
      <w:numFmt w:val="decimal"/>
      <w:lvlText w:val="%9."/>
      <w:lvlJc w:val="left"/>
      <w:pPr>
        <w:tabs>
          <w:tab w:val="num" w:pos="6480"/>
        </w:tabs>
        <w:ind w:left="6480" w:hanging="360"/>
      </w:pPr>
    </w:lvl>
  </w:abstractNum>
  <w:abstractNum w:abstractNumId="2" w15:restartNumberingAfterBreak="0">
    <w:nsid w:val="07976C22"/>
    <w:multiLevelType w:val="hybridMultilevel"/>
    <w:tmpl w:val="8910C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AD5FFD"/>
    <w:multiLevelType w:val="hybridMultilevel"/>
    <w:tmpl w:val="6304FD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CD4CF3"/>
    <w:multiLevelType w:val="hybridMultilevel"/>
    <w:tmpl w:val="94027D9E"/>
    <w:lvl w:ilvl="0" w:tplc="87960894">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194C5B"/>
    <w:multiLevelType w:val="hybridMultilevel"/>
    <w:tmpl w:val="D828F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B25FA2"/>
    <w:multiLevelType w:val="hybridMultilevel"/>
    <w:tmpl w:val="71F2E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E55980"/>
    <w:multiLevelType w:val="hybridMultilevel"/>
    <w:tmpl w:val="2C44B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8945A8"/>
    <w:multiLevelType w:val="hybridMultilevel"/>
    <w:tmpl w:val="FD8C9E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613547"/>
    <w:multiLevelType w:val="hybridMultilevel"/>
    <w:tmpl w:val="C8B66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8B6CC5"/>
    <w:multiLevelType w:val="hybridMultilevel"/>
    <w:tmpl w:val="7452100E"/>
    <w:lvl w:ilvl="0" w:tplc="318055E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C928A4"/>
    <w:multiLevelType w:val="hybridMultilevel"/>
    <w:tmpl w:val="C78E3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D66D87"/>
    <w:multiLevelType w:val="hybridMultilevel"/>
    <w:tmpl w:val="2B56C9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AA69AB"/>
    <w:multiLevelType w:val="hybridMultilevel"/>
    <w:tmpl w:val="41862854"/>
    <w:lvl w:ilvl="0" w:tplc="69B0051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4745BF"/>
    <w:multiLevelType w:val="hybridMultilevel"/>
    <w:tmpl w:val="083683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DBD3922"/>
    <w:multiLevelType w:val="hybridMultilevel"/>
    <w:tmpl w:val="097C1484"/>
    <w:lvl w:ilvl="0" w:tplc="0C090015">
      <w:start w:val="1"/>
      <w:numFmt w:val="upp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E9E78E2"/>
    <w:multiLevelType w:val="hybridMultilevel"/>
    <w:tmpl w:val="F3F484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DC13A00"/>
    <w:multiLevelType w:val="hybridMultilevel"/>
    <w:tmpl w:val="00A4C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862E71"/>
    <w:multiLevelType w:val="hybridMultilevel"/>
    <w:tmpl w:val="E544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11"/>
  </w:num>
  <w:num w:numId="5">
    <w:abstractNumId w:val="7"/>
  </w:num>
  <w:num w:numId="6">
    <w:abstractNumId w:val="16"/>
  </w:num>
  <w:num w:numId="7">
    <w:abstractNumId w:val="1"/>
  </w:num>
  <w:num w:numId="8">
    <w:abstractNumId w:val="15"/>
  </w:num>
  <w:num w:numId="9">
    <w:abstractNumId w:val="2"/>
  </w:num>
  <w:num w:numId="10">
    <w:abstractNumId w:val="10"/>
  </w:num>
  <w:num w:numId="11">
    <w:abstractNumId w:val="5"/>
  </w:num>
  <w:num w:numId="12">
    <w:abstractNumId w:val="17"/>
  </w:num>
  <w:num w:numId="13">
    <w:abstractNumId w:val="18"/>
  </w:num>
  <w:num w:numId="14">
    <w:abstractNumId w:val="4"/>
  </w:num>
  <w:num w:numId="15">
    <w:abstractNumId w:val="0"/>
  </w:num>
  <w:num w:numId="16">
    <w:abstractNumId w:val="6"/>
  </w:num>
  <w:num w:numId="17">
    <w:abstractNumId w:val="3"/>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E8"/>
    <w:rsid w:val="000034F0"/>
    <w:rsid w:val="000132D7"/>
    <w:rsid w:val="00015741"/>
    <w:rsid w:val="000167C6"/>
    <w:rsid w:val="00017D3D"/>
    <w:rsid w:val="00044C17"/>
    <w:rsid w:val="00087515"/>
    <w:rsid w:val="0009617B"/>
    <w:rsid w:val="000A27A6"/>
    <w:rsid w:val="000B50F9"/>
    <w:rsid w:val="000C35F9"/>
    <w:rsid w:val="000C58DE"/>
    <w:rsid w:val="000D3D95"/>
    <w:rsid w:val="000D4975"/>
    <w:rsid w:val="000E5E2C"/>
    <w:rsid w:val="00103E1C"/>
    <w:rsid w:val="0010429A"/>
    <w:rsid w:val="00104D10"/>
    <w:rsid w:val="00113B6A"/>
    <w:rsid w:val="001511E2"/>
    <w:rsid w:val="00172547"/>
    <w:rsid w:val="001737EE"/>
    <w:rsid w:val="00181EF3"/>
    <w:rsid w:val="00182203"/>
    <w:rsid w:val="001B2F9B"/>
    <w:rsid w:val="001C5EDD"/>
    <w:rsid w:val="002059AF"/>
    <w:rsid w:val="002117E5"/>
    <w:rsid w:val="00242597"/>
    <w:rsid w:val="0024661C"/>
    <w:rsid w:val="002469C5"/>
    <w:rsid w:val="0025331A"/>
    <w:rsid w:val="002550EB"/>
    <w:rsid w:val="00280050"/>
    <w:rsid w:val="002B25FD"/>
    <w:rsid w:val="002C6918"/>
    <w:rsid w:val="002E1D93"/>
    <w:rsid w:val="002E4DD6"/>
    <w:rsid w:val="00301A40"/>
    <w:rsid w:val="00302D51"/>
    <w:rsid w:val="00315251"/>
    <w:rsid w:val="003162C0"/>
    <w:rsid w:val="0033436F"/>
    <w:rsid w:val="00344207"/>
    <w:rsid w:val="003464F4"/>
    <w:rsid w:val="00346974"/>
    <w:rsid w:val="00347708"/>
    <w:rsid w:val="003A01EB"/>
    <w:rsid w:val="00402289"/>
    <w:rsid w:val="0041004D"/>
    <w:rsid w:val="00414DD0"/>
    <w:rsid w:val="00423BB7"/>
    <w:rsid w:val="00455D48"/>
    <w:rsid w:val="00493075"/>
    <w:rsid w:val="00495AE8"/>
    <w:rsid w:val="004976CE"/>
    <w:rsid w:val="004A71DB"/>
    <w:rsid w:val="004B73E6"/>
    <w:rsid w:val="004C0890"/>
    <w:rsid w:val="004D281E"/>
    <w:rsid w:val="0050003F"/>
    <w:rsid w:val="00520AE6"/>
    <w:rsid w:val="00520BE6"/>
    <w:rsid w:val="0052607D"/>
    <w:rsid w:val="00537976"/>
    <w:rsid w:val="00574C35"/>
    <w:rsid w:val="00577E57"/>
    <w:rsid w:val="00596F31"/>
    <w:rsid w:val="005B4763"/>
    <w:rsid w:val="005C0C1C"/>
    <w:rsid w:val="005C2324"/>
    <w:rsid w:val="005D0FD1"/>
    <w:rsid w:val="005E2593"/>
    <w:rsid w:val="005E47B8"/>
    <w:rsid w:val="005E5ACE"/>
    <w:rsid w:val="005E76CE"/>
    <w:rsid w:val="006129AD"/>
    <w:rsid w:val="00627D4F"/>
    <w:rsid w:val="00674E68"/>
    <w:rsid w:val="006854FA"/>
    <w:rsid w:val="006C19D0"/>
    <w:rsid w:val="006F0065"/>
    <w:rsid w:val="006F1C03"/>
    <w:rsid w:val="006F3F52"/>
    <w:rsid w:val="006F6D4D"/>
    <w:rsid w:val="007274E8"/>
    <w:rsid w:val="007576D2"/>
    <w:rsid w:val="00772F60"/>
    <w:rsid w:val="00775A7A"/>
    <w:rsid w:val="00782957"/>
    <w:rsid w:val="007851E0"/>
    <w:rsid w:val="007942AD"/>
    <w:rsid w:val="0079444F"/>
    <w:rsid w:val="007A3FE9"/>
    <w:rsid w:val="007A6B1D"/>
    <w:rsid w:val="007A71CB"/>
    <w:rsid w:val="007B7429"/>
    <w:rsid w:val="007F67E5"/>
    <w:rsid w:val="00800292"/>
    <w:rsid w:val="00805D6E"/>
    <w:rsid w:val="008071FB"/>
    <w:rsid w:val="00834151"/>
    <w:rsid w:val="008349F5"/>
    <w:rsid w:val="00835D81"/>
    <w:rsid w:val="008473B7"/>
    <w:rsid w:val="00857F9A"/>
    <w:rsid w:val="00870D8C"/>
    <w:rsid w:val="008A111B"/>
    <w:rsid w:val="008A6051"/>
    <w:rsid w:val="008B2E40"/>
    <w:rsid w:val="008B4A1E"/>
    <w:rsid w:val="008B5F90"/>
    <w:rsid w:val="008D0B49"/>
    <w:rsid w:val="008D6125"/>
    <w:rsid w:val="008D7056"/>
    <w:rsid w:val="008F3C07"/>
    <w:rsid w:val="00906F41"/>
    <w:rsid w:val="00925145"/>
    <w:rsid w:val="00940DEB"/>
    <w:rsid w:val="0094262F"/>
    <w:rsid w:val="00983AEC"/>
    <w:rsid w:val="009866A9"/>
    <w:rsid w:val="009C1F39"/>
    <w:rsid w:val="009D3D9E"/>
    <w:rsid w:val="009E377E"/>
    <w:rsid w:val="009F66F9"/>
    <w:rsid w:val="00A15344"/>
    <w:rsid w:val="00A2230A"/>
    <w:rsid w:val="00A300CA"/>
    <w:rsid w:val="00A47E2E"/>
    <w:rsid w:val="00A62ED5"/>
    <w:rsid w:val="00A8101F"/>
    <w:rsid w:val="00AA4370"/>
    <w:rsid w:val="00AA69A2"/>
    <w:rsid w:val="00AD61B4"/>
    <w:rsid w:val="00AE3839"/>
    <w:rsid w:val="00AF2D92"/>
    <w:rsid w:val="00B0340F"/>
    <w:rsid w:val="00B570D3"/>
    <w:rsid w:val="00BD3AEB"/>
    <w:rsid w:val="00BD40FE"/>
    <w:rsid w:val="00BD5CFA"/>
    <w:rsid w:val="00BF16F0"/>
    <w:rsid w:val="00C023D0"/>
    <w:rsid w:val="00C218F0"/>
    <w:rsid w:val="00C2595E"/>
    <w:rsid w:val="00C32C34"/>
    <w:rsid w:val="00C76D91"/>
    <w:rsid w:val="00C826EC"/>
    <w:rsid w:val="00CB41FA"/>
    <w:rsid w:val="00CB6FA1"/>
    <w:rsid w:val="00CC18D1"/>
    <w:rsid w:val="00CF444D"/>
    <w:rsid w:val="00D0184B"/>
    <w:rsid w:val="00D042DF"/>
    <w:rsid w:val="00D17DC1"/>
    <w:rsid w:val="00D32789"/>
    <w:rsid w:val="00D81E43"/>
    <w:rsid w:val="00D865C2"/>
    <w:rsid w:val="00D915E7"/>
    <w:rsid w:val="00DB0090"/>
    <w:rsid w:val="00DB0569"/>
    <w:rsid w:val="00E041E4"/>
    <w:rsid w:val="00E15C3D"/>
    <w:rsid w:val="00E2799F"/>
    <w:rsid w:val="00E3465F"/>
    <w:rsid w:val="00E35E77"/>
    <w:rsid w:val="00E406F1"/>
    <w:rsid w:val="00E57608"/>
    <w:rsid w:val="00E731E4"/>
    <w:rsid w:val="00EB1679"/>
    <w:rsid w:val="00EB2811"/>
    <w:rsid w:val="00ED576F"/>
    <w:rsid w:val="00EF5352"/>
    <w:rsid w:val="00F03938"/>
    <w:rsid w:val="00F14D6C"/>
    <w:rsid w:val="00F155E8"/>
    <w:rsid w:val="00F16490"/>
    <w:rsid w:val="00F228D2"/>
    <w:rsid w:val="00F275F3"/>
    <w:rsid w:val="00F639BA"/>
    <w:rsid w:val="00F9078F"/>
    <w:rsid w:val="00FB7F26"/>
    <w:rsid w:val="00FC24FF"/>
    <w:rsid w:val="00FC315B"/>
    <w:rsid w:val="00FD43D4"/>
    <w:rsid w:val="00FE3370"/>
    <w:rsid w:val="00FE6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352B52"/>
  <w15:chartTrackingRefBased/>
  <w15:docId w15:val="{A826346F-5316-4CBE-A68D-7BB7C41E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5E8"/>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F155E8"/>
    <w:pPr>
      <w:keepNext/>
      <w:keepLines/>
      <w:spacing w:before="240" w:after="0"/>
      <w:outlineLvl w:val="0"/>
    </w:pPr>
    <w:rPr>
      <w:rFonts w:ascii="Calibri" w:eastAsiaTheme="majorEastAsia" w:hAnsi="Calibr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55E8"/>
    <w:pPr>
      <w:keepNext/>
      <w:keepLines/>
      <w:spacing w:before="40" w:after="0"/>
      <w:outlineLvl w:val="1"/>
    </w:pPr>
    <w:rPr>
      <w:rFonts w:ascii="Calibri" w:eastAsiaTheme="majorEastAsia" w:hAnsi="Calibr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55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E8"/>
    <w:rPr>
      <w:rFonts w:ascii="Calibri" w:eastAsiaTheme="majorEastAsia" w:hAnsi="Calibri" w:cstheme="majorBidi"/>
      <w:color w:val="2E74B5" w:themeColor="accent1" w:themeShade="BF"/>
      <w:sz w:val="32"/>
      <w:szCs w:val="32"/>
    </w:rPr>
  </w:style>
  <w:style w:type="character" w:customStyle="1" w:styleId="Heading2Char">
    <w:name w:val="Heading 2 Char"/>
    <w:basedOn w:val="DefaultParagraphFont"/>
    <w:link w:val="Heading2"/>
    <w:uiPriority w:val="9"/>
    <w:rsid w:val="00F155E8"/>
    <w:rPr>
      <w:rFonts w:ascii="Calibri" w:eastAsiaTheme="majorEastAsia" w:hAnsi="Calibri" w:cstheme="majorBidi"/>
      <w:color w:val="2E74B5" w:themeColor="accent1" w:themeShade="BF"/>
      <w:sz w:val="26"/>
      <w:szCs w:val="26"/>
    </w:rPr>
  </w:style>
  <w:style w:type="character" w:customStyle="1" w:styleId="Heading3Char">
    <w:name w:val="Heading 3 Char"/>
    <w:basedOn w:val="DefaultParagraphFont"/>
    <w:link w:val="Heading3"/>
    <w:uiPriority w:val="9"/>
    <w:rsid w:val="00F155E8"/>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F15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5E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155E8"/>
    <w:rPr>
      <w:color w:val="0563C1" w:themeColor="hyperlink"/>
      <w:u w:val="single"/>
    </w:rPr>
  </w:style>
  <w:style w:type="table" w:styleId="TableGrid">
    <w:name w:val="Table Grid"/>
    <w:basedOn w:val="TableNormal"/>
    <w:uiPriority w:val="39"/>
    <w:rsid w:val="00F155E8"/>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0Bullet,1 heading,Bullet point,Bulleted Para,Dot point 1.5 line spacing,Indented bullet,L,List Paragraph - bullets,List Paragraph1,List Paragraph11,List Paragraph111,List Paragraph2,NFP GP Bulleted List,Recommendation,bullet point list,列"/>
    <w:basedOn w:val="Normal"/>
    <w:link w:val="ListParagraphChar"/>
    <w:uiPriority w:val="34"/>
    <w:qFormat/>
    <w:rsid w:val="00F155E8"/>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0Bullet Char,1 heading Char,Bullet point Char,Bulleted Para Char,Dot point 1.5 line spacing Char,Indented bullet Char,L Char,List Paragraph - bullets Char,List Paragraph1 Char,List Paragraph11 Char,List Paragraph111 Char,列 Char"/>
    <w:basedOn w:val="DefaultParagraphFont"/>
    <w:link w:val="ListParagraph"/>
    <w:uiPriority w:val="34"/>
    <w:qFormat/>
    <w:locked/>
    <w:rsid w:val="00F155E8"/>
    <w:rPr>
      <w:rFonts w:eastAsia="Times New Roman"/>
    </w:rPr>
  </w:style>
  <w:style w:type="paragraph" w:styleId="TOCHeading">
    <w:name w:val="TOC Heading"/>
    <w:basedOn w:val="Heading1"/>
    <w:next w:val="Normal"/>
    <w:uiPriority w:val="39"/>
    <w:unhideWhenUsed/>
    <w:qFormat/>
    <w:rsid w:val="00F155E8"/>
    <w:pPr>
      <w:spacing w:line="259" w:lineRule="auto"/>
      <w:outlineLvl w:val="9"/>
    </w:pPr>
    <w:rPr>
      <w:rFonts w:asciiTheme="majorHAnsi" w:hAnsiTheme="majorHAnsi"/>
      <w:lang w:val="en-US"/>
    </w:rPr>
  </w:style>
  <w:style w:type="paragraph" w:styleId="TOC2">
    <w:name w:val="toc 2"/>
    <w:basedOn w:val="Normal"/>
    <w:next w:val="Normal"/>
    <w:autoRedefine/>
    <w:uiPriority w:val="39"/>
    <w:unhideWhenUsed/>
    <w:rsid w:val="00F155E8"/>
    <w:pPr>
      <w:spacing w:after="100"/>
      <w:ind w:left="220"/>
    </w:pPr>
  </w:style>
  <w:style w:type="paragraph" w:styleId="TOC1">
    <w:name w:val="toc 1"/>
    <w:basedOn w:val="Normal"/>
    <w:next w:val="Normal"/>
    <w:autoRedefine/>
    <w:uiPriority w:val="39"/>
    <w:unhideWhenUsed/>
    <w:rsid w:val="00F155E8"/>
    <w:pPr>
      <w:spacing w:after="100"/>
    </w:pPr>
  </w:style>
  <w:style w:type="paragraph" w:styleId="TOC3">
    <w:name w:val="toc 3"/>
    <w:basedOn w:val="Normal"/>
    <w:next w:val="Normal"/>
    <w:autoRedefine/>
    <w:uiPriority w:val="39"/>
    <w:unhideWhenUsed/>
    <w:rsid w:val="00F155E8"/>
    <w:pPr>
      <w:spacing w:after="100"/>
      <w:ind w:left="440"/>
    </w:pPr>
  </w:style>
  <w:style w:type="paragraph" w:styleId="Footer">
    <w:name w:val="footer"/>
    <w:basedOn w:val="Normal"/>
    <w:link w:val="FooterChar"/>
    <w:uiPriority w:val="99"/>
    <w:unhideWhenUsed/>
    <w:rsid w:val="00F15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5E8"/>
    <w:rPr>
      <w:rFonts w:asciiTheme="minorHAnsi" w:hAnsiTheme="minorHAnsi" w:cstheme="minorBidi"/>
      <w:sz w:val="22"/>
      <w:szCs w:val="22"/>
    </w:rPr>
  </w:style>
  <w:style w:type="paragraph" w:styleId="Header">
    <w:name w:val="header"/>
    <w:basedOn w:val="Normal"/>
    <w:link w:val="HeaderChar"/>
    <w:uiPriority w:val="99"/>
    <w:unhideWhenUsed/>
    <w:rsid w:val="00AF2D92"/>
    <w:pPr>
      <w:tabs>
        <w:tab w:val="center" w:pos="4513"/>
        <w:tab w:val="right" w:pos="9026"/>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AF2D92"/>
  </w:style>
  <w:style w:type="paragraph" w:styleId="BodyText">
    <w:name w:val="Body Text"/>
    <w:link w:val="BodyTextChar"/>
    <w:rsid w:val="00495AE8"/>
    <w:pPr>
      <w:spacing w:after="120" w:line="276" w:lineRule="auto"/>
    </w:pPr>
    <w:rPr>
      <w:rFonts w:ascii="Calibri" w:eastAsia="Calibri" w:hAnsi="Calibri" w:cs="Calibri"/>
      <w:sz w:val="22"/>
      <w:szCs w:val="20"/>
    </w:rPr>
  </w:style>
  <w:style w:type="character" w:customStyle="1" w:styleId="BodyTextChar">
    <w:name w:val="Body Text Char"/>
    <w:basedOn w:val="DefaultParagraphFont"/>
    <w:link w:val="BodyText"/>
    <w:rsid w:val="00495AE8"/>
    <w:rPr>
      <w:rFonts w:ascii="Calibri" w:eastAsia="Calibri" w:hAnsi="Calibri" w:cs="Calibri"/>
      <w:sz w:val="22"/>
      <w:szCs w:val="20"/>
    </w:rPr>
  </w:style>
  <w:style w:type="paragraph" w:customStyle="1" w:styleId="Default">
    <w:name w:val="Default"/>
    <w:rsid w:val="00495AE8"/>
    <w:pPr>
      <w:autoSpaceDE w:val="0"/>
      <w:autoSpaceDN w:val="0"/>
      <w:adjustRightInd w:val="0"/>
      <w:spacing w:after="0" w:line="240" w:lineRule="auto"/>
    </w:pPr>
    <w:rPr>
      <w:rFonts w:ascii="Segoe UI" w:hAnsi="Segoe UI" w:cs="Segoe UI"/>
      <w:color w:val="000000"/>
    </w:rPr>
  </w:style>
  <w:style w:type="table" w:styleId="GridTable1Light-Accent5">
    <w:name w:val="Grid Table 1 Light Accent 5"/>
    <w:basedOn w:val="TableNormal"/>
    <w:uiPriority w:val="46"/>
    <w:rsid w:val="00F03938"/>
    <w:pPr>
      <w:spacing w:after="0" w:line="240" w:lineRule="auto"/>
    </w:pPr>
    <w:rPr>
      <w:rFonts w:asciiTheme="minorHAnsi" w:hAnsiTheme="minorHAnsi" w:cstheme="minorBid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26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07D"/>
    <w:rPr>
      <w:rFonts w:ascii="Segoe UI" w:hAnsi="Segoe UI" w:cs="Segoe UI"/>
      <w:sz w:val="18"/>
      <w:szCs w:val="18"/>
    </w:rPr>
  </w:style>
  <w:style w:type="character" w:styleId="FollowedHyperlink">
    <w:name w:val="FollowedHyperlink"/>
    <w:basedOn w:val="DefaultParagraphFont"/>
    <w:uiPriority w:val="99"/>
    <w:semiHidden/>
    <w:unhideWhenUsed/>
    <w:rsid w:val="00017D3D"/>
    <w:rPr>
      <w:color w:val="954F72" w:themeColor="followedHyperlink"/>
      <w:u w:val="single"/>
    </w:rPr>
  </w:style>
  <w:style w:type="character" w:styleId="CommentReference">
    <w:name w:val="annotation reference"/>
    <w:basedOn w:val="DefaultParagraphFont"/>
    <w:uiPriority w:val="99"/>
    <w:semiHidden/>
    <w:unhideWhenUsed/>
    <w:rsid w:val="00017D3D"/>
    <w:rPr>
      <w:sz w:val="16"/>
      <w:szCs w:val="16"/>
    </w:rPr>
  </w:style>
  <w:style w:type="paragraph" w:styleId="CommentText">
    <w:name w:val="annotation text"/>
    <w:basedOn w:val="Normal"/>
    <w:link w:val="CommentTextChar"/>
    <w:uiPriority w:val="99"/>
    <w:semiHidden/>
    <w:unhideWhenUsed/>
    <w:rsid w:val="00017D3D"/>
    <w:pPr>
      <w:spacing w:line="240" w:lineRule="auto"/>
    </w:pPr>
    <w:rPr>
      <w:sz w:val="20"/>
      <w:szCs w:val="20"/>
    </w:rPr>
  </w:style>
  <w:style w:type="character" w:customStyle="1" w:styleId="CommentTextChar">
    <w:name w:val="Comment Text Char"/>
    <w:basedOn w:val="DefaultParagraphFont"/>
    <w:link w:val="CommentText"/>
    <w:uiPriority w:val="99"/>
    <w:semiHidden/>
    <w:rsid w:val="00017D3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17D3D"/>
    <w:rPr>
      <w:b/>
      <w:bCs/>
    </w:rPr>
  </w:style>
  <w:style w:type="character" w:customStyle="1" w:styleId="CommentSubjectChar">
    <w:name w:val="Comment Subject Char"/>
    <w:basedOn w:val="CommentTextChar"/>
    <w:link w:val="CommentSubject"/>
    <w:uiPriority w:val="99"/>
    <w:semiHidden/>
    <w:rsid w:val="00017D3D"/>
    <w:rPr>
      <w:rFonts w:asciiTheme="minorHAnsi" w:hAnsiTheme="minorHAnsi" w:cstheme="minorBidi"/>
      <w:b/>
      <w:bCs/>
      <w:sz w:val="20"/>
      <w:szCs w:val="20"/>
    </w:rPr>
  </w:style>
  <w:style w:type="paragraph" w:styleId="Revision">
    <w:name w:val="Revision"/>
    <w:hidden/>
    <w:uiPriority w:val="99"/>
    <w:semiHidden/>
    <w:rsid w:val="00017D3D"/>
    <w:pPr>
      <w:spacing w:after="0" w:line="240" w:lineRule="auto"/>
    </w:pPr>
    <w:rPr>
      <w:rFonts w:asciiTheme="minorHAnsi" w:hAnsiTheme="minorHAnsi" w:cstheme="minorBidi"/>
      <w:sz w:val="22"/>
      <w:szCs w:val="22"/>
    </w:rPr>
  </w:style>
  <w:style w:type="character" w:customStyle="1" w:styleId="UnresolvedMention1">
    <w:name w:val="Unresolved Mention1"/>
    <w:basedOn w:val="DefaultParagraphFont"/>
    <w:uiPriority w:val="99"/>
    <w:semiHidden/>
    <w:unhideWhenUsed/>
    <w:rsid w:val="006129AD"/>
    <w:rPr>
      <w:color w:val="605E5C"/>
      <w:shd w:val="clear" w:color="auto" w:fill="E1DFDD"/>
    </w:rPr>
  </w:style>
  <w:style w:type="character" w:customStyle="1" w:styleId="UnresolvedMention">
    <w:name w:val="Unresolved Mention"/>
    <w:basedOn w:val="DefaultParagraphFont"/>
    <w:uiPriority w:val="99"/>
    <w:semiHidden/>
    <w:unhideWhenUsed/>
    <w:rsid w:val="0078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6799">
      <w:bodyDiv w:val="1"/>
      <w:marLeft w:val="0"/>
      <w:marRight w:val="0"/>
      <w:marTop w:val="0"/>
      <w:marBottom w:val="0"/>
      <w:divBdr>
        <w:top w:val="none" w:sz="0" w:space="0" w:color="auto"/>
        <w:left w:val="none" w:sz="0" w:space="0" w:color="auto"/>
        <w:bottom w:val="none" w:sz="0" w:space="0" w:color="auto"/>
        <w:right w:val="none" w:sz="0" w:space="0" w:color="auto"/>
      </w:divBdr>
    </w:div>
    <w:div w:id="193509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mrff-mission-governance"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nsultations.health.gov.au/health-economics-and-research-division/mrff-ihr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initiatives-and-programs/indigenous-health-research-fund-initiative"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C6D47A0E9E8754289146970922C968D" ma:contentTypeVersion="" ma:contentTypeDescription="PDMS Document Site Content Type" ma:contentTypeScope="" ma:versionID="e232514505981dbaa61547136d462f49">
  <xsd:schema xmlns:xsd="http://www.w3.org/2001/XMLSchema" xmlns:xs="http://www.w3.org/2001/XMLSchema" xmlns:p="http://schemas.microsoft.com/office/2006/metadata/properties" xmlns:ns2="DF751AE2-8B75-4B53-9254-1F1A0A1E3D1E" targetNamespace="http://schemas.microsoft.com/office/2006/metadata/properties" ma:root="true" ma:fieldsID="71aa41b0991d0e07aae1264632c60867" ns2:_="">
    <xsd:import namespace="DF751AE2-8B75-4B53-9254-1F1A0A1E3D1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51AE2-8B75-4B53-9254-1F1A0A1E3D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F751AE2-8B75-4B53-9254-1F1A0A1E3D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3AC79-8BA8-4BCA-8F10-57373BD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51AE2-8B75-4B53-9254-1F1A0A1E3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9C9B3-918D-4D8A-87CF-6E4F4F323E9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751AE2-8B75-4B53-9254-1F1A0A1E3D1E"/>
    <ds:schemaRef ds:uri="http://www.w3.org/XML/1998/namespace"/>
    <ds:schemaRef ds:uri="http://purl.org/dc/dcmitype/"/>
  </ds:schemaRefs>
</ds:datastoreItem>
</file>

<file path=customXml/itemProps3.xml><?xml version="1.0" encoding="utf-8"?>
<ds:datastoreItem xmlns:ds="http://schemas.openxmlformats.org/officeDocument/2006/customXml" ds:itemID="{89B8B48E-2720-4940-B109-8E21DFC1048E}">
  <ds:schemaRefs>
    <ds:schemaRef ds:uri="http://schemas.microsoft.com/sharepoint/v3/contenttype/forms"/>
  </ds:schemaRefs>
</ds:datastoreItem>
</file>

<file path=customXml/itemProps4.xml><?xml version="1.0" encoding="utf-8"?>
<ds:datastoreItem xmlns:ds="http://schemas.openxmlformats.org/officeDocument/2006/customXml" ds:itemID="{69EB1E1D-B9E3-401C-A3A6-183DC3F9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1814</Words>
  <Characters>10344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Indigenous Health Reseach Fun
Roadmap and Implementation Plan
National Consultation Report</vt:lpstr>
    </vt:vector>
  </TitlesOfParts>
  <Company>Department of Health</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Health Reseach Fun
Roadmap and Implementation Plan
National Consultation Report</dc:title>
  <dc:subject/>
  <dc:creator>Australian Goverment Department of Health</dc:creator>
  <cp:keywords>"Medical Research Future Fund; MRFF; Indigenous Health Research Fund</cp:keywords>
  <dc:description/>
  <cp:lastModifiedBy>HAMLEY, Erynn</cp:lastModifiedBy>
  <cp:revision>2</cp:revision>
  <cp:lastPrinted>2020-10-21T00:47:00Z</cp:lastPrinted>
  <dcterms:created xsi:type="dcterms:W3CDTF">2021-12-20T01:42:00Z</dcterms:created>
  <dcterms:modified xsi:type="dcterms:W3CDTF">2021-12-20T01:42:00Z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0x010100266966F133664895A6EE3632470D45F5000C6D47A0E9E8754289146970922C968D</vt:lpwstr>
  </property>
</Properties>
</file>