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4684" w14:textId="77777777" w:rsidR="005647AE" w:rsidRPr="00891E43" w:rsidRDefault="00C663CB" w:rsidP="005647AE">
      <w:pPr>
        <w:pStyle w:val="Title"/>
        <w:rPr>
          <w:b/>
          <w:bCs/>
        </w:rPr>
      </w:pPr>
      <w:r>
        <w:rPr>
          <w:b/>
          <w:bCs/>
        </w:rPr>
        <w:t xml:space="preserve">Medicare </w:t>
      </w:r>
      <w:r w:rsidR="005647AE" w:rsidRPr="00891E43">
        <w:rPr>
          <w:b/>
          <w:bCs/>
        </w:rPr>
        <w:t xml:space="preserve">Telehealth </w:t>
      </w:r>
      <w:r>
        <w:rPr>
          <w:b/>
          <w:bCs/>
        </w:rPr>
        <w:t>Services</w:t>
      </w:r>
      <w:r w:rsidR="005647AE" w:rsidRPr="00891E43">
        <w:rPr>
          <w:b/>
          <w:bCs/>
        </w:rPr>
        <w:t xml:space="preserve"> </w:t>
      </w:r>
      <w:r w:rsidR="004370F8">
        <w:rPr>
          <w:b/>
          <w:bCs/>
        </w:rPr>
        <w:t>Consumer information</w:t>
      </w:r>
    </w:p>
    <w:p w14:paraId="00A71424" w14:textId="77777777" w:rsidR="00E545EB" w:rsidRPr="00E545EB" w:rsidRDefault="005647AE" w:rsidP="009B749E">
      <w:pPr>
        <w:pStyle w:val="Heading2"/>
        <w:spacing w:before="120" w:after="120"/>
      </w:pPr>
      <w:r>
        <w:rPr>
          <w:b/>
          <w:bCs w:val="0"/>
          <w:sz w:val="30"/>
          <w:szCs w:val="30"/>
        </w:rPr>
        <w:t xml:space="preserve">General Practitioners, </w:t>
      </w:r>
      <w:r w:rsidR="004370F8">
        <w:rPr>
          <w:b/>
          <w:bCs w:val="0"/>
          <w:sz w:val="30"/>
          <w:szCs w:val="30"/>
        </w:rPr>
        <w:t xml:space="preserve">Specialists, </w:t>
      </w:r>
      <w:r>
        <w:rPr>
          <w:b/>
          <w:bCs w:val="0"/>
          <w:sz w:val="30"/>
          <w:szCs w:val="30"/>
        </w:rPr>
        <w:t xml:space="preserve">Nurse Practitioners, Midwives, Practice Nurses and Allied Health Providers </w:t>
      </w:r>
    </w:p>
    <w:p w14:paraId="24BC68EB" w14:textId="77777777" w:rsidR="004D4ACD" w:rsidRDefault="004D4ACD" w:rsidP="004D4ACD">
      <w:pPr>
        <w:sectPr w:rsidR="004D4ACD" w:rsidSect="004D4ACD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11CFEB" w14:textId="77777777" w:rsidR="004370F8" w:rsidRPr="004370F8" w:rsidRDefault="004370F8" w:rsidP="004370F8">
      <w:pPr>
        <w:rPr>
          <w:rFonts w:ascii="Arial" w:eastAsia="Times New Roman" w:hAnsi="Arial"/>
          <w:color w:val="000000" w:themeColor="text1"/>
          <w:sz w:val="21"/>
        </w:rPr>
      </w:pPr>
      <w:r w:rsidRPr="004370F8">
        <w:rPr>
          <w:rFonts w:ascii="Arial" w:eastAsia="Times New Roman" w:hAnsi="Arial"/>
          <w:color w:val="000000" w:themeColor="text1"/>
          <w:sz w:val="21"/>
        </w:rPr>
        <w:t xml:space="preserve">The temporary COVID-19 Medical Benefits Schedule (MBS) telehealth items, introduced on 13 March 2020, have been successful in reducing the risk of COVID-19 community transmission and has provided protection for patients and health care providers alike.   </w:t>
      </w:r>
    </w:p>
    <w:p w14:paraId="256259D4" w14:textId="77777777" w:rsidR="00C663CB" w:rsidRPr="00C663CB" w:rsidRDefault="00C663CB" w:rsidP="00C663CB">
      <w:pPr>
        <w:rPr>
          <w:rFonts w:ascii="Arial" w:eastAsia="Times New Roman" w:hAnsi="Arial"/>
          <w:color w:val="000000" w:themeColor="text1"/>
          <w:sz w:val="21"/>
        </w:rPr>
      </w:pPr>
      <w:r>
        <w:rPr>
          <w:rFonts w:ascii="Arial" w:eastAsia="Times New Roman" w:hAnsi="Arial"/>
          <w:color w:val="000000" w:themeColor="text1"/>
          <w:sz w:val="21"/>
        </w:rPr>
        <w:t>T</w:t>
      </w:r>
      <w:r w:rsidR="004370F8" w:rsidRPr="004370F8">
        <w:rPr>
          <w:rFonts w:ascii="Arial" w:eastAsia="Times New Roman" w:hAnsi="Arial"/>
          <w:color w:val="000000" w:themeColor="text1"/>
          <w:sz w:val="21"/>
        </w:rPr>
        <w:t xml:space="preserve">he </w:t>
      </w:r>
      <w:r w:rsidR="004370F8">
        <w:rPr>
          <w:rFonts w:ascii="Arial" w:eastAsia="Times New Roman" w:hAnsi="Arial"/>
          <w:color w:val="000000" w:themeColor="text1"/>
          <w:sz w:val="21"/>
        </w:rPr>
        <w:t xml:space="preserve">Australian </w:t>
      </w:r>
      <w:r w:rsidR="004370F8" w:rsidRPr="004370F8">
        <w:rPr>
          <w:rFonts w:ascii="Arial" w:eastAsia="Times New Roman" w:hAnsi="Arial"/>
          <w:color w:val="000000" w:themeColor="text1"/>
          <w:sz w:val="21"/>
        </w:rPr>
        <w:t xml:space="preserve">Government has worked with experts to design telehealth </w:t>
      </w:r>
      <w:r>
        <w:rPr>
          <w:rFonts w:ascii="Arial" w:eastAsia="Times New Roman" w:hAnsi="Arial"/>
          <w:color w:val="000000" w:themeColor="text1"/>
          <w:sz w:val="21"/>
        </w:rPr>
        <w:t>services that will continue from 1 January 2022</w:t>
      </w:r>
      <w:r w:rsidR="00F3511E">
        <w:rPr>
          <w:rFonts w:ascii="Arial" w:eastAsia="Times New Roman" w:hAnsi="Arial"/>
          <w:color w:val="000000" w:themeColor="text1"/>
          <w:sz w:val="21"/>
        </w:rPr>
        <w:t>.</w:t>
      </w:r>
      <w:r>
        <w:rPr>
          <w:rFonts w:ascii="Arial" w:eastAsia="Times New Roman" w:hAnsi="Arial"/>
          <w:color w:val="000000" w:themeColor="text1"/>
          <w:sz w:val="21"/>
        </w:rPr>
        <w:t xml:space="preserve"> </w:t>
      </w:r>
      <w:r w:rsidRPr="00C663CB">
        <w:rPr>
          <w:rFonts w:ascii="Arial" w:eastAsia="Times New Roman" w:hAnsi="Arial"/>
          <w:color w:val="000000" w:themeColor="text1"/>
          <w:sz w:val="21"/>
        </w:rPr>
        <w:t>M</w:t>
      </w:r>
      <w:r w:rsidR="004370F8" w:rsidRPr="00C663CB">
        <w:rPr>
          <w:rFonts w:ascii="Arial" w:eastAsia="Times New Roman" w:hAnsi="Arial"/>
          <w:color w:val="000000" w:themeColor="text1"/>
          <w:sz w:val="21"/>
        </w:rPr>
        <w:t xml:space="preserve">any of the telehealth services that </w:t>
      </w:r>
      <w:r w:rsidRPr="00C663CB">
        <w:rPr>
          <w:rFonts w:ascii="Arial" w:eastAsia="Times New Roman" w:hAnsi="Arial"/>
          <w:color w:val="000000" w:themeColor="text1"/>
          <w:sz w:val="21"/>
        </w:rPr>
        <w:t>have benefited patients since March 2020 continue in their current form</w:t>
      </w:r>
      <w:r w:rsidR="004370F8" w:rsidRPr="00C663CB">
        <w:rPr>
          <w:rFonts w:ascii="Arial" w:eastAsia="Times New Roman" w:hAnsi="Arial"/>
          <w:color w:val="000000" w:themeColor="text1"/>
          <w:sz w:val="21"/>
        </w:rPr>
        <w:t xml:space="preserve">. </w:t>
      </w:r>
    </w:p>
    <w:p w14:paraId="491CE804" w14:textId="77777777" w:rsidR="0017599D" w:rsidRPr="00C663CB" w:rsidRDefault="00C663CB" w:rsidP="00C663CB">
      <w:pPr>
        <w:rPr>
          <w:rFonts w:ascii="Arial" w:eastAsia="Times New Roman" w:hAnsi="Arial"/>
          <w:color w:val="000000" w:themeColor="text1"/>
          <w:sz w:val="21"/>
        </w:rPr>
      </w:pPr>
      <w:r>
        <w:rPr>
          <w:rFonts w:ascii="Arial" w:eastAsia="Times New Roman" w:hAnsi="Arial"/>
          <w:color w:val="000000" w:themeColor="text1"/>
          <w:sz w:val="21"/>
        </w:rPr>
        <w:t xml:space="preserve">Making temporary COVID-19 </w:t>
      </w:r>
      <w:r w:rsidRPr="00C663CB">
        <w:rPr>
          <w:rFonts w:ascii="Arial" w:eastAsia="Times New Roman" w:hAnsi="Arial"/>
          <w:color w:val="000000" w:themeColor="text1"/>
          <w:sz w:val="21"/>
        </w:rPr>
        <w:t xml:space="preserve">telehealth </w:t>
      </w:r>
      <w:r>
        <w:rPr>
          <w:rFonts w:ascii="Arial" w:eastAsia="Times New Roman" w:hAnsi="Arial"/>
          <w:color w:val="000000" w:themeColor="text1"/>
          <w:sz w:val="21"/>
        </w:rPr>
        <w:t xml:space="preserve">services an </w:t>
      </w:r>
      <w:r w:rsidRPr="00C663CB">
        <w:rPr>
          <w:rFonts w:ascii="Arial" w:eastAsia="Times New Roman" w:hAnsi="Arial"/>
          <w:color w:val="000000" w:themeColor="text1"/>
          <w:sz w:val="21"/>
        </w:rPr>
        <w:t xml:space="preserve">ongoing part of Medicare will include some changes to align with evidence and expert advice. This will help ensure patients receive high quality, high value telehealth </w:t>
      </w:r>
      <w:r>
        <w:rPr>
          <w:rFonts w:ascii="Arial" w:eastAsia="Times New Roman" w:hAnsi="Arial"/>
          <w:color w:val="000000" w:themeColor="text1"/>
          <w:sz w:val="21"/>
        </w:rPr>
        <w:t xml:space="preserve">as part of the </w:t>
      </w:r>
      <w:r w:rsidRPr="00C663CB">
        <w:rPr>
          <w:rFonts w:ascii="Arial" w:eastAsia="Times New Roman" w:hAnsi="Arial"/>
          <w:color w:val="000000" w:themeColor="text1"/>
          <w:sz w:val="21"/>
        </w:rPr>
        <w:t xml:space="preserve">range of </w:t>
      </w:r>
      <w:r>
        <w:rPr>
          <w:rFonts w:ascii="Arial" w:eastAsia="Times New Roman" w:hAnsi="Arial"/>
          <w:color w:val="000000" w:themeColor="text1"/>
          <w:sz w:val="21"/>
        </w:rPr>
        <w:t xml:space="preserve">Medicare </w:t>
      </w:r>
      <w:r w:rsidRPr="00C663CB">
        <w:rPr>
          <w:rFonts w:ascii="Arial" w:eastAsia="Times New Roman" w:hAnsi="Arial"/>
          <w:color w:val="000000" w:themeColor="text1"/>
          <w:sz w:val="21"/>
        </w:rPr>
        <w:t>services</w:t>
      </w:r>
      <w:r>
        <w:rPr>
          <w:rFonts w:ascii="Arial" w:eastAsia="Times New Roman" w:hAnsi="Arial"/>
          <w:color w:val="000000" w:themeColor="text1"/>
          <w:sz w:val="21"/>
        </w:rPr>
        <w:t xml:space="preserve"> they use</w:t>
      </w:r>
      <w:r w:rsidRPr="00C663CB">
        <w:rPr>
          <w:rFonts w:ascii="Arial" w:eastAsia="Times New Roman" w:hAnsi="Arial"/>
          <w:color w:val="000000" w:themeColor="text1"/>
          <w:sz w:val="21"/>
        </w:rPr>
        <w:t>.</w:t>
      </w:r>
    </w:p>
    <w:p w14:paraId="74FDBEA9" w14:textId="77777777" w:rsidR="004D4ACD" w:rsidRPr="0070773D" w:rsidRDefault="004D4ACD" w:rsidP="004D4ACD">
      <w:pPr>
        <w:pStyle w:val="Heading2"/>
        <w:shd w:val="clear" w:color="auto" w:fill="F2F2F2" w:themeFill="background1" w:themeFillShade="F2"/>
        <w:spacing w:before="120"/>
        <w:rPr>
          <w:sz w:val="24"/>
          <w:szCs w:val="24"/>
        </w:rPr>
      </w:pPr>
      <w:r w:rsidRPr="0070773D">
        <w:rPr>
          <w:sz w:val="24"/>
          <w:szCs w:val="24"/>
        </w:rPr>
        <w:t>From 1 January 2022:</w:t>
      </w:r>
    </w:p>
    <w:p w14:paraId="45885819" w14:textId="77777777" w:rsidR="004370F8" w:rsidRDefault="004370F8" w:rsidP="009B749E">
      <w:pPr>
        <w:pStyle w:val="ListBullet"/>
        <w:shd w:val="clear" w:color="auto" w:fill="F2F2F2" w:themeFill="background1" w:themeFillShade="F2"/>
      </w:pPr>
      <w:r>
        <w:t xml:space="preserve">Eligible patients all around Australia will continue to have access GP, Specialists, nursing, midwifery and allied health services via telehealth where the health professional deems it clinically appropriate. </w:t>
      </w:r>
    </w:p>
    <w:p w14:paraId="1AA896EB" w14:textId="77777777" w:rsidR="004370F8" w:rsidRDefault="004370F8" w:rsidP="009B749E">
      <w:pPr>
        <w:pStyle w:val="ListBullet"/>
        <w:shd w:val="clear" w:color="auto" w:fill="F2F2F2" w:themeFill="background1" w:themeFillShade="F2"/>
      </w:pPr>
      <w:r>
        <w:t>An extended GP telephone consultation item, specifically for people living in remote regions of Australia, will be introduced.</w:t>
      </w:r>
    </w:p>
    <w:p w14:paraId="50B2750F" w14:textId="77777777" w:rsidR="004370F8" w:rsidRDefault="004370F8" w:rsidP="009B749E">
      <w:pPr>
        <w:pStyle w:val="ListBullet"/>
        <w:shd w:val="clear" w:color="auto" w:fill="F2F2F2" w:themeFill="background1" w:themeFillShade="F2"/>
      </w:pPr>
      <w:r>
        <w:t>Specialist telehealth services will</w:t>
      </w:r>
      <w:r w:rsidR="00E078B6" w:rsidRPr="00E078B6">
        <w:t xml:space="preserve"> </w:t>
      </w:r>
      <w:r w:rsidR="00C663CB">
        <w:t xml:space="preserve">more closely </w:t>
      </w:r>
      <w:r w:rsidR="00E078B6">
        <w:t xml:space="preserve">align with </w:t>
      </w:r>
      <w:r w:rsidR="00781515">
        <w:t>advice that video services support higher quality consultations than phone. F</w:t>
      </w:r>
      <w:r>
        <w:t xml:space="preserve">ace-to-face and video services </w:t>
      </w:r>
      <w:r w:rsidR="00781515">
        <w:t xml:space="preserve">are </w:t>
      </w:r>
      <w:r>
        <w:t xml:space="preserve">available for initial and complex consultations, </w:t>
      </w:r>
      <w:r w:rsidR="00781515">
        <w:t xml:space="preserve">with </w:t>
      </w:r>
      <w:r>
        <w:t xml:space="preserve">telephone services </w:t>
      </w:r>
      <w:r w:rsidR="003D3196">
        <w:t xml:space="preserve">also available </w:t>
      </w:r>
      <w:r>
        <w:t xml:space="preserve">for subsequent </w:t>
      </w:r>
      <w:r w:rsidR="00781515">
        <w:t xml:space="preserve">and minor </w:t>
      </w:r>
      <w:r>
        <w:t>consultations</w:t>
      </w:r>
      <w:r w:rsidR="00781515">
        <w:t xml:space="preserve"> including psychiatr</w:t>
      </w:r>
      <w:r w:rsidR="003D3196">
        <w:t xml:space="preserve">y consultations of up to </w:t>
      </w:r>
      <w:r w:rsidR="00781515">
        <w:t>45 minutes</w:t>
      </w:r>
      <w:r>
        <w:t>.</w:t>
      </w:r>
    </w:p>
    <w:p w14:paraId="6941A96C" w14:textId="77777777" w:rsidR="004370F8" w:rsidRDefault="004370F8" w:rsidP="009B749E">
      <w:pPr>
        <w:pStyle w:val="ListBullet"/>
        <w:shd w:val="clear" w:color="auto" w:fill="F2F2F2" w:themeFill="background1" w:themeFillShade="F2"/>
      </w:pPr>
      <w:r>
        <w:t>Recognising Australia’s high vaccination rates and move toward ‘COVID-normal’, the GP ‘hotspot’ telephone consultation</w:t>
      </w:r>
      <w:r w:rsidR="00781515">
        <w:t>s</w:t>
      </w:r>
      <w:r>
        <w:t xml:space="preserve"> and Specialist telehealth services for private </w:t>
      </w:r>
      <w:r w:rsidR="00781515">
        <w:t>hospital patients will cease.</w:t>
      </w:r>
    </w:p>
    <w:p w14:paraId="170D806F" w14:textId="77777777" w:rsidR="004370F8" w:rsidRDefault="00781515" w:rsidP="009B749E">
      <w:pPr>
        <w:pStyle w:val="ListBullet"/>
        <w:shd w:val="clear" w:color="auto" w:fill="F2F2F2" w:themeFill="background1" w:themeFillShade="F2"/>
      </w:pPr>
      <w:r>
        <w:t xml:space="preserve">The </w:t>
      </w:r>
      <w:r w:rsidR="00E078B6">
        <w:t>expansion of telehealth services across all Australia</w:t>
      </w:r>
      <w:r>
        <w:t xml:space="preserve"> makes many </w:t>
      </w:r>
      <w:r w:rsidR="00E078B6">
        <w:t>pre-COVID telehealth services obsolete</w:t>
      </w:r>
      <w:r>
        <w:t xml:space="preserve">. These will be progressively </w:t>
      </w:r>
      <w:r w:rsidR="00E078B6">
        <w:t>removed</w:t>
      </w:r>
      <w:r>
        <w:t xml:space="preserve"> from the MBS</w:t>
      </w:r>
      <w:r w:rsidR="00E078B6">
        <w:t xml:space="preserve">. </w:t>
      </w:r>
    </w:p>
    <w:p w14:paraId="7C04E0E3" w14:textId="77777777" w:rsidR="00E7009C" w:rsidRDefault="00781515" w:rsidP="00E7009C">
      <w:pPr>
        <w:pStyle w:val="ListBullet"/>
        <w:shd w:val="clear" w:color="auto" w:fill="F2F2F2" w:themeFill="background1" w:themeFillShade="F2"/>
      </w:pPr>
      <w:r>
        <w:t>Nu</w:t>
      </w:r>
      <w:r w:rsidR="004370F8">
        <w:t xml:space="preserve">rses, Aboriginal Health Workers and Optometrists </w:t>
      </w:r>
      <w:r>
        <w:t xml:space="preserve">will continue to be able to provide </w:t>
      </w:r>
      <w:r w:rsidR="004370F8">
        <w:t>p</w:t>
      </w:r>
      <w:r w:rsidR="00E078B6">
        <w:t>atient</w:t>
      </w:r>
      <w:r>
        <w:t>-end-support</w:t>
      </w:r>
      <w:r w:rsidR="00E078B6">
        <w:t xml:space="preserve"> services </w:t>
      </w:r>
      <w:r>
        <w:t>when patients are participating in a telehealth consultation with a specialist</w:t>
      </w:r>
      <w:r w:rsidR="004370F8">
        <w:t>.</w:t>
      </w:r>
    </w:p>
    <w:p w14:paraId="62345801" w14:textId="77777777" w:rsidR="00E545EB" w:rsidRDefault="00781515" w:rsidP="00E7009C">
      <w:pPr>
        <w:pStyle w:val="ListBullet"/>
        <w:shd w:val="clear" w:color="auto" w:fill="F2F2F2" w:themeFill="background1" w:themeFillShade="F2"/>
      </w:pPr>
      <w:r>
        <w:t>T</w:t>
      </w:r>
      <w:r w:rsidR="004370F8">
        <w:t xml:space="preserve">he Government is </w:t>
      </w:r>
      <w:r w:rsidR="00E7009C">
        <w:t>including telehealth services in its Medicare compliance rules that deter high-volumes of short duration services. This will give patients assurance that they should expect an equivalent service where telehealth is an appropriate substitute for face-to-face</w:t>
      </w:r>
    </w:p>
    <w:p w14:paraId="0D20FBCD" w14:textId="77777777" w:rsidR="00E545EB" w:rsidRDefault="00E545EB" w:rsidP="004D4ACD">
      <w:pPr>
        <w:pStyle w:val="ListBullet"/>
        <w:numPr>
          <w:ilvl w:val="0"/>
          <w:numId w:val="0"/>
        </w:numPr>
      </w:pPr>
    </w:p>
    <w:p w14:paraId="4568AE5B" w14:textId="77777777" w:rsidR="00E545EB" w:rsidRDefault="00E545EB" w:rsidP="004D4ACD">
      <w:pPr>
        <w:pStyle w:val="ListBullet"/>
        <w:numPr>
          <w:ilvl w:val="0"/>
          <w:numId w:val="0"/>
        </w:numPr>
        <w:sectPr w:rsidR="00E545EB" w:rsidSect="00A96BC7">
          <w:headerReference w:type="default" r:id="rId9"/>
          <w:type w:val="continuous"/>
          <w:pgSz w:w="11906" w:h="16838"/>
          <w:pgMar w:top="1701" w:right="1418" w:bottom="1418" w:left="1418" w:header="709" w:footer="709" w:gutter="0"/>
          <w:cols w:num="2" w:space="708"/>
          <w:docGrid w:linePitch="360"/>
        </w:sectPr>
      </w:pPr>
    </w:p>
    <w:p w14:paraId="5BF5AC74" w14:textId="77777777" w:rsidR="00E545EB" w:rsidRPr="00E545EB" w:rsidRDefault="00E545EB" w:rsidP="00E545EB">
      <w:pPr>
        <w:pStyle w:val="Paragraphtext"/>
        <w:rPr>
          <w:color w:val="3F4A75"/>
          <w:sz w:val="28"/>
          <w:szCs w:val="28"/>
        </w:rPr>
      </w:pPr>
      <w:r w:rsidRPr="00E545EB">
        <w:rPr>
          <w:color w:val="3F4A75"/>
          <w:sz w:val="28"/>
          <w:szCs w:val="28"/>
        </w:rPr>
        <w:t>Eligibility for GP telehealth services</w:t>
      </w:r>
    </w:p>
    <w:p w14:paraId="7AE5BE58" w14:textId="77777777" w:rsidR="00E078B6" w:rsidRPr="0070773D" w:rsidRDefault="004D4ACD" w:rsidP="00E545EB">
      <w:pPr>
        <w:pStyle w:val="ListBullet"/>
        <w:numPr>
          <w:ilvl w:val="0"/>
          <w:numId w:val="0"/>
        </w:numPr>
      </w:pPr>
      <w:r w:rsidRPr="0070773D">
        <w:t>Patients still need to have an existing clinical relationship with their GP telehealth provider</w:t>
      </w:r>
      <w:r w:rsidR="007A787C" w:rsidRPr="007A787C">
        <w:t xml:space="preserve"> </w:t>
      </w:r>
      <w:r w:rsidR="007A787C" w:rsidRPr="0070773D">
        <w:t>to meet eligibility requirements</w:t>
      </w:r>
      <w:r w:rsidR="00E7009C">
        <w:t>, with limited exemptions to this requirement</w:t>
      </w:r>
      <w:r w:rsidR="007A787C">
        <w:t xml:space="preserve">. </w:t>
      </w:r>
      <w:r w:rsidR="002542E3" w:rsidRPr="002542E3">
        <w:t>This means having had a face-to-face consultation with the same GP or another practitioner at the same practice in the 12-months prior to their telehealth consultation.</w:t>
      </w:r>
      <w:r w:rsidR="007A787C">
        <w:t xml:space="preserve"> </w:t>
      </w:r>
      <w:r w:rsidR="00E7009C" w:rsidRPr="00E078B6">
        <w:t>Patients subject to Public Health Orders</w:t>
      </w:r>
      <w:r w:rsidR="00E7009C">
        <w:t>, specific GP mental health services, nicotine cessation and sexual and reproductive health services by telehealth are</w:t>
      </w:r>
      <w:r w:rsidR="00E7009C" w:rsidRPr="00E078B6">
        <w:t xml:space="preserve"> </w:t>
      </w:r>
      <w:r w:rsidR="00E7009C">
        <w:t>available to all patients, as per current telehealth eligibility</w:t>
      </w:r>
      <w:r w:rsidR="00E7009C" w:rsidRPr="0070773D">
        <w:t xml:space="preserve"> </w:t>
      </w:r>
      <w:r w:rsidR="00E7009C">
        <w:t xml:space="preserve">requirements </w:t>
      </w:r>
      <w:r w:rsidR="002542E3">
        <w:t>(refer </w:t>
      </w:r>
      <w:hyperlink r:id="rId10" w:history="1">
        <w:r w:rsidR="00E545EB" w:rsidRPr="008C2C53">
          <w:rPr>
            <w:rStyle w:val="Hyperlink"/>
          </w:rPr>
          <w:t>www.mbsonline.gov.au</w:t>
        </w:r>
      </w:hyperlink>
      <w:r w:rsidR="00E545EB">
        <w:t>)</w:t>
      </w:r>
      <w:r w:rsidR="00E078B6">
        <w:t xml:space="preserve">. </w:t>
      </w:r>
    </w:p>
    <w:sectPr w:rsidR="00E078B6" w:rsidRPr="0070773D" w:rsidSect="00E7009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0A01" w14:textId="77777777" w:rsidR="00B94B15" w:rsidRDefault="00B94B15" w:rsidP="005647AE">
      <w:pPr>
        <w:spacing w:after="0" w:line="240" w:lineRule="auto"/>
      </w:pPr>
      <w:r>
        <w:separator/>
      </w:r>
    </w:p>
  </w:endnote>
  <w:endnote w:type="continuationSeparator" w:id="0">
    <w:p w14:paraId="5E22DB08" w14:textId="77777777" w:rsidR="00B94B15" w:rsidRDefault="00B94B15" w:rsidP="0056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6812" w14:textId="77777777" w:rsidR="004D4ACD" w:rsidRDefault="004D4ACD">
    <w:pPr>
      <w:pStyle w:val="Footer"/>
      <w:jc w:val="right"/>
    </w:pPr>
  </w:p>
  <w:sdt>
    <w:sdtPr>
      <w:id w:val="13638565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8AA5D85" w14:textId="77777777" w:rsidR="004D4ACD" w:rsidRPr="004D4ACD" w:rsidRDefault="004D4AC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D4ACD">
          <w:rPr>
            <w:rFonts w:ascii="Arial" w:hAnsi="Arial" w:cs="Arial"/>
            <w:sz w:val="20"/>
            <w:szCs w:val="20"/>
          </w:rPr>
          <w:fldChar w:fldCharType="begin"/>
        </w:r>
        <w:r w:rsidRPr="004D4AC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4ACD">
          <w:rPr>
            <w:rFonts w:ascii="Arial" w:hAnsi="Arial" w:cs="Arial"/>
            <w:sz w:val="20"/>
            <w:szCs w:val="20"/>
          </w:rPr>
          <w:fldChar w:fldCharType="separate"/>
        </w:r>
        <w:r w:rsidR="002542E3">
          <w:rPr>
            <w:rFonts w:ascii="Arial" w:hAnsi="Arial" w:cs="Arial"/>
            <w:noProof/>
            <w:sz w:val="20"/>
            <w:szCs w:val="20"/>
          </w:rPr>
          <w:t>1</w:t>
        </w:r>
        <w:r w:rsidRPr="004D4AC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AD28F23" w14:textId="77777777" w:rsidR="004D4ACD" w:rsidRPr="004D4ACD" w:rsidRDefault="004D4ACD">
    <w:pPr>
      <w:pStyle w:val="Footer"/>
      <w:rPr>
        <w:rFonts w:ascii="Arial" w:hAnsi="Arial" w:cs="Arial"/>
        <w:sz w:val="20"/>
        <w:szCs w:val="20"/>
      </w:rPr>
    </w:pPr>
    <w:r w:rsidRPr="004D4ACD">
      <w:rPr>
        <w:rFonts w:ascii="Arial" w:hAnsi="Arial" w:cs="Arial"/>
        <w:sz w:val="20"/>
        <w:szCs w:val="20"/>
      </w:rPr>
      <w:t>Department of Health – Ongoing telehealth</w:t>
    </w:r>
    <w:r w:rsidR="009B749E">
      <w:rPr>
        <w:rFonts w:ascii="Arial" w:hAnsi="Arial" w:cs="Arial"/>
        <w:sz w:val="20"/>
        <w:szCs w:val="20"/>
      </w:rPr>
      <w:t xml:space="preserve"> – Consumer information</w:t>
    </w:r>
    <w:r w:rsidR="009B749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670C" w14:textId="77777777" w:rsidR="00B94B15" w:rsidRDefault="00B94B15" w:rsidP="005647AE">
      <w:pPr>
        <w:spacing w:after="0" w:line="240" w:lineRule="auto"/>
      </w:pPr>
      <w:r>
        <w:separator/>
      </w:r>
    </w:p>
  </w:footnote>
  <w:footnote w:type="continuationSeparator" w:id="0">
    <w:p w14:paraId="1A1562F1" w14:textId="77777777" w:rsidR="00B94B15" w:rsidRDefault="00B94B15" w:rsidP="0056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C392" w14:textId="77777777" w:rsidR="005647AE" w:rsidRDefault="005647AE">
    <w:pPr>
      <w:pStyle w:val="Header"/>
    </w:pPr>
    <w:r>
      <w:rPr>
        <w:noProof/>
        <w:lang w:eastAsia="en-AU"/>
      </w:rPr>
      <w:drawing>
        <wp:inline distT="0" distB="0" distL="0" distR="0" wp14:anchorId="034CA891" wp14:editId="2EEB70FC">
          <wp:extent cx="5731510" cy="937568"/>
          <wp:effectExtent l="0" t="0" r="2540" b="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31510" cy="937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E23B" w14:textId="77777777" w:rsidR="004D4ACD" w:rsidRDefault="004D4ACD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E"/>
    <w:rsid w:val="0017599D"/>
    <w:rsid w:val="001B7A73"/>
    <w:rsid w:val="002542E3"/>
    <w:rsid w:val="00264D54"/>
    <w:rsid w:val="00280050"/>
    <w:rsid w:val="003801C9"/>
    <w:rsid w:val="003C54EB"/>
    <w:rsid w:val="003D3196"/>
    <w:rsid w:val="003E1721"/>
    <w:rsid w:val="004370F8"/>
    <w:rsid w:val="00445223"/>
    <w:rsid w:val="004D4ACD"/>
    <w:rsid w:val="005647AE"/>
    <w:rsid w:val="005703CD"/>
    <w:rsid w:val="005A57E1"/>
    <w:rsid w:val="005A6EA5"/>
    <w:rsid w:val="005E2876"/>
    <w:rsid w:val="007706BC"/>
    <w:rsid w:val="00781515"/>
    <w:rsid w:val="007A787C"/>
    <w:rsid w:val="007B4C62"/>
    <w:rsid w:val="00830BAE"/>
    <w:rsid w:val="008404A8"/>
    <w:rsid w:val="008D526E"/>
    <w:rsid w:val="008F3686"/>
    <w:rsid w:val="00931472"/>
    <w:rsid w:val="00942A3E"/>
    <w:rsid w:val="009B749E"/>
    <w:rsid w:val="00B53AB8"/>
    <w:rsid w:val="00B94B15"/>
    <w:rsid w:val="00C00E7C"/>
    <w:rsid w:val="00C663CB"/>
    <w:rsid w:val="00DB5F2D"/>
    <w:rsid w:val="00E078B6"/>
    <w:rsid w:val="00E545EB"/>
    <w:rsid w:val="00E7009C"/>
    <w:rsid w:val="00F14D6C"/>
    <w:rsid w:val="00F17D47"/>
    <w:rsid w:val="00F3511E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A90B"/>
  <w15:chartTrackingRefBased/>
  <w15:docId w15:val="{E98FAEDD-D42D-4C10-AF89-6F7B7C44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5647AE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35818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47AE"/>
    <w:rPr>
      <w:rFonts w:ascii="Arial" w:eastAsia="Times New Roman" w:hAnsi="Arial" w:cs="Arial"/>
      <w:bCs/>
      <w:iCs/>
      <w:color w:val="358189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5647AE"/>
    <w:pPr>
      <w:spacing w:before="480" w:after="120" w:line="240" w:lineRule="auto"/>
      <w:contextualSpacing/>
    </w:pPr>
    <w:rPr>
      <w:rFonts w:ascii="Arial" w:eastAsiaTheme="majorEastAsia" w:hAnsi="Arial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47AE"/>
    <w:rPr>
      <w:rFonts w:ascii="Arial" w:eastAsiaTheme="majorEastAsia" w:hAnsi="Arial" w:cstheme="majorBidi"/>
      <w:color w:val="3F4A75"/>
      <w:kern w:val="28"/>
      <w:sz w:val="48"/>
      <w:szCs w:val="52"/>
    </w:rPr>
  </w:style>
  <w:style w:type="paragraph" w:styleId="Header">
    <w:name w:val="header"/>
    <w:basedOn w:val="Normal"/>
    <w:link w:val="HeaderChar"/>
    <w:uiPriority w:val="99"/>
    <w:unhideWhenUsed/>
    <w:rsid w:val="0056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AE"/>
  </w:style>
  <w:style w:type="paragraph" w:styleId="Footer">
    <w:name w:val="footer"/>
    <w:basedOn w:val="Normal"/>
    <w:link w:val="FooterChar"/>
    <w:uiPriority w:val="99"/>
    <w:unhideWhenUsed/>
    <w:rsid w:val="0056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AE"/>
  </w:style>
  <w:style w:type="paragraph" w:customStyle="1" w:styleId="Paragraphtext">
    <w:name w:val="Paragraph text"/>
    <w:basedOn w:val="Normal"/>
    <w:qFormat/>
    <w:rsid w:val="004D4ACD"/>
    <w:pPr>
      <w:spacing w:before="120" w:after="60" w:line="240" w:lineRule="auto"/>
    </w:pPr>
    <w:rPr>
      <w:rFonts w:ascii="Arial" w:eastAsia="Times New Roman" w:hAnsi="Arial"/>
      <w:color w:val="000000" w:themeColor="text1"/>
      <w:sz w:val="21"/>
    </w:rPr>
  </w:style>
  <w:style w:type="paragraph" w:styleId="ListBullet">
    <w:name w:val="List Bullet"/>
    <w:basedOn w:val="Normal"/>
    <w:qFormat/>
    <w:rsid w:val="004D4ACD"/>
    <w:pPr>
      <w:numPr>
        <w:numId w:val="1"/>
      </w:numPr>
      <w:spacing w:before="60" w:after="60" w:line="240" w:lineRule="auto"/>
    </w:pPr>
    <w:rPr>
      <w:rFonts w:ascii="Arial" w:eastAsia="Times New Roman" w:hAnsi="Arial"/>
      <w:color w:val="000000" w:themeColor="text1"/>
      <w:sz w:val="21"/>
    </w:rPr>
  </w:style>
  <w:style w:type="paragraph" w:customStyle="1" w:styleId="Headertext">
    <w:name w:val="Header text"/>
    <w:basedOn w:val="Normal"/>
    <w:rsid w:val="004D4ACD"/>
    <w:pPr>
      <w:spacing w:after="0" w:line="240" w:lineRule="auto"/>
      <w:jc w:val="right"/>
    </w:pPr>
    <w:rPr>
      <w:rFonts w:ascii="Arial" w:eastAsia="Times New Roman" w:hAnsi="Arial"/>
      <w:sz w:val="20"/>
    </w:rPr>
  </w:style>
  <w:style w:type="character" w:styleId="Hyperlink">
    <w:name w:val="Hyperlink"/>
    <w:basedOn w:val="DefaultParagraphFont"/>
    <w:uiPriority w:val="99"/>
    <w:unhideWhenUsed/>
    <w:rsid w:val="00E545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bsonline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2684</Characters>
  <Application>Microsoft Office Word</Application>
  <DocSecurity>0</DocSecurity>
  <Lines>77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Telehealth services Consumer Information</dc:title>
  <dc:subject>COVID-19</dc:subject>
  <dc:creator>Department of Health</dc:creator>
  <cp:keywords>communicable diseases; medicare; mental health</cp:keywords>
  <dc:description/>
  <cp:lastModifiedBy>emma kennedy</cp:lastModifiedBy>
  <cp:revision>3</cp:revision>
  <cp:lastPrinted>2021-12-10T03:25:00Z</cp:lastPrinted>
  <dcterms:created xsi:type="dcterms:W3CDTF">2021-12-13T05:35:00Z</dcterms:created>
  <dcterms:modified xsi:type="dcterms:W3CDTF">2021-12-15T23:54:00Z</dcterms:modified>
  <cp:category/>
</cp:coreProperties>
</file>