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C966E" w14:textId="77ACC183" w:rsidR="00BA7264" w:rsidRPr="00D8713B" w:rsidRDefault="00BA7264" w:rsidP="00D8713B">
      <w:pPr>
        <w:pStyle w:val="Heading1"/>
      </w:pPr>
      <w:r w:rsidRPr="00D8713B">
        <w:t>Declaration</w:t>
      </w:r>
      <w:r w:rsidR="00754973" w:rsidRPr="00D8713B">
        <w:t>s</w:t>
      </w:r>
      <w:r w:rsidRPr="00D8713B">
        <w:t xml:space="preserve"> of Interest Policy Statement</w:t>
      </w:r>
      <w:r w:rsidR="003B5A2D" w:rsidRPr="00D8713B">
        <w:t xml:space="preserve"> </w:t>
      </w:r>
    </w:p>
    <w:p w14:paraId="686CDF2B" w14:textId="1FB385FB" w:rsidR="00A608EF" w:rsidRPr="00733FA8" w:rsidRDefault="00A608EF" w:rsidP="00B23659">
      <w:pPr>
        <w:pStyle w:val="Heading2"/>
      </w:pPr>
      <w:r w:rsidRPr="00733FA8">
        <w:t>Purpose</w:t>
      </w:r>
    </w:p>
    <w:p w14:paraId="33BA5DE5" w14:textId="294ADC49" w:rsidR="00A608EF" w:rsidRPr="003307B0" w:rsidRDefault="0038354D" w:rsidP="00944400">
      <w:pPr>
        <w:spacing w:before="120" w:after="120" w:line="240" w:lineRule="auto"/>
      </w:pPr>
      <w:r>
        <w:t xml:space="preserve">To ensure </w:t>
      </w:r>
      <w:r w:rsidR="00FA1D92">
        <w:t>members of MRFF advisory panels</w:t>
      </w:r>
      <w:r w:rsidR="008B7793">
        <w:t xml:space="preserve">, </w:t>
      </w:r>
      <w:r w:rsidR="00FA1D92">
        <w:t>committees</w:t>
      </w:r>
      <w:r w:rsidR="003D6888">
        <w:t>,</w:t>
      </w:r>
      <w:r w:rsidR="008B7793">
        <w:t xml:space="preserve"> </w:t>
      </w:r>
      <w:r w:rsidR="005D701B">
        <w:t>groups</w:t>
      </w:r>
      <w:r w:rsidR="004442A6">
        <w:t xml:space="preserve"> </w:t>
      </w:r>
      <w:r w:rsidR="003D6888">
        <w:t>and other bodies</w:t>
      </w:r>
      <w:r w:rsidR="003D6888" w:rsidDel="003D6888">
        <w:rPr>
          <w:rStyle w:val="CommentReference"/>
        </w:rPr>
        <w:t xml:space="preserve"> </w:t>
      </w:r>
      <w:r w:rsidR="000E230D" w:rsidRPr="003307B0">
        <w:t>identify</w:t>
      </w:r>
      <w:r>
        <w:t xml:space="preserve"> and</w:t>
      </w:r>
      <w:r w:rsidR="00FA6080" w:rsidRPr="003307B0">
        <w:t xml:space="preserve"> </w:t>
      </w:r>
      <w:r w:rsidR="003D6888">
        <w:t>declare</w:t>
      </w:r>
      <w:r w:rsidR="003D6888" w:rsidRPr="003307B0">
        <w:t xml:space="preserve"> </w:t>
      </w:r>
      <w:r>
        <w:t xml:space="preserve">relevant interests and that the Health and Medical </w:t>
      </w:r>
      <w:r w:rsidR="00B53B6E">
        <w:t xml:space="preserve">Research </w:t>
      </w:r>
      <w:r>
        <w:t xml:space="preserve">Office (HMRO) </w:t>
      </w:r>
      <w:r w:rsidR="00FA6080" w:rsidRPr="003307B0">
        <w:t>manage</w:t>
      </w:r>
      <w:r>
        <w:t xml:space="preserve">s these </w:t>
      </w:r>
      <w:r w:rsidR="00FA6080" w:rsidRPr="003307B0">
        <w:t>interest</w:t>
      </w:r>
      <w:r w:rsidR="00FA1D92">
        <w:t>s</w:t>
      </w:r>
      <w:r>
        <w:t xml:space="preserve"> appropriately</w:t>
      </w:r>
      <w:r w:rsidR="00FA1D92">
        <w:t>.</w:t>
      </w:r>
    </w:p>
    <w:p w14:paraId="0FB0FBE7" w14:textId="77777777" w:rsidR="00A608EF" w:rsidRPr="00D8713B" w:rsidRDefault="00A608EF" w:rsidP="00D8713B">
      <w:pPr>
        <w:pStyle w:val="Heading2"/>
      </w:pPr>
      <w:r w:rsidRPr="00D8713B">
        <w:t>Objective</w:t>
      </w:r>
    </w:p>
    <w:p w14:paraId="35B8A8C7" w14:textId="149A6460" w:rsidR="001C0960" w:rsidRDefault="007C40F3" w:rsidP="007D15E1">
      <w:pPr>
        <w:spacing w:before="120" w:after="0" w:line="240" w:lineRule="auto"/>
      </w:pPr>
      <w:r>
        <w:t>T</w:t>
      </w:r>
      <w:r w:rsidR="00A608EF" w:rsidRPr="003307B0">
        <w:t>his pol</w:t>
      </w:r>
      <w:r w:rsidR="0049778E" w:rsidRPr="003307B0">
        <w:t xml:space="preserve">icy </w:t>
      </w:r>
      <w:r w:rsidR="005D5F9D">
        <w:t>aims</w:t>
      </w:r>
      <w:r w:rsidR="001C0960" w:rsidRPr="003307B0">
        <w:t xml:space="preserve"> </w:t>
      </w:r>
      <w:r w:rsidR="0049778E" w:rsidRPr="003307B0">
        <w:t>to</w:t>
      </w:r>
      <w:r w:rsidR="001C0960">
        <w:t>:</w:t>
      </w:r>
    </w:p>
    <w:p w14:paraId="369515C3" w14:textId="5C14CD54" w:rsidR="001C0960" w:rsidRDefault="007C40F3" w:rsidP="007D15E1">
      <w:pPr>
        <w:pStyle w:val="ListParagraph"/>
        <w:numPr>
          <w:ilvl w:val="0"/>
          <w:numId w:val="3"/>
        </w:numPr>
        <w:spacing w:after="120" w:line="240" w:lineRule="auto"/>
      </w:pPr>
      <w:r>
        <w:t>make</w:t>
      </w:r>
      <w:r w:rsidR="00C53697" w:rsidRPr="002F70B5">
        <w:t xml:space="preserve"> </w:t>
      </w:r>
      <w:r w:rsidR="001C0960" w:rsidRPr="002F70B5">
        <w:t>members</w:t>
      </w:r>
      <w:r w:rsidR="00C53697" w:rsidRPr="002F70B5">
        <w:t xml:space="preserve"> aware</w:t>
      </w:r>
      <w:r>
        <w:t xml:space="preserve"> that they </w:t>
      </w:r>
      <w:r w:rsidR="001F4EDA">
        <w:t xml:space="preserve">must </w:t>
      </w:r>
      <w:r w:rsidR="003D6888">
        <w:t>declare</w:t>
      </w:r>
      <w:r w:rsidR="003D6888" w:rsidRPr="002F70B5">
        <w:t xml:space="preserve"> </w:t>
      </w:r>
      <w:r w:rsidR="00C53697" w:rsidRPr="002F70B5">
        <w:t>any</w:t>
      </w:r>
      <w:r w:rsidR="00AA5F20" w:rsidRPr="002F70B5">
        <w:t xml:space="preserve"> relevant i</w:t>
      </w:r>
      <w:r w:rsidR="00C53697" w:rsidRPr="002F70B5">
        <w:t>nterest</w:t>
      </w:r>
      <w:r w:rsidR="00AA5F20" w:rsidRPr="002F70B5">
        <w:t>s</w:t>
      </w:r>
      <w:r w:rsidR="00C53697" w:rsidRPr="002F70B5">
        <w:t xml:space="preserve"> </w:t>
      </w:r>
    </w:p>
    <w:p w14:paraId="6E108F59" w14:textId="134EDAA2" w:rsidR="001C0960" w:rsidRDefault="007C40F3" w:rsidP="002F70B5">
      <w:pPr>
        <w:pStyle w:val="ListParagraph"/>
        <w:numPr>
          <w:ilvl w:val="0"/>
          <w:numId w:val="3"/>
        </w:numPr>
        <w:spacing w:before="120" w:after="120" w:line="240" w:lineRule="auto"/>
      </w:pPr>
      <w:r>
        <w:t>apply a</w:t>
      </w:r>
      <w:r w:rsidR="00A37ACC" w:rsidRPr="002F70B5">
        <w:t xml:space="preserve"> consistent</w:t>
      </w:r>
      <w:r>
        <w:t>, transparent</w:t>
      </w:r>
      <w:r w:rsidR="001C0960">
        <w:t xml:space="preserve"> approach to</w:t>
      </w:r>
      <w:r w:rsidR="00A37ACC" w:rsidRPr="002F70B5">
        <w:t xml:space="preserve"> </w:t>
      </w:r>
      <w:r w:rsidR="001C0960" w:rsidRPr="002F70B5">
        <w:t>manag</w:t>
      </w:r>
      <w:r w:rsidR="001C0960">
        <w:t>ing</w:t>
      </w:r>
      <w:r w:rsidR="008D6340" w:rsidRPr="002F70B5">
        <w:t xml:space="preserve"> </w:t>
      </w:r>
      <w:r w:rsidR="00257BF7" w:rsidRPr="002F70B5">
        <w:t>conflicts of interest</w:t>
      </w:r>
      <w:r w:rsidR="0038354D">
        <w:t>, where needed</w:t>
      </w:r>
      <w:r w:rsidR="005D5F9D">
        <w:t>,</w:t>
      </w:r>
      <w:r w:rsidR="001C0960">
        <w:t xml:space="preserve"> and</w:t>
      </w:r>
    </w:p>
    <w:p w14:paraId="40C77DAD" w14:textId="51D1954D" w:rsidR="00E9322C" w:rsidRPr="002F70B5" w:rsidRDefault="007C40F3" w:rsidP="002F70B5">
      <w:pPr>
        <w:pStyle w:val="ListParagraph"/>
        <w:numPr>
          <w:ilvl w:val="0"/>
          <w:numId w:val="3"/>
        </w:numPr>
        <w:spacing w:before="120" w:after="120" w:line="240" w:lineRule="auto"/>
      </w:pPr>
      <w:r>
        <w:t>promote</w:t>
      </w:r>
      <w:r w:rsidR="00EF5BCB" w:rsidRPr="002F70B5">
        <w:t xml:space="preserve"> public confidence in</w:t>
      </w:r>
      <w:r w:rsidR="001C0960">
        <w:t xml:space="preserve"> </w:t>
      </w:r>
      <w:r>
        <w:t xml:space="preserve">the </w:t>
      </w:r>
      <w:r w:rsidR="001C0960">
        <w:t>management of</w:t>
      </w:r>
      <w:r w:rsidR="00EF5BCB" w:rsidRPr="002F70B5">
        <w:t xml:space="preserve"> the MRFF</w:t>
      </w:r>
      <w:r w:rsidR="00E9322C" w:rsidRPr="002F70B5">
        <w:t>.</w:t>
      </w:r>
    </w:p>
    <w:p w14:paraId="402D250C" w14:textId="77777777" w:rsidR="00A608EF" w:rsidRPr="00D8713B" w:rsidRDefault="00A608EF" w:rsidP="00D8713B">
      <w:pPr>
        <w:pStyle w:val="Heading2"/>
      </w:pPr>
      <w:r w:rsidRPr="00D8713B">
        <w:t>Scope</w:t>
      </w:r>
    </w:p>
    <w:p w14:paraId="6EC53196" w14:textId="27F7D8A2" w:rsidR="0049778E" w:rsidRDefault="0049778E" w:rsidP="00CB561B">
      <w:pPr>
        <w:spacing w:before="120" w:after="120" w:line="240" w:lineRule="auto"/>
      </w:pPr>
      <w:r w:rsidRPr="003307B0">
        <w:t>This policy applies to any individual</w:t>
      </w:r>
      <w:r w:rsidR="007B687E">
        <w:t xml:space="preserve"> </w:t>
      </w:r>
      <w:r w:rsidR="001C0960">
        <w:t xml:space="preserve">formally </w:t>
      </w:r>
      <w:r w:rsidR="00135678" w:rsidRPr="003307B0">
        <w:t>advising</w:t>
      </w:r>
      <w:r w:rsidR="001C0960">
        <w:t xml:space="preserve"> </w:t>
      </w:r>
      <w:r w:rsidR="004442A6">
        <w:t>the Australian G</w:t>
      </w:r>
      <w:r w:rsidR="001C0960">
        <w:t>overnment and/or</w:t>
      </w:r>
      <w:r w:rsidR="00135678" w:rsidRPr="003307B0">
        <w:t xml:space="preserve"> the </w:t>
      </w:r>
      <w:r w:rsidR="001C0960">
        <w:t>HMRO</w:t>
      </w:r>
      <w:r w:rsidR="00135678" w:rsidRPr="003307B0">
        <w:t xml:space="preserve"> on MRFF</w:t>
      </w:r>
      <w:r w:rsidR="000C40F7">
        <w:t xml:space="preserve"> </w:t>
      </w:r>
      <w:r w:rsidR="00B82A6F">
        <w:t>related activities</w:t>
      </w:r>
      <w:r w:rsidR="00135678" w:rsidRPr="003307B0">
        <w:t>.</w:t>
      </w:r>
    </w:p>
    <w:p w14:paraId="42F51C4F" w14:textId="7DDDCA0E" w:rsidR="00BC7D49" w:rsidRDefault="001C0960" w:rsidP="007D15E1">
      <w:pPr>
        <w:spacing w:before="120" w:after="0" w:line="240" w:lineRule="auto"/>
      </w:pPr>
      <w:r>
        <w:t>The policy excludes</w:t>
      </w:r>
      <w:r w:rsidR="006F4CFE">
        <w:t>:</w:t>
      </w:r>
      <w:r>
        <w:t xml:space="preserve"> </w:t>
      </w:r>
    </w:p>
    <w:p w14:paraId="264C1D0A" w14:textId="6A3E93E5" w:rsidR="001C0960" w:rsidRDefault="001C0960" w:rsidP="007D15E1">
      <w:pPr>
        <w:pStyle w:val="ListParagraph"/>
        <w:numPr>
          <w:ilvl w:val="0"/>
          <w:numId w:val="3"/>
        </w:numPr>
        <w:spacing w:after="120" w:line="240" w:lineRule="auto"/>
      </w:pPr>
      <w:r>
        <w:t>members of grant opportunity a</w:t>
      </w:r>
      <w:r w:rsidRPr="003307B0">
        <w:t>ssessment panels</w:t>
      </w:r>
      <w:r w:rsidR="007C40F3">
        <w:t xml:space="preserve">. </w:t>
      </w:r>
      <w:r w:rsidR="000E201B">
        <w:t>The</w:t>
      </w:r>
      <w:r w:rsidR="00BE5742">
        <w:t>ir</w:t>
      </w:r>
      <w:r w:rsidR="008B4C15">
        <w:t xml:space="preserve"> </w:t>
      </w:r>
      <w:r w:rsidR="0038354D">
        <w:t xml:space="preserve">declarations </w:t>
      </w:r>
      <w:r w:rsidR="008B4C15">
        <w:t>of</w:t>
      </w:r>
      <w:r w:rsidR="00BE5742">
        <w:t xml:space="preserve"> </w:t>
      </w:r>
      <w:r w:rsidR="009E5538">
        <w:t xml:space="preserve">interest </w:t>
      </w:r>
      <w:r w:rsidR="0038354D">
        <w:t xml:space="preserve">and the subsequent management of these </w:t>
      </w:r>
      <w:r w:rsidR="009E5538">
        <w:t xml:space="preserve">are covered by </w:t>
      </w:r>
      <w:r w:rsidR="00BE5742">
        <w:t xml:space="preserve">grant hubs’ </w:t>
      </w:r>
      <w:r w:rsidRPr="003307B0">
        <w:t>policies</w:t>
      </w:r>
      <w:r>
        <w:t>.</w:t>
      </w:r>
    </w:p>
    <w:p w14:paraId="07DF5166" w14:textId="14E7DB54" w:rsidR="00BC7D49" w:rsidRPr="003307B0" w:rsidRDefault="00BC7D49" w:rsidP="00BC7D49">
      <w:pPr>
        <w:pStyle w:val="ListParagraph"/>
        <w:numPr>
          <w:ilvl w:val="0"/>
          <w:numId w:val="3"/>
        </w:numPr>
        <w:spacing w:before="120" w:after="120" w:line="240" w:lineRule="auto"/>
      </w:pPr>
      <w:r>
        <w:t xml:space="preserve">persons engaged as employees or contractors by the Department of Health. Their </w:t>
      </w:r>
      <w:r w:rsidR="0038354D">
        <w:t xml:space="preserve">declarations </w:t>
      </w:r>
      <w:r>
        <w:t xml:space="preserve">of interest </w:t>
      </w:r>
      <w:r w:rsidR="0038354D">
        <w:t xml:space="preserve">and the subsequent management of these </w:t>
      </w:r>
      <w:r>
        <w:t xml:space="preserve">are subject to </w:t>
      </w:r>
      <w:r w:rsidR="0038354D">
        <w:t xml:space="preserve">the </w:t>
      </w:r>
      <w:r w:rsidR="001B4943">
        <w:t>Department of Health</w:t>
      </w:r>
      <w:r w:rsidR="00665867">
        <w:t>’s</w:t>
      </w:r>
      <w:r w:rsidR="001B4943">
        <w:t xml:space="preserve"> </w:t>
      </w:r>
      <w:r w:rsidR="008B4C15">
        <w:t>internal</w:t>
      </w:r>
      <w:r>
        <w:t xml:space="preserve"> policies and procedures as well as the Australian Public Service Values and Code of Conduct.</w:t>
      </w:r>
    </w:p>
    <w:p w14:paraId="1E0C2D3F" w14:textId="3030AF52" w:rsidR="00A608EF" w:rsidRPr="00D8713B" w:rsidRDefault="00A608EF" w:rsidP="00D8713B">
      <w:pPr>
        <w:pStyle w:val="Heading2"/>
      </w:pPr>
      <w:r w:rsidRPr="00D8713B">
        <w:t>Definition</w:t>
      </w:r>
    </w:p>
    <w:p w14:paraId="4E42DBA2" w14:textId="4A41CBE4" w:rsidR="008049CF" w:rsidRDefault="001C0960" w:rsidP="007D15E1">
      <w:pPr>
        <w:spacing w:before="120" w:after="0" w:line="240" w:lineRule="auto"/>
        <w:rPr>
          <w:rFonts w:cs="Arial"/>
          <w:lang w:val="en"/>
        </w:rPr>
      </w:pPr>
      <w:r>
        <w:rPr>
          <w:rFonts w:cs="Arial"/>
          <w:lang w:val="en"/>
        </w:rPr>
        <w:t>A</w:t>
      </w:r>
      <w:r w:rsidRPr="003307B0">
        <w:rPr>
          <w:rFonts w:cs="Arial"/>
          <w:lang w:val="en"/>
        </w:rPr>
        <w:t xml:space="preserve"> conflict of interest</w:t>
      </w:r>
      <w:r w:rsidR="004A3649">
        <w:rPr>
          <w:rFonts w:cs="Arial"/>
          <w:lang w:val="en"/>
        </w:rPr>
        <w:t xml:space="preserve"> </w:t>
      </w:r>
      <w:r w:rsidR="008049CF">
        <w:rPr>
          <w:rFonts w:cs="Arial"/>
          <w:lang w:val="en"/>
        </w:rPr>
        <w:t>arises</w:t>
      </w:r>
      <w:r w:rsidR="001F4EDA">
        <w:rPr>
          <w:rFonts w:cs="Arial"/>
          <w:lang w:val="en"/>
        </w:rPr>
        <w:t xml:space="preserve"> when</w:t>
      </w:r>
      <w:r w:rsidRPr="003307B0">
        <w:rPr>
          <w:rFonts w:cs="Arial"/>
          <w:lang w:val="en"/>
        </w:rPr>
        <w:t xml:space="preserve"> there is a risk that </w:t>
      </w:r>
      <w:r w:rsidR="001F4EDA">
        <w:rPr>
          <w:rFonts w:cs="Arial"/>
          <w:lang w:val="en"/>
        </w:rPr>
        <w:t xml:space="preserve">an </w:t>
      </w:r>
      <w:r w:rsidR="00B82A6F">
        <w:rPr>
          <w:rFonts w:cs="Arial"/>
          <w:lang w:val="en"/>
        </w:rPr>
        <w:t xml:space="preserve">individual’s </w:t>
      </w:r>
      <w:r w:rsidR="008108F0">
        <w:rPr>
          <w:rFonts w:cs="Arial"/>
          <w:lang w:val="en"/>
        </w:rPr>
        <w:t>advice in relation to the MRFF is, or is perceived to be, or potentially could be</w:t>
      </w:r>
      <w:r w:rsidR="008049CF">
        <w:rPr>
          <w:rFonts w:cs="Arial"/>
          <w:lang w:val="en"/>
        </w:rPr>
        <w:t>:</w:t>
      </w:r>
    </w:p>
    <w:p w14:paraId="60A2B99D" w14:textId="7EA4F520" w:rsidR="008049CF" w:rsidRPr="008049CF" w:rsidRDefault="008049CF" w:rsidP="007D15E1">
      <w:pPr>
        <w:pStyle w:val="ListParagraph"/>
        <w:numPr>
          <w:ilvl w:val="0"/>
          <w:numId w:val="7"/>
        </w:numPr>
        <w:spacing w:after="120" w:line="240" w:lineRule="auto"/>
        <w:rPr>
          <w:rFonts w:cs="Arial"/>
          <w:lang w:val="en"/>
        </w:rPr>
      </w:pPr>
      <w:r w:rsidRPr="008049CF">
        <w:rPr>
          <w:rFonts w:cs="Arial"/>
          <w:lang w:val="en"/>
        </w:rPr>
        <w:t xml:space="preserve">influenced by a </w:t>
      </w:r>
      <w:r w:rsidR="005D5F9D">
        <w:rPr>
          <w:rFonts w:cs="Arial"/>
          <w:lang w:val="en"/>
        </w:rPr>
        <w:t>private</w:t>
      </w:r>
      <w:r w:rsidRPr="008049CF">
        <w:rPr>
          <w:rFonts w:cs="Arial"/>
          <w:lang w:val="en"/>
        </w:rPr>
        <w:t xml:space="preserve"> interest </w:t>
      </w:r>
    </w:p>
    <w:p w14:paraId="6127554F" w14:textId="12C7AF1A" w:rsidR="002E4FA5" w:rsidRPr="002E4FA5" w:rsidRDefault="008049CF" w:rsidP="002E4FA5">
      <w:pPr>
        <w:pStyle w:val="ListParagraph"/>
        <w:numPr>
          <w:ilvl w:val="0"/>
          <w:numId w:val="7"/>
        </w:numPr>
        <w:spacing w:before="120" w:after="120" w:line="240" w:lineRule="auto"/>
        <w:rPr>
          <w:rFonts w:cs="Arial"/>
          <w:lang w:val="en"/>
        </w:rPr>
      </w:pPr>
      <w:r w:rsidRPr="008049CF">
        <w:rPr>
          <w:rFonts w:cs="Arial"/>
          <w:lang w:val="en"/>
        </w:rPr>
        <w:t>not based on the</w:t>
      </w:r>
      <w:r w:rsidR="001C0960" w:rsidRPr="008049CF">
        <w:rPr>
          <w:rFonts w:cs="Arial"/>
          <w:lang w:val="en"/>
        </w:rPr>
        <w:t xml:space="preserve"> </w:t>
      </w:r>
      <w:r w:rsidR="000E201B">
        <w:rPr>
          <w:rFonts w:cs="Arial"/>
          <w:lang w:val="en"/>
        </w:rPr>
        <w:t xml:space="preserve">MRFF’s </w:t>
      </w:r>
      <w:r w:rsidR="001C0960" w:rsidRPr="000E201B">
        <w:rPr>
          <w:rFonts w:cs="Arial"/>
          <w:lang w:val="en"/>
        </w:rPr>
        <w:t>best interests.</w:t>
      </w:r>
    </w:p>
    <w:p w14:paraId="3ABB9583" w14:textId="26BDEC68" w:rsidR="00252AC9" w:rsidRDefault="00252AC9" w:rsidP="00252AC9">
      <w:pPr>
        <w:spacing w:before="120" w:after="0" w:line="240" w:lineRule="auto"/>
      </w:pPr>
      <w:r>
        <w:t>Interests may be:</w:t>
      </w:r>
    </w:p>
    <w:p w14:paraId="49638D25" w14:textId="69527415" w:rsidR="00252AC9" w:rsidRPr="003307B0" w:rsidRDefault="00252AC9" w:rsidP="00252AC9">
      <w:pPr>
        <w:pStyle w:val="ListParagraph"/>
        <w:numPr>
          <w:ilvl w:val="0"/>
          <w:numId w:val="14"/>
        </w:numPr>
        <w:spacing w:after="120" w:line="240" w:lineRule="auto"/>
      </w:pPr>
      <w:r>
        <w:rPr>
          <w:rStyle w:val="Heading2Char"/>
        </w:rPr>
        <w:t>Financial</w:t>
      </w:r>
      <w:r w:rsidRPr="000C062E">
        <w:rPr>
          <w:b/>
        </w:rPr>
        <w:t xml:space="preserve"> </w:t>
      </w:r>
      <w:r w:rsidRPr="003307B0">
        <w:t>–</w:t>
      </w:r>
      <w:r>
        <w:t xml:space="preserve"> if it is likely that the member could make an ap</w:t>
      </w:r>
      <w:r w:rsidRPr="002F70B5">
        <w:t>preciable financial gain or loss.</w:t>
      </w:r>
      <w:r w:rsidR="002555F9">
        <w:rPr>
          <w:rStyle w:val="FootnoteReference"/>
        </w:rPr>
        <w:footnoteReference w:id="1"/>
      </w:r>
    </w:p>
    <w:p w14:paraId="0B2A9405" w14:textId="7D6A1271" w:rsidR="00252AC9" w:rsidRDefault="00252AC9" w:rsidP="00252AC9">
      <w:pPr>
        <w:pStyle w:val="ListParagraph"/>
        <w:numPr>
          <w:ilvl w:val="0"/>
          <w:numId w:val="13"/>
        </w:numPr>
        <w:spacing w:before="120" w:after="0" w:line="240" w:lineRule="auto"/>
      </w:pPr>
      <w:r w:rsidRPr="00F94792">
        <w:rPr>
          <w:rStyle w:val="Heading2Char"/>
        </w:rPr>
        <w:t>Professional</w:t>
      </w:r>
      <w:r w:rsidRPr="000C062E">
        <w:rPr>
          <w:i/>
        </w:rPr>
        <w:t xml:space="preserve"> </w:t>
      </w:r>
      <w:r w:rsidRPr="003307B0">
        <w:t xml:space="preserve">– </w:t>
      </w:r>
      <w:r>
        <w:t>involvement with</w:t>
      </w:r>
      <w:r w:rsidRPr="002F70B5">
        <w:t xml:space="preserve"> organisations with a direct interest in or relevance to the MRFF</w:t>
      </w:r>
      <w:r>
        <w:t>, including:</w:t>
      </w:r>
    </w:p>
    <w:p w14:paraId="7B7D338B" w14:textId="77777777" w:rsidR="00252AC9" w:rsidRDefault="00252AC9" w:rsidP="00252AC9">
      <w:pPr>
        <w:pStyle w:val="ListParagraph"/>
        <w:numPr>
          <w:ilvl w:val="1"/>
          <w:numId w:val="13"/>
        </w:numPr>
        <w:spacing w:after="120" w:line="240" w:lineRule="auto"/>
      </w:pPr>
      <w:r w:rsidRPr="002F70B5">
        <w:t>membership</w:t>
      </w:r>
    </w:p>
    <w:p w14:paraId="0D2F5063" w14:textId="77777777" w:rsidR="00252AC9" w:rsidRDefault="00252AC9" w:rsidP="00252AC9">
      <w:pPr>
        <w:pStyle w:val="ListParagraph"/>
        <w:numPr>
          <w:ilvl w:val="1"/>
          <w:numId w:val="13"/>
        </w:numPr>
        <w:spacing w:before="120" w:after="120" w:line="240" w:lineRule="auto"/>
      </w:pPr>
      <w:r w:rsidRPr="002F70B5">
        <w:t>affiliation</w:t>
      </w:r>
    </w:p>
    <w:p w14:paraId="6B2BA73A" w14:textId="0C60E3FF" w:rsidR="00252AC9" w:rsidRPr="003307B0" w:rsidRDefault="00252AC9" w:rsidP="00252AC9">
      <w:pPr>
        <w:pStyle w:val="ListParagraph"/>
        <w:numPr>
          <w:ilvl w:val="1"/>
          <w:numId w:val="13"/>
        </w:numPr>
        <w:spacing w:before="120" w:after="120" w:line="240" w:lineRule="auto"/>
      </w:pPr>
      <w:r>
        <w:t>being a representative.</w:t>
      </w:r>
      <w:r w:rsidR="002555F9">
        <w:rPr>
          <w:rStyle w:val="FootnoteReference"/>
        </w:rPr>
        <w:footnoteReference w:id="2"/>
      </w:r>
    </w:p>
    <w:p w14:paraId="04BB3DEE" w14:textId="77777777" w:rsidR="00252AC9" w:rsidRDefault="00252AC9" w:rsidP="00252AC9">
      <w:pPr>
        <w:pStyle w:val="ListParagraph"/>
        <w:numPr>
          <w:ilvl w:val="0"/>
          <w:numId w:val="13"/>
        </w:numPr>
        <w:spacing w:before="120" w:after="120" w:line="240" w:lineRule="auto"/>
      </w:pPr>
      <w:r w:rsidRPr="00F94792">
        <w:rPr>
          <w:rStyle w:val="Heading2Char"/>
        </w:rPr>
        <w:lastRenderedPageBreak/>
        <w:t>Personal</w:t>
      </w:r>
      <w:r w:rsidRPr="003307B0">
        <w:t xml:space="preserve"> –</w:t>
      </w:r>
      <w:r>
        <w:t xml:space="preserve"> </w:t>
      </w:r>
      <w:r w:rsidRPr="002F70B5">
        <w:t xml:space="preserve">any other </w:t>
      </w:r>
      <w:r>
        <w:t>interest that</w:t>
      </w:r>
      <w:r w:rsidRPr="002F70B5">
        <w:t xml:space="preserve"> may conflict</w:t>
      </w:r>
      <w:r>
        <w:t>,</w:t>
      </w:r>
      <w:r w:rsidRPr="002F70B5">
        <w:t xml:space="preserve"> or </w:t>
      </w:r>
      <w:r>
        <w:t>appear to</w:t>
      </w:r>
      <w:r w:rsidRPr="002F70B5">
        <w:t xml:space="preserve"> conflict</w:t>
      </w:r>
      <w:r>
        <w:t>,</w:t>
      </w:r>
      <w:r w:rsidRPr="002F70B5">
        <w:t xml:space="preserve"> with a member’s obligations</w:t>
      </w:r>
      <w:r>
        <w:t xml:space="preserve"> in providing advisory services in relation to the MRFF</w:t>
      </w:r>
      <w:r>
        <w:rPr>
          <w:rStyle w:val="FootnoteReference"/>
        </w:rPr>
        <w:footnoteReference w:id="3"/>
      </w:r>
    </w:p>
    <w:p w14:paraId="54309723" w14:textId="113C3AED" w:rsidR="00944400" w:rsidRDefault="00064019" w:rsidP="007D15E1">
      <w:pPr>
        <w:spacing w:before="120" w:after="0" w:line="240" w:lineRule="auto"/>
        <w:rPr>
          <w:rFonts w:cs="Arial"/>
          <w:lang w:val="en"/>
        </w:rPr>
      </w:pPr>
      <w:r>
        <w:t>C</w:t>
      </w:r>
      <w:r w:rsidR="004E75FF">
        <w:t xml:space="preserve">onflicts of </w:t>
      </w:r>
      <w:r w:rsidR="008108F0">
        <w:rPr>
          <w:rFonts w:cs="Arial"/>
          <w:lang w:val="en"/>
        </w:rPr>
        <w:t>i</w:t>
      </w:r>
      <w:r w:rsidR="002E4D0A" w:rsidRPr="003307B0">
        <w:rPr>
          <w:rFonts w:cs="Arial"/>
          <w:lang w:val="en"/>
        </w:rPr>
        <w:t>nterest may be</w:t>
      </w:r>
      <w:r w:rsidR="003F0C6E">
        <w:rPr>
          <w:rFonts w:cs="Arial"/>
          <w:lang w:val="en"/>
        </w:rPr>
        <w:t>:</w:t>
      </w:r>
      <w:r w:rsidR="000131B0">
        <w:rPr>
          <w:rFonts w:cs="Arial"/>
          <w:lang w:val="en"/>
        </w:rPr>
        <w:t xml:space="preserve"> </w:t>
      </w:r>
    </w:p>
    <w:p w14:paraId="0E9B66C4" w14:textId="4B14102A" w:rsidR="00F41F8B" w:rsidRPr="00F41F8B" w:rsidRDefault="00F41F8B" w:rsidP="00A02495">
      <w:pPr>
        <w:pStyle w:val="ListParagraph"/>
        <w:numPr>
          <w:ilvl w:val="0"/>
          <w:numId w:val="7"/>
        </w:numPr>
        <w:spacing w:after="120" w:line="240" w:lineRule="auto"/>
        <w:rPr>
          <w:rStyle w:val="Heading2Char"/>
          <w:b w:val="0"/>
          <w:bCs w:val="0"/>
        </w:rPr>
      </w:pPr>
      <w:r w:rsidRPr="00F41F8B">
        <w:rPr>
          <w:rStyle w:val="Heading2Char"/>
        </w:rPr>
        <w:t xml:space="preserve">Real </w:t>
      </w:r>
      <w:r w:rsidRPr="00F41F8B">
        <w:rPr>
          <w:rStyle w:val="Heading2Char"/>
          <w:b w:val="0"/>
          <w:bCs w:val="0"/>
        </w:rPr>
        <w:t xml:space="preserve">– an actual conflict exists between </w:t>
      </w:r>
      <w:r>
        <w:rPr>
          <w:rStyle w:val="Heading2Char"/>
          <w:b w:val="0"/>
          <w:bCs w:val="0"/>
        </w:rPr>
        <w:t>the</w:t>
      </w:r>
      <w:r w:rsidRPr="00F41F8B">
        <w:rPr>
          <w:rStyle w:val="Heading2Char"/>
          <w:b w:val="0"/>
          <w:bCs w:val="0"/>
        </w:rPr>
        <w:t xml:space="preserve"> </w:t>
      </w:r>
      <w:r>
        <w:rPr>
          <w:rStyle w:val="Heading2Char"/>
          <w:b w:val="0"/>
          <w:bCs w:val="0"/>
        </w:rPr>
        <w:t xml:space="preserve">member’s </w:t>
      </w:r>
      <w:r w:rsidRPr="00F41F8B">
        <w:rPr>
          <w:rStyle w:val="Heading2Char"/>
          <w:b w:val="0"/>
          <w:bCs w:val="0"/>
        </w:rPr>
        <w:t xml:space="preserve">duties and </w:t>
      </w:r>
      <w:r>
        <w:rPr>
          <w:rStyle w:val="Heading2Char"/>
          <w:b w:val="0"/>
          <w:bCs w:val="0"/>
        </w:rPr>
        <w:t>personal</w:t>
      </w:r>
      <w:r w:rsidRPr="00F41F8B">
        <w:rPr>
          <w:rStyle w:val="Heading2Char"/>
          <w:b w:val="0"/>
          <w:bCs w:val="0"/>
        </w:rPr>
        <w:t xml:space="preserve"> interests</w:t>
      </w:r>
      <w:r>
        <w:rPr>
          <w:rStyle w:val="Heading2Char"/>
          <w:b w:val="0"/>
          <w:bCs w:val="0"/>
        </w:rPr>
        <w:t xml:space="preserve">, and the conflict improperly </w:t>
      </w:r>
      <w:r w:rsidRPr="00A02495">
        <w:rPr>
          <w:lang w:val="en"/>
        </w:rPr>
        <w:t>influences</w:t>
      </w:r>
      <w:r>
        <w:rPr>
          <w:rStyle w:val="Heading2Char"/>
          <w:b w:val="0"/>
          <w:bCs w:val="0"/>
        </w:rPr>
        <w:t xml:space="preserve"> the employee’s performance of their duties</w:t>
      </w:r>
      <w:r w:rsidR="004E42C0">
        <w:rPr>
          <w:rStyle w:val="Heading2Char"/>
          <w:b w:val="0"/>
          <w:bCs w:val="0"/>
        </w:rPr>
        <w:t xml:space="preserve"> or</w:t>
      </w:r>
    </w:p>
    <w:p w14:paraId="225A6219" w14:textId="61A2588B" w:rsidR="00F41F8B" w:rsidRDefault="00F41F8B" w:rsidP="00F41F8B">
      <w:pPr>
        <w:pStyle w:val="ListParagraph"/>
        <w:numPr>
          <w:ilvl w:val="0"/>
          <w:numId w:val="12"/>
        </w:numPr>
        <w:spacing w:after="0" w:line="240" w:lineRule="auto"/>
        <w:rPr>
          <w:rStyle w:val="Heading2Char"/>
          <w:b w:val="0"/>
          <w:bCs w:val="0"/>
        </w:rPr>
      </w:pPr>
      <w:r w:rsidRPr="00F41F8B">
        <w:rPr>
          <w:rStyle w:val="Heading2Char"/>
        </w:rPr>
        <w:t xml:space="preserve">Apparent </w:t>
      </w:r>
      <w:r w:rsidRPr="00F41F8B">
        <w:rPr>
          <w:rStyle w:val="Heading2Char"/>
          <w:b w:val="0"/>
          <w:bCs w:val="0"/>
        </w:rPr>
        <w:t xml:space="preserve">– </w:t>
      </w:r>
      <w:r>
        <w:rPr>
          <w:rStyle w:val="Heading2Char"/>
          <w:b w:val="0"/>
          <w:bCs w:val="0"/>
        </w:rPr>
        <w:t>it would be reasonable for others to conclude that</w:t>
      </w:r>
      <w:r w:rsidRPr="00F41F8B">
        <w:rPr>
          <w:rStyle w:val="Heading2Char"/>
          <w:b w:val="0"/>
          <w:bCs w:val="0"/>
        </w:rPr>
        <w:t xml:space="preserve"> p</w:t>
      </w:r>
      <w:r>
        <w:rPr>
          <w:rStyle w:val="Heading2Char"/>
          <w:b w:val="0"/>
          <w:bCs w:val="0"/>
        </w:rPr>
        <w:t>ersonal</w:t>
      </w:r>
      <w:r w:rsidRPr="00F41F8B">
        <w:rPr>
          <w:rStyle w:val="Heading2Char"/>
          <w:b w:val="0"/>
          <w:bCs w:val="0"/>
        </w:rPr>
        <w:t xml:space="preserve"> interests </w:t>
      </w:r>
      <w:r>
        <w:rPr>
          <w:rStyle w:val="Heading2Char"/>
          <w:b w:val="0"/>
          <w:bCs w:val="0"/>
        </w:rPr>
        <w:t xml:space="preserve">could </w:t>
      </w:r>
      <w:r w:rsidRPr="00F41F8B">
        <w:rPr>
          <w:rStyle w:val="Heading2Char"/>
          <w:b w:val="0"/>
          <w:bCs w:val="0"/>
        </w:rPr>
        <w:t>improperly influenc</w:t>
      </w:r>
      <w:r>
        <w:rPr>
          <w:rStyle w:val="Heading2Char"/>
          <w:b w:val="0"/>
          <w:bCs w:val="0"/>
        </w:rPr>
        <w:t>e</w:t>
      </w:r>
      <w:r w:rsidRPr="00F41F8B">
        <w:rPr>
          <w:rStyle w:val="Heading2Char"/>
          <w:b w:val="0"/>
          <w:bCs w:val="0"/>
        </w:rPr>
        <w:t xml:space="preserve"> </w:t>
      </w:r>
      <w:r>
        <w:rPr>
          <w:rStyle w:val="Heading2Char"/>
          <w:b w:val="0"/>
          <w:bCs w:val="0"/>
        </w:rPr>
        <w:t xml:space="preserve">a member’s </w:t>
      </w:r>
      <w:r w:rsidRPr="00F41F8B">
        <w:rPr>
          <w:rStyle w:val="Heading2Char"/>
          <w:b w:val="0"/>
          <w:bCs w:val="0"/>
        </w:rPr>
        <w:t>perform</w:t>
      </w:r>
      <w:r>
        <w:rPr>
          <w:rStyle w:val="Heading2Char"/>
          <w:b w:val="0"/>
          <w:bCs w:val="0"/>
        </w:rPr>
        <w:t xml:space="preserve">ance of </w:t>
      </w:r>
      <w:r w:rsidRPr="00F41F8B">
        <w:rPr>
          <w:rStyle w:val="Heading2Char"/>
          <w:b w:val="0"/>
          <w:bCs w:val="0"/>
        </w:rPr>
        <w:t xml:space="preserve">their official </w:t>
      </w:r>
      <w:r w:rsidR="00A5544B" w:rsidRPr="00F41F8B">
        <w:rPr>
          <w:rStyle w:val="Heading2Char"/>
          <w:b w:val="0"/>
          <w:bCs w:val="0"/>
        </w:rPr>
        <w:t>duties,</w:t>
      </w:r>
      <w:r>
        <w:rPr>
          <w:rStyle w:val="Heading2Char"/>
          <w:b w:val="0"/>
          <w:bCs w:val="0"/>
        </w:rPr>
        <w:t xml:space="preserve"> but this is not actually the case</w:t>
      </w:r>
      <w:r w:rsidRPr="00F41F8B">
        <w:rPr>
          <w:rStyle w:val="Heading2Char"/>
          <w:b w:val="0"/>
          <w:bCs w:val="0"/>
        </w:rPr>
        <w:t>.</w:t>
      </w:r>
    </w:p>
    <w:p w14:paraId="0B410912" w14:textId="5EF4B90F" w:rsidR="00751366" w:rsidRPr="00D8713B" w:rsidRDefault="00751366" w:rsidP="00D8713B">
      <w:pPr>
        <w:pStyle w:val="Heading2"/>
      </w:pPr>
      <w:r w:rsidRPr="00D8713B">
        <w:t>Procedure</w:t>
      </w:r>
      <w:r w:rsidR="00F0474C" w:rsidRPr="00D8713B">
        <w:t>s</w:t>
      </w:r>
    </w:p>
    <w:p w14:paraId="3024AD25" w14:textId="565C95F8" w:rsidR="00F53C32" w:rsidRPr="00D8713B" w:rsidRDefault="00F53C32" w:rsidP="00D8713B">
      <w:pPr>
        <w:pStyle w:val="Heading3"/>
      </w:pPr>
      <w:r w:rsidRPr="00D8713B">
        <w:t>Declaring interest</w:t>
      </w:r>
      <w:r w:rsidR="0031041A" w:rsidRPr="00D8713B">
        <w:t>s</w:t>
      </w:r>
    </w:p>
    <w:p w14:paraId="377C9C08" w14:textId="1735B85B" w:rsidR="009A27D7" w:rsidRDefault="00F53C32" w:rsidP="009A27D7">
      <w:pPr>
        <w:spacing w:before="120" w:after="120" w:line="240" w:lineRule="auto"/>
      </w:pPr>
      <w:r>
        <w:t xml:space="preserve">Members are required to </w:t>
      </w:r>
      <w:r w:rsidRPr="003307B0">
        <w:t>declar</w:t>
      </w:r>
      <w:r>
        <w:t>e</w:t>
      </w:r>
      <w:r w:rsidRPr="003307B0">
        <w:t xml:space="preserve"> </w:t>
      </w:r>
      <w:r>
        <w:t xml:space="preserve">all </w:t>
      </w:r>
      <w:r w:rsidR="0031041A">
        <w:t>relevant</w:t>
      </w:r>
      <w:r>
        <w:t xml:space="preserve"> </w:t>
      </w:r>
      <w:r w:rsidRPr="003307B0">
        <w:t>interest</w:t>
      </w:r>
      <w:r w:rsidR="0031041A">
        <w:t>s</w:t>
      </w:r>
      <w:r w:rsidR="00AF7799">
        <w:t xml:space="preserve">, so that the HMRO can </w:t>
      </w:r>
      <w:r w:rsidR="0031041A">
        <w:t xml:space="preserve">assess and </w:t>
      </w:r>
      <w:r w:rsidR="00AF7799">
        <w:t>manage the</w:t>
      </w:r>
      <w:r w:rsidR="0031041A">
        <w:t>m</w:t>
      </w:r>
      <w:r w:rsidR="00AF7799">
        <w:t xml:space="preserve"> appropriately in line with the Policy.</w:t>
      </w:r>
    </w:p>
    <w:p w14:paraId="3DBD9BD7" w14:textId="427AAD82" w:rsidR="00A85909" w:rsidRDefault="009A27D7" w:rsidP="007D15E1">
      <w:pPr>
        <w:spacing w:before="120" w:after="0" w:line="240" w:lineRule="auto"/>
      </w:pPr>
      <w:r>
        <w:t>C</w:t>
      </w:r>
      <w:r w:rsidR="00BC411A" w:rsidRPr="00A85909">
        <w:t>urrent and historic (within the last 5 years)</w:t>
      </w:r>
      <w:r w:rsidR="003022CF" w:rsidRPr="003022CF">
        <w:t xml:space="preserve"> </w:t>
      </w:r>
      <w:r w:rsidR="00A85909">
        <w:t>interests must be declared:</w:t>
      </w:r>
    </w:p>
    <w:p w14:paraId="6964E36B" w14:textId="6E9C9188" w:rsidR="00A85909" w:rsidRDefault="00A85909" w:rsidP="007D15E1">
      <w:pPr>
        <w:pStyle w:val="ListParagraph"/>
        <w:numPr>
          <w:ilvl w:val="0"/>
          <w:numId w:val="3"/>
        </w:numPr>
        <w:spacing w:after="120" w:line="240" w:lineRule="auto"/>
      </w:pPr>
      <w:r>
        <w:t xml:space="preserve">when they accept </w:t>
      </w:r>
      <w:r w:rsidR="009A27D7">
        <w:t xml:space="preserve">an MRFF advisory role </w:t>
      </w:r>
      <w:r w:rsidR="005F4D32">
        <w:t>(</w:t>
      </w:r>
      <w:r w:rsidR="009A27D7">
        <w:t>by signing a ‘Deed of Undertaking in Relation to Confidential Information and Conflict of Interest’</w:t>
      </w:r>
      <w:r w:rsidR="005F4D32">
        <w:t>)</w:t>
      </w:r>
      <w:r>
        <w:t>,</w:t>
      </w:r>
    </w:p>
    <w:p w14:paraId="5E756818" w14:textId="709AAE8D" w:rsidR="00A85909" w:rsidRDefault="00A85909" w:rsidP="007D15E1">
      <w:pPr>
        <w:pStyle w:val="ListParagraph"/>
        <w:numPr>
          <w:ilvl w:val="0"/>
          <w:numId w:val="3"/>
        </w:numPr>
        <w:spacing w:after="120" w:line="240" w:lineRule="auto"/>
      </w:pPr>
      <w:r>
        <w:t>ahead of each meeting, and</w:t>
      </w:r>
    </w:p>
    <w:p w14:paraId="4C23B469" w14:textId="446402F6" w:rsidR="00A85909" w:rsidRDefault="00A85909" w:rsidP="007D15E1">
      <w:pPr>
        <w:pStyle w:val="ListParagraph"/>
        <w:numPr>
          <w:ilvl w:val="0"/>
          <w:numId w:val="3"/>
        </w:numPr>
        <w:spacing w:after="120" w:line="240" w:lineRule="auto"/>
      </w:pPr>
      <w:r>
        <w:t>as circumstances change.</w:t>
      </w:r>
    </w:p>
    <w:p w14:paraId="69F25D31" w14:textId="5E17DC3D" w:rsidR="00BC411A" w:rsidRDefault="00520FA4" w:rsidP="00BC411A">
      <w:pPr>
        <w:spacing w:before="120" w:after="120" w:line="240" w:lineRule="auto"/>
      </w:pPr>
      <w:r>
        <w:t xml:space="preserve">The Chair (or relevant </w:t>
      </w:r>
      <w:r w:rsidR="004D05C2">
        <w:t>proxy</w:t>
      </w:r>
      <w:r w:rsidR="004D05C2">
        <w:rPr>
          <w:rStyle w:val="FootnoteReference"/>
        </w:rPr>
        <w:footnoteReference w:id="4"/>
      </w:r>
      <w:r>
        <w:t>) and members are required to ensure interests are accurately recorded in the meeting minutes.</w:t>
      </w:r>
    </w:p>
    <w:p w14:paraId="192CC0BE" w14:textId="692801E8" w:rsidR="00F53C32" w:rsidRDefault="00251376" w:rsidP="00F53C32">
      <w:pPr>
        <w:spacing w:before="120" w:after="120" w:line="240" w:lineRule="auto"/>
      </w:pPr>
      <w:r>
        <w:t>Full disclosure, including publication</w:t>
      </w:r>
      <w:r w:rsidR="00895730">
        <w:t xml:space="preserve"> of real or apparent conflicts of interest</w:t>
      </w:r>
      <w:r>
        <w:t>,</w:t>
      </w:r>
      <w:r w:rsidRPr="003307B0">
        <w:t xml:space="preserve"> </w:t>
      </w:r>
      <w:r w:rsidR="00F53C32" w:rsidRPr="003307B0">
        <w:t>is an important safeguard to</w:t>
      </w:r>
      <w:r w:rsidR="00F53C32">
        <w:t xml:space="preserve"> the MRFF’s transparency and integrity</w:t>
      </w:r>
      <w:r>
        <w:t>, and also protects the reputational interests of the member or members</w:t>
      </w:r>
      <w:r w:rsidR="00F53C32" w:rsidRPr="003307B0">
        <w:t>.</w:t>
      </w:r>
    </w:p>
    <w:p w14:paraId="2A178A89" w14:textId="3FD19568" w:rsidR="001D484E" w:rsidRPr="00D8713B" w:rsidRDefault="00B37236" w:rsidP="00D8713B">
      <w:pPr>
        <w:pStyle w:val="Heading3"/>
      </w:pPr>
      <w:r w:rsidRPr="00D8713B">
        <w:t xml:space="preserve">Assessing </w:t>
      </w:r>
      <w:r w:rsidR="00A02495" w:rsidRPr="00D8713B">
        <w:t>interests</w:t>
      </w:r>
    </w:p>
    <w:p w14:paraId="715D572B" w14:textId="16098FF3" w:rsidR="00184AF4" w:rsidRDefault="00184AF4" w:rsidP="00184AF4">
      <w:pPr>
        <w:spacing w:before="120" w:after="120" w:line="240" w:lineRule="auto"/>
      </w:pPr>
      <w:r>
        <w:t xml:space="preserve">Upon the making of a declaration of </w:t>
      </w:r>
      <w:r w:rsidR="00895730">
        <w:t xml:space="preserve">an </w:t>
      </w:r>
      <w:r>
        <w:t>interest</w:t>
      </w:r>
      <w:r w:rsidR="00895730">
        <w:t>/s</w:t>
      </w:r>
      <w:r>
        <w:t xml:space="preserve">, the </w:t>
      </w:r>
      <w:r w:rsidR="00895730">
        <w:t xml:space="preserve">HMRO and/or </w:t>
      </w:r>
      <w:r>
        <w:t>Chair (or relevant proxy</w:t>
      </w:r>
      <w:r w:rsidR="0014795D" w:rsidRPr="0014795D">
        <w:rPr>
          <w:vertAlign w:val="superscript"/>
        </w:rPr>
        <w:t>4</w:t>
      </w:r>
      <w:r>
        <w:t xml:space="preserve">) will determine whether the </w:t>
      </w:r>
      <w:r w:rsidR="00824A52">
        <w:t>declaration is a conflict of interest</w:t>
      </w:r>
      <w:r w:rsidR="00895730">
        <w:t xml:space="preserve"> (</w:t>
      </w:r>
      <w:r>
        <w:t>real or apparent</w:t>
      </w:r>
      <w:r w:rsidR="00895730">
        <w:t>)</w:t>
      </w:r>
      <w:r w:rsidR="00824A52">
        <w:t>,</w:t>
      </w:r>
      <w:r>
        <w:t xml:space="preserve"> and then decide the appropriate approach</w:t>
      </w:r>
      <w:r w:rsidR="00665867">
        <w:t xml:space="preserve"> for its management</w:t>
      </w:r>
      <w:r>
        <w:t>.</w:t>
      </w:r>
      <w:r>
        <w:rPr>
          <w:rStyle w:val="FootnoteReference"/>
        </w:rPr>
        <w:footnoteReference w:id="5"/>
      </w:r>
    </w:p>
    <w:p w14:paraId="160D536A" w14:textId="4ADD2DD0" w:rsidR="004F759D" w:rsidRPr="00D8713B" w:rsidRDefault="001D484E" w:rsidP="00D8713B">
      <w:pPr>
        <w:pStyle w:val="Heading3"/>
      </w:pPr>
      <w:r w:rsidRPr="00D8713B">
        <w:t>M</w:t>
      </w:r>
      <w:r w:rsidR="004F759D" w:rsidRPr="00D8713B">
        <w:t xml:space="preserve">anaging </w:t>
      </w:r>
      <w:r w:rsidR="00C5752B" w:rsidRPr="00D8713B">
        <w:t>conflicts of interests</w:t>
      </w:r>
    </w:p>
    <w:p w14:paraId="2A2E445F" w14:textId="1BD867CF" w:rsidR="0016163C" w:rsidRDefault="009B46F7" w:rsidP="00E45770">
      <w:pPr>
        <w:spacing w:before="120" w:after="120" w:line="240" w:lineRule="auto"/>
        <w:rPr>
          <w:rFonts w:cstheme="minorHAnsi"/>
        </w:rPr>
      </w:pPr>
      <w:r>
        <w:rPr>
          <w:rFonts w:cstheme="minorHAnsi"/>
        </w:rPr>
        <w:t xml:space="preserve">The </w:t>
      </w:r>
      <w:r w:rsidRPr="00E45770">
        <w:t>management</w:t>
      </w:r>
      <w:r>
        <w:rPr>
          <w:rFonts w:cstheme="minorHAnsi"/>
        </w:rPr>
        <w:t xml:space="preserve"> of interest</w:t>
      </w:r>
      <w:r w:rsidR="00824A52">
        <w:rPr>
          <w:rFonts w:cstheme="minorHAnsi"/>
        </w:rPr>
        <w:t>s</w:t>
      </w:r>
      <w:r>
        <w:rPr>
          <w:rFonts w:cstheme="minorHAnsi"/>
        </w:rPr>
        <w:t xml:space="preserve"> </w:t>
      </w:r>
      <w:r w:rsidR="006E36CC">
        <w:rPr>
          <w:rFonts w:cstheme="minorHAnsi"/>
        </w:rPr>
        <w:t>considers</w:t>
      </w:r>
      <w:r>
        <w:rPr>
          <w:rFonts w:cstheme="minorHAnsi"/>
        </w:rPr>
        <w:t xml:space="preserve"> the nature of the </w:t>
      </w:r>
      <w:r w:rsidR="00824A52">
        <w:rPr>
          <w:rFonts w:cstheme="minorHAnsi"/>
        </w:rPr>
        <w:t xml:space="preserve">interest </w:t>
      </w:r>
      <w:r>
        <w:rPr>
          <w:rFonts w:cstheme="minorHAnsi"/>
        </w:rPr>
        <w:t xml:space="preserve">and the likelihood of the </w:t>
      </w:r>
      <w:r w:rsidR="00824A52">
        <w:rPr>
          <w:rFonts w:cstheme="minorHAnsi"/>
        </w:rPr>
        <w:t xml:space="preserve">interest </w:t>
      </w:r>
      <w:r>
        <w:rPr>
          <w:rFonts w:cstheme="minorHAnsi"/>
        </w:rPr>
        <w:t>interfering with a member’s ability to provide independent, objective and impartial advice on a particular matter in relation to the MRFF.</w:t>
      </w:r>
    </w:p>
    <w:p w14:paraId="3B473271" w14:textId="77777777" w:rsidR="005D3827" w:rsidRDefault="005D3827">
      <w:r>
        <w:br w:type="page"/>
      </w:r>
    </w:p>
    <w:p w14:paraId="46E637B0" w14:textId="79D353EA" w:rsidR="006D7A24" w:rsidRDefault="00B51EEB" w:rsidP="00184AF4">
      <w:pPr>
        <w:spacing w:before="120" w:after="120" w:line="240" w:lineRule="auto"/>
        <w:rPr>
          <w:rFonts w:cstheme="minorHAnsi"/>
        </w:rPr>
      </w:pPr>
      <w:r w:rsidRPr="003307B0">
        <w:lastRenderedPageBreak/>
        <w:t>In some c</w:t>
      </w:r>
      <w:r>
        <w:t>ases, conflicts of interest cannot be avoided. This is</w:t>
      </w:r>
      <w:r w:rsidRPr="003307B0">
        <w:t xml:space="preserve"> because the people invited to </w:t>
      </w:r>
      <w:r>
        <w:t xml:space="preserve">provide advice </w:t>
      </w:r>
      <w:r w:rsidRPr="003307B0">
        <w:t xml:space="preserve">will have </w:t>
      </w:r>
      <w:r>
        <w:t>a stake</w:t>
      </w:r>
      <w:r w:rsidRPr="003307B0">
        <w:t xml:space="preserve"> in </w:t>
      </w:r>
      <w:r>
        <w:t xml:space="preserve">the </w:t>
      </w:r>
      <w:r w:rsidRPr="003307B0">
        <w:t>subject they are considering.</w:t>
      </w:r>
      <w:r w:rsidR="00184AF4">
        <w:t xml:space="preserve"> </w:t>
      </w:r>
      <w:r w:rsidR="009B46F7">
        <w:rPr>
          <w:rFonts w:cstheme="minorHAnsi"/>
        </w:rPr>
        <w:t xml:space="preserve">The nature of the advice provided typically relates to policy and implementation considerations and will not often have a direct influence on funding outcomes. </w:t>
      </w:r>
      <w:r w:rsidR="0016163C">
        <w:rPr>
          <w:rFonts w:cstheme="minorHAnsi"/>
        </w:rPr>
        <w:t>As such</w:t>
      </w:r>
      <w:r w:rsidR="009B46F7">
        <w:rPr>
          <w:rFonts w:cstheme="minorHAnsi"/>
        </w:rPr>
        <w:t xml:space="preserve"> it is expected that </w:t>
      </w:r>
      <w:r w:rsidR="00AC2BCF">
        <w:rPr>
          <w:rFonts w:cstheme="minorHAnsi"/>
        </w:rPr>
        <w:t xml:space="preserve">a </w:t>
      </w:r>
      <w:r w:rsidR="009B46F7">
        <w:rPr>
          <w:rFonts w:cstheme="minorHAnsi"/>
        </w:rPr>
        <w:t xml:space="preserve">less intrusive </w:t>
      </w:r>
      <w:r w:rsidR="00D7671E">
        <w:rPr>
          <w:rFonts w:cstheme="minorHAnsi"/>
        </w:rPr>
        <w:t>approach</w:t>
      </w:r>
      <w:r w:rsidR="009B46F7">
        <w:rPr>
          <w:rFonts w:cstheme="minorHAnsi"/>
        </w:rPr>
        <w:t xml:space="preserve"> (register, restrict, recruit rather than remove, relinquish, resign</w:t>
      </w:r>
      <w:r w:rsidR="006D7A24">
        <w:rPr>
          <w:rFonts w:cstheme="minorHAnsi"/>
        </w:rPr>
        <w:t>)</w:t>
      </w:r>
      <w:r w:rsidR="007B07FE" w:rsidRPr="007B07FE">
        <w:rPr>
          <w:rFonts w:cstheme="minorHAnsi"/>
        </w:rPr>
        <w:t xml:space="preserve"> </w:t>
      </w:r>
      <w:r w:rsidR="007B07FE">
        <w:rPr>
          <w:rFonts w:cstheme="minorHAnsi"/>
        </w:rPr>
        <w:t>will usually be utilised.</w:t>
      </w:r>
    </w:p>
    <w:p w14:paraId="1845C082" w14:textId="4B580359" w:rsidR="004F759D" w:rsidRPr="00E4121F" w:rsidRDefault="006D7A24" w:rsidP="004F759D">
      <w:pPr>
        <w:rPr>
          <w:rFonts w:cstheme="minorHAnsi"/>
        </w:rPr>
      </w:pPr>
      <w:r>
        <w:rPr>
          <w:rFonts w:cstheme="minorHAnsi"/>
        </w:rPr>
        <w:t>T</w:t>
      </w:r>
      <w:r w:rsidR="009B46F7">
        <w:rPr>
          <w:rFonts w:cstheme="minorHAnsi"/>
        </w:rPr>
        <w:t xml:space="preserve">he table below sets out </w:t>
      </w:r>
      <w:r>
        <w:rPr>
          <w:rFonts w:cstheme="minorHAnsi"/>
        </w:rPr>
        <w:t>possible</w:t>
      </w:r>
      <w:r w:rsidR="009B46F7">
        <w:rPr>
          <w:rFonts w:cstheme="minorHAnsi"/>
        </w:rPr>
        <w:t xml:space="preserve"> </w:t>
      </w:r>
      <w:r w:rsidR="00D7671E">
        <w:rPr>
          <w:rFonts w:cstheme="minorHAnsi"/>
        </w:rPr>
        <w:t>approaches to managing conflicts of interest</w:t>
      </w:r>
      <w:r w:rsidR="004F759D" w:rsidRPr="00E4121F">
        <w:rPr>
          <w:rFonts w:cstheme="minorHAnsi"/>
        </w:rPr>
        <w:t>:</w:t>
      </w:r>
    </w:p>
    <w:tbl>
      <w:tblPr>
        <w:tblStyle w:val="TableGrid"/>
        <w:tblW w:w="0" w:type="auto"/>
        <w:tblLook w:val="04A0" w:firstRow="1" w:lastRow="0" w:firstColumn="1" w:lastColumn="0" w:noHBand="0" w:noVBand="1"/>
        <w:tblCaption w:val="Managing conflicts of interest"/>
        <w:tblDescription w:val="This table contains six strategies for managing conflicts of interest, and outlines what actions might be taken and when. "/>
      </w:tblPr>
      <w:tblGrid>
        <w:gridCol w:w="1946"/>
        <w:gridCol w:w="3739"/>
        <w:gridCol w:w="3331"/>
      </w:tblGrid>
      <w:tr w:rsidR="004F759D" w14:paraId="755486C6" w14:textId="77777777" w:rsidTr="003025AA">
        <w:trPr>
          <w:tblHeader/>
        </w:trPr>
        <w:tc>
          <w:tcPr>
            <w:tcW w:w="1946" w:type="dxa"/>
            <w:shd w:val="clear" w:color="auto" w:fill="D0CECE" w:themeFill="background2" w:themeFillShade="E6"/>
          </w:tcPr>
          <w:p w14:paraId="46F6FB24" w14:textId="0A855171" w:rsidR="004F759D" w:rsidRPr="00E4121F" w:rsidRDefault="00D7671E" w:rsidP="005369FB">
            <w:pPr>
              <w:rPr>
                <w:b/>
                <w:sz w:val="22"/>
                <w:szCs w:val="22"/>
              </w:rPr>
            </w:pPr>
            <w:r>
              <w:rPr>
                <w:b/>
                <w:sz w:val="22"/>
                <w:szCs w:val="22"/>
              </w:rPr>
              <w:t>Approach</w:t>
            </w:r>
          </w:p>
        </w:tc>
        <w:tc>
          <w:tcPr>
            <w:tcW w:w="3739" w:type="dxa"/>
            <w:shd w:val="clear" w:color="auto" w:fill="D0CECE" w:themeFill="background2" w:themeFillShade="E6"/>
          </w:tcPr>
          <w:p w14:paraId="0C0D6B99" w14:textId="77777777" w:rsidR="004F759D" w:rsidRPr="00E4121F" w:rsidRDefault="004F759D" w:rsidP="005369FB">
            <w:pPr>
              <w:jc w:val="center"/>
              <w:rPr>
                <w:b/>
                <w:sz w:val="22"/>
                <w:szCs w:val="22"/>
              </w:rPr>
            </w:pPr>
            <w:r w:rsidRPr="00E4121F">
              <w:rPr>
                <w:b/>
                <w:sz w:val="22"/>
                <w:szCs w:val="22"/>
              </w:rPr>
              <w:t>Action</w:t>
            </w:r>
            <w:r>
              <w:rPr>
                <w:b/>
                <w:sz w:val="22"/>
                <w:szCs w:val="22"/>
              </w:rPr>
              <w:t>(s)</w:t>
            </w:r>
          </w:p>
        </w:tc>
        <w:tc>
          <w:tcPr>
            <w:tcW w:w="3331" w:type="dxa"/>
            <w:shd w:val="clear" w:color="auto" w:fill="D0CECE" w:themeFill="background2" w:themeFillShade="E6"/>
          </w:tcPr>
          <w:p w14:paraId="79E5860C" w14:textId="77777777" w:rsidR="004F759D" w:rsidRPr="00E4121F" w:rsidRDefault="004F759D" w:rsidP="005369FB">
            <w:pPr>
              <w:jc w:val="center"/>
              <w:rPr>
                <w:b/>
                <w:sz w:val="22"/>
                <w:szCs w:val="22"/>
              </w:rPr>
            </w:pPr>
            <w:r w:rsidRPr="00E4121F">
              <w:rPr>
                <w:b/>
                <w:sz w:val="22"/>
                <w:szCs w:val="22"/>
              </w:rPr>
              <w:t>When is this most suitable</w:t>
            </w:r>
          </w:p>
        </w:tc>
      </w:tr>
      <w:tr w:rsidR="004F759D" w14:paraId="2EE479B4" w14:textId="77777777" w:rsidTr="003025AA">
        <w:tc>
          <w:tcPr>
            <w:tcW w:w="1946" w:type="dxa"/>
            <w:shd w:val="clear" w:color="auto" w:fill="F2F2F2" w:themeFill="background1" w:themeFillShade="F2"/>
          </w:tcPr>
          <w:p w14:paraId="46C3430E" w14:textId="77777777" w:rsidR="004F759D" w:rsidRPr="00E4121F" w:rsidRDefault="004F759D" w:rsidP="005369FB">
            <w:pPr>
              <w:rPr>
                <w:b/>
                <w:sz w:val="22"/>
                <w:szCs w:val="22"/>
              </w:rPr>
            </w:pPr>
            <w:r w:rsidRPr="00E4121F">
              <w:rPr>
                <w:b/>
                <w:sz w:val="22"/>
                <w:szCs w:val="22"/>
              </w:rPr>
              <w:t>Register</w:t>
            </w:r>
          </w:p>
        </w:tc>
        <w:tc>
          <w:tcPr>
            <w:tcW w:w="3739" w:type="dxa"/>
          </w:tcPr>
          <w:p w14:paraId="4BF043EE" w14:textId="50368F4D" w:rsidR="004F759D" w:rsidRPr="00E4121F" w:rsidRDefault="00ED6E45" w:rsidP="005369FB">
            <w:pPr>
              <w:rPr>
                <w:sz w:val="22"/>
                <w:szCs w:val="22"/>
              </w:rPr>
            </w:pPr>
            <w:r>
              <w:rPr>
                <w:sz w:val="22"/>
                <w:szCs w:val="22"/>
              </w:rPr>
              <w:t>Publicly r</w:t>
            </w:r>
            <w:r w:rsidR="004F759D">
              <w:rPr>
                <w:sz w:val="22"/>
                <w:szCs w:val="22"/>
              </w:rPr>
              <w:t>ecord a</w:t>
            </w:r>
            <w:r w:rsidR="004F759D" w:rsidRPr="00E4121F">
              <w:rPr>
                <w:sz w:val="22"/>
                <w:szCs w:val="22"/>
              </w:rPr>
              <w:t xml:space="preserve">ll the details of the conflict of interest. </w:t>
            </w:r>
          </w:p>
        </w:tc>
        <w:tc>
          <w:tcPr>
            <w:tcW w:w="3331" w:type="dxa"/>
          </w:tcPr>
          <w:p w14:paraId="5B6AE51D" w14:textId="77777777" w:rsidR="004F759D" w:rsidRPr="00E4121F" w:rsidRDefault="004F759D" w:rsidP="005369FB">
            <w:pPr>
              <w:rPr>
                <w:sz w:val="22"/>
                <w:szCs w:val="22"/>
              </w:rPr>
            </w:pPr>
            <w:r w:rsidRPr="00E4121F">
              <w:rPr>
                <w:sz w:val="22"/>
                <w:szCs w:val="22"/>
              </w:rPr>
              <w:t xml:space="preserve">For very low-risk conflicts of interest where recording the conflict of interest is </w:t>
            </w:r>
            <w:r>
              <w:rPr>
                <w:sz w:val="22"/>
                <w:szCs w:val="22"/>
              </w:rPr>
              <w:t>enough</w:t>
            </w:r>
            <w:r w:rsidRPr="00E4121F">
              <w:rPr>
                <w:sz w:val="22"/>
                <w:szCs w:val="22"/>
              </w:rPr>
              <w:t xml:space="preserve"> to maintain transparency.</w:t>
            </w:r>
          </w:p>
        </w:tc>
      </w:tr>
      <w:tr w:rsidR="004F759D" w14:paraId="1FFFC409" w14:textId="77777777" w:rsidTr="003025AA">
        <w:tc>
          <w:tcPr>
            <w:tcW w:w="1946" w:type="dxa"/>
            <w:shd w:val="clear" w:color="auto" w:fill="F2F2F2" w:themeFill="background1" w:themeFillShade="F2"/>
          </w:tcPr>
          <w:p w14:paraId="0E1DC503" w14:textId="77777777" w:rsidR="004F759D" w:rsidRPr="00E4121F" w:rsidRDefault="004F759D" w:rsidP="005369FB">
            <w:pPr>
              <w:rPr>
                <w:b/>
                <w:sz w:val="22"/>
                <w:szCs w:val="22"/>
              </w:rPr>
            </w:pPr>
            <w:r w:rsidRPr="00E4121F">
              <w:rPr>
                <w:b/>
                <w:sz w:val="22"/>
                <w:szCs w:val="22"/>
              </w:rPr>
              <w:t>Restrict</w:t>
            </w:r>
          </w:p>
        </w:tc>
        <w:tc>
          <w:tcPr>
            <w:tcW w:w="3739" w:type="dxa"/>
          </w:tcPr>
          <w:p w14:paraId="271BB6AB" w14:textId="16CE121A" w:rsidR="004F759D" w:rsidRPr="00E4121F" w:rsidRDefault="004F759D" w:rsidP="005369FB">
            <w:pPr>
              <w:rPr>
                <w:sz w:val="22"/>
                <w:szCs w:val="22"/>
              </w:rPr>
            </w:pPr>
            <w:r>
              <w:rPr>
                <w:sz w:val="22"/>
                <w:szCs w:val="22"/>
              </w:rPr>
              <w:t>Involve the m</w:t>
            </w:r>
            <w:r w:rsidRPr="00E4121F">
              <w:rPr>
                <w:sz w:val="22"/>
                <w:szCs w:val="22"/>
              </w:rPr>
              <w:t>ember in discussion but restrict</w:t>
            </w:r>
            <w:r>
              <w:rPr>
                <w:sz w:val="22"/>
                <w:szCs w:val="22"/>
              </w:rPr>
              <w:t xml:space="preserve"> their </w:t>
            </w:r>
            <w:r w:rsidRPr="00E4121F">
              <w:rPr>
                <w:sz w:val="22"/>
                <w:szCs w:val="22"/>
              </w:rPr>
              <w:t xml:space="preserve">involvement in decision-making on the matter (i.e. no vote). </w:t>
            </w:r>
          </w:p>
        </w:tc>
        <w:tc>
          <w:tcPr>
            <w:tcW w:w="3331" w:type="dxa"/>
          </w:tcPr>
          <w:p w14:paraId="6D3B88E6" w14:textId="77777777" w:rsidR="004F759D" w:rsidRPr="00E4121F" w:rsidRDefault="004F759D" w:rsidP="005369FB">
            <w:pPr>
              <w:rPr>
                <w:sz w:val="22"/>
                <w:szCs w:val="22"/>
              </w:rPr>
            </w:pPr>
            <w:r w:rsidRPr="00E4121F">
              <w:rPr>
                <w:sz w:val="22"/>
                <w:szCs w:val="22"/>
              </w:rPr>
              <w:t xml:space="preserve">For medium-risk conflict of interest that is not likely to arise frequently.  </w:t>
            </w:r>
          </w:p>
        </w:tc>
      </w:tr>
      <w:tr w:rsidR="004F759D" w14:paraId="6DD00BF2" w14:textId="77777777" w:rsidTr="003025AA">
        <w:tc>
          <w:tcPr>
            <w:tcW w:w="1946" w:type="dxa"/>
            <w:shd w:val="clear" w:color="auto" w:fill="F2F2F2" w:themeFill="background1" w:themeFillShade="F2"/>
          </w:tcPr>
          <w:p w14:paraId="32105713" w14:textId="77777777" w:rsidR="004F759D" w:rsidRPr="00E4121F" w:rsidRDefault="004F759D" w:rsidP="005369FB">
            <w:pPr>
              <w:rPr>
                <w:b/>
                <w:sz w:val="22"/>
                <w:szCs w:val="22"/>
              </w:rPr>
            </w:pPr>
            <w:r w:rsidRPr="00E4121F">
              <w:rPr>
                <w:b/>
                <w:sz w:val="22"/>
                <w:szCs w:val="22"/>
              </w:rPr>
              <w:t>Recruit</w:t>
            </w:r>
          </w:p>
        </w:tc>
        <w:tc>
          <w:tcPr>
            <w:tcW w:w="3739" w:type="dxa"/>
          </w:tcPr>
          <w:p w14:paraId="37E94A85" w14:textId="77777777" w:rsidR="004F759D" w:rsidRDefault="004F759D" w:rsidP="005369FB">
            <w:pPr>
              <w:rPr>
                <w:sz w:val="22"/>
                <w:szCs w:val="22"/>
              </w:rPr>
            </w:pPr>
            <w:r w:rsidRPr="00E4121F">
              <w:rPr>
                <w:sz w:val="22"/>
                <w:szCs w:val="22"/>
              </w:rPr>
              <w:t>Recruit an impartial, non-conflicted third party to oversee, audit and/or review</w:t>
            </w:r>
            <w:r>
              <w:rPr>
                <w:sz w:val="22"/>
                <w:szCs w:val="22"/>
              </w:rPr>
              <w:t>:</w:t>
            </w:r>
          </w:p>
          <w:p w14:paraId="0BDCA943" w14:textId="77777777" w:rsidR="004F759D" w:rsidRDefault="004F759D" w:rsidP="00F12381">
            <w:pPr>
              <w:pStyle w:val="ListParagraph"/>
              <w:numPr>
                <w:ilvl w:val="0"/>
                <w:numId w:val="6"/>
              </w:numPr>
              <w:ind w:left="411"/>
              <w:rPr>
                <w:sz w:val="22"/>
                <w:szCs w:val="22"/>
              </w:rPr>
            </w:pPr>
            <w:r>
              <w:rPr>
                <w:sz w:val="22"/>
                <w:szCs w:val="22"/>
              </w:rPr>
              <w:t>the decision-</w:t>
            </w:r>
            <w:r w:rsidRPr="003B1217">
              <w:rPr>
                <w:sz w:val="22"/>
                <w:szCs w:val="22"/>
              </w:rPr>
              <w:t>making</w:t>
            </w:r>
          </w:p>
          <w:p w14:paraId="2B5613C2" w14:textId="77777777" w:rsidR="004F759D" w:rsidRPr="003B1217" w:rsidRDefault="004F759D" w:rsidP="00F12381">
            <w:pPr>
              <w:pStyle w:val="ListParagraph"/>
              <w:numPr>
                <w:ilvl w:val="0"/>
                <w:numId w:val="6"/>
              </w:numPr>
              <w:ind w:left="411"/>
              <w:rPr>
                <w:sz w:val="22"/>
                <w:szCs w:val="22"/>
              </w:rPr>
            </w:pPr>
            <w:r w:rsidRPr="003B1217">
              <w:rPr>
                <w:sz w:val="22"/>
                <w:szCs w:val="22"/>
              </w:rPr>
              <w:t xml:space="preserve">part or all of the process affected by the conflict of interest. </w:t>
            </w:r>
          </w:p>
        </w:tc>
        <w:tc>
          <w:tcPr>
            <w:tcW w:w="3331" w:type="dxa"/>
          </w:tcPr>
          <w:p w14:paraId="2040B798" w14:textId="77777777" w:rsidR="004F759D" w:rsidRPr="00E4121F" w:rsidRDefault="004F759D" w:rsidP="005369FB">
            <w:pPr>
              <w:rPr>
                <w:sz w:val="22"/>
                <w:szCs w:val="22"/>
              </w:rPr>
            </w:pPr>
            <w:r w:rsidRPr="00E4121F">
              <w:rPr>
                <w:sz w:val="22"/>
                <w:szCs w:val="22"/>
              </w:rPr>
              <w:t xml:space="preserve">When the effects (or perceived effects) of the conflict are significant but it is not feasible or desirable to remove the member from the decision-making process. This </w:t>
            </w:r>
            <w:r>
              <w:rPr>
                <w:sz w:val="22"/>
                <w:szCs w:val="22"/>
              </w:rPr>
              <w:t>applies</w:t>
            </w:r>
            <w:r w:rsidRPr="00E4121F">
              <w:rPr>
                <w:sz w:val="22"/>
                <w:szCs w:val="22"/>
              </w:rPr>
              <w:t xml:space="preserve"> when </w:t>
            </w:r>
            <w:r>
              <w:rPr>
                <w:sz w:val="22"/>
                <w:szCs w:val="22"/>
              </w:rPr>
              <w:t xml:space="preserve">the member’s </w:t>
            </w:r>
            <w:r w:rsidRPr="00E4121F">
              <w:rPr>
                <w:sz w:val="22"/>
                <w:szCs w:val="22"/>
              </w:rPr>
              <w:t>particular expertise is necessary and not easily replaced.</w:t>
            </w:r>
          </w:p>
        </w:tc>
      </w:tr>
      <w:tr w:rsidR="004F759D" w14:paraId="5116C980" w14:textId="77777777" w:rsidTr="003025AA">
        <w:tc>
          <w:tcPr>
            <w:tcW w:w="1946" w:type="dxa"/>
            <w:shd w:val="clear" w:color="auto" w:fill="F2F2F2" w:themeFill="background1" w:themeFillShade="F2"/>
          </w:tcPr>
          <w:p w14:paraId="616738ED" w14:textId="77777777" w:rsidR="004F759D" w:rsidRPr="00E4121F" w:rsidRDefault="004F759D" w:rsidP="005369FB">
            <w:pPr>
              <w:rPr>
                <w:b/>
                <w:sz w:val="22"/>
                <w:szCs w:val="22"/>
              </w:rPr>
            </w:pPr>
            <w:r w:rsidRPr="00E4121F">
              <w:rPr>
                <w:b/>
                <w:sz w:val="22"/>
                <w:szCs w:val="22"/>
              </w:rPr>
              <w:t>Remove</w:t>
            </w:r>
          </w:p>
        </w:tc>
        <w:tc>
          <w:tcPr>
            <w:tcW w:w="3739" w:type="dxa"/>
          </w:tcPr>
          <w:p w14:paraId="4FFFB93C" w14:textId="7A19F07C" w:rsidR="004F759D" w:rsidRPr="00E4121F" w:rsidRDefault="004F759D" w:rsidP="005369FB">
            <w:pPr>
              <w:rPr>
                <w:sz w:val="22"/>
                <w:szCs w:val="22"/>
              </w:rPr>
            </w:pPr>
            <w:r>
              <w:rPr>
                <w:sz w:val="22"/>
                <w:szCs w:val="22"/>
              </w:rPr>
              <w:t>R</w:t>
            </w:r>
            <w:r w:rsidRPr="00E4121F">
              <w:rPr>
                <w:sz w:val="22"/>
                <w:szCs w:val="22"/>
              </w:rPr>
              <w:t>emove</w:t>
            </w:r>
            <w:r>
              <w:rPr>
                <w:sz w:val="22"/>
                <w:szCs w:val="22"/>
              </w:rPr>
              <w:t xml:space="preserve"> the member </w:t>
            </w:r>
            <w:r w:rsidRPr="00E4121F">
              <w:rPr>
                <w:sz w:val="22"/>
                <w:szCs w:val="22"/>
              </w:rPr>
              <w:t xml:space="preserve">completely from any discussion or </w:t>
            </w:r>
            <w:r>
              <w:rPr>
                <w:sz w:val="22"/>
                <w:szCs w:val="22"/>
              </w:rPr>
              <w:t xml:space="preserve">recommendations regarding </w:t>
            </w:r>
            <w:r w:rsidRPr="00E4121F">
              <w:rPr>
                <w:sz w:val="22"/>
                <w:szCs w:val="22"/>
              </w:rPr>
              <w:t xml:space="preserve">the matter creating the conflict (i.e. the member will have to leave the room or not </w:t>
            </w:r>
            <w:r>
              <w:rPr>
                <w:sz w:val="22"/>
                <w:szCs w:val="22"/>
              </w:rPr>
              <w:t>take part</w:t>
            </w:r>
            <w:r w:rsidRPr="00E4121F">
              <w:rPr>
                <w:sz w:val="22"/>
                <w:szCs w:val="22"/>
              </w:rPr>
              <w:t xml:space="preserve"> in tele</w:t>
            </w:r>
            <w:r w:rsidR="009E5538">
              <w:rPr>
                <w:sz w:val="22"/>
                <w:szCs w:val="22"/>
              </w:rPr>
              <w:t>/video</w:t>
            </w:r>
            <w:r w:rsidRPr="00E4121F">
              <w:rPr>
                <w:sz w:val="22"/>
                <w:szCs w:val="22"/>
              </w:rPr>
              <w:t>conferences).</w:t>
            </w:r>
          </w:p>
        </w:tc>
        <w:tc>
          <w:tcPr>
            <w:tcW w:w="3331" w:type="dxa"/>
          </w:tcPr>
          <w:p w14:paraId="2072042C" w14:textId="77777777" w:rsidR="004F759D" w:rsidRPr="00E4121F" w:rsidRDefault="004F759D" w:rsidP="005369FB">
            <w:pPr>
              <w:rPr>
                <w:sz w:val="22"/>
                <w:szCs w:val="22"/>
              </w:rPr>
            </w:pPr>
            <w:r w:rsidRPr="00E4121F">
              <w:rPr>
                <w:sz w:val="22"/>
                <w:szCs w:val="22"/>
              </w:rPr>
              <w:t>For ongoing and serious conflicts of interest, where other strategies are not feasible, practical or appropriate.</w:t>
            </w:r>
          </w:p>
        </w:tc>
      </w:tr>
      <w:tr w:rsidR="004F759D" w14:paraId="2CE2B35A" w14:textId="77777777" w:rsidTr="003025AA">
        <w:tc>
          <w:tcPr>
            <w:tcW w:w="1946" w:type="dxa"/>
            <w:shd w:val="clear" w:color="auto" w:fill="F2F2F2" w:themeFill="background1" w:themeFillShade="F2"/>
          </w:tcPr>
          <w:p w14:paraId="723D1235" w14:textId="77777777" w:rsidR="004F759D" w:rsidRPr="00E4121F" w:rsidRDefault="004F759D" w:rsidP="005369FB">
            <w:pPr>
              <w:rPr>
                <w:b/>
                <w:sz w:val="22"/>
                <w:szCs w:val="22"/>
              </w:rPr>
            </w:pPr>
            <w:r w:rsidRPr="00E4121F">
              <w:rPr>
                <w:b/>
                <w:sz w:val="22"/>
                <w:szCs w:val="22"/>
              </w:rPr>
              <w:t>Relinquish</w:t>
            </w:r>
          </w:p>
        </w:tc>
        <w:tc>
          <w:tcPr>
            <w:tcW w:w="3739" w:type="dxa"/>
          </w:tcPr>
          <w:p w14:paraId="2BF06BDF" w14:textId="77777777" w:rsidR="004F759D" w:rsidRPr="00E4121F" w:rsidRDefault="004F759D" w:rsidP="005369FB">
            <w:pPr>
              <w:rPr>
                <w:sz w:val="22"/>
                <w:szCs w:val="22"/>
              </w:rPr>
            </w:pPr>
            <w:r w:rsidRPr="00E4121F">
              <w:rPr>
                <w:sz w:val="22"/>
                <w:szCs w:val="22"/>
              </w:rPr>
              <w:t xml:space="preserve">The member decides to relinquish the personal interest(s) that </w:t>
            </w:r>
            <w:r>
              <w:rPr>
                <w:sz w:val="22"/>
                <w:szCs w:val="22"/>
              </w:rPr>
              <w:t>create(s)</w:t>
            </w:r>
            <w:r w:rsidRPr="00E4121F">
              <w:rPr>
                <w:sz w:val="22"/>
                <w:szCs w:val="22"/>
              </w:rPr>
              <w:t xml:space="preserve"> the conflict.</w:t>
            </w:r>
          </w:p>
        </w:tc>
        <w:tc>
          <w:tcPr>
            <w:tcW w:w="3331" w:type="dxa"/>
          </w:tcPr>
          <w:p w14:paraId="41672427" w14:textId="77777777" w:rsidR="004F759D" w:rsidRPr="00E4121F" w:rsidRDefault="004F759D" w:rsidP="005369FB">
            <w:pPr>
              <w:rPr>
                <w:sz w:val="22"/>
                <w:szCs w:val="22"/>
              </w:rPr>
            </w:pPr>
            <w:r w:rsidRPr="00E4121F">
              <w:rPr>
                <w:sz w:val="22"/>
                <w:szCs w:val="22"/>
              </w:rPr>
              <w:t>Where affected member’s commitment to public duty outweighs their attachment to their private interest</w:t>
            </w:r>
            <w:r>
              <w:rPr>
                <w:sz w:val="22"/>
                <w:szCs w:val="22"/>
              </w:rPr>
              <w:t>(</w:t>
            </w:r>
            <w:r w:rsidRPr="00E4121F">
              <w:rPr>
                <w:sz w:val="22"/>
                <w:szCs w:val="22"/>
              </w:rPr>
              <w:t>s</w:t>
            </w:r>
            <w:r>
              <w:rPr>
                <w:sz w:val="22"/>
                <w:szCs w:val="22"/>
              </w:rPr>
              <w:t>)</w:t>
            </w:r>
            <w:r w:rsidRPr="00E4121F">
              <w:rPr>
                <w:sz w:val="22"/>
                <w:szCs w:val="22"/>
              </w:rPr>
              <w:t>.</w:t>
            </w:r>
          </w:p>
        </w:tc>
      </w:tr>
      <w:tr w:rsidR="004F759D" w14:paraId="01F14975" w14:textId="77777777" w:rsidTr="003025AA">
        <w:tc>
          <w:tcPr>
            <w:tcW w:w="1946" w:type="dxa"/>
            <w:shd w:val="clear" w:color="auto" w:fill="F2F2F2" w:themeFill="background1" w:themeFillShade="F2"/>
          </w:tcPr>
          <w:p w14:paraId="10074C9B" w14:textId="77777777" w:rsidR="004F759D" w:rsidRPr="00E4121F" w:rsidRDefault="004F759D" w:rsidP="005369FB">
            <w:pPr>
              <w:rPr>
                <w:b/>
                <w:sz w:val="22"/>
                <w:szCs w:val="22"/>
              </w:rPr>
            </w:pPr>
            <w:r w:rsidRPr="00E4121F">
              <w:rPr>
                <w:b/>
                <w:sz w:val="22"/>
                <w:szCs w:val="22"/>
              </w:rPr>
              <w:t>Resign</w:t>
            </w:r>
          </w:p>
        </w:tc>
        <w:tc>
          <w:tcPr>
            <w:tcW w:w="3739" w:type="dxa"/>
          </w:tcPr>
          <w:p w14:paraId="03127FAC" w14:textId="77777777" w:rsidR="004F759D" w:rsidRPr="00E4121F" w:rsidRDefault="004F759D" w:rsidP="005369FB">
            <w:pPr>
              <w:rPr>
                <w:sz w:val="22"/>
                <w:szCs w:val="22"/>
              </w:rPr>
            </w:pPr>
            <w:r w:rsidRPr="00E4121F">
              <w:rPr>
                <w:sz w:val="22"/>
                <w:szCs w:val="22"/>
              </w:rPr>
              <w:t>The member steps down from their role with the committee/board on a temporary or permanent basis.</w:t>
            </w:r>
          </w:p>
        </w:tc>
        <w:tc>
          <w:tcPr>
            <w:tcW w:w="3331" w:type="dxa"/>
          </w:tcPr>
          <w:p w14:paraId="77B8A726" w14:textId="77777777" w:rsidR="004F759D" w:rsidRPr="00E4121F" w:rsidRDefault="004F759D" w:rsidP="005369FB">
            <w:pPr>
              <w:rPr>
                <w:sz w:val="22"/>
                <w:szCs w:val="22"/>
              </w:rPr>
            </w:pPr>
            <w:r w:rsidRPr="00E4121F">
              <w:rPr>
                <w:sz w:val="22"/>
                <w:szCs w:val="22"/>
              </w:rPr>
              <w:t>Where no other options are workable. Where relinquishing conflicting private interest is not possible.</w:t>
            </w:r>
          </w:p>
        </w:tc>
      </w:tr>
    </w:tbl>
    <w:p w14:paraId="09E2F001" w14:textId="3418A8E8" w:rsidR="000F5465" w:rsidRDefault="000F5465" w:rsidP="005D3827">
      <w:pPr>
        <w:spacing w:before="240"/>
      </w:pPr>
      <w:r>
        <w:t>The HMRO or Chair may choose to seek a</w:t>
      </w:r>
      <w:r w:rsidRPr="00C306D4">
        <w:t xml:space="preserve">dvice </w:t>
      </w:r>
      <w:r>
        <w:t xml:space="preserve">in relation to decisions to be taken as part of this process. Such advice </w:t>
      </w:r>
      <w:r w:rsidRPr="00C306D4">
        <w:t xml:space="preserve">may be sought from other panel members, </w:t>
      </w:r>
      <w:r>
        <w:t>persons with relevant knowledge of a matter, or from independent</w:t>
      </w:r>
      <w:r w:rsidRPr="00C306D4">
        <w:t xml:space="preserve"> probity advi</w:t>
      </w:r>
      <w:r>
        <w:t>sors.</w:t>
      </w:r>
    </w:p>
    <w:p w14:paraId="31248ADE" w14:textId="28ABAFFF" w:rsidR="003025AA" w:rsidRDefault="003025AA" w:rsidP="003025AA">
      <w:pPr>
        <w:spacing w:before="120"/>
      </w:pPr>
      <w:r w:rsidRPr="003025AA">
        <w:t>The HMRO will record all decisions and actions taken in relation to declared interest</w:t>
      </w:r>
      <w:r w:rsidR="00824A52">
        <w:t>s</w:t>
      </w:r>
      <w:r w:rsidRPr="003025AA">
        <w:t xml:space="preserve"> in meeting minutes, or separately where no minutes are taken. </w:t>
      </w:r>
    </w:p>
    <w:p w14:paraId="6451ABB7" w14:textId="32193946" w:rsidR="00B41856" w:rsidRPr="003025AA" w:rsidRDefault="00B41856" w:rsidP="003025AA">
      <w:pPr>
        <w:spacing w:before="120"/>
      </w:pPr>
      <w:r>
        <w:lastRenderedPageBreak/>
        <w:t xml:space="preserve">The HMRO will publish a </w:t>
      </w:r>
      <w:r w:rsidRPr="003307B0">
        <w:t xml:space="preserve">register of </w:t>
      </w:r>
      <w:r>
        <w:t xml:space="preserve">conflicts of </w:t>
      </w:r>
      <w:r w:rsidRPr="003307B0">
        <w:t>interest</w:t>
      </w:r>
      <w:r>
        <w:t xml:space="preserve"> on the MRFF website</w:t>
      </w:r>
      <w:r w:rsidRPr="003307B0">
        <w:t>.</w:t>
      </w:r>
      <w:r w:rsidR="00B169DA">
        <w:br/>
      </w:r>
      <w:r>
        <w:t>Members</w:t>
      </w:r>
      <w:r w:rsidRPr="003307B0">
        <w:t xml:space="preserve"> </w:t>
      </w:r>
      <w:r>
        <w:t xml:space="preserve">will be consulted </w:t>
      </w:r>
      <w:r w:rsidRPr="003307B0">
        <w:t xml:space="preserve">prior to </w:t>
      </w:r>
      <w:r>
        <w:t>publishing the register</w:t>
      </w:r>
      <w:r w:rsidRPr="003307B0">
        <w:t>.</w:t>
      </w:r>
    </w:p>
    <w:p w14:paraId="209BC03C" w14:textId="3FED32FB" w:rsidR="004F759D" w:rsidRPr="00D8713B" w:rsidRDefault="004F759D" w:rsidP="00D8713B">
      <w:pPr>
        <w:pStyle w:val="Heading2"/>
      </w:pPr>
      <w:r w:rsidRPr="00D8713B">
        <w:t>Compliance</w:t>
      </w:r>
      <w:r w:rsidR="005D23EE" w:rsidRPr="00D8713B">
        <w:t xml:space="preserve"> with the policy</w:t>
      </w:r>
    </w:p>
    <w:p w14:paraId="70692FF6" w14:textId="77777777" w:rsidR="00476B18" w:rsidRDefault="00476B18" w:rsidP="004F759D">
      <w:pPr>
        <w:spacing w:before="120" w:after="120" w:line="240" w:lineRule="auto"/>
      </w:pPr>
      <w:r w:rsidRPr="003A15A8">
        <w:t>All members subject to this policy are responsible for ensuring that they comply with the requirements of the policy</w:t>
      </w:r>
      <w:r>
        <w:t>.</w:t>
      </w:r>
    </w:p>
    <w:p w14:paraId="122A7027" w14:textId="61BAB3F0" w:rsidR="004F759D" w:rsidRPr="003307B0" w:rsidRDefault="004F759D" w:rsidP="004F759D">
      <w:pPr>
        <w:spacing w:before="120" w:after="120" w:line="240" w:lineRule="auto"/>
      </w:pPr>
      <w:r w:rsidRPr="003307B0">
        <w:t xml:space="preserve">The HMRO will monitor compliance </w:t>
      </w:r>
      <w:r>
        <w:t>with the Chairs’ assistance</w:t>
      </w:r>
      <w:r w:rsidRPr="003307B0">
        <w:t>.</w:t>
      </w:r>
    </w:p>
    <w:p w14:paraId="011D550C" w14:textId="639182B8" w:rsidR="004F759D" w:rsidRPr="003307B0" w:rsidRDefault="00476B18" w:rsidP="004F759D">
      <w:pPr>
        <w:spacing w:before="120" w:after="120" w:line="240" w:lineRule="auto"/>
      </w:pPr>
      <w:r>
        <w:t>Reported or</w:t>
      </w:r>
      <w:r w:rsidR="004F759D">
        <w:t xml:space="preserve"> suspect</w:t>
      </w:r>
      <w:r>
        <w:t>ed</w:t>
      </w:r>
      <w:r w:rsidR="004F759D" w:rsidRPr="003307B0">
        <w:t xml:space="preserve"> breach</w:t>
      </w:r>
      <w:r>
        <w:t>es</w:t>
      </w:r>
      <w:r w:rsidR="005D23EE">
        <w:t xml:space="preserve"> </w:t>
      </w:r>
      <w:r w:rsidR="00B51EEB">
        <w:t xml:space="preserve">will be </w:t>
      </w:r>
      <w:r>
        <w:t>investigated by</w:t>
      </w:r>
      <w:r w:rsidR="004F759D" w:rsidRPr="003307B0">
        <w:t xml:space="preserve"> HMRO.</w:t>
      </w:r>
    </w:p>
    <w:p w14:paraId="6EB243C4" w14:textId="77777777" w:rsidR="00347AB2" w:rsidRDefault="004F759D" w:rsidP="00347AB2">
      <w:pPr>
        <w:spacing w:before="120" w:after="120" w:line="240" w:lineRule="auto"/>
      </w:pPr>
      <w:r>
        <w:t>If the HMRO identifies</w:t>
      </w:r>
      <w:r w:rsidRPr="003307B0">
        <w:t xml:space="preserve"> a breach</w:t>
      </w:r>
      <w:r>
        <w:t xml:space="preserve">, </w:t>
      </w:r>
      <w:r w:rsidRPr="003307B0">
        <w:t>membership</w:t>
      </w:r>
      <w:r>
        <w:t xml:space="preserve"> may be revoked</w:t>
      </w:r>
      <w:r w:rsidRPr="003307B0">
        <w:t>.</w:t>
      </w:r>
    </w:p>
    <w:p w14:paraId="44539930" w14:textId="4058F0A1" w:rsidR="00347AB2" w:rsidRDefault="00347AB2">
      <w:r>
        <w:br w:type="page"/>
      </w:r>
    </w:p>
    <w:p w14:paraId="2A29CC7D" w14:textId="2096965A" w:rsidR="00347AB2" w:rsidRDefault="00347AB2" w:rsidP="00347AB2">
      <w:pPr>
        <w:contextualSpacing/>
        <w:jc w:val="center"/>
        <w:rPr>
          <w:b/>
          <w:bCs/>
        </w:rPr>
      </w:pPr>
      <w:r w:rsidRPr="00347AB2">
        <w:rPr>
          <w:b/>
          <w:bCs/>
        </w:rPr>
        <w:lastRenderedPageBreak/>
        <w:t>MRFF Declaration of Interest Policy</w:t>
      </w:r>
    </w:p>
    <w:p w14:paraId="2F14296E" w14:textId="110B035B" w:rsidR="00347AB2" w:rsidRDefault="00347AB2" w:rsidP="00347AB2">
      <w:pPr>
        <w:contextualSpacing/>
        <w:jc w:val="center"/>
        <w:rPr>
          <w:b/>
          <w:bCs/>
        </w:rPr>
      </w:pPr>
      <w:r w:rsidRPr="00347AB2">
        <w:rPr>
          <w:b/>
          <w:bCs/>
        </w:rPr>
        <w:t>Decision Making Flowchart</w:t>
      </w:r>
    </w:p>
    <w:p w14:paraId="6E8C844F" w14:textId="77777777" w:rsidR="00D11FF7" w:rsidRDefault="00D11FF7" w:rsidP="00347AB2">
      <w:pPr>
        <w:contextualSpacing/>
        <w:jc w:val="center"/>
        <w:rPr>
          <w:b/>
          <w:bCs/>
        </w:rPr>
      </w:pPr>
    </w:p>
    <w:p w14:paraId="2D5F35C6" w14:textId="0DB19BE5" w:rsidR="00F46AC9" w:rsidRPr="00F46AC9" w:rsidRDefault="008E4C9A" w:rsidP="00575621">
      <w:pPr>
        <w:contextualSpacing/>
        <w:jc w:val="center"/>
        <w:rPr>
          <w:color w:val="FFFFFF" w:themeColor="background1"/>
        </w:rPr>
      </w:pPr>
      <w:r>
        <w:rPr>
          <w:noProof/>
          <w:color w:val="FFFFFF" w:themeColor="background1"/>
        </w:rPr>
        <w:drawing>
          <wp:inline distT="0" distB="0" distL="0" distR="0" wp14:anchorId="72FB2BA0" wp14:editId="75A3670F">
            <wp:extent cx="5163185" cy="7164070"/>
            <wp:effectExtent l="0" t="0" r="0" b="0"/>
            <wp:docPr id="4" name="Picture 4" descr="1. Report - Members declare relevant interests. 2. Record - HMRO records declarations in the internal register of interests. 3. Assess - Chair HMRO determine if a conflict interest exists. If no, no further action is taken.  If yes, a management approach is determined. 4. Mange - the appropriate management approach is introduced: register, restrict, recruit, remove, relinquish, resign. 5. Monitor - Monitor the effectiveness of the management approach and any changes in interes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 Report - Members declare relevant interests. 2. Record - HMRO records declarations in the internal register of interests. 3. Assess - Chair HMRO determine if a conflict interest exists. If no, no further action is taken.  If yes, a management approach is determined. 4. Mange - the appropriate management approach is introduced: register, restrict, recruit, remove, relinquish, resign. 5. Monitor - Monitor the effectiveness of the management approach and any changes in interests. "/>
                    <pic:cNvPicPr/>
                  </pic:nvPicPr>
                  <pic:blipFill>
                    <a:blip r:embed="rId8">
                      <a:extLst>
                        <a:ext uri="{28A0092B-C50C-407E-A947-70E740481C1C}">
                          <a14:useLocalDpi xmlns:a14="http://schemas.microsoft.com/office/drawing/2010/main" val="0"/>
                        </a:ext>
                      </a:extLst>
                    </a:blip>
                    <a:stretch>
                      <a:fillRect/>
                    </a:stretch>
                  </pic:blipFill>
                  <pic:spPr>
                    <a:xfrm>
                      <a:off x="0" y="0"/>
                      <a:ext cx="5163185" cy="7164070"/>
                    </a:xfrm>
                    <a:prstGeom prst="rect">
                      <a:avLst/>
                    </a:prstGeom>
                  </pic:spPr>
                </pic:pic>
              </a:graphicData>
            </a:graphic>
          </wp:inline>
        </w:drawing>
      </w:r>
      <w:r w:rsidR="00F46AC9" w:rsidRPr="00F46AC9">
        <w:rPr>
          <w:color w:val="FFFFFF" w:themeColor="background1"/>
        </w:rPr>
        <w:t>Flowchart – decision making</w:t>
      </w:r>
    </w:p>
    <w:sectPr w:rsidR="00F46AC9" w:rsidRPr="00F46AC9" w:rsidSect="00BB2177">
      <w:headerReference w:type="default" r:id="rId9"/>
      <w:footerReference w:type="default" r:id="rId10"/>
      <w:head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A2DF3" w14:textId="77777777" w:rsidR="00226E13" w:rsidRDefault="00226E13" w:rsidP="00A608EF">
      <w:pPr>
        <w:spacing w:after="0" w:line="240" w:lineRule="auto"/>
      </w:pPr>
      <w:r>
        <w:separator/>
      </w:r>
    </w:p>
  </w:endnote>
  <w:endnote w:type="continuationSeparator" w:id="0">
    <w:p w14:paraId="04DCD93F" w14:textId="77777777" w:rsidR="00226E13" w:rsidRDefault="00226E13" w:rsidP="00A6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989719"/>
      <w:docPartObj>
        <w:docPartGallery w:val="Page Numbers (Bottom of Page)"/>
        <w:docPartUnique/>
      </w:docPartObj>
    </w:sdtPr>
    <w:sdtEndPr>
      <w:rPr>
        <w:noProof/>
      </w:rPr>
    </w:sdtEndPr>
    <w:sdtContent>
      <w:p w14:paraId="61622FAE" w14:textId="43378F8C" w:rsidR="000D37E4" w:rsidRDefault="000D37E4" w:rsidP="000D37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CE80F" w14:textId="77777777" w:rsidR="00226E13" w:rsidRDefault="00226E13" w:rsidP="00A608EF">
      <w:pPr>
        <w:spacing w:after="0" w:line="240" w:lineRule="auto"/>
      </w:pPr>
      <w:r>
        <w:separator/>
      </w:r>
    </w:p>
  </w:footnote>
  <w:footnote w:type="continuationSeparator" w:id="0">
    <w:p w14:paraId="3FB47C93" w14:textId="77777777" w:rsidR="00226E13" w:rsidRDefault="00226E13" w:rsidP="00A608EF">
      <w:pPr>
        <w:spacing w:after="0" w:line="240" w:lineRule="auto"/>
      </w:pPr>
      <w:r>
        <w:continuationSeparator/>
      </w:r>
    </w:p>
  </w:footnote>
  <w:footnote w:id="1">
    <w:p w14:paraId="1B3C2D5C" w14:textId="76C250CA" w:rsidR="002555F9" w:rsidRDefault="002555F9">
      <w:pPr>
        <w:pStyle w:val="FootnoteText"/>
      </w:pPr>
      <w:r>
        <w:rPr>
          <w:rStyle w:val="FootnoteReference"/>
        </w:rPr>
        <w:footnoteRef/>
      </w:r>
      <w:r>
        <w:t xml:space="preserve"> Adapted from the Pecuniary Interest Tribunal website: </w:t>
      </w:r>
      <w:hyperlink r:id="rId1" w:history="1">
        <w:r>
          <w:rPr>
            <w:rStyle w:val="Hyperlink"/>
          </w:rPr>
          <w:t>https://www.findlaw.com.au/articles/1694/the-pecuniary-interest-tribunal.aspx</w:t>
        </w:r>
      </w:hyperlink>
    </w:p>
  </w:footnote>
  <w:footnote w:id="2">
    <w:p w14:paraId="7C175DF6" w14:textId="4CEDF1AE" w:rsidR="002555F9" w:rsidRDefault="002555F9">
      <w:pPr>
        <w:pStyle w:val="FootnoteText"/>
      </w:pPr>
      <w:r>
        <w:rPr>
          <w:rStyle w:val="FootnoteReference"/>
        </w:rPr>
        <w:footnoteRef/>
      </w:r>
      <w:r>
        <w:t xml:space="preserve"> Adapted from NHMRC’s </w:t>
      </w:r>
      <w:r>
        <w:rPr>
          <w:i/>
        </w:rPr>
        <w:t>Identifying and managing conflicts of interest</w:t>
      </w:r>
      <w:r>
        <w:t xml:space="preserve">: </w:t>
      </w:r>
      <w:hyperlink r:id="rId2" w:history="1">
        <w:r>
          <w:rPr>
            <w:rStyle w:val="Hyperlink"/>
          </w:rPr>
          <w:t>https://www.nhmrc.gov.au/guidelinesforguidelines/plan/identifying-and-managing-conflicts-interest</w:t>
        </w:r>
      </w:hyperlink>
    </w:p>
  </w:footnote>
  <w:footnote w:id="3">
    <w:p w14:paraId="254EB5CF" w14:textId="77777777" w:rsidR="00252AC9" w:rsidRDefault="00252AC9" w:rsidP="00252AC9">
      <w:pPr>
        <w:pStyle w:val="FootnoteText"/>
      </w:pPr>
      <w:r>
        <w:rPr>
          <w:rStyle w:val="FootnoteReference"/>
        </w:rPr>
        <w:footnoteRef/>
      </w:r>
      <w:r>
        <w:t xml:space="preserve"> </w:t>
      </w:r>
      <w:r w:rsidRPr="00042E16">
        <w:t>Adapted from ATAGI declaration of member interests form</w:t>
      </w:r>
    </w:p>
  </w:footnote>
  <w:footnote w:id="4">
    <w:p w14:paraId="10BE168E" w14:textId="7C3BB792" w:rsidR="004D05C2" w:rsidRDefault="004D05C2" w:rsidP="004D05C2">
      <w:pPr>
        <w:pStyle w:val="FootnoteText"/>
      </w:pPr>
      <w:r>
        <w:rPr>
          <w:rStyle w:val="FootnoteReference"/>
        </w:rPr>
        <w:footnoteRef/>
      </w:r>
      <w:r>
        <w:t xml:space="preserve"> </w:t>
      </w:r>
      <w:r w:rsidRPr="00982837">
        <w:t xml:space="preserve">Where a Chair declares a conflict of interest, alternative chairing arrangements will be put in place </w:t>
      </w:r>
      <w:r w:rsidR="003C67D1">
        <w:t>utilising the Co-Chair, Deputy Chair or another member of the group</w:t>
      </w:r>
      <w:r w:rsidR="00DB4999">
        <w:t xml:space="preserve"> as necessary</w:t>
      </w:r>
    </w:p>
  </w:footnote>
  <w:footnote w:id="5">
    <w:p w14:paraId="24E5F84C" w14:textId="77777777" w:rsidR="00184AF4" w:rsidRDefault="00184AF4" w:rsidP="00184AF4">
      <w:pPr>
        <w:pStyle w:val="FootnoteText"/>
      </w:pPr>
      <w:r>
        <w:rPr>
          <w:rStyle w:val="FootnoteReference"/>
        </w:rPr>
        <w:footnoteRef/>
      </w:r>
      <w:r>
        <w:t xml:space="preserve"> Section 32K of the Medical Research Future Fund Act 2015 prescribes certain additional requirements for members of the Australian Medical Research Advisory Board (AMRAB) regarding the disclosure of interests. AMRAB, in performing its functions, is accountable to the Minister for Health.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87C96" w14:textId="045214F1" w:rsidR="00B23659" w:rsidRDefault="000D37E4" w:rsidP="00575621">
    <w:pPr>
      <w:pStyle w:val="Header"/>
    </w:pPr>
    <w:r w:rsidRPr="00311318">
      <w:rPr>
        <w:noProof/>
        <w:lang w:val="en-US"/>
      </w:rPr>
      <w:drawing>
        <wp:anchor distT="0" distB="0" distL="114300" distR="114300" simplePos="0" relativeHeight="251659264" behindDoc="0" locked="0" layoutInCell="1" allowOverlap="1" wp14:anchorId="726F2730" wp14:editId="7E581C84">
          <wp:simplePos x="0" y="0"/>
          <wp:positionH relativeFrom="margin">
            <wp:align>center</wp:align>
          </wp:positionH>
          <wp:positionV relativeFrom="paragraph">
            <wp:posOffset>-450628</wp:posOffset>
          </wp:positionV>
          <wp:extent cx="5731510" cy="1497330"/>
          <wp:effectExtent l="0" t="0" r="2540" b="7620"/>
          <wp:wrapSquare wrapText="bothSides"/>
          <wp:docPr id="8" name="Picture 8" descr="Medical Research Future F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edical Research Future Fund">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973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58DE" w14:textId="365EB011" w:rsidR="000D37E4" w:rsidRDefault="000D37E4">
    <w:pPr>
      <w:pStyle w:val="Header"/>
    </w:pPr>
    <w:r w:rsidRPr="00311318">
      <w:rPr>
        <w:noProof/>
        <w:lang w:val="en-US"/>
      </w:rPr>
      <w:drawing>
        <wp:anchor distT="0" distB="0" distL="114300" distR="114300" simplePos="0" relativeHeight="251658240" behindDoc="0" locked="0" layoutInCell="1" allowOverlap="1" wp14:anchorId="23B9211D" wp14:editId="018138AC">
          <wp:simplePos x="0" y="0"/>
          <wp:positionH relativeFrom="margin">
            <wp:align>center</wp:align>
          </wp:positionH>
          <wp:positionV relativeFrom="paragraph">
            <wp:posOffset>-450446</wp:posOffset>
          </wp:positionV>
          <wp:extent cx="5731510" cy="1497330"/>
          <wp:effectExtent l="0" t="0" r="2540" b="7620"/>
          <wp:wrapSquare wrapText="bothSides"/>
          <wp:docPr id="9" name="Picture 9" descr="MRFF logo" title="MR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RFF logo" title="MRF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973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D8B"/>
    <w:multiLevelType w:val="hybridMultilevel"/>
    <w:tmpl w:val="0E18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070B6"/>
    <w:multiLevelType w:val="hybridMultilevel"/>
    <w:tmpl w:val="B26A342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9ED0413"/>
    <w:multiLevelType w:val="hybridMultilevel"/>
    <w:tmpl w:val="3A4AA6B0"/>
    <w:lvl w:ilvl="0" w:tplc="4F3E939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B526E13"/>
    <w:multiLevelType w:val="hybridMultilevel"/>
    <w:tmpl w:val="C7D83B64"/>
    <w:lvl w:ilvl="0" w:tplc="0C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4B4FCD"/>
    <w:multiLevelType w:val="hybridMultilevel"/>
    <w:tmpl w:val="45BC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86BD8"/>
    <w:multiLevelType w:val="hybridMultilevel"/>
    <w:tmpl w:val="29946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47132"/>
    <w:multiLevelType w:val="hybridMultilevel"/>
    <w:tmpl w:val="CC5C66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5D3C12"/>
    <w:multiLevelType w:val="hybridMultilevel"/>
    <w:tmpl w:val="6FE4F03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36615E5"/>
    <w:multiLevelType w:val="multilevel"/>
    <w:tmpl w:val="5EF0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079B7"/>
    <w:multiLevelType w:val="hybridMultilevel"/>
    <w:tmpl w:val="4A389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A36760"/>
    <w:multiLevelType w:val="hybridMultilevel"/>
    <w:tmpl w:val="F48C6294"/>
    <w:lvl w:ilvl="0" w:tplc="04090001">
      <w:start w:val="1"/>
      <w:numFmt w:val="bullet"/>
      <w:lvlText w:val=""/>
      <w:lvlJc w:val="left"/>
      <w:pPr>
        <w:ind w:left="720" w:hanging="360"/>
      </w:pPr>
      <w:rPr>
        <w:rFonts w:ascii="Symbol" w:hAnsi="Symbol" w:hint="default"/>
      </w:rPr>
    </w:lvl>
    <w:lvl w:ilvl="1" w:tplc="3A02B2F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A1291"/>
    <w:multiLevelType w:val="hybridMultilevel"/>
    <w:tmpl w:val="02C0E8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1F283B"/>
    <w:multiLevelType w:val="hybridMultilevel"/>
    <w:tmpl w:val="4EC67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A205BD"/>
    <w:multiLevelType w:val="hybridMultilevel"/>
    <w:tmpl w:val="9FD40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7C4AE7"/>
    <w:multiLevelType w:val="hybridMultilevel"/>
    <w:tmpl w:val="A9989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10"/>
  </w:num>
  <w:num w:numId="6">
    <w:abstractNumId w:val="1"/>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2"/>
  </w:num>
  <w:num w:numId="13">
    <w:abstractNumId w:val="14"/>
  </w:num>
  <w:num w:numId="14">
    <w:abstractNumId w:val="1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EF"/>
    <w:rsid w:val="000112D9"/>
    <w:rsid w:val="000131B0"/>
    <w:rsid w:val="0002245F"/>
    <w:rsid w:val="0002351E"/>
    <w:rsid w:val="00025BE2"/>
    <w:rsid w:val="00030270"/>
    <w:rsid w:val="00037D5A"/>
    <w:rsid w:val="00042E16"/>
    <w:rsid w:val="000438FF"/>
    <w:rsid w:val="0004637A"/>
    <w:rsid w:val="00064019"/>
    <w:rsid w:val="000719C4"/>
    <w:rsid w:val="00076F92"/>
    <w:rsid w:val="00077F15"/>
    <w:rsid w:val="00095922"/>
    <w:rsid w:val="00097168"/>
    <w:rsid w:val="000B193C"/>
    <w:rsid w:val="000B546B"/>
    <w:rsid w:val="000C062E"/>
    <w:rsid w:val="000C40F7"/>
    <w:rsid w:val="000D1A5F"/>
    <w:rsid w:val="000D2F77"/>
    <w:rsid w:val="000D37E4"/>
    <w:rsid w:val="000E201B"/>
    <w:rsid w:val="000E230D"/>
    <w:rsid w:val="000F5465"/>
    <w:rsid w:val="000F5492"/>
    <w:rsid w:val="00103A1E"/>
    <w:rsid w:val="0010677C"/>
    <w:rsid w:val="001125FE"/>
    <w:rsid w:val="00113031"/>
    <w:rsid w:val="001200A2"/>
    <w:rsid w:val="0012086A"/>
    <w:rsid w:val="001262D1"/>
    <w:rsid w:val="00135678"/>
    <w:rsid w:val="0014795D"/>
    <w:rsid w:val="0016163C"/>
    <w:rsid w:val="00184AF4"/>
    <w:rsid w:val="00186414"/>
    <w:rsid w:val="001A0E23"/>
    <w:rsid w:val="001A15CE"/>
    <w:rsid w:val="001B1E0C"/>
    <w:rsid w:val="001B3310"/>
    <w:rsid w:val="001B4943"/>
    <w:rsid w:val="001C0960"/>
    <w:rsid w:val="001C26D0"/>
    <w:rsid w:val="001C4BAA"/>
    <w:rsid w:val="001D484E"/>
    <w:rsid w:val="001D7E84"/>
    <w:rsid w:val="001E64B2"/>
    <w:rsid w:val="001F0133"/>
    <w:rsid w:val="001F4812"/>
    <w:rsid w:val="001F4EDA"/>
    <w:rsid w:val="001F641D"/>
    <w:rsid w:val="00200EEB"/>
    <w:rsid w:val="00221B69"/>
    <w:rsid w:val="0022250B"/>
    <w:rsid w:val="00226E13"/>
    <w:rsid w:val="002344CD"/>
    <w:rsid w:val="0023687C"/>
    <w:rsid w:val="00251376"/>
    <w:rsid w:val="0025281E"/>
    <w:rsid w:val="00252AC9"/>
    <w:rsid w:val="002555F9"/>
    <w:rsid w:val="00257BF7"/>
    <w:rsid w:val="00280050"/>
    <w:rsid w:val="00284B24"/>
    <w:rsid w:val="002C3164"/>
    <w:rsid w:val="002E0C26"/>
    <w:rsid w:val="002E4D0A"/>
    <w:rsid w:val="002E4FA5"/>
    <w:rsid w:val="002F70B5"/>
    <w:rsid w:val="003022CF"/>
    <w:rsid w:val="003025AA"/>
    <w:rsid w:val="0031041A"/>
    <w:rsid w:val="003104B8"/>
    <w:rsid w:val="003307B0"/>
    <w:rsid w:val="00347948"/>
    <w:rsid w:val="00347AB2"/>
    <w:rsid w:val="00350B55"/>
    <w:rsid w:val="00365A79"/>
    <w:rsid w:val="00382C2B"/>
    <w:rsid w:val="0038354D"/>
    <w:rsid w:val="00395875"/>
    <w:rsid w:val="00397251"/>
    <w:rsid w:val="003B1217"/>
    <w:rsid w:val="003B5A2D"/>
    <w:rsid w:val="003C34E6"/>
    <w:rsid w:val="003C67D1"/>
    <w:rsid w:val="003C7474"/>
    <w:rsid w:val="003D23C0"/>
    <w:rsid w:val="003D5CE6"/>
    <w:rsid w:val="003D61BC"/>
    <w:rsid w:val="003D6888"/>
    <w:rsid w:val="003E47DF"/>
    <w:rsid w:val="003E61E6"/>
    <w:rsid w:val="003F0C6E"/>
    <w:rsid w:val="004322D1"/>
    <w:rsid w:val="00436FA5"/>
    <w:rsid w:val="004373F3"/>
    <w:rsid w:val="00443692"/>
    <w:rsid w:val="00443FAB"/>
    <w:rsid w:val="004442A6"/>
    <w:rsid w:val="0044649E"/>
    <w:rsid w:val="00476B18"/>
    <w:rsid w:val="0048139E"/>
    <w:rsid w:val="00484E76"/>
    <w:rsid w:val="0049778E"/>
    <w:rsid w:val="004A205A"/>
    <w:rsid w:val="004A3649"/>
    <w:rsid w:val="004B3D05"/>
    <w:rsid w:val="004B692C"/>
    <w:rsid w:val="004D05C2"/>
    <w:rsid w:val="004D7774"/>
    <w:rsid w:val="004E1822"/>
    <w:rsid w:val="004E22E1"/>
    <w:rsid w:val="004E42C0"/>
    <w:rsid w:val="004E75FF"/>
    <w:rsid w:val="004F2F0D"/>
    <w:rsid w:val="004F759D"/>
    <w:rsid w:val="00520FA4"/>
    <w:rsid w:val="00526E25"/>
    <w:rsid w:val="0055311B"/>
    <w:rsid w:val="00575621"/>
    <w:rsid w:val="00575BB9"/>
    <w:rsid w:val="00587A26"/>
    <w:rsid w:val="00596188"/>
    <w:rsid w:val="005A08D2"/>
    <w:rsid w:val="005A1D41"/>
    <w:rsid w:val="005A3804"/>
    <w:rsid w:val="005A3FC4"/>
    <w:rsid w:val="005A715B"/>
    <w:rsid w:val="005B2000"/>
    <w:rsid w:val="005B40F1"/>
    <w:rsid w:val="005C0403"/>
    <w:rsid w:val="005D23EE"/>
    <w:rsid w:val="005D3586"/>
    <w:rsid w:val="005D3827"/>
    <w:rsid w:val="005D4192"/>
    <w:rsid w:val="005D5F9D"/>
    <w:rsid w:val="005D6430"/>
    <w:rsid w:val="005D701B"/>
    <w:rsid w:val="005E76C6"/>
    <w:rsid w:val="005F4D32"/>
    <w:rsid w:val="00620E80"/>
    <w:rsid w:val="00622FC3"/>
    <w:rsid w:val="00623828"/>
    <w:rsid w:val="00627BD1"/>
    <w:rsid w:val="00627E00"/>
    <w:rsid w:val="00631912"/>
    <w:rsid w:val="00637D5A"/>
    <w:rsid w:val="0064685A"/>
    <w:rsid w:val="0064789C"/>
    <w:rsid w:val="00665867"/>
    <w:rsid w:val="00666258"/>
    <w:rsid w:val="00672443"/>
    <w:rsid w:val="00674385"/>
    <w:rsid w:val="006815E2"/>
    <w:rsid w:val="006C2234"/>
    <w:rsid w:val="006D154E"/>
    <w:rsid w:val="006D29AC"/>
    <w:rsid w:val="006D5F3D"/>
    <w:rsid w:val="006D7A24"/>
    <w:rsid w:val="006E36CC"/>
    <w:rsid w:val="006E542E"/>
    <w:rsid w:val="006F1992"/>
    <w:rsid w:val="006F4CFE"/>
    <w:rsid w:val="006F64B6"/>
    <w:rsid w:val="00725463"/>
    <w:rsid w:val="00733FA8"/>
    <w:rsid w:val="0073420E"/>
    <w:rsid w:val="00740B9F"/>
    <w:rsid w:val="00750224"/>
    <w:rsid w:val="00751366"/>
    <w:rsid w:val="00752404"/>
    <w:rsid w:val="00754973"/>
    <w:rsid w:val="00761E66"/>
    <w:rsid w:val="0076321F"/>
    <w:rsid w:val="00776EB1"/>
    <w:rsid w:val="00793EEB"/>
    <w:rsid w:val="0079605D"/>
    <w:rsid w:val="0079760A"/>
    <w:rsid w:val="007A761F"/>
    <w:rsid w:val="007B07FE"/>
    <w:rsid w:val="007B687E"/>
    <w:rsid w:val="007C40F3"/>
    <w:rsid w:val="007C591C"/>
    <w:rsid w:val="007C5B2C"/>
    <w:rsid w:val="007C763E"/>
    <w:rsid w:val="007D0BDA"/>
    <w:rsid w:val="007D15E1"/>
    <w:rsid w:val="007E35FB"/>
    <w:rsid w:val="00802FA4"/>
    <w:rsid w:val="008049CF"/>
    <w:rsid w:val="008108F0"/>
    <w:rsid w:val="0081409C"/>
    <w:rsid w:val="00815EBA"/>
    <w:rsid w:val="00824A52"/>
    <w:rsid w:val="00827B91"/>
    <w:rsid w:val="00831310"/>
    <w:rsid w:val="00831816"/>
    <w:rsid w:val="00832228"/>
    <w:rsid w:val="0084028F"/>
    <w:rsid w:val="0084109A"/>
    <w:rsid w:val="00862020"/>
    <w:rsid w:val="00894007"/>
    <w:rsid w:val="00895730"/>
    <w:rsid w:val="008A51BB"/>
    <w:rsid w:val="008B4C15"/>
    <w:rsid w:val="008B6BDA"/>
    <w:rsid w:val="008B7793"/>
    <w:rsid w:val="008D19F6"/>
    <w:rsid w:val="008D33EE"/>
    <w:rsid w:val="008D6340"/>
    <w:rsid w:val="008E1818"/>
    <w:rsid w:val="008E4C9A"/>
    <w:rsid w:val="008F7962"/>
    <w:rsid w:val="00912A78"/>
    <w:rsid w:val="0092703E"/>
    <w:rsid w:val="00940F28"/>
    <w:rsid w:val="00943810"/>
    <w:rsid w:val="00944400"/>
    <w:rsid w:val="00947744"/>
    <w:rsid w:val="00974E80"/>
    <w:rsid w:val="00982837"/>
    <w:rsid w:val="00997B94"/>
    <w:rsid w:val="009A27D7"/>
    <w:rsid w:val="009B12F2"/>
    <w:rsid w:val="009B46F7"/>
    <w:rsid w:val="009B6921"/>
    <w:rsid w:val="009D255C"/>
    <w:rsid w:val="009E1EEA"/>
    <w:rsid w:val="009E5538"/>
    <w:rsid w:val="009F2072"/>
    <w:rsid w:val="00A02495"/>
    <w:rsid w:val="00A11433"/>
    <w:rsid w:val="00A17AC8"/>
    <w:rsid w:val="00A33DB9"/>
    <w:rsid w:val="00A3653A"/>
    <w:rsid w:val="00A37ACC"/>
    <w:rsid w:val="00A40ECA"/>
    <w:rsid w:val="00A42195"/>
    <w:rsid w:val="00A43623"/>
    <w:rsid w:val="00A5544B"/>
    <w:rsid w:val="00A608EF"/>
    <w:rsid w:val="00A65DF0"/>
    <w:rsid w:val="00A66813"/>
    <w:rsid w:val="00A7070E"/>
    <w:rsid w:val="00A7198F"/>
    <w:rsid w:val="00A81464"/>
    <w:rsid w:val="00A85909"/>
    <w:rsid w:val="00A86499"/>
    <w:rsid w:val="00A950B3"/>
    <w:rsid w:val="00A97A29"/>
    <w:rsid w:val="00AA4FD6"/>
    <w:rsid w:val="00AA5584"/>
    <w:rsid w:val="00AA5F20"/>
    <w:rsid w:val="00AC2BCF"/>
    <w:rsid w:val="00AD208F"/>
    <w:rsid w:val="00AF7799"/>
    <w:rsid w:val="00B12B87"/>
    <w:rsid w:val="00B169DA"/>
    <w:rsid w:val="00B23659"/>
    <w:rsid w:val="00B362F1"/>
    <w:rsid w:val="00B37236"/>
    <w:rsid w:val="00B41856"/>
    <w:rsid w:val="00B500C0"/>
    <w:rsid w:val="00B51EEB"/>
    <w:rsid w:val="00B53B6E"/>
    <w:rsid w:val="00B549EB"/>
    <w:rsid w:val="00B56886"/>
    <w:rsid w:val="00B56C90"/>
    <w:rsid w:val="00B62DA2"/>
    <w:rsid w:val="00B65969"/>
    <w:rsid w:val="00B82801"/>
    <w:rsid w:val="00B82A6F"/>
    <w:rsid w:val="00B95518"/>
    <w:rsid w:val="00B95D3A"/>
    <w:rsid w:val="00BA1344"/>
    <w:rsid w:val="00BA7264"/>
    <w:rsid w:val="00BB2177"/>
    <w:rsid w:val="00BB75DB"/>
    <w:rsid w:val="00BC411A"/>
    <w:rsid w:val="00BC6368"/>
    <w:rsid w:val="00BC7D49"/>
    <w:rsid w:val="00BE5742"/>
    <w:rsid w:val="00BE5B96"/>
    <w:rsid w:val="00BE78D0"/>
    <w:rsid w:val="00BF6443"/>
    <w:rsid w:val="00C00007"/>
    <w:rsid w:val="00C017FD"/>
    <w:rsid w:val="00C377F4"/>
    <w:rsid w:val="00C52D5D"/>
    <w:rsid w:val="00C53697"/>
    <w:rsid w:val="00C5752B"/>
    <w:rsid w:val="00C61ED5"/>
    <w:rsid w:val="00C742C3"/>
    <w:rsid w:val="00C77E6F"/>
    <w:rsid w:val="00C83D87"/>
    <w:rsid w:val="00CA2A50"/>
    <w:rsid w:val="00CB561B"/>
    <w:rsid w:val="00CB5B8E"/>
    <w:rsid w:val="00CC6106"/>
    <w:rsid w:val="00CD0393"/>
    <w:rsid w:val="00CD4697"/>
    <w:rsid w:val="00CF3C5B"/>
    <w:rsid w:val="00CF4E31"/>
    <w:rsid w:val="00CF6EEA"/>
    <w:rsid w:val="00CF7F62"/>
    <w:rsid w:val="00D009BA"/>
    <w:rsid w:val="00D11FF7"/>
    <w:rsid w:val="00D50489"/>
    <w:rsid w:val="00D51180"/>
    <w:rsid w:val="00D55040"/>
    <w:rsid w:val="00D559DE"/>
    <w:rsid w:val="00D7671E"/>
    <w:rsid w:val="00D8713B"/>
    <w:rsid w:val="00D9035D"/>
    <w:rsid w:val="00D9296F"/>
    <w:rsid w:val="00D93FE4"/>
    <w:rsid w:val="00D94A45"/>
    <w:rsid w:val="00DA7390"/>
    <w:rsid w:val="00DB4999"/>
    <w:rsid w:val="00DB5C54"/>
    <w:rsid w:val="00DD4640"/>
    <w:rsid w:val="00E120A7"/>
    <w:rsid w:val="00E123C2"/>
    <w:rsid w:val="00E246FC"/>
    <w:rsid w:val="00E4121F"/>
    <w:rsid w:val="00E45770"/>
    <w:rsid w:val="00E87203"/>
    <w:rsid w:val="00E9322C"/>
    <w:rsid w:val="00EB3DDB"/>
    <w:rsid w:val="00EB6F62"/>
    <w:rsid w:val="00EC402C"/>
    <w:rsid w:val="00ED6E45"/>
    <w:rsid w:val="00EF5BCB"/>
    <w:rsid w:val="00F0321C"/>
    <w:rsid w:val="00F0474C"/>
    <w:rsid w:val="00F0611E"/>
    <w:rsid w:val="00F0707A"/>
    <w:rsid w:val="00F12381"/>
    <w:rsid w:val="00F12FC2"/>
    <w:rsid w:val="00F14CE7"/>
    <w:rsid w:val="00F14D6C"/>
    <w:rsid w:val="00F4161D"/>
    <w:rsid w:val="00F41F8B"/>
    <w:rsid w:val="00F42B1D"/>
    <w:rsid w:val="00F44C38"/>
    <w:rsid w:val="00F46AC9"/>
    <w:rsid w:val="00F47CF0"/>
    <w:rsid w:val="00F53C32"/>
    <w:rsid w:val="00F70F3B"/>
    <w:rsid w:val="00F81A93"/>
    <w:rsid w:val="00F84F06"/>
    <w:rsid w:val="00F94792"/>
    <w:rsid w:val="00FA1D92"/>
    <w:rsid w:val="00FA1F5C"/>
    <w:rsid w:val="00FA6080"/>
    <w:rsid w:val="00FB695A"/>
    <w:rsid w:val="00FC71FD"/>
    <w:rsid w:val="00FD4A45"/>
    <w:rsid w:val="00FF3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96C15"/>
  <w15:chartTrackingRefBased/>
  <w15:docId w15:val="{26C85C0A-777A-4BFD-A742-2BFA5CDA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17"/>
    <w:rPr>
      <w:rFonts w:asciiTheme="minorHAnsi" w:hAnsiTheme="minorHAnsi"/>
    </w:rPr>
  </w:style>
  <w:style w:type="paragraph" w:styleId="Heading1">
    <w:name w:val="heading 1"/>
    <w:basedOn w:val="Title"/>
    <w:next w:val="Normal"/>
    <w:link w:val="Heading1Char"/>
    <w:uiPriority w:val="9"/>
    <w:qFormat/>
    <w:rsid w:val="00B23659"/>
    <w:pPr>
      <w:outlineLvl w:val="0"/>
    </w:pPr>
  </w:style>
  <w:style w:type="paragraph" w:styleId="Heading2">
    <w:name w:val="heading 2"/>
    <w:basedOn w:val="Normal"/>
    <w:next w:val="Normal"/>
    <w:link w:val="Heading2Char"/>
    <w:uiPriority w:val="9"/>
    <w:unhideWhenUsed/>
    <w:qFormat/>
    <w:rsid w:val="00B23659"/>
    <w:pPr>
      <w:spacing w:before="120" w:after="120" w:line="240" w:lineRule="auto"/>
      <w:outlineLvl w:val="1"/>
    </w:pPr>
    <w:rPr>
      <w:rFonts w:cs="Arial"/>
      <w:b/>
      <w:bCs/>
    </w:rPr>
  </w:style>
  <w:style w:type="paragraph" w:styleId="Heading3">
    <w:name w:val="heading 3"/>
    <w:basedOn w:val="Normal"/>
    <w:next w:val="Normal"/>
    <w:link w:val="Heading3Char"/>
    <w:uiPriority w:val="9"/>
    <w:unhideWhenUsed/>
    <w:qFormat/>
    <w:rsid w:val="008F7962"/>
    <w:pPr>
      <w:keepNext/>
      <w:keepLines/>
      <w:spacing w:before="40" w:after="0"/>
      <w:outlineLvl w:val="2"/>
    </w:pPr>
    <w:rPr>
      <w:rFonts w:eastAsiaTheme="majorEastAsia" w:cstheme="minorHAns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8EF"/>
  </w:style>
  <w:style w:type="paragraph" w:styleId="Footer">
    <w:name w:val="footer"/>
    <w:basedOn w:val="Normal"/>
    <w:link w:val="FooterChar"/>
    <w:uiPriority w:val="99"/>
    <w:unhideWhenUsed/>
    <w:rsid w:val="00A60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8EF"/>
  </w:style>
  <w:style w:type="character" w:styleId="CommentReference">
    <w:name w:val="annotation reference"/>
    <w:basedOn w:val="DefaultParagraphFont"/>
    <w:uiPriority w:val="99"/>
    <w:semiHidden/>
    <w:unhideWhenUsed/>
    <w:rsid w:val="00A608EF"/>
    <w:rPr>
      <w:sz w:val="16"/>
      <w:szCs w:val="16"/>
    </w:rPr>
  </w:style>
  <w:style w:type="paragraph" w:styleId="CommentText">
    <w:name w:val="annotation text"/>
    <w:basedOn w:val="Normal"/>
    <w:link w:val="CommentTextChar"/>
    <w:uiPriority w:val="99"/>
    <w:semiHidden/>
    <w:unhideWhenUsed/>
    <w:rsid w:val="00A608EF"/>
    <w:pPr>
      <w:spacing w:line="240" w:lineRule="auto"/>
    </w:pPr>
    <w:rPr>
      <w:sz w:val="20"/>
      <w:szCs w:val="20"/>
    </w:rPr>
  </w:style>
  <w:style w:type="character" w:customStyle="1" w:styleId="CommentTextChar">
    <w:name w:val="Comment Text Char"/>
    <w:basedOn w:val="DefaultParagraphFont"/>
    <w:link w:val="CommentText"/>
    <w:uiPriority w:val="99"/>
    <w:semiHidden/>
    <w:rsid w:val="00A608EF"/>
    <w:rPr>
      <w:sz w:val="20"/>
      <w:szCs w:val="20"/>
    </w:rPr>
  </w:style>
  <w:style w:type="character" w:styleId="Hyperlink">
    <w:name w:val="Hyperlink"/>
    <w:basedOn w:val="DefaultParagraphFont"/>
    <w:uiPriority w:val="99"/>
    <w:unhideWhenUsed/>
    <w:rsid w:val="00A608EF"/>
    <w:rPr>
      <w:color w:val="0563C1" w:themeColor="hyperlink"/>
      <w:u w:val="single"/>
    </w:rPr>
  </w:style>
  <w:style w:type="paragraph" w:styleId="BalloonText">
    <w:name w:val="Balloon Text"/>
    <w:basedOn w:val="Normal"/>
    <w:link w:val="BalloonTextChar"/>
    <w:uiPriority w:val="99"/>
    <w:semiHidden/>
    <w:unhideWhenUsed/>
    <w:rsid w:val="00A60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EF"/>
    <w:rPr>
      <w:rFonts w:ascii="Segoe UI" w:hAnsi="Segoe UI" w:cs="Segoe UI"/>
      <w:sz w:val="18"/>
      <w:szCs w:val="18"/>
    </w:rPr>
  </w:style>
  <w:style w:type="paragraph" w:styleId="NormalWeb">
    <w:name w:val="Normal (Web)"/>
    <w:basedOn w:val="Normal"/>
    <w:uiPriority w:val="99"/>
    <w:semiHidden/>
    <w:unhideWhenUsed/>
    <w:rsid w:val="00C53697"/>
    <w:pPr>
      <w:spacing w:before="100" w:beforeAutospacing="1" w:after="100" w:afterAutospacing="1" w:line="240" w:lineRule="auto"/>
    </w:pPr>
    <w:rPr>
      <w:rFonts w:eastAsia="Times New Roman"/>
      <w:lang w:eastAsia="en-AU"/>
    </w:rPr>
  </w:style>
  <w:style w:type="character" w:styleId="FollowedHyperlink">
    <w:name w:val="FollowedHyperlink"/>
    <w:basedOn w:val="DefaultParagraphFont"/>
    <w:uiPriority w:val="99"/>
    <w:semiHidden/>
    <w:unhideWhenUsed/>
    <w:rsid w:val="00A37ACC"/>
    <w:rPr>
      <w:color w:val="954F72" w:themeColor="followedHyperlink"/>
      <w:u w:val="single"/>
    </w:rPr>
  </w:style>
  <w:style w:type="paragraph" w:styleId="ListParagraph">
    <w:name w:val="List Paragraph"/>
    <w:basedOn w:val="Normal"/>
    <w:uiPriority w:val="34"/>
    <w:qFormat/>
    <w:rsid w:val="001A0E23"/>
    <w:pPr>
      <w:ind w:left="720"/>
      <w:contextualSpacing/>
    </w:pPr>
  </w:style>
  <w:style w:type="paragraph" w:styleId="CommentSubject">
    <w:name w:val="annotation subject"/>
    <w:basedOn w:val="CommentText"/>
    <w:next w:val="CommentText"/>
    <w:link w:val="CommentSubjectChar"/>
    <w:uiPriority w:val="99"/>
    <w:semiHidden/>
    <w:unhideWhenUsed/>
    <w:rsid w:val="00F4161D"/>
    <w:rPr>
      <w:b/>
      <w:bCs/>
    </w:rPr>
  </w:style>
  <w:style w:type="character" w:customStyle="1" w:styleId="CommentSubjectChar">
    <w:name w:val="Comment Subject Char"/>
    <w:basedOn w:val="CommentTextChar"/>
    <w:link w:val="CommentSubject"/>
    <w:uiPriority w:val="99"/>
    <w:semiHidden/>
    <w:rsid w:val="00F4161D"/>
    <w:rPr>
      <w:b/>
      <w:bCs/>
      <w:sz w:val="20"/>
      <w:szCs w:val="20"/>
    </w:rPr>
  </w:style>
  <w:style w:type="paragraph" w:styleId="FootnoteText">
    <w:name w:val="footnote text"/>
    <w:basedOn w:val="Normal"/>
    <w:link w:val="FootnoteTextChar"/>
    <w:uiPriority w:val="99"/>
    <w:semiHidden/>
    <w:unhideWhenUsed/>
    <w:rsid w:val="00EC4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02C"/>
    <w:rPr>
      <w:sz w:val="20"/>
      <w:szCs w:val="20"/>
    </w:rPr>
  </w:style>
  <w:style w:type="character" w:styleId="FootnoteReference">
    <w:name w:val="footnote reference"/>
    <w:basedOn w:val="DefaultParagraphFont"/>
    <w:uiPriority w:val="99"/>
    <w:semiHidden/>
    <w:unhideWhenUsed/>
    <w:rsid w:val="00EC402C"/>
    <w:rPr>
      <w:vertAlign w:val="superscript"/>
    </w:rPr>
  </w:style>
  <w:style w:type="table" w:styleId="TableGrid">
    <w:name w:val="Table Grid"/>
    <w:basedOn w:val="TableNormal"/>
    <w:uiPriority w:val="39"/>
    <w:rsid w:val="00E4121F"/>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733FA8"/>
    <w:pPr>
      <w:jc w:val="center"/>
    </w:pPr>
    <w:rPr>
      <w:b/>
      <w:sz w:val="28"/>
      <w:szCs w:val="28"/>
    </w:rPr>
  </w:style>
  <w:style w:type="character" w:customStyle="1" w:styleId="TitleChar">
    <w:name w:val="Title Char"/>
    <w:basedOn w:val="DefaultParagraphFont"/>
    <w:link w:val="Title"/>
    <w:uiPriority w:val="10"/>
    <w:rsid w:val="00733FA8"/>
    <w:rPr>
      <w:rFonts w:asciiTheme="minorHAnsi" w:hAnsiTheme="minorHAnsi"/>
      <w:b/>
      <w:sz w:val="28"/>
      <w:szCs w:val="28"/>
    </w:rPr>
  </w:style>
  <w:style w:type="character" w:customStyle="1" w:styleId="Heading1Char">
    <w:name w:val="Heading 1 Char"/>
    <w:basedOn w:val="DefaultParagraphFont"/>
    <w:link w:val="Heading1"/>
    <w:uiPriority w:val="9"/>
    <w:rsid w:val="00B23659"/>
    <w:rPr>
      <w:rFonts w:asciiTheme="minorHAnsi" w:hAnsiTheme="minorHAnsi"/>
      <w:b/>
      <w:sz w:val="28"/>
      <w:szCs w:val="28"/>
    </w:rPr>
  </w:style>
  <w:style w:type="character" w:customStyle="1" w:styleId="Heading2Char">
    <w:name w:val="Heading 2 Char"/>
    <w:basedOn w:val="DefaultParagraphFont"/>
    <w:link w:val="Heading2"/>
    <w:uiPriority w:val="9"/>
    <w:rsid w:val="00B23659"/>
    <w:rPr>
      <w:rFonts w:asciiTheme="minorHAnsi" w:hAnsiTheme="minorHAnsi" w:cs="Arial"/>
      <w:b/>
      <w:bCs/>
    </w:rPr>
  </w:style>
  <w:style w:type="character" w:styleId="Emphasis">
    <w:name w:val="Emphasis"/>
    <w:basedOn w:val="DefaultParagraphFont"/>
    <w:uiPriority w:val="20"/>
    <w:qFormat/>
    <w:rsid w:val="008049CF"/>
    <w:rPr>
      <w:i/>
      <w:iCs/>
    </w:rPr>
  </w:style>
  <w:style w:type="paragraph" w:customStyle="1" w:styleId="acthead5">
    <w:name w:val="acthead5"/>
    <w:basedOn w:val="Normal"/>
    <w:rsid w:val="001F4812"/>
    <w:pPr>
      <w:spacing w:before="100" w:beforeAutospacing="1" w:after="100" w:afterAutospacing="1" w:line="240" w:lineRule="auto"/>
    </w:pPr>
    <w:rPr>
      <w:rFonts w:ascii="Times New Roman" w:eastAsia="Times New Roman" w:hAnsi="Times New Roman"/>
      <w:lang w:eastAsia="en-AU"/>
    </w:rPr>
  </w:style>
  <w:style w:type="paragraph" w:customStyle="1" w:styleId="subsection">
    <w:name w:val="subsection"/>
    <w:basedOn w:val="Normal"/>
    <w:rsid w:val="001F4812"/>
    <w:pPr>
      <w:spacing w:before="100" w:beforeAutospacing="1" w:after="100" w:afterAutospacing="1" w:line="240" w:lineRule="auto"/>
    </w:pPr>
    <w:rPr>
      <w:rFonts w:ascii="Times New Roman" w:eastAsia="Times New Roman" w:hAnsi="Times New Roman"/>
      <w:lang w:eastAsia="en-AU"/>
    </w:rPr>
  </w:style>
  <w:style w:type="paragraph" w:customStyle="1" w:styleId="paragraph">
    <w:name w:val="paragraph"/>
    <w:basedOn w:val="Normal"/>
    <w:rsid w:val="001F4812"/>
    <w:pPr>
      <w:spacing w:before="100" w:beforeAutospacing="1" w:after="100" w:afterAutospacing="1" w:line="240" w:lineRule="auto"/>
    </w:pPr>
    <w:rPr>
      <w:rFonts w:ascii="Times New Roman" w:eastAsia="Times New Roman" w:hAnsi="Times New Roman"/>
      <w:lang w:eastAsia="en-AU"/>
    </w:rPr>
  </w:style>
  <w:style w:type="character" w:customStyle="1" w:styleId="Heading3Char">
    <w:name w:val="Heading 3 Char"/>
    <w:basedOn w:val="DefaultParagraphFont"/>
    <w:link w:val="Heading3"/>
    <w:uiPriority w:val="9"/>
    <w:rsid w:val="008F7962"/>
    <w:rPr>
      <w:rFonts w:asciiTheme="minorHAnsi" w:eastAsiaTheme="majorEastAsia" w:hAnsiTheme="minorHAnsi" w:cstheme="minorHAnsi"/>
      <w:bCs/>
      <w:u w:val="single"/>
    </w:rPr>
  </w:style>
  <w:style w:type="character" w:styleId="UnresolvedMention">
    <w:name w:val="Unresolved Mention"/>
    <w:basedOn w:val="DefaultParagraphFont"/>
    <w:uiPriority w:val="99"/>
    <w:semiHidden/>
    <w:unhideWhenUsed/>
    <w:rsid w:val="008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715478">
      <w:bodyDiv w:val="1"/>
      <w:marLeft w:val="0"/>
      <w:marRight w:val="0"/>
      <w:marTop w:val="0"/>
      <w:marBottom w:val="0"/>
      <w:divBdr>
        <w:top w:val="none" w:sz="0" w:space="0" w:color="auto"/>
        <w:left w:val="none" w:sz="0" w:space="0" w:color="auto"/>
        <w:bottom w:val="none" w:sz="0" w:space="0" w:color="auto"/>
        <w:right w:val="none" w:sz="0" w:space="0" w:color="auto"/>
      </w:divBdr>
    </w:div>
    <w:div w:id="695275689">
      <w:bodyDiv w:val="1"/>
      <w:marLeft w:val="0"/>
      <w:marRight w:val="0"/>
      <w:marTop w:val="0"/>
      <w:marBottom w:val="0"/>
      <w:divBdr>
        <w:top w:val="none" w:sz="0" w:space="0" w:color="auto"/>
        <w:left w:val="none" w:sz="0" w:space="0" w:color="auto"/>
        <w:bottom w:val="none" w:sz="0" w:space="0" w:color="auto"/>
        <w:right w:val="none" w:sz="0" w:space="0" w:color="auto"/>
      </w:divBdr>
    </w:div>
    <w:div w:id="1029648082">
      <w:bodyDiv w:val="1"/>
      <w:marLeft w:val="0"/>
      <w:marRight w:val="0"/>
      <w:marTop w:val="0"/>
      <w:marBottom w:val="0"/>
      <w:divBdr>
        <w:top w:val="none" w:sz="0" w:space="0" w:color="auto"/>
        <w:left w:val="none" w:sz="0" w:space="0" w:color="auto"/>
        <w:bottom w:val="none" w:sz="0" w:space="0" w:color="auto"/>
        <w:right w:val="none" w:sz="0" w:space="0" w:color="auto"/>
      </w:divBdr>
    </w:div>
    <w:div w:id="1923180818">
      <w:bodyDiv w:val="1"/>
      <w:marLeft w:val="0"/>
      <w:marRight w:val="0"/>
      <w:marTop w:val="0"/>
      <w:marBottom w:val="0"/>
      <w:divBdr>
        <w:top w:val="none" w:sz="0" w:space="0" w:color="auto"/>
        <w:left w:val="none" w:sz="0" w:space="0" w:color="auto"/>
        <w:bottom w:val="none" w:sz="0" w:space="0" w:color="auto"/>
        <w:right w:val="none" w:sz="0" w:space="0" w:color="auto"/>
      </w:divBdr>
    </w:div>
    <w:div w:id="20792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nhmrc.gov.au/guidelinesforguidelines/plan/identifying-and-managing-conflicts-interest" TargetMode="External"/><Relationship Id="rId1" Type="http://schemas.openxmlformats.org/officeDocument/2006/relationships/hyperlink" Target="https://www.findlaw.com.au/articles/1694/the-pecuniary-interest-tribuna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2817-84BC-4F02-A705-84989AEA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5</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MRFF Declarations of Interest Policy Statement</vt:lpstr>
    </vt:vector>
  </TitlesOfParts>
  <Company>Department of Health</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Declarations of Interest Policy Statement</dc:title>
  <dc:subject/>
  <dc:creator>Australian Goverment Department of Health</dc:creator>
  <cp:keywords>MRFF; "Medical Research Future Fund; Declaration of Interest Policy Statement</cp:keywords>
  <dc:description/>
  <cp:lastModifiedBy>HATCH, Josh</cp:lastModifiedBy>
  <cp:revision>6</cp:revision>
  <cp:lastPrinted>2019-11-13T02:04:00Z</cp:lastPrinted>
  <dcterms:created xsi:type="dcterms:W3CDTF">2021-10-11T21:41:00Z</dcterms:created>
  <dcterms:modified xsi:type="dcterms:W3CDTF">2021-12-01T23:39:00Z</dcterms:modified>
</cp:coreProperties>
</file>