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DB518" w14:textId="5734D14E" w:rsidR="003B3C06" w:rsidRDefault="00E06184" w:rsidP="00C27651">
      <w:pPr>
        <w:pStyle w:val="DocumentPublishDate"/>
      </w:pPr>
      <w:r>
        <w:rPr>
          <w:noProof/>
          <w:lang w:eastAsia="en-AU"/>
        </w:rPr>
        <w:drawing>
          <wp:anchor distT="0" distB="0" distL="114300" distR="114300" simplePos="0" relativeHeight="251658241" behindDoc="0" locked="0" layoutInCell="1" allowOverlap="1" wp14:anchorId="10C8C3AD" wp14:editId="1FAA33BE">
            <wp:simplePos x="0" y="0"/>
            <wp:positionH relativeFrom="column">
              <wp:posOffset>2798445</wp:posOffset>
            </wp:positionH>
            <wp:positionV relativeFrom="paragraph">
              <wp:posOffset>1061720</wp:posOffset>
            </wp:positionV>
            <wp:extent cx="1924050" cy="495300"/>
            <wp:effectExtent l="0" t="0" r="0" b="0"/>
            <wp:wrapNone/>
            <wp:docPr id="6" name="Picture 6" descr="KBC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C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C06">
        <w:rPr>
          <w:noProof/>
          <w:lang w:eastAsia="en-AU"/>
        </w:rPr>
        <mc:AlternateContent>
          <mc:Choice Requires="wps">
            <w:drawing>
              <wp:anchor distT="0" distB="0" distL="114300" distR="114300" simplePos="0" relativeHeight="251658240" behindDoc="1" locked="1" layoutInCell="1" allowOverlap="1" wp14:anchorId="74A07444" wp14:editId="4A9945EB">
                <wp:simplePos x="0" y="0"/>
                <wp:positionH relativeFrom="page">
                  <wp:posOffset>940435</wp:posOffset>
                </wp:positionH>
                <wp:positionV relativeFrom="page">
                  <wp:posOffset>2628265</wp:posOffset>
                </wp:positionV>
                <wp:extent cx="3333600" cy="2163600"/>
                <wp:effectExtent l="0" t="0" r="635" b="93345"/>
                <wp:wrapNone/>
                <wp:docPr id="4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600" cy="2163600"/>
                        </a:xfrm>
                        <a:custGeom>
                          <a:avLst/>
                          <a:gdLst>
                            <a:gd name="T0" fmla="*/ 91 w 4196"/>
                            <a:gd name="T1" fmla="*/ 0 h 2722"/>
                            <a:gd name="T2" fmla="*/ 0 w 4196"/>
                            <a:gd name="T3" fmla="*/ 91 h 2722"/>
                            <a:gd name="T4" fmla="*/ 0 w 4196"/>
                            <a:gd name="T5" fmla="*/ 2631 h 2722"/>
                            <a:gd name="T6" fmla="*/ 91 w 4196"/>
                            <a:gd name="T7" fmla="*/ 2722 h 2722"/>
                            <a:gd name="T8" fmla="*/ 4105 w 4196"/>
                            <a:gd name="T9" fmla="*/ 2722 h 2722"/>
                            <a:gd name="T10" fmla="*/ 4196 w 4196"/>
                            <a:gd name="T11" fmla="*/ 2631 h 2722"/>
                            <a:gd name="T12" fmla="*/ 4196 w 4196"/>
                            <a:gd name="T13" fmla="*/ 91 h 2722"/>
                            <a:gd name="T14" fmla="*/ 4105 w 4196"/>
                            <a:gd name="T15" fmla="*/ 0 h 2722"/>
                            <a:gd name="T16" fmla="*/ 91 w 4196"/>
                            <a:gd name="T17" fmla="*/ 0 h 2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96" h="2722">
                              <a:moveTo>
                                <a:pt x="91" y="0"/>
                              </a:moveTo>
                              <a:cubicBezTo>
                                <a:pt x="91" y="0"/>
                                <a:pt x="0" y="0"/>
                                <a:pt x="0" y="91"/>
                              </a:cubicBezTo>
                              <a:lnTo>
                                <a:pt x="0" y="2631"/>
                              </a:lnTo>
                              <a:cubicBezTo>
                                <a:pt x="0" y="2631"/>
                                <a:pt x="0" y="2722"/>
                                <a:pt x="91" y="2722"/>
                              </a:cubicBezTo>
                              <a:lnTo>
                                <a:pt x="4105" y="2722"/>
                              </a:lnTo>
                              <a:cubicBezTo>
                                <a:pt x="4105" y="2722"/>
                                <a:pt x="4196" y="2722"/>
                                <a:pt x="4196" y="2631"/>
                              </a:cubicBezTo>
                              <a:lnTo>
                                <a:pt x="4196" y="91"/>
                              </a:lnTo>
                              <a:cubicBezTo>
                                <a:pt x="4196" y="91"/>
                                <a:pt x="4196" y="0"/>
                                <a:pt x="4105" y="0"/>
                              </a:cubicBezTo>
                              <a:lnTo>
                                <a:pt x="91" y="0"/>
                              </a:lnTo>
                              <a:close/>
                            </a:path>
                          </a:pathLst>
                        </a:custGeom>
                        <a:solidFill>
                          <a:schemeClr val="bg1"/>
                        </a:solidFill>
                        <a:ln w="0">
                          <a:noFill/>
                          <a:prstDash val="solid"/>
                          <a:round/>
                          <a:headEnd/>
                          <a:tailEnd/>
                        </a:ln>
                      </wps:spPr>
                      <wps:txbx>
                        <w:txbxContent>
                          <w:tbl>
                            <w:tblPr>
                              <w:tblStyle w:val="TableGrid"/>
                              <w:tblOverlap w:val="never"/>
                              <w:tblW w:w="0" w:type="auto"/>
                              <w:tblBorders>
                                <w:top w:val="single" w:sz="8" w:space="0" w:color="000000" w:themeColor="text1"/>
                                <w:insideV w:val="single" w:sz="4" w:space="0" w:color="000000" w:themeColor="text1"/>
                              </w:tblBorders>
                              <w:tblLayout w:type="fixed"/>
                              <w:tblLook w:val="04A0" w:firstRow="1" w:lastRow="0" w:firstColumn="1" w:lastColumn="0" w:noHBand="0" w:noVBand="1"/>
                            </w:tblPr>
                            <w:tblGrid>
                              <w:gridCol w:w="4579"/>
                            </w:tblGrid>
                            <w:tr w:rsidR="00473E61" w14:paraId="42686D81" w14:textId="77777777" w:rsidTr="0021246E">
                              <w:trPr>
                                <w:cantSplit/>
                                <w:trHeight w:val="25"/>
                              </w:trPr>
                              <w:tc>
                                <w:tcPr>
                                  <w:tcW w:w="4579" w:type="dxa"/>
                                  <w:tcBorders>
                                    <w:top w:val="single" w:sz="8" w:space="0" w:color="000000" w:themeColor="text1"/>
                                    <w:bottom w:val="single" w:sz="4" w:space="0" w:color="000000" w:themeColor="text1"/>
                                  </w:tcBorders>
                                  <w:tcMar>
                                    <w:top w:w="170" w:type="dxa"/>
                                  </w:tcMar>
                                </w:tcPr>
                                <w:p w14:paraId="226CC904" w14:textId="3A920C30" w:rsidR="00473E61" w:rsidRDefault="00A67BE9" w:rsidP="0021246E">
                                  <w:pPr>
                                    <w:suppressOverlap/>
                                  </w:pPr>
                                  <w:sdt>
                                    <w:sdtPr>
                                      <w:rPr>
                                        <w:rFonts w:asciiTheme="majorHAnsi" w:hAnsiTheme="majorHAnsi"/>
                                        <w:caps/>
                                        <w:sz w:val="24"/>
                                      </w:rPr>
                                      <w:alias w:val="Client Name"/>
                                      <w:tag w:val="Client Name"/>
                                      <w:id w:val="1413807399"/>
                                      <w:placeholder>
                                        <w:docPart w:val="5D06079AEEE04BB791D3E60B0033D96F"/>
                                      </w:placeholder>
                                      <w:dataBinding w:prefixMappings="xmlns:ns0='http://schemas.openxmlformats.org/officeDocument/2006/extended-properties' " w:xpath="/ns0:Properties[1]/ns0:Company[1]" w:storeItemID="{6668398D-A668-4E3E-A5EB-62B293D839F1}"/>
                                      <w:text w:multiLine="1"/>
                                    </w:sdtPr>
                                    <w:sdtEndPr/>
                                    <w:sdtContent>
                                      <w:r w:rsidR="00473E61">
                                        <w:rPr>
                                          <w:rFonts w:asciiTheme="majorHAnsi" w:hAnsiTheme="majorHAnsi"/>
                                          <w:caps/>
                                          <w:sz w:val="24"/>
                                        </w:rPr>
                                        <w:t>Australian Government Department of Health</w:t>
                                      </w:r>
                                    </w:sdtContent>
                                  </w:sdt>
                                </w:p>
                              </w:tc>
                            </w:tr>
                            <w:tr w:rsidR="00473E61" w14:paraId="4A03CE81" w14:textId="77777777" w:rsidTr="0021246E">
                              <w:trPr>
                                <w:cantSplit/>
                                <w:trHeight w:val="1368"/>
                              </w:trPr>
                              <w:sdt>
                                <w:sdtPr>
                                  <w:alias w:val="Title"/>
                                  <w:tag w:val=""/>
                                  <w:id w:val="836421892"/>
                                  <w:placeholder>
                                    <w:docPart w:val="3D68DBB5BF614CABA247BDFACEE1640B"/>
                                  </w:placeholder>
                                  <w:dataBinding w:prefixMappings="xmlns:ns0='http://purl.org/dc/elements/1.1/' xmlns:ns1='http://schemas.openxmlformats.org/package/2006/metadata/core-properties' " w:xpath="/ns1:coreProperties[1]/ns0:title[1]" w:storeItemID="{6C3C8BC8-F283-45AE-878A-BAB7291924A1}"/>
                                  <w:text w:multiLine="1"/>
                                </w:sdtPr>
                                <w:sdtEndPr/>
                                <w:sdtContent>
                                  <w:tc>
                                    <w:tcPr>
                                      <w:tcW w:w="4579" w:type="dxa"/>
                                      <w:tcBorders>
                                        <w:top w:val="single" w:sz="4" w:space="0" w:color="000000" w:themeColor="text1"/>
                                      </w:tcBorders>
                                      <w:tcMar>
                                        <w:top w:w="142" w:type="dxa"/>
                                      </w:tcMar>
                                    </w:tcPr>
                                    <w:p w14:paraId="3B3DB98B" w14:textId="3BF37712" w:rsidR="00473E61" w:rsidRPr="00BD2592" w:rsidRDefault="00473E61" w:rsidP="00BD2592">
                                      <w:pPr>
                                        <w:pStyle w:val="Title"/>
                                      </w:pPr>
                                      <w:r>
                                        <w:t>Evaluation of the COAG Section 19(2) Exemptions Initiative – Improving Access to Primary Care in Rural and Remote Areas</w:t>
                                      </w:r>
                                    </w:p>
                                  </w:tc>
                                </w:sdtContent>
                              </w:sdt>
                            </w:tr>
                            <w:tr w:rsidR="00473E61" w14:paraId="5C6B8BCB" w14:textId="77777777" w:rsidTr="0021246E">
                              <w:trPr>
                                <w:cantSplit/>
                                <w:trHeight w:val="425"/>
                              </w:trPr>
                              <w:sdt>
                                <w:sdtPr>
                                  <w:rPr>
                                    <w:rStyle w:val="DocumentInfoChar"/>
                                  </w:rPr>
                                  <w:alias w:val="Document type"/>
                                  <w:tag w:val="Document type"/>
                                  <w:id w:val="-71351309"/>
                                  <w:placeholder>
                                    <w:docPart w:val="130275EE0F474751B9805EE5290D906D"/>
                                  </w:placeholder>
                                  <w:dataBinding w:prefixMappings="xmlns:ns0='http://purl.org/dc/elements/1.1/' xmlns:ns1='http://schemas.openxmlformats.org/package/2006/metadata/core-properties' " w:xpath="/ns1:coreProperties[1]/ns1:category[1]" w:storeItemID="{6C3C8BC8-F283-45AE-878A-BAB7291924A1}"/>
                                  <w:text w:multiLine="1"/>
                                </w:sdtPr>
                                <w:sdtEndPr>
                                  <w:rPr>
                                    <w:rStyle w:val="DefaultParagraphFont"/>
                                    <w:rFonts w:ascii="Arial" w:hAnsi="Arial"/>
                                    <w:caps w:val="0"/>
                                    <w:color w:val="auto"/>
                                    <w:sz w:val="20"/>
                                  </w:rPr>
                                </w:sdtEndPr>
                                <w:sdtContent>
                                  <w:tc>
                                    <w:tcPr>
                                      <w:tcW w:w="4579" w:type="dxa"/>
                                      <w:tcBorders>
                                        <w:bottom w:val="single" w:sz="4" w:space="0" w:color="000000" w:themeColor="text1"/>
                                      </w:tcBorders>
                                    </w:tcPr>
                                    <w:p w14:paraId="0F160FDF" w14:textId="5ACF4146" w:rsidR="00473E61" w:rsidRDefault="00416976" w:rsidP="0021246E">
                                      <w:pPr>
                                        <w:spacing w:after="142"/>
                                        <w:suppressOverlap/>
                                      </w:pPr>
                                      <w:r>
                                        <w:rPr>
                                          <w:rStyle w:val="DocumentInfoChar"/>
                                        </w:rPr>
                                        <w:t>final report</w:t>
                                      </w:r>
                                    </w:p>
                                  </w:tc>
                                </w:sdtContent>
                              </w:sdt>
                            </w:tr>
                            <w:tr w:rsidR="00473E61" w14:paraId="110EA155" w14:textId="77777777" w:rsidTr="0021246E">
                              <w:trPr>
                                <w:cantSplit/>
                                <w:trHeight w:val="30"/>
                              </w:trPr>
                              <w:sdt>
                                <w:sdtPr>
                                  <w:rPr>
                                    <w:szCs w:val="22"/>
                                  </w:rPr>
                                  <w:alias w:val="Publish Date"/>
                                  <w:tag w:val=""/>
                                  <w:id w:val="311995644"/>
                                  <w:placeholder>
                                    <w:docPart w:val="2CAAFADF2BEC4CEC8507B0C38BEA2AD8"/>
                                  </w:placeholder>
                                  <w:dataBinding w:prefixMappings="xmlns:ns0='http://schemas.microsoft.com/office/2006/coverPageProps' " w:xpath="/ns0:CoverPageProperties[1]/ns0:PublishDate[1]" w:storeItemID="{55AF091B-3C7A-41E3-B477-F2FDAA23CFDA}"/>
                                  <w:date w:fullDate="2021-10-14T00:00:00Z">
                                    <w:dateFormat w:val="d MMMM yyyy"/>
                                    <w:lid w:val="en-AU"/>
                                    <w:storeMappedDataAs w:val="dateTime"/>
                                    <w:calendar w:val="gregorian"/>
                                  </w:date>
                                </w:sdtPr>
                                <w:sdtEndPr/>
                                <w:sdtContent>
                                  <w:tc>
                                    <w:tcPr>
                                      <w:tcW w:w="4579" w:type="dxa"/>
                                      <w:tcBorders>
                                        <w:top w:val="single" w:sz="4" w:space="0" w:color="000000" w:themeColor="text1"/>
                                      </w:tcBorders>
                                      <w:tcMar>
                                        <w:top w:w="130" w:type="dxa"/>
                                      </w:tcMar>
                                    </w:tcPr>
                                    <w:p w14:paraId="24DEC3EA" w14:textId="5D6D43DC" w:rsidR="00473E61" w:rsidRPr="006756D6" w:rsidRDefault="0023576A" w:rsidP="006756D6">
                                      <w:pPr>
                                        <w:pStyle w:val="DocumentPublishDate"/>
                                        <w:rPr>
                                          <w:szCs w:val="22"/>
                                        </w:rPr>
                                      </w:pPr>
                                      <w:r>
                                        <w:rPr>
                                          <w:szCs w:val="22"/>
                                        </w:rPr>
                                        <w:t>14 October 2021</w:t>
                                      </w:r>
                                    </w:p>
                                  </w:tc>
                                </w:sdtContent>
                              </w:sdt>
                            </w:tr>
                          </w:tbl>
                          <w:p w14:paraId="794FEBA1" w14:textId="77777777" w:rsidR="00473E61" w:rsidRPr="00B87449" w:rsidRDefault="00473E61" w:rsidP="003B3C06">
                            <w:pPr>
                              <w:spacing w:after="200"/>
                              <w:rPr>
                                <w:sz w:val="2"/>
                                <w:szCs w:val="2"/>
                              </w:rPr>
                            </w:pPr>
                          </w:p>
                        </w:txbxContent>
                      </wps:txbx>
                      <wps:bodyPr rot="0" vert="horz" wrap="square" lIns="216000" tIns="144000" rIns="21600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4A07444" id="Freeform 36" o:spid="_x0000_s1026" style="position:absolute;margin-left:74.05pt;margin-top:206.95pt;width:262.5pt;height:17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196,27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" adj="-11796480,,5400" path="m91,c91,,,,,91l,2631v,,,91,91,91l4105,2722v,,91,,91,-91l4196,91v,,,-91,-91,-91l91,xe" fillcolor="white [3212]" stroked="f" strokeweight="0">
                <v:stroke joinstyle="round"/>
                <v:formulas/>
                <v:path arrowok="t" o:connecttype="custom" o:connectlocs="72297,0;0,72332;0,2091268;72297,2163600;3261303,2163600;3333600,2091268;3333600,72332;3261303,0;72297,0" o:connectangles="0,0,0,0,0,0,0,0,0" textboxrect="0,0,4196,2722"/>
                <v:textbox style="mso-fit-shape-to-text:t" inset="6mm,4mm,6mm,0">
                  <w:txbxContent>
                    <w:tbl>
                      <w:tblPr>
                        <w:tblStyle w:val="TableGrid"/>
                        <w:tblOverlap w:val="never"/>
                        <w:tblW w:w="0" w:type="auto"/>
                        <w:tblBorders>
                          <w:top w:val="single" w:sz="8" w:space="0" w:color="000000" w:themeColor="text1"/>
                          <w:insideV w:val="single" w:sz="4" w:space="0" w:color="000000" w:themeColor="text1"/>
                        </w:tblBorders>
                        <w:tblLayout w:type="fixed"/>
                        <w:tblLook w:val="04A0" w:firstRow="1" w:lastRow="0" w:firstColumn="1" w:lastColumn="0" w:noHBand="0" w:noVBand="1"/>
                      </w:tblPr>
                      <w:tblGrid>
                        <w:gridCol w:w="4579"/>
                      </w:tblGrid>
                      <w:tr w:rsidR="00473E61" w14:paraId="42686D81" w14:textId="77777777" w:rsidTr="0021246E">
                        <w:trPr>
                          <w:cantSplit/>
                          <w:trHeight w:val="25"/>
                        </w:trPr>
                        <w:tc>
                          <w:tcPr>
                            <w:tcW w:w="4579" w:type="dxa"/>
                            <w:tcBorders>
                              <w:top w:val="single" w:sz="8" w:space="0" w:color="000000" w:themeColor="text1"/>
                              <w:bottom w:val="single" w:sz="4" w:space="0" w:color="000000" w:themeColor="text1"/>
                            </w:tcBorders>
                            <w:tcMar>
                              <w:top w:w="170" w:type="dxa"/>
                            </w:tcMar>
                          </w:tcPr>
                          <w:p w14:paraId="226CC904" w14:textId="3A920C30" w:rsidR="00473E61" w:rsidRDefault="00A67BE9" w:rsidP="0021246E">
                            <w:pPr>
                              <w:suppressOverlap/>
                            </w:pPr>
                            <w:sdt>
                              <w:sdtPr>
                                <w:rPr>
                                  <w:rFonts w:asciiTheme="majorHAnsi" w:hAnsiTheme="majorHAnsi"/>
                                  <w:caps/>
                                  <w:sz w:val="24"/>
                                </w:rPr>
                                <w:alias w:val="Client Name"/>
                                <w:tag w:val="Client Name"/>
                                <w:id w:val="1413807399"/>
                                <w:placeholder>
                                  <w:docPart w:val="5D06079AEEE04BB791D3E60B0033D96F"/>
                                </w:placeholder>
                                <w:dataBinding w:prefixMappings="xmlns:ns0='http://schemas.openxmlformats.org/officeDocument/2006/extended-properties' " w:xpath="/ns0:Properties[1]/ns0:Company[1]" w:storeItemID="{6668398D-A668-4E3E-A5EB-62B293D839F1}"/>
                                <w:text w:multiLine="1"/>
                              </w:sdtPr>
                              <w:sdtEndPr/>
                              <w:sdtContent>
                                <w:r w:rsidR="00473E61">
                                  <w:rPr>
                                    <w:rFonts w:asciiTheme="majorHAnsi" w:hAnsiTheme="majorHAnsi"/>
                                    <w:caps/>
                                    <w:sz w:val="24"/>
                                  </w:rPr>
                                  <w:t>Australian Government Department of Health</w:t>
                                </w:r>
                              </w:sdtContent>
                            </w:sdt>
                          </w:p>
                        </w:tc>
                      </w:tr>
                      <w:tr w:rsidR="00473E61" w14:paraId="4A03CE81" w14:textId="77777777" w:rsidTr="0021246E">
                        <w:trPr>
                          <w:cantSplit/>
                          <w:trHeight w:val="1368"/>
                        </w:trPr>
                        <w:sdt>
                          <w:sdtPr>
                            <w:alias w:val="Title"/>
                            <w:tag w:val=""/>
                            <w:id w:val="836421892"/>
                            <w:placeholder>
                              <w:docPart w:val="3D68DBB5BF614CABA247BDFACEE1640B"/>
                            </w:placeholder>
                            <w:dataBinding w:prefixMappings="xmlns:ns0='http://purl.org/dc/elements/1.1/' xmlns:ns1='http://schemas.openxmlformats.org/package/2006/metadata/core-properties' " w:xpath="/ns1:coreProperties[1]/ns0:title[1]" w:storeItemID="{6C3C8BC8-F283-45AE-878A-BAB7291924A1}"/>
                            <w:text w:multiLine="1"/>
                          </w:sdtPr>
                          <w:sdtEndPr/>
                          <w:sdtContent>
                            <w:tc>
                              <w:tcPr>
                                <w:tcW w:w="4579" w:type="dxa"/>
                                <w:tcBorders>
                                  <w:top w:val="single" w:sz="4" w:space="0" w:color="000000" w:themeColor="text1"/>
                                </w:tcBorders>
                                <w:tcMar>
                                  <w:top w:w="142" w:type="dxa"/>
                                </w:tcMar>
                              </w:tcPr>
                              <w:p w14:paraId="3B3DB98B" w14:textId="3BF37712" w:rsidR="00473E61" w:rsidRPr="00BD2592" w:rsidRDefault="00473E61" w:rsidP="00BD2592">
                                <w:pPr>
                                  <w:pStyle w:val="Title"/>
                                </w:pPr>
                                <w:r>
                                  <w:t>Evaluation of the COAG Section 19(2) Exemptions Initiative – Improving Access to Primary Care in Rural and Remote Areas</w:t>
                                </w:r>
                              </w:p>
                            </w:tc>
                          </w:sdtContent>
                        </w:sdt>
                      </w:tr>
                      <w:tr w:rsidR="00473E61" w14:paraId="5C6B8BCB" w14:textId="77777777" w:rsidTr="0021246E">
                        <w:trPr>
                          <w:cantSplit/>
                          <w:trHeight w:val="425"/>
                        </w:trPr>
                        <w:sdt>
                          <w:sdtPr>
                            <w:rPr>
                              <w:rStyle w:val="DocumentInfoChar"/>
                            </w:rPr>
                            <w:alias w:val="Document type"/>
                            <w:tag w:val="Document type"/>
                            <w:id w:val="-71351309"/>
                            <w:placeholder>
                              <w:docPart w:val="130275EE0F474751B9805EE5290D906D"/>
                            </w:placeholder>
                            <w:dataBinding w:prefixMappings="xmlns:ns0='http://purl.org/dc/elements/1.1/' xmlns:ns1='http://schemas.openxmlformats.org/package/2006/metadata/core-properties' " w:xpath="/ns1:coreProperties[1]/ns1:category[1]" w:storeItemID="{6C3C8BC8-F283-45AE-878A-BAB7291924A1}"/>
                            <w:text w:multiLine="1"/>
                          </w:sdtPr>
                          <w:sdtEndPr>
                            <w:rPr>
                              <w:rStyle w:val="DefaultParagraphFont"/>
                              <w:rFonts w:ascii="Arial" w:hAnsi="Arial"/>
                              <w:caps w:val="0"/>
                              <w:color w:val="auto"/>
                              <w:sz w:val="20"/>
                            </w:rPr>
                          </w:sdtEndPr>
                          <w:sdtContent>
                            <w:tc>
                              <w:tcPr>
                                <w:tcW w:w="4579" w:type="dxa"/>
                                <w:tcBorders>
                                  <w:bottom w:val="single" w:sz="4" w:space="0" w:color="000000" w:themeColor="text1"/>
                                </w:tcBorders>
                              </w:tcPr>
                              <w:p w14:paraId="0F160FDF" w14:textId="5ACF4146" w:rsidR="00473E61" w:rsidRDefault="00416976" w:rsidP="0021246E">
                                <w:pPr>
                                  <w:spacing w:after="142"/>
                                  <w:suppressOverlap/>
                                </w:pPr>
                                <w:r>
                                  <w:rPr>
                                    <w:rStyle w:val="DocumentInfoChar"/>
                                  </w:rPr>
                                  <w:t>final report</w:t>
                                </w:r>
                              </w:p>
                            </w:tc>
                          </w:sdtContent>
                        </w:sdt>
                      </w:tr>
                      <w:tr w:rsidR="00473E61" w14:paraId="110EA155" w14:textId="77777777" w:rsidTr="0021246E">
                        <w:trPr>
                          <w:cantSplit/>
                          <w:trHeight w:val="30"/>
                        </w:trPr>
                        <w:sdt>
                          <w:sdtPr>
                            <w:rPr>
                              <w:szCs w:val="22"/>
                            </w:rPr>
                            <w:alias w:val="Publish Date"/>
                            <w:tag w:val=""/>
                            <w:id w:val="311995644"/>
                            <w:placeholder>
                              <w:docPart w:val="2CAAFADF2BEC4CEC8507B0C38BEA2AD8"/>
                            </w:placeholder>
                            <w:dataBinding w:prefixMappings="xmlns:ns0='http://schemas.microsoft.com/office/2006/coverPageProps' " w:xpath="/ns0:CoverPageProperties[1]/ns0:PublishDate[1]" w:storeItemID="{55AF091B-3C7A-41E3-B477-F2FDAA23CFDA}"/>
                            <w:date w:fullDate="2021-10-14T00:00:00Z">
                              <w:dateFormat w:val="d MMMM yyyy"/>
                              <w:lid w:val="en-AU"/>
                              <w:storeMappedDataAs w:val="dateTime"/>
                              <w:calendar w:val="gregorian"/>
                            </w:date>
                          </w:sdtPr>
                          <w:sdtEndPr/>
                          <w:sdtContent>
                            <w:tc>
                              <w:tcPr>
                                <w:tcW w:w="4579" w:type="dxa"/>
                                <w:tcBorders>
                                  <w:top w:val="single" w:sz="4" w:space="0" w:color="000000" w:themeColor="text1"/>
                                </w:tcBorders>
                                <w:tcMar>
                                  <w:top w:w="130" w:type="dxa"/>
                                </w:tcMar>
                              </w:tcPr>
                              <w:p w14:paraId="24DEC3EA" w14:textId="5D6D43DC" w:rsidR="00473E61" w:rsidRPr="006756D6" w:rsidRDefault="0023576A" w:rsidP="006756D6">
                                <w:pPr>
                                  <w:pStyle w:val="DocumentPublishDate"/>
                                  <w:rPr>
                                    <w:szCs w:val="22"/>
                                  </w:rPr>
                                </w:pPr>
                                <w:r>
                                  <w:rPr>
                                    <w:szCs w:val="22"/>
                                  </w:rPr>
                                  <w:t>14 October 2021</w:t>
                                </w:r>
                              </w:p>
                            </w:tc>
                          </w:sdtContent>
                        </w:sdt>
                      </w:tr>
                    </w:tbl>
                    <w:p w14:paraId="794FEBA1" w14:textId="77777777" w:rsidR="00473E61" w:rsidRPr="00B87449" w:rsidRDefault="00473E61" w:rsidP="003B3C06">
                      <w:pPr>
                        <w:spacing w:after="200"/>
                        <w:rPr>
                          <w:sz w:val="2"/>
                          <w:szCs w:val="2"/>
                        </w:rPr>
                      </w:pPr>
                    </w:p>
                  </w:txbxContent>
                </v:textbox>
                <w10:wrap anchorx="page" anchory="page"/>
                <w10:anchorlock/>
              </v:shape>
            </w:pict>
          </mc:Fallback>
        </mc:AlternateContent>
      </w:r>
    </w:p>
    <w:p w14:paraId="14B93B5A" w14:textId="54455F2F" w:rsidR="003B3C06" w:rsidRDefault="00A440A7" w:rsidP="003B3C06">
      <w:pPr>
        <w:sectPr w:rsidR="003B3C06" w:rsidSect="00D67E4D">
          <w:headerReference w:type="default" r:id="rId13"/>
          <w:footerReference w:type="even" r:id="rId14"/>
          <w:pgSz w:w="16838" w:h="11906" w:orient="landscape" w:code="9"/>
          <w:pgMar w:top="737" w:right="1304" w:bottom="1134" w:left="737" w:header="720" w:footer="720" w:gutter="0"/>
          <w:cols w:num="2" w:space="227"/>
          <w:docGrid w:linePitch="360"/>
        </w:sectPr>
      </w:pPr>
      <w:r>
        <w:rPr>
          <w:noProof/>
          <w:lang w:eastAsia="en-AU"/>
        </w:rPr>
        <mc:AlternateContent>
          <mc:Choice Requires="wps">
            <w:drawing>
              <wp:anchor distT="45720" distB="45720" distL="114300" distR="114300" simplePos="0" relativeHeight="251658242" behindDoc="0" locked="0" layoutInCell="1" allowOverlap="1" wp14:anchorId="13879509" wp14:editId="0A426256">
                <wp:simplePos x="0" y="0"/>
                <wp:positionH relativeFrom="column">
                  <wp:posOffset>1570927</wp:posOffset>
                </wp:positionH>
                <wp:positionV relativeFrom="paragraph">
                  <wp:posOffset>1168316</wp:posOffset>
                </wp:positionV>
                <wp:extent cx="1235710" cy="2609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260985"/>
                        </a:xfrm>
                        <a:prstGeom prst="rect">
                          <a:avLst/>
                        </a:prstGeom>
                        <a:noFill/>
                        <a:ln w="9525">
                          <a:noFill/>
                          <a:miter lim="800000"/>
                          <a:headEnd/>
                          <a:tailEnd/>
                        </a:ln>
                      </wps:spPr>
                      <wps:txbx>
                        <w:txbxContent>
                          <w:p w14:paraId="1AC063C7" w14:textId="77777777" w:rsidR="00473E61" w:rsidRDefault="00473E61" w:rsidP="00A440A7">
                            <w:r>
                              <w:t>in association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79509" id="_x0000_t202" coordsize="21600,21600" o:spt="202" path="m,l,21600r21600,l21600,xe">
                <v:stroke joinstyle="miter"/>
                <v:path gradientshapeok="t" o:connecttype="rect"/>
              </v:shapetype>
              <v:shape id="Text Box 2" o:spid="_x0000_s1027" type="#_x0000_t202" style="position:absolute;margin-left:123.7pt;margin-top:92pt;width:97.3pt;height:20.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" filled="f" stroked="f">
                <v:textbox>
                  <w:txbxContent>
                    <w:p w14:paraId="1AC063C7" w14:textId="77777777" w:rsidR="00473E61" w:rsidRDefault="00473E61" w:rsidP="00A440A7">
                      <w:r>
                        <w:t>in association with</w:t>
                      </w:r>
                    </w:p>
                  </w:txbxContent>
                </v:textbox>
                <w10:wrap type="square"/>
              </v:shape>
            </w:pict>
          </mc:Fallback>
        </mc:AlternateContent>
      </w:r>
    </w:p>
    <w:p w14:paraId="2126B92C" w14:textId="77777777" w:rsidR="003B3C06" w:rsidRPr="00150F81" w:rsidRDefault="003B3C06" w:rsidP="00150F81"/>
    <w:tbl>
      <w:tblPr>
        <w:tblStyle w:val="TableGrid"/>
        <w:tblpPr w:leftFromText="181" w:rightFromText="181" w:vertAnchor="page" w:horzAnchor="page" w:tblpX="738" w:tblpY="6890"/>
        <w:tblW w:w="15139" w:type="dxa"/>
        <w:tblLayout w:type="fixed"/>
        <w:tblLook w:val="04A0" w:firstRow="1" w:lastRow="0" w:firstColumn="1" w:lastColumn="0" w:noHBand="0" w:noVBand="1"/>
      </w:tblPr>
      <w:tblGrid>
        <w:gridCol w:w="7230"/>
        <w:gridCol w:w="425"/>
        <w:gridCol w:w="7484"/>
      </w:tblGrid>
      <w:tr w:rsidR="003B3C06" w14:paraId="4F2F3307" w14:textId="77777777" w:rsidTr="0021246E">
        <w:tc>
          <w:tcPr>
            <w:tcW w:w="7230" w:type="dxa"/>
          </w:tcPr>
          <w:p w14:paraId="659A9FC7" w14:textId="77777777" w:rsidR="003B3C06" w:rsidRDefault="003B3C06" w:rsidP="0021246E">
            <w:pPr>
              <w:pStyle w:val="MissionStatementHeading"/>
              <w:framePr w:hSpace="0" w:wrap="auto" w:vAnchor="margin" w:hAnchor="text" w:yAlign="inline"/>
            </w:pPr>
            <w:r>
              <w:t>OUR VISION</w:t>
            </w:r>
          </w:p>
          <w:p w14:paraId="77F08A7A" w14:textId="77777777" w:rsidR="003B3C06" w:rsidRDefault="003B3C06" w:rsidP="0021246E">
            <w:pPr>
              <w:pStyle w:val="MissionStatementBody"/>
              <w:framePr w:wrap="auto" w:vAnchor="margin" w:yAlign="inline"/>
            </w:pPr>
            <w:r>
              <w:t xml:space="preserve">To positively impact people’s lives </w:t>
            </w:r>
            <w:r>
              <w:br/>
              <w:t>by helping create better health services</w:t>
            </w:r>
          </w:p>
        </w:tc>
        <w:tc>
          <w:tcPr>
            <w:tcW w:w="425" w:type="dxa"/>
          </w:tcPr>
          <w:p w14:paraId="61FD6DD1" w14:textId="77777777" w:rsidR="003B3C06" w:rsidRDefault="003B3C06" w:rsidP="0021246E"/>
        </w:tc>
        <w:tc>
          <w:tcPr>
            <w:tcW w:w="7484" w:type="dxa"/>
          </w:tcPr>
          <w:p w14:paraId="526AE2BC" w14:textId="77777777" w:rsidR="003B3C06" w:rsidRDefault="003B3C06" w:rsidP="0021246E">
            <w:pPr>
              <w:pStyle w:val="MissionStatementHeading"/>
              <w:framePr w:hSpace="0" w:wrap="auto" w:vAnchor="margin" w:hAnchor="text" w:yAlign="inline"/>
            </w:pPr>
            <w:r>
              <w:t>OUR MISSION</w:t>
            </w:r>
          </w:p>
          <w:p w14:paraId="69893124" w14:textId="77777777" w:rsidR="003B3C06" w:rsidRDefault="003B3C06" w:rsidP="0021246E">
            <w:pPr>
              <w:pStyle w:val="MissionStatementBody"/>
              <w:framePr w:wrap="auto" w:vAnchor="margin" w:yAlign="inline"/>
            </w:pPr>
            <w:r w:rsidRPr="00DC4A59">
              <w:t>To use our management consulting skills to provide expert advice and support to health funders, service providers and users</w:t>
            </w:r>
          </w:p>
        </w:tc>
      </w:tr>
    </w:tbl>
    <w:p w14:paraId="60C58488" w14:textId="77777777" w:rsidR="003B3C06" w:rsidRDefault="003B3C06" w:rsidP="003B3C06"/>
    <w:p w14:paraId="147A5251" w14:textId="77777777" w:rsidR="003B3C06" w:rsidRDefault="003B3C06" w:rsidP="003B3C06">
      <w:pPr>
        <w:sectPr w:rsidR="003B3C06" w:rsidSect="00D67E4D">
          <w:headerReference w:type="default" r:id="rId15"/>
          <w:footerReference w:type="default" r:id="rId16"/>
          <w:pgSz w:w="16838" w:h="11906" w:orient="landscape" w:code="9"/>
          <w:pgMar w:top="737" w:right="1304" w:bottom="1134" w:left="737" w:header="567" w:footer="284" w:gutter="0"/>
          <w:cols w:num="2" w:space="227"/>
          <w:docGrid w:linePitch="360"/>
        </w:sectPr>
      </w:pPr>
    </w:p>
    <w:p w14:paraId="33B49909" w14:textId="3482EFA3" w:rsidR="00903621" w:rsidRDefault="00903621" w:rsidP="00903621">
      <w:pPr>
        <w:pStyle w:val="TOCTitle"/>
        <w:framePr w:wrap="around"/>
      </w:pPr>
      <w:r w:rsidRPr="00903621">
        <w:lastRenderedPageBreak/>
        <w:t>Table of contents</w:t>
      </w:r>
    </w:p>
    <w:p w14:paraId="508C12F7" w14:textId="1F2E445C" w:rsidR="00A928C2" w:rsidRDefault="00BD7746">
      <w:pPr>
        <w:pStyle w:val="TOC1"/>
        <w:rPr>
          <w:rFonts w:asciiTheme="minorHAnsi" w:eastAsiaTheme="minorEastAsia" w:hAnsiTheme="minorHAnsi" w:cstheme="minorBidi"/>
          <w:caps w:val="0"/>
          <w:noProof/>
          <w:color w:val="auto"/>
          <w:spacing w:val="0"/>
          <w:szCs w:val="22"/>
          <w:lang w:eastAsia="en-AU"/>
        </w:rPr>
      </w:pPr>
      <w:r>
        <w:rPr>
          <w:sz w:val="28"/>
          <w:u w:val="single"/>
        </w:rPr>
        <w:fldChar w:fldCharType="begin"/>
      </w:r>
      <w:r>
        <w:rPr>
          <w:sz w:val="28"/>
          <w:u w:val="single"/>
        </w:rPr>
        <w:instrText xml:space="preserve"> TOC \h \z \t "Heading 1,2,Heading 2,3,Heading 3,4,Divider Page Title,5,Appendix Heading,3,ES-Heading 1,1,Section Title,1" </w:instrText>
      </w:r>
      <w:r>
        <w:rPr>
          <w:sz w:val="28"/>
          <w:u w:val="single"/>
        </w:rPr>
        <w:fldChar w:fldCharType="separate"/>
      </w:r>
      <w:hyperlink w:anchor="_Toc85203256" w:history="1">
        <w:r w:rsidR="00A928C2" w:rsidRPr="00616667">
          <w:rPr>
            <w:rStyle w:val="Hyperlink"/>
            <w:noProof/>
          </w:rPr>
          <w:t>Abbreviations</w:t>
        </w:r>
        <w:r w:rsidR="00A928C2">
          <w:rPr>
            <w:noProof/>
            <w:webHidden/>
          </w:rPr>
          <w:tab/>
        </w:r>
        <w:r w:rsidR="00A928C2">
          <w:rPr>
            <w:noProof/>
            <w:webHidden/>
          </w:rPr>
          <w:fldChar w:fldCharType="begin"/>
        </w:r>
        <w:r w:rsidR="00A928C2">
          <w:rPr>
            <w:noProof/>
            <w:webHidden/>
          </w:rPr>
          <w:instrText xml:space="preserve"> PAGEREF _Toc85203256 \h </w:instrText>
        </w:r>
        <w:r w:rsidR="00A928C2">
          <w:rPr>
            <w:noProof/>
            <w:webHidden/>
          </w:rPr>
        </w:r>
        <w:r w:rsidR="00A928C2">
          <w:rPr>
            <w:noProof/>
            <w:webHidden/>
          </w:rPr>
          <w:fldChar w:fldCharType="separate"/>
        </w:r>
        <w:r w:rsidR="00C50B67">
          <w:rPr>
            <w:noProof/>
            <w:webHidden/>
          </w:rPr>
          <w:t>i</w:t>
        </w:r>
        <w:r w:rsidR="00A928C2">
          <w:rPr>
            <w:noProof/>
            <w:webHidden/>
          </w:rPr>
          <w:fldChar w:fldCharType="end"/>
        </w:r>
      </w:hyperlink>
    </w:p>
    <w:p w14:paraId="28C05F2E" w14:textId="5ABC5296" w:rsidR="00A928C2" w:rsidRDefault="00A67BE9">
      <w:pPr>
        <w:pStyle w:val="TOC1"/>
        <w:rPr>
          <w:rFonts w:asciiTheme="minorHAnsi" w:eastAsiaTheme="minorEastAsia" w:hAnsiTheme="minorHAnsi" w:cstheme="minorBidi"/>
          <w:caps w:val="0"/>
          <w:noProof/>
          <w:color w:val="auto"/>
          <w:spacing w:val="0"/>
          <w:szCs w:val="22"/>
          <w:lang w:eastAsia="en-AU"/>
        </w:rPr>
      </w:pPr>
      <w:hyperlink w:anchor="_Toc85203257" w:history="1">
        <w:r w:rsidR="00A928C2" w:rsidRPr="00616667">
          <w:rPr>
            <w:rStyle w:val="Hyperlink"/>
            <w:noProof/>
          </w:rPr>
          <w:t>Executive summary</w:t>
        </w:r>
        <w:r w:rsidR="00A928C2">
          <w:rPr>
            <w:noProof/>
            <w:webHidden/>
          </w:rPr>
          <w:tab/>
        </w:r>
        <w:r w:rsidR="00A928C2">
          <w:rPr>
            <w:noProof/>
            <w:webHidden/>
          </w:rPr>
          <w:fldChar w:fldCharType="begin"/>
        </w:r>
        <w:r w:rsidR="00A928C2">
          <w:rPr>
            <w:noProof/>
            <w:webHidden/>
          </w:rPr>
          <w:instrText xml:space="preserve"> PAGEREF _Toc85203257 \h </w:instrText>
        </w:r>
        <w:r w:rsidR="00A928C2">
          <w:rPr>
            <w:noProof/>
            <w:webHidden/>
          </w:rPr>
        </w:r>
        <w:r w:rsidR="00A928C2">
          <w:rPr>
            <w:noProof/>
            <w:webHidden/>
          </w:rPr>
          <w:fldChar w:fldCharType="separate"/>
        </w:r>
        <w:r w:rsidR="00C50B67">
          <w:rPr>
            <w:noProof/>
            <w:webHidden/>
          </w:rPr>
          <w:t>ii</w:t>
        </w:r>
        <w:r w:rsidR="00A928C2">
          <w:rPr>
            <w:noProof/>
            <w:webHidden/>
          </w:rPr>
          <w:fldChar w:fldCharType="end"/>
        </w:r>
      </w:hyperlink>
    </w:p>
    <w:p w14:paraId="77102C31" w14:textId="29B0B5D8" w:rsidR="00A928C2" w:rsidRDefault="00A67BE9">
      <w:pPr>
        <w:pStyle w:val="TOC5"/>
        <w:rPr>
          <w:rFonts w:asciiTheme="minorHAnsi" w:eastAsiaTheme="minorEastAsia" w:hAnsiTheme="minorHAnsi" w:cstheme="minorBidi"/>
          <w:caps w:val="0"/>
          <w:noProof/>
          <w:color w:val="auto"/>
          <w:spacing w:val="0"/>
          <w:sz w:val="22"/>
          <w:szCs w:val="22"/>
          <w:lang w:eastAsia="en-AU"/>
        </w:rPr>
      </w:pPr>
      <w:hyperlink w:anchor="_Toc85203258" w:history="1">
        <w:r w:rsidR="00A928C2" w:rsidRPr="00616667">
          <w:rPr>
            <w:rStyle w:val="Hyperlink"/>
            <w:b/>
            <w:noProof/>
          </w:rPr>
          <w:t>Part A</w:t>
        </w:r>
        <w:r w:rsidR="00A928C2">
          <w:rPr>
            <w:rFonts w:asciiTheme="minorHAnsi" w:eastAsiaTheme="minorEastAsia" w:hAnsiTheme="minorHAnsi" w:cstheme="minorBidi"/>
            <w:caps w:val="0"/>
            <w:noProof/>
            <w:color w:val="auto"/>
            <w:spacing w:val="0"/>
            <w:sz w:val="22"/>
            <w:szCs w:val="22"/>
            <w:lang w:eastAsia="en-AU"/>
          </w:rPr>
          <w:tab/>
        </w:r>
        <w:r w:rsidR="00A928C2" w:rsidRPr="00616667">
          <w:rPr>
            <w:rStyle w:val="Hyperlink"/>
            <w:noProof/>
          </w:rPr>
          <w:t>Context</w:t>
        </w:r>
        <w:r w:rsidR="00A928C2">
          <w:rPr>
            <w:noProof/>
            <w:webHidden/>
          </w:rPr>
          <w:tab/>
        </w:r>
        <w:r w:rsidR="00A928C2">
          <w:rPr>
            <w:noProof/>
            <w:webHidden/>
          </w:rPr>
          <w:fldChar w:fldCharType="begin"/>
        </w:r>
        <w:r w:rsidR="00A928C2">
          <w:rPr>
            <w:noProof/>
            <w:webHidden/>
          </w:rPr>
          <w:instrText xml:space="preserve"> PAGEREF _Toc85203258 \h </w:instrText>
        </w:r>
        <w:r w:rsidR="00A928C2">
          <w:rPr>
            <w:noProof/>
            <w:webHidden/>
          </w:rPr>
        </w:r>
        <w:r w:rsidR="00A928C2">
          <w:rPr>
            <w:noProof/>
            <w:webHidden/>
          </w:rPr>
          <w:fldChar w:fldCharType="separate"/>
        </w:r>
        <w:r w:rsidR="00C50B67">
          <w:rPr>
            <w:noProof/>
            <w:webHidden/>
          </w:rPr>
          <w:t>1</w:t>
        </w:r>
        <w:r w:rsidR="00A928C2">
          <w:rPr>
            <w:noProof/>
            <w:webHidden/>
          </w:rPr>
          <w:fldChar w:fldCharType="end"/>
        </w:r>
      </w:hyperlink>
    </w:p>
    <w:p w14:paraId="427C54C1" w14:textId="6D91193B" w:rsidR="00A928C2" w:rsidRDefault="00A67BE9">
      <w:pPr>
        <w:pStyle w:val="TOC2"/>
        <w:rPr>
          <w:rFonts w:asciiTheme="minorHAnsi" w:eastAsiaTheme="minorEastAsia" w:hAnsiTheme="minorHAnsi" w:cstheme="minorBidi"/>
          <w:caps w:val="0"/>
          <w:noProof/>
          <w:color w:val="auto"/>
          <w:spacing w:val="0"/>
          <w:sz w:val="22"/>
          <w:szCs w:val="22"/>
          <w:u w:val="none"/>
          <w:lang w:eastAsia="en-AU"/>
        </w:rPr>
      </w:pPr>
      <w:hyperlink w:anchor="_Toc85203259" w:history="1">
        <w:r w:rsidR="00A928C2" w:rsidRPr="00616667">
          <w:rPr>
            <w:rStyle w:val="Hyperlink"/>
            <w:noProof/>
          </w:rPr>
          <w:t>1</w:t>
        </w:r>
        <w:r w:rsidR="00A928C2">
          <w:rPr>
            <w:rFonts w:asciiTheme="minorHAnsi" w:eastAsiaTheme="minorEastAsia" w:hAnsiTheme="minorHAnsi" w:cstheme="minorBidi"/>
            <w:caps w:val="0"/>
            <w:noProof/>
            <w:color w:val="auto"/>
            <w:spacing w:val="0"/>
            <w:sz w:val="22"/>
            <w:szCs w:val="22"/>
            <w:u w:val="none"/>
            <w:lang w:eastAsia="en-AU"/>
          </w:rPr>
          <w:tab/>
        </w:r>
        <w:r w:rsidR="00A928C2" w:rsidRPr="00616667">
          <w:rPr>
            <w:rStyle w:val="Hyperlink"/>
            <w:noProof/>
          </w:rPr>
          <w:t>Background</w:t>
        </w:r>
        <w:r w:rsidR="00A928C2">
          <w:rPr>
            <w:noProof/>
            <w:webHidden/>
          </w:rPr>
          <w:tab/>
        </w:r>
        <w:r w:rsidR="00A928C2">
          <w:rPr>
            <w:noProof/>
            <w:webHidden/>
          </w:rPr>
          <w:fldChar w:fldCharType="begin"/>
        </w:r>
        <w:r w:rsidR="00A928C2">
          <w:rPr>
            <w:noProof/>
            <w:webHidden/>
          </w:rPr>
          <w:instrText xml:space="preserve"> PAGEREF _Toc85203259 \h </w:instrText>
        </w:r>
        <w:r w:rsidR="00A928C2">
          <w:rPr>
            <w:noProof/>
            <w:webHidden/>
          </w:rPr>
        </w:r>
        <w:r w:rsidR="00A928C2">
          <w:rPr>
            <w:noProof/>
            <w:webHidden/>
          </w:rPr>
          <w:fldChar w:fldCharType="separate"/>
        </w:r>
        <w:r w:rsidR="00C50B67">
          <w:rPr>
            <w:noProof/>
            <w:webHidden/>
          </w:rPr>
          <w:t>2</w:t>
        </w:r>
        <w:r w:rsidR="00A928C2">
          <w:rPr>
            <w:noProof/>
            <w:webHidden/>
          </w:rPr>
          <w:fldChar w:fldCharType="end"/>
        </w:r>
      </w:hyperlink>
    </w:p>
    <w:p w14:paraId="36CC3AD1" w14:textId="7AD09872" w:rsidR="00A928C2" w:rsidRDefault="00A67BE9">
      <w:pPr>
        <w:pStyle w:val="TOC2"/>
        <w:rPr>
          <w:rFonts w:asciiTheme="minorHAnsi" w:eastAsiaTheme="minorEastAsia" w:hAnsiTheme="minorHAnsi" w:cstheme="minorBidi"/>
          <w:caps w:val="0"/>
          <w:noProof/>
          <w:color w:val="auto"/>
          <w:spacing w:val="0"/>
          <w:sz w:val="22"/>
          <w:szCs w:val="22"/>
          <w:u w:val="none"/>
          <w:lang w:eastAsia="en-AU"/>
        </w:rPr>
      </w:pPr>
      <w:hyperlink w:anchor="_Toc85203260" w:history="1">
        <w:r w:rsidR="00A928C2" w:rsidRPr="00616667">
          <w:rPr>
            <w:rStyle w:val="Hyperlink"/>
            <w:noProof/>
          </w:rPr>
          <w:t>2</w:t>
        </w:r>
        <w:r w:rsidR="00A928C2">
          <w:rPr>
            <w:rFonts w:asciiTheme="minorHAnsi" w:eastAsiaTheme="minorEastAsia" w:hAnsiTheme="minorHAnsi" w:cstheme="minorBidi"/>
            <w:caps w:val="0"/>
            <w:noProof/>
            <w:color w:val="auto"/>
            <w:spacing w:val="0"/>
            <w:sz w:val="22"/>
            <w:szCs w:val="22"/>
            <w:u w:val="none"/>
            <w:lang w:eastAsia="en-AU"/>
          </w:rPr>
          <w:tab/>
        </w:r>
        <w:r w:rsidR="00A928C2" w:rsidRPr="00616667">
          <w:rPr>
            <w:rStyle w:val="Hyperlink"/>
            <w:noProof/>
          </w:rPr>
          <w:t>Overview of the Initiative</w:t>
        </w:r>
        <w:r w:rsidR="00A928C2">
          <w:rPr>
            <w:noProof/>
            <w:webHidden/>
          </w:rPr>
          <w:tab/>
        </w:r>
        <w:r w:rsidR="00A928C2">
          <w:rPr>
            <w:noProof/>
            <w:webHidden/>
          </w:rPr>
          <w:fldChar w:fldCharType="begin"/>
        </w:r>
        <w:r w:rsidR="00A928C2">
          <w:rPr>
            <w:noProof/>
            <w:webHidden/>
          </w:rPr>
          <w:instrText xml:space="preserve"> PAGEREF _Toc85203260 \h </w:instrText>
        </w:r>
        <w:r w:rsidR="00A928C2">
          <w:rPr>
            <w:noProof/>
            <w:webHidden/>
          </w:rPr>
        </w:r>
        <w:r w:rsidR="00A928C2">
          <w:rPr>
            <w:noProof/>
            <w:webHidden/>
          </w:rPr>
          <w:fldChar w:fldCharType="separate"/>
        </w:r>
        <w:r w:rsidR="00C50B67">
          <w:rPr>
            <w:noProof/>
            <w:webHidden/>
          </w:rPr>
          <w:t>4</w:t>
        </w:r>
        <w:r w:rsidR="00A928C2">
          <w:rPr>
            <w:noProof/>
            <w:webHidden/>
          </w:rPr>
          <w:fldChar w:fldCharType="end"/>
        </w:r>
      </w:hyperlink>
    </w:p>
    <w:p w14:paraId="53F9416F" w14:textId="40410E64" w:rsidR="00A928C2" w:rsidRDefault="00A67BE9">
      <w:pPr>
        <w:pStyle w:val="TOC1"/>
        <w:tabs>
          <w:tab w:val="left" w:pos="1644"/>
        </w:tabs>
        <w:rPr>
          <w:rFonts w:asciiTheme="minorHAnsi" w:eastAsiaTheme="minorEastAsia" w:hAnsiTheme="minorHAnsi" w:cstheme="minorBidi"/>
          <w:caps w:val="0"/>
          <w:noProof/>
          <w:color w:val="auto"/>
          <w:spacing w:val="0"/>
          <w:szCs w:val="22"/>
          <w:lang w:eastAsia="en-AU"/>
        </w:rPr>
      </w:pPr>
      <w:hyperlink w:anchor="_Toc85203261" w:history="1">
        <w:r w:rsidR="00A928C2" w:rsidRPr="00616667">
          <w:rPr>
            <w:rStyle w:val="Hyperlink"/>
            <w:noProof/>
            <w14:scene3d>
              <w14:camera w14:prst="orthographicFront"/>
              <w14:lightRig w14:rig="threePt" w14:dir="t">
                <w14:rot w14:lat="0" w14:lon="0" w14:rev="0"/>
              </w14:lightRig>
            </w14:scene3d>
          </w:rPr>
          <w:t>SECTION A:</w:t>
        </w:r>
        <w:r w:rsidR="00A928C2">
          <w:rPr>
            <w:rFonts w:asciiTheme="minorHAnsi" w:eastAsiaTheme="minorEastAsia" w:hAnsiTheme="minorHAnsi" w:cstheme="minorBidi"/>
            <w:caps w:val="0"/>
            <w:noProof/>
            <w:color w:val="auto"/>
            <w:spacing w:val="0"/>
            <w:szCs w:val="22"/>
            <w:lang w:eastAsia="en-AU"/>
          </w:rPr>
          <w:tab/>
        </w:r>
        <w:r w:rsidR="00A928C2" w:rsidRPr="00616667">
          <w:rPr>
            <w:rStyle w:val="Hyperlink"/>
            <w:noProof/>
          </w:rPr>
          <w:t>Main features</w:t>
        </w:r>
        <w:r w:rsidR="00A928C2">
          <w:rPr>
            <w:noProof/>
            <w:webHidden/>
          </w:rPr>
          <w:tab/>
        </w:r>
        <w:r w:rsidR="00A928C2">
          <w:rPr>
            <w:noProof/>
            <w:webHidden/>
          </w:rPr>
          <w:fldChar w:fldCharType="begin"/>
        </w:r>
        <w:r w:rsidR="00A928C2">
          <w:rPr>
            <w:noProof/>
            <w:webHidden/>
          </w:rPr>
          <w:instrText xml:space="preserve"> PAGEREF _Toc85203261 \h </w:instrText>
        </w:r>
        <w:r w:rsidR="00A928C2">
          <w:rPr>
            <w:noProof/>
            <w:webHidden/>
          </w:rPr>
        </w:r>
        <w:r w:rsidR="00A928C2">
          <w:rPr>
            <w:noProof/>
            <w:webHidden/>
          </w:rPr>
          <w:fldChar w:fldCharType="separate"/>
        </w:r>
        <w:r w:rsidR="00C50B67">
          <w:rPr>
            <w:noProof/>
            <w:webHidden/>
          </w:rPr>
          <w:t>4</w:t>
        </w:r>
        <w:r w:rsidR="00A928C2">
          <w:rPr>
            <w:noProof/>
            <w:webHidden/>
          </w:rPr>
          <w:fldChar w:fldCharType="end"/>
        </w:r>
      </w:hyperlink>
    </w:p>
    <w:p w14:paraId="1C50338A" w14:textId="0055B6B5"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62" w:history="1">
        <w:r w:rsidR="00A928C2" w:rsidRPr="00616667">
          <w:rPr>
            <w:rStyle w:val="Hyperlink"/>
            <w:noProof/>
          </w:rPr>
          <w:t>2.1</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MOUs – operational phases and jurisdiction coverage</w:t>
        </w:r>
        <w:r w:rsidR="00A928C2">
          <w:rPr>
            <w:noProof/>
            <w:webHidden/>
          </w:rPr>
          <w:tab/>
        </w:r>
        <w:r w:rsidR="00A928C2">
          <w:rPr>
            <w:noProof/>
            <w:webHidden/>
          </w:rPr>
          <w:fldChar w:fldCharType="begin"/>
        </w:r>
        <w:r w:rsidR="00A928C2">
          <w:rPr>
            <w:noProof/>
            <w:webHidden/>
          </w:rPr>
          <w:instrText xml:space="preserve"> PAGEREF _Toc85203262 \h </w:instrText>
        </w:r>
        <w:r w:rsidR="00A928C2">
          <w:rPr>
            <w:noProof/>
            <w:webHidden/>
          </w:rPr>
        </w:r>
        <w:r w:rsidR="00A928C2">
          <w:rPr>
            <w:noProof/>
            <w:webHidden/>
          </w:rPr>
          <w:fldChar w:fldCharType="separate"/>
        </w:r>
        <w:r w:rsidR="00C50B67">
          <w:rPr>
            <w:noProof/>
            <w:webHidden/>
          </w:rPr>
          <w:t>4</w:t>
        </w:r>
        <w:r w:rsidR="00A928C2">
          <w:rPr>
            <w:noProof/>
            <w:webHidden/>
          </w:rPr>
          <w:fldChar w:fldCharType="end"/>
        </w:r>
      </w:hyperlink>
    </w:p>
    <w:p w14:paraId="4BD60468" w14:textId="3344BBBE"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63" w:history="1">
        <w:r w:rsidR="00A928C2" w:rsidRPr="00616667">
          <w:rPr>
            <w:rStyle w:val="Hyperlink"/>
            <w:noProof/>
          </w:rPr>
          <w:t>2.2</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Initiative objectives</w:t>
        </w:r>
        <w:r w:rsidR="00A928C2">
          <w:rPr>
            <w:noProof/>
            <w:webHidden/>
          </w:rPr>
          <w:tab/>
        </w:r>
        <w:r w:rsidR="00A928C2">
          <w:rPr>
            <w:noProof/>
            <w:webHidden/>
          </w:rPr>
          <w:fldChar w:fldCharType="begin"/>
        </w:r>
        <w:r w:rsidR="00A928C2">
          <w:rPr>
            <w:noProof/>
            <w:webHidden/>
          </w:rPr>
          <w:instrText xml:space="preserve"> PAGEREF _Toc85203263 \h </w:instrText>
        </w:r>
        <w:r w:rsidR="00A928C2">
          <w:rPr>
            <w:noProof/>
            <w:webHidden/>
          </w:rPr>
        </w:r>
        <w:r w:rsidR="00A928C2">
          <w:rPr>
            <w:noProof/>
            <w:webHidden/>
          </w:rPr>
          <w:fldChar w:fldCharType="separate"/>
        </w:r>
        <w:r w:rsidR="00C50B67">
          <w:rPr>
            <w:noProof/>
            <w:webHidden/>
          </w:rPr>
          <w:t>4</w:t>
        </w:r>
        <w:r w:rsidR="00A928C2">
          <w:rPr>
            <w:noProof/>
            <w:webHidden/>
          </w:rPr>
          <w:fldChar w:fldCharType="end"/>
        </w:r>
      </w:hyperlink>
    </w:p>
    <w:p w14:paraId="6C73EA5D" w14:textId="1D3AA5CA"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64" w:history="1">
        <w:r w:rsidR="00A928C2" w:rsidRPr="00616667">
          <w:rPr>
            <w:rStyle w:val="Hyperlink"/>
            <w:noProof/>
          </w:rPr>
          <w:t>2.3</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Principles</w:t>
        </w:r>
        <w:r w:rsidR="00A928C2">
          <w:rPr>
            <w:noProof/>
            <w:webHidden/>
          </w:rPr>
          <w:tab/>
        </w:r>
        <w:r w:rsidR="00A928C2">
          <w:rPr>
            <w:noProof/>
            <w:webHidden/>
          </w:rPr>
          <w:fldChar w:fldCharType="begin"/>
        </w:r>
        <w:r w:rsidR="00A928C2">
          <w:rPr>
            <w:noProof/>
            <w:webHidden/>
          </w:rPr>
          <w:instrText xml:space="preserve"> PAGEREF _Toc85203264 \h </w:instrText>
        </w:r>
        <w:r w:rsidR="00A928C2">
          <w:rPr>
            <w:noProof/>
            <w:webHidden/>
          </w:rPr>
        </w:r>
        <w:r w:rsidR="00A928C2">
          <w:rPr>
            <w:noProof/>
            <w:webHidden/>
          </w:rPr>
          <w:fldChar w:fldCharType="separate"/>
        </w:r>
        <w:r w:rsidR="00C50B67">
          <w:rPr>
            <w:noProof/>
            <w:webHidden/>
          </w:rPr>
          <w:t>5</w:t>
        </w:r>
        <w:r w:rsidR="00A928C2">
          <w:rPr>
            <w:noProof/>
            <w:webHidden/>
          </w:rPr>
          <w:fldChar w:fldCharType="end"/>
        </w:r>
      </w:hyperlink>
    </w:p>
    <w:p w14:paraId="35F2D0CC" w14:textId="3802C5BA"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65" w:history="1">
        <w:r w:rsidR="00A928C2" w:rsidRPr="00616667">
          <w:rPr>
            <w:rStyle w:val="Hyperlink"/>
            <w:noProof/>
          </w:rPr>
          <w:t>2.4</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Program rules</w:t>
        </w:r>
        <w:r w:rsidR="00A928C2">
          <w:rPr>
            <w:noProof/>
            <w:webHidden/>
          </w:rPr>
          <w:tab/>
        </w:r>
        <w:r w:rsidR="00A928C2">
          <w:rPr>
            <w:noProof/>
            <w:webHidden/>
          </w:rPr>
          <w:fldChar w:fldCharType="begin"/>
        </w:r>
        <w:r w:rsidR="00A928C2">
          <w:rPr>
            <w:noProof/>
            <w:webHidden/>
          </w:rPr>
          <w:instrText xml:space="preserve"> PAGEREF _Toc85203265 \h </w:instrText>
        </w:r>
        <w:r w:rsidR="00A928C2">
          <w:rPr>
            <w:noProof/>
            <w:webHidden/>
          </w:rPr>
        </w:r>
        <w:r w:rsidR="00A928C2">
          <w:rPr>
            <w:noProof/>
            <w:webHidden/>
          </w:rPr>
          <w:fldChar w:fldCharType="separate"/>
        </w:r>
        <w:r w:rsidR="00C50B67">
          <w:rPr>
            <w:noProof/>
            <w:webHidden/>
          </w:rPr>
          <w:t>5</w:t>
        </w:r>
        <w:r w:rsidR="00A928C2">
          <w:rPr>
            <w:noProof/>
            <w:webHidden/>
          </w:rPr>
          <w:fldChar w:fldCharType="end"/>
        </w:r>
      </w:hyperlink>
    </w:p>
    <w:p w14:paraId="3F40E1E0" w14:textId="05406CB7"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66" w:history="1">
        <w:r w:rsidR="00A928C2" w:rsidRPr="00616667">
          <w:rPr>
            <w:rStyle w:val="Hyperlink"/>
            <w:noProof/>
          </w:rPr>
          <w:t>2.5</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Standard Operating Procedures</w:t>
        </w:r>
        <w:r w:rsidR="00A928C2">
          <w:rPr>
            <w:noProof/>
            <w:webHidden/>
          </w:rPr>
          <w:tab/>
        </w:r>
        <w:r w:rsidR="00A928C2">
          <w:rPr>
            <w:noProof/>
            <w:webHidden/>
          </w:rPr>
          <w:fldChar w:fldCharType="begin"/>
        </w:r>
        <w:r w:rsidR="00A928C2">
          <w:rPr>
            <w:noProof/>
            <w:webHidden/>
          </w:rPr>
          <w:instrText xml:space="preserve"> PAGEREF _Toc85203266 \h </w:instrText>
        </w:r>
        <w:r w:rsidR="00A928C2">
          <w:rPr>
            <w:noProof/>
            <w:webHidden/>
          </w:rPr>
        </w:r>
        <w:r w:rsidR="00A928C2">
          <w:rPr>
            <w:noProof/>
            <w:webHidden/>
          </w:rPr>
          <w:fldChar w:fldCharType="separate"/>
        </w:r>
        <w:r w:rsidR="00C50B67">
          <w:rPr>
            <w:noProof/>
            <w:webHidden/>
          </w:rPr>
          <w:t>6</w:t>
        </w:r>
        <w:r w:rsidR="00A928C2">
          <w:rPr>
            <w:noProof/>
            <w:webHidden/>
          </w:rPr>
          <w:fldChar w:fldCharType="end"/>
        </w:r>
      </w:hyperlink>
    </w:p>
    <w:p w14:paraId="372617F5" w14:textId="330B3C85"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67" w:history="1">
        <w:r w:rsidR="00A928C2" w:rsidRPr="00616667">
          <w:rPr>
            <w:rStyle w:val="Hyperlink"/>
            <w:noProof/>
          </w:rPr>
          <w:t>2.6</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Patterns of delivery</w:t>
        </w:r>
        <w:r w:rsidR="00A928C2">
          <w:rPr>
            <w:noProof/>
            <w:webHidden/>
          </w:rPr>
          <w:tab/>
        </w:r>
        <w:r w:rsidR="00A928C2">
          <w:rPr>
            <w:noProof/>
            <w:webHidden/>
          </w:rPr>
          <w:fldChar w:fldCharType="begin"/>
        </w:r>
        <w:r w:rsidR="00A928C2">
          <w:rPr>
            <w:noProof/>
            <w:webHidden/>
          </w:rPr>
          <w:instrText xml:space="preserve"> PAGEREF _Toc85203267 \h </w:instrText>
        </w:r>
        <w:r w:rsidR="00A928C2">
          <w:rPr>
            <w:noProof/>
            <w:webHidden/>
          </w:rPr>
        </w:r>
        <w:r w:rsidR="00A928C2">
          <w:rPr>
            <w:noProof/>
            <w:webHidden/>
          </w:rPr>
          <w:fldChar w:fldCharType="separate"/>
        </w:r>
        <w:r w:rsidR="00C50B67">
          <w:rPr>
            <w:noProof/>
            <w:webHidden/>
          </w:rPr>
          <w:t>6</w:t>
        </w:r>
        <w:r w:rsidR="00A928C2">
          <w:rPr>
            <w:noProof/>
            <w:webHidden/>
          </w:rPr>
          <w:fldChar w:fldCharType="end"/>
        </w:r>
      </w:hyperlink>
    </w:p>
    <w:p w14:paraId="4B71D3B7" w14:textId="738239F7" w:rsidR="00A928C2" w:rsidRDefault="00A67BE9">
      <w:pPr>
        <w:pStyle w:val="TOC4"/>
        <w:rPr>
          <w:rFonts w:asciiTheme="minorHAnsi" w:eastAsiaTheme="minorEastAsia" w:hAnsiTheme="minorHAnsi" w:cstheme="minorBidi"/>
          <w:color w:val="auto"/>
          <w:spacing w:val="0"/>
          <w:sz w:val="22"/>
          <w:szCs w:val="22"/>
          <w:lang w:eastAsia="en-AU"/>
        </w:rPr>
      </w:pPr>
      <w:hyperlink w:anchor="_Toc85203268" w:history="1">
        <w:r w:rsidR="00A928C2" w:rsidRPr="00616667">
          <w:rPr>
            <w:rStyle w:val="Hyperlink"/>
          </w:rPr>
          <w:t>2.6.1</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Initiative participation</w:t>
        </w:r>
        <w:r w:rsidR="00A928C2">
          <w:rPr>
            <w:webHidden/>
          </w:rPr>
          <w:tab/>
        </w:r>
        <w:r w:rsidR="00A928C2">
          <w:rPr>
            <w:webHidden/>
          </w:rPr>
          <w:fldChar w:fldCharType="begin"/>
        </w:r>
        <w:r w:rsidR="00A928C2">
          <w:rPr>
            <w:webHidden/>
          </w:rPr>
          <w:instrText xml:space="preserve"> PAGEREF _Toc85203268 \h </w:instrText>
        </w:r>
        <w:r w:rsidR="00A928C2">
          <w:rPr>
            <w:webHidden/>
          </w:rPr>
        </w:r>
        <w:r w:rsidR="00A928C2">
          <w:rPr>
            <w:webHidden/>
          </w:rPr>
          <w:fldChar w:fldCharType="separate"/>
        </w:r>
        <w:r w:rsidR="00C50B67">
          <w:rPr>
            <w:webHidden/>
          </w:rPr>
          <w:t>6</w:t>
        </w:r>
        <w:r w:rsidR="00A928C2">
          <w:rPr>
            <w:webHidden/>
          </w:rPr>
          <w:fldChar w:fldCharType="end"/>
        </w:r>
      </w:hyperlink>
    </w:p>
    <w:p w14:paraId="68D3F8C8" w14:textId="416CE540" w:rsidR="00A928C2" w:rsidRDefault="00A67BE9">
      <w:pPr>
        <w:pStyle w:val="TOC4"/>
        <w:rPr>
          <w:rFonts w:asciiTheme="minorHAnsi" w:eastAsiaTheme="minorEastAsia" w:hAnsiTheme="minorHAnsi" w:cstheme="minorBidi"/>
          <w:color w:val="auto"/>
          <w:spacing w:val="0"/>
          <w:sz w:val="22"/>
          <w:szCs w:val="22"/>
          <w:lang w:eastAsia="en-AU"/>
        </w:rPr>
      </w:pPr>
      <w:hyperlink w:anchor="_Toc85203269" w:history="1">
        <w:r w:rsidR="00A928C2" w:rsidRPr="00616667">
          <w:rPr>
            <w:rStyle w:val="Hyperlink"/>
          </w:rPr>
          <w:t>2.6.2</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MBS claims</w:t>
        </w:r>
        <w:r w:rsidR="00A928C2">
          <w:rPr>
            <w:webHidden/>
          </w:rPr>
          <w:tab/>
        </w:r>
        <w:r w:rsidR="00A928C2">
          <w:rPr>
            <w:webHidden/>
          </w:rPr>
          <w:fldChar w:fldCharType="begin"/>
        </w:r>
        <w:r w:rsidR="00A928C2">
          <w:rPr>
            <w:webHidden/>
          </w:rPr>
          <w:instrText xml:space="preserve"> PAGEREF _Toc85203269 \h </w:instrText>
        </w:r>
        <w:r w:rsidR="00A928C2">
          <w:rPr>
            <w:webHidden/>
          </w:rPr>
        </w:r>
        <w:r w:rsidR="00A928C2">
          <w:rPr>
            <w:webHidden/>
          </w:rPr>
          <w:fldChar w:fldCharType="separate"/>
        </w:r>
        <w:r w:rsidR="00C50B67">
          <w:rPr>
            <w:webHidden/>
          </w:rPr>
          <w:t>12</w:t>
        </w:r>
        <w:r w:rsidR="00A928C2">
          <w:rPr>
            <w:webHidden/>
          </w:rPr>
          <w:fldChar w:fldCharType="end"/>
        </w:r>
      </w:hyperlink>
    </w:p>
    <w:p w14:paraId="26FC00AD" w14:textId="635D973E" w:rsidR="00A928C2" w:rsidRDefault="00A67BE9">
      <w:pPr>
        <w:pStyle w:val="TOC1"/>
        <w:tabs>
          <w:tab w:val="left" w:pos="1644"/>
        </w:tabs>
        <w:rPr>
          <w:rFonts w:asciiTheme="minorHAnsi" w:eastAsiaTheme="minorEastAsia" w:hAnsiTheme="minorHAnsi" w:cstheme="minorBidi"/>
          <w:caps w:val="0"/>
          <w:noProof/>
          <w:color w:val="auto"/>
          <w:spacing w:val="0"/>
          <w:szCs w:val="22"/>
          <w:lang w:eastAsia="en-AU"/>
        </w:rPr>
      </w:pPr>
      <w:hyperlink w:anchor="_Toc85203270" w:history="1">
        <w:r w:rsidR="00A928C2" w:rsidRPr="00616667">
          <w:rPr>
            <w:rStyle w:val="Hyperlink"/>
            <w:noProof/>
            <w14:scene3d>
              <w14:camera w14:prst="orthographicFront"/>
              <w14:lightRig w14:rig="threePt" w14:dir="t">
                <w14:rot w14:lat="0" w14:lon="0" w14:rev="0"/>
              </w14:lightRig>
            </w14:scene3d>
          </w:rPr>
          <w:t>SECTION B:</w:t>
        </w:r>
        <w:r w:rsidR="00A928C2">
          <w:rPr>
            <w:rFonts w:asciiTheme="minorHAnsi" w:eastAsiaTheme="minorEastAsia" w:hAnsiTheme="minorHAnsi" w:cstheme="minorBidi"/>
            <w:caps w:val="0"/>
            <w:noProof/>
            <w:color w:val="auto"/>
            <w:spacing w:val="0"/>
            <w:szCs w:val="22"/>
            <w:lang w:eastAsia="en-AU"/>
          </w:rPr>
          <w:tab/>
        </w:r>
        <w:r w:rsidR="00A928C2" w:rsidRPr="00616667">
          <w:rPr>
            <w:rStyle w:val="Hyperlink"/>
            <w:noProof/>
          </w:rPr>
          <w:t>Broader context</w:t>
        </w:r>
        <w:r w:rsidR="00A928C2">
          <w:rPr>
            <w:noProof/>
            <w:webHidden/>
          </w:rPr>
          <w:tab/>
        </w:r>
        <w:r w:rsidR="00A928C2">
          <w:rPr>
            <w:noProof/>
            <w:webHidden/>
          </w:rPr>
          <w:fldChar w:fldCharType="begin"/>
        </w:r>
        <w:r w:rsidR="00A928C2">
          <w:rPr>
            <w:noProof/>
            <w:webHidden/>
          </w:rPr>
          <w:instrText xml:space="preserve"> PAGEREF _Toc85203270 \h </w:instrText>
        </w:r>
        <w:r w:rsidR="00A928C2">
          <w:rPr>
            <w:noProof/>
            <w:webHidden/>
          </w:rPr>
        </w:r>
        <w:r w:rsidR="00A928C2">
          <w:rPr>
            <w:noProof/>
            <w:webHidden/>
          </w:rPr>
          <w:fldChar w:fldCharType="separate"/>
        </w:r>
        <w:r w:rsidR="00C50B67">
          <w:rPr>
            <w:noProof/>
            <w:webHidden/>
          </w:rPr>
          <w:t>12</w:t>
        </w:r>
        <w:r w:rsidR="00A928C2">
          <w:rPr>
            <w:noProof/>
            <w:webHidden/>
          </w:rPr>
          <w:fldChar w:fldCharType="end"/>
        </w:r>
      </w:hyperlink>
    </w:p>
    <w:p w14:paraId="2CB2B588" w14:textId="06D54684"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71" w:history="1">
        <w:r w:rsidR="00A928C2" w:rsidRPr="00616667">
          <w:rPr>
            <w:rStyle w:val="Hyperlink"/>
            <w:noProof/>
            <w:lang w:eastAsia="zh-CN" w:bidi="th-TH"/>
          </w:rPr>
          <w:t>2.7</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lang w:eastAsia="zh-CN" w:bidi="th-TH"/>
          </w:rPr>
          <w:t>Impact of doctor remuneration arrangements on MBS billing</w:t>
        </w:r>
        <w:r w:rsidR="00A928C2">
          <w:rPr>
            <w:noProof/>
            <w:webHidden/>
          </w:rPr>
          <w:tab/>
        </w:r>
        <w:r w:rsidR="00A928C2">
          <w:rPr>
            <w:noProof/>
            <w:webHidden/>
          </w:rPr>
          <w:fldChar w:fldCharType="begin"/>
        </w:r>
        <w:r w:rsidR="00A928C2">
          <w:rPr>
            <w:noProof/>
            <w:webHidden/>
          </w:rPr>
          <w:instrText xml:space="preserve"> PAGEREF _Toc85203271 \h </w:instrText>
        </w:r>
        <w:r w:rsidR="00A928C2">
          <w:rPr>
            <w:noProof/>
            <w:webHidden/>
          </w:rPr>
        </w:r>
        <w:r w:rsidR="00A928C2">
          <w:rPr>
            <w:noProof/>
            <w:webHidden/>
          </w:rPr>
          <w:fldChar w:fldCharType="separate"/>
        </w:r>
        <w:r w:rsidR="00C50B67">
          <w:rPr>
            <w:noProof/>
            <w:webHidden/>
          </w:rPr>
          <w:t>12</w:t>
        </w:r>
        <w:r w:rsidR="00A928C2">
          <w:rPr>
            <w:noProof/>
            <w:webHidden/>
          </w:rPr>
          <w:fldChar w:fldCharType="end"/>
        </w:r>
      </w:hyperlink>
    </w:p>
    <w:p w14:paraId="5EEADD39" w14:textId="519EF18A"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72" w:history="1">
        <w:r w:rsidR="00A928C2" w:rsidRPr="00616667">
          <w:rPr>
            <w:rStyle w:val="Hyperlink"/>
            <w:noProof/>
            <w:lang w:eastAsia="zh-CN" w:bidi="th-TH"/>
          </w:rPr>
          <w:t>2.8</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lang w:eastAsia="zh-CN" w:bidi="th-TH"/>
          </w:rPr>
          <w:t>Nursing and allied health workforce</w:t>
        </w:r>
        <w:r w:rsidR="00A928C2">
          <w:rPr>
            <w:noProof/>
            <w:webHidden/>
          </w:rPr>
          <w:tab/>
        </w:r>
        <w:r w:rsidR="00A928C2">
          <w:rPr>
            <w:noProof/>
            <w:webHidden/>
          </w:rPr>
          <w:fldChar w:fldCharType="begin"/>
        </w:r>
        <w:r w:rsidR="00A928C2">
          <w:rPr>
            <w:noProof/>
            <w:webHidden/>
          </w:rPr>
          <w:instrText xml:space="preserve"> PAGEREF _Toc85203272 \h </w:instrText>
        </w:r>
        <w:r w:rsidR="00A928C2">
          <w:rPr>
            <w:noProof/>
            <w:webHidden/>
          </w:rPr>
        </w:r>
        <w:r w:rsidR="00A928C2">
          <w:rPr>
            <w:noProof/>
            <w:webHidden/>
          </w:rPr>
          <w:fldChar w:fldCharType="separate"/>
        </w:r>
        <w:r w:rsidR="00C50B67">
          <w:rPr>
            <w:noProof/>
            <w:webHidden/>
          </w:rPr>
          <w:t>13</w:t>
        </w:r>
        <w:r w:rsidR="00A928C2">
          <w:rPr>
            <w:noProof/>
            <w:webHidden/>
          </w:rPr>
          <w:fldChar w:fldCharType="end"/>
        </w:r>
      </w:hyperlink>
    </w:p>
    <w:p w14:paraId="7335C419" w14:textId="30F0DA4A"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73" w:history="1">
        <w:r w:rsidR="00A928C2" w:rsidRPr="00616667">
          <w:rPr>
            <w:rStyle w:val="Hyperlink"/>
            <w:noProof/>
            <w:lang w:eastAsia="zh-CN" w:bidi="th-TH"/>
          </w:rPr>
          <w:t>2.9</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lang w:eastAsia="zh-CN" w:bidi="th-TH"/>
          </w:rPr>
          <w:t>Other Section 19(2) exemptions in rural communities</w:t>
        </w:r>
        <w:r w:rsidR="00A928C2">
          <w:rPr>
            <w:noProof/>
            <w:webHidden/>
          </w:rPr>
          <w:tab/>
        </w:r>
        <w:r w:rsidR="00A928C2">
          <w:rPr>
            <w:noProof/>
            <w:webHidden/>
          </w:rPr>
          <w:fldChar w:fldCharType="begin"/>
        </w:r>
        <w:r w:rsidR="00A928C2">
          <w:rPr>
            <w:noProof/>
            <w:webHidden/>
          </w:rPr>
          <w:instrText xml:space="preserve"> PAGEREF _Toc85203273 \h </w:instrText>
        </w:r>
        <w:r w:rsidR="00A928C2">
          <w:rPr>
            <w:noProof/>
            <w:webHidden/>
          </w:rPr>
        </w:r>
        <w:r w:rsidR="00A928C2">
          <w:rPr>
            <w:noProof/>
            <w:webHidden/>
          </w:rPr>
          <w:fldChar w:fldCharType="separate"/>
        </w:r>
        <w:r w:rsidR="00C50B67">
          <w:rPr>
            <w:noProof/>
            <w:webHidden/>
          </w:rPr>
          <w:t>13</w:t>
        </w:r>
        <w:r w:rsidR="00A928C2">
          <w:rPr>
            <w:noProof/>
            <w:webHidden/>
          </w:rPr>
          <w:fldChar w:fldCharType="end"/>
        </w:r>
      </w:hyperlink>
    </w:p>
    <w:p w14:paraId="70B0DE9A" w14:textId="62126133"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74" w:history="1">
        <w:r w:rsidR="00A928C2" w:rsidRPr="00616667">
          <w:rPr>
            <w:rStyle w:val="Hyperlink"/>
            <w:noProof/>
          </w:rPr>
          <w:t>2.10</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Rural policy context</w:t>
        </w:r>
        <w:r w:rsidR="00A928C2">
          <w:rPr>
            <w:noProof/>
            <w:webHidden/>
          </w:rPr>
          <w:tab/>
        </w:r>
        <w:r w:rsidR="00A928C2">
          <w:rPr>
            <w:noProof/>
            <w:webHidden/>
          </w:rPr>
          <w:fldChar w:fldCharType="begin"/>
        </w:r>
        <w:r w:rsidR="00A928C2">
          <w:rPr>
            <w:noProof/>
            <w:webHidden/>
          </w:rPr>
          <w:instrText xml:space="preserve"> PAGEREF _Toc85203274 \h </w:instrText>
        </w:r>
        <w:r w:rsidR="00A928C2">
          <w:rPr>
            <w:noProof/>
            <w:webHidden/>
          </w:rPr>
        </w:r>
        <w:r w:rsidR="00A928C2">
          <w:rPr>
            <w:noProof/>
            <w:webHidden/>
          </w:rPr>
          <w:fldChar w:fldCharType="separate"/>
        </w:r>
        <w:r w:rsidR="00C50B67">
          <w:rPr>
            <w:noProof/>
            <w:webHidden/>
          </w:rPr>
          <w:t>17</w:t>
        </w:r>
        <w:r w:rsidR="00A928C2">
          <w:rPr>
            <w:noProof/>
            <w:webHidden/>
          </w:rPr>
          <w:fldChar w:fldCharType="end"/>
        </w:r>
      </w:hyperlink>
    </w:p>
    <w:p w14:paraId="4C58ACF6" w14:textId="703FD4CE" w:rsidR="00A928C2" w:rsidRDefault="00A67BE9">
      <w:pPr>
        <w:pStyle w:val="TOC4"/>
        <w:rPr>
          <w:rFonts w:asciiTheme="minorHAnsi" w:eastAsiaTheme="minorEastAsia" w:hAnsiTheme="minorHAnsi" w:cstheme="minorBidi"/>
          <w:color w:val="auto"/>
          <w:spacing w:val="0"/>
          <w:sz w:val="22"/>
          <w:szCs w:val="22"/>
          <w:lang w:eastAsia="en-AU"/>
        </w:rPr>
      </w:pPr>
      <w:hyperlink w:anchor="_Toc85203275" w:history="1">
        <w:r w:rsidR="00A928C2" w:rsidRPr="00616667">
          <w:rPr>
            <w:rStyle w:val="Hyperlink"/>
          </w:rPr>
          <w:t>2.10.1</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Health workforce supply</w:t>
        </w:r>
        <w:r w:rsidR="00A928C2">
          <w:rPr>
            <w:webHidden/>
          </w:rPr>
          <w:tab/>
        </w:r>
        <w:r w:rsidR="00A928C2">
          <w:rPr>
            <w:webHidden/>
          </w:rPr>
          <w:fldChar w:fldCharType="begin"/>
        </w:r>
        <w:r w:rsidR="00A928C2">
          <w:rPr>
            <w:webHidden/>
          </w:rPr>
          <w:instrText xml:space="preserve"> PAGEREF _Toc85203275 \h </w:instrText>
        </w:r>
        <w:r w:rsidR="00A928C2">
          <w:rPr>
            <w:webHidden/>
          </w:rPr>
        </w:r>
        <w:r w:rsidR="00A928C2">
          <w:rPr>
            <w:webHidden/>
          </w:rPr>
          <w:fldChar w:fldCharType="separate"/>
        </w:r>
        <w:r w:rsidR="00C50B67">
          <w:rPr>
            <w:webHidden/>
          </w:rPr>
          <w:t>17</w:t>
        </w:r>
        <w:r w:rsidR="00A928C2">
          <w:rPr>
            <w:webHidden/>
          </w:rPr>
          <w:fldChar w:fldCharType="end"/>
        </w:r>
      </w:hyperlink>
    </w:p>
    <w:p w14:paraId="00F02C51" w14:textId="693899B5" w:rsidR="00A928C2" w:rsidRDefault="00A67BE9">
      <w:pPr>
        <w:pStyle w:val="TOC4"/>
        <w:rPr>
          <w:rFonts w:asciiTheme="minorHAnsi" w:eastAsiaTheme="minorEastAsia" w:hAnsiTheme="minorHAnsi" w:cstheme="minorBidi"/>
          <w:color w:val="auto"/>
          <w:spacing w:val="0"/>
          <w:sz w:val="22"/>
          <w:szCs w:val="22"/>
          <w:lang w:eastAsia="en-AU"/>
        </w:rPr>
      </w:pPr>
      <w:hyperlink w:anchor="_Toc85203276" w:history="1">
        <w:r w:rsidR="00A928C2" w:rsidRPr="00616667">
          <w:rPr>
            <w:rStyle w:val="Hyperlink"/>
          </w:rPr>
          <w:t>2.10.2</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Initiatives supporting attraction, recruitment and retention</w:t>
        </w:r>
        <w:r w:rsidR="00A928C2">
          <w:rPr>
            <w:webHidden/>
          </w:rPr>
          <w:tab/>
        </w:r>
        <w:r w:rsidR="00A928C2">
          <w:rPr>
            <w:webHidden/>
          </w:rPr>
          <w:fldChar w:fldCharType="begin"/>
        </w:r>
        <w:r w:rsidR="00A928C2">
          <w:rPr>
            <w:webHidden/>
          </w:rPr>
          <w:instrText xml:space="preserve"> PAGEREF _Toc85203276 \h </w:instrText>
        </w:r>
        <w:r w:rsidR="00A928C2">
          <w:rPr>
            <w:webHidden/>
          </w:rPr>
        </w:r>
        <w:r w:rsidR="00A928C2">
          <w:rPr>
            <w:webHidden/>
          </w:rPr>
          <w:fldChar w:fldCharType="separate"/>
        </w:r>
        <w:r w:rsidR="00C50B67">
          <w:rPr>
            <w:webHidden/>
          </w:rPr>
          <w:t>18</w:t>
        </w:r>
        <w:r w:rsidR="00A928C2">
          <w:rPr>
            <w:webHidden/>
          </w:rPr>
          <w:fldChar w:fldCharType="end"/>
        </w:r>
      </w:hyperlink>
    </w:p>
    <w:p w14:paraId="18E0D5D4" w14:textId="7842E983"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77" w:history="1">
        <w:r w:rsidR="00A928C2" w:rsidRPr="00616667">
          <w:rPr>
            <w:rStyle w:val="Hyperlink"/>
            <w:noProof/>
          </w:rPr>
          <w:t>2.11</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Improving access to primary healthcare</w:t>
        </w:r>
        <w:r w:rsidR="00A928C2">
          <w:rPr>
            <w:noProof/>
            <w:webHidden/>
          </w:rPr>
          <w:tab/>
        </w:r>
        <w:r w:rsidR="00A928C2">
          <w:rPr>
            <w:noProof/>
            <w:webHidden/>
          </w:rPr>
          <w:fldChar w:fldCharType="begin"/>
        </w:r>
        <w:r w:rsidR="00A928C2">
          <w:rPr>
            <w:noProof/>
            <w:webHidden/>
          </w:rPr>
          <w:instrText xml:space="preserve"> PAGEREF _Toc85203277 \h </w:instrText>
        </w:r>
        <w:r w:rsidR="00A928C2">
          <w:rPr>
            <w:noProof/>
            <w:webHidden/>
          </w:rPr>
        </w:r>
        <w:r w:rsidR="00A928C2">
          <w:rPr>
            <w:noProof/>
            <w:webHidden/>
          </w:rPr>
          <w:fldChar w:fldCharType="separate"/>
        </w:r>
        <w:r w:rsidR="00C50B67">
          <w:rPr>
            <w:noProof/>
            <w:webHidden/>
          </w:rPr>
          <w:t>18</w:t>
        </w:r>
        <w:r w:rsidR="00A928C2">
          <w:rPr>
            <w:noProof/>
            <w:webHidden/>
          </w:rPr>
          <w:fldChar w:fldCharType="end"/>
        </w:r>
      </w:hyperlink>
    </w:p>
    <w:p w14:paraId="0477D48D" w14:textId="77264F51"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78" w:history="1">
        <w:r w:rsidR="00A928C2" w:rsidRPr="00616667">
          <w:rPr>
            <w:rStyle w:val="Hyperlink"/>
            <w:noProof/>
          </w:rPr>
          <w:t>2.12</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Wider health and human services context</w:t>
        </w:r>
        <w:r w:rsidR="00A928C2">
          <w:rPr>
            <w:noProof/>
            <w:webHidden/>
          </w:rPr>
          <w:tab/>
        </w:r>
        <w:r w:rsidR="00A928C2">
          <w:rPr>
            <w:noProof/>
            <w:webHidden/>
          </w:rPr>
          <w:fldChar w:fldCharType="begin"/>
        </w:r>
        <w:r w:rsidR="00A928C2">
          <w:rPr>
            <w:noProof/>
            <w:webHidden/>
          </w:rPr>
          <w:instrText xml:space="preserve"> PAGEREF _Toc85203278 \h </w:instrText>
        </w:r>
        <w:r w:rsidR="00A928C2">
          <w:rPr>
            <w:noProof/>
            <w:webHidden/>
          </w:rPr>
        </w:r>
        <w:r w:rsidR="00A928C2">
          <w:rPr>
            <w:noProof/>
            <w:webHidden/>
          </w:rPr>
          <w:fldChar w:fldCharType="separate"/>
        </w:r>
        <w:r w:rsidR="00C50B67">
          <w:rPr>
            <w:noProof/>
            <w:webHidden/>
          </w:rPr>
          <w:t>19</w:t>
        </w:r>
        <w:r w:rsidR="00A928C2">
          <w:rPr>
            <w:noProof/>
            <w:webHidden/>
          </w:rPr>
          <w:fldChar w:fldCharType="end"/>
        </w:r>
      </w:hyperlink>
    </w:p>
    <w:p w14:paraId="0421DC7C" w14:textId="71CEF39D" w:rsidR="00A928C2" w:rsidRDefault="00A67BE9">
      <w:pPr>
        <w:pStyle w:val="TOC2"/>
        <w:rPr>
          <w:rFonts w:asciiTheme="minorHAnsi" w:eastAsiaTheme="minorEastAsia" w:hAnsiTheme="minorHAnsi" w:cstheme="minorBidi"/>
          <w:caps w:val="0"/>
          <w:noProof/>
          <w:color w:val="auto"/>
          <w:spacing w:val="0"/>
          <w:sz w:val="22"/>
          <w:szCs w:val="22"/>
          <w:u w:val="none"/>
          <w:lang w:eastAsia="en-AU"/>
        </w:rPr>
      </w:pPr>
      <w:hyperlink w:anchor="_Toc85203279" w:history="1">
        <w:r w:rsidR="00A928C2" w:rsidRPr="00616667">
          <w:rPr>
            <w:rStyle w:val="Hyperlink"/>
            <w:noProof/>
          </w:rPr>
          <w:t>3</w:t>
        </w:r>
        <w:r w:rsidR="00A928C2">
          <w:rPr>
            <w:rFonts w:asciiTheme="minorHAnsi" w:eastAsiaTheme="minorEastAsia" w:hAnsiTheme="minorHAnsi" w:cstheme="minorBidi"/>
            <w:caps w:val="0"/>
            <w:noProof/>
            <w:color w:val="auto"/>
            <w:spacing w:val="0"/>
            <w:sz w:val="22"/>
            <w:szCs w:val="22"/>
            <w:u w:val="none"/>
            <w:lang w:eastAsia="en-AU"/>
          </w:rPr>
          <w:tab/>
        </w:r>
        <w:r w:rsidR="00A928C2" w:rsidRPr="00616667">
          <w:rPr>
            <w:rStyle w:val="Hyperlink"/>
            <w:noProof/>
          </w:rPr>
          <w:t>Evaluation approach</w:t>
        </w:r>
        <w:r w:rsidR="00A928C2">
          <w:rPr>
            <w:noProof/>
            <w:webHidden/>
          </w:rPr>
          <w:tab/>
        </w:r>
        <w:r w:rsidR="00A928C2">
          <w:rPr>
            <w:noProof/>
            <w:webHidden/>
          </w:rPr>
          <w:fldChar w:fldCharType="begin"/>
        </w:r>
        <w:r w:rsidR="00A928C2">
          <w:rPr>
            <w:noProof/>
            <w:webHidden/>
          </w:rPr>
          <w:instrText xml:space="preserve"> PAGEREF _Toc85203279 \h </w:instrText>
        </w:r>
        <w:r w:rsidR="00A928C2">
          <w:rPr>
            <w:noProof/>
            <w:webHidden/>
          </w:rPr>
        </w:r>
        <w:r w:rsidR="00A928C2">
          <w:rPr>
            <w:noProof/>
            <w:webHidden/>
          </w:rPr>
          <w:fldChar w:fldCharType="separate"/>
        </w:r>
        <w:r w:rsidR="00C50B67">
          <w:rPr>
            <w:noProof/>
            <w:webHidden/>
          </w:rPr>
          <w:t>21</w:t>
        </w:r>
        <w:r w:rsidR="00A928C2">
          <w:rPr>
            <w:noProof/>
            <w:webHidden/>
          </w:rPr>
          <w:fldChar w:fldCharType="end"/>
        </w:r>
      </w:hyperlink>
    </w:p>
    <w:p w14:paraId="2214462C" w14:textId="536E8152"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80" w:history="1">
        <w:r w:rsidR="00A928C2" w:rsidRPr="00616667">
          <w:rPr>
            <w:rStyle w:val="Hyperlink"/>
            <w:noProof/>
          </w:rPr>
          <w:t>3.1</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Specifying the program logic and evaluation areas</w:t>
        </w:r>
        <w:r w:rsidR="00A928C2">
          <w:rPr>
            <w:noProof/>
            <w:webHidden/>
          </w:rPr>
          <w:tab/>
        </w:r>
        <w:r w:rsidR="00A928C2">
          <w:rPr>
            <w:noProof/>
            <w:webHidden/>
          </w:rPr>
          <w:fldChar w:fldCharType="begin"/>
        </w:r>
        <w:r w:rsidR="00A928C2">
          <w:rPr>
            <w:noProof/>
            <w:webHidden/>
          </w:rPr>
          <w:instrText xml:space="preserve"> PAGEREF _Toc85203280 \h </w:instrText>
        </w:r>
        <w:r w:rsidR="00A928C2">
          <w:rPr>
            <w:noProof/>
            <w:webHidden/>
          </w:rPr>
        </w:r>
        <w:r w:rsidR="00A928C2">
          <w:rPr>
            <w:noProof/>
            <w:webHidden/>
          </w:rPr>
          <w:fldChar w:fldCharType="separate"/>
        </w:r>
        <w:r w:rsidR="00C50B67">
          <w:rPr>
            <w:noProof/>
            <w:webHidden/>
          </w:rPr>
          <w:t>21</w:t>
        </w:r>
        <w:r w:rsidR="00A928C2">
          <w:rPr>
            <w:noProof/>
            <w:webHidden/>
          </w:rPr>
          <w:fldChar w:fldCharType="end"/>
        </w:r>
      </w:hyperlink>
    </w:p>
    <w:p w14:paraId="7ED4BBE4" w14:textId="04E90D1F"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81" w:history="1">
        <w:r w:rsidR="00A928C2" w:rsidRPr="00616667">
          <w:rPr>
            <w:rStyle w:val="Hyperlink"/>
            <w:noProof/>
          </w:rPr>
          <w:t>3.2</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Evaluation method</w:t>
        </w:r>
        <w:r w:rsidR="00A928C2">
          <w:rPr>
            <w:noProof/>
            <w:webHidden/>
          </w:rPr>
          <w:tab/>
        </w:r>
        <w:r w:rsidR="00A928C2">
          <w:rPr>
            <w:noProof/>
            <w:webHidden/>
          </w:rPr>
          <w:fldChar w:fldCharType="begin"/>
        </w:r>
        <w:r w:rsidR="00A928C2">
          <w:rPr>
            <w:noProof/>
            <w:webHidden/>
          </w:rPr>
          <w:instrText xml:space="preserve"> PAGEREF _Toc85203281 \h </w:instrText>
        </w:r>
        <w:r w:rsidR="00A928C2">
          <w:rPr>
            <w:noProof/>
            <w:webHidden/>
          </w:rPr>
        </w:r>
        <w:r w:rsidR="00A928C2">
          <w:rPr>
            <w:noProof/>
            <w:webHidden/>
          </w:rPr>
          <w:fldChar w:fldCharType="separate"/>
        </w:r>
        <w:r w:rsidR="00C50B67">
          <w:rPr>
            <w:noProof/>
            <w:webHidden/>
          </w:rPr>
          <w:t>23</w:t>
        </w:r>
        <w:r w:rsidR="00A928C2">
          <w:rPr>
            <w:noProof/>
            <w:webHidden/>
          </w:rPr>
          <w:fldChar w:fldCharType="end"/>
        </w:r>
      </w:hyperlink>
    </w:p>
    <w:p w14:paraId="42392156" w14:textId="1EF23EA8"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82" w:history="1">
        <w:r w:rsidR="00A928C2" w:rsidRPr="00616667">
          <w:rPr>
            <w:rStyle w:val="Hyperlink"/>
            <w:noProof/>
          </w:rPr>
          <w:t>3.3</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Specific data collection processes: additional information</w:t>
        </w:r>
        <w:r w:rsidR="00A928C2">
          <w:rPr>
            <w:noProof/>
            <w:webHidden/>
          </w:rPr>
          <w:tab/>
        </w:r>
        <w:r w:rsidR="00A928C2">
          <w:rPr>
            <w:noProof/>
            <w:webHidden/>
          </w:rPr>
          <w:fldChar w:fldCharType="begin"/>
        </w:r>
        <w:r w:rsidR="00A928C2">
          <w:rPr>
            <w:noProof/>
            <w:webHidden/>
          </w:rPr>
          <w:instrText xml:space="preserve"> PAGEREF _Toc85203282 \h </w:instrText>
        </w:r>
        <w:r w:rsidR="00A928C2">
          <w:rPr>
            <w:noProof/>
            <w:webHidden/>
          </w:rPr>
        </w:r>
        <w:r w:rsidR="00A928C2">
          <w:rPr>
            <w:noProof/>
            <w:webHidden/>
          </w:rPr>
          <w:fldChar w:fldCharType="separate"/>
        </w:r>
        <w:r w:rsidR="00C50B67">
          <w:rPr>
            <w:noProof/>
            <w:webHidden/>
          </w:rPr>
          <w:t>24</w:t>
        </w:r>
        <w:r w:rsidR="00A928C2">
          <w:rPr>
            <w:noProof/>
            <w:webHidden/>
          </w:rPr>
          <w:fldChar w:fldCharType="end"/>
        </w:r>
      </w:hyperlink>
    </w:p>
    <w:p w14:paraId="24C0BA15" w14:textId="7D6BD746" w:rsidR="00A928C2" w:rsidRDefault="00A67BE9">
      <w:pPr>
        <w:pStyle w:val="TOC4"/>
        <w:rPr>
          <w:rFonts w:asciiTheme="minorHAnsi" w:eastAsiaTheme="minorEastAsia" w:hAnsiTheme="minorHAnsi" w:cstheme="minorBidi"/>
          <w:color w:val="auto"/>
          <w:spacing w:val="0"/>
          <w:sz w:val="22"/>
          <w:szCs w:val="22"/>
          <w:lang w:eastAsia="en-AU"/>
        </w:rPr>
      </w:pPr>
      <w:hyperlink w:anchor="_Toc85203283" w:history="1">
        <w:r w:rsidR="00A928C2" w:rsidRPr="00616667">
          <w:rPr>
            <w:rStyle w:val="Hyperlink"/>
          </w:rPr>
          <w:t>3.3.1</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MBS data analysis</w:t>
        </w:r>
        <w:r w:rsidR="00A928C2">
          <w:rPr>
            <w:webHidden/>
          </w:rPr>
          <w:tab/>
        </w:r>
        <w:r w:rsidR="00A928C2">
          <w:rPr>
            <w:webHidden/>
          </w:rPr>
          <w:fldChar w:fldCharType="begin"/>
        </w:r>
        <w:r w:rsidR="00A928C2">
          <w:rPr>
            <w:webHidden/>
          </w:rPr>
          <w:instrText xml:space="preserve"> PAGEREF _Toc85203283 \h </w:instrText>
        </w:r>
        <w:r w:rsidR="00A928C2">
          <w:rPr>
            <w:webHidden/>
          </w:rPr>
        </w:r>
        <w:r w:rsidR="00A928C2">
          <w:rPr>
            <w:webHidden/>
          </w:rPr>
          <w:fldChar w:fldCharType="separate"/>
        </w:r>
        <w:r w:rsidR="00C50B67">
          <w:rPr>
            <w:webHidden/>
          </w:rPr>
          <w:t>24</w:t>
        </w:r>
        <w:r w:rsidR="00A928C2">
          <w:rPr>
            <w:webHidden/>
          </w:rPr>
          <w:fldChar w:fldCharType="end"/>
        </w:r>
      </w:hyperlink>
    </w:p>
    <w:p w14:paraId="10AF894E" w14:textId="6F8591E4" w:rsidR="00A928C2" w:rsidRDefault="00A67BE9">
      <w:pPr>
        <w:pStyle w:val="TOC4"/>
        <w:rPr>
          <w:rFonts w:asciiTheme="minorHAnsi" w:eastAsiaTheme="minorEastAsia" w:hAnsiTheme="minorHAnsi" w:cstheme="minorBidi"/>
          <w:color w:val="auto"/>
          <w:spacing w:val="0"/>
          <w:sz w:val="22"/>
          <w:szCs w:val="22"/>
          <w:lang w:eastAsia="en-AU"/>
        </w:rPr>
      </w:pPr>
      <w:hyperlink w:anchor="_Toc85203284" w:history="1">
        <w:r w:rsidR="00A928C2" w:rsidRPr="00616667">
          <w:rPr>
            <w:rStyle w:val="Hyperlink"/>
          </w:rPr>
          <w:t>3.3.2</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Case studies</w:t>
        </w:r>
        <w:r w:rsidR="00A928C2">
          <w:rPr>
            <w:webHidden/>
          </w:rPr>
          <w:tab/>
        </w:r>
        <w:r w:rsidR="00A928C2">
          <w:rPr>
            <w:webHidden/>
          </w:rPr>
          <w:fldChar w:fldCharType="begin"/>
        </w:r>
        <w:r w:rsidR="00A928C2">
          <w:rPr>
            <w:webHidden/>
          </w:rPr>
          <w:instrText xml:space="preserve"> PAGEREF _Toc85203284 \h </w:instrText>
        </w:r>
        <w:r w:rsidR="00A928C2">
          <w:rPr>
            <w:webHidden/>
          </w:rPr>
        </w:r>
        <w:r w:rsidR="00A928C2">
          <w:rPr>
            <w:webHidden/>
          </w:rPr>
          <w:fldChar w:fldCharType="separate"/>
        </w:r>
        <w:r w:rsidR="00C50B67">
          <w:rPr>
            <w:webHidden/>
          </w:rPr>
          <w:t>24</w:t>
        </w:r>
        <w:r w:rsidR="00A928C2">
          <w:rPr>
            <w:webHidden/>
          </w:rPr>
          <w:fldChar w:fldCharType="end"/>
        </w:r>
      </w:hyperlink>
    </w:p>
    <w:p w14:paraId="3933285D" w14:textId="52260EA0" w:rsidR="00A928C2" w:rsidRDefault="00A67BE9">
      <w:pPr>
        <w:pStyle w:val="TOC4"/>
        <w:rPr>
          <w:rFonts w:asciiTheme="minorHAnsi" w:eastAsiaTheme="minorEastAsia" w:hAnsiTheme="minorHAnsi" w:cstheme="minorBidi"/>
          <w:color w:val="auto"/>
          <w:spacing w:val="0"/>
          <w:sz w:val="22"/>
          <w:szCs w:val="22"/>
          <w:lang w:eastAsia="en-AU"/>
        </w:rPr>
      </w:pPr>
      <w:hyperlink w:anchor="_Toc85203285" w:history="1">
        <w:r w:rsidR="00A928C2" w:rsidRPr="00616667">
          <w:rPr>
            <w:rStyle w:val="Hyperlink"/>
          </w:rPr>
          <w:t>3.3.3</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Survey of participating sites</w:t>
        </w:r>
        <w:r w:rsidR="00A928C2">
          <w:rPr>
            <w:webHidden/>
          </w:rPr>
          <w:tab/>
        </w:r>
        <w:r w:rsidR="00A928C2">
          <w:rPr>
            <w:webHidden/>
          </w:rPr>
          <w:fldChar w:fldCharType="begin"/>
        </w:r>
        <w:r w:rsidR="00A928C2">
          <w:rPr>
            <w:webHidden/>
          </w:rPr>
          <w:instrText xml:space="preserve"> PAGEREF _Toc85203285 \h </w:instrText>
        </w:r>
        <w:r w:rsidR="00A928C2">
          <w:rPr>
            <w:webHidden/>
          </w:rPr>
        </w:r>
        <w:r w:rsidR="00A928C2">
          <w:rPr>
            <w:webHidden/>
          </w:rPr>
          <w:fldChar w:fldCharType="separate"/>
        </w:r>
        <w:r w:rsidR="00C50B67">
          <w:rPr>
            <w:webHidden/>
          </w:rPr>
          <w:t>26</w:t>
        </w:r>
        <w:r w:rsidR="00A928C2">
          <w:rPr>
            <w:webHidden/>
          </w:rPr>
          <w:fldChar w:fldCharType="end"/>
        </w:r>
      </w:hyperlink>
    </w:p>
    <w:p w14:paraId="7AA04602" w14:textId="7C575527" w:rsidR="00A928C2" w:rsidRDefault="00A67BE9">
      <w:pPr>
        <w:pStyle w:val="TOC5"/>
        <w:rPr>
          <w:rFonts w:asciiTheme="minorHAnsi" w:eastAsiaTheme="minorEastAsia" w:hAnsiTheme="minorHAnsi" w:cstheme="minorBidi"/>
          <w:caps w:val="0"/>
          <w:noProof/>
          <w:color w:val="auto"/>
          <w:spacing w:val="0"/>
          <w:sz w:val="22"/>
          <w:szCs w:val="22"/>
          <w:lang w:eastAsia="en-AU"/>
        </w:rPr>
      </w:pPr>
      <w:hyperlink w:anchor="_Toc85203286" w:history="1">
        <w:r w:rsidR="00A928C2" w:rsidRPr="00616667">
          <w:rPr>
            <w:rStyle w:val="Hyperlink"/>
            <w:b/>
            <w:noProof/>
          </w:rPr>
          <w:t>Part B</w:t>
        </w:r>
        <w:r w:rsidR="00A928C2">
          <w:rPr>
            <w:rFonts w:asciiTheme="minorHAnsi" w:eastAsiaTheme="minorEastAsia" w:hAnsiTheme="minorHAnsi" w:cstheme="minorBidi"/>
            <w:caps w:val="0"/>
            <w:noProof/>
            <w:color w:val="auto"/>
            <w:spacing w:val="0"/>
            <w:sz w:val="22"/>
            <w:szCs w:val="22"/>
            <w:lang w:eastAsia="en-AU"/>
          </w:rPr>
          <w:tab/>
        </w:r>
        <w:r w:rsidR="00A928C2" w:rsidRPr="00616667">
          <w:rPr>
            <w:rStyle w:val="Hyperlink"/>
            <w:noProof/>
          </w:rPr>
          <w:t>Evaluation Findings &amp; way forward</w:t>
        </w:r>
        <w:r w:rsidR="00A928C2">
          <w:rPr>
            <w:noProof/>
            <w:webHidden/>
          </w:rPr>
          <w:tab/>
        </w:r>
        <w:r w:rsidR="00A928C2">
          <w:rPr>
            <w:noProof/>
            <w:webHidden/>
          </w:rPr>
          <w:fldChar w:fldCharType="begin"/>
        </w:r>
        <w:r w:rsidR="00A928C2">
          <w:rPr>
            <w:noProof/>
            <w:webHidden/>
          </w:rPr>
          <w:instrText xml:space="preserve"> PAGEREF _Toc85203286 \h </w:instrText>
        </w:r>
        <w:r w:rsidR="00A928C2">
          <w:rPr>
            <w:noProof/>
            <w:webHidden/>
          </w:rPr>
        </w:r>
        <w:r w:rsidR="00A928C2">
          <w:rPr>
            <w:noProof/>
            <w:webHidden/>
          </w:rPr>
          <w:fldChar w:fldCharType="separate"/>
        </w:r>
        <w:r w:rsidR="00C50B67">
          <w:rPr>
            <w:noProof/>
            <w:webHidden/>
          </w:rPr>
          <w:t>27</w:t>
        </w:r>
        <w:r w:rsidR="00A928C2">
          <w:rPr>
            <w:noProof/>
            <w:webHidden/>
          </w:rPr>
          <w:fldChar w:fldCharType="end"/>
        </w:r>
      </w:hyperlink>
    </w:p>
    <w:p w14:paraId="71AAACD7" w14:textId="42A0FFE5" w:rsidR="00A928C2" w:rsidRDefault="00A67BE9">
      <w:pPr>
        <w:pStyle w:val="TOC2"/>
        <w:rPr>
          <w:rFonts w:asciiTheme="minorHAnsi" w:eastAsiaTheme="minorEastAsia" w:hAnsiTheme="minorHAnsi" w:cstheme="minorBidi"/>
          <w:caps w:val="0"/>
          <w:noProof/>
          <w:color w:val="auto"/>
          <w:spacing w:val="0"/>
          <w:sz w:val="22"/>
          <w:szCs w:val="22"/>
          <w:u w:val="none"/>
          <w:lang w:eastAsia="en-AU"/>
        </w:rPr>
      </w:pPr>
      <w:hyperlink w:anchor="_Toc85203287" w:history="1">
        <w:r w:rsidR="00A928C2" w:rsidRPr="00616667">
          <w:rPr>
            <w:rStyle w:val="Hyperlink"/>
            <w:noProof/>
          </w:rPr>
          <w:t>4</w:t>
        </w:r>
        <w:r w:rsidR="00A928C2">
          <w:rPr>
            <w:rFonts w:asciiTheme="minorHAnsi" w:eastAsiaTheme="minorEastAsia" w:hAnsiTheme="minorHAnsi" w:cstheme="minorBidi"/>
            <w:caps w:val="0"/>
            <w:noProof/>
            <w:color w:val="auto"/>
            <w:spacing w:val="0"/>
            <w:sz w:val="22"/>
            <w:szCs w:val="22"/>
            <w:u w:val="none"/>
            <w:lang w:eastAsia="en-AU"/>
          </w:rPr>
          <w:tab/>
        </w:r>
        <w:r w:rsidR="00A928C2" w:rsidRPr="00616667">
          <w:rPr>
            <w:rStyle w:val="Hyperlink"/>
            <w:noProof/>
          </w:rPr>
          <w:t>Evaluation findings</w:t>
        </w:r>
        <w:r w:rsidR="00A928C2">
          <w:rPr>
            <w:noProof/>
            <w:webHidden/>
          </w:rPr>
          <w:tab/>
        </w:r>
        <w:r w:rsidR="00A928C2">
          <w:rPr>
            <w:noProof/>
            <w:webHidden/>
          </w:rPr>
          <w:fldChar w:fldCharType="begin"/>
        </w:r>
        <w:r w:rsidR="00A928C2">
          <w:rPr>
            <w:noProof/>
            <w:webHidden/>
          </w:rPr>
          <w:instrText xml:space="preserve"> PAGEREF _Toc85203287 \h </w:instrText>
        </w:r>
        <w:r w:rsidR="00A928C2">
          <w:rPr>
            <w:noProof/>
            <w:webHidden/>
          </w:rPr>
        </w:r>
        <w:r w:rsidR="00A928C2">
          <w:rPr>
            <w:noProof/>
            <w:webHidden/>
          </w:rPr>
          <w:fldChar w:fldCharType="separate"/>
        </w:r>
        <w:r w:rsidR="00C50B67">
          <w:rPr>
            <w:noProof/>
            <w:webHidden/>
          </w:rPr>
          <w:t>28</w:t>
        </w:r>
        <w:r w:rsidR="00A928C2">
          <w:rPr>
            <w:noProof/>
            <w:webHidden/>
          </w:rPr>
          <w:fldChar w:fldCharType="end"/>
        </w:r>
      </w:hyperlink>
    </w:p>
    <w:p w14:paraId="3BB5A686" w14:textId="6B68A19E" w:rsidR="00A928C2" w:rsidRDefault="00A67BE9">
      <w:pPr>
        <w:pStyle w:val="TOC1"/>
        <w:tabs>
          <w:tab w:val="left" w:pos="1644"/>
        </w:tabs>
        <w:rPr>
          <w:rFonts w:asciiTheme="minorHAnsi" w:eastAsiaTheme="minorEastAsia" w:hAnsiTheme="minorHAnsi" w:cstheme="minorBidi"/>
          <w:caps w:val="0"/>
          <w:noProof/>
          <w:color w:val="auto"/>
          <w:spacing w:val="0"/>
          <w:szCs w:val="22"/>
          <w:lang w:eastAsia="en-AU"/>
        </w:rPr>
      </w:pPr>
      <w:hyperlink w:anchor="_Toc85203288" w:history="1">
        <w:r w:rsidR="00A928C2" w:rsidRPr="00616667">
          <w:rPr>
            <w:rStyle w:val="Hyperlink"/>
            <w:noProof/>
          </w:rPr>
          <w:t>Section A:</w:t>
        </w:r>
        <w:r w:rsidR="00A928C2">
          <w:rPr>
            <w:rFonts w:asciiTheme="minorHAnsi" w:eastAsiaTheme="minorEastAsia" w:hAnsiTheme="minorHAnsi" w:cstheme="minorBidi"/>
            <w:caps w:val="0"/>
            <w:noProof/>
            <w:color w:val="auto"/>
            <w:spacing w:val="0"/>
            <w:szCs w:val="22"/>
            <w:lang w:eastAsia="en-AU"/>
          </w:rPr>
          <w:tab/>
        </w:r>
        <w:r w:rsidR="00A928C2" w:rsidRPr="00616667">
          <w:rPr>
            <w:rStyle w:val="Hyperlink"/>
            <w:noProof/>
          </w:rPr>
          <w:t>Effectiveness assessment</w:t>
        </w:r>
        <w:r w:rsidR="00A928C2">
          <w:rPr>
            <w:noProof/>
            <w:webHidden/>
          </w:rPr>
          <w:tab/>
        </w:r>
        <w:r w:rsidR="00A928C2">
          <w:rPr>
            <w:noProof/>
            <w:webHidden/>
          </w:rPr>
          <w:fldChar w:fldCharType="begin"/>
        </w:r>
        <w:r w:rsidR="00A928C2">
          <w:rPr>
            <w:noProof/>
            <w:webHidden/>
          </w:rPr>
          <w:instrText xml:space="preserve"> PAGEREF _Toc85203288 \h </w:instrText>
        </w:r>
        <w:r w:rsidR="00A928C2">
          <w:rPr>
            <w:noProof/>
            <w:webHidden/>
          </w:rPr>
        </w:r>
        <w:r w:rsidR="00A928C2">
          <w:rPr>
            <w:noProof/>
            <w:webHidden/>
          </w:rPr>
          <w:fldChar w:fldCharType="separate"/>
        </w:r>
        <w:r w:rsidR="00C50B67">
          <w:rPr>
            <w:noProof/>
            <w:webHidden/>
          </w:rPr>
          <w:t>28</w:t>
        </w:r>
        <w:r w:rsidR="00A928C2">
          <w:rPr>
            <w:noProof/>
            <w:webHidden/>
          </w:rPr>
          <w:fldChar w:fldCharType="end"/>
        </w:r>
      </w:hyperlink>
    </w:p>
    <w:p w14:paraId="42C2243E" w14:textId="17E0F90B"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89" w:history="1">
        <w:r w:rsidR="00A928C2" w:rsidRPr="00616667">
          <w:rPr>
            <w:rStyle w:val="Hyperlink"/>
            <w:noProof/>
          </w:rPr>
          <w:t>4.1</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Access to primary care</w:t>
        </w:r>
        <w:r w:rsidR="00A928C2">
          <w:rPr>
            <w:noProof/>
            <w:webHidden/>
          </w:rPr>
          <w:tab/>
        </w:r>
        <w:r w:rsidR="00A928C2">
          <w:rPr>
            <w:noProof/>
            <w:webHidden/>
          </w:rPr>
          <w:fldChar w:fldCharType="begin"/>
        </w:r>
        <w:r w:rsidR="00A928C2">
          <w:rPr>
            <w:noProof/>
            <w:webHidden/>
          </w:rPr>
          <w:instrText xml:space="preserve"> PAGEREF _Toc85203289 \h </w:instrText>
        </w:r>
        <w:r w:rsidR="00A928C2">
          <w:rPr>
            <w:noProof/>
            <w:webHidden/>
          </w:rPr>
        </w:r>
        <w:r w:rsidR="00A928C2">
          <w:rPr>
            <w:noProof/>
            <w:webHidden/>
          </w:rPr>
          <w:fldChar w:fldCharType="separate"/>
        </w:r>
        <w:r w:rsidR="00C50B67">
          <w:rPr>
            <w:noProof/>
            <w:webHidden/>
          </w:rPr>
          <w:t>28</w:t>
        </w:r>
        <w:r w:rsidR="00A928C2">
          <w:rPr>
            <w:noProof/>
            <w:webHidden/>
          </w:rPr>
          <w:fldChar w:fldCharType="end"/>
        </w:r>
      </w:hyperlink>
    </w:p>
    <w:p w14:paraId="2CF535E4" w14:textId="309ED723"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90" w:history="1">
        <w:r w:rsidR="00A928C2" w:rsidRPr="00616667">
          <w:rPr>
            <w:rStyle w:val="Hyperlink"/>
            <w:noProof/>
          </w:rPr>
          <w:t>4.2</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Access to relevant healthcare workforce</w:t>
        </w:r>
        <w:r w:rsidR="00A928C2">
          <w:rPr>
            <w:noProof/>
            <w:webHidden/>
          </w:rPr>
          <w:tab/>
        </w:r>
        <w:r w:rsidR="00A928C2">
          <w:rPr>
            <w:noProof/>
            <w:webHidden/>
          </w:rPr>
          <w:fldChar w:fldCharType="begin"/>
        </w:r>
        <w:r w:rsidR="00A928C2">
          <w:rPr>
            <w:noProof/>
            <w:webHidden/>
          </w:rPr>
          <w:instrText xml:space="preserve"> PAGEREF _Toc85203290 \h </w:instrText>
        </w:r>
        <w:r w:rsidR="00A928C2">
          <w:rPr>
            <w:noProof/>
            <w:webHidden/>
          </w:rPr>
        </w:r>
        <w:r w:rsidR="00A928C2">
          <w:rPr>
            <w:noProof/>
            <w:webHidden/>
          </w:rPr>
          <w:fldChar w:fldCharType="separate"/>
        </w:r>
        <w:r w:rsidR="00C50B67">
          <w:rPr>
            <w:noProof/>
            <w:webHidden/>
          </w:rPr>
          <w:t>33</w:t>
        </w:r>
        <w:r w:rsidR="00A928C2">
          <w:rPr>
            <w:noProof/>
            <w:webHidden/>
          </w:rPr>
          <w:fldChar w:fldCharType="end"/>
        </w:r>
      </w:hyperlink>
    </w:p>
    <w:p w14:paraId="56213DB9" w14:textId="789198F5"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91" w:history="1">
        <w:r w:rsidR="00A928C2" w:rsidRPr="00616667">
          <w:rPr>
            <w:rStyle w:val="Hyperlink"/>
            <w:noProof/>
          </w:rPr>
          <w:t>4.3</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Development of sustainable health services</w:t>
        </w:r>
        <w:r w:rsidR="00A928C2">
          <w:rPr>
            <w:noProof/>
            <w:webHidden/>
          </w:rPr>
          <w:tab/>
        </w:r>
        <w:r w:rsidR="00A928C2">
          <w:rPr>
            <w:noProof/>
            <w:webHidden/>
          </w:rPr>
          <w:fldChar w:fldCharType="begin"/>
        </w:r>
        <w:r w:rsidR="00A928C2">
          <w:rPr>
            <w:noProof/>
            <w:webHidden/>
          </w:rPr>
          <w:instrText xml:space="preserve"> PAGEREF _Toc85203291 \h </w:instrText>
        </w:r>
        <w:r w:rsidR="00A928C2">
          <w:rPr>
            <w:noProof/>
            <w:webHidden/>
          </w:rPr>
        </w:r>
        <w:r w:rsidR="00A928C2">
          <w:rPr>
            <w:noProof/>
            <w:webHidden/>
          </w:rPr>
          <w:fldChar w:fldCharType="separate"/>
        </w:r>
        <w:r w:rsidR="00C50B67">
          <w:rPr>
            <w:noProof/>
            <w:webHidden/>
          </w:rPr>
          <w:t>37</w:t>
        </w:r>
        <w:r w:rsidR="00A928C2">
          <w:rPr>
            <w:noProof/>
            <w:webHidden/>
          </w:rPr>
          <w:fldChar w:fldCharType="end"/>
        </w:r>
      </w:hyperlink>
    </w:p>
    <w:p w14:paraId="5449D080" w14:textId="69FF56CB" w:rsidR="00A928C2" w:rsidRDefault="00A67BE9">
      <w:pPr>
        <w:pStyle w:val="TOC4"/>
        <w:rPr>
          <w:rFonts w:asciiTheme="minorHAnsi" w:eastAsiaTheme="minorEastAsia" w:hAnsiTheme="minorHAnsi" w:cstheme="minorBidi"/>
          <w:color w:val="auto"/>
          <w:spacing w:val="0"/>
          <w:sz w:val="22"/>
          <w:szCs w:val="22"/>
          <w:lang w:eastAsia="en-AU"/>
        </w:rPr>
      </w:pPr>
      <w:hyperlink w:anchor="_Toc85203292" w:history="1">
        <w:r w:rsidR="00A928C2" w:rsidRPr="00616667">
          <w:rPr>
            <w:rStyle w:val="Hyperlink"/>
          </w:rPr>
          <w:t>4.3.1</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Relative contribution of Initiative revenues to service budgets</w:t>
        </w:r>
        <w:r w:rsidR="00A928C2">
          <w:rPr>
            <w:webHidden/>
          </w:rPr>
          <w:tab/>
        </w:r>
        <w:r w:rsidR="00A928C2">
          <w:rPr>
            <w:webHidden/>
          </w:rPr>
          <w:fldChar w:fldCharType="begin"/>
        </w:r>
        <w:r w:rsidR="00A928C2">
          <w:rPr>
            <w:webHidden/>
          </w:rPr>
          <w:instrText xml:space="preserve"> PAGEREF _Toc85203292 \h </w:instrText>
        </w:r>
        <w:r w:rsidR="00A928C2">
          <w:rPr>
            <w:webHidden/>
          </w:rPr>
        </w:r>
        <w:r w:rsidR="00A928C2">
          <w:rPr>
            <w:webHidden/>
          </w:rPr>
          <w:fldChar w:fldCharType="separate"/>
        </w:r>
        <w:r w:rsidR="00C50B67">
          <w:rPr>
            <w:webHidden/>
          </w:rPr>
          <w:t>37</w:t>
        </w:r>
        <w:r w:rsidR="00A928C2">
          <w:rPr>
            <w:webHidden/>
          </w:rPr>
          <w:fldChar w:fldCharType="end"/>
        </w:r>
      </w:hyperlink>
    </w:p>
    <w:p w14:paraId="2ED0A6BA" w14:textId="4F1CE01E" w:rsidR="00A928C2" w:rsidRDefault="00A67BE9">
      <w:pPr>
        <w:pStyle w:val="TOC4"/>
        <w:rPr>
          <w:rFonts w:asciiTheme="minorHAnsi" w:eastAsiaTheme="minorEastAsia" w:hAnsiTheme="minorHAnsi" w:cstheme="minorBidi"/>
          <w:color w:val="auto"/>
          <w:spacing w:val="0"/>
          <w:sz w:val="22"/>
          <w:szCs w:val="22"/>
          <w:lang w:eastAsia="en-AU"/>
        </w:rPr>
      </w:pPr>
      <w:hyperlink w:anchor="_Toc85203293" w:history="1">
        <w:r w:rsidR="00A928C2" w:rsidRPr="00616667">
          <w:rPr>
            <w:rStyle w:val="Hyperlink"/>
          </w:rPr>
          <w:t>4.3.2</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Importance of the Initiative to sustainability: normative assessment</w:t>
        </w:r>
        <w:r w:rsidR="00A928C2">
          <w:rPr>
            <w:webHidden/>
          </w:rPr>
          <w:tab/>
        </w:r>
        <w:r w:rsidR="00A928C2">
          <w:rPr>
            <w:webHidden/>
          </w:rPr>
          <w:fldChar w:fldCharType="begin"/>
        </w:r>
        <w:r w:rsidR="00A928C2">
          <w:rPr>
            <w:webHidden/>
          </w:rPr>
          <w:instrText xml:space="preserve"> PAGEREF _Toc85203293 \h </w:instrText>
        </w:r>
        <w:r w:rsidR="00A928C2">
          <w:rPr>
            <w:webHidden/>
          </w:rPr>
        </w:r>
        <w:r w:rsidR="00A928C2">
          <w:rPr>
            <w:webHidden/>
          </w:rPr>
          <w:fldChar w:fldCharType="separate"/>
        </w:r>
        <w:r w:rsidR="00C50B67">
          <w:rPr>
            <w:webHidden/>
          </w:rPr>
          <w:t>40</w:t>
        </w:r>
        <w:r w:rsidR="00A928C2">
          <w:rPr>
            <w:webHidden/>
          </w:rPr>
          <w:fldChar w:fldCharType="end"/>
        </w:r>
      </w:hyperlink>
    </w:p>
    <w:p w14:paraId="1598FA73" w14:textId="11DCE47C" w:rsidR="00A928C2" w:rsidRDefault="00A67BE9">
      <w:pPr>
        <w:pStyle w:val="TOC4"/>
        <w:rPr>
          <w:rFonts w:asciiTheme="minorHAnsi" w:eastAsiaTheme="minorEastAsia" w:hAnsiTheme="minorHAnsi" w:cstheme="minorBidi"/>
          <w:color w:val="auto"/>
          <w:spacing w:val="0"/>
          <w:sz w:val="22"/>
          <w:szCs w:val="22"/>
          <w:lang w:eastAsia="en-AU"/>
        </w:rPr>
      </w:pPr>
      <w:hyperlink w:anchor="_Toc85203294" w:history="1">
        <w:r w:rsidR="00A928C2" w:rsidRPr="00616667">
          <w:rPr>
            <w:rStyle w:val="Hyperlink"/>
          </w:rPr>
          <w:t>4.3.3</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Role of the Initiative in facilitating maintenance of core services</w:t>
        </w:r>
        <w:r w:rsidR="00A928C2">
          <w:rPr>
            <w:webHidden/>
          </w:rPr>
          <w:tab/>
        </w:r>
        <w:r w:rsidR="00A928C2">
          <w:rPr>
            <w:webHidden/>
          </w:rPr>
          <w:fldChar w:fldCharType="begin"/>
        </w:r>
        <w:r w:rsidR="00A928C2">
          <w:rPr>
            <w:webHidden/>
          </w:rPr>
          <w:instrText xml:space="preserve"> PAGEREF _Toc85203294 \h </w:instrText>
        </w:r>
        <w:r w:rsidR="00A928C2">
          <w:rPr>
            <w:webHidden/>
          </w:rPr>
        </w:r>
        <w:r w:rsidR="00A928C2">
          <w:rPr>
            <w:webHidden/>
          </w:rPr>
          <w:fldChar w:fldCharType="separate"/>
        </w:r>
        <w:r w:rsidR="00C50B67">
          <w:rPr>
            <w:webHidden/>
          </w:rPr>
          <w:t>40</w:t>
        </w:r>
        <w:r w:rsidR="00A928C2">
          <w:rPr>
            <w:webHidden/>
          </w:rPr>
          <w:fldChar w:fldCharType="end"/>
        </w:r>
      </w:hyperlink>
    </w:p>
    <w:p w14:paraId="28CCCF31" w14:textId="4F89C284" w:rsidR="00A928C2" w:rsidRDefault="00A67BE9">
      <w:pPr>
        <w:pStyle w:val="TOC1"/>
        <w:tabs>
          <w:tab w:val="left" w:pos="1644"/>
        </w:tabs>
        <w:rPr>
          <w:rFonts w:asciiTheme="minorHAnsi" w:eastAsiaTheme="minorEastAsia" w:hAnsiTheme="minorHAnsi" w:cstheme="minorBidi"/>
          <w:caps w:val="0"/>
          <w:noProof/>
          <w:color w:val="auto"/>
          <w:spacing w:val="0"/>
          <w:szCs w:val="22"/>
          <w:lang w:eastAsia="en-AU"/>
        </w:rPr>
      </w:pPr>
      <w:hyperlink w:anchor="_Toc85203295" w:history="1">
        <w:r w:rsidR="00A928C2" w:rsidRPr="00616667">
          <w:rPr>
            <w:rStyle w:val="Hyperlink"/>
            <w:noProof/>
          </w:rPr>
          <w:t>Section B:</w:t>
        </w:r>
        <w:r w:rsidR="00A928C2">
          <w:rPr>
            <w:rFonts w:asciiTheme="minorHAnsi" w:eastAsiaTheme="minorEastAsia" w:hAnsiTheme="minorHAnsi" w:cstheme="minorBidi"/>
            <w:caps w:val="0"/>
            <w:noProof/>
            <w:color w:val="auto"/>
            <w:spacing w:val="0"/>
            <w:szCs w:val="22"/>
            <w:lang w:eastAsia="en-AU"/>
          </w:rPr>
          <w:tab/>
        </w:r>
        <w:r w:rsidR="00A928C2" w:rsidRPr="00616667">
          <w:rPr>
            <w:rStyle w:val="Hyperlink"/>
            <w:noProof/>
          </w:rPr>
          <w:t>Program design &amp; Administration</w:t>
        </w:r>
        <w:r w:rsidR="00A928C2">
          <w:rPr>
            <w:noProof/>
            <w:webHidden/>
          </w:rPr>
          <w:tab/>
        </w:r>
        <w:r w:rsidR="00A928C2">
          <w:rPr>
            <w:noProof/>
            <w:webHidden/>
          </w:rPr>
          <w:fldChar w:fldCharType="begin"/>
        </w:r>
        <w:r w:rsidR="00A928C2">
          <w:rPr>
            <w:noProof/>
            <w:webHidden/>
          </w:rPr>
          <w:instrText xml:space="preserve"> PAGEREF _Toc85203295 \h </w:instrText>
        </w:r>
        <w:r w:rsidR="00A928C2">
          <w:rPr>
            <w:noProof/>
            <w:webHidden/>
          </w:rPr>
        </w:r>
        <w:r w:rsidR="00A928C2">
          <w:rPr>
            <w:noProof/>
            <w:webHidden/>
          </w:rPr>
          <w:fldChar w:fldCharType="separate"/>
        </w:r>
        <w:r w:rsidR="00C50B67">
          <w:rPr>
            <w:noProof/>
            <w:webHidden/>
          </w:rPr>
          <w:t>41</w:t>
        </w:r>
        <w:r w:rsidR="00A928C2">
          <w:rPr>
            <w:noProof/>
            <w:webHidden/>
          </w:rPr>
          <w:fldChar w:fldCharType="end"/>
        </w:r>
      </w:hyperlink>
    </w:p>
    <w:p w14:paraId="5435543B" w14:textId="35B350DF"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96" w:history="1">
        <w:r w:rsidR="00A928C2" w:rsidRPr="00616667">
          <w:rPr>
            <w:rStyle w:val="Hyperlink"/>
            <w:noProof/>
          </w:rPr>
          <w:t>4.4</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Initiative eligibility criterion: Appropriateness</w:t>
        </w:r>
        <w:r w:rsidR="00A928C2">
          <w:rPr>
            <w:noProof/>
            <w:webHidden/>
          </w:rPr>
          <w:tab/>
        </w:r>
        <w:r w:rsidR="00A928C2">
          <w:rPr>
            <w:noProof/>
            <w:webHidden/>
          </w:rPr>
          <w:fldChar w:fldCharType="begin"/>
        </w:r>
        <w:r w:rsidR="00A928C2">
          <w:rPr>
            <w:noProof/>
            <w:webHidden/>
          </w:rPr>
          <w:instrText xml:space="preserve"> PAGEREF _Toc85203296 \h </w:instrText>
        </w:r>
        <w:r w:rsidR="00A928C2">
          <w:rPr>
            <w:noProof/>
            <w:webHidden/>
          </w:rPr>
        </w:r>
        <w:r w:rsidR="00A928C2">
          <w:rPr>
            <w:noProof/>
            <w:webHidden/>
          </w:rPr>
          <w:fldChar w:fldCharType="separate"/>
        </w:r>
        <w:r w:rsidR="00C50B67">
          <w:rPr>
            <w:noProof/>
            <w:webHidden/>
          </w:rPr>
          <w:t>41</w:t>
        </w:r>
        <w:r w:rsidR="00A928C2">
          <w:rPr>
            <w:noProof/>
            <w:webHidden/>
          </w:rPr>
          <w:fldChar w:fldCharType="end"/>
        </w:r>
      </w:hyperlink>
    </w:p>
    <w:p w14:paraId="1CED3593" w14:textId="158EF9A1"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297" w:history="1">
        <w:r w:rsidR="00A928C2" w:rsidRPr="00616667">
          <w:rPr>
            <w:rStyle w:val="Hyperlink"/>
            <w:noProof/>
          </w:rPr>
          <w:t>4.5</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Suitability of current administrative arrangements</w:t>
        </w:r>
        <w:r w:rsidR="00A928C2">
          <w:rPr>
            <w:noProof/>
            <w:webHidden/>
          </w:rPr>
          <w:tab/>
        </w:r>
        <w:r w:rsidR="00A928C2">
          <w:rPr>
            <w:noProof/>
            <w:webHidden/>
          </w:rPr>
          <w:fldChar w:fldCharType="begin"/>
        </w:r>
        <w:r w:rsidR="00A928C2">
          <w:rPr>
            <w:noProof/>
            <w:webHidden/>
          </w:rPr>
          <w:instrText xml:space="preserve"> PAGEREF _Toc85203297 \h </w:instrText>
        </w:r>
        <w:r w:rsidR="00A928C2">
          <w:rPr>
            <w:noProof/>
            <w:webHidden/>
          </w:rPr>
        </w:r>
        <w:r w:rsidR="00A928C2">
          <w:rPr>
            <w:noProof/>
            <w:webHidden/>
          </w:rPr>
          <w:fldChar w:fldCharType="separate"/>
        </w:r>
        <w:r w:rsidR="00C50B67">
          <w:rPr>
            <w:noProof/>
            <w:webHidden/>
          </w:rPr>
          <w:t>42</w:t>
        </w:r>
        <w:r w:rsidR="00A928C2">
          <w:rPr>
            <w:noProof/>
            <w:webHidden/>
          </w:rPr>
          <w:fldChar w:fldCharType="end"/>
        </w:r>
      </w:hyperlink>
    </w:p>
    <w:p w14:paraId="532D0F95" w14:textId="30D2BF37" w:rsidR="00A928C2" w:rsidRDefault="00A67BE9">
      <w:pPr>
        <w:pStyle w:val="TOC4"/>
        <w:rPr>
          <w:rFonts w:asciiTheme="minorHAnsi" w:eastAsiaTheme="minorEastAsia" w:hAnsiTheme="minorHAnsi" w:cstheme="minorBidi"/>
          <w:color w:val="auto"/>
          <w:spacing w:val="0"/>
          <w:sz w:val="22"/>
          <w:szCs w:val="22"/>
          <w:lang w:eastAsia="en-AU"/>
        </w:rPr>
      </w:pPr>
      <w:hyperlink w:anchor="_Toc85203298" w:history="1">
        <w:r w:rsidR="00A928C2" w:rsidRPr="00616667">
          <w:rPr>
            <w:rStyle w:val="Hyperlink"/>
          </w:rPr>
          <w:t>4.5.1</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Principles: Value and contribution</w:t>
        </w:r>
        <w:r w:rsidR="00A928C2">
          <w:rPr>
            <w:webHidden/>
          </w:rPr>
          <w:tab/>
        </w:r>
        <w:r w:rsidR="00A928C2">
          <w:rPr>
            <w:webHidden/>
          </w:rPr>
          <w:fldChar w:fldCharType="begin"/>
        </w:r>
        <w:r w:rsidR="00A928C2">
          <w:rPr>
            <w:webHidden/>
          </w:rPr>
          <w:instrText xml:space="preserve"> PAGEREF _Toc85203298 \h </w:instrText>
        </w:r>
        <w:r w:rsidR="00A928C2">
          <w:rPr>
            <w:webHidden/>
          </w:rPr>
        </w:r>
        <w:r w:rsidR="00A928C2">
          <w:rPr>
            <w:webHidden/>
          </w:rPr>
          <w:fldChar w:fldCharType="separate"/>
        </w:r>
        <w:r w:rsidR="00C50B67">
          <w:rPr>
            <w:webHidden/>
          </w:rPr>
          <w:t>42</w:t>
        </w:r>
        <w:r w:rsidR="00A928C2">
          <w:rPr>
            <w:webHidden/>
          </w:rPr>
          <w:fldChar w:fldCharType="end"/>
        </w:r>
      </w:hyperlink>
    </w:p>
    <w:p w14:paraId="02BBB667" w14:textId="7DCF3D95" w:rsidR="00A928C2" w:rsidRDefault="00A67BE9">
      <w:pPr>
        <w:pStyle w:val="TOC4"/>
        <w:rPr>
          <w:rFonts w:asciiTheme="minorHAnsi" w:eastAsiaTheme="minorEastAsia" w:hAnsiTheme="minorHAnsi" w:cstheme="minorBidi"/>
          <w:color w:val="auto"/>
          <w:spacing w:val="0"/>
          <w:sz w:val="22"/>
          <w:szCs w:val="22"/>
          <w:lang w:eastAsia="en-AU"/>
        </w:rPr>
      </w:pPr>
      <w:hyperlink w:anchor="_Toc85203299" w:history="1">
        <w:r w:rsidR="00A928C2" w:rsidRPr="00616667">
          <w:rPr>
            <w:rStyle w:val="Hyperlink"/>
          </w:rPr>
          <w:t>4.5.2</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Site engagement of stakeholders</w:t>
        </w:r>
        <w:r w:rsidR="00A928C2">
          <w:rPr>
            <w:webHidden/>
          </w:rPr>
          <w:tab/>
        </w:r>
        <w:r w:rsidR="00A928C2">
          <w:rPr>
            <w:webHidden/>
          </w:rPr>
          <w:fldChar w:fldCharType="begin"/>
        </w:r>
        <w:r w:rsidR="00A928C2">
          <w:rPr>
            <w:webHidden/>
          </w:rPr>
          <w:instrText xml:space="preserve"> PAGEREF _Toc85203299 \h </w:instrText>
        </w:r>
        <w:r w:rsidR="00A928C2">
          <w:rPr>
            <w:webHidden/>
          </w:rPr>
        </w:r>
        <w:r w:rsidR="00A928C2">
          <w:rPr>
            <w:webHidden/>
          </w:rPr>
          <w:fldChar w:fldCharType="separate"/>
        </w:r>
        <w:r w:rsidR="00C50B67">
          <w:rPr>
            <w:webHidden/>
          </w:rPr>
          <w:t>43</w:t>
        </w:r>
        <w:r w:rsidR="00A928C2">
          <w:rPr>
            <w:webHidden/>
          </w:rPr>
          <w:fldChar w:fldCharType="end"/>
        </w:r>
      </w:hyperlink>
    </w:p>
    <w:p w14:paraId="765136C7" w14:textId="7FAE3D0E" w:rsidR="00A928C2" w:rsidRDefault="00A67BE9">
      <w:pPr>
        <w:pStyle w:val="TOC4"/>
        <w:rPr>
          <w:rFonts w:asciiTheme="minorHAnsi" w:eastAsiaTheme="minorEastAsia" w:hAnsiTheme="minorHAnsi" w:cstheme="minorBidi"/>
          <w:color w:val="auto"/>
          <w:spacing w:val="0"/>
          <w:sz w:val="22"/>
          <w:szCs w:val="22"/>
          <w:lang w:eastAsia="en-AU"/>
        </w:rPr>
      </w:pPr>
      <w:hyperlink w:anchor="_Toc85203300" w:history="1">
        <w:r w:rsidR="00A928C2" w:rsidRPr="00616667">
          <w:rPr>
            <w:rStyle w:val="Hyperlink"/>
          </w:rPr>
          <w:t>4.5.3</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Reporting arrangements</w:t>
        </w:r>
        <w:r w:rsidR="00A928C2">
          <w:rPr>
            <w:webHidden/>
          </w:rPr>
          <w:tab/>
        </w:r>
        <w:r w:rsidR="00A928C2">
          <w:rPr>
            <w:webHidden/>
          </w:rPr>
          <w:fldChar w:fldCharType="begin"/>
        </w:r>
        <w:r w:rsidR="00A928C2">
          <w:rPr>
            <w:webHidden/>
          </w:rPr>
          <w:instrText xml:space="preserve"> PAGEREF _Toc85203300 \h </w:instrText>
        </w:r>
        <w:r w:rsidR="00A928C2">
          <w:rPr>
            <w:webHidden/>
          </w:rPr>
        </w:r>
        <w:r w:rsidR="00A928C2">
          <w:rPr>
            <w:webHidden/>
          </w:rPr>
          <w:fldChar w:fldCharType="separate"/>
        </w:r>
        <w:r w:rsidR="00C50B67">
          <w:rPr>
            <w:webHidden/>
          </w:rPr>
          <w:t>45</w:t>
        </w:r>
        <w:r w:rsidR="00A928C2">
          <w:rPr>
            <w:webHidden/>
          </w:rPr>
          <w:fldChar w:fldCharType="end"/>
        </w:r>
      </w:hyperlink>
    </w:p>
    <w:p w14:paraId="24AF5454" w14:textId="114C57A3" w:rsidR="00A928C2" w:rsidRDefault="00A67BE9">
      <w:pPr>
        <w:pStyle w:val="TOC4"/>
        <w:rPr>
          <w:rFonts w:asciiTheme="minorHAnsi" w:eastAsiaTheme="minorEastAsia" w:hAnsiTheme="minorHAnsi" w:cstheme="minorBidi"/>
          <w:color w:val="auto"/>
          <w:spacing w:val="0"/>
          <w:sz w:val="22"/>
          <w:szCs w:val="22"/>
          <w:lang w:eastAsia="en-AU"/>
        </w:rPr>
      </w:pPr>
      <w:hyperlink w:anchor="_Toc85203301" w:history="1">
        <w:r w:rsidR="00A928C2" w:rsidRPr="00616667">
          <w:rPr>
            <w:rStyle w:val="Hyperlink"/>
          </w:rPr>
          <w:t>4.5.4</w:t>
        </w:r>
        <w:r w:rsidR="00A928C2">
          <w:rPr>
            <w:rFonts w:asciiTheme="minorHAnsi" w:eastAsiaTheme="minorEastAsia" w:hAnsiTheme="minorHAnsi" w:cstheme="minorBidi"/>
            <w:color w:val="auto"/>
            <w:spacing w:val="0"/>
            <w:sz w:val="22"/>
            <w:szCs w:val="22"/>
            <w:lang w:eastAsia="en-AU"/>
          </w:rPr>
          <w:tab/>
        </w:r>
        <w:r w:rsidR="00A928C2" w:rsidRPr="00616667">
          <w:rPr>
            <w:rStyle w:val="Hyperlink"/>
          </w:rPr>
          <w:t>Sub-regional and jurisdiction governance</w:t>
        </w:r>
        <w:r w:rsidR="00A928C2">
          <w:rPr>
            <w:webHidden/>
          </w:rPr>
          <w:tab/>
        </w:r>
        <w:r w:rsidR="00A928C2">
          <w:rPr>
            <w:webHidden/>
          </w:rPr>
          <w:fldChar w:fldCharType="begin"/>
        </w:r>
        <w:r w:rsidR="00A928C2">
          <w:rPr>
            <w:webHidden/>
          </w:rPr>
          <w:instrText xml:space="preserve"> PAGEREF _Toc85203301 \h </w:instrText>
        </w:r>
        <w:r w:rsidR="00A928C2">
          <w:rPr>
            <w:webHidden/>
          </w:rPr>
        </w:r>
        <w:r w:rsidR="00A928C2">
          <w:rPr>
            <w:webHidden/>
          </w:rPr>
          <w:fldChar w:fldCharType="separate"/>
        </w:r>
        <w:r w:rsidR="00C50B67">
          <w:rPr>
            <w:webHidden/>
          </w:rPr>
          <w:t>45</w:t>
        </w:r>
        <w:r w:rsidR="00A928C2">
          <w:rPr>
            <w:webHidden/>
          </w:rPr>
          <w:fldChar w:fldCharType="end"/>
        </w:r>
      </w:hyperlink>
    </w:p>
    <w:p w14:paraId="7542D16F" w14:textId="576C45FE"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02" w:history="1">
        <w:r w:rsidR="00A928C2" w:rsidRPr="00616667">
          <w:rPr>
            <w:rStyle w:val="Hyperlink"/>
            <w:noProof/>
          </w:rPr>
          <w:t>4.6</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Department of Health administration</w:t>
        </w:r>
        <w:r w:rsidR="00A928C2">
          <w:rPr>
            <w:noProof/>
            <w:webHidden/>
          </w:rPr>
          <w:tab/>
        </w:r>
        <w:r w:rsidR="00A928C2">
          <w:rPr>
            <w:noProof/>
            <w:webHidden/>
          </w:rPr>
          <w:fldChar w:fldCharType="begin"/>
        </w:r>
        <w:r w:rsidR="00A928C2">
          <w:rPr>
            <w:noProof/>
            <w:webHidden/>
          </w:rPr>
          <w:instrText xml:space="preserve"> PAGEREF _Toc85203302 \h </w:instrText>
        </w:r>
        <w:r w:rsidR="00A928C2">
          <w:rPr>
            <w:noProof/>
            <w:webHidden/>
          </w:rPr>
        </w:r>
        <w:r w:rsidR="00A928C2">
          <w:rPr>
            <w:noProof/>
            <w:webHidden/>
          </w:rPr>
          <w:fldChar w:fldCharType="separate"/>
        </w:r>
        <w:r w:rsidR="00C50B67">
          <w:rPr>
            <w:noProof/>
            <w:webHidden/>
          </w:rPr>
          <w:t>47</w:t>
        </w:r>
        <w:r w:rsidR="00A928C2">
          <w:rPr>
            <w:noProof/>
            <w:webHidden/>
          </w:rPr>
          <w:fldChar w:fldCharType="end"/>
        </w:r>
      </w:hyperlink>
    </w:p>
    <w:p w14:paraId="1F699500" w14:textId="1CAC11C4" w:rsidR="00A928C2" w:rsidRDefault="00A67BE9">
      <w:pPr>
        <w:pStyle w:val="TOC1"/>
        <w:tabs>
          <w:tab w:val="left" w:pos="1644"/>
        </w:tabs>
        <w:rPr>
          <w:rFonts w:asciiTheme="minorHAnsi" w:eastAsiaTheme="minorEastAsia" w:hAnsiTheme="minorHAnsi" w:cstheme="minorBidi"/>
          <w:caps w:val="0"/>
          <w:noProof/>
          <w:color w:val="auto"/>
          <w:spacing w:val="0"/>
          <w:szCs w:val="22"/>
          <w:lang w:eastAsia="en-AU"/>
        </w:rPr>
      </w:pPr>
      <w:hyperlink w:anchor="_Toc85203303" w:history="1">
        <w:r w:rsidR="00A928C2" w:rsidRPr="00616667">
          <w:rPr>
            <w:rStyle w:val="Hyperlink"/>
            <w:noProof/>
            <w14:scene3d>
              <w14:camera w14:prst="orthographicFront"/>
              <w14:lightRig w14:rig="threePt" w14:dir="t">
                <w14:rot w14:lat="0" w14:lon="0" w14:rev="0"/>
              </w14:lightRig>
            </w14:scene3d>
          </w:rPr>
          <w:t>SECTION C:</w:t>
        </w:r>
        <w:r w:rsidR="00A928C2">
          <w:rPr>
            <w:rFonts w:asciiTheme="minorHAnsi" w:eastAsiaTheme="minorEastAsia" w:hAnsiTheme="minorHAnsi" w:cstheme="minorBidi"/>
            <w:caps w:val="0"/>
            <w:noProof/>
            <w:color w:val="auto"/>
            <w:spacing w:val="0"/>
            <w:szCs w:val="22"/>
            <w:lang w:eastAsia="en-AU"/>
          </w:rPr>
          <w:tab/>
        </w:r>
        <w:r w:rsidR="00A928C2" w:rsidRPr="00616667">
          <w:rPr>
            <w:rStyle w:val="Hyperlink"/>
            <w:noProof/>
          </w:rPr>
          <w:t>efficiency of current arrangements</w:t>
        </w:r>
        <w:r w:rsidR="00A928C2">
          <w:rPr>
            <w:noProof/>
            <w:webHidden/>
          </w:rPr>
          <w:tab/>
        </w:r>
        <w:r w:rsidR="00A928C2">
          <w:rPr>
            <w:noProof/>
            <w:webHidden/>
          </w:rPr>
          <w:fldChar w:fldCharType="begin"/>
        </w:r>
        <w:r w:rsidR="00A928C2">
          <w:rPr>
            <w:noProof/>
            <w:webHidden/>
          </w:rPr>
          <w:instrText xml:space="preserve"> PAGEREF _Toc85203303 \h </w:instrText>
        </w:r>
        <w:r w:rsidR="00A928C2">
          <w:rPr>
            <w:noProof/>
            <w:webHidden/>
          </w:rPr>
        </w:r>
        <w:r w:rsidR="00A928C2">
          <w:rPr>
            <w:noProof/>
            <w:webHidden/>
          </w:rPr>
          <w:fldChar w:fldCharType="separate"/>
        </w:r>
        <w:r w:rsidR="00C50B67">
          <w:rPr>
            <w:noProof/>
            <w:webHidden/>
          </w:rPr>
          <w:t>48</w:t>
        </w:r>
        <w:r w:rsidR="00A928C2">
          <w:rPr>
            <w:noProof/>
            <w:webHidden/>
          </w:rPr>
          <w:fldChar w:fldCharType="end"/>
        </w:r>
      </w:hyperlink>
    </w:p>
    <w:p w14:paraId="3085D646" w14:textId="740F38E1"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04" w:history="1">
        <w:r w:rsidR="00A928C2" w:rsidRPr="00616667">
          <w:rPr>
            <w:rStyle w:val="Hyperlink"/>
            <w:noProof/>
          </w:rPr>
          <w:t>4.7</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MBS billing – site &amp; LHN processes</w:t>
        </w:r>
        <w:r w:rsidR="00A928C2">
          <w:rPr>
            <w:noProof/>
            <w:webHidden/>
          </w:rPr>
          <w:tab/>
        </w:r>
        <w:r w:rsidR="00A928C2">
          <w:rPr>
            <w:noProof/>
            <w:webHidden/>
          </w:rPr>
          <w:fldChar w:fldCharType="begin"/>
        </w:r>
        <w:r w:rsidR="00A928C2">
          <w:rPr>
            <w:noProof/>
            <w:webHidden/>
          </w:rPr>
          <w:instrText xml:space="preserve"> PAGEREF _Toc85203304 \h </w:instrText>
        </w:r>
        <w:r w:rsidR="00A928C2">
          <w:rPr>
            <w:noProof/>
            <w:webHidden/>
          </w:rPr>
        </w:r>
        <w:r w:rsidR="00A928C2">
          <w:rPr>
            <w:noProof/>
            <w:webHidden/>
          </w:rPr>
          <w:fldChar w:fldCharType="separate"/>
        </w:r>
        <w:r w:rsidR="00C50B67">
          <w:rPr>
            <w:noProof/>
            <w:webHidden/>
          </w:rPr>
          <w:t>48</w:t>
        </w:r>
        <w:r w:rsidR="00A928C2">
          <w:rPr>
            <w:noProof/>
            <w:webHidden/>
          </w:rPr>
          <w:fldChar w:fldCharType="end"/>
        </w:r>
      </w:hyperlink>
    </w:p>
    <w:p w14:paraId="197A1AE4" w14:textId="0BE6C199" w:rsidR="00A928C2" w:rsidRDefault="00A67BE9">
      <w:pPr>
        <w:pStyle w:val="TOC1"/>
        <w:tabs>
          <w:tab w:val="left" w:pos="1644"/>
        </w:tabs>
        <w:rPr>
          <w:rFonts w:asciiTheme="minorHAnsi" w:eastAsiaTheme="minorEastAsia" w:hAnsiTheme="minorHAnsi" w:cstheme="minorBidi"/>
          <w:caps w:val="0"/>
          <w:noProof/>
          <w:color w:val="auto"/>
          <w:spacing w:val="0"/>
          <w:szCs w:val="22"/>
          <w:lang w:eastAsia="en-AU"/>
        </w:rPr>
      </w:pPr>
      <w:hyperlink w:anchor="_Toc85203305" w:history="1">
        <w:r w:rsidR="00A928C2" w:rsidRPr="00616667">
          <w:rPr>
            <w:rStyle w:val="Hyperlink"/>
            <w:noProof/>
            <w14:scene3d>
              <w14:camera w14:prst="orthographicFront"/>
              <w14:lightRig w14:rig="threePt" w14:dir="t">
                <w14:rot w14:lat="0" w14:lon="0" w14:rev="0"/>
              </w14:lightRig>
            </w14:scene3d>
          </w:rPr>
          <w:t>SECTION D:</w:t>
        </w:r>
        <w:r w:rsidR="00A928C2">
          <w:rPr>
            <w:rFonts w:asciiTheme="minorHAnsi" w:eastAsiaTheme="minorEastAsia" w:hAnsiTheme="minorHAnsi" w:cstheme="minorBidi"/>
            <w:caps w:val="0"/>
            <w:noProof/>
            <w:color w:val="auto"/>
            <w:spacing w:val="0"/>
            <w:szCs w:val="22"/>
            <w:lang w:eastAsia="en-AU"/>
          </w:rPr>
          <w:tab/>
        </w:r>
        <w:r w:rsidR="00A928C2" w:rsidRPr="00616667">
          <w:rPr>
            <w:rStyle w:val="Hyperlink"/>
            <w:noProof/>
          </w:rPr>
          <w:t>appropriateness</w:t>
        </w:r>
        <w:r w:rsidR="00A928C2">
          <w:rPr>
            <w:noProof/>
            <w:webHidden/>
          </w:rPr>
          <w:tab/>
        </w:r>
        <w:r w:rsidR="00A928C2">
          <w:rPr>
            <w:noProof/>
            <w:webHidden/>
          </w:rPr>
          <w:fldChar w:fldCharType="begin"/>
        </w:r>
        <w:r w:rsidR="00A928C2">
          <w:rPr>
            <w:noProof/>
            <w:webHidden/>
          </w:rPr>
          <w:instrText xml:space="preserve"> PAGEREF _Toc85203305 \h </w:instrText>
        </w:r>
        <w:r w:rsidR="00A928C2">
          <w:rPr>
            <w:noProof/>
            <w:webHidden/>
          </w:rPr>
        </w:r>
        <w:r w:rsidR="00A928C2">
          <w:rPr>
            <w:noProof/>
            <w:webHidden/>
          </w:rPr>
          <w:fldChar w:fldCharType="separate"/>
        </w:r>
        <w:r w:rsidR="00C50B67">
          <w:rPr>
            <w:noProof/>
            <w:webHidden/>
          </w:rPr>
          <w:t>50</w:t>
        </w:r>
        <w:r w:rsidR="00A928C2">
          <w:rPr>
            <w:noProof/>
            <w:webHidden/>
          </w:rPr>
          <w:fldChar w:fldCharType="end"/>
        </w:r>
      </w:hyperlink>
    </w:p>
    <w:p w14:paraId="7C666009" w14:textId="75856C20"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06" w:history="1">
        <w:r w:rsidR="00A928C2" w:rsidRPr="00616667">
          <w:rPr>
            <w:rStyle w:val="Hyperlink"/>
            <w:noProof/>
          </w:rPr>
          <w:t>4.8</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MBS claim levels not linked to underlying population need</w:t>
        </w:r>
        <w:r w:rsidR="00A928C2">
          <w:rPr>
            <w:noProof/>
            <w:webHidden/>
          </w:rPr>
          <w:tab/>
        </w:r>
        <w:r w:rsidR="00A928C2">
          <w:rPr>
            <w:noProof/>
            <w:webHidden/>
          </w:rPr>
          <w:fldChar w:fldCharType="begin"/>
        </w:r>
        <w:r w:rsidR="00A928C2">
          <w:rPr>
            <w:noProof/>
            <w:webHidden/>
          </w:rPr>
          <w:instrText xml:space="preserve"> PAGEREF _Toc85203306 \h </w:instrText>
        </w:r>
        <w:r w:rsidR="00A928C2">
          <w:rPr>
            <w:noProof/>
            <w:webHidden/>
          </w:rPr>
        </w:r>
        <w:r w:rsidR="00A928C2">
          <w:rPr>
            <w:noProof/>
            <w:webHidden/>
          </w:rPr>
          <w:fldChar w:fldCharType="separate"/>
        </w:r>
        <w:r w:rsidR="00C50B67">
          <w:rPr>
            <w:noProof/>
            <w:webHidden/>
          </w:rPr>
          <w:t>50</w:t>
        </w:r>
        <w:r w:rsidR="00A928C2">
          <w:rPr>
            <w:noProof/>
            <w:webHidden/>
          </w:rPr>
          <w:fldChar w:fldCharType="end"/>
        </w:r>
      </w:hyperlink>
    </w:p>
    <w:p w14:paraId="7E7F36D9" w14:textId="6E714B47"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07" w:history="1">
        <w:r w:rsidR="00A928C2" w:rsidRPr="00616667">
          <w:rPr>
            <w:rStyle w:val="Hyperlink"/>
            <w:noProof/>
          </w:rPr>
          <w:t>4.9</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Ongoing barriers to care</w:t>
        </w:r>
        <w:r w:rsidR="00A928C2">
          <w:rPr>
            <w:noProof/>
            <w:webHidden/>
          </w:rPr>
          <w:tab/>
        </w:r>
        <w:r w:rsidR="00A928C2">
          <w:rPr>
            <w:noProof/>
            <w:webHidden/>
          </w:rPr>
          <w:fldChar w:fldCharType="begin"/>
        </w:r>
        <w:r w:rsidR="00A928C2">
          <w:rPr>
            <w:noProof/>
            <w:webHidden/>
          </w:rPr>
          <w:instrText xml:space="preserve"> PAGEREF _Toc85203307 \h </w:instrText>
        </w:r>
        <w:r w:rsidR="00A928C2">
          <w:rPr>
            <w:noProof/>
            <w:webHidden/>
          </w:rPr>
        </w:r>
        <w:r w:rsidR="00A928C2">
          <w:rPr>
            <w:noProof/>
            <w:webHidden/>
          </w:rPr>
          <w:fldChar w:fldCharType="separate"/>
        </w:r>
        <w:r w:rsidR="00C50B67">
          <w:rPr>
            <w:noProof/>
            <w:webHidden/>
          </w:rPr>
          <w:t>51</w:t>
        </w:r>
        <w:r w:rsidR="00A928C2">
          <w:rPr>
            <w:noProof/>
            <w:webHidden/>
          </w:rPr>
          <w:fldChar w:fldCharType="end"/>
        </w:r>
      </w:hyperlink>
    </w:p>
    <w:p w14:paraId="71680D27" w14:textId="40AAF7DF" w:rsidR="00A928C2" w:rsidRDefault="00A67BE9">
      <w:pPr>
        <w:pStyle w:val="TOC1"/>
        <w:tabs>
          <w:tab w:val="left" w:pos="1644"/>
        </w:tabs>
        <w:rPr>
          <w:rFonts w:asciiTheme="minorHAnsi" w:eastAsiaTheme="minorEastAsia" w:hAnsiTheme="minorHAnsi" w:cstheme="minorBidi"/>
          <w:caps w:val="0"/>
          <w:noProof/>
          <w:color w:val="auto"/>
          <w:spacing w:val="0"/>
          <w:szCs w:val="22"/>
          <w:lang w:eastAsia="en-AU"/>
        </w:rPr>
      </w:pPr>
      <w:hyperlink w:anchor="_Toc85203308" w:history="1">
        <w:r w:rsidR="00A928C2" w:rsidRPr="00616667">
          <w:rPr>
            <w:rStyle w:val="Hyperlink"/>
            <w:noProof/>
            <w14:scene3d>
              <w14:camera w14:prst="orthographicFront"/>
              <w14:lightRig w14:rig="threePt" w14:dir="t">
                <w14:rot w14:lat="0" w14:lon="0" w14:rev="0"/>
              </w14:lightRig>
            </w14:scene3d>
          </w:rPr>
          <w:t>SECTION E:</w:t>
        </w:r>
        <w:r w:rsidR="00A928C2">
          <w:rPr>
            <w:rFonts w:asciiTheme="minorHAnsi" w:eastAsiaTheme="minorEastAsia" w:hAnsiTheme="minorHAnsi" w:cstheme="minorBidi"/>
            <w:caps w:val="0"/>
            <w:noProof/>
            <w:color w:val="auto"/>
            <w:spacing w:val="0"/>
            <w:szCs w:val="22"/>
            <w:lang w:eastAsia="en-AU"/>
          </w:rPr>
          <w:tab/>
        </w:r>
        <w:r w:rsidR="00A928C2" w:rsidRPr="00616667">
          <w:rPr>
            <w:rStyle w:val="Hyperlink"/>
            <w:noProof/>
          </w:rPr>
          <w:t>Overall evaluation assessment</w:t>
        </w:r>
        <w:r w:rsidR="00A928C2">
          <w:rPr>
            <w:noProof/>
            <w:webHidden/>
          </w:rPr>
          <w:tab/>
        </w:r>
        <w:r w:rsidR="00A928C2">
          <w:rPr>
            <w:noProof/>
            <w:webHidden/>
          </w:rPr>
          <w:fldChar w:fldCharType="begin"/>
        </w:r>
        <w:r w:rsidR="00A928C2">
          <w:rPr>
            <w:noProof/>
            <w:webHidden/>
          </w:rPr>
          <w:instrText xml:space="preserve"> PAGEREF _Toc85203308 \h </w:instrText>
        </w:r>
        <w:r w:rsidR="00A928C2">
          <w:rPr>
            <w:noProof/>
            <w:webHidden/>
          </w:rPr>
        </w:r>
        <w:r w:rsidR="00A928C2">
          <w:rPr>
            <w:noProof/>
            <w:webHidden/>
          </w:rPr>
          <w:fldChar w:fldCharType="separate"/>
        </w:r>
        <w:r w:rsidR="00C50B67">
          <w:rPr>
            <w:noProof/>
            <w:webHidden/>
          </w:rPr>
          <w:t>55</w:t>
        </w:r>
        <w:r w:rsidR="00A928C2">
          <w:rPr>
            <w:noProof/>
            <w:webHidden/>
          </w:rPr>
          <w:fldChar w:fldCharType="end"/>
        </w:r>
      </w:hyperlink>
    </w:p>
    <w:p w14:paraId="3FCD87C8" w14:textId="1F0A529F" w:rsidR="00A928C2" w:rsidRDefault="00A67BE9">
      <w:pPr>
        <w:pStyle w:val="TOC2"/>
        <w:rPr>
          <w:rFonts w:asciiTheme="minorHAnsi" w:eastAsiaTheme="minorEastAsia" w:hAnsiTheme="minorHAnsi" w:cstheme="minorBidi"/>
          <w:caps w:val="0"/>
          <w:noProof/>
          <w:color w:val="auto"/>
          <w:spacing w:val="0"/>
          <w:sz w:val="22"/>
          <w:szCs w:val="22"/>
          <w:u w:val="none"/>
          <w:lang w:eastAsia="en-AU"/>
        </w:rPr>
      </w:pPr>
      <w:hyperlink w:anchor="_Toc85203309" w:history="1">
        <w:r w:rsidR="00A928C2" w:rsidRPr="00616667">
          <w:rPr>
            <w:rStyle w:val="Hyperlink"/>
            <w:noProof/>
          </w:rPr>
          <w:t>5</w:t>
        </w:r>
        <w:r w:rsidR="00A928C2">
          <w:rPr>
            <w:rFonts w:asciiTheme="minorHAnsi" w:eastAsiaTheme="minorEastAsia" w:hAnsiTheme="minorHAnsi" w:cstheme="minorBidi"/>
            <w:caps w:val="0"/>
            <w:noProof/>
            <w:color w:val="auto"/>
            <w:spacing w:val="0"/>
            <w:sz w:val="22"/>
            <w:szCs w:val="22"/>
            <w:u w:val="none"/>
            <w:lang w:eastAsia="en-AU"/>
          </w:rPr>
          <w:tab/>
        </w:r>
        <w:r w:rsidR="00A928C2" w:rsidRPr="00616667">
          <w:rPr>
            <w:rStyle w:val="Hyperlink"/>
            <w:noProof/>
          </w:rPr>
          <w:t>The way forward: Options for program refinement</w:t>
        </w:r>
        <w:r w:rsidR="00A928C2">
          <w:rPr>
            <w:noProof/>
            <w:webHidden/>
          </w:rPr>
          <w:tab/>
        </w:r>
        <w:r w:rsidR="00A928C2">
          <w:rPr>
            <w:noProof/>
            <w:webHidden/>
          </w:rPr>
          <w:fldChar w:fldCharType="begin"/>
        </w:r>
        <w:r w:rsidR="00A928C2">
          <w:rPr>
            <w:noProof/>
            <w:webHidden/>
          </w:rPr>
          <w:instrText xml:space="preserve"> PAGEREF _Toc85203309 \h </w:instrText>
        </w:r>
        <w:r w:rsidR="00A928C2">
          <w:rPr>
            <w:noProof/>
            <w:webHidden/>
          </w:rPr>
        </w:r>
        <w:r w:rsidR="00A928C2">
          <w:rPr>
            <w:noProof/>
            <w:webHidden/>
          </w:rPr>
          <w:fldChar w:fldCharType="separate"/>
        </w:r>
        <w:r w:rsidR="00C50B67">
          <w:rPr>
            <w:noProof/>
            <w:webHidden/>
          </w:rPr>
          <w:t>57</w:t>
        </w:r>
        <w:r w:rsidR="00A928C2">
          <w:rPr>
            <w:noProof/>
            <w:webHidden/>
          </w:rPr>
          <w:fldChar w:fldCharType="end"/>
        </w:r>
      </w:hyperlink>
    </w:p>
    <w:p w14:paraId="4ADECBD0" w14:textId="124AFD55"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10" w:history="1">
        <w:r w:rsidR="00A928C2" w:rsidRPr="00616667">
          <w:rPr>
            <w:rStyle w:val="Hyperlink"/>
            <w:noProof/>
          </w:rPr>
          <w:t>5.1</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Overview of options</w:t>
        </w:r>
        <w:r w:rsidR="00A928C2">
          <w:rPr>
            <w:noProof/>
            <w:webHidden/>
          </w:rPr>
          <w:tab/>
        </w:r>
        <w:r w:rsidR="00A928C2">
          <w:rPr>
            <w:noProof/>
            <w:webHidden/>
          </w:rPr>
          <w:fldChar w:fldCharType="begin"/>
        </w:r>
        <w:r w:rsidR="00A928C2">
          <w:rPr>
            <w:noProof/>
            <w:webHidden/>
          </w:rPr>
          <w:instrText xml:space="preserve"> PAGEREF _Toc85203310 \h </w:instrText>
        </w:r>
        <w:r w:rsidR="00A928C2">
          <w:rPr>
            <w:noProof/>
            <w:webHidden/>
          </w:rPr>
        </w:r>
        <w:r w:rsidR="00A928C2">
          <w:rPr>
            <w:noProof/>
            <w:webHidden/>
          </w:rPr>
          <w:fldChar w:fldCharType="separate"/>
        </w:r>
        <w:r w:rsidR="00C50B67">
          <w:rPr>
            <w:noProof/>
            <w:webHidden/>
          </w:rPr>
          <w:t>57</w:t>
        </w:r>
        <w:r w:rsidR="00A928C2">
          <w:rPr>
            <w:noProof/>
            <w:webHidden/>
          </w:rPr>
          <w:fldChar w:fldCharType="end"/>
        </w:r>
      </w:hyperlink>
    </w:p>
    <w:p w14:paraId="603DC154" w14:textId="35B05498"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11" w:history="1">
        <w:r w:rsidR="00A928C2" w:rsidRPr="00616667">
          <w:rPr>
            <w:rStyle w:val="Hyperlink"/>
            <w:rFonts w:eastAsia="Calibri"/>
            <w:noProof/>
          </w:rPr>
          <w:t>Option 1: Administrative refinement of the Initiative</w:t>
        </w:r>
        <w:r w:rsidR="00A928C2">
          <w:rPr>
            <w:noProof/>
            <w:webHidden/>
          </w:rPr>
          <w:tab/>
        </w:r>
        <w:r w:rsidR="00A928C2">
          <w:rPr>
            <w:noProof/>
            <w:webHidden/>
          </w:rPr>
          <w:fldChar w:fldCharType="begin"/>
        </w:r>
        <w:r w:rsidR="00A928C2">
          <w:rPr>
            <w:noProof/>
            <w:webHidden/>
          </w:rPr>
          <w:instrText xml:space="preserve"> PAGEREF _Toc85203311 \h </w:instrText>
        </w:r>
        <w:r w:rsidR="00A928C2">
          <w:rPr>
            <w:noProof/>
            <w:webHidden/>
          </w:rPr>
        </w:r>
        <w:r w:rsidR="00A928C2">
          <w:rPr>
            <w:noProof/>
            <w:webHidden/>
          </w:rPr>
          <w:fldChar w:fldCharType="separate"/>
        </w:r>
        <w:r w:rsidR="00C50B67">
          <w:rPr>
            <w:noProof/>
            <w:webHidden/>
          </w:rPr>
          <w:t>58</w:t>
        </w:r>
        <w:r w:rsidR="00A928C2">
          <w:rPr>
            <w:noProof/>
            <w:webHidden/>
          </w:rPr>
          <w:fldChar w:fldCharType="end"/>
        </w:r>
      </w:hyperlink>
    </w:p>
    <w:p w14:paraId="3C2E9A65" w14:textId="426DC158"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12" w:history="1">
        <w:r w:rsidR="00A928C2" w:rsidRPr="00616667">
          <w:rPr>
            <w:rStyle w:val="Hyperlink"/>
            <w:rFonts w:eastAsia="Calibri"/>
            <w:noProof/>
          </w:rPr>
          <w:t>Option 2: Revise program governance arrangements</w:t>
        </w:r>
        <w:r w:rsidR="00A928C2">
          <w:rPr>
            <w:noProof/>
            <w:webHidden/>
          </w:rPr>
          <w:tab/>
        </w:r>
        <w:r w:rsidR="00A928C2">
          <w:rPr>
            <w:noProof/>
            <w:webHidden/>
          </w:rPr>
          <w:fldChar w:fldCharType="begin"/>
        </w:r>
        <w:r w:rsidR="00A928C2">
          <w:rPr>
            <w:noProof/>
            <w:webHidden/>
          </w:rPr>
          <w:instrText xml:space="preserve"> PAGEREF _Toc85203312 \h </w:instrText>
        </w:r>
        <w:r w:rsidR="00A928C2">
          <w:rPr>
            <w:noProof/>
            <w:webHidden/>
          </w:rPr>
        </w:r>
        <w:r w:rsidR="00A928C2">
          <w:rPr>
            <w:noProof/>
            <w:webHidden/>
          </w:rPr>
          <w:fldChar w:fldCharType="separate"/>
        </w:r>
        <w:r w:rsidR="00C50B67">
          <w:rPr>
            <w:noProof/>
            <w:webHidden/>
          </w:rPr>
          <w:t>58</w:t>
        </w:r>
        <w:r w:rsidR="00A928C2">
          <w:rPr>
            <w:noProof/>
            <w:webHidden/>
          </w:rPr>
          <w:fldChar w:fldCharType="end"/>
        </w:r>
      </w:hyperlink>
    </w:p>
    <w:p w14:paraId="62E5D73A" w14:textId="019A8E1D"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13" w:history="1">
        <w:r w:rsidR="00A928C2" w:rsidRPr="00616667">
          <w:rPr>
            <w:rStyle w:val="Hyperlink"/>
            <w:rFonts w:eastAsia="Calibri"/>
            <w:noProof/>
          </w:rPr>
          <w:t>Option 3: Use sub-regional governance committees as a coordination mechanism</w:t>
        </w:r>
        <w:r w:rsidR="00A928C2">
          <w:rPr>
            <w:noProof/>
            <w:webHidden/>
          </w:rPr>
          <w:tab/>
        </w:r>
        <w:r w:rsidR="00A928C2">
          <w:rPr>
            <w:noProof/>
            <w:webHidden/>
          </w:rPr>
          <w:fldChar w:fldCharType="begin"/>
        </w:r>
        <w:r w:rsidR="00A928C2">
          <w:rPr>
            <w:noProof/>
            <w:webHidden/>
          </w:rPr>
          <w:instrText xml:space="preserve"> PAGEREF _Toc85203313 \h </w:instrText>
        </w:r>
        <w:r w:rsidR="00A928C2">
          <w:rPr>
            <w:noProof/>
            <w:webHidden/>
          </w:rPr>
        </w:r>
        <w:r w:rsidR="00A928C2">
          <w:rPr>
            <w:noProof/>
            <w:webHidden/>
          </w:rPr>
          <w:fldChar w:fldCharType="separate"/>
        </w:r>
        <w:r w:rsidR="00C50B67">
          <w:rPr>
            <w:noProof/>
            <w:webHidden/>
          </w:rPr>
          <w:t>60</w:t>
        </w:r>
        <w:r w:rsidR="00A928C2">
          <w:rPr>
            <w:noProof/>
            <w:webHidden/>
          </w:rPr>
          <w:fldChar w:fldCharType="end"/>
        </w:r>
      </w:hyperlink>
    </w:p>
    <w:p w14:paraId="267EB14D" w14:textId="47AED955" w:rsidR="00A928C2" w:rsidRDefault="00A67BE9">
      <w:pPr>
        <w:pStyle w:val="TOC3"/>
        <w:rPr>
          <w:rFonts w:asciiTheme="minorHAnsi" w:eastAsiaTheme="minorEastAsia" w:hAnsiTheme="minorHAnsi" w:cstheme="minorBidi"/>
          <w:caps w:val="0"/>
          <w:noProof/>
          <w:color w:val="auto"/>
          <w:sz w:val="22"/>
          <w:szCs w:val="22"/>
          <w:lang w:eastAsia="en-AU"/>
        </w:rPr>
      </w:pPr>
      <w:hyperlink w:anchor="_Toc85203314" w:history="1">
        <w:r w:rsidR="00A928C2" w:rsidRPr="00616667">
          <w:rPr>
            <w:rStyle w:val="Hyperlink"/>
            <w:rFonts w:eastAsia="Calibri"/>
            <w:noProof/>
          </w:rPr>
          <w:t>Option 4: Administrative refinement to program processes</w:t>
        </w:r>
        <w:r w:rsidR="00A928C2">
          <w:rPr>
            <w:noProof/>
            <w:webHidden/>
          </w:rPr>
          <w:tab/>
        </w:r>
        <w:r w:rsidR="00A928C2">
          <w:rPr>
            <w:noProof/>
            <w:webHidden/>
          </w:rPr>
          <w:fldChar w:fldCharType="begin"/>
        </w:r>
        <w:r w:rsidR="00A928C2">
          <w:rPr>
            <w:noProof/>
            <w:webHidden/>
          </w:rPr>
          <w:instrText xml:space="preserve"> PAGEREF _Toc85203314 \h </w:instrText>
        </w:r>
        <w:r w:rsidR="00A928C2">
          <w:rPr>
            <w:noProof/>
            <w:webHidden/>
          </w:rPr>
        </w:r>
        <w:r w:rsidR="00A928C2">
          <w:rPr>
            <w:noProof/>
            <w:webHidden/>
          </w:rPr>
          <w:fldChar w:fldCharType="separate"/>
        </w:r>
        <w:r w:rsidR="00C50B67">
          <w:rPr>
            <w:noProof/>
            <w:webHidden/>
          </w:rPr>
          <w:t>61</w:t>
        </w:r>
        <w:r w:rsidR="00A928C2">
          <w:rPr>
            <w:noProof/>
            <w:webHidden/>
          </w:rPr>
          <w:fldChar w:fldCharType="end"/>
        </w:r>
      </w:hyperlink>
    </w:p>
    <w:p w14:paraId="656499A8" w14:textId="03EC225D" w:rsidR="00A928C2" w:rsidRDefault="00A67BE9">
      <w:pPr>
        <w:pStyle w:val="TOC2"/>
        <w:rPr>
          <w:rFonts w:asciiTheme="minorHAnsi" w:eastAsiaTheme="minorEastAsia" w:hAnsiTheme="minorHAnsi" w:cstheme="minorBidi"/>
          <w:caps w:val="0"/>
          <w:noProof/>
          <w:color w:val="auto"/>
          <w:spacing w:val="0"/>
          <w:sz w:val="22"/>
          <w:szCs w:val="22"/>
          <w:u w:val="none"/>
          <w:lang w:eastAsia="en-AU"/>
        </w:rPr>
      </w:pPr>
      <w:hyperlink w:anchor="_Toc85203315" w:history="1">
        <w:r w:rsidR="00A928C2" w:rsidRPr="00616667">
          <w:rPr>
            <w:rStyle w:val="Hyperlink"/>
            <w:noProof/>
          </w:rPr>
          <w:t>6</w:t>
        </w:r>
        <w:r w:rsidR="00A928C2">
          <w:rPr>
            <w:rFonts w:asciiTheme="minorHAnsi" w:eastAsiaTheme="minorEastAsia" w:hAnsiTheme="minorHAnsi" w:cstheme="minorBidi"/>
            <w:caps w:val="0"/>
            <w:noProof/>
            <w:color w:val="auto"/>
            <w:spacing w:val="0"/>
            <w:sz w:val="22"/>
            <w:szCs w:val="22"/>
            <w:u w:val="none"/>
            <w:lang w:eastAsia="en-AU"/>
          </w:rPr>
          <w:tab/>
        </w:r>
        <w:r w:rsidR="00A928C2" w:rsidRPr="00616667">
          <w:rPr>
            <w:rStyle w:val="Hyperlink"/>
            <w:noProof/>
          </w:rPr>
          <w:t>Appendices</w:t>
        </w:r>
        <w:r w:rsidR="00A928C2">
          <w:rPr>
            <w:noProof/>
            <w:webHidden/>
          </w:rPr>
          <w:tab/>
        </w:r>
        <w:r w:rsidR="00A928C2">
          <w:rPr>
            <w:noProof/>
            <w:webHidden/>
          </w:rPr>
          <w:fldChar w:fldCharType="begin"/>
        </w:r>
        <w:r w:rsidR="00A928C2">
          <w:rPr>
            <w:noProof/>
            <w:webHidden/>
          </w:rPr>
          <w:instrText xml:space="preserve"> PAGEREF _Toc85203315 \h </w:instrText>
        </w:r>
        <w:r w:rsidR="00A928C2">
          <w:rPr>
            <w:noProof/>
            <w:webHidden/>
          </w:rPr>
        </w:r>
        <w:r w:rsidR="00A928C2">
          <w:rPr>
            <w:noProof/>
            <w:webHidden/>
          </w:rPr>
          <w:fldChar w:fldCharType="separate"/>
        </w:r>
        <w:r w:rsidR="00C50B67">
          <w:rPr>
            <w:noProof/>
            <w:webHidden/>
          </w:rPr>
          <w:t>63</w:t>
        </w:r>
        <w:r w:rsidR="00A928C2">
          <w:rPr>
            <w:noProof/>
            <w:webHidden/>
          </w:rPr>
          <w:fldChar w:fldCharType="end"/>
        </w:r>
      </w:hyperlink>
    </w:p>
    <w:p w14:paraId="5F67B532" w14:textId="31A46BEC" w:rsidR="00A928C2" w:rsidRDefault="00A67BE9">
      <w:pPr>
        <w:pStyle w:val="TOC3"/>
        <w:tabs>
          <w:tab w:val="left" w:pos="1760"/>
        </w:tabs>
        <w:rPr>
          <w:rFonts w:asciiTheme="minorHAnsi" w:eastAsiaTheme="minorEastAsia" w:hAnsiTheme="minorHAnsi" w:cstheme="minorBidi"/>
          <w:caps w:val="0"/>
          <w:noProof/>
          <w:color w:val="auto"/>
          <w:sz w:val="22"/>
          <w:szCs w:val="22"/>
          <w:lang w:eastAsia="en-AU"/>
        </w:rPr>
      </w:pPr>
      <w:hyperlink w:anchor="_Toc85203316" w:history="1">
        <w:r w:rsidR="00A928C2" w:rsidRPr="00616667">
          <w:rPr>
            <w:rStyle w:val="Hyperlink"/>
            <w:noProof/>
          </w:rPr>
          <w:t>Appendix A</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Detailed evaluation questions specified in the RFQ</w:t>
        </w:r>
        <w:r w:rsidR="00A928C2">
          <w:rPr>
            <w:noProof/>
            <w:webHidden/>
          </w:rPr>
          <w:tab/>
        </w:r>
        <w:r w:rsidR="00A928C2">
          <w:rPr>
            <w:noProof/>
            <w:webHidden/>
          </w:rPr>
          <w:fldChar w:fldCharType="begin"/>
        </w:r>
        <w:r w:rsidR="00A928C2">
          <w:rPr>
            <w:noProof/>
            <w:webHidden/>
          </w:rPr>
          <w:instrText xml:space="preserve"> PAGEREF _Toc85203316 \h </w:instrText>
        </w:r>
        <w:r w:rsidR="00A928C2">
          <w:rPr>
            <w:noProof/>
            <w:webHidden/>
          </w:rPr>
        </w:r>
        <w:r w:rsidR="00A928C2">
          <w:rPr>
            <w:noProof/>
            <w:webHidden/>
          </w:rPr>
          <w:fldChar w:fldCharType="separate"/>
        </w:r>
        <w:r w:rsidR="00C50B67">
          <w:rPr>
            <w:noProof/>
            <w:webHidden/>
          </w:rPr>
          <w:t>64</w:t>
        </w:r>
        <w:r w:rsidR="00A928C2">
          <w:rPr>
            <w:noProof/>
            <w:webHidden/>
          </w:rPr>
          <w:fldChar w:fldCharType="end"/>
        </w:r>
      </w:hyperlink>
    </w:p>
    <w:p w14:paraId="289F1FF9" w14:textId="56C24D3F" w:rsidR="00A928C2" w:rsidRDefault="00A67BE9">
      <w:pPr>
        <w:pStyle w:val="TOC3"/>
        <w:tabs>
          <w:tab w:val="left" w:pos="1760"/>
        </w:tabs>
        <w:rPr>
          <w:rFonts w:asciiTheme="minorHAnsi" w:eastAsiaTheme="minorEastAsia" w:hAnsiTheme="minorHAnsi" w:cstheme="minorBidi"/>
          <w:caps w:val="0"/>
          <w:noProof/>
          <w:color w:val="auto"/>
          <w:sz w:val="22"/>
          <w:szCs w:val="22"/>
          <w:lang w:eastAsia="en-AU"/>
        </w:rPr>
      </w:pPr>
      <w:hyperlink w:anchor="_Toc85203317" w:history="1">
        <w:r w:rsidR="00A928C2" w:rsidRPr="00616667">
          <w:rPr>
            <w:rStyle w:val="Hyperlink"/>
            <w:noProof/>
          </w:rPr>
          <w:t>Appendix B</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List of other S19(2) Exemption sites</w:t>
        </w:r>
        <w:r w:rsidR="00A928C2">
          <w:rPr>
            <w:noProof/>
            <w:webHidden/>
          </w:rPr>
          <w:tab/>
        </w:r>
        <w:r w:rsidR="00A928C2">
          <w:rPr>
            <w:noProof/>
            <w:webHidden/>
          </w:rPr>
          <w:fldChar w:fldCharType="begin"/>
        </w:r>
        <w:r w:rsidR="00A928C2">
          <w:rPr>
            <w:noProof/>
            <w:webHidden/>
          </w:rPr>
          <w:instrText xml:space="preserve"> PAGEREF _Toc85203317 \h </w:instrText>
        </w:r>
        <w:r w:rsidR="00A928C2">
          <w:rPr>
            <w:noProof/>
            <w:webHidden/>
          </w:rPr>
        </w:r>
        <w:r w:rsidR="00A928C2">
          <w:rPr>
            <w:noProof/>
            <w:webHidden/>
          </w:rPr>
          <w:fldChar w:fldCharType="separate"/>
        </w:r>
        <w:r w:rsidR="00C50B67">
          <w:rPr>
            <w:noProof/>
            <w:webHidden/>
          </w:rPr>
          <w:t>65</w:t>
        </w:r>
        <w:r w:rsidR="00A928C2">
          <w:rPr>
            <w:noProof/>
            <w:webHidden/>
          </w:rPr>
          <w:fldChar w:fldCharType="end"/>
        </w:r>
      </w:hyperlink>
    </w:p>
    <w:p w14:paraId="7B9A6101" w14:textId="44A253E2" w:rsidR="00A928C2" w:rsidRDefault="00A67BE9">
      <w:pPr>
        <w:pStyle w:val="TOC3"/>
        <w:tabs>
          <w:tab w:val="left" w:pos="1760"/>
        </w:tabs>
        <w:rPr>
          <w:rFonts w:asciiTheme="minorHAnsi" w:eastAsiaTheme="minorEastAsia" w:hAnsiTheme="minorHAnsi" w:cstheme="minorBidi"/>
          <w:caps w:val="0"/>
          <w:noProof/>
          <w:color w:val="auto"/>
          <w:sz w:val="22"/>
          <w:szCs w:val="22"/>
          <w:lang w:eastAsia="en-AU"/>
        </w:rPr>
      </w:pPr>
      <w:hyperlink w:anchor="_Toc85203318" w:history="1">
        <w:r w:rsidR="00A928C2" w:rsidRPr="00616667">
          <w:rPr>
            <w:rStyle w:val="Hyperlink"/>
            <w:noProof/>
          </w:rPr>
          <w:t>Appendix C</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Australian Government programs targeting development of the rural workforce</w:t>
        </w:r>
        <w:r w:rsidR="00A928C2">
          <w:rPr>
            <w:noProof/>
            <w:webHidden/>
          </w:rPr>
          <w:tab/>
        </w:r>
        <w:r w:rsidR="00A928C2">
          <w:rPr>
            <w:noProof/>
            <w:webHidden/>
          </w:rPr>
          <w:fldChar w:fldCharType="begin"/>
        </w:r>
        <w:r w:rsidR="00A928C2">
          <w:rPr>
            <w:noProof/>
            <w:webHidden/>
          </w:rPr>
          <w:instrText xml:space="preserve"> PAGEREF _Toc85203318 \h </w:instrText>
        </w:r>
        <w:r w:rsidR="00A928C2">
          <w:rPr>
            <w:noProof/>
            <w:webHidden/>
          </w:rPr>
        </w:r>
        <w:r w:rsidR="00A928C2">
          <w:rPr>
            <w:noProof/>
            <w:webHidden/>
          </w:rPr>
          <w:fldChar w:fldCharType="separate"/>
        </w:r>
        <w:r w:rsidR="00C50B67">
          <w:rPr>
            <w:noProof/>
            <w:webHidden/>
          </w:rPr>
          <w:t>74</w:t>
        </w:r>
        <w:r w:rsidR="00A928C2">
          <w:rPr>
            <w:noProof/>
            <w:webHidden/>
          </w:rPr>
          <w:fldChar w:fldCharType="end"/>
        </w:r>
      </w:hyperlink>
    </w:p>
    <w:p w14:paraId="6C88637D" w14:textId="1013ABFD" w:rsidR="00A928C2" w:rsidRDefault="00A67BE9">
      <w:pPr>
        <w:pStyle w:val="TOC3"/>
        <w:tabs>
          <w:tab w:val="left" w:pos="1760"/>
        </w:tabs>
        <w:rPr>
          <w:rFonts w:asciiTheme="minorHAnsi" w:eastAsiaTheme="minorEastAsia" w:hAnsiTheme="minorHAnsi" w:cstheme="minorBidi"/>
          <w:caps w:val="0"/>
          <w:noProof/>
          <w:color w:val="auto"/>
          <w:sz w:val="22"/>
          <w:szCs w:val="22"/>
          <w:lang w:eastAsia="en-AU"/>
        </w:rPr>
      </w:pPr>
      <w:hyperlink w:anchor="_Toc85203319" w:history="1">
        <w:r w:rsidR="00A928C2" w:rsidRPr="00616667">
          <w:rPr>
            <w:rStyle w:val="Hyperlink"/>
            <w:noProof/>
          </w:rPr>
          <w:t>Appendix D</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List of stakeholders consulted</w:t>
        </w:r>
        <w:r w:rsidR="00A928C2">
          <w:rPr>
            <w:noProof/>
            <w:webHidden/>
          </w:rPr>
          <w:tab/>
        </w:r>
        <w:r w:rsidR="00A928C2">
          <w:rPr>
            <w:noProof/>
            <w:webHidden/>
          </w:rPr>
          <w:fldChar w:fldCharType="begin"/>
        </w:r>
        <w:r w:rsidR="00A928C2">
          <w:rPr>
            <w:noProof/>
            <w:webHidden/>
          </w:rPr>
          <w:instrText xml:space="preserve"> PAGEREF _Toc85203319 \h </w:instrText>
        </w:r>
        <w:r w:rsidR="00A928C2">
          <w:rPr>
            <w:noProof/>
            <w:webHidden/>
          </w:rPr>
        </w:r>
        <w:r w:rsidR="00A928C2">
          <w:rPr>
            <w:noProof/>
            <w:webHidden/>
          </w:rPr>
          <w:fldChar w:fldCharType="separate"/>
        </w:r>
        <w:r w:rsidR="00C50B67">
          <w:rPr>
            <w:noProof/>
            <w:webHidden/>
          </w:rPr>
          <w:t>79</w:t>
        </w:r>
        <w:r w:rsidR="00A928C2">
          <w:rPr>
            <w:noProof/>
            <w:webHidden/>
          </w:rPr>
          <w:fldChar w:fldCharType="end"/>
        </w:r>
      </w:hyperlink>
    </w:p>
    <w:p w14:paraId="475DA3A0" w14:textId="38E1BA9F" w:rsidR="00A928C2" w:rsidRDefault="00A67BE9">
      <w:pPr>
        <w:pStyle w:val="TOC3"/>
        <w:tabs>
          <w:tab w:val="left" w:pos="1760"/>
        </w:tabs>
        <w:rPr>
          <w:rFonts w:asciiTheme="minorHAnsi" w:eastAsiaTheme="minorEastAsia" w:hAnsiTheme="minorHAnsi" w:cstheme="minorBidi"/>
          <w:caps w:val="0"/>
          <w:noProof/>
          <w:color w:val="auto"/>
          <w:sz w:val="22"/>
          <w:szCs w:val="22"/>
          <w:lang w:eastAsia="en-AU"/>
        </w:rPr>
      </w:pPr>
      <w:hyperlink w:anchor="_Toc85203320" w:history="1">
        <w:r w:rsidR="00A928C2" w:rsidRPr="00616667">
          <w:rPr>
            <w:rStyle w:val="Hyperlink"/>
            <w:noProof/>
          </w:rPr>
          <w:t>Appendix E</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MBS claims – framework for aggregating individual items</w:t>
        </w:r>
        <w:r w:rsidR="00A928C2">
          <w:rPr>
            <w:noProof/>
            <w:webHidden/>
          </w:rPr>
          <w:tab/>
        </w:r>
        <w:r w:rsidR="00A928C2">
          <w:rPr>
            <w:noProof/>
            <w:webHidden/>
          </w:rPr>
          <w:fldChar w:fldCharType="begin"/>
        </w:r>
        <w:r w:rsidR="00A928C2">
          <w:rPr>
            <w:noProof/>
            <w:webHidden/>
          </w:rPr>
          <w:instrText xml:space="preserve"> PAGEREF _Toc85203320 \h </w:instrText>
        </w:r>
        <w:r w:rsidR="00A928C2">
          <w:rPr>
            <w:noProof/>
            <w:webHidden/>
          </w:rPr>
        </w:r>
        <w:r w:rsidR="00A928C2">
          <w:rPr>
            <w:noProof/>
            <w:webHidden/>
          </w:rPr>
          <w:fldChar w:fldCharType="separate"/>
        </w:r>
        <w:r w:rsidR="00C50B67">
          <w:rPr>
            <w:noProof/>
            <w:webHidden/>
          </w:rPr>
          <w:t>82</w:t>
        </w:r>
        <w:r w:rsidR="00A928C2">
          <w:rPr>
            <w:noProof/>
            <w:webHidden/>
          </w:rPr>
          <w:fldChar w:fldCharType="end"/>
        </w:r>
      </w:hyperlink>
    </w:p>
    <w:p w14:paraId="6E5B1CA5" w14:textId="7D7B5695" w:rsidR="00A928C2" w:rsidRDefault="00A67BE9">
      <w:pPr>
        <w:pStyle w:val="TOC3"/>
        <w:tabs>
          <w:tab w:val="left" w:pos="1760"/>
        </w:tabs>
        <w:rPr>
          <w:rFonts w:asciiTheme="minorHAnsi" w:eastAsiaTheme="minorEastAsia" w:hAnsiTheme="minorHAnsi" w:cstheme="minorBidi"/>
          <w:caps w:val="0"/>
          <w:noProof/>
          <w:color w:val="auto"/>
          <w:sz w:val="22"/>
          <w:szCs w:val="22"/>
          <w:lang w:eastAsia="en-AU"/>
        </w:rPr>
      </w:pPr>
      <w:hyperlink w:anchor="_Toc85203321" w:history="1">
        <w:r w:rsidR="00A928C2" w:rsidRPr="00616667">
          <w:rPr>
            <w:rStyle w:val="Hyperlink"/>
            <w:noProof/>
          </w:rPr>
          <w:t>Appendix F</w:t>
        </w:r>
        <w:r w:rsidR="00A928C2">
          <w:rPr>
            <w:rFonts w:asciiTheme="minorHAnsi" w:eastAsiaTheme="minorEastAsia" w:hAnsiTheme="minorHAnsi" w:cstheme="minorBidi"/>
            <w:caps w:val="0"/>
            <w:noProof/>
            <w:color w:val="auto"/>
            <w:sz w:val="22"/>
            <w:szCs w:val="22"/>
            <w:lang w:eastAsia="en-AU"/>
          </w:rPr>
          <w:tab/>
        </w:r>
        <w:r w:rsidR="00A928C2" w:rsidRPr="00616667">
          <w:rPr>
            <w:rStyle w:val="Hyperlink"/>
            <w:noProof/>
          </w:rPr>
          <w:t>MBS benefits paid under the Initiative, 2019–20, by jurisdiction &amp; aggregated category</w:t>
        </w:r>
        <w:r w:rsidR="00A928C2">
          <w:rPr>
            <w:noProof/>
            <w:webHidden/>
          </w:rPr>
          <w:tab/>
        </w:r>
        <w:r w:rsidR="00A928C2">
          <w:rPr>
            <w:noProof/>
            <w:webHidden/>
          </w:rPr>
          <w:fldChar w:fldCharType="begin"/>
        </w:r>
        <w:r w:rsidR="00A928C2">
          <w:rPr>
            <w:noProof/>
            <w:webHidden/>
          </w:rPr>
          <w:instrText xml:space="preserve"> PAGEREF _Toc85203321 \h </w:instrText>
        </w:r>
        <w:r w:rsidR="00A928C2">
          <w:rPr>
            <w:noProof/>
            <w:webHidden/>
          </w:rPr>
        </w:r>
        <w:r w:rsidR="00A928C2">
          <w:rPr>
            <w:noProof/>
            <w:webHidden/>
          </w:rPr>
          <w:fldChar w:fldCharType="separate"/>
        </w:r>
        <w:r w:rsidR="00C50B67">
          <w:rPr>
            <w:noProof/>
            <w:webHidden/>
          </w:rPr>
          <w:t>83</w:t>
        </w:r>
        <w:r w:rsidR="00A928C2">
          <w:rPr>
            <w:noProof/>
            <w:webHidden/>
          </w:rPr>
          <w:fldChar w:fldCharType="end"/>
        </w:r>
      </w:hyperlink>
    </w:p>
    <w:p w14:paraId="3866D8E2" w14:textId="715FF3C8" w:rsidR="00A928C2" w:rsidRDefault="00A67BE9">
      <w:pPr>
        <w:pStyle w:val="TOC2"/>
        <w:rPr>
          <w:rFonts w:asciiTheme="minorHAnsi" w:eastAsiaTheme="minorEastAsia" w:hAnsiTheme="minorHAnsi" w:cstheme="minorBidi"/>
          <w:caps w:val="0"/>
          <w:noProof/>
          <w:color w:val="auto"/>
          <w:spacing w:val="0"/>
          <w:sz w:val="22"/>
          <w:szCs w:val="22"/>
          <w:u w:val="none"/>
          <w:lang w:eastAsia="en-AU"/>
        </w:rPr>
      </w:pPr>
      <w:hyperlink w:anchor="_Toc85203322" w:history="1">
        <w:r w:rsidR="00A928C2" w:rsidRPr="00616667">
          <w:rPr>
            <w:rStyle w:val="Hyperlink"/>
            <w:noProof/>
          </w:rPr>
          <w:t>7</w:t>
        </w:r>
        <w:r w:rsidR="00A928C2">
          <w:rPr>
            <w:rFonts w:asciiTheme="minorHAnsi" w:eastAsiaTheme="minorEastAsia" w:hAnsiTheme="minorHAnsi" w:cstheme="minorBidi"/>
            <w:caps w:val="0"/>
            <w:noProof/>
            <w:color w:val="auto"/>
            <w:spacing w:val="0"/>
            <w:sz w:val="22"/>
            <w:szCs w:val="22"/>
            <w:u w:val="none"/>
            <w:lang w:eastAsia="en-AU"/>
          </w:rPr>
          <w:tab/>
        </w:r>
        <w:r w:rsidR="00A928C2" w:rsidRPr="00616667">
          <w:rPr>
            <w:rStyle w:val="Hyperlink"/>
            <w:noProof/>
          </w:rPr>
          <w:t>References</w:t>
        </w:r>
        <w:r w:rsidR="00A928C2">
          <w:rPr>
            <w:noProof/>
            <w:webHidden/>
          </w:rPr>
          <w:tab/>
        </w:r>
        <w:r w:rsidR="00A928C2">
          <w:rPr>
            <w:noProof/>
            <w:webHidden/>
          </w:rPr>
          <w:fldChar w:fldCharType="begin"/>
        </w:r>
        <w:r w:rsidR="00A928C2">
          <w:rPr>
            <w:noProof/>
            <w:webHidden/>
          </w:rPr>
          <w:instrText xml:space="preserve"> PAGEREF _Toc85203322 \h </w:instrText>
        </w:r>
        <w:r w:rsidR="00A928C2">
          <w:rPr>
            <w:noProof/>
            <w:webHidden/>
          </w:rPr>
        </w:r>
        <w:r w:rsidR="00A928C2">
          <w:rPr>
            <w:noProof/>
            <w:webHidden/>
          </w:rPr>
          <w:fldChar w:fldCharType="separate"/>
        </w:r>
        <w:r w:rsidR="00C50B67">
          <w:rPr>
            <w:noProof/>
            <w:webHidden/>
          </w:rPr>
          <w:t>87</w:t>
        </w:r>
        <w:r w:rsidR="00A928C2">
          <w:rPr>
            <w:noProof/>
            <w:webHidden/>
          </w:rPr>
          <w:fldChar w:fldCharType="end"/>
        </w:r>
      </w:hyperlink>
    </w:p>
    <w:p w14:paraId="7E7ABC6D" w14:textId="5C9B2227" w:rsidR="003B3C06" w:rsidRPr="00150F81" w:rsidRDefault="00BD7746" w:rsidP="00150F81">
      <w:r>
        <w:rPr>
          <w:rFonts w:asciiTheme="majorHAnsi" w:hAnsiTheme="majorHAnsi" w:cs="Times New Roman"/>
          <w:color w:val="000000" w:themeColor="text1"/>
          <w:sz w:val="28"/>
          <w:szCs w:val="20"/>
          <w:u w:val="single"/>
        </w:rPr>
        <w:fldChar w:fldCharType="end"/>
      </w:r>
    </w:p>
    <w:p w14:paraId="459B9CEE" w14:textId="77777777" w:rsidR="003B3C06" w:rsidRPr="00150F81" w:rsidRDefault="003B3C06" w:rsidP="00150F81"/>
    <w:p w14:paraId="7DE02FB2" w14:textId="77777777" w:rsidR="003B3C06" w:rsidRPr="00150F81" w:rsidRDefault="003B3C06" w:rsidP="00150F81">
      <w:pPr>
        <w:sectPr w:rsidR="003B3C06" w:rsidRPr="00150F81" w:rsidSect="00D67E4D">
          <w:headerReference w:type="even" r:id="rId17"/>
          <w:headerReference w:type="default" r:id="rId18"/>
          <w:pgSz w:w="16840" w:h="11901" w:orient="landscape" w:code="9"/>
          <w:pgMar w:top="737" w:right="1304" w:bottom="1134" w:left="737" w:header="567" w:footer="284" w:gutter="0"/>
          <w:pgNumType w:start="0"/>
          <w:cols w:num="2" w:space="708"/>
          <w:formProt w:val="0"/>
          <w:docGrid w:linePitch="272"/>
        </w:sectPr>
      </w:pPr>
    </w:p>
    <w:p w14:paraId="2770D164" w14:textId="77777777" w:rsidR="003B3C06" w:rsidRDefault="00047030" w:rsidP="00CB14E9">
      <w:pPr>
        <w:pStyle w:val="ES-Heading1"/>
        <w:framePr w:wrap="around"/>
      </w:pPr>
      <w:bookmarkStart w:id="0" w:name="_Toc85203256"/>
      <w:r>
        <w:lastRenderedPageBreak/>
        <w:t>Abbreviations</w:t>
      </w:r>
      <w:bookmarkEnd w:id="0"/>
    </w:p>
    <w:tbl>
      <w:tblPr>
        <w:tblStyle w:val="HMATable-Abbreviations"/>
        <w:tblW w:w="5232" w:type="pct"/>
        <w:tblLayout w:type="fixed"/>
        <w:tblLook w:val="00A0" w:firstRow="1" w:lastRow="0" w:firstColumn="1" w:lastColumn="0" w:noHBand="0" w:noVBand="0"/>
        <w:tblCaption w:val="Header"/>
      </w:tblPr>
      <w:tblGrid>
        <w:gridCol w:w="1701"/>
        <w:gridCol w:w="5670"/>
      </w:tblGrid>
      <w:tr w:rsidR="00CA160C" w:rsidRPr="006A731F" w14:paraId="34C537F4" w14:textId="77777777" w:rsidTr="00010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1D5CA55" w14:textId="77777777" w:rsidR="00CA160C" w:rsidRPr="001F249F" w:rsidRDefault="00CA160C" w:rsidP="007A3EEA">
            <w:pPr>
              <w:rPr>
                <w:b/>
                <w:bCs/>
              </w:rPr>
            </w:pPr>
            <w:r w:rsidRPr="001F249F">
              <w:rPr>
                <w:b/>
                <w:bCs/>
              </w:rPr>
              <w:t>Abbreviation</w:t>
            </w:r>
          </w:p>
        </w:tc>
        <w:tc>
          <w:tcPr>
            <w:tcW w:w="5670" w:type="dxa"/>
          </w:tcPr>
          <w:p w14:paraId="01BFC3BF" w14:textId="77777777" w:rsidR="00CA160C" w:rsidRPr="001F249F" w:rsidRDefault="00CA160C" w:rsidP="007A3EEA">
            <w:pPr>
              <w:cnfStyle w:val="100000000000" w:firstRow="1" w:lastRow="0" w:firstColumn="0" w:lastColumn="0" w:oddVBand="0" w:evenVBand="0" w:oddHBand="0" w:evenHBand="0" w:firstRowFirstColumn="0" w:firstRowLastColumn="0" w:lastRowFirstColumn="0" w:lastRowLastColumn="0"/>
              <w:rPr>
                <w:rFonts w:asciiTheme="minorHAnsi" w:hAnsiTheme="minorHAnsi"/>
                <w:b/>
                <w:bCs/>
                <w:caps w:val="0"/>
              </w:rPr>
            </w:pPr>
            <w:r w:rsidRPr="001F249F">
              <w:rPr>
                <w:rFonts w:asciiTheme="minorHAnsi" w:hAnsiTheme="minorHAnsi"/>
                <w:b/>
                <w:bCs/>
                <w:caps w:val="0"/>
              </w:rPr>
              <w:t>Definition</w:t>
            </w:r>
          </w:p>
        </w:tc>
      </w:tr>
      <w:tr w:rsidR="00CA160C" w:rsidRPr="006A731F" w14:paraId="6779A6E0"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0D0053A5" w14:textId="77777777" w:rsidR="00CA160C" w:rsidRPr="006A731F" w:rsidRDefault="00CA160C" w:rsidP="007A3EEA">
            <w:r w:rsidRPr="00B340CB">
              <w:t>ACCHO</w:t>
            </w:r>
          </w:p>
        </w:tc>
        <w:tc>
          <w:tcPr>
            <w:tcW w:w="5670" w:type="dxa"/>
            <w:vAlign w:val="top"/>
          </w:tcPr>
          <w:p w14:paraId="6095A221"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Aboriginal Community Controlled Health Organisation</w:t>
            </w:r>
          </w:p>
        </w:tc>
      </w:tr>
      <w:tr w:rsidR="00CA160C" w:rsidRPr="006A731F" w14:paraId="31037B95"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4103C5E1" w14:textId="77777777" w:rsidR="00CA160C" w:rsidRDefault="00CA160C" w:rsidP="007A3EEA">
            <w:r>
              <w:t>AHPRA</w:t>
            </w:r>
          </w:p>
        </w:tc>
        <w:tc>
          <w:tcPr>
            <w:tcW w:w="5670" w:type="dxa"/>
            <w:vAlign w:val="top"/>
          </w:tcPr>
          <w:p w14:paraId="48CB0ECC" w14:textId="77777777" w:rsidR="00CA160C" w:rsidRDefault="00CA160C" w:rsidP="007A3EEA">
            <w:pPr>
              <w:cnfStyle w:val="000000000000" w:firstRow="0" w:lastRow="0" w:firstColumn="0" w:lastColumn="0" w:oddVBand="0" w:evenVBand="0" w:oddHBand="0" w:evenHBand="0" w:firstRowFirstColumn="0" w:firstRowLastColumn="0" w:lastRowFirstColumn="0" w:lastRowLastColumn="0"/>
            </w:pPr>
            <w:r>
              <w:t>Australian Health Practitioner Regulation Agency</w:t>
            </w:r>
          </w:p>
        </w:tc>
      </w:tr>
      <w:tr w:rsidR="00CA160C" w:rsidRPr="006A731F" w14:paraId="0664A59D"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59F2A8CB" w14:textId="77777777" w:rsidR="00CA160C" w:rsidRPr="006A731F" w:rsidRDefault="00CA160C" w:rsidP="007A3EEA">
            <w:r w:rsidRPr="00B340CB">
              <w:t>COAG</w:t>
            </w:r>
          </w:p>
        </w:tc>
        <w:tc>
          <w:tcPr>
            <w:tcW w:w="5670" w:type="dxa"/>
            <w:vAlign w:val="top"/>
          </w:tcPr>
          <w:p w14:paraId="4D425FDE"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Council of Australian Governments</w:t>
            </w:r>
          </w:p>
        </w:tc>
      </w:tr>
      <w:tr w:rsidR="00CA160C" w:rsidRPr="006A731F" w14:paraId="3FBA4632"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5E3222F8" w14:textId="77777777" w:rsidR="00CA160C" w:rsidRPr="006A731F" w:rsidRDefault="00CA160C" w:rsidP="007A3EEA">
            <w:r w:rsidRPr="00B340CB">
              <w:t>Department, the</w:t>
            </w:r>
          </w:p>
        </w:tc>
        <w:tc>
          <w:tcPr>
            <w:tcW w:w="5670" w:type="dxa"/>
            <w:vAlign w:val="top"/>
          </w:tcPr>
          <w:p w14:paraId="44746101"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Australian Government Department of Health</w:t>
            </w:r>
          </w:p>
        </w:tc>
      </w:tr>
      <w:tr w:rsidR="00613C43" w:rsidRPr="006A731F" w14:paraId="377F11DA"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174B631A" w14:textId="591AD8FA" w:rsidR="00613C43" w:rsidRDefault="00613C43" w:rsidP="007A3EEA">
            <w:r>
              <w:t>ED</w:t>
            </w:r>
          </w:p>
        </w:tc>
        <w:tc>
          <w:tcPr>
            <w:tcW w:w="5670" w:type="dxa"/>
            <w:vAlign w:val="top"/>
          </w:tcPr>
          <w:p w14:paraId="42259983" w14:textId="31360BEF" w:rsidR="00613C43" w:rsidRDefault="00613C43" w:rsidP="007A3EEA">
            <w:pPr>
              <w:cnfStyle w:val="000000000000" w:firstRow="0" w:lastRow="0" w:firstColumn="0" w:lastColumn="0" w:oddVBand="0" w:evenVBand="0" w:oddHBand="0" w:evenHBand="0" w:firstRowFirstColumn="0" w:firstRowLastColumn="0" w:lastRowFirstColumn="0" w:lastRowLastColumn="0"/>
            </w:pPr>
            <w:r>
              <w:t>Emergency department</w:t>
            </w:r>
          </w:p>
        </w:tc>
      </w:tr>
      <w:tr w:rsidR="001E75D0" w:rsidRPr="006A731F" w14:paraId="722AEF40"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5A3535C6" w14:textId="6D1A5AA0" w:rsidR="001E75D0" w:rsidRDefault="001E75D0" w:rsidP="007A3EEA">
            <w:r>
              <w:t>GIRS</w:t>
            </w:r>
          </w:p>
        </w:tc>
        <w:tc>
          <w:tcPr>
            <w:tcW w:w="5670" w:type="dxa"/>
            <w:vAlign w:val="top"/>
          </w:tcPr>
          <w:p w14:paraId="465CD382" w14:textId="2629B0A9" w:rsidR="001E75D0" w:rsidRDefault="001E75D0" w:rsidP="007A3EEA">
            <w:pPr>
              <w:cnfStyle w:val="000000000000" w:firstRow="0" w:lastRow="0" w:firstColumn="0" w:lastColumn="0" w:oddVBand="0" w:evenVBand="0" w:oddHBand="0" w:evenHBand="0" w:firstRowFirstColumn="0" w:firstRowLastColumn="0" w:lastRowFirstColumn="0" w:lastRowLastColumn="0"/>
            </w:pPr>
            <w:r>
              <w:t>Geographic Index of Relative Supply</w:t>
            </w:r>
          </w:p>
        </w:tc>
      </w:tr>
      <w:tr w:rsidR="00CA160C" w:rsidRPr="006A731F" w14:paraId="247B6BDD"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51E5266E" w14:textId="77777777" w:rsidR="00CA160C" w:rsidRPr="006A731F" w:rsidRDefault="00CA160C" w:rsidP="007A3EEA">
            <w:r>
              <w:t>GP</w:t>
            </w:r>
          </w:p>
        </w:tc>
        <w:tc>
          <w:tcPr>
            <w:tcW w:w="5670" w:type="dxa"/>
            <w:vAlign w:val="top"/>
          </w:tcPr>
          <w:p w14:paraId="5F002AEB"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t>General Practitioner</w:t>
            </w:r>
          </w:p>
        </w:tc>
      </w:tr>
      <w:tr w:rsidR="00CA160C" w:rsidRPr="006A731F" w14:paraId="402D1E5E"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2DE5C5BE" w14:textId="77777777" w:rsidR="00CA160C" w:rsidRPr="006A731F" w:rsidRDefault="00CA160C" w:rsidP="007A3EEA">
            <w:r w:rsidRPr="00B340CB">
              <w:t>HMA</w:t>
            </w:r>
          </w:p>
        </w:tc>
        <w:tc>
          <w:tcPr>
            <w:tcW w:w="5670" w:type="dxa"/>
            <w:vAlign w:val="top"/>
          </w:tcPr>
          <w:p w14:paraId="62DFD64C"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Healthcare Management Advisors</w:t>
            </w:r>
          </w:p>
        </w:tc>
      </w:tr>
      <w:tr w:rsidR="00CA160C" w:rsidRPr="006A731F" w14:paraId="6032FB55"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1DF2C030" w14:textId="77777777" w:rsidR="00CA160C" w:rsidRDefault="00CA160C" w:rsidP="007A3EEA">
            <w:r>
              <w:t>IAHP</w:t>
            </w:r>
          </w:p>
        </w:tc>
        <w:tc>
          <w:tcPr>
            <w:tcW w:w="5670" w:type="dxa"/>
            <w:vAlign w:val="top"/>
          </w:tcPr>
          <w:p w14:paraId="04C3A238" w14:textId="77777777" w:rsidR="00CA160C" w:rsidRDefault="00CA160C" w:rsidP="007A3EEA">
            <w:pPr>
              <w:cnfStyle w:val="000000000000" w:firstRow="0" w:lastRow="0" w:firstColumn="0" w:lastColumn="0" w:oddVBand="0" w:evenVBand="0" w:oddHBand="0" w:evenHBand="0" w:firstRowFirstColumn="0" w:firstRowLastColumn="0" w:lastRowFirstColumn="0" w:lastRowLastColumn="0"/>
            </w:pPr>
            <w:r>
              <w:t>Indigenous Australians’ Health Program</w:t>
            </w:r>
          </w:p>
        </w:tc>
      </w:tr>
      <w:tr w:rsidR="00CA160C" w:rsidRPr="006A731F" w14:paraId="4F09CE74"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1EE0E68A" w14:textId="77777777" w:rsidR="00CA160C" w:rsidRPr="006A731F" w:rsidRDefault="00CA160C" w:rsidP="007A3EEA">
            <w:r>
              <w:t>Initiative, the</w:t>
            </w:r>
          </w:p>
        </w:tc>
        <w:tc>
          <w:tcPr>
            <w:tcW w:w="5670" w:type="dxa"/>
            <w:vAlign w:val="top"/>
          </w:tcPr>
          <w:p w14:paraId="34F8FCDF" w14:textId="60C54629"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t xml:space="preserve">Section 19(2) </w:t>
            </w:r>
            <w:r w:rsidR="000103BA">
              <w:t xml:space="preserve">COAG </w:t>
            </w:r>
            <w:r>
              <w:t>Exemption</w:t>
            </w:r>
            <w:r w:rsidR="0014271A">
              <w:t>s</w:t>
            </w:r>
            <w:r>
              <w:t xml:space="preserve"> Initiative</w:t>
            </w:r>
            <w:r w:rsidR="000103BA">
              <w:t xml:space="preserve"> (other references to S 19 (2) exemptions refer to non-COAG exemptions)</w:t>
            </w:r>
          </w:p>
        </w:tc>
      </w:tr>
      <w:tr w:rsidR="00CA160C" w:rsidRPr="006A731F" w14:paraId="34266877"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3E849ADE" w14:textId="77777777" w:rsidR="00CA160C" w:rsidRPr="006A731F" w:rsidRDefault="00CA160C" w:rsidP="007A3EEA">
            <w:r w:rsidRPr="00B340CB">
              <w:t>LHN</w:t>
            </w:r>
          </w:p>
        </w:tc>
        <w:tc>
          <w:tcPr>
            <w:tcW w:w="5670" w:type="dxa"/>
            <w:vAlign w:val="top"/>
          </w:tcPr>
          <w:p w14:paraId="003609E6"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Local Health Network</w:t>
            </w:r>
          </w:p>
        </w:tc>
      </w:tr>
      <w:tr w:rsidR="00CA160C" w:rsidRPr="006A731F" w14:paraId="4E17EE72"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408261A4" w14:textId="77777777" w:rsidR="00CA160C" w:rsidRPr="006A731F" w:rsidRDefault="00CA160C" w:rsidP="007A3EEA">
            <w:r w:rsidRPr="00B340CB">
              <w:t>MBS</w:t>
            </w:r>
          </w:p>
        </w:tc>
        <w:tc>
          <w:tcPr>
            <w:tcW w:w="5670" w:type="dxa"/>
            <w:vAlign w:val="top"/>
          </w:tcPr>
          <w:p w14:paraId="64E8B295"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Medical Benefits Schedule</w:t>
            </w:r>
          </w:p>
        </w:tc>
      </w:tr>
      <w:tr w:rsidR="00CA160C" w:rsidRPr="006A731F" w14:paraId="7C343045"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07236FF9" w14:textId="77777777" w:rsidR="00CA160C" w:rsidRPr="006A731F" w:rsidRDefault="00CA160C" w:rsidP="007A3EEA">
            <w:r w:rsidRPr="00B340CB">
              <w:t>MMM</w:t>
            </w:r>
          </w:p>
        </w:tc>
        <w:tc>
          <w:tcPr>
            <w:tcW w:w="5670" w:type="dxa"/>
            <w:vAlign w:val="top"/>
          </w:tcPr>
          <w:p w14:paraId="758B4DCA"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Modified Monash Model</w:t>
            </w:r>
            <w:r>
              <w:t xml:space="preserve"> of geographical location</w:t>
            </w:r>
          </w:p>
        </w:tc>
      </w:tr>
      <w:tr w:rsidR="00CA160C" w:rsidRPr="006A731F" w14:paraId="3BCCADBF"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792CCADD" w14:textId="77777777" w:rsidR="00CA160C" w:rsidRPr="006A731F" w:rsidRDefault="00CA160C" w:rsidP="007A3EEA">
            <w:r>
              <w:t>MOU</w:t>
            </w:r>
          </w:p>
        </w:tc>
        <w:tc>
          <w:tcPr>
            <w:tcW w:w="5670" w:type="dxa"/>
            <w:vAlign w:val="top"/>
          </w:tcPr>
          <w:p w14:paraId="466F6D9B"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Memorandum of Understanding</w:t>
            </w:r>
          </w:p>
        </w:tc>
      </w:tr>
      <w:tr w:rsidR="000A5288" w:rsidRPr="006A731F" w14:paraId="2C627AFE"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657AD039" w14:textId="06CDB0B6" w:rsidR="000A5288" w:rsidRDefault="000A5288" w:rsidP="007A3EEA">
            <w:r>
              <w:t>MPS</w:t>
            </w:r>
          </w:p>
        </w:tc>
        <w:tc>
          <w:tcPr>
            <w:tcW w:w="5670" w:type="dxa"/>
            <w:vAlign w:val="top"/>
          </w:tcPr>
          <w:p w14:paraId="33931391" w14:textId="48C8D2EC" w:rsidR="000A5288" w:rsidRPr="00ED3C8A" w:rsidRDefault="000A5288" w:rsidP="007A3EEA">
            <w:pPr>
              <w:cnfStyle w:val="000000000000" w:firstRow="0" w:lastRow="0" w:firstColumn="0" w:lastColumn="0" w:oddVBand="0" w:evenVBand="0" w:oddHBand="0" w:evenHBand="0" w:firstRowFirstColumn="0" w:firstRowLastColumn="0" w:lastRowFirstColumn="0" w:lastRowLastColumn="0"/>
            </w:pPr>
            <w:r>
              <w:t>Multipurpose Health Service</w:t>
            </w:r>
          </w:p>
        </w:tc>
      </w:tr>
      <w:tr w:rsidR="001E75D0" w:rsidRPr="006A731F" w14:paraId="38B4E535"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12B6AA17" w14:textId="66819EA6" w:rsidR="001E75D0" w:rsidRDefault="001E75D0" w:rsidP="007A3EEA">
            <w:r>
              <w:t>MSOAP</w:t>
            </w:r>
          </w:p>
        </w:tc>
        <w:tc>
          <w:tcPr>
            <w:tcW w:w="5670" w:type="dxa"/>
            <w:vAlign w:val="top"/>
          </w:tcPr>
          <w:p w14:paraId="04A7E97C" w14:textId="2A90705B" w:rsidR="001E75D0" w:rsidRPr="00ED3C8A" w:rsidRDefault="001E75D0" w:rsidP="007A3EEA">
            <w:pPr>
              <w:cnfStyle w:val="000000000000" w:firstRow="0" w:lastRow="0" w:firstColumn="0" w:lastColumn="0" w:oddVBand="0" w:evenVBand="0" w:oddHBand="0" w:evenHBand="0" w:firstRowFirstColumn="0" w:firstRowLastColumn="0" w:lastRowFirstColumn="0" w:lastRowLastColumn="0"/>
            </w:pPr>
            <w:r>
              <w:t>Medical Specialist Outreach Assistance Program</w:t>
            </w:r>
          </w:p>
        </w:tc>
      </w:tr>
      <w:tr w:rsidR="00CA160C" w:rsidRPr="006A731F" w14:paraId="64E2DDA7" w14:textId="77777777" w:rsidTr="000103BA">
        <w:trPr>
          <w:trHeight w:val="79"/>
        </w:trPr>
        <w:tc>
          <w:tcPr>
            <w:cnfStyle w:val="001000000000" w:firstRow="0" w:lastRow="0" w:firstColumn="1" w:lastColumn="0" w:oddVBand="0" w:evenVBand="0" w:oddHBand="0" w:evenHBand="0" w:firstRowFirstColumn="0" w:firstRowLastColumn="0" w:lastRowFirstColumn="0" w:lastRowLastColumn="0"/>
            <w:tcW w:w="1701" w:type="dxa"/>
            <w:vAlign w:val="top"/>
          </w:tcPr>
          <w:p w14:paraId="48DEAFAC" w14:textId="77777777" w:rsidR="00CA160C" w:rsidRPr="006A731F" w:rsidRDefault="00CA160C" w:rsidP="007A3EEA">
            <w:r w:rsidRPr="00B340CB">
              <w:t>NACCHO</w:t>
            </w:r>
          </w:p>
        </w:tc>
        <w:tc>
          <w:tcPr>
            <w:tcW w:w="5670" w:type="dxa"/>
            <w:vAlign w:val="top"/>
          </w:tcPr>
          <w:p w14:paraId="22064070"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National Aboriginal Community Controlled Health Organisation</w:t>
            </w:r>
          </w:p>
        </w:tc>
      </w:tr>
      <w:tr w:rsidR="00CA160C" w:rsidRPr="006A731F" w14:paraId="4279C30F"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6E5E4F1E" w14:textId="77777777" w:rsidR="00CA160C" w:rsidRPr="006A731F" w:rsidRDefault="00CA160C" w:rsidP="007A3EEA">
            <w:r>
              <w:t>NGO</w:t>
            </w:r>
          </w:p>
        </w:tc>
        <w:tc>
          <w:tcPr>
            <w:tcW w:w="5670" w:type="dxa"/>
            <w:vAlign w:val="top"/>
          </w:tcPr>
          <w:p w14:paraId="330E30FA"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t>Non-government organisation</w:t>
            </w:r>
          </w:p>
        </w:tc>
      </w:tr>
      <w:tr w:rsidR="00CA160C" w:rsidRPr="006A731F" w14:paraId="3CA52DD8"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77F9837A" w14:textId="77777777" w:rsidR="00CA160C" w:rsidRPr="006A731F" w:rsidRDefault="00CA160C" w:rsidP="007A3EEA">
            <w:r w:rsidRPr="00BE71B6">
              <w:t>PHN</w:t>
            </w:r>
          </w:p>
        </w:tc>
        <w:tc>
          <w:tcPr>
            <w:tcW w:w="5670" w:type="dxa"/>
            <w:vAlign w:val="top"/>
          </w:tcPr>
          <w:p w14:paraId="3A35CA78"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E71B6">
              <w:t>Primary Health Network</w:t>
            </w:r>
          </w:p>
        </w:tc>
      </w:tr>
      <w:tr w:rsidR="001E75D0" w:rsidRPr="006A731F" w14:paraId="39451C66"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6457FEFA" w14:textId="6E8A992F" w:rsidR="001E75D0" w:rsidRPr="00BE71B6" w:rsidRDefault="001E75D0" w:rsidP="007A3EEA">
            <w:r>
              <w:t>PHO</w:t>
            </w:r>
          </w:p>
        </w:tc>
        <w:tc>
          <w:tcPr>
            <w:tcW w:w="5670" w:type="dxa"/>
            <w:vAlign w:val="top"/>
          </w:tcPr>
          <w:p w14:paraId="1EDDAD11" w14:textId="089E757D" w:rsidR="001E75D0" w:rsidRPr="00BE71B6" w:rsidRDefault="001E75D0" w:rsidP="007A3EEA">
            <w:pPr>
              <w:cnfStyle w:val="000000000000" w:firstRow="0" w:lastRow="0" w:firstColumn="0" w:lastColumn="0" w:oddVBand="0" w:evenVBand="0" w:oddHBand="0" w:evenHBand="0" w:firstRowFirstColumn="0" w:firstRowLastColumn="0" w:lastRowFirstColumn="0" w:lastRowLastColumn="0"/>
            </w:pPr>
            <w:r>
              <w:t>Principal House Officer</w:t>
            </w:r>
          </w:p>
        </w:tc>
      </w:tr>
      <w:tr w:rsidR="00FE5465" w:rsidRPr="006A731F" w14:paraId="70516638"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7314ED6D" w14:textId="4D91D7EF" w:rsidR="00FE5465" w:rsidRPr="00B340CB" w:rsidRDefault="00FE5465" w:rsidP="007A3EEA">
            <w:r>
              <w:t>PMS</w:t>
            </w:r>
          </w:p>
        </w:tc>
        <w:tc>
          <w:tcPr>
            <w:tcW w:w="5670" w:type="dxa"/>
            <w:vAlign w:val="top"/>
          </w:tcPr>
          <w:p w14:paraId="04E56B48" w14:textId="24E15E17" w:rsidR="00FE5465" w:rsidRPr="00B340CB" w:rsidRDefault="00FE5465" w:rsidP="007A3EEA">
            <w:pPr>
              <w:cnfStyle w:val="000000000000" w:firstRow="0" w:lastRow="0" w:firstColumn="0" w:lastColumn="0" w:oddVBand="0" w:evenVBand="0" w:oddHBand="0" w:evenHBand="0" w:firstRowFirstColumn="0" w:firstRowLastColumn="0" w:lastRowFirstColumn="0" w:lastRowLastColumn="0"/>
            </w:pPr>
            <w:r>
              <w:t>Computer based patient management system</w:t>
            </w:r>
            <w:r w:rsidR="00325C2B">
              <w:t>,</w:t>
            </w:r>
            <w:r>
              <w:t xml:space="preserve"> e.g. Medical</w:t>
            </w:r>
            <w:r w:rsidR="00473E61">
              <w:t xml:space="preserve"> </w:t>
            </w:r>
            <w:r>
              <w:t>Director</w:t>
            </w:r>
          </w:p>
        </w:tc>
      </w:tr>
      <w:tr w:rsidR="001045B5" w:rsidRPr="006A731F" w14:paraId="071837BD"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78D837A1" w14:textId="06C09AA3" w:rsidR="001045B5" w:rsidRDefault="001045B5" w:rsidP="007A3EEA">
            <w:r>
              <w:t>RDAA</w:t>
            </w:r>
          </w:p>
        </w:tc>
        <w:tc>
          <w:tcPr>
            <w:tcW w:w="5670" w:type="dxa"/>
            <w:vAlign w:val="top"/>
          </w:tcPr>
          <w:p w14:paraId="19DB249C" w14:textId="7CA12A5D" w:rsidR="001045B5" w:rsidRDefault="001045B5" w:rsidP="007A3EEA">
            <w:pPr>
              <w:cnfStyle w:val="000000000000" w:firstRow="0" w:lastRow="0" w:firstColumn="0" w:lastColumn="0" w:oddVBand="0" w:evenVBand="0" w:oddHBand="0" w:evenHBand="0" w:firstRowFirstColumn="0" w:firstRowLastColumn="0" w:lastRowFirstColumn="0" w:lastRowLastColumn="0"/>
            </w:pPr>
            <w:r>
              <w:t>Rural Doctors Association of Australia</w:t>
            </w:r>
          </w:p>
        </w:tc>
      </w:tr>
      <w:tr w:rsidR="008D7514" w:rsidRPr="006A731F" w14:paraId="67362622"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78AC003B" w14:textId="702ED94A" w:rsidR="008D7514" w:rsidRDefault="008D7514" w:rsidP="007A3EEA">
            <w:r>
              <w:t>RFDS</w:t>
            </w:r>
          </w:p>
        </w:tc>
        <w:tc>
          <w:tcPr>
            <w:tcW w:w="5670" w:type="dxa"/>
            <w:vAlign w:val="top"/>
          </w:tcPr>
          <w:p w14:paraId="7991BE15" w14:textId="70E3EBCC" w:rsidR="008D7514" w:rsidRDefault="008D7514" w:rsidP="007A3EEA">
            <w:pPr>
              <w:cnfStyle w:val="000000000000" w:firstRow="0" w:lastRow="0" w:firstColumn="0" w:lastColumn="0" w:oddVBand="0" w:evenVBand="0" w:oddHBand="0" w:evenHBand="0" w:firstRowFirstColumn="0" w:firstRowLastColumn="0" w:lastRowFirstColumn="0" w:lastRowLastColumn="0"/>
            </w:pPr>
            <w:r>
              <w:t>Royal Flying Doctor Service</w:t>
            </w:r>
          </w:p>
        </w:tc>
      </w:tr>
      <w:tr w:rsidR="00006354" w:rsidRPr="006A731F" w14:paraId="331D5FD1"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15EA0813" w14:textId="48DD41ED" w:rsidR="00006354" w:rsidRPr="00B340CB" w:rsidRDefault="00006354" w:rsidP="007A3EEA">
            <w:r>
              <w:t>RFQ</w:t>
            </w:r>
          </w:p>
        </w:tc>
        <w:tc>
          <w:tcPr>
            <w:tcW w:w="5670" w:type="dxa"/>
            <w:vAlign w:val="top"/>
          </w:tcPr>
          <w:p w14:paraId="4E4473DA" w14:textId="44BE7B13" w:rsidR="00006354" w:rsidRPr="00B340CB" w:rsidRDefault="00006354" w:rsidP="007A3EEA">
            <w:pPr>
              <w:cnfStyle w:val="000000000000" w:firstRow="0" w:lastRow="0" w:firstColumn="0" w:lastColumn="0" w:oddVBand="0" w:evenVBand="0" w:oddHBand="0" w:evenHBand="0" w:firstRowFirstColumn="0" w:firstRowLastColumn="0" w:lastRowFirstColumn="0" w:lastRowLastColumn="0"/>
            </w:pPr>
            <w:r>
              <w:t>Request for Quotation</w:t>
            </w:r>
          </w:p>
        </w:tc>
      </w:tr>
      <w:tr w:rsidR="00B439E4" w:rsidRPr="006A731F" w14:paraId="40F2EE38"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5B89371F" w14:textId="6382A49E" w:rsidR="00B439E4" w:rsidRDefault="00B439E4" w:rsidP="007A3EEA">
            <w:r>
              <w:t>RG</w:t>
            </w:r>
          </w:p>
        </w:tc>
        <w:tc>
          <w:tcPr>
            <w:tcW w:w="5670" w:type="dxa"/>
            <w:vAlign w:val="top"/>
          </w:tcPr>
          <w:p w14:paraId="3A1489B0" w14:textId="3CBF3523" w:rsidR="00B439E4" w:rsidRDefault="00B439E4" w:rsidP="007A3EEA">
            <w:pPr>
              <w:cnfStyle w:val="000000000000" w:firstRow="0" w:lastRow="0" w:firstColumn="0" w:lastColumn="0" w:oddVBand="0" w:evenVBand="0" w:oddHBand="0" w:evenHBand="0" w:firstRowFirstColumn="0" w:firstRowLastColumn="0" w:lastRowFirstColumn="0" w:lastRowLastColumn="0"/>
            </w:pPr>
            <w:r>
              <w:t>Rural generalist</w:t>
            </w:r>
          </w:p>
        </w:tc>
      </w:tr>
      <w:tr w:rsidR="00ED3C8A" w:rsidRPr="006A731F" w14:paraId="0C9E39E7"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2C61EA16" w14:textId="0FC6F793" w:rsidR="00ED3C8A" w:rsidRDefault="00ED3C8A" w:rsidP="007A3EEA">
            <w:r>
              <w:t>RHOF</w:t>
            </w:r>
          </w:p>
        </w:tc>
        <w:tc>
          <w:tcPr>
            <w:tcW w:w="5670" w:type="dxa"/>
            <w:vAlign w:val="top"/>
          </w:tcPr>
          <w:p w14:paraId="435E1D7E" w14:textId="797BB2AA" w:rsidR="00ED3C8A" w:rsidRDefault="00ED3C8A" w:rsidP="007A3EEA">
            <w:pPr>
              <w:cnfStyle w:val="000000000000" w:firstRow="0" w:lastRow="0" w:firstColumn="0" w:lastColumn="0" w:oddVBand="0" w:evenVBand="0" w:oddHBand="0" w:evenHBand="0" w:firstRowFirstColumn="0" w:firstRowLastColumn="0" w:lastRowFirstColumn="0" w:lastRowLastColumn="0"/>
            </w:pPr>
            <w:r w:rsidRPr="00ED3C8A">
              <w:t>Rural Health Outreach Fund</w:t>
            </w:r>
          </w:p>
        </w:tc>
      </w:tr>
      <w:tr w:rsidR="001E75D0" w:rsidRPr="006A731F" w14:paraId="63F0138F"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79B8F9A1" w14:textId="5DA78754" w:rsidR="001E75D0" w:rsidRDefault="001E75D0" w:rsidP="007A3EEA">
            <w:r>
              <w:t>RVTS</w:t>
            </w:r>
          </w:p>
        </w:tc>
        <w:tc>
          <w:tcPr>
            <w:tcW w:w="5670" w:type="dxa"/>
            <w:vAlign w:val="top"/>
          </w:tcPr>
          <w:p w14:paraId="484D98EA" w14:textId="2B7C0C5D" w:rsidR="001E75D0" w:rsidRPr="00ED3C8A" w:rsidRDefault="001E75D0" w:rsidP="007A3EEA">
            <w:pPr>
              <w:cnfStyle w:val="000000000000" w:firstRow="0" w:lastRow="0" w:firstColumn="0" w:lastColumn="0" w:oddVBand="0" w:evenVBand="0" w:oddHBand="0" w:evenHBand="0" w:firstRowFirstColumn="0" w:firstRowLastColumn="0" w:lastRowFirstColumn="0" w:lastRowLastColumn="0"/>
            </w:pPr>
            <w:r>
              <w:t>Remote Vocational Training Scheme</w:t>
            </w:r>
          </w:p>
        </w:tc>
      </w:tr>
      <w:tr w:rsidR="00CA160C" w:rsidRPr="006A731F" w14:paraId="570AEED0"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27DC7F8D" w14:textId="77777777" w:rsidR="00CA160C" w:rsidRPr="006A731F" w:rsidRDefault="00CA160C" w:rsidP="007A3EEA">
            <w:r w:rsidRPr="00B340CB">
              <w:t>RWA</w:t>
            </w:r>
          </w:p>
        </w:tc>
        <w:tc>
          <w:tcPr>
            <w:tcW w:w="5670" w:type="dxa"/>
            <w:vAlign w:val="top"/>
          </w:tcPr>
          <w:p w14:paraId="51161405" w14:textId="77777777" w:rsidR="00CA160C" w:rsidRPr="00DD4580" w:rsidRDefault="00CA160C" w:rsidP="007A3EEA">
            <w:pPr>
              <w:cnfStyle w:val="000000000000" w:firstRow="0" w:lastRow="0" w:firstColumn="0" w:lastColumn="0" w:oddVBand="0" w:evenVBand="0" w:oddHBand="0" w:evenHBand="0" w:firstRowFirstColumn="0" w:firstRowLastColumn="0" w:lastRowFirstColumn="0" w:lastRowLastColumn="0"/>
            </w:pPr>
            <w:r w:rsidRPr="00B340CB">
              <w:t>Rural Workforce Agency</w:t>
            </w:r>
          </w:p>
        </w:tc>
      </w:tr>
      <w:tr w:rsidR="00DC06C2" w:rsidRPr="006A731F" w14:paraId="492853B0"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6A7FD67B" w14:textId="0A7725AA" w:rsidR="00DC06C2" w:rsidRPr="00B340CB" w:rsidRDefault="00DC06C2" w:rsidP="007A3EEA">
            <w:r>
              <w:t>S19(2)</w:t>
            </w:r>
          </w:p>
        </w:tc>
        <w:tc>
          <w:tcPr>
            <w:tcW w:w="5670" w:type="dxa"/>
            <w:vAlign w:val="top"/>
          </w:tcPr>
          <w:p w14:paraId="45542BFD" w14:textId="398AD4DE" w:rsidR="00DC06C2" w:rsidRPr="00B340CB" w:rsidRDefault="00DC06C2" w:rsidP="007A3EEA">
            <w:pPr>
              <w:cnfStyle w:val="000000000000" w:firstRow="0" w:lastRow="0" w:firstColumn="0" w:lastColumn="0" w:oddVBand="0" w:evenVBand="0" w:oddHBand="0" w:evenHBand="0" w:firstRowFirstColumn="0" w:firstRowLastColumn="0" w:lastRowFirstColumn="0" w:lastRowLastColumn="0"/>
            </w:pPr>
            <w:r>
              <w:t>Section 19(2) Exemptions Initiative</w:t>
            </w:r>
          </w:p>
        </w:tc>
      </w:tr>
      <w:tr w:rsidR="008D7514" w:rsidRPr="006A731F" w14:paraId="3A91478A"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4CF07FD0" w14:textId="2AD53A87" w:rsidR="008D7514" w:rsidRPr="00B340CB" w:rsidRDefault="008D7514" w:rsidP="007A3EEA">
            <w:r>
              <w:t>SOP</w:t>
            </w:r>
          </w:p>
        </w:tc>
        <w:tc>
          <w:tcPr>
            <w:tcW w:w="5670" w:type="dxa"/>
            <w:vAlign w:val="top"/>
          </w:tcPr>
          <w:p w14:paraId="4164294D" w14:textId="1A23DDF7" w:rsidR="008D7514" w:rsidRPr="00B340CB" w:rsidRDefault="008D7514" w:rsidP="007A3EEA">
            <w:pPr>
              <w:cnfStyle w:val="000000000000" w:firstRow="0" w:lastRow="0" w:firstColumn="0" w:lastColumn="0" w:oddVBand="0" w:evenVBand="0" w:oddHBand="0" w:evenHBand="0" w:firstRowFirstColumn="0" w:firstRowLastColumn="0" w:lastRowFirstColumn="0" w:lastRowLastColumn="0"/>
            </w:pPr>
            <w:r>
              <w:t>Standard operating procedure</w:t>
            </w:r>
          </w:p>
        </w:tc>
      </w:tr>
      <w:tr w:rsidR="001E75D0" w:rsidRPr="006A731F" w14:paraId="036EE495" w14:textId="77777777" w:rsidTr="000103BA">
        <w:tc>
          <w:tcPr>
            <w:cnfStyle w:val="001000000000" w:firstRow="0" w:lastRow="0" w:firstColumn="1" w:lastColumn="0" w:oddVBand="0" w:evenVBand="0" w:oddHBand="0" w:evenHBand="0" w:firstRowFirstColumn="0" w:firstRowLastColumn="0" w:lastRowFirstColumn="0" w:lastRowLastColumn="0"/>
            <w:tcW w:w="1701" w:type="dxa"/>
            <w:vAlign w:val="top"/>
          </w:tcPr>
          <w:p w14:paraId="0DF86F85" w14:textId="0FAA1E71" w:rsidR="001E75D0" w:rsidRPr="00B340CB" w:rsidRDefault="001E75D0" w:rsidP="007A3EEA">
            <w:r>
              <w:t>VMO</w:t>
            </w:r>
          </w:p>
        </w:tc>
        <w:tc>
          <w:tcPr>
            <w:tcW w:w="5670" w:type="dxa"/>
            <w:vAlign w:val="top"/>
          </w:tcPr>
          <w:p w14:paraId="0EDB0581" w14:textId="76F94420" w:rsidR="001E75D0" w:rsidRPr="00B340CB" w:rsidRDefault="001E75D0" w:rsidP="007A3EEA">
            <w:pPr>
              <w:cnfStyle w:val="000000000000" w:firstRow="0" w:lastRow="0" w:firstColumn="0" w:lastColumn="0" w:oddVBand="0" w:evenVBand="0" w:oddHBand="0" w:evenHBand="0" w:firstRowFirstColumn="0" w:firstRowLastColumn="0" w:lastRowFirstColumn="0" w:lastRowLastColumn="0"/>
            </w:pPr>
            <w:r>
              <w:t>Visiting medical officers</w:t>
            </w:r>
          </w:p>
        </w:tc>
      </w:tr>
      <w:tr w:rsidR="003B3C06" w:rsidRPr="006A731F" w14:paraId="7B4734F6" w14:textId="77777777" w:rsidTr="000103BA">
        <w:tc>
          <w:tcPr>
            <w:cnfStyle w:val="001000000000" w:firstRow="0" w:lastRow="0" w:firstColumn="1" w:lastColumn="0" w:oddVBand="0" w:evenVBand="0" w:oddHBand="0" w:evenHBand="0" w:firstRowFirstColumn="0" w:firstRowLastColumn="0" w:lastRowFirstColumn="0" w:lastRowLastColumn="0"/>
            <w:tcW w:w="1701" w:type="dxa"/>
          </w:tcPr>
          <w:p w14:paraId="11D16EC8" w14:textId="7647DCB8" w:rsidR="003B3C06" w:rsidRPr="006A731F" w:rsidRDefault="00CB0A4C" w:rsidP="006A731F">
            <w:r>
              <w:t>VRG</w:t>
            </w:r>
          </w:p>
        </w:tc>
        <w:tc>
          <w:tcPr>
            <w:tcW w:w="5670" w:type="dxa"/>
          </w:tcPr>
          <w:p w14:paraId="2A939851" w14:textId="389006BE" w:rsidR="003B3C06" w:rsidRPr="00DD4580" w:rsidRDefault="00CB0A4C" w:rsidP="006A731F">
            <w:pPr>
              <w:cnfStyle w:val="000000000000" w:firstRow="0" w:lastRow="0" w:firstColumn="0" w:lastColumn="0" w:oddVBand="0" w:evenVBand="0" w:oddHBand="0" w:evenHBand="0" w:firstRowFirstColumn="0" w:firstRowLastColumn="0" w:lastRowFirstColumn="0" w:lastRowLastColumn="0"/>
            </w:pPr>
            <w:r>
              <w:t>Virtual Rural Generalist program in NSW</w:t>
            </w:r>
          </w:p>
        </w:tc>
      </w:tr>
      <w:tr w:rsidR="00D76435" w:rsidRPr="006A731F" w14:paraId="44996F98" w14:textId="77777777" w:rsidTr="000103BA">
        <w:tc>
          <w:tcPr>
            <w:cnfStyle w:val="001000000000" w:firstRow="0" w:lastRow="0" w:firstColumn="1" w:lastColumn="0" w:oddVBand="0" w:evenVBand="0" w:oddHBand="0" w:evenHBand="0" w:firstRowFirstColumn="0" w:firstRowLastColumn="0" w:lastRowFirstColumn="0" w:lastRowLastColumn="0"/>
            <w:tcW w:w="1701" w:type="dxa"/>
          </w:tcPr>
          <w:p w14:paraId="72BC461B" w14:textId="1E4A95E3" w:rsidR="00D76435" w:rsidRDefault="00D76435" w:rsidP="006A731F">
            <w:r>
              <w:t>WACHS</w:t>
            </w:r>
          </w:p>
        </w:tc>
        <w:tc>
          <w:tcPr>
            <w:tcW w:w="5670" w:type="dxa"/>
          </w:tcPr>
          <w:p w14:paraId="3BDA6675" w14:textId="6D1CB97F" w:rsidR="00D76435" w:rsidRDefault="00D76435" w:rsidP="006A731F">
            <w:pPr>
              <w:cnfStyle w:val="000000000000" w:firstRow="0" w:lastRow="0" w:firstColumn="0" w:lastColumn="0" w:oddVBand="0" w:evenVBand="0" w:oddHBand="0" w:evenHBand="0" w:firstRowFirstColumn="0" w:firstRowLastColumn="0" w:lastRowFirstColumn="0" w:lastRowLastColumn="0"/>
            </w:pPr>
            <w:r>
              <w:t>Western Australian Country Health Service</w:t>
            </w:r>
          </w:p>
        </w:tc>
      </w:tr>
    </w:tbl>
    <w:p w14:paraId="0C131229" w14:textId="4CE3D25A" w:rsidR="0053103B" w:rsidRPr="00DC06C2" w:rsidRDefault="0053103B" w:rsidP="0053103B">
      <w:pPr>
        <w:tabs>
          <w:tab w:val="left" w:pos="1786"/>
        </w:tabs>
        <w:rPr>
          <w:sz w:val="4"/>
          <w:szCs w:val="4"/>
        </w:rPr>
      </w:pPr>
    </w:p>
    <w:p w14:paraId="159753FB" w14:textId="77777777" w:rsidR="00DF1FEB" w:rsidRPr="00DC06C2" w:rsidRDefault="00DF1FEB" w:rsidP="0053103B">
      <w:pPr>
        <w:pStyle w:val="ES-Heading1"/>
        <w:framePr w:wrap="around"/>
        <w:rPr>
          <w:sz w:val="20"/>
          <w:szCs w:val="8"/>
        </w:rPr>
        <w:sectPr w:rsidR="00DF1FEB" w:rsidRPr="00DC06C2" w:rsidSect="00E423E1">
          <w:headerReference w:type="default" r:id="rId19"/>
          <w:footerReference w:type="default" r:id="rId20"/>
          <w:pgSz w:w="16838" w:h="11906" w:orient="landscape" w:code="9"/>
          <w:pgMar w:top="737" w:right="1304" w:bottom="1134" w:left="737" w:header="567" w:footer="284" w:gutter="0"/>
          <w:pgNumType w:fmt="lowerRoman" w:start="1"/>
          <w:cols w:num="2" w:space="708"/>
          <w:docGrid w:linePitch="360"/>
        </w:sectPr>
      </w:pPr>
    </w:p>
    <w:p w14:paraId="299F21CA" w14:textId="131A8A05" w:rsidR="00892E8B" w:rsidRDefault="0053103B" w:rsidP="0053103B">
      <w:pPr>
        <w:pStyle w:val="ES-Heading1"/>
        <w:framePr w:wrap="around"/>
      </w:pPr>
      <w:bookmarkStart w:id="1" w:name="_Toc85203257"/>
      <w:r>
        <w:lastRenderedPageBreak/>
        <w:t xml:space="preserve">Executive </w:t>
      </w:r>
      <w:r w:rsidR="00DE5CEB">
        <w:t>s</w:t>
      </w:r>
      <w:r>
        <w:t>ummary</w:t>
      </w:r>
      <w:bookmarkEnd w:id="1"/>
    </w:p>
    <w:p w14:paraId="4284D385" w14:textId="15F8D4FD" w:rsidR="005F45D4" w:rsidRPr="005F45D4" w:rsidRDefault="005F45D4" w:rsidP="005F45D4">
      <w:pPr>
        <w:keepNext/>
        <w:keepLines/>
        <w:spacing w:after="240"/>
        <w:outlineLvl w:val="1"/>
        <w:rPr>
          <w:rFonts w:ascii="Franklin Gothic Book" w:eastAsia="Times New Roman" w:hAnsi="Franklin Gothic Book" w:cs="Times New Roman"/>
          <w:b/>
          <w:bCs/>
          <w:caps/>
          <w:color w:val="000000"/>
          <w:spacing w:val="-3"/>
          <w:sz w:val="32"/>
          <w:szCs w:val="26"/>
          <w:u w:val="single"/>
        </w:rPr>
      </w:pPr>
      <w:r w:rsidRPr="005F45D4">
        <w:rPr>
          <w:rFonts w:ascii="Franklin Gothic Book" w:eastAsia="Times New Roman" w:hAnsi="Franklin Gothic Book" w:cs="Times New Roman"/>
          <w:b/>
          <w:bCs/>
          <w:caps/>
          <w:color w:val="000000"/>
          <w:spacing w:val="-3"/>
          <w:sz w:val="32"/>
          <w:szCs w:val="26"/>
          <w:u w:val="single"/>
        </w:rPr>
        <w:t>Background</w:t>
      </w:r>
      <w:r w:rsidR="00ED6D74">
        <w:rPr>
          <w:rFonts w:ascii="Franklin Gothic Book" w:eastAsia="Times New Roman" w:hAnsi="Franklin Gothic Book" w:cs="Times New Roman"/>
          <w:b/>
          <w:bCs/>
          <w:caps/>
          <w:color w:val="000000"/>
          <w:spacing w:val="-3"/>
          <w:sz w:val="32"/>
          <w:szCs w:val="26"/>
          <w:u w:val="single"/>
        </w:rPr>
        <w:t xml:space="preserve"> to the evaluation</w:t>
      </w:r>
    </w:p>
    <w:p w14:paraId="0B713B0F" w14:textId="43B1E50E" w:rsidR="005F45D4" w:rsidRPr="005F45D4" w:rsidRDefault="005F45D4" w:rsidP="005F45D4">
      <w:pPr>
        <w:rPr>
          <w:rFonts w:eastAsia="Times New Roman" w:cs="Times New Roman"/>
          <w:color w:val="000000" w:themeColor="text1"/>
          <w:szCs w:val="20"/>
        </w:rPr>
      </w:pPr>
      <w:r w:rsidRPr="005F45D4">
        <w:rPr>
          <w:rFonts w:eastAsia="Times New Roman" w:cs="Times New Roman"/>
          <w:color w:val="000000" w:themeColor="text1"/>
          <w:szCs w:val="20"/>
        </w:rPr>
        <w:t xml:space="preserve">Section 19(2) of the </w:t>
      </w:r>
      <w:r w:rsidRPr="005F45D4">
        <w:rPr>
          <w:rFonts w:eastAsia="Times New Roman" w:cs="Times New Roman"/>
          <w:i/>
          <w:iCs/>
          <w:color w:val="000000" w:themeColor="text1"/>
          <w:szCs w:val="20"/>
        </w:rPr>
        <w:t xml:space="preserve">Health Insurance Act, 1973 </w:t>
      </w:r>
      <w:r w:rsidRPr="005F45D4">
        <w:rPr>
          <w:rFonts w:eastAsia="Times New Roman" w:cs="Times New Roman"/>
          <w:color w:val="000000" w:themeColor="text1"/>
          <w:szCs w:val="20"/>
        </w:rPr>
        <w:t xml:space="preserve">precludes state and territory health services claiming Medical Benefits for non-admitted, non-privately referred services delivered in hospitals, multipurpose services and community clinics. However, in 2006–2007 the Council of Australian Governments (COAG) introduced the </w:t>
      </w:r>
      <w:r w:rsidRPr="005F45D4">
        <w:rPr>
          <w:rFonts w:eastAsia="Times New Roman" w:cs="Times New Roman"/>
          <w:i/>
          <w:iCs/>
          <w:color w:val="000000" w:themeColor="text1"/>
          <w:szCs w:val="20"/>
        </w:rPr>
        <w:t xml:space="preserve">Section 19(2) </w:t>
      </w:r>
      <w:r w:rsidR="006278B1">
        <w:rPr>
          <w:rFonts w:eastAsia="Times New Roman" w:cs="Times New Roman"/>
          <w:i/>
          <w:iCs/>
          <w:color w:val="000000" w:themeColor="text1"/>
          <w:szCs w:val="20"/>
        </w:rPr>
        <w:t>Exemptions Initiative</w:t>
      </w:r>
      <w:r w:rsidRPr="005F45D4">
        <w:rPr>
          <w:rFonts w:eastAsia="Times New Roman" w:cs="Times New Roman"/>
          <w:i/>
          <w:iCs/>
          <w:color w:val="000000" w:themeColor="text1"/>
          <w:szCs w:val="20"/>
        </w:rPr>
        <w:t xml:space="preserve"> – Improving Access to Primary Care in Rural and Remote Areas Initiative</w:t>
      </w:r>
      <w:r w:rsidRPr="005F45D4">
        <w:rPr>
          <w:rFonts w:eastAsia="Times New Roman" w:cs="Times New Roman"/>
          <w:color w:val="000000" w:themeColor="text1"/>
          <w:szCs w:val="20"/>
        </w:rPr>
        <w:t xml:space="preserve"> (the Initiative) with the objectives of: </w:t>
      </w:r>
    </w:p>
    <w:p w14:paraId="11F36A78" w14:textId="77777777" w:rsidR="005F45D4" w:rsidRPr="005F45D4" w:rsidRDefault="005F45D4" w:rsidP="005F45D4">
      <w:pPr>
        <w:pStyle w:val="Numbers20"/>
        <w:numPr>
          <w:ilvl w:val="0"/>
          <w:numId w:val="43"/>
        </w:numPr>
      </w:pPr>
      <w:r w:rsidRPr="005F45D4">
        <w:t xml:space="preserve">improving access to primary care for people living in rural and remote areas </w:t>
      </w:r>
    </w:p>
    <w:p w14:paraId="42484407" w14:textId="77777777" w:rsidR="005F45D4" w:rsidRPr="005F45D4" w:rsidRDefault="005F45D4" w:rsidP="005F45D4">
      <w:pPr>
        <w:pStyle w:val="Numbers20"/>
        <w:numPr>
          <w:ilvl w:val="0"/>
          <w:numId w:val="43"/>
        </w:numPr>
      </w:pPr>
      <w:r w:rsidRPr="005F45D4">
        <w:t xml:space="preserve">supporting participating sites to attract and retain a relevant primary healthcare workforce, and </w:t>
      </w:r>
    </w:p>
    <w:p w14:paraId="6966907D" w14:textId="77777777" w:rsidR="005F45D4" w:rsidRPr="005F45D4" w:rsidRDefault="005F45D4" w:rsidP="005F45D4">
      <w:pPr>
        <w:pStyle w:val="Numbers20"/>
        <w:numPr>
          <w:ilvl w:val="0"/>
          <w:numId w:val="43"/>
        </w:numPr>
      </w:pPr>
      <w:r w:rsidRPr="005F45D4">
        <w:t xml:space="preserve">assisting with the sustainability of rural hospitals. </w:t>
      </w:r>
    </w:p>
    <w:p w14:paraId="142D8441" w14:textId="07E81A23" w:rsidR="005F45D4" w:rsidRPr="005F45D4" w:rsidRDefault="005F45D4" w:rsidP="005F45D4">
      <w:pPr>
        <w:spacing w:before="240"/>
        <w:rPr>
          <w:rFonts w:eastAsia="Times New Roman" w:cs="Times New Roman"/>
        </w:rPr>
      </w:pPr>
      <w:r w:rsidRPr="005F45D4">
        <w:rPr>
          <w:rFonts w:eastAsia="Times New Roman" w:cs="Times New Roman"/>
        </w:rPr>
        <w:t xml:space="preserve">The Initiative recognises that many people living in rural and remote areas throughout Australia face difficulties in gaining access to appropriate health professionals and </w:t>
      </w:r>
      <w:r w:rsidR="00E419DC">
        <w:rPr>
          <w:rFonts w:eastAsia="Times New Roman" w:cs="Times New Roman"/>
        </w:rPr>
        <w:t>healthcare</w:t>
      </w:r>
      <w:r w:rsidRPr="005F45D4">
        <w:rPr>
          <w:rFonts w:eastAsia="Times New Roman" w:cs="Times New Roman"/>
        </w:rPr>
        <w:t xml:space="preserve"> services in their community.</w:t>
      </w:r>
    </w:p>
    <w:p w14:paraId="34A2A6F5" w14:textId="39F047C7" w:rsidR="00CB3738" w:rsidRDefault="005F45D4" w:rsidP="005F45D4">
      <w:pPr>
        <w:rPr>
          <w:rFonts w:eastAsia="Times New Roman" w:cs="Times New Roman"/>
        </w:rPr>
      </w:pPr>
      <w:r w:rsidRPr="005F45D4">
        <w:rPr>
          <w:rFonts w:eastAsia="Times New Roman" w:cs="Times New Roman"/>
        </w:rPr>
        <w:t>In December 2020 there were 118 sites across four jurisdictions (New South Wales, Queensland, Western Australia and the Northern Territory) listed as participating in the Initiative</w:t>
      </w:r>
      <w:r w:rsidR="004538DC">
        <w:rPr>
          <w:rFonts w:eastAsia="Times New Roman" w:cs="Times New Roman"/>
        </w:rPr>
        <w:t>.</w:t>
      </w:r>
      <w:r w:rsidR="00E2069C">
        <w:rPr>
          <w:rFonts w:eastAsia="Times New Roman" w:cs="Times New Roman"/>
        </w:rPr>
        <w:t xml:space="preserve"> Two further jurisdictions are not fully engaged:</w:t>
      </w:r>
    </w:p>
    <w:p w14:paraId="00EF89C2" w14:textId="1C39884B" w:rsidR="00CB3738" w:rsidRPr="00CB3738" w:rsidRDefault="00CB3738" w:rsidP="00CB3738">
      <w:pPr>
        <w:numPr>
          <w:ilvl w:val="0"/>
          <w:numId w:val="4"/>
        </w:numPr>
        <w:rPr>
          <w:rFonts w:eastAsia="Times New Roman" w:cs="Times New Roman"/>
        </w:rPr>
      </w:pPr>
      <w:r w:rsidRPr="00CB3738">
        <w:rPr>
          <w:rFonts w:eastAsia="Times New Roman" w:cs="Times New Roman"/>
        </w:rPr>
        <w:t>South Australia continues to have a</w:t>
      </w:r>
      <w:r w:rsidR="00411BA5">
        <w:rPr>
          <w:rFonts w:eastAsia="Times New Roman" w:cs="Times New Roman"/>
        </w:rPr>
        <w:t xml:space="preserve"> Memorandum of Understanding (</w:t>
      </w:r>
      <w:r w:rsidRPr="00CB3738">
        <w:rPr>
          <w:rFonts w:eastAsia="Times New Roman" w:cs="Times New Roman"/>
        </w:rPr>
        <w:t>MOU</w:t>
      </w:r>
      <w:r w:rsidR="00411BA5">
        <w:rPr>
          <w:rFonts w:eastAsia="Times New Roman" w:cs="Times New Roman"/>
        </w:rPr>
        <w:t>)</w:t>
      </w:r>
      <w:r w:rsidRPr="00CB3738">
        <w:rPr>
          <w:rFonts w:eastAsia="Times New Roman" w:cs="Times New Roman"/>
        </w:rPr>
        <w:t xml:space="preserve"> with the Commonwealth but has yet to submit any site applications, and</w:t>
      </w:r>
    </w:p>
    <w:p w14:paraId="00848377" w14:textId="1BF2A477" w:rsidR="00CB3738" w:rsidRPr="00CB3738" w:rsidRDefault="00CB3738" w:rsidP="00CB3738">
      <w:pPr>
        <w:numPr>
          <w:ilvl w:val="0"/>
          <w:numId w:val="4"/>
        </w:numPr>
        <w:rPr>
          <w:rFonts w:eastAsia="Times New Roman" w:cs="Times New Roman"/>
        </w:rPr>
      </w:pPr>
      <w:r w:rsidRPr="00CB3738">
        <w:rPr>
          <w:rFonts w:eastAsia="Times New Roman" w:cs="Times New Roman"/>
        </w:rPr>
        <w:t xml:space="preserve">Victoria </w:t>
      </w:r>
      <w:r w:rsidR="00416976">
        <w:rPr>
          <w:rFonts w:eastAsia="Times New Roman" w:cs="Times New Roman"/>
        </w:rPr>
        <w:t xml:space="preserve">has finalised </w:t>
      </w:r>
      <w:r w:rsidRPr="00CB3738">
        <w:rPr>
          <w:rFonts w:eastAsia="Times New Roman" w:cs="Times New Roman"/>
        </w:rPr>
        <w:t>an MOU</w:t>
      </w:r>
      <w:r w:rsidR="00416976">
        <w:rPr>
          <w:rFonts w:eastAsia="Times New Roman" w:cs="Times New Roman"/>
        </w:rPr>
        <w:t xml:space="preserve"> </w:t>
      </w:r>
      <w:r w:rsidR="00416976" w:rsidRPr="00416976">
        <w:rPr>
          <w:rFonts w:eastAsia="Times New Roman" w:cs="Times New Roman"/>
        </w:rPr>
        <w:t>but there were no operational sites at the time this report was completed</w:t>
      </w:r>
      <w:r w:rsidRPr="00CB3738">
        <w:rPr>
          <w:rFonts w:eastAsia="Times New Roman" w:cs="Times New Roman"/>
        </w:rPr>
        <w:t>.</w:t>
      </w:r>
    </w:p>
    <w:p w14:paraId="313774C0" w14:textId="497838FF" w:rsidR="005F45D4" w:rsidRPr="005F45D4" w:rsidRDefault="005F45D4" w:rsidP="005F45D4">
      <w:pPr>
        <w:rPr>
          <w:rFonts w:eastAsia="Times New Roman" w:cs="Times New Roman"/>
        </w:rPr>
      </w:pPr>
      <w:r w:rsidRPr="005F45D4">
        <w:rPr>
          <w:rFonts w:eastAsia="Times New Roman" w:cs="Times New Roman"/>
        </w:rPr>
        <w:t xml:space="preserve">Medical Benefits Schedule (MBS) rebates received by </w:t>
      </w:r>
      <w:r w:rsidR="004538DC">
        <w:rPr>
          <w:rFonts w:eastAsia="Times New Roman" w:cs="Times New Roman"/>
        </w:rPr>
        <w:t>sites</w:t>
      </w:r>
      <w:r w:rsidRPr="005F45D4">
        <w:rPr>
          <w:rFonts w:eastAsia="Times New Roman" w:cs="Times New Roman"/>
        </w:rPr>
        <w:t xml:space="preserve"> under the Initiative in 2019–20 totalled $13.6 m.</w:t>
      </w:r>
    </w:p>
    <w:p w14:paraId="3786BA00" w14:textId="734FFDF0" w:rsidR="005F45D4" w:rsidRPr="005F45D4" w:rsidRDefault="005F45D4" w:rsidP="005F45D4">
      <w:pPr>
        <w:keepNext/>
        <w:keepLines/>
        <w:spacing w:before="200"/>
        <w:outlineLvl w:val="3"/>
        <w:rPr>
          <w:rFonts w:asciiTheme="majorHAnsi" w:eastAsia="Times New Roman" w:hAnsiTheme="majorHAnsi" w:cs="Times New Roman"/>
          <w:bCs/>
          <w:iCs/>
          <w:color w:val="000000"/>
          <w:spacing w:val="-3"/>
          <w:sz w:val="24"/>
          <w:szCs w:val="20"/>
        </w:rPr>
      </w:pPr>
      <w:r w:rsidRPr="005F45D4">
        <w:rPr>
          <w:rFonts w:asciiTheme="majorHAnsi" w:eastAsia="Times New Roman" w:hAnsiTheme="majorHAnsi" w:cs="Times New Roman"/>
          <w:bCs/>
          <w:iCs/>
          <w:color w:val="000000"/>
          <w:spacing w:val="-3"/>
          <w:sz w:val="24"/>
          <w:szCs w:val="20"/>
        </w:rPr>
        <w:t xml:space="preserve">Evaluation requirement and approach </w:t>
      </w:r>
    </w:p>
    <w:p w14:paraId="469A5A15" w14:textId="042AD92F" w:rsidR="005F45D4" w:rsidRPr="005F45D4" w:rsidRDefault="005F45D4" w:rsidP="005F45D4">
      <w:pPr>
        <w:rPr>
          <w:rFonts w:eastAsia="Times New Roman" w:cs="Times New Roman"/>
        </w:rPr>
      </w:pPr>
      <w:r w:rsidRPr="005F45D4">
        <w:rPr>
          <w:rFonts w:eastAsia="Times New Roman" w:cs="Times New Roman"/>
          <w:color w:val="000000" w:themeColor="text1"/>
          <w:szCs w:val="20"/>
        </w:rPr>
        <w:t>The MOU between the Commonwealth and participating jurisdictions states that</w:t>
      </w:r>
      <w:r w:rsidRPr="005F45D4">
        <w:rPr>
          <w:rFonts w:eastAsia="Times New Roman" w:cs="Times New Roman"/>
        </w:rPr>
        <w:t xml:space="preserve"> the Commonwealth will:</w:t>
      </w:r>
    </w:p>
    <w:p w14:paraId="2A7EA76E" w14:textId="77777777" w:rsidR="005F45D4" w:rsidRPr="005F45D4" w:rsidRDefault="005F45D4" w:rsidP="005F45D4">
      <w:pPr>
        <w:ind w:left="720"/>
        <w:rPr>
          <w:rFonts w:eastAsia="Times New Roman" w:cs="Times New Roman"/>
          <w:i/>
          <w:iCs/>
          <w:color w:val="000000" w:themeColor="text1"/>
          <w:szCs w:val="20"/>
        </w:rPr>
      </w:pPr>
      <w:r w:rsidRPr="005F45D4">
        <w:rPr>
          <w:rFonts w:eastAsia="Times New Roman" w:cs="Times New Roman"/>
          <w:i/>
          <w:iCs/>
          <w:color w:val="000000" w:themeColor="text1"/>
          <w:szCs w:val="20"/>
        </w:rPr>
        <w:t>‘Conduct an evaluation of the Initiative by 30 June 2020, in consultation with participating states and territories.’</w:t>
      </w:r>
    </w:p>
    <w:p w14:paraId="57E9EB98" w14:textId="77777777" w:rsidR="005F45D4" w:rsidRPr="005F45D4" w:rsidRDefault="005F45D4" w:rsidP="005F45D4">
      <w:pPr>
        <w:contextualSpacing/>
        <w:rPr>
          <w:rFonts w:eastAsia="Times New Roman" w:cs="Times New Roman"/>
          <w:color w:val="000000" w:themeColor="text1"/>
          <w:szCs w:val="20"/>
        </w:rPr>
      </w:pPr>
      <w:r w:rsidRPr="005F45D4">
        <w:rPr>
          <w:rFonts w:eastAsia="Times New Roman" w:cs="Times New Roman"/>
          <w:i/>
          <w:iCs/>
        </w:rPr>
        <w:t>’</w:t>
      </w:r>
      <w:r w:rsidRPr="005F45D4">
        <w:rPr>
          <w:rFonts w:eastAsia="Times New Roman" w:cs="Times New Roman"/>
          <w:color w:val="000000" w:themeColor="text1"/>
          <w:szCs w:val="20"/>
        </w:rPr>
        <w:t>The existing MOUs were varied by the Commonwealth in September 2020, extending the Initiative operation to 31 December 2021.</w:t>
      </w:r>
    </w:p>
    <w:p w14:paraId="44000EBE" w14:textId="77777777" w:rsidR="005F45D4" w:rsidRPr="005F45D4" w:rsidRDefault="005F45D4" w:rsidP="005F45D4">
      <w:pPr>
        <w:spacing w:before="240"/>
        <w:rPr>
          <w:rFonts w:eastAsia="Times New Roman" w:cs="Times New Roman"/>
          <w:color w:val="000000" w:themeColor="text1"/>
          <w:szCs w:val="20"/>
        </w:rPr>
      </w:pPr>
      <w:r w:rsidRPr="005F45D4">
        <w:rPr>
          <w:rFonts w:eastAsia="Times New Roman" w:cs="Times New Roman"/>
          <w:color w:val="000000" w:themeColor="text1"/>
          <w:szCs w:val="20"/>
        </w:rPr>
        <w:t xml:space="preserve">The Australian Government Department of Health (the Department) engaged consultants from Healthcare Management Advisors (HMA) to: </w:t>
      </w:r>
    </w:p>
    <w:p w14:paraId="514277C6" w14:textId="77777777" w:rsidR="005F45D4" w:rsidRPr="005F45D4" w:rsidRDefault="005F45D4" w:rsidP="005F45D4">
      <w:pPr>
        <w:spacing w:before="85" w:after="85" w:line="264" w:lineRule="atLeast"/>
        <w:ind w:left="284" w:right="284"/>
        <w:rPr>
          <w:rFonts w:ascii="Times New Roman" w:eastAsia="Times New Roman" w:hAnsi="Times New Roman" w:cs="Times New Roman"/>
          <w:i/>
          <w:iCs/>
          <w:color w:val="000000" w:themeColor="text1"/>
          <w:sz w:val="20"/>
        </w:rPr>
      </w:pPr>
      <w:r w:rsidRPr="005F45D4">
        <w:rPr>
          <w:rFonts w:ascii="Times New Roman" w:eastAsia="Times New Roman" w:hAnsi="Times New Roman" w:cs="Times New Roman"/>
          <w:i/>
          <w:iCs/>
          <w:color w:val="000000" w:themeColor="text1"/>
          <w:sz w:val="20"/>
        </w:rPr>
        <w:t>‘undertake a robust review of the COAG Section 19(2) Exemptions Initiative – Improving Access to Primary Care in Rural and Remote Areas (the Initiative) – to determine how the Initiative achieves its objectives’</w:t>
      </w:r>
    </w:p>
    <w:p w14:paraId="71035BA2" w14:textId="5DA60FB6" w:rsidR="005F45D4" w:rsidRPr="005F45D4" w:rsidRDefault="005F45D4" w:rsidP="005F45D4">
      <w:pPr>
        <w:keepNext/>
        <w:keepLines/>
        <w:spacing w:before="200"/>
        <w:outlineLvl w:val="3"/>
        <w:rPr>
          <w:rFonts w:asciiTheme="majorHAnsi" w:eastAsia="Times New Roman" w:hAnsiTheme="majorHAnsi" w:cs="Times New Roman"/>
          <w:bCs/>
          <w:iCs/>
          <w:color w:val="000000"/>
          <w:spacing w:val="-3"/>
          <w:sz w:val="24"/>
          <w:szCs w:val="20"/>
        </w:rPr>
      </w:pPr>
      <w:r w:rsidRPr="005F45D4">
        <w:rPr>
          <w:rFonts w:asciiTheme="majorHAnsi" w:eastAsia="Times New Roman" w:hAnsiTheme="majorHAnsi" w:cs="Times New Roman"/>
          <w:bCs/>
          <w:iCs/>
          <w:color w:val="000000"/>
          <w:spacing w:val="-3"/>
          <w:sz w:val="24"/>
          <w:szCs w:val="20"/>
        </w:rPr>
        <w:t xml:space="preserve">Evaluation </w:t>
      </w:r>
      <w:r>
        <w:rPr>
          <w:rFonts w:asciiTheme="majorHAnsi" w:eastAsia="Times New Roman" w:hAnsiTheme="majorHAnsi" w:cs="Times New Roman"/>
          <w:bCs/>
          <w:iCs/>
          <w:color w:val="000000"/>
          <w:spacing w:val="-3"/>
          <w:sz w:val="24"/>
          <w:szCs w:val="20"/>
        </w:rPr>
        <w:t>o</w:t>
      </w:r>
      <w:r w:rsidRPr="005F45D4">
        <w:rPr>
          <w:rFonts w:asciiTheme="majorHAnsi" w:eastAsia="Times New Roman" w:hAnsiTheme="majorHAnsi" w:cs="Times New Roman"/>
          <w:bCs/>
          <w:iCs/>
          <w:color w:val="000000"/>
          <w:spacing w:val="-3"/>
          <w:sz w:val="24"/>
          <w:szCs w:val="20"/>
        </w:rPr>
        <w:t>bjectives</w:t>
      </w:r>
      <w:r>
        <w:rPr>
          <w:rFonts w:asciiTheme="majorHAnsi" w:eastAsia="Times New Roman" w:hAnsiTheme="majorHAnsi" w:cs="Times New Roman"/>
          <w:bCs/>
          <w:iCs/>
          <w:color w:val="000000"/>
          <w:spacing w:val="-3"/>
          <w:sz w:val="24"/>
          <w:szCs w:val="20"/>
        </w:rPr>
        <w:t xml:space="preserve"> and method</w:t>
      </w:r>
    </w:p>
    <w:p w14:paraId="28DF4845" w14:textId="525D746B" w:rsidR="005F45D4" w:rsidRPr="005F45D4" w:rsidRDefault="005F45D4" w:rsidP="005F45D4">
      <w:pPr>
        <w:rPr>
          <w:rFonts w:eastAsia="Times New Roman" w:cs="Times New Roman"/>
        </w:rPr>
      </w:pPr>
      <w:r w:rsidRPr="005F45D4">
        <w:rPr>
          <w:rFonts w:eastAsia="Times New Roman" w:cs="Times New Roman"/>
        </w:rPr>
        <w:t xml:space="preserve">The aim of the evaluation, as specified in the project brief, </w:t>
      </w:r>
      <w:r>
        <w:rPr>
          <w:rFonts w:eastAsia="Times New Roman" w:cs="Times New Roman"/>
        </w:rPr>
        <w:t xml:space="preserve">was </w:t>
      </w:r>
      <w:r w:rsidRPr="005F45D4">
        <w:rPr>
          <w:rFonts w:eastAsia="Times New Roman" w:cs="Times New Roman"/>
        </w:rPr>
        <w:t xml:space="preserve">to determine the extent to which the Initiative </w:t>
      </w:r>
      <w:r>
        <w:rPr>
          <w:rFonts w:eastAsia="Times New Roman" w:cs="Times New Roman"/>
        </w:rPr>
        <w:t xml:space="preserve">was </w:t>
      </w:r>
      <w:r w:rsidRPr="005F45D4">
        <w:rPr>
          <w:rFonts w:eastAsia="Times New Roman" w:cs="Times New Roman"/>
        </w:rPr>
        <w:t xml:space="preserve">appropriate, effective, efficient and of quality and value. </w:t>
      </w:r>
    </w:p>
    <w:p w14:paraId="5B3D8869" w14:textId="70F01AAC" w:rsidR="005F45D4" w:rsidRPr="005F45D4" w:rsidRDefault="005F45D4" w:rsidP="005F45D4">
      <w:pPr>
        <w:rPr>
          <w:rFonts w:eastAsia="Times New Roman" w:cs="Times New Roman"/>
          <w:color w:val="000000" w:themeColor="text1"/>
          <w:szCs w:val="20"/>
        </w:rPr>
      </w:pPr>
      <w:r>
        <w:rPr>
          <w:rFonts w:eastAsia="Times New Roman" w:cs="Times New Roman"/>
          <w:color w:val="000000" w:themeColor="text1"/>
          <w:szCs w:val="20"/>
        </w:rPr>
        <w:t>T</w:t>
      </w:r>
      <w:r w:rsidRPr="005F45D4">
        <w:rPr>
          <w:rFonts w:eastAsia="Times New Roman" w:cs="Times New Roman"/>
          <w:color w:val="000000" w:themeColor="text1"/>
          <w:szCs w:val="20"/>
        </w:rPr>
        <w:t>o undertake the review, the following eight project stages w</w:t>
      </w:r>
      <w:r>
        <w:rPr>
          <w:rFonts w:eastAsia="Times New Roman" w:cs="Times New Roman"/>
          <w:color w:val="000000" w:themeColor="text1"/>
          <w:szCs w:val="20"/>
        </w:rPr>
        <w:t xml:space="preserve">ere </w:t>
      </w:r>
      <w:r w:rsidRPr="005F45D4">
        <w:rPr>
          <w:rFonts w:eastAsia="Times New Roman" w:cs="Times New Roman"/>
          <w:color w:val="000000" w:themeColor="text1"/>
          <w:szCs w:val="20"/>
        </w:rPr>
        <w:t>undertaken:</w:t>
      </w:r>
    </w:p>
    <w:p w14:paraId="3E785B0B" w14:textId="36ADE67A" w:rsidR="005F45D4" w:rsidRPr="005F45D4" w:rsidRDefault="005F45D4" w:rsidP="00ED6D74">
      <w:r w:rsidRPr="005F45D4">
        <w:rPr>
          <w:b/>
          <w:bCs/>
        </w:rPr>
        <w:t xml:space="preserve">Stage 1: </w:t>
      </w:r>
      <w:r w:rsidRPr="005F45D4">
        <w:rPr>
          <w:b/>
          <w:iCs/>
        </w:rPr>
        <w:t>Project planning</w:t>
      </w:r>
      <w:r w:rsidR="00C83ADF">
        <w:rPr>
          <w:b/>
          <w:iCs/>
        </w:rPr>
        <w:t>:</w:t>
      </w:r>
      <w:r w:rsidRPr="005F45D4">
        <w:rPr>
          <w:b/>
          <w:bCs/>
        </w:rPr>
        <w:t xml:space="preserve"> </w:t>
      </w:r>
      <w:r w:rsidRPr="005F45D4">
        <w:t>define</w:t>
      </w:r>
      <w:r w:rsidR="00411BA5">
        <w:t>d</w:t>
      </w:r>
      <w:r w:rsidRPr="005F45D4">
        <w:t xml:space="preserve"> the project scope, clarif</w:t>
      </w:r>
      <w:r w:rsidR="00411BA5">
        <w:t>ied</w:t>
      </w:r>
      <w:r w:rsidRPr="005F45D4">
        <w:t xml:space="preserve"> roles and responsibilities and formulate</w:t>
      </w:r>
      <w:r w:rsidR="00411BA5">
        <w:t>d</w:t>
      </w:r>
      <w:r w:rsidRPr="005F45D4">
        <w:t xml:space="preserve"> a detailed project management plan</w:t>
      </w:r>
      <w:r w:rsidR="00ED6D74">
        <w:t>.</w:t>
      </w:r>
      <w:r w:rsidRPr="005F45D4">
        <w:t xml:space="preserve"> </w:t>
      </w:r>
    </w:p>
    <w:p w14:paraId="2A4985FF" w14:textId="683326F1" w:rsidR="005F45D4" w:rsidRPr="005F45D4" w:rsidRDefault="005F45D4" w:rsidP="00ED6D74">
      <w:r w:rsidRPr="005F45D4">
        <w:rPr>
          <w:b/>
          <w:bCs/>
        </w:rPr>
        <w:t xml:space="preserve">Stage 2: </w:t>
      </w:r>
      <w:r w:rsidRPr="005F45D4">
        <w:rPr>
          <w:b/>
          <w:iCs/>
        </w:rPr>
        <w:t>Situation analysi</w:t>
      </w:r>
      <w:r w:rsidR="00ED6D74">
        <w:rPr>
          <w:b/>
          <w:iCs/>
        </w:rPr>
        <w:t xml:space="preserve">s: </w:t>
      </w:r>
      <w:r w:rsidR="00ED6D74" w:rsidRPr="00ED6D74">
        <w:rPr>
          <w:bCs/>
          <w:iCs/>
        </w:rPr>
        <w:t>develop</w:t>
      </w:r>
      <w:r w:rsidR="00411BA5">
        <w:rPr>
          <w:bCs/>
          <w:iCs/>
        </w:rPr>
        <w:t>ed</w:t>
      </w:r>
      <w:r w:rsidR="00ED6D74" w:rsidRPr="00ED6D74">
        <w:rPr>
          <w:bCs/>
          <w:iCs/>
        </w:rPr>
        <w:t xml:space="preserve"> a</w:t>
      </w:r>
      <w:r w:rsidR="00ED6D74">
        <w:rPr>
          <w:b/>
          <w:iCs/>
        </w:rPr>
        <w:t xml:space="preserve"> </w:t>
      </w:r>
      <w:r w:rsidRPr="005F45D4">
        <w:rPr>
          <w:bCs/>
          <w:iCs/>
        </w:rPr>
        <w:t>summary of current Initiative arrangements and issues for exploration during the evaluation</w:t>
      </w:r>
      <w:r w:rsidR="00ED6D74">
        <w:rPr>
          <w:bCs/>
          <w:iCs/>
        </w:rPr>
        <w:t>.</w:t>
      </w:r>
    </w:p>
    <w:p w14:paraId="0676BFDF" w14:textId="0CCE49FE" w:rsidR="005F45D4" w:rsidRPr="005F45D4" w:rsidRDefault="005F45D4" w:rsidP="00ED6D74">
      <w:r w:rsidRPr="005F45D4">
        <w:rPr>
          <w:b/>
          <w:bCs/>
        </w:rPr>
        <w:t>Stage 3: Evaluation plan</w:t>
      </w:r>
      <w:r>
        <w:rPr>
          <w:b/>
          <w:iCs/>
        </w:rPr>
        <w:t xml:space="preserve">: </w:t>
      </w:r>
      <w:r>
        <w:t>the</w:t>
      </w:r>
      <w:r w:rsidRPr="005F45D4">
        <w:t xml:space="preserve"> plan finalise</w:t>
      </w:r>
      <w:r w:rsidR="00ED6D74">
        <w:t>d</w:t>
      </w:r>
      <w:r w:rsidRPr="005F45D4">
        <w:t xml:space="preserve"> the evaluation questions</w:t>
      </w:r>
      <w:r w:rsidR="00ED6D74">
        <w:t>, specified</w:t>
      </w:r>
      <w:r w:rsidRPr="005F45D4">
        <w:t xml:space="preserve"> data sources</w:t>
      </w:r>
      <w:r w:rsidR="00ED6D74">
        <w:t xml:space="preserve"> and</w:t>
      </w:r>
      <w:r w:rsidRPr="005F45D4">
        <w:t xml:space="preserve"> data collection protocols</w:t>
      </w:r>
      <w:r w:rsidR="00ED6D74">
        <w:t>, and designed collection tools.</w:t>
      </w:r>
    </w:p>
    <w:p w14:paraId="6E663CDD" w14:textId="1C9EBF22" w:rsidR="005F45D4" w:rsidRPr="005F45D4" w:rsidRDefault="005F45D4" w:rsidP="00ED6D74">
      <w:r w:rsidRPr="005F45D4">
        <w:rPr>
          <w:b/>
          <w:bCs/>
        </w:rPr>
        <w:lastRenderedPageBreak/>
        <w:t>Stage 4:</w:t>
      </w:r>
      <w:r w:rsidRPr="005F45D4">
        <w:t xml:space="preserve"> </w:t>
      </w:r>
      <w:r w:rsidRPr="005F45D4">
        <w:rPr>
          <w:b/>
          <w:iCs/>
        </w:rPr>
        <w:t>Data collection</w:t>
      </w:r>
      <w:r w:rsidR="00C83ADF" w:rsidRPr="00C83ADF">
        <w:rPr>
          <w:b/>
          <w:bCs/>
        </w:rPr>
        <w:t>:</w:t>
      </w:r>
      <w:r>
        <w:rPr>
          <w:i/>
          <w:iCs/>
        </w:rPr>
        <w:t xml:space="preserve"> </w:t>
      </w:r>
      <w:r w:rsidRPr="005F45D4">
        <w:t>HM</w:t>
      </w:r>
      <w:r w:rsidR="00ED6D74">
        <w:t xml:space="preserve">A </w:t>
      </w:r>
      <w:r w:rsidRPr="005F45D4">
        <w:t>collect</w:t>
      </w:r>
      <w:r w:rsidR="00ED6D74">
        <w:t>ed</w:t>
      </w:r>
      <w:r w:rsidRPr="005F45D4">
        <w:t xml:space="preserve"> a range of qualitative and quantitative data via surveys and interviews conducted with relevant stakeholders. </w:t>
      </w:r>
      <w:r w:rsidR="00ED6D74">
        <w:t xml:space="preserve">We sought </w:t>
      </w:r>
      <w:r>
        <w:t xml:space="preserve">insights into the </w:t>
      </w:r>
      <w:r w:rsidRPr="005F45D4">
        <w:t xml:space="preserve">effectiveness of the Initiative from a range of stakeholder perspectives. </w:t>
      </w:r>
    </w:p>
    <w:p w14:paraId="7555B392" w14:textId="64D72B63" w:rsidR="005F45D4" w:rsidRPr="005F45D4" w:rsidRDefault="005F45D4" w:rsidP="00ED6D74">
      <w:r w:rsidRPr="005F45D4">
        <w:rPr>
          <w:b/>
          <w:bCs/>
        </w:rPr>
        <w:t xml:space="preserve">Stage 5: </w:t>
      </w:r>
      <w:r w:rsidRPr="005F45D4">
        <w:rPr>
          <w:b/>
          <w:iCs/>
        </w:rPr>
        <w:t>Case studies</w:t>
      </w:r>
      <w:r w:rsidR="00ED6D74" w:rsidRPr="00C83ADF">
        <w:rPr>
          <w:b/>
          <w:bCs/>
        </w:rPr>
        <w:t>:</w:t>
      </w:r>
      <w:r w:rsidR="00ED6D74" w:rsidRPr="00ED6D74">
        <w:t xml:space="preserve"> we </w:t>
      </w:r>
      <w:r w:rsidRPr="005F45D4">
        <w:t>conduct</w:t>
      </w:r>
      <w:r>
        <w:t>ed</w:t>
      </w:r>
      <w:r w:rsidRPr="005F45D4">
        <w:t xml:space="preserve"> a series of </w:t>
      </w:r>
      <w:r w:rsidR="00C83ADF">
        <w:t>10</w:t>
      </w:r>
      <w:r w:rsidRPr="005F45D4">
        <w:t xml:space="preserve"> case studies. These </w:t>
      </w:r>
      <w:r>
        <w:t xml:space="preserve">provided </w:t>
      </w:r>
      <w:r w:rsidRPr="005F45D4">
        <w:t xml:space="preserve">an in-depth understanding of how well sites </w:t>
      </w:r>
      <w:r>
        <w:t>were</w:t>
      </w:r>
      <w:r w:rsidRPr="005F45D4">
        <w:t xml:space="preserve"> able to meet the objectives of the </w:t>
      </w:r>
      <w:r>
        <w:t xml:space="preserve">Initiative </w:t>
      </w:r>
      <w:r w:rsidRPr="005F45D4">
        <w:t>and identif</w:t>
      </w:r>
      <w:r w:rsidR="00ED6D74">
        <w:t>ied</w:t>
      </w:r>
      <w:r w:rsidRPr="005F45D4">
        <w:t xml:space="preserve"> barriers to </w:t>
      </w:r>
      <w:r w:rsidR="00ED6D74">
        <w:t xml:space="preserve">the </w:t>
      </w:r>
      <w:r w:rsidRPr="005F45D4">
        <w:t xml:space="preserve">future success of the Initiative. </w:t>
      </w:r>
    </w:p>
    <w:p w14:paraId="73D6DBF3" w14:textId="7F223D1E" w:rsidR="005F45D4" w:rsidRPr="005F45D4" w:rsidRDefault="005F45D4" w:rsidP="00ED6D74">
      <w:r w:rsidRPr="005F45D4">
        <w:rPr>
          <w:b/>
          <w:bCs/>
        </w:rPr>
        <w:t>Stage 7: Information synthesis</w:t>
      </w:r>
      <w:r w:rsidR="00ED6D74">
        <w:rPr>
          <w:b/>
          <w:bCs/>
        </w:rPr>
        <w:t xml:space="preserve">: </w:t>
      </w:r>
      <w:r w:rsidR="00ED6D74" w:rsidRPr="00ED6D74">
        <w:t>t</w:t>
      </w:r>
      <w:r w:rsidRPr="005F45D4">
        <w:t>he project team triangulat</w:t>
      </w:r>
      <w:r w:rsidR="00ED6D74">
        <w:t xml:space="preserve">ed from the </w:t>
      </w:r>
      <w:r w:rsidRPr="005F45D4">
        <w:t xml:space="preserve">previous stages and </w:t>
      </w:r>
      <w:r w:rsidR="00ED6D74">
        <w:t>undertook an</w:t>
      </w:r>
      <w:r w:rsidRPr="005F45D4">
        <w:t xml:space="preserve"> evaluative </w:t>
      </w:r>
      <w:r w:rsidR="00ED6D74">
        <w:t xml:space="preserve">assessment of the </w:t>
      </w:r>
      <w:r w:rsidRPr="005F45D4">
        <w:t>Initiative</w:t>
      </w:r>
      <w:r w:rsidR="00C83ADF">
        <w:t>’s</w:t>
      </w:r>
      <w:r w:rsidRPr="005F45D4">
        <w:t xml:space="preserve"> performance</w:t>
      </w:r>
      <w:r w:rsidR="00ED6D74">
        <w:t>.</w:t>
      </w:r>
      <w:r w:rsidRPr="005F45D4">
        <w:t xml:space="preserve"> </w:t>
      </w:r>
    </w:p>
    <w:p w14:paraId="599E6659" w14:textId="5EBE62AE" w:rsidR="006F464F" w:rsidRDefault="005F45D4" w:rsidP="00ED6D74">
      <w:r w:rsidRPr="005F45D4">
        <w:rPr>
          <w:b/>
          <w:bCs/>
        </w:rPr>
        <w:t xml:space="preserve">Stage 8: </w:t>
      </w:r>
      <w:r w:rsidR="00ED6D74">
        <w:rPr>
          <w:b/>
          <w:bCs/>
        </w:rPr>
        <w:t xml:space="preserve">A final report was prepared </w:t>
      </w:r>
      <w:r w:rsidRPr="005F45D4">
        <w:t>incorporat</w:t>
      </w:r>
      <w:r w:rsidR="00ED6D74">
        <w:t xml:space="preserve">ing </w:t>
      </w:r>
      <w:r w:rsidRPr="005F45D4">
        <w:t>all key findings from the evaluation</w:t>
      </w:r>
      <w:r w:rsidR="00ED6D74">
        <w:t xml:space="preserve"> and options to</w:t>
      </w:r>
      <w:r w:rsidRPr="005F45D4">
        <w:t xml:space="preserve"> improve the Initiative for the future</w:t>
      </w:r>
      <w:r w:rsidR="00ED6D74">
        <w:t xml:space="preserve">. </w:t>
      </w:r>
      <w:r w:rsidR="006A76AE">
        <w:t xml:space="preserve">A draft of the final report was circulated to four participating jurisdictions and three engaged jurisdictions not actively participating. The final report incorporates </w:t>
      </w:r>
      <w:r w:rsidR="00EF0EE2">
        <w:t>feedback</w:t>
      </w:r>
      <w:r w:rsidR="006A76AE">
        <w:t xml:space="preserve"> from that process</w:t>
      </w:r>
      <w:r w:rsidR="00125152">
        <w:t>, including jurisdiction responses to the options suggested for program refinement,</w:t>
      </w:r>
    </w:p>
    <w:p w14:paraId="4A2FB56E" w14:textId="404F0FA0" w:rsidR="005F45D4" w:rsidRPr="005F45D4" w:rsidRDefault="0013531F" w:rsidP="00ED6D74">
      <w:pPr>
        <w:rPr>
          <w:b/>
          <w:bCs/>
        </w:rPr>
      </w:pPr>
      <w:r>
        <w:t>This</w:t>
      </w:r>
      <w:r w:rsidR="006F464F">
        <w:t xml:space="preserve"> document</w:t>
      </w:r>
      <w:r>
        <w:t xml:space="preserve"> is the final report of the evaluation</w:t>
      </w:r>
      <w:r w:rsidR="006A76AE">
        <w:t xml:space="preserve">. </w:t>
      </w:r>
    </w:p>
    <w:p w14:paraId="7C5BC870" w14:textId="724B95E2" w:rsidR="0053103B" w:rsidRDefault="00ED6D74" w:rsidP="00ED6D74">
      <w:pPr>
        <w:pStyle w:val="ESHeading2"/>
      </w:pPr>
      <w:r>
        <w:t xml:space="preserve">Context: </w:t>
      </w:r>
      <w:r w:rsidR="00DE5CEB">
        <w:t>O</w:t>
      </w:r>
      <w:r>
        <w:t>verview of the Initiative</w:t>
      </w:r>
    </w:p>
    <w:p w14:paraId="3997DF5B" w14:textId="2BC93AAB" w:rsidR="00AE31AC" w:rsidRPr="001A34D1" w:rsidRDefault="00AE31AC" w:rsidP="00AE31AC">
      <w:r>
        <w:t>T</w:t>
      </w:r>
      <w:r w:rsidRPr="001A34D1">
        <w:t xml:space="preserve">he MOUs specify the rules for </w:t>
      </w:r>
      <w:r w:rsidR="00350D71">
        <w:t xml:space="preserve">operation of the Initiative, </w:t>
      </w:r>
      <w:r>
        <w:t>including</w:t>
      </w:r>
      <w:r w:rsidR="0013531F">
        <w:t>:</w:t>
      </w:r>
      <w:r w:rsidR="009A4F03">
        <w:t xml:space="preserve"> </w:t>
      </w:r>
    </w:p>
    <w:p w14:paraId="6E46FAAD" w14:textId="3C1FC4B6" w:rsidR="00AE31AC" w:rsidRPr="00AE31AC" w:rsidRDefault="00C83ADF" w:rsidP="00AE31AC">
      <w:pPr>
        <w:pStyle w:val="ListBullet"/>
      </w:pPr>
      <w:r>
        <w:t>A</w:t>
      </w:r>
      <w:r w:rsidR="00AE31AC" w:rsidRPr="00AE31AC">
        <w:t>pproval to participate, services that are eligible to be claimed, and rules for the reinvestment of MBS rebated revenue</w:t>
      </w:r>
    </w:p>
    <w:p w14:paraId="340BA31A" w14:textId="0B259031" w:rsidR="00AE31AC" w:rsidRPr="00AE31AC" w:rsidRDefault="00AE31AC" w:rsidP="00AE31AC">
      <w:pPr>
        <w:pStyle w:val="ListBullet"/>
      </w:pPr>
      <w:r w:rsidRPr="00AE31AC">
        <w:t xml:space="preserve">Consultation </w:t>
      </w:r>
      <w:r>
        <w:t xml:space="preserve">required </w:t>
      </w:r>
      <w:r w:rsidRPr="00AE31AC">
        <w:t>with other providers</w:t>
      </w:r>
      <w:r>
        <w:t xml:space="preserve"> to gain approval as a participating site</w:t>
      </w:r>
      <w:r w:rsidRPr="00AE31AC">
        <w:t xml:space="preserve"> </w:t>
      </w:r>
    </w:p>
    <w:p w14:paraId="3D7CF7C9" w14:textId="2E01BE3D" w:rsidR="00AE31AC" w:rsidRPr="00AE31AC" w:rsidRDefault="00AE31AC" w:rsidP="00AE31AC">
      <w:pPr>
        <w:pStyle w:val="ListBullet"/>
      </w:pPr>
      <w:r w:rsidRPr="00AE31AC">
        <w:t>Provider eligibility requirements</w:t>
      </w:r>
      <w:r>
        <w:t xml:space="preserve"> based on geographic location – Modified Monash Model (MMM) categories 5 to 7</w:t>
      </w:r>
      <w:r w:rsidRPr="00AE31AC">
        <w:t xml:space="preserve"> </w:t>
      </w:r>
    </w:p>
    <w:p w14:paraId="7E3A9D9A" w14:textId="45AB85CB" w:rsidR="00AE31AC" w:rsidRPr="00AE31AC" w:rsidRDefault="00AE31AC" w:rsidP="00AE31AC">
      <w:pPr>
        <w:pStyle w:val="ListBullet"/>
      </w:pPr>
      <w:r w:rsidRPr="00AE31AC">
        <w:t xml:space="preserve">Eligible services for reinvestment of MBS funds claimed by providers </w:t>
      </w:r>
    </w:p>
    <w:p w14:paraId="29BD1701" w14:textId="736D607E" w:rsidR="00AE31AC" w:rsidRPr="00AE31AC" w:rsidRDefault="00AE31AC" w:rsidP="00AE31AC">
      <w:pPr>
        <w:pStyle w:val="ListBullet"/>
      </w:pPr>
      <w:r w:rsidRPr="00AE31AC">
        <w:t xml:space="preserve">Requirements for </w:t>
      </w:r>
      <w:r>
        <w:t>a site</w:t>
      </w:r>
      <w:r w:rsidRPr="00AE31AC">
        <w:t xml:space="preserve"> Operational Plan</w:t>
      </w:r>
      <w:r>
        <w:t>, and</w:t>
      </w:r>
      <w:r w:rsidRPr="00AE31AC">
        <w:t xml:space="preserve"> </w:t>
      </w:r>
    </w:p>
    <w:p w14:paraId="56285728" w14:textId="7F227128" w:rsidR="00AE31AC" w:rsidRPr="00AE31AC" w:rsidRDefault="00AE31AC" w:rsidP="00AE31AC">
      <w:pPr>
        <w:pStyle w:val="ListBullet"/>
      </w:pPr>
      <w:r w:rsidRPr="00AE31AC">
        <w:t>Reporting</w:t>
      </w:r>
      <w:r>
        <w:t xml:space="preserve"> arrangements for participating sites.</w:t>
      </w:r>
    </w:p>
    <w:p w14:paraId="291A555C" w14:textId="38A601AC" w:rsidR="00AE31AC" w:rsidRPr="00AE31AC" w:rsidRDefault="00AE31AC" w:rsidP="00AE31AC">
      <w:pPr>
        <w:pStyle w:val="BodyCopy"/>
      </w:pPr>
      <w:r>
        <w:t>T</w:t>
      </w:r>
      <w:r w:rsidRPr="00AE31AC">
        <w:t>he wider context for the Initiative influence</w:t>
      </w:r>
      <w:r>
        <w:t>s</w:t>
      </w:r>
      <w:r w:rsidRPr="00AE31AC">
        <w:t xml:space="preserve"> what happens ‘on the ground’ at individual participating sites, including:</w:t>
      </w:r>
    </w:p>
    <w:p w14:paraId="72498502" w14:textId="139BD2B5" w:rsidR="00AE31AC" w:rsidRPr="00AE31AC" w:rsidRDefault="00AE31AC" w:rsidP="00AE31AC">
      <w:pPr>
        <w:pStyle w:val="ListBullet"/>
      </w:pPr>
      <w:r w:rsidRPr="00AE31AC">
        <w:t>Doctor remuneration arrangements</w:t>
      </w:r>
      <w:r w:rsidR="0013531F">
        <w:t xml:space="preserve"> and rural and remote health services,</w:t>
      </w:r>
      <w:r>
        <w:t xml:space="preserve"> which vary by jurisdiction</w:t>
      </w:r>
    </w:p>
    <w:p w14:paraId="09808EB9" w14:textId="69776610" w:rsidR="00AE31AC" w:rsidRPr="00AE31AC" w:rsidRDefault="00AE31AC" w:rsidP="00AE31AC">
      <w:pPr>
        <w:pStyle w:val="ListBullet"/>
      </w:pPr>
      <w:r w:rsidRPr="00AE31AC">
        <w:t xml:space="preserve">Other </w:t>
      </w:r>
      <w:r w:rsidR="00783742">
        <w:t xml:space="preserve">Section </w:t>
      </w:r>
      <w:r w:rsidRPr="00AE31AC">
        <w:t>19(2) exemption arrangements that operate in rural and remote areas</w:t>
      </w:r>
    </w:p>
    <w:p w14:paraId="23EFFF63" w14:textId="7ABB6015" w:rsidR="00AE31AC" w:rsidRPr="00AE31AC" w:rsidRDefault="00AE31AC" w:rsidP="00AE31AC">
      <w:pPr>
        <w:pStyle w:val="ListBullet"/>
      </w:pPr>
      <w:r w:rsidRPr="00AE31AC">
        <w:t xml:space="preserve">The rural policy context, especially in relation to workforce training and financial incentives to attract and retain the health workforce outside metropolitan areas, </w:t>
      </w:r>
    </w:p>
    <w:p w14:paraId="5C5323BD" w14:textId="3F107BD7" w:rsidR="00AE31AC" w:rsidRDefault="00AE31AC" w:rsidP="00AE31AC">
      <w:pPr>
        <w:pStyle w:val="ListBullet"/>
      </w:pPr>
      <w:r w:rsidRPr="00AE31AC">
        <w:t>The broader health and human services context that affects local planning for primary health service delivery, including</w:t>
      </w:r>
      <w:r>
        <w:t xml:space="preserve"> </w:t>
      </w:r>
      <w:r w:rsidRPr="00AE31AC">
        <w:t xml:space="preserve">further Commonwealth programs that improve access to primary </w:t>
      </w:r>
      <w:r w:rsidR="00E419DC">
        <w:t>healthcare</w:t>
      </w:r>
      <w:r w:rsidRPr="00AE31AC">
        <w:t>, including Primary Health Networks, Indigenous Australians’ Health Program, and the Rural Health Outreach Fund, and</w:t>
      </w:r>
    </w:p>
    <w:p w14:paraId="65153818" w14:textId="42013290" w:rsidR="00AE31AC" w:rsidRPr="00AE31AC" w:rsidRDefault="003B6AA9" w:rsidP="00AE31AC">
      <w:pPr>
        <w:pStyle w:val="ListBullet"/>
      </w:pPr>
      <w:r>
        <w:t>B</w:t>
      </w:r>
      <w:r w:rsidR="00AE31AC" w:rsidRPr="00AE31AC">
        <w:t xml:space="preserve">roader developments in the health and human delivery in the areas of the National Disability Insurance Scheme, the Royal Commission into Aged Care, and pilots funded under the new </w:t>
      </w:r>
      <w:r w:rsidR="00AE31AC" w:rsidRPr="00AE31AC">
        <w:rPr>
          <w:i/>
          <w:iCs/>
        </w:rPr>
        <w:t>National Health Reform Agreement 2020–2025.</w:t>
      </w:r>
    </w:p>
    <w:p w14:paraId="7F742C0E" w14:textId="096684FB" w:rsidR="0053103B" w:rsidRDefault="00AE31AC" w:rsidP="00AE31AC">
      <w:pPr>
        <w:pStyle w:val="Heading4"/>
      </w:pPr>
      <w:r>
        <w:t>Patterns of service delivery under the Initiative</w:t>
      </w:r>
    </w:p>
    <w:p w14:paraId="6AAB9EDB" w14:textId="0C0900F1" w:rsidR="0053103B" w:rsidRDefault="00AE31AC" w:rsidP="003B3C06">
      <w:pPr>
        <w:pStyle w:val="BodyCopy"/>
      </w:pPr>
      <w:r>
        <w:t>Although the program website lists 118 participating sites, only 92 of those sites were paid MBS revenue in 2019–20.</w:t>
      </w:r>
    </w:p>
    <w:p w14:paraId="6DF5ECBB" w14:textId="1CF3E908" w:rsidR="00AE31AC" w:rsidRPr="00A974F7" w:rsidRDefault="00AE31AC" w:rsidP="00AE31AC">
      <w:pPr>
        <w:spacing w:before="240"/>
      </w:pPr>
      <w:r>
        <w:t xml:space="preserve">New South Wales and Queensland have the most participating sites, </w:t>
      </w:r>
      <w:r w:rsidRPr="00A974F7">
        <w:t>having 36 and 39 active sites respectively in 2019</w:t>
      </w:r>
      <w:r w:rsidRPr="00A974F7">
        <w:rPr>
          <w:rFonts w:ascii="Calibri" w:hAnsi="Calibri" w:cs="Calibri"/>
          <w:iCs/>
          <w:sz w:val="17"/>
          <w:szCs w:val="18"/>
        </w:rPr>
        <w:t>‒</w:t>
      </w:r>
      <w:r w:rsidRPr="00A974F7">
        <w:t>20, representing 81% of the 92 active sites. Western Australia had 11 active sites (12% of the total) and Northern Territory had 6 active sites (7% of the total).</w:t>
      </w:r>
    </w:p>
    <w:p w14:paraId="762FCF2B" w14:textId="77777777" w:rsidR="00AE31AC" w:rsidRDefault="00AE31AC" w:rsidP="00AE31AC">
      <w:r w:rsidRPr="00A974F7">
        <w:t>The jurisdictions had quite different geographic profiles of where their active sites were located. New South Wales and Queensland sites were more likely to be in MMM Category 5. Northern Territory sites were either in MMM Category 6 or 7. All Western Australian active sites were in MMM Category 7.</w:t>
      </w:r>
      <w:r>
        <w:t xml:space="preserve"> </w:t>
      </w:r>
    </w:p>
    <w:p w14:paraId="1D6DEEB2" w14:textId="6EF5C288" w:rsidR="0053103B" w:rsidRDefault="00AE31AC" w:rsidP="003B3C06">
      <w:pPr>
        <w:pStyle w:val="BodyCopy"/>
      </w:pPr>
      <w:r>
        <w:t>In 2019</w:t>
      </w:r>
      <w:r>
        <w:rPr>
          <w:rFonts w:ascii="Calibri" w:hAnsi="Calibri" w:cs="Calibri"/>
        </w:rPr>
        <w:t>‒</w:t>
      </w:r>
      <w:r>
        <w:t>20 the 92 active sites that received MBS rebates had a median rebate of $5</w:t>
      </w:r>
      <w:r w:rsidR="00BE7595">
        <w:t>6</w:t>
      </w:r>
      <w:r>
        <w:t>,</w:t>
      </w:r>
      <w:r w:rsidR="00BE7595">
        <w:t>081</w:t>
      </w:r>
      <w:r>
        <w:t>. T</w:t>
      </w:r>
      <w:r w:rsidRPr="00AE31AC">
        <w:t>here were significant variations in the median payments across jurisdictions, ranging from a low of $</w:t>
      </w:r>
      <w:r w:rsidR="00BE7595">
        <w:t>34</w:t>
      </w:r>
      <w:r w:rsidRPr="00AE31AC">
        <w:t>,</w:t>
      </w:r>
      <w:r w:rsidR="00BE7595">
        <w:t>134</w:t>
      </w:r>
      <w:r w:rsidRPr="00AE31AC">
        <w:t xml:space="preserve"> in New South Wales to a high of $</w:t>
      </w:r>
      <w:r w:rsidR="00BE7595">
        <w:t>217</w:t>
      </w:r>
      <w:r w:rsidRPr="00AE31AC">
        <w:t>,</w:t>
      </w:r>
      <w:r w:rsidR="00BE7595">
        <w:t>050</w:t>
      </w:r>
      <w:r w:rsidRPr="00AE31AC">
        <w:t xml:space="preserve"> in the Northern Territory.</w:t>
      </w:r>
    </w:p>
    <w:p w14:paraId="6DAE00A3" w14:textId="24E42FBB" w:rsidR="00AE31AC" w:rsidRDefault="00AE31AC" w:rsidP="00AE31AC">
      <w:r w:rsidRPr="00AF3BEC">
        <w:t>In 2019</w:t>
      </w:r>
      <w:r w:rsidR="003B6AA9">
        <w:rPr>
          <w:rFonts w:ascii="Calibri" w:hAnsi="Calibri" w:cs="Calibri"/>
        </w:rPr>
        <w:t>‒</w:t>
      </w:r>
      <w:r w:rsidRPr="00AF3BEC">
        <w:t>20 eight sites generated over $600</w:t>
      </w:r>
      <w:r>
        <w:t>,000 in revenue each</w:t>
      </w:r>
      <w:r w:rsidRPr="00AF3BEC">
        <w:t xml:space="preserve"> (ranging from $0.600</w:t>
      </w:r>
      <w:r>
        <w:t xml:space="preserve"> million</w:t>
      </w:r>
      <w:r w:rsidRPr="00AF3BEC">
        <w:t xml:space="preserve"> (Fitzroy Crossing) to $</w:t>
      </w:r>
      <w:r>
        <w:t>1.043 million</w:t>
      </w:r>
      <w:r w:rsidRPr="00AF3BEC">
        <w:t xml:space="preserve"> (</w:t>
      </w:r>
      <w:r>
        <w:t>Derby</w:t>
      </w:r>
      <w:r w:rsidRPr="00AF3BEC">
        <w:t>)</w:t>
      </w:r>
      <w:r>
        <w:t>)</w:t>
      </w:r>
      <w:r w:rsidR="00273858">
        <w:t>.</w:t>
      </w:r>
    </w:p>
    <w:p w14:paraId="475B5451" w14:textId="77777777" w:rsidR="00AE31AC" w:rsidRDefault="00AE31AC" w:rsidP="00AE31AC">
      <w:pPr>
        <w:pStyle w:val="ListBullet"/>
      </w:pPr>
      <w:r>
        <w:lastRenderedPageBreak/>
        <w:t>t</w:t>
      </w:r>
      <w:r w:rsidRPr="00AF3BEC">
        <w:t xml:space="preserve">hese eight sites accounted for </w:t>
      </w:r>
      <w:r>
        <w:t xml:space="preserve">revenue of $6.3 million under the Initiative, </w:t>
      </w:r>
      <w:r w:rsidRPr="00AF3BEC">
        <w:t xml:space="preserve">more than 45% of total </w:t>
      </w:r>
      <w:r>
        <w:t>funds</w:t>
      </w:r>
      <w:r w:rsidRPr="00AF3BEC">
        <w:t xml:space="preserve"> generated</w:t>
      </w:r>
      <w:r>
        <w:t>, and</w:t>
      </w:r>
    </w:p>
    <w:p w14:paraId="15BE7EDF" w14:textId="77777777" w:rsidR="00AE31AC" w:rsidRDefault="00AE31AC" w:rsidP="00AE31AC">
      <w:pPr>
        <w:pStyle w:val="ListBullet"/>
      </w:pPr>
      <w:r>
        <w:t>t</w:t>
      </w:r>
      <w:r w:rsidRPr="00AF3BEC">
        <w:t xml:space="preserve">hree </w:t>
      </w:r>
      <w:r>
        <w:t xml:space="preserve">of these </w:t>
      </w:r>
      <w:r w:rsidRPr="00AF3BEC">
        <w:t>sites were in WA, four in Queensland and one in N</w:t>
      </w:r>
      <w:r>
        <w:t>T.</w:t>
      </w:r>
    </w:p>
    <w:p w14:paraId="1F223A2D" w14:textId="314714DE" w:rsidR="0053103B" w:rsidRDefault="00AE31AC" w:rsidP="00AE31AC">
      <w:pPr>
        <w:pStyle w:val="BodyCopy"/>
      </w:pPr>
      <w:r>
        <w:t>The mean revenue for the other 85 sites with under $0.6 million in revenue was $85,702 in 2019</w:t>
      </w:r>
      <w:r w:rsidR="003B6AA9">
        <w:rPr>
          <w:rFonts w:ascii="Calibri" w:hAnsi="Calibri" w:cs="Calibri"/>
        </w:rPr>
        <w:t>‒</w:t>
      </w:r>
      <w:r>
        <w:t>20</w:t>
      </w:r>
      <w:r w:rsidR="0013531F">
        <w:t>.</w:t>
      </w:r>
    </w:p>
    <w:p w14:paraId="54D5D7BB" w14:textId="294A1138" w:rsidR="0053103B" w:rsidRDefault="0013531F" w:rsidP="0013531F">
      <w:pPr>
        <w:pStyle w:val="ESHeading2"/>
      </w:pPr>
      <w:r>
        <w:t>Evaluation findings</w:t>
      </w:r>
    </w:p>
    <w:p w14:paraId="5F8EC435" w14:textId="105F3331" w:rsidR="0013531F" w:rsidRDefault="0013531F" w:rsidP="0013531F">
      <w:pPr>
        <w:pStyle w:val="BodyCopy"/>
      </w:pPr>
      <w:r>
        <w:t>The evaluation team formed the following overall assessment of the Initiative.</w:t>
      </w:r>
    </w:p>
    <w:p w14:paraId="282C53D0" w14:textId="15676B76" w:rsidR="0013531F" w:rsidRPr="00A447D8" w:rsidRDefault="0013531F" w:rsidP="0013531F">
      <w:pPr>
        <w:pStyle w:val="Heading4"/>
      </w:pPr>
      <w:r>
        <w:t>Program design and administration</w:t>
      </w:r>
    </w:p>
    <w:p w14:paraId="3762ECD9" w14:textId="77777777" w:rsidR="004538DC" w:rsidRDefault="0013531F" w:rsidP="0013531F">
      <w:r>
        <w:t>Our examination of the</w:t>
      </w:r>
      <w:r w:rsidRPr="008B1642">
        <w:t xml:space="preserve"> program’s design and administration</w:t>
      </w:r>
      <w:r>
        <w:t xml:space="preserve"> found that there was strong support for the single eligibility criterion that </w:t>
      </w:r>
      <w:r w:rsidRPr="008B1642">
        <w:t xml:space="preserve">public health services </w:t>
      </w:r>
      <w:r>
        <w:t xml:space="preserve">must be </w:t>
      </w:r>
      <w:r w:rsidRPr="008B1642">
        <w:t>based in areas 5 to 7 of the M</w:t>
      </w:r>
      <w:r>
        <w:t xml:space="preserve">odified </w:t>
      </w:r>
      <w:r w:rsidRPr="008B1642">
        <w:t>M</w:t>
      </w:r>
      <w:r>
        <w:t xml:space="preserve">onash </w:t>
      </w:r>
      <w:r w:rsidRPr="008B1642">
        <w:t>M</w:t>
      </w:r>
      <w:r>
        <w:t>odel</w:t>
      </w:r>
      <w:r w:rsidRPr="008B1642">
        <w:t xml:space="preserve"> geographical classification</w:t>
      </w:r>
      <w:r>
        <w:t xml:space="preserve">. There was also support for: review mechanisms for sites that are no longer eligible under this criterion; clearer program objectives; and greater transparency in program operations, including publication of MOUs and formalised and regular engagement of site service providers with local stakeholders. </w:t>
      </w:r>
    </w:p>
    <w:p w14:paraId="4D5828DB" w14:textId="2815B625" w:rsidR="0013531F" w:rsidRDefault="0013531F" w:rsidP="0013531F">
      <w:r>
        <w:t xml:space="preserve">HMA considered that changes are needed to site reporting processes to make a clearer link between the operational plan, models of care and reinvestment. We suggest Operational Plans should </w:t>
      </w:r>
      <w:r w:rsidR="003B6AA9">
        <w:t xml:space="preserve">be </w:t>
      </w:r>
      <w:r>
        <w:t xml:space="preserve">refreshed at least once within each MOU cycle. </w:t>
      </w:r>
    </w:p>
    <w:p w14:paraId="661C8521" w14:textId="231C5F86" w:rsidR="0013531F" w:rsidRDefault="0013531F" w:rsidP="0013531F">
      <w:pPr>
        <w:pStyle w:val="Heading4"/>
      </w:pPr>
      <w:bookmarkStart w:id="2" w:name="_Hlk76035427"/>
      <w:r>
        <w:t>Appropriateness</w:t>
      </w:r>
    </w:p>
    <w:bookmarkEnd w:id="2"/>
    <w:p w14:paraId="157C309F" w14:textId="4311EA8D" w:rsidR="004538DC" w:rsidRDefault="00E55A9E" w:rsidP="0013531F">
      <w:pPr>
        <w:pStyle w:val="BodyCopy"/>
      </w:pPr>
      <w:r>
        <w:t>C</w:t>
      </w:r>
      <w:r w:rsidR="0013531F">
        <w:t>onsideration of the Initiative’s appropriateness observed that f</w:t>
      </w:r>
      <w:r w:rsidR="0013531F" w:rsidRPr="0048304A">
        <w:t>unding contributions to different sites resulting from the Initiative can be internally inequitable</w:t>
      </w:r>
      <w:r w:rsidR="0013531F">
        <w:t xml:space="preserve"> </w:t>
      </w:r>
      <w:r w:rsidR="0013531F" w:rsidRPr="0048304A">
        <w:t xml:space="preserve">– larger sites with more salaried doctors have a greater ability to undertake MBS billing. </w:t>
      </w:r>
    </w:p>
    <w:p w14:paraId="37BB2451" w14:textId="77777777" w:rsidR="004538DC" w:rsidRDefault="0013531F" w:rsidP="0013531F">
      <w:pPr>
        <w:pStyle w:val="BodyCopy"/>
      </w:pPr>
      <w:r w:rsidRPr="0048304A">
        <w:t>This characteristic highlights a program</w:t>
      </w:r>
      <w:r>
        <w:t xml:space="preserve"> impact that emerges from its inherent</w:t>
      </w:r>
      <w:r w:rsidRPr="0048304A">
        <w:t xml:space="preserve"> design; MBS revenues of a site are not directly linked to underlying health needs of a community. </w:t>
      </w:r>
    </w:p>
    <w:p w14:paraId="7164B114" w14:textId="741CC1B5" w:rsidR="0053103B" w:rsidRDefault="0013531F" w:rsidP="0013531F">
      <w:pPr>
        <w:pStyle w:val="BodyCopy"/>
      </w:pPr>
      <w:r w:rsidRPr="0048304A">
        <w:t>There is limited capacity to address th</w:t>
      </w:r>
      <w:r>
        <w:t>is</w:t>
      </w:r>
      <w:r w:rsidRPr="0048304A">
        <w:t xml:space="preserve"> program characteristic – the foundation of the Initiative is prima</w:t>
      </w:r>
      <w:r w:rsidR="004538DC">
        <w:t>rily</w:t>
      </w:r>
      <w:r w:rsidRPr="0048304A">
        <w:t xml:space="preserve"> a top-up funding</w:t>
      </w:r>
      <w:r w:rsidR="004538DC">
        <w:t xml:space="preserve"> stream that</w:t>
      </w:r>
      <w:r w:rsidRPr="0048304A">
        <w:t xml:space="preserve"> enable</w:t>
      </w:r>
      <w:r w:rsidR="004538DC">
        <w:t xml:space="preserve">s </w:t>
      </w:r>
      <w:r w:rsidRPr="0048304A">
        <w:t xml:space="preserve">access to MBS billing. </w:t>
      </w:r>
      <w:r w:rsidRPr="0048304A">
        <w:t xml:space="preserve">Communities and health service providers need to access other funding sources to address local </w:t>
      </w:r>
      <w:r w:rsidR="00E419DC">
        <w:t>healthcare</w:t>
      </w:r>
      <w:r w:rsidRPr="0048304A">
        <w:t xml:space="preserve"> needs in a more targeted way, including programs administered or commissioned by P</w:t>
      </w:r>
      <w:r w:rsidR="004538DC">
        <w:t xml:space="preserve">rimary </w:t>
      </w:r>
      <w:r w:rsidRPr="0048304A">
        <w:t>H</w:t>
      </w:r>
      <w:r w:rsidR="004538DC">
        <w:t xml:space="preserve">ealth </w:t>
      </w:r>
      <w:r w:rsidRPr="0048304A">
        <w:t>N</w:t>
      </w:r>
      <w:r w:rsidR="004538DC">
        <w:t>etwork</w:t>
      </w:r>
      <w:r w:rsidRPr="0048304A">
        <w:t>s</w:t>
      </w:r>
      <w:r w:rsidR="00E55A9E">
        <w:t xml:space="preserve"> (PHNs)</w:t>
      </w:r>
      <w:r w:rsidRPr="0048304A">
        <w:t>, R</w:t>
      </w:r>
      <w:r w:rsidR="004538DC">
        <w:t xml:space="preserve">ural </w:t>
      </w:r>
      <w:r w:rsidRPr="0048304A">
        <w:t>W</w:t>
      </w:r>
      <w:r w:rsidR="004538DC">
        <w:t xml:space="preserve">orkforce </w:t>
      </w:r>
      <w:r w:rsidRPr="0048304A">
        <w:t>A</w:t>
      </w:r>
      <w:r w:rsidR="004538DC">
        <w:t>gencies</w:t>
      </w:r>
      <w:r w:rsidR="00E55A9E">
        <w:t xml:space="preserve"> (RWAs)</w:t>
      </w:r>
      <w:r w:rsidRPr="0048304A">
        <w:t>, the N</w:t>
      </w:r>
      <w:r w:rsidR="004538DC">
        <w:t xml:space="preserve">ational </w:t>
      </w:r>
      <w:r w:rsidRPr="0048304A">
        <w:t>D</w:t>
      </w:r>
      <w:r w:rsidR="004538DC">
        <w:t>isability Insurance Scheme</w:t>
      </w:r>
      <w:r w:rsidR="00E55A9E">
        <w:t xml:space="preserve"> (NDIS)</w:t>
      </w:r>
      <w:r w:rsidR="004538DC">
        <w:t xml:space="preserve">, aged care funding, </w:t>
      </w:r>
      <w:r w:rsidRPr="0048304A">
        <w:t>and locally based service</w:t>
      </w:r>
      <w:r w:rsidR="004538DC">
        <w:t>s</w:t>
      </w:r>
      <w:r w:rsidRPr="0048304A">
        <w:t xml:space="preserve"> </w:t>
      </w:r>
      <w:r>
        <w:t xml:space="preserve">delivered by local </w:t>
      </w:r>
      <w:r w:rsidRPr="0048304A">
        <w:t xml:space="preserve">providers such as local government and </w:t>
      </w:r>
      <w:r w:rsidR="00E55A9E">
        <w:t>local health networks (</w:t>
      </w:r>
      <w:r w:rsidRPr="0048304A">
        <w:t>LHNs</w:t>
      </w:r>
      <w:r w:rsidR="00E55A9E">
        <w:t>)</w:t>
      </w:r>
      <w:r w:rsidR="004538DC">
        <w:t>.</w:t>
      </w:r>
    </w:p>
    <w:p w14:paraId="75FA66B3" w14:textId="77777777" w:rsidR="00D958F6" w:rsidRDefault="00D958F6" w:rsidP="00D958F6">
      <w:pPr>
        <w:pStyle w:val="Heading4"/>
      </w:pPr>
      <w:r>
        <w:t>Effectiveness</w:t>
      </w:r>
    </w:p>
    <w:p w14:paraId="2242CF8C" w14:textId="77777777" w:rsidR="00D958F6" w:rsidRDefault="00D958F6" w:rsidP="00D958F6">
      <w:pPr>
        <w:pStyle w:val="BodyCopy"/>
      </w:pPr>
      <w:r>
        <w:t xml:space="preserve">With respect to effectiveness in meeting overall objectives, we found that the Initiative influenced </w:t>
      </w:r>
      <w:r w:rsidRPr="005F293A">
        <w:t>access to urgen</w:t>
      </w:r>
      <w:r>
        <w:t>t</w:t>
      </w:r>
      <w:r w:rsidRPr="005F293A">
        <w:t xml:space="preserve"> medical care and after-hours services at </w:t>
      </w:r>
      <w:r>
        <w:t>a large proportion of</w:t>
      </w:r>
      <w:r w:rsidRPr="005F293A">
        <w:t xml:space="preserve"> participating sites.</w:t>
      </w:r>
      <w:r>
        <w:t xml:space="preserve"> It has also contributed to increased availability of primary care services in many locations. Much of the MBS revenue reinvestment was allocated to medical officer remuneration to support and/or </w:t>
      </w:r>
      <w:r w:rsidRPr="005F293A">
        <w:t>provide acute hospital emergency services</w:t>
      </w:r>
      <w:r>
        <w:t>.</w:t>
      </w:r>
    </w:p>
    <w:p w14:paraId="782104B3" w14:textId="77777777" w:rsidR="00D958F6" w:rsidRDefault="00D958F6" w:rsidP="00D958F6">
      <w:r>
        <w:t xml:space="preserve">Nationally </w:t>
      </w:r>
      <w:r w:rsidRPr="005F293A">
        <w:t xml:space="preserve">MBS revenues </w:t>
      </w:r>
      <w:r>
        <w:t xml:space="preserve">under the Initiative </w:t>
      </w:r>
      <w:r w:rsidRPr="005F293A">
        <w:t xml:space="preserve">represented in the order of 6% of modelled salaries and wages of </w:t>
      </w:r>
      <w:r>
        <w:t>participating</w:t>
      </w:r>
      <w:r w:rsidRPr="005F293A">
        <w:t xml:space="preserve"> sites, suggesting that </w:t>
      </w:r>
      <w:r>
        <w:t xml:space="preserve">the </w:t>
      </w:r>
      <w:r w:rsidRPr="005F293A">
        <w:t xml:space="preserve">Initiative is, on average, a reasonably significant contributor to overall revenue of </w:t>
      </w:r>
      <w:r>
        <w:t>these sites</w:t>
      </w:r>
      <w:r w:rsidRPr="005F293A">
        <w:t>.</w:t>
      </w:r>
      <w:r>
        <w:t xml:space="preserve"> This proportion varied significantly by both site and jurisdiction.</w:t>
      </w:r>
    </w:p>
    <w:p w14:paraId="25BE34E0" w14:textId="77777777" w:rsidR="00D958F6" w:rsidRDefault="00D958F6" w:rsidP="00D958F6">
      <w:r>
        <w:t xml:space="preserve">Although the revenues provided under the Initiative are reasonably significant, </w:t>
      </w:r>
      <w:r w:rsidRPr="008B1642">
        <w:t>the</w:t>
      </w:r>
      <w:r>
        <w:t xml:space="preserve"> evaluation observed that the program </w:t>
      </w:r>
      <w:r w:rsidRPr="008B1642">
        <w:t>is not a guarantee of an individual health service’s long-term viability. Historical service delivery arrangements, industrial arrangements, gradual population decline</w:t>
      </w:r>
      <w:r>
        <w:t xml:space="preserve"> in rural areas</w:t>
      </w:r>
      <w:r w:rsidRPr="008B1642">
        <w:t>, and the sudden resignation of a key manager or clinician can all interact to threaten the sustainability of health services and compromise the models of clinical care available to some small communities.</w:t>
      </w:r>
    </w:p>
    <w:p w14:paraId="3B6DC165" w14:textId="2149B38C" w:rsidR="0053103B" w:rsidRDefault="0013531F" w:rsidP="0013531F">
      <w:pPr>
        <w:pStyle w:val="ESHeading2"/>
      </w:pPr>
      <w:r>
        <w:t>The way forward: Options for program refinement</w:t>
      </w:r>
    </w:p>
    <w:p w14:paraId="372F6BA0" w14:textId="25E5BDDF" w:rsidR="0013531F" w:rsidRDefault="0013531F" w:rsidP="0013531F">
      <w:pPr>
        <w:spacing w:before="120"/>
      </w:pPr>
      <w:r w:rsidRPr="00C21C90">
        <w:t>The findings from the evaluation suggest that changes to the current arrangements should be considered to ensure implementation of the Initiative</w:t>
      </w:r>
      <w:r>
        <w:t>:</w:t>
      </w:r>
    </w:p>
    <w:p w14:paraId="3140B909" w14:textId="4760F889" w:rsidR="0013531F" w:rsidRDefault="003B6AA9" w:rsidP="0013531F">
      <w:pPr>
        <w:pStyle w:val="ListBullet"/>
      </w:pPr>
      <w:r>
        <w:t xml:space="preserve">is </w:t>
      </w:r>
      <w:r w:rsidR="0013531F" w:rsidRPr="00C21C90">
        <w:t>responsive to the context in which it is operating</w:t>
      </w:r>
      <w:r w:rsidR="004142CC">
        <w:t>,</w:t>
      </w:r>
      <w:r w:rsidR="0013531F" w:rsidRPr="00C21C90">
        <w:t xml:space="preserve"> </w:t>
      </w:r>
    </w:p>
    <w:p w14:paraId="1B0754EE" w14:textId="60FFDDC2" w:rsidR="0013531F" w:rsidRDefault="003B6AA9" w:rsidP="0013531F">
      <w:pPr>
        <w:pStyle w:val="ListBullet"/>
      </w:pPr>
      <w:r>
        <w:lastRenderedPageBreak/>
        <w:t xml:space="preserve">is </w:t>
      </w:r>
      <w:r w:rsidR="0013531F" w:rsidRPr="00C21C90">
        <w:t>transparent</w:t>
      </w:r>
      <w:r w:rsidR="0013531F">
        <w:t xml:space="preserve"> about how it is being administered at Commonwealth, jurisdiction and site levels,</w:t>
      </w:r>
      <w:r w:rsidR="0013531F" w:rsidRPr="00C21C90">
        <w:t xml:space="preserve"> and</w:t>
      </w:r>
    </w:p>
    <w:p w14:paraId="0351ECF5" w14:textId="4986CCBD" w:rsidR="0013531F" w:rsidRDefault="00FD1760" w:rsidP="0013531F">
      <w:pPr>
        <w:pStyle w:val="ListBullet"/>
      </w:pPr>
      <w:r>
        <w:t xml:space="preserve">allows for </w:t>
      </w:r>
      <w:r w:rsidR="0013531F" w:rsidRPr="00C21C90">
        <w:t>potential benefit</w:t>
      </w:r>
      <w:r w:rsidR="0013531F">
        <w:t xml:space="preserve">s from the Initiative </w:t>
      </w:r>
      <w:r>
        <w:t>to be</w:t>
      </w:r>
      <w:r w:rsidR="0013531F" w:rsidRPr="00C21C90">
        <w:t xml:space="preserve"> maximised. </w:t>
      </w:r>
    </w:p>
    <w:p w14:paraId="36475A60" w14:textId="77777777" w:rsidR="0013531F" w:rsidRPr="00C21C90" w:rsidRDefault="0013531F" w:rsidP="0013531F">
      <w:r w:rsidRPr="00C21C90">
        <w:t xml:space="preserve">Areas of improvement that we consider should be examined include: </w:t>
      </w:r>
    </w:p>
    <w:p w14:paraId="6A62DF6D" w14:textId="55A8A6EF" w:rsidR="0013531F" w:rsidRPr="00C21C90" w:rsidRDefault="0013531F" w:rsidP="0013531F">
      <w:pPr>
        <w:pStyle w:val="ListBullet"/>
      </w:pPr>
      <w:r w:rsidRPr="00C21C90">
        <w:t>Clearer principles and objectives to guide the development and implementation of the Initiative in jurisdictions</w:t>
      </w:r>
      <w:r w:rsidR="004538DC">
        <w:t xml:space="preserve"> at sites</w:t>
      </w:r>
      <w:r w:rsidRPr="00C21C90">
        <w:t xml:space="preserve"> (</w:t>
      </w:r>
      <w:r w:rsidRPr="00BB1006">
        <w:rPr>
          <w:i/>
          <w:iCs/>
        </w:rPr>
        <w:t>Option 1</w:t>
      </w:r>
      <w:r w:rsidRPr="00C21C90">
        <w:t>)</w:t>
      </w:r>
    </w:p>
    <w:p w14:paraId="6E224E88" w14:textId="77777777" w:rsidR="0013531F" w:rsidRPr="00C21C90" w:rsidRDefault="0013531F" w:rsidP="0013531F">
      <w:pPr>
        <w:pStyle w:val="ListBullet"/>
      </w:pPr>
      <w:r w:rsidRPr="00C21C90">
        <w:t>Revised program governance arrangements (</w:t>
      </w:r>
      <w:r w:rsidRPr="00BB1006">
        <w:rPr>
          <w:i/>
          <w:iCs/>
        </w:rPr>
        <w:t>Option 2</w:t>
      </w:r>
      <w:r w:rsidRPr="00C21C90">
        <w:t>) that expand formalised and required engagement via:</w:t>
      </w:r>
    </w:p>
    <w:p w14:paraId="352BB3DD" w14:textId="34C843B2" w:rsidR="0013531F" w:rsidRPr="00C21C90" w:rsidRDefault="0013531F" w:rsidP="0013531F">
      <w:pPr>
        <w:pStyle w:val="ListBullet2"/>
      </w:pPr>
      <w:r w:rsidRPr="00C21C90">
        <w:t xml:space="preserve"> </w:t>
      </w:r>
      <w:r w:rsidRPr="00BB1006">
        <w:rPr>
          <w:i/>
          <w:iCs/>
        </w:rPr>
        <w:t>Option 2 (a)</w:t>
      </w:r>
      <w:r w:rsidRPr="00C21C90">
        <w:t>: sub-regional (site level) governance committees, including stakeholders not currently specified in the MOU, such as RWA representatives and local community members, and</w:t>
      </w:r>
    </w:p>
    <w:p w14:paraId="689FF3E2" w14:textId="2BBD6268" w:rsidR="0013531F" w:rsidRPr="00C21C90" w:rsidRDefault="0013531F" w:rsidP="0013531F">
      <w:pPr>
        <w:pStyle w:val="ListBullet2"/>
      </w:pPr>
      <w:r w:rsidRPr="00BB1006">
        <w:rPr>
          <w:i/>
          <w:iCs/>
        </w:rPr>
        <w:t>Option 2 (b)</w:t>
      </w:r>
      <w:r w:rsidRPr="00C21C90">
        <w:t>: Commonwealth/jurisdiction bi-lateral governance committee</w:t>
      </w:r>
      <w:r w:rsidR="004538DC">
        <w:t>s</w:t>
      </w:r>
      <w:r w:rsidRPr="00C21C90">
        <w:t xml:space="preserve"> (one for each participating jurisdiction)</w:t>
      </w:r>
    </w:p>
    <w:p w14:paraId="5B5C13B2" w14:textId="77777777" w:rsidR="0013531F" w:rsidRPr="00C21C90" w:rsidRDefault="0013531F" w:rsidP="0013531F">
      <w:pPr>
        <w:pStyle w:val="ListBullet"/>
      </w:pPr>
      <w:r w:rsidRPr="00C21C90">
        <w:t xml:space="preserve">Establishing mechanisms to maximise benefit to communities through collaborative planning and co-investment </w:t>
      </w:r>
      <w:r>
        <w:t>by</w:t>
      </w:r>
      <w:r w:rsidRPr="00C21C90">
        <w:t xml:space="preserve"> explor</w:t>
      </w:r>
      <w:r>
        <w:t>ing</w:t>
      </w:r>
      <w:r w:rsidRPr="00C21C90">
        <w:t xml:space="preserve"> the relationship with other Commonwealth and jurisdiction program investments in the town and its surrounding community</w:t>
      </w:r>
      <w:r>
        <w:t xml:space="preserve"> (</w:t>
      </w:r>
      <w:r w:rsidRPr="00BB1006">
        <w:rPr>
          <w:i/>
          <w:iCs/>
        </w:rPr>
        <w:t>Option 3</w:t>
      </w:r>
      <w:r>
        <w:t>)</w:t>
      </w:r>
      <w:r w:rsidRPr="00C21C90">
        <w:t>,</w:t>
      </w:r>
      <w:r>
        <w:t xml:space="preserve"> and</w:t>
      </w:r>
    </w:p>
    <w:p w14:paraId="766C7165" w14:textId="02B63A02" w:rsidR="0013531F" w:rsidRDefault="0013531F" w:rsidP="0013531F">
      <w:pPr>
        <w:pStyle w:val="ListBullet"/>
      </w:pPr>
      <w:r>
        <w:t>A</w:t>
      </w:r>
      <w:r w:rsidRPr="00C21C90">
        <w:t xml:space="preserve">dministrative refinement to program processes (including </w:t>
      </w:r>
      <w:r>
        <w:t xml:space="preserve">formalised jurisdiction-level </w:t>
      </w:r>
      <w:r w:rsidRPr="00C21C90">
        <w:t>reporting on reinvestment and a mid-cycle review process for all plans)</w:t>
      </w:r>
      <w:r>
        <w:t xml:space="preserve"> (</w:t>
      </w:r>
      <w:r w:rsidRPr="00BB1006">
        <w:rPr>
          <w:i/>
          <w:iCs/>
        </w:rPr>
        <w:t>Option 4</w:t>
      </w:r>
      <w:r>
        <w:t>).</w:t>
      </w:r>
    </w:p>
    <w:p w14:paraId="30872AF6" w14:textId="0F0F8297" w:rsidR="00125152" w:rsidRDefault="00125152" w:rsidP="00E55A9E">
      <w:r>
        <w:t>The report summarises j</w:t>
      </w:r>
      <w:r w:rsidRPr="00125152">
        <w:t xml:space="preserve">urisdiction responses to </w:t>
      </w:r>
      <w:r>
        <w:t xml:space="preserve">each of these </w:t>
      </w:r>
      <w:r w:rsidRPr="00125152">
        <w:t>options</w:t>
      </w:r>
      <w:r>
        <w:t>.</w:t>
      </w:r>
    </w:p>
    <w:p w14:paraId="592BC676" w14:textId="0634BEC4" w:rsidR="00E55A9E" w:rsidRDefault="00E55A9E" w:rsidP="00E55A9E">
      <w:r>
        <w:t>During stakeholder discussions for the evaluation there was some support for larger changes to funding arrangements for small health services in rural and remote areas. These options for funding redesign included:</w:t>
      </w:r>
    </w:p>
    <w:p w14:paraId="7F697641" w14:textId="3551F21E" w:rsidR="00E55A9E" w:rsidRDefault="00E55A9E" w:rsidP="00E55A9E">
      <w:pPr>
        <w:pStyle w:val="ListBullet"/>
      </w:pPr>
      <w:r>
        <w:t>Pooling of funds at a sub-regional level using revenues from the Initiative together with other relevant programs including RWAs, PHNs, NDIS, aged care</w:t>
      </w:r>
      <w:r w:rsidR="009A4F03">
        <w:t xml:space="preserve">, </w:t>
      </w:r>
      <w:r>
        <w:t xml:space="preserve">local government and LHNs, and </w:t>
      </w:r>
    </w:p>
    <w:p w14:paraId="0BEA9035" w14:textId="62FCD8FD" w:rsidR="00E55A9E" w:rsidRDefault="00E55A9E" w:rsidP="00E55A9E">
      <w:pPr>
        <w:pStyle w:val="ListBullet"/>
      </w:pPr>
      <w:r>
        <w:t>Place based planning and service development.</w:t>
      </w:r>
    </w:p>
    <w:p w14:paraId="40AAE6A5" w14:textId="761182B3" w:rsidR="00E55A9E" w:rsidRDefault="00E55A9E" w:rsidP="00E55A9E">
      <w:r>
        <w:t xml:space="preserve">These options were beyond the scope of this evaluation, which was to focus on the effectiveness, design rules and appropriateness of the Initiative. </w:t>
      </w:r>
    </w:p>
    <w:p w14:paraId="2379D7F4" w14:textId="507F4395" w:rsidR="0013531F" w:rsidRDefault="0013531F" w:rsidP="004A2B9B">
      <w:pPr>
        <w:pStyle w:val="ESHeading2"/>
      </w:pPr>
      <w:r>
        <w:t>Next steps</w:t>
      </w:r>
    </w:p>
    <w:p w14:paraId="3D509168" w14:textId="156BFE94" w:rsidR="0013531F" w:rsidRPr="0013531F" w:rsidRDefault="0013531F" w:rsidP="0013531F">
      <w:r>
        <w:t xml:space="preserve">The </w:t>
      </w:r>
      <w:r w:rsidR="00416976">
        <w:t xml:space="preserve">evaluation </w:t>
      </w:r>
      <w:r>
        <w:t xml:space="preserve">report will </w:t>
      </w:r>
      <w:r w:rsidR="00416976">
        <w:t>inform development of the next MOU</w:t>
      </w:r>
      <w:r w:rsidR="004A2B9B">
        <w:t>s</w:t>
      </w:r>
      <w:r w:rsidR="00416976">
        <w:t xml:space="preserve"> with jurisdictions. </w:t>
      </w:r>
    </w:p>
    <w:p w14:paraId="4C3A9E1F" w14:textId="7FD0DA4F" w:rsidR="0053103B" w:rsidRDefault="0053103B" w:rsidP="003B3C06">
      <w:pPr>
        <w:pStyle w:val="BodyCopy"/>
      </w:pPr>
    </w:p>
    <w:p w14:paraId="0A53FABE" w14:textId="52C7102E" w:rsidR="0053103B" w:rsidRDefault="0053103B" w:rsidP="003B3C06">
      <w:pPr>
        <w:pStyle w:val="BodyCopy"/>
      </w:pPr>
    </w:p>
    <w:p w14:paraId="39C4A7A7" w14:textId="48607D92" w:rsidR="0053103B" w:rsidRDefault="0053103B" w:rsidP="003B3C06">
      <w:pPr>
        <w:pStyle w:val="BodyCopy"/>
      </w:pPr>
    </w:p>
    <w:p w14:paraId="38BE23F4" w14:textId="71762047" w:rsidR="0053103B" w:rsidRDefault="0053103B" w:rsidP="003B3C06">
      <w:pPr>
        <w:pStyle w:val="BodyCopy"/>
      </w:pPr>
    </w:p>
    <w:p w14:paraId="5BC13F6C" w14:textId="1FAB0759" w:rsidR="0053103B" w:rsidRDefault="0053103B" w:rsidP="003B3C06">
      <w:pPr>
        <w:pStyle w:val="BodyCopy"/>
      </w:pPr>
    </w:p>
    <w:p w14:paraId="7F45B77F" w14:textId="309D7EFF" w:rsidR="0053103B" w:rsidRDefault="0053103B" w:rsidP="003B3C06">
      <w:pPr>
        <w:pStyle w:val="BodyCopy"/>
      </w:pPr>
    </w:p>
    <w:p w14:paraId="251DB9DB" w14:textId="006FC966" w:rsidR="0053103B" w:rsidRDefault="0053103B" w:rsidP="003B3C06">
      <w:pPr>
        <w:pStyle w:val="BodyCopy"/>
      </w:pPr>
    </w:p>
    <w:p w14:paraId="5B8E026E" w14:textId="72000E86" w:rsidR="0053103B" w:rsidRDefault="0053103B" w:rsidP="003B3C06">
      <w:pPr>
        <w:pStyle w:val="BodyCopy"/>
      </w:pPr>
    </w:p>
    <w:p w14:paraId="073A2AD0" w14:textId="5D89120D" w:rsidR="0053103B" w:rsidRDefault="0053103B" w:rsidP="003B3C06">
      <w:pPr>
        <w:pStyle w:val="BodyCopy"/>
      </w:pPr>
    </w:p>
    <w:p w14:paraId="6E86682B" w14:textId="35572598" w:rsidR="0053103B" w:rsidRDefault="0053103B" w:rsidP="003B3C06">
      <w:pPr>
        <w:pStyle w:val="BodyCopy"/>
      </w:pPr>
    </w:p>
    <w:p w14:paraId="6B4A0851" w14:textId="122DEBF0" w:rsidR="0053103B" w:rsidRDefault="0053103B" w:rsidP="003B3C06">
      <w:pPr>
        <w:pStyle w:val="BodyCopy"/>
      </w:pPr>
    </w:p>
    <w:p w14:paraId="06C107DE" w14:textId="36579389" w:rsidR="0053103B" w:rsidRDefault="0053103B" w:rsidP="003B3C06">
      <w:pPr>
        <w:pStyle w:val="BodyCopy"/>
      </w:pPr>
    </w:p>
    <w:p w14:paraId="58C3B7F9" w14:textId="6775B70D" w:rsidR="0053103B" w:rsidRDefault="0053103B" w:rsidP="003B3C06">
      <w:pPr>
        <w:pStyle w:val="BodyCopy"/>
      </w:pPr>
    </w:p>
    <w:p w14:paraId="15E91851" w14:textId="35004072" w:rsidR="0053103B" w:rsidRDefault="0053103B" w:rsidP="003B3C06">
      <w:pPr>
        <w:pStyle w:val="BodyCopy"/>
      </w:pPr>
    </w:p>
    <w:p w14:paraId="00820E24" w14:textId="77777777" w:rsidR="0053103B" w:rsidRDefault="0053103B" w:rsidP="003B3C06">
      <w:pPr>
        <w:pStyle w:val="BodyCopy"/>
      </w:pPr>
    </w:p>
    <w:p w14:paraId="579AD8E2" w14:textId="77777777" w:rsidR="00F2487E" w:rsidRDefault="00F2487E" w:rsidP="003B3C06">
      <w:pPr>
        <w:pStyle w:val="BodyCopy"/>
        <w:sectPr w:rsidR="00F2487E" w:rsidSect="0053103B">
          <w:headerReference w:type="default" r:id="rId21"/>
          <w:footerReference w:type="default" r:id="rId22"/>
          <w:type w:val="continuous"/>
          <w:pgSz w:w="16838" w:h="11906" w:orient="landscape" w:code="9"/>
          <w:pgMar w:top="737" w:right="1304" w:bottom="1134" w:left="737" w:header="567" w:footer="284" w:gutter="0"/>
          <w:pgNumType w:fmt="lowerRoman"/>
          <w:cols w:num="2" w:space="708"/>
          <w:docGrid w:linePitch="360"/>
        </w:sectPr>
      </w:pPr>
    </w:p>
    <w:p w14:paraId="03FE9C3E" w14:textId="4BB2B393" w:rsidR="00E77CCA" w:rsidRDefault="00F2487E" w:rsidP="00F2487E">
      <w:pPr>
        <w:pStyle w:val="DividerPageTitle"/>
        <w:framePr w:wrap="around"/>
      </w:pPr>
      <w:bookmarkStart w:id="3" w:name="_Toc85203258"/>
      <w:r>
        <w:lastRenderedPageBreak/>
        <w:t>Context</w:t>
      </w:r>
      <w:bookmarkEnd w:id="3"/>
    </w:p>
    <w:p w14:paraId="58E0036B" w14:textId="372A688C" w:rsidR="00CB14E9" w:rsidRDefault="00B744E6" w:rsidP="00467F42">
      <w:pPr>
        <w:pStyle w:val="Heading1"/>
        <w:framePr w:wrap="around"/>
      </w:pPr>
      <w:bookmarkStart w:id="4" w:name="_Toc85203259"/>
      <w:r>
        <w:lastRenderedPageBreak/>
        <w:t>Background</w:t>
      </w:r>
      <w:bookmarkEnd w:id="4"/>
    </w:p>
    <w:p w14:paraId="1572DEFF" w14:textId="6022E27B" w:rsidR="00B744E6" w:rsidRPr="00B744E6" w:rsidRDefault="0081638B" w:rsidP="00880043">
      <w:pPr>
        <w:keepNext/>
        <w:keepLines/>
        <w:numPr>
          <w:ilvl w:val="1"/>
          <w:numId w:val="11"/>
        </w:numPr>
        <w:spacing w:before="400" w:after="240"/>
        <w:outlineLvl w:val="1"/>
        <w:rPr>
          <w:rFonts w:ascii="Franklin Gothic Book" w:eastAsia="Times New Roman" w:hAnsi="Franklin Gothic Book" w:cs="Times New Roman"/>
          <w:b/>
          <w:bCs/>
          <w:caps/>
          <w:color w:val="000000"/>
          <w:spacing w:val="-3"/>
          <w:sz w:val="32"/>
          <w:szCs w:val="26"/>
          <w:u w:val="single"/>
        </w:rPr>
      </w:pPr>
      <w:bookmarkStart w:id="5" w:name="_Toc63154679"/>
      <w:bookmarkStart w:id="6" w:name="_Toc65163689"/>
      <w:r>
        <w:rPr>
          <w:rFonts w:ascii="Franklin Gothic Book" w:eastAsia="Times New Roman" w:hAnsi="Franklin Gothic Book" w:cs="Times New Roman"/>
          <w:b/>
          <w:bCs/>
          <w:caps/>
          <w:color w:val="000000"/>
          <w:spacing w:val="-3"/>
          <w:sz w:val="32"/>
          <w:szCs w:val="26"/>
          <w:u w:val="single"/>
        </w:rPr>
        <w:t xml:space="preserve">Initiative </w:t>
      </w:r>
      <w:r w:rsidR="00DE5CEB">
        <w:rPr>
          <w:rFonts w:ascii="Franklin Gothic Book" w:eastAsia="Times New Roman" w:hAnsi="Franklin Gothic Book" w:cs="Times New Roman"/>
          <w:b/>
          <w:bCs/>
          <w:caps/>
          <w:color w:val="000000"/>
          <w:spacing w:val="-3"/>
          <w:sz w:val="32"/>
          <w:szCs w:val="26"/>
          <w:u w:val="single"/>
        </w:rPr>
        <w:t>c</w:t>
      </w:r>
      <w:r w:rsidR="00B744E6" w:rsidRPr="00B744E6">
        <w:rPr>
          <w:rFonts w:ascii="Franklin Gothic Book" w:eastAsia="Times New Roman" w:hAnsi="Franklin Gothic Book" w:cs="Times New Roman"/>
          <w:b/>
          <w:bCs/>
          <w:caps/>
          <w:color w:val="000000"/>
          <w:spacing w:val="-3"/>
          <w:sz w:val="32"/>
          <w:szCs w:val="26"/>
          <w:u w:val="single"/>
        </w:rPr>
        <w:t>ontext</w:t>
      </w:r>
      <w:bookmarkEnd w:id="5"/>
      <w:bookmarkEnd w:id="6"/>
    </w:p>
    <w:p w14:paraId="72E18BD7" w14:textId="19FDFD3B" w:rsidR="00B744E6" w:rsidRPr="00B744E6" w:rsidRDefault="00B744E6" w:rsidP="00B744E6">
      <w:pPr>
        <w:rPr>
          <w:rFonts w:cs="Times New Roman"/>
          <w:color w:val="000000" w:themeColor="text1"/>
          <w:szCs w:val="20"/>
        </w:rPr>
      </w:pPr>
      <w:r w:rsidRPr="00B744E6">
        <w:rPr>
          <w:rFonts w:cs="Times New Roman"/>
          <w:color w:val="000000" w:themeColor="text1"/>
          <w:szCs w:val="20"/>
        </w:rPr>
        <w:t xml:space="preserve">Section 19(2) of the </w:t>
      </w:r>
      <w:r w:rsidRPr="00B744E6">
        <w:rPr>
          <w:rFonts w:cs="Times New Roman"/>
          <w:i/>
          <w:iCs/>
          <w:color w:val="000000" w:themeColor="text1"/>
          <w:szCs w:val="20"/>
        </w:rPr>
        <w:t xml:space="preserve">Health Insurance Act, 1973 </w:t>
      </w:r>
      <w:r w:rsidRPr="00B744E6">
        <w:rPr>
          <w:rFonts w:cs="Times New Roman"/>
          <w:color w:val="000000" w:themeColor="text1"/>
          <w:szCs w:val="20"/>
        </w:rPr>
        <w:t>precludes state and territory health services claiming Medical Benefits for non-admitted, non-privately referred services delivered in hospital</w:t>
      </w:r>
      <w:r w:rsidR="0081638B">
        <w:rPr>
          <w:rFonts w:cs="Times New Roman"/>
          <w:color w:val="000000" w:themeColor="text1"/>
          <w:szCs w:val="20"/>
        </w:rPr>
        <w:t xml:space="preserve">s, </w:t>
      </w:r>
      <w:r w:rsidRPr="00B744E6">
        <w:rPr>
          <w:rFonts w:cs="Times New Roman"/>
          <w:color w:val="000000" w:themeColor="text1"/>
          <w:szCs w:val="20"/>
        </w:rPr>
        <w:t xml:space="preserve">multipurpose services and community clinics. However, in 2006–2007 the Council of Australian Governments (COAG) introduced the </w:t>
      </w:r>
      <w:r w:rsidRPr="00B744E6">
        <w:rPr>
          <w:rFonts w:cs="Times New Roman"/>
          <w:i/>
          <w:iCs/>
          <w:color w:val="000000" w:themeColor="text1"/>
          <w:szCs w:val="20"/>
        </w:rPr>
        <w:t xml:space="preserve">Section 19(2) Exemptions Initiative – Improving Access to Primary Care in Rural and Remote Areas </w:t>
      </w:r>
      <w:r w:rsidRPr="00B744E6">
        <w:rPr>
          <w:rFonts w:cs="Times New Roman"/>
          <w:color w:val="000000" w:themeColor="text1"/>
          <w:szCs w:val="20"/>
        </w:rPr>
        <w:t>(the Initiative) with the objectives of:</w:t>
      </w:r>
    </w:p>
    <w:p w14:paraId="51BEA194" w14:textId="77777777" w:rsidR="00B744E6" w:rsidRPr="00B744E6" w:rsidRDefault="00B744E6" w:rsidP="00B744E6">
      <w:pPr>
        <w:pStyle w:val="List"/>
      </w:pPr>
      <w:r w:rsidRPr="00B744E6">
        <w:t xml:space="preserve">improving access to primary care for people living in rural and remote areas </w:t>
      </w:r>
    </w:p>
    <w:p w14:paraId="194988F4" w14:textId="38532A6F" w:rsidR="00B744E6" w:rsidRPr="00B744E6" w:rsidRDefault="00B744E6" w:rsidP="00B744E6">
      <w:pPr>
        <w:pStyle w:val="List"/>
      </w:pPr>
      <w:r w:rsidRPr="00B744E6">
        <w:t>supporting participating sites to attract and retain a relevant primary healthcare workforce</w:t>
      </w:r>
      <w:r w:rsidR="00F6479E">
        <w:t>,</w:t>
      </w:r>
      <w:r w:rsidRPr="00B744E6">
        <w:t xml:space="preserve"> and </w:t>
      </w:r>
    </w:p>
    <w:p w14:paraId="3517B87B" w14:textId="77777777" w:rsidR="00B744E6" w:rsidRPr="00B744E6" w:rsidRDefault="00B744E6" w:rsidP="00B744E6">
      <w:pPr>
        <w:pStyle w:val="List"/>
      </w:pPr>
      <w:r w:rsidRPr="00B744E6">
        <w:t xml:space="preserve">assisting with the sustainability of the rural hospitals. </w:t>
      </w:r>
    </w:p>
    <w:p w14:paraId="6A0D173B" w14:textId="1A764AF6" w:rsidR="00B744E6" w:rsidRPr="00B744E6" w:rsidRDefault="00B744E6" w:rsidP="00F6479E">
      <w:pPr>
        <w:spacing w:before="120"/>
        <w:rPr>
          <w:rFonts w:cs="Times New Roman"/>
          <w:color w:val="000000" w:themeColor="text1"/>
          <w:szCs w:val="20"/>
        </w:rPr>
      </w:pPr>
      <w:r w:rsidRPr="00B744E6">
        <w:rPr>
          <w:rFonts w:cs="Times New Roman"/>
          <w:color w:val="000000" w:themeColor="text1"/>
          <w:szCs w:val="20"/>
        </w:rPr>
        <w:t xml:space="preserve">The Initiative recognises that many people living in rural and remote areas throughout Australia face difficulties in gaining access to appropriate health professionals and </w:t>
      </w:r>
      <w:r w:rsidR="00E419DC">
        <w:rPr>
          <w:rFonts w:cs="Times New Roman"/>
          <w:color w:val="000000" w:themeColor="text1"/>
          <w:szCs w:val="20"/>
        </w:rPr>
        <w:t>healthcare</w:t>
      </w:r>
      <w:r w:rsidRPr="00B744E6">
        <w:rPr>
          <w:rFonts w:cs="Times New Roman"/>
          <w:color w:val="000000" w:themeColor="text1"/>
          <w:szCs w:val="20"/>
        </w:rPr>
        <w:t xml:space="preserve"> services in their community.</w:t>
      </w:r>
    </w:p>
    <w:p w14:paraId="13411664" w14:textId="48C948F4" w:rsidR="00B744E6" w:rsidRPr="00B744E6" w:rsidRDefault="00B744E6" w:rsidP="00B744E6">
      <w:r w:rsidRPr="00B744E6">
        <w:t xml:space="preserve">In December 2020 there were 118 sites across four jurisdictions (New South Wales, Queensland, Western Australia and the Northern Territory) listed as participating in the Initiative </w:t>
      </w:r>
      <w:sdt>
        <w:sdtPr>
          <w:id w:val="-2066634113"/>
          <w:citation/>
        </w:sdtPr>
        <w:sdtEndPr/>
        <w:sdtContent>
          <w:r w:rsidRPr="00B744E6">
            <w:fldChar w:fldCharType="begin"/>
          </w:r>
          <w:r w:rsidRPr="00B744E6">
            <w:instrText xml:space="preserve"> CITATION Aus21 \l 3081 </w:instrText>
          </w:r>
          <w:r w:rsidRPr="00B744E6">
            <w:fldChar w:fldCharType="separate"/>
          </w:r>
          <w:r w:rsidR="003E36C4" w:rsidRPr="003E36C4">
            <w:rPr>
              <w:noProof/>
            </w:rPr>
            <w:t>[1]</w:t>
          </w:r>
          <w:r w:rsidRPr="00B744E6">
            <w:fldChar w:fldCharType="end"/>
          </w:r>
        </w:sdtContent>
      </w:sdt>
      <w:r w:rsidRPr="00B744E6">
        <w:t>. Medical Benefits Schedule (MBS) rebates received by jurisdictions under the Initiative in 2019–20 totalled $13.716 m.</w:t>
      </w:r>
      <w:r w:rsidRPr="00B744E6">
        <w:rPr>
          <w:vertAlign w:val="superscript"/>
        </w:rPr>
        <w:footnoteReference w:id="2"/>
      </w:r>
    </w:p>
    <w:p w14:paraId="4304B9A5" w14:textId="0DBB212A" w:rsidR="00B744E6" w:rsidRPr="00B744E6" w:rsidRDefault="00DE5CEB" w:rsidP="00880043">
      <w:pPr>
        <w:keepNext/>
        <w:keepLines/>
        <w:numPr>
          <w:ilvl w:val="1"/>
          <w:numId w:val="11"/>
        </w:numPr>
        <w:spacing w:before="400" w:after="240"/>
        <w:outlineLvl w:val="1"/>
        <w:rPr>
          <w:rFonts w:ascii="Franklin Gothic Book" w:eastAsia="Times New Roman" w:hAnsi="Franklin Gothic Book" w:cs="Times New Roman"/>
          <w:b/>
          <w:bCs/>
          <w:caps/>
          <w:color w:val="000000"/>
          <w:spacing w:val="-3"/>
          <w:sz w:val="32"/>
          <w:szCs w:val="26"/>
          <w:u w:val="single"/>
        </w:rPr>
      </w:pPr>
      <w:bookmarkStart w:id="7" w:name="_Toc63154680"/>
      <w:bookmarkStart w:id="8" w:name="_Toc65163690"/>
      <w:r>
        <w:rPr>
          <w:rFonts w:ascii="Franklin Gothic Book" w:eastAsia="Times New Roman" w:hAnsi="Franklin Gothic Book" w:cs="Times New Roman"/>
          <w:b/>
          <w:bCs/>
          <w:caps/>
          <w:color w:val="000000"/>
          <w:spacing w:val="-3"/>
          <w:sz w:val="32"/>
          <w:szCs w:val="26"/>
          <w:u w:val="single"/>
        </w:rPr>
        <w:t>R</w:t>
      </w:r>
      <w:r w:rsidR="00B744E6" w:rsidRPr="00B744E6">
        <w:rPr>
          <w:rFonts w:ascii="Franklin Gothic Book" w:eastAsia="Times New Roman" w:hAnsi="Franklin Gothic Book" w:cs="Times New Roman"/>
          <w:b/>
          <w:bCs/>
          <w:caps/>
          <w:color w:val="000000"/>
          <w:spacing w:val="-3"/>
          <w:sz w:val="32"/>
          <w:szCs w:val="26"/>
          <w:u w:val="single"/>
        </w:rPr>
        <w:t>equirement</w:t>
      </w:r>
      <w:r w:rsidR="00B065F6">
        <w:rPr>
          <w:rFonts w:ascii="Franklin Gothic Book" w:eastAsia="Times New Roman" w:hAnsi="Franklin Gothic Book" w:cs="Times New Roman"/>
          <w:b/>
          <w:bCs/>
          <w:caps/>
          <w:color w:val="000000"/>
          <w:spacing w:val="-3"/>
          <w:sz w:val="32"/>
          <w:szCs w:val="26"/>
          <w:u w:val="single"/>
        </w:rPr>
        <w:t xml:space="preserve"> for evaluation</w:t>
      </w:r>
      <w:r w:rsidR="00B744E6" w:rsidRPr="00B744E6">
        <w:rPr>
          <w:rFonts w:ascii="Franklin Gothic Book" w:eastAsia="Times New Roman" w:hAnsi="Franklin Gothic Book" w:cs="Times New Roman"/>
          <w:b/>
          <w:bCs/>
          <w:caps/>
          <w:color w:val="000000"/>
          <w:spacing w:val="-3"/>
          <w:sz w:val="32"/>
          <w:szCs w:val="26"/>
          <w:u w:val="single"/>
        </w:rPr>
        <w:t xml:space="preserve"> </w:t>
      </w:r>
      <w:bookmarkEnd w:id="7"/>
      <w:bookmarkEnd w:id="8"/>
    </w:p>
    <w:p w14:paraId="2752B513" w14:textId="7CEF0E5E" w:rsidR="00B744E6" w:rsidRPr="00B744E6" w:rsidRDefault="00B744E6" w:rsidP="00B744E6">
      <w:r w:rsidRPr="00B744E6">
        <w:rPr>
          <w:rFonts w:cs="Times New Roman"/>
          <w:color w:val="000000" w:themeColor="text1"/>
          <w:szCs w:val="20"/>
        </w:rPr>
        <w:t>The Memorandum of Understanding (MOU) between the Commonwealth and participating jurisdictions states that</w:t>
      </w:r>
      <w:r w:rsidRPr="00B744E6">
        <w:t xml:space="preserve"> the Commonwealth will:</w:t>
      </w:r>
    </w:p>
    <w:p w14:paraId="2AF97458" w14:textId="638D6F13" w:rsidR="00B744E6" w:rsidRPr="00B744E6" w:rsidRDefault="00B744E6" w:rsidP="00B744E6">
      <w:pPr>
        <w:ind w:left="720"/>
        <w:rPr>
          <w:rFonts w:cs="Times New Roman"/>
          <w:i/>
          <w:iCs/>
          <w:color w:val="000000" w:themeColor="text1"/>
          <w:szCs w:val="20"/>
        </w:rPr>
      </w:pPr>
      <w:r w:rsidRPr="00B744E6">
        <w:rPr>
          <w:rFonts w:cs="Times New Roman"/>
          <w:i/>
          <w:iCs/>
          <w:color w:val="000000" w:themeColor="text1"/>
          <w:szCs w:val="20"/>
        </w:rPr>
        <w:t>‘Conduct an evaluation of the Initiative by 30 June 2020, in consultation with participating states and territories’</w:t>
      </w:r>
    </w:p>
    <w:p w14:paraId="3EF110A9" w14:textId="54D1035C" w:rsidR="00B744E6" w:rsidRPr="00B744E6" w:rsidRDefault="00B744E6" w:rsidP="00B744E6">
      <w:pPr>
        <w:contextualSpacing/>
        <w:rPr>
          <w:rFonts w:cs="Times New Roman"/>
          <w:color w:val="000000" w:themeColor="text1"/>
          <w:szCs w:val="20"/>
        </w:rPr>
      </w:pPr>
      <w:r w:rsidRPr="00B744E6">
        <w:rPr>
          <w:i/>
          <w:iCs/>
        </w:rPr>
        <w:t>’</w:t>
      </w:r>
      <w:r w:rsidRPr="00B744E6">
        <w:rPr>
          <w:rFonts w:cs="Times New Roman"/>
          <w:color w:val="000000" w:themeColor="text1"/>
          <w:szCs w:val="20"/>
        </w:rPr>
        <w:t>The existing MOUs were varied by the Commonwealth in September 2020, extending the Initiative</w:t>
      </w:r>
      <w:r w:rsidR="004B5F30">
        <w:rPr>
          <w:rFonts w:cs="Times New Roman"/>
          <w:color w:val="000000" w:themeColor="text1"/>
          <w:szCs w:val="20"/>
        </w:rPr>
        <w:t>’s</w:t>
      </w:r>
      <w:r w:rsidRPr="00B744E6">
        <w:rPr>
          <w:rFonts w:cs="Times New Roman"/>
          <w:color w:val="000000" w:themeColor="text1"/>
          <w:szCs w:val="20"/>
        </w:rPr>
        <w:t xml:space="preserve"> operation to 31 December 2021.</w:t>
      </w:r>
    </w:p>
    <w:p w14:paraId="4119022E" w14:textId="06E89F2A" w:rsidR="00B744E6" w:rsidRPr="00B744E6" w:rsidRDefault="00B744E6" w:rsidP="00B744E6">
      <w:pPr>
        <w:spacing w:before="240"/>
        <w:rPr>
          <w:rFonts w:cs="Times New Roman"/>
          <w:color w:val="000000" w:themeColor="text1"/>
          <w:szCs w:val="20"/>
        </w:rPr>
      </w:pPr>
      <w:r w:rsidRPr="00B744E6">
        <w:rPr>
          <w:rFonts w:cs="Times New Roman"/>
          <w:color w:val="000000" w:themeColor="text1"/>
          <w:szCs w:val="20"/>
        </w:rPr>
        <w:t xml:space="preserve">The Australian Government Department of Health (the Department) engaged Healthcare Management Advisors (HMA) to </w:t>
      </w:r>
    </w:p>
    <w:p w14:paraId="77756FEE" w14:textId="04BB67BC" w:rsidR="00B744E6" w:rsidRDefault="00B744E6" w:rsidP="00B744E6">
      <w:pPr>
        <w:spacing w:before="85" w:after="85" w:line="264" w:lineRule="atLeast"/>
        <w:ind w:left="284" w:right="284"/>
        <w:rPr>
          <w:rFonts w:ascii="Times New Roman" w:hAnsi="Times New Roman"/>
          <w:i/>
          <w:iCs/>
          <w:color w:val="000000" w:themeColor="text1"/>
          <w:sz w:val="20"/>
        </w:rPr>
      </w:pPr>
      <w:r w:rsidRPr="00B744E6">
        <w:rPr>
          <w:rFonts w:ascii="Times New Roman" w:hAnsi="Times New Roman"/>
          <w:i/>
          <w:iCs/>
          <w:color w:val="000000" w:themeColor="text1"/>
          <w:sz w:val="20"/>
        </w:rPr>
        <w:t>‘undertake a robust review of the COAG Section 19(2) Exemptions Initiative – Improving Access to Primary Care in Rural and Remote Areas (the Initiative) – to determine how the Initiative achieves its objectives’</w:t>
      </w:r>
    </w:p>
    <w:p w14:paraId="4327DB02" w14:textId="77777777" w:rsidR="00E70784" w:rsidRPr="00B744E6" w:rsidRDefault="00E70784" w:rsidP="00E70784">
      <w:pPr>
        <w:keepNext/>
        <w:keepLines/>
        <w:numPr>
          <w:ilvl w:val="1"/>
          <w:numId w:val="11"/>
        </w:numPr>
        <w:spacing w:before="400" w:after="240"/>
        <w:outlineLvl w:val="1"/>
        <w:rPr>
          <w:rFonts w:ascii="Franklin Gothic Book" w:eastAsia="Times New Roman" w:hAnsi="Franklin Gothic Book" w:cs="Times New Roman"/>
          <w:b/>
          <w:bCs/>
          <w:caps/>
          <w:color w:val="000000"/>
          <w:spacing w:val="-3"/>
          <w:sz w:val="32"/>
          <w:szCs w:val="26"/>
          <w:u w:val="single"/>
        </w:rPr>
      </w:pPr>
      <w:r w:rsidRPr="00B744E6">
        <w:rPr>
          <w:rFonts w:ascii="Franklin Gothic Book" w:eastAsia="Times New Roman" w:hAnsi="Franklin Gothic Book" w:cs="Times New Roman"/>
          <w:b/>
          <w:bCs/>
          <w:caps/>
          <w:color w:val="000000"/>
          <w:spacing w:val="-3"/>
          <w:sz w:val="32"/>
          <w:szCs w:val="26"/>
          <w:u w:val="single"/>
        </w:rPr>
        <w:t xml:space="preserve">Evaluation </w:t>
      </w:r>
      <w:r>
        <w:rPr>
          <w:rFonts w:ascii="Franklin Gothic Book" w:eastAsia="Times New Roman" w:hAnsi="Franklin Gothic Book" w:cs="Times New Roman"/>
          <w:b/>
          <w:bCs/>
          <w:caps/>
          <w:color w:val="000000"/>
          <w:spacing w:val="-3"/>
          <w:sz w:val="32"/>
          <w:szCs w:val="26"/>
          <w:u w:val="single"/>
        </w:rPr>
        <w:t>o</w:t>
      </w:r>
      <w:r w:rsidRPr="00B744E6">
        <w:rPr>
          <w:rFonts w:ascii="Franklin Gothic Book" w:eastAsia="Times New Roman" w:hAnsi="Franklin Gothic Book" w:cs="Times New Roman"/>
          <w:b/>
          <w:bCs/>
          <w:caps/>
          <w:color w:val="000000"/>
          <w:spacing w:val="-3"/>
          <w:sz w:val="32"/>
          <w:szCs w:val="26"/>
          <w:u w:val="single"/>
        </w:rPr>
        <w:t>bjectives</w:t>
      </w:r>
    </w:p>
    <w:p w14:paraId="6B09A8C0" w14:textId="77777777" w:rsidR="00E70784" w:rsidRPr="00B744E6" w:rsidRDefault="00E70784" w:rsidP="00E70784">
      <w:pPr>
        <w:rPr>
          <w:rFonts w:eastAsia="Times New Roman" w:cs="Times New Roman"/>
        </w:rPr>
      </w:pPr>
      <w:r w:rsidRPr="00B744E6">
        <w:rPr>
          <w:rFonts w:eastAsia="Times New Roman" w:cs="Times New Roman"/>
        </w:rPr>
        <w:t xml:space="preserve">The aim of the evaluation, as specified in the project brief, </w:t>
      </w:r>
      <w:r>
        <w:rPr>
          <w:rFonts w:eastAsia="Times New Roman" w:cs="Times New Roman"/>
        </w:rPr>
        <w:t>was</w:t>
      </w:r>
      <w:r w:rsidRPr="00B744E6">
        <w:rPr>
          <w:rFonts w:eastAsia="Times New Roman" w:cs="Times New Roman"/>
        </w:rPr>
        <w:t xml:space="preserve"> to determine </w:t>
      </w:r>
      <w:r>
        <w:rPr>
          <w:rFonts w:eastAsia="Times New Roman" w:cs="Times New Roman"/>
        </w:rPr>
        <w:t xml:space="preserve">whether </w:t>
      </w:r>
      <w:r w:rsidRPr="00B744E6">
        <w:rPr>
          <w:rFonts w:eastAsia="Times New Roman" w:cs="Times New Roman"/>
        </w:rPr>
        <w:t>the Initiative is appropriate, effective, efficient and of quality and value. Our assessment has been informed by examining the Initiative</w:t>
      </w:r>
      <w:r>
        <w:rPr>
          <w:rFonts w:eastAsia="Times New Roman" w:cs="Times New Roman"/>
        </w:rPr>
        <w:t>’s</w:t>
      </w:r>
      <w:r w:rsidRPr="00B744E6">
        <w:rPr>
          <w:rFonts w:eastAsia="Times New Roman" w:cs="Times New Roman"/>
        </w:rPr>
        <w:t xml:space="preserve"> performance against the following key evaluation questions:</w:t>
      </w:r>
    </w:p>
    <w:p w14:paraId="6C9BC376" w14:textId="77777777" w:rsidR="00E70784" w:rsidRPr="00B744E6" w:rsidRDefault="00E70784" w:rsidP="00E70784">
      <w:pPr>
        <w:keepNext/>
        <w:numPr>
          <w:ilvl w:val="0"/>
          <w:numId w:val="4"/>
        </w:numPr>
        <w:contextualSpacing/>
      </w:pPr>
      <w:r w:rsidRPr="00B744E6">
        <w:lastRenderedPageBreak/>
        <w:t xml:space="preserve">What effects has the </w:t>
      </w:r>
      <w:r>
        <w:t xml:space="preserve">COAG </w:t>
      </w:r>
      <w:r w:rsidRPr="00B744E6">
        <w:t xml:space="preserve">Section 19(2) </w:t>
      </w:r>
      <w:r>
        <w:t>Initiative</w:t>
      </w:r>
      <w:r w:rsidRPr="00B744E6">
        <w:t xml:space="preserve"> had on approved eligible sites?</w:t>
      </w:r>
    </w:p>
    <w:p w14:paraId="2EA66D7F" w14:textId="77777777" w:rsidR="00E70784" w:rsidRPr="00B744E6" w:rsidRDefault="00E70784" w:rsidP="00E70784">
      <w:pPr>
        <w:numPr>
          <w:ilvl w:val="0"/>
          <w:numId w:val="4"/>
        </w:numPr>
        <w:contextualSpacing/>
      </w:pPr>
      <w:r w:rsidRPr="00B744E6">
        <w:t xml:space="preserve">Have </w:t>
      </w:r>
      <w:r>
        <w:t xml:space="preserve">COAG </w:t>
      </w:r>
      <w:r w:rsidRPr="00B744E6">
        <w:t xml:space="preserve">Section 19(2) exemptions improved access to primary </w:t>
      </w:r>
      <w:r>
        <w:t>healthcare</w:t>
      </w:r>
      <w:r w:rsidRPr="00B744E6">
        <w:t xml:space="preserve"> services?</w:t>
      </w:r>
    </w:p>
    <w:p w14:paraId="41C35CB4" w14:textId="77777777" w:rsidR="00E70784" w:rsidRPr="00B744E6" w:rsidRDefault="00E70784" w:rsidP="00E70784">
      <w:pPr>
        <w:numPr>
          <w:ilvl w:val="0"/>
          <w:numId w:val="4"/>
        </w:numPr>
        <w:contextualSpacing/>
      </w:pPr>
      <w:r w:rsidRPr="00B744E6">
        <w:t xml:space="preserve">Are current </w:t>
      </w:r>
      <w:r>
        <w:t xml:space="preserve">COAG </w:t>
      </w:r>
      <w:r w:rsidRPr="00B744E6">
        <w:t>Section 19(2) Initiative eligibility criteria appropriate to achieve the Initiative’s objectives?</w:t>
      </w:r>
    </w:p>
    <w:p w14:paraId="7EC84EBC" w14:textId="77777777" w:rsidR="00E70784" w:rsidRPr="00B744E6" w:rsidRDefault="00E70784" w:rsidP="00E70784">
      <w:pPr>
        <w:numPr>
          <w:ilvl w:val="0"/>
          <w:numId w:val="4"/>
        </w:numPr>
        <w:contextualSpacing/>
      </w:pPr>
      <w:r w:rsidRPr="00B744E6">
        <w:t>Are current administrative arrangements and processes appropriate for management, accountability and transparency purposes?</w:t>
      </w:r>
    </w:p>
    <w:p w14:paraId="65819155" w14:textId="77777777" w:rsidR="00E70784" w:rsidRPr="00B744E6" w:rsidRDefault="00E70784" w:rsidP="00E70784">
      <w:pPr>
        <w:numPr>
          <w:ilvl w:val="0"/>
          <w:numId w:val="4"/>
        </w:numPr>
        <w:contextualSpacing/>
      </w:pPr>
      <w:r w:rsidRPr="00B744E6">
        <w:t xml:space="preserve">Does the </w:t>
      </w:r>
      <w:r>
        <w:t xml:space="preserve">COAG </w:t>
      </w:r>
      <w:r w:rsidRPr="00B744E6">
        <w:t>Section 19(2) Initiative continue to meet the need to improve access to primary care in rural and remote areas?</w:t>
      </w:r>
    </w:p>
    <w:p w14:paraId="36B160A4" w14:textId="77777777" w:rsidR="00E70784" w:rsidRPr="00B744E6" w:rsidRDefault="00E70784" w:rsidP="00E70784">
      <w:pPr>
        <w:keepNext/>
        <w:keepLines/>
        <w:numPr>
          <w:ilvl w:val="1"/>
          <w:numId w:val="11"/>
        </w:numPr>
        <w:spacing w:before="400" w:after="240"/>
        <w:outlineLvl w:val="1"/>
        <w:rPr>
          <w:rFonts w:ascii="Franklin Gothic Book" w:eastAsia="Times New Roman" w:hAnsi="Franklin Gothic Book" w:cs="Times New Roman"/>
          <w:b/>
          <w:bCs/>
          <w:caps/>
          <w:color w:val="000000"/>
          <w:spacing w:val="-3"/>
          <w:sz w:val="32"/>
          <w:szCs w:val="26"/>
          <w:u w:val="single"/>
        </w:rPr>
      </w:pPr>
      <w:bookmarkStart w:id="9" w:name="_Toc63154681"/>
      <w:bookmarkStart w:id="10" w:name="_Toc65163691"/>
      <w:r>
        <w:rPr>
          <w:rFonts w:ascii="Franklin Gothic Book" w:eastAsia="Times New Roman" w:hAnsi="Franklin Gothic Book" w:cs="Times New Roman"/>
          <w:b/>
          <w:bCs/>
          <w:caps/>
          <w:color w:val="000000"/>
          <w:spacing w:val="-3"/>
          <w:sz w:val="32"/>
          <w:szCs w:val="26"/>
          <w:u w:val="single"/>
        </w:rPr>
        <w:t>D</w:t>
      </w:r>
      <w:r w:rsidRPr="00B744E6">
        <w:rPr>
          <w:rFonts w:ascii="Franklin Gothic Book" w:eastAsia="Times New Roman" w:hAnsi="Franklin Gothic Book" w:cs="Times New Roman"/>
          <w:b/>
          <w:bCs/>
          <w:caps/>
          <w:color w:val="000000"/>
          <w:spacing w:val="-3"/>
          <w:sz w:val="32"/>
          <w:szCs w:val="26"/>
          <w:u w:val="single"/>
        </w:rPr>
        <w:t xml:space="preserve">ocument </w:t>
      </w:r>
      <w:r>
        <w:rPr>
          <w:rFonts w:ascii="Franklin Gothic Book" w:eastAsia="Times New Roman" w:hAnsi="Franklin Gothic Book" w:cs="Times New Roman"/>
          <w:b/>
          <w:bCs/>
          <w:caps/>
          <w:color w:val="000000"/>
          <w:spacing w:val="-3"/>
          <w:sz w:val="32"/>
          <w:szCs w:val="26"/>
          <w:u w:val="single"/>
        </w:rPr>
        <w:t xml:space="preserve">purpose &amp; </w:t>
      </w:r>
      <w:r w:rsidRPr="00B744E6">
        <w:rPr>
          <w:rFonts w:ascii="Franklin Gothic Book" w:eastAsia="Times New Roman" w:hAnsi="Franklin Gothic Book" w:cs="Times New Roman"/>
          <w:b/>
          <w:bCs/>
          <w:caps/>
          <w:color w:val="000000"/>
          <w:spacing w:val="-3"/>
          <w:sz w:val="32"/>
          <w:szCs w:val="26"/>
          <w:u w:val="single"/>
        </w:rPr>
        <w:t>structure</w:t>
      </w:r>
      <w:bookmarkEnd w:id="9"/>
      <w:bookmarkEnd w:id="10"/>
    </w:p>
    <w:p w14:paraId="4DD54998" w14:textId="07A6733B" w:rsidR="00E70784" w:rsidRPr="00B744E6" w:rsidRDefault="00E70784" w:rsidP="00E70784">
      <w:r w:rsidRPr="00B744E6">
        <w:t xml:space="preserve">This </w:t>
      </w:r>
      <w:r>
        <w:t xml:space="preserve">document is the final evaluation report. </w:t>
      </w:r>
      <w:bookmarkStart w:id="11" w:name="_Hlk76034607"/>
      <w:r>
        <w:t xml:space="preserve">The report was finalised </w:t>
      </w:r>
      <w:r w:rsidR="003638B0">
        <w:t xml:space="preserve">based on feedback from jurisdictions on a draft version circulated in mid-August 2021. </w:t>
      </w:r>
      <w:bookmarkEnd w:id="11"/>
    </w:p>
    <w:p w14:paraId="0A753A24" w14:textId="4565BE3D" w:rsidR="00E70784" w:rsidRDefault="00E70784" w:rsidP="00E70784">
      <w:r w:rsidRPr="00B744E6">
        <w:t>Th</w:t>
      </w:r>
      <w:r>
        <w:t xml:space="preserve">e </w:t>
      </w:r>
      <w:r w:rsidR="003638B0">
        <w:t>r</w:t>
      </w:r>
      <w:r>
        <w:t xml:space="preserve">eport is comprised of two </w:t>
      </w:r>
      <w:r w:rsidRPr="00B744E6">
        <w:t>parts</w:t>
      </w:r>
      <w:r>
        <w:t xml:space="preserve"> and five chapters</w:t>
      </w:r>
      <w:r w:rsidRPr="00B744E6">
        <w:t>:</w:t>
      </w:r>
    </w:p>
    <w:p w14:paraId="4E443C76" w14:textId="77777777" w:rsidR="00E70784" w:rsidRPr="00501A11" w:rsidRDefault="00E70784" w:rsidP="00E70784">
      <w:pPr>
        <w:rPr>
          <w:b/>
          <w:bCs/>
        </w:rPr>
      </w:pPr>
      <w:r w:rsidRPr="00501A11">
        <w:rPr>
          <w:b/>
          <w:bCs/>
        </w:rPr>
        <w:t>Part A: Context</w:t>
      </w:r>
    </w:p>
    <w:p w14:paraId="2AD05C5A" w14:textId="77777777" w:rsidR="00E70784" w:rsidRDefault="00E70784" w:rsidP="00E70784">
      <w:pPr>
        <w:pStyle w:val="ListBullet"/>
      </w:pPr>
      <w:r w:rsidRPr="00B744E6">
        <w:t>Chapter 1 (this chapter): background on the evaluation</w:t>
      </w:r>
    </w:p>
    <w:p w14:paraId="1673A83D" w14:textId="77777777" w:rsidR="00E70784" w:rsidRDefault="00E70784" w:rsidP="00E70784">
      <w:pPr>
        <w:pStyle w:val="ListBullet"/>
      </w:pPr>
      <w:r w:rsidRPr="00B744E6">
        <w:t>Chapter 2: overview of the Initiative</w:t>
      </w:r>
      <w:r>
        <w:t>, including the operational context by jurisdiction and other service delivery arrangements that impact on Initiative sites</w:t>
      </w:r>
    </w:p>
    <w:p w14:paraId="6E09E0D5" w14:textId="77777777" w:rsidR="00E70784" w:rsidRDefault="00E70784" w:rsidP="00E70784">
      <w:pPr>
        <w:pStyle w:val="ListBullet"/>
      </w:pPr>
      <w:r>
        <w:t>Chapter 3: the evaluation framework applied to assess the Initiative impact</w:t>
      </w:r>
    </w:p>
    <w:p w14:paraId="0C033FD2" w14:textId="6C3E7244" w:rsidR="00E70784" w:rsidRPr="00501A11" w:rsidRDefault="00E70784" w:rsidP="00E70784">
      <w:pPr>
        <w:rPr>
          <w:b/>
          <w:bCs/>
        </w:rPr>
      </w:pPr>
      <w:r w:rsidRPr="00501A11">
        <w:rPr>
          <w:b/>
          <w:bCs/>
        </w:rPr>
        <w:t xml:space="preserve">Part B: </w:t>
      </w:r>
      <w:r w:rsidR="00A928C2">
        <w:rPr>
          <w:b/>
          <w:bCs/>
        </w:rPr>
        <w:t xml:space="preserve">Evaluation </w:t>
      </w:r>
      <w:r w:rsidRPr="00501A11">
        <w:rPr>
          <w:b/>
          <w:bCs/>
        </w:rPr>
        <w:t>Findings</w:t>
      </w:r>
      <w:r>
        <w:rPr>
          <w:b/>
          <w:bCs/>
        </w:rPr>
        <w:t xml:space="preserve"> &amp; Next Steps</w:t>
      </w:r>
    </w:p>
    <w:p w14:paraId="73B41940" w14:textId="77777777" w:rsidR="00E70784" w:rsidRDefault="00E70784" w:rsidP="00E70784">
      <w:pPr>
        <w:numPr>
          <w:ilvl w:val="0"/>
          <w:numId w:val="4"/>
        </w:numPr>
        <w:contextualSpacing/>
      </w:pPr>
      <w:r w:rsidRPr="00B744E6">
        <w:t xml:space="preserve">Chapter </w:t>
      </w:r>
      <w:r>
        <w:t>4</w:t>
      </w:r>
      <w:r w:rsidRPr="00B744E6">
        <w:t>: our evaluation observations and finding</w:t>
      </w:r>
      <w:r>
        <w:t>s</w:t>
      </w:r>
    </w:p>
    <w:p w14:paraId="5F39B4C5" w14:textId="52A6C68B" w:rsidR="00E70784" w:rsidRDefault="00E70784" w:rsidP="00E70784">
      <w:pPr>
        <w:numPr>
          <w:ilvl w:val="0"/>
          <w:numId w:val="4"/>
        </w:numPr>
        <w:contextualSpacing/>
      </w:pPr>
      <w:r>
        <w:t xml:space="preserve">Chapter 5: </w:t>
      </w:r>
      <w:r w:rsidR="003638B0">
        <w:t>the way forward</w:t>
      </w:r>
      <w:r>
        <w:t>– options for program development based on the evaluation findings.</w:t>
      </w:r>
      <w:r w:rsidR="003638B0">
        <w:t xml:space="preserve"> The final report includes a summary of jurisdiction’s observations on each option.</w:t>
      </w:r>
    </w:p>
    <w:p w14:paraId="43D8C19B" w14:textId="68041788" w:rsidR="00E70784" w:rsidRDefault="00E70784" w:rsidP="00E70784">
      <w:pPr>
        <w:spacing w:before="240"/>
      </w:pPr>
      <w:r>
        <w:t xml:space="preserve">Additional background on the scope of the Initiative and </w:t>
      </w:r>
      <w:r w:rsidR="003638B0">
        <w:t xml:space="preserve">relevant </w:t>
      </w:r>
      <w:r>
        <w:t xml:space="preserve">data that supported the evaluation </w:t>
      </w:r>
      <w:r w:rsidR="003638B0">
        <w:t>analysis i</w:t>
      </w:r>
      <w:r w:rsidR="00A928C2">
        <w:t>s</w:t>
      </w:r>
      <w:r>
        <w:t xml:space="preserve"> given in the Appendices (</w:t>
      </w:r>
      <w:r w:rsidR="00273491">
        <w:t xml:space="preserve"> see </w:t>
      </w:r>
      <w:r>
        <w:t>Chapter 6).</w:t>
      </w:r>
    </w:p>
    <w:p w14:paraId="24874EAC" w14:textId="77777777" w:rsidR="00E70784" w:rsidRPr="00B744E6" w:rsidRDefault="00E70784" w:rsidP="00E70784"/>
    <w:p w14:paraId="22E26202" w14:textId="77777777" w:rsidR="001B113E" w:rsidRDefault="001B113E" w:rsidP="001B113E">
      <w:pPr>
        <w:pStyle w:val="Heading1"/>
        <w:framePr w:wrap="around"/>
      </w:pPr>
      <w:bookmarkStart w:id="12" w:name="_Toc85203260"/>
      <w:r>
        <w:lastRenderedPageBreak/>
        <w:t>Overview of the Initiative</w:t>
      </w:r>
      <w:bookmarkEnd w:id="12"/>
    </w:p>
    <w:p w14:paraId="61D69A80" w14:textId="77777777" w:rsidR="001B113E" w:rsidRDefault="001B113E" w:rsidP="001B113E">
      <w:r>
        <w:t xml:space="preserve">In this chapter we describe the design characteristics of the Initiative and broad patterns of delivery (see Section A). In Section B we describe </w:t>
      </w:r>
      <w:bookmarkStart w:id="13" w:name="_Hlk76033801"/>
      <w:r>
        <w:t>the wider context for Initiative operations that influence what happens ‘on the ground’ at individual participating sites, including:</w:t>
      </w:r>
    </w:p>
    <w:p w14:paraId="00F20E0D" w14:textId="77777777" w:rsidR="001B113E" w:rsidRDefault="001B113E" w:rsidP="001B113E">
      <w:pPr>
        <w:pStyle w:val="ListParagraph"/>
        <w:numPr>
          <w:ilvl w:val="0"/>
          <w:numId w:val="26"/>
        </w:numPr>
      </w:pPr>
      <w:r>
        <w:t>Doctor remuneration arrangements</w:t>
      </w:r>
    </w:p>
    <w:p w14:paraId="6111AB43" w14:textId="77777777" w:rsidR="001B113E" w:rsidRDefault="001B113E" w:rsidP="001B113E">
      <w:pPr>
        <w:pStyle w:val="ListParagraph"/>
        <w:numPr>
          <w:ilvl w:val="0"/>
          <w:numId w:val="26"/>
        </w:numPr>
      </w:pPr>
      <w:r>
        <w:t>Other Section 19(2) exemption arrangements that operate in rural and remote areas</w:t>
      </w:r>
    </w:p>
    <w:p w14:paraId="7DE41F6D" w14:textId="77777777" w:rsidR="001B113E" w:rsidRDefault="001B113E" w:rsidP="001B113E">
      <w:pPr>
        <w:pStyle w:val="ListParagraph"/>
        <w:numPr>
          <w:ilvl w:val="0"/>
          <w:numId w:val="26"/>
        </w:numPr>
      </w:pPr>
      <w:r>
        <w:t>The rural policy context, especially in relation to workforce training and financial incentives to attract and retain the health workforce outside metropolitan areas, and</w:t>
      </w:r>
    </w:p>
    <w:p w14:paraId="33968818" w14:textId="77777777" w:rsidR="001B113E" w:rsidRDefault="001B113E" w:rsidP="001B113E">
      <w:pPr>
        <w:pStyle w:val="ListParagraph"/>
        <w:numPr>
          <w:ilvl w:val="0"/>
          <w:numId w:val="26"/>
        </w:numPr>
      </w:pPr>
      <w:r>
        <w:t>The broader health and human services context that affects local planning for primary health service delivery, including:</w:t>
      </w:r>
    </w:p>
    <w:p w14:paraId="30EFBEFC" w14:textId="77777777" w:rsidR="001B113E" w:rsidRDefault="001B113E" w:rsidP="001B113E">
      <w:pPr>
        <w:pStyle w:val="ListBullet2"/>
      </w:pPr>
      <w:r>
        <w:t xml:space="preserve">further Commonwealth programs that improve access to primary healthcare, including Primary Health Networks, </w:t>
      </w:r>
      <w:r w:rsidRPr="009E701E">
        <w:t>Indigenous Australians’ Health Program</w:t>
      </w:r>
      <w:r>
        <w:t>, and the Rural Health Outreach Fund, and</w:t>
      </w:r>
    </w:p>
    <w:p w14:paraId="787EA136" w14:textId="77777777" w:rsidR="001B113E" w:rsidRPr="00825A16" w:rsidRDefault="001B113E" w:rsidP="001B113E">
      <w:pPr>
        <w:pStyle w:val="ListBullet2"/>
      </w:pPr>
      <w:r>
        <w:t xml:space="preserve">broader developments in the health and human service delivery in the areas of the </w:t>
      </w:r>
      <w:r w:rsidRPr="009E701E">
        <w:t>National Disability Insurance Scheme</w:t>
      </w:r>
      <w:r>
        <w:t xml:space="preserve">, the </w:t>
      </w:r>
      <w:r w:rsidRPr="009E701E">
        <w:rPr>
          <w:rFonts w:cs="Times New Roman"/>
        </w:rPr>
        <w:t>Royal Commission into Aged Care</w:t>
      </w:r>
      <w:r>
        <w:rPr>
          <w:rFonts w:cs="Times New Roman"/>
        </w:rPr>
        <w:t xml:space="preserve">, and pilots funded under the </w:t>
      </w:r>
      <w:r w:rsidRPr="009E701E">
        <w:rPr>
          <w:rFonts w:cs="Times New Roman"/>
        </w:rPr>
        <w:t xml:space="preserve">new </w:t>
      </w:r>
      <w:r w:rsidRPr="009E701E">
        <w:rPr>
          <w:rFonts w:cs="Times New Roman"/>
          <w:i/>
          <w:iCs/>
        </w:rPr>
        <w:t>National Health Reform Agreement 2020–2025</w:t>
      </w:r>
      <w:r>
        <w:rPr>
          <w:rFonts w:cs="Times New Roman"/>
          <w:i/>
          <w:iCs/>
        </w:rPr>
        <w:t>.</w:t>
      </w:r>
    </w:p>
    <w:p w14:paraId="2CFB8263" w14:textId="77777777" w:rsidR="001B113E" w:rsidRDefault="001B113E" w:rsidP="001B113E">
      <w:pPr>
        <w:pStyle w:val="SectionTitle"/>
        <w:spacing w:before="360"/>
      </w:pPr>
      <w:bookmarkStart w:id="14" w:name="_Toc85203261"/>
      <w:bookmarkEnd w:id="13"/>
      <w:r>
        <w:t>Main features</w:t>
      </w:r>
      <w:bookmarkEnd w:id="14"/>
    </w:p>
    <w:p w14:paraId="47C5EDDA" w14:textId="77777777" w:rsidR="001B113E" w:rsidRDefault="001B113E" w:rsidP="001B113E">
      <w:pPr>
        <w:pStyle w:val="Heading2"/>
        <w:spacing w:before="240"/>
      </w:pPr>
      <w:bookmarkStart w:id="15" w:name="_Toc85203262"/>
      <w:r w:rsidRPr="00893946">
        <w:t>MOU</w:t>
      </w:r>
      <w:r w:rsidRPr="00C7717C">
        <w:rPr>
          <w:sz w:val="24"/>
          <w:szCs w:val="24"/>
        </w:rPr>
        <w:t>s</w:t>
      </w:r>
      <w:r w:rsidRPr="00893946">
        <w:t xml:space="preserve"> – </w:t>
      </w:r>
      <w:r>
        <w:t>o</w:t>
      </w:r>
      <w:r w:rsidRPr="00893946">
        <w:t>perational phases</w:t>
      </w:r>
      <w:r>
        <w:t xml:space="preserve"> and jurisdiction coverage</w:t>
      </w:r>
      <w:bookmarkEnd w:id="15"/>
    </w:p>
    <w:p w14:paraId="0F428E87" w14:textId="77777777" w:rsidR="001B113E" w:rsidRDefault="001B113E" w:rsidP="001B113E">
      <w:r>
        <w:t>I</w:t>
      </w:r>
      <w:r w:rsidRPr="00435EA1">
        <w:t xml:space="preserve">mplementation of the </w:t>
      </w:r>
      <w:r>
        <w:t xml:space="preserve">Initiative </w:t>
      </w:r>
      <w:r w:rsidRPr="00435EA1">
        <w:t>is underpinned by a</w:t>
      </w:r>
      <w:r>
        <w:t>n</w:t>
      </w:r>
      <w:r w:rsidRPr="00435EA1">
        <w:t xml:space="preserve"> M</w:t>
      </w:r>
      <w:r>
        <w:t xml:space="preserve">OU </w:t>
      </w:r>
      <w:r w:rsidRPr="00435EA1">
        <w:t>between the Commonwealth of Australia and the participating jurisdiction.</w:t>
      </w:r>
      <w:r>
        <w:t xml:space="preserve"> </w:t>
      </w:r>
      <w:r w:rsidRPr="00435EA1">
        <w:t xml:space="preserve">The Initiative has had three iterations, each over </w:t>
      </w:r>
      <w:r>
        <w:t>an approximate</w:t>
      </w:r>
      <w:r w:rsidRPr="00435EA1">
        <w:t xml:space="preserve"> four-year period. </w:t>
      </w:r>
      <w:r>
        <w:t>The first MOU covered the period 2006</w:t>
      </w:r>
      <w:r>
        <w:rPr>
          <w:rFonts w:ascii="Calibri" w:hAnsi="Calibri" w:cs="Calibri"/>
        </w:rPr>
        <w:t>‒</w:t>
      </w:r>
      <w:r>
        <w:t>2010; the second covered the period 2010–2015.</w:t>
      </w:r>
    </w:p>
    <w:p w14:paraId="07628BB7" w14:textId="77777777" w:rsidR="001B113E" w:rsidRDefault="001B113E" w:rsidP="001B113E">
      <w:r w:rsidRPr="00435EA1">
        <w:t>The</w:t>
      </w:r>
      <w:r>
        <w:t xml:space="preserve"> current MOU initially covered the period</w:t>
      </w:r>
      <w:r w:rsidRPr="00435EA1">
        <w:t xml:space="preserve"> 2016</w:t>
      </w:r>
      <w:r>
        <w:t>–</w:t>
      </w:r>
      <w:r w:rsidRPr="00435EA1">
        <w:t>2020</w:t>
      </w:r>
      <w:r>
        <w:t xml:space="preserve">; the </w:t>
      </w:r>
      <w:r w:rsidRPr="003A58DC">
        <w:t xml:space="preserve">Commonwealth extended the </w:t>
      </w:r>
      <w:r>
        <w:t xml:space="preserve">MOU </w:t>
      </w:r>
      <w:r w:rsidRPr="003A58DC">
        <w:t>until December 2021 to align with finalisation of this evaluation</w:t>
      </w:r>
      <w:r>
        <w:t>. The MOUs for the current arrangements</w:t>
      </w:r>
      <w:r w:rsidRPr="00435EA1">
        <w:t xml:space="preserve"> </w:t>
      </w:r>
      <w:r>
        <w:t>contain</w:t>
      </w:r>
      <w:r w:rsidRPr="00435EA1">
        <w:t xml:space="preserve"> a single eligibility criterion</w:t>
      </w:r>
      <w:r>
        <w:t xml:space="preserve"> – </w:t>
      </w:r>
      <w:r w:rsidRPr="00435EA1">
        <w:t>an</w:t>
      </w:r>
      <w:r>
        <w:t xml:space="preserve"> </w:t>
      </w:r>
      <w:r w:rsidRPr="00435EA1">
        <w:t xml:space="preserve">eligible public health site </w:t>
      </w:r>
      <w:r>
        <w:t>must</w:t>
      </w:r>
      <w:r w:rsidRPr="00435EA1">
        <w:t xml:space="preserve"> be located in areas 5</w:t>
      </w:r>
      <w:r>
        <w:t xml:space="preserve"> to </w:t>
      </w:r>
      <w:r w:rsidRPr="00435EA1">
        <w:t>7 of the Modified Monash Model (MMM) geographical classification scheme</w:t>
      </w:r>
      <w:r>
        <w:t xml:space="preserve">. </w:t>
      </w:r>
    </w:p>
    <w:p w14:paraId="6A96A792" w14:textId="77777777" w:rsidR="001B113E" w:rsidRDefault="001B113E" w:rsidP="001B113E">
      <w:pPr>
        <w:rPr>
          <w:rFonts w:cs="Angsana New"/>
          <w:lang w:eastAsia="zh-CN" w:bidi="th-TH"/>
        </w:rPr>
      </w:pPr>
      <w:r w:rsidRPr="00435EA1">
        <w:rPr>
          <w:rFonts w:cs="Angsana New"/>
          <w:lang w:eastAsia="zh-CN" w:bidi="th-TH"/>
        </w:rPr>
        <w:t>The number of participating sites has gradually increased and currently there are 11</w:t>
      </w:r>
      <w:r>
        <w:rPr>
          <w:rFonts w:cs="Angsana New"/>
          <w:lang w:eastAsia="zh-CN" w:bidi="th-TH"/>
        </w:rPr>
        <w:t>8</w:t>
      </w:r>
      <w:r w:rsidRPr="00435EA1">
        <w:rPr>
          <w:rFonts w:cs="Angsana New"/>
          <w:lang w:eastAsia="zh-CN" w:bidi="th-TH"/>
        </w:rPr>
        <w:t xml:space="preserve"> approved eligible sites across four jurisdictions – New South Wales, Queensland</w:t>
      </w:r>
      <w:r>
        <w:rPr>
          <w:rFonts w:cs="Angsana New"/>
          <w:lang w:eastAsia="zh-CN" w:bidi="th-TH"/>
        </w:rPr>
        <w:t>,</w:t>
      </w:r>
      <w:r w:rsidRPr="00435EA1">
        <w:rPr>
          <w:rFonts w:cs="Angsana New"/>
          <w:lang w:eastAsia="zh-CN" w:bidi="th-TH"/>
        </w:rPr>
        <w:t xml:space="preserve"> Western Australia</w:t>
      </w:r>
      <w:r>
        <w:rPr>
          <w:rFonts w:cs="Angsana New"/>
          <w:lang w:eastAsia="zh-CN" w:bidi="th-TH"/>
        </w:rPr>
        <w:t xml:space="preserve">, </w:t>
      </w:r>
      <w:r w:rsidRPr="00435EA1">
        <w:rPr>
          <w:rFonts w:cs="Angsana New"/>
          <w:lang w:eastAsia="zh-CN" w:bidi="th-TH"/>
        </w:rPr>
        <w:t>and the Northern Territory</w:t>
      </w:r>
      <w:r>
        <w:rPr>
          <w:rFonts w:cs="Angsana New"/>
          <w:lang w:eastAsia="zh-CN" w:bidi="th-TH"/>
        </w:rPr>
        <w:t>.</w:t>
      </w:r>
      <w:r w:rsidRPr="00435EA1">
        <w:rPr>
          <w:rFonts w:cs="Angsana New"/>
          <w:lang w:eastAsia="zh-CN" w:bidi="th-TH"/>
        </w:rPr>
        <w:t xml:space="preserve"> </w:t>
      </w:r>
      <w:r>
        <w:rPr>
          <w:rFonts w:eastAsia="Times New Roman" w:cs="Times New Roman"/>
        </w:rPr>
        <w:t>Two further jurisdictions are not fully engaged:</w:t>
      </w:r>
    </w:p>
    <w:p w14:paraId="30A77FCE" w14:textId="77777777" w:rsidR="001B113E" w:rsidRDefault="001B113E" w:rsidP="001B113E">
      <w:pPr>
        <w:pStyle w:val="ListBullet"/>
        <w:rPr>
          <w:lang w:eastAsia="zh-CN" w:bidi="th-TH"/>
        </w:rPr>
      </w:pPr>
      <w:bookmarkStart w:id="16" w:name="_Hlk76035967"/>
      <w:r w:rsidRPr="00435EA1">
        <w:rPr>
          <w:lang w:eastAsia="zh-CN" w:bidi="th-TH"/>
        </w:rPr>
        <w:t>South Australia continues to have an MOU with the Commonwealth but has yet to submit any site applications</w:t>
      </w:r>
      <w:r>
        <w:rPr>
          <w:lang w:eastAsia="zh-CN" w:bidi="th-TH"/>
        </w:rPr>
        <w:t>, and</w:t>
      </w:r>
    </w:p>
    <w:p w14:paraId="24DECDAA" w14:textId="77777777" w:rsidR="001B113E" w:rsidRDefault="001B113E" w:rsidP="001B113E">
      <w:pPr>
        <w:pStyle w:val="ListBullet"/>
        <w:spacing w:before="120"/>
      </w:pPr>
      <w:r>
        <w:rPr>
          <w:lang w:eastAsia="zh-CN" w:bidi="th-TH"/>
        </w:rPr>
        <w:t xml:space="preserve">Victoria has recently finalised an MOU </w:t>
      </w:r>
      <w:bookmarkStart w:id="17" w:name="_Hlk84220522"/>
      <w:r>
        <w:rPr>
          <w:lang w:eastAsia="zh-CN" w:bidi="th-TH"/>
        </w:rPr>
        <w:t>but there were no operational sites at the time this report was completed</w:t>
      </w:r>
      <w:bookmarkEnd w:id="17"/>
      <w:r>
        <w:rPr>
          <w:lang w:eastAsia="zh-CN" w:bidi="th-TH"/>
        </w:rPr>
        <w:t>.</w:t>
      </w:r>
    </w:p>
    <w:p w14:paraId="1284C5B5" w14:textId="77777777" w:rsidR="001B113E" w:rsidRDefault="001B113E" w:rsidP="001B113E">
      <w:pPr>
        <w:pStyle w:val="Heading2"/>
        <w:spacing w:before="240"/>
      </w:pPr>
      <w:bookmarkStart w:id="18" w:name="_Toc85203263"/>
      <w:bookmarkEnd w:id="16"/>
      <w:r>
        <w:t>Initiative o</w:t>
      </w:r>
      <w:r w:rsidRPr="00893946">
        <w:t>bjectives</w:t>
      </w:r>
      <w:bookmarkEnd w:id="18"/>
    </w:p>
    <w:p w14:paraId="0AA16728" w14:textId="77777777" w:rsidR="001B113E" w:rsidRPr="001A34D1" w:rsidRDefault="001B113E" w:rsidP="001B113E">
      <w:r w:rsidRPr="001A34D1">
        <w:t xml:space="preserve">The full objectives of the Initiative are specified in Part 6 of the MOUs, Clause 6.1. </w:t>
      </w:r>
      <w:r>
        <w:t xml:space="preserve">This states </w:t>
      </w:r>
      <w:r w:rsidRPr="003A58DC">
        <w:t>the Initiative supports rural and remote hospitals in small communities</w:t>
      </w:r>
      <w:r>
        <w:t xml:space="preserve">: </w:t>
      </w:r>
    </w:p>
    <w:p w14:paraId="6CFF180F" w14:textId="77777777" w:rsidR="001B113E" w:rsidRPr="001A34D1" w:rsidRDefault="001B113E" w:rsidP="001B113E">
      <w:pPr>
        <w:ind w:left="720"/>
      </w:pPr>
      <w:r>
        <w:t>‘</w:t>
      </w:r>
      <w:r w:rsidRPr="001A34D1">
        <w:t xml:space="preserve">by increasing access to Commonwealth funding and ensuring that states and territories </w:t>
      </w:r>
      <w:r w:rsidRPr="00F47B5E">
        <w:rPr>
          <w:b/>
          <w:bCs/>
        </w:rPr>
        <w:t>increase support for primary health care in these areas</w:t>
      </w:r>
      <w:r w:rsidRPr="001A34D1">
        <w:t>.</w:t>
      </w:r>
      <w:r>
        <w:t>’</w:t>
      </w:r>
    </w:p>
    <w:p w14:paraId="114AEFF0" w14:textId="77777777" w:rsidR="001B113E" w:rsidRPr="001A34D1" w:rsidRDefault="001B113E" w:rsidP="001B113E">
      <w:r w:rsidRPr="001A34D1">
        <w:t>The MOU adds that:</w:t>
      </w:r>
    </w:p>
    <w:p w14:paraId="02E380AA" w14:textId="77777777" w:rsidR="001B113E" w:rsidRPr="001A34D1" w:rsidRDefault="001B113E" w:rsidP="001B113E">
      <w:pPr>
        <w:ind w:left="720"/>
      </w:pPr>
      <w:r>
        <w:t>‘</w:t>
      </w:r>
      <w:r w:rsidRPr="001A34D1">
        <w:t xml:space="preserve">it recognises that there are challenges in </w:t>
      </w:r>
      <w:r w:rsidRPr="00F47B5E">
        <w:rPr>
          <w:b/>
          <w:bCs/>
        </w:rPr>
        <w:t>attracting and retaining adequate primary health care providers in rural and remote areas</w:t>
      </w:r>
      <w:r>
        <w:rPr>
          <w:b/>
          <w:bCs/>
        </w:rPr>
        <w:t xml:space="preserve"> </w:t>
      </w:r>
      <w:r w:rsidRPr="001A34D1">
        <w:t>…</w:t>
      </w:r>
      <w:r>
        <w:t>’</w:t>
      </w:r>
    </w:p>
    <w:p w14:paraId="6CCBAF41" w14:textId="77777777" w:rsidR="001B113E" w:rsidRPr="001A34D1" w:rsidRDefault="001B113E" w:rsidP="001B113E">
      <w:r w:rsidRPr="001A34D1">
        <w:t>The Initiative therefore:</w:t>
      </w:r>
    </w:p>
    <w:p w14:paraId="5D0F44FA" w14:textId="77777777" w:rsidR="001B113E" w:rsidRDefault="001B113E" w:rsidP="001B113E">
      <w:pPr>
        <w:ind w:left="720"/>
      </w:pPr>
      <w:r>
        <w:lastRenderedPageBreak/>
        <w:t>‘</w:t>
      </w:r>
      <w:r w:rsidRPr="001A34D1">
        <w:t>…</w:t>
      </w:r>
      <w:r>
        <w:t xml:space="preserve"> </w:t>
      </w:r>
      <w:r w:rsidRPr="001A34D1">
        <w:t xml:space="preserve">aims to </w:t>
      </w:r>
      <w:r w:rsidRPr="00F47B5E">
        <w:rPr>
          <w:b/>
          <w:bCs/>
        </w:rPr>
        <w:t>achieve a net gain in primary health care services</w:t>
      </w:r>
      <w:r w:rsidRPr="001A34D1">
        <w:t xml:space="preserve"> in these areas.</w:t>
      </w:r>
      <w:r>
        <w:t>’</w:t>
      </w:r>
    </w:p>
    <w:p w14:paraId="2DD61F09" w14:textId="77777777" w:rsidR="001B113E" w:rsidRPr="003A58DC" w:rsidRDefault="001B113E" w:rsidP="001B113E">
      <w:pPr>
        <w:rPr>
          <w:rFonts w:cs="Angsana New"/>
          <w:lang w:eastAsia="zh-CN" w:bidi="th-TH"/>
        </w:rPr>
      </w:pPr>
      <w:r w:rsidRPr="003A58DC">
        <w:rPr>
          <w:rFonts w:cs="Angsana New"/>
          <w:lang w:eastAsia="zh-CN" w:bidi="th-TH"/>
        </w:rPr>
        <w:t>Operation of the Initiative has ongoing recognition at COAG level. Clause G22 of the National Health Reform Agreement Business Rules (Schedule G) observes that: sites approved to participate in the Initiative ‘may bulk bill the Medicare Benefits Schedule for eligible persons requiring primary health services who present to approved facilities.’</w:t>
      </w:r>
      <w:sdt>
        <w:sdtPr>
          <w:rPr>
            <w:rFonts w:cs="Angsana New"/>
            <w:lang w:eastAsia="zh-CN" w:bidi="th-TH"/>
          </w:rPr>
          <w:id w:val="1367253745"/>
          <w:citation/>
        </w:sdtPr>
        <w:sdtEndPr/>
        <w:sdtContent>
          <w:r w:rsidRPr="003A58DC">
            <w:rPr>
              <w:rFonts w:cs="Angsana New"/>
              <w:lang w:eastAsia="zh-CN" w:bidi="th-TH"/>
            </w:rPr>
            <w:fldChar w:fldCharType="begin"/>
          </w:r>
          <w:r w:rsidRPr="003A58DC">
            <w:rPr>
              <w:rFonts w:cs="Angsana New"/>
              <w:lang w:eastAsia="zh-CN" w:bidi="th-TH"/>
            </w:rPr>
            <w:instrText xml:space="preserve"> CITATION Cou21 \l 3081 </w:instrText>
          </w:r>
          <w:r w:rsidRPr="003A58DC">
            <w:rPr>
              <w:rFonts w:cs="Angsana New"/>
              <w:lang w:eastAsia="zh-CN" w:bidi="th-TH"/>
            </w:rPr>
            <w:fldChar w:fldCharType="separate"/>
          </w:r>
          <w:r>
            <w:rPr>
              <w:rFonts w:cs="Angsana New"/>
              <w:noProof/>
              <w:lang w:eastAsia="zh-CN" w:bidi="th-TH"/>
            </w:rPr>
            <w:t xml:space="preserve"> </w:t>
          </w:r>
          <w:r w:rsidRPr="003E36C4">
            <w:rPr>
              <w:rFonts w:cs="Angsana New"/>
              <w:noProof/>
              <w:lang w:eastAsia="zh-CN" w:bidi="th-TH"/>
            </w:rPr>
            <w:t>[2]</w:t>
          </w:r>
          <w:r w:rsidRPr="003A58DC">
            <w:rPr>
              <w:rFonts w:cs="Angsana New"/>
              <w:lang w:eastAsia="zh-CN" w:bidi="th-TH"/>
            </w:rPr>
            <w:fldChar w:fldCharType="end"/>
          </w:r>
        </w:sdtContent>
      </w:sdt>
    </w:p>
    <w:p w14:paraId="0A716B8C" w14:textId="77777777" w:rsidR="001B113E" w:rsidRDefault="001B113E" w:rsidP="001B113E">
      <w:pPr>
        <w:pStyle w:val="Heading2"/>
      </w:pPr>
      <w:bookmarkStart w:id="19" w:name="_Toc85203264"/>
      <w:r>
        <w:t>Principles</w:t>
      </w:r>
      <w:bookmarkEnd w:id="19"/>
    </w:p>
    <w:p w14:paraId="3C379414" w14:textId="77777777" w:rsidR="001B113E" w:rsidRPr="001A34D1" w:rsidRDefault="001B113E" w:rsidP="001B113E">
      <w:pPr>
        <w:rPr>
          <w:rFonts w:cs="Arial"/>
        </w:rPr>
      </w:pPr>
      <w:r w:rsidRPr="001A34D1">
        <w:rPr>
          <w:rFonts w:cs="Arial"/>
        </w:rPr>
        <w:t>Clause 7 of the MOU with each jurisdiction specifies principles to guide its development and operation:</w:t>
      </w:r>
    </w:p>
    <w:p w14:paraId="3B38A246" w14:textId="77777777" w:rsidR="001B113E" w:rsidRPr="001A34D1" w:rsidRDefault="001B113E" w:rsidP="001B113E">
      <w:pPr>
        <w:ind w:left="284"/>
        <w:contextualSpacing/>
      </w:pPr>
      <w:r>
        <w:t>‘</w:t>
      </w:r>
      <w:r w:rsidRPr="001A34D1">
        <w:t>All Australians should have equitable access to appropriate and quality health care throughout their lifetime, regardless of their place of residence within Australia.</w:t>
      </w:r>
    </w:p>
    <w:p w14:paraId="06B63D90" w14:textId="77777777" w:rsidR="001B113E" w:rsidRDefault="001B113E" w:rsidP="001B113E">
      <w:pPr>
        <w:ind w:left="284"/>
        <w:contextualSpacing/>
      </w:pPr>
    </w:p>
    <w:p w14:paraId="18646088" w14:textId="77777777" w:rsidR="001B113E" w:rsidRPr="001A34D1" w:rsidRDefault="001B113E" w:rsidP="001B113E">
      <w:pPr>
        <w:ind w:left="284"/>
        <w:contextualSpacing/>
      </w:pPr>
      <w:r w:rsidRPr="001A34D1">
        <w:t>Australians in rural and remote communities face particular challenges when it comes to accessing appropriate health care, and it is the responsibility of all Australian governments to seek to address these challenges.</w:t>
      </w:r>
    </w:p>
    <w:p w14:paraId="5DD8031E" w14:textId="77777777" w:rsidR="001B113E" w:rsidRDefault="001B113E" w:rsidP="001B113E">
      <w:pPr>
        <w:ind w:left="284"/>
        <w:contextualSpacing/>
      </w:pPr>
    </w:p>
    <w:p w14:paraId="42FC7B34" w14:textId="77777777" w:rsidR="001B113E" w:rsidRPr="001A34D1" w:rsidRDefault="001B113E" w:rsidP="001B113E">
      <w:pPr>
        <w:ind w:left="284"/>
        <w:contextualSpacing/>
      </w:pPr>
      <w:r w:rsidRPr="001A34D1">
        <w:t xml:space="preserve">The health and medical workforce is a finite and valuable resource and its members’ involvement and support is crucial to the continued success of the </w:t>
      </w:r>
      <w:r>
        <w:t>Initiative</w:t>
      </w:r>
      <w:r w:rsidRPr="001A34D1">
        <w:t>.</w:t>
      </w:r>
    </w:p>
    <w:p w14:paraId="6B0F438B" w14:textId="77777777" w:rsidR="001B113E" w:rsidRDefault="001B113E" w:rsidP="001B113E">
      <w:pPr>
        <w:ind w:left="284"/>
        <w:contextualSpacing/>
      </w:pPr>
    </w:p>
    <w:p w14:paraId="439F1A8A" w14:textId="77777777" w:rsidR="001B113E" w:rsidRPr="001A34D1" w:rsidRDefault="001B113E" w:rsidP="001B113E">
      <w:pPr>
        <w:ind w:left="284"/>
        <w:contextualSpacing/>
      </w:pPr>
      <w:r w:rsidRPr="001A34D1">
        <w:t xml:space="preserve">Funding accessed through the </w:t>
      </w:r>
      <w:r>
        <w:t>Initiative</w:t>
      </w:r>
      <w:r w:rsidRPr="001A34D1">
        <w:t xml:space="preserve"> should not be used for any purpose that undermines the viability or profitability of existing, privately operated health services, including existing general practices</w:t>
      </w:r>
      <w:r>
        <w:t>.</w:t>
      </w:r>
    </w:p>
    <w:p w14:paraId="49CA0177" w14:textId="77777777" w:rsidR="001B113E" w:rsidRDefault="001B113E" w:rsidP="001B113E">
      <w:pPr>
        <w:ind w:left="284"/>
        <w:contextualSpacing/>
      </w:pPr>
    </w:p>
    <w:p w14:paraId="65A70A32" w14:textId="77777777" w:rsidR="001B113E" w:rsidRPr="001A34D1" w:rsidRDefault="001B113E" w:rsidP="001B113E">
      <w:pPr>
        <w:ind w:left="284"/>
        <w:contextualSpacing/>
      </w:pPr>
      <w:r w:rsidRPr="001A34D1">
        <w:t xml:space="preserve">Implementation of the </w:t>
      </w:r>
      <w:r>
        <w:t>Initiative</w:t>
      </w:r>
      <w:r w:rsidRPr="001A34D1">
        <w:t xml:space="preserve"> should take place as transparently as possible, while ensuring that agreed data collection and reporting requirements remain straightforward and uses existing processes where possible.</w:t>
      </w:r>
      <w:r>
        <w:t>’</w:t>
      </w:r>
      <w:r w:rsidRPr="001A34D1">
        <w:rPr>
          <w:vertAlign w:val="superscript"/>
        </w:rPr>
        <w:footnoteReference w:id="3"/>
      </w:r>
    </w:p>
    <w:p w14:paraId="543F0371" w14:textId="77777777" w:rsidR="001B113E" w:rsidRPr="001A34D1" w:rsidRDefault="001B113E" w:rsidP="001B113E">
      <w:pPr>
        <w:spacing w:before="240"/>
      </w:pPr>
      <w:r w:rsidRPr="001A34D1">
        <w:t xml:space="preserve">It is noteworthy that the fourth of these principles – avoiding undermining local private sector viability – must be demonstrated in applications for an exemption. The MOU Schedule A Definitions explicitly state that </w:t>
      </w:r>
      <w:r>
        <w:t>‘</w:t>
      </w:r>
      <w:r w:rsidRPr="001A34D1">
        <w:t>primary care practitioners may choose to be represented by a representative (sic) in negotiations.</w:t>
      </w:r>
      <w:r>
        <w:t>’</w:t>
      </w:r>
      <w:r w:rsidRPr="001A34D1">
        <w:t xml:space="preserve"> </w:t>
      </w:r>
    </w:p>
    <w:p w14:paraId="1073F9BE" w14:textId="77777777" w:rsidR="001B113E" w:rsidRDefault="001B113E" w:rsidP="001B113E">
      <w:pPr>
        <w:pStyle w:val="Heading2"/>
      </w:pPr>
      <w:bookmarkStart w:id="20" w:name="_Toc85203265"/>
      <w:r w:rsidRPr="00893946">
        <w:t>Program rules</w:t>
      </w:r>
      <w:bookmarkEnd w:id="20"/>
      <w:r>
        <w:t xml:space="preserve"> </w:t>
      </w:r>
    </w:p>
    <w:p w14:paraId="4C40B2E2" w14:textId="77777777" w:rsidR="001B113E" w:rsidRPr="001A34D1" w:rsidRDefault="001B113E" w:rsidP="001B113E">
      <w:bookmarkStart w:id="21" w:name="_Hlk76033520"/>
      <w:r>
        <w:t>T</w:t>
      </w:r>
      <w:r w:rsidRPr="001A34D1">
        <w:t xml:space="preserve">he MOUs specify the rules for target locations, consultations required to obtain </w:t>
      </w:r>
      <w:bookmarkStart w:id="22" w:name="_Hlk76033546"/>
      <w:r w:rsidRPr="001A34D1">
        <w:t xml:space="preserve">approval to participate, services that are eligible to be claimed, and rules for the reinvestment of MBS rebated revenue. </w:t>
      </w:r>
      <w:r>
        <w:t>The rules state the following:</w:t>
      </w:r>
    </w:p>
    <w:bookmarkEnd w:id="21"/>
    <w:p w14:paraId="691B5F2B" w14:textId="77777777" w:rsidR="001B113E" w:rsidRPr="001A34D1" w:rsidRDefault="001B113E" w:rsidP="001B113E">
      <w:pPr>
        <w:pStyle w:val="ListBullet"/>
      </w:pPr>
      <w:r w:rsidRPr="001A34D1">
        <w:rPr>
          <w:i/>
          <w:iCs/>
        </w:rPr>
        <w:t>Consultation with other providers:</w:t>
      </w:r>
      <w:r w:rsidRPr="001A34D1">
        <w:t xml:space="preserve"> representatives of the proposed site obtain support for the Initiative operating in a locality from other local primary health care providers (including general practitioners), the </w:t>
      </w:r>
      <w:r>
        <w:t>Royal Flying Doctor Service (RFDS)</w:t>
      </w:r>
      <w:r w:rsidRPr="001A34D1">
        <w:t xml:space="preserve"> and Aboriginal Health Services (AHS)</w:t>
      </w:r>
      <w:r>
        <w:t>.</w:t>
      </w:r>
    </w:p>
    <w:p w14:paraId="5A1ED102" w14:textId="77777777" w:rsidR="001B113E" w:rsidRPr="001A34D1" w:rsidRDefault="001B113E" w:rsidP="001B113E">
      <w:pPr>
        <w:pStyle w:val="ListBullet"/>
      </w:pPr>
      <w:r w:rsidRPr="001A34D1">
        <w:rPr>
          <w:i/>
          <w:iCs/>
        </w:rPr>
        <w:t xml:space="preserve">Provider eligibility: </w:t>
      </w:r>
      <w:r w:rsidRPr="001A34D1">
        <w:t>a medical practitioner or health professional delivering health services at an exempt site and wishing to access payments under the MBS must have met the registration requirements of the</w:t>
      </w:r>
      <w:r w:rsidRPr="001A34D1">
        <w:rPr>
          <w:i/>
          <w:iCs/>
        </w:rPr>
        <w:t xml:space="preserve"> Health Insurance Act, 1973. </w:t>
      </w:r>
    </w:p>
    <w:p w14:paraId="6B451224" w14:textId="77777777" w:rsidR="001B113E" w:rsidRPr="001A34D1" w:rsidRDefault="001B113E" w:rsidP="001B113E">
      <w:pPr>
        <w:pStyle w:val="ListBullet"/>
      </w:pPr>
      <w:r w:rsidRPr="001A34D1">
        <w:rPr>
          <w:i/>
          <w:iCs/>
        </w:rPr>
        <w:t>Eligible services</w:t>
      </w:r>
      <w:r w:rsidRPr="001A34D1">
        <w:t>:</w:t>
      </w:r>
      <w:r>
        <w:t xml:space="preserve"> </w:t>
      </w:r>
      <w:r w:rsidRPr="001A34D1">
        <w:t>MBS funds claimed by providers are</w:t>
      </w:r>
      <w:r>
        <w:t xml:space="preserve"> used</w:t>
      </w:r>
      <w:r w:rsidRPr="001A34D1">
        <w:t xml:space="preserve"> to ensure increased primary health services – and funds derived from the Initiative for a site are to be returned to that site, in accordance with</w:t>
      </w:r>
      <w:r>
        <w:t xml:space="preserve"> the</w:t>
      </w:r>
      <w:r w:rsidRPr="001A34D1">
        <w:t xml:space="preserve"> Operational</w:t>
      </w:r>
      <w:r>
        <w:t xml:space="preserve"> Plan.</w:t>
      </w:r>
    </w:p>
    <w:p w14:paraId="53D5D5CE" w14:textId="77777777" w:rsidR="001B113E" w:rsidRDefault="001B113E" w:rsidP="001B113E">
      <w:pPr>
        <w:pStyle w:val="ListBullet"/>
      </w:pPr>
      <w:r w:rsidRPr="001A34D1">
        <w:rPr>
          <w:i/>
          <w:iCs/>
        </w:rPr>
        <w:t xml:space="preserve">Operational Plan: </w:t>
      </w:r>
      <w:r w:rsidRPr="001A34D1">
        <w:t xml:space="preserve">the Plan </w:t>
      </w:r>
      <w:r>
        <w:t>must specify</w:t>
      </w:r>
      <w:r w:rsidRPr="00893946">
        <w:rPr>
          <w:i/>
          <w:iCs/>
        </w:rPr>
        <w:t>, inter alia</w:t>
      </w:r>
      <w:r>
        <w:t xml:space="preserve">: </w:t>
      </w:r>
      <w:r w:rsidRPr="001A34D1">
        <w:t>the site operational model (service types to be billed to Medicare)</w:t>
      </w:r>
      <w:r>
        <w:t xml:space="preserve">; </w:t>
      </w:r>
      <w:r w:rsidRPr="001A34D1">
        <w:t>names of primary car</w:t>
      </w:r>
      <w:r>
        <w:t>e</w:t>
      </w:r>
      <w:r w:rsidRPr="001A34D1">
        <w:t xml:space="preserve"> practitioners billing Medicar</w:t>
      </w:r>
      <w:r>
        <w:t>e;</w:t>
      </w:r>
      <w:r w:rsidRPr="001A34D1">
        <w:t xml:space="preserve"> and</w:t>
      </w:r>
      <w:r>
        <w:t xml:space="preserve"> </w:t>
      </w:r>
      <w:r w:rsidRPr="001A34D1">
        <w:t>the breakdown of proposed Medicare expenditure for reinvestment at the site.</w:t>
      </w:r>
      <w:r>
        <w:t xml:space="preserve"> A</w:t>
      </w:r>
      <w:r w:rsidRPr="001A34D1">
        <w:t xml:space="preserve">t least 70% of MBS rebated funds must be invested in new services and improvements </w:t>
      </w:r>
      <w:r w:rsidRPr="00755CFF">
        <w:t>(expenditure on administration and incentive payments is capped at 30% of rebated funds)</w:t>
      </w:r>
      <w:r>
        <w:t>. T</w:t>
      </w:r>
      <w:r w:rsidRPr="001A34D1">
        <w:t xml:space="preserve">he service types that </w:t>
      </w:r>
      <w:r>
        <w:t>can</w:t>
      </w:r>
      <w:r w:rsidRPr="001A34D1">
        <w:t xml:space="preserve"> be </w:t>
      </w:r>
      <w:r w:rsidRPr="001A34D1">
        <w:lastRenderedPageBreak/>
        <w:t>implemented with the additional funds</w:t>
      </w:r>
      <w:r>
        <w:t xml:space="preserve"> are, for example,</w:t>
      </w:r>
      <w:r w:rsidRPr="001A34D1">
        <w:t xml:space="preserve"> additional health professionals, professional development, </w:t>
      </w:r>
      <w:r>
        <w:t xml:space="preserve">and </w:t>
      </w:r>
      <w:r w:rsidRPr="001A34D1">
        <w:t>equipment</w:t>
      </w:r>
      <w:r>
        <w:t>.</w:t>
      </w:r>
    </w:p>
    <w:p w14:paraId="4D781AE0" w14:textId="77777777" w:rsidR="001B113E" w:rsidRDefault="001B113E" w:rsidP="001B113E">
      <w:pPr>
        <w:pStyle w:val="ListBullet"/>
      </w:pPr>
      <w:r w:rsidRPr="009A5090">
        <w:rPr>
          <w:i/>
          <w:iCs/>
        </w:rPr>
        <w:t>Reporting:</w:t>
      </w:r>
      <w:r w:rsidRPr="009A5090">
        <w:t xml:space="preserve"> Clause 8.2 of the MOU requires jurisd</w:t>
      </w:r>
      <w:r>
        <w:t>i</w:t>
      </w:r>
      <w:r w:rsidRPr="009A5090">
        <w:t>ctions to report on the Initiative at each site for the preceding financial year by 31 August each year.</w:t>
      </w:r>
    </w:p>
    <w:p w14:paraId="13ABD174" w14:textId="77777777" w:rsidR="001B113E" w:rsidRDefault="001B113E" w:rsidP="001B113E">
      <w:pPr>
        <w:pStyle w:val="Heading2"/>
      </w:pPr>
      <w:bookmarkStart w:id="23" w:name="_Toc85203266"/>
      <w:bookmarkEnd w:id="22"/>
      <w:r>
        <w:t>Standard Operating Procedures</w:t>
      </w:r>
      <w:bookmarkEnd w:id="23"/>
    </w:p>
    <w:p w14:paraId="418F0CF5" w14:textId="77777777" w:rsidR="001B113E" w:rsidRDefault="001B113E" w:rsidP="001B113E">
      <w:r>
        <w:t>The Primary Health Care Governance and Implementation Section, Primary Care Division, has a suite of Standard Operating Procedures (SOPs) to inform Department processes for managing the program. This document re-states much of the MOU contents but has additional processes and guidance on:</w:t>
      </w:r>
    </w:p>
    <w:p w14:paraId="27F0E73A" w14:textId="77777777" w:rsidR="001B113E" w:rsidRDefault="001B113E" w:rsidP="001B113E">
      <w:pPr>
        <w:pStyle w:val="ListBullet"/>
      </w:pPr>
      <w:r>
        <w:t>assessing applications lodged by jurisdictions and protocols for communication of decisions back to jurisdictions and updating the website list of approved sites</w:t>
      </w:r>
    </w:p>
    <w:p w14:paraId="5FE355D7" w14:textId="77777777" w:rsidR="001B113E" w:rsidRDefault="001B113E" w:rsidP="001B113E">
      <w:pPr>
        <w:pStyle w:val="ListBullet"/>
      </w:pPr>
      <w:r>
        <w:t>assessing annual reports lodged by jurisdictions, and</w:t>
      </w:r>
    </w:p>
    <w:p w14:paraId="2F60F4AB" w14:textId="77777777" w:rsidR="001B113E" w:rsidRDefault="001B113E" w:rsidP="001B113E">
      <w:pPr>
        <w:pStyle w:val="ListBullet"/>
      </w:pPr>
      <w:r>
        <w:t>records management for applications and annual reports.</w:t>
      </w:r>
      <w:sdt>
        <w:sdtPr>
          <w:id w:val="-139426429"/>
          <w:citation/>
        </w:sdtPr>
        <w:sdtEndPr/>
        <w:sdtContent>
          <w:r>
            <w:fldChar w:fldCharType="begin"/>
          </w:r>
          <w:r>
            <w:instrText xml:space="preserve">CITATION DepSOPs \l 3081 </w:instrText>
          </w:r>
          <w:r>
            <w:fldChar w:fldCharType="separate"/>
          </w:r>
          <w:r>
            <w:rPr>
              <w:noProof/>
            </w:rPr>
            <w:t xml:space="preserve"> </w:t>
          </w:r>
          <w:r w:rsidRPr="003E36C4">
            <w:rPr>
              <w:noProof/>
            </w:rPr>
            <w:t>[3]</w:t>
          </w:r>
          <w:r>
            <w:fldChar w:fldCharType="end"/>
          </w:r>
        </w:sdtContent>
      </w:sdt>
      <w:r>
        <w:t xml:space="preserve"> </w:t>
      </w:r>
    </w:p>
    <w:p w14:paraId="35971C9D" w14:textId="77777777" w:rsidR="001B113E" w:rsidRDefault="001B113E" w:rsidP="001B113E">
      <w:r>
        <w:t>The SOPs articulate how delegations work to give effect to approving the exemption of individual sites under the Initiative:</w:t>
      </w:r>
    </w:p>
    <w:p w14:paraId="01317A5F" w14:textId="77777777" w:rsidR="001B113E" w:rsidRDefault="001B113E" w:rsidP="001B113E">
      <w:pPr>
        <w:ind w:left="720"/>
      </w:pPr>
      <w:r>
        <w:t xml:space="preserve">‘The delegation is granted by the Health Minister acting under subsection 131(1) of the </w:t>
      </w:r>
      <w:r w:rsidRPr="009461E3">
        <w:rPr>
          <w:i/>
          <w:iCs/>
        </w:rPr>
        <w:t>Health Insurance Act</w:t>
      </w:r>
      <w:r>
        <w:rPr>
          <w:i/>
          <w:iCs/>
        </w:rPr>
        <w:t>,</w:t>
      </w:r>
      <w:r w:rsidRPr="009461E3">
        <w:rPr>
          <w:i/>
          <w:iCs/>
        </w:rPr>
        <w:t xml:space="preserve"> 1973</w:t>
      </w:r>
      <w:r>
        <w:t>, in the ‘Instrument of Delegation’ to specific positions within the department.</w:t>
      </w:r>
    </w:p>
    <w:p w14:paraId="62303EFD" w14:textId="77777777" w:rsidR="001B113E" w:rsidRDefault="001B113E" w:rsidP="001B113E">
      <w:pPr>
        <w:ind w:left="720"/>
      </w:pPr>
      <w:r>
        <w:t>The Assistant Secretary of the MBS Policy and Specialist Services Branch, Medical Benefits Division has delegation under this Instrument to approve exemptions under the Initiative. Exemptions are granted through Directions for the Initiative.’</w:t>
      </w:r>
      <w:sdt>
        <w:sdtPr>
          <w:id w:val="-333534064"/>
          <w:citation/>
        </w:sdtPr>
        <w:sdtEndPr/>
        <w:sdtContent>
          <w:r>
            <w:fldChar w:fldCharType="begin"/>
          </w:r>
          <w:r>
            <w:instrText xml:space="preserve">CITATION DepSOPs \l 3081 </w:instrText>
          </w:r>
          <w:r>
            <w:fldChar w:fldCharType="separate"/>
          </w:r>
          <w:r>
            <w:rPr>
              <w:noProof/>
            </w:rPr>
            <w:t xml:space="preserve"> </w:t>
          </w:r>
          <w:r w:rsidRPr="003E36C4">
            <w:rPr>
              <w:noProof/>
            </w:rPr>
            <w:t>[3]</w:t>
          </w:r>
          <w:r>
            <w:fldChar w:fldCharType="end"/>
          </w:r>
        </w:sdtContent>
      </w:sdt>
    </w:p>
    <w:p w14:paraId="6FED5DC1" w14:textId="77777777" w:rsidR="001B113E" w:rsidRDefault="001B113E" w:rsidP="001B113E">
      <w:pPr>
        <w:pStyle w:val="Heading2"/>
        <w:numPr>
          <w:ilvl w:val="1"/>
          <w:numId w:val="25"/>
        </w:numPr>
      </w:pPr>
      <w:bookmarkStart w:id="24" w:name="_Toc85203267"/>
      <w:r w:rsidRPr="00FC2B32">
        <w:t>Patterns of delivery</w:t>
      </w:r>
      <w:bookmarkEnd w:id="24"/>
      <w:r>
        <w:t xml:space="preserve"> </w:t>
      </w:r>
    </w:p>
    <w:p w14:paraId="0032A55C" w14:textId="77777777" w:rsidR="001B113E" w:rsidRDefault="001B113E" w:rsidP="001B113E">
      <w:pPr>
        <w:pStyle w:val="Heading3"/>
      </w:pPr>
      <w:bookmarkStart w:id="25" w:name="_Toc85203268"/>
      <w:r>
        <w:t>Initiative participation</w:t>
      </w:r>
      <w:bookmarkEnd w:id="25"/>
    </w:p>
    <w:p w14:paraId="31FE71CC" w14:textId="625534CE" w:rsidR="001B113E" w:rsidRPr="00D24E71" w:rsidRDefault="001B113E" w:rsidP="001B113E">
      <w:r>
        <w:t xml:space="preserve">Although the program website lists 118 participating sites, only 92 of those sites were paid MBS revenue in 2019–20. </w:t>
      </w:r>
      <w:r>
        <w:fldChar w:fldCharType="begin"/>
      </w:r>
      <w:r>
        <w:instrText xml:space="preserve"> REF _Ref63113675 \h </w:instrText>
      </w:r>
      <w:r>
        <w:fldChar w:fldCharType="separate"/>
      </w:r>
      <w:r w:rsidR="00C50B67">
        <w:t xml:space="preserve">Table </w:t>
      </w:r>
      <w:r w:rsidR="00C50B67">
        <w:rPr>
          <w:noProof/>
        </w:rPr>
        <w:t>2</w:t>
      </w:r>
      <w:r w:rsidR="00C50B67">
        <w:t>.</w:t>
      </w:r>
      <w:r w:rsidR="00C50B67">
        <w:rPr>
          <w:noProof/>
        </w:rPr>
        <w:t>1</w:t>
      </w:r>
      <w:r>
        <w:fldChar w:fldCharType="end"/>
      </w:r>
      <w:r>
        <w:t xml:space="preserve"> shows the number of those active sites by jurisdiction and categorises their MMM ratings.</w:t>
      </w:r>
    </w:p>
    <w:p w14:paraId="09605B82" w14:textId="18931F98" w:rsidR="001B113E" w:rsidRDefault="001B113E" w:rsidP="001B113E">
      <w:pPr>
        <w:pStyle w:val="Caption"/>
        <w:spacing w:before="120" w:after="0"/>
      </w:pPr>
      <w:bookmarkStart w:id="26" w:name="_Ref63113675"/>
      <w:r>
        <w:t xml:space="preserve">Table </w:t>
      </w:r>
      <w:fldSimple w:instr=" STYLEREF 1 \s ">
        <w:r w:rsidR="00C50B67">
          <w:rPr>
            <w:noProof/>
          </w:rPr>
          <w:t>2</w:t>
        </w:r>
      </w:fldSimple>
      <w:r>
        <w:t>.</w:t>
      </w:r>
      <w:fldSimple w:instr=" SEQ Table \* ARABIC \s 1 ">
        <w:r w:rsidR="00C50B67">
          <w:rPr>
            <w:noProof/>
          </w:rPr>
          <w:t>1</w:t>
        </w:r>
      </w:fldSimple>
      <w:bookmarkEnd w:id="26"/>
      <w:r>
        <w:t xml:space="preserve">: </w:t>
      </w:r>
      <w:r w:rsidRPr="008D7514">
        <w:rPr>
          <w:rStyle w:val="Caption-notboldChar"/>
        </w:rPr>
        <w:t>MMM score for active Initiative sites (paid MBS revenue), 2019</w:t>
      </w:r>
      <w:r w:rsidRPr="008D7514">
        <w:rPr>
          <w:rStyle w:val="Caption-notboldChar"/>
          <w:rFonts w:ascii="Arial" w:hAnsi="Arial" w:cs="Arial"/>
        </w:rPr>
        <w:t>‒</w:t>
      </w:r>
      <w:r w:rsidRPr="008D7514">
        <w:rPr>
          <w:rStyle w:val="Caption-notboldChar"/>
        </w:rPr>
        <w:t>20</w:t>
      </w:r>
      <w:r>
        <w:t xml:space="preserve"> </w:t>
      </w:r>
      <w:r>
        <w:rPr>
          <w:rStyle w:val="FootnoteReference"/>
          <w:rFonts w:asciiTheme="majorHAnsi" w:hAnsiTheme="majorHAnsi"/>
          <w:iCs w:val="0"/>
        </w:rPr>
        <w:footnoteReference w:id="4"/>
      </w:r>
    </w:p>
    <w:tbl>
      <w:tblPr>
        <w:tblStyle w:val="HMATableB"/>
        <w:tblW w:w="0" w:type="auto"/>
        <w:jc w:val="center"/>
        <w:tblLook w:val="04A0" w:firstRow="1" w:lastRow="0" w:firstColumn="1" w:lastColumn="0" w:noHBand="0" w:noVBand="1"/>
      </w:tblPr>
      <w:tblGrid>
        <w:gridCol w:w="1418"/>
        <w:gridCol w:w="850"/>
        <w:gridCol w:w="851"/>
        <w:gridCol w:w="850"/>
        <w:gridCol w:w="851"/>
        <w:gridCol w:w="709"/>
        <w:gridCol w:w="780"/>
      </w:tblGrid>
      <w:tr w:rsidR="001B113E" w14:paraId="1863C7F1" w14:textId="77777777" w:rsidTr="001448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Pr>
          <w:p w14:paraId="50A33529" w14:textId="77777777" w:rsidR="001B113E" w:rsidRPr="007A00F4" w:rsidRDefault="001B113E" w:rsidP="001448D4">
            <w:pPr>
              <w:keepNext/>
              <w:jc w:val="center"/>
              <w:rPr>
                <w:b/>
                <w:bCs/>
              </w:rPr>
            </w:pPr>
            <w:r w:rsidRPr="007A00F4">
              <w:rPr>
                <w:b/>
                <w:bCs/>
              </w:rPr>
              <w:t>MMM score</w:t>
            </w:r>
          </w:p>
        </w:tc>
        <w:tc>
          <w:tcPr>
            <w:tcW w:w="850" w:type="dxa"/>
          </w:tcPr>
          <w:p w14:paraId="203B42CF" w14:textId="77777777" w:rsidR="001B113E" w:rsidRPr="007A00F4" w:rsidRDefault="001B113E" w:rsidP="001448D4">
            <w:pPr>
              <w:keepNext/>
              <w:jc w:val="center"/>
              <w:cnfStyle w:val="100000000000" w:firstRow="1" w:lastRow="0" w:firstColumn="0" w:lastColumn="0" w:oddVBand="0" w:evenVBand="0" w:oddHBand="0" w:evenHBand="0" w:firstRowFirstColumn="0" w:firstRowLastColumn="0" w:lastRowFirstColumn="0" w:lastRowLastColumn="0"/>
              <w:rPr>
                <w:b/>
                <w:bCs/>
              </w:rPr>
            </w:pPr>
            <w:r w:rsidRPr="007A00F4">
              <w:rPr>
                <w:b/>
                <w:bCs/>
              </w:rPr>
              <w:t>NSW</w:t>
            </w:r>
          </w:p>
        </w:tc>
        <w:tc>
          <w:tcPr>
            <w:tcW w:w="851" w:type="dxa"/>
          </w:tcPr>
          <w:p w14:paraId="1C7EBBAB" w14:textId="77777777" w:rsidR="001B113E" w:rsidRPr="007A00F4" w:rsidRDefault="001B113E" w:rsidP="001448D4">
            <w:pPr>
              <w:keepNext/>
              <w:jc w:val="center"/>
              <w:cnfStyle w:val="100000000000" w:firstRow="1" w:lastRow="0" w:firstColumn="0" w:lastColumn="0" w:oddVBand="0" w:evenVBand="0" w:oddHBand="0" w:evenHBand="0" w:firstRowFirstColumn="0" w:firstRowLastColumn="0" w:lastRowFirstColumn="0" w:lastRowLastColumn="0"/>
              <w:rPr>
                <w:b/>
                <w:bCs/>
              </w:rPr>
            </w:pPr>
            <w:r w:rsidRPr="007A00F4">
              <w:rPr>
                <w:b/>
                <w:bCs/>
              </w:rPr>
              <w:t>Qld</w:t>
            </w:r>
          </w:p>
        </w:tc>
        <w:tc>
          <w:tcPr>
            <w:tcW w:w="850" w:type="dxa"/>
          </w:tcPr>
          <w:p w14:paraId="44F25900" w14:textId="77777777" w:rsidR="001B113E" w:rsidRPr="007A00F4" w:rsidRDefault="001B113E" w:rsidP="001448D4">
            <w:pPr>
              <w:keepNext/>
              <w:jc w:val="center"/>
              <w:cnfStyle w:val="100000000000" w:firstRow="1" w:lastRow="0" w:firstColumn="0" w:lastColumn="0" w:oddVBand="0" w:evenVBand="0" w:oddHBand="0" w:evenHBand="0" w:firstRowFirstColumn="0" w:firstRowLastColumn="0" w:lastRowFirstColumn="0" w:lastRowLastColumn="0"/>
              <w:rPr>
                <w:b/>
                <w:bCs/>
              </w:rPr>
            </w:pPr>
            <w:r w:rsidRPr="007A00F4">
              <w:rPr>
                <w:b/>
                <w:bCs/>
              </w:rPr>
              <w:t>WA</w:t>
            </w:r>
          </w:p>
        </w:tc>
        <w:tc>
          <w:tcPr>
            <w:tcW w:w="851" w:type="dxa"/>
          </w:tcPr>
          <w:p w14:paraId="204D3296" w14:textId="77777777" w:rsidR="001B113E" w:rsidRPr="007A00F4" w:rsidRDefault="001B113E" w:rsidP="001448D4">
            <w:pPr>
              <w:keepNext/>
              <w:jc w:val="center"/>
              <w:cnfStyle w:val="100000000000" w:firstRow="1" w:lastRow="0" w:firstColumn="0" w:lastColumn="0" w:oddVBand="0" w:evenVBand="0" w:oddHBand="0" w:evenHBand="0" w:firstRowFirstColumn="0" w:firstRowLastColumn="0" w:lastRowFirstColumn="0" w:lastRowLastColumn="0"/>
              <w:rPr>
                <w:b/>
                <w:bCs/>
              </w:rPr>
            </w:pPr>
            <w:r w:rsidRPr="007A00F4">
              <w:rPr>
                <w:b/>
                <w:bCs/>
              </w:rPr>
              <w:t>NT</w:t>
            </w:r>
          </w:p>
        </w:tc>
        <w:tc>
          <w:tcPr>
            <w:tcW w:w="709" w:type="dxa"/>
          </w:tcPr>
          <w:p w14:paraId="4C9A7950" w14:textId="77777777" w:rsidR="001B113E" w:rsidRPr="00841FA9" w:rsidRDefault="001B113E" w:rsidP="001448D4">
            <w:pPr>
              <w:keepNext/>
              <w:cnfStyle w:val="100000000000" w:firstRow="1" w:lastRow="0" w:firstColumn="0" w:lastColumn="0" w:oddVBand="0" w:evenVBand="0" w:oddHBand="0" w:evenHBand="0" w:firstRowFirstColumn="0" w:firstRowLastColumn="0" w:lastRowFirstColumn="0" w:lastRowLastColumn="0"/>
              <w:rPr>
                <w:b/>
                <w:bCs/>
              </w:rPr>
            </w:pPr>
            <w:r w:rsidRPr="00841FA9">
              <w:rPr>
                <w:b/>
                <w:bCs/>
              </w:rPr>
              <w:t>total</w:t>
            </w:r>
          </w:p>
        </w:tc>
        <w:tc>
          <w:tcPr>
            <w:tcW w:w="780" w:type="dxa"/>
          </w:tcPr>
          <w:p w14:paraId="5D2CBD37" w14:textId="77777777" w:rsidR="001B113E" w:rsidRPr="00504239" w:rsidRDefault="001B113E" w:rsidP="001448D4">
            <w:pPr>
              <w:keepNext/>
              <w:jc w:val="center"/>
              <w:cnfStyle w:val="100000000000" w:firstRow="1" w:lastRow="0" w:firstColumn="0" w:lastColumn="0" w:oddVBand="0" w:evenVBand="0" w:oddHBand="0" w:evenHBand="0" w:firstRowFirstColumn="0" w:firstRowLastColumn="0" w:lastRowFirstColumn="0" w:lastRowLastColumn="0"/>
              <w:rPr>
                <w:i/>
                <w:iCs/>
              </w:rPr>
            </w:pPr>
            <w:r>
              <w:rPr>
                <w:i/>
                <w:iCs/>
              </w:rPr>
              <w:t xml:space="preserve">MMM Score </w:t>
            </w:r>
            <w:r w:rsidRPr="00504239">
              <w:rPr>
                <w:i/>
                <w:iCs/>
              </w:rPr>
              <w:t>%</w:t>
            </w:r>
          </w:p>
        </w:tc>
      </w:tr>
      <w:tr w:rsidR="001B113E" w14:paraId="70F37F49" w14:textId="77777777" w:rsidTr="001448D4">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46FA1DAD" w14:textId="77777777" w:rsidR="001B113E" w:rsidRPr="00C219FA" w:rsidRDefault="001B113E" w:rsidP="001448D4">
            <w:r w:rsidRPr="00C219FA">
              <w:t>4</w:t>
            </w:r>
          </w:p>
        </w:tc>
        <w:tc>
          <w:tcPr>
            <w:tcW w:w="850" w:type="dxa"/>
          </w:tcPr>
          <w:p w14:paraId="04514760"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p>
        </w:tc>
        <w:tc>
          <w:tcPr>
            <w:tcW w:w="851" w:type="dxa"/>
          </w:tcPr>
          <w:p w14:paraId="3D2BD2F7"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2</w:t>
            </w:r>
          </w:p>
        </w:tc>
        <w:tc>
          <w:tcPr>
            <w:tcW w:w="850" w:type="dxa"/>
          </w:tcPr>
          <w:p w14:paraId="55492432"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p>
        </w:tc>
        <w:tc>
          <w:tcPr>
            <w:tcW w:w="851" w:type="dxa"/>
          </w:tcPr>
          <w:p w14:paraId="71FE8387"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p>
        </w:tc>
        <w:tc>
          <w:tcPr>
            <w:tcW w:w="709" w:type="dxa"/>
          </w:tcPr>
          <w:p w14:paraId="4C08CB6D"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2</w:t>
            </w:r>
          </w:p>
        </w:tc>
        <w:tc>
          <w:tcPr>
            <w:tcW w:w="780" w:type="dxa"/>
          </w:tcPr>
          <w:p w14:paraId="0870F855"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2</w:t>
            </w:r>
          </w:p>
        </w:tc>
      </w:tr>
      <w:tr w:rsidR="001B113E" w14:paraId="560F7045" w14:textId="77777777" w:rsidTr="001448D4">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48670C61" w14:textId="77777777" w:rsidR="001B113E" w:rsidRPr="00C219FA" w:rsidRDefault="001B113E" w:rsidP="001448D4">
            <w:r w:rsidRPr="00C219FA">
              <w:t>5</w:t>
            </w:r>
          </w:p>
        </w:tc>
        <w:tc>
          <w:tcPr>
            <w:tcW w:w="850" w:type="dxa"/>
          </w:tcPr>
          <w:p w14:paraId="3452BEA1"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33</w:t>
            </w:r>
          </w:p>
        </w:tc>
        <w:tc>
          <w:tcPr>
            <w:tcW w:w="851" w:type="dxa"/>
          </w:tcPr>
          <w:p w14:paraId="6567F4B6"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17</w:t>
            </w:r>
          </w:p>
        </w:tc>
        <w:tc>
          <w:tcPr>
            <w:tcW w:w="850" w:type="dxa"/>
          </w:tcPr>
          <w:p w14:paraId="6023DC3B"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p>
        </w:tc>
        <w:tc>
          <w:tcPr>
            <w:tcW w:w="851" w:type="dxa"/>
          </w:tcPr>
          <w:p w14:paraId="5AC4B5C6"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p>
        </w:tc>
        <w:tc>
          <w:tcPr>
            <w:tcW w:w="709" w:type="dxa"/>
          </w:tcPr>
          <w:p w14:paraId="477E4DD0"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50</w:t>
            </w:r>
          </w:p>
        </w:tc>
        <w:tc>
          <w:tcPr>
            <w:tcW w:w="780" w:type="dxa"/>
          </w:tcPr>
          <w:p w14:paraId="537BF915"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54</w:t>
            </w:r>
          </w:p>
        </w:tc>
      </w:tr>
      <w:tr w:rsidR="001B113E" w14:paraId="4CBA4F6B" w14:textId="77777777" w:rsidTr="001448D4">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2952F882" w14:textId="77777777" w:rsidR="001B113E" w:rsidRPr="00C219FA" w:rsidRDefault="001B113E" w:rsidP="001448D4">
            <w:r w:rsidRPr="00C219FA">
              <w:t>6</w:t>
            </w:r>
          </w:p>
        </w:tc>
        <w:tc>
          <w:tcPr>
            <w:tcW w:w="850" w:type="dxa"/>
          </w:tcPr>
          <w:p w14:paraId="6F146D37"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3</w:t>
            </w:r>
          </w:p>
        </w:tc>
        <w:tc>
          <w:tcPr>
            <w:tcW w:w="851" w:type="dxa"/>
          </w:tcPr>
          <w:p w14:paraId="7DAEB696"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11</w:t>
            </w:r>
          </w:p>
        </w:tc>
        <w:tc>
          <w:tcPr>
            <w:tcW w:w="850" w:type="dxa"/>
          </w:tcPr>
          <w:p w14:paraId="329F9001"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p>
        </w:tc>
        <w:tc>
          <w:tcPr>
            <w:tcW w:w="851" w:type="dxa"/>
          </w:tcPr>
          <w:p w14:paraId="2E64456A"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3</w:t>
            </w:r>
          </w:p>
        </w:tc>
        <w:tc>
          <w:tcPr>
            <w:tcW w:w="709" w:type="dxa"/>
          </w:tcPr>
          <w:p w14:paraId="57C7BF2F"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17</w:t>
            </w:r>
          </w:p>
        </w:tc>
        <w:tc>
          <w:tcPr>
            <w:tcW w:w="780" w:type="dxa"/>
          </w:tcPr>
          <w:p w14:paraId="24FE5973"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18</w:t>
            </w:r>
          </w:p>
        </w:tc>
      </w:tr>
      <w:tr w:rsidR="001B113E" w14:paraId="2712208D" w14:textId="77777777" w:rsidTr="001448D4">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22859005" w14:textId="77777777" w:rsidR="001B113E" w:rsidRPr="00C219FA" w:rsidRDefault="001B113E" w:rsidP="001448D4">
            <w:r w:rsidRPr="00C219FA">
              <w:t>7</w:t>
            </w:r>
          </w:p>
        </w:tc>
        <w:tc>
          <w:tcPr>
            <w:tcW w:w="850" w:type="dxa"/>
          </w:tcPr>
          <w:p w14:paraId="78F2C29D"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p>
        </w:tc>
        <w:tc>
          <w:tcPr>
            <w:tcW w:w="851" w:type="dxa"/>
          </w:tcPr>
          <w:p w14:paraId="14210716"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9</w:t>
            </w:r>
          </w:p>
        </w:tc>
        <w:tc>
          <w:tcPr>
            <w:tcW w:w="850" w:type="dxa"/>
          </w:tcPr>
          <w:p w14:paraId="521988D2"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11</w:t>
            </w:r>
          </w:p>
        </w:tc>
        <w:tc>
          <w:tcPr>
            <w:tcW w:w="851" w:type="dxa"/>
          </w:tcPr>
          <w:p w14:paraId="38A2B21D"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C219FA">
              <w:t>3</w:t>
            </w:r>
          </w:p>
        </w:tc>
        <w:tc>
          <w:tcPr>
            <w:tcW w:w="709" w:type="dxa"/>
          </w:tcPr>
          <w:p w14:paraId="5497C37F"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23</w:t>
            </w:r>
          </w:p>
        </w:tc>
        <w:tc>
          <w:tcPr>
            <w:tcW w:w="780" w:type="dxa"/>
          </w:tcPr>
          <w:p w14:paraId="5D33CB7B"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25</w:t>
            </w:r>
          </w:p>
        </w:tc>
      </w:tr>
      <w:tr w:rsidR="001B113E" w14:paraId="29D7CAA7" w14:textId="77777777" w:rsidTr="001448D4">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7D778627" w14:textId="77777777" w:rsidR="001B113E" w:rsidRPr="00C219FA" w:rsidRDefault="001B113E" w:rsidP="001448D4">
            <w:pPr>
              <w:rPr>
                <w:b/>
                <w:bCs/>
              </w:rPr>
            </w:pPr>
            <w:r w:rsidRPr="00C219FA">
              <w:rPr>
                <w:b/>
                <w:bCs/>
              </w:rPr>
              <w:t>Total</w:t>
            </w:r>
          </w:p>
        </w:tc>
        <w:tc>
          <w:tcPr>
            <w:tcW w:w="850" w:type="dxa"/>
          </w:tcPr>
          <w:p w14:paraId="6D628A90"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36</w:t>
            </w:r>
          </w:p>
        </w:tc>
        <w:tc>
          <w:tcPr>
            <w:tcW w:w="851" w:type="dxa"/>
          </w:tcPr>
          <w:p w14:paraId="786AB503"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39</w:t>
            </w:r>
          </w:p>
        </w:tc>
        <w:tc>
          <w:tcPr>
            <w:tcW w:w="850" w:type="dxa"/>
          </w:tcPr>
          <w:p w14:paraId="30AF3A4A"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11</w:t>
            </w:r>
          </w:p>
        </w:tc>
        <w:tc>
          <w:tcPr>
            <w:tcW w:w="851" w:type="dxa"/>
          </w:tcPr>
          <w:p w14:paraId="4D5BE8A5"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6</w:t>
            </w:r>
          </w:p>
        </w:tc>
        <w:tc>
          <w:tcPr>
            <w:tcW w:w="709" w:type="dxa"/>
          </w:tcPr>
          <w:p w14:paraId="59F8F1E2"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b/>
                <w:bCs/>
              </w:rPr>
            </w:pPr>
            <w:r w:rsidRPr="00C219FA">
              <w:rPr>
                <w:b/>
                <w:bCs/>
              </w:rPr>
              <w:t>92</w:t>
            </w:r>
          </w:p>
        </w:tc>
        <w:tc>
          <w:tcPr>
            <w:tcW w:w="780" w:type="dxa"/>
          </w:tcPr>
          <w:p w14:paraId="3E64532D"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100</w:t>
            </w:r>
          </w:p>
        </w:tc>
      </w:tr>
      <w:tr w:rsidR="001B113E" w14:paraId="0F1BB70F" w14:textId="77777777" w:rsidTr="001448D4">
        <w:trPr>
          <w:jc w:val="center"/>
        </w:trPr>
        <w:tc>
          <w:tcPr>
            <w:cnfStyle w:val="001000000000" w:firstRow="0" w:lastRow="0" w:firstColumn="1" w:lastColumn="0" w:oddVBand="0" w:evenVBand="0" w:oddHBand="0" w:evenHBand="0" w:firstRowFirstColumn="0" w:firstRowLastColumn="0" w:lastRowFirstColumn="0" w:lastRowLastColumn="0"/>
            <w:tcW w:w="1418" w:type="dxa"/>
          </w:tcPr>
          <w:p w14:paraId="56863252" w14:textId="77777777" w:rsidR="001B113E" w:rsidRPr="00C219FA" w:rsidRDefault="001B113E" w:rsidP="001448D4">
            <w:pPr>
              <w:rPr>
                <w:i/>
                <w:iCs/>
              </w:rPr>
            </w:pPr>
            <w:r w:rsidRPr="00C219FA">
              <w:rPr>
                <w:i/>
                <w:iCs/>
              </w:rPr>
              <w:t>Jurisdiction share of total</w:t>
            </w:r>
          </w:p>
          <w:p w14:paraId="754562D4" w14:textId="77777777" w:rsidR="001B113E" w:rsidRPr="00C219FA" w:rsidRDefault="001B113E" w:rsidP="001448D4">
            <w:pPr>
              <w:rPr>
                <w:i/>
                <w:iCs/>
              </w:rPr>
            </w:pPr>
            <w:r w:rsidRPr="00C219FA">
              <w:rPr>
                <w:i/>
                <w:iCs/>
              </w:rPr>
              <w:t>%</w:t>
            </w:r>
          </w:p>
        </w:tc>
        <w:tc>
          <w:tcPr>
            <w:tcW w:w="850" w:type="dxa"/>
          </w:tcPr>
          <w:p w14:paraId="01ED6691"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39</w:t>
            </w:r>
          </w:p>
        </w:tc>
        <w:tc>
          <w:tcPr>
            <w:tcW w:w="851" w:type="dxa"/>
          </w:tcPr>
          <w:p w14:paraId="0B846C6C"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42</w:t>
            </w:r>
          </w:p>
        </w:tc>
        <w:tc>
          <w:tcPr>
            <w:tcW w:w="850" w:type="dxa"/>
          </w:tcPr>
          <w:p w14:paraId="724010FF"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12</w:t>
            </w:r>
          </w:p>
        </w:tc>
        <w:tc>
          <w:tcPr>
            <w:tcW w:w="851" w:type="dxa"/>
          </w:tcPr>
          <w:p w14:paraId="1ED90C74"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7</w:t>
            </w:r>
          </w:p>
        </w:tc>
        <w:tc>
          <w:tcPr>
            <w:tcW w:w="709" w:type="dxa"/>
          </w:tcPr>
          <w:p w14:paraId="07BF7238"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r w:rsidRPr="00C219FA">
              <w:rPr>
                <w:i/>
                <w:iCs/>
              </w:rPr>
              <w:t>100</w:t>
            </w:r>
          </w:p>
        </w:tc>
        <w:tc>
          <w:tcPr>
            <w:tcW w:w="780" w:type="dxa"/>
            <w:shd w:val="clear" w:color="auto" w:fill="A6A6A6" w:themeFill="background1" w:themeFillShade="A6"/>
          </w:tcPr>
          <w:p w14:paraId="568D8B09" w14:textId="77777777" w:rsidR="001B113E" w:rsidRPr="00C219FA" w:rsidRDefault="001B113E" w:rsidP="001448D4">
            <w:pPr>
              <w:jc w:val="right"/>
              <w:cnfStyle w:val="000000000000" w:firstRow="0" w:lastRow="0" w:firstColumn="0" w:lastColumn="0" w:oddVBand="0" w:evenVBand="0" w:oddHBand="0" w:evenHBand="0" w:firstRowFirstColumn="0" w:firstRowLastColumn="0" w:lastRowFirstColumn="0" w:lastRowLastColumn="0"/>
              <w:rPr>
                <w:i/>
                <w:iCs/>
              </w:rPr>
            </w:pPr>
          </w:p>
        </w:tc>
      </w:tr>
    </w:tbl>
    <w:p w14:paraId="354A654F" w14:textId="77777777" w:rsidR="001B113E" w:rsidRPr="00143F67" w:rsidRDefault="001B113E" w:rsidP="001B113E">
      <w:pPr>
        <w:ind w:firstLine="720"/>
        <w:rPr>
          <w:sz w:val="16"/>
          <w:szCs w:val="16"/>
        </w:rPr>
      </w:pPr>
      <w:r w:rsidRPr="00143F67">
        <w:rPr>
          <w:sz w:val="16"/>
          <w:szCs w:val="16"/>
        </w:rPr>
        <w:t xml:space="preserve">Source: Unpublished Department data </w:t>
      </w:r>
      <w:r>
        <w:rPr>
          <w:sz w:val="16"/>
          <w:szCs w:val="16"/>
        </w:rPr>
        <w:t xml:space="preserve">– </w:t>
      </w:r>
      <w:r w:rsidRPr="00143F67">
        <w:rPr>
          <w:sz w:val="16"/>
          <w:szCs w:val="16"/>
        </w:rPr>
        <w:t>MBS payments data</w:t>
      </w:r>
    </w:p>
    <w:p w14:paraId="021D5DA5" w14:textId="77777777" w:rsidR="001B113E" w:rsidRPr="00A974F7" w:rsidRDefault="001B113E" w:rsidP="001B113E">
      <w:pPr>
        <w:spacing w:before="240"/>
      </w:pPr>
      <w:bookmarkStart w:id="27" w:name="_Hlk76033983"/>
      <w:r>
        <w:t xml:space="preserve">The table shows that: New South Wales and Queensland had the most participating sites, </w:t>
      </w:r>
      <w:r w:rsidRPr="00A974F7">
        <w:t>having 36 and 39 active sites respectively in 2019</w:t>
      </w:r>
      <w:r w:rsidRPr="00A974F7">
        <w:rPr>
          <w:rFonts w:ascii="Calibri" w:hAnsi="Calibri" w:cs="Calibri"/>
          <w:iCs/>
          <w:sz w:val="17"/>
          <w:szCs w:val="18"/>
        </w:rPr>
        <w:t>‒</w:t>
      </w:r>
      <w:r w:rsidRPr="00A974F7">
        <w:t>20, representing 81% of the 92 active sites. Western Australia had 11 active sites (12% of the total) and Northern Territory had 6 active sites (7% of the total).</w:t>
      </w:r>
    </w:p>
    <w:bookmarkEnd w:id="27"/>
    <w:p w14:paraId="3B9E4388" w14:textId="77777777" w:rsidR="001B113E" w:rsidRDefault="001B113E" w:rsidP="001B113E">
      <w:r w:rsidRPr="00A974F7">
        <w:lastRenderedPageBreak/>
        <w:t>The jurisdictions had quite different geographic profiles of where their active sites were located. New South Wales and Queensland sites were more likely to be in MMM Category 5. Northern Territory sites were either in MMM Category 6 or 7. All Western Australian active sites were in MMM Category 7.</w:t>
      </w:r>
      <w:r>
        <w:t xml:space="preserve"> </w:t>
      </w:r>
    </w:p>
    <w:p w14:paraId="419181EA" w14:textId="0C3089E4" w:rsidR="001B113E" w:rsidRDefault="001B113E" w:rsidP="001B113E">
      <w:r>
        <w:t xml:space="preserve">The location of Initiative sites that received MBS revenue under the Initiative are shown in </w:t>
      </w:r>
      <w:r>
        <w:fldChar w:fldCharType="begin"/>
      </w:r>
      <w:r>
        <w:instrText xml:space="preserve"> REF _Ref76141740 \h </w:instrText>
      </w:r>
      <w:r>
        <w:fldChar w:fldCharType="separate"/>
      </w:r>
      <w:r w:rsidR="00C50B67">
        <w:t xml:space="preserve">Figure </w:t>
      </w:r>
      <w:r w:rsidR="00C50B67">
        <w:rPr>
          <w:noProof/>
        </w:rPr>
        <w:t>2</w:t>
      </w:r>
      <w:r w:rsidR="00C50B67">
        <w:t>.</w:t>
      </w:r>
      <w:r w:rsidR="00C50B67">
        <w:rPr>
          <w:noProof/>
        </w:rPr>
        <w:t>1</w:t>
      </w:r>
      <w:r>
        <w:fldChar w:fldCharType="end"/>
      </w:r>
      <w:r>
        <w:t xml:space="preserve"> to </w:t>
      </w:r>
      <w:r>
        <w:fldChar w:fldCharType="begin"/>
      </w:r>
      <w:r>
        <w:instrText xml:space="preserve"> REF _Ref76142155 \h </w:instrText>
      </w:r>
      <w:r>
        <w:fldChar w:fldCharType="separate"/>
      </w:r>
      <w:r w:rsidR="00C50B67">
        <w:t xml:space="preserve">Figure </w:t>
      </w:r>
      <w:r w:rsidR="00C50B67">
        <w:rPr>
          <w:noProof/>
        </w:rPr>
        <w:t>2</w:t>
      </w:r>
      <w:r w:rsidR="00C50B67">
        <w:t>.</w:t>
      </w:r>
      <w:r w:rsidR="00C50B67">
        <w:rPr>
          <w:noProof/>
        </w:rPr>
        <w:t>4</w:t>
      </w:r>
      <w:r>
        <w:fldChar w:fldCharType="end"/>
      </w:r>
      <w:r>
        <w:t>.</w:t>
      </w:r>
    </w:p>
    <w:p w14:paraId="0631BFC2" w14:textId="77777777" w:rsidR="001B113E" w:rsidRDefault="001B113E" w:rsidP="001B113E">
      <w:pPr>
        <w:sectPr w:rsidR="001B113E" w:rsidSect="0053103B">
          <w:headerReference w:type="default" r:id="rId23"/>
          <w:pgSz w:w="16838" w:h="11906" w:orient="landscape" w:code="9"/>
          <w:pgMar w:top="737" w:right="1304" w:bottom="1134" w:left="737" w:header="567" w:footer="284" w:gutter="0"/>
          <w:pgNumType w:start="1"/>
          <w:cols w:num="2" w:space="708"/>
          <w:docGrid w:linePitch="360"/>
        </w:sectPr>
      </w:pPr>
    </w:p>
    <w:p w14:paraId="3D962F79" w14:textId="70B8CA35" w:rsidR="001B113E" w:rsidRDefault="001B113E" w:rsidP="001B113E">
      <w:pPr>
        <w:pStyle w:val="Caption"/>
      </w:pPr>
      <w:bookmarkStart w:id="28" w:name="_Ref76141740"/>
      <w:r>
        <w:lastRenderedPageBreak/>
        <w:t xml:space="preserve">Figure </w:t>
      </w:r>
      <w:fldSimple w:instr=" STYLEREF 1 \s ">
        <w:r w:rsidR="00C50B67">
          <w:rPr>
            <w:noProof/>
          </w:rPr>
          <w:t>2</w:t>
        </w:r>
      </w:fldSimple>
      <w:r>
        <w:t>.</w:t>
      </w:r>
      <w:fldSimple w:instr=" SEQ Figure \* ARABIC \s 1 ">
        <w:r w:rsidR="00C50B67">
          <w:rPr>
            <w:noProof/>
          </w:rPr>
          <w:t>1</w:t>
        </w:r>
      </w:fldSimple>
      <w:bookmarkEnd w:id="28"/>
      <w:r>
        <w:t xml:space="preserve">: </w:t>
      </w:r>
      <w:r w:rsidRPr="00EB40E4">
        <w:rPr>
          <w:rStyle w:val="Caption-notboldChar"/>
        </w:rPr>
        <w:t>Location of NSW Initiative sites receiving MBS revenue, 2019</w:t>
      </w:r>
      <w:r>
        <w:rPr>
          <w:rStyle w:val="Caption-notboldChar"/>
          <w:rFonts w:ascii="Calibri" w:hAnsi="Calibri" w:cs="Calibri"/>
        </w:rPr>
        <w:t>‒</w:t>
      </w:r>
      <w:r w:rsidRPr="00EB40E4">
        <w:rPr>
          <w:rStyle w:val="Caption-notboldChar"/>
        </w:rPr>
        <w:t>20</w:t>
      </w:r>
    </w:p>
    <w:p w14:paraId="45A7FF10" w14:textId="77777777" w:rsidR="001B113E" w:rsidRDefault="001B113E" w:rsidP="001B113E">
      <w:pPr>
        <w:jc w:val="center"/>
      </w:pPr>
      <w:r>
        <w:rPr>
          <w:noProof/>
        </w:rPr>
        <w:drawing>
          <wp:inline distT="0" distB="0" distL="0" distR="0" wp14:anchorId="3E268D05" wp14:editId="67FCBF52">
            <wp:extent cx="8850174" cy="5263116"/>
            <wp:effectExtent l="0" t="0" r="825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0571" cy="5263352"/>
                    </a:xfrm>
                    <a:prstGeom prst="rect">
                      <a:avLst/>
                    </a:prstGeom>
                    <a:noFill/>
                  </pic:spPr>
                </pic:pic>
              </a:graphicData>
            </a:graphic>
          </wp:inline>
        </w:drawing>
      </w:r>
    </w:p>
    <w:p w14:paraId="58F0D4F0" w14:textId="428F0BA9" w:rsidR="001B113E" w:rsidRDefault="001B113E" w:rsidP="001B113E">
      <w:pPr>
        <w:pStyle w:val="Caption"/>
        <w:rPr>
          <w:rStyle w:val="Caption-notboldChar"/>
        </w:rPr>
      </w:pPr>
      <w:bookmarkStart w:id="29" w:name="_Hlk75894551"/>
      <w:r>
        <w:lastRenderedPageBreak/>
        <w:t xml:space="preserve">Figure </w:t>
      </w:r>
      <w:fldSimple w:instr=" STYLEREF 1 \s ">
        <w:r w:rsidR="00C50B67">
          <w:rPr>
            <w:noProof/>
          </w:rPr>
          <w:t>2</w:t>
        </w:r>
      </w:fldSimple>
      <w:r>
        <w:t>.</w:t>
      </w:r>
      <w:fldSimple w:instr=" SEQ Figure \* ARABIC \s 1 ">
        <w:r w:rsidR="00C50B67">
          <w:rPr>
            <w:noProof/>
          </w:rPr>
          <w:t>2</w:t>
        </w:r>
      </w:fldSimple>
      <w:r>
        <w:t xml:space="preserve">: </w:t>
      </w:r>
      <w:r w:rsidRPr="00EB40E4">
        <w:rPr>
          <w:rStyle w:val="Caption-notboldChar"/>
        </w:rPr>
        <w:t>Location of Queensland Initiative sites receiving MBS revenue, 2019</w:t>
      </w:r>
      <w:r w:rsidRPr="00EB40E4">
        <w:rPr>
          <w:rStyle w:val="Caption-notboldChar"/>
          <w:rFonts w:ascii="Arial" w:hAnsi="Arial" w:cs="Arial"/>
        </w:rPr>
        <w:t>‒</w:t>
      </w:r>
      <w:r w:rsidRPr="00EB40E4">
        <w:rPr>
          <w:rStyle w:val="Caption-notboldChar"/>
        </w:rPr>
        <w:t>20</w:t>
      </w:r>
    </w:p>
    <w:bookmarkEnd w:id="29"/>
    <w:p w14:paraId="2A25EA02" w14:textId="77777777" w:rsidR="001B113E" w:rsidRDefault="001B113E" w:rsidP="001B113E">
      <w:pPr>
        <w:jc w:val="center"/>
      </w:pPr>
      <w:r>
        <w:rPr>
          <w:noProof/>
        </w:rPr>
        <w:drawing>
          <wp:inline distT="0" distB="0" distL="0" distR="0" wp14:anchorId="6644AA11" wp14:editId="733D42FC">
            <wp:extent cx="7530883" cy="54119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1877" cy="5427059"/>
                    </a:xfrm>
                    <a:prstGeom prst="rect">
                      <a:avLst/>
                    </a:prstGeom>
                    <a:noFill/>
                  </pic:spPr>
                </pic:pic>
              </a:graphicData>
            </a:graphic>
          </wp:inline>
        </w:drawing>
      </w:r>
    </w:p>
    <w:p w14:paraId="0B8F1B02" w14:textId="3B19FAEF" w:rsidR="001B113E" w:rsidRDefault="001B113E" w:rsidP="001B113E">
      <w:pPr>
        <w:pStyle w:val="Caption"/>
      </w:pPr>
      <w:r>
        <w:lastRenderedPageBreak/>
        <w:t xml:space="preserve">Figure </w:t>
      </w:r>
      <w:fldSimple w:instr=" STYLEREF 1 \s ">
        <w:r w:rsidR="00C50B67">
          <w:rPr>
            <w:noProof/>
          </w:rPr>
          <w:t>2</w:t>
        </w:r>
      </w:fldSimple>
      <w:r>
        <w:t>.</w:t>
      </w:r>
      <w:fldSimple w:instr=" SEQ Figure \* ARABIC \s 1 ">
        <w:r w:rsidR="00C50B67">
          <w:rPr>
            <w:noProof/>
          </w:rPr>
          <w:t>3</w:t>
        </w:r>
      </w:fldSimple>
      <w:r>
        <w:t xml:space="preserve">: </w:t>
      </w:r>
      <w:r w:rsidRPr="00EB40E4">
        <w:rPr>
          <w:rStyle w:val="Caption-notboldChar"/>
        </w:rPr>
        <w:t>Location of Western Australia Initiative sites receiving MBS revenue, 2019</w:t>
      </w:r>
      <w:r w:rsidRPr="00EB40E4">
        <w:rPr>
          <w:rStyle w:val="Caption-notboldChar"/>
          <w:rFonts w:ascii="Arial" w:hAnsi="Arial" w:cs="Arial"/>
        </w:rPr>
        <w:t>‒</w:t>
      </w:r>
      <w:r w:rsidRPr="00EB40E4">
        <w:rPr>
          <w:rStyle w:val="Caption-notboldChar"/>
        </w:rPr>
        <w:t>20</w:t>
      </w:r>
    </w:p>
    <w:p w14:paraId="0C0BCBC2" w14:textId="77777777" w:rsidR="001B113E" w:rsidRDefault="001B113E" w:rsidP="001B113E">
      <w:pPr>
        <w:jc w:val="center"/>
      </w:pPr>
      <w:r>
        <w:rPr>
          <w:noProof/>
        </w:rPr>
        <w:drawing>
          <wp:inline distT="0" distB="0" distL="0" distR="0" wp14:anchorId="103FC492" wp14:editId="7964D4CD">
            <wp:extent cx="6840220" cy="51943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0220" cy="5194300"/>
                    </a:xfrm>
                    <a:prstGeom prst="rect">
                      <a:avLst/>
                    </a:prstGeom>
                    <a:noFill/>
                  </pic:spPr>
                </pic:pic>
              </a:graphicData>
            </a:graphic>
          </wp:inline>
        </w:drawing>
      </w:r>
    </w:p>
    <w:p w14:paraId="3B949583" w14:textId="77777777" w:rsidR="001B113E" w:rsidRDefault="001B113E" w:rsidP="001B113E"/>
    <w:p w14:paraId="4E3899BB" w14:textId="77777777" w:rsidR="001B113E" w:rsidRDefault="001B113E" w:rsidP="001B113E">
      <w:pPr>
        <w:sectPr w:rsidR="001B113E" w:rsidSect="009C2861">
          <w:pgSz w:w="16838" w:h="11906" w:orient="landscape" w:code="9"/>
          <w:pgMar w:top="737" w:right="1304" w:bottom="1134" w:left="737" w:header="567" w:footer="284" w:gutter="0"/>
          <w:cols w:space="708"/>
          <w:docGrid w:linePitch="360"/>
        </w:sectPr>
      </w:pPr>
    </w:p>
    <w:p w14:paraId="6C6E7E49" w14:textId="11DD3296" w:rsidR="001B113E" w:rsidRDefault="001B113E" w:rsidP="001B113E">
      <w:pPr>
        <w:pStyle w:val="Caption"/>
      </w:pPr>
      <w:bookmarkStart w:id="30" w:name="_Ref76142155"/>
      <w:r>
        <w:lastRenderedPageBreak/>
        <w:t xml:space="preserve">Figure </w:t>
      </w:r>
      <w:fldSimple w:instr=" STYLEREF 1 \s ">
        <w:r w:rsidR="00C50B67">
          <w:rPr>
            <w:noProof/>
          </w:rPr>
          <w:t>2</w:t>
        </w:r>
      </w:fldSimple>
      <w:r>
        <w:t>.</w:t>
      </w:r>
      <w:fldSimple w:instr=" SEQ Figure \* ARABIC \s 1 ">
        <w:r w:rsidR="00C50B67">
          <w:rPr>
            <w:noProof/>
          </w:rPr>
          <w:t>4</w:t>
        </w:r>
      </w:fldSimple>
      <w:bookmarkEnd w:id="30"/>
      <w:r>
        <w:t xml:space="preserve">: </w:t>
      </w:r>
      <w:r w:rsidRPr="00EB40E4">
        <w:rPr>
          <w:rStyle w:val="Caption-notboldChar"/>
        </w:rPr>
        <w:t>Location of Northern Territory Initiative sites receiving MBS revenue, 2019</w:t>
      </w:r>
      <w:r w:rsidRPr="00EB40E4">
        <w:rPr>
          <w:rStyle w:val="Caption-notboldChar"/>
          <w:rFonts w:ascii="Arial" w:hAnsi="Arial" w:cs="Arial"/>
        </w:rPr>
        <w:t>‒</w:t>
      </w:r>
      <w:r w:rsidRPr="00EB40E4">
        <w:rPr>
          <w:rStyle w:val="Caption-notboldChar"/>
        </w:rPr>
        <w:t>20</w:t>
      </w:r>
    </w:p>
    <w:p w14:paraId="65EFB12D" w14:textId="77777777" w:rsidR="001B113E" w:rsidRDefault="001B113E" w:rsidP="001B113E">
      <w:pPr>
        <w:jc w:val="center"/>
      </w:pPr>
      <w:r>
        <w:rPr>
          <w:noProof/>
        </w:rPr>
        <w:drawing>
          <wp:inline distT="0" distB="0" distL="0" distR="0" wp14:anchorId="2C44AC6B" wp14:editId="619746BB">
            <wp:extent cx="7219507" cy="5286826"/>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2395" cy="5296264"/>
                    </a:xfrm>
                    <a:prstGeom prst="rect">
                      <a:avLst/>
                    </a:prstGeom>
                    <a:noFill/>
                  </pic:spPr>
                </pic:pic>
              </a:graphicData>
            </a:graphic>
          </wp:inline>
        </w:drawing>
      </w:r>
    </w:p>
    <w:p w14:paraId="376CF286" w14:textId="77777777" w:rsidR="001B113E" w:rsidRDefault="001B113E" w:rsidP="001B113E">
      <w:pPr>
        <w:sectPr w:rsidR="001B113E" w:rsidSect="009C2861">
          <w:pgSz w:w="16838" w:h="11906" w:orient="landscape" w:code="9"/>
          <w:pgMar w:top="737" w:right="1304" w:bottom="1134" w:left="737" w:header="567" w:footer="284" w:gutter="0"/>
          <w:cols w:space="708"/>
          <w:docGrid w:linePitch="360"/>
        </w:sectPr>
      </w:pPr>
    </w:p>
    <w:p w14:paraId="69A0DD16" w14:textId="77777777" w:rsidR="001B113E" w:rsidRPr="00FC2B32" w:rsidRDefault="001B113E" w:rsidP="001B113E">
      <w:pPr>
        <w:pStyle w:val="Heading3"/>
      </w:pPr>
      <w:bookmarkStart w:id="31" w:name="_Toc85203269"/>
      <w:r>
        <w:lastRenderedPageBreak/>
        <w:t>MBS claims</w:t>
      </w:r>
      <w:bookmarkEnd w:id="31"/>
    </w:p>
    <w:p w14:paraId="5B4E9019" w14:textId="4E9487C3" w:rsidR="001B113E" w:rsidRDefault="001B113E" w:rsidP="001B113E">
      <w:r>
        <w:t>In 2019</w:t>
      </w:r>
      <w:r>
        <w:rPr>
          <w:rFonts w:ascii="Calibri" w:hAnsi="Calibri" w:cs="Calibri"/>
        </w:rPr>
        <w:t>‒</w:t>
      </w:r>
      <w:r>
        <w:t xml:space="preserve">20 the 92 active sites received MBS rebates totalling $13.6 m. They had a median rebate of $56,081 (see </w:t>
      </w:r>
      <w:bookmarkStart w:id="32" w:name="_Hlk72955134"/>
      <w:r>
        <w:fldChar w:fldCharType="begin"/>
      </w:r>
      <w:r>
        <w:instrText xml:space="preserve"> REF _Ref63145723 \h </w:instrText>
      </w:r>
      <w:r>
        <w:fldChar w:fldCharType="separate"/>
      </w:r>
      <w:r w:rsidR="00C50B67">
        <w:t xml:space="preserve">Table </w:t>
      </w:r>
      <w:r w:rsidR="00C50B67">
        <w:rPr>
          <w:noProof/>
        </w:rPr>
        <w:t>2</w:t>
      </w:r>
      <w:r w:rsidR="00C50B67">
        <w:t>.</w:t>
      </w:r>
      <w:r w:rsidR="00C50B67">
        <w:rPr>
          <w:noProof/>
        </w:rPr>
        <w:t>2</w:t>
      </w:r>
      <w:r>
        <w:fldChar w:fldCharType="end"/>
      </w:r>
      <w:r>
        <w:t>).</w:t>
      </w:r>
      <w:bookmarkEnd w:id="32"/>
      <w:r>
        <w:t xml:space="preserve"> </w:t>
      </w:r>
    </w:p>
    <w:p w14:paraId="6FFAF9A1" w14:textId="7F1B733E" w:rsidR="001B113E" w:rsidRPr="004D0474" w:rsidRDefault="001B113E" w:rsidP="001B113E">
      <w:pPr>
        <w:pStyle w:val="Caption"/>
        <w:rPr>
          <w:b/>
          <w:bCs/>
        </w:rPr>
      </w:pPr>
      <w:bookmarkStart w:id="33" w:name="_Ref63145723"/>
      <w:r>
        <w:t xml:space="preserve">Table </w:t>
      </w:r>
      <w:fldSimple w:instr=" STYLEREF 1 \s ">
        <w:r w:rsidR="00C50B67">
          <w:rPr>
            <w:noProof/>
          </w:rPr>
          <w:t>2</w:t>
        </w:r>
      </w:fldSimple>
      <w:r>
        <w:t>.</w:t>
      </w:r>
      <w:fldSimple w:instr=" SEQ Table \* ARABIC \s 1 ">
        <w:r w:rsidR="00C50B67">
          <w:rPr>
            <w:noProof/>
          </w:rPr>
          <w:t>2</w:t>
        </w:r>
      </w:fldSimple>
      <w:bookmarkEnd w:id="33"/>
      <w:r>
        <w:t xml:space="preserve">: </w:t>
      </w:r>
      <w:r w:rsidRPr="00263F92">
        <w:rPr>
          <w:rStyle w:val="Caption-notboldChar"/>
        </w:rPr>
        <w:t>Median size of MBS rebate by jurisdiction, 2019</w:t>
      </w:r>
      <w:bookmarkStart w:id="34" w:name="_Hlk75715755"/>
      <w:r>
        <w:rPr>
          <w:rStyle w:val="Caption-notboldChar"/>
          <w:rFonts w:ascii="Calibri" w:hAnsi="Calibri" w:cs="Calibri"/>
        </w:rPr>
        <w:t>‒</w:t>
      </w:r>
      <w:bookmarkEnd w:id="34"/>
      <w:r w:rsidRPr="00263F92">
        <w:rPr>
          <w:rStyle w:val="Caption-notboldChar"/>
        </w:rPr>
        <w:t>20</w:t>
      </w:r>
      <w:r w:rsidRPr="004D2F53">
        <w:rPr>
          <w:b/>
          <w:bCs/>
        </w:rPr>
        <w:t xml:space="preserve"> </w:t>
      </w:r>
    </w:p>
    <w:tbl>
      <w:tblPr>
        <w:tblStyle w:val="HMATableB"/>
        <w:tblW w:w="7230" w:type="dxa"/>
        <w:tblLayout w:type="fixed"/>
        <w:tblLook w:val="04A0" w:firstRow="1" w:lastRow="0" w:firstColumn="1" w:lastColumn="0" w:noHBand="0" w:noVBand="1"/>
      </w:tblPr>
      <w:tblGrid>
        <w:gridCol w:w="1351"/>
        <w:gridCol w:w="1059"/>
        <w:gridCol w:w="1134"/>
        <w:gridCol w:w="1276"/>
        <w:gridCol w:w="1120"/>
        <w:gridCol w:w="1290"/>
      </w:tblGrid>
      <w:tr w:rsidR="001B113E" w14:paraId="52BA6B6A" w14:textId="77777777" w:rsidTr="0014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dxa"/>
          </w:tcPr>
          <w:p w14:paraId="0A477A92" w14:textId="77777777" w:rsidR="001B113E" w:rsidRDefault="001B113E" w:rsidP="001448D4"/>
        </w:tc>
        <w:tc>
          <w:tcPr>
            <w:tcW w:w="1059" w:type="dxa"/>
          </w:tcPr>
          <w:p w14:paraId="7335E7DC" w14:textId="77777777" w:rsidR="001B113E" w:rsidRPr="00841FA9" w:rsidRDefault="001B113E" w:rsidP="001448D4">
            <w:pPr>
              <w:jc w:val="center"/>
              <w:cnfStyle w:val="100000000000" w:firstRow="1" w:lastRow="0" w:firstColumn="0" w:lastColumn="0" w:oddVBand="0" w:evenVBand="0" w:oddHBand="0" w:evenHBand="0" w:firstRowFirstColumn="0" w:firstRowLastColumn="0" w:lastRowFirstColumn="0" w:lastRowLastColumn="0"/>
              <w:rPr>
                <w:b/>
                <w:bCs/>
              </w:rPr>
            </w:pPr>
            <w:r w:rsidRPr="00841FA9">
              <w:rPr>
                <w:b/>
                <w:bCs/>
              </w:rPr>
              <w:t>NSW</w:t>
            </w:r>
          </w:p>
        </w:tc>
        <w:tc>
          <w:tcPr>
            <w:tcW w:w="1134" w:type="dxa"/>
          </w:tcPr>
          <w:p w14:paraId="760CE54B" w14:textId="77777777" w:rsidR="001B113E" w:rsidRPr="00841FA9" w:rsidRDefault="001B113E" w:rsidP="001448D4">
            <w:pPr>
              <w:jc w:val="center"/>
              <w:cnfStyle w:val="100000000000" w:firstRow="1" w:lastRow="0" w:firstColumn="0" w:lastColumn="0" w:oddVBand="0" w:evenVBand="0" w:oddHBand="0" w:evenHBand="0" w:firstRowFirstColumn="0" w:firstRowLastColumn="0" w:lastRowFirstColumn="0" w:lastRowLastColumn="0"/>
              <w:rPr>
                <w:b/>
                <w:bCs/>
              </w:rPr>
            </w:pPr>
            <w:r w:rsidRPr="00841FA9">
              <w:rPr>
                <w:b/>
                <w:bCs/>
              </w:rPr>
              <w:t>Qld</w:t>
            </w:r>
          </w:p>
        </w:tc>
        <w:tc>
          <w:tcPr>
            <w:tcW w:w="1276" w:type="dxa"/>
          </w:tcPr>
          <w:p w14:paraId="67C5708B" w14:textId="77777777" w:rsidR="001B113E" w:rsidRPr="00841FA9" w:rsidRDefault="001B113E" w:rsidP="001448D4">
            <w:pPr>
              <w:jc w:val="center"/>
              <w:cnfStyle w:val="100000000000" w:firstRow="1" w:lastRow="0" w:firstColumn="0" w:lastColumn="0" w:oddVBand="0" w:evenVBand="0" w:oddHBand="0" w:evenHBand="0" w:firstRowFirstColumn="0" w:firstRowLastColumn="0" w:lastRowFirstColumn="0" w:lastRowLastColumn="0"/>
              <w:rPr>
                <w:b/>
                <w:bCs/>
              </w:rPr>
            </w:pPr>
            <w:r w:rsidRPr="00841FA9">
              <w:rPr>
                <w:b/>
                <w:bCs/>
              </w:rPr>
              <w:t>WA</w:t>
            </w:r>
          </w:p>
        </w:tc>
        <w:tc>
          <w:tcPr>
            <w:tcW w:w="1120" w:type="dxa"/>
          </w:tcPr>
          <w:p w14:paraId="1C7B7FE8" w14:textId="77777777" w:rsidR="001B113E" w:rsidRPr="00841FA9" w:rsidRDefault="001B113E" w:rsidP="001448D4">
            <w:pPr>
              <w:jc w:val="center"/>
              <w:cnfStyle w:val="100000000000" w:firstRow="1" w:lastRow="0" w:firstColumn="0" w:lastColumn="0" w:oddVBand="0" w:evenVBand="0" w:oddHBand="0" w:evenHBand="0" w:firstRowFirstColumn="0" w:firstRowLastColumn="0" w:lastRowFirstColumn="0" w:lastRowLastColumn="0"/>
              <w:rPr>
                <w:b/>
                <w:bCs/>
              </w:rPr>
            </w:pPr>
            <w:r w:rsidRPr="00841FA9">
              <w:rPr>
                <w:b/>
                <w:bCs/>
              </w:rPr>
              <w:t>NT</w:t>
            </w:r>
          </w:p>
        </w:tc>
        <w:tc>
          <w:tcPr>
            <w:tcW w:w="1290" w:type="dxa"/>
          </w:tcPr>
          <w:p w14:paraId="48E6A0FA" w14:textId="77777777" w:rsidR="001B113E" w:rsidRPr="00841FA9" w:rsidRDefault="001B113E" w:rsidP="001448D4">
            <w:pPr>
              <w:cnfStyle w:val="100000000000" w:firstRow="1" w:lastRow="0" w:firstColumn="0" w:lastColumn="0" w:oddVBand="0" w:evenVBand="0" w:oddHBand="0" w:evenHBand="0" w:firstRowFirstColumn="0" w:firstRowLastColumn="0" w:lastRowFirstColumn="0" w:lastRowLastColumn="0"/>
              <w:rPr>
                <w:b/>
                <w:bCs/>
              </w:rPr>
            </w:pPr>
            <w:r w:rsidRPr="00841FA9">
              <w:rPr>
                <w:b/>
                <w:bCs/>
              </w:rPr>
              <w:t>total</w:t>
            </w:r>
          </w:p>
        </w:tc>
      </w:tr>
      <w:tr w:rsidR="001B113E" w14:paraId="797CB38A" w14:textId="77777777" w:rsidTr="001448D4">
        <w:tc>
          <w:tcPr>
            <w:cnfStyle w:val="001000000000" w:firstRow="0" w:lastRow="0" w:firstColumn="1" w:lastColumn="0" w:oddVBand="0" w:evenVBand="0" w:oddHBand="0" w:evenHBand="0" w:firstRowFirstColumn="0" w:firstRowLastColumn="0" w:lastRowFirstColumn="0" w:lastRowLastColumn="0"/>
            <w:tcW w:w="1351" w:type="dxa"/>
          </w:tcPr>
          <w:p w14:paraId="54B79E1E" w14:textId="77777777" w:rsidR="001B113E" w:rsidRPr="00222CD8" w:rsidRDefault="001B113E" w:rsidP="001448D4">
            <w:r w:rsidRPr="00222CD8">
              <w:t>Median MBS rebate paid</w:t>
            </w:r>
          </w:p>
        </w:tc>
        <w:tc>
          <w:tcPr>
            <w:tcW w:w="1059" w:type="dxa"/>
          </w:tcPr>
          <w:p w14:paraId="2339D239"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w:t>
            </w:r>
            <w:r>
              <w:t>34,134</w:t>
            </w:r>
          </w:p>
        </w:tc>
        <w:tc>
          <w:tcPr>
            <w:tcW w:w="1134" w:type="dxa"/>
          </w:tcPr>
          <w:p w14:paraId="7C4288B4"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w:t>
            </w:r>
            <w:r>
              <w:t>55,366</w:t>
            </w:r>
          </w:p>
        </w:tc>
        <w:tc>
          <w:tcPr>
            <w:tcW w:w="1276" w:type="dxa"/>
          </w:tcPr>
          <w:p w14:paraId="1F8363D8"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w:t>
            </w:r>
            <w:r>
              <w:t>217,050</w:t>
            </w:r>
          </w:p>
        </w:tc>
        <w:tc>
          <w:tcPr>
            <w:tcW w:w="1120" w:type="dxa"/>
          </w:tcPr>
          <w:p w14:paraId="0E9A1217"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w:t>
            </w:r>
            <w:r>
              <w:t>213,314</w:t>
            </w:r>
          </w:p>
        </w:tc>
        <w:tc>
          <w:tcPr>
            <w:tcW w:w="1290" w:type="dxa"/>
          </w:tcPr>
          <w:p w14:paraId="47B4ADCF"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w:t>
            </w:r>
            <w:r>
              <w:t>56,081</w:t>
            </w:r>
          </w:p>
        </w:tc>
      </w:tr>
      <w:tr w:rsidR="001B113E" w14:paraId="6CAEFB0E" w14:textId="77777777" w:rsidTr="001448D4">
        <w:tc>
          <w:tcPr>
            <w:cnfStyle w:val="001000000000" w:firstRow="0" w:lastRow="0" w:firstColumn="1" w:lastColumn="0" w:oddVBand="0" w:evenVBand="0" w:oddHBand="0" w:evenHBand="0" w:firstRowFirstColumn="0" w:firstRowLastColumn="0" w:lastRowFirstColumn="0" w:lastRowLastColumn="0"/>
            <w:tcW w:w="1351" w:type="dxa"/>
          </w:tcPr>
          <w:p w14:paraId="4000B111" w14:textId="77777777" w:rsidR="001B113E" w:rsidRPr="00222CD8" w:rsidRDefault="001B113E" w:rsidP="001448D4">
            <w:r>
              <w:t>No. of billing services</w:t>
            </w:r>
          </w:p>
        </w:tc>
        <w:tc>
          <w:tcPr>
            <w:tcW w:w="1059" w:type="dxa"/>
          </w:tcPr>
          <w:p w14:paraId="75959D6F"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36</w:t>
            </w:r>
          </w:p>
        </w:tc>
        <w:tc>
          <w:tcPr>
            <w:tcW w:w="1134" w:type="dxa"/>
          </w:tcPr>
          <w:p w14:paraId="07C59760"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39</w:t>
            </w:r>
          </w:p>
        </w:tc>
        <w:tc>
          <w:tcPr>
            <w:tcW w:w="1276" w:type="dxa"/>
          </w:tcPr>
          <w:p w14:paraId="424CEEA7"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11</w:t>
            </w:r>
          </w:p>
        </w:tc>
        <w:tc>
          <w:tcPr>
            <w:tcW w:w="1120" w:type="dxa"/>
          </w:tcPr>
          <w:p w14:paraId="1C6C6006"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6</w:t>
            </w:r>
          </w:p>
        </w:tc>
        <w:tc>
          <w:tcPr>
            <w:tcW w:w="1290" w:type="dxa"/>
          </w:tcPr>
          <w:p w14:paraId="04AC9A7A"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92</w:t>
            </w:r>
          </w:p>
        </w:tc>
      </w:tr>
      <w:tr w:rsidR="001B113E" w14:paraId="74CA5FAD" w14:textId="77777777" w:rsidTr="001448D4">
        <w:tc>
          <w:tcPr>
            <w:cnfStyle w:val="001000000000" w:firstRow="0" w:lastRow="0" w:firstColumn="1" w:lastColumn="0" w:oddVBand="0" w:evenVBand="0" w:oddHBand="0" w:evenHBand="0" w:firstRowFirstColumn="0" w:firstRowLastColumn="0" w:lastRowFirstColumn="0" w:lastRowLastColumn="0"/>
            <w:tcW w:w="1351" w:type="dxa"/>
          </w:tcPr>
          <w:p w14:paraId="0FE245E5" w14:textId="77777777" w:rsidR="001B113E" w:rsidRPr="00222CD8" w:rsidRDefault="001B113E" w:rsidP="001448D4">
            <w:r w:rsidRPr="00222CD8">
              <w:t>Min</w:t>
            </w:r>
            <w:r>
              <w:t>.</w:t>
            </w:r>
            <w:r w:rsidRPr="00222CD8">
              <w:t xml:space="preserve"> payment </w:t>
            </w:r>
          </w:p>
        </w:tc>
        <w:tc>
          <w:tcPr>
            <w:tcW w:w="1059" w:type="dxa"/>
            <w:shd w:val="clear" w:color="auto" w:fill="auto"/>
          </w:tcPr>
          <w:p w14:paraId="76A014C4" w14:textId="77777777" w:rsidR="001B113E" w:rsidRPr="009D740F"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9D740F">
              <w:t>$76</w:t>
            </w:r>
          </w:p>
        </w:tc>
        <w:tc>
          <w:tcPr>
            <w:tcW w:w="1134" w:type="dxa"/>
          </w:tcPr>
          <w:p w14:paraId="76499458"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$8,024</w:t>
            </w:r>
          </w:p>
        </w:tc>
        <w:tc>
          <w:tcPr>
            <w:tcW w:w="1276" w:type="dxa"/>
          </w:tcPr>
          <w:p w14:paraId="7FCCD898"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$17,606</w:t>
            </w:r>
          </w:p>
        </w:tc>
        <w:tc>
          <w:tcPr>
            <w:tcW w:w="1120" w:type="dxa"/>
          </w:tcPr>
          <w:p w14:paraId="709E3D52"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$104,665</w:t>
            </w:r>
          </w:p>
        </w:tc>
        <w:tc>
          <w:tcPr>
            <w:tcW w:w="1290" w:type="dxa"/>
          </w:tcPr>
          <w:p w14:paraId="01A3679B"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$76</w:t>
            </w:r>
          </w:p>
        </w:tc>
      </w:tr>
      <w:tr w:rsidR="001B113E" w14:paraId="6ADF2B3F" w14:textId="77777777" w:rsidTr="001448D4">
        <w:tc>
          <w:tcPr>
            <w:cnfStyle w:val="001000000000" w:firstRow="0" w:lastRow="0" w:firstColumn="1" w:lastColumn="0" w:oddVBand="0" w:evenVBand="0" w:oddHBand="0" w:evenHBand="0" w:firstRowFirstColumn="0" w:firstRowLastColumn="0" w:lastRowFirstColumn="0" w:lastRowLastColumn="0"/>
            <w:tcW w:w="1351" w:type="dxa"/>
          </w:tcPr>
          <w:p w14:paraId="12C55CCC" w14:textId="77777777" w:rsidR="001B113E" w:rsidRPr="00222CD8" w:rsidRDefault="001B113E" w:rsidP="001448D4">
            <w:r w:rsidRPr="00222CD8">
              <w:t>Max</w:t>
            </w:r>
            <w:r>
              <w:t xml:space="preserve">. </w:t>
            </w:r>
            <w:r w:rsidRPr="00222CD8">
              <w:t xml:space="preserve">payment </w:t>
            </w:r>
          </w:p>
        </w:tc>
        <w:tc>
          <w:tcPr>
            <w:tcW w:w="1059" w:type="dxa"/>
            <w:shd w:val="clear" w:color="auto" w:fill="auto"/>
          </w:tcPr>
          <w:p w14:paraId="3885C12C" w14:textId="77777777" w:rsidR="001B113E" w:rsidRPr="009D740F"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9D740F">
              <w:t>$303,368</w:t>
            </w:r>
          </w:p>
        </w:tc>
        <w:tc>
          <w:tcPr>
            <w:tcW w:w="1134" w:type="dxa"/>
          </w:tcPr>
          <w:p w14:paraId="7E507E43"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$968, 524</w:t>
            </w:r>
          </w:p>
        </w:tc>
        <w:tc>
          <w:tcPr>
            <w:tcW w:w="1276" w:type="dxa"/>
          </w:tcPr>
          <w:p w14:paraId="7108C2E7"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$1,042,564</w:t>
            </w:r>
          </w:p>
        </w:tc>
        <w:tc>
          <w:tcPr>
            <w:tcW w:w="1120" w:type="dxa"/>
          </w:tcPr>
          <w:p w14:paraId="782A0DC7"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$893,877</w:t>
            </w:r>
          </w:p>
        </w:tc>
        <w:tc>
          <w:tcPr>
            <w:tcW w:w="1290" w:type="dxa"/>
          </w:tcPr>
          <w:p w14:paraId="005F80DC" w14:textId="77777777" w:rsidR="001B113E" w:rsidRPr="00222CD8" w:rsidRDefault="001B113E" w:rsidP="001448D4">
            <w:pPr>
              <w:jc w:val="right"/>
              <w:cnfStyle w:val="000000000000" w:firstRow="0" w:lastRow="0" w:firstColumn="0" w:lastColumn="0" w:oddVBand="0" w:evenVBand="0" w:oddHBand="0" w:evenHBand="0" w:firstRowFirstColumn="0" w:firstRowLastColumn="0" w:lastRowFirstColumn="0" w:lastRowLastColumn="0"/>
            </w:pPr>
            <w:r w:rsidRPr="00222CD8">
              <w:t>$1,042,564</w:t>
            </w:r>
          </w:p>
        </w:tc>
      </w:tr>
    </w:tbl>
    <w:p w14:paraId="0E8AF9FD" w14:textId="77777777" w:rsidR="001B113E" w:rsidRPr="00483091" w:rsidRDefault="001B113E" w:rsidP="001B113E">
      <w:pPr>
        <w:spacing w:after="240"/>
        <w:rPr>
          <w:sz w:val="16"/>
          <w:szCs w:val="16"/>
        </w:rPr>
      </w:pPr>
      <w:r>
        <w:rPr>
          <w:sz w:val="16"/>
          <w:szCs w:val="16"/>
        </w:rPr>
        <w:t>Source:</w:t>
      </w:r>
      <w:r w:rsidRPr="00483091">
        <w:rPr>
          <w:sz w:val="16"/>
          <w:szCs w:val="16"/>
        </w:rPr>
        <w:t xml:space="preserve"> MBS Data Extract, 2019</w:t>
      </w:r>
      <w:r>
        <w:rPr>
          <w:rFonts w:ascii="Calibri" w:hAnsi="Calibri" w:cs="Calibri"/>
          <w:sz w:val="16"/>
          <w:szCs w:val="16"/>
        </w:rPr>
        <w:t>‒</w:t>
      </w:r>
      <w:r w:rsidRPr="00483091">
        <w:rPr>
          <w:sz w:val="16"/>
          <w:szCs w:val="16"/>
        </w:rPr>
        <w:t>20, prepared for HMA Evaluation</w:t>
      </w:r>
    </w:p>
    <w:p w14:paraId="04A52892" w14:textId="51EEB87D" w:rsidR="001B113E" w:rsidRDefault="001B113E" w:rsidP="001B113E">
      <w:pPr>
        <w:spacing w:before="240"/>
      </w:pPr>
      <w:r>
        <w:fldChar w:fldCharType="begin"/>
      </w:r>
      <w:r>
        <w:instrText xml:space="preserve"> REF _Ref63145723 \h </w:instrText>
      </w:r>
      <w:r>
        <w:fldChar w:fldCharType="separate"/>
      </w:r>
      <w:r w:rsidR="00C50B67">
        <w:t xml:space="preserve">Table </w:t>
      </w:r>
      <w:r w:rsidR="00C50B67">
        <w:rPr>
          <w:noProof/>
        </w:rPr>
        <w:t>2</w:t>
      </w:r>
      <w:r w:rsidR="00C50B67">
        <w:t>.</w:t>
      </w:r>
      <w:r w:rsidR="00C50B67">
        <w:rPr>
          <w:noProof/>
        </w:rPr>
        <w:t>2</w:t>
      </w:r>
      <w:r>
        <w:fldChar w:fldCharType="end"/>
      </w:r>
      <w:r>
        <w:t xml:space="preserve"> shows there were significant variations in the median payments across jurisdictions, ranging from a low of $34,134 in New South Wales to a high of $217,050 in Western Australia.</w:t>
      </w:r>
    </w:p>
    <w:p w14:paraId="4F120B5B" w14:textId="77777777" w:rsidR="001B113E" w:rsidRDefault="001B113E" w:rsidP="001B113E">
      <w:pPr>
        <w:pStyle w:val="SectionTitle"/>
      </w:pPr>
      <w:bookmarkStart w:id="35" w:name="_Toc85203270"/>
      <w:r>
        <w:t>Broader context</w:t>
      </w:r>
      <w:bookmarkEnd w:id="35"/>
    </w:p>
    <w:p w14:paraId="024A833F" w14:textId="77777777" w:rsidR="001B113E" w:rsidRPr="00435EA1" w:rsidRDefault="001B113E" w:rsidP="001B113E">
      <w:pPr>
        <w:pStyle w:val="Heading2"/>
        <w:rPr>
          <w:lang w:eastAsia="zh-CN" w:bidi="th-TH"/>
        </w:rPr>
      </w:pPr>
      <w:bookmarkStart w:id="36" w:name="_Toc85203271"/>
      <w:r>
        <w:rPr>
          <w:lang w:eastAsia="zh-CN" w:bidi="th-TH"/>
        </w:rPr>
        <w:t>Impact of doctor remuneration arrangements on MBS billing</w:t>
      </w:r>
      <w:bookmarkEnd w:id="36"/>
    </w:p>
    <w:p w14:paraId="7F99AB8D" w14:textId="77777777" w:rsidR="001B113E" w:rsidRPr="00435EA1" w:rsidRDefault="001B113E" w:rsidP="001B113E">
      <w:pPr>
        <w:rPr>
          <w:lang w:eastAsia="zh-CN" w:bidi="th-TH"/>
        </w:rPr>
      </w:pPr>
      <w:r w:rsidRPr="00435EA1">
        <w:rPr>
          <w:lang w:eastAsia="zh-CN" w:bidi="th-TH"/>
        </w:rPr>
        <w:t xml:space="preserve">The nature and legal structure of the rural health service system in which the Initiative operates differ for each jurisdiction and within jurisdictions. </w:t>
      </w:r>
      <w:r>
        <w:rPr>
          <w:lang w:eastAsia="zh-CN" w:bidi="th-TH"/>
        </w:rPr>
        <w:t xml:space="preserve">Of particular importance are the remuneration arrangements for doctors. These arrangements </w:t>
      </w:r>
      <w:r>
        <w:rPr>
          <w:lang w:eastAsia="zh-CN" w:bidi="th-TH"/>
        </w:rPr>
        <w:t>significantly affect the operations of the Initiative, particularly how MBS revenue is raised and reinvested.</w:t>
      </w:r>
    </w:p>
    <w:p w14:paraId="45572BBF" w14:textId="77777777" w:rsidR="001B113E" w:rsidRPr="00435EA1" w:rsidRDefault="001B113E" w:rsidP="001B113E">
      <w:pPr>
        <w:rPr>
          <w:lang w:eastAsia="zh-CN" w:bidi="th-TH"/>
        </w:rPr>
      </w:pPr>
      <w:r w:rsidRPr="00BA5014">
        <w:rPr>
          <w:b/>
          <w:bCs/>
          <w:lang w:eastAsia="zh-CN" w:bidi="th-TH"/>
        </w:rPr>
        <w:t>Queensland:</w:t>
      </w:r>
      <w:r>
        <w:rPr>
          <w:lang w:eastAsia="zh-CN" w:bidi="th-TH"/>
        </w:rPr>
        <w:t xml:space="preserve"> i</w:t>
      </w:r>
      <w:r w:rsidRPr="00435EA1">
        <w:rPr>
          <w:lang w:eastAsia="zh-CN" w:bidi="th-TH"/>
        </w:rPr>
        <w:t xml:space="preserve">n rural and remote Queensland, </w:t>
      </w:r>
      <w:r>
        <w:rPr>
          <w:lang w:eastAsia="zh-CN" w:bidi="th-TH"/>
        </w:rPr>
        <w:t>Local Health Networks (</w:t>
      </w:r>
      <w:r w:rsidRPr="00435EA1">
        <w:rPr>
          <w:lang w:eastAsia="zh-CN" w:bidi="th-TH"/>
        </w:rPr>
        <w:t>LHNs</w:t>
      </w:r>
      <w:r>
        <w:rPr>
          <w:lang w:eastAsia="zh-CN" w:bidi="th-TH"/>
        </w:rPr>
        <w:t>) known as Hospital and Health Services (HHSs)</w:t>
      </w:r>
      <w:r w:rsidRPr="00435EA1">
        <w:rPr>
          <w:lang w:eastAsia="zh-CN" w:bidi="th-TH"/>
        </w:rPr>
        <w:t xml:space="preserve"> employ doctors to staff local hospitals to provide acute, inpatient, outpatient and emergency care. </w:t>
      </w:r>
      <w:r>
        <w:rPr>
          <w:lang w:eastAsia="zh-CN" w:bidi="th-TH"/>
        </w:rPr>
        <w:t>D</w:t>
      </w:r>
      <w:r w:rsidRPr="00435EA1">
        <w:rPr>
          <w:lang w:eastAsia="zh-CN" w:bidi="th-TH"/>
        </w:rPr>
        <w:t xml:space="preserve">octors </w:t>
      </w:r>
      <w:r>
        <w:rPr>
          <w:lang w:eastAsia="zh-CN" w:bidi="th-TH"/>
        </w:rPr>
        <w:t xml:space="preserve">in small rural hospitals are </w:t>
      </w:r>
      <w:r w:rsidRPr="00435EA1">
        <w:rPr>
          <w:lang w:eastAsia="zh-CN" w:bidi="th-TH"/>
        </w:rPr>
        <w:t>now predominantly employed as Senior Medical Officers</w:t>
      </w:r>
      <w:r>
        <w:rPr>
          <w:lang w:eastAsia="zh-CN" w:bidi="th-TH"/>
        </w:rPr>
        <w:t xml:space="preserve"> (SMO) (largely replacing the Medical Superintendent and Medical Officer Right to Private Practice arrangement). A right of private practice assignment model generally operates in non-metropolitan hospitals, whereby an allowance is paid to the SMO and all private practice revenue is paid to HHS.</w:t>
      </w:r>
      <w:sdt>
        <w:sdtPr>
          <w:rPr>
            <w:lang w:eastAsia="zh-CN" w:bidi="th-TH"/>
          </w:rPr>
          <w:id w:val="1228182213"/>
          <w:citation/>
        </w:sdtPr>
        <w:sdtEndPr/>
        <w:sdtContent>
          <w:r>
            <w:rPr>
              <w:lang w:eastAsia="zh-CN" w:bidi="th-TH"/>
            </w:rPr>
            <w:fldChar w:fldCharType="begin"/>
          </w:r>
          <w:r>
            <w:rPr>
              <w:lang w:eastAsia="zh-CN" w:bidi="th-TH"/>
            </w:rPr>
            <w:instrText xml:space="preserve"> CITATION Que21 \l 3081 </w:instrText>
          </w:r>
          <w:r>
            <w:rPr>
              <w:lang w:eastAsia="zh-CN" w:bidi="th-TH"/>
            </w:rPr>
            <w:fldChar w:fldCharType="separate"/>
          </w:r>
          <w:r>
            <w:rPr>
              <w:noProof/>
              <w:lang w:eastAsia="zh-CN" w:bidi="th-TH"/>
            </w:rPr>
            <w:t xml:space="preserve"> </w:t>
          </w:r>
          <w:r w:rsidRPr="003E36C4">
            <w:rPr>
              <w:noProof/>
              <w:lang w:eastAsia="zh-CN" w:bidi="th-TH"/>
            </w:rPr>
            <w:t>[4]</w:t>
          </w:r>
          <w:r>
            <w:rPr>
              <w:lang w:eastAsia="zh-CN" w:bidi="th-TH"/>
            </w:rPr>
            <w:fldChar w:fldCharType="end"/>
          </w:r>
        </w:sdtContent>
      </w:sdt>
      <w:r w:rsidRPr="00435EA1">
        <w:rPr>
          <w:lang w:eastAsia="zh-CN" w:bidi="th-TH"/>
        </w:rPr>
        <w:t xml:space="preserve"> </w:t>
      </w:r>
      <w:r>
        <w:rPr>
          <w:lang w:eastAsia="zh-CN" w:bidi="th-TH"/>
        </w:rPr>
        <w:t xml:space="preserve">Under the </w:t>
      </w:r>
      <w:r w:rsidRPr="006547FE">
        <w:rPr>
          <w:i/>
          <w:iCs/>
          <w:lang w:eastAsia="zh-CN" w:bidi="th-TH"/>
        </w:rPr>
        <w:t>Medical Officers’ (Queensland Health) Certified Agreement (No.</w:t>
      </w:r>
      <w:r>
        <w:rPr>
          <w:i/>
          <w:iCs/>
          <w:lang w:eastAsia="zh-CN" w:bidi="th-TH"/>
        </w:rPr>
        <w:t xml:space="preserve"> </w:t>
      </w:r>
      <w:r w:rsidRPr="006547FE">
        <w:rPr>
          <w:i/>
          <w:iCs/>
          <w:lang w:eastAsia="zh-CN" w:bidi="th-TH"/>
        </w:rPr>
        <w:t>5) 2018</w:t>
      </w:r>
      <w:r>
        <w:rPr>
          <w:lang w:eastAsia="zh-CN" w:bidi="th-TH"/>
        </w:rPr>
        <w:t xml:space="preserve"> </w:t>
      </w:r>
      <w:sdt>
        <w:sdtPr>
          <w:rPr>
            <w:lang w:eastAsia="zh-CN" w:bidi="th-TH"/>
          </w:rPr>
          <w:id w:val="-1923713165"/>
          <w:citation/>
        </w:sdtPr>
        <w:sdtEndPr/>
        <w:sdtContent>
          <w:r>
            <w:rPr>
              <w:lang w:eastAsia="zh-CN" w:bidi="th-TH"/>
            </w:rPr>
            <w:fldChar w:fldCharType="begin"/>
          </w:r>
          <w:r>
            <w:rPr>
              <w:lang w:eastAsia="zh-CN" w:bidi="th-TH"/>
            </w:rPr>
            <w:instrText xml:space="preserve"> CITATION Que211 \l 3081 </w:instrText>
          </w:r>
          <w:r>
            <w:rPr>
              <w:lang w:eastAsia="zh-CN" w:bidi="th-TH"/>
            </w:rPr>
            <w:fldChar w:fldCharType="separate"/>
          </w:r>
          <w:r w:rsidRPr="003E36C4">
            <w:rPr>
              <w:noProof/>
              <w:lang w:eastAsia="zh-CN" w:bidi="th-TH"/>
            </w:rPr>
            <w:t>[5]</w:t>
          </w:r>
          <w:r>
            <w:rPr>
              <w:lang w:eastAsia="zh-CN" w:bidi="th-TH"/>
            </w:rPr>
            <w:fldChar w:fldCharType="end"/>
          </w:r>
        </w:sdtContent>
      </w:sdt>
      <w:r>
        <w:rPr>
          <w:lang w:eastAsia="zh-CN" w:bidi="th-TH"/>
        </w:rPr>
        <w:t xml:space="preserve"> SMOs receive a loading applied to the base salary where they are billing MBS revenue, historically set at 25% of salary. </w:t>
      </w:r>
    </w:p>
    <w:p w14:paraId="3C3621F8" w14:textId="77777777" w:rsidR="001B113E" w:rsidRDefault="001B113E" w:rsidP="001B113E">
      <w:pPr>
        <w:rPr>
          <w:lang w:eastAsia="zh-CN" w:bidi="th-TH"/>
        </w:rPr>
      </w:pPr>
      <w:r w:rsidRPr="00BA5014">
        <w:rPr>
          <w:b/>
          <w:bCs/>
          <w:lang w:eastAsia="zh-CN" w:bidi="th-TH"/>
        </w:rPr>
        <w:t>New South Wales:</w:t>
      </w:r>
      <w:r w:rsidRPr="00435EA1">
        <w:rPr>
          <w:lang w:eastAsia="zh-CN" w:bidi="th-TH"/>
        </w:rPr>
        <w:t xml:space="preserve"> private GPs provide community based and hospital care remunerated under a Medicare fee-for-service model for office-based care</w:t>
      </w:r>
      <w:r>
        <w:rPr>
          <w:lang w:eastAsia="zh-CN" w:bidi="th-TH"/>
        </w:rPr>
        <w:t>. Remuneration is under the terms of</w:t>
      </w:r>
      <w:r w:rsidRPr="00435EA1">
        <w:rPr>
          <w:lang w:eastAsia="zh-CN" w:bidi="th-TH"/>
        </w:rPr>
        <w:t xml:space="preserve"> the </w:t>
      </w:r>
      <w:r w:rsidRPr="00830965">
        <w:rPr>
          <w:i/>
          <w:iCs/>
          <w:lang w:eastAsia="zh-CN" w:bidi="th-TH"/>
        </w:rPr>
        <w:t xml:space="preserve">New South Wales Rural Doctors </w:t>
      </w:r>
      <w:r>
        <w:rPr>
          <w:i/>
          <w:iCs/>
          <w:lang w:eastAsia="zh-CN" w:bidi="th-TH"/>
        </w:rPr>
        <w:t xml:space="preserve">Association (RDA) </w:t>
      </w:r>
      <w:r w:rsidRPr="00830965">
        <w:rPr>
          <w:i/>
          <w:iCs/>
          <w:lang w:eastAsia="zh-CN" w:bidi="th-TH"/>
        </w:rPr>
        <w:t>Settlement Package</w:t>
      </w:r>
      <w:r>
        <w:rPr>
          <w:lang w:eastAsia="zh-CN" w:bidi="th-TH"/>
        </w:rPr>
        <w:t xml:space="preserve">. </w:t>
      </w:r>
      <w:sdt>
        <w:sdtPr>
          <w:rPr>
            <w:lang w:eastAsia="zh-CN" w:bidi="th-TH"/>
          </w:rPr>
          <w:id w:val="1701508312"/>
          <w:citation/>
        </w:sdtPr>
        <w:sdtEndPr/>
        <w:sdtContent>
          <w:r>
            <w:rPr>
              <w:lang w:eastAsia="zh-CN" w:bidi="th-TH"/>
            </w:rPr>
            <w:fldChar w:fldCharType="begin"/>
          </w:r>
          <w:r>
            <w:rPr>
              <w:lang w:eastAsia="zh-CN" w:bidi="th-TH"/>
            </w:rPr>
            <w:instrText xml:space="preserve"> CITATION NSW21 \l 3081 </w:instrText>
          </w:r>
          <w:r>
            <w:rPr>
              <w:lang w:eastAsia="zh-CN" w:bidi="th-TH"/>
            </w:rPr>
            <w:fldChar w:fldCharType="separate"/>
          </w:r>
          <w:r w:rsidRPr="003E36C4">
            <w:rPr>
              <w:noProof/>
              <w:lang w:eastAsia="zh-CN" w:bidi="th-TH"/>
            </w:rPr>
            <w:t>[6]</w:t>
          </w:r>
          <w:r>
            <w:rPr>
              <w:lang w:eastAsia="zh-CN" w:bidi="th-TH"/>
            </w:rPr>
            <w:fldChar w:fldCharType="end"/>
          </w:r>
        </w:sdtContent>
      </w:sdt>
      <w:r>
        <w:rPr>
          <w:lang w:eastAsia="zh-CN" w:bidi="th-TH"/>
        </w:rPr>
        <w:t xml:space="preserve"> This establishes payment rates for medical services provided by GP Visiting Medical Officers (VMOs) at 125 small hospitals in rural NSW, specified in the Package. These payment rates are only available to RDA (NSW) members and are substantially higher than the Medicare rebates otherwise payable. The package ensures that GP VMOs providing on-call and after-hours services in areas with minimal specialist backup are renumerated appropriately for the services they provide.</w:t>
      </w:r>
      <w:r w:rsidRPr="00830965">
        <w:rPr>
          <w:i/>
          <w:iCs/>
          <w:lang w:eastAsia="zh-CN" w:bidi="th-TH"/>
        </w:rPr>
        <w:t xml:space="preserve"> </w:t>
      </w:r>
      <w:r>
        <w:rPr>
          <w:lang w:eastAsia="zh-CN" w:bidi="th-TH"/>
        </w:rPr>
        <w:t xml:space="preserve">The VMO </w:t>
      </w:r>
      <w:r w:rsidRPr="00435EA1">
        <w:rPr>
          <w:lang w:eastAsia="zh-CN" w:bidi="th-TH"/>
        </w:rPr>
        <w:t xml:space="preserve">services to the local hospital </w:t>
      </w:r>
      <w:r>
        <w:rPr>
          <w:lang w:eastAsia="zh-CN" w:bidi="th-TH"/>
        </w:rPr>
        <w:t xml:space="preserve">may include </w:t>
      </w:r>
      <w:r w:rsidRPr="00435EA1">
        <w:rPr>
          <w:lang w:eastAsia="zh-CN" w:bidi="th-TH"/>
        </w:rPr>
        <w:t>procedural</w:t>
      </w:r>
      <w:r>
        <w:rPr>
          <w:lang w:eastAsia="zh-CN" w:bidi="th-TH"/>
        </w:rPr>
        <w:t xml:space="preserve"> and</w:t>
      </w:r>
      <w:r w:rsidRPr="00435EA1">
        <w:rPr>
          <w:lang w:eastAsia="zh-CN" w:bidi="th-TH"/>
        </w:rPr>
        <w:t xml:space="preserve"> inpatient</w:t>
      </w:r>
      <w:r>
        <w:rPr>
          <w:lang w:eastAsia="zh-CN" w:bidi="th-TH"/>
        </w:rPr>
        <w:t xml:space="preserve"> services, </w:t>
      </w:r>
      <w:r w:rsidRPr="00435EA1">
        <w:rPr>
          <w:lang w:eastAsia="zh-CN" w:bidi="th-TH"/>
        </w:rPr>
        <w:t>emergency care triage categories 1</w:t>
      </w:r>
      <w:r>
        <w:rPr>
          <w:lang w:eastAsia="zh-CN" w:bidi="th-TH"/>
        </w:rPr>
        <w:t>–</w:t>
      </w:r>
      <w:r w:rsidRPr="00435EA1">
        <w:rPr>
          <w:lang w:eastAsia="zh-CN" w:bidi="th-TH"/>
        </w:rPr>
        <w:t xml:space="preserve">3, and on-call services (dependent on </w:t>
      </w:r>
      <w:r>
        <w:rPr>
          <w:lang w:eastAsia="zh-CN" w:bidi="th-TH"/>
        </w:rPr>
        <w:t xml:space="preserve">their </w:t>
      </w:r>
      <w:r w:rsidRPr="00435EA1">
        <w:rPr>
          <w:lang w:eastAsia="zh-CN" w:bidi="th-TH"/>
        </w:rPr>
        <w:t xml:space="preserve">credentialing and scope of practice). </w:t>
      </w:r>
    </w:p>
    <w:p w14:paraId="03C1E9EF" w14:textId="77777777" w:rsidR="001B113E" w:rsidRPr="00435EA1" w:rsidRDefault="001B113E" w:rsidP="001B113E">
      <w:pPr>
        <w:rPr>
          <w:lang w:eastAsia="zh-CN" w:bidi="th-TH"/>
        </w:rPr>
      </w:pPr>
      <w:r w:rsidRPr="00435EA1">
        <w:rPr>
          <w:lang w:eastAsia="zh-CN" w:bidi="th-TH"/>
        </w:rPr>
        <w:t xml:space="preserve">In small towns, some GPs and general practices provide community based medical care only, and do not provide VMO services to the local hospital. </w:t>
      </w:r>
    </w:p>
    <w:p w14:paraId="41382A33" w14:textId="77777777" w:rsidR="001B113E" w:rsidRPr="00435EA1" w:rsidRDefault="001B113E" w:rsidP="001B113E">
      <w:pPr>
        <w:rPr>
          <w:lang w:eastAsia="zh-CN" w:bidi="th-TH"/>
        </w:rPr>
      </w:pPr>
      <w:r w:rsidRPr="00BA5014">
        <w:rPr>
          <w:b/>
          <w:bCs/>
          <w:lang w:eastAsia="zh-CN" w:bidi="th-TH"/>
        </w:rPr>
        <w:t>Western Australia:</w:t>
      </w:r>
      <w:r w:rsidRPr="00F82406">
        <w:rPr>
          <w:lang w:eastAsia="zh-CN" w:bidi="th-TH"/>
        </w:rPr>
        <w:t xml:space="preserve"> </w:t>
      </w:r>
      <w:r>
        <w:rPr>
          <w:lang w:eastAsia="zh-CN" w:bidi="th-TH"/>
        </w:rPr>
        <w:t xml:space="preserve">remuneration arrangements are guided by the terms of the </w:t>
      </w:r>
      <w:r w:rsidRPr="00F82406">
        <w:rPr>
          <w:i/>
          <w:iCs/>
          <w:lang w:eastAsia="zh-CN" w:bidi="th-TH"/>
        </w:rPr>
        <w:t>WA Health System Medical Practitioners AMA Industrial Agreement 2016</w:t>
      </w:r>
      <w:r>
        <w:rPr>
          <w:lang w:eastAsia="zh-CN" w:bidi="th-TH"/>
        </w:rPr>
        <w:t xml:space="preserve">. </w:t>
      </w:r>
      <w:sdt>
        <w:sdtPr>
          <w:rPr>
            <w:lang w:eastAsia="zh-CN" w:bidi="th-TH"/>
          </w:rPr>
          <w:id w:val="1630824992"/>
          <w:citation/>
        </w:sdtPr>
        <w:sdtEndPr/>
        <w:sdtContent>
          <w:r>
            <w:rPr>
              <w:lang w:eastAsia="zh-CN" w:bidi="th-TH"/>
            </w:rPr>
            <w:fldChar w:fldCharType="begin"/>
          </w:r>
          <w:r>
            <w:rPr>
              <w:lang w:eastAsia="zh-CN" w:bidi="th-TH"/>
            </w:rPr>
            <w:instrText xml:space="preserve"> CITATION AMA16 \l 3081 </w:instrText>
          </w:r>
          <w:r>
            <w:rPr>
              <w:lang w:eastAsia="zh-CN" w:bidi="th-TH"/>
            </w:rPr>
            <w:fldChar w:fldCharType="separate"/>
          </w:r>
          <w:r w:rsidRPr="003E36C4">
            <w:rPr>
              <w:noProof/>
              <w:lang w:eastAsia="zh-CN" w:bidi="th-TH"/>
            </w:rPr>
            <w:t>[7]</w:t>
          </w:r>
          <w:r>
            <w:rPr>
              <w:lang w:eastAsia="zh-CN" w:bidi="th-TH"/>
            </w:rPr>
            <w:fldChar w:fldCharType="end"/>
          </w:r>
        </w:sdtContent>
      </w:sdt>
      <w:r>
        <w:rPr>
          <w:lang w:eastAsia="zh-CN" w:bidi="th-TH"/>
        </w:rPr>
        <w:t xml:space="preserve"> </w:t>
      </w:r>
      <w:r w:rsidRPr="008D425B">
        <w:rPr>
          <w:lang w:eastAsia="zh-CN" w:bidi="th-TH"/>
        </w:rPr>
        <w:t>WACHS salaried doctors are under arrangement A of the industrial agreement and have relinquished rights to private practice earnings in exchange for a substantially higher pay rate</w:t>
      </w:r>
      <w:r>
        <w:rPr>
          <w:lang w:eastAsia="zh-CN" w:bidi="th-TH"/>
        </w:rPr>
        <w:t>.</w:t>
      </w:r>
    </w:p>
    <w:p w14:paraId="22B7BF18" w14:textId="77777777" w:rsidR="001B113E" w:rsidRDefault="001B113E" w:rsidP="001B113E">
      <w:pPr>
        <w:rPr>
          <w:lang w:eastAsia="zh-CN" w:bidi="th-TH"/>
        </w:rPr>
      </w:pPr>
      <w:r>
        <w:rPr>
          <w:lang w:eastAsia="zh-CN" w:bidi="th-TH"/>
        </w:rPr>
        <w:t>In</w:t>
      </w:r>
      <w:r w:rsidRPr="00435EA1">
        <w:rPr>
          <w:lang w:eastAsia="zh-CN" w:bidi="th-TH"/>
        </w:rPr>
        <w:t xml:space="preserve"> the southern half of Western Australia, the general practice and hospital service model in rural communities has similarities to New South Wales</w:t>
      </w:r>
      <w:r>
        <w:rPr>
          <w:lang w:eastAsia="zh-CN" w:bidi="th-TH"/>
        </w:rPr>
        <w:t xml:space="preserve">, i.e. </w:t>
      </w:r>
      <w:r w:rsidRPr="00435EA1">
        <w:rPr>
          <w:lang w:eastAsia="zh-CN" w:bidi="th-TH"/>
        </w:rPr>
        <w:t xml:space="preserve">GPs providing </w:t>
      </w:r>
      <w:r w:rsidRPr="00435EA1">
        <w:rPr>
          <w:lang w:eastAsia="zh-CN" w:bidi="th-TH"/>
        </w:rPr>
        <w:lastRenderedPageBreak/>
        <w:t xml:space="preserve">VMO services to the local hospital. </w:t>
      </w:r>
      <w:r>
        <w:rPr>
          <w:lang w:eastAsia="zh-CN" w:bidi="th-TH"/>
        </w:rPr>
        <w:t>T</w:t>
      </w:r>
      <w:r w:rsidRPr="00435EA1">
        <w:rPr>
          <w:lang w:eastAsia="zh-CN" w:bidi="th-TH"/>
        </w:rPr>
        <w:t>he</w:t>
      </w:r>
      <w:r>
        <w:rPr>
          <w:lang w:eastAsia="zh-CN" w:bidi="th-TH"/>
        </w:rPr>
        <w:t xml:space="preserve">re are two </w:t>
      </w:r>
      <w:r w:rsidRPr="00435EA1">
        <w:rPr>
          <w:lang w:eastAsia="zh-CN" w:bidi="th-TH"/>
        </w:rPr>
        <w:t>locally based</w:t>
      </w:r>
      <w:r>
        <w:rPr>
          <w:lang w:eastAsia="zh-CN" w:bidi="th-TH"/>
        </w:rPr>
        <w:t xml:space="preserve"> Aboriginal Community Controlled Health Organisations (</w:t>
      </w:r>
      <w:r w:rsidRPr="00435EA1">
        <w:rPr>
          <w:lang w:eastAsia="zh-CN" w:bidi="th-TH"/>
        </w:rPr>
        <w:t>ACCHOs</w:t>
      </w:r>
      <w:r>
        <w:rPr>
          <w:lang w:eastAsia="zh-CN" w:bidi="th-TH"/>
        </w:rPr>
        <w:t>)</w:t>
      </w:r>
      <w:r w:rsidRPr="00F05321">
        <w:rPr>
          <w:lang w:eastAsia="zh-CN" w:bidi="th-TH"/>
        </w:rPr>
        <w:t xml:space="preserve"> </w:t>
      </w:r>
      <w:r>
        <w:rPr>
          <w:lang w:eastAsia="zh-CN" w:bidi="th-TH"/>
        </w:rPr>
        <w:t>i</w:t>
      </w:r>
      <w:r w:rsidRPr="00435EA1">
        <w:rPr>
          <w:lang w:eastAsia="zh-CN" w:bidi="th-TH"/>
        </w:rPr>
        <w:t xml:space="preserve">n the southern part of the state, South West </w:t>
      </w:r>
      <w:r>
        <w:rPr>
          <w:lang w:eastAsia="zh-CN" w:bidi="th-TH"/>
        </w:rPr>
        <w:t xml:space="preserve">Aboriginal Medical Service </w:t>
      </w:r>
      <w:r w:rsidRPr="00435EA1">
        <w:rPr>
          <w:lang w:eastAsia="zh-CN" w:bidi="th-TH"/>
        </w:rPr>
        <w:t>(based in Bunbury)</w:t>
      </w:r>
      <w:r>
        <w:rPr>
          <w:lang w:eastAsia="zh-CN" w:bidi="th-TH"/>
        </w:rPr>
        <w:t xml:space="preserve"> which provides services in the South West, and </w:t>
      </w:r>
      <w:r w:rsidRPr="00435EA1">
        <w:rPr>
          <w:lang w:eastAsia="zh-CN" w:bidi="th-TH"/>
        </w:rPr>
        <w:t xml:space="preserve">Great Southern </w:t>
      </w:r>
      <w:r>
        <w:rPr>
          <w:lang w:eastAsia="zh-CN" w:bidi="th-TH"/>
        </w:rPr>
        <w:t xml:space="preserve">Aboriginal Health Services that operates in the Great Southern region. </w:t>
      </w:r>
    </w:p>
    <w:p w14:paraId="7E2ACA04" w14:textId="77777777" w:rsidR="001B113E" w:rsidRPr="00435EA1" w:rsidRDefault="001B113E" w:rsidP="001B113E">
      <w:pPr>
        <w:rPr>
          <w:lang w:eastAsia="zh-CN" w:bidi="th-TH"/>
        </w:rPr>
      </w:pPr>
      <w:r w:rsidRPr="00435EA1">
        <w:rPr>
          <w:lang w:eastAsia="zh-CN" w:bidi="th-TH"/>
        </w:rPr>
        <w:t xml:space="preserve">In the northern half of the state, the predominant </w:t>
      </w:r>
      <w:r>
        <w:rPr>
          <w:lang w:eastAsia="zh-CN" w:bidi="th-TH"/>
        </w:rPr>
        <w:t xml:space="preserve">remuneration and employment </w:t>
      </w:r>
      <w:r w:rsidRPr="00435EA1">
        <w:rPr>
          <w:lang w:eastAsia="zh-CN" w:bidi="th-TH"/>
        </w:rPr>
        <w:t xml:space="preserve">model is salaried medical officers employed by the Western Australian Country Health Service (WACHS). </w:t>
      </w:r>
      <w:r>
        <w:rPr>
          <w:lang w:eastAsia="zh-CN" w:bidi="th-TH"/>
        </w:rPr>
        <w:t>Under the terms of the WA Award, salaried medical officers at WACHS facilities can elect to retain up to 25% of the practitioner’s salary from nett earnings from private practice within the hospital.</w:t>
      </w:r>
      <w:r>
        <w:rPr>
          <w:rStyle w:val="FootnoteReference"/>
          <w:lang w:eastAsia="zh-CN" w:bidi="th-TH"/>
        </w:rPr>
        <w:footnoteReference w:id="5"/>
      </w:r>
      <w:r>
        <w:rPr>
          <w:lang w:eastAsia="zh-CN" w:bidi="th-TH"/>
        </w:rPr>
        <w:t xml:space="preserve"> </w:t>
      </w:r>
      <w:r w:rsidRPr="00435EA1">
        <w:rPr>
          <w:lang w:eastAsia="zh-CN" w:bidi="th-TH"/>
        </w:rPr>
        <w:t>Private general practice is very limited across the remote communities of northern Western Australia. ACCHOs operate in many communities in the Kimberley</w:t>
      </w:r>
      <w:r>
        <w:rPr>
          <w:lang w:eastAsia="zh-CN" w:bidi="th-TH"/>
        </w:rPr>
        <w:t xml:space="preserve">, the </w:t>
      </w:r>
      <w:r w:rsidRPr="00435EA1">
        <w:rPr>
          <w:lang w:eastAsia="zh-CN" w:bidi="th-TH"/>
        </w:rPr>
        <w:t xml:space="preserve">Pilbara, and Geraldton. </w:t>
      </w:r>
    </w:p>
    <w:p w14:paraId="4A94F489" w14:textId="77777777" w:rsidR="001B113E" w:rsidRDefault="001B113E" w:rsidP="001B113E">
      <w:pPr>
        <w:rPr>
          <w:lang w:eastAsia="zh-CN" w:bidi="th-TH"/>
        </w:rPr>
      </w:pPr>
      <w:r w:rsidRPr="006D2A6A">
        <w:rPr>
          <w:b/>
          <w:bCs/>
          <w:lang w:eastAsia="zh-CN" w:bidi="th-TH"/>
        </w:rPr>
        <w:t>Northern Territory:</w:t>
      </w:r>
      <w:r>
        <w:rPr>
          <w:lang w:eastAsia="zh-CN" w:bidi="th-TH"/>
        </w:rPr>
        <w:t xml:space="preserve"> medical staff in the participating sites are </w:t>
      </w:r>
      <w:r w:rsidRPr="00435EA1">
        <w:rPr>
          <w:lang w:eastAsia="zh-CN" w:bidi="th-TH"/>
        </w:rPr>
        <w:t xml:space="preserve">employed </w:t>
      </w:r>
      <w:r>
        <w:rPr>
          <w:lang w:eastAsia="zh-CN" w:bidi="th-TH"/>
        </w:rPr>
        <w:t xml:space="preserve">by NT Health Services under the </w:t>
      </w:r>
      <w:r w:rsidRPr="00EE7A81">
        <w:rPr>
          <w:i/>
          <w:iCs/>
          <w:lang w:eastAsia="zh-CN" w:bidi="th-TH"/>
        </w:rPr>
        <w:t>Medical Officers Northern Territory Public Sector 2018</w:t>
      </w:r>
      <w:r>
        <w:rPr>
          <w:rFonts w:ascii="Calibri" w:hAnsi="Calibri" w:cs="Calibri"/>
          <w:i/>
          <w:iCs/>
          <w:lang w:eastAsia="zh-CN" w:bidi="th-TH"/>
        </w:rPr>
        <w:t>‒</w:t>
      </w:r>
      <w:r w:rsidRPr="00EE7A81">
        <w:rPr>
          <w:i/>
          <w:iCs/>
          <w:lang w:eastAsia="zh-CN" w:bidi="th-TH"/>
        </w:rPr>
        <w:t>21 Enterprise Agreement Territory Award.</w:t>
      </w:r>
      <w:r>
        <w:rPr>
          <w:lang w:eastAsia="zh-CN" w:bidi="th-TH"/>
        </w:rPr>
        <w:t xml:space="preserve"> </w:t>
      </w:r>
      <w:sdt>
        <w:sdtPr>
          <w:rPr>
            <w:lang w:eastAsia="zh-CN" w:bidi="th-TH"/>
          </w:rPr>
          <w:id w:val="1367249631"/>
          <w:citation/>
        </w:sdtPr>
        <w:sdtEndPr/>
        <w:sdtContent>
          <w:r>
            <w:rPr>
              <w:lang w:eastAsia="zh-CN" w:bidi="th-TH"/>
            </w:rPr>
            <w:fldChar w:fldCharType="begin"/>
          </w:r>
          <w:r>
            <w:rPr>
              <w:lang w:eastAsia="zh-CN" w:bidi="th-TH"/>
            </w:rPr>
            <w:instrText xml:space="preserve"> CITATION Fai19 \l 3081 </w:instrText>
          </w:r>
          <w:r>
            <w:rPr>
              <w:lang w:eastAsia="zh-CN" w:bidi="th-TH"/>
            </w:rPr>
            <w:fldChar w:fldCharType="separate"/>
          </w:r>
          <w:r w:rsidRPr="003E36C4">
            <w:rPr>
              <w:noProof/>
              <w:lang w:eastAsia="zh-CN" w:bidi="th-TH"/>
            </w:rPr>
            <w:t>[8]</w:t>
          </w:r>
          <w:r>
            <w:rPr>
              <w:lang w:eastAsia="zh-CN" w:bidi="th-TH"/>
            </w:rPr>
            <w:fldChar w:fldCharType="end"/>
          </w:r>
        </w:sdtContent>
      </w:sdt>
      <w:r>
        <w:rPr>
          <w:lang w:eastAsia="zh-CN" w:bidi="th-TH"/>
        </w:rPr>
        <w:t xml:space="preserve"> Under the award, medical officers are eligible to receive 50% of the MBS revenue they bill as remuneration, capped at a maximum of $100,000 per annum.</w:t>
      </w:r>
      <w:r>
        <w:rPr>
          <w:rStyle w:val="FootnoteReference"/>
          <w:lang w:eastAsia="zh-CN" w:bidi="th-TH"/>
        </w:rPr>
        <w:footnoteReference w:id="6"/>
      </w:r>
    </w:p>
    <w:p w14:paraId="4F7619FD" w14:textId="77777777" w:rsidR="001B113E" w:rsidRDefault="001B113E" w:rsidP="001B113E">
      <w:pPr>
        <w:pStyle w:val="Heading2"/>
        <w:rPr>
          <w:lang w:eastAsia="zh-CN" w:bidi="th-TH"/>
        </w:rPr>
      </w:pPr>
      <w:bookmarkStart w:id="37" w:name="_Toc85203272"/>
      <w:r>
        <w:rPr>
          <w:lang w:eastAsia="zh-CN" w:bidi="th-TH"/>
        </w:rPr>
        <w:t>Nursing and allied health workforce</w:t>
      </w:r>
      <w:bookmarkEnd w:id="37"/>
    </w:p>
    <w:p w14:paraId="00CFE02C" w14:textId="77777777" w:rsidR="001B113E" w:rsidRPr="00435EA1" w:rsidRDefault="001B113E" w:rsidP="001B113E">
      <w:pPr>
        <w:rPr>
          <w:lang w:eastAsia="zh-CN" w:bidi="th-TH"/>
        </w:rPr>
      </w:pPr>
      <w:r w:rsidRPr="00435EA1">
        <w:rPr>
          <w:lang w:eastAsia="zh-CN" w:bidi="th-TH"/>
        </w:rPr>
        <w:t>Across rural and remote Australia, nurses are employed in acute care setting</w:t>
      </w:r>
      <w:r>
        <w:rPr>
          <w:lang w:eastAsia="zh-CN" w:bidi="th-TH"/>
        </w:rPr>
        <w:t>s</w:t>
      </w:r>
      <w:r w:rsidRPr="00435EA1">
        <w:rPr>
          <w:lang w:eastAsia="zh-CN" w:bidi="th-TH"/>
        </w:rPr>
        <w:t xml:space="preserve"> and community health services by LHNs. ACCHOs employ primary care and specialist nurses</w:t>
      </w:r>
      <w:r>
        <w:rPr>
          <w:lang w:eastAsia="zh-CN" w:bidi="th-TH"/>
        </w:rPr>
        <w:t xml:space="preserve">, e.g. </w:t>
      </w:r>
      <w:r w:rsidRPr="00435EA1">
        <w:rPr>
          <w:lang w:eastAsia="zh-CN" w:bidi="th-TH"/>
        </w:rPr>
        <w:t>Diabetes Nurses, Child and Maternal Health</w:t>
      </w:r>
      <w:r>
        <w:rPr>
          <w:lang w:eastAsia="zh-CN" w:bidi="th-TH"/>
        </w:rPr>
        <w:t xml:space="preserve"> Nurses</w:t>
      </w:r>
      <w:r w:rsidRPr="00435EA1">
        <w:rPr>
          <w:lang w:eastAsia="zh-CN" w:bidi="th-TH"/>
        </w:rPr>
        <w:t xml:space="preserve">. Increasingly, </w:t>
      </w:r>
      <w:r>
        <w:rPr>
          <w:lang w:eastAsia="zh-CN" w:bidi="th-TH"/>
        </w:rPr>
        <w:t>non-government organisations (</w:t>
      </w:r>
      <w:r w:rsidRPr="00435EA1">
        <w:rPr>
          <w:lang w:eastAsia="zh-CN" w:bidi="th-TH"/>
        </w:rPr>
        <w:t>NGOs</w:t>
      </w:r>
      <w:r>
        <w:rPr>
          <w:lang w:eastAsia="zh-CN" w:bidi="th-TH"/>
        </w:rPr>
        <w:t>)</w:t>
      </w:r>
      <w:r w:rsidRPr="00435EA1">
        <w:rPr>
          <w:lang w:eastAsia="zh-CN" w:bidi="th-TH"/>
        </w:rPr>
        <w:t xml:space="preserve"> employ nurses to provide specialist nursing services </w:t>
      </w:r>
      <w:r>
        <w:rPr>
          <w:lang w:eastAsia="zh-CN" w:bidi="th-TH"/>
        </w:rPr>
        <w:t>(</w:t>
      </w:r>
      <w:r w:rsidRPr="00435EA1">
        <w:rPr>
          <w:lang w:eastAsia="zh-CN" w:bidi="th-TH"/>
        </w:rPr>
        <w:t xml:space="preserve">e.g. chronic </w:t>
      </w:r>
      <w:r>
        <w:rPr>
          <w:lang w:eastAsia="zh-CN" w:bidi="th-TH"/>
        </w:rPr>
        <w:t xml:space="preserve">disease </w:t>
      </w:r>
      <w:r w:rsidRPr="00435EA1">
        <w:rPr>
          <w:lang w:eastAsia="zh-CN" w:bidi="th-TH"/>
        </w:rPr>
        <w:t>care, mental health</w:t>
      </w:r>
      <w:r>
        <w:rPr>
          <w:lang w:eastAsia="zh-CN" w:bidi="th-TH"/>
        </w:rPr>
        <w:t>)</w:t>
      </w:r>
      <w:r w:rsidRPr="00435EA1">
        <w:rPr>
          <w:lang w:eastAsia="zh-CN" w:bidi="th-TH"/>
        </w:rPr>
        <w:t xml:space="preserve">, usually under a commissioning arrangement with Primary Health Networks. </w:t>
      </w:r>
    </w:p>
    <w:p w14:paraId="41D7A29E" w14:textId="77777777" w:rsidR="001B113E" w:rsidRDefault="001B113E" w:rsidP="001B113E">
      <w:pPr>
        <w:rPr>
          <w:lang w:eastAsia="zh-CN" w:bidi="th-TH"/>
        </w:rPr>
      </w:pPr>
      <w:r w:rsidRPr="00435EA1">
        <w:rPr>
          <w:lang w:eastAsia="zh-CN" w:bidi="th-TH"/>
        </w:rPr>
        <w:t xml:space="preserve">Similarly, </w:t>
      </w:r>
      <w:r>
        <w:rPr>
          <w:lang w:eastAsia="zh-CN" w:bidi="th-TH"/>
        </w:rPr>
        <w:t>a</w:t>
      </w:r>
      <w:r w:rsidRPr="00435EA1">
        <w:rPr>
          <w:lang w:eastAsia="zh-CN" w:bidi="th-TH"/>
        </w:rPr>
        <w:t xml:space="preserve">llied </w:t>
      </w:r>
      <w:r>
        <w:rPr>
          <w:lang w:eastAsia="zh-CN" w:bidi="th-TH"/>
        </w:rPr>
        <w:t>h</w:t>
      </w:r>
      <w:r w:rsidRPr="00435EA1">
        <w:rPr>
          <w:lang w:eastAsia="zh-CN" w:bidi="th-TH"/>
        </w:rPr>
        <w:t xml:space="preserve">ealth </w:t>
      </w:r>
      <w:r>
        <w:rPr>
          <w:lang w:eastAsia="zh-CN" w:bidi="th-TH"/>
        </w:rPr>
        <w:t>p</w:t>
      </w:r>
      <w:r w:rsidRPr="00435EA1">
        <w:rPr>
          <w:lang w:eastAsia="zh-CN" w:bidi="th-TH"/>
        </w:rPr>
        <w:t xml:space="preserve">rofessionals are employed by LHNs, ACCHOs and NGOs. While </w:t>
      </w:r>
      <w:r>
        <w:rPr>
          <w:lang w:eastAsia="zh-CN" w:bidi="th-TH"/>
        </w:rPr>
        <w:t xml:space="preserve">availability of </w:t>
      </w:r>
      <w:r w:rsidRPr="00435EA1">
        <w:rPr>
          <w:lang w:eastAsia="zh-CN" w:bidi="th-TH"/>
        </w:rPr>
        <w:t xml:space="preserve">private allied health practices </w:t>
      </w:r>
      <w:r>
        <w:rPr>
          <w:lang w:eastAsia="zh-CN" w:bidi="th-TH"/>
        </w:rPr>
        <w:t xml:space="preserve">is </w:t>
      </w:r>
      <w:r w:rsidRPr="00435EA1">
        <w:rPr>
          <w:lang w:eastAsia="zh-CN" w:bidi="th-TH"/>
        </w:rPr>
        <w:t xml:space="preserve">more limited in rural </w:t>
      </w:r>
      <w:r>
        <w:rPr>
          <w:lang w:eastAsia="zh-CN" w:bidi="th-TH"/>
        </w:rPr>
        <w:t xml:space="preserve">and remote </w:t>
      </w:r>
      <w:r w:rsidRPr="00435EA1">
        <w:rPr>
          <w:lang w:eastAsia="zh-CN" w:bidi="th-TH"/>
        </w:rPr>
        <w:t xml:space="preserve">areas, private providers often </w:t>
      </w:r>
      <w:r>
        <w:rPr>
          <w:lang w:eastAsia="zh-CN" w:bidi="th-TH"/>
        </w:rPr>
        <w:t xml:space="preserve">deliver </w:t>
      </w:r>
      <w:r w:rsidRPr="00435EA1">
        <w:rPr>
          <w:lang w:eastAsia="zh-CN" w:bidi="th-TH"/>
        </w:rPr>
        <w:t>services to smaller communities from a regional hub or across a rural cluster of towns.</w:t>
      </w:r>
    </w:p>
    <w:p w14:paraId="08866ECE" w14:textId="77777777" w:rsidR="001B113E" w:rsidRPr="00B53373" w:rsidRDefault="001B113E" w:rsidP="001B113E">
      <w:pPr>
        <w:pStyle w:val="Heading2"/>
        <w:rPr>
          <w:lang w:eastAsia="zh-CN" w:bidi="th-TH"/>
        </w:rPr>
      </w:pPr>
      <w:bookmarkStart w:id="38" w:name="_Toc67487719"/>
      <w:bookmarkStart w:id="39" w:name="_Toc85203273"/>
      <w:bookmarkStart w:id="40" w:name="_Toc67487725"/>
      <w:r w:rsidRPr="00B53373">
        <w:rPr>
          <w:lang w:eastAsia="zh-CN" w:bidi="th-TH"/>
        </w:rPr>
        <w:t xml:space="preserve">Other </w:t>
      </w:r>
      <w:r>
        <w:rPr>
          <w:lang w:eastAsia="zh-CN" w:bidi="th-TH"/>
        </w:rPr>
        <w:t>Section</w:t>
      </w:r>
      <w:r w:rsidRPr="00B53373">
        <w:rPr>
          <w:lang w:eastAsia="zh-CN" w:bidi="th-TH"/>
        </w:rPr>
        <w:t xml:space="preserve"> 19(2) </w:t>
      </w:r>
      <w:r>
        <w:rPr>
          <w:lang w:eastAsia="zh-CN" w:bidi="th-TH"/>
        </w:rPr>
        <w:t>exemptions</w:t>
      </w:r>
      <w:r w:rsidRPr="00B53373">
        <w:rPr>
          <w:lang w:eastAsia="zh-CN" w:bidi="th-TH"/>
        </w:rPr>
        <w:t xml:space="preserve"> in </w:t>
      </w:r>
      <w:r>
        <w:rPr>
          <w:lang w:eastAsia="zh-CN" w:bidi="th-TH"/>
        </w:rPr>
        <w:t>r</w:t>
      </w:r>
      <w:r w:rsidRPr="00B53373">
        <w:rPr>
          <w:lang w:eastAsia="zh-CN" w:bidi="th-TH"/>
        </w:rPr>
        <w:t xml:space="preserve">ural </w:t>
      </w:r>
      <w:r>
        <w:rPr>
          <w:lang w:eastAsia="zh-CN" w:bidi="th-TH"/>
        </w:rPr>
        <w:t>c</w:t>
      </w:r>
      <w:r w:rsidRPr="00B53373">
        <w:rPr>
          <w:lang w:eastAsia="zh-CN" w:bidi="th-TH"/>
        </w:rPr>
        <w:t>ommunities</w:t>
      </w:r>
      <w:bookmarkEnd w:id="38"/>
      <w:bookmarkEnd w:id="39"/>
    </w:p>
    <w:p w14:paraId="285586E4" w14:textId="77777777" w:rsidR="001B113E" w:rsidRPr="00B53373" w:rsidRDefault="001B113E" w:rsidP="001B113E">
      <w:pPr>
        <w:rPr>
          <w:lang w:eastAsia="zh-CN" w:bidi="th-TH"/>
        </w:rPr>
      </w:pPr>
      <w:r w:rsidRPr="00B53373">
        <w:rPr>
          <w:lang w:eastAsia="zh-CN" w:bidi="th-TH"/>
        </w:rPr>
        <w:t xml:space="preserve">Interviews with Department of Health staff in the Indigenous Health Division, </w:t>
      </w:r>
      <w:r>
        <w:rPr>
          <w:lang w:eastAsia="zh-CN" w:bidi="th-TH"/>
        </w:rPr>
        <w:t xml:space="preserve">and the </w:t>
      </w:r>
      <w:r w:rsidRPr="00B53373">
        <w:rPr>
          <w:lang w:eastAsia="zh-CN" w:bidi="th-TH"/>
        </w:rPr>
        <w:t xml:space="preserve">Rural Access and Health </w:t>
      </w:r>
      <w:r>
        <w:rPr>
          <w:lang w:eastAsia="zh-CN" w:bidi="th-TH"/>
        </w:rPr>
        <w:t xml:space="preserve">Training Branches of Health </w:t>
      </w:r>
      <w:r w:rsidRPr="00B53373">
        <w:rPr>
          <w:lang w:eastAsia="zh-CN" w:bidi="th-TH"/>
        </w:rPr>
        <w:t xml:space="preserve">Workforce </w:t>
      </w:r>
      <w:r>
        <w:rPr>
          <w:lang w:eastAsia="zh-CN" w:bidi="th-TH"/>
        </w:rPr>
        <w:t>Division</w:t>
      </w:r>
      <w:r w:rsidRPr="00B53373">
        <w:rPr>
          <w:lang w:eastAsia="zh-CN" w:bidi="th-TH"/>
        </w:rPr>
        <w:t xml:space="preserve"> identified five Directions for </w:t>
      </w:r>
      <w:r>
        <w:rPr>
          <w:lang w:eastAsia="zh-CN" w:bidi="th-TH"/>
        </w:rPr>
        <w:t>Section 19(2)</w:t>
      </w:r>
      <w:r w:rsidRPr="00B53373">
        <w:rPr>
          <w:lang w:eastAsia="zh-CN" w:bidi="th-TH"/>
        </w:rPr>
        <w:t xml:space="preserve"> exemptions under the </w:t>
      </w:r>
      <w:r w:rsidRPr="00B53373">
        <w:rPr>
          <w:i/>
          <w:iCs/>
          <w:lang w:eastAsia="zh-CN" w:bidi="th-TH"/>
        </w:rPr>
        <w:t>Health Insurance Act</w:t>
      </w:r>
      <w:r>
        <w:rPr>
          <w:lang w:eastAsia="zh-CN" w:bidi="th-TH"/>
        </w:rPr>
        <w:t xml:space="preserve">, </w:t>
      </w:r>
      <w:r w:rsidRPr="00B53373">
        <w:rPr>
          <w:lang w:eastAsia="zh-CN" w:bidi="th-TH"/>
        </w:rPr>
        <w:t xml:space="preserve">in addition to the COAG </w:t>
      </w:r>
      <w:r>
        <w:rPr>
          <w:lang w:eastAsia="zh-CN" w:bidi="th-TH"/>
        </w:rPr>
        <w:t>Section 19(2)</w:t>
      </w:r>
      <w:r w:rsidRPr="00B53373">
        <w:rPr>
          <w:lang w:eastAsia="zh-CN" w:bidi="th-TH"/>
        </w:rPr>
        <w:t xml:space="preserve"> </w:t>
      </w:r>
      <w:r>
        <w:rPr>
          <w:lang w:eastAsia="zh-CN" w:bidi="th-TH"/>
        </w:rPr>
        <w:t>Exemptions Initiative</w:t>
      </w:r>
      <w:r w:rsidRPr="00B53373">
        <w:rPr>
          <w:lang w:eastAsia="zh-CN" w:bidi="th-TH"/>
        </w:rPr>
        <w:t>. Th</w:t>
      </w:r>
      <w:r>
        <w:rPr>
          <w:lang w:eastAsia="zh-CN" w:bidi="th-TH"/>
        </w:rPr>
        <w:t>ese comprised</w:t>
      </w:r>
      <w:r w:rsidRPr="00B53373">
        <w:rPr>
          <w:lang w:eastAsia="zh-CN" w:bidi="th-TH"/>
        </w:rPr>
        <w:t>:</w:t>
      </w:r>
    </w:p>
    <w:p w14:paraId="74249930" w14:textId="77777777" w:rsidR="001B113E" w:rsidRPr="00B53373" w:rsidRDefault="001B113E" w:rsidP="001B113E">
      <w:pPr>
        <w:pStyle w:val="ListBullet"/>
        <w:rPr>
          <w:lang w:eastAsia="zh-CN" w:bidi="th-TH"/>
        </w:rPr>
      </w:pPr>
      <w:r w:rsidRPr="00B53373">
        <w:rPr>
          <w:lang w:eastAsia="zh-CN" w:bidi="th-TH"/>
        </w:rPr>
        <w:t xml:space="preserve">The Aboriginal Community Controlled Health Services </w:t>
      </w:r>
      <w:r>
        <w:rPr>
          <w:lang w:eastAsia="zh-CN" w:bidi="th-TH"/>
        </w:rPr>
        <w:t>Section 19(2)</w:t>
      </w:r>
      <w:r w:rsidRPr="00B53373">
        <w:rPr>
          <w:lang w:eastAsia="zh-CN" w:bidi="th-TH"/>
        </w:rPr>
        <w:t xml:space="preserve"> Direction managed by the Indigenous Health Division</w:t>
      </w:r>
    </w:p>
    <w:p w14:paraId="3B15C7C4" w14:textId="77777777" w:rsidR="001B113E" w:rsidRPr="00B53373" w:rsidRDefault="001B113E" w:rsidP="001B113E">
      <w:pPr>
        <w:pStyle w:val="ListBullet"/>
        <w:rPr>
          <w:lang w:eastAsia="zh-CN" w:bidi="th-TH"/>
        </w:rPr>
      </w:pPr>
      <w:r w:rsidRPr="00B53373">
        <w:rPr>
          <w:lang w:eastAsia="zh-CN" w:bidi="th-TH"/>
        </w:rPr>
        <w:t xml:space="preserve">The Queensland State Government (Indigenous Health) </w:t>
      </w:r>
      <w:r>
        <w:rPr>
          <w:lang w:eastAsia="zh-CN" w:bidi="th-TH"/>
        </w:rPr>
        <w:t>Section 19(2)</w:t>
      </w:r>
      <w:r w:rsidRPr="00B53373">
        <w:rPr>
          <w:lang w:eastAsia="zh-CN" w:bidi="th-TH"/>
        </w:rPr>
        <w:t xml:space="preserve"> Direction</w:t>
      </w:r>
      <w:r w:rsidRPr="00B53373">
        <w:rPr>
          <w:vertAlign w:val="superscript"/>
          <w:lang w:eastAsia="zh-CN" w:bidi="th-TH"/>
        </w:rPr>
        <w:footnoteReference w:id="7"/>
      </w:r>
      <w:r w:rsidRPr="00B53373">
        <w:rPr>
          <w:lang w:eastAsia="zh-CN" w:bidi="th-TH"/>
        </w:rPr>
        <w:t xml:space="preserve"> managed </w:t>
      </w:r>
      <w:r>
        <w:rPr>
          <w:lang w:eastAsia="zh-CN" w:bidi="th-TH"/>
        </w:rPr>
        <w:t xml:space="preserve">by </w:t>
      </w:r>
      <w:r w:rsidRPr="00B53373">
        <w:rPr>
          <w:lang w:eastAsia="zh-CN" w:bidi="th-TH"/>
        </w:rPr>
        <w:t>the Indigenous Health Division</w:t>
      </w:r>
    </w:p>
    <w:p w14:paraId="4D9D7176" w14:textId="77777777" w:rsidR="001B113E" w:rsidRPr="00B53373" w:rsidRDefault="001B113E" w:rsidP="001B113E">
      <w:pPr>
        <w:pStyle w:val="ListBullet"/>
        <w:rPr>
          <w:lang w:eastAsia="zh-CN" w:bidi="th-TH"/>
        </w:rPr>
      </w:pPr>
      <w:r w:rsidRPr="00B53373">
        <w:rPr>
          <w:lang w:eastAsia="zh-CN" w:bidi="th-TH"/>
        </w:rPr>
        <w:t>The Northern Territory State Government (Indigenous Health) Direction</w:t>
      </w:r>
      <w:r w:rsidRPr="00B53373">
        <w:rPr>
          <w:vertAlign w:val="superscript"/>
          <w:lang w:eastAsia="zh-CN" w:bidi="th-TH"/>
        </w:rPr>
        <w:footnoteReference w:id="8"/>
      </w:r>
      <w:r w:rsidRPr="00B53373">
        <w:rPr>
          <w:lang w:eastAsia="zh-CN" w:bidi="th-TH"/>
        </w:rPr>
        <w:t xml:space="preserve"> managed by the Indigenous Health Division</w:t>
      </w:r>
    </w:p>
    <w:p w14:paraId="2C168BBE" w14:textId="77777777" w:rsidR="001B113E" w:rsidRPr="00B53373" w:rsidRDefault="001B113E" w:rsidP="001B113E">
      <w:pPr>
        <w:pStyle w:val="ListBullet"/>
        <w:rPr>
          <w:lang w:eastAsia="zh-CN" w:bidi="th-TH"/>
        </w:rPr>
      </w:pPr>
      <w:r w:rsidRPr="00B53373">
        <w:rPr>
          <w:lang w:eastAsia="zh-CN" w:bidi="th-TH"/>
        </w:rPr>
        <w:t>The Murrum</w:t>
      </w:r>
      <w:r>
        <w:rPr>
          <w:lang w:eastAsia="zh-CN" w:bidi="th-TH"/>
        </w:rPr>
        <w:t>b</w:t>
      </w:r>
      <w:r w:rsidRPr="00B53373">
        <w:rPr>
          <w:lang w:eastAsia="zh-CN" w:bidi="th-TH"/>
        </w:rPr>
        <w:t>idgee Local Health District Direction, managed by Health Workforce Training</w:t>
      </w:r>
      <w:r>
        <w:rPr>
          <w:lang w:eastAsia="zh-CN" w:bidi="th-TH"/>
        </w:rPr>
        <w:t>, and</w:t>
      </w:r>
    </w:p>
    <w:p w14:paraId="77FBC39F" w14:textId="77777777" w:rsidR="001B113E" w:rsidRPr="00B53373" w:rsidRDefault="001B113E" w:rsidP="001B113E">
      <w:pPr>
        <w:pStyle w:val="ListBullet"/>
        <w:rPr>
          <w:lang w:eastAsia="zh-CN" w:bidi="th-TH"/>
        </w:rPr>
      </w:pPr>
      <w:r w:rsidRPr="00B53373">
        <w:rPr>
          <w:lang w:eastAsia="zh-CN" w:bidi="th-TH"/>
        </w:rPr>
        <w:t>The Remote Vocational Training Scheme Direction, managed by Health Workforce Training.</w:t>
      </w:r>
    </w:p>
    <w:p w14:paraId="108CB588" w14:textId="77777777" w:rsidR="001B113E" w:rsidRPr="00B53373" w:rsidRDefault="001B113E" w:rsidP="001B113E">
      <w:pPr>
        <w:rPr>
          <w:lang w:eastAsia="zh-CN" w:bidi="th-TH"/>
        </w:rPr>
      </w:pPr>
      <w:r w:rsidRPr="00B53373">
        <w:rPr>
          <w:lang w:eastAsia="zh-CN" w:bidi="th-TH"/>
        </w:rPr>
        <w:t xml:space="preserve">It is important to understand the breadth of </w:t>
      </w:r>
      <w:r>
        <w:rPr>
          <w:lang w:eastAsia="zh-CN" w:bidi="th-TH"/>
        </w:rPr>
        <w:t>Section 19(2)</w:t>
      </w:r>
      <w:r w:rsidRPr="00B53373">
        <w:rPr>
          <w:lang w:eastAsia="zh-CN" w:bidi="th-TH"/>
        </w:rPr>
        <w:t xml:space="preserve"> exemptions in place, their specificity, the rural and remote communities in which they operate and </w:t>
      </w:r>
      <w:r>
        <w:rPr>
          <w:lang w:eastAsia="zh-CN" w:bidi="th-TH"/>
        </w:rPr>
        <w:t xml:space="preserve">the </w:t>
      </w:r>
      <w:r w:rsidRPr="00B53373">
        <w:rPr>
          <w:lang w:eastAsia="zh-CN" w:bidi="th-TH"/>
        </w:rPr>
        <w:t xml:space="preserve">potential intersection with the COAG </w:t>
      </w:r>
      <w:r>
        <w:rPr>
          <w:lang w:eastAsia="zh-CN" w:bidi="th-TH"/>
        </w:rPr>
        <w:t>Section 19(2)</w:t>
      </w:r>
      <w:r w:rsidRPr="00B53373">
        <w:rPr>
          <w:lang w:eastAsia="zh-CN" w:bidi="th-TH"/>
        </w:rPr>
        <w:t xml:space="preserve"> Initiative.</w:t>
      </w:r>
      <w:r>
        <w:rPr>
          <w:lang w:eastAsia="zh-CN" w:bidi="th-TH"/>
        </w:rPr>
        <w:t xml:space="preserve"> We provide an </w:t>
      </w:r>
      <w:r>
        <w:rPr>
          <w:lang w:eastAsia="zh-CN" w:bidi="th-TH"/>
        </w:rPr>
        <w:lastRenderedPageBreak/>
        <w:t>overview below. The services where these arrangements apply are listed, by jurisdiction, in Appendix B.</w:t>
      </w:r>
    </w:p>
    <w:p w14:paraId="011CE52C" w14:textId="77777777" w:rsidR="001B113E" w:rsidRPr="00B53373" w:rsidRDefault="001B113E" w:rsidP="001B113E">
      <w:pPr>
        <w:pStyle w:val="Heading4"/>
        <w:spacing w:before="120"/>
        <w:rPr>
          <w:lang w:eastAsia="zh-CN" w:bidi="th-TH"/>
        </w:rPr>
      </w:pPr>
      <w:bookmarkStart w:id="41" w:name="_Toc67487720"/>
      <w:r w:rsidRPr="00B53373">
        <w:rPr>
          <w:lang w:eastAsia="zh-CN" w:bidi="th-TH"/>
        </w:rPr>
        <w:t>The Aboriginal Community Controlled Health Services Direction</w:t>
      </w:r>
      <w:bookmarkEnd w:id="41"/>
    </w:p>
    <w:p w14:paraId="4C907664" w14:textId="77777777" w:rsidR="001B113E" w:rsidRPr="00B53373" w:rsidRDefault="001B113E" w:rsidP="001B113E">
      <w:pPr>
        <w:rPr>
          <w:lang w:eastAsia="zh-CN" w:bidi="th-TH"/>
        </w:rPr>
      </w:pPr>
      <w:r w:rsidRPr="00B53373">
        <w:rPr>
          <w:lang w:eastAsia="zh-CN" w:bidi="th-TH"/>
        </w:rPr>
        <w:t>This Direction allows Medicare benefits to be payable for professional services provided by</w:t>
      </w:r>
      <w:r w:rsidRPr="00B53373">
        <w:t xml:space="preserve"> </w:t>
      </w:r>
      <w:r w:rsidRPr="00B53373">
        <w:rPr>
          <w:lang w:eastAsia="zh-CN" w:bidi="th-TH"/>
        </w:rPr>
        <w:t>A</w:t>
      </w:r>
      <w:r>
        <w:rPr>
          <w:lang w:eastAsia="zh-CN" w:bidi="th-TH"/>
        </w:rPr>
        <w:t>CCHOs</w:t>
      </w:r>
      <w:r w:rsidRPr="00B53373">
        <w:rPr>
          <w:lang w:eastAsia="zh-CN" w:bidi="th-TH"/>
        </w:rPr>
        <w:t xml:space="preserve"> </w:t>
      </w:r>
      <w:r>
        <w:rPr>
          <w:lang w:eastAsia="zh-CN" w:bidi="th-TH"/>
        </w:rPr>
        <w:t xml:space="preserve">in </w:t>
      </w:r>
      <w:r w:rsidRPr="00B53373">
        <w:rPr>
          <w:lang w:eastAsia="zh-CN" w:bidi="th-TH"/>
        </w:rPr>
        <w:t>respect of:</w:t>
      </w:r>
    </w:p>
    <w:p w14:paraId="5D1AB704" w14:textId="77777777" w:rsidR="001B113E" w:rsidRPr="00B53373" w:rsidRDefault="001B113E" w:rsidP="001B113E">
      <w:pPr>
        <w:pStyle w:val="ListBullet"/>
        <w:rPr>
          <w:lang w:eastAsia="zh-CN" w:bidi="th-TH"/>
        </w:rPr>
      </w:pPr>
      <w:r w:rsidRPr="00B53373">
        <w:rPr>
          <w:lang w:eastAsia="zh-CN" w:bidi="th-TH"/>
        </w:rPr>
        <w:t>Non-referred professional services provided by salaried medical practitioners, partic</w:t>
      </w:r>
      <w:r>
        <w:rPr>
          <w:lang w:eastAsia="zh-CN" w:bidi="th-TH"/>
        </w:rPr>
        <w:t>i</w:t>
      </w:r>
      <w:r w:rsidRPr="00B53373">
        <w:rPr>
          <w:lang w:eastAsia="zh-CN" w:bidi="th-TH"/>
        </w:rPr>
        <w:t>pating midwives and participating practice nurses</w:t>
      </w:r>
      <w:r>
        <w:rPr>
          <w:lang w:eastAsia="zh-CN" w:bidi="th-TH"/>
        </w:rPr>
        <w:t>,</w:t>
      </w:r>
      <w:r w:rsidRPr="00B53373">
        <w:rPr>
          <w:lang w:eastAsia="zh-CN" w:bidi="th-TH"/>
        </w:rPr>
        <w:t xml:space="preserve"> and</w:t>
      </w:r>
    </w:p>
    <w:p w14:paraId="64EBEDD7" w14:textId="77777777" w:rsidR="001B113E" w:rsidRPr="00B53373" w:rsidRDefault="001B113E" w:rsidP="001B113E">
      <w:pPr>
        <w:pStyle w:val="ListBullet"/>
        <w:rPr>
          <w:lang w:eastAsia="zh-CN" w:bidi="th-TH"/>
        </w:rPr>
      </w:pPr>
      <w:r w:rsidRPr="00B53373">
        <w:rPr>
          <w:lang w:eastAsia="zh-CN" w:bidi="th-TH"/>
        </w:rPr>
        <w:t>Referred professional services provided by salaried allied health, den</w:t>
      </w:r>
      <w:r>
        <w:rPr>
          <w:lang w:eastAsia="zh-CN" w:bidi="th-TH"/>
        </w:rPr>
        <w:t>t</w:t>
      </w:r>
      <w:r w:rsidRPr="00B53373">
        <w:rPr>
          <w:lang w:eastAsia="zh-CN" w:bidi="th-TH"/>
        </w:rPr>
        <w:t xml:space="preserve">al health professionals, optometrists, Aboriginal and Torres Strait Islander Health Practitioners and Aboriginal </w:t>
      </w:r>
      <w:r>
        <w:rPr>
          <w:lang w:eastAsia="zh-CN" w:bidi="th-TH"/>
        </w:rPr>
        <w:t>H</w:t>
      </w:r>
      <w:r w:rsidRPr="00B53373">
        <w:rPr>
          <w:lang w:eastAsia="zh-CN" w:bidi="th-TH"/>
        </w:rPr>
        <w:t xml:space="preserve">ealth </w:t>
      </w:r>
      <w:r>
        <w:rPr>
          <w:lang w:eastAsia="zh-CN" w:bidi="th-TH"/>
        </w:rPr>
        <w:t>W</w:t>
      </w:r>
      <w:r w:rsidRPr="00B53373">
        <w:rPr>
          <w:lang w:eastAsia="zh-CN" w:bidi="th-TH"/>
        </w:rPr>
        <w:t>orkers.</w:t>
      </w:r>
    </w:p>
    <w:p w14:paraId="4A1045B2" w14:textId="77777777" w:rsidR="001B113E" w:rsidRPr="00B53373" w:rsidRDefault="001B113E" w:rsidP="001B113E">
      <w:pPr>
        <w:rPr>
          <w:lang w:eastAsia="zh-CN" w:bidi="th-TH"/>
        </w:rPr>
      </w:pPr>
      <w:r w:rsidRPr="00B53373">
        <w:rPr>
          <w:lang w:eastAsia="zh-CN" w:bidi="th-TH"/>
        </w:rPr>
        <w:t xml:space="preserve">There are 123 organisations identified in the accompanying Schedule in all </w:t>
      </w:r>
      <w:r>
        <w:rPr>
          <w:lang w:eastAsia="zh-CN" w:bidi="th-TH"/>
        </w:rPr>
        <w:t>s</w:t>
      </w:r>
      <w:r w:rsidRPr="00B53373">
        <w:rPr>
          <w:lang w:eastAsia="zh-CN" w:bidi="th-TH"/>
        </w:rPr>
        <w:t xml:space="preserve">tates and </w:t>
      </w:r>
      <w:r>
        <w:rPr>
          <w:lang w:eastAsia="zh-CN" w:bidi="th-TH"/>
        </w:rPr>
        <w:t>t</w:t>
      </w:r>
      <w:r w:rsidRPr="00B53373">
        <w:rPr>
          <w:lang w:eastAsia="zh-CN" w:bidi="th-TH"/>
        </w:rPr>
        <w:t>erritories</w:t>
      </w:r>
      <w:r>
        <w:rPr>
          <w:lang w:eastAsia="zh-CN" w:bidi="th-TH"/>
        </w:rPr>
        <w:t>.</w:t>
      </w:r>
    </w:p>
    <w:p w14:paraId="6D4E896A" w14:textId="77777777" w:rsidR="001B113E" w:rsidRPr="00B53373" w:rsidRDefault="001B113E" w:rsidP="001B113E">
      <w:pPr>
        <w:rPr>
          <w:lang w:eastAsia="zh-CN" w:bidi="th-TH"/>
        </w:rPr>
      </w:pPr>
      <w:r w:rsidRPr="00B53373">
        <w:rPr>
          <w:lang w:eastAsia="zh-CN" w:bidi="th-TH"/>
        </w:rPr>
        <w:t xml:space="preserve">ACCHOs operate on a resident or visiting basis in some of the listed COAG </w:t>
      </w:r>
      <w:r>
        <w:rPr>
          <w:lang w:eastAsia="zh-CN" w:bidi="th-TH"/>
        </w:rPr>
        <w:t>Section 19(2)</w:t>
      </w:r>
      <w:r w:rsidRPr="00B53373">
        <w:rPr>
          <w:lang w:eastAsia="zh-CN" w:bidi="th-TH"/>
        </w:rPr>
        <w:t xml:space="preserve"> exempt sites in New South Wales, Western Australia, Queensland and Northern Territory.</w:t>
      </w:r>
      <w:r>
        <w:rPr>
          <w:lang w:eastAsia="zh-CN" w:bidi="th-TH"/>
        </w:rPr>
        <w:t xml:space="preserve"> </w:t>
      </w:r>
      <w:r w:rsidRPr="00B53373">
        <w:rPr>
          <w:lang w:eastAsia="zh-CN" w:bidi="th-TH"/>
        </w:rPr>
        <w:t>At these sites, the</w:t>
      </w:r>
      <w:r>
        <w:rPr>
          <w:lang w:eastAsia="zh-CN" w:bidi="th-TH"/>
        </w:rPr>
        <w:t xml:space="preserve"> ACCHO </w:t>
      </w:r>
      <w:r w:rsidRPr="00B53373">
        <w:rPr>
          <w:lang w:eastAsia="zh-CN" w:bidi="th-TH"/>
        </w:rPr>
        <w:t xml:space="preserve">may provide medical, allied health and/or nursing services. Some also offer dental services, which may be under an arrangement with an LHN, university dental school, or philanthropic organisation. ACCHOs are increasingly reliant on Medicare income to support and expand </w:t>
      </w:r>
      <w:r>
        <w:rPr>
          <w:lang w:eastAsia="zh-CN" w:bidi="th-TH"/>
        </w:rPr>
        <w:t xml:space="preserve">their </w:t>
      </w:r>
      <w:r w:rsidRPr="00B53373">
        <w:rPr>
          <w:lang w:eastAsia="zh-CN" w:bidi="th-TH"/>
        </w:rPr>
        <w:t xml:space="preserve">service offerings. </w:t>
      </w:r>
    </w:p>
    <w:p w14:paraId="78FA99D8" w14:textId="77777777" w:rsidR="001B113E" w:rsidRPr="00B53373" w:rsidRDefault="001B113E" w:rsidP="001B113E">
      <w:pPr>
        <w:pStyle w:val="Heading4"/>
        <w:spacing w:before="120"/>
        <w:rPr>
          <w:lang w:eastAsia="zh-CN" w:bidi="th-TH"/>
        </w:rPr>
      </w:pPr>
      <w:bookmarkStart w:id="42" w:name="_Toc67487721"/>
      <w:r w:rsidRPr="00B53373">
        <w:rPr>
          <w:lang w:eastAsia="zh-CN" w:bidi="th-TH"/>
        </w:rPr>
        <w:t>The Queensland State Government (Indigenous Health) Direction</w:t>
      </w:r>
      <w:bookmarkEnd w:id="42"/>
    </w:p>
    <w:p w14:paraId="40ECFADD" w14:textId="77777777" w:rsidR="001B113E" w:rsidRPr="00B53373" w:rsidRDefault="001B113E" w:rsidP="001B113E">
      <w:pPr>
        <w:rPr>
          <w:lang w:eastAsia="zh-CN" w:bidi="th-TH"/>
        </w:rPr>
      </w:pPr>
      <w:r w:rsidRPr="00B53373">
        <w:rPr>
          <w:lang w:eastAsia="zh-CN" w:bidi="th-TH"/>
        </w:rPr>
        <w:t>This Direction allows Medicare benefits to be payable in respect of:</w:t>
      </w:r>
    </w:p>
    <w:p w14:paraId="5E60D2D0" w14:textId="77777777" w:rsidR="001B113E" w:rsidRPr="00B53373" w:rsidRDefault="001B113E" w:rsidP="001B113E">
      <w:pPr>
        <w:pStyle w:val="ListBullet"/>
        <w:rPr>
          <w:lang w:eastAsia="zh-CN" w:bidi="th-TH"/>
        </w:rPr>
      </w:pPr>
      <w:r w:rsidRPr="00B53373">
        <w:rPr>
          <w:lang w:eastAsia="zh-CN" w:bidi="th-TH"/>
        </w:rPr>
        <w:t>Non-referred professional services provided by salaried medical practitioners, participating midwives and participating nurse practitioners</w:t>
      </w:r>
    </w:p>
    <w:p w14:paraId="4384704C" w14:textId="77777777" w:rsidR="001B113E" w:rsidRPr="00B53373" w:rsidRDefault="001B113E" w:rsidP="001B113E">
      <w:pPr>
        <w:pStyle w:val="ListBullet"/>
        <w:rPr>
          <w:lang w:eastAsia="zh-CN" w:bidi="th-TH"/>
        </w:rPr>
      </w:pPr>
      <w:r w:rsidRPr="00B53373">
        <w:rPr>
          <w:lang w:eastAsia="zh-CN" w:bidi="th-TH"/>
        </w:rPr>
        <w:t>Referred professional services provided by salaried allied health and dental health professionals, optometrists, Aboriginal and Torres Strait Islander Health Practitioners and Aboriginal health workers</w:t>
      </w:r>
      <w:r>
        <w:rPr>
          <w:lang w:eastAsia="zh-CN" w:bidi="th-TH"/>
        </w:rPr>
        <w:t>.</w:t>
      </w:r>
    </w:p>
    <w:p w14:paraId="4AD4DB51" w14:textId="77777777" w:rsidR="001B113E" w:rsidRPr="00B53373" w:rsidRDefault="001B113E" w:rsidP="001B113E">
      <w:pPr>
        <w:rPr>
          <w:lang w:eastAsia="zh-CN" w:bidi="th-TH"/>
        </w:rPr>
      </w:pPr>
      <w:r>
        <w:rPr>
          <w:lang w:eastAsia="zh-CN" w:bidi="th-TH"/>
        </w:rPr>
        <w:t>The Direction applies to staff e</w:t>
      </w:r>
      <w:r w:rsidRPr="00B53373">
        <w:rPr>
          <w:lang w:eastAsia="zh-CN" w:bidi="th-TH"/>
        </w:rPr>
        <w:t xml:space="preserve">mployed by the Queensland State Government </w:t>
      </w:r>
      <w:r>
        <w:rPr>
          <w:lang w:eastAsia="zh-CN" w:bidi="th-TH"/>
        </w:rPr>
        <w:t xml:space="preserve">for services </w:t>
      </w:r>
      <w:r w:rsidRPr="00B53373">
        <w:rPr>
          <w:lang w:eastAsia="zh-CN" w:bidi="th-TH"/>
        </w:rPr>
        <w:t>provided in an Aborigina</w:t>
      </w:r>
      <w:r>
        <w:rPr>
          <w:lang w:eastAsia="zh-CN" w:bidi="th-TH"/>
        </w:rPr>
        <w:t>l</w:t>
      </w:r>
      <w:r w:rsidRPr="00B53373">
        <w:rPr>
          <w:lang w:eastAsia="zh-CN" w:bidi="th-TH"/>
        </w:rPr>
        <w:t xml:space="preserve"> and Torres Strait Islander community and/or clinic in 55 specified communities or employed by the </w:t>
      </w:r>
      <w:r>
        <w:rPr>
          <w:lang w:eastAsia="zh-CN" w:bidi="th-TH"/>
        </w:rPr>
        <w:t xml:space="preserve">RFDS in Queensland. </w:t>
      </w:r>
    </w:p>
    <w:p w14:paraId="62EE85BF" w14:textId="77777777" w:rsidR="001B113E" w:rsidRPr="00B53373" w:rsidRDefault="001B113E" w:rsidP="001B113E">
      <w:pPr>
        <w:pStyle w:val="Heading4"/>
        <w:spacing w:before="120"/>
        <w:rPr>
          <w:lang w:eastAsia="zh-CN" w:bidi="th-TH"/>
        </w:rPr>
      </w:pPr>
      <w:bookmarkStart w:id="43" w:name="_Toc67487722"/>
      <w:r w:rsidRPr="00B53373">
        <w:rPr>
          <w:lang w:eastAsia="zh-CN" w:bidi="th-TH"/>
        </w:rPr>
        <w:t>The Northern Territory</w:t>
      </w:r>
      <w:bookmarkEnd w:id="43"/>
      <w:r w:rsidRPr="00B53373">
        <w:rPr>
          <w:lang w:eastAsia="zh-CN" w:bidi="th-TH"/>
        </w:rPr>
        <w:t xml:space="preserve"> </w:t>
      </w:r>
    </w:p>
    <w:p w14:paraId="738DC9A0" w14:textId="77777777" w:rsidR="001B113E" w:rsidRPr="00B53373" w:rsidRDefault="001B113E" w:rsidP="001B113E">
      <w:pPr>
        <w:rPr>
          <w:lang w:eastAsia="zh-CN" w:bidi="th-TH"/>
        </w:rPr>
      </w:pPr>
      <w:r>
        <w:rPr>
          <w:lang w:eastAsia="zh-CN" w:bidi="th-TH"/>
        </w:rPr>
        <w:t>This Direction applies to staff e</w:t>
      </w:r>
      <w:r w:rsidRPr="00B53373">
        <w:rPr>
          <w:lang w:eastAsia="zh-CN" w:bidi="th-TH"/>
        </w:rPr>
        <w:t>mployed by the Northern Territory Government and provided in an Aboriginal and Torres Strait Islander community and/or clinic in 66 specified communities.</w:t>
      </w:r>
      <w:r>
        <w:rPr>
          <w:lang w:eastAsia="zh-CN" w:bidi="th-TH"/>
        </w:rPr>
        <w:t xml:space="preserve"> </w:t>
      </w:r>
      <w:r w:rsidRPr="00B53373">
        <w:rPr>
          <w:lang w:eastAsia="zh-CN" w:bidi="th-TH"/>
        </w:rPr>
        <w:t>Th</w:t>
      </w:r>
      <w:r>
        <w:rPr>
          <w:lang w:eastAsia="zh-CN" w:bidi="th-TH"/>
        </w:rPr>
        <w:t>e</w:t>
      </w:r>
      <w:r w:rsidRPr="00B53373">
        <w:rPr>
          <w:lang w:eastAsia="zh-CN" w:bidi="th-TH"/>
        </w:rPr>
        <w:t xml:space="preserve"> Direction allows Medicare benefits to be payable in respect of:</w:t>
      </w:r>
    </w:p>
    <w:p w14:paraId="217CE5C7" w14:textId="77777777" w:rsidR="001B113E" w:rsidRPr="00B53373" w:rsidRDefault="001B113E" w:rsidP="001B113E">
      <w:pPr>
        <w:pStyle w:val="ListBullet"/>
        <w:rPr>
          <w:lang w:eastAsia="zh-CN" w:bidi="th-TH"/>
        </w:rPr>
      </w:pPr>
      <w:r w:rsidRPr="00B53373">
        <w:rPr>
          <w:lang w:eastAsia="zh-CN" w:bidi="th-TH"/>
        </w:rPr>
        <w:t>Non-referred professional services provided by salaried medical practitioners, participating midwives and participating nurse practitioners</w:t>
      </w:r>
      <w:r>
        <w:rPr>
          <w:lang w:eastAsia="zh-CN" w:bidi="th-TH"/>
        </w:rPr>
        <w:t>,</w:t>
      </w:r>
      <w:r w:rsidRPr="00B53373">
        <w:rPr>
          <w:lang w:eastAsia="zh-CN" w:bidi="th-TH"/>
        </w:rPr>
        <w:t xml:space="preserve"> and</w:t>
      </w:r>
    </w:p>
    <w:p w14:paraId="4F87D770" w14:textId="77777777" w:rsidR="001B113E" w:rsidRPr="00B53373" w:rsidRDefault="001B113E" w:rsidP="001B113E">
      <w:pPr>
        <w:pStyle w:val="ListBullet"/>
        <w:rPr>
          <w:lang w:eastAsia="zh-CN" w:bidi="th-TH"/>
        </w:rPr>
      </w:pPr>
      <w:r w:rsidRPr="00B53373">
        <w:rPr>
          <w:lang w:eastAsia="zh-CN" w:bidi="th-TH"/>
        </w:rPr>
        <w:t>Referred professional services provided by salaried allied health and dental health professionals, optometrists, Aboriginal and Torres Strait Islander Health Practitioners and Aboriginal health workers</w:t>
      </w:r>
      <w:r>
        <w:rPr>
          <w:lang w:eastAsia="zh-CN" w:bidi="th-TH"/>
        </w:rPr>
        <w:t>.</w:t>
      </w:r>
    </w:p>
    <w:p w14:paraId="2960BCDB" w14:textId="77777777" w:rsidR="001B113E" w:rsidRPr="00B53373" w:rsidRDefault="001B113E" w:rsidP="001B113E">
      <w:pPr>
        <w:pStyle w:val="Heading4"/>
        <w:spacing w:before="120"/>
        <w:rPr>
          <w:lang w:eastAsia="zh-CN" w:bidi="th-TH"/>
        </w:rPr>
      </w:pPr>
      <w:bookmarkStart w:id="44" w:name="_Toc67487723"/>
      <w:r w:rsidRPr="00B53373">
        <w:rPr>
          <w:lang w:eastAsia="zh-CN" w:bidi="th-TH"/>
        </w:rPr>
        <w:t>Murrumbidgee Local Health District Direction</w:t>
      </w:r>
      <w:bookmarkEnd w:id="44"/>
    </w:p>
    <w:p w14:paraId="7F39D6E0" w14:textId="77777777" w:rsidR="001B113E" w:rsidRPr="00B53373" w:rsidRDefault="001B113E" w:rsidP="001B113E">
      <w:pPr>
        <w:rPr>
          <w:lang w:eastAsia="zh-CN" w:bidi="th-TH"/>
        </w:rPr>
      </w:pPr>
      <w:r w:rsidRPr="00B53373">
        <w:rPr>
          <w:lang w:eastAsia="zh-CN" w:bidi="th-TH"/>
        </w:rPr>
        <w:t xml:space="preserve">This Direction has been made to enable new partnerships between the Murrumbidgee </w:t>
      </w:r>
      <w:r>
        <w:rPr>
          <w:lang w:eastAsia="zh-CN" w:bidi="th-TH"/>
        </w:rPr>
        <w:t>Local Health District (</w:t>
      </w:r>
      <w:r w:rsidRPr="00B53373">
        <w:rPr>
          <w:lang w:eastAsia="zh-CN" w:bidi="th-TH"/>
        </w:rPr>
        <w:t>L</w:t>
      </w:r>
      <w:r>
        <w:rPr>
          <w:lang w:eastAsia="zh-CN" w:bidi="th-TH"/>
        </w:rPr>
        <w:t>HD)</w:t>
      </w:r>
      <w:r w:rsidRPr="00B53373">
        <w:rPr>
          <w:lang w:eastAsia="zh-CN" w:bidi="th-TH"/>
        </w:rPr>
        <w:t xml:space="preserve"> and specified private general practices to trial innovative employment arrangements for rural medical generalist trainees. </w:t>
      </w:r>
      <w:r w:rsidRPr="00B53373">
        <w:t xml:space="preserve">The purpose of the single employer model is to provide continuity of working conditions for rural generalists during training. By having access to the </w:t>
      </w:r>
      <w:r>
        <w:t>‘</w:t>
      </w:r>
      <w:r w:rsidRPr="00B53373">
        <w:t>single employer</w:t>
      </w:r>
      <w:r>
        <w:t>’</w:t>
      </w:r>
      <w:r w:rsidRPr="00B53373">
        <w:t xml:space="preserve"> Direction, the LHD can employ rural generalist registrars as they move between hospital training (</w:t>
      </w:r>
      <w:r>
        <w:t>Post Graduate Year (</w:t>
      </w:r>
      <w:r w:rsidRPr="00B53373">
        <w:t>PGY</w:t>
      </w:r>
      <w:r>
        <w:t>)</w:t>
      </w:r>
      <w:r w:rsidRPr="00B53373">
        <w:t xml:space="preserve"> 1, 2 and their Advanced Skills Training) and their GP training.</w:t>
      </w:r>
      <w:r>
        <w:rPr>
          <w:lang w:eastAsia="zh-CN" w:bidi="th-TH"/>
        </w:rPr>
        <w:t xml:space="preserve"> </w:t>
      </w:r>
      <w:r w:rsidRPr="00B53373">
        <w:rPr>
          <w:lang w:eastAsia="zh-CN" w:bidi="th-TH"/>
        </w:rPr>
        <w:t xml:space="preserve">The Direction is specific to the Murrumbidgee </w:t>
      </w:r>
      <w:r>
        <w:rPr>
          <w:lang w:eastAsia="zh-CN" w:bidi="th-TH"/>
        </w:rPr>
        <w:t xml:space="preserve">LHD </w:t>
      </w:r>
      <w:r w:rsidRPr="00B53373">
        <w:rPr>
          <w:lang w:eastAsia="zh-CN" w:bidi="th-TH"/>
        </w:rPr>
        <w:t xml:space="preserve">and six identified GP training practices in the </w:t>
      </w:r>
      <w:r w:rsidRPr="00B53373">
        <w:t>MMM 4 locations of Cootamundra, Young and Deniliquin and the MMM 5 locations of Temora, Gundagai and Narrandera. This Direction is enabling the Murrumbidgee Rural Generalis</w:t>
      </w:r>
      <w:r>
        <w:t>t</w:t>
      </w:r>
      <w:r w:rsidRPr="00B53373">
        <w:t xml:space="preserve"> Training Pathway.</w:t>
      </w:r>
    </w:p>
    <w:p w14:paraId="68F54DDA" w14:textId="77777777" w:rsidR="001B113E" w:rsidRPr="00B53373" w:rsidRDefault="001B113E" w:rsidP="001B113E">
      <w:r w:rsidRPr="00B53373">
        <w:t>The Direction specifies that:</w:t>
      </w:r>
    </w:p>
    <w:p w14:paraId="25B8956A" w14:textId="77777777" w:rsidR="001B113E" w:rsidRPr="00B53373" w:rsidRDefault="001B113E" w:rsidP="001B113E">
      <w:pPr>
        <w:pStyle w:val="ListBullet"/>
      </w:pPr>
      <w:r w:rsidRPr="00B53373">
        <w:t>the professional services are provided in a specified general practice</w:t>
      </w:r>
    </w:p>
    <w:p w14:paraId="3548C898" w14:textId="77777777" w:rsidR="001B113E" w:rsidRPr="00B53373" w:rsidRDefault="001B113E" w:rsidP="001B113E">
      <w:pPr>
        <w:pStyle w:val="ListBullet"/>
      </w:pPr>
      <w:r w:rsidRPr="00B53373">
        <w:t>the patient is not receiving an episode of hospital treatment</w:t>
      </w:r>
      <w:r>
        <w:t>, and</w:t>
      </w:r>
    </w:p>
    <w:p w14:paraId="444434D4" w14:textId="77777777" w:rsidR="001B113E" w:rsidRPr="00B53373" w:rsidRDefault="001B113E" w:rsidP="001B113E">
      <w:pPr>
        <w:pStyle w:val="ListBullet"/>
      </w:pPr>
      <w:r w:rsidRPr="00B53373">
        <w:t>the service is provided by a participating rural generalist trainee who is centrally employed by the M</w:t>
      </w:r>
      <w:r>
        <w:t xml:space="preserve">urrumbidgee </w:t>
      </w:r>
      <w:r w:rsidRPr="00B53373">
        <w:t>LHD for the provision of primary and acute care and is registered in the rural generalist</w:t>
      </w:r>
      <w:r>
        <w:t>’</w:t>
      </w:r>
      <w:r w:rsidRPr="00B53373">
        <w:t>s innovative employment model trial within the Murrumbidge</w:t>
      </w:r>
      <w:r>
        <w:t>e</w:t>
      </w:r>
      <w:r w:rsidRPr="00B53373">
        <w:t xml:space="preserve"> region.</w:t>
      </w:r>
    </w:p>
    <w:p w14:paraId="07AB790B" w14:textId="77777777" w:rsidR="001B113E" w:rsidRPr="00B53373" w:rsidRDefault="001B113E" w:rsidP="001B113E">
      <w:r w:rsidRPr="00B53373">
        <w:t xml:space="preserve">This Direction was issued on 19 October 2020 </w:t>
      </w:r>
      <w:r>
        <w:t xml:space="preserve">and has </w:t>
      </w:r>
      <w:r w:rsidRPr="00B53373">
        <w:t>effect until 31 December 2024.</w:t>
      </w:r>
    </w:p>
    <w:p w14:paraId="584F4E2C" w14:textId="77777777" w:rsidR="001B113E" w:rsidRPr="00B53373" w:rsidRDefault="001B113E" w:rsidP="001B113E">
      <w:pPr>
        <w:pStyle w:val="Heading4"/>
        <w:spacing w:before="120"/>
        <w:rPr>
          <w:rFonts w:ascii="Franklin Gothic Demi" w:hAnsi="Franklin Gothic Demi"/>
          <w:spacing w:val="-6"/>
          <w:sz w:val="28"/>
          <w:lang w:eastAsia="zh-CN" w:bidi="th-TH"/>
        </w:rPr>
      </w:pPr>
      <w:bookmarkStart w:id="45" w:name="_Toc67487724"/>
      <w:r w:rsidRPr="00B53373">
        <w:rPr>
          <w:lang w:eastAsia="zh-CN" w:bidi="th-TH"/>
        </w:rPr>
        <w:lastRenderedPageBreak/>
        <w:t>Remote</w:t>
      </w:r>
      <w:r w:rsidRPr="00B53373">
        <w:rPr>
          <w:rFonts w:ascii="Franklin Gothic Demi" w:hAnsi="Franklin Gothic Demi"/>
          <w:spacing w:val="-6"/>
          <w:sz w:val="28"/>
          <w:lang w:eastAsia="zh-CN" w:bidi="th-TH"/>
        </w:rPr>
        <w:t xml:space="preserve"> </w:t>
      </w:r>
      <w:r w:rsidRPr="00B53373">
        <w:rPr>
          <w:lang w:eastAsia="zh-CN" w:bidi="th-TH"/>
        </w:rPr>
        <w:t>Vocational Training Scheme Direction</w:t>
      </w:r>
      <w:bookmarkEnd w:id="45"/>
    </w:p>
    <w:p w14:paraId="7576CA25" w14:textId="77777777" w:rsidR="001B113E" w:rsidRPr="00B53373" w:rsidRDefault="001B113E" w:rsidP="001B113E">
      <w:pPr>
        <w:rPr>
          <w:lang w:eastAsia="zh-CN" w:bidi="th-TH"/>
        </w:rPr>
      </w:pPr>
      <w:r w:rsidRPr="00B53373">
        <w:rPr>
          <w:lang w:eastAsia="zh-CN" w:bidi="th-TH"/>
        </w:rPr>
        <w:t>The Remote Vocational Training Scheme (RVTS) Extended Targeted Recruitment Pilot Direction 2021 directs Medicare benefits for professional services provided by participating remote general practice trainees who are:</w:t>
      </w:r>
    </w:p>
    <w:p w14:paraId="6935D750" w14:textId="77777777" w:rsidR="001B113E" w:rsidRPr="00B53373" w:rsidRDefault="001B113E" w:rsidP="001B113E">
      <w:pPr>
        <w:pStyle w:val="ListBullet"/>
        <w:rPr>
          <w:lang w:eastAsia="zh-CN" w:bidi="th-TH"/>
        </w:rPr>
      </w:pPr>
      <w:r w:rsidRPr="00B53373">
        <w:rPr>
          <w:lang w:eastAsia="zh-CN" w:bidi="th-TH"/>
        </w:rPr>
        <w:t>Formally enrolled in the RVTS and training towards GP Fellowship with the Royal Australian College for General Practitioners or the Australian College of Rural and Remote Medicine</w:t>
      </w:r>
      <w:r>
        <w:rPr>
          <w:lang w:eastAsia="zh-CN" w:bidi="th-TH"/>
        </w:rPr>
        <w:t>,</w:t>
      </w:r>
    </w:p>
    <w:p w14:paraId="51920B3A" w14:textId="77777777" w:rsidR="001B113E" w:rsidRPr="00B53373" w:rsidRDefault="001B113E" w:rsidP="001B113E">
      <w:pPr>
        <w:pStyle w:val="ListBullet"/>
        <w:rPr>
          <w:lang w:eastAsia="zh-CN" w:bidi="th-TH"/>
        </w:rPr>
      </w:pPr>
      <w:r w:rsidRPr="00B53373">
        <w:rPr>
          <w:lang w:eastAsia="zh-CN" w:bidi="th-TH"/>
        </w:rPr>
        <w:t>Employed with a salary in one of th</w:t>
      </w:r>
      <w:r>
        <w:rPr>
          <w:lang w:eastAsia="zh-CN" w:bidi="th-TH"/>
        </w:rPr>
        <w:t>e</w:t>
      </w:r>
      <w:r w:rsidRPr="00B53373">
        <w:rPr>
          <w:lang w:eastAsia="zh-CN" w:bidi="th-TH"/>
        </w:rPr>
        <w:t xml:space="preserve"> RVTS extended targeted-recruitment training posts for appropriate primary care attendance</w:t>
      </w:r>
      <w:r>
        <w:rPr>
          <w:lang w:eastAsia="zh-CN" w:bidi="th-TH"/>
        </w:rPr>
        <w:t>, and</w:t>
      </w:r>
    </w:p>
    <w:p w14:paraId="6AC590E0" w14:textId="77777777" w:rsidR="001B113E" w:rsidRPr="00B53373" w:rsidRDefault="001B113E" w:rsidP="001B113E">
      <w:pPr>
        <w:pStyle w:val="ListBullet"/>
        <w:rPr>
          <w:lang w:eastAsia="zh-CN" w:bidi="th-TH"/>
        </w:rPr>
      </w:pPr>
      <w:r w:rsidRPr="00B53373">
        <w:rPr>
          <w:lang w:eastAsia="zh-CN" w:bidi="th-TH"/>
        </w:rPr>
        <w:t xml:space="preserve">Registered with the RVTS Extended Targeted Recruitment Pilot. </w:t>
      </w:r>
    </w:p>
    <w:p w14:paraId="3853D54A" w14:textId="77777777" w:rsidR="001B113E" w:rsidRPr="00B53373" w:rsidRDefault="001B113E" w:rsidP="001B113E">
      <w:pPr>
        <w:rPr>
          <w:lang w:eastAsia="zh-CN" w:bidi="th-TH"/>
        </w:rPr>
      </w:pPr>
      <w:r w:rsidRPr="00B53373">
        <w:rPr>
          <w:lang w:eastAsia="zh-CN" w:bidi="th-TH"/>
        </w:rPr>
        <w:t>While the Direction indicates that sites will be in a rural and remote practice location in MMM 4</w:t>
      </w:r>
      <w:r>
        <w:rPr>
          <w:rFonts w:ascii="Calibri" w:hAnsi="Calibri" w:cs="Calibri"/>
          <w:lang w:eastAsia="zh-CN" w:bidi="th-TH"/>
        </w:rPr>
        <w:t>‒</w:t>
      </w:r>
      <w:r w:rsidRPr="00B53373">
        <w:rPr>
          <w:lang w:eastAsia="zh-CN" w:bidi="th-TH"/>
        </w:rPr>
        <w:t xml:space="preserve">7, the currently approved sites are in MMM 5, 6 and 7 and in Tasmania (Smithton), Victoria (Robinvale), </w:t>
      </w:r>
      <w:r>
        <w:rPr>
          <w:lang w:eastAsia="zh-CN" w:bidi="th-TH"/>
        </w:rPr>
        <w:t>New South Wales</w:t>
      </w:r>
      <w:r w:rsidRPr="00B53373">
        <w:rPr>
          <w:lang w:eastAsia="zh-CN" w:bidi="th-TH"/>
        </w:rPr>
        <w:t xml:space="preserve"> (Cobar, Lake Cargelligo), Queensland (Clermont, Mt Isa, Badu Island), South Australia (Str</w:t>
      </w:r>
      <w:r>
        <w:rPr>
          <w:lang w:eastAsia="zh-CN" w:bidi="th-TH"/>
        </w:rPr>
        <w:t>e</w:t>
      </w:r>
      <w:r w:rsidRPr="00B53373">
        <w:rPr>
          <w:lang w:eastAsia="zh-CN" w:bidi="th-TH"/>
        </w:rPr>
        <w:t xml:space="preserve">aky Bay, Cleve, Kimba, Elliston, Cowell) and Western Australia (Fitzroy Crossing). </w:t>
      </w:r>
    </w:p>
    <w:p w14:paraId="032A51BA" w14:textId="77777777" w:rsidR="001B113E" w:rsidRDefault="001B113E" w:rsidP="001B113E">
      <w:pPr>
        <w:rPr>
          <w:lang w:eastAsia="zh-CN" w:bidi="th-TH"/>
        </w:rPr>
      </w:pPr>
      <w:r w:rsidRPr="00B53373">
        <w:rPr>
          <w:lang w:eastAsia="zh-CN" w:bidi="th-TH"/>
        </w:rPr>
        <w:t>The Direction commenced 21 January 2021 and has effect until 31 December 2021.</w:t>
      </w:r>
    </w:p>
    <w:p w14:paraId="098DF7E2" w14:textId="77777777" w:rsidR="001B113E" w:rsidRPr="005817F5" w:rsidRDefault="001B113E" w:rsidP="001B113E">
      <w:pPr>
        <w:rPr>
          <w:rFonts w:asciiTheme="majorHAnsi" w:eastAsia="Times New Roman" w:hAnsiTheme="majorHAnsi" w:cs="Times New Roman"/>
          <w:bCs/>
          <w:iCs/>
          <w:color w:val="000000"/>
          <w:spacing w:val="-3"/>
          <w:sz w:val="24"/>
          <w:szCs w:val="20"/>
          <w:lang w:eastAsia="zh-CN" w:bidi="th-TH"/>
        </w:rPr>
      </w:pPr>
      <w:r w:rsidRPr="005817F5">
        <w:rPr>
          <w:rFonts w:asciiTheme="majorHAnsi" w:eastAsia="Times New Roman" w:hAnsiTheme="majorHAnsi" w:cs="Times New Roman"/>
          <w:bCs/>
          <w:iCs/>
          <w:color w:val="000000"/>
          <w:spacing w:val="-3"/>
          <w:sz w:val="24"/>
          <w:szCs w:val="20"/>
          <w:lang w:eastAsia="zh-CN" w:bidi="th-TH"/>
        </w:rPr>
        <w:t>Summary comment</w:t>
      </w:r>
    </w:p>
    <w:p w14:paraId="266B4C22" w14:textId="2C46C8F4" w:rsidR="001B113E" w:rsidRDefault="001B113E" w:rsidP="001B113E">
      <w:pPr>
        <w:rPr>
          <w:lang w:eastAsia="zh-CN" w:bidi="th-TH"/>
        </w:rPr>
        <w:sectPr w:rsidR="001B113E" w:rsidSect="00B065F6">
          <w:pgSz w:w="16838" w:h="11906" w:orient="landscape" w:code="9"/>
          <w:pgMar w:top="737" w:right="1304" w:bottom="1134" w:left="737" w:header="567" w:footer="284" w:gutter="0"/>
          <w:cols w:num="2" w:space="708"/>
          <w:docGrid w:linePitch="360"/>
        </w:sectPr>
      </w:pPr>
      <w:r>
        <w:rPr>
          <w:lang w:eastAsia="zh-CN" w:bidi="th-TH"/>
        </w:rPr>
        <w:t xml:space="preserve">An examination of individual sites operating under these various arrangements highlights that many services are in close proximity to each other. This will often enhance local availability to Commonwealth funded primary care services beyond the services receiving MBS revenue under the COAG Section 19(2) Exemptions Initiative. This service proximity is illustrated by </w:t>
      </w:r>
      <w:r>
        <w:rPr>
          <w:lang w:eastAsia="zh-CN" w:bidi="th-TH"/>
        </w:rPr>
        <w:fldChar w:fldCharType="begin"/>
      </w:r>
      <w:r>
        <w:rPr>
          <w:lang w:eastAsia="zh-CN" w:bidi="th-TH"/>
        </w:rPr>
        <w:instrText xml:space="preserve"> REF _Ref75836332 \h </w:instrText>
      </w:r>
      <w:r>
        <w:rPr>
          <w:lang w:eastAsia="zh-CN" w:bidi="th-TH"/>
        </w:rPr>
      </w:r>
      <w:r>
        <w:rPr>
          <w:lang w:eastAsia="zh-CN" w:bidi="th-TH"/>
        </w:rPr>
        <w:fldChar w:fldCharType="separate"/>
      </w:r>
      <w:r w:rsidR="00C50B67">
        <w:t xml:space="preserve">Figure </w:t>
      </w:r>
      <w:r w:rsidR="00C50B67">
        <w:rPr>
          <w:noProof/>
        </w:rPr>
        <w:t>2</w:t>
      </w:r>
      <w:r w:rsidR="00C50B67">
        <w:t>.</w:t>
      </w:r>
      <w:r w:rsidR="00C50B67">
        <w:rPr>
          <w:noProof/>
        </w:rPr>
        <w:t>5</w:t>
      </w:r>
      <w:r>
        <w:rPr>
          <w:lang w:eastAsia="zh-CN" w:bidi="th-TH"/>
        </w:rPr>
        <w:fldChar w:fldCharType="end"/>
      </w:r>
      <w:r>
        <w:rPr>
          <w:lang w:eastAsia="zh-CN" w:bidi="th-TH"/>
        </w:rPr>
        <w:t xml:space="preserve"> which maps sites that are operating under different </w:t>
      </w:r>
      <w:r w:rsidR="00273491">
        <w:rPr>
          <w:lang w:eastAsia="zh-CN" w:bidi="th-TH"/>
        </w:rPr>
        <w:t xml:space="preserve"> Section 19 </w:t>
      </w:r>
      <w:r>
        <w:rPr>
          <w:lang w:eastAsia="zh-CN" w:bidi="th-TH"/>
        </w:rPr>
        <w:t xml:space="preserve">directions in </w:t>
      </w:r>
      <w:r w:rsidR="00273491">
        <w:rPr>
          <w:lang w:eastAsia="zh-CN" w:bidi="th-TH"/>
        </w:rPr>
        <w:t xml:space="preserve">one jurisdiction (we have used </w:t>
      </w:r>
      <w:r>
        <w:rPr>
          <w:lang w:eastAsia="zh-CN" w:bidi="th-TH"/>
        </w:rPr>
        <w:t xml:space="preserve">Queensland </w:t>
      </w:r>
      <w:r w:rsidR="00273491">
        <w:rPr>
          <w:lang w:eastAsia="zh-CN" w:bidi="th-TH"/>
        </w:rPr>
        <w:t xml:space="preserve">as an example to illustrate the geographic diffusion of the different Section 19 exemption  arrangements </w:t>
      </w:r>
      <w:r>
        <w:rPr>
          <w:lang w:eastAsia="zh-CN" w:bidi="th-TH"/>
        </w:rPr>
        <w:t>(see next page)</w:t>
      </w:r>
      <w:r w:rsidR="00273491">
        <w:rPr>
          <w:lang w:eastAsia="zh-CN" w:bidi="th-TH"/>
        </w:rPr>
        <w:t>)</w:t>
      </w:r>
      <w:r>
        <w:rPr>
          <w:lang w:eastAsia="zh-CN" w:bidi="th-TH"/>
        </w:rPr>
        <w:t>.</w:t>
      </w:r>
    </w:p>
    <w:p w14:paraId="7D547334" w14:textId="4BC213AB" w:rsidR="001B113E" w:rsidRDefault="001B113E" w:rsidP="001B113E">
      <w:pPr>
        <w:pStyle w:val="Caption"/>
        <w:rPr>
          <w:lang w:eastAsia="zh-CN" w:bidi="th-TH"/>
        </w:rPr>
      </w:pPr>
      <w:bookmarkStart w:id="46" w:name="_Ref75836332"/>
      <w:r>
        <w:lastRenderedPageBreak/>
        <w:t xml:space="preserve">Figure </w:t>
      </w:r>
      <w:fldSimple w:instr=" STYLEREF 1 \s ">
        <w:r w:rsidR="00C50B67">
          <w:rPr>
            <w:noProof/>
          </w:rPr>
          <w:t>2</w:t>
        </w:r>
      </w:fldSimple>
      <w:r>
        <w:t>.</w:t>
      </w:r>
      <w:fldSimple w:instr=" SEQ Figure \* ARABIC \s 1 ">
        <w:r w:rsidR="00C50B67">
          <w:rPr>
            <w:noProof/>
          </w:rPr>
          <w:t>5</w:t>
        </w:r>
      </w:fldSimple>
      <w:bookmarkEnd w:id="46"/>
      <w:r>
        <w:t xml:space="preserve">: </w:t>
      </w:r>
      <w:r w:rsidRPr="004E2804">
        <w:rPr>
          <w:rStyle w:val="Caption-notboldChar"/>
        </w:rPr>
        <w:t xml:space="preserve">Location of Queensland Initiative sites compared to location of sites operating under various other </w:t>
      </w:r>
      <w:r>
        <w:rPr>
          <w:rStyle w:val="Caption-notboldChar"/>
        </w:rPr>
        <w:t xml:space="preserve">Section </w:t>
      </w:r>
      <w:r w:rsidRPr="004E2804">
        <w:rPr>
          <w:rStyle w:val="Caption-notboldChar"/>
        </w:rPr>
        <w:t>19(2) Exemptions Directions (ACCHO, Indigenous Health and RVTS)</w:t>
      </w:r>
    </w:p>
    <w:p w14:paraId="2BD4920F" w14:textId="77777777" w:rsidR="001B113E" w:rsidRDefault="001B113E" w:rsidP="001B113E">
      <w:pPr>
        <w:jc w:val="center"/>
        <w:rPr>
          <w:lang w:eastAsia="zh-CN" w:bidi="th-TH"/>
        </w:rPr>
      </w:pPr>
      <w:r>
        <w:rPr>
          <w:noProof/>
          <w:lang w:eastAsia="zh-CN" w:bidi="th-TH"/>
        </w:rPr>
        <w:drawing>
          <wp:inline distT="0" distB="0" distL="0" distR="0" wp14:anchorId="0381672D" wp14:editId="165FEAC3">
            <wp:extent cx="5905203" cy="518160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7934" cy="5192771"/>
                    </a:xfrm>
                    <a:prstGeom prst="rect">
                      <a:avLst/>
                    </a:prstGeom>
                    <a:noFill/>
                  </pic:spPr>
                </pic:pic>
              </a:graphicData>
            </a:graphic>
          </wp:inline>
        </w:drawing>
      </w:r>
    </w:p>
    <w:p w14:paraId="14F40492" w14:textId="77777777" w:rsidR="001B113E" w:rsidRDefault="001B113E" w:rsidP="001B113E">
      <w:pPr>
        <w:rPr>
          <w:lang w:eastAsia="zh-CN" w:bidi="th-TH"/>
        </w:rPr>
      </w:pPr>
    </w:p>
    <w:p w14:paraId="70601493" w14:textId="77777777" w:rsidR="001B113E" w:rsidRDefault="001B113E" w:rsidP="001B113E">
      <w:pPr>
        <w:rPr>
          <w:lang w:eastAsia="zh-CN" w:bidi="th-TH"/>
        </w:rPr>
        <w:sectPr w:rsidR="001B113E" w:rsidSect="00037A18">
          <w:pgSz w:w="16838" w:h="11906" w:orient="landscape" w:code="9"/>
          <w:pgMar w:top="737" w:right="1304" w:bottom="1134" w:left="737" w:header="567" w:footer="284" w:gutter="0"/>
          <w:cols w:space="708"/>
          <w:docGrid w:linePitch="360"/>
        </w:sectPr>
      </w:pPr>
    </w:p>
    <w:p w14:paraId="31024CCE" w14:textId="77777777" w:rsidR="001B113E" w:rsidRDefault="001B113E" w:rsidP="001B113E">
      <w:pPr>
        <w:pStyle w:val="Heading2"/>
        <w:spacing w:before="0"/>
      </w:pPr>
      <w:bookmarkStart w:id="47" w:name="_Toc85203274"/>
      <w:bookmarkEnd w:id="40"/>
      <w:r>
        <w:lastRenderedPageBreak/>
        <w:t>Rural policy context</w:t>
      </w:r>
      <w:bookmarkEnd w:id="47"/>
    </w:p>
    <w:p w14:paraId="404948FD" w14:textId="77777777" w:rsidR="001B113E" w:rsidRPr="003A6577" w:rsidRDefault="001B113E" w:rsidP="001B113E">
      <w:pPr>
        <w:pStyle w:val="Heading3"/>
      </w:pPr>
      <w:bookmarkStart w:id="48" w:name="_Toc62815591"/>
      <w:bookmarkStart w:id="49" w:name="_Toc67487729"/>
      <w:bookmarkStart w:id="50" w:name="_Toc85203275"/>
      <w:r w:rsidRPr="003A6577">
        <w:t>Health workforce supply</w:t>
      </w:r>
      <w:bookmarkEnd w:id="48"/>
      <w:bookmarkEnd w:id="49"/>
      <w:bookmarkEnd w:id="50"/>
    </w:p>
    <w:p w14:paraId="5681D6B1" w14:textId="77777777" w:rsidR="001B113E" w:rsidRPr="003A6577" w:rsidRDefault="001B113E" w:rsidP="001B113E">
      <w:r w:rsidRPr="003A6577">
        <w:t>The Australian Government has introduced a range of policies to address health workforce shortages. Supply strategies have included recruitment of internationally trained medical graduates (IMGs) and other health professionals; doubling the number of medical school places in 2006; and, in response to the Review of Higher Education (Bradley Review)</w:t>
      </w:r>
      <w:sdt>
        <w:sdtPr>
          <w:id w:val="1130211831"/>
          <w:citation/>
        </w:sdtPr>
        <w:sdtEndPr/>
        <w:sdtContent>
          <w:r w:rsidRPr="003A6577">
            <w:fldChar w:fldCharType="begin"/>
          </w:r>
          <w:r w:rsidRPr="003A6577">
            <w:instrText xml:space="preserve">CITATION Bra08 \l 3081 </w:instrText>
          </w:r>
          <w:r w:rsidRPr="003A6577">
            <w:fldChar w:fldCharType="separate"/>
          </w:r>
          <w:r>
            <w:rPr>
              <w:noProof/>
            </w:rPr>
            <w:t xml:space="preserve"> </w:t>
          </w:r>
          <w:r w:rsidRPr="003E36C4">
            <w:rPr>
              <w:noProof/>
            </w:rPr>
            <w:t>[9]</w:t>
          </w:r>
          <w:r w:rsidRPr="003A6577">
            <w:fldChar w:fldCharType="end"/>
          </w:r>
        </w:sdtContent>
      </w:sdt>
      <w:r w:rsidRPr="003A6577">
        <w:t xml:space="preserve">, uncapping university training places for nursing and allied health students. </w:t>
      </w:r>
    </w:p>
    <w:p w14:paraId="4E163AC3" w14:textId="77777777" w:rsidR="001B113E" w:rsidRPr="003A6577" w:rsidRDefault="001B113E" w:rsidP="001B113E">
      <w:r w:rsidRPr="003A6577">
        <w:t>Nationally, there were 410.4 FTE doctors per 100,000 residents in 2017 compared with 382.1 FTE per 100,000 in 2013. In 2017, the nursing and midwifery workforce totalled 284,120 FTE or 1,154.9 FTE per 100,000 residents, which was similar to the 2013 levels on a per population basis. However, the supply of allied health practitioners registered with the Australian Health Practitioner Regulation Agency (AHPRA) increased in the period 2013 to 2017 from 98,545 FTE (426.1 FTE per 100,000 residents) to 114,606 FTE (465.8 FTE per 100,000.</w:t>
      </w:r>
      <w:sdt>
        <w:sdtPr>
          <w:id w:val="1410278824"/>
          <w:citation/>
        </w:sdtPr>
        <w:sdtEndPr/>
        <w:sdtContent>
          <w:r w:rsidRPr="003A6577">
            <w:fldChar w:fldCharType="begin"/>
          </w:r>
          <w:r w:rsidRPr="003A6577">
            <w:instrText xml:space="preserve"> CITATION Aus191 \l 3081 </w:instrText>
          </w:r>
          <w:r w:rsidRPr="003A6577">
            <w:fldChar w:fldCharType="separate"/>
          </w:r>
          <w:r>
            <w:rPr>
              <w:noProof/>
            </w:rPr>
            <w:t xml:space="preserve"> </w:t>
          </w:r>
          <w:r w:rsidRPr="003E36C4">
            <w:rPr>
              <w:noProof/>
            </w:rPr>
            <w:t>[10]</w:t>
          </w:r>
          <w:r w:rsidRPr="003A6577">
            <w:fldChar w:fldCharType="end"/>
          </w:r>
        </w:sdtContent>
      </w:sdt>
      <w:r w:rsidRPr="003A6577">
        <w:t>)</w:t>
      </w:r>
    </w:p>
    <w:p w14:paraId="45D92B59" w14:textId="04A831F7" w:rsidR="001B113E" w:rsidRPr="003A6577" w:rsidRDefault="001B113E" w:rsidP="001B113E">
      <w:r w:rsidRPr="003A6577">
        <w:t xml:space="preserve">Despite the overall increase in Australia’s health workforce supply since then, maldistribution persists and does not mirror the health needs of the population </w:t>
      </w:r>
      <w:sdt>
        <w:sdtPr>
          <w:id w:val="-1238236931"/>
          <w:citation/>
        </w:sdtPr>
        <w:sdtEndPr/>
        <w:sdtContent>
          <w:r w:rsidRPr="003A6577">
            <w:fldChar w:fldCharType="begin"/>
          </w:r>
          <w:r w:rsidRPr="003A6577">
            <w:instrText xml:space="preserve"> CITATION The18 \l 3081 </w:instrText>
          </w:r>
          <w:r w:rsidRPr="003A6577">
            <w:fldChar w:fldCharType="separate"/>
          </w:r>
          <w:r w:rsidRPr="003E36C4">
            <w:rPr>
              <w:noProof/>
            </w:rPr>
            <w:t>[11]</w:t>
          </w:r>
          <w:r w:rsidRPr="003A6577">
            <w:fldChar w:fldCharType="end"/>
          </w:r>
        </w:sdtContent>
      </w:sdt>
      <w:r w:rsidRPr="003A6577">
        <w:t xml:space="preserve">. The geographic distribution of Australia’s health workforce is summarised in </w:t>
      </w:r>
      <w:r w:rsidRPr="003A6577">
        <w:fldChar w:fldCharType="begin"/>
      </w:r>
      <w:r w:rsidRPr="003A6577">
        <w:instrText xml:space="preserve"> REF _Ref63146444 \h  \* MERGEFORMAT </w:instrText>
      </w:r>
      <w:r w:rsidRPr="003A6577">
        <w:fldChar w:fldCharType="separate"/>
      </w:r>
      <w:r w:rsidR="00C50B67" w:rsidRPr="003A6577">
        <w:t xml:space="preserve">Figure </w:t>
      </w:r>
      <w:r w:rsidR="00C50B67">
        <w:rPr>
          <w:noProof/>
        </w:rPr>
        <w:t>2.6</w:t>
      </w:r>
      <w:r w:rsidRPr="003A6577">
        <w:fldChar w:fldCharType="end"/>
      </w:r>
      <w:r w:rsidRPr="003A6577">
        <w:t>.</w:t>
      </w:r>
    </w:p>
    <w:p w14:paraId="3760CD60" w14:textId="69D8EBB8" w:rsidR="001B113E" w:rsidRPr="003A6577" w:rsidRDefault="001B113E" w:rsidP="001B113E">
      <w:pPr>
        <w:pStyle w:val="Caption"/>
        <w:keepLines/>
        <w:widowControl w:val="0"/>
        <w:spacing w:before="0"/>
      </w:pPr>
      <w:bookmarkStart w:id="51" w:name="_Ref63146444"/>
      <w:r w:rsidRPr="003A6577">
        <w:t xml:space="preserve">Figure </w:t>
      </w:r>
      <w:fldSimple w:instr=" STYLEREF 1 \s ">
        <w:r w:rsidR="00C50B67">
          <w:rPr>
            <w:noProof/>
          </w:rPr>
          <w:t>2</w:t>
        </w:r>
      </w:fldSimple>
      <w:r>
        <w:t>.</w:t>
      </w:r>
      <w:fldSimple w:instr=" SEQ Figure \* ARABIC \s 1 ">
        <w:r w:rsidR="00C50B67">
          <w:rPr>
            <w:noProof/>
          </w:rPr>
          <w:t>6</w:t>
        </w:r>
      </w:fldSimple>
      <w:bookmarkEnd w:id="51"/>
      <w:r w:rsidRPr="003A6577">
        <w:rPr>
          <w:noProof/>
        </w:rPr>
        <w:t xml:space="preserve">: </w:t>
      </w:r>
      <w:r w:rsidRPr="004E2804">
        <w:rPr>
          <w:rStyle w:val="Caption-notboldChar"/>
        </w:rPr>
        <w:t xml:space="preserve">Employed AHPRA registered health professionals – full-time equivalent rate, by </w:t>
      </w:r>
      <w:r>
        <w:rPr>
          <w:rStyle w:val="Caption-notboldChar"/>
        </w:rPr>
        <w:t>Australian Standard Geographical Classification</w:t>
      </w:r>
      <w:r w:rsidRPr="004E2804">
        <w:rPr>
          <w:rStyle w:val="Caption-notboldChar"/>
        </w:rPr>
        <w:t xml:space="preserve"> remoteness area (2017)</w:t>
      </w:r>
    </w:p>
    <w:p w14:paraId="17B39FC3" w14:textId="77777777" w:rsidR="001B113E" w:rsidRPr="003A6577" w:rsidRDefault="001B113E" w:rsidP="001B113E">
      <w:pPr>
        <w:contextualSpacing/>
      </w:pPr>
      <w:r w:rsidRPr="003A6577">
        <w:rPr>
          <w:noProof/>
          <w:lang w:eastAsia="en-AU"/>
        </w:rPr>
        <w:drawing>
          <wp:inline distT="0" distB="0" distL="0" distR="0" wp14:anchorId="78BE0444" wp14:editId="2CB6A535">
            <wp:extent cx="4676775" cy="5153025"/>
            <wp:effectExtent l="0" t="0" r="9525" b="9525"/>
            <wp:docPr id="3" name="image6.jpeg" descr="Employed health professionals, full time equivalent rate, by remoteness area, 2017."/>
            <wp:cNvGraphicFramePr/>
            <a:graphic xmlns:a="http://schemas.openxmlformats.org/drawingml/2006/main">
              <a:graphicData uri="http://schemas.openxmlformats.org/drawingml/2006/picture">
                <pic:pic xmlns:pic="http://schemas.openxmlformats.org/drawingml/2006/picture">
                  <pic:nvPicPr>
                    <pic:cNvPr id="3" name="image6.jpeg" descr="Employed health professionals, full time equivalent rate, by remoteness area, 2017."/>
                    <pic:cNvPicPr/>
                  </pic:nvPicPr>
                  <pic:blipFill>
                    <a:blip r:embed="rId29" cstate="print"/>
                    <a:stretch>
                      <a:fillRect/>
                    </a:stretch>
                  </pic:blipFill>
                  <pic:spPr>
                    <a:xfrm>
                      <a:off x="0" y="0"/>
                      <a:ext cx="4676775" cy="5153025"/>
                    </a:xfrm>
                    <a:prstGeom prst="rect">
                      <a:avLst/>
                    </a:prstGeom>
                  </pic:spPr>
                </pic:pic>
              </a:graphicData>
            </a:graphic>
          </wp:inline>
        </w:drawing>
      </w:r>
    </w:p>
    <w:p w14:paraId="6104C50B" w14:textId="77777777" w:rsidR="001B113E" w:rsidRPr="003A6577" w:rsidRDefault="001B113E" w:rsidP="001B113E">
      <w:pPr>
        <w:ind w:left="720" w:firstLine="720"/>
      </w:pPr>
      <w:r w:rsidRPr="003A6577">
        <w:t>Source: AIHW (2019b)</w:t>
      </w:r>
    </w:p>
    <w:p w14:paraId="0F082299" w14:textId="01C228F7" w:rsidR="001B113E" w:rsidRPr="003A6577" w:rsidRDefault="001B113E" w:rsidP="001B113E">
      <w:r w:rsidRPr="003A6577">
        <w:lastRenderedPageBreak/>
        <w:t>While the specialist-GP FTE rate (per 100,000 population) is relatively higher in remote and very remote areas, this figure does not reflect population dispersion nor residents’ ability to access services. The Geographic Index of Relative Supply (GIRS) adjusts the known workforce supply for land size, population dispersion and proximity of the population to relevant service locations. GIRS scores range from 0</w:t>
      </w:r>
      <w:r>
        <w:t> </w:t>
      </w:r>
      <w:r w:rsidRPr="003A6577">
        <w:t xml:space="preserve">to 8. Areas with lower GIRS scores are more likely to face workforce supply challenges than those with higher scores. </w:t>
      </w:r>
      <w:r w:rsidRPr="003A6577">
        <w:fldChar w:fldCharType="begin"/>
      </w:r>
      <w:r w:rsidRPr="003A6577">
        <w:instrText xml:space="preserve"> REF _Ref63148168 \h  \* MERGEFORMAT </w:instrText>
      </w:r>
      <w:r w:rsidRPr="003A6577">
        <w:fldChar w:fldCharType="separate"/>
      </w:r>
      <w:r w:rsidR="00C50B67" w:rsidRPr="003A6577">
        <w:t xml:space="preserve">Figure </w:t>
      </w:r>
      <w:r w:rsidR="00C50B67">
        <w:rPr>
          <w:noProof/>
        </w:rPr>
        <w:t>2.7</w:t>
      </w:r>
      <w:r w:rsidRPr="003A6577">
        <w:fldChar w:fldCharType="end"/>
      </w:r>
      <w:r w:rsidRPr="003A6577">
        <w:t xml:space="preserve"> illustrates that relative to major cities, remote and very remote areas of Australia face substantially higher GP workforce supply challenges.</w:t>
      </w:r>
    </w:p>
    <w:p w14:paraId="4623F4C4" w14:textId="2A8D6699" w:rsidR="001B113E" w:rsidRPr="003A6577" w:rsidRDefault="001B113E" w:rsidP="001B113E">
      <w:pPr>
        <w:pStyle w:val="Caption"/>
      </w:pPr>
      <w:bookmarkStart w:id="52" w:name="_Ref63148168"/>
      <w:r w:rsidRPr="003A6577">
        <w:t xml:space="preserve">Figure </w:t>
      </w:r>
      <w:fldSimple w:instr=" STYLEREF 1 \s ">
        <w:r w:rsidR="00C50B67">
          <w:rPr>
            <w:noProof/>
          </w:rPr>
          <w:t>2</w:t>
        </w:r>
      </w:fldSimple>
      <w:r>
        <w:t>.</w:t>
      </w:r>
      <w:fldSimple w:instr=" SEQ Figure \* ARABIC \s 1 ">
        <w:r w:rsidR="00C50B67">
          <w:rPr>
            <w:noProof/>
          </w:rPr>
          <w:t>7</w:t>
        </w:r>
      </w:fldSimple>
      <w:bookmarkEnd w:id="52"/>
      <w:r w:rsidRPr="003A6577">
        <w:rPr>
          <w:noProof/>
        </w:rPr>
        <w:t xml:space="preserve">: </w:t>
      </w:r>
      <w:r w:rsidRPr="004E2804">
        <w:rPr>
          <w:rStyle w:val="Caption-notboldChar"/>
        </w:rPr>
        <w:t xml:space="preserve">GIRS index scores, Specialist General Practitioners by </w:t>
      </w:r>
      <w:r>
        <w:rPr>
          <w:rStyle w:val="Caption-notboldChar"/>
        </w:rPr>
        <w:t>Statistical Area (S</w:t>
      </w:r>
      <w:r w:rsidRPr="004E2804">
        <w:rPr>
          <w:rStyle w:val="Caption-notboldChar"/>
        </w:rPr>
        <w:t>A2</w:t>
      </w:r>
      <w:r>
        <w:rPr>
          <w:rStyle w:val="Caption-notboldChar"/>
        </w:rPr>
        <w:t>)</w:t>
      </w:r>
      <w:r w:rsidRPr="004E2804">
        <w:rPr>
          <w:rStyle w:val="Caption-notboldChar"/>
        </w:rPr>
        <w:t xml:space="preserve"> (2014)</w:t>
      </w:r>
    </w:p>
    <w:p w14:paraId="6C71CAFB" w14:textId="77777777" w:rsidR="001B113E" w:rsidRPr="003A6577" w:rsidRDefault="001B113E" w:rsidP="001B113E">
      <w:pPr>
        <w:contextualSpacing/>
      </w:pPr>
      <w:r w:rsidRPr="003A6577">
        <w:rPr>
          <w:noProof/>
          <w:lang w:eastAsia="en-AU"/>
        </w:rPr>
        <w:drawing>
          <wp:inline distT="0" distB="0" distL="0" distR="0" wp14:anchorId="75ECA982" wp14:editId="132FD677">
            <wp:extent cx="4486275" cy="3609975"/>
            <wp:effectExtent l="0" t="0" r="9525" b="9525"/>
            <wp:docPr id="5" name="image7.jpeg" descr="Map of Autralia showing GIRS index scores, Specialist General Praactitioners by SA2, 2014"/>
            <wp:cNvGraphicFramePr/>
            <a:graphic xmlns:a="http://schemas.openxmlformats.org/drawingml/2006/main">
              <a:graphicData uri="http://schemas.openxmlformats.org/drawingml/2006/picture">
                <pic:pic xmlns:pic="http://schemas.openxmlformats.org/drawingml/2006/picture">
                  <pic:nvPicPr>
                    <pic:cNvPr id="5" name="image7.jpeg" descr="Map of Autralia showing GIRS index scores, Specialist General Praactitioners by SA2, 2014"/>
                    <pic:cNvPicPr/>
                  </pic:nvPicPr>
                  <pic:blipFill>
                    <a:blip r:embed="rId30" cstate="print"/>
                    <a:stretch>
                      <a:fillRect/>
                    </a:stretch>
                  </pic:blipFill>
                  <pic:spPr>
                    <a:xfrm>
                      <a:off x="0" y="0"/>
                      <a:ext cx="4486275" cy="3609975"/>
                    </a:xfrm>
                    <a:prstGeom prst="rect">
                      <a:avLst/>
                    </a:prstGeom>
                  </pic:spPr>
                </pic:pic>
              </a:graphicData>
            </a:graphic>
          </wp:inline>
        </w:drawing>
      </w:r>
    </w:p>
    <w:p w14:paraId="6484FFD5" w14:textId="77777777" w:rsidR="001B113E" w:rsidRPr="00264085" w:rsidRDefault="001B113E" w:rsidP="001B113E">
      <w:r w:rsidRPr="003A6577">
        <w:t>Source: AIHW</w:t>
      </w:r>
      <w:sdt>
        <w:sdtPr>
          <w:id w:val="2055733813"/>
          <w:citation/>
        </w:sdtPr>
        <w:sdtEndPr/>
        <w:sdtContent>
          <w:r w:rsidRPr="003A6577">
            <w:fldChar w:fldCharType="begin"/>
          </w:r>
          <w:r w:rsidRPr="003A6577">
            <w:instrText xml:space="preserve"> CITATION Aus19 \l 3081 </w:instrText>
          </w:r>
          <w:r w:rsidRPr="003A6577">
            <w:fldChar w:fldCharType="separate"/>
          </w:r>
          <w:r>
            <w:rPr>
              <w:noProof/>
            </w:rPr>
            <w:t xml:space="preserve"> </w:t>
          </w:r>
          <w:r w:rsidRPr="003E36C4">
            <w:rPr>
              <w:noProof/>
            </w:rPr>
            <w:t>[12]</w:t>
          </w:r>
          <w:r w:rsidRPr="003A6577">
            <w:fldChar w:fldCharType="end"/>
          </w:r>
        </w:sdtContent>
      </w:sdt>
    </w:p>
    <w:p w14:paraId="5D5789EF" w14:textId="77777777" w:rsidR="001B113E" w:rsidRPr="001D73E5" w:rsidRDefault="001B113E" w:rsidP="00273491">
      <w:pPr>
        <w:pStyle w:val="Heading3"/>
        <w:spacing w:before="0"/>
      </w:pPr>
      <w:bookmarkStart w:id="53" w:name="_Toc62815592"/>
      <w:bookmarkStart w:id="54" w:name="_Toc67487730"/>
      <w:bookmarkStart w:id="55" w:name="_Toc85203276"/>
      <w:r w:rsidRPr="001D73E5">
        <w:t>Initiatives supporting attraction, recruitment and retention</w:t>
      </w:r>
      <w:bookmarkEnd w:id="53"/>
      <w:bookmarkEnd w:id="54"/>
      <w:bookmarkEnd w:id="55"/>
    </w:p>
    <w:p w14:paraId="025383D3" w14:textId="77777777" w:rsidR="001B113E" w:rsidRPr="003A6577" w:rsidRDefault="001B113E" w:rsidP="001B113E">
      <w:r w:rsidRPr="003A6577">
        <w:t>Since the introduction of the Initiative in 2006, there has been a range of Commonwealth policies and programs introduced or reconfigured to better respond to rural workforce shortage and maldistribution. In addition, there is now evidence of the positive impact on long rural clinical immersions during medical training for the rural medical workforce</w:t>
      </w:r>
      <w:sdt>
        <w:sdtPr>
          <w:id w:val="620885899"/>
          <w:citation/>
        </w:sdtPr>
        <w:sdtEndPr/>
        <w:sdtContent>
          <w:r w:rsidRPr="003A6577">
            <w:fldChar w:fldCharType="begin"/>
          </w:r>
          <w:r w:rsidRPr="003A6577">
            <w:instrText xml:space="preserve"> CITATION McG19 \l 3081 </w:instrText>
          </w:r>
          <w:r w:rsidRPr="003A6577">
            <w:fldChar w:fldCharType="separate"/>
          </w:r>
          <w:r>
            <w:rPr>
              <w:noProof/>
            </w:rPr>
            <w:t xml:space="preserve"> </w:t>
          </w:r>
          <w:r w:rsidRPr="003E36C4">
            <w:rPr>
              <w:noProof/>
            </w:rPr>
            <w:t>[13]</w:t>
          </w:r>
          <w:r w:rsidRPr="003A6577">
            <w:fldChar w:fldCharType="end"/>
          </w:r>
        </w:sdtContent>
      </w:sdt>
      <w:r w:rsidRPr="003A6577">
        <w:t xml:space="preserve">. </w:t>
      </w:r>
    </w:p>
    <w:p w14:paraId="58F4DBA4" w14:textId="77777777" w:rsidR="001B113E" w:rsidRPr="003A6577" w:rsidRDefault="001B113E" w:rsidP="001B113E">
      <w:pPr>
        <w:rPr>
          <w:rFonts w:eastAsia="Calibri"/>
        </w:rPr>
      </w:pPr>
      <w:r w:rsidRPr="003A6577">
        <w:rPr>
          <w:rFonts w:eastAsia="Calibri"/>
        </w:rPr>
        <w:t>In addition to strategies to grow the workforce supply, other policies to attract, retain and re-distribute the health workforce to rural and remote areas have focused on workforce training, professional development and financial incentives. These programs are detail</w:t>
      </w:r>
      <w:r>
        <w:rPr>
          <w:rFonts w:eastAsia="Calibri"/>
        </w:rPr>
        <w:t>ed</w:t>
      </w:r>
      <w:r w:rsidRPr="003A6577">
        <w:rPr>
          <w:rFonts w:eastAsia="Calibri"/>
        </w:rPr>
        <w:t xml:space="preserve"> in Appendix C. </w:t>
      </w:r>
      <w:r w:rsidRPr="003A6577">
        <w:t>The extent to which the Initiative contributes to workforce supply and retention needs to be considered in context of these other policy initiatives, some of which are now demonstrating positive outcomes.</w:t>
      </w:r>
    </w:p>
    <w:p w14:paraId="449AFFF1" w14:textId="77777777" w:rsidR="001B113E" w:rsidRPr="003A6577" w:rsidRDefault="001B113E" w:rsidP="001B113E">
      <w:pPr>
        <w:pStyle w:val="Heading2"/>
      </w:pPr>
      <w:bookmarkStart w:id="56" w:name="_Toc62815593"/>
      <w:bookmarkStart w:id="57" w:name="_Toc67487731"/>
      <w:bookmarkStart w:id="58" w:name="_Toc85203277"/>
      <w:r w:rsidRPr="003A6577">
        <w:t xml:space="preserve">Improving access to primary </w:t>
      </w:r>
      <w:r>
        <w:t>healthcare</w:t>
      </w:r>
      <w:bookmarkEnd w:id="56"/>
      <w:bookmarkEnd w:id="57"/>
      <w:bookmarkEnd w:id="58"/>
    </w:p>
    <w:p w14:paraId="09599779" w14:textId="77777777" w:rsidR="001B113E" w:rsidRPr="003A6577" w:rsidRDefault="001B113E" w:rsidP="001B113E">
      <w:r w:rsidRPr="003A6577">
        <w:t xml:space="preserve">In addition to Medicare, the Australian Government predominantly invests in the support of primary </w:t>
      </w:r>
      <w:r>
        <w:t>healthcare</w:t>
      </w:r>
      <w:r w:rsidRPr="003A6577">
        <w:t xml:space="preserve"> through Primary Health Networks (PHNs) and ACCHOs.</w:t>
      </w:r>
    </w:p>
    <w:p w14:paraId="4D14A50B" w14:textId="77777777" w:rsidR="001B113E" w:rsidRPr="003A6577" w:rsidRDefault="001B113E" w:rsidP="001B113E">
      <w:pPr>
        <w:keepNext/>
        <w:keepLines/>
        <w:spacing w:before="200"/>
        <w:outlineLvl w:val="3"/>
        <w:rPr>
          <w:rFonts w:asciiTheme="majorHAnsi" w:eastAsia="Calibri" w:hAnsiTheme="majorHAnsi" w:cs="Times New Roman"/>
          <w:bCs/>
          <w:iCs/>
          <w:color w:val="000000"/>
          <w:spacing w:val="-3"/>
          <w:sz w:val="24"/>
          <w:szCs w:val="20"/>
        </w:rPr>
      </w:pPr>
      <w:r w:rsidRPr="003A6577">
        <w:rPr>
          <w:rFonts w:asciiTheme="majorHAnsi" w:eastAsia="Calibri" w:hAnsiTheme="majorHAnsi" w:cs="Times New Roman"/>
          <w:bCs/>
          <w:iCs/>
          <w:color w:val="000000"/>
          <w:spacing w:val="-3"/>
          <w:sz w:val="24"/>
          <w:szCs w:val="20"/>
        </w:rPr>
        <w:t>Primary Health Networks</w:t>
      </w:r>
      <w:r>
        <w:rPr>
          <w:rFonts w:asciiTheme="majorHAnsi" w:eastAsia="Calibri" w:hAnsiTheme="majorHAnsi" w:cs="Times New Roman"/>
          <w:bCs/>
          <w:iCs/>
          <w:color w:val="000000"/>
          <w:spacing w:val="-3"/>
          <w:sz w:val="24"/>
          <w:szCs w:val="20"/>
        </w:rPr>
        <w:t xml:space="preserve"> (PHNs)</w:t>
      </w:r>
    </w:p>
    <w:p w14:paraId="2C0C77A8" w14:textId="77777777" w:rsidR="001B113E" w:rsidRPr="003A6577" w:rsidRDefault="001B113E" w:rsidP="001B113E">
      <w:pPr>
        <w:rPr>
          <w:rFonts w:cs="Calibri"/>
        </w:rPr>
      </w:pPr>
      <w:r w:rsidRPr="003A6577">
        <w:t xml:space="preserve">The PHNs are a key Australian Government initiative designed to improve access to primary </w:t>
      </w:r>
      <w:r>
        <w:t>healthcare</w:t>
      </w:r>
      <w:r w:rsidRPr="003A6577">
        <w:t>, and integration of service delivery within a regional network. There are 31 PHNs across Australia, superseding the previous Medicare Local initiative in 2015. The PHNs</w:t>
      </w:r>
      <w:r w:rsidRPr="003A6577">
        <w:rPr>
          <w:rFonts w:cs="Calibri"/>
        </w:rPr>
        <w:t xml:space="preserve"> commission a range of primary </w:t>
      </w:r>
      <w:r>
        <w:rPr>
          <w:rFonts w:cs="Calibri"/>
        </w:rPr>
        <w:t>healthcare</w:t>
      </w:r>
      <w:r w:rsidRPr="003A6577">
        <w:rPr>
          <w:rFonts w:cs="Calibri"/>
        </w:rPr>
        <w:t xml:space="preserve"> services informed by their Health Needs Assessment. While the nature and scope of commissioned services differ between PHNs, they target chronic disease prevention and management, mental health, drug and alcohol, aged care, palliative care, Aboriginal and Torres Strait Islander health and After Hours. In contrast to Medicare Locals, PHNs commission services from local, regional or national </w:t>
      </w:r>
      <w:r w:rsidRPr="003A6577">
        <w:rPr>
          <w:rFonts w:cs="Calibri"/>
        </w:rPr>
        <w:lastRenderedPageBreak/>
        <w:t xml:space="preserve">providers, rather than directly employing health professionals to deliver primary </w:t>
      </w:r>
      <w:r>
        <w:rPr>
          <w:rFonts w:cs="Calibri"/>
        </w:rPr>
        <w:t>healthcare</w:t>
      </w:r>
      <w:r w:rsidRPr="003A6577">
        <w:rPr>
          <w:rFonts w:cs="Calibri"/>
        </w:rPr>
        <w:t>.</w:t>
      </w:r>
    </w:p>
    <w:p w14:paraId="755727A4" w14:textId="77777777" w:rsidR="001B113E" w:rsidRPr="003A6577" w:rsidRDefault="001B113E" w:rsidP="001B113E">
      <w:pPr>
        <w:keepNext/>
        <w:keepLines/>
        <w:spacing w:before="200"/>
        <w:outlineLvl w:val="3"/>
        <w:rPr>
          <w:rFonts w:asciiTheme="majorHAnsi" w:eastAsia="Calibri" w:hAnsiTheme="majorHAnsi" w:cs="Times New Roman"/>
          <w:bCs/>
          <w:iCs/>
          <w:color w:val="000000"/>
          <w:spacing w:val="-3"/>
          <w:sz w:val="24"/>
          <w:szCs w:val="20"/>
        </w:rPr>
      </w:pPr>
      <w:r w:rsidRPr="003A6577">
        <w:rPr>
          <w:rFonts w:asciiTheme="majorHAnsi" w:eastAsia="Calibri" w:hAnsiTheme="majorHAnsi" w:cs="Times New Roman"/>
          <w:bCs/>
          <w:iCs/>
          <w:color w:val="000000"/>
          <w:spacing w:val="-3"/>
          <w:sz w:val="24"/>
          <w:szCs w:val="20"/>
        </w:rPr>
        <w:t>Indigenous Australians’ Health Program (IAHP)</w:t>
      </w:r>
    </w:p>
    <w:p w14:paraId="2B98C6F3" w14:textId="77777777" w:rsidR="001B113E" w:rsidRPr="003A6577" w:rsidRDefault="001B113E" w:rsidP="001B113E">
      <w:pPr>
        <w:rPr>
          <w:rFonts w:cs="Times New Roman"/>
        </w:rPr>
      </w:pPr>
      <w:r w:rsidRPr="003A6577">
        <w:rPr>
          <w:shd w:val="clear" w:color="auto" w:fill="FFFFFF"/>
        </w:rPr>
        <w:t>In July 2014, the Australian Government established the IAHP, consolidating four existing funding streams specific to Aboriginal and Torres Strait Islander people.</w:t>
      </w:r>
      <w:r>
        <w:rPr>
          <w:shd w:val="clear" w:color="auto" w:fill="FFFFFF"/>
        </w:rPr>
        <w:t xml:space="preserve"> </w:t>
      </w:r>
      <w:r w:rsidRPr="003A6577">
        <w:rPr>
          <w:shd w:val="clear" w:color="auto" w:fill="FFFFFF"/>
        </w:rPr>
        <w:t xml:space="preserve">The funding streams were primary </w:t>
      </w:r>
      <w:r>
        <w:rPr>
          <w:shd w:val="clear" w:color="auto" w:fill="FFFFFF"/>
        </w:rPr>
        <w:t>healthcare</w:t>
      </w:r>
      <w:r w:rsidRPr="003A6577">
        <w:rPr>
          <w:shd w:val="clear" w:color="auto" w:fill="FFFFFF"/>
        </w:rPr>
        <w:t xml:space="preserve">; child and maternal health programs; Stronger Futures in the Northern Territory (Health); and programs covered by the Aboriginal and Torres Strait Islander Chronic Disease Fund. The purpose of the IAHP is to </w:t>
      </w:r>
      <w:r w:rsidRPr="003A6577">
        <w:rPr>
          <w:rFonts w:cs="Times New Roman"/>
        </w:rPr>
        <w:t xml:space="preserve">provide Aboriginal and Torres Strait Islander people with access to effective, high quality, comprehensive, culturally appropriate primary </w:t>
      </w:r>
      <w:r>
        <w:rPr>
          <w:rFonts w:cs="Times New Roman"/>
        </w:rPr>
        <w:t>healthcare</w:t>
      </w:r>
      <w:r w:rsidRPr="003A6577">
        <w:rPr>
          <w:rFonts w:cs="Times New Roman"/>
        </w:rPr>
        <w:t xml:space="preserve"> delivered through the national ACCHO sector. </w:t>
      </w:r>
    </w:p>
    <w:p w14:paraId="1F15223C" w14:textId="77777777" w:rsidR="001B113E" w:rsidRPr="003A6577" w:rsidRDefault="001B113E" w:rsidP="001B113E">
      <w:pPr>
        <w:keepNext/>
        <w:keepLines/>
        <w:spacing w:before="200"/>
        <w:outlineLvl w:val="3"/>
        <w:rPr>
          <w:rFonts w:asciiTheme="majorHAnsi" w:eastAsia="Calibri" w:hAnsiTheme="majorHAnsi" w:cs="Times New Roman"/>
          <w:bCs/>
          <w:iCs/>
          <w:color w:val="000000"/>
          <w:spacing w:val="-3"/>
          <w:sz w:val="24"/>
          <w:szCs w:val="20"/>
        </w:rPr>
      </w:pPr>
      <w:r w:rsidRPr="003A6577">
        <w:rPr>
          <w:rFonts w:asciiTheme="majorHAnsi" w:eastAsia="Calibri" w:hAnsiTheme="majorHAnsi" w:cs="Times New Roman"/>
          <w:bCs/>
          <w:iCs/>
          <w:color w:val="000000"/>
          <w:spacing w:val="-3"/>
          <w:sz w:val="24"/>
          <w:szCs w:val="20"/>
        </w:rPr>
        <w:t>The Rural Health Outreach Fund</w:t>
      </w:r>
    </w:p>
    <w:p w14:paraId="08CF15FE" w14:textId="77777777" w:rsidR="001B113E" w:rsidRPr="003A6577" w:rsidRDefault="001B113E" w:rsidP="001B113E">
      <w:r w:rsidRPr="003A6577">
        <w:t>The Rural Health Outreach Fund</w:t>
      </w:r>
      <w:r>
        <w:t xml:space="preserve"> (RHOF)</w:t>
      </w:r>
      <w:r w:rsidRPr="003A6577">
        <w:t xml:space="preserve"> aims to improve access to medical specialists, GPs, allied and other health providers in rural, regional and remote areas of Australia. The RHOF, introduced in 2011, consolidated the activities of five existing outreach programs:</w:t>
      </w:r>
    </w:p>
    <w:p w14:paraId="0B8B5B9D" w14:textId="77777777" w:rsidR="001B113E" w:rsidRPr="003A6577" w:rsidRDefault="001B113E" w:rsidP="001B113E">
      <w:pPr>
        <w:numPr>
          <w:ilvl w:val="0"/>
          <w:numId w:val="4"/>
        </w:numPr>
        <w:contextualSpacing/>
      </w:pPr>
      <w:r w:rsidRPr="003A6577">
        <w:t>Medical Specialist Outreach Assistance Program (MSOAP)</w:t>
      </w:r>
    </w:p>
    <w:p w14:paraId="7C463B32" w14:textId="77777777" w:rsidR="001B113E" w:rsidRPr="003A6577" w:rsidRDefault="001B113E" w:rsidP="001B113E">
      <w:pPr>
        <w:numPr>
          <w:ilvl w:val="0"/>
          <w:numId w:val="4"/>
        </w:numPr>
        <w:contextualSpacing/>
      </w:pPr>
      <w:r w:rsidRPr="003A6577">
        <w:t>MSOAP – Maternity Services</w:t>
      </w:r>
    </w:p>
    <w:p w14:paraId="2D59F0F7" w14:textId="77777777" w:rsidR="001B113E" w:rsidRPr="003A6577" w:rsidRDefault="001B113E" w:rsidP="001B113E">
      <w:pPr>
        <w:numPr>
          <w:ilvl w:val="0"/>
          <w:numId w:val="4"/>
        </w:numPr>
        <w:contextualSpacing/>
      </w:pPr>
      <w:r w:rsidRPr="003A6577">
        <w:t>MSOAP – Ophthalmology</w:t>
      </w:r>
    </w:p>
    <w:p w14:paraId="6E7DFAAF" w14:textId="77777777" w:rsidR="001B113E" w:rsidRPr="003A6577" w:rsidRDefault="001B113E" w:rsidP="001B113E">
      <w:pPr>
        <w:numPr>
          <w:ilvl w:val="0"/>
          <w:numId w:val="4"/>
        </w:numPr>
        <w:contextualSpacing/>
      </w:pPr>
      <w:r w:rsidRPr="003A6577">
        <w:t>National Rural and Remote Health Program; and</w:t>
      </w:r>
    </w:p>
    <w:p w14:paraId="72070C4C" w14:textId="77777777" w:rsidR="001B113E" w:rsidRPr="003A6577" w:rsidRDefault="001B113E" w:rsidP="001B113E">
      <w:pPr>
        <w:numPr>
          <w:ilvl w:val="0"/>
          <w:numId w:val="4"/>
        </w:numPr>
        <w:contextualSpacing/>
      </w:pPr>
      <w:r w:rsidRPr="003A6577">
        <w:t>Rural Women’s GP Service Program.</w:t>
      </w:r>
    </w:p>
    <w:p w14:paraId="136FC236" w14:textId="77777777" w:rsidR="001B113E" w:rsidRPr="003A6577" w:rsidRDefault="001B113E" w:rsidP="001B113E">
      <w:pPr>
        <w:spacing w:before="240"/>
      </w:pPr>
      <w:r w:rsidRPr="003A6577">
        <w:t xml:space="preserve">There are four health priorities under the RHOF: maternity and paediatric health, eye health, mental health and support for chronic disease management. Rural Workforce Agencies (RWAs) manage the </w:t>
      </w:r>
      <w:r>
        <w:t>RHOF</w:t>
      </w:r>
      <w:r w:rsidRPr="003A6577">
        <w:t xml:space="preserve"> in each jurisdiction other than Queensland – where it is managed by Check-Up. </w:t>
      </w:r>
    </w:p>
    <w:p w14:paraId="417A5C2C" w14:textId="77777777" w:rsidR="001B113E" w:rsidRPr="003A6577" w:rsidRDefault="001B113E" w:rsidP="001B113E">
      <w:pPr>
        <w:keepNext/>
        <w:keepLines/>
        <w:spacing w:before="200"/>
        <w:outlineLvl w:val="3"/>
        <w:rPr>
          <w:rFonts w:asciiTheme="majorHAnsi" w:eastAsia="Calibri" w:hAnsiTheme="majorHAnsi" w:cs="Times New Roman"/>
          <w:bCs/>
          <w:iCs/>
          <w:color w:val="000000"/>
          <w:spacing w:val="-3"/>
          <w:sz w:val="24"/>
          <w:szCs w:val="20"/>
        </w:rPr>
      </w:pPr>
      <w:r w:rsidRPr="003A6577">
        <w:rPr>
          <w:rFonts w:asciiTheme="majorHAnsi" w:eastAsia="Calibri" w:hAnsiTheme="majorHAnsi" w:cs="Times New Roman"/>
          <w:bCs/>
          <w:iCs/>
          <w:color w:val="000000"/>
          <w:spacing w:val="-3"/>
          <w:sz w:val="24"/>
          <w:szCs w:val="20"/>
        </w:rPr>
        <w:t xml:space="preserve">Intersection with the </w:t>
      </w:r>
      <w:r>
        <w:rPr>
          <w:rFonts w:asciiTheme="majorHAnsi" w:eastAsia="Calibri" w:hAnsiTheme="majorHAnsi" w:cs="Times New Roman"/>
          <w:bCs/>
          <w:iCs/>
          <w:color w:val="000000"/>
          <w:spacing w:val="-3"/>
          <w:sz w:val="24"/>
          <w:szCs w:val="20"/>
        </w:rPr>
        <w:t>Section 19(2)</w:t>
      </w:r>
      <w:r w:rsidRPr="003A6577">
        <w:rPr>
          <w:rFonts w:asciiTheme="majorHAnsi" w:eastAsia="Calibri" w:hAnsiTheme="majorHAnsi" w:cs="Times New Roman"/>
          <w:bCs/>
          <w:iCs/>
          <w:color w:val="000000"/>
          <w:spacing w:val="-3"/>
          <w:sz w:val="24"/>
          <w:szCs w:val="20"/>
        </w:rPr>
        <w:t xml:space="preserve"> Initiative</w:t>
      </w:r>
    </w:p>
    <w:p w14:paraId="0E2ED390" w14:textId="77777777" w:rsidR="001B113E" w:rsidRPr="003A6577" w:rsidRDefault="001B113E" w:rsidP="001B113E">
      <w:pPr>
        <w:rPr>
          <w:rFonts w:cs="Calibri"/>
          <w:color w:val="222222"/>
          <w:shd w:val="clear" w:color="auto" w:fill="FFFFFF"/>
        </w:rPr>
      </w:pPr>
      <w:r w:rsidRPr="003A6577">
        <w:t xml:space="preserve">Over the last decade the Australian Government has increased investment in primary </w:t>
      </w:r>
      <w:r>
        <w:t>healthcare</w:t>
      </w:r>
      <w:r w:rsidRPr="003A6577">
        <w:t xml:space="preserve"> services through the PHNs, the IAHP and the </w:t>
      </w:r>
      <w:r>
        <w:t>RHOF</w:t>
      </w:r>
      <w:r w:rsidRPr="003A6577">
        <w:t xml:space="preserve">. In July 2020, the Australian Government introduced a new funding model for the IAHP </w:t>
      </w:r>
      <w:r w:rsidRPr="003A6577">
        <w:t xml:space="preserve">which combines </w:t>
      </w:r>
      <w:r w:rsidRPr="003A6577">
        <w:rPr>
          <w:b/>
          <w:bCs/>
        </w:rPr>
        <w:t>capitation and activity</w:t>
      </w:r>
      <w:r w:rsidRPr="003A6577">
        <w:t xml:space="preserve"> and includes adjustments for cost of delivering services </w:t>
      </w:r>
      <w:r w:rsidRPr="003A6577">
        <w:rPr>
          <w:b/>
          <w:bCs/>
        </w:rPr>
        <w:t>(remoteness</w:t>
      </w:r>
      <w:r w:rsidRPr="003A6577">
        <w:t xml:space="preserve">) and </w:t>
      </w:r>
      <w:r w:rsidRPr="003A6577">
        <w:rPr>
          <w:b/>
          <w:bCs/>
        </w:rPr>
        <w:t>health needs</w:t>
      </w:r>
      <w:r w:rsidRPr="003A6577">
        <w:t xml:space="preserve"> of locations.</w:t>
      </w:r>
      <w:r w:rsidRPr="003A6577">
        <w:rPr>
          <w:rFonts w:cs="Calibri"/>
          <w:color w:val="222222"/>
          <w:shd w:val="clear" w:color="auto" w:fill="FFFFFF"/>
        </w:rPr>
        <w:t xml:space="preserve"> </w:t>
      </w:r>
    </w:p>
    <w:p w14:paraId="3576EB0B" w14:textId="77777777" w:rsidR="001B113E" w:rsidRPr="009E701E" w:rsidRDefault="001B113E" w:rsidP="001B113E">
      <w:pPr>
        <w:pStyle w:val="Heading2"/>
      </w:pPr>
      <w:bookmarkStart w:id="59" w:name="_Toc67487733"/>
      <w:bookmarkStart w:id="60" w:name="_Toc85203278"/>
      <w:r>
        <w:t>Wider</w:t>
      </w:r>
      <w:r w:rsidRPr="009E701E">
        <w:t xml:space="preserve"> health </w:t>
      </w:r>
      <w:r>
        <w:t>and</w:t>
      </w:r>
      <w:r w:rsidRPr="009E701E">
        <w:t xml:space="preserve"> human services context</w:t>
      </w:r>
      <w:bookmarkEnd w:id="59"/>
      <w:bookmarkEnd w:id="60"/>
    </w:p>
    <w:p w14:paraId="2E23D386" w14:textId="77777777" w:rsidR="001B113E" w:rsidRDefault="001B113E" w:rsidP="001B113E">
      <w:r w:rsidRPr="009E701E">
        <w:t xml:space="preserve">The introduction of the National Disability Insurance Scheme highlighted the market failure and known challenges to attracting and retaining allied health workforce in rural and remote areas. Private providers and NGOs are developing business models to extend </w:t>
      </w:r>
      <w:r>
        <w:t xml:space="preserve">disability support </w:t>
      </w:r>
      <w:r w:rsidRPr="009E701E">
        <w:t xml:space="preserve">services into rural areas. </w:t>
      </w:r>
    </w:p>
    <w:p w14:paraId="2F767CF2" w14:textId="77777777" w:rsidR="001B113E" w:rsidRPr="009E701E" w:rsidRDefault="001B113E" w:rsidP="001B113E">
      <w:r w:rsidRPr="009E701E">
        <w:t>The recent report by the National Rural Health Commissioner</w:t>
      </w:r>
      <w:sdt>
        <w:sdtPr>
          <w:id w:val="232364387"/>
          <w:citation/>
        </w:sdtPr>
        <w:sdtEndPr/>
        <w:sdtContent>
          <w:r w:rsidRPr="009E701E">
            <w:fldChar w:fldCharType="begin"/>
          </w:r>
          <w:r w:rsidRPr="009E701E">
            <w:instrText xml:space="preserve"> CITATION Nat20 \l 3081 </w:instrText>
          </w:r>
          <w:r w:rsidRPr="009E701E">
            <w:fldChar w:fldCharType="separate"/>
          </w:r>
          <w:r>
            <w:rPr>
              <w:noProof/>
            </w:rPr>
            <w:t xml:space="preserve"> </w:t>
          </w:r>
          <w:r w:rsidRPr="003E36C4">
            <w:rPr>
              <w:noProof/>
            </w:rPr>
            <w:t>[14]</w:t>
          </w:r>
          <w:r w:rsidRPr="009E701E">
            <w:fldChar w:fldCharType="end"/>
          </w:r>
        </w:sdtContent>
      </w:sdt>
      <w:r w:rsidRPr="009E701E">
        <w:t xml:space="preserve"> highlights the issue of fragmented funding models impacting on development of attractive allied health positions and has put forward recommendations for establishment of allied health </w:t>
      </w:r>
      <w:r w:rsidRPr="009E701E">
        <w:rPr>
          <w:i/>
          <w:iCs/>
        </w:rPr>
        <w:t>Service-Learning Consortia</w:t>
      </w:r>
      <w:r w:rsidRPr="009E701E">
        <w:t xml:space="preserve"> to improve allied health workforce supply and distribution through integrated training and service delivery using fund blending models. </w:t>
      </w:r>
    </w:p>
    <w:p w14:paraId="6FA40B68" w14:textId="77777777" w:rsidR="001B113E" w:rsidRPr="009E701E" w:rsidRDefault="001B113E" w:rsidP="001B113E">
      <w:pPr>
        <w:rPr>
          <w:rFonts w:cs="Times New Roman"/>
        </w:rPr>
      </w:pPr>
      <w:r>
        <w:rPr>
          <w:rFonts w:cs="Times New Roman"/>
        </w:rPr>
        <w:t>Implementation of t</w:t>
      </w:r>
      <w:r w:rsidRPr="009E701E">
        <w:rPr>
          <w:rFonts w:cs="Times New Roman"/>
        </w:rPr>
        <w:t xml:space="preserve">he Royal Commission into Aged Care </w:t>
      </w:r>
      <w:r>
        <w:rPr>
          <w:rFonts w:cs="Times New Roman"/>
        </w:rPr>
        <w:t xml:space="preserve">recommendations </w:t>
      </w:r>
      <w:r w:rsidRPr="009E701E">
        <w:rPr>
          <w:rFonts w:cs="Times New Roman"/>
        </w:rPr>
        <w:t xml:space="preserve">will have implications for rural service development and workforce development particularly for nursing and allied health. Many of the </w:t>
      </w:r>
      <w:r>
        <w:rPr>
          <w:rFonts w:cs="Times New Roman"/>
        </w:rPr>
        <w:t>Section 19(2) s</w:t>
      </w:r>
      <w:r w:rsidRPr="009E701E">
        <w:rPr>
          <w:rFonts w:cs="Times New Roman"/>
        </w:rPr>
        <w:t>ites are Multipurpose Health Services</w:t>
      </w:r>
      <w:r>
        <w:rPr>
          <w:rFonts w:cs="Times New Roman"/>
        </w:rPr>
        <w:t xml:space="preserve"> (MPS) which include service delivery capability in the areas of community care and residential aged care</w:t>
      </w:r>
      <w:r w:rsidRPr="009E701E">
        <w:rPr>
          <w:rFonts w:cs="Times New Roman"/>
        </w:rPr>
        <w:t xml:space="preserve">. Furthermore, many NGOs and private allied health providers have developed business models that work across disability, aged care and primary </w:t>
      </w:r>
      <w:r>
        <w:rPr>
          <w:rFonts w:cs="Times New Roman"/>
        </w:rPr>
        <w:t>healthcare</w:t>
      </w:r>
      <w:r w:rsidRPr="009E701E">
        <w:rPr>
          <w:rFonts w:cs="Times New Roman"/>
        </w:rPr>
        <w:t xml:space="preserve"> in rural and regional areas. </w:t>
      </w:r>
    </w:p>
    <w:p w14:paraId="0356772B" w14:textId="77777777" w:rsidR="001B113E" w:rsidRPr="0029529F" w:rsidRDefault="001B113E" w:rsidP="001B113E">
      <w:pPr>
        <w:rPr>
          <w:rFonts w:eastAsia="Times New Roman" w:cs="Times New Roman"/>
          <w:lang w:eastAsia="en-AU"/>
        </w:rPr>
      </w:pPr>
      <w:r w:rsidRPr="0029529F">
        <w:rPr>
          <w:rFonts w:cs="Times New Roman"/>
        </w:rPr>
        <w:t xml:space="preserve">The new </w:t>
      </w:r>
      <w:r w:rsidRPr="0029529F">
        <w:rPr>
          <w:rFonts w:cs="Times New Roman"/>
          <w:i/>
          <w:iCs/>
        </w:rPr>
        <w:t>National Health Reform Agreement 2020–2025</w:t>
      </w:r>
      <w:r w:rsidRPr="0029529F">
        <w:rPr>
          <w:rFonts w:cs="Times New Roman"/>
        </w:rPr>
        <w:t xml:space="preserve"> was signed off by all Australian governments in May 2020. </w:t>
      </w:r>
      <w:r w:rsidRPr="0029529F">
        <w:rPr>
          <w:rFonts w:eastAsia="Times New Roman" w:cs="Times New Roman"/>
          <w:lang w:eastAsia="en-AU"/>
        </w:rPr>
        <w:t>Through this agreement, the Australian Government contributes funds to the states and territories for public hospital services. This includes services delivered through emergency departments, hospitals and community health settings.</w:t>
      </w:r>
    </w:p>
    <w:p w14:paraId="27264CC4" w14:textId="77777777" w:rsidR="001B113E" w:rsidRPr="0029529F" w:rsidRDefault="001B113E" w:rsidP="001B113E">
      <w:pPr>
        <w:rPr>
          <w:rFonts w:eastAsia="Times New Roman" w:cs="Times New Roman"/>
          <w:lang w:eastAsia="en-AU"/>
        </w:rPr>
      </w:pPr>
      <w:r w:rsidRPr="0029529F">
        <w:rPr>
          <w:rFonts w:eastAsia="Times New Roman" w:cs="Times New Roman"/>
          <w:lang w:eastAsia="en-AU"/>
        </w:rPr>
        <w:t xml:space="preserve">The long-term reforms outlined in the 2020–2025 agreement will examine how well the different components of the health system interact. The reforms will give local health services the flexibility to try new solutions to address system barriers and </w:t>
      </w:r>
      <w:r w:rsidRPr="0029529F">
        <w:rPr>
          <w:rFonts w:eastAsia="Times New Roman" w:cs="Times New Roman"/>
          <w:lang w:eastAsia="en-AU"/>
        </w:rPr>
        <w:lastRenderedPageBreak/>
        <w:t>improve service delivery to ensure health services best suit the needs of their local community. The six reforms focus on:</w:t>
      </w:r>
    </w:p>
    <w:p w14:paraId="035BD220" w14:textId="77777777" w:rsidR="001B113E" w:rsidRPr="009E701E" w:rsidRDefault="001B113E" w:rsidP="001B113E">
      <w:pPr>
        <w:numPr>
          <w:ilvl w:val="0"/>
          <w:numId w:val="4"/>
        </w:numPr>
        <w:contextualSpacing/>
        <w:rPr>
          <w:lang w:eastAsia="en-AU"/>
        </w:rPr>
      </w:pPr>
      <w:r w:rsidRPr="009E701E">
        <w:rPr>
          <w:lang w:eastAsia="en-AU"/>
        </w:rPr>
        <w:t>Empowering people through health literacy – person-centred health information and support will empower people to manage their own health and engage effectively with health services</w:t>
      </w:r>
    </w:p>
    <w:p w14:paraId="7498BDB5" w14:textId="77777777" w:rsidR="001B113E" w:rsidRPr="009E701E" w:rsidRDefault="001B113E" w:rsidP="001B113E">
      <w:pPr>
        <w:numPr>
          <w:ilvl w:val="0"/>
          <w:numId w:val="4"/>
        </w:numPr>
        <w:contextualSpacing/>
        <w:rPr>
          <w:lang w:eastAsia="en-AU"/>
        </w:rPr>
      </w:pPr>
      <w:r w:rsidRPr="009E701E">
        <w:rPr>
          <w:lang w:eastAsia="en-AU"/>
        </w:rPr>
        <w:t>Prevention and wellbeing – to reduce the burden of long-term chronic conditions and improve people’s quality of life</w:t>
      </w:r>
    </w:p>
    <w:p w14:paraId="22B2CFC7" w14:textId="77777777" w:rsidR="001B113E" w:rsidRPr="009E701E" w:rsidRDefault="001B113E" w:rsidP="001B113E">
      <w:pPr>
        <w:numPr>
          <w:ilvl w:val="0"/>
          <w:numId w:val="4"/>
        </w:numPr>
        <w:contextualSpacing/>
        <w:rPr>
          <w:lang w:eastAsia="en-AU"/>
        </w:rPr>
      </w:pPr>
      <w:r w:rsidRPr="009E701E">
        <w:rPr>
          <w:lang w:eastAsia="en-AU"/>
        </w:rPr>
        <w:t>Paying for value and outcomes – enabling new and flexible ways for governments to pay for health services</w:t>
      </w:r>
    </w:p>
    <w:p w14:paraId="40D9C50F" w14:textId="77777777" w:rsidR="001B113E" w:rsidRPr="009E701E" w:rsidRDefault="001B113E" w:rsidP="001B113E">
      <w:pPr>
        <w:numPr>
          <w:ilvl w:val="0"/>
          <w:numId w:val="4"/>
        </w:numPr>
        <w:contextualSpacing/>
        <w:rPr>
          <w:lang w:eastAsia="en-AU"/>
        </w:rPr>
      </w:pPr>
      <w:r w:rsidRPr="009E701E">
        <w:rPr>
          <w:lang w:eastAsia="en-AU"/>
        </w:rPr>
        <w:t>Joint planning and funding at a local level – improving the way health services are planned and delivered at the local level</w:t>
      </w:r>
    </w:p>
    <w:p w14:paraId="7D699A06" w14:textId="77777777" w:rsidR="001B113E" w:rsidRPr="009E701E" w:rsidRDefault="001B113E" w:rsidP="001B113E">
      <w:pPr>
        <w:numPr>
          <w:ilvl w:val="0"/>
          <w:numId w:val="4"/>
        </w:numPr>
        <w:contextualSpacing/>
        <w:rPr>
          <w:lang w:eastAsia="en-AU"/>
        </w:rPr>
      </w:pPr>
      <w:r w:rsidRPr="009E701E">
        <w:rPr>
          <w:lang w:eastAsia="en-AU"/>
        </w:rPr>
        <w:t>Enhanced health data – integrating data to support better health outcomes and save lives</w:t>
      </w:r>
      <w:r>
        <w:rPr>
          <w:lang w:eastAsia="en-AU"/>
        </w:rPr>
        <w:t>, and</w:t>
      </w:r>
    </w:p>
    <w:p w14:paraId="5746E69E" w14:textId="77777777" w:rsidR="001B113E" w:rsidRPr="009E701E" w:rsidRDefault="001B113E" w:rsidP="001B113E">
      <w:pPr>
        <w:numPr>
          <w:ilvl w:val="0"/>
          <w:numId w:val="4"/>
        </w:numPr>
        <w:contextualSpacing/>
        <w:rPr>
          <w:lang w:eastAsia="en-AU"/>
        </w:rPr>
      </w:pPr>
      <w:r w:rsidRPr="009E701E">
        <w:rPr>
          <w:lang w:eastAsia="en-AU"/>
        </w:rPr>
        <w:t>Nationally cohesive health technology assessment – improving health technology decisions will deliver safe, effective and affordable care.</w:t>
      </w:r>
    </w:p>
    <w:p w14:paraId="560A20C7" w14:textId="77777777" w:rsidR="001B113E" w:rsidRPr="009E701E" w:rsidRDefault="001B113E" w:rsidP="001B113E">
      <w:pPr>
        <w:spacing w:before="240"/>
      </w:pPr>
      <w:r w:rsidRPr="009E701E">
        <w:t>Th</w:t>
      </w:r>
      <w:r>
        <w:t>ere is scope for sites funded under the I</w:t>
      </w:r>
      <w:r w:rsidRPr="009E701E">
        <w:t xml:space="preserve">nitiative to consider the emergent reforms in relation to joint planning at a local level and flexibility in paying for health services. </w:t>
      </w:r>
    </w:p>
    <w:p w14:paraId="5D9842EA" w14:textId="77777777" w:rsidR="001B113E" w:rsidRPr="00B065F6" w:rsidRDefault="001B113E" w:rsidP="001B113E"/>
    <w:p w14:paraId="354BF5EE" w14:textId="77777777" w:rsidR="001B113E" w:rsidRDefault="001B113E" w:rsidP="001B113E">
      <w:pPr>
        <w:sectPr w:rsidR="001B113E" w:rsidSect="00B065F6">
          <w:pgSz w:w="16838" w:h="11906" w:orient="landscape" w:code="9"/>
          <w:pgMar w:top="737" w:right="1304" w:bottom="1134" w:left="737" w:header="567" w:footer="284" w:gutter="0"/>
          <w:cols w:num="2" w:space="708"/>
          <w:docGrid w:linePitch="360"/>
        </w:sectPr>
      </w:pPr>
    </w:p>
    <w:p w14:paraId="7E176DD6" w14:textId="1F9522D4" w:rsidR="00E0703C" w:rsidRDefault="00DE5CEB" w:rsidP="00D71088">
      <w:pPr>
        <w:pStyle w:val="Heading1"/>
        <w:framePr w:wrap="around"/>
      </w:pPr>
      <w:bookmarkStart w:id="61" w:name="_Toc85203279"/>
      <w:r>
        <w:lastRenderedPageBreak/>
        <w:t>E</w:t>
      </w:r>
      <w:r w:rsidR="00D71088">
        <w:t>valuation approach</w:t>
      </w:r>
      <w:bookmarkEnd w:id="61"/>
    </w:p>
    <w:p w14:paraId="5F0A041A" w14:textId="559C57C1" w:rsidR="00D71088" w:rsidRDefault="00D71088" w:rsidP="00CE6A82">
      <w:r w:rsidRPr="003A4E43">
        <w:t xml:space="preserve">This chapter presents HMA’s approach to </w:t>
      </w:r>
      <w:r>
        <w:t xml:space="preserve">evaluating the Initiative, </w:t>
      </w:r>
      <w:r w:rsidRPr="003A4E43">
        <w:t>which include</w:t>
      </w:r>
      <w:r>
        <w:t>d</w:t>
      </w:r>
      <w:r w:rsidRPr="003A4E43">
        <w:t xml:space="preserve"> defining the program logic and specifying the evaluation areas </w:t>
      </w:r>
      <w:r>
        <w:t>for examination. We include details of</w:t>
      </w:r>
      <w:r w:rsidR="007E6493">
        <w:t xml:space="preserve"> our approach to</w:t>
      </w:r>
      <w:r w:rsidR="00AF515C">
        <w:t>:</w:t>
      </w:r>
    </w:p>
    <w:p w14:paraId="22142D1E" w14:textId="232B3838" w:rsidR="00D71088" w:rsidRDefault="00D71088" w:rsidP="00D71088">
      <w:pPr>
        <w:pStyle w:val="ListBullet"/>
      </w:pPr>
      <w:r>
        <w:t>Stakeholder consult</w:t>
      </w:r>
      <w:r w:rsidR="007E6493">
        <w:t>ation</w:t>
      </w:r>
      <w:r w:rsidR="00443445">
        <w:t>s</w:t>
      </w:r>
    </w:p>
    <w:p w14:paraId="1B98EB43" w14:textId="7987151A" w:rsidR="00D71088" w:rsidRDefault="00D71088" w:rsidP="00D71088">
      <w:pPr>
        <w:pStyle w:val="ListBullet"/>
      </w:pPr>
      <w:r>
        <w:t>MBS data analysis</w:t>
      </w:r>
    </w:p>
    <w:p w14:paraId="4EA7A231" w14:textId="08F8227D" w:rsidR="00D71088" w:rsidRDefault="00D71088" w:rsidP="00D71088">
      <w:pPr>
        <w:pStyle w:val="ListBullet"/>
      </w:pPr>
      <w:r>
        <w:t xml:space="preserve">The </w:t>
      </w:r>
      <w:r w:rsidR="007E6493">
        <w:t xml:space="preserve">conduct of </w:t>
      </w:r>
      <w:r>
        <w:t>case stud</w:t>
      </w:r>
      <w:r w:rsidR="007E6493">
        <w:t>ies</w:t>
      </w:r>
      <w:r>
        <w:t>, and</w:t>
      </w:r>
    </w:p>
    <w:p w14:paraId="2B9B0825" w14:textId="6D0647AD" w:rsidR="00D71088" w:rsidRDefault="00D71088" w:rsidP="00D71088">
      <w:pPr>
        <w:pStyle w:val="ListBullet"/>
      </w:pPr>
      <w:r>
        <w:t xml:space="preserve">A survey of </w:t>
      </w:r>
      <w:r w:rsidR="007E6493">
        <w:t>Initiative</w:t>
      </w:r>
      <w:r w:rsidR="00915A33">
        <w:t xml:space="preserve"> participating</w:t>
      </w:r>
      <w:r w:rsidR="00915A33" w:rsidRPr="00915A33">
        <w:t xml:space="preserve"> sites</w:t>
      </w:r>
      <w:r w:rsidR="00915A33">
        <w:t>.</w:t>
      </w:r>
      <w:r w:rsidR="00915A33" w:rsidRPr="00915A33">
        <w:t xml:space="preserve"> </w:t>
      </w:r>
    </w:p>
    <w:p w14:paraId="5E2F0A50" w14:textId="3F496BEF" w:rsidR="00D71088" w:rsidRDefault="00D71088" w:rsidP="00D71088">
      <w:pPr>
        <w:pStyle w:val="Heading2"/>
      </w:pPr>
      <w:bookmarkStart w:id="62" w:name="_Toc85203280"/>
      <w:r>
        <w:t xml:space="preserve">Specifying the </w:t>
      </w:r>
      <w:r w:rsidR="00DE5CEB">
        <w:t>p</w:t>
      </w:r>
      <w:r>
        <w:t xml:space="preserve">rogram </w:t>
      </w:r>
      <w:r w:rsidR="00DE5CEB">
        <w:t>l</w:t>
      </w:r>
      <w:r>
        <w:t xml:space="preserve">ogic and </w:t>
      </w:r>
      <w:r w:rsidR="00DE5CEB">
        <w:t>e</w:t>
      </w:r>
      <w:r>
        <w:t xml:space="preserve">valuation </w:t>
      </w:r>
      <w:r w:rsidR="00DE5CEB">
        <w:t>a</w:t>
      </w:r>
      <w:r>
        <w:t>reas</w:t>
      </w:r>
      <w:bookmarkEnd w:id="62"/>
    </w:p>
    <w:p w14:paraId="3713D0E6" w14:textId="326160B0" w:rsidR="007A0C4A" w:rsidRDefault="007A0C4A" w:rsidP="007A0C4A">
      <w:r>
        <w:t xml:space="preserve">The evaluation questions specified in the Request for Quotation (RFQ) are detailed at </w:t>
      </w:r>
      <w:r w:rsidR="00642A45">
        <w:t>Appendix</w:t>
      </w:r>
      <w:r>
        <w:t xml:space="preserve"> A</w:t>
      </w:r>
      <w:r w:rsidR="00642A45">
        <w:t>.</w:t>
      </w:r>
    </w:p>
    <w:p w14:paraId="28B87B82" w14:textId="08F309AE" w:rsidR="00D71088" w:rsidRPr="00D71088" w:rsidRDefault="007A0C4A" w:rsidP="00D71088">
      <w:pPr>
        <w:pStyle w:val="BodyCopy"/>
      </w:pPr>
      <w:r>
        <w:t xml:space="preserve">A </w:t>
      </w:r>
      <w:r w:rsidR="00D71088" w:rsidRPr="00D71088">
        <w:t xml:space="preserve">program logic articulates the reasoning driving the program and highlights the linkages between the different service delivery components. </w:t>
      </w:r>
      <w:r>
        <w:t xml:space="preserve">It describes </w:t>
      </w:r>
      <w:r w:rsidR="00D71088">
        <w:t xml:space="preserve">the linkages between </w:t>
      </w:r>
      <w:r w:rsidR="00D71088" w:rsidRPr="00D71088">
        <w:t>the following:</w:t>
      </w:r>
    </w:p>
    <w:p w14:paraId="4866ECC3" w14:textId="77777777" w:rsidR="00D71088" w:rsidRPr="00D71088" w:rsidRDefault="00D71088" w:rsidP="00B2799B">
      <w:pPr>
        <w:pStyle w:val="Numbers20"/>
        <w:numPr>
          <w:ilvl w:val="0"/>
          <w:numId w:val="21"/>
        </w:numPr>
      </w:pPr>
      <w:r w:rsidRPr="00D71088">
        <w:rPr>
          <w:b/>
        </w:rPr>
        <w:t>Objectives</w:t>
      </w:r>
      <w:r w:rsidRPr="00D71088">
        <w:t xml:space="preserve"> of the program or service, which can include consideration of policy, strategy and structure of the program and governing arrangements (the why)</w:t>
      </w:r>
    </w:p>
    <w:p w14:paraId="2F95DA12" w14:textId="77777777" w:rsidR="00D71088" w:rsidRPr="00D71088" w:rsidRDefault="00D71088" w:rsidP="00B2799B">
      <w:pPr>
        <w:pStyle w:val="ListParagraph"/>
        <w:numPr>
          <w:ilvl w:val="0"/>
          <w:numId w:val="21"/>
        </w:numPr>
        <w:spacing w:before="20" w:after="20" w:line="264" w:lineRule="atLeast"/>
        <w:rPr>
          <w:rFonts w:cs="Times New Roman"/>
          <w:color w:val="000000" w:themeColor="text1"/>
          <w:szCs w:val="20"/>
        </w:rPr>
      </w:pPr>
      <w:r w:rsidRPr="00D71088">
        <w:rPr>
          <w:rFonts w:cs="Times New Roman"/>
          <w:b/>
          <w:color w:val="000000" w:themeColor="text1"/>
          <w:szCs w:val="20"/>
        </w:rPr>
        <w:t>Inputs</w:t>
      </w:r>
      <w:r w:rsidRPr="00D71088">
        <w:rPr>
          <w:rFonts w:cs="Times New Roman"/>
          <w:color w:val="000000" w:themeColor="text1"/>
          <w:szCs w:val="20"/>
        </w:rPr>
        <w:t xml:space="preserve"> including financial, staff and equipment (the what and the who)</w:t>
      </w:r>
    </w:p>
    <w:p w14:paraId="22DBA73A" w14:textId="77777777" w:rsidR="00D71088" w:rsidRPr="00D71088" w:rsidRDefault="00D71088" w:rsidP="00B2799B">
      <w:pPr>
        <w:pStyle w:val="ListParagraph"/>
        <w:numPr>
          <w:ilvl w:val="0"/>
          <w:numId w:val="21"/>
        </w:numPr>
        <w:spacing w:before="20" w:after="20" w:line="264" w:lineRule="atLeast"/>
        <w:rPr>
          <w:rFonts w:cs="Times New Roman"/>
          <w:color w:val="000000" w:themeColor="text1"/>
          <w:szCs w:val="20"/>
        </w:rPr>
      </w:pPr>
      <w:r w:rsidRPr="00D71088">
        <w:rPr>
          <w:rFonts w:cs="Times New Roman"/>
          <w:b/>
          <w:color w:val="000000" w:themeColor="text1"/>
          <w:szCs w:val="20"/>
        </w:rPr>
        <w:t>Process</w:t>
      </w:r>
      <w:r w:rsidRPr="00D71088">
        <w:rPr>
          <w:rFonts w:cs="Times New Roman"/>
          <w:color w:val="000000" w:themeColor="text1"/>
          <w:szCs w:val="20"/>
        </w:rPr>
        <w:t xml:space="preserve"> (the how)</w:t>
      </w:r>
    </w:p>
    <w:p w14:paraId="5FAB28DF" w14:textId="77777777" w:rsidR="00D71088" w:rsidRPr="00D71088" w:rsidRDefault="00D71088" w:rsidP="00B2799B">
      <w:pPr>
        <w:pStyle w:val="ListParagraph"/>
        <w:numPr>
          <w:ilvl w:val="0"/>
          <w:numId w:val="21"/>
        </w:numPr>
        <w:spacing w:before="20" w:after="20" w:line="264" w:lineRule="atLeast"/>
        <w:rPr>
          <w:rFonts w:cs="Times New Roman"/>
          <w:color w:val="000000" w:themeColor="text1"/>
          <w:szCs w:val="20"/>
        </w:rPr>
      </w:pPr>
      <w:r w:rsidRPr="00D71088">
        <w:rPr>
          <w:rFonts w:cs="Times New Roman"/>
          <w:b/>
          <w:color w:val="000000" w:themeColor="text1"/>
          <w:szCs w:val="20"/>
        </w:rPr>
        <w:t>Outputs</w:t>
      </w:r>
      <w:r w:rsidRPr="00D71088">
        <w:rPr>
          <w:rFonts w:cs="Times New Roman"/>
          <w:color w:val="000000" w:themeColor="text1"/>
          <w:szCs w:val="20"/>
        </w:rPr>
        <w:t xml:space="preserve">, which can be quantifiable measures </w:t>
      </w:r>
    </w:p>
    <w:p w14:paraId="444BD3D2" w14:textId="7CB6CF65" w:rsidR="00D71088" w:rsidRPr="00D71088" w:rsidRDefault="00D71088" w:rsidP="00B2799B">
      <w:pPr>
        <w:pStyle w:val="ListParagraph"/>
        <w:numPr>
          <w:ilvl w:val="0"/>
          <w:numId w:val="21"/>
        </w:numPr>
        <w:spacing w:before="20" w:after="20" w:line="264" w:lineRule="atLeast"/>
        <w:rPr>
          <w:rFonts w:cs="Times New Roman"/>
          <w:color w:val="000000" w:themeColor="text1"/>
          <w:szCs w:val="20"/>
        </w:rPr>
      </w:pPr>
      <w:r w:rsidRPr="00D71088">
        <w:rPr>
          <w:rFonts w:cs="Times New Roman"/>
          <w:b/>
          <w:color w:val="000000" w:themeColor="text1"/>
          <w:szCs w:val="20"/>
        </w:rPr>
        <w:t>Outcomes</w:t>
      </w:r>
      <w:r w:rsidRPr="00D71088">
        <w:rPr>
          <w:rFonts w:cs="Times New Roman"/>
          <w:color w:val="000000" w:themeColor="text1"/>
          <w:szCs w:val="20"/>
        </w:rPr>
        <w:t>, short-, medium- and long-term outcomes expected to result from the program or services.</w:t>
      </w:r>
    </w:p>
    <w:p w14:paraId="6F4F9F93" w14:textId="1EB998D7" w:rsidR="00961631" w:rsidRDefault="007A0C4A" w:rsidP="007A0C4A">
      <w:pPr>
        <w:spacing w:before="120"/>
      </w:pPr>
      <w:r>
        <w:t xml:space="preserve">The program </w:t>
      </w:r>
      <w:r w:rsidR="007E6493">
        <w:t xml:space="preserve">logic </w:t>
      </w:r>
      <w:r>
        <w:t>relationships for the Initiative are illustrated in</w:t>
      </w:r>
      <w:r w:rsidR="00961631">
        <w:t xml:space="preserve"> </w:t>
      </w:r>
      <w:r w:rsidR="00961631">
        <w:fldChar w:fldCharType="begin"/>
      </w:r>
      <w:r w:rsidR="00961631">
        <w:instrText xml:space="preserve"> REF _Ref76302843 \h </w:instrText>
      </w:r>
      <w:r w:rsidR="00961631">
        <w:fldChar w:fldCharType="separate"/>
      </w:r>
      <w:r w:rsidR="00C50B67">
        <w:t xml:space="preserve">Figure </w:t>
      </w:r>
      <w:r w:rsidR="00C50B67">
        <w:rPr>
          <w:noProof/>
        </w:rPr>
        <w:t>3</w:t>
      </w:r>
      <w:r w:rsidR="00C50B67">
        <w:t>.</w:t>
      </w:r>
      <w:r w:rsidR="00C50B67">
        <w:rPr>
          <w:noProof/>
        </w:rPr>
        <w:t>1</w:t>
      </w:r>
      <w:r w:rsidR="00961631">
        <w:fldChar w:fldCharType="end"/>
      </w:r>
      <w:r w:rsidR="00961631">
        <w:t xml:space="preserve"> on the next page</w:t>
      </w:r>
      <w:r>
        <w:t>, together with a summary of the relationship to the key evaluation areas</w:t>
      </w:r>
      <w:r w:rsidR="00961631">
        <w:t xml:space="preserve">. </w:t>
      </w:r>
    </w:p>
    <w:p w14:paraId="422EC638" w14:textId="77777777" w:rsidR="00961631" w:rsidRDefault="00961631" w:rsidP="007A0C4A">
      <w:pPr>
        <w:spacing w:before="120"/>
      </w:pPr>
    </w:p>
    <w:p w14:paraId="675A6637" w14:textId="77777777" w:rsidR="00961631" w:rsidRDefault="00961631" w:rsidP="007A0C4A">
      <w:pPr>
        <w:spacing w:before="120"/>
      </w:pPr>
    </w:p>
    <w:p w14:paraId="5DB9F6BA" w14:textId="77777777" w:rsidR="00961631" w:rsidRDefault="00961631" w:rsidP="007A0C4A">
      <w:pPr>
        <w:spacing w:before="120"/>
      </w:pPr>
    </w:p>
    <w:p w14:paraId="46529CE0" w14:textId="77777777" w:rsidR="00961631" w:rsidRDefault="00961631" w:rsidP="007A0C4A">
      <w:pPr>
        <w:spacing w:before="120"/>
      </w:pPr>
    </w:p>
    <w:p w14:paraId="0FD964E4" w14:textId="77777777" w:rsidR="00961631" w:rsidRDefault="00961631" w:rsidP="007A0C4A">
      <w:pPr>
        <w:spacing w:before="120"/>
      </w:pPr>
    </w:p>
    <w:p w14:paraId="355F6130" w14:textId="77777777" w:rsidR="00961631" w:rsidRDefault="00961631" w:rsidP="007A0C4A">
      <w:pPr>
        <w:spacing w:before="120"/>
      </w:pPr>
    </w:p>
    <w:p w14:paraId="5D6600CD" w14:textId="77777777" w:rsidR="00961631" w:rsidRDefault="00961631" w:rsidP="007A0C4A">
      <w:pPr>
        <w:spacing w:before="120"/>
      </w:pPr>
    </w:p>
    <w:p w14:paraId="0FEF537D" w14:textId="77777777" w:rsidR="00961631" w:rsidRDefault="00961631" w:rsidP="007A0C4A">
      <w:pPr>
        <w:spacing w:before="120"/>
      </w:pPr>
    </w:p>
    <w:p w14:paraId="3169D32E" w14:textId="77777777" w:rsidR="00961631" w:rsidRDefault="00961631" w:rsidP="007A0C4A">
      <w:pPr>
        <w:spacing w:before="120"/>
      </w:pPr>
    </w:p>
    <w:p w14:paraId="61CAE58B" w14:textId="77777777" w:rsidR="00961631" w:rsidRDefault="00961631" w:rsidP="007A0C4A">
      <w:pPr>
        <w:spacing w:before="120"/>
      </w:pPr>
    </w:p>
    <w:p w14:paraId="54940CCB" w14:textId="77777777" w:rsidR="00961631" w:rsidRDefault="00961631" w:rsidP="007A0C4A">
      <w:pPr>
        <w:spacing w:before="120"/>
      </w:pPr>
    </w:p>
    <w:p w14:paraId="02C045EB" w14:textId="77777777" w:rsidR="00961631" w:rsidRDefault="00961631" w:rsidP="007A0C4A">
      <w:pPr>
        <w:spacing w:before="120"/>
      </w:pPr>
    </w:p>
    <w:p w14:paraId="7A1744A4" w14:textId="77777777" w:rsidR="00961631" w:rsidRDefault="00961631" w:rsidP="007A0C4A">
      <w:pPr>
        <w:spacing w:before="120"/>
      </w:pPr>
    </w:p>
    <w:p w14:paraId="05DF376C" w14:textId="77777777" w:rsidR="00961631" w:rsidRDefault="00961631" w:rsidP="007A0C4A">
      <w:pPr>
        <w:spacing w:before="120"/>
      </w:pPr>
    </w:p>
    <w:p w14:paraId="3BD78DAE" w14:textId="02FED933" w:rsidR="00961631" w:rsidRDefault="007A0C4A" w:rsidP="007A0C4A">
      <w:pPr>
        <w:spacing w:before="120"/>
        <w:sectPr w:rsidR="00961631" w:rsidSect="00FD7726">
          <w:headerReference w:type="default" r:id="rId31"/>
          <w:pgSz w:w="16838" w:h="11906" w:orient="landscape" w:code="9"/>
          <w:pgMar w:top="737" w:right="1304" w:bottom="1134" w:left="737" w:header="567" w:footer="284" w:gutter="0"/>
          <w:cols w:num="2" w:space="708"/>
          <w:docGrid w:linePitch="360"/>
        </w:sectPr>
      </w:pPr>
      <w:r>
        <w:t>.</w:t>
      </w:r>
    </w:p>
    <w:p w14:paraId="66073346" w14:textId="45BE97EF" w:rsidR="007A0C4A" w:rsidRDefault="007A0C4A" w:rsidP="007A0C4A">
      <w:pPr>
        <w:spacing w:before="120"/>
      </w:pPr>
    </w:p>
    <w:p w14:paraId="24B4C62A" w14:textId="64ADF832" w:rsidR="00D51D65" w:rsidRDefault="00D51D65" w:rsidP="00961631">
      <w:pPr>
        <w:pStyle w:val="Caption"/>
      </w:pPr>
      <w:bookmarkStart w:id="63" w:name="_Ref76302843"/>
      <w:r>
        <w:lastRenderedPageBreak/>
        <w:t xml:space="preserve">Figure </w:t>
      </w:r>
      <w:r w:rsidR="00A67BE9">
        <w:fldChar w:fldCharType="begin"/>
      </w:r>
      <w:r w:rsidR="00A67BE9">
        <w:instrText xml:space="preserve"> STYLEREF 1 \s </w:instrText>
      </w:r>
      <w:r w:rsidR="00A67BE9">
        <w:fldChar w:fldCharType="separate"/>
      </w:r>
      <w:r w:rsidR="00C50B67">
        <w:rPr>
          <w:noProof/>
        </w:rPr>
        <w:t>3</w:t>
      </w:r>
      <w:r w:rsidR="00A67BE9">
        <w:rPr>
          <w:noProof/>
        </w:rPr>
        <w:fldChar w:fldCharType="end"/>
      </w:r>
      <w:r>
        <w:t>.</w:t>
      </w:r>
      <w:r w:rsidR="00A67BE9">
        <w:fldChar w:fldCharType="begin"/>
      </w:r>
      <w:r w:rsidR="00A67BE9">
        <w:instrText xml:space="preserve"> SEQ Figure \* ARABIC \s 1 </w:instrText>
      </w:r>
      <w:r w:rsidR="00A67BE9">
        <w:fldChar w:fldCharType="separate"/>
      </w:r>
      <w:r w:rsidR="00C50B67">
        <w:rPr>
          <w:noProof/>
        </w:rPr>
        <w:t>1</w:t>
      </w:r>
      <w:r w:rsidR="00A67BE9">
        <w:rPr>
          <w:noProof/>
        </w:rPr>
        <w:fldChar w:fldCharType="end"/>
      </w:r>
      <w:bookmarkEnd w:id="63"/>
      <w:r>
        <w:t xml:space="preserve">: </w:t>
      </w:r>
      <w:r w:rsidRPr="00642A45">
        <w:rPr>
          <w:rStyle w:val="Caption-notboldChar"/>
        </w:rPr>
        <w:t>Program logic for the Initiative with overlaying evaluation areas</w:t>
      </w:r>
    </w:p>
    <w:p w14:paraId="73E345B2" w14:textId="21CCAAD4" w:rsidR="00D71088" w:rsidRDefault="00961631" w:rsidP="00961631">
      <w:pPr>
        <w:jc w:val="center"/>
      </w:pPr>
      <w:r>
        <w:rPr>
          <w:noProof/>
        </w:rPr>
        <w:drawing>
          <wp:inline distT="0" distB="0" distL="0" distR="0" wp14:anchorId="66A0DE58" wp14:editId="6A346BD7">
            <wp:extent cx="6451277" cy="5248893"/>
            <wp:effectExtent l="0" t="0" r="698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206" cy="5269989"/>
                    </a:xfrm>
                    <a:prstGeom prst="rect">
                      <a:avLst/>
                    </a:prstGeom>
                    <a:noFill/>
                  </pic:spPr>
                </pic:pic>
              </a:graphicData>
            </a:graphic>
          </wp:inline>
        </w:drawing>
      </w:r>
    </w:p>
    <w:p w14:paraId="43C245E1" w14:textId="2B73F4C4" w:rsidR="00961631" w:rsidRDefault="00961631" w:rsidP="00CE6A82"/>
    <w:p w14:paraId="1FB0C33F" w14:textId="77777777" w:rsidR="00961631" w:rsidRDefault="00961631" w:rsidP="00CE6A82">
      <w:pPr>
        <w:sectPr w:rsidR="00961631" w:rsidSect="00961631">
          <w:type w:val="continuous"/>
          <w:pgSz w:w="16838" w:h="11906" w:orient="landscape" w:code="9"/>
          <w:pgMar w:top="737" w:right="1304" w:bottom="1134" w:left="737" w:header="567" w:footer="284" w:gutter="0"/>
          <w:cols w:space="708"/>
          <w:docGrid w:linePitch="360"/>
        </w:sectPr>
      </w:pPr>
    </w:p>
    <w:p w14:paraId="7CA1174A" w14:textId="3DC429BA" w:rsidR="00D71088" w:rsidRDefault="00006354" w:rsidP="00273491">
      <w:pPr>
        <w:pStyle w:val="Heading2"/>
        <w:spacing w:before="0"/>
      </w:pPr>
      <w:bookmarkStart w:id="64" w:name="_Toc85203281"/>
      <w:r>
        <w:lastRenderedPageBreak/>
        <w:t>Evaluation method</w:t>
      </w:r>
      <w:bookmarkEnd w:id="64"/>
    </w:p>
    <w:p w14:paraId="4B789DF0" w14:textId="21E73B0B" w:rsidR="00006354" w:rsidRPr="006C533C" w:rsidRDefault="001045B5" w:rsidP="00642A45">
      <w:pPr>
        <w:keepNext/>
      </w:pPr>
      <w:r>
        <w:t>T</w:t>
      </w:r>
      <w:r w:rsidR="00006354" w:rsidRPr="006C533C">
        <w:t xml:space="preserve">he review </w:t>
      </w:r>
      <w:r>
        <w:t>comprised</w:t>
      </w:r>
      <w:r w:rsidR="00501A11">
        <w:t xml:space="preserve"> </w:t>
      </w:r>
      <w:r w:rsidR="00006354" w:rsidRPr="006C533C">
        <w:t>the following eight project stages:</w:t>
      </w:r>
    </w:p>
    <w:p w14:paraId="09BB39A4" w14:textId="72EFC393" w:rsidR="00006354" w:rsidRDefault="00006354" w:rsidP="00006354">
      <w:r w:rsidRPr="006C533C">
        <w:rPr>
          <w:b/>
          <w:bCs/>
        </w:rPr>
        <w:t>Stage 1</w:t>
      </w:r>
      <w:r w:rsidR="007B2348">
        <w:rPr>
          <w:b/>
          <w:bCs/>
        </w:rPr>
        <w:t xml:space="preserve"> –</w:t>
      </w:r>
      <w:r w:rsidRPr="006C533C">
        <w:rPr>
          <w:b/>
          <w:bCs/>
        </w:rPr>
        <w:t xml:space="preserve"> </w:t>
      </w:r>
      <w:r w:rsidRPr="006C533C">
        <w:rPr>
          <w:b/>
          <w:iCs/>
        </w:rPr>
        <w:t>Project planning</w:t>
      </w:r>
      <w:r w:rsidR="00642A45">
        <w:rPr>
          <w:b/>
          <w:bCs/>
        </w:rPr>
        <w:t xml:space="preserve">: </w:t>
      </w:r>
      <w:r w:rsidR="007B2348" w:rsidRPr="006C533C">
        <w:t>(December 202</w:t>
      </w:r>
      <w:r w:rsidR="007B2348">
        <w:t>0</w:t>
      </w:r>
      <w:r w:rsidR="007B2348" w:rsidRPr="006C533C">
        <w:t>)</w:t>
      </w:r>
      <w:r w:rsidR="007B2348">
        <w:t xml:space="preserve"> </w:t>
      </w:r>
      <w:r w:rsidR="00501A11" w:rsidRPr="00501A11">
        <w:t>We</w:t>
      </w:r>
      <w:r w:rsidR="00501A11">
        <w:rPr>
          <w:b/>
          <w:bCs/>
        </w:rPr>
        <w:t xml:space="preserve"> </w:t>
      </w:r>
      <w:r w:rsidRPr="006C533C">
        <w:t>define</w:t>
      </w:r>
      <w:r w:rsidR="00501A11">
        <w:t>d</w:t>
      </w:r>
      <w:r w:rsidRPr="006C533C">
        <w:t xml:space="preserve"> the project scope, clarif</w:t>
      </w:r>
      <w:r w:rsidR="00642A45">
        <w:t>ied</w:t>
      </w:r>
      <w:r w:rsidRPr="006C533C">
        <w:t xml:space="preserve"> roles and responsibilities and formulate</w:t>
      </w:r>
      <w:r w:rsidR="00501A11">
        <w:t>d</w:t>
      </w:r>
      <w:r w:rsidRPr="006C533C">
        <w:t xml:space="preserve"> a detailed project management plan.</w:t>
      </w:r>
    </w:p>
    <w:p w14:paraId="654A581F" w14:textId="594D3B11" w:rsidR="00006354" w:rsidRDefault="00006354" w:rsidP="00006354">
      <w:r w:rsidRPr="006C533C">
        <w:rPr>
          <w:b/>
        </w:rPr>
        <w:t>Stage 2</w:t>
      </w:r>
      <w:r w:rsidR="007B2348">
        <w:rPr>
          <w:b/>
        </w:rPr>
        <w:t xml:space="preserve"> –</w:t>
      </w:r>
      <w:r w:rsidRPr="006C533C">
        <w:rPr>
          <w:b/>
        </w:rPr>
        <w:t xml:space="preserve"> Situation analysis</w:t>
      </w:r>
      <w:r w:rsidR="00642A45">
        <w:rPr>
          <w:b/>
        </w:rPr>
        <w:t>:</w:t>
      </w:r>
      <w:r w:rsidRPr="006C533C">
        <w:rPr>
          <w:b/>
        </w:rPr>
        <w:t xml:space="preserve"> </w:t>
      </w:r>
      <w:r w:rsidR="007B2348" w:rsidRPr="006C533C">
        <w:t>(</w:t>
      </w:r>
      <w:r w:rsidR="007B2348">
        <w:t xml:space="preserve">February </w:t>
      </w:r>
      <w:r w:rsidR="007B2348" w:rsidRPr="006C533C">
        <w:t>2021)</w:t>
      </w:r>
      <w:r w:rsidR="007B2348">
        <w:t xml:space="preserve"> </w:t>
      </w:r>
      <w:r w:rsidRPr="006C533C">
        <w:t xml:space="preserve">A summary of current </w:t>
      </w:r>
      <w:r w:rsidR="00783742">
        <w:t xml:space="preserve">Section </w:t>
      </w:r>
      <w:r w:rsidR="00A07293">
        <w:t>19(2)</w:t>
      </w:r>
      <w:r w:rsidRPr="006C533C">
        <w:t xml:space="preserve"> arrangements, policy</w:t>
      </w:r>
      <w:r w:rsidR="00642A45">
        <w:t>,</w:t>
      </w:r>
      <w:r w:rsidRPr="006C533C">
        <w:t xml:space="preserve"> and issues for exploration during the evaluation w</w:t>
      </w:r>
      <w:r w:rsidR="00501A11">
        <w:t>as</w:t>
      </w:r>
      <w:r w:rsidRPr="006C533C">
        <w:t xml:space="preserve"> developed through a review of documentation</w:t>
      </w:r>
      <w:r>
        <w:t>.</w:t>
      </w:r>
    </w:p>
    <w:p w14:paraId="1BD94F67" w14:textId="71CDCFD6" w:rsidR="00006354" w:rsidRPr="006C533C" w:rsidRDefault="00006354" w:rsidP="00006354">
      <w:r w:rsidRPr="006C533C">
        <w:rPr>
          <w:b/>
          <w:bCs/>
        </w:rPr>
        <w:t>Stage 3</w:t>
      </w:r>
      <w:r w:rsidR="007B2348">
        <w:rPr>
          <w:b/>
          <w:bCs/>
        </w:rPr>
        <w:t xml:space="preserve"> –</w:t>
      </w:r>
      <w:r w:rsidRPr="006C533C">
        <w:rPr>
          <w:b/>
          <w:bCs/>
        </w:rPr>
        <w:t xml:space="preserve"> Evaluation plan</w:t>
      </w:r>
      <w:r w:rsidR="00642A45">
        <w:rPr>
          <w:b/>
          <w:bCs/>
        </w:rPr>
        <w:t>:</w:t>
      </w:r>
      <w:r w:rsidRPr="006C533C">
        <w:rPr>
          <w:b/>
          <w:iCs/>
        </w:rPr>
        <w:t xml:space="preserve"> </w:t>
      </w:r>
      <w:r w:rsidRPr="006C533C">
        <w:rPr>
          <w:bCs/>
        </w:rPr>
        <w:t>(February</w:t>
      </w:r>
      <w:r w:rsidRPr="006C533C">
        <w:t xml:space="preserve"> 2021) Based on findings from the situation analysis, </w:t>
      </w:r>
      <w:r w:rsidR="00501A11">
        <w:t xml:space="preserve">we developed a detailed </w:t>
      </w:r>
      <w:r w:rsidRPr="006C533C">
        <w:t>evaluation plan</w:t>
      </w:r>
      <w:r w:rsidR="00501A11">
        <w:t xml:space="preserve"> </w:t>
      </w:r>
      <w:r w:rsidR="00642A45">
        <w:t>as follows</w:t>
      </w:r>
      <w:r w:rsidRPr="006C533C">
        <w:t>:</w:t>
      </w:r>
    </w:p>
    <w:p w14:paraId="7AC7F210" w14:textId="4336FB41" w:rsidR="00006354" w:rsidRPr="00501A11" w:rsidRDefault="00642A45" w:rsidP="00501A11">
      <w:pPr>
        <w:pStyle w:val="ListBullet"/>
      </w:pPr>
      <w:r>
        <w:t xml:space="preserve">drafted </w:t>
      </w:r>
      <w:r w:rsidR="00501A11" w:rsidRPr="00501A11">
        <w:t xml:space="preserve">detailed </w:t>
      </w:r>
      <w:r w:rsidR="00006354" w:rsidRPr="00501A11">
        <w:t>evaluation questions</w:t>
      </w:r>
    </w:p>
    <w:p w14:paraId="639E533C" w14:textId="40FFBE57" w:rsidR="00006354" w:rsidRPr="00501A11" w:rsidRDefault="00006354" w:rsidP="00501A11">
      <w:pPr>
        <w:pStyle w:val="ListBullet"/>
      </w:pPr>
      <w:r w:rsidRPr="00501A11">
        <w:t>determine</w:t>
      </w:r>
      <w:r w:rsidR="00501A11" w:rsidRPr="00501A11">
        <w:t>d</w:t>
      </w:r>
      <w:r w:rsidRPr="00501A11">
        <w:t xml:space="preserve"> data sources and data collection protocols</w:t>
      </w:r>
    </w:p>
    <w:p w14:paraId="4BEC15B7" w14:textId="2F5664C3" w:rsidR="00006354" w:rsidRPr="00501A11" w:rsidRDefault="00006354" w:rsidP="00501A11">
      <w:pPr>
        <w:pStyle w:val="ListBullet"/>
      </w:pPr>
      <w:r w:rsidRPr="00501A11">
        <w:t>design</w:t>
      </w:r>
      <w:r w:rsidR="007B2348">
        <w:t>ed</w:t>
      </w:r>
      <w:r w:rsidRPr="00501A11">
        <w:t xml:space="preserve"> data collection tools</w:t>
      </w:r>
    </w:p>
    <w:p w14:paraId="3B09DD0E" w14:textId="3B7A0D11" w:rsidR="00006354" w:rsidRPr="00501A11" w:rsidRDefault="00006354" w:rsidP="00501A11">
      <w:pPr>
        <w:pStyle w:val="ListBullet"/>
      </w:pPr>
      <w:r w:rsidRPr="00501A11">
        <w:t>describe</w:t>
      </w:r>
      <w:r w:rsidR="007B2348">
        <w:t>d</w:t>
      </w:r>
      <w:r w:rsidRPr="00501A11">
        <w:t xml:space="preserve"> the approach to data analysis, and</w:t>
      </w:r>
    </w:p>
    <w:p w14:paraId="0472382F" w14:textId="3E08A136" w:rsidR="00006354" w:rsidRPr="00501A11" w:rsidRDefault="00006354" w:rsidP="00501A11">
      <w:pPr>
        <w:pStyle w:val="ListBullet"/>
      </w:pPr>
      <w:r w:rsidRPr="00501A11">
        <w:t>outline</w:t>
      </w:r>
      <w:r w:rsidR="007B2348">
        <w:t>d</w:t>
      </w:r>
      <w:r w:rsidRPr="00501A11">
        <w:t xml:space="preserve"> reporting arrangements </w:t>
      </w:r>
    </w:p>
    <w:p w14:paraId="38B3B44F" w14:textId="24E89B58" w:rsidR="00501A11" w:rsidRDefault="00006354" w:rsidP="00501A11">
      <w:r w:rsidRPr="006C533C">
        <w:rPr>
          <w:b/>
          <w:bCs/>
        </w:rPr>
        <w:t>Stage 4</w:t>
      </w:r>
      <w:r w:rsidR="007B2348">
        <w:rPr>
          <w:b/>
          <w:bCs/>
        </w:rPr>
        <w:t xml:space="preserve"> –</w:t>
      </w:r>
      <w:r w:rsidRPr="006C533C">
        <w:t xml:space="preserve"> </w:t>
      </w:r>
      <w:r w:rsidRPr="006C533C">
        <w:rPr>
          <w:b/>
          <w:iCs/>
        </w:rPr>
        <w:t>Data collection</w:t>
      </w:r>
      <w:r w:rsidR="007B2348">
        <w:rPr>
          <w:b/>
          <w:iCs/>
        </w:rPr>
        <w:t>:</w:t>
      </w:r>
      <w:r w:rsidRPr="006C533C">
        <w:rPr>
          <w:i/>
          <w:iCs/>
        </w:rPr>
        <w:t xml:space="preserve"> </w:t>
      </w:r>
      <w:r w:rsidRPr="006C533C">
        <w:t xml:space="preserve">(February 2021 – </w:t>
      </w:r>
      <w:r w:rsidR="00501A11">
        <w:t>early June</w:t>
      </w:r>
      <w:r w:rsidRPr="006C533C">
        <w:t xml:space="preserve"> 2021) HMA collect</w:t>
      </w:r>
      <w:r w:rsidR="00501A11">
        <w:t>ed</w:t>
      </w:r>
      <w:r w:rsidRPr="006C533C">
        <w:t xml:space="preserve"> a range of qualitative and quantitative data via surveys and interviews conducted with relevant stakeholders.</w:t>
      </w:r>
      <w:r w:rsidR="00501A11">
        <w:t xml:space="preserve"> This included</w:t>
      </w:r>
      <w:r w:rsidR="007B2348">
        <w:t xml:space="preserve"> the following:</w:t>
      </w:r>
    </w:p>
    <w:p w14:paraId="4951FF99" w14:textId="77777777" w:rsidR="00501A11" w:rsidRPr="00B744E6" w:rsidRDefault="00501A11" w:rsidP="00501A11">
      <w:pPr>
        <w:numPr>
          <w:ilvl w:val="0"/>
          <w:numId w:val="4"/>
        </w:numPr>
        <w:contextualSpacing/>
      </w:pPr>
      <w:r w:rsidRPr="00501A11">
        <w:rPr>
          <w:i/>
          <w:iCs/>
        </w:rPr>
        <w:t xml:space="preserve">consultations </w:t>
      </w:r>
      <w:r w:rsidRPr="00B744E6">
        <w:t xml:space="preserve">with </w:t>
      </w:r>
    </w:p>
    <w:p w14:paraId="69C7706A" w14:textId="77777777" w:rsidR="00501A11" w:rsidRPr="00B744E6" w:rsidRDefault="00501A11" w:rsidP="00501A11">
      <w:pPr>
        <w:numPr>
          <w:ilvl w:val="1"/>
          <w:numId w:val="4"/>
        </w:numPr>
        <w:contextualSpacing/>
      </w:pPr>
      <w:r w:rsidRPr="00B744E6">
        <w:t>internal Department of Health stakeholders</w:t>
      </w:r>
    </w:p>
    <w:p w14:paraId="23307890" w14:textId="77777777" w:rsidR="00501A11" w:rsidRPr="00B744E6" w:rsidRDefault="00501A11" w:rsidP="00501A11">
      <w:pPr>
        <w:numPr>
          <w:ilvl w:val="1"/>
          <w:numId w:val="4"/>
        </w:numPr>
        <w:contextualSpacing/>
      </w:pPr>
      <w:r w:rsidRPr="00B744E6">
        <w:t>all jurisdictions (both participating and non-participating)</w:t>
      </w:r>
    </w:p>
    <w:p w14:paraId="158DEEED" w14:textId="424636D0" w:rsidR="00501A11" w:rsidRPr="00B744E6" w:rsidRDefault="00501A11" w:rsidP="00501A11">
      <w:pPr>
        <w:numPr>
          <w:ilvl w:val="1"/>
          <w:numId w:val="4"/>
        </w:numPr>
        <w:contextualSpacing/>
      </w:pPr>
      <w:r w:rsidRPr="00B744E6">
        <w:t>rural workforce agencies</w:t>
      </w:r>
    </w:p>
    <w:p w14:paraId="0113BFEF" w14:textId="6A407CF2" w:rsidR="00501A11" w:rsidRDefault="00501A11" w:rsidP="00501A11">
      <w:pPr>
        <w:numPr>
          <w:ilvl w:val="1"/>
          <w:numId w:val="4"/>
        </w:numPr>
        <w:contextualSpacing/>
      </w:pPr>
      <w:r w:rsidRPr="00B744E6">
        <w:t xml:space="preserve"> 7 P</w:t>
      </w:r>
      <w:r>
        <w:t>HNs</w:t>
      </w:r>
      <w:r w:rsidRPr="00B744E6">
        <w:t xml:space="preserve"> with case study sites </w:t>
      </w:r>
    </w:p>
    <w:p w14:paraId="23CF1D07" w14:textId="77777777" w:rsidR="00501A11" w:rsidRDefault="00501A11" w:rsidP="00501A11">
      <w:pPr>
        <w:ind w:left="284"/>
        <w:contextualSpacing/>
      </w:pPr>
    </w:p>
    <w:p w14:paraId="1F633E60" w14:textId="3C0DF2E7" w:rsidR="00501A11" w:rsidRDefault="00501A11" w:rsidP="00501A11">
      <w:pPr>
        <w:spacing w:before="120"/>
        <w:ind w:left="284"/>
      </w:pPr>
      <w:r w:rsidRPr="00501A11">
        <w:t xml:space="preserve">A full list of those stakeholders consulted by 24 May 2021 is at </w:t>
      </w:r>
      <w:r w:rsidR="007B2348">
        <w:t>Appendix</w:t>
      </w:r>
      <w:r w:rsidRPr="00501A11">
        <w:t xml:space="preserve"> </w:t>
      </w:r>
      <w:r w:rsidR="00F56D52">
        <w:t>D</w:t>
      </w:r>
      <w:r w:rsidRPr="00501A11">
        <w:t>.</w:t>
      </w:r>
    </w:p>
    <w:p w14:paraId="6DB6F263" w14:textId="7D136893" w:rsidR="00501A11" w:rsidRPr="00B744E6" w:rsidRDefault="00501A11" w:rsidP="00915A33">
      <w:pPr>
        <w:numPr>
          <w:ilvl w:val="0"/>
          <w:numId w:val="4"/>
        </w:numPr>
        <w:spacing w:before="120"/>
        <w:contextualSpacing/>
      </w:pPr>
      <w:r w:rsidRPr="00501A11">
        <w:rPr>
          <w:i/>
          <w:iCs/>
        </w:rPr>
        <w:t>analysis of MBS claims data</w:t>
      </w:r>
      <w:r w:rsidRPr="00B744E6">
        <w:t xml:space="preserve"> for participating sites for the period 2016 to 2019, and</w:t>
      </w:r>
    </w:p>
    <w:p w14:paraId="1E7DB382" w14:textId="1B70A94A" w:rsidR="00501A11" w:rsidRPr="00B744E6" w:rsidRDefault="00501A11" w:rsidP="00501A11">
      <w:pPr>
        <w:numPr>
          <w:ilvl w:val="0"/>
          <w:numId w:val="4"/>
        </w:numPr>
        <w:contextualSpacing/>
      </w:pPr>
      <w:r w:rsidRPr="00501A11">
        <w:rPr>
          <w:i/>
          <w:iCs/>
        </w:rPr>
        <w:t xml:space="preserve">submissions </w:t>
      </w:r>
      <w:r w:rsidRPr="00B744E6">
        <w:t>on the operation of the Initiative from</w:t>
      </w:r>
    </w:p>
    <w:p w14:paraId="575C44B0" w14:textId="410BF498" w:rsidR="00501A11" w:rsidRPr="00B744E6" w:rsidRDefault="00501A11" w:rsidP="00501A11">
      <w:pPr>
        <w:numPr>
          <w:ilvl w:val="1"/>
          <w:numId w:val="4"/>
        </w:numPr>
        <w:contextualSpacing/>
      </w:pPr>
      <w:r w:rsidRPr="00B744E6">
        <w:t>the Rural Doctors</w:t>
      </w:r>
      <w:r>
        <w:t xml:space="preserve"> </w:t>
      </w:r>
      <w:r w:rsidRPr="00B744E6">
        <w:t>Association of Australia</w:t>
      </w:r>
      <w:r w:rsidR="00200694">
        <w:t xml:space="preserve"> (RDAA)</w:t>
      </w:r>
      <w:r w:rsidRPr="00B744E6">
        <w:t xml:space="preserve"> and its affiliates, and</w:t>
      </w:r>
    </w:p>
    <w:p w14:paraId="09C3F233" w14:textId="77777777" w:rsidR="00501A11" w:rsidRDefault="00501A11" w:rsidP="00501A11">
      <w:pPr>
        <w:numPr>
          <w:ilvl w:val="1"/>
          <w:numId w:val="4"/>
        </w:numPr>
        <w:contextualSpacing/>
      </w:pPr>
      <w:r w:rsidRPr="00B744E6">
        <w:t>National Aboriginal Community Controlled Health Organisation (NACCHO) and its affiliates.</w:t>
      </w:r>
    </w:p>
    <w:p w14:paraId="5BE990AB" w14:textId="26198361" w:rsidR="00501A11" w:rsidRPr="00B744E6" w:rsidRDefault="00501A11" w:rsidP="00501A11">
      <w:pPr>
        <w:pStyle w:val="ListBullet"/>
      </w:pPr>
      <w:r w:rsidRPr="00B744E6">
        <w:t xml:space="preserve">a </w:t>
      </w:r>
      <w:r w:rsidRPr="00501A11">
        <w:rPr>
          <w:i/>
          <w:iCs/>
        </w:rPr>
        <w:t>survey of all 92 participating sites</w:t>
      </w:r>
      <w:r w:rsidRPr="00B744E6">
        <w:t xml:space="preserve"> that lodged an MBS claim under the Initiative in 2019</w:t>
      </w:r>
      <w:r w:rsidRPr="00501A11">
        <w:rPr>
          <w:rFonts w:ascii="Calibri" w:hAnsi="Calibri" w:cs="Calibri"/>
        </w:rPr>
        <w:t>‒</w:t>
      </w:r>
      <w:r w:rsidRPr="00B744E6">
        <w:t>20</w:t>
      </w:r>
      <w:r>
        <w:t xml:space="preserve"> that sought the views of </w:t>
      </w:r>
      <w:r w:rsidRPr="00B744E6">
        <w:t>facility managers on the effectiveness of the Initiative.</w:t>
      </w:r>
    </w:p>
    <w:p w14:paraId="06A8E518" w14:textId="515C0B7F" w:rsidR="00006354" w:rsidRDefault="00006354" w:rsidP="00501A11">
      <w:r w:rsidRPr="006C533C">
        <w:rPr>
          <w:b/>
          <w:bCs/>
        </w:rPr>
        <w:t>Stage 5</w:t>
      </w:r>
      <w:r w:rsidR="007B2348">
        <w:rPr>
          <w:b/>
          <w:bCs/>
        </w:rPr>
        <w:t xml:space="preserve"> –</w:t>
      </w:r>
      <w:r w:rsidRPr="006C533C">
        <w:rPr>
          <w:b/>
          <w:bCs/>
        </w:rPr>
        <w:t xml:space="preserve"> </w:t>
      </w:r>
      <w:r w:rsidRPr="006C533C">
        <w:rPr>
          <w:b/>
          <w:iCs/>
        </w:rPr>
        <w:t>Case studies</w:t>
      </w:r>
      <w:r w:rsidR="007B2348">
        <w:rPr>
          <w:b/>
          <w:iCs/>
        </w:rPr>
        <w:t>:</w:t>
      </w:r>
      <w:r w:rsidRPr="006C533C">
        <w:rPr>
          <w:i/>
          <w:iCs/>
        </w:rPr>
        <w:t xml:space="preserve"> </w:t>
      </w:r>
      <w:r w:rsidRPr="006C533C">
        <w:t>(</w:t>
      </w:r>
      <w:r w:rsidR="00501A11">
        <w:t xml:space="preserve">April to May </w:t>
      </w:r>
      <w:r w:rsidRPr="006C533C">
        <w:t>2021) HMA investigate</w:t>
      </w:r>
      <w:r w:rsidR="00915A33">
        <w:t>d</w:t>
      </w:r>
      <w:r w:rsidRPr="006C533C">
        <w:t xml:space="preserve"> the impact of </w:t>
      </w:r>
      <w:r w:rsidR="00501A11">
        <w:t xml:space="preserve">the </w:t>
      </w:r>
      <w:r w:rsidRPr="006C533C">
        <w:t xml:space="preserve">Initiative on different communities by conducting a series of </w:t>
      </w:r>
      <w:r>
        <w:t>10</w:t>
      </w:r>
      <w:r w:rsidRPr="006C533C">
        <w:t xml:space="preserve"> case studies at selected sites. These case studies </w:t>
      </w:r>
      <w:r w:rsidR="00501A11">
        <w:t>sough</w:t>
      </w:r>
      <w:r w:rsidR="002F63FE">
        <w:t>t</w:t>
      </w:r>
      <w:r w:rsidRPr="006C533C">
        <w:t xml:space="preserve"> an in-depth understanding of how well sites </w:t>
      </w:r>
      <w:r w:rsidR="00501A11">
        <w:t xml:space="preserve">were </w:t>
      </w:r>
      <w:r w:rsidRPr="006C533C">
        <w:t>able to meet the objectives of the Initiative and identify barriers to future success of the Initiative.</w:t>
      </w:r>
      <w:r w:rsidR="009A4F03">
        <w:t xml:space="preserve"> </w:t>
      </w:r>
      <w:r>
        <w:t>Sites</w:t>
      </w:r>
      <w:r w:rsidR="00501A11">
        <w:t xml:space="preserve"> were</w:t>
      </w:r>
      <w:r>
        <w:t xml:space="preserve"> selected </w:t>
      </w:r>
      <w:r w:rsidR="00501A11">
        <w:t xml:space="preserve">based on </w:t>
      </w:r>
      <w:r>
        <w:t>consideration</w:t>
      </w:r>
      <w:r w:rsidR="00501A11">
        <w:t>s</w:t>
      </w:r>
      <w:r>
        <w:t xml:space="preserve"> of the size of the community, level of remoteness, and the presence or absence of ACCHOs and/or private general practice.</w:t>
      </w:r>
    </w:p>
    <w:p w14:paraId="234229D6" w14:textId="3ECC0170" w:rsidR="00006354" w:rsidRPr="006C533C" w:rsidRDefault="00006354" w:rsidP="00006354">
      <w:pPr>
        <w:contextualSpacing/>
      </w:pPr>
      <w:r w:rsidRPr="006C533C">
        <w:rPr>
          <w:b/>
          <w:bCs/>
        </w:rPr>
        <w:t>Stage 6</w:t>
      </w:r>
      <w:r w:rsidR="00E30F26">
        <w:rPr>
          <w:b/>
          <w:bCs/>
        </w:rPr>
        <w:t xml:space="preserve"> –</w:t>
      </w:r>
      <w:r w:rsidRPr="006C533C">
        <w:rPr>
          <w:b/>
          <w:bCs/>
        </w:rPr>
        <w:t xml:space="preserve"> </w:t>
      </w:r>
      <w:r w:rsidRPr="006C533C">
        <w:rPr>
          <w:b/>
          <w:iCs/>
        </w:rPr>
        <w:t>Data analysis</w:t>
      </w:r>
      <w:r w:rsidR="00E30F26">
        <w:rPr>
          <w:b/>
          <w:iCs/>
        </w:rPr>
        <w:t>:</w:t>
      </w:r>
      <w:r w:rsidRPr="006C533C">
        <w:rPr>
          <w:b/>
          <w:iCs/>
        </w:rPr>
        <w:t xml:space="preserve"> </w:t>
      </w:r>
      <w:r w:rsidRPr="006C533C">
        <w:t>(</w:t>
      </w:r>
      <w:r w:rsidR="00915A33">
        <w:t>early</w:t>
      </w:r>
      <w:r w:rsidR="00501A11">
        <w:t xml:space="preserve"> to late </w:t>
      </w:r>
      <w:r w:rsidRPr="006C533C">
        <w:t>June 2021) HMA examine</w:t>
      </w:r>
      <w:r w:rsidR="00501A11">
        <w:t>d</w:t>
      </w:r>
      <w:r w:rsidRPr="006C533C">
        <w:t xml:space="preserve"> the information collected in Stages </w:t>
      </w:r>
      <w:r w:rsidR="00501A11">
        <w:t>2</w:t>
      </w:r>
      <w:r w:rsidRPr="006C533C">
        <w:t xml:space="preserve"> to </w:t>
      </w:r>
      <w:r w:rsidR="00501A11">
        <w:t>5</w:t>
      </w:r>
      <w:r w:rsidRPr="006C533C">
        <w:t>, including:</w:t>
      </w:r>
    </w:p>
    <w:p w14:paraId="3C4BBE73" w14:textId="3519FB21" w:rsidR="00006354" w:rsidRPr="00501A11" w:rsidRDefault="00E30F26" w:rsidP="00501A11">
      <w:pPr>
        <w:pStyle w:val="ListBullet"/>
      </w:pPr>
      <w:r w:rsidRPr="00501A11">
        <w:t>annual reports from participating sites</w:t>
      </w:r>
    </w:p>
    <w:p w14:paraId="40D61519" w14:textId="3638CE31" w:rsidR="00006354" w:rsidRPr="00501A11" w:rsidRDefault="00E30F26" w:rsidP="00501A11">
      <w:pPr>
        <w:pStyle w:val="ListBullet"/>
      </w:pPr>
      <w:r w:rsidRPr="00501A11">
        <w:t>standard operating procedures</w:t>
      </w:r>
    </w:p>
    <w:p w14:paraId="6FF43952" w14:textId="263FE6F1" w:rsidR="00006354" w:rsidRPr="00501A11" w:rsidRDefault="00E30F26" w:rsidP="00501A11">
      <w:pPr>
        <w:pStyle w:val="ListBullet"/>
      </w:pPr>
      <w:r w:rsidRPr="00501A11">
        <w:t xml:space="preserve">medical benefits schedule data relevant to the </w:t>
      </w:r>
      <w:r w:rsidR="00006354" w:rsidRPr="00501A11">
        <w:t>Initiative operations</w:t>
      </w:r>
    </w:p>
    <w:p w14:paraId="0747E572" w14:textId="4B1E502C" w:rsidR="00006354" w:rsidRPr="00501A11" w:rsidRDefault="00E30F26" w:rsidP="00501A11">
      <w:pPr>
        <w:pStyle w:val="ListBullet"/>
      </w:pPr>
      <w:r w:rsidRPr="00501A11">
        <w:t>survey results</w:t>
      </w:r>
    </w:p>
    <w:p w14:paraId="6C39F431" w14:textId="5F46F42D" w:rsidR="00006354" w:rsidRPr="00501A11" w:rsidRDefault="00E30F26" w:rsidP="00501A11">
      <w:pPr>
        <w:pStyle w:val="ListBullet"/>
      </w:pPr>
      <w:r w:rsidRPr="00501A11">
        <w:t>interview feedback</w:t>
      </w:r>
    </w:p>
    <w:p w14:paraId="0659FB55" w14:textId="1A8701FA" w:rsidR="00006354" w:rsidRPr="00501A11" w:rsidRDefault="00E30F26" w:rsidP="00501A11">
      <w:pPr>
        <w:pStyle w:val="ListBullet"/>
      </w:pPr>
      <w:r w:rsidRPr="00501A11">
        <w:t>case study information, and</w:t>
      </w:r>
    </w:p>
    <w:p w14:paraId="450BA559" w14:textId="30273F4E" w:rsidR="00006354" w:rsidRPr="00501A11" w:rsidRDefault="00E30F26" w:rsidP="00501A11">
      <w:pPr>
        <w:pStyle w:val="ListBullet"/>
      </w:pPr>
      <w:r w:rsidRPr="00501A11">
        <w:t xml:space="preserve">other </w:t>
      </w:r>
      <w:r w:rsidR="00006354" w:rsidRPr="00501A11">
        <w:t>relevant data gathered throughout the evaluation.</w:t>
      </w:r>
    </w:p>
    <w:p w14:paraId="0CB7E734" w14:textId="7D799B8D" w:rsidR="00501A11" w:rsidRDefault="00006354" w:rsidP="00501A11">
      <w:r w:rsidRPr="006C533C">
        <w:rPr>
          <w:b/>
          <w:bCs/>
        </w:rPr>
        <w:t>Stage 7</w:t>
      </w:r>
      <w:r w:rsidR="00E30F26">
        <w:rPr>
          <w:b/>
          <w:bCs/>
        </w:rPr>
        <w:t xml:space="preserve"> –</w:t>
      </w:r>
      <w:r w:rsidRPr="006C533C">
        <w:rPr>
          <w:b/>
          <w:bCs/>
        </w:rPr>
        <w:t xml:space="preserve"> Information synthesis</w:t>
      </w:r>
      <w:r w:rsidR="00E30F26">
        <w:rPr>
          <w:b/>
          <w:bCs/>
        </w:rPr>
        <w:t>:</w:t>
      </w:r>
      <w:r w:rsidRPr="006C533C">
        <w:rPr>
          <w:b/>
          <w:bCs/>
        </w:rPr>
        <w:t xml:space="preserve"> </w:t>
      </w:r>
      <w:r w:rsidRPr="00E30F26">
        <w:t>(June 2021)</w:t>
      </w:r>
      <w:r w:rsidRPr="006C533C">
        <w:rPr>
          <w:b/>
          <w:bCs/>
        </w:rPr>
        <w:t xml:space="preserve"> </w:t>
      </w:r>
      <w:r w:rsidRPr="006C533C">
        <w:t xml:space="preserve">The project </w:t>
      </w:r>
      <w:r w:rsidR="00501A11">
        <w:t xml:space="preserve">team </w:t>
      </w:r>
      <w:r w:rsidRPr="006C533C">
        <w:t>triangulate</w:t>
      </w:r>
      <w:r w:rsidR="00501A11">
        <w:t>d</w:t>
      </w:r>
      <w:r w:rsidRPr="006C533C">
        <w:t xml:space="preserve"> findings from the previous stages and form</w:t>
      </w:r>
      <w:r w:rsidR="00501A11">
        <w:t>ed</w:t>
      </w:r>
      <w:r w:rsidRPr="006C533C">
        <w:t xml:space="preserve"> evaluative judgements of Initiative performance against the evaluation questions </w:t>
      </w:r>
      <w:r w:rsidR="00501A11">
        <w:t xml:space="preserve">specified in Attachment A. </w:t>
      </w:r>
      <w:r w:rsidRPr="006C533C">
        <w:t>This</w:t>
      </w:r>
      <w:r w:rsidR="00501A11">
        <w:t xml:space="preserve"> enable</w:t>
      </w:r>
      <w:r w:rsidR="00E30F26">
        <w:t>d</w:t>
      </w:r>
      <w:r w:rsidR="00501A11">
        <w:t xml:space="preserve"> an</w:t>
      </w:r>
      <w:r w:rsidRPr="006C533C">
        <w:t xml:space="preserve"> assess</w:t>
      </w:r>
      <w:r w:rsidR="00501A11">
        <w:t>ment of</w:t>
      </w:r>
      <w:r w:rsidRPr="006C533C">
        <w:t xml:space="preserve"> the extent to which the Initiative is appropriate, effective, efficient and of quality and value.</w:t>
      </w:r>
    </w:p>
    <w:p w14:paraId="67C080AC" w14:textId="526442B5" w:rsidR="00006354" w:rsidRPr="00501A11" w:rsidRDefault="00006354" w:rsidP="00501A11">
      <w:r w:rsidRPr="006C533C">
        <w:rPr>
          <w:b/>
          <w:bCs/>
        </w:rPr>
        <w:t>Stage 8</w:t>
      </w:r>
      <w:r w:rsidR="00E30F26">
        <w:rPr>
          <w:b/>
          <w:bCs/>
        </w:rPr>
        <w:t xml:space="preserve"> –</w:t>
      </w:r>
      <w:r w:rsidRPr="006C533C">
        <w:rPr>
          <w:b/>
          <w:bCs/>
        </w:rPr>
        <w:t xml:space="preserve"> Preparation of the final report </w:t>
      </w:r>
      <w:r w:rsidR="00501A11">
        <w:rPr>
          <w:b/>
          <w:bCs/>
        </w:rPr>
        <w:t>(this document)</w:t>
      </w:r>
      <w:r w:rsidR="00E30F26">
        <w:rPr>
          <w:b/>
          <w:bCs/>
        </w:rPr>
        <w:t>:</w:t>
      </w:r>
      <w:r w:rsidR="00501A11">
        <w:rPr>
          <w:b/>
          <w:bCs/>
        </w:rPr>
        <w:t xml:space="preserve"> </w:t>
      </w:r>
      <w:r w:rsidR="00E30F26" w:rsidRPr="00E30F26">
        <w:t>(</w:t>
      </w:r>
      <w:r w:rsidR="00501A11" w:rsidRPr="00E30F26">
        <w:t>J</w:t>
      </w:r>
      <w:r w:rsidR="00501A11">
        <w:t xml:space="preserve">une to </w:t>
      </w:r>
      <w:r w:rsidRPr="006C533C">
        <w:t>July 202</w:t>
      </w:r>
      <w:r w:rsidR="00E30F26">
        <w:t xml:space="preserve">1) </w:t>
      </w:r>
      <w:r w:rsidR="00915A33" w:rsidRPr="00915A33">
        <w:t xml:space="preserve">The draft report </w:t>
      </w:r>
      <w:r w:rsidR="00915A33">
        <w:t>will be</w:t>
      </w:r>
      <w:r w:rsidR="00915A33" w:rsidRPr="00915A33">
        <w:t xml:space="preserve"> circulated to jurisdictions for comment.</w:t>
      </w:r>
      <w:r w:rsidR="00915A33">
        <w:t xml:space="preserve"> </w:t>
      </w:r>
      <w:r w:rsidRPr="006C533C">
        <w:t>Th</w:t>
      </w:r>
      <w:r w:rsidR="00915A33">
        <w:t>e</w:t>
      </w:r>
      <w:r w:rsidRPr="006C533C">
        <w:t xml:space="preserve"> report will incorporate all key findings from the </w:t>
      </w:r>
      <w:r w:rsidR="00065C89" w:rsidRPr="006C533C">
        <w:t>evaluation and</w:t>
      </w:r>
      <w:r w:rsidR="002A68CC">
        <w:t xml:space="preserve"> include options</w:t>
      </w:r>
      <w:r w:rsidRPr="006C533C">
        <w:t xml:space="preserve"> to improve the Initiative for the future</w:t>
      </w:r>
      <w:r w:rsidR="00915A33">
        <w:t>.</w:t>
      </w:r>
    </w:p>
    <w:p w14:paraId="19557792" w14:textId="2F88FD01" w:rsidR="00006354" w:rsidRDefault="00DE5CEB" w:rsidP="00501A11">
      <w:pPr>
        <w:pStyle w:val="Heading2"/>
      </w:pPr>
      <w:bookmarkStart w:id="65" w:name="_Toc85203282"/>
      <w:r>
        <w:lastRenderedPageBreak/>
        <w:t>S</w:t>
      </w:r>
      <w:r w:rsidR="00501A11">
        <w:t>pecific data collection processes</w:t>
      </w:r>
      <w:r w:rsidR="00E36702">
        <w:t>: additional information</w:t>
      </w:r>
      <w:bookmarkEnd w:id="65"/>
    </w:p>
    <w:p w14:paraId="6114A8DA" w14:textId="26895551" w:rsidR="00501A11" w:rsidRDefault="00501A11" w:rsidP="00501A11">
      <w:pPr>
        <w:pStyle w:val="Heading3"/>
      </w:pPr>
      <w:bookmarkStart w:id="66" w:name="_Toc85203283"/>
      <w:r>
        <w:t>MBS data analysis</w:t>
      </w:r>
      <w:bookmarkEnd w:id="66"/>
    </w:p>
    <w:p w14:paraId="04C701D4" w14:textId="5D59D61F" w:rsidR="00073558" w:rsidRPr="00073558" w:rsidRDefault="00B5257F" w:rsidP="00073558">
      <w:pPr>
        <w:rPr>
          <w:rFonts w:eastAsia="Times New Roman" w:cs="Times New Roman"/>
          <w:color w:val="000000" w:themeColor="text1"/>
          <w:szCs w:val="20"/>
        </w:rPr>
      </w:pPr>
      <w:r>
        <w:t xml:space="preserve">With support from the Department’s Medical Benefits Division, </w:t>
      </w:r>
      <w:r w:rsidR="00073558">
        <w:t xml:space="preserve">HMA </w:t>
      </w:r>
      <w:r>
        <w:t xml:space="preserve">obtained </w:t>
      </w:r>
      <w:r w:rsidR="00073558">
        <w:t xml:space="preserve">MBS data relating to sites participating in the Initiative. The objective for the data analysis was to summarise the characteristics of the MBS claims mix, </w:t>
      </w:r>
      <w:r w:rsidR="00A32F7F">
        <w:t>focus</w:t>
      </w:r>
      <w:r w:rsidR="00073558">
        <w:t xml:space="preserve">ing on the last full financial year of the current MOU. </w:t>
      </w:r>
      <w:r w:rsidR="00073558" w:rsidRPr="00073558">
        <w:t>The analysis examine</w:t>
      </w:r>
      <w:r>
        <w:t>d</w:t>
      </w:r>
      <w:r w:rsidR="00073558" w:rsidRPr="00073558">
        <w:t xml:space="preserve"> the claims by aggregating individual MBS items (</w:t>
      </w:r>
      <w:r w:rsidR="00E36702">
        <w:t xml:space="preserve">volume of item claims </w:t>
      </w:r>
      <w:r w:rsidR="00073558" w:rsidRPr="00073558">
        <w:t xml:space="preserve">and </w:t>
      </w:r>
      <w:r w:rsidR="00E36702">
        <w:t xml:space="preserve">monetary </w:t>
      </w:r>
      <w:r w:rsidR="00073558" w:rsidRPr="00073558">
        <w:t>value</w:t>
      </w:r>
      <w:r w:rsidR="00E36702">
        <w:t xml:space="preserve"> of claims</w:t>
      </w:r>
      <w:r w:rsidR="00073558" w:rsidRPr="00073558">
        <w:t xml:space="preserve">) </w:t>
      </w:r>
      <w:r w:rsidR="00E30F26">
        <w:t>in</w:t>
      </w:r>
      <w:r w:rsidR="00073558" w:rsidRPr="00073558">
        <w:t>to meaningful categories related to the Initiative implementation</w:t>
      </w:r>
      <w:r w:rsidR="00073558">
        <w:t xml:space="preserve">. These </w:t>
      </w:r>
      <w:r w:rsidR="00E36702">
        <w:t xml:space="preserve">categories </w:t>
      </w:r>
      <w:r w:rsidR="00073558">
        <w:t>were:</w:t>
      </w:r>
    </w:p>
    <w:p w14:paraId="00B4E1B2" w14:textId="62EBFBA4" w:rsidR="00073558" w:rsidRPr="00073558" w:rsidRDefault="00073558" w:rsidP="00915A33">
      <w:pPr>
        <w:numPr>
          <w:ilvl w:val="0"/>
          <w:numId w:val="4"/>
        </w:numPr>
        <w:contextualSpacing/>
      </w:pPr>
      <w:r w:rsidRPr="00073558">
        <w:t>Non-admitted, non-referred services by GPs</w:t>
      </w:r>
      <w:r w:rsidR="00915A33">
        <w:t>, s</w:t>
      </w:r>
      <w:r w:rsidRPr="00073558">
        <w:t>eparately identifying</w:t>
      </w:r>
      <w:r w:rsidR="00915A33">
        <w:t xml:space="preserve"> </w:t>
      </w:r>
      <w:r w:rsidRPr="00073558">
        <w:t>as</w:t>
      </w:r>
      <w:r w:rsidR="002A68CC">
        <w:t xml:space="preserve"> discrete</w:t>
      </w:r>
      <w:r w:rsidRPr="00073558">
        <w:t xml:space="preserve"> separate sub-categories, </w:t>
      </w:r>
      <w:r w:rsidR="002A68CC">
        <w:t>enhanced primary care (</w:t>
      </w:r>
      <w:r w:rsidRPr="00073558">
        <w:t>EPC</w:t>
      </w:r>
      <w:r w:rsidR="002A68CC">
        <w:t>)</w:t>
      </w:r>
      <w:r w:rsidRPr="00073558">
        <w:t xml:space="preserve"> items and after</w:t>
      </w:r>
      <w:r w:rsidR="00E30F26">
        <w:t>-</w:t>
      </w:r>
      <w:r w:rsidRPr="00073558">
        <w:t xml:space="preserve">hours item claim volumes </w:t>
      </w:r>
    </w:p>
    <w:p w14:paraId="36432CF3" w14:textId="77777777" w:rsidR="00073558" w:rsidRPr="00073558" w:rsidRDefault="00073558" w:rsidP="00073558">
      <w:pPr>
        <w:numPr>
          <w:ilvl w:val="0"/>
          <w:numId w:val="4"/>
        </w:numPr>
        <w:contextualSpacing/>
      </w:pPr>
      <w:r w:rsidRPr="00073558">
        <w:t>Non-admitted, non-referred services by specialists</w:t>
      </w:r>
    </w:p>
    <w:p w14:paraId="4A204477" w14:textId="77777777" w:rsidR="00073558" w:rsidRPr="00073558" w:rsidRDefault="00073558" w:rsidP="00073558">
      <w:pPr>
        <w:numPr>
          <w:ilvl w:val="0"/>
          <w:numId w:val="4"/>
        </w:numPr>
        <w:contextualSpacing/>
      </w:pPr>
      <w:r w:rsidRPr="00073558">
        <w:t>Midwifery</w:t>
      </w:r>
    </w:p>
    <w:p w14:paraId="52EF5488" w14:textId="77777777" w:rsidR="00073558" w:rsidRPr="00073558" w:rsidRDefault="00073558" w:rsidP="00073558">
      <w:pPr>
        <w:numPr>
          <w:ilvl w:val="0"/>
          <w:numId w:val="4"/>
        </w:numPr>
        <w:contextualSpacing/>
      </w:pPr>
      <w:r w:rsidRPr="00073558">
        <w:t>Allied health</w:t>
      </w:r>
    </w:p>
    <w:p w14:paraId="428AD44D" w14:textId="77777777" w:rsidR="00073558" w:rsidRPr="00073558" w:rsidRDefault="00073558" w:rsidP="00073558">
      <w:pPr>
        <w:numPr>
          <w:ilvl w:val="0"/>
          <w:numId w:val="4"/>
        </w:numPr>
        <w:contextualSpacing/>
      </w:pPr>
      <w:r w:rsidRPr="00073558">
        <w:t>Psychology</w:t>
      </w:r>
    </w:p>
    <w:p w14:paraId="62FF6137" w14:textId="77777777" w:rsidR="00073558" w:rsidRPr="00073558" w:rsidRDefault="00073558" w:rsidP="00073558">
      <w:pPr>
        <w:numPr>
          <w:ilvl w:val="0"/>
          <w:numId w:val="4"/>
        </w:numPr>
        <w:contextualSpacing/>
      </w:pPr>
      <w:r w:rsidRPr="00073558">
        <w:t>Occupational therapy</w:t>
      </w:r>
    </w:p>
    <w:p w14:paraId="7A41739D" w14:textId="77777777" w:rsidR="00073558" w:rsidRPr="00073558" w:rsidRDefault="00073558" w:rsidP="00073558">
      <w:pPr>
        <w:numPr>
          <w:ilvl w:val="0"/>
          <w:numId w:val="4"/>
        </w:numPr>
        <w:contextualSpacing/>
      </w:pPr>
      <w:r w:rsidRPr="00073558">
        <w:t>Speech therapy</w:t>
      </w:r>
    </w:p>
    <w:p w14:paraId="3BFD38CF" w14:textId="77777777" w:rsidR="00073558" w:rsidRPr="00073558" w:rsidRDefault="00073558" w:rsidP="00073558">
      <w:pPr>
        <w:numPr>
          <w:ilvl w:val="0"/>
          <w:numId w:val="4"/>
        </w:numPr>
        <w:contextualSpacing/>
      </w:pPr>
      <w:r w:rsidRPr="00073558">
        <w:t>Podiatry</w:t>
      </w:r>
    </w:p>
    <w:p w14:paraId="7C7930E4" w14:textId="77777777" w:rsidR="00073558" w:rsidRPr="00073558" w:rsidRDefault="00073558" w:rsidP="00073558">
      <w:pPr>
        <w:numPr>
          <w:ilvl w:val="0"/>
          <w:numId w:val="4"/>
        </w:numPr>
        <w:contextualSpacing/>
      </w:pPr>
      <w:r w:rsidRPr="00073558">
        <w:t>Social Work</w:t>
      </w:r>
    </w:p>
    <w:p w14:paraId="505596E9" w14:textId="77777777" w:rsidR="00073558" w:rsidRPr="00073558" w:rsidRDefault="00073558" w:rsidP="00073558">
      <w:pPr>
        <w:numPr>
          <w:ilvl w:val="0"/>
          <w:numId w:val="4"/>
        </w:numPr>
        <w:contextualSpacing/>
      </w:pPr>
      <w:r w:rsidRPr="00073558">
        <w:t>Other</w:t>
      </w:r>
    </w:p>
    <w:p w14:paraId="7E8B3AB0" w14:textId="77777777" w:rsidR="00073558" w:rsidRPr="00073558" w:rsidRDefault="00073558" w:rsidP="00073558">
      <w:pPr>
        <w:numPr>
          <w:ilvl w:val="0"/>
          <w:numId w:val="4"/>
        </w:numPr>
        <w:contextualSpacing/>
      </w:pPr>
      <w:r w:rsidRPr="00073558">
        <w:t>Dental services</w:t>
      </w:r>
    </w:p>
    <w:p w14:paraId="3E576E2B" w14:textId="03754B94" w:rsidR="00073558" w:rsidRDefault="00073558" w:rsidP="00073558">
      <w:pPr>
        <w:numPr>
          <w:ilvl w:val="0"/>
          <w:numId w:val="4"/>
        </w:numPr>
        <w:contextualSpacing/>
      </w:pPr>
      <w:r w:rsidRPr="00073558">
        <w:t>Diagnostic imaging services</w:t>
      </w:r>
      <w:r w:rsidR="00B5257F">
        <w:t>.</w:t>
      </w:r>
    </w:p>
    <w:p w14:paraId="45E11A79" w14:textId="47712C3D" w:rsidR="00B5257F" w:rsidRPr="00073558" w:rsidRDefault="00E36702" w:rsidP="00B5257F">
      <w:pPr>
        <w:spacing w:before="240"/>
      </w:pPr>
      <w:r>
        <w:t>Appendi</w:t>
      </w:r>
      <w:r w:rsidR="00915A33">
        <w:t>x</w:t>
      </w:r>
      <w:r>
        <w:t xml:space="preserve"> </w:t>
      </w:r>
      <w:r w:rsidR="00026330">
        <w:t>E</w:t>
      </w:r>
      <w:r>
        <w:t xml:space="preserve"> </w:t>
      </w:r>
      <w:r w:rsidR="002A68CC">
        <w:t>details</w:t>
      </w:r>
      <w:r>
        <w:t xml:space="preserve"> t</w:t>
      </w:r>
      <w:r w:rsidR="00B5257F">
        <w:t xml:space="preserve">he MBS item categorisation </w:t>
      </w:r>
      <w:r w:rsidR="00F266EB">
        <w:t xml:space="preserve">that </w:t>
      </w:r>
      <w:r w:rsidR="00B5257F">
        <w:t>inform</w:t>
      </w:r>
      <w:r w:rsidR="00F266EB">
        <w:t>ed</w:t>
      </w:r>
      <w:r w:rsidR="00B5257F">
        <w:t xml:space="preserve"> the analysis</w:t>
      </w:r>
      <w:r>
        <w:t xml:space="preserve"> in this report</w:t>
      </w:r>
      <w:r w:rsidR="00B5257F">
        <w:t>.</w:t>
      </w:r>
    </w:p>
    <w:p w14:paraId="1E9C1250" w14:textId="1187340B" w:rsidR="00501A11" w:rsidRDefault="00501A11" w:rsidP="00501A11">
      <w:pPr>
        <w:pStyle w:val="Heading3"/>
      </w:pPr>
      <w:bookmarkStart w:id="67" w:name="_Toc85203284"/>
      <w:r>
        <w:t>Case studies</w:t>
      </w:r>
      <w:bookmarkEnd w:id="67"/>
    </w:p>
    <w:p w14:paraId="6F9F4A76" w14:textId="331D563E" w:rsidR="00B065F6" w:rsidRPr="00B744E6" w:rsidRDefault="00B065F6" w:rsidP="00B065F6">
      <w:pPr>
        <w:spacing w:after="0"/>
      </w:pPr>
      <w:r>
        <w:t xml:space="preserve">The case studies </w:t>
      </w:r>
      <w:r w:rsidRPr="00B744E6">
        <w:t>involved on</w:t>
      </w:r>
      <w:r w:rsidR="00B5257F">
        <w:t>-</w:t>
      </w:r>
      <w:r w:rsidRPr="00B744E6">
        <w:t>the</w:t>
      </w:r>
      <w:r w:rsidR="00B5257F">
        <w:t>-</w:t>
      </w:r>
      <w:r w:rsidRPr="00B744E6">
        <w:t xml:space="preserve">ground site visits to 10 </w:t>
      </w:r>
      <w:r w:rsidR="00B5257F">
        <w:t xml:space="preserve">Initiative </w:t>
      </w:r>
      <w:r w:rsidRPr="00B744E6">
        <w:t>sites in four jurisdictions (NSW, Q</w:t>
      </w:r>
      <w:r w:rsidR="00173487">
        <w:t>LD</w:t>
      </w:r>
      <w:r w:rsidRPr="00B744E6">
        <w:t>, WA and NT). At each case study</w:t>
      </w:r>
      <w:r>
        <w:t xml:space="preserve"> site,</w:t>
      </w:r>
      <w:r w:rsidRPr="00B744E6">
        <w:t xml:space="preserve"> we conducted interviews with:</w:t>
      </w:r>
    </w:p>
    <w:p w14:paraId="4CF87160" w14:textId="0C99B692" w:rsidR="00B065F6" w:rsidRPr="00B744E6" w:rsidRDefault="00B065F6" w:rsidP="00B065F6">
      <w:pPr>
        <w:numPr>
          <w:ilvl w:val="0"/>
          <w:numId w:val="4"/>
        </w:numPr>
        <w:contextualSpacing/>
      </w:pPr>
      <w:r w:rsidRPr="00B744E6">
        <w:t xml:space="preserve">senior management representatives of the </w:t>
      </w:r>
      <w:r w:rsidR="00722AFB">
        <w:t>LHN</w:t>
      </w:r>
      <w:r w:rsidRPr="00B744E6">
        <w:t xml:space="preserve"> responsible for the participating case study health service</w:t>
      </w:r>
    </w:p>
    <w:p w14:paraId="722247EA" w14:textId="77777777" w:rsidR="00B065F6" w:rsidRPr="00B744E6" w:rsidRDefault="00B065F6" w:rsidP="00B065F6">
      <w:pPr>
        <w:numPr>
          <w:ilvl w:val="0"/>
          <w:numId w:val="4"/>
        </w:numPr>
        <w:contextualSpacing/>
      </w:pPr>
      <w:r w:rsidRPr="00B744E6">
        <w:t>the facility man</w:t>
      </w:r>
      <w:r>
        <w:t>a</w:t>
      </w:r>
      <w:r w:rsidRPr="00B744E6">
        <w:t>ger</w:t>
      </w:r>
    </w:p>
    <w:p w14:paraId="282DC642" w14:textId="77777777" w:rsidR="00B065F6" w:rsidRPr="00B744E6" w:rsidRDefault="00B065F6" w:rsidP="00B065F6">
      <w:pPr>
        <w:numPr>
          <w:ilvl w:val="0"/>
          <w:numId w:val="4"/>
        </w:numPr>
        <w:contextualSpacing/>
      </w:pPr>
      <w:r w:rsidRPr="00B744E6">
        <w:t>site revenue clerks</w:t>
      </w:r>
    </w:p>
    <w:p w14:paraId="7F1B9B54" w14:textId="77777777" w:rsidR="00B065F6" w:rsidRPr="00B744E6" w:rsidRDefault="00B065F6" w:rsidP="00B065F6">
      <w:pPr>
        <w:numPr>
          <w:ilvl w:val="0"/>
          <w:numId w:val="4"/>
        </w:numPr>
        <w:contextualSpacing/>
      </w:pPr>
      <w:r w:rsidRPr="00B744E6">
        <w:t>representatives of the LHN revenue management teams</w:t>
      </w:r>
    </w:p>
    <w:p w14:paraId="6122DF0C" w14:textId="77777777" w:rsidR="00B065F6" w:rsidRPr="00B744E6" w:rsidRDefault="00B065F6" w:rsidP="00B065F6">
      <w:pPr>
        <w:numPr>
          <w:ilvl w:val="0"/>
          <w:numId w:val="4"/>
        </w:numPr>
        <w:contextualSpacing/>
      </w:pPr>
      <w:r>
        <w:t>s</w:t>
      </w:r>
      <w:r w:rsidRPr="00B744E6">
        <w:t>enior medical doctors at the facility</w:t>
      </w:r>
    </w:p>
    <w:p w14:paraId="11D3C12E" w14:textId="77777777" w:rsidR="00B065F6" w:rsidRPr="00B744E6" w:rsidRDefault="00B065F6" w:rsidP="00B065F6">
      <w:pPr>
        <w:numPr>
          <w:ilvl w:val="0"/>
          <w:numId w:val="4"/>
        </w:numPr>
        <w:contextualSpacing/>
      </w:pPr>
      <w:r w:rsidRPr="00B744E6">
        <w:t>facility clinicians providing primary care service</w:t>
      </w:r>
      <w:r>
        <w:t>, and</w:t>
      </w:r>
    </w:p>
    <w:p w14:paraId="03A6B1D2" w14:textId="25258A51" w:rsidR="00B065F6" w:rsidRDefault="00B065F6" w:rsidP="00B065F6">
      <w:pPr>
        <w:numPr>
          <w:ilvl w:val="0"/>
          <w:numId w:val="4"/>
        </w:numPr>
        <w:spacing w:before="120"/>
        <w:contextualSpacing/>
      </w:pPr>
      <w:r>
        <w:t>l</w:t>
      </w:r>
      <w:r w:rsidRPr="00B744E6">
        <w:t xml:space="preserve">ocal </w:t>
      </w:r>
      <w:r w:rsidR="00722AFB">
        <w:t>GPs</w:t>
      </w:r>
      <w:r>
        <w:t xml:space="preserve"> and representative of ACCHOs</w:t>
      </w:r>
      <w:r w:rsidRPr="00B744E6">
        <w:t>, where present</w:t>
      </w:r>
      <w:r>
        <w:t xml:space="preserve"> and available</w:t>
      </w:r>
      <w:r w:rsidRPr="00B744E6">
        <w:t>.</w:t>
      </w:r>
    </w:p>
    <w:p w14:paraId="5736E125" w14:textId="534562E6" w:rsidR="00B065F6" w:rsidRDefault="00B065F6" w:rsidP="00B5257F">
      <w:pPr>
        <w:spacing w:before="240"/>
      </w:pPr>
      <w:r>
        <w:t xml:space="preserve">The evaluation analysis drew </w:t>
      </w:r>
      <w:r w:rsidR="00E36702">
        <w:t xml:space="preserve">on </w:t>
      </w:r>
      <w:r>
        <w:t>more detailed information</w:t>
      </w:r>
      <w:r w:rsidR="00B5257F">
        <w:t xml:space="preserve"> on each case study site</w:t>
      </w:r>
      <w:r>
        <w:t xml:space="preserve"> made available from the Department:</w:t>
      </w:r>
    </w:p>
    <w:p w14:paraId="6F681BFC" w14:textId="77777777" w:rsidR="00B065F6" w:rsidRDefault="00B065F6" w:rsidP="00B065F6">
      <w:pPr>
        <w:pStyle w:val="ListBullet"/>
      </w:pPr>
      <w:r>
        <w:t>Operational plans, and</w:t>
      </w:r>
    </w:p>
    <w:p w14:paraId="08068C29" w14:textId="77777777" w:rsidR="00B065F6" w:rsidRDefault="00B065F6" w:rsidP="00B065F6">
      <w:pPr>
        <w:pStyle w:val="ListBullet"/>
      </w:pPr>
      <w:r>
        <w:t>Annual reports, including reinvestment plans for each year of the current MOU.</w:t>
      </w:r>
    </w:p>
    <w:p w14:paraId="7E3BACE0" w14:textId="77777777" w:rsidR="00B065F6" w:rsidRDefault="00B065F6" w:rsidP="00B065F6">
      <w:r>
        <w:t xml:space="preserve">The case study sites were selected to emphasise the breadth of service delivery arrangements and contexts within which the Initiative operates, including their geographic location (jurisdiction and MMM level), presence of a private GP practice, proximity to an ACCHO, and size of MBS claim. </w:t>
      </w:r>
    </w:p>
    <w:p w14:paraId="5263FF1E" w14:textId="454B4B8A" w:rsidR="00B065F6" w:rsidRDefault="00B065F6" w:rsidP="00B065F6">
      <w:r>
        <w:t>The contextual characteristics of the 10 case study sites and the rationale for their inclusion</w:t>
      </w:r>
      <w:r w:rsidR="00F266EB">
        <w:t xml:space="preserve"> in the evaluation</w:t>
      </w:r>
      <w:r>
        <w:t xml:space="preserve"> is shown in </w:t>
      </w:r>
      <w:r>
        <w:fldChar w:fldCharType="begin"/>
      </w:r>
      <w:r>
        <w:instrText xml:space="preserve"> REF _Ref72870335 \h </w:instrText>
      </w:r>
      <w:r>
        <w:fldChar w:fldCharType="separate"/>
      </w:r>
      <w:r w:rsidR="00C50B67">
        <w:t xml:space="preserve">Table </w:t>
      </w:r>
      <w:r w:rsidR="00C50B67">
        <w:rPr>
          <w:noProof/>
        </w:rPr>
        <w:t>3</w:t>
      </w:r>
      <w:r w:rsidR="00C50B67">
        <w:t>.</w:t>
      </w:r>
      <w:r w:rsidR="00C50B67">
        <w:rPr>
          <w:noProof/>
        </w:rPr>
        <w:t>1</w:t>
      </w:r>
      <w:r>
        <w:fldChar w:fldCharType="end"/>
      </w:r>
      <w:r>
        <w:t>.</w:t>
      </w:r>
    </w:p>
    <w:p w14:paraId="46C564EC" w14:textId="77777777" w:rsidR="00B065F6" w:rsidRDefault="00B065F6" w:rsidP="00B065F6"/>
    <w:p w14:paraId="1DBD7C24" w14:textId="77777777" w:rsidR="00B065F6" w:rsidRDefault="00B065F6" w:rsidP="00B065F6">
      <w:pPr>
        <w:sectPr w:rsidR="00B065F6" w:rsidSect="00961631">
          <w:type w:val="continuous"/>
          <w:pgSz w:w="16838" w:h="11906" w:orient="landscape" w:code="9"/>
          <w:pgMar w:top="737" w:right="1304" w:bottom="1134" w:left="737" w:header="567" w:footer="284" w:gutter="0"/>
          <w:cols w:num="2" w:space="708"/>
          <w:docGrid w:linePitch="360"/>
        </w:sectPr>
      </w:pPr>
    </w:p>
    <w:p w14:paraId="095032B8" w14:textId="02D00E01" w:rsidR="00B065F6" w:rsidRDefault="00B065F6" w:rsidP="00B065F6">
      <w:pPr>
        <w:pStyle w:val="Caption"/>
      </w:pPr>
      <w:bookmarkStart w:id="68" w:name="_Ref72870335"/>
      <w:r>
        <w:lastRenderedPageBreak/>
        <w:t xml:space="preserve">Table </w:t>
      </w:r>
      <w:r w:rsidR="00A67BE9">
        <w:fldChar w:fldCharType="begin"/>
      </w:r>
      <w:r w:rsidR="00A67BE9">
        <w:instrText xml:space="preserve"> STYLEREF 1 \s </w:instrText>
      </w:r>
      <w:r w:rsidR="00A67BE9">
        <w:fldChar w:fldCharType="separate"/>
      </w:r>
      <w:r w:rsidR="00C50B67">
        <w:rPr>
          <w:noProof/>
        </w:rPr>
        <w:t>3</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1</w:t>
      </w:r>
      <w:r w:rsidR="00A67BE9">
        <w:rPr>
          <w:noProof/>
        </w:rPr>
        <w:fldChar w:fldCharType="end"/>
      </w:r>
      <w:bookmarkEnd w:id="68"/>
      <w:r>
        <w:t xml:space="preserve">: </w:t>
      </w:r>
      <w:r w:rsidRPr="00B879B7">
        <w:rPr>
          <w:rStyle w:val="Caption-notboldChar"/>
        </w:rPr>
        <w:t xml:space="preserve">COAG </w:t>
      </w:r>
      <w:r w:rsidR="00783742">
        <w:rPr>
          <w:rStyle w:val="Caption-notboldChar"/>
        </w:rPr>
        <w:t>S19</w:t>
      </w:r>
      <w:r w:rsidR="00A07293">
        <w:rPr>
          <w:rStyle w:val="Caption-notboldChar"/>
        </w:rPr>
        <w:t>(2)</w:t>
      </w:r>
      <w:r w:rsidR="00722AFB">
        <w:rPr>
          <w:rStyle w:val="Caption-notboldChar"/>
        </w:rPr>
        <w:t xml:space="preserve"> Exemptions Initiative</w:t>
      </w:r>
      <w:r w:rsidRPr="00B879B7">
        <w:rPr>
          <w:rStyle w:val="Caption-notboldChar"/>
        </w:rPr>
        <w:t xml:space="preserve"> </w:t>
      </w:r>
      <w:r w:rsidR="00722AFB" w:rsidRPr="00B879B7">
        <w:rPr>
          <w:rStyle w:val="Caption-notboldChar"/>
        </w:rPr>
        <w:t xml:space="preserve">evaluation case study sites </w:t>
      </w:r>
      <w:r w:rsidR="00722AFB">
        <w:rPr>
          <w:rStyle w:val="Caption-notboldChar"/>
        </w:rPr>
        <w:t>–</w:t>
      </w:r>
      <w:r w:rsidR="00722AFB" w:rsidRPr="00B879B7">
        <w:rPr>
          <w:rStyle w:val="Caption-notboldChar"/>
        </w:rPr>
        <w:t xml:space="preserve"> summary of contextual features</w:t>
      </w:r>
    </w:p>
    <w:tbl>
      <w:tblPr>
        <w:tblStyle w:val="HMATableA2"/>
        <w:tblW w:w="15168" w:type="dxa"/>
        <w:tblLook w:val="04A0" w:firstRow="1" w:lastRow="0" w:firstColumn="1" w:lastColumn="0" w:noHBand="0" w:noVBand="1"/>
      </w:tblPr>
      <w:tblGrid>
        <w:gridCol w:w="1537"/>
        <w:gridCol w:w="2048"/>
        <w:gridCol w:w="1509"/>
        <w:gridCol w:w="1161"/>
        <w:gridCol w:w="722"/>
        <w:gridCol w:w="1659"/>
        <w:gridCol w:w="2606"/>
        <w:gridCol w:w="3926"/>
      </w:tblGrid>
      <w:tr w:rsidR="00594D44" w:rsidRPr="00E0703C" w14:paraId="63D473DD" w14:textId="77777777" w:rsidTr="00722A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9" w:type="dxa"/>
          </w:tcPr>
          <w:p w14:paraId="64B674D0" w14:textId="77777777" w:rsidR="00B065F6" w:rsidRPr="00E0703C" w:rsidRDefault="00B065F6" w:rsidP="00473E61">
            <w:r w:rsidRPr="00E0703C">
              <w:t>Jurisdiction</w:t>
            </w:r>
          </w:p>
        </w:tc>
        <w:tc>
          <w:tcPr>
            <w:tcW w:w="2054" w:type="dxa"/>
          </w:tcPr>
          <w:p w14:paraId="46AC43B4" w14:textId="0BA0FA71" w:rsidR="00B065F6" w:rsidRPr="00E0703C" w:rsidRDefault="00B065F6" w:rsidP="00473E61">
            <w:pPr>
              <w:cnfStyle w:val="100000000000" w:firstRow="1" w:lastRow="0" w:firstColumn="0" w:lastColumn="0" w:oddVBand="0" w:evenVBand="0" w:oddHBand="0" w:evenHBand="0" w:firstRowFirstColumn="0" w:firstRowLastColumn="0" w:lastRowFirstColumn="0" w:lastRowLastColumn="0"/>
            </w:pPr>
            <w:r w:rsidRPr="00E0703C">
              <w:t>Case study site name</w:t>
            </w:r>
            <w:r>
              <w:t xml:space="preserve"> / MBS Claim </w:t>
            </w:r>
            <w:r w:rsidR="00722AFB">
              <w:rPr>
                <w:rFonts w:ascii="Calibri" w:hAnsi="Calibri" w:cs="Calibri"/>
              </w:rPr>
              <w:t>‒</w:t>
            </w:r>
            <w:r>
              <w:t xml:space="preserve"> $m (</w:t>
            </w:r>
            <w:r w:rsidR="00722AFB">
              <w:t>20</w:t>
            </w:r>
            <w:r>
              <w:t>19/20)</w:t>
            </w:r>
          </w:p>
        </w:tc>
        <w:tc>
          <w:tcPr>
            <w:tcW w:w="1510" w:type="dxa"/>
          </w:tcPr>
          <w:p w14:paraId="59AE18B2" w14:textId="77777777" w:rsidR="00B065F6" w:rsidRPr="00E0703C" w:rsidRDefault="00B065F6" w:rsidP="00473E61">
            <w:pPr>
              <w:cnfStyle w:val="100000000000" w:firstRow="1" w:lastRow="0" w:firstColumn="0" w:lastColumn="0" w:oddVBand="0" w:evenVBand="0" w:oddHBand="0" w:evenHBand="0" w:firstRowFirstColumn="0" w:firstRowLastColumn="0" w:lastRowFirstColumn="0" w:lastRowLastColumn="0"/>
            </w:pPr>
            <w:r w:rsidRPr="00E0703C">
              <w:t>Nearest large town</w:t>
            </w:r>
          </w:p>
        </w:tc>
        <w:tc>
          <w:tcPr>
            <w:tcW w:w="1116" w:type="dxa"/>
          </w:tcPr>
          <w:p w14:paraId="06F6495F" w14:textId="77777777" w:rsidR="00B065F6" w:rsidRPr="00E0703C" w:rsidRDefault="00B065F6" w:rsidP="00473E61">
            <w:pPr>
              <w:cnfStyle w:val="100000000000" w:firstRow="1" w:lastRow="0" w:firstColumn="0" w:lastColumn="0" w:oddVBand="0" w:evenVBand="0" w:oddHBand="0" w:evenHBand="0" w:firstRowFirstColumn="0" w:firstRowLastColumn="0" w:lastRowFirstColumn="0" w:lastRowLastColumn="0"/>
            </w:pPr>
            <w:r w:rsidRPr="00E0703C">
              <w:t>LGA population</w:t>
            </w:r>
          </w:p>
        </w:tc>
        <w:tc>
          <w:tcPr>
            <w:tcW w:w="722" w:type="dxa"/>
          </w:tcPr>
          <w:p w14:paraId="316979C9" w14:textId="77777777" w:rsidR="00B065F6" w:rsidRPr="00E0703C" w:rsidRDefault="00B065F6" w:rsidP="00722AFB">
            <w:pPr>
              <w:jc w:val="center"/>
              <w:cnfStyle w:val="100000000000" w:firstRow="1" w:lastRow="0" w:firstColumn="0" w:lastColumn="0" w:oddVBand="0" w:evenVBand="0" w:oddHBand="0" w:evenHBand="0" w:firstRowFirstColumn="0" w:firstRowLastColumn="0" w:lastRowFirstColumn="0" w:lastRowLastColumn="0"/>
            </w:pPr>
            <w:r w:rsidRPr="00E0703C">
              <w:t>MMM score</w:t>
            </w:r>
          </w:p>
        </w:tc>
        <w:tc>
          <w:tcPr>
            <w:tcW w:w="1663" w:type="dxa"/>
          </w:tcPr>
          <w:p w14:paraId="3671D74E" w14:textId="62256540" w:rsidR="00B065F6" w:rsidRPr="00E0703C" w:rsidRDefault="00B065F6" w:rsidP="00473E61">
            <w:pPr>
              <w:cnfStyle w:val="100000000000" w:firstRow="1" w:lastRow="0" w:firstColumn="0" w:lastColumn="0" w:oddVBand="0" w:evenVBand="0" w:oddHBand="0" w:evenHBand="0" w:firstRowFirstColumn="0" w:firstRowLastColumn="0" w:lastRowFirstColumn="0" w:lastRowLastColumn="0"/>
            </w:pPr>
            <w:r w:rsidRPr="00E0703C">
              <w:t>No</w:t>
            </w:r>
            <w:r w:rsidR="00722AFB">
              <w:t>.</w:t>
            </w:r>
            <w:r w:rsidRPr="00E0703C">
              <w:t xml:space="preserve"> of </w:t>
            </w:r>
            <w:r>
              <w:t xml:space="preserve">private </w:t>
            </w:r>
            <w:r w:rsidRPr="00E0703C">
              <w:t xml:space="preserve">GP clinics in town </w:t>
            </w:r>
          </w:p>
        </w:tc>
        <w:tc>
          <w:tcPr>
            <w:tcW w:w="2616" w:type="dxa"/>
          </w:tcPr>
          <w:p w14:paraId="485DA985" w14:textId="77777777" w:rsidR="00B065F6" w:rsidRPr="00E0703C" w:rsidRDefault="00B065F6" w:rsidP="00473E61">
            <w:pPr>
              <w:cnfStyle w:val="100000000000" w:firstRow="1" w:lastRow="0" w:firstColumn="0" w:lastColumn="0" w:oddVBand="0" w:evenVBand="0" w:oddHBand="0" w:evenHBand="0" w:firstRowFirstColumn="0" w:firstRowLastColumn="0" w:lastRowFirstColumn="0" w:lastRowLastColumn="0"/>
            </w:pPr>
            <w:r w:rsidRPr="00E0703C">
              <w:t>Most proximate ACCHO</w:t>
            </w:r>
          </w:p>
        </w:tc>
        <w:tc>
          <w:tcPr>
            <w:tcW w:w="3948" w:type="dxa"/>
          </w:tcPr>
          <w:p w14:paraId="4C3D3985" w14:textId="2D045D75" w:rsidR="00B065F6" w:rsidRPr="00E0703C" w:rsidRDefault="00B065F6" w:rsidP="00473E61">
            <w:pPr>
              <w:cnfStyle w:val="100000000000" w:firstRow="1" w:lastRow="0" w:firstColumn="0" w:lastColumn="0" w:oddVBand="0" w:evenVBand="0" w:oddHBand="0" w:evenHBand="0" w:firstRowFirstColumn="0" w:firstRowLastColumn="0" w:lastRowFirstColumn="0" w:lastRowLastColumn="0"/>
            </w:pPr>
            <w:r w:rsidRPr="00E0703C">
              <w:t>Rationale for inclusion as a case study</w:t>
            </w:r>
            <w:r>
              <w:t xml:space="preserve"> </w:t>
            </w:r>
          </w:p>
        </w:tc>
      </w:tr>
      <w:tr w:rsidR="000645C5" w:rsidRPr="00E0703C" w14:paraId="6BC6D628" w14:textId="77777777" w:rsidTr="00722AFB">
        <w:tc>
          <w:tcPr>
            <w:cnfStyle w:val="001000000000" w:firstRow="0" w:lastRow="0" w:firstColumn="1" w:lastColumn="0" w:oddVBand="0" w:evenVBand="0" w:oddHBand="0" w:evenHBand="0" w:firstRowFirstColumn="0" w:firstRowLastColumn="0" w:lastRowFirstColumn="0" w:lastRowLastColumn="0"/>
            <w:tcW w:w="1539" w:type="dxa"/>
            <w:vMerge w:val="restart"/>
          </w:tcPr>
          <w:p w14:paraId="686DC93D" w14:textId="277845CF" w:rsidR="000645C5" w:rsidRPr="00E0703C" w:rsidRDefault="000645C5" w:rsidP="000645C5">
            <w:pPr>
              <w:spacing w:after="0" w:line="240" w:lineRule="atLeast"/>
              <w:ind w:left="57" w:right="57"/>
              <w:rPr>
                <w:rFonts w:ascii="Garamond" w:hAnsi="Garamond"/>
                <w:color w:val="000000" w:themeColor="text1"/>
                <w:szCs w:val="20"/>
              </w:rPr>
            </w:pPr>
            <w:r w:rsidRPr="00E0703C">
              <w:rPr>
                <w:rFonts w:ascii="Garamond" w:hAnsi="Garamond"/>
                <w:color w:val="000000" w:themeColor="text1"/>
                <w:szCs w:val="20"/>
              </w:rPr>
              <w:t>NSW (3</w:t>
            </w:r>
            <w:r>
              <w:rPr>
                <w:rFonts w:ascii="Garamond" w:hAnsi="Garamond"/>
                <w:color w:val="000000" w:themeColor="text1"/>
                <w:szCs w:val="20"/>
              </w:rPr>
              <w:t>9</w:t>
            </w:r>
            <w:r w:rsidRPr="00E0703C">
              <w:rPr>
                <w:rFonts w:ascii="Garamond" w:hAnsi="Garamond"/>
                <w:color w:val="000000" w:themeColor="text1"/>
                <w:szCs w:val="20"/>
              </w:rPr>
              <w:t xml:space="preserve">% of total </w:t>
            </w:r>
            <w:r>
              <w:rPr>
                <w:rFonts w:ascii="Garamond" w:hAnsi="Garamond"/>
                <w:color w:val="000000" w:themeColor="text1"/>
                <w:szCs w:val="20"/>
              </w:rPr>
              <w:t>active</w:t>
            </w:r>
            <w:r w:rsidRPr="00E0703C">
              <w:rPr>
                <w:rFonts w:ascii="Garamond" w:hAnsi="Garamond"/>
                <w:color w:val="000000" w:themeColor="text1"/>
                <w:szCs w:val="20"/>
              </w:rPr>
              <w:t xml:space="preserve"> services </w:t>
            </w:r>
            <w:r>
              <w:rPr>
                <w:rFonts w:ascii="Garamond" w:hAnsi="Garamond"/>
                <w:color w:val="000000" w:themeColor="text1"/>
                <w:szCs w:val="20"/>
              </w:rPr>
              <w:t>–</w:t>
            </w:r>
            <w:r w:rsidRPr="00E0703C">
              <w:rPr>
                <w:rFonts w:ascii="Garamond" w:hAnsi="Garamond"/>
                <w:color w:val="000000" w:themeColor="text1"/>
                <w:szCs w:val="20"/>
              </w:rPr>
              <w:t xml:space="preserve"> 36 services)</w:t>
            </w:r>
          </w:p>
        </w:tc>
        <w:tc>
          <w:tcPr>
            <w:tcW w:w="2054" w:type="dxa"/>
          </w:tcPr>
          <w:p w14:paraId="43F772CC" w14:textId="77777777" w:rsidR="000645C5" w:rsidRPr="00FC6A97"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Cs w:val="20"/>
              </w:rPr>
            </w:pPr>
            <w:bookmarkStart w:id="69" w:name="_Hlk59187477"/>
            <w:r w:rsidRPr="00E0703C">
              <w:rPr>
                <w:rFonts w:ascii="Garamond" w:hAnsi="Garamond"/>
                <w:b/>
                <w:bCs/>
                <w:color w:val="000000" w:themeColor="text1"/>
                <w:szCs w:val="20"/>
              </w:rPr>
              <w:t>Nyngan MPS</w:t>
            </w:r>
            <w:bookmarkEnd w:id="69"/>
          </w:p>
          <w:p w14:paraId="3A1C143D" w14:textId="4619D8FC"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w:t>
            </w:r>
            <w:r w:rsidRPr="00660E5A">
              <w:rPr>
                <w:rFonts w:ascii="Garamond" w:hAnsi="Garamond"/>
                <w:color w:val="000000" w:themeColor="text1"/>
                <w:szCs w:val="20"/>
              </w:rPr>
              <w:t>: $0.050 m</w:t>
            </w:r>
          </w:p>
        </w:tc>
        <w:tc>
          <w:tcPr>
            <w:tcW w:w="1510" w:type="dxa"/>
          </w:tcPr>
          <w:p w14:paraId="62414299"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Dubbo (165</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7CA4CAA2"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2,621</w:t>
            </w:r>
          </w:p>
        </w:tc>
        <w:tc>
          <w:tcPr>
            <w:tcW w:w="722" w:type="dxa"/>
          </w:tcPr>
          <w:p w14:paraId="58FEADFF" w14:textId="77777777" w:rsidR="000645C5" w:rsidRDefault="000645C5" w:rsidP="00722AFB">
            <w:pPr>
              <w:spacing w:after="0" w:line="240" w:lineRule="atLeast"/>
              <w:ind w:left="57" w:right="57"/>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6</w:t>
            </w:r>
          </w:p>
          <w:p w14:paraId="3D66074C" w14:textId="77777777" w:rsidR="000645C5" w:rsidRPr="00E0703C" w:rsidRDefault="000645C5" w:rsidP="00722AFB">
            <w:pPr>
              <w:spacing w:after="0" w:line="240" w:lineRule="atLeast"/>
              <w:ind w:left="57" w:right="57"/>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p>
        </w:tc>
        <w:tc>
          <w:tcPr>
            <w:tcW w:w="1663" w:type="dxa"/>
          </w:tcPr>
          <w:p w14:paraId="0E32CB86"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2 (none located in Nyngan MPS)</w:t>
            </w:r>
          </w:p>
        </w:tc>
        <w:tc>
          <w:tcPr>
            <w:tcW w:w="2616" w:type="dxa"/>
          </w:tcPr>
          <w:p w14:paraId="4DB69025"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Bourke Aboriginal Health Service (205</w:t>
            </w:r>
            <w:r>
              <w:rPr>
                <w:rFonts w:ascii="Garamond" w:hAnsi="Garamond"/>
                <w:color w:val="000000" w:themeColor="text1"/>
                <w:szCs w:val="20"/>
              </w:rPr>
              <w:t xml:space="preserve"> </w:t>
            </w:r>
            <w:r w:rsidRPr="00E0703C">
              <w:rPr>
                <w:rFonts w:ascii="Garamond" w:hAnsi="Garamond"/>
                <w:color w:val="000000" w:themeColor="text1"/>
                <w:szCs w:val="20"/>
              </w:rPr>
              <w:t>km) &amp; Brewarrina A</w:t>
            </w:r>
            <w:r>
              <w:rPr>
                <w:rFonts w:ascii="Garamond" w:hAnsi="Garamond"/>
                <w:color w:val="000000" w:themeColor="text1"/>
                <w:szCs w:val="20"/>
              </w:rPr>
              <w:t>HS</w:t>
            </w:r>
            <w:r w:rsidRPr="00E0703C">
              <w:rPr>
                <w:rFonts w:ascii="Garamond" w:hAnsi="Garamond"/>
                <w:color w:val="000000" w:themeColor="text1"/>
                <w:szCs w:val="20"/>
              </w:rPr>
              <w:t xml:space="preserve"> (209</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3948" w:type="dxa"/>
          </w:tcPr>
          <w:p w14:paraId="6FC4CBAE" w14:textId="3E9E7958"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A</w:t>
            </w:r>
            <w:r w:rsidRPr="00E0703C">
              <w:rPr>
                <w:rFonts w:ascii="Garamond" w:hAnsi="Garamond"/>
                <w:color w:val="000000" w:themeColor="text1"/>
                <w:szCs w:val="20"/>
              </w:rPr>
              <w:t xml:space="preserve">ssess role of </w:t>
            </w:r>
            <w:r w:rsidR="00783742">
              <w:rPr>
                <w:rFonts w:ascii="Garamond" w:hAnsi="Garamond"/>
                <w:color w:val="000000" w:themeColor="text1"/>
                <w:szCs w:val="20"/>
              </w:rPr>
              <w:t>S19</w:t>
            </w:r>
            <w:r w:rsidR="00A07293">
              <w:rPr>
                <w:rFonts w:ascii="Garamond" w:hAnsi="Garamond"/>
                <w:color w:val="000000" w:themeColor="text1"/>
                <w:szCs w:val="20"/>
              </w:rPr>
              <w:t>(2)</w:t>
            </w:r>
            <w:r w:rsidRPr="00E0703C">
              <w:rPr>
                <w:rFonts w:ascii="Garamond" w:hAnsi="Garamond"/>
                <w:color w:val="000000" w:themeColor="text1"/>
                <w:szCs w:val="20"/>
              </w:rPr>
              <w:t xml:space="preserve"> in an MPS (pooled funding); far west NSW</w:t>
            </w:r>
          </w:p>
        </w:tc>
      </w:tr>
      <w:tr w:rsidR="000645C5" w:rsidRPr="00E0703C" w14:paraId="641A4B0B" w14:textId="77777777" w:rsidTr="00722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vMerge/>
          </w:tcPr>
          <w:p w14:paraId="4612B7CA" w14:textId="77777777" w:rsidR="000645C5" w:rsidRPr="00E0703C" w:rsidRDefault="000645C5" w:rsidP="000645C5">
            <w:pPr>
              <w:spacing w:after="0" w:line="240" w:lineRule="atLeast"/>
              <w:ind w:left="57" w:right="57"/>
              <w:rPr>
                <w:rFonts w:ascii="Garamond" w:hAnsi="Garamond"/>
                <w:color w:val="000000" w:themeColor="text1"/>
                <w:szCs w:val="20"/>
              </w:rPr>
            </w:pPr>
          </w:p>
        </w:tc>
        <w:tc>
          <w:tcPr>
            <w:tcW w:w="2054" w:type="dxa"/>
          </w:tcPr>
          <w:p w14:paraId="0606A00F" w14:textId="77777777" w:rsidR="000645C5"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bookmarkStart w:id="70" w:name="_Hlk59187485"/>
            <w:r w:rsidRPr="00E0703C">
              <w:rPr>
                <w:rFonts w:ascii="Garamond" w:hAnsi="Garamond"/>
                <w:b/>
                <w:bCs/>
                <w:color w:val="000000" w:themeColor="text1"/>
                <w:szCs w:val="20"/>
              </w:rPr>
              <w:t>Quirindi Health</w:t>
            </w:r>
            <w:r w:rsidRPr="00E0703C">
              <w:rPr>
                <w:rFonts w:ascii="Garamond" w:hAnsi="Garamond"/>
                <w:color w:val="000000" w:themeColor="text1"/>
                <w:szCs w:val="20"/>
              </w:rPr>
              <w:t xml:space="preserve"> Service</w:t>
            </w:r>
            <w:bookmarkEnd w:id="70"/>
          </w:p>
          <w:p w14:paraId="3E011B92" w14:textId="21C8DC70"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w:t>
            </w:r>
            <w:r w:rsidRPr="00660E5A">
              <w:rPr>
                <w:rFonts w:ascii="Garamond" w:hAnsi="Garamond"/>
                <w:color w:val="000000" w:themeColor="text1"/>
                <w:szCs w:val="20"/>
              </w:rPr>
              <w:t>: $0.030 m</w:t>
            </w:r>
          </w:p>
        </w:tc>
        <w:tc>
          <w:tcPr>
            <w:tcW w:w="1510" w:type="dxa"/>
          </w:tcPr>
          <w:p w14:paraId="4B8B87C8"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Tamworth (64</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42E4D208"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7,893</w:t>
            </w:r>
          </w:p>
        </w:tc>
        <w:tc>
          <w:tcPr>
            <w:tcW w:w="722" w:type="dxa"/>
          </w:tcPr>
          <w:p w14:paraId="5F5A5698" w14:textId="77777777" w:rsidR="000645C5" w:rsidRPr="00E0703C" w:rsidRDefault="000645C5" w:rsidP="00722AFB">
            <w:pPr>
              <w:spacing w:after="0" w:line="240" w:lineRule="atLeast"/>
              <w:ind w:left="57" w:right="57"/>
              <w:jc w:val="center"/>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5</w:t>
            </w:r>
          </w:p>
        </w:tc>
        <w:tc>
          <w:tcPr>
            <w:tcW w:w="1663" w:type="dxa"/>
          </w:tcPr>
          <w:p w14:paraId="27B8EF52"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3 (one in Quirindi Health Service)</w:t>
            </w:r>
          </w:p>
        </w:tc>
        <w:tc>
          <w:tcPr>
            <w:tcW w:w="2616" w:type="dxa"/>
          </w:tcPr>
          <w:p w14:paraId="7CC1D80E" w14:textId="6C7A5B4E"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Walh</w:t>
            </w:r>
            <w:r w:rsidR="000B18D3">
              <w:rPr>
                <w:rFonts w:ascii="Garamond" w:hAnsi="Garamond"/>
                <w:color w:val="000000" w:themeColor="text1"/>
                <w:szCs w:val="20"/>
              </w:rPr>
              <w:t>a</w:t>
            </w:r>
            <w:r>
              <w:rPr>
                <w:rFonts w:ascii="Garamond" w:hAnsi="Garamond"/>
                <w:color w:val="000000" w:themeColor="text1"/>
                <w:szCs w:val="20"/>
              </w:rPr>
              <w:t xml:space="preserve">llow Aboriginal </w:t>
            </w:r>
            <w:r w:rsidR="000B18D3">
              <w:rPr>
                <w:rFonts w:ascii="Garamond" w:hAnsi="Garamond"/>
                <w:color w:val="000000" w:themeColor="text1"/>
                <w:szCs w:val="20"/>
              </w:rPr>
              <w:t>Corporation</w:t>
            </w:r>
          </w:p>
        </w:tc>
        <w:tc>
          <w:tcPr>
            <w:tcW w:w="3948" w:type="dxa"/>
          </w:tcPr>
          <w:p w14:paraId="338A84ED" w14:textId="2BDBDD1E"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Outer Hunter New England service</w:t>
            </w:r>
            <w:r>
              <w:rPr>
                <w:rFonts w:ascii="Garamond" w:hAnsi="Garamond"/>
                <w:color w:val="000000" w:themeColor="text1"/>
                <w:szCs w:val="20"/>
              </w:rPr>
              <w:t>; recently joined the Initiative</w:t>
            </w:r>
          </w:p>
        </w:tc>
      </w:tr>
      <w:tr w:rsidR="000645C5" w:rsidRPr="00E0703C" w14:paraId="448706E9" w14:textId="77777777" w:rsidTr="00722AFB">
        <w:tc>
          <w:tcPr>
            <w:cnfStyle w:val="001000000000" w:firstRow="0" w:lastRow="0" w:firstColumn="1" w:lastColumn="0" w:oddVBand="0" w:evenVBand="0" w:oddHBand="0" w:evenHBand="0" w:firstRowFirstColumn="0" w:firstRowLastColumn="0" w:lastRowFirstColumn="0" w:lastRowLastColumn="0"/>
            <w:tcW w:w="1539" w:type="dxa"/>
            <w:vMerge/>
          </w:tcPr>
          <w:p w14:paraId="5FBDC1C1" w14:textId="77777777" w:rsidR="000645C5" w:rsidRPr="00E0703C" w:rsidRDefault="000645C5" w:rsidP="000645C5">
            <w:pPr>
              <w:spacing w:after="0" w:line="240" w:lineRule="atLeast"/>
              <w:ind w:left="57" w:right="57"/>
              <w:rPr>
                <w:rFonts w:ascii="Garamond" w:hAnsi="Garamond"/>
                <w:color w:val="000000" w:themeColor="text1"/>
                <w:szCs w:val="20"/>
              </w:rPr>
            </w:pPr>
          </w:p>
        </w:tc>
        <w:tc>
          <w:tcPr>
            <w:tcW w:w="2054" w:type="dxa"/>
          </w:tcPr>
          <w:p w14:paraId="245FBC7B" w14:textId="77777777" w:rsidR="000645C5" w:rsidRPr="00FC6A97"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Cs w:val="20"/>
              </w:rPr>
            </w:pPr>
            <w:bookmarkStart w:id="71" w:name="_Hlk59187492"/>
            <w:r w:rsidRPr="00E0703C">
              <w:rPr>
                <w:rFonts w:ascii="Garamond" w:hAnsi="Garamond"/>
                <w:b/>
                <w:bCs/>
                <w:color w:val="000000" w:themeColor="text1"/>
                <w:szCs w:val="20"/>
              </w:rPr>
              <w:t>Temora Health Service</w:t>
            </w:r>
            <w:bookmarkEnd w:id="71"/>
          </w:p>
          <w:p w14:paraId="741782A1" w14:textId="02D77C4D"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 $0.300 m</w:t>
            </w:r>
          </w:p>
        </w:tc>
        <w:tc>
          <w:tcPr>
            <w:tcW w:w="1510" w:type="dxa"/>
          </w:tcPr>
          <w:p w14:paraId="44FB5DB0"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Cootamundra (54</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7A4604DF"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6,274</w:t>
            </w:r>
          </w:p>
        </w:tc>
        <w:tc>
          <w:tcPr>
            <w:tcW w:w="722" w:type="dxa"/>
          </w:tcPr>
          <w:p w14:paraId="6B35DA57" w14:textId="77777777" w:rsidR="000645C5" w:rsidRPr="00E0703C" w:rsidRDefault="000645C5" w:rsidP="00722AFB">
            <w:pPr>
              <w:spacing w:after="0" w:line="240" w:lineRule="atLeast"/>
              <w:ind w:left="57" w:right="57"/>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5</w:t>
            </w:r>
          </w:p>
        </w:tc>
        <w:tc>
          <w:tcPr>
            <w:tcW w:w="1663" w:type="dxa"/>
          </w:tcPr>
          <w:p w14:paraId="0C063B36"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2 (none located in Temora Health Service)</w:t>
            </w:r>
          </w:p>
        </w:tc>
        <w:tc>
          <w:tcPr>
            <w:tcW w:w="2616" w:type="dxa"/>
          </w:tcPr>
          <w:p w14:paraId="661A46FB"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Riverina Medical &amp; Dental Aboriginal Corporation (Wagga Wagga 85</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3948" w:type="dxa"/>
          </w:tcPr>
          <w:p w14:paraId="1921E626" w14:textId="6325646C"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 xml:space="preserve">One of </w:t>
            </w:r>
            <w:r>
              <w:rPr>
                <w:rFonts w:ascii="Garamond" w:hAnsi="Garamond"/>
                <w:color w:val="000000" w:themeColor="text1"/>
                <w:szCs w:val="20"/>
              </w:rPr>
              <w:t>two sites</w:t>
            </w:r>
            <w:r w:rsidRPr="00E0703C">
              <w:rPr>
                <w:rFonts w:ascii="Garamond" w:hAnsi="Garamond"/>
                <w:color w:val="000000" w:themeColor="text1"/>
                <w:szCs w:val="20"/>
              </w:rPr>
              <w:t xml:space="preserve"> in NSW</w:t>
            </w:r>
            <w:r>
              <w:rPr>
                <w:rFonts w:ascii="Garamond" w:hAnsi="Garamond"/>
                <w:color w:val="000000" w:themeColor="text1"/>
                <w:szCs w:val="20"/>
              </w:rPr>
              <w:t xml:space="preserve"> with larger MBS billings</w:t>
            </w:r>
            <w:r w:rsidRPr="00E0703C">
              <w:rPr>
                <w:rFonts w:ascii="Garamond" w:hAnsi="Garamond"/>
                <w:color w:val="000000" w:themeColor="text1"/>
                <w:szCs w:val="20"/>
              </w:rPr>
              <w:t xml:space="preserve">; </w:t>
            </w:r>
            <w:r>
              <w:rPr>
                <w:rFonts w:ascii="Garamond" w:hAnsi="Garamond"/>
                <w:color w:val="000000" w:themeColor="text1"/>
                <w:szCs w:val="20"/>
              </w:rPr>
              <w:t xml:space="preserve">part of </w:t>
            </w:r>
            <w:r w:rsidRPr="00E0703C">
              <w:rPr>
                <w:rFonts w:ascii="Garamond" w:hAnsi="Garamond"/>
                <w:color w:val="000000" w:themeColor="text1"/>
                <w:szCs w:val="20"/>
              </w:rPr>
              <w:t>Murrumbidgee</w:t>
            </w:r>
            <w:r>
              <w:rPr>
                <w:rFonts w:ascii="Garamond" w:hAnsi="Garamond"/>
                <w:color w:val="000000" w:themeColor="text1"/>
                <w:szCs w:val="20"/>
              </w:rPr>
              <w:t xml:space="preserve"> </w:t>
            </w:r>
            <w:r w:rsidR="00783742">
              <w:rPr>
                <w:rFonts w:ascii="Garamond" w:hAnsi="Garamond"/>
                <w:color w:val="000000" w:themeColor="text1"/>
                <w:szCs w:val="20"/>
              </w:rPr>
              <w:t>S19</w:t>
            </w:r>
            <w:r>
              <w:rPr>
                <w:rFonts w:ascii="Garamond" w:hAnsi="Garamond"/>
                <w:color w:val="000000" w:themeColor="text1"/>
                <w:szCs w:val="20"/>
              </w:rPr>
              <w:t>(2) Exemption</w:t>
            </w:r>
          </w:p>
        </w:tc>
      </w:tr>
      <w:tr w:rsidR="000645C5" w:rsidRPr="00E0703C" w14:paraId="1A3782FB" w14:textId="77777777" w:rsidTr="00722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vMerge w:val="restart"/>
          </w:tcPr>
          <w:p w14:paraId="0B2100F3" w14:textId="2927C31E" w:rsidR="000645C5" w:rsidRPr="00E0703C" w:rsidRDefault="000645C5" w:rsidP="000645C5">
            <w:pPr>
              <w:spacing w:after="0" w:line="240" w:lineRule="atLeast"/>
              <w:ind w:left="57" w:right="57"/>
              <w:rPr>
                <w:rFonts w:ascii="Garamond" w:hAnsi="Garamond"/>
                <w:color w:val="000000" w:themeColor="text1"/>
                <w:szCs w:val="20"/>
              </w:rPr>
            </w:pPr>
            <w:r w:rsidRPr="00E0703C">
              <w:rPr>
                <w:rFonts w:ascii="Garamond" w:hAnsi="Garamond"/>
                <w:color w:val="000000" w:themeColor="text1"/>
                <w:szCs w:val="20"/>
              </w:rPr>
              <w:t>Q</w:t>
            </w:r>
            <w:r w:rsidR="00173487">
              <w:rPr>
                <w:rFonts w:ascii="Garamond" w:hAnsi="Garamond"/>
                <w:color w:val="000000" w:themeColor="text1"/>
                <w:szCs w:val="20"/>
              </w:rPr>
              <w:t>LD</w:t>
            </w:r>
            <w:r w:rsidRPr="00E0703C">
              <w:rPr>
                <w:rFonts w:ascii="Garamond" w:hAnsi="Garamond"/>
                <w:color w:val="000000" w:themeColor="text1"/>
                <w:szCs w:val="20"/>
              </w:rPr>
              <w:t xml:space="preserve"> (</w:t>
            </w:r>
            <w:r>
              <w:rPr>
                <w:rFonts w:ascii="Garamond" w:hAnsi="Garamond"/>
                <w:color w:val="000000" w:themeColor="text1"/>
                <w:szCs w:val="20"/>
              </w:rPr>
              <w:t>42</w:t>
            </w:r>
            <w:r w:rsidRPr="00E0703C">
              <w:rPr>
                <w:rFonts w:ascii="Garamond" w:hAnsi="Garamond"/>
                <w:color w:val="000000" w:themeColor="text1"/>
                <w:szCs w:val="20"/>
              </w:rPr>
              <w:t xml:space="preserve">% of funded services </w:t>
            </w:r>
            <w:r>
              <w:rPr>
                <w:rFonts w:ascii="Calibri" w:hAnsi="Calibri" w:cs="Calibri"/>
                <w:color w:val="000000" w:themeColor="text1"/>
                <w:szCs w:val="20"/>
              </w:rPr>
              <w:t>‒</w:t>
            </w:r>
            <w:r w:rsidRPr="00E0703C">
              <w:rPr>
                <w:rFonts w:ascii="Garamond" w:hAnsi="Garamond"/>
                <w:color w:val="000000" w:themeColor="text1"/>
                <w:szCs w:val="20"/>
              </w:rPr>
              <w:t xml:space="preserve"> 3</w:t>
            </w:r>
            <w:r>
              <w:rPr>
                <w:rFonts w:ascii="Garamond" w:hAnsi="Garamond"/>
                <w:color w:val="000000" w:themeColor="text1"/>
                <w:szCs w:val="20"/>
              </w:rPr>
              <w:t>9</w:t>
            </w:r>
            <w:r w:rsidRPr="00E0703C">
              <w:rPr>
                <w:rFonts w:ascii="Garamond" w:hAnsi="Garamond"/>
                <w:color w:val="000000" w:themeColor="text1"/>
                <w:szCs w:val="20"/>
              </w:rPr>
              <w:t xml:space="preserve"> services)</w:t>
            </w:r>
          </w:p>
        </w:tc>
        <w:tc>
          <w:tcPr>
            <w:tcW w:w="2054" w:type="dxa"/>
          </w:tcPr>
          <w:p w14:paraId="1A333538" w14:textId="77777777" w:rsidR="000645C5" w:rsidRPr="00FC6A97"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b/>
                <w:bCs/>
                <w:color w:val="000000" w:themeColor="text1"/>
                <w:szCs w:val="20"/>
              </w:rPr>
            </w:pPr>
            <w:bookmarkStart w:id="72" w:name="_Hlk59183675"/>
            <w:r w:rsidRPr="00E0703C">
              <w:rPr>
                <w:rFonts w:ascii="Garamond" w:hAnsi="Garamond"/>
                <w:b/>
                <w:bCs/>
                <w:color w:val="000000" w:themeColor="text1"/>
                <w:szCs w:val="20"/>
              </w:rPr>
              <w:t>Longreach Hospital</w:t>
            </w:r>
            <w:bookmarkEnd w:id="72"/>
          </w:p>
          <w:p w14:paraId="5F525121" w14:textId="3F40AE65"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w:t>
            </w:r>
            <w:r w:rsidRPr="00660E5A">
              <w:rPr>
                <w:rFonts w:ascii="Garamond" w:hAnsi="Garamond"/>
                <w:color w:val="000000" w:themeColor="text1"/>
                <w:szCs w:val="20"/>
              </w:rPr>
              <w:t>: $0.258 m</w:t>
            </w:r>
          </w:p>
        </w:tc>
        <w:tc>
          <w:tcPr>
            <w:tcW w:w="1510" w:type="dxa"/>
          </w:tcPr>
          <w:p w14:paraId="73FF4F27"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Rockhampton (687</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248C8826"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3,530</w:t>
            </w:r>
          </w:p>
        </w:tc>
        <w:tc>
          <w:tcPr>
            <w:tcW w:w="722" w:type="dxa"/>
          </w:tcPr>
          <w:p w14:paraId="3E4FF2BF" w14:textId="77777777" w:rsidR="000645C5" w:rsidRPr="00E0703C" w:rsidRDefault="000645C5" w:rsidP="00722AFB">
            <w:pPr>
              <w:spacing w:after="0" w:line="240" w:lineRule="atLeast"/>
              <w:ind w:left="57" w:right="57"/>
              <w:jc w:val="center"/>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7</w:t>
            </w:r>
          </w:p>
        </w:tc>
        <w:tc>
          <w:tcPr>
            <w:tcW w:w="1663" w:type="dxa"/>
          </w:tcPr>
          <w:p w14:paraId="1C20542B"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1 (not located in Longreach Hospital)</w:t>
            </w:r>
          </w:p>
        </w:tc>
        <w:tc>
          <w:tcPr>
            <w:tcW w:w="2616" w:type="dxa"/>
          </w:tcPr>
          <w:p w14:paraId="1F49B3BD"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Not applicable</w:t>
            </w:r>
          </w:p>
        </w:tc>
        <w:tc>
          <w:tcPr>
            <w:tcW w:w="3948" w:type="dxa"/>
          </w:tcPr>
          <w:p w14:paraId="69812363"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Applies a ‘one practice model’ across the hospital and GP service (all GPs employed as SMOs</w:t>
            </w:r>
            <w:r>
              <w:rPr>
                <w:rFonts w:ascii="Garamond" w:hAnsi="Garamond"/>
                <w:color w:val="000000" w:themeColor="text1"/>
                <w:szCs w:val="20"/>
              </w:rPr>
              <w:t>)</w:t>
            </w:r>
          </w:p>
        </w:tc>
      </w:tr>
      <w:tr w:rsidR="000645C5" w:rsidRPr="00E0703C" w14:paraId="645A887D" w14:textId="77777777" w:rsidTr="00722AFB">
        <w:tc>
          <w:tcPr>
            <w:cnfStyle w:val="001000000000" w:firstRow="0" w:lastRow="0" w:firstColumn="1" w:lastColumn="0" w:oddVBand="0" w:evenVBand="0" w:oddHBand="0" w:evenHBand="0" w:firstRowFirstColumn="0" w:firstRowLastColumn="0" w:lastRowFirstColumn="0" w:lastRowLastColumn="0"/>
            <w:tcW w:w="1539" w:type="dxa"/>
            <w:vMerge/>
          </w:tcPr>
          <w:p w14:paraId="5EA88DE1" w14:textId="77777777" w:rsidR="000645C5" w:rsidRPr="00E0703C" w:rsidRDefault="000645C5" w:rsidP="000645C5">
            <w:pPr>
              <w:spacing w:after="0" w:line="240" w:lineRule="atLeast"/>
              <w:ind w:left="57" w:right="57"/>
              <w:rPr>
                <w:rFonts w:ascii="Garamond" w:hAnsi="Garamond"/>
                <w:color w:val="000000" w:themeColor="text1"/>
                <w:szCs w:val="20"/>
              </w:rPr>
            </w:pPr>
          </w:p>
        </w:tc>
        <w:tc>
          <w:tcPr>
            <w:tcW w:w="2054" w:type="dxa"/>
          </w:tcPr>
          <w:p w14:paraId="7EA6812E" w14:textId="77777777" w:rsidR="000645C5" w:rsidRPr="00FC6A97"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Cs w:val="20"/>
              </w:rPr>
            </w:pPr>
            <w:r w:rsidRPr="00E0703C">
              <w:rPr>
                <w:rFonts w:ascii="Garamond" w:hAnsi="Garamond"/>
                <w:b/>
                <w:bCs/>
                <w:color w:val="000000" w:themeColor="text1"/>
                <w:szCs w:val="20"/>
              </w:rPr>
              <w:t>Proserpine Hospital</w:t>
            </w:r>
          </w:p>
          <w:p w14:paraId="5D72F9DD" w14:textId="1B32EDA5"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w:t>
            </w:r>
            <w:r w:rsidRPr="00660E5A">
              <w:rPr>
                <w:rFonts w:ascii="Garamond" w:hAnsi="Garamond"/>
                <w:color w:val="000000" w:themeColor="text1"/>
                <w:szCs w:val="20"/>
              </w:rPr>
              <w:t>: $0.969</w:t>
            </w:r>
            <w:r>
              <w:rPr>
                <w:rFonts w:ascii="Garamond" w:hAnsi="Garamond"/>
                <w:color w:val="000000" w:themeColor="text1"/>
                <w:szCs w:val="20"/>
              </w:rPr>
              <w:t xml:space="preserve"> m</w:t>
            </w:r>
          </w:p>
        </w:tc>
        <w:tc>
          <w:tcPr>
            <w:tcW w:w="1510" w:type="dxa"/>
          </w:tcPr>
          <w:p w14:paraId="1EE8719F" w14:textId="77777777" w:rsidR="000645C5" w:rsidRPr="00E0703C" w:rsidRDefault="000645C5" w:rsidP="000645C5">
            <w:pPr>
              <w:spacing w:after="0" w:line="240" w:lineRule="atLeast"/>
              <w:ind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Airlie Beach</w:t>
            </w:r>
          </w:p>
          <w:p w14:paraId="565BAE89" w14:textId="77777777" w:rsidR="000645C5" w:rsidRPr="00E0703C" w:rsidRDefault="000645C5" w:rsidP="000645C5">
            <w:pPr>
              <w:spacing w:after="0" w:line="240" w:lineRule="atLeast"/>
              <w:ind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(30 km)</w:t>
            </w:r>
          </w:p>
        </w:tc>
        <w:tc>
          <w:tcPr>
            <w:tcW w:w="1116" w:type="dxa"/>
          </w:tcPr>
          <w:p w14:paraId="1643AC71"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17,000</w:t>
            </w:r>
          </w:p>
        </w:tc>
        <w:tc>
          <w:tcPr>
            <w:tcW w:w="722" w:type="dxa"/>
          </w:tcPr>
          <w:p w14:paraId="3D3B2964" w14:textId="77777777" w:rsidR="000645C5" w:rsidRPr="00E0703C" w:rsidRDefault="000645C5" w:rsidP="00722AFB">
            <w:pPr>
              <w:spacing w:after="0" w:line="240" w:lineRule="atLeast"/>
              <w:ind w:left="57" w:right="57"/>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5</w:t>
            </w:r>
          </w:p>
        </w:tc>
        <w:tc>
          <w:tcPr>
            <w:tcW w:w="1663" w:type="dxa"/>
          </w:tcPr>
          <w:p w14:paraId="21AFBFF7"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2 (none located in hospital)</w:t>
            </w:r>
          </w:p>
        </w:tc>
        <w:tc>
          <w:tcPr>
            <w:tcW w:w="2616" w:type="dxa"/>
          </w:tcPr>
          <w:p w14:paraId="6E642A03"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Not applicable</w:t>
            </w:r>
          </w:p>
        </w:tc>
        <w:tc>
          <w:tcPr>
            <w:tcW w:w="3948" w:type="dxa"/>
          </w:tcPr>
          <w:p w14:paraId="13ACB9A4" w14:textId="4DC22D9F"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 xml:space="preserve">Assess impact of </w:t>
            </w:r>
            <w:r w:rsidR="00783742">
              <w:rPr>
                <w:rFonts w:ascii="Garamond" w:hAnsi="Garamond"/>
                <w:color w:val="000000" w:themeColor="text1"/>
                <w:szCs w:val="20"/>
              </w:rPr>
              <w:t>S19</w:t>
            </w:r>
            <w:r w:rsidR="00A07293">
              <w:rPr>
                <w:rFonts w:ascii="Garamond" w:hAnsi="Garamond"/>
                <w:color w:val="000000" w:themeColor="text1"/>
                <w:szCs w:val="20"/>
              </w:rPr>
              <w:t>(2)</w:t>
            </w:r>
            <w:r w:rsidRPr="00E0703C">
              <w:rPr>
                <w:rFonts w:ascii="Garamond" w:hAnsi="Garamond"/>
                <w:color w:val="000000" w:themeColor="text1"/>
                <w:szCs w:val="20"/>
              </w:rPr>
              <w:t xml:space="preserve"> in North Queensland tourist town. Large MBS annual claim ($1</w:t>
            </w:r>
            <w:r>
              <w:rPr>
                <w:rFonts w:ascii="Garamond" w:hAnsi="Garamond"/>
                <w:color w:val="000000" w:themeColor="text1"/>
                <w:szCs w:val="20"/>
              </w:rPr>
              <w:t xml:space="preserve"> </w:t>
            </w:r>
            <w:r w:rsidRPr="00E0703C">
              <w:rPr>
                <w:rFonts w:ascii="Garamond" w:hAnsi="Garamond"/>
                <w:color w:val="000000" w:themeColor="text1"/>
                <w:szCs w:val="20"/>
              </w:rPr>
              <w:t>m+); recently joined the Initiative</w:t>
            </w:r>
            <w:r>
              <w:rPr>
                <w:rFonts w:ascii="Garamond" w:hAnsi="Garamond"/>
                <w:color w:val="000000" w:themeColor="text1"/>
                <w:szCs w:val="20"/>
              </w:rPr>
              <w:t xml:space="preserve"> (2018)</w:t>
            </w:r>
          </w:p>
        </w:tc>
      </w:tr>
      <w:tr w:rsidR="000645C5" w:rsidRPr="00E0703C" w14:paraId="4EB02B33" w14:textId="77777777" w:rsidTr="00722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vMerge/>
          </w:tcPr>
          <w:p w14:paraId="0033214B" w14:textId="77777777" w:rsidR="000645C5" w:rsidRPr="00E0703C" w:rsidRDefault="000645C5" w:rsidP="000645C5">
            <w:pPr>
              <w:spacing w:after="0" w:line="240" w:lineRule="atLeast"/>
              <w:ind w:left="57" w:right="57"/>
              <w:rPr>
                <w:rFonts w:ascii="Garamond" w:hAnsi="Garamond"/>
                <w:color w:val="000000" w:themeColor="text1"/>
                <w:szCs w:val="20"/>
              </w:rPr>
            </w:pPr>
          </w:p>
        </w:tc>
        <w:tc>
          <w:tcPr>
            <w:tcW w:w="2054" w:type="dxa"/>
          </w:tcPr>
          <w:p w14:paraId="0433E8FF" w14:textId="77777777" w:rsidR="000645C5" w:rsidRPr="00FC6A97"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b/>
                <w:bCs/>
                <w:color w:val="000000" w:themeColor="text1"/>
                <w:szCs w:val="20"/>
              </w:rPr>
            </w:pPr>
            <w:r w:rsidRPr="00E0703C">
              <w:rPr>
                <w:rFonts w:ascii="Garamond" w:hAnsi="Garamond"/>
                <w:b/>
                <w:bCs/>
                <w:color w:val="000000" w:themeColor="text1"/>
                <w:szCs w:val="20"/>
              </w:rPr>
              <w:t>Tully Hospital</w:t>
            </w:r>
          </w:p>
          <w:p w14:paraId="07E2998A" w14:textId="2D05BAC3"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w:t>
            </w:r>
            <w:r w:rsidRPr="00660E5A">
              <w:rPr>
                <w:rFonts w:ascii="Garamond" w:hAnsi="Garamond"/>
                <w:color w:val="000000" w:themeColor="text1"/>
                <w:szCs w:val="20"/>
              </w:rPr>
              <w:t>: $0.660</w:t>
            </w:r>
            <w:r>
              <w:rPr>
                <w:rFonts w:ascii="Garamond" w:hAnsi="Garamond"/>
                <w:color w:val="000000" w:themeColor="text1"/>
                <w:szCs w:val="20"/>
              </w:rPr>
              <w:t xml:space="preserve"> m</w:t>
            </w:r>
          </w:p>
        </w:tc>
        <w:tc>
          <w:tcPr>
            <w:tcW w:w="1510" w:type="dxa"/>
          </w:tcPr>
          <w:p w14:paraId="1B28EDC5"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Cairns (141</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0C365F9C"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29,689</w:t>
            </w:r>
          </w:p>
        </w:tc>
        <w:tc>
          <w:tcPr>
            <w:tcW w:w="722" w:type="dxa"/>
          </w:tcPr>
          <w:p w14:paraId="1CFE8A43" w14:textId="77777777" w:rsidR="000645C5" w:rsidRPr="00E0703C" w:rsidRDefault="000645C5" w:rsidP="00722AFB">
            <w:pPr>
              <w:spacing w:after="0" w:line="240" w:lineRule="atLeast"/>
              <w:ind w:left="57" w:right="57"/>
              <w:jc w:val="center"/>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5</w:t>
            </w:r>
          </w:p>
        </w:tc>
        <w:tc>
          <w:tcPr>
            <w:tcW w:w="1663" w:type="dxa"/>
          </w:tcPr>
          <w:p w14:paraId="6C0AF4B8"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2 (not located in Tully Hospital)</w:t>
            </w:r>
          </w:p>
        </w:tc>
        <w:tc>
          <w:tcPr>
            <w:tcW w:w="2616" w:type="dxa"/>
          </w:tcPr>
          <w:p w14:paraId="7B5B2283"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Mamu Health Service (Tully)</w:t>
            </w:r>
          </w:p>
        </w:tc>
        <w:tc>
          <w:tcPr>
            <w:tcW w:w="3948" w:type="dxa"/>
          </w:tcPr>
          <w:p w14:paraId="7247FC8A" w14:textId="6CC7FD81"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 xml:space="preserve">Assess impact of </w:t>
            </w:r>
            <w:r w:rsidR="00783742">
              <w:rPr>
                <w:rFonts w:ascii="Garamond" w:hAnsi="Garamond"/>
                <w:color w:val="000000" w:themeColor="text1"/>
                <w:szCs w:val="20"/>
              </w:rPr>
              <w:t>S19</w:t>
            </w:r>
            <w:r w:rsidR="00A07293">
              <w:rPr>
                <w:rFonts w:ascii="Garamond" w:hAnsi="Garamond"/>
                <w:color w:val="000000" w:themeColor="text1"/>
                <w:szCs w:val="20"/>
              </w:rPr>
              <w:t>(2)</w:t>
            </w:r>
            <w:r w:rsidRPr="00E0703C">
              <w:rPr>
                <w:rFonts w:ascii="Garamond" w:hAnsi="Garamond"/>
                <w:color w:val="000000" w:themeColor="text1"/>
                <w:szCs w:val="20"/>
              </w:rPr>
              <w:t xml:space="preserve"> in a small coastal town with a proximate ACCHO</w:t>
            </w:r>
          </w:p>
        </w:tc>
      </w:tr>
      <w:tr w:rsidR="000645C5" w:rsidRPr="00E0703C" w14:paraId="4D7EF128" w14:textId="77777777" w:rsidTr="00722AFB">
        <w:tc>
          <w:tcPr>
            <w:cnfStyle w:val="001000000000" w:firstRow="0" w:lastRow="0" w:firstColumn="1" w:lastColumn="0" w:oddVBand="0" w:evenVBand="0" w:oddHBand="0" w:evenHBand="0" w:firstRowFirstColumn="0" w:firstRowLastColumn="0" w:lastRowFirstColumn="0" w:lastRowLastColumn="0"/>
            <w:tcW w:w="1539" w:type="dxa"/>
            <w:vMerge w:val="restart"/>
          </w:tcPr>
          <w:p w14:paraId="5776211D" w14:textId="3245E6F5" w:rsidR="000645C5" w:rsidRPr="00E0703C" w:rsidRDefault="000645C5" w:rsidP="000645C5">
            <w:pPr>
              <w:spacing w:after="0" w:line="240" w:lineRule="atLeast"/>
              <w:ind w:left="57" w:right="57"/>
              <w:rPr>
                <w:rFonts w:ascii="Garamond" w:hAnsi="Garamond"/>
                <w:color w:val="000000" w:themeColor="text1"/>
                <w:szCs w:val="20"/>
              </w:rPr>
            </w:pPr>
            <w:r w:rsidRPr="00E0703C">
              <w:rPr>
                <w:rFonts w:ascii="Garamond" w:hAnsi="Garamond"/>
                <w:color w:val="000000" w:themeColor="text1"/>
                <w:szCs w:val="20"/>
              </w:rPr>
              <w:t>WA (</w:t>
            </w:r>
            <w:r>
              <w:rPr>
                <w:rFonts w:ascii="Garamond" w:hAnsi="Garamond"/>
                <w:color w:val="000000" w:themeColor="text1"/>
                <w:szCs w:val="20"/>
              </w:rPr>
              <w:t>12</w:t>
            </w:r>
            <w:r w:rsidRPr="00E0703C">
              <w:rPr>
                <w:rFonts w:ascii="Garamond" w:hAnsi="Garamond"/>
                <w:color w:val="000000" w:themeColor="text1"/>
                <w:szCs w:val="20"/>
              </w:rPr>
              <w:t>% of funded services – 11 services)</w:t>
            </w:r>
          </w:p>
        </w:tc>
        <w:tc>
          <w:tcPr>
            <w:tcW w:w="2054" w:type="dxa"/>
          </w:tcPr>
          <w:p w14:paraId="43D962C0" w14:textId="77777777" w:rsidR="000645C5" w:rsidRPr="00FC6A97"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Cs w:val="20"/>
              </w:rPr>
            </w:pPr>
            <w:bookmarkStart w:id="73" w:name="_Hlk59182552"/>
            <w:r w:rsidRPr="00E0703C">
              <w:rPr>
                <w:rFonts w:ascii="Garamond" w:hAnsi="Garamond"/>
                <w:b/>
                <w:bCs/>
                <w:color w:val="000000" w:themeColor="text1"/>
                <w:szCs w:val="20"/>
              </w:rPr>
              <w:t>Kununurra WA</w:t>
            </w:r>
            <w:bookmarkEnd w:id="73"/>
            <w:r w:rsidRPr="00FC6A97">
              <w:rPr>
                <w:rFonts w:ascii="Garamond" w:hAnsi="Garamond"/>
                <w:b/>
                <w:bCs/>
                <w:color w:val="000000" w:themeColor="text1"/>
                <w:szCs w:val="20"/>
              </w:rPr>
              <w:t>CHS</w:t>
            </w:r>
          </w:p>
          <w:p w14:paraId="7E22B035" w14:textId="6761C644"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 $0.200 m</w:t>
            </w:r>
          </w:p>
        </w:tc>
        <w:tc>
          <w:tcPr>
            <w:tcW w:w="1510" w:type="dxa"/>
          </w:tcPr>
          <w:p w14:paraId="13CEE894"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Darwin (828</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03BD2B0B"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7,317</w:t>
            </w:r>
          </w:p>
        </w:tc>
        <w:tc>
          <w:tcPr>
            <w:tcW w:w="722" w:type="dxa"/>
          </w:tcPr>
          <w:p w14:paraId="0B28FE18" w14:textId="77777777" w:rsidR="000645C5" w:rsidRPr="00E0703C" w:rsidRDefault="000645C5" w:rsidP="00722AFB">
            <w:pPr>
              <w:spacing w:after="0" w:line="240" w:lineRule="atLeast"/>
              <w:ind w:left="57" w:right="57"/>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7</w:t>
            </w:r>
          </w:p>
        </w:tc>
        <w:tc>
          <w:tcPr>
            <w:tcW w:w="1663" w:type="dxa"/>
          </w:tcPr>
          <w:p w14:paraId="3EA8A1EE"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1 (located in Kununurra D</w:t>
            </w:r>
            <w:r>
              <w:rPr>
                <w:rFonts w:ascii="Garamond" w:hAnsi="Garamond"/>
                <w:color w:val="000000" w:themeColor="text1"/>
                <w:szCs w:val="20"/>
              </w:rPr>
              <w:t>H</w:t>
            </w:r>
            <w:r w:rsidRPr="00E0703C">
              <w:rPr>
                <w:rFonts w:ascii="Garamond" w:hAnsi="Garamond"/>
                <w:color w:val="000000" w:themeColor="text1"/>
                <w:szCs w:val="20"/>
              </w:rPr>
              <w:t>)</w:t>
            </w:r>
          </w:p>
        </w:tc>
        <w:tc>
          <w:tcPr>
            <w:tcW w:w="2616" w:type="dxa"/>
          </w:tcPr>
          <w:p w14:paraId="6658FEAD" w14:textId="61BE833C"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Ord Valley Aboriginal Health Service (in</w:t>
            </w:r>
            <w:r>
              <w:rPr>
                <w:rFonts w:ascii="Garamond" w:hAnsi="Garamond"/>
                <w:color w:val="000000" w:themeColor="text1"/>
                <w:szCs w:val="20"/>
              </w:rPr>
              <w:t xml:space="preserve"> town)</w:t>
            </w:r>
          </w:p>
        </w:tc>
        <w:tc>
          <w:tcPr>
            <w:tcW w:w="3948" w:type="dxa"/>
          </w:tcPr>
          <w:p w14:paraId="7F2F1D2B" w14:textId="2535564A"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E</w:t>
            </w:r>
            <w:r w:rsidRPr="00E0703C">
              <w:rPr>
                <w:rFonts w:ascii="Garamond" w:hAnsi="Garamond"/>
                <w:color w:val="000000" w:themeColor="text1"/>
                <w:szCs w:val="20"/>
              </w:rPr>
              <w:t>nable</w:t>
            </w:r>
            <w:r>
              <w:rPr>
                <w:rFonts w:ascii="Garamond" w:hAnsi="Garamond"/>
                <w:color w:val="000000" w:themeColor="text1"/>
                <w:szCs w:val="20"/>
              </w:rPr>
              <w:t>d</w:t>
            </w:r>
            <w:r w:rsidRPr="00E0703C">
              <w:rPr>
                <w:rFonts w:ascii="Garamond" w:hAnsi="Garamond"/>
                <w:color w:val="000000" w:themeColor="text1"/>
                <w:szCs w:val="20"/>
              </w:rPr>
              <w:t xml:space="preserve"> exploration of </w:t>
            </w:r>
            <w:r w:rsidR="00783742">
              <w:rPr>
                <w:rFonts w:ascii="Garamond" w:hAnsi="Garamond"/>
                <w:color w:val="000000" w:themeColor="text1"/>
                <w:szCs w:val="20"/>
              </w:rPr>
              <w:t>S19</w:t>
            </w:r>
            <w:r w:rsidR="00A07293">
              <w:rPr>
                <w:rFonts w:ascii="Garamond" w:hAnsi="Garamond"/>
                <w:color w:val="000000" w:themeColor="text1"/>
                <w:szCs w:val="20"/>
              </w:rPr>
              <w:t>(2)</w:t>
            </w:r>
            <w:r w:rsidRPr="00E0703C">
              <w:rPr>
                <w:rFonts w:ascii="Garamond" w:hAnsi="Garamond"/>
                <w:color w:val="000000" w:themeColor="text1"/>
                <w:szCs w:val="20"/>
              </w:rPr>
              <w:t xml:space="preserve"> service with</w:t>
            </w:r>
            <w:r>
              <w:rPr>
                <w:rFonts w:ascii="Garamond" w:hAnsi="Garamond"/>
                <w:color w:val="000000" w:themeColor="text1"/>
                <w:szCs w:val="20"/>
              </w:rPr>
              <w:t>in a</w:t>
            </w:r>
            <w:r w:rsidRPr="00E0703C">
              <w:rPr>
                <w:rFonts w:ascii="Garamond" w:hAnsi="Garamond"/>
                <w:color w:val="000000" w:themeColor="text1"/>
                <w:szCs w:val="20"/>
              </w:rPr>
              <w:t xml:space="preserve"> network of AMS</w:t>
            </w:r>
            <w:r>
              <w:rPr>
                <w:rFonts w:ascii="Garamond" w:hAnsi="Garamond"/>
                <w:color w:val="000000" w:themeColor="text1"/>
                <w:szCs w:val="20"/>
              </w:rPr>
              <w:t>s</w:t>
            </w:r>
            <w:r w:rsidRPr="00E0703C">
              <w:rPr>
                <w:rFonts w:ascii="Garamond" w:hAnsi="Garamond"/>
                <w:color w:val="000000" w:themeColor="text1"/>
                <w:szCs w:val="20"/>
              </w:rPr>
              <w:t xml:space="preserve"> (Kimberley AMS Council)</w:t>
            </w:r>
            <w:r w:rsidR="001376C6">
              <w:rPr>
                <w:rFonts w:ascii="Garamond" w:hAnsi="Garamond"/>
                <w:color w:val="000000" w:themeColor="text1"/>
                <w:szCs w:val="20"/>
              </w:rPr>
              <w:t>.</w:t>
            </w:r>
            <w:r>
              <w:rPr>
                <w:rFonts w:ascii="Garamond" w:hAnsi="Garamond"/>
                <w:color w:val="000000" w:themeColor="text1"/>
                <w:szCs w:val="20"/>
              </w:rPr>
              <w:t xml:space="preserve"> </w:t>
            </w:r>
          </w:p>
        </w:tc>
      </w:tr>
      <w:tr w:rsidR="000645C5" w:rsidRPr="00E0703C" w14:paraId="7D86D3F1" w14:textId="77777777" w:rsidTr="00722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vMerge/>
          </w:tcPr>
          <w:p w14:paraId="19F67329" w14:textId="77777777" w:rsidR="000645C5" w:rsidRPr="00E0703C" w:rsidRDefault="000645C5" w:rsidP="000645C5">
            <w:pPr>
              <w:spacing w:after="0" w:line="240" w:lineRule="atLeast"/>
              <w:ind w:left="57" w:right="57"/>
              <w:rPr>
                <w:rFonts w:ascii="Garamond" w:hAnsi="Garamond"/>
                <w:color w:val="000000" w:themeColor="text1"/>
                <w:szCs w:val="20"/>
              </w:rPr>
            </w:pPr>
          </w:p>
        </w:tc>
        <w:tc>
          <w:tcPr>
            <w:tcW w:w="2054" w:type="dxa"/>
          </w:tcPr>
          <w:p w14:paraId="04F0298B" w14:textId="77777777" w:rsidR="000645C5" w:rsidRPr="00FC6A97"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b/>
                <w:bCs/>
                <w:color w:val="000000" w:themeColor="text1"/>
                <w:szCs w:val="20"/>
              </w:rPr>
            </w:pPr>
            <w:bookmarkStart w:id="74" w:name="_Hlk59182531"/>
            <w:r w:rsidRPr="00E0703C">
              <w:rPr>
                <w:rFonts w:ascii="Garamond" w:hAnsi="Garamond"/>
                <w:b/>
                <w:bCs/>
                <w:color w:val="000000" w:themeColor="text1"/>
                <w:szCs w:val="20"/>
              </w:rPr>
              <w:t>Meekatharra WA</w:t>
            </w:r>
            <w:bookmarkEnd w:id="74"/>
            <w:r w:rsidRPr="00FC6A97">
              <w:rPr>
                <w:rFonts w:ascii="Garamond" w:hAnsi="Garamond"/>
                <w:b/>
                <w:bCs/>
                <w:color w:val="000000" w:themeColor="text1"/>
                <w:szCs w:val="20"/>
              </w:rPr>
              <w:t>CHS</w:t>
            </w:r>
          </w:p>
          <w:p w14:paraId="609E6358" w14:textId="526D730A"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 xml:space="preserve">Claim: </w:t>
            </w:r>
            <w:r w:rsidRPr="00660E5A">
              <w:rPr>
                <w:rFonts w:ascii="Garamond" w:hAnsi="Garamond"/>
                <w:color w:val="000000" w:themeColor="text1"/>
                <w:szCs w:val="20"/>
              </w:rPr>
              <w:t>$0.070</w:t>
            </w:r>
            <w:r>
              <w:rPr>
                <w:rFonts w:ascii="Garamond" w:hAnsi="Garamond"/>
                <w:color w:val="000000" w:themeColor="text1"/>
                <w:szCs w:val="20"/>
              </w:rPr>
              <w:t xml:space="preserve"> m</w:t>
            </w:r>
          </w:p>
        </w:tc>
        <w:tc>
          <w:tcPr>
            <w:tcW w:w="1510" w:type="dxa"/>
          </w:tcPr>
          <w:p w14:paraId="375613C4"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Geraldton (536</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7C411626"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1,008</w:t>
            </w:r>
          </w:p>
        </w:tc>
        <w:tc>
          <w:tcPr>
            <w:tcW w:w="722" w:type="dxa"/>
          </w:tcPr>
          <w:p w14:paraId="67FBA8BD" w14:textId="77777777" w:rsidR="000645C5" w:rsidRPr="00E0703C" w:rsidRDefault="000645C5" w:rsidP="00722AFB">
            <w:pPr>
              <w:spacing w:after="0" w:line="240" w:lineRule="atLeast"/>
              <w:ind w:left="57" w:right="57"/>
              <w:jc w:val="center"/>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7</w:t>
            </w:r>
          </w:p>
        </w:tc>
        <w:tc>
          <w:tcPr>
            <w:tcW w:w="1663" w:type="dxa"/>
          </w:tcPr>
          <w:p w14:paraId="3C853B18" w14:textId="0A93E6D9"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1 (</w:t>
            </w:r>
            <w:r>
              <w:rPr>
                <w:rFonts w:ascii="Garamond" w:hAnsi="Garamond"/>
                <w:color w:val="000000" w:themeColor="text1"/>
                <w:szCs w:val="20"/>
              </w:rPr>
              <w:t xml:space="preserve">located in </w:t>
            </w:r>
            <w:r w:rsidRPr="00E0703C">
              <w:rPr>
                <w:rFonts w:ascii="Garamond" w:hAnsi="Garamond"/>
                <w:color w:val="000000" w:themeColor="text1"/>
                <w:szCs w:val="20"/>
              </w:rPr>
              <w:t>Meekatharra Hosp</w:t>
            </w:r>
            <w:r w:rsidR="00722AFB">
              <w:rPr>
                <w:rFonts w:ascii="Garamond" w:hAnsi="Garamond"/>
                <w:color w:val="000000" w:themeColor="text1"/>
                <w:szCs w:val="20"/>
              </w:rPr>
              <w:t>ital</w:t>
            </w:r>
            <w:r w:rsidRPr="00E0703C">
              <w:rPr>
                <w:rFonts w:ascii="Garamond" w:hAnsi="Garamond"/>
                <w:color w:val="000000" w:themeColor="text1"/>
                <w:szCs w:val="20"/>
              </w:rPr>
              <w:t>)</w:t>
            </w:r>
          </w:p>
        </w:tc>
        <w:tc>
          <w:tcPr>
            <w:tcW w:w="2616" w:type="dxa"/>
          </w:tcPr>
          <w:p w14:paraId="5E38D8CA" w14:textId="27029359"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 xml:space="preserve">Ngangganawili </w:t>
            </w:r>
            <w:r w:rsidR="000B18D3">
              <w:rPr>
                <w:rFonts w:ascii="Garamond" w:hAnsi="Garamond"/>
                <w:color w:val="000000" w:themeColor="text1"/>
                <w:szCs w:val="20"/>
              </w:rPr>
              <w:t>Aboriginal Health Service</w:t>
            </w:r>
            <w:r>
              <w:rPr>
                <w:rFonts w:ascii="Garamond" w:hAnsi="Garamond"/>
                <w:color w:val="000000" w:themeColor="text1"/>
                <w:szCs w:val="20"/>
              </w:rPr>
              <w:t xml:space="preserve"> </w:t>
            </w:r>
            <w:r w:rsidRPr="00E0703C">
              <w:rPr>
                <w:rFonts w:ascii="Garamond" w:hAnsi="Garamond"/>
                <w:color w:val="000000" w:themeColor="text1"/>
                <w:szCs w:val="20"/>
              </w:rPr>
              <w:t>(187</w:t>
            </w:r>
            <w:r>
              <w:rPr>
                <w:rFonts w:ascii="Garamond" w:hAnsi="Garamond"/>
                <w:color w:val="000000" w:themeColor="text1"/>
                <w:szCs w:val="20"/>
              </w:rPr>
              <w:t xml:space="preserve"> </w:t>
            </w:r>
            <w:r w:rsidRPr="00E0703C">
              <w:rPr>
                <w:rFonts w:ascii="Garamond" w:hAnsi="Garamond"/>
                <w:color w:val="000000" w:themeColor="text1"/>
                <w:szCs w:val="20"/>
              </w:rPr>
              <w:t>km in Wiluna)</w:t>
            </w:r>
          </w:p>
        </w:tc>
        <w:tc>
          <w:tcPr>
            <w:tcW w:w="3948" w:type="dxa"/>
          </w:tcPr>
          <w:p w14:paraId="45E1ABC1" w14:textId="26A27531"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Site</w:t>
            </w:r>
            <w:r w:rsidRPr="004F755F">
              <w:rPr>
                <w:rFonts w:ascii="Garamond" w:hAnsi="Garamond"/>
                <w:color w:val="000000" w:themeColor="text1"/>
                <w:szCs w:val="20"/>
              </w:rPr>
              <w:t xml:space="preserve"> </w:t>
            </w:r>
            <w:r w:rsidR="001376C6">
              <w:rPr>
                <w:rFonts w:ascii="Garamond" w:hAnsi="Garamond"/>
                <w:color w:val="000000" w:themeColor="text1"/>
                <w:szCs w:val="20"/>
              </w:rPr>
              <w:t xml:space="preserve">previously </w:t>
            </w:r>
            <w:r w:rsidRPr="004F755F">
              <w:rPr>
                <w:rFonts w:ascii="Garamond" w:hAnsi="Garamond"/>
                <w:color w:val="000000" w:themeColor="text1"/>
                <w:szCs w:val="20"/>
              </w:rPr>
              <w:t xml:space="preserve">with larger MBS billings </w:t>
            </w:r>
            <w:r>
              <w:rPr>
                <w:rFonts w:ascii="Garamond" w:hAnsi="Garamond"/>
                <w:color w:val="000000" w:themeColor="text1"/>
                <w:szCs w:val="20"/>
              </w:rPr>
              <w:t>compared to WA average</w:t>
            </w:r>
            <w:r w:rsidRPr="00E0703C">
              <w:rPr>
                <w:rFonts w:ascii="Garamond" w:hAnsi="Garamond"/>
                <w:color w:val="000000" w:themeColor="text1"/>
                <w:szCs w:val="20"/>
              </w:rPr>
              <w:t xml:space="preserve">; </w:t>
            </w:r>
            <w:r w:rsidR="001376C6">
              <w:rPr>
                <w:rFonts w:ascii="Garamond" w:hAnsi="Garamond"/>
                <w:color w:val="000000" w:themeColor="text1"/>
                <w:szCs w:val="20"/>
              </w:rPr>
              <w:t xml:space="preserve">recent change </w:t>
            </w:r>
            <w:r w:rsidR="00065C89">
              <w:rPr>
                <w:rFonts w:ascii="Garamond" w:hAnsi="Garamond"/>
                <w:color w:val="000000" w:themeColor="text1"/>
                <w:szCs w:val="20"/>
              </w:rPr>
              <w:t>to service</w:t>
            </w:r>
            <w:r>
              <w:rPr>
                <w:rFonts w:ascii="Garamond" w:hAnsi="Garamond"/>
                <w:color w:val="000000" w:themeColor="text1"/>
                <w:szCs w:val="20"/>
              </w:rPr>
              <w:t xml:space="preserve"> delivery arrangements </w:t>
            </w:r>
            <w:r w:rsidR="001376C6">
              <w:rPr>
                <w:rFonts w:ascii="Garamond" w:hAnsi="Garamond"/>
                <w:color w:val="000000" w:themeColor="text1"/>
                <w:szCs w:val="20"/>
              </w:rPr>
              <w:t xml:space="preserve">has reduced billings; </w:t>
            </w:r>
            <w:r>
              <w:rPr>
                <w:rFonts w:ascii="Garamond" w:hAnsi="Garamond"/>
                <w:color w:val="000000" w:themeColor="text1"/>
                <w:szCs w:val="20"/>
              </w:rPr>
              <w:t>MMM</w:t>
            </w:r>
            <w:r w:rsidR="0014271A">
              <w:rPr>
                <w:rFonts w:ascii="Garamond" w:hAnsi="Garamond"/>
                <w:color w:val="000000" w:themeColor="text1"/>
                <w:szCs w:val="20"/>
              </w:rPr>
              <w:t xml:space="preserve"> </w:t>
            </w:r>
            <w:r w:rsidRPr="00E0703C">
              <w:rPr>
                <w:rFonts w:ascii="Garamond" w:hAnsi="Garamond"/>
                <w:color w:val="000000" w:themeColor="text1"/>
                <w:szCs w:val="20"/>
              </w:rPr>
              <w:t>7</w:t>
            </w:r>
            <w:r>
              <w:rPr>
                <w:rFonts w:ascii="Garamond" w:hAnsi="Garamond"/>
                <w:color w:val="000000" w:themeColor="text1"/>
                <w:szCs w:val="20"/>
              </w:rPr>
              <w:t xml:space="preserve"> </w:t>
            </w:r>
            <w:r w:rsidRPr="00E0703C">
              <w:rPr>
                <w:rFonts w:ascii="Garamond" w:hAnsi="Garamond"/>
                <w:color w:val="000000" w:themeColor="text1"/>
                <w:szCs w:val="20"/>
              </w:rPr>
              <w:t>site</w:t>
            </w:r>
            <w:r w:rsidR="001376C6">
              <w:rPr>
                <w:rFonts w:ascii="Garamond" w:hAnsi="Garamond"/>
                <w:color w:val="000000" w:themeColor="text1"/>
                <w:szCs w:val="20"/>
              </w:rPr>
              <w:t xml:space="preserve"> with an ED.</w:t>
            </w:r>
          </w:p>
        </w:tc>
      </w:tr>
      <w:tr w:rsidR="000645C5" w:rsidRPr="00E0703C" w14:paraId="16FFC852" w14:textId="77777777" w:rsidTr="00722AFB">
        <w:tc>
          <w:tcPr>
            <w:cnfStyle w:val="001000000000" w:firstRow="0" w:lastRow="0" w:firstColumn="1" w:lastColumn="0" w:oddVBand="0" w:evenVBand="0" w:oddHBand="0" w:evenHBand="0" w:firstRowFirstColumn="0" w:firstRowLastColumn="0" w:lastRowFirstColumn="0" w:lastRowLastColumn="0"/>
            <w:tcW w:w="1539" w:type="dxa"/>
            <w:vMerge w:val="restart"/>
          </w:tcPr>
          <w:p w14:paraId="387DB3AC" w14:textId="551BEB0C" w:rsidR="000645C5" w:rsidRPr="00E0703C" w:rsidRDefault="000645C5" w:rsidP="000645C5">
            <w:pPr>
              <w:spacing w:after="0" w:line="240" w:lineRule="atLeast"/>
              <w:ind w:left="57" w:right="57"/>
              <w:rPr>
                <w:rFonts w:ascii="Garamond" w:hAnsi="Garamond"/>
                <w:color w:val="000000" w:themeColor="text1"/>
                <w:szCs w:val="20"/>
              </w:rPr>
            </w:pPr>
            <w:r w:rsidRPr="00E0703C">
              <w:rPr>
                <w:rFonts w:ascii="Garamond" w:hAnsi="Garamond"/>
                <w:color w:val="000000" w:themeColor="text1"/>
                <w:szCs w:val="20"/>
              </w:rPr>
              <w:t>NT (</w:t>
            </w:r>
            <w:r>
              <w:rPr>
                <w:rFonts w:ascii="Garamond" w:hAnsi="Garamond"/>
                <w:color w:val="000000" w:themeColor="text1"/>
                <w:szCs w:val="20"/>
              </w:rPr>
              <w:t>7</w:t>
            </w:r>
            <w:r w:rsidRPr="00E0703C">
              <w:rPr>
                <w:rFonts w:ascii="Garamond" w:hAnsi="Garamond"/>
                <w:color w:val="000000" w:themeColor="text1"/>
                <w:szCs w:val="20"/>
              </w:rPr>
              <w:t xml:space="preserve"> % of funded services – </w:t>
            </w:r>
            <w:r>
              <w:rPr>
                <w:rFonts w:ascii="Garamond" w:hAnsi="Garamond"/>
                <w:color w:val="000000" w:themeColor="text1"/>
                <w:szCs w:val="20"/>
              </w:rPr>
              <w:t>6</w:t>
            </w:r>
            <w:r w:rsidRPr="00E0703C">
              <w:rPr>
                <w:rFonts w:ascii="Garamond" w:hAnsi="Garamond"/>
                <w:color w:val="000000" w:themeColor="text1"/>
                <w:szCs w:val="20"/>
              </w:rPr>
              <w:t xml:space="preserve"> services)</w:t>
            </w:r>
          </w:p>
        </w:tc>
        <w:tc>
          <w:tcPr>
            <w:tcW w:w="2054" w:type="dxa"/>
          </w:tcPr>
          <w:p w14:paraId="37A0EE39" w14:textId="77777777" w:rsidR="000645C5" w:rsidRPr="00FC6A97"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Cs w:val="20"/>
              </w:rPr>
            </w:pPr>
            <w:r w:rsidRPr="00E0703C">
              <w:rPr>
                <w:rFonts w:ascii="Garamond" w:hAnsi="Garamond"/>
                <w:b/>
                <w:bCs/>
                <w:color w:val="000000" w:themeColor="text1"/>
                <w:szCs w:val="20"/>
              </w:rPr>
              <w:t xml:space="preserve">Tennant Creek Hospital </w:t>
            </w:r>
          </w:p>
          <w:p w14:paraId="65221635" w14:textId="2851E1C3"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 $0.890 m</w:t>
            </w:r>
          </w:p>
        </w:tc>
        <w:tc>
          <w:tcPr>
            <w:tcW w:w="1510" w:type="dxa"/>
          </w:tcPr>
          <w:p w14:paraId="67BAD707"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Alice Springs (506</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05D81757"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7,392</w:t>
            </w:r>
          </w:p>
        </w:tc>
        <w:tc>
          <w:tcPr>
            <w:tcW w:w="722" w:type="dxa"/>
          </w:tcPr>
          <w:p w14:paraId="4E041861" w14:textId="77777777" w:rsidR="000645C5" w:rsidRPr="00E0703C" w:rsidRDefault="000645C5" w:rsidP="00722AFB">
            <w:pPr>
              <w:spacing w:after="0" w:line="240" w:lineRule="atLeast"/>
              <w:ind w:left="57" w:right="57"/>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7</w:t>
            </w:r>
          </w:p>
        </w:tc>
        <w:tc>
          <w:tcPr>
            <w:tcW w:w="1663" w:type="dxa"/>
          </w:tcPr>
          <w:p w14:paraId="0E282EC9" w14:textId="77777777"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Nil</w:t>
            </w:r>
          </w:p>
        </w:tc>
        <w:tc>
          <w:tcPr>
            <w:tcW w:w="2616" w:type="dxa"/>
          </w:tcPr>
          <w:p w14:paraId="36979DED" w14:textId="04AE6481"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Anyinginyi Health Aboriginal Corp</w:t>
            </w:r>
            <w:r w:rsidR="00722AFB">
              <w:rPr>
                <w:rFonts w:ascii="Garamond" w:hAnsi="Garamond"/>
                <w:color w:val="000000" w:themeColor="text1"/>
                <w:szCs w:val="20"/>
              </w:rPr>
              <w:t>oration</w:t>
            </w:r>
            <w:r>
              <w:rPr>
                <w:rFonts w:ascii="Garamond" w:hAnsi="Garamond"/>
                <w:color w:val="000000" w:themeColor="text1"/>
                <w:szCs w:val="20"/>
              </w:rPr>
              <w:t xml:space="preserve"> (in Tennant Creek)</w:t>
            </w:r>
          </w:p>
        </w:tc>
        <w:tc>
          <w:tcPr>
            <w:tcW w:w="3948" w:type="dxa"/>
          </w:tcPr>
          <w:p w14:paraId="71925CD2" w14:textId="50103E05" w:rsidR="000645C5" w:rsidRPr="00E0703C" w:rsidRDefault="000645C5" w:rsidP="000645C5">
            <w:pPr>
              <w:spacing w:after="0" w:line="240" w:lineRule="atLeast"/>
              <w:ind w:left="57" w:right="57"/>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A</w:t>
            </w:r>
            <w:r>
              <w:rPr>
                <w:rFonts w:ascii="Garamond" w:hAnsi="Garamond"/>
                <w:color w:val="000000" w:themeColor="text1"/>
                <w:szCs w:val="20"/>
              </w:rPr>
              <w:t xml:space="preserve"> large </w:t>
            </w:r>
            <w:r w:rsidRPr="00E0703C">
              <w:rPr>
                <w:rFonts w:ascii="Garamond" w:hAnsi="Garamond"/>
                <w:color w:val="000000" w:themeColor="text1"/>
                <w:szCs w:val="20"/>
              </w:rPr>
              <w:t xml:space="preserve">NT services; will enable exploration of </w:t>
            </w:r>
            <w:r w:rsidR="00783742">
              <w:rPr>
                <w:rFonts w:ascii="Garamond" w:hAnsi="Garamond"/>
                <w:color w:val="000000" w:themeColor="text1"/>
                <w:szCs w:val="20"/>
              </w:rPr>
              <w:t>S19</w:t>
            </w:r>
            <w:r w:rsidR="00A07293">
              <w:rPr>
                <w:rFonts w:ascii="Garamond" w:hAnsi="Garamond"/>
                <w:color w:val="000000" w:themeColor="text1"/>
                <w:szCs w:val="20"/>
              </w:rPr>
              <w:t>(2)</w:t>
            </w:r>
            <w:r w:rsidRPr="00E0703C">
              <w:rPr>
                <w:rFonts w:ascii="Garamond" w:hAnsi="Garamond"/>
                <w:color w:val="000000" w:themeColor="text1"/>
                <w:szCs w:val="20"/>
              </w:rPr>
              <w:t xml:space="preserve"> service with local AMS</w:t>
            </w:r>
          </w:p>
        </w:tc>
      </w:tr>
      <w:tr w:rsidR="000645C5" w:rsidRPr="00E0703C" w14:paraId="0322726C" w14:textId="77777777" w:rsidTr="00722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vMerge/>
          </w:tcPr>
          <w:p w14:paraId="6DB4B825" w14:textId="77777777" w:rsidR="000645C5" w:rsidRPr="00E0703C" w:rsidRDefault="000645C5" w:rsidP="000645C5">
            <w:pPr>
              <w:spacing w:after="0" w:line="240" w:lineRule="atLeast"/>
              <w:ind w:left="57" w:right="57"/>
              <w:rPr>
                <w:rFonts w:ascii="Garamond" w:hAnsi="Garamond"/>
                <w:color w:val="000000" w:themeColor="text1"/>
                <w:szCs w:val="20"/>
              </w:rPr>
            </w:pPr>
          </w:p>
        </w:tc>
        <w:tc>
          <w:tcPr>
            <w:tcW w:w="2054" w:type="dxa"/>
          </w:tcPr>
          <w:p w14:paraId="2C856D68" w14:textId="77777777" w:rsidR="000645C5" w:rsidRPr="00FC6A97"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b/>
                <w:bCs/>
                <w:color w:val="000000" w:themeColor="text1"/>
                <w:szCs w:val="20"/>
              </w:rPr>
            </w:pPr>
            <w:r w:rsidRPr="00E0703C">
              <w:rPr>
                <w:rFonts w:ascii="Garamond" w:hAnsi="Garamond"/>
                <w:b/>
                <w:bCs/>
                <w:color w:val="000000" w:themeColor="text1"/>
                <w:szCs w:val="20"/>
              </w:rPr>
              <w:t>Jabiru Community Health Centre</w:t>
            </w:r>
          </w:p>
          <w:p w14:paraId="05B9BFDE" w14:textId="349E5F25"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Claim</w:t>
            </w:r>
            <w:r w:rsidRPr="00660E5A">
              <w:rPr>
                <w:rFonts w:ascii="Garamond" w:hAnsi="Garamond"/>
                <w:color w:val="000000" w:themeColor="text1"/>
                <w:szCs w:val="20"/>
              </w:rPr>
              <w:t>: $0.200</w:t>
            </w:r>
            <w:r>
              <w:rPr>
                <w:rFonts w:ascii="Garamond" w:hAnsi="Garamond"/>
                <w:color w:val="000000" w:themeColor="text1"/>
                <w:szCs w:val="20"/>
              </w:rPr>
              <w:t xml:space="preserve"> m</w:t>
            </w:r>
          </w:p>
        </w:tc>
        <w:tc>
          <w:tcPr>
            <w:tcW w:w="1510" w:type="dxa"/>
          </w:tcPr>
          <w:p w14:paraId="420248C4"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Darwin (255</w:t>
            </w:r>
            <w:r>
              <w:rPr>
                <w:rFonts w:ascii="Garamond" w:hAnsi="Garamond"/>
                <w:color w:val="000000" w:themeColor="text1"/>
                <w:szCs w:val="20"/>
              </w:rPr>
              <w:t xml:space="preserve"> </w:t>
            </w:r>
            <w:r w:rsidRPr="00E0703C">
              <w:rPr>
                <w:rFonts w:ascii="Garamond" w:hAnsi="Garamond"/>
                <w:color w:val="000000" w:themeColor="text1"/>
                <w:szCs w:val="20"/>
              </w:rPr>
              <w:t>km)</w:t>
            </w:r>
          </w:p>
        </w:tc>
        <w:tc>
          <w:tcPr>
            <w:tcW w:w="1116" w:type="dxa"/>
          </w:tcPr>
          <w:p w14:paraId="6CAE6BFB"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6,902</w:t>
            </w:r>
          </w:p>
        </w:tc>
        <w:tc>
          <w:tcPr>
            <w:tcW w:w="722" w:type="dxa"/>
          </w:tcPr>
          <w:p w14:paraId="7A7161C8" w14:textId="77777777" w:rsidR="000645C5" w:rsidRPr="00E0703C" w:rsidRDefault="000645C5" w:rsidP="00722AFB">
            <w:pPr>
              <w:spacing w:after="0" w:line="240" w:lineRule="atLeast"/>
              <w:ind w:left="57" w:right="57"/>
              <w:jc w:val="center"/>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6</w:t>
            </w:r>
          </w:p>
        </w:tc>
        <w:tc>
          <w:tcPr>
            <w:tcW w:w="1663" w:type="dxa"/>
          </w:tcPr>
          <w:p w14:paraId="6AC1418C"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Nil</w:t>
            </w:r>
          </w:p>
        </w:tc>
        <w:tc>
          <w:tcPr>
            <w:tcW w:w="2616" w:type="dxa"/>
          </w:tcPr>
          <w:p w14:paraId="12FC767F" w14:textId="77777777"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sidRPr="00E0703C">
              <w:rPr>
                <w:rFonts w:ascii="Garamond" w:hAnsi="Garamond"/>
                <w:color w:val="000000" w:themeColor="text1"/>
                <w:szCs w:val="20"/>
              </w:rPr>
              <w:t>Red Lily Health Board</w:t>
            </w:r>
            <w:r>
              <w:rPr>
                <w:rFonts w:ascii="Garamond" w:hAnsi="Garamond"/>
                <w:color w:val="000000" w:themeColor="text1"/>
                <w:szCs w:val="20"/>
              </w:rPr>
              <w:t>; scheduled to assume control of Jabiru Clinic in 2022</w:t>
            </w:r>
          </w:p>
        </w:tc>
        <w:tc>
          <w:tcPr>
            <w:tcW w:w="3948" w:type="dxa"/>
          </w:tcPr>
          <w:p w14:paraId="7A5AA96B" w14:textId="234AF2D6" w:rsidR="000645C5" w:rsidRPr="00E0703C" w:rsidRDefault="000645C5" w:rsidP="000645C5">
            <w:pPr>
              <w:spacing w:after="0" w:line="240" w:lineRule="atLeast"/>
              <w:ind w:left="57" w:right="57"/>
              <w:cnfStyle w:val="000000010000" w:firstRow="0" w:lastRow="0" w:firstColumn="0" w:lastColumn="0" w:oddVBand="0" w:evenVBand="0" w:oddHBand="0" w:evenHBand="1" w:firstRowFirstColumn="0" w:firstRowLastColumn="0" w:lastRowFirstColumn="0" w:lastRowLastColumn="0"/>
              <w:rPr>
                <w:rFonts w:ascii="Garamond" w:hAnsi="Garamond"/>
                <w:color w:val="000000" w:themeColor="text1"/>
                <w:szCs w:val="20"/>
              </w:rPr>
            </w:pPr>
            <w:r>
              <w:rPr>
                <w:rFonts w:ascii="Garamond" w:hAnsi="Garamond"/>
                <w:color w:val="000000" w:themeColor="text1"/>
                <w:szCs w:val="20"/>
              </w:rPr>
              <w:t>E</w:t>
            </w:r>
            <w:r w:rsidRPr="00E0703C">
              <w:rPr>
                <w:rFonts w:ascii="Garamond" w:hAnsi="Garamond"/>
                <w:color w:val="000000" w:themeColor="text1"/>
                <w:szCs w:val="20"/>
              </w:rPr>
              <w:t>nable</w:t>
            </w:r>
            <w:r>
              <w:rPr>
                <w:rFonts w:ascii="Garamond" w:hAnsi="Garamond"/>
                <w:color w:val="000000" w:themeColor="text1"/>
                <w:szCs w:val="20"/>
              </w:rPr>
              <w:t>d</w:t>
            </w:r>
            <w:r w:rsidRPr="00E0703C">
              <w:rPr>
                <w:rFonts w:ascii="Garamond" w:hAnsi="Garamond"/>
                <w:color w:val="000000" w:themeColor="text1"/>
                <w:szCs w:val="20"/>
              </w:rPr>
              <w:t xml:space="preserve"> exploration of </w:t>
            </w:r>
            <w:r w:rsidR="00783742">
              <w:rPr>
                <w:rFonts w:ascii="Garamond" w:hAnsi="Garamond"/>
                <w:color w:val="000000" w:themeColor="text1"/>
                <w:szCs w:val="20"/>
              </w:rPr>
              <w:t>S19</w:t>
            </w:r>
            <w:r w:rsidR="00A07293">
              <w:rPr>
                <w:rFonts w:ascii="Garamond" w:hAnsi="Garamond"/>
                <w:color w:val="000000" w:themeColor="text1"/>
                <w:szCs w:val="20"/>
              </w:rPr>
              <w:t>(2)</w:t>
            </w:r>
            <w:r w:rsidRPr="00E0703C">
              <w:rPr>
                <w:rFonts w:ascii="Garamond" w:hAnsi="Garamond"/>
                <w:color w:val="000000" w:themeColor="text1"/>
                <w:szCs w:val="20"/>
              </w:rPr>
              <w:t xml:space="preserve"> service </w:t>
            </w:r>
            <w:r>
              <w:rPr>
                <w:rFonts w:ascii="Garamond" w:hAnsi="Garamond"/>
                <w:color w:val="000000" w:themeColor="text1"/>
                <w:szCs w:val="20"/>
              </w:rPr>
              <w:t>in a primary care clinic</w:t>
            </w:r>
          </w:p>
        </w:tc>
      </w:tr>
    </w:tbl>
    <w:p w14:paraId="07112D66" w14:textId="77777777" w:rsidR="00B065F6" w:rsidRDefault="00B065F6" w:rsidP="00501A11">
      <w:pPr>
        <w:sectPr w:rsidR="00B065F6" w:rsidSect="00722AFB">
          <w:pgSz w:w="16838" w:h="11906" w:orient="landscape" w:code="9"/>
          <w:pgMar w:top="737" w:right="1304" w:bottom="1134" w:left="737" w:header="567" w:footer="284" w:gutter="0"/>
          <w:cols w:space="708"/>
          <w:docGrid w:linePitch="360"/>
        </w:sectPr>
      </w:pPr>
    </w:p>
    <w:p w14:paraId="3E542C10" w14:textId="04DB836E" w:rsidR="00E36702" w:rsidRDefault="00E36702" w:rsidP="00E36702">
      <w:r>
        <w:lastRenderedPageBreak/>
        <w:t>Whil</w:t>
      </w:r>
      <w:r w:rsidR="0074175D">
        <w:t>e</w:t>
      </w:r>
      <w:r>
        <w:t xml:space="preserve"> undertaking the case studies</w:t>
      </w:r>
      <w:r w:rsidR="0074175D">
        <w:t>,</w:t>
      </w:r>
      <w:r>
        <w:t xml:space="preserve"> the evaluation team obtained more detailed information on several other Initiative sites, typically because they were</w:t>
      </w:r>
      <w:r w:rsidR="00F266EB">
        <w:t xml:space="preserve"> close by geographically. A</w:t>
      </w:r>
      <w:r>
        <w:t xml:space="preserve">dditional sites that we make some reference to in the evaluation findings include Gundagai MPS and Babinda </w:t>
      </w:r>
      <w:r w:rsidR="002B53B5">
        <w:t>MPS</w:t>
      </w:r>
      <w:r>
        <w:t>.</w:t>
      </w:r>
    </w:p>
    <w:p w14:paraId="23DAC7FC" w14:textId="0FBB63F6" w:rsidR="00501A11" w:rsidRDefault="00501A11" w:rsidP="00501A11">
      <w:pPr>
        <w:pStyle w:val="Heading3"/>
      </w:pPr>
      <w:bookmarkStart w:id="75" w:name="_Toc85203285"/>
      <w:r>
        <w:t>Survey of participating sites</w:t>
      </w:r>
      <w:bookmarkEnd w:id="75"/>
    </w:p>
    <w:p w14:paraId="33AC51C1" w14:textId="7FEDFA49" w:rsidR="00D22C80" w:rsidRDefault="00D22C80" w:rsidP="00D22C80">
      <w:pPr>
        <w:rPr>
          <w:rFonts w:ascii="Garamond" w:eastAsia="Garamond" w:hAnsi="Garamond" w:cs="Times New Roman"/>
        </w:rPr>
      </w:pPr>
      <w:r w:rsidRPr="00D22C80">
        <w:rPr>
          <w:rFonts w:ascii="Garamond" w:eastAsia="Garamond" w:hAnsi="Garamond" w:cs="Times New Roman"/>
        </w:rPr>
        <w:t xml:space="preserve">As part of the evaluation process, HMA </w:t>
      </w:r>
      <w:r>
        <w:rPr>
          <w:rFonts w:ascii="Garamond" w:eastAsia="Garamond" w:hAnsi="Garamond" w:cs="Times New Roman"/>
        </w:rPr>
        <w:t>asked</w:t>
      </w:r>
      <w:r w:rsidRPr="00D22C80">
        <w:rPr>
          <w:rFonts w:ascii="Garamond" w:eastAsia="Garamond" w:hAnsi="Garamond" w:cs="Times New Roman"/>
        </w:rPr>
        <w:t xml:space="preserve"> facility managers at each </w:t>
      </w:r>
      <w:r>
        <w:rPr>
          <w:rFonts w:ascii="Garamond" w:eastAsia="Garamond" w:hAnsi="Garamond" w:cs="Times New Roman"/>
        </w:rPr>
        <w:t xml:space="preserve">Initiative site </w:t>
      </w:r>
      <w:r w:rsidRPr="00D22C80">
        <w:rPr>
          <w:rFonts w:ascii="Garamond" w:eastAsia="Garamond" w:hAnsi="Garamond" w:cs="Times New Roman"/>
        </w:rPr>
        <w:t xml:space="preserve">to complete a brief survey about their experience with the operations of the Initiative. </w:t>
      </w:r>
      <w:r>
        <w:rPr>
          <w:rFonts w:ascii="Garamond" w:eastAsia="Garamond" w:hAnsi="Garamond" w:cs="Times New Roman"/>
        </w:rPr>
        <w:t>Some of the main themes explored in the survey were:</w:t>
      </w:r>
    </w:p>
    <w:p w14:paraId="763D40A0" w14:textId="14506136" w:rsidR="00D22C80" w:rsidRPr="00D22C80" w:rsidRDefault="0074175D" w:rsidP="00B2799B">
      <w:pPr>
        <w:numPr>
          <w:ilvl w:val="0"/>
          <w:numId w:val="24"/>
        </w:numPr>
        <w:spacing w:before="20" w:after="20" w:line="264" w:lineRule="atLeast"/>
        <w:rPr>
          <w:rFonts w:cs="Times New Roman"/>
          <w:color w:val="000000" w:themeColor="text1"/>
          <w:szCs w:val="20"/>
        </w:rPr>
      </w:pPr>
      <w:bookmarkStart w:id="76" w:name="_Hlk64897860"/>
      <w:r>
        <w:rPr>
          <w:rFonts w:cs="Times New Roman"/>
          <w:color w:val="000000" w:themeColor="text1"/>
          <w:szCs w:val="20"/>
        </w:rPr>
        <w:t xml:space="preserve">effectiveness </w:t>
      </w:r>
      <w:r w:rsidR="00D22C80">
        <w:rPr>
          <w:rFonts w:cs="Times New Roman"/>
          <w:color w:val="000000" w:themeColor="text1"/>
          <w:szCs w:val="20"/>
        </w:rPr>
        <w:t>of the Initiative in meeting the MOU objectives</w:t>
      </w:r>
    </w:p>
    <w:p w14:paraId="77938E74" w14:textId="71C4D9D1" w:rsidR="00D22C80" w:rsidRDefault="0074175D" w:rsidP="00B2799B">
      <w:pPr>
        <w:numPr>
          <w:ilvl w:val="0"/>
          <w:numId w:val="24"/>
        </w:numPr>
        <w:spacing w:before="20" w:after="20" w:line="264" w:lineRule="atLeast"/>
        <w:rPr>
          <w:rFonts w:cs="Times New Roman"/>
          <w:color w:val="000000" w:themeColor="text1"/>
          <w:szCs w:val="20"/>
        </w:rPr>
      </w:pPr>
      <w:r>
        <w:rPr>
          <w:rFonts w:cs="Times New Roman"/>
          <w:color w:val="000000" w:themeColor="text1"/>
          <w:szCs w:val="20"/>
        </w:rPr>
        <w:t>b</w:t>
      </w:r>
      <w:r w:rsidRPr="00D22C80">
        <w:rPr>
          <w:rFonts w:cs="Times New Roman"/>
          <w:color w:val="000000" w:themeColor="text1"/>
          <w:szCs w:val="20"/>
        </w:rPr>
        <w:t xml:space="preserve">arriers </w:t>
      </w:r>
      <w:r w:rsidR="00D22C80" w:rsidRPr="00D22C80">
        <w:rPr>
          <w:rFonts w:cs="Times New Roman"/>
          <w:color w:val="000000" w:themeColor="text1"/>
          <w:szCs w:val="20"/>
        </w:rPr>
        <w:t xml:space="preserve">to MBS revenue generation encountered by </w:t>
      </w:r>
      <w:r w:rsidR="00D22C80">
        <w:rPr>
          <w:rFonts w:cs="Times New Roman"/>
          <w:color w:val="000000" w:themeColor="text1"/>
          <w:szCs w:val="20"/>
        </w:rPr>
        <w:t>participating sites</w:t>
      </w:r>
    </w:p>
    <w:p w14:paraId="698083BA" w14:textId="3C98FA03" w:rsidR="00D22C80" w:rsidRDefault="0074175D" w:rsidP="00B2799B">
      <w:pPr>
        <w:numPr>
          <w:ilvl w:val="0"/>
          <w:numId w:val="24"/>
        </w:numPr>
        <w:spacing w:before="20" w:after="20" w:line="264" w:lineRule="atLeast"/>
        <w:rPr>
          <w:rFonts w:cs="Times New Roman"/>
          <w:color w:val="000000" w:themeColor="text1"/>
          <w:szCs w:val="20"/>
        </w:rPr>
      </w:pPr>
      <w:r w:rsidRPr="00D22C80">
        <w:rPr>
          <w:rFonts w:cs="Times New Roman"/>
          <w:color w:val="000000" w:themeColor="text1"/>
          <w:szCs w:val="20"/>
        </w:rPr>
        <w:t xml:space="preserve">how </w:t>
      </w:r>
      <w:r w:rsidR="00D22C80" w:rsidRPr="00D22C80">
        <w:rPr>
          <w:rFonts w:cs="Times New Roman"/>
          <w:color w:val="000000" w:themeColor="text1"/>
          <w:szCs w:val="20"/>
        </w:rPr>
        <w:t xml:space="preserve">the MBS revenue </w:t>
      </w:r>
      <w:r>
        <w:rPr>
          <w:rFonts w:cs="Times New Roman"/>
          <w:color w:val="000000" w:themeColor="text1"/>
          <w:szCs w:val="20"/>
        </w:rPr>
        <w:t>was</w:t>
      </w:r>
      <w:r w:rsidR="00066297">
        <w:rPr>
          <w:rFonts w:cs="Times New Roman"/>
          <w:color w:val="000000" w:themeColor="text1"/>
          <w:szCs w:val="20"/>
        </w:rPr>
        <w:t xml:space="preserve"> </w:t>
      </w:r>
      <w:r w:rsidR="00D22C80" w:rsidRPr="00D22C80">
        <w:rPr>
          <w:rFonts w:cs="Times New Roman"/>
          <w:color w:val="000000" w:themeColor="text1"/>
          <w:szCs w:val="20"/>
        </w:rPr>
        <w:t>reinvested at the site over the period of the 2016</w:t>
      </w:r>
      <w:r>
        <w:rPr>
          <w:rFonts w:cs="Times New Roman"/>
          <w:color w:val="000000" w:themeColor="text1"/>
          <w:szCs w:val="20"/>
        </w:rPr>
        <w:t xml:space="preserve">– </w:t>
      </w:r>
      <w:r w:rsidR="00D22C80" w:rsidRPr="00D22C80">
        <w:rPr>
          <w:rFonts w:cs="Times New Roman"/>
          <w:color w:val="000000" w:themeColor="text1"/>
          <w:szCs w:val="20"/>
        </w:rPr>
        <w:t>20 MOU</w:t>
      </w:r>
      <w:r w:rsidR="00066297">
        <w:rPr>
          <w:rFonts w:cs="Times New Roman"/>
          <w:color w:val="000000" w:themeColor="text1"/>
          <w:szCs w:val="20"/>
        </w:rPr>
        <w:t>, and</w:t>
      </w:r>
      <w:r w:rsidR="00D22C80" w:rsidRPr="00D22C80">
        <w:rPr>
          <w:rFonts w:cs="Times New Roman"/>
          <w:color w:val="000000" w:themeColor="text1"/>
          <w:szCs w:val="20"/>
        </w:rPr>
        <w:t xml:space="preserve"> </w:t>
      </w:r>
    </w:p>
    <w:p w14:paraId="2197CE54" w14:textId="0C853585" w:rsidR="00D22C80" w:rsidRPr="00D22C80" w:rsidRDefault="0074175D" w:rsidP="00B2799B">
      <w:pPr>
        <w:numPr>
          <w:ilvl w:val="0"/>
          <w:numId w:val="24"/>
        </w:numPr>
        <w:spacing w:before="20" w:after="20" w:line="264" w:lineRule="atLeast"/>
        <w:rPr>
          <w:rFonts w:cs="Times New Roman"/>
          <w:color w:val="000000" w:themeColor="text1"/>
          <w:szCs w:val="20"/>
        </w:rPr>
      </w:pPr>
      <w:r>
        <w:rPr>
          <w:rFonts w:cs="Times New Roman"/>
          <w:color w:val="000000" w:themeColor="text1"/>
          <w:szCs w:val="20"/>
        </w:rPr>
        <w:t>the</w:t>
      </w:r>
      <w:r w:rsidR="00D22C80" w:rsidRPr="00D22C80">
        <w:rPr>
          <w:rFonts w:cs="Times New Roman"/>
          <w:color w:val="000000" w:themeColor="text1"/>
          <w:szCs w:val="20"/>
        </w:rPr>
        <w:t xml:space="preserve"> full time equivalent</w:t>
      </w:r>
      <w:r w:rsidR="00066297">
        <w:rPr>
          <w:rFonts w:cs="Times New Roman"/>
          <w:color w:val="000000" w:themeColor="text1"/>
          <w:szCs w:val="20"/>
        </w:rPr>
        <w:t xml:space="preserve"> (FTE)</w:t>
      </w:r>
      <w:r w:rsidR="00D22C80" w:rsidRPr="00D22C80">
        <w:rPr>
          <w:rFonts w:cs="Times New Roman"/>
          <w:color w:val="000000" w:themeColor="text1"/>
          <w:szCs w:val="20"/>
        </w:rPr>
        <w:t xml:space="preserve"> staffing</w:t>
      </w:r>
      <w:r w:rsidR="00066297">
        <w:rPr>
          <w:rFonts w:cs="Times New Roman"/>
          <w:color w:val="000000" w:themeColor="text1"/>
          <w:szCs w:val="20"/>
        </w:rPr>
        <w:t xml:space="preserve"> levels</w:t>
      </w:r>
      <w:r w:rsidR="00D22C80" w:rsidRPr="00D22C80">
        <w:rPr>
          <w:rFonts w:cs="Times New Roman"/>
          <w:color w:val="000000" w:themeColor="text1"/>
          <w:szCs w:val="20"/>
        </w:rPr>
        <w:t xml:space="preserve"> at the site </w:t>
      </w:r>
      <w:r w:rsidR="00F266EB" w:rsidRPr="00D22C80">
        <w:rPr>
          <w:rFonts w:cs="Times New Roman"/>
          <w:color w:val="000000" w:themeColor="text1"/>
          <w:szCs w:val="20"/>
        </w:rPr>
        <w:t>on</w:t>
      </w:r>
      <w:r w:rsidR="00D22C80" w:rsidRPr="00D22C80">
        <w:rPr>
          <w:rFonts w:cs="Times New Roman"/>
          <w:color w:val="000000" w:themeColor="text1"/>
          <w:szCs w:val="20"/>
        </w:rPr>
        <w:t xml:space="preserve"> 30 June 2020 (including management, administration, clinical and non-direct care staff, e.g.</w:t>
      </w:r>
      <w:r w:rsidR="00D7590B">
        <w:rPr>
          <w:rFonts w:cs="Times New Roman"/>
          <w:color w:val="000000" w:themeColor="text1"/>
          <w:szCs w:val="20"/>
        </w:rPr>
        <w:t xml:space="preserve"> </w:t>
      </w:r>
      <w:r w:rsidR="00D22C80" w:rsidRPr="00D22C80">
        <w:rPr>
          <w:rFonts w:cs="Times New Roman"/>
          <w:color w:val="000000" w:themeColor="text1"/>
          <w:szCs w:val="20"/>
        </w:rPr>
        <w:t>cleaners, catering)</w:t>
      </w:r>
      <w:r w:rsidR="00066297">
        <w:rPr>
          <w:rFonts w:cs="Times New Roman"/>
          <w:color w:val="000000" w:themeColor="text1"/>
          <w:szCs w:val="20"/>
        </w:rPr>
        <w:t>.</w:t>
      </w:r>
    </w:p>
    <w:bookmarkEnd w:id="76"/>
    <w:p w14:paraId="7B03E476" w14:textId="70B7F164" w:rsidR="00D22C80" w:rsidRDefault="00D22C80" w:rsidP="00D22C80">
      <w:pPr>
        <w:spacing w:before="120"/>
        <w:rPr>
          <w:rFonts w:ascii="Garamond" w:eastAsia="Garamond" w:hAnsi="Garamond" w:cs="Times New Roman"/>
        </w:rPr>
      </w:pPr>
      <w:r>
        <w:rPr>
          <w:rFonts w:ascii="Garamond" w:eastAsia="Garamond" w:hAnsi="Garamond" w:cs="Times New Roman"/>
        </w:rPr>
        <w:t>The survey was open for completion from 25 May 2021 to 16 June 2021.</w:t>
      </w:r>
      <w:r w:rsidR="00F266EB" w:rsidRPr="00F266EB">
        <w:t xml:space="preserve"> </w:t>
      </w:r>
    </w:p>
    <w:p w14:paraId="1C6A8C37" w14:textId="1EC5B29E" w:rsidR="00D22C80" w:rsidRDefault="00D22C80" w:rsidP="00D22C80">
      <w:pPr>
        <w:rPr>
          <w:rFonts w:ascii="Garamond" w:eastAsia="Garamond" w:hAnsi="Garamond" w:cs="Times New Roman"/>
        </w:rPr>
      </w:pPr>
      <w:r>
        <w:rPr>
          <w:rFonts w:ascii="Garamond" w:eastAsia="Garamond" w:hAnsi="Garamond" w:cs="Times New Roman"/>
        </w:rPr>
        <w:t>The</w:t>
      </w:r>
      <w:r w:rsidR="00523622">
        <w:rPr>
          <w:rFonts w:ascii="Garamond" w:eastAsia="Garamond" w:hAnsi="Garamond" w:cs="Times New Roman"/>
        </w:rPr>
        <w:t xml:space="preserve"> </w:t>
      </w:r>
      <w:r w:rsidR="00066297">
        <w:rPr>
          <w:rFonts w:ascii="Garamond" w:eastAsia="Garamond" w:hAnsi="Garamond" w:cs="Times New Roman"/>
        </w:rPr>
        <w:t>evalu</w:t>
      </w:r>
      <w:r w:rsidR="00F94516">
        <w:rPr>
          <w:rFonts w:ascii="Garamond" w:eastAsia="Garamond" w:hAnsi="Garamond" w:cs="Times New Roman"/>
        </w:rPr>
        <w:t>a</w:t>
      </w:r>
      <w:r w:rsidR="00066297">
        <w:rPr>
          <w:rFonts w:ascii="Garamond" w:eastAsia="Garamond" w:hAnsi="Garamond" w:cs="Times New Roman"/>
        </w:rPr>
        <w:t>tion team</w:t>
      </w:r>
      <w:r w:rsidR="00523622">
        <w:rPr>
          <w:rFonts w:ascii="Garamond" w:eastAsia="Garamond" w:hAnsi="Garamond" w:cs="Times New Roman"/>
        </w:rPr>
        <w:t xml:space="preserve"> received responses f</w:t>
      </w:r>
      <w:r w:rsidR="00066297">
        <w:rPr>
          <w:rFonts w:ascii="Garamond" w:eastAsia="Garamond" w:hAnsi="Garamond" w:cs="Times New Roman"/>
        </w:rPr>
        <w:t xml:space="preserve">rom </w:t>
      </w:r>
      <w:r w:rsidR="00F266EB">
        <w:rPr>
          <w:rFonts w:ascii="Garamond" w:eastAsia="Garamond" w:hAnsi="Garamond" w:cs="Times New Roman"/>
        </w:rPr>
        <w:t>48</w:t>
      </w:r>
      <w:r w:rsidR="00523622">
        <w:rPr>
          <w:rFonts w:ascii="Garamond" w:eastAsia="Garamond" w:hAnsi="Garamond" w:cs="Times New Roman"/>
        </w:rPr>
        <w:t xml:space="preserve"> of the 92 sites that claimed revenue under the Initiative in 2019–20</w:t>
      </w:r>
      <w:r w:rsidR="00066297">
        <w:rPr>
          <w:rFonts w:ascii="Garamond" w:eastAsia="Garamond" w:hAnsi="Garamond" w:cs="Times New Roman"/>
        </w:rPr>
        <w:t>,</w:t>
      </w:r>
      <w:r w:rsidR="00523622">
        <w:rPr>
          <w:rFonts w:ascii="Garamond" w:eastAsia="Garamond" w:hAnsi="Garamond" w:cs="Times New Roman"/>
        </w:rPr>
        <w:t xml:space="preserve"> a response rate of 5</w:t>
      </w:r>
      <w:r w:rsidR="00F266EB">
        <w:rPr>
          <w:rFonts w:ascii="Garamond" w:eastAsia="Garamond" w:hAnsi="Garamond" w:cs="Times New Roman"/>
        </w:rPr>
        <w:t>2</w:t>
      </w:r>
      <w:r w:rsidR="00523622">
        <w:rPr>
          <w:rFonts w:ascii="Garamond" w:eastAsia="Garamond" w:hAnsi="Garamond" w:cs="Times New Roman"/>
        </w:rPr>
        <w:t xml:space="preserve">%. The response rate by jurisdiction is given in </w:t>
      </w:r>
      <w:r w:rsidR="00066297">
        <w:rPr>
          <w:rFonts w:ascii="Garamond" w:eastAsia="Garamond" w:hAnsi="Garamond" w:cs="Times New Roman"/>
        </w:rPr>
        <w:fldChar w:fldCharType="begin"/>
      </w:r>
      <w:r w:rsidR="00066297">
        <w:rPr>
          <w:rFonts w:ascii="Garamond" w:eastAsia="Garamond" w:hAnsi="Garamond" w:cs="Times New Roman"/>
        </w:rPr>
        <w:instrText xml:space="preserve"> REF _Ref75695721 \h </w:instrText>
      </w:r>
      <w:r w:rsidR="00066297">
        <w:rPr>
          <w:rFonts w:ascii="Garamond" w:eastAsia="Garamond" w:hAnsi="Garamond" w:cs="Times New Roman"/>
        </w:rPr>
      </w:r>
      <w:r w:rsidR="00066297">
        <w:rPr>
          <w:rFonts w:ascii="Garamond" w:eastAsia="Garamond" w:hAnsi="Garamond" w:cs="Times New Roman"/>
        </w:rPr>
        <w:fldChar w:fldCharType="separate"/>
      </w:r>
      <w:r w:rsidR="00C50B67">
        <w:t xml:space="preserve">Figure </w:t>
      </w:r>
      <w:r w:rsidR="00C50B67">
        <w:rPr>
          <w:noProof/>
        </w:rPr>
        <w:t>3</w:t>
      </w:r>
      <w:r w:rsidR="00C50B67">
        <w:t>.</w:t>
      </w:r>
      <w:r w:rsidR="00C50B67">
        <w:rPr>
          <w:noProof/>
        </w:rPr>
        <w:t>2</w:t>
      </w:r>
      <w:r w:rsidR="00066297">
        <w:rPr>
          <w:rFonts w:ascii="Garamond" w:eastAsia="Garamond" w:hAnsi="Garamond" w:cs="Times New Roman"/>
        </w:rPr>
        <w:fldChar w:fldCharType="end"/>
      </w:r>
      <w:r w:rsidR="005442B3">
        <w:rPr>
          <w:rFonts w:ascii="Garamond" w:eastAsia="Garamond" w:hAnsi="Garamond" w:cs="Times New Roman"/>
        </w:rPr>
        <w:t>, which ranged from a low of 20% in Queensland to a high of 100% in WA and the NT (NSW had a response rate of 60%).</w:t>
      </w:r>
    </w:p>
    <w:p w14:paraId="6D215131" w14:textId="48CE710D" w:rsidR="00066297" w:rsidRDefault="00066297" w:rsidP="00D22C80">
      <w:pPr>
        <w:rPr>
          <w:rFonts w:ascii="Garamond" w:eastAsia="Garamond" w:hAnsi="Garamond" w:cs="Times New Roman"/>
        </w:rPr>
      </w:pPr>
    </w:p>
    <w:p w14:paraId="32D3DBF6" w14:textId="6F5D540B" w:rsidR="00066297" w:rsidRDefault="00066297" w:rsidP="00D22C80">
      <w:pPr>
        <w:rPr>
          <w:rFonts w:ascii="Garamond" w:eastAsia="Garamond" w:hAnsi="Garamond" w:cs="Times New Roman"/>
        </w:rPr>
      </w:pPr>
    </w:p>
    <w:p w14:paraId="6A6E2C98" w14:textId="765F4840" w:rsidR="00066297" w:rsidRDefault="00066297" w:rsidP="00D22C80">
      <w:pPr>
        <w:rPr>
          <w:rFonts w:ascii="Garamond" w:eastAsia="Garamond" w:hAnsi="Garamond" w:cs="Times New Roman"/>
        </w:rPr>
      </w:pPr>
    </w:p>
    <w:p w14:paraId="4063A467" w14:textId="2897CC88" w:rsidR="00066297" w:rsidRDefault="00066297" w:rsidP="00D22C80">
      <w:pPr>
        <w:rPr>
          <w:rFonts w:ascii="Garamond" w:eastAsia="Garamond" w:hAnsi="Garamond" w:cs="Times New Roman"/>
        </w:rPr>
      </w:pPr>
    </w:p>
    <w:p w14:paraId="628E5020" w14:textId="14D720ED" w:rsidR="00066297" w:rsidRDefault="00066297" w:rsidP="00D22C80">
      <w:pPr>
        <w:rPr>
          <w:rFonts w:ascii="Garamond" w:eastAsia="Garamond" w:hAnsi="Garamond" w:cs="Times New Roman"/>
        </w:rPr>
      </w:pPr>
    </w:p>
    <w:p w14:paraId="1C16F1CE" w14:textId="77777777" w:rsidR="00066297" w:rsidRDefault="00066297" w:rsidP="00D22C80">
      <w:pPr>
        <w:rPr>
          <w:rFonts w:ascii="Garamond" w:eastAsia="Garamond" w:hAnsi="Garamond" w:cs="Times New Roman"/>
        </w:rPr>
      </w:pPr>
    </w:p>
    <w:p w14:paraId="5B6B37A9" w14:textId="744DF983" w:rsidR="005442B3" w:rsidRPr="005442B3" w:rsidRDefault="00523622" w:rsidP="005442B3">
      <w:pPr>
        <w:pStyle w:val="Caption"/>
      </w:pPr>
      <w:bookmarkStart w:id="77" w:name="_Ref75695721"/>
      <w:r>
        <w:t xml:space="preserve">Figure </w:t>
      </w:r>
      <w:r w:rsidR="00A67BE9">
        <w:fldChar w:fldCharType="begin"/>
      </w:r>
      <w:r w:rsidR="00A67BE9">
        <w:instrText xml:space="preserve"> STYLEREF 1 \s </w:instrText>
      </w:r>
      <w:r w:rsidR="00A67BE9">
        <w:fldChar w:fldCharType="separate"/>
      </w:r>
      <w:r w:rsidR="00C50B67">
        <w:rPr>
          <w:noProof/>
        </w:rPr>
        <w:t>3</w:t>
      </w:r>
      <w:r w:rsidR="00A67BE9">
        <w:rPr>
          <w:noProof/>
        </w:rPr>
        <w:fldChar w:fldCharType="end"/>
      </w:r>
      <w:r w:rsidR="00D51D65">
        <w:t>.</w:t>
      </w:r>
      <w:r w:rsidR="00A67BE9">
        <w:fldChar w:fldCharType="begin"/>
      </w:r>
      <w:r w:rsidR="00A67BE9">
        <w:instrText xml:space="preserve"> SEQ Figure \* ARABIC \s 1 </w:instrText>
      </w:r>
      <w:r w:rsidR="00A67BE9">
        <w:fldChar w:fldCharType="separate"/>
      </w:r>
      <w:r w:rsidR="00C50B67">
        <w:rPr>
          <w:noProof/>
        </w:rPr>
        <w:t>2</w:t>
      </w:r>
      <w:r w:rsidR="00A67BE9">
        <w:rPr>
          <w:noProof/>
        </w:rPr>
        <w:fldChar w:fldCharType="end"/>
      </w:r>
      <w:bookmarkEnd w:id="77"/>
      <w:r>
        <w:t xml:space="preserve">: </w:t>
      </w:r>
      <w:r w:rsidR="005442B3" w:rsidRPr="0074175D">
        <w:rPr>
          <w:rStyle w:val="Caption-notboldChar"/>
        </w:rPr>
        <w:t>Survey of participating site</w:t>
      </w:r>
      <w:r w:rsidR="0074175D">
        <w:rPr>
          <w:rStyle w:val="Caption-notboldChar"/>
        </w:rPr>
        <w:t>s</w:t>
      </w:r>
      <w:r w:rsidR="005442B3" w:rsidRPr="0074175D">
        <w:rPr>
          <w:rStyle w:val="Caption-notboldChar"/>
        </w:rPr>
        <w:t xml:space="preserve"> - response rate by jurisdiction (black, n=92) and jurisdictional makeup of survey respondents (yellow, n=48)</w:t>
      </w:r>
    </w:p>
    <w:p w14:paraId="61703FCB" w14:textId="1FBE16A4" w:rsidR="00501A11" w:rsidRPr="00501A11" w:rsidRDefault="005442B3" w:rsidP="00501A11">
      <w:r>
        <w:rPr>
          <w:noProof/>
        </w:rPr>
        <w:drawing>
          <wp:inline distT="0" distB="0" distL="0" distR="0" wp14:anchorId="4774D4BF" wp14:editId="5121FB9A">
            <wp:extent cx="4285615" cy="242062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5615" cy="2420620"/>
                    </a:xfrm>
                    <a:prstGeom prst="rect">
                      <a:avLst/>
                    </a:prstGeom>
                    <a:noFill/>
                  </pic:spPr>
                </pic:pic>
              </a:graphicData>
            </a:graphic>
          </wp:inline>
        </w:drawing>
      </w:r>
    </w:p>
    <w:p w14:paraId="736720B5" w14:textId="42D46D5D" w:rsidR="00D71088" w:rsidRDefault="00D71088" w:rsidP="00CE6A82"/>
    <w:p w14:paraId="220DB7AA" w14:textId="77777777" w:rsidR="00B065F6" w:rsidRDefault="00B065F6" w:rsidP="00CE6A82">
      <w:pPr>
        <w:sectPr w:rsidR="00B065F6" w:rsidSect="00D71088">
          <w:pgSz w:w="16838" w:h="11906" w:orient="landscape" w:code="9"/>
          <w:pgMar w:top="737" w:right="1304" w:bottom="1134" w:left="737" w:header="567" w:footer="284" w:gutter="0"/>
          <w:cols w:num="2" w:space="708"/>
          <w:docGrid w:linePitch="360"/>
        </w:sectPr>
      </w:pPr>
    </w:p>
    <w:p w14:paraId="6A74622C" w14:textId="76AFD14B" w:rsidR="00D71088" w:rsidRDefault="00A928C2" w:rsidP="00B065F6">
      <w:pPr>
        <w:pStyle w:val="DividerPageTitle"/>
        <w:framePr w:wrap="around"/>
      </w:pPr>
      <w:bookmarkStart w:id="78" w:name="_Toc85203286"/>
      <w:r>
        <w:lastRenderedPageBreak/>
        <w:t xml:space="preserve">Evaluation </w:t>
      </w:r>
      <w:r w:rsidR="00B065F6">
        <w:t xml:space="preserve">Findings &amp; </w:t>
      </w:r>
      <w:r w:rsidR="004A2B9B">
        <w:t>way forward</w:t>
      </w:r>
      <w:bookmarkEnd w:id="78"/>
    </w:p>
    <w:p w14:paraId="037E951E" w14:textId="77777777" w:rsidR="00D71088" w:rsidRDefault="00D71088" w:rsidP="00CE6A82"/>
    <w:p w14:paraId="04A205C4" w14:textId="31E5FC3A" w:rsidR="00D71088" w:rsidRDefault="00D71088" w:rsidP="00CE6A82">
      <w:pPr>
        <w:sectPr w:rsidR="00D71088" w:rsidSect="00D71088">
          <w:pgSz w:w="16838" w:h="11906" w:orient="landscape" w:code="9"/>
          <w:pgMar w:top="737" w:right="1304" w:bottom="1134" w:left="737" w:header="567" w:footer="284" w:gutter="0"/>
          <w:cols w:num="2" w:space="708"/>
          <w:docGrid w:linePitch="360"/>
        </w:sectPr>
      </w:pPr>
    </w:p>
    <w:p w14:paraId="172FE649" w14:textId="0BB7FB6E" w:rsidR="00467F42" w:rsidRDefault="00DE5CEB" w:rsidP="00467F42">
      <w:pPr>
        <w:pStyle w:val="Heading1"/>
        <w:framePr w:wrap="around"/>
      </w:pPr>
      <w:bookmarkStart w:id="79" w:name="_Toc85203287"/>
      <w:r>
        <w:lastRenderedPageBreak/>
        <w:t>E</w:t>
      </w:r>
      <w:r w:rsidR="00467F42">
        <w:t>valuation findings</w:t>
      </w:r>
      <w:bookmarkEnd w:id="79"/>
    </w:p>
    <w:p w14:paraId="65D9B2BF" w14:textId="4E79CEEC" w:rsidR="00A129DB" w:rsidRDefault="00A129DB" w:rsidP="00287002">
      <w:r>
        <w:t xml:space="preserve">In this chapter we provide our </w:t>
      </w:r>
      <w:r w:rsidR="00E716AD">
        <w:t xml:space="preserve">evaluation </w:t>
      </w:r>
      <w:r>
        <w:t>observations and findings.</w:t>
      </w:r>
      <w:r w:rsidR="00655B63">
        <w:t xml:space="preserve"> The evaluation analysis addresses the key evaluation questions specified in the project RFQ and incorporates three broad areas of examination: effectiveness</w:t>
      </w:r>
      <w:r w:rsidR="00D626D0">
        <w:t>, program administration, and appropriateness.</w:t>
      </w:r>
    </w:p>
    <w:p w14:paraId="2801C92E" w14:textId="768F665A" w:rsidR="00A129DB" w:rsidRDefault="00F73AD6" w:rsidP="002644BC">
      <w:pPr>
        <w:pStyle w:val="SectionTitle"/>
        <w:numPr>
          <w:ilvl w:val="0"/>
          <w:numId w:val="0"/>
        </w:numPr>
        <w:spacing w:before="480"/>
      </w:pPr>
      <w:bookmarkStart w:id="80" w:name="_Toc85203288"/>
      <w:r>
        <w:t>Section A:</w:t>
      </w:r>
      <w:r>
        <w:tab/>
      </w:r>
      <w:r w:rsidR="009801C1">
        <w:t>Effectiv</w:t>
      </w:r>
      <w:r w:rsidR="00BD167F">
        <w:t>e</w:t>
      </w:r>
      <w:r w:rsidR="009801C1">
        <w:t>ness</w:t>
      </w:r>
      <w:r w:rsidR="002644BC">
        <w:t xml:space="preserve"> assessment</w:t>
      </w:r>
      <w:bookmarkEnd w:id="80"/>
    </w:p>
    <w:p w14:paraId="59265578" w14:textId="7242C492" w:rsidR="00976C5C" w:rsidRPr="00976C5C" w:rsidRDefault="00976C5C" w:rsidP="00976C5C">
      <w:pPr>
        <w:pStyle w:val="BodyCopy"/>
      </w:pPr>
      <w:r>
        <w:t>Our evaluative assessment of the Initiative’s effectiveness examin</w:t>
      </w:r>
      <w:r w:rsidR="009F6C23">
        <w:t>e</w:t>
      </w:r>
      <w:r w:rsidR="002644BC">
        <w:t>d</w:t>
      </w:r>
      <w:r>
        <w:t xml:space="preserve"> the impact of the program on the objectives specified in the MOU – increasing access to primary care</w:t>
      </w:r>
      <w:r w:rsidR="002644BC">
        <w:t>, access to a relevant healthcare workforce, and development of sustainable health services. We examine the Initiative’s achievement in each area in this section.</w:t>
      </w:r>
    </w:p>
    <w:p w14:paraId="21C67CD9" w14:textId="4BDFFB9E" w:rsidR="00BD167F" w:rsidRPr="00BD167F" w:rsidRDefault="00BD167F" w:rsidP="002644BC">
      <w:pPr>
        <w:pStyle w:val="Heading2"/>
        <w:spacing w:before="240"/>
      </w:pPr>
      <w:bookmarkStart w:id="81" w:name="_Toc85203289"/>
      <w:r>
        <w:t xml:space="preserve">Access to </w:t>
      </w:r>
      <w:r w:rsidR="00EE4319">
        <w:t>p</w:t>
      </w:r>
      <w:r>
        <w:t xml:space="preserve">rimary </w:t>
      </w:r>
      <w:r w:rsidR="00EE4319">
        <w:t>c</w:t>
      </w:r>
      <w:r>
        <w:t>are</w:t>
      </w:r>
      <w:bookmarkEnd w:id="81"/>
    </w:p>
    <w:p w14:paraId="0203CE7B" w14:textId="711FC549" w:rsidR="00E15F8B" w:rsidRPr="002961F9" w:rsidRDefault="002B14D8" w:rsidP="00B94B37">
      <w:r>
        <w:t>At an aggregate MBS claims level</w:t>
      </w:r>
      <w:r w:rsidR="0011359A">
        <w:t xml:space="preserve">, </w:t>
      </w:r>
      <w:r>
        <w:t xml:space="preserve">the MBS </w:t>
      </w:r>
      <w:r w:rsidR="004B16F0">
        <w:t>payments for</w:t>
      </w:r>
      <w:r>
        <w:t xml:space="preserve"> doctor</w:t>
      </w:r>
      <w:r w:rsidR="00BD52B2">
        <w:t>-</w:t>
      </w:r>
      <w:r w:rsidR="00583906">
        <w:t>related</w:t>
      </w:r>
      <w:r w:rsidR="004B16F0">
        <w:t xml:space="preserve"> MBS</w:t>
      </w:r>
      <w:r w:rsidR="00583906">
        <w:t xml:space="preserve"> billings</w:t>
      </w:r>
      <w:r w:rsidR="00F23C7F">
        <w:t xml:space="preserve"> by participating site</w:t>
      </w:r>
      <w:r w:rsidR="00F66DEB">
        <w:t xml:space="preserve">s had a total </w:t>
      </w:r>
      <w:r w:rsidR="004B16F0" w:rsidRPr="002961F9">
        <w:t>value of $</w:t>
      </w:r>
      <w:r w:rsidR="00116BC8" w:rsidRPr="002961F9">
        <w:t>13.6</w:t>
      </w:r>
      <w:r w:rsidR="00F97F43">
        <w:t xml:space="preserve"> </w:t>
      </w:r>
      <w:r w:rsidR="00116BC8" w:rsidRPr="002961F9">
        <w:t>m</w:t>
      </w:r>
      <w:r w:rsidR="004B16F0" w:rsidRPr="002961F9">
        <w:t xml:space="preserve"> in 2019</w:t>
      </w:r>
      <w:r w:rsidR="00EE4DD7">
        <w:t>–</w:t>
      </w:r>
      <w:r w:rsidR="004B16F0" w:rsidRPr="002961F9">
        <w:t>20.</w:t>
      </w:r>
      <w:r w:rsidR="005B758D">
        <w:t xml:space="preserve"> </w:t>
      </w:r>
      <w:r w:rsidR="00EE4DD7" w:rsidRPr="00EE4DD7">
        <w:fldChar w:fldCharType="begin"/>
      </w:r>
      <w:r w:rsidR="00EE4DD7" w:rsidRPr="00EE4DD7">
        <w:instrText xml:space="preserve"> REF _Ref76114011 \h  \* MERGEFORMAT </w:instrText>
      </w:r>
      <w:r w:rsidR="00EE4DD7" w:rsidRPr="00EE4DD7">
        <w:fldChar w:fldCharType="separate"/>
      </w:r>
      <w:r w:rsidR="00C50B67" w:rsidRPr="00C50B67">
        <w:rPr>
          <w:iCs/>
        </w:rPr>
        <w:t xml:space="preserve">Table </w:t>
      </w:r>
      <w:r w:rsidR="00C50B67" w:rsidRPr="00C50B67">
        <w:rPr>
          <w:iCs/>
          <w:noProof/>
        </w:rPr>
        <w:t>4.1</w:t>
      </w:r>
      <w:r w:rsidR="00EE4DD7" w:rsidRPr="00EE4DD7">
        <w:fldChar w:fldCharType="end"/>
      </w:r>
      <w:r w:rsidR="00E15F8B" w:rsidRPr="00EE4DD7">
        <w:t xml:space="preserve"> </w:t>
      </w:r>
      <w:r w:rsidR="002961F9" w:rsidRPr="002961F9">
        <w:t xml:space="preserve">(see next page) </w:t>
      </w:r>
      <w:r w:rsidR="00E15F8B" w:rsidRPr="002961F9">
        <w:t>shows t</w:t>
      </w:r>
      <w:r w:rsidR="00F23C7F" w:rsidRPr="002961F9">
        <w:t xml:space="preserve">he largest </w:t>
      </w:r>
      <w:r w:rsidR="00665AAC" w:rsidRPr="002961F9">
        <w:t>catego</w:t>
      </w:r>
      <w:r w:rsidR="00E15F8B" w:rsidRPr="002961F9">
        <w:t>ries of MBS billing were for primary medical care delivered by doctors</w:t>
      </w:r>
      <w:r w:rsidR="000C2992" w:rsidRPr="002961F9">
        <w:t xml:space="preserve"> via</w:t>
      </w:r>
      <w:r w:rsidR="002961F9" w:rsidRPr="002961F9">
        <w:t xml:space="preserve"> commonly billed</w:t>
      </w:r>
      <w:r w:rsidR="000C2992" w:rsidRPr="002961F9">
        <w:t xml:space="preserve"> time</w:t>
      </w:r>
      <w:r w:rsidR="00F6479E" w:rsidRPr="002961F9">
        <w:t>-</w:t>
      </w:r>
      <w:r w:rsidR="000C2992" w:rsidRPr="002961F9">
        <w:t>ba</w:t>
      </w:r>
      <w:r w:rsidR="004B16F0" w:rsidRPr="002961F9">
        <w:t>s</w:t>
      </w:r>
      <w:r w:rsidR="000C2992" w:rsidRPr="002961F9">
        <w:t>ed items</w:t>
      </w:r>
      <w:r w:rsidR="00E15F8B" w:rsidRPr="002961F9">
        <w:t>:</w:t>
      </w:r>
    </w:p>
    <w:p w14:paraId="26433DD7" w14:textId="0B9E9D09" w:rsidR="001A04AE" w:rsidRPr="002961F9" w:rsidRDefault="00E15F8B" w:rsidP="00E15F8B">
      <w:pPr>
        <w:pStyle w:val="ListBullet"/>
      </w:pPr>
      <w:r w:rsidRPr="002961F9">
        <w:t>Non</w:t>
      </w:r>
      <w:r w:rsidR="00EE4DD7">
        <w:t>-</w:t>
      </w:r>
      <w:r w:rsidRPr="002961F9">
        <w:t>referred attendances</w:t>
      </w:r>
      <w:r w:rsidR="000C2992" w:rsidRPr="002961F9">
        <w:t xml:space="preserve"> (including items 3, 23, 36 and 44) – </w:t>
      </w:r>
      <w:r w:rsidRPr="002961F9">
        <w:t>$</w:t>
      </w:r>
      <w:r w:rsidR="00116BC8" w:rsidRPr="002961F9">
        <w:t>6.7</w:t>
      </w:r>
      <w:r w:rsidRPr="002961F9">
        <w:t xml:space="preserve"> m </w:t>
      </w:r>
      <w:r w:rsidR="006B1683" w:rsidRPr="002961F9">
        <w:t>in</w:t>
      </w:r>
      <w:r w:rsidRPr="002961F9">
        <w:t xml:space="preserve"> payments</w:t>
      </w:r>
      <w:r w:rsidR="00116BC8" w:rsidRPr="002961F9">
        <w:t xml:space="preserve"> (49</w:t>
      </w:r>
      <w:r w:rsidR="006B1683" w:rsidRPr="002961F9">
        <w:t xml:space="preserve">.0 % </w:t>
      </w:r>
      <w:r w:rsidR="00116BC8" w:rsidRPr="002961F9">
        <w:t>of the total)</w:t>
      </w:r>
      <w:r w:rsidR="002961F9">
        <w:t xml:space="preserve"> with a median payment of </w:t>
      </w:r>
      <w:r w:rsidRPr="002961F9">
        <w:t>$</w:t>
      </w:r>
      <w:r w:rsidR="00116BC8" w:rsidRPr="002961F9">
        <w:t>19,955</w:t>
      </w:r>
      <w:r w:rsidRPr="002961F9">
        <w:t xml:space="preserve"> per service, and</w:t>
      </w:r>
    </w:p>
    <w:p w14:paraId="48C80097" w14:textId="36BB274F" w:rsidR="00E15F8B" w:rsidRPr="002961F9" w:rsidRDefault="00E15F8B" w:rsidP="00E15F8B">
      <w:pPr>
        <w:pStyle w:val="ListBullet"/>
      </w:pPr>
      <w:r w:rsidRPr="002961F9">
        <w:t>After</w:t>
      </w:r>
      <w:r w:rsidR="00EE4DD7">
        <w:t>-</w:t>
      </w:r>
      <w:r w:rsidRPr="002961F9">
        <w:t>hours non-referred attendances</w:t>
      </w:r>
      <w:r w:rsidR="000C2992" w:rsidRPr="002961F9">
        <w:t xml:space="preserve"> (including items 5000, 5020, 5040 and 5060) – $</w:t>
      </w:r>
      <w:r w:rsidR="00116BC8" w:rsidRPr="002961F9">
        <w:t>3.6</w:t>
      </w:r>
      <w:r w:rsidR="00F97F43">
        <w:t xml:space="preserve"> </w:t>
      </w:r>
      <w:r w:rsidR="000C2992" w:rsidRPr="002961F9">
        <w:t>m</w:t>
      </w:r>
      <w:r w:rsidR="002A68CC">
        <w:t xml:space="preserve"> in</w:t>
      </w:r>
      <w:r w:rsidR="000C2992" w:rsidRPr="002961F9">
        <w:t xml:space="preserve"> payments</w:t>
      </w:r>
      <w:r w:rsidR="00116BC8" w:rsidRPr="002961F9">
        <w:t xml:space="preserve"> (26.3% of the total)</w:t>
      </w:r>
      <w:r w:rsidR="002961F9">
        <w:t xml:space="preserve"> with a median payment of</w:t>
      </w:r>
      <w:r w:rsidR="000C2992" w:rsidRPr="002961F9">
        <w:t xml:space="preserve"> $</w:t>
      </w:r>
      <w:r w:rsidR="00116BC8" w:rsidRPr="002961F9">
        <w:t>19,515</w:t>
      </w:r>
      <w:r w:rsidR="000C2992" w:rsidRPr="002961F9">
        <w:t xml:space="preserve"> per service</w:t>
      </w:r>
      <w:r w:rsidR="002961F9">
        <w:t>.</w:t>
      </w:r>
    </w:p>
    <w:p w14:paraId="67975EF2" w14:textId="0F50D4C8" w:rsidR="000C2992" w:rsidRPr="002961F9" w:rsidRDefault="000C2992" w:rsidP="00E15F8B">
      <w:r w:rsidRPr="002961F9">
        <w:t xml:space="preserve">Review of operational plans at case study sites </w:t>
      </w:r>
      <w:r w:rsidR="001638F2">
        <w:t>show</w:t>
      </w:r>
      <w:r w:rsidR="00F266EB">
        <w:t xml:space="preserve">s </w:t>
      </w:r>
      <w:r w:rsidRPr="002961F9">
        <w:t xml:space="preserve">the bulk of these consultations </w:t>
      </w:r>
      <w:r w:rsidR="00254FE8" w:rsidRPr="002961F9">
        <w:t>were</w:t>
      </w:r>
      <w:r w:rsidRPr="002961F9">
        <w:t xml:space="preserve"> for urgent </w:t>
      </w:r>
      <w:r w:rsidR="00254FE8" w:rsidRPr="002961F9">
        <w:t xml:space="preserve">and/or emergency </w:t>
      </w:r>
      <w:r w:rsidRPr="002961F9">
        <w:t>medical care</w:t>
      </w:r>
      <w:r w:rsidR="001638F2">
        <w:t>.</w:t>
      </w:r>
    </w:p>
    <w:p w14:paraId="225DC660" w14:textId="53B6F188" w:rsidR="006B1683" w:rsidRPr="002961F9" w:rsidRDefault="00EE4DD7" w:rsidP="00E15F8B">
      <w:r w:rsidRPr="00EE4DD7">
        <w:fldChar w:fldCharType="begin"/>
      </w:r>
      <w:r w:rsidRPr="00EE4DD7">
        <w:instrText xml:space="preserve"> REF _Ref76114011 \h  \* MERGEFORMAT </w:instrText>
      </w:r>
      <w:r w:rsidRPr="00EE4DD7">
        <w:fldChar w:fldCharType="separate"/>
      </w:r>
      <w:r w:rsidR="00C50B67" w:rsidRPr="00C50B67">
        <w:rPr>
          <w:iCs/>
        </w:rPr>
        <w:t xml:space="preserve">Table </w:t>
      </w:r>
      <w:r w:rsidR="00C50B67" w:rsidRPr="00C50B67">
        <w:rPr>
          <w:iCs/>
          <w:noProof/>
        </w:rPr>
        <w:t>4.1</w:t>
      </w:r>
      <w:r w:rsidRPr="00EE4DD7">
        <w:fldChar w:fldCharType="end"/>
      </w:r>
      <w:r w:rsidR="000C2992" w:rsidRPr="00EE4DD7">
        <w:t xml:space="preserve"> </w:t>
      </w:r>
      <w:r w:rsidR="00F266EB">
        <w:t>indicates</w:t>
      </w:r>
      <w:r w:rsidR="000C2992" w:rsidRPr="002961F9">
        <w:t xml:space="preserve"> that much smaller proportions of payments were for</w:t>
      </w:r>
      <w:r w:rsidR="006B1683" w:rsidRPr="002961F9">
        <w:t>:</w:t>
      </w:r>
    </w:p>
    <w:p w14:paraId="0006AEC8" w14:textId="42D85D83" w:rsidR="006B1683" w:rsidRPr="002961F9" w:rsidRDefault="000C2992" w:rsidP="006B1683">
      <w:pPr>
        <w:pStyle w:val="ListBullet"/>
      </w:pPr>
      <w:r w:rsidRPr="002961F9">
        <w:t>care related to</w:t>
      </w:r>
      <w:r w:rsidR="00116BC8" w:rsidRPr="002961F9">
        <w:t xml:space="preserve"> assessment, including disease management, and items for other primary care professional</w:t>
      </w:r>
      <w:r w:rsidR="006B1683" w:rsidRPr="002961F9">
        <w:t>s</w:t>
      </w:r>
      <w:r w:rsidR="00116BC8" w:rsidRPr="002961F9">
        <w:t xml:space="preserve"> such as nurse practitioners, and allied health</w:t>
      </w:r>
      <w:r w:rsidR="006C12FB" w:rsidRPr="002961F9">
        <w:t xml:space="preserve"> </w:t>
      </w:r>
      <w:r w:rsidR="00116BC8" w:rsidRPr="002961F9">
        <w:t>professionals</w:t>
      </w:r>
      <w:r w:rsidR="006B1683" w:rsidRPr="002961F9">
        <w:t xml:space="preserve"> –</w:t>
      </w:r>
      <w:r w:rsidR="00116BC8" w:rsidRPr="002961F9">
        <w:t xml:space="preserve"> </w:t>
      </w:r>
      <w:r w:rsidR="006B1683" w:rsidRPr="002961F9">
        <w:t>$0.5</w:t>
      </w:r>
      <w:r w:rsidR="00F97F43">
        <w:t xml:space="preserve"> </w:t>
      </w:r>
      <w:r w:rsidR="006B1683" w:rsidRPr="002961F9">
        <w:t xml:space="preserve">m </w:t>
      </w:r>
      <w:r w:rsidRPr="002961F9">
        <w:t>(</w:t>
      </w:r>
      <w:r w:rsidR="006B1683" w:rsidRPr="002961F9">
        <w:t>4.1%</w:t>
      </w:r>
      <w:r w:rsidRPr="002961F9">
        <w:t xml:space="preserve"> per cent of the total)</w:t>
      </w:r>
      <w:r w:rsidR="006C12FB" w:rsidRPr="002961F9">
        <w:t>; median payment per service was $0 (72 of the 92 sites had no claims for these items),</w:t>
      </w:r>
      <w:r w:rsidRPr="002961F9">
        <w:t xml:space="preserve"> and</w:t>
      </w:r>
    </w:p>
    <w:p w14:paraId="3D84111B" w14:textId="15193979" w:rsidR="00E514A2" w:rsidRPr="002961F9" w:rsidRDefault="000C2992" w:rsidP="006B1683">
      <w:pPr>
        <w:pStyle w:val="ListBullet"/>
      </w:pPr>
      <w:r w:rsidRPr="002961F9">
        <w:t>‘other items’</w:t>
      </w:r>
      <w:r w:rsidR="00E514A2" w:rsidRPr="002961F9">
        <w:t xml:space="preserve"> (including pathology, diagnostics, obstetrics)</w:t>
      </w:r>
      <w:r w:rsidR="006C12FB" w:rsidRPr="002961F9">
        <w:t xml:space="preserve"> – $2.7</w:t>
      </w:r>
      <w:r w:rsidR="00F97F43">
        <w:t xml:space="preserve"> </w:t>
      </w:r>
      <w:r w:rsidR="006C12FB" w:rsidRPr="002961F9">
        <w:t>m of the total; median payment per service was $4,503.</w:t>
      </w:r>
    </w:p>
    <w:p w14:paraId="1E81BF0F" w14:textId="77777777" w:rsidR="006C12FB" w:rsidRPr="002961F9" w:rsidRDefault="000C2992" w:rsidP="00E15F8B">
      <w:r w:rsidRPr="002961F9">
        <w:t xml:space="preserve">Analysis of this mix of MBS categories </w:t>
      </w:r>
      <w:r w:rsidR="006C12FB" w:rsidRPr="002961F9">
        <w:t>showed a high degree of variability. For example, there was:</w:t>
      </w:r>
    </w:p>
    <w:p w14:paraId="5B5E586E" w14:textId="517F8CA8" w:rsidR="006C12FB" w:rsidRPr="002961F9" w:rsidRDefault="00A054BB" w:rsidP="006C12FB">
      <w:pPr>
        <w:pStyle w:val="ListBullet"/>
      </w:pPr>
      <w:r w:rsidRPr="002961F9">
        <w:t>g</w:t>
      </w:r>
      <w:r w:rsidR="006C12FB" w:rsidRPr="002961F9">
        <w:t>reater use of the after</w:t>
      </w:r>
      <w:r w:rsidR="002961F9">
        <w:t>-</w:t>
      </w:r>
      <w:r w:rsidR="006C12FB" w:rsidRPr="002961F9">
        <w:t>hours items in NSW (60.1% of jurisdiction claims), but less use of the assessment and other professional items (0.6% of jurisdiction claims)</w:t>
      </w:r>
    </w:p>
    <w:p w14:paraId="634DB9A1" w14:textId="0C855581" w:rsidR="006C12FB" w:rsidRDefault="006C12FB" w:rsidP="006C12FB">
      <w:pPr>
        <w:pStyle w:val="ListBullet"/>
      </w:pPr>
      <w:r w:rsidRPr="002961F9">
        <w:t>WA sites made the least use of the after</w:t>
      </w:r>
      <w:r w:rsidR="00A054BB" w:rsidRPr="002961F9">
        <w:t>-</w:t>
      </w:r>
      <w:r w:rsidRPr="002961F9">
        <w:t>hours items (</w:t>
      </w:r>
      <w:r w:rsidR="00A054BB" w:rsidRPr="002961F9">
        <w:t>13% of jurisdiction claims</w:t>
      </w:r>
      <w:r w:rsidR="00F44E72">
        <w:t>)</w:t>
      </w:r>
    </w:p>
    <w:p w14:paraId="1D8C7EDD" w14:textId="6477C947" w:rsidR="00F44E72" w:rsidRPr="002961F9" w:rsidRDefault="00F44E72" w:rsidP="006C12FB">
      <w:pPr>
        <w:pStyle w:val="ListBullet"/>
      </w:pPr>
      <w:r w:rsidRPr="002961F9">
        <w:t xml:space="preserve">the most extensive use of assessment and other professional items </w:t>
      </w:r>
      <w:r>
        <w:t xml:space="preserve">was </w:t>
      </w:r>
      <w:r w:rsidRPr="002961F9">
        <w:t>in the NT (</w:t>
      </w:r>
      <w:r w:rsidR="00887724">
        <w:t>9.3</w:t>
      </w:r>
      <w:r w:rsidRPr="002961F9">
        <w:t>% of jurisdiction claims),</w:t>
      </w:r>
      <w:r>
        <w:t xml:space="preserve"> and</w:t>
      </w:r>
    </w:p>
    <w:p w14:paraId="1852AF72" w14:textId="04632643" w:rsidR="00A054BB" w:rsidRPr="002961F9" w:rsidRDefault="00A054BB" w:rsidP="006C12FB">
      <w:pPr>
        <w:pStyle w:val="ListBullet"/>
      </w:pPr>
      <w:r w:rsidRPr="002961F9">
        <w:t>billing for</w:t>
      </w:r>
      <w:r w:rsidR="00F44E72">
        <w:t xml:space="preserve"> some specialist items was typically </w:t>
      </w:r>
      <w:r w:rsidR="00CF3741">
        <w:t>‘</w:t>
      </w:r>
      <w:r w:rsidR="00F44E72">
        <w:t>lumpy</w:t>
      </w:r>
      <w:r w:rsidR="00CF3741">
        <w:t>’</w:t>
      </w:r>
      <w:r w:rsidR="00F44E72">
        <w:t xml:space="preserve"> across jurisdictions, e.g. </w:t>
      </w:r>
      <w:r w:rsidRPr="002961F9">
        <w:t xml:space="preserve">diagnostic imaging </w:t>
      </w:r>
      <w:r w:rsidR="00F44E72">
        <w:t xml:space="preserve">billing occurred </w:t>
      </w:r>
      <w:r w:rsidRPr="002961F9">
        <w:t xml:space="preserve">at </w:t>
      </w:r>
      <w:r w:rsidR="00EE4DD7">
        <w:t>seven</w:t>
      </w:r>
      <w:r w:rsidRPr="002961F9">
        <w:t xml:space="preserve"> WA sites, which represented 95.4% of the $0.840</w:t>
      </w:r>
      <w:r w:rsidR="00F97F43">
        <w:t xml:space="preserve"> </w:t>
      </w:r>
      <w:r w:rsidRPr="002961F9">
        <w:t>m claimed for these items across all jurisdictions.</w:t>
      </w:r>
    </w:p>
    <w:p w14:paraId="47D97B6A" w14:textId="5A7A7454" w:rsidR="009074B6" w:rsidRDefault="001638F2" w:rsidP="00E15F8B">
      <w:pPr>
        <w:sectPr w:rsidR="009074B6" w:rsidSect="00B42E64">
          <w:type w:val="continuous"/>
          <w:pgSz w:w="16838" w:h="11906" w:orient="landscape" w:code="9"/>
          <w:pgMar w:top="737" w:right="1304" w:bottom="1134" w:left="737" w:header="567" w:footer="284" w:gutter="0"/>
          <w:cols w:num="2" w:space="708"/>
          <w:docGrid w:linePitch="360"/>
        </w:sectPr>
      </w:pPr>
      <w:r>
        <w:t>J</w:t>
      </w:r>
      <w:r w:rsidR="000C2992" w:rsidRPr="002961F9">
        <w:t>urisdiction</w:t>
      </w:r>
      <w:r w:rsidR="00D626D0">
        <w:t>-</w:t>
      </w:r>
      <w:r w:rsidR="000C2992" w:rsidRPr="002961F9">
        <w:t xml:space="preserve">based </w:t>
      </w:r>
      <w:r w:rsidR="00E74DBB" w:rsidRPr="002961F9">
        <w:t>summaries of MBS benefits paid</w:t>
      </w:r>
      <w:r>
        <w:t xml:space="preserve"> under the Initiative are at Appendix </w:t>
      </w:r>
      <w:r w:rsidR="00D626D0">
        <w:t>F</w:t>
      </w:r>
      <w:r w:rsidR="00116BC8" w:rsidRPr="002961F9">
        <w:t>.</w:t>
      </w:r>
      <w:r w:rsidR="002533C1">
        <w:t xml:space="preserve"> </w:t>
      </w:r>
    </w:p>
    <w:p w14:paraId="4EBD137E" w14:textId="2A74FFB6" w:rsidR="00116BC8" w:rsidRPr="00116BC8" w:rsidRDefault="00116BC8" w:rsidP="00116BC8">
      <w:pPr>
        <w:keepNext/>
        <w:spacing w:before="240" w:after="80"/>
        <w:jc w:val="center"/>
        <w:rPr>
          <w:rFonts w:ascii="Franklin Gothic Demi" w:hAnsi="Franklin Gothic Demi"/>
          <w:iCs/>
          <w:sz w:val="17"/>
          <w:szCs w:val="18"/>
        </w:rPr>
      </w:pPr>
      <w:bookmarkStart w:id="82" w:name="_Ref76114011"/>
      <w:bookmarkStart w:id="83" w:name="_Hlk72909132"/>
      <w:r w:rsidRPr="00116BC8">
        <w:rPr>
          <w:rFonts w:ascii="Franklin Gothic Demi" w:hAnsi="Franklin Gothic Demi"/>
          <w:iCs/>
          <w:sz w:val="17"/>
          <w:szCs w:val="18"/>
        </w:rPr>
        <w:lastRenderedPageBreak/>
        <w:t xml:space="preserve">Table </w:t>
      </w:r>
      <w:r w:rsidR="0055333A">
        <w:rPr>
          <w:rFonts w:ascii="Franklin Gothic Demi" w:hAnsi="Franklin Gothic Demi"/>
          <w:iCs/>
          <w:sz w:val="17"/>
          <w:szCs w:val="18"/>
        </w:rPr>
        <w:fldChar w:fldCharType="begin"/>
      </w:r>
      <w:r w:rsidR="0055333A">
        <w:rPr>
          <w:rFonts w:ascii="Franklin Gothic Demi" w:hAnsi="Franklin Gothic Demi"/>
          <w:iCs/>
          <w:sz w:val="17"/>
          <w:szCs w:val="18"/>
        </w:rPr>
        <w:instrText xml:space="preserve"> STYLEREF 1 \s </w:instrText>
      </w:r>
      <w:r w:rsidR="0055333A">
        <w:rPr>
          <w:rFonts w:ascii="Franklin Gothic Demi" w:hAnsi="Franklin Gothic Demi"/>
          <w:iCs/>
          <w:sz w:val="17"/>
          <w:szCs w:val="18"/>
        </w:rPr>
        <w:fldChar w:fldCharType="separate"/>
      </w:r>
      <w:r w:rsidR="00C50B67">
        <w:rPr>
          <w:rFonts w:ascii="Franklin Gothic Demi" w:hAnsi="Franklin Gothic Demi"/>
          <w:iCs/>
          <w:noProof/>
          <w:sz w:val="17"/>
          <w:szCs w:val="18"/>
        </w:rPr>
        <w:t>4</w:t>
      </w:r>
      <w:r w:rsidR="0055333A">
        <w:rPr>
          <w:rFonts w:ascii="Franklin Gothic Demi" w:hAnsi="Franklin Gothic Demi"/>
          <w:iCs/>
          <w:sz w:val="17"/>
          <w:szCs w:val="18"/>
        </w:rPr>
        <w:fldChar w:fldCharType="end"/>
      </w:r>
      <w:r w:rsidR="0055333A">
        <w:rPr>
          <w:rFonts w:ascii="Franklin Gothic Demi" w:hAnsi="Franklin Gothic Demi"/>
          <w:iCs/>
          <w:sz w:val="17"/>
          <w:szCs w:val="18"/>
        </w:rPr>
        <w:t>.</w:t>
      </w:r>
      <w:r w:rsidR="0055333A">
        <w:rPr>
          <w:rFonts w:ascii="Franklin Gothic Demi" w:hAnsi="Franklin Gothic Demi"/>
          <w:iCs/>
          <w:sz w:val="17"/>
          <w:szCs w:val="18"/>
        </w:rPr>
        <w:fldChar w:fldCharType="begin"/>
      </w:r>
      <w:r w:rsidR="0055333A">
        <w:rPr>
          <w:rFonts w:ascii="Franklin Gothic Demi" w:hAnsi="Franklin Gothic Demi"/>
          <w:iCs/>
          <w:sz w:val="17"/>
          <w:szCs w:val="18"/>
        </w:rPr>
        <w:instrText xml:space="preserve"> SEQ Table \* ARABIC \s 1 </w:instrText>
      </w:r>
      <w:r w:rsidR="0055333A">
        <w:rPr>
          <w:rFonts w:ascii="Franklin Gothic Demi" w:hAnsi="Franklin Gothic Demi"/>
          <w:iCs/>
          <w:sz w:val="17"/>
          <w:szCs w:val="18"/>
        </w:rPr>
        <w:fldChar w:fldCharType="separate"/>
      </w:r>
      <w:r w:rsidR="00C50B67">
        <w:rPr>
          <w:rFonts w:ascii="Franklin Gothic Demi" w:hAnsi="Franklin Gothic Demi"/>
          <w:iCs/>
          <w:noProof/>
          <w:sz w:val="17"/>
          <w:szCs w:val="18"/>
        </w:rPr>
        <w:t>1</w:t>
      </w:r>
      <w:r w:rsidR="0055333A">
        <w:rPr>
          <w:rFonts w:ascii="Franklin Gothic Demi" w:hAnsi="Franklin Gothic Demi"/>
          <w:iCs/>
          <w:sz w:val="17"/>
          <w:szCs w:val="18"/>
        </w:rPr>
        <w:fldChar w:fldCharType="end"/>
      </w:r>
      <w:bookmarkEnd w:id="82"/>
      <w:r w:rsidRPr="00116BC8">
        <w:rPr>
          <w:rFonts w:ascii="Franklin Gothic Demi" w:hAnsi="Franklin Gothic Demi"/>
          <w:iCs/>
          <w:sz w:val="17"/>
          <w:szCs w:val="18"/>
        </w:rPr>
        <w:t xml:space="preserve">: </w:t>
      </w:r>
      <w:r w:rsidRPr="00524E37">
        <w:rPr>
          <w:rStyle w:val="Caption-notboldChar"/>
        </w:rPr>
        <w:t>National MBS benefits paid by aggregated MBS categories of all participating sites, 2019</w:t>
      </w:r>
      <w:r w:rsidR="00EE4DD7">
        <w:rPr>
          <w:rStyle w:val="Caption-notboldChar"/>
          <w:rFonts w:ascii="Calibri" w:hAnsi="Calibri" w:cs="Calibri"/>
        </w:rPr>
        <w:t>‒</w:t>
      </w:r>
      <w:r w:rsidRPr="00524E37">
        <w:rPr>
          <w:rStyle w:val="Caption-notboldChar"/>
        </w:rPr>
        <w:t>20 (n=92)</w:t>
      </w:r>
    </w:p>
    <w:tbl>
      <w:tblPr>
        <w:tblStyle w:val="HMATableA5"/>
        <w:tblW w:w="3976" w:type="pct"/>
        <w:jc w:val="center"/>
        <w:tblLayout w:type="fixed"/>
        <w:tblLook w:val="04A0" w:firstRow="1" w:lastRow="0" w:firstColumn="1" w:lastColumn="0" w:noHBand="0" w:noVBand="1"/>
      </w:tblPr>
      <w:tblGrid>
        <w:gridCol w:w="4364"/>
        <w:gridCol w:w="1167"/>
        <w:gridCol w:w="1132"/>
        <w:gridCol w:w="1132"/>
        <w:gridCol w:w="1278"/>
        <w:gridCol w:w="1560"/>
        <w:gridCol w:w="1134"/>
      </w:tblGrid>
      <w:tr w:rsidR="00116BC8" w:rsidRPr="00EE4DD7" w14:paraId="4E68DA5D" w14:textId="77777777" w:rsidTr="005F117A">
        <w:trPr>
          <w:cnfStyle w:val="100000000000" w:firstRow="1" w:lastRow="0" w:firstColumn="0" w:lastColumn="0" w:oddVBand="0" w:evenVBand="0" w:oddHBand="0"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46A1A47C" w14:textId="77777777" w:rsidR="00116BC8" w:rsidRPr="00EE4DD7" w:rsidRDefault="00116BC8" w:rsidP="00116BC8">
            <w:pPr>
              <w:spacing w:after="160" w:line="259" w:lineRule="auto"/>
            </w:pPr>
            <w:r w:rsidRPr="00EE4DD7">
              <w:t>MBS Aggregated Categories</w:t>
            </w:r>
          </w:p>
        </w:tc>
        <w:tc>
          <w:tcPr>
            <w:tcW w:w="496" w:type="pct"/>
            <w:noWrap/>
          </w:tcPr>
          <w:p w14:paraId="42300F79" w14:textId="77777777" w:rsidR="00116BC8" w:rsidRPr="00EE4DD7" w:rsidRDefault="00116BC8" w:rsidP="00116BC8">
            <w:pPr>
              <w:spacing w:after="160" w:line="259" w:lineRule="auto"/>
              <w:cnfStyle w:val="100000000000" w:firstRow="1" w:lastRow="0" w:firstColumn="0" w:lastColumn="0" w:oddVBand="0" w:evenVBand="0" w:oddHBand="0" w:evenHBand="0" w:firstRowFirstColumn="0" w:firstRowLastColumn="0" w:lastRowFirstColumn="0" w:lastRowLastColumn="0"/>
            </w:pPr>
            <w:r w:rsidRPr="00EE4DD7">
              <w:t>Total claims for all sites $m</w:t>
            </w:r>
          </w:p>
        </w:tc>
        <w:tc>
          <w:tcPr>
            <w:tcW w:w="481" w:type="pct"/>
          </w:tcPr>
          <w:p w14:paraId="48CE7A69" w14:textId="77777777" w:rsidR="00116BC8" w:rsidRPr="00EE4DD7" w:rsidRDefault="00116BC8" w:rsidP="00116BC8">
            <w:pPr>
              <w:spacing w:after="160" w:line="259" w:lineRule="auto"/>
              <w:cnfStyle w:val="100000000000" w:firstRow="1" w:lastRow="0" w:firstColumn="0" w:lastColumn="0" w:oddVBand="0" w:evenVBand="0" w:oddHBand="0" w:evenHBand="0" w:firstRowFirstColumn="0" w:firstRowLastColumn="0" w:lastRowFirstColumn="0" w:lastRowLastColumn="0"/>
            </w:pPr>
            <w:r w:rsidRPr="00EE4DD7">
              <w:t>Percent of total for all sites</w:t>
            </w:r>
          </w:p>
        </w:tc>
        <w:tc>
          <w:tcPr>
            <w:tcW w:w="481" w:type="pct"/>
          </w:tcPr>
          <w:p w14:paraId="343AE5BD" w14:textId="77777777" w:rsidR="00116BC8" w:rsidRPr="00EE4DD7" w:rsidRDefault="00116BC8" w:rsidP="00116BC8">
            <w:pPr>
              <w:spacing w:after="160" w:line="259" w:lineRule="auto"/>
              <w:cnfStyle w:val="100000000000" w:firstRow="1" w:lastRow="0" w:firstColumn="0" w:lastColumn="0" w:oddVBand="0" w:evenVBand="0" w:oddHBand="0" w:evenHBand="0" w:firstRowFirstColumn="0" w:firstRowLastColumn="0" w:lastRowFirstColumn="0" w:lastRowLastColumn="0"/>
            </w:pPr>
            <w:r w:rsidRPr="00EE4DD7">
              <w:t>Mean claims per site ($)</w:t>
            </w:r>
          </w:p>
        </w:tc>
        <w:tc>
          <w:tcPr>
            <w:tcW w:w="543" w:type="pct"/>
          </w:tcPr>
          <w:p w14:paraId="528C4419" w14:textId="77777777" w:rsidR="00116BC8" w:rsidRPr="00EE4DD7" w:rsidRDefault="00116BC8" w:rsidP="00116BC8">
            <w:pPr>
              <w:spacing w:after="160" w:line="259" w:lineRule="auto"/>
              <w:cnfStyle w:val="100000000000" w:firstRow="1" w:lastRow="0" w:firstColumn="0" w:lastColumn="0" w:oddVBand="0" w:evenVBand="0" w:oddHBand="0" w:evenHBand="0" w:firstRowFirstColumn="0" w:firstRowLastColumn="0" w:lastRowFirstColumn="0" w:lastRowLastColumn="0"/>
            </w:pPr>
            <w:r w:rsidRPr="00EE4DD7">
              <w:t>Median claims, per site ($)</w:t>
            </w:r>
          </w:p>
        </w:tc>
        <w:tc>
          <w:tcPr>
            <w:tcW w:w="663" w:type="pct"/>
          </w:tcPr>
          <w:p w14:paraId="6A1D5503" w14:textId="77777777" w:rsidR="00116BC8" w:rsidRPr="00EE4DD7" w:rsidRDefault="00116BC8" w:rsidP="00116BC8">
            <w:pPr>
              <w:spacing w:after="160" w:line="259" w:lineRule="auto"/>
              <w:cnfStyle w:val="100000000000" w:firstRow="1" w:lastRow="0" w:firstColumn="0" w:lastColumn="0" w:oddVBand="0" w:evenVBand="0" w:oddHBand="0" w:evenHBand="0" w:firstRowFirstColumn="0" w:firstRowLastColumn="0" w:lastRowFirstColumn="0" w:lastRowLastColumn="0"/>
            </w:pPr>
            <w:r w:rsidRPr="00EE4DD7">
              <w:t>Range of values, all sites (min and max)</w:t>
            </w:r>
          </w:p>
        </w:tc>
        <w:tc>
          <w:tcPr>
            <w:tcW w:w="482" w:type="pct"/>
          </w:tcPr>
          <w:p w14:paraId="02533D71" w14:textId="48D160FA" w:rsidR="00116BC8" w:rsidRPr="00EE4DD7" w:rsidRDefault="00116BC8" w:rsidP="00116BC8">
            <w:pPr>
              <w:spacing w:after="160" w:line="259" w:lineRule="auto"/>
              <w:cnfStyle w:val="100000000000" w:firstRow="1" w:lastRow="0" w:firstColumn="0" w:lastColumn="0" w:oddVBand="0" w:evenVBand="0" w:oddHBand="0" w:evenHBand="0" w:firstRowFirstColumn="0" w:firstRowLastColumn="0" w:lastRowFirstColumn="0" w:lastRowLastColumn="0"/>
            </w:pPr>
            <w:r w:rsidRPr="00EE4DD7">
              <w:t>No</w:t>
            </w:r>
            <w:r w:rsidR="00054726">
              <w:t>.</w:t>
            </w:r>
            <w:r w:rsidRPr="00EE4DD7">
              <w:t xml:space="preserve"> of sites with zero claims</w:t>
            </w:r>
            <w:r w:rsidR="000E750B">
              <w:t xml:space="preserve"> in a category</w:t>
            </w:r>
          </w:p>
        </w:tc>
      </w:tr>
      <w:tr w:rsidR="00116BC8" w:rsidRPr="00116BC8" w14:paraId="365D9788"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278DF21D" w14:textId="7C7D51AA" w:rsidR="00116BC8" w:rsidRPr="00116BC8" w:rsidRDefault="00116BC8" w:rsidP="00116BC8">
            <w:pPr>
              <w:spacing w:after="160" w:line="259" w:lineRule="auto"/>
            </w:pPr>
            <w:r w:rsidRPr="00116BC8">
              <w:t>1. Non-referred Attendance (sub-total) – common</w:t>
            </w:r>
            <w:r w:rsidR="00F66DEB">
              <w:t>ly billed</w:t>
            </w:r>
            <w:r w:rsidRPr="00116BC8">
              <w:t xml:space="preserve"> items </w:t>
            </w:r>
            <w:r w:rsidRPr="00116BC8">
              <w:rPr>
                <w:b w:val="0"/>
                <w:bCs/>
              </w:rPr>
              <w:t>(e.g.</w:t>
            </w:r>
            <w:r w:rsidR="00F11C8C">
              <w:rPr>
                <w:b w:val="0"/>
                <w:bCs/>
              </w:rPr>
              <w:t>,</w:t>
            </w:r>
            <w:r w:rsidRPr="00116BC8">
              <w:rPr>
                <w:b w:val="0"/>
                <w:bCs/>
              </w:rPr>
              <w:t xml:space="preserve"> 3,</w:t>
            </w:r>
            <w:r w:rsidR="00EE4DD7">
              <w:rPr>
                <w:b w:val="0"/>
                <w:bCs/>
              </w:rPr>
              <w:t xml:space="preserve"> </w:t>
            </w:r>
            <w:r w:rsidRPr="00116BC8">
              <w:rPr>
                <w:b w:val="0"/>
                <w:bCs/>
              </w:rPr>
              <w:t>23, 36, 44)</w:t>
            </w:r>
          </w:p>
        </w:tc>
        <w:tc>
          <w:tcPr>
            <w:tcW w:w="496" w:type="pct"/>
            <w:noWrap/>
            <w:vAlign w:val="center"/>
          </w:tcPr>
          <w:p w14:paraId="0B8E023A" w14:textId="1DD2C4CC"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b/>
                <w:bCs/>
                <w:sz w:val="22"/>
              </w:rPr>
            </w:pPr>
            <w:r w:rsidRPr="00116BC8">
              <w:rPr>
                <w:rFonts w:cs="Calibri"/>
                <w:b/>
                <w:bCs/>
                <w:color w:val="000000"/>
                <w:sz w:val="22"/>
              </w:rPr>
              <w:t>$6.7</w:t>
            </w:r>
            <w:r w:rsidR="00524E37">
              <w:rPr>
                <w:rFonts w:cs="Calibri"/>
                <w:b/>
                <w:bCs/>
                <w:color w:val="000000"/>
                <w:sz w:val="22"/>
              </w:rPr>
              <w:t xml:space="preserve"> </w:t>
            </w:r>
            <w:r w:rsidRPr="00CF3741">
              <w:rPr>
                <w:rFonts w:cs="Calibri"/>
                <w:b/>
                <w:bCs/>
                <w:color w:val="000000"/>
                <w:sz w:val="22"/>
              </w:rPr>
              <w:t>m</w:t>
            </w:r>
          </w:p>
        </w:tc>
        <w:tc>
          <w:tcPr>
            <w:tcW w:w="481" w:type="pct"/>
            <w:vAlign w:val="center"/>
          </w:tcPr>
          <w:p w14:paraId="61F82DAE"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49.0%</w:t>
            </w:r>
          </w:p>
        </w:tc>
        <w:tc>
          <w:tcPr>
            <w:tcW w:w="481" w:type="pct"/>
            <w:vAlign w:val="center"/>
          </w:tcPr>
          <w:p w14:paraId="08FD5869"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 xml:space="preserve"> $72,343 </w:t>
            </w:r>
          </w:p>
        </w:tc>
        <w:tc>
          <w:tcPr>
            <w:tcW w:w="543" w:type="pct"/>
            <w:vAlign w:val="center"/>
          </w:tcPr>
          <w:p w14:paraId="7A3572B5"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 xml:space="preserve">$19,955 </w:t>
            </w:r>
          </w:p>
        </w:tc>
        <w:tc>
          <w:tcPr>
            <w:tcW w:w="663" w:type="pct"/>
            <w:vAlign w:val="center"/>
          </w:tcPr>
          <w:p w14:paraId="6F7E7D4A"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$0–$565,240</w:t>
            </w:r>
          </w:p>
        </w:tc>
        <w:tc>
          <w:tcPr>
            <w:tcW w:w="482" w:type="pct"/>
            <w:vAlign w:val="center"/>
          </w:tcPr>
          <w:p w14:paraId="629983AE"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1</w:t>
            </w:r>
          </w:p>
        </w:tc>
      </w:tr>
      <w:tr w:rsidR="00116BC8" w:rsidRPr="00116BC8" w14:paraId="40270BFB"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3F8B16C5" w14:textId="77777777" w:rsidR="00116BC8" w:rsidRPr="00116BC8" w:rsidRDefault="00116BC8" w:rsidP="00116BC8">
            <w:pPr>
              <w:spacing w:after="160" w:line="259" w:lineRule="auto"/>
            </w:pPr>
            <w:r w:rsidRPr="00116BC8">
              <w:t>2. After-hours Non-referred Attendance (sub-total)</w:t>
            </w:r>
          </w:p>
        </w:tc>
        <w:tc>
          <w:tcPr>
            <w:tcW w:w="496" w:type="pct"/>
            <w:noWrap/>
            <w:vAlign w:val="center"/>
          </w:tcPr>
          <w:p w14:paraId="55F55FA7" w14:textId="69730CD4"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b/>
                <w:bCs/>
                <w:sz w:val="22"/>
              </w:rPr>
            </w:pPr>
            <w:r w:rsidRPr="00116BC8">
              <w:rPr>
                <w:rFonts w:cs="Calibri"/>
                <w:b/>
                <w:bCs/>
                <w:color w:val="000000"/>
                <w:sz w:val="22"/>
              </w:rPr>
              <w:t>$3.6</w:t>
            </w:r>
            <w:r w:rsidR="00524E37">
              <w:rPr>
                <w:rFonts w:cs="Calibri"/>
                <w:b/>
                <w:bCs/>
                <w:color w:val="000000"/>
                <w:sz w:val="22"/>
              </w:rPr>
              <w:t xml:space="preserve"> </w:t>
            </w:r>
            <w:r w:rsidRPr="00CF3741">
              <w:rPr>
                <w:rFonts w:cs="Calibri"/>
                <w:b/>
                <w:bCs/>
                <w:color w:val="000000"/>
                <w:sz w:val="22"/>
              </w:rPr>
              <w:t>m</w:t>
            </w:r>
          </w:p>
        </w:tc>
        <w:tc>
          <w:tcPr>
            <w:tcW w:w="481" w:type="pct"/>
            <w:vAlign w:val="center"/>
          </w:tcPr>
          <w:p w14:paraId="41636C93"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26.3%</w:t>
            </w:r>
          </w:p>
        </w:tc>
        <w:tc>
          <w:tcPr>
            <w:tcW w:w="481" w:type="pct"/>
            <w:vAlign w:val="center"/>
          </w:tcPr>
          <w:p w14:paraId="1E491441"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 xml:space="preserve"> $39,015 </w:t>
            </w:r>
          </w:p>
        </w:tc>
        <w:tc>
          <w:tcPr>
            <w:tcW w:w="543" w:type="pct"/>
            <w:vAlign w:val="center"/>
          </w:tcPr>
          <w:p w14:paraId="749AB4B6"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 xml:space="preserve">$19,515 </w:t>
            </w:r>
          </w:p>
        </w:tc>
        <w:tc>
          <w:tcPr>
            <w:tcW w:w="663" w:type="pct"/>
            <w:vAlign w:val="center"/>
          </w:tcPr>
          <w:p w14:paraId="6E13A5AC"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$0–$295,586</w:t>
            </w:r>
          </w:p>
        </w:tc>
        <w:tc>
          <w:tcPr>
            <w:tcW w:w="482" w:type="pct"/>
            <w:vAlign w:val="center"/>
          </w:tcPr>
          <w:p w14:paraId="02C7A58F"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11</w:t>
            </w:r>
          </w:p>
        </w:tc>
      </w:tr>
      <w:tr w:rsidR="00116BC8" w:rsidRPr="00116BC8" w14:paraId="3201F9AC"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tcPr>
          <w:p w14:paraId="35037C65" w14:textId="77777777" w:rsidR="00116BC8" w:rsidRPr="00116BC8" w:rsidRDefault="00116BC8" w:rsidP="00116BC8">
            <w:pPr>
              <w:spacing w:after="160" w:line="259" w:lineRule="auto"/>
            </w:pPr>
            <w:r w:rsidRPr="00116BC8">
              <w:t>3. Assessment related items, including disease management and other primary care professionals (sub-total)</w:t>
            </w:r>
          </w:p>
        </w:tc>
        <w:tc>
          <w:tcPr>
            <w:tcW w:w="496" w:type="pct"/>
            <w:noWrap/>
            <w:vAlign w:val="center"/>
          </w:tcPr>
          <w:p w14:paraId="61C801DC" w14:textId="2B696220"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highlight w:val="green"/>
              </w:rPr>
            </w:pPr>
            <w:r w:rsidRPr="00116BC8">
              <w:rPr>
                <w:rFonts w:cs="Calibri"/>
                <w:b/>
                <w:bCs/>
                <w:color w:val="000000"/>
                <w:sz w:val="22"/>
              </w:rPr>
              <w:t>$0.5</w:t>
            </w:r>
            <w:r w:rsidR="00524E37">
              <w:rPr>
                <w:rFonts w:cs="Calibri"/>
                <w:b/>
                <w:bCs/>
                <w:color w:val="000000"/>
                <w:sz w:val="22"/>
              </w:rPr>
              <w:t xml:space="preserve"> </w:t>
            </w:r>
            <w:r w:rsidRPr="00CF3741">
              <w:rPr>
                <w:rFonts w:cs="Calibri"/>
                <w:b/>
                <w:bCs/>
                <w:color w:val="000000"/>
                <w:sz w:val="22"/>
              </w:rPr>
              <w:t>m</w:t>
            </w:r>
          </w:p>
        </w:tc>
        <w:tc>
          <w:tcPr>
            <w:tcW w:w="481" w:type="pct"/>
            <w:vAlign w:val="center"/>
          </w:tcPr>
          <w:p w14:paraId="50FC4696"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highlight w:val="green"/>
              </w:rPr>
            </w:pPr>
            <w:r w:rsidRPr="00116BC8">
              <w:rPr>
                <w:rFonts w:cs="Calibri"/>
                <w:b/>
                <w:bCs/>
                <w:color w:val="000000"/>
                <w:sz w:val="22"/>
              </w:rPr>
              <w:t>4.1%</w:t>
            </w:r>
          </w:p>
        </w:tc>
        <w:tc>
          <w:tcPr>
            <w:tcW w:w="481" w:type="pct"/>
            <w:vAlign w:val="center"/>
          </w:tcPr>
          <w:p w14:paraId="792CD762"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 xml:space="preserve"> $1,193 </w:t>
            </w:r>
          </w:p>
        </w:tc>
        <w:tc>
          <w:tcPr>
            <w:tcW w:w="543" w:type="pct"/>
            <w:vAlign w:val="center"/>
          </w:tcPr>
          <w:p w14:paraId="484FC436"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$0</w:t>
            </w:r>
          </w:p>
        </w:tc>
        <w:tc>
          <w:tcPr>
            <w:tcW w:w="663" w:type="pct"/>
            <w:vAlign w:val="center"/>
          </w:tcPr>
          <w:p w14:paraId="37271DF7"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116BC8">
              <w:rPr>
                <w:rFonts w:cs="Calibri"/>
                <w:b/>
                <w:bCs/>
                <w:color w:val="000000"/>
                <w:sz w:val="22"/>
              </w:rPr>
              <w:t>$0</w:t>
            </w:r>
            <w:r w:rsidRPr="00116BC8">
              <w:rPr>
                <w:rFonts w:ascii="Garamond" w:hAnsi="Garamond" w:cs="Calibri"/>
                <w:b/>
                <w:bCs/>
                <w:color w:val="000000"/>
                <w:sz w:val="22"/>
              </w:rPr>
              <w:t>–$</w:t>
            </w:r>
            <w:r w:rsidRPr="00116BC8">
              <w:rPr>
                <w:rFonts w:cs="Calibri"/>
                <w:b/>
                <w:bCs/>
                <w:color w:val="000000"/>
                <w:sz w:val="22"/>
              </w:rPr>
              <w:t>64,616</w:t>
            </w:r>
          </w:p>
        </w:tc>
        <w:tc>
          <w:tcPr>
            <w:tcW w:w="482" w:type="pct"/>
            <w:vAlign w:val="center"/>
          </w:tcPr>
          <w:p w14:paraId="72B5581B"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b/>
                <w:bCs/>
                <w:color w:val="000000"/>
                <w:sz w:val="22"/>
              </w:rPr>
            </w:pPr>
          </w:p>
        </w:tc>
      </w:tr>
      <w:tr w:rsidR="00116BC8" w:rsidRPr="00116BC8" w14:paraId="7497A96D"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10D40AB0" w14:textId="7CCC7EAA"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3a. A14 (Health Assessments)</w:t>
            </w:r>
          </w:p>
        </w:tc>
        <w:tc>
          <w:tcPr>
            <w:tcW w:w="496" w:type="pct"/>
            <w:noWrap/>
            <w:vAlign w:val="center"/>
          </w:tcPr>
          <w:p w14:paraId="31AAB531" w14:textId="78A88CE2"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i/>
                <w:iCs/>
                <w:szCs w:val="20"/>
              </w:rPr>
            </w:pPr>
            <w:r w:rsidRPr="00116BC8">
              <w:rPr>
                <w:rFonts w:cs="Calibri"/>
                <w:i/>
                <w:iCs/>
                <w:color w:val="000000"/>
                <w:szCs w:val="20"/>
              </w:rPr>
              <w:t xml:space="preserve"> $0.1</w:t>
            </w:r>
            <w:r w:rsidR="00524E37">
              <w:rPr>
                <w:rFonts w:cs="Calibri"/>
                <w:i/>
                <w:iCs/>
                <w:color w:val="000000"/>
                <w:szCs w:val="20"/>
              </w:rPr>
              <w:t xml:space="preserve"> </w:t>
            </w:r>
            <w:r w:rsidRPr="006A1F46">
              <w:rPr>
                <w:rFonts w:cs="Calibri"/>
                <w:i/>
                <w:iCs/>
                <w:color w:val="000000"/>
                <w:szCs w:val="20"/>
              </w:rPr>
              <w:t>m</w:t>
            </w:r>
          </w:p>
        </w:tc>
        <w:tc>
          <w:tcPr>
            <w:tcW w:w="481" w:type="pct"/>
            <w:vAlign w:val="center"/>
          </w:tcPr>
          <w:p w14:paraId="7CF5D590"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1.1%</w:t>
            </w:r>
          </w:p>
        </w:tc>
        <w:tc>
          <w:tcPr>
            <w:tcW w:w="481" w:type="pct"/>
            <w:vAlign w:val="center"/>
          </w:tcPr>
          <w:p w14:paraId="7E0F016D"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$1,742 </w:t>
            </w:r>
          </w:p>
        </w:tc>
        <w:tc>
          <w:tcPr>
            <w:tcW w:w="543" w:type="pct"/>
            <w:vAlign w:val="center"/>
          </w:tcPr>
          <w:p w14:paraId="20B6A637" w14:textId="2469211E"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1A1349F3"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$0–$54,745</w:t>
            </w:r>
          </w:p>
        </w:tc>
        <w:tc>
          <w:tcPr>
            <w:tcW w:w="482" w:type="pct"/>
            <w:vAlign w:val="center"/>
          </w:tcPr>
          <w:p w14:paraId="7108AB11"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72</w:t>
            </w:r>
          </w:p>
        </w:tc>
      </w:tr>
      <w:tr w:rsidR="00116BC8" w:rsidRPr="00116BC8" w14:paraId="0AF10718"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794BBD58" w14:textId="544EBDC6"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3b. A15 (GP care plans)</w:t>
            </w:r>
          </w:p>
        </w:tc>
        <w:tc>
          <w:tcPr>
            <w:tcW w:w="496" w:type="pct"/>
            <w:noWrap/>
            <w:vAlign w:val="center"/>
          </w:tcPr>
          <w:p w14:paraId="69ABD7D2" w14:textId="62AC1E9F"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i/>
                <w:iCs/>
                <w:szCs w:val="20"/>
              </w:rPr>
            </w:pPr>
            <w:r w:rsidRPr="00116BC8">
              <w:rPr>
                <w:rFonts w:cs="Calibri"/>
                <w:i/>
                <w:iCs/>
                <w:color w:val="000000"/>
                <w:szCs w:val="20"/>
              </w:rPr>
              <w:t xml:space="preserve"> $0.2</w:t>
            </w:r>
            <w:r w:rsidR="00524E37">
              <w:rPr>
                <w:rFonts w:cs="Calibri"/>
                <w:i/>
                <w:iCs/>
                <w:color w:val="000000"/>
                <w:szCs w:val="20"/>
              </w:rPr>
              <w:t xml:space="preserve"> </w:t>
            </w:r>
            <w:r w:rsidRPr="006A1F46">
              <w:rPr>
                <w:rFonts w:cs="Calibri"/>
                <w:i/>
                <w:iCs/>
                <w:color w:val="000000"/>
                <w:szCs w:val="20"/>
              </w:rPr>
              <w:t>m</w:t>
            </w:r>
          </w:p>
        </w:tc>
        <w:tc>
          <w:tcPr>
            <w:tcW w:w="481" w:type="pct"/>
            <w:vAlign w:val="center"/>
          </w:tcPr>
          <w:p w14:paraId="00838110"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1.5%</w:t>
            </w:r>
          </w:p>
        </w:tc>
        <w:tc>
          <w:tcPr>
            <w:tcW w:w="481" w:type="pct"/>
            <w:vAlign w:val="center"/>
          </w:tcPr>
          <w:p w14:paraId="4FFAFA42"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$2,374 </w:t>
            </w:r>
          </w:p>
        </w:tc>
        <w:tc>
          <w:tcPr>
            <w:tcW w:w="543" w:type="pct"/>
            <w:vAlign w:val="center"/>
          </w:tcPr>
          <w:p w14:paraId="6A5F9FB3" w14:textId="216539D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717E86A4"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$0–$46,368</w:t>
            </w:r>
          </w:p>
        </w:tc>
        <w:tc>
          <w:tcPr>
            <w:tcW w:w="482" w:type="pct"/>
            <w:vAlign w:val="center"/>
          </w:tcPr>
          <w:p w14:paraId="1E004202"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68</w:t>
            </w:r>
          </w:p>
        </w:tc>
      </w:tr>
      <w:tr w:rsidR="00116BC8" w:rsidRPr="00116BC8" w14:paraId="4932645B"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tcPr>
          <w:p w14:paraId="5BA9D851" w14:textId="24ED0BDD"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3c. A20 (GP mental health treatment)</w:t>
            </w:r>
          </w:p>
        </w:tc>
        <w:tc>
          <w:tcPr>
            <w:tcW w:w="496" w:type="pct"/>
            <w:noWrap/>
            <w:vAlign w:val="center"/>
          </w:tcPr>
          <w:p w14:paraId="1DDC88E6" w14:textId="1E393583"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i/>
                <w:iCs/>
                <w:szCs w:val="20"/>
              </w:rPr>
            </w:pPr>
            <w:r w:rsidRPr="00116BC8">
              <w:rPr>
                <w:rFonts w:cs="Calibri"/>
                <w:i/>
                <w:iCs/>
                <w:color w:val="000000"/>
                <w:szCs w:val="20"/>
              </w:rPr>
              <w:t>$0.06</w:t>
            </w:r>
            <w:r w:rsidRPr="006A1F46">
              <w:rPr>
                <w:rFonts w:cs="Calibri"/>
                <w:i/>
                <w:iCs/>
                <w:color w:val="000000"/>
                <w:szCs w:val="20"/>
              </w:rPr>
              <w:t>0</w:t>
            </w:r>
            <w:r w:rsidR="00524E37">
              <w:rPr>
                <w:rFonts w:cs="Calibri"/>
                <w:i/>
                <w:iCs/>
                <w:color w:val="000000"/>
                <w:szCs w:val="20"/>
              </w:rPr>
              <w:t xml:space="preserve"> </w:t>
            </w:r>
            <w:r w:rsidRPr="006A1F46">
              <w:rPr>
                <w:rFonts w:cs="Calibri"/>
                <w:i/>
                <w:iCs/>
                <w:color w:val="000000"/>
                <w:szCs w:val="20"/>
              </w:rPr>
              <w:t>m</w:t>
            </w:r>
          </w:p>
        </w:tc>
        <w:tc>
          <w:tcPr>
            <w:tcW w:w="481" w:type="pct"/>
            <w:vAlign w:val="center"/>
          </w:tcPr>
          <w:p w14:paraId="307CA17E"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0.3%</w:t>
            </w:r>
          </w:p>
        </w:tc>
        <w:tc>
          <w:tcPr>
            <w:tcW w:w="481" w:type="pct"/>
            <w:vAlign w:val="center"/>
          </w:tcPr>
          <w:p w14:paraId="384C329E"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$730 </w:t>
            </w:r>
          </w:p>
        </w:tc>
        <w:tc>
          <w:tcPr>
            <w:tcW w:w="543" w:type="pct"/>
            <w:vAlign w:val="center"/>
          </w:tcPr>
          <w:p w14:paraId="5E3EBB0D" w14:textId="0108215B"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279AD1E4"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$0–$7,838</w:t>
            </w:r>
          </w:p>
        </w:tc>
        <w:tc>
          <w:tcPr>
            <w:tcW w:w="482" w:type="pct"/>
            <w:vAlign w:val="center"/>
          </w:tcPr>
          <w:p w14:paraId="7972EE71"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49</w:t>
            </w:r>
          </w:p>
        </w:tc>
      </w:tr>
      <w:tr w:rsidR="00116BC8" w:rsidRPr="00116BC8" w14:paraId="357931A7"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2D40C1EA" w14:textId="48612108"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3d. Nurse Practitioner</w:t>
            </w:r>
          </w:p>
        </w:tc>
        <w:tc>
          <w:tcPr>
            <w:tcW w:w="496" w:type="pct"/>
            <w:noWrap/>
            <w:vAlign w:val="center"/>
          </w:tcPr>
          <w:p w14:paraId="285BF318" w14:textId="2D9865AC"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i/>
                <w:iCs/>
                <w:szCs w:val="20"/>
              </w:rPr>
            </w:pPr>
            <w:r w:rsidRPr="00116BC8">
              <w:rPr>
                <w:rFonts w:cs="Calibri"/>
                <w:i/>
                <w:iCs/>
                <w:color w:val="000000"/>
                <w:szCs w:val="20"/>
              </w:rPr>
              <w:t xml:space="preserve"> $0.1</w:t>
            </w:r>
            <w:r w:rsidR="00524E37">
              <w:rPr>
                <w:rFonts w:cs="Calibri"/>
                <w:i/>
                <w:iCs/>
                <w:color w:val="000000"/>
                <w:szCs w:val="20"/>
              </w:rPr>
              <w:t xml:space="preserve"> </w:t>
            </w:r>
            <w:r w:rsidRPr="006A1F46">
              <w:rPr>
                <w:rFonts w:cs="Calibri"/>
                <w:i/>
                <w:iCs/>
                <w:color w:val="000000"/>
                <w:szCs w:val="20"/>
              </w:rPr>
              <w:t>m</w:t>
            </w:r>
            <w:r w:rsidRPr="00116BC8">
              <w:rPr>
                <w:rFonts w:cs="Calibri"/>
                <w:i/>
                <w:iCs/>
                <w:color w:val="000000"/>
                <w:szCs w:val="20"/>
              </w:rPr>
              <w:t xml:space="preserve"> </w:t>
            </w:r>
          </w:p>
        </w:tc>
        <w:tc>
          <w:tcPr>
            <w:tcW w:w="481" w:type="pct"/>
            <w:vAlign w:val="center"/>
          </w:tcPr>
          <w:p w14:paraId="6A89A553"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1.0%</w:t>
            </w:r>
          </w:p>
        </w:tc>
        <w:tc>
          <w:tcPr>
            <w:tcW w:w="481" w:type="pct"/>
            <w:vAlign w:val="center"/>
          </w:tcPr>
          <w:p w14:paraId="3D98578A"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$1,597 </w:t>
            </w:r>
          </w:p>
        </w:tc>
        <w:tc>
          <w:tcPr>
            <w:tcW w:w="543" w:type="pct"/>
            <w:vAlign w:val="center"/>
          </w:tcPr>
          <w:p w14:paraId="186322AD" w14:textId="2FBB2E5E"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2E35FCA6" w14:textId="3E76CF39"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$0–$64,616</w:t>
            </w:r>
          </w:p>
        </w:tc>
        <w:tc>
          <w:tcPr>
            <w:tcW w:w="482" w:type="pct"/>
            <w:vAlign w:val="center"/>
          </w:tcPr>
          <w:p w14:paraId="682A2FD0"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71</w:t>
            </w:r>
          </w:p>
        </w:tc>
      </w:tr>
      <w:tr w:rsidR="00116BC8" w:rsidRPr="00116BC8" w14:paraId="42E38712"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tcPr>
          <w:p w14:paraId="0572AD83" w14:textId="6CBF567B"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3e. Practice Nurse</w:t>
            </w:r>
          </w:p>
        </w:tc>
        <w:tc>
          <w:tcPr>
            <w:tcW w:w="496" w:type="pct"/>
            <w:noWrap/>
            <w:vAlign w:val="center"/>
          </w:tcPr>
          <w:p w14:paraId="1B7725E7" w14:textId="0E3C7ED5"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i/>
                <w:iCs/>
                <w:szCs w:val="20"/>
              </w:rPr>
            </w:pPr>
            <w:r w:rsidRPr="00116BC8">
              <w:rPr>
                <w:rFonts w:cs="Calibri"/>
                <w:i/>
                <w:iCs/>
                <w:color w:val="000000"/>
                <w:szCs w:val="20"/>
              </w:rPr>
              <w:t xml:space="preserve"> $0.03</w:t>
            </w:r>
            <w:r w:rsidR="00524E37">
              <w:rPr>
                <w:rFonts w:cs="Calibri"/>
                <w:i/>
                <w:iCs/>
                <w:color w:val="000000"/>
                <w:szCs w:val="20"/>
              </w:rPr>
              <w:t xml:space="preserve"> </w:t>
            </w:r>
            <w:r w:rsidRPr="006A1F46">
              <w:rPr>
                <w:rFonts w:cs="Calibri"/>
                <w:i/>
                <w:iCs/>
                <w:color w:val="000000"/>
                <w:szCs w:val="20"/>
              </w:rPr>
              <w:t>m</w:t>
            </w:r>
            <w:r w:rsidRPr="00116BC8">
              <w:rPr>
                <w:rFonts w:cs="Calibri"/>
                <w:i/>
                <w:iCs/>
                <w:color w:val="000000"/>
                <w:szCs w:val="20"/>
              </w:rPr>
              <w:t xml:space="preserve"> </w:t>
            </w:r>
          </w:p>
        </w:tc>
        <w:tc>
          <w:tcPr>
            <w:tcW w:w="481" w:type="pct"/>
            <w:vAlign w:val="center"/>
          </w:tcPr>
          <w:p w14:paraId="44F5C1F2"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0.2%</w:t>
            </w:r>
          </w:p>
        </w:tc>
        <w:tc>
          <w:tcPr>
            <w:tcW w:w="481" w:type="pct"/>
            <w:vAlign w:val="center"/>
          </w:tcPr>
          <w:p w14:paraId="231E2F24"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$488 </w:t>
            </w:r>
          </w:p>
        </w:tc>
        <w:tc>
          <w:tcPr>
            <w:tcW w:w="543" w:type="pct"/>
            <w:vAlign w:val="center"/>
          </w:tcPr>
          <w:p w14:paraId="580343D4" w14:textId="6D759FEB"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104E0E5C"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$0–$13,740</w:t>
            </w:r>
          </w:p>
        </w:tc>
        <w:tc>
          <w:tcPr>
            <w:tcW w:w="482" w:type="pct"/>
            <w:vAlign w:val="center"/>
          </w:tcPr>
          <w:p w14:paraId="1D8999F1"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78</w:t>
            </w:r>
          </w:p>
        </w:tc>
      </w:tr>
      <w:tr w:rsidR="00116BC8" w:rsidRPr="00116BC8" w14:paraId="2D3B8B0A"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tcPr>
          <w:p w14:paraId="2DC1932F" w14:textId="0A01286F"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3f. Allied Health</w:t>
            </w:r>
          </w:p>
        </w:tc>
        <w:tc>
          <w:tcPr>
            <w:tcW w:w="496" w:type="pct"/>
            <w:noWrap/>
            <w:vAlign w:val="center"/>
          </w:tcPr>
          <w:p w14:paraId="76383D26" w14:textId="1DC9357D"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i/>
                <w:iCs/>
                <w:szCs w:val="20"/>
              </w:rPr>
            </w:pPr>
            <w:r w:rsidRPr="00116BC8">
              <w:rPr>
                <w:rFonts w:cs="Calibri"/>
                <w:i/>
                <w:iCs/>
                <w:color w:val="000000"/>
                <w:szCs w:val="20"/>
              </w:rPr>
              <w:t xml:space="preserve"> $0.004</w:t>
            </w:r>
            <w:r w:rsidR="00524E37">
              <w:rPr>
                <w:rFonts w:cs="Calibri"/>
                <w:i/>
                <w:iCs/>
                <w:color w:val="000000"/>
                <w:szCs w:val="20"/>
              </w:rPr>
              <w:t xml:space="preserve"> </w:t>
            </w:r>
            <w:r w:rsidRPr="006A1F46">
              <w:rPr>
                <w:rFonts w:cs="Calibri"/>
                <w:i/>
                <w:iCs/>
                <w:color w:val="000000"/>
                <w:szCs w:val="20"/>
              </w:rPr>
              <w:t>m</w:t>
            </w:r>
            <w:r w:rsidRPr="00116BC8">
              <w:rPr>
                <w:rFonts w:cs="Calibri"/>
                <w:i/>
                <w:iCs/>
                <w:color w:val="000000"/>
                <w:szCs w:val="20"/>
              </w:rPr>
              <w:t xml:space="preserve"> </w:t>
            </w:r>
          </w:p>
        </w:tc>
        <w:tc>
          <w:tcPr>
            <w:tcW w:w="481" w:type="pct"/>
            <w:vAlign w:val="center"/>
          </w:tcPr>
          <w:p w14:paraId="668EDB28"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0.0%</w:t>
            </w:r>
          </w:p>
        </w:tc>
        <w:tc>
          <w:tcPr>
            <w:tcW w:w="481" w:type="pct"/>
            <w:vAlign w:val="center"/>
          </w:tcPr>
          <w:p w14:paraId="117A6D38"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$225 </w:t>
            </w:r>
          </w:p>
        </w:tc>
        <w:tc>
          <w:tcPr>
            <w:tcW w:w="543" w:type="pct"/>
            <w:vAlign w:val="center"/>
          </w:tcPr>
          <w:p w14:paraId="20BCAF19" w14:textId="5F06DA71"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01961CF1"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$0–$2,744</w:t>
            </w:r>
          </w:p>
        </w:tc>
        <w:tc>
          <w:tcPr>
            <w:tcW w:w="482" w:type="pct"/>
            <w:vAlign w:val="center"/>
          </w:tcPr>
          <w:p w14:paraId="76E0E845"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87</w:t>
            </w:r>
          </w:p>
        </w:tc>
      </w:tr>
      <w:tr w:rsidR="00116BC8" w:rsidRPr="00116BC8" w14:paraId="29723C3B"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tcPr>
          <w:p w14:paraId="6051DA45" w14:textId="77777777" w:rsidR="00116BC8" w:rsidRPr="00116BC8" w:rsidRDefault="00116BC8" w:rsidP="00116BC8">
            <w:pPr>
              <w:spacing w:after="160" w:line="259" w:lineRule="auto"/>
              <w:rPr>
                <w:bCs/>
              </w:rPr>
            </w:pPr>
            <w:r w:rsidRPr="00116BC8">
              <w:rPr>
                <w:bCs/>
              </w:rPr>
              <w:t>4. Other MBS items (sub-total)</w:t>
            </w:r>
          </w:p>
        </w:tc>
        <w:tc>
          <w:tcPr>
            <w:tcW w:w="496" w:type="pct"/>
            <w:noWrap/>
            <w:vAlign w:val="center"/>
          </w:tcPr>
          <w:p w14:paraId="3F2F6887" w14:textId="5F7402EC"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$2.7</w:t>
            </w:r>
            <w:r w:rsidR="00524E37">
              <w:rPr>
                <w:rFonts w:cs="Calibri"/>
                <w:b/>
                <w:bCs/>
                <w:color w:val="000000"/>
                <w:sz w:val="22"/>
              </w:rPr>
              <w:t xml:space="preserve"> </w:t>
            </w:r>
            <w:r w:rsidRPr="00CF3741">
              <w:rPr>
                <w:rFonts w:cs="Calibri"/>
                <w:b/>
                <w:bCs/>
                <w:color w:val="000000"/>
                <w:sz w:val="22"/>
              </w:rPr>
              <w:t>m</w:t>
            </w:r>
          </w:p>
        </w:tc>
        <w:tc>
          <w:tcPr>
            <w:tcW w:w="481" w:type="pct"/>
            <w:vAlign w:val="center"/>
          </w:tcPr>
          <w:p w14:paraId="18C9C642"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20.5%</w:t>
            </w:r>
          </w:p>
        </w:tc>
        <w:tc>
          <w:tcPr>
            <w:tcW w:w="481" w:type="pct"/>
            <w:vAlign w:val="center"/>
          </w:tcPr>
          <w:p w14:paraId="0FC782D5"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 xml:space="preserve"> $4,503 </w:t>
            </w:r>
          </w:p>
        </w:tc>
        <w:tc>
          <w:tcPr>
            <w:tcW w:w="543" w:type="pct"/>
            <w:vAlign w:val="center"/>
          </w:tcPr>
          <w:p w14:paraId="73F2E956"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$0</w:t>
            </w:r>
          </w:p>
        </w:tc>
        <w:tc>
          <w:tcPr>
            <w:tcW w:w="663" w:type="pct"/>
            <w:vAlign w:val="center"/>
          </w:tcPr>
          <w:p w14:paraId="48EE7EC7"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$0</w:t>
            </w:r>
            <w:r w:rsidRPr="00116BC8">
              <w:rPr>
                <w:rFonts w:ascii="Garamond" w:hAnsi="Garamond" w:cs="Calibri"/>
                <w:b/>
                <w:bCs/>
                <w:color w:val="000000"/>
                <w:sz w:val="22"/>
              </w:rPr>
              <w:t>–</w:t>
            </w:r>
            <w:r w:rsidRPr="00116BC8">
              <w:rPr>
                <w:rFonts w:cs="Calibri"/>
                <w:b/>
                <w:bCs/>
                <w:color w:val="000000"/>
                <w:sz w:val="22"/>
              </w:rPr>
              <w:t>$416,619</w:t>
            </w:r>
          </w:p>
        </w:tc>
        <w:tc>
          <w:tcPr>
            <w:tcW w:w="482" w:type="pct"/>
            <w:vAlign w:val="center"/>
          </w:tcPr>
          <w:p w14:paraId="00827FEC"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p>
        </w:tc>
      </w:tr>
      <w:tr w:rsidR="00116BC8" w:rsidRPr="00116BC8" w14:paraId="790D4409"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tcPr>
          <w:p w14:paraId="1E7D5F74" w14:textId="34B88F55"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4a. Anaesthetics</w:t>
            </w:r>
          </w:p>
        </w:tc>
        <w:tc>
          <w:tcPr>
            <w:tcW w:w="496" w:type="pct"/>
            <w:noWrap/>
            <w:vAlign w:val="center"/>
          </w:tcPr>
          <w:p w14:paraId="4AC3B713" w14:textId="0FE440FF"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i/>
                <w:iCs/>
                <w:szCs w:val="20"/>
              </w:rPr>
            </w:pPr>
            <w:r w:rsidRPr="00116BC8">
              <w:rPr>
                <w:rFonts w:cs="Calibri"/>
                <w:i/>
                <w:iCs/>
                <w:color w:val="000000"/>
                <w:szCs w:val="20"/>
              </w:rPr>
              <w:t xml:space="preserve"> $0.004</w:t>
            </w:r>
            <w:r w:rsidR="00524E37">
              <w:rPr>
                <w:rFonts w:cs="Calibri"/>
                <w:i/>
                <w:iCs/>
                <w:color w:val="000000"/>
                <w:szCs w:val="20"/>
              </w:rPr>
              <w:t xml:space="preserve"> </w:t>
            </w:r>
            <w:r w:rsidRPr="00CF3741">
              <w:rPr>
                <w:rFonts w:cs="Calibri"/>
                <w:i/>
                <w:iCs/>
                <w:color w:val="000000"/>
                <w:szCs w:val="20"/>
              </w:rPr>
              <w:t>m</w:t>
            </w:r>
          </w:p>
        </w:tc>
        <w:tc>
          <w:tcPr>
            <w:tcW w:w="481" w:type="pct"/>
            <w:vAlign w:val="center"/>
          </w:tcPr>
          <w:p w14:paraId="51533280"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0.0%</w:t>
            </w:r>
          </w:p>
        </w:tc>
        <w:tc>
          <w:tcPr>
            <w:tcW w:w="481" w:type="pct"/>
            <w:vAlign w:val="center"/>
          </w:tcPr>
          <w:p w14:paraId="7FC52B84"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$226 </w:t>
            </w:r>
          </w:p>
        </w:tc>
        <w:tc>
          <w:tcPr>
            <w:tcW w:w="543" w:type="pct"/>
            <w:vAlign w:val="center"/>
          </w:tcPr>
          <w:p w14:paraId="4A23710C" w14:textId="17C5C2EC"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4CB4AA35"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$0–$1,462</w:t>
            </w:r>
          </w:p>
        </w:tc>
        <w:tc>
          <w:tcPr>
            <w:tcW w:w="482" w:type="pct"/>
            <w:vAlign w:val="center"/>
          </w:tcPr>
          <w:p w14:paraId="49F28CB8"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79</w:t>
            </w:r>
          </w:p>
        </w:tc>
      </w:tr>
      <w:tr w:rsidR="00116BC8" w:rsidRPr="00116BC8" w14:paraId="54135AE3"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tcPr>
          <w:p w14:paraId="0CF7FB45" w14:textId="097EA68A"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4b. Pathology</w:t>
            </w:r>
          </w:p>
        </w:tc>
        <w:tc>
          <w:tcPr>
            <w:tcW w:w="496" w:type="pct"/>
            <w:noWrap/>
            <w:vAlign w:val="center"/>
          </w:tcPr>
          <w:p w14:paraId="206F2C0F" w14:textId="43BB87E1"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i/>
                <w:iCs/>
                <w:szCs w:val="20"/>
              </w:rPr>
            </w:pPr>
            <w:r w:rsidRPr="00116BC8">
              <w:rPr>
                <w:rFonts w:cs="Calibri"/>
                <w:i/>
                <w:iCs/>
                <w:color w:val="000000"/>
                <w:szCs w:val="20"/>
              </w:rPr>
              <w:t xml:space="preserve"> $0.05</w:t>
            </w:r>
            <w:r w:rsidR="00524E37">
              <w:rPr>
                <w:rFonts w:cs="Calibri"/>
                <w:i/>
                <w:iCs/>
                <w:color w:val="000000"/>
                <w:szCs w:val="20"/>
              </w:rPr>
              <w:t xml:space="preserve"> </w:t>
            </w:r>
            <w:r w:rsidRPr="00CF3741">
              <w:rPr>
                <w:rFonts w:cs="Calibri"/>
                <w:i/>
                <w:iCs/>
                <w:color w:val="000000"/>
                <w:szCs w:val="20"/>
              </w:rPr>
              <w:t>m</w:t>
            </w:r>
            <w:r w:rsidRPr="00116BC8">
              <w:rPr>
                <w:rFonts w:cs="Calibri"/>
                <w:i/>
                <w:iCs/>
                <w:color w:val="000000"/>
                <w:szCs w:val="20"/>
              </w:rPr>
              <w:t xml:space="preserve"> </w:t>
            </w:r>
          </w:p>
        </w:tc>
        <w:tc>
          <w:tcPr>
            <w:tcW w:w="481" w:type="pct"/>
            <w:vAlign w:val="center"/>
          </w:tcPr>
          <w:p w14:paraId="63F9F272"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0.4%</w:t>
            </w:r>
          </w:p>
        </w:tc>
        <w:tc>
          <w:tcPr>
            <w:tcW w:w="481" w:type="pct"/>
            <w:vAlign w:val="center"/>
          </w:tcPr>
          <w:p w14:paraId="06D6E5B2"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$704 </w:t>
            </w:r>
          </w:p>
        </w:tc>
        <w:tc>
          <w:tcPr>
            <w:tcW w:w="543" w:type="pct"/>
            <w:vAlign w:val="center"/>
          </w:tcPr>
          <w:p w14:paraId="7D368ED0" w14:textId="3960E894"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3111C7C3"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$0–$10,065</w:t>
            </w:r>
          </w:p>
        </w:tc>
        <w:tc>
          <w:tcPr>
            <w:tcW w:w="482" w:type="pct"/>
            <w:vAlign w:val="center"/>
          </w:tcPr>
          <w:p w14:paraId="1229439B"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47</w:t>
            </w:r>
          </w:p>
        </w:tc>
      </w:tr>
      <w:tr w:rsidR="00116BC8" w:rsidRPr="00116BC8" w14:paraId="58FF777D"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05929E8B" w14:textId="5865B494"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4c. Diagnostic Imaging</w:t>
            </w:r>
          </w:p>
        </w:tc>
        <w:tc>
          <w:tcPr>
            <w:tcW w:w="496" w:type="pct"/>
            <w:noWrap/>
            <w:vAlign w:val="center"/>
          </w:tcPr>
          <w:p w14:paraId="64D8F96F" w14:textId="0E74BF3A"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i/>
                <w:iCs/>
                <w:szCs w:val="20"/>
              </w:rPr>
            </w:pPr>
            <w:r w:rsidRPr="00116BC8">
              <w:rPr>
                <w:rFonts w:cs="Calibri"/>
                <w:i/>
                <w:iCs/>
                <w:color w:val="000000"/>
                <w:szCs w:val="20"/>
              </w:rPr>
              <w:t xml:space="preserve"> $0.8</w:t>
            </w:r>
            <w:r w:rsidR="00524E37">
              <w:rPr>
                <w:rFonts w:cs="Calibri"/>
                <w:i/>
                <w:iCs/>
                <w:color w:val="000000"/>
                <w:szCs w:val="20"/>
              </w:rPr>
              <w:t xml:space="preserve"> </w:t>
            </w:r>
            <w:r w:rsidRPr="00CF3741">
              <w:rPr>
                <w:rFonts w:cs="Calibri"/>
                <w:i/>
                <w:iCs/>
                <w:color w:val="000000"/>
                <w:szCs w:val="20"/>
              </w:rPr>
              <w:t>m</w:t>
            </w:r>
          </w:p>
        </w:tc>
        <w:tc>
          <w:tcPr>
            <w:tcW w:w="481" w:type="pct"/>
            <w:vAlign w:val="center"/>
          </w:tcPr>
          <w:p w14:paraId="72E60757"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6.2%</w:t>
            </w:r>
          </w:p>
        </w:tc>
        <w:tc>
          <w:tcPr>
            <w:tcW w:w="481" w:type="pct"/>
            <w:vAlign w:val="center"/>
          </w:tcPr>
          <w:p w14:paraId="7DB483A5"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$9,318 </w:t>
            </w:r>
          </w:p>
        </w:tc>
        <w:tc>
          <w:tcPr>
            <w:tcW w:w="543" w:type="pct"/>
            <w:vAlign w:val="center"/>
          </w:tcPr>
          <w:p w14:paraId="112B58A4" w14:textId="733B8FC3"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46F43D41"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$0–$416,619</w:t>
            </w:r>
          </w:p>
        </w:tc>
        <w:tc>
          <w:tcPr>
            <w:tcW w:w="482" w:type="pct"/>
            <w:vAlign w:val="center"/>
          </w:tcPr>
          <w:p w14:paraId="22DED0DD"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79</w:t>
            </w:r>
          </w:p>
        </w:tc>
      </w:tr>
      <w:tr w:rsidR="00116BC8" w:rsidRPr="00116BC8" w14:paraId="7DF99BF2"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5B97E201" w14:textId="60FAD620"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4d. Operations</w:t>
            </w:r>
          </w:p>
        </w:tc>
        <w:tc>
          <w:tcPr>
            <w:tcW w:w="496" w:type="pct"/>
            <w:noWrap/>
            <w:vAlign w:val="center"/>
          </w:tcPr>
          <w:p w14:paraId="6CC63A45" w14:textId="3400EBFF"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i/>
                <w:iCs/>
                <w:szCs w:val="20"/>
              </w:rPr>
            </w:pPr>
            <w:r w:rsidRPr="00116BC8">
              <w:rPr>
                <w:rFonts w:cs="Calibri"/>
                <w:i/>
                <w:iCs/>
                <w:color w:val="000000"/>
                <w:szCs w:val="20"/>
              </w:rPr>
              <w:t>$0.5</w:t>
            </w:r>
            <w:r w:rsidR="00524E37">
              <w:rPr>
                <w:rFonts w:cs="Calibri"/>
                <w:i/>
                <w:iCs/>
                <w:color w:val="000000"/>
                <w:szCs w:val="20"/>
              </w:rPr>
              <w:t xml:space="preserve"> </w:t>
            </w:r>
            <w:r w:rsidRPr="00CF3741">
              <w:rPr>
                <w:rFonts w:cs="Calibri"/>
                <w:i/>
                <w:iCs/>
                <w:color w:val="000000"/>
                <w:szCs w:val="20"/>
              </w:rPr>
              <w:t>m</w:t>
            </w:r>
          </w:p>
        </w:tc>
        <w:tc>
          <w:tcPr>
            <w:tcW w:w="481" w:type="pct"/>
            <w:vAlign w:val="center"/>
          </w:tcPr>
          <w:p w14:paraId="0BB65737"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3.7%</w:t>
            </w:r>
          </w:p>
        </w:tc>
        <w:tc>
          <w:tcPr>
            <w:tcW w:w="481" w:type="pct"/>
            <w:vAlign w:val="center"/>
          </w:tcPr>
          <w:p w14:paraId="6D3C8D0E"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$5,615 </w:t>
            </w:r>
          </w:p>
        </w:tc>
        <w:tc>
          <w:tcPr>
            <w:tcW w:w="543" w:type="pct"/>
            <w:vAlign w:val="center"/>
          </w:tcPr>
          <w:p w14:paraId="46FC3524"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$2,022 </w:t>
            </w:r>
          </w:p>
        </w:tc>
        <w:tc>
          <w:tcPr>
            <w:tcW w:w="663" w:type="pct"/>
            <w:vAlign w:val="center"/>
          </w:tcPr>
          <w:p w14:paraId="548F8503"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$0–$63,635</w:t>
            </w:r>
          </w:p>
        </w:tc>
        <w:tc>
          <w:tcPr>
            <w:tcW w:w="482" w:type="pct"/>
            <w:vAlign w:val="center"/>
          </w:tcPr>
          <w:p w14:paraId="20EEA340"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4</w:t>
            </w:r>
          </w:p>
        </w:tc>
      </w:tr>
      <w:tr w:rsidR="00116BC8" w:rsidRPr="00116BC8" w14:paraId="52C32470"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6BE0A0FA" w14:textId="0E20BBF7"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4e. Obstetrics</w:t>
            </w:r>
          </w:p>
        </w:tc>
        <w:tc>
          <w:tcPr>
            <w:tcW w:w="496" w:type="pct"/>
            <w:noWrap/>
            <w:vAlign w:val="center"/>
          </w:tcPr>
          <w:p w14:paraId="238C7FA6" w14:textId="02B7142C" w:rsidR="00116BC8" w:rsidRPr="00116BC8" w:rsidRDefault="00116BC8" w:rsidP="00116BC8">
            <w:pPr>
              <w:spacing w:after="0"/>
              <w:jc w:val="right"/>
              <w:cnfStyle w:val="000000000000" w:firstRow="0" w:lastRow="0" w:firstColumn="0" w:lastColumn="0" w:oddVBand="0" w:evenVBand="0" w:oddHBand="0" w:evenHBand="0" w:firstRowFirstColumn="0" w:firstRowLastColumn="0" w:lastRowFirstColumn="0" w:lastRowLastColumn="0"/>
              <w:rPr>
                <w:rFonts w:cs="Calibri"/>
                <w:i/>
                <w:iCs/>
                <w:color w:val="000000"/>
                <w:spacing w:val="0"/>
                <w:szCs w:val="20"/>
              </w:rPr>
            </w:pPr>
            <w:r w:rsidRPr="00116BC8">
              <w:rPr>
                <w:rFonts w:cs="Calibri"/>
                <w:i/>
                <w:iCs/>
                <w:color w:val="000000"/>
                <w:szCs w:val="20"/>
              </w:rPr>
              <w:t>$0.1</w:t>
            </w:r>
            <w:r w:rsidR="00524E37">
              <w:rPr>
                <w:rFonts w:cs="Calibri"/>
                <w:i/>
                <w:iCs/>
                <w:color w:val="000000"/>
                <w:szCs w:val="20"/>
              </w:rPr>
              <w:t xml:space="preserve"> </w:t>
            </w:r>
            <w:r w:rsidRPr="00CF3741">
              <w:rPr>
                <w:rFonts w:cs="Calibri"/>
                <w:i/>
                <w:iCs/>
                <w:color w:val="000000"/>
                <w:szCs w:val="20"/>
              </w:rPr>
              <w:t>m</w:t>
            </w:r>
          </w:p>
        </w:tc>
        <w:tc>
          <w:tcPr>
            <w:tcW w:w="481" w:type="pct"/>
            <w:vAlign w:val="center"/>
          </w:tcPr>
          <w:p w14:paraId="6009BB46"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1.1%</w:t>
            </w:r>
          </w:p>
        </w:tc>
        <w:tc>
          <w:tcPr>
            <w:tcW w:w="481" w:type="pct"/>
            <w:vAlign w:val="center"/>
          </w:tcPr>
          <w:p w14:paraId="70626091"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$1,775 </w:t>
            </w:r>
          </w:p>
        </w:tc>
        <w:tc>
          <w:tcPr>
            <w:tcW w:w="543" w:type="pct"/>
            <w:vAlign w:val="center"/>
          </w:tcPr>
          <w:p w14:paraId="091F8959" w14:textId="263AD7F8"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19E4D9C0"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$0–$43,103</w:t>
            </w:r>
          </w:p>
        </w:tc>
        <w:tc>
          <w:tcPr>
            <w:tcW w:w="482" w:type="pct"/>
            <w:vAlign w:val="center"/>
          </w:tcPr>
          <w:p w14:paraId="7B8259FC"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59</w:t>
            </w:r>
          </w:p>
        </w:tc>
      </w:tr>
      <w:tr w:rsidR="00116BC8" w:rsidRPr="00116BC8" w14:paraId="1610CA4E"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2359BB53" w14:textId="427459C5"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4f. Specialist Services</w:t>
            </w:r>
          </w:p>
        </w:tc>
        <w:tc>
          <w:tcPr>
            <w:tcW w:w="496" w:type="pct"/>
            <w:noWrap/>
            <w:vAlign w:val="center"/>
          </w:tcPr>
          <w:p w14:paraId="44742270" w14:textId="7EA73CAA"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i/>
                <w:iCs/>
                <w:szCs w:val="20"/>
              </w:rPr>
            </w:pPr>
            <w:r w:rsidRPr="00116BC8">
              <w:rPr>
                <w:rFonts w:cs="Calibri"/>
                <w:i/>
                <w:iCs/>
                <w:color w:val="000000"/>
                <w:szCs w:val="20"/>
              </w:rPr>
              <w:t xml:space="preserve"> $0.1</w:t>
            </w:r>
            <w:r w:rsidR="00524E37">
              <w:rPr>
                <w:rFonts w:cs="Calibri"/>
                <w:i/>
                <w:iCs/>
                <w:color w:val="000000"/>
                <w:szCs w:val="20"/>
              </w:rPr>
              <w:t xml:space="preserve"> </w:t>
            </w:r>
            <w:r w:rsidRPr="00CF3741">
              <w:rPr>
                <w:rFonts w:cs="Calibri"/>
                <w:i/>
                <w:iCs/>
                <w:color w:val="000000"/>
                <w:szCs w:val="20"/>
              </w:rPr>
              <w:t>m</w:t>
            </w:r>
            <w:r w:rsidRPr="00116BC8">
              <w:rPr>
                <w:rFonts w:cs="Calibri"/>
                <w:i/>
                <w:iCs/>
                <w:color w:val="000000"/>
                <w:szCs w:val="20"/>
              </w:rPr>
              <w:t xml:space="preserve"> </w:t>
            </w:r>
          </w:p>
        </w:tc>
        <w:tc>
          <w:tcPr>
            <w:tcW w:w="481" w:type="pct"/>
            <w:vAlign w:val="center"/>
          </w:tcPr>
          <w:p w14:paraId="365A00E0"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0.8%</w:t>
            </w:r>
          </w:p>
        </w:tc>
        <w:tc>
          <w:tcPr>
            <w:tcW w:w="481" w:type="pct"/>
            <w:vAlign w:val="center"/>
          </w:tcPr>
          <w:p w14:paraId="35E05137"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$1,424 </w:t>
            </w:r>
          </w:p>
        </w:tc>
        <w:tc>
          <w:tcPr>
            <w:tcW w:w="543" w:type="pct"/>
            <w:vAlign w:val="center"/>
          </w:tcPr>
          <w:p w14:paraId="79987B86" w14:textId="3D2E3104"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 xml:space="preserve"> $0</w:t>
            </w:r>
            <w:r w:rsidR="009A4F03">
              <w:rPr>
                <w:rFonts w:cs="Calibri"/>
                <w:i/>
                <w:iCs/>
                <w:color w:val="000000"/>
                <w:szCs w:val="20"/>
              </w:rPr>
              <w:t xml:space="preserve"> </w:t>
            </w:r>
          </w:p>
        </w:tc>
        <w:tc>
          <w:tcPr>
            <w:tcW w:w="663" w:type="pct"/>
            <w:vAlign w:val="center"/>
          </w:tcPr>
          <w:p w14:paraId="69C7CDFF"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$0–$45,950</w:t>
            </w:r>
          </w:p>
        </w:tc>
        <w:tc>
          <w:tcPr>
            <w:tcW w:w="482" w:type="pct"/>
            <w:vAlign w:val="center"/>
          </w:tcPr>
          <w:p w14:paraId="31369577"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i/>
                <w:iCs/>
                <w:color w:val="000000"/>
                <w:szCs w:val="20"/>
              </w:rPr>
            </w:pPr>
            <w:r w:rsidRPr="00116BC8">
              <w:rPr>
                <w:rFonts w:cs="Calibri"/>
                <w:i/>
                <w:iCs/>
                <w:color w:val="000000"/>
                <w:szCs w:val="20"/>
              </w:rPr>
              <w:t>82</w:t>
            </w:r>
          </w:p>
        </w:tc>
      </w:tr>
      <w:tr w:rsidR="00116BC8" w:rsidRPr="00116BC8" w14:paraId="351E88AF" w14:textId="77777777" w:rsidTr="005F117A">
        <w:trPr>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1D2DBE2C" w14:textId="1E3C88EA" w:rsidR="00116BC8" w:rsidRPr="00116BC8" w:rsidRDefault="009A4F03" w:rsidP="00116BC8">
            <w:pPr>
              <w:spacing w:after="160" w:line="259" w:lineRule="auto"/>
              <w:rPr>
                <w:b w:val="0"/>
                <w:bCs/>
                <w:i/>
                <w:iCs/>
              </w:rPr>
            </w:pPr>
            <w:r>
              <w:rPr>
                <w:b w:val="0"/>
                <w:bCs/>
                <w:i/>
                <w:iCs/>
              </w:rPr>
              <w:t xml:space="preserve"> </w:t>
            </w:r>
            <w:r w:rsidR="00116BC8" w:rsidRPr="00116BC8">
              <w:rPr>
                <w:b w:val="0"/>
                <w:bCs/>
                <w:i/>
                <w:iCs/>
              </w:rPr>
              <w:t>4g. Other MBS items (sub-total)</w:t>
            </w:r>
          </w:p>
        </w:tc>
        <w:tc>
          <w:tcPr>
            <w:tcW w:w="496" w:type="pct"/>
            <w:noWrap/>
            <w:vAlign w:val="center"/>
          </w:tcPr>
          <w:p w14:paraId="7EE55B6C" w14:textId="6F54AAB9"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i/>
                <w:iCs/>
                <w:szCs w:val="20"/>
              </w:rPr>
            </w:pPr>
            <w:r w:rsidRPr="00116BC8">
              <w:rPr>
                <w:rFonts w:cs="Calibri"/>
                <w:i/>
                <w:iCs/>
                <w:color w:val="000000"/>
                <w:szCs w:val="20"/>
              </w:rPr>
              <w:t xml:space="preserve"> $1.1</w:t>
            </w:r>
            <w:r w:rsidR="00524E37">
              <w:rPr>
                <w:rFonts w:cs="Calibri"/>
                <w:i/>
                <w:iCs/>
                <w:color w:val="000000"/>
                <w:szCs w:val="20"/>
              </w:rPr>
              <w:t xml:space="preserve"> </w:t>
            </w:r>
            <w:r w:rsidRPr="00CF3741">
              <w:rPr>
                <w:rFonts w:cs="Calibri"/>
                <w:i/>
                <w:iCs/>
                <w:color w:val="000000"/>
                <w:szCs w:val="20"/>
              </w:rPr>
              <w:t>m</w:t>
            </w:r>
            <w:r w:rsidRPr="00116BC8">
              <w:rPr>
                <w:rFonts w:cs="Calibri"/>
                <w:i/>
                <w:iCs/>
                <w:color w:val="000000"/>
                <w:szCs w:val="20"/>
              </w:rPr>
              <w:t xml:space="preserve"> </w:t>
            </w:r>
          </w:p>
        </w:tc>
        <w:tc>
          <w:tcPr>
            <w:tcW w:w="481" w:type="pct"/>
            <w:vAlign w:val="center"/>
          </w:tcPr>
          <w:p w14:paraId="3FF13C57"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8.3%</w:t>
            </w:r>
          </w:p>
        </w:tc>
        <w:tc>
          <w:tcPr>
            <w:tcW w:w="481" w:type="pct"/>
            <w:vAlign w:val="center"/>
          </w:tcPr>
          <w:p w14:paraId="24A4A40F"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$12,456 </w:t>
            </w:r>
          </w:p>
        </w:tc>
        <w:tc>
          <w:tcPr>
            <w:tcW w:w="543" w:type="pct"/>
            <w:vAlign w:val="center"/>
          </w:tcPr>
          <w:p w14:paraId="5B368DBE"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 xml:space="preserve"> $4,864 </w:t>
            </w:r>
          </w:p>
        </w:tc>
        <w:tc>
          <w:tcPr>
            <w:tcW w:w="663" w:type="pct"/>
            <w:vAlign w:val="center"/>
          </w:tcPr>
          <w:p w14:paraId="56E89800"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$0–$102,187</w:t>
            </w:r>
          </w:p>
        </w:tc>
        <w:tc>
          <w:tcPr>
            <w:tcW w:w="482" w:type="pct"/>
            <w:vAlign w:val="center"/>
          </w:tcPr>
          <w:p w14:paraId="341C1A02" w14:textId="77777777" w:rsidR="00116BC8" w:rsidRPr="00116BC8" w:rsidRDefault="00116BC8" w:rsidP="00116BC8">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sidRPr="00116BC8">
              <w:rPr>
                <w:rFonts w:cs="Calibri"/>
                <w:i/>
                <w:iCs/>
                <w:color w:val="000000"/>
                <w:szCs w:val="20"/>
              </w:rPr>
              <w:t>3</w:t>
            </w:r>
          </w:p>
        </w:tc>
      </w:tr>
      <w:tr w:rsidR="00116BC8" w:rsidRPr="00116BC8" w14:paraId="6287BC9F" w14:textId="77777777" w:rsidTr="005F117A">
        <w:trPr>
          <w:cnfStyle w:val="000000010000" w:firstRow="0" w:lastRow="0" w:firstColumn="0" w:lastColumn="0" w:oddVBand="0" w:evenVBand="0" w:oddHBand="0" w:evenHBand="1"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854" w:type="pct"/>
            <w:noWrap/>
            <w:hideMark/>
          </w:tcPr>
          <w:p w14:paraId="6F6E5FC3" w14:textId="77777777" w:rsidR="00116BC8" w:rsidRPr="00116BC8" w:rsidRDefault="00116BC8" w:rsidP="00116BC8">
            <w:pPr>
              <w:spacing w:after="160" w:line="259" w:lineRule="auto"/>
              <w:rPr>
                <w:sz w:val="22"/>
              </w:rPr>
            </w:pPr>
            <w:r w:rsidRPr="00116BC8">
              <w:rPr>
                <w:sz w:val="22"/>
              </w:rPr>
              <w:t>Total</w:t>
            </w:r>
          </w:p>
        </w:tc>
        <w:tc>
          <w:tcPr>
            <w:tcW w:w="496" w:type="pct"/>
            <w:noWrap/>
            <w:vAlign w:val="center"/>
          </w:tcPr>
          <w:p w14:paraId="785CB2E6" w14:textId="1567E1BE"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b/>
                <w:bCs/>
                <w:sz w:val="22"/>
                <w:highlight w:val="green"/>
              </w:rPr>
            </w:pPr>
            <w:r w:rsidRPr="00116BC8">
              <w:rPr>
                <w:rFonts w:cs="Calibri"/>
                <w:b/>
                <w:bCs/>
                <w:color w:val="000000"/>
                <w:sz w:val="22"/>
              </w:rPr>
              <w:t>$13.6</w:t>
            </w:r>
            <w:r w:rsidR="00524E37">
              <w:rPr>
                <w:rFonts w:cs="Calibri"/>
                <w:b/>
                <w:bCs/>
                <w:color w:val="000000"/>
                <w:sz w:val="22"/>
              </w:rPr>
              <w:t xml:space="preserve"> </w:t>
            </w:r>
            <w:r w:rsidRPr="00CF3741">
              <w:rPr>
                <w:rFonts w:cs="Calibri"/>
                <w:b/>
                <w:bCs/>
                <w:color w:val="000000"/>
                <w:sz w:val="22"/>
              </w:rPr>
              <w:t>m</w:t>
            </w:r>
          </w:p>
        </w:tc>
        <w:tc>
          <w:tcPr>
            <w:tcW w:w="481" w:type="pct"/>
            <w:vAlign w:val="center"/>
          </w:tcPr>
          <w:p w14:paraId="17481386"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100%</w:t>
            </w:r>
          </w:p>
        </w:tc>
        <w:tc>
          <w:tcPr>
            <w:tcW w:w="481" w:type="pct"/>
            <w:vAlign w:val="center"/>
          </w:tcPr>
          <w:p w14:paraId="4321B9CC"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 xml:space="preserve">$147,542 </w:t>
            </w:r>
          </w:p>
        </w:tc>
        <w:tc>
          <w:tcPr>
            <w:tcW w:w="543" w:type="pct"/>
            <w:vAlign w:val="center"/>
          </w:tcPr>
          <w:p w14:paraId="7FE190D6"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 xml:space="preserve">$54,615 </w:t>
            </w:r>
          </w:p>
        </w:tc>
        <w:tc>
          <w:tcPr>
            <w:tcW w:w="663" w:type="pct"/>
            <w:vAlign w:val="center"/>
          </w:tcPr>
          <w:p w14:paraId="0B7E57C2" w14:textId="77777777" w:rsidR="00116BC8" w:rsidRPr="00116BC8" w:rsidRDefault="00116BC8"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sidRPr="00116BC8">
              <w:rPr>
                <w:rFonts w:cs="Calibri"/>
                <w:b/>
                <w:bCs/>
                <w:color w:val="000000"/>
                <w:sz w:val="22"/>
              </w:rPr>
              <w:t>$76–$1,042,564</w:t>
            </w:r>
          </w:p>
        </w:tc>
        <w:tc>
          <w:tcPr>
            <w:tcW w:w="482" w:type="pct"/>
            <w:vAlign w:val="center"/>
          </w:tcPr>
          <w:p w14:paraId="08F96441" w14:textId="6963B85E" w:rsidR="00116BC8" w:rsidRPr="00116BC8" w:rsidRDefault="000E750B" w:rsidP="00116BC8">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b/>
                <w:bCs/>
                <w:color w:val="000000"/>
                <w:sz w:val="22"/>
              </w:rPr>
            </w:pPr>
            <w:r>
              <w:rPr>
                <w:rFonts w:cs="Calibri"/>
                <w:b/>
                <w:bCs/>
                <w:color w:val="000000"/>
                <w:sz w:val="22"/>
              </w:rPr>
              <w:t>0</w:t>
            </w:r>
          </w:p>
        </w:tc>
      </w:tr>
    </w:tbl>
    <w:p w14:paraId="57EDDC6C" w14:textId="2939F788" w:rsidR="00F23C7F" w:rsidRDefault="00F23C7F" w:rsidP="00116BC8">
      <w:pPr>
        <w:spacing w:after="0"/>
        <w:ind w:left="1440" w:firstLine="720"/>
        <w:rPr>
          <w:rFonts w:ascii="Garamond" w:eastAsia="Garamond" w:hAnsi="Garamond" w:cs="Times New Roman"/>
          <w:sz w:val="18"/>
          <w:szCs w:val="18"/>
        </w:rPr>
      </w:pPr>
      <w:bookmarkStart w:id="84" w:name="_Hlk72955115"/>
      <w:bookmarkEnd w:id="83"/>
      <w:r w:rsidRPr="00F23C7F">
        <w:rPr>
          <w:rFonts w:ascii="Garamond" w:eastAsia="Garamond" w:hAnsi="Garamond" w:cs="Times New Roman"/>
          <w:sz w:val="18"/>
          <w:szCs w:val="18"/>
        </w:rPr>
        <w:t xml:space="preserve">Source: MBS Data Extract, </w:t>
      </w:r>
      <w:r w:rsidR="00483091">
        <w:rPr>
          <w:rFonts w:ascii="Garamond" w:eastAsia="Garamond" w:hAnsi="Garamond" w:cs="Times New Roman"/>
          <w:sz w:val="18"/>
          <w:szCs w:val="18"/>
        </w:rPr>
        <w:t>2019</w:t>
      </w:r>
      <w:r w:rsidR="00EE4DD7">
        <w:rPr>
          <w:rFonts w:ascii="Garamond" w:eastAsia="Garamond" w:hAnsi="Garamond" w:cs="Times New Roman"/>
          <w:sz w:val="18"/>
          <w:szCs w:val="18"/>
        </w:rPr>
        <w:t>–</w:t>
      </w:r>
      <w:r w:rsidR="00483091">
        <w:rPr>
          <w:rFonts w:ascii="Garamond" w:eastAsia="Garamond" w:hAnsi="Garamond" w:cs="Times New Roman"/>
          <w:sz w:val="18"/>
          <w:szCs w:val="18"/>
        </w:rPr>
        <w:t xml:space="preserve">20, prepared </w:t>
      </w:r>
      <w:r w:rsidRPr="00F23C7F">
        <w:rPr>
          <w:rFonts w:ascii="Garamond" w:eastAsia="Garamond" w:hAnsi="Garamond" w:cs="Times New Roman"/>
          <w:sz w:val="18"/>
          <w:szCs w:val="18"/>
        </w:rPr>
        <w:t>for HMA Evalu</w:t>
      </w:r>
      <w:r w:rsidR="00BC63BD">
        <w:rPr>
          <w:rFonts w:ascii="Garamond" w:eastAsia="Garamond" w:hAnsi="Garamond" w:cs="Times New Roman"/>
          <w:sz w:val="18"/>
          <w:szCs w:val="18"/>
        </w:rPr>
        <w:t>a</w:t>
      </w:r>
      <w:r w:rsidRPr="00F23C7F">
        <w:rPr>
          <w:rFonts w:ascii="Garamond" w:eastAsia="Garamond" w:hAnsi="Garamond" w:cs="Times New Roman"/>
          <w:sz w:val="18"/>
          <w:szCs w:val="18"/>
        </w:rPr>
        <w:t>tion</w:t>
      </w:r>
      <w:r w:rsidR="00483091">
        <w:rPr>
          <w:rFonts w:ascii="Garamond" w:eastAsia="Garamond" w:hAnsi="Garamond" w:cs="Times New Roman"/>
          <w:sz w:val="18"/>
          <w:szCs w:val="18"/>
        </w:rPr>
        <w:t>.</w:t>
      </w:r>
    </w:p>
    <w:p w14:paraId="733DBA65" w14:textId="515ABBE5" w:rsidR="00F66DEB" w:rsidRDefault="00F66DEB" w:rsidP="00116BC8">
      <w:pPr>
        <w:spacing w:after="0"/>
        <w:ind w:left="1440" w:firstLine="720"/>
        <w:rPr>
          <w:rFonts w:ascii="Garamond" w:eastAsia="Garamond" w:hAnsi="Garamond" w:cs="Times New Roman"/>
          <w:sz w:val="18"/>
          <w:szCs w:val="18"/>
        </w:rPr>
      </w:pPr>
      <w:r>
        <w:rPr>
          <w:rFonts w:ascii="Garamond" w:eastAsia="Garamond" w:hAnsi="Garamond" w:cs="Times New Roman"/>
          <w:sz w:val="18"/>
          <w:szCs w:val="18"/>
        </w:rPr>
        <w:t xml:space="preserve">Definitions for MBS item numbers included in each aggregated category are given in Appendix </w:t>
      </w:r>
      <w:r w:rsidR="00026330">
        <w:rPr>
          <w:rFonts w:ascii="Garamond" w:eastAsia="Garamond" w:hAnsi="Garamond" w:cs="Times New Roman"/>
          <w:sz w:val="18"/>
          <w:szCs w:val="18"/>
        </w:rPr>
        <w:t>E</w:t>
      </w:r>
      <w:r>
        <w:rPr>
          <w:rFonts w:ascii="Garamond" w:eastAsia="Garamond" w:hAnsi="Garamond" w:cs="Times New Roman"/>
          <w:sz w:val="18"/>
          <w:szCs w:val="18"/>
        </w:rPr>
        <w:t>.</w:t>
      </w:r>
    </w:p>
    <w:p w14:paraId="4BF28B1F" w14:textId="376607DB" w:rsidR="00116BC8" w:rsidRDefault="00116BC8" w:rsidP="00BC63BD">
      <w:pPr>
        <w:spacing w:after="0"/>
        <w:rPr>
          <w:rFonts w:ascii="Garamond" w:eastAsia="Garamond" w:hAnsi="Garamond" w:cs="Times New Roman"/>
          <w:sz w:val="18"/>
          <w:szCs w:val="18"/>
        </w:rPr>
      </w:pPr>
    </w:p>
    <w:p w14:paraId="7C3AEE13" w14:textId="77777777" w:rsidR="00116BC8" w:rsidRDefault="00116BC8" w:rsidP="00BC63BD">
      <w:pPr>
        <w:spacing w:after="0"/>
        <w:rPr>
          <w:rFonts w:ascii="Garamond" w:eastAsia="Garamond" w:hAnsi="Garamond" w:cs="Times New Roman"/>
          <w:sz w:val="18"/>
          <w:szCs w:val="18"/>
        </w:rPr>
        <w:sectPr w:rsidR="00116BC8" w:rsidSect="00116BC8">
          <w:pgSz w:w="16838" w:h="11906" w:orient="landscape" w:code="9"/>
          <w:pgMar w:top="737" w:right="1304" w:bottom="1134" w:left="737" w:header="567" w:footer="284" w:gutter="0"/>
          <w:cols w:space="708"/>
          <w:docGrid w:linePitch="360"/>
        </w:sectPr>
      </w:pPr>
    </w:p>
    <w:bookmarkEnd w:id="84"/>
    <w:p w14:paraId="1675225B" w14:textId="7C2B96D6" w:rsidR="00D626D0" w:rsidRDefault="002533C1" w:rsidP="009D740F">
      <w:r>
        <w:lastRenderedPageBreak/>
        <w:t xml:space="preserve">The MBS claims data </w:t>
      </w:r>
      <w:r w:rsidR="00D626D0">
        <w:t>give</w:t>
      </w:r>
      <w:r>
        <w:t xml:space="preserve"> an indication of the level of resource input for primary care-related services provided by the Initiative to participating sites. However, assessing whether the Initiative can be considered to have ‘improved access to primary care’ is problematic from an evaluation perspective</w:t>
      </w:r>
      <w:r w:rsidR="00485125">
        <w:t xml:space="preserve"> for the following reasons</w:t>
      </w:r>
      <w:r w:rsidR="00D626D0">
        <w:t>:</w:t>
      </w:r>
    </w:p>
    <w:p w14:paraId="2BD3E107" w14:textId="03E4F8BC" w:rsidR="00D626D0" w:rsidRDefault="002533C1" w:rsidP="00D626D0">
      <w:pPr>
        <w:pStyle w:val="ListBullet"/>
      </w:pPr>
      <w:r>
        <w:t>First, there is no baseline information available on service delivery arrangements at each site prior to Initiative implementation</w:t>
      </w:r>
    </w:p>
    <w:p w14:paraId="50A84474" w14:textId="6ED21832" w:rsidR="00D626D0" w:rsidRDefault="002533C1" w:rsidP="00D626D0">
      <w:pPr>
        <w:pStyle w:val="ListBullet"/>
      </w:pPr>
      <w:r>
        <w:t xml:space="preserve">Furthermore, most current staff are not familiar with what services were in place under prior arrangements some time ago (up to </w:t>
      </w:r>
      <w:r w:rsidR="00485125">
        <w:t>14</w:t>
      </w:r>
      <w:r>
        <w:t xml:space="preserve"> years ago at many sites).</w:t>
      </w:r>
      <w:r w:rsidR="00D626D0">
        <w:t xml:space="preserve"> </w:t>
      </w:r>
    </w:p>
    <w:p w14:paraId="2EEF358E" w14:textId="0BD00844" w:rsidR="00BC63BD" w:rsidRDefault="000E750B" w:rsidP="00D626D0">
      <w:r>
        <w:t>I</w:t>
      </w:r>
      <w:r w:rsidR="00E74DBB">
        <w:t>mportantly</w:t>
      </w:r>
      <w:r w:rsidR="00254FE8">
        <w:t xml:space="preserve"> – </w:t>
      </w:r>
      <w:r w:rsidR="00E74DBB">
        <w:t>because of the implications for designing future Initiative agreements</w:t>
      </w:r>
      <w:r w:rsidR="00254FE8">
        <w:t xml:space="preserve"> – </w:t>
      </w:r>
      <w:r w:rsidR="00BC63BD">
        <w:t>the evaluation team</w:t>
      </w:r>
      <w:r w:rsidR="00E74DBB">
        <w:t xml:space="preserve"> </w:t>
      </w:r>
      <w:r w:rsidR="00BC63BD">
        <w:t xml:space="preserve">considered that the current MOU </w:t>
      </w:r>
      <w:r w:rsidR="004B16F0">
        <w:t>objective</w:t>
      </w:r>
      <w:r w:rsidR="00BC63BD">
        <w:t xml:space="preserve"> </w:t>
      </w:r>
      <w:r w:rsidR="004B16F0">
        <w:t xml:space="preserve">is too broadly specified. </w:t>
      </w:r>
      <w:r w:rsidR="00BC63BD">
        <w:t>There would be greater clarity around the Initiative</w:t>
      </w:r>
      <w:r w:rsidR="004B16F0">
        <w:t xml:space="preserve">’s impacts </w:t>
      </w:r>
      <w:r w:rsidR="00BC63BD">
        <w:t xml:space="preserve">if </w:t>
      </w:r>
      <w:r w:rsidR="004B16F0">
        <w:t xml:space="preserve">accessibility </w:t>
      </w:r>
      <w:r w:rsidR="00B07EB1">
        <w:t>were</w:t>
      </w:r>
      <w:r w:rsidR="00E74DBB">
        <w:t xml:space="preserve"> </w:t>
      </w:r>
      <w:r w:rsidR="00BC63BD">
        <w:t>considered from two perspectives</w:t>
      </w:r>
      <w:r w:rsidR="004B16F0">
        <w:t xml:space="preserve"> that can be compared to an objective standard</w:t>
      </w:r>
      <w:r w:rsidR="00BD167F">
        <w:t>. We suggest the following</w:t>
      </w:r>
      <w:r w:rsidR="006E2799">
        <w:t xml:space="preserve"> measures could be considered</w:t>
      </w:r>
      <w:r w:rsidR="00BC63BD">
        <w:t xml:space="preserve">: </w:t>
      </w:r>
    </w:p>
    <w:p w14:paraId="29E65CBB" w14:textId="2F1EDAB6" w:rsidR="00BC63BD" w:rsidRDefault="00E74DBB" w:rsidP="00B2799B">
      <w:pPr>
        <w:pStyle w:val="List"/>
        <w:numPr>
          <w:ilvl w:val="0"/>
          <w:numId w:val="19"/>
        </w:numPr>
      </w:pPr>
      <w:r w:rsidRPr="00254FE8">
        <w:rPr>
          <w:b/>
          <w:bCs/>
        </w:rPr>
        <w:t xml:space="preserve">Has the Initiative </w:t>
      </w:r>
      <w:r w:rsidR="004B16F0" w:rsidRPr="00254FE8">
        <w:rPr>
          <w:b/>
          <w:bCs/>
        </w:rPr>
        <w:t xml:space="preserve">ensured </w:t>
      </w:r>
      <w:r w:rsidRPr="00254FE8">
        <w:rPr>
          <w:b/>
          <w:bCs/>
        </w:rPr>
        <w:t>a</w:t>
      </w:r>
      <w:r w:rsidR="00BC63BD" w:rsidRPr="00254FE8">
        <w:rPr>
          <w:b/>
          <w:bCs/>
        </w:rPr>
        <w:t xml:space="preserve">ccess to </w:t>
      </w:r>
      <w:r w:rsidR="00254FE8" w:rsidRPr="00254FE8">
        <w:rPr>
          <w:b/>
          <w:bCs/>
        </w:rPr>
        <w:t xml:space="preserve">urgent and/or </w:t>
      </w:r>
      <w:r w:rsidR="00BC63BD" w:rsidRPr="00254FE8">
        <w:rPr>
          <w:b/>
          <w:bCs/>
        </w:rPr>
        <w:t>emergency medical</w:t>
      </w:r>
      <w:r w:rsidRPr="00254FE8">
        <w:rPr>
          <w:b/>
          <w:bCs/>
        </w:rPr>
        <w:t xml:space="preserve"> care?</w:t>
      </w:r>
      <w:r w:rsidR="00BC63BD">
        <w:t xml:space="preserve"> Typically</w:t>
      </w:r>
      <w:r w:rsidR="00E514A2">
        <w:t>,</w:t>
      </w:r>
      <w:r w:rsidR="00BC63BD">
        <w:t xml:space="preserve"> in a small rural town (MMM 5 or higher</w:t>
      </w:r>
      <w:r>
        <w:t>)</w:t>
      </w:r>
      <w:r w:rsidR="00BC63BD">
        <w:t>,</w:t>
      </w:r>
      <w:r>
        <w:t xml:space="preserve"> </w:t>
      </w:r>
      <w:r w:rsidR="00254FE8">
        <w:t xml:space="preserve">available </w:t>
      </w:r>
      <w:r>
        <w:t>medical care</w:t>
      </w:r>
      <w:r w:rsidR="00BC63BD">
        <w:t xml:space="preserve"> should include access to a medical practitioner on call or available via telehealth during daytime hours</w:t>
      </w:r>
      <w:r w:rsidR="004B16F0">
        <w:t xml:space="preserve"> (see for example</w:t>
      </w:r>
      <w:r w:rsidR="00BC63BD">
        <w:t xml:space="preserve"> </w:t>
      </w:r>
      <w:sdt>
        <w:sdtPr>
          <w:id w:val="1029829169"/>
          <w:citation/>
        </w:sdtPr>
        <w:sdtEndPr/>
        <w:sdtContent>
          <w:r w:rsidR="00BC63BD">
            <w:fldChar w:fldCharType="begin"/>
          </w:r>
          <w:r w:rsidR="00BC63BD">
            <w:instrText xml:space="preserve"> CITATION NSW19 \l 3081 </w:instrText>
          </w:r>
          <w:r w:rsidR="00BC63BD">
            <w:fldChar w:fldCharType="separate"/>
          </w:r>
          <w:r w:rsidR="003E36C4" w:rsidRPr="003E36C4">
            <w:rPr>
              <w:noProof/>
            </w:rPr>
            <w:t>[15]</w:t>
          </w:r>
          <w:r w:rsidR="00BC63BD">
            <w:fldChar w:fldCharType="end"/>
          </w:r>
        </w:sdtContent>
      </w:sdt>
      <w:r w:rsidR="00254FE8">
        <w:t>),</w:t>
      </w:r>
      <w:r w:rsidR="00BC63BD">
        <w:t xml:space="preserve"> and</w:t>
      </w:r>
    </w:p>
    <w:p w14:paraId="05804B1A" w14:textId="57A258C6" w:rsidR="00BC63BD" w:rsidRPr="00810599" w:rsidRDefault="00E74DBB" w:rsidP="00254FE8">
      <w:pPr>
        <w:pStyle w:val="List"/>
      </w:pPr>
      <w:r>
        <w:rPr>
          <w:b/>
          <w:bCs/>
        </w:rPr>
        <w:t xml:space="preserve">Has the Initiative </w:t>
      </w:r>
      <w:r w:rsidR="004B16F0">
        <w:rPr>
          <w:b/>
          <w:bCs/>
        </w:rPr>
        <w:t>ensured</w:t>
      </w:r>
      <w:r>
        <w:rPr>
          <w:b/>
          <w:bCs/>
        </w:rPr>
        <w:t xml:space="preserve"> access to i</w:t>
      </w:r>
      <w:r w:rsidR="00BC63BD" w:rsidRPr="00BA16F8">
        <w:rPr>
          <w:b/>
          <w:bCs/>
        </w:rPr>
        <w:t>ntegrated, comprehensive primary care</w:t>
      </w:r>
      <w:r>
        <w:rPr>
          <w:b/>
          <w:bCs/>
        </w:rPr>
        <w:t>?</w:t>
      </w:r>
      <w:r w:rsidR="00BC63BD">
        <w:t xml:space="preserve"> </w:t>
      </w:r>
      <w:r w:rsidR="004B16F0">
        <w:t>Such services should</w:t>
      </w:r>
      <w:r w:rsidR="00BC63BD">
        <w:t xml:space="preserve"> include provision of general practitioner care in association with nursing and allied health practitioners to deliver care management plans, chronic disease management, community-based mental </w:t>
      </w:r>
      <w:r w:rsidR="00E419DC">
        <w:t>healthcare</w:t>
      </w:r>
      <w:r w:rsidR="00BC63BD">
        <w:t xml:space="preserve">, maternal and child health, women’s health, family planning, and support for lifestyle management. The overall objective of </w:t>
      </w:r>
      <w:r w:rsidR="004B16F0">
        <w:t xml:space="preserve">integrated services should be to </w:t>
      </w:r>
      <w:r w:rsidR="00BC63BD">
        <w:t>promote health and wellbeing, assist people to rehabilitate and recover</w:t>
      </w:r>
      <w:r w:rsidR="004B16F0">
        <w:t>,</w:t>
      </w:r>
      <w:r w:rsidR="00BC63BD">
        <w:t xml:space="preserve"> and to support people to live at home</w:t>
      </w:r>
      <w:r w:rsidR="00524E37">
        <w:t>.</w:t>
      </w:r>
      <w:r w:rsidR="00BC63BD">
        <w:t xml:space="preserve"> </w:t>
      </w:r>
      <w:sdt>
        <w:sdtPr>
          <w:id w:val="-1925718507"/>
          <w:citation/>
        </w:sdtPr>
        <w:sdtEndPr/>
        <w:sdtContent>
          <w:r w:rsidR="00BC63BD">
            <w:fldChar w:fldCharType="begin"/>
          </w:r>
          <w:r w:rsidR="00DB737F">
            <w:instrText xml:space="preserve">CITATION Swe18 \l 3081 </w:instrText>
          </w:r>
          <w:r w:rsidR="00BC63BD">
            <w:fldChar w:fldCharType="separate"/>
          </w:r>
          <w:r w:rsidR="003E36C4" w:rsidRPr="003E36C4">
            <w:rPr>
              <w:noProof/>
            </w:rPr>
            <w:t>[16]</w:t>
          </w:r>
          <w:r w:rsidR="00BC63BD">
            <w:fldChar w:fldCharType="end"/>
          </w:r>
        </w:sdtContent>
      </w:sdt>
    </w:p>
    <w:p w14:paraId="53110BFE" w14:textId="0B39BE94" w:rsidR="006474C2" w:rsidRDefault="00BC63BD" w:rsidP="00CC2420">
      <w:r>
        <w:t xml:space="preserve">The </w:t>
      </w:r>
      <w:r w:rsidR="004B16F0">
        <w:t xml:space="preserve">evaluation </w:t>
      </w:r>
      <w:r>
        <w:t>case study analysis enabled a better understanding of the relative mix of these two different forms of primary care</w:t>
      </w:r>
      <w:r w:rsidR="004B16F0">
        <w:t xml:space="preserve"> accessibility</w:t>
      </w:r>
      <w:r w:rsidR="00BD167F">
        <w:t>, as defined above</w:t>
      </w:r>
      <w:r>
        <w:t xml:space="preserve">. </w:t>
      </w:r>
      <w:r w:rsidR="009D1D20">
        <w:t xml:space="preserve">In </w:t>
      </w:r>
      <w:r w:rsidR="00792BD3">
        <w:fldChar w:fldCharType="begin"/>
      </w:r>
      <w:r w:rsidR="00792BD3">
        <w:instrText xml:space="preserve"> REF _Ref76121491 \h </w:instrText>
      </w:r>
      <w:r w:rsidR="00792BD3">
        <w:fldChar w:fldCharType="separate"/>
      </w:r>
      <w:r w:rsidR="00C50B67">
        <w:t xml:space="preserve">Table </w:t>
      </w:r>
      <w:r w:rsidR="00C50B67">
        <w:rPr>
          <w:noProof/>
        </w:rPr>
        <w:t>4</w:t>
      </w:r>
      <w:r w:rsidR="00C50B67">
        <w:t>.</w:t>
      </w:r>
      <w:r w:rsidR="00C50B67">
        <w:rPr>
          <w:noProof/>
        </w:rPr>
        <w:t>2</w:t>
      </w:r>
      <w:r w:rsidR="00792BD3">
        <w:fldChar w:fldCharType="end"/>
      </w:r>
      <w:r w:rsidR="009D1D20">
        <w:t xml:space="preserve"> </w:t>
      </w:r>
      <w:r w:rsidR="00F6479E">
        <w:t xml:space="preserve">(see next page) </w:t>
      </w:r>
      <w:r w:rsidR="009D1D20">
        <w:t xml:space="preserve">we </w:t>
      </w:r>
      <w:r w:rsidR="00BD1240">
        <w:t>compare</w:t>
      </w:r>
      <w:r w:rsidR="009D1D20">
        <w:t xml:space="preserve"> the levels of engagement</w:t>
      </w:r>
      <w:r w:rsidR="00254FE8">
        <w:t xml:space="preserve"> in emergency care and integrated primary care at</w:t>
      </w:r>
      <w:r w:rsidR="009D1D20">
        <w:t xml:space="preserve"> the 10 case study sites.</w:t>
      </w:r>
      <w:r w:rsidR="006474C2">
        <w:t xml:space="preserve"> </w:t>
      </w:r>
      <w:r w:rsidR="002E14BF">
        <w:t xml:space="preserve">It is noteworthy from </w:t>
      </w:r>
      <w:r w:rsidR="006474C2">
        <w:t>this assessment that:</w:t>
      </w:r>
    </w:p>
    <w:p w14:paraId="61B90650" w14:textId="321F1449" w:rsidR="00F23C7F" w:rsidRPr="002E14BF" w:rsidRDefault="002533C1" w:rsidP="006474C2">
      <w:pPr>
        <w:pStyle w:val="ListBullet"/>
      </w:pPr>
      <w:r>
        <w:rPr>
          <w:b/>
          <w:bCs/>
        </w:rPr>
        <w:t>The Initiative’s funding</w:t>
      </w:r>
      <w:r w:rsidR="00BD1240" w:rsidRPr="0079734E">
        <w:rPr>
          <w:b/>
          <w:bCs/>
        </w:rPr>
        <w:t xml:space="preserve"> at </w:t>
      </w:r>
      <w:r w:rsidR="00792BD3">
        <w:rPr>
          <w:b/>
          <w:bCs/>
        </w:rPr>
        <w:t>eight</w:t>
      </w:r>
      <w:r w:rsidR="006474C2" w:rsidRPr="0079734E">
        <w:rPr>
          <w:b/>
          <w:bCs/>
        </w:rPr>
        <w:t xml:space="preserve"> of the 10 case study sites </w:t>
      </w:r>
      <w:r w:rsidR="00BD1240" w:rsidRPr="0079734E">
        <w:rPr>
          <w:b/>
          <w:bCs/>
        </w:rPr>
        <w:t xml:space="preserve">had increased access to </w:t>
      </w:r>
      <w:r w:rsidR="00BF35EB">
        <w:rPr>
          <w:b/>
          <w:bCs/>
        </w:rPr>
        <w:t>urgent/</w:t>
      </w:r>
      <w:r w:rsidR="00BD1240" w:rsidRPr="0079734E">
        <w:rPr>
          <w:b/>
          <w:bCs/>
        </w:rPr>
        <w:t xml:space="preserve">emergency care </w:t>
      </w:r>
      <w:r w:rsidR="00BD1240">
        <w:t>b</w:t>
      </w:r>
      <w:r w:rsidR="0079734E">
        <w:t>y ensuring these</w:t>
      </w:r>
      <w:r w:rsidR="00BD1240">
        <w:t xml:space="preserve"> arrangements </w:t>
      </w:r>
      <w:r w:rsidR="0079734E">
        <w:t>were</w:t>
      </w:r>
      <w:r w:rsidR="00BD1240">
        <w:t xml:space="preserve"> sustainable</w:t>
      </w:r>
      <w:r w:rsidR="0079734E">
        <w:t xml:space="preserve"> over the medium term (greater than 12 months)</w:t>
      </w:r>
      <w:r w:rsidR="00BD1240">
        <w:t xml:space="preserve">. At those </w:t>
      </w:r>
      <w:r w:rsidR="00792BD3">
        <w:t>eight</w:t>
      </w:r>
      <w:r w:rsidR="00BD1240">
        <w:t xml:space="preserve"> sites the arrangements typically involved doctors living in the town and providing 24</w:t>
      </w:r>
      <w:r w:rsidR="00792BD3">
        <w:noBreakHyphen/>
      </w:r>
      <w:r w:rsidR="00BD1240">
        <w:t>hour cover</w:t>
      </w:r>
      <w:r w:rsidR="0079734E">
        <w:t xml:space="preserve"> </w:t>
      </w:r>
      <w:r w:rsidR="00BD1240">
        <w:t>via on</w:t>
      </w:r>
      <w:r w:rsidR="00792BD3">
        <w:t>-</w:t>
      </w:r>
      <w:r w:rsidR="00BD1240">
        <w:t xml:space="preserve">call arrangements. </w:t>
      </w:r>
      <w:r w:rsidR="00BD1240">
        <w:rPr>
          <w:iCs/>
        </w:rPr>
        <w:t xml:space="preserve">At one site (Proserpine) the emergency care </w:t>
      </w:r>
      <w:r w:rsidR="00026330">
        <w:rPr>
          <w:iCs/>
        </w:rPr>
        <w:t xml:space="preserve">model introduced as a direct result of the Initiative </w:t>
      </w:r>
      <w:r w:rsidR="0079734E">
        <w:rPr>
          <w:iCs/>
        </w:rPr>
        <w:t xml:space="preserve">was more extensive </w:t>
      </w:r>
      <w:r w:rsidR="00F83796">
        <w:rPr>
          <w:iCs/>
        </w:rPr>
        <w:t xml:space="preserve">(see </w:t>
      </w:r>
      <w:r w:rsidR="00026330">
        <w:rPr>
          <w:iCs/>
        </w:rPr>
        <w:t>C</w:t>
      </w:r>
      <w:r w:rsidR="00F83796">
        <w:rPr>
          <w:iCs/>
        </w:rPr>
        <w:t xml:space="preserve">ase </w:t>
      </w:r>
      <w:r w:rsidR="00026330">
        <w:rPr>
          <w:iCs/>
        </w:rPr>
        <w:t>S</w:t>
      </w:r>
      <w:r w:rsidR="00F83796">
        <w:rPr>
          <w:iCs/>
        </w:rPr>
        <w:t xml:space="preserve">tudy </w:t>
      </w:r>
      <w:r w:rsidR="00026330">
        <w:rPr>
          <w:iCs/>
        </w:rPr>
        <w:t>B</w:t>
      </w:r>
      <w:r w:rsidR="00F83796">
        <w:rPr>
          <w:iCs/>
        </w:rPr>
        <w:t>ox</w:t>
      </w:r>
      <w:r w:rsidR="00026330">
        <w:rPr>
          <w:iCs/>
        </w:rPr>
        <w:t xml:space="preserve"> #1</w:t>
      </w:r>
      <w:r w:rsidR="00792BD3">
        <w:rPr>
          <w:iCs/>
        </w:rPr>
        <w:t xml:space="preserve"> on page 30</w:t>
      </w:r>
      <w:r w:rsidR="00F83796">
        <w:rPr>
          <w:iCs/>
        </w:rPr>
        <w:t>)</w:t>
      </w:r>
      <w:r w:rsidR="0079734E">
        <w:rPr>
          <w:iCs/>
        </w:rPr>
        <w:t>.</w:t>
      </w:r>
    </w:p>
    <w:p w14:paraId="76A0D91F" w14:textId="07CE5857" w:rsidR="00BD167F" w:rsidRDefault="002E14BF" w:rsidP="00FE5465">
      <w:pPr>
        <w:pStyle w:val="ListBullet"/>
      </w:pPr>
      <w:r>
        <w:rPr>
          <w:b/>
          <w:bCs/>
        </w:rPr>
        <w:t xml:space="preserve">The Initiative was less effective in supporting access to integrated, comprehensive primary </w:t>
      </w:r>
      <w:r w:rsidR="00E419DC">
        <w:rPr>
          <w:b/>
          <w:bCs/>
        </w:rPr>
        <w:t>healthcare</w:t>
      </w:r>
      <w:r>
        <w:rPr>
          <w:b/>
          <w:bCs/>
        </w:rPr>
        <w:t xml:space="preserve">. </w:t>
      </w:r>
      <w:r>
        <w:t xml:space="preserve">In </w:t>
      </w:r>
      <w:r w:rsidR="00792BD3">
        <w:t>six</w:t>
      </w:r>
      <w:r>
        <w:t xml:space="preserve"> of the case study towns (Nyngan, Quirindi, Tennant Creek, Jabiru, Kununurra and Meekatha</w:t>
      </w:r>
      <w:r w:rsidR="00F97F43">
        <w:t>r</w:t>
      </w:r>
      <w:r>
        <w:t xml:space="preserve">ra) the hospital/clinic based medical care </w:t>
      </w:r>
      <w:r w:rsidR="00031993">
        <w:t xml:space="preserve">focussed </w:t>
      </w:r>
      <w:r>
        <w:t>urgent / emergency medical care</w:t>
      </w:r>
      <w:r w:rsidR="001045B5">
        <w:t>. There were several reasons for this</w:t>
      </w:r>
      <w:r w:rsidR="00BD167F">
        <w:t>:</w:t>
      </w:r>
    </w:p>
    <w:p w14:paraId="1F90833C" w14:textId="73108056" w:rsidR="00BD167F" w:rsidRDefault="002E14BF" w:rsidP="00BD167F">
      <w:pPr>
        <w:pStyle w:val="ListBullet2"/>
      </w:pPr>
      <w:r>
        <w:t>the hospital-based nature of the service (</w:t>
      </w:r>
      <w:r w:rsidR="00FE5465">
        <w:t>e.g.</w:t>
      </w:r>
      <w:r w:rsidR="00416976">
        <w:t>,</w:t>
      </w:r>
      <w:r w:rsidR="00FE5465">
        <w:t xml:space="preserve"> </w:t>
      </w:r>
      <w:r>
        <w:t>use of patient management systems (PMS)</w:t>
      </w:r>
      <w:r w:rsidR="00031993">
        <w:t>)</w:t>
      </w:r>
      <w:r>
        <w:t xml:space="preserve"> was primarily for MBS billing functions</w:t>
      </w:r>
      <w:r w:rsidR="009C3F50">
        <w:t xml:space="preserve">, </w:t>
      </w:r>
      <w:r w:rsidR="00FE5465">
        <w:t>not patient recall and ongoing clinical management</w:t>
      </w:r>
      <w:r w:rsidR="00BD167F">
        <w:t xml:space="preserve">, </w:t>
      </w:r>
      <w:r w:rsidR="00FE5465">
        <w:t xml:space="preserve">and </w:t>
      </w:r>
    </w:p>
    <w:p w14:paraId="24AF8003" w14:textId="314B706F" w:rsidR="009074B6" w:rsidRDefault="00FE5465" w:rsidP="009074B6">
      <w:pPr>
        <w:pStyle w:val="ListBullet2"/>
      </w:pPr>
      <w:r>
        <w:t>there w</w:t>
      </w:r>
      <w:r w:rsidR="00BD167F">
        <w:t>ere</w:t>
      </w:r>
      <w:r>
        <w:t xml:space="preserve"> limited referral pathways to other locally</w:t>
      </w:r>
      <w:r w:rsidR="00416976">
        <w:t xml:space="preserve"> </w:t>
      </w:r>
      <w:r>
        <w:t xml:space="preserve">based primary care clinicians for ongoing management beyond the acute presentation. </w:t>
      </w:r>
      <w:r w:rsidR="003566EC">
        <w:t xml:space="preserve">This </w:t>
      </w:r>
      <w:r w:rsidR="009C3F50">
        <w:t>la</w:t>
      </w:r>
      <w:r w:rsidR="0026764E">
        <w:t xml:space="preserve">ck </w:t>
      </w:r>
      <w:r w:rsidR="009C3F50">
        <w:t xml:space="preserve">of referral was not surprising because </w:t>
      </w:r>
      <w:r w:rsidR="003566EC">
        <w:t xml:space="preserve">at </w:t>
      </w:r>
      <w:r w:rsidR="00031993">
        <w:t xml:space="preserve">several of these </w:t>
      </w:r>
      <w:r w:rsidR="003566EC">
        <w:t xml:space="preserve">case study sites </w:t>
      </w:r>
      <w:r w:rsidR="00386E36">
        <w:t>there w</w:t>
      </w:r>
      <w:r w:rsidR="009C3F50">
        <w:t>ere</w:t>
      </w:r>
      <w:r w:rsidR="00386E36">
        <w:t xml:space="preserve"> limited numbers of nurse practitioners and/or allied health practitioners available to support non-acute needs.</w:t>
      </w:r>
    </w:p>
    <w:p w14:paraId="5E692472" w14:textId="4F3F02A4" w:rsidR="009D1D20" w:rsidRDefault="009D1D20" w:rsidP="00CC2420"/>
    <w:p w14:paraId="3F552206" w14:textId="031996C5" w:rsidR="00F83796" w:rsidRDefault="00F83796" w:rsidP="00CC2420"/>
    <w:p w14:paraId="07B9B2DA" w14:textId="5F446BC1" w:rsidR="00F83796" w:rsidRDefault="00F83796" w:rsidP="00CC2420"/>
    <w:p w14:paraId="5EE6B3C9" w14:textId="0ED3428B" w:rsidR="00F83796" w:rsidRDefault="00F83796" w:rsidP="00CC2420"/>
    <w:p w14:paraId="079AE306" w14:textId="22136437" w:rsidR="00D626D0" w:rsidRDefault="00D626D0" w:rsidP="00CC2420"/>
    <w:p w14:paraId="5CF85DBB" w14:textId="145305E4" w:rsidR="00635EDE" w:rsidRDefault="00635EDE" w:rsidP="00CC2420"/>
    <w:p w14:paraId="5015C555" w14:textId="57328E3D" w:rsidR="00635EDE" w:rsidRDefault="00635EDE" w:rsidP="00CC2420"/>
    <w:p w14:paraId="4987A708" w14:textId="77777777" w:rsidR="00635EDE" w:rsidRDefault="00635EDE" w:rsidP="00CC2420"/>
    <w:p w14:paraId="13F7AB90" w14:textId="77777777" w:rsidR="009D1D20" w:rsidRDefault="009D1D20" w:rsidP="00CC2420">
      <w:pPr>
        <w:sectPr w:rsidR="009D1D20" w:rsidSect="00116BC8">
          <w:pgSz w:w="16838" w:h="11906" w:orient="landscape" w:code="9"/>
          <w:pgMar w:top="737" w:right="1304" w:bottom="1134" w:left="737" w:header="567" w:footer="284" w:gutter="0"/>
          <w:cols w:num="2" w:space="708"/>
          <w:docGrid w:linePitch="360"/>
        </w:sectPr>
      </w:pPr>
    </w:p>
    <w:p w14:paraId="7CBFFF15" w14:textId="1148C113" w:rsidR="009D74BA" w:rsidRDefault="009D74BA" w:rsidP="005E7BA4">
      <w:pPr>
        <w:pStyle w:val="Caption"/>
        <w:spacing w:before="0" w:after="120"/>
        <w:rPr>
          <w:rFonts w:ascii="Calibri" w:eastAsia="Calibri" w:hAnsi="Calibri" w:cs="Times New Roman"/>
          <w:b/>
          <w:bCs/>
          <w:spacing w:val="0"/>
        </w:rPr>
      </w:pPr>
      <w:bookmarkStart w:id="85" w:name="_Ref76121491"/>
      <w:r>
        <w:lastRenderedPageBreak/>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2</w:t>
      </w:r>
      <w:r w:rsidR="00A67BE9">
        <w:rPr>
          <w:noProof/>
        </w:rPr>
        <w:fldChar w:fldCharType="end"/>
      </w:r>
      <w:bookmarkEnd w:id="85"/>
      <w:r>
        <w:t xml:space="preserve">: </w:t>
      </w:r>
      <w:r w:rsidRPr="00524E37">
        <w:rPr>
          <w:rStyle w:val="Caption-notboldChar"/>
        </w:rPr>
        <w:t xml:space="preserve">Evaluation </w:t>
      </w:r>
      <w:r w:rsidR="004C665D" w:rsidRPr="00524E37">
        <w:rPr>
          <w:rStyle w:val="Caption-notboldChar"/>
        </w:rPr>
        <w:t>case study sites</w:t>
      </w:r>
      <w:r w:rsidR="004C665D">
        <w:rPr>
          <w:rStyle w:val="Caption-notboldChar"/>
        </w:rPr>
        <w:t xml:space="preserve"> – </w:t>
      </w:r>
      <w:r w:rsidR="004C665D" w:rsidRPr="00524E37">
        <w:rPr>
          <w:rStyle w:val="Caption-notboldChar"/>
        </w:rPr>
        <w:t>local characteristics of access to primary care</w:t>
      </w:r>
    </w:p>
    <w:tbl>
      <w:tblPr>
        <w:tblStyle w:val="TableGrid8"/>
        <w:tblW w:w="15452" w:type="dxa"/>
        <w:tblInd w:w="-289" w:type="dxa"/>
        <w:tblLayout w:type="fixed"/>
        <w:tblLook w:val="04A0" w:firstRow="1" w:lastRow="0" w:firstColumn="1" w:lastColumn="0" w:noHBand="0" w:noVBand="1"/>
      </w:tblPr>
      <w:tblGrid>
        <w:gridCol w:w="1587"/>
        <w:gridCol w:w="1391"/>
        <w:gridCol w:w="1382"/>
        <w:gridCol w:w="1311"/>
        <w:gridCol w:w="1462"/>
        <w:gridCol w:w="1373"/>
        <w:gridCol w:w="1417"/>
        <w:gridCol w:w="1369"/>
        <w:gridCol w:w="1466"/>
        <w:gridCol w:w="1307"/>
        <w:gridCol w:w="1387"/>
      </w:tblGrid>
      <w:tr w:rsidR="002533C1" w:rsidRPr="002A4194" w14:paraId="562C82CA" w14:textId="77777777" w:rsidTr="00A85EEA">
        <w:trPr>
          <w:tblHeader/>
        </w:trPr>
        <w:tc>
          <w:tcPr>
            <w:tcW w:w="1587" w:type="dxa"/>
            <w:vMerge w:val="restart"/>
          </w:tcPr>
          <w:p w14:paraId="431F77E1" w14:textId="0A89E669" w:rsidR="002533C1" w:rsidRPr="002533C1" w:rsidRDefault="002533C1" w:rsidP="002A4194">
            <w:pPr>
              <w:spacing w:after="0"/>
              <w:rPr>
                <w:rFonts w:eastAsia="Calibri" w:cs="Calibri"/>
                <w:b/>
                <w:bCs/>
                <w:spacing w:val="0"/>
                <w:sz w:val="18"/>
                <w:szCs w:val="18"/>
              </w:rPr>
            </w:pPr>
            <w:r w:rsidRPr="002533C1">
              <w:rPr>
                <w:rFonts w:eastAsia="Calibri" w:cs="Calibri"/>
                <w:b/>
                <w:bCs/>
                <w:spacing w:val="0"/>
                <w:sz w:val="18"/>
                <w:szCs w:val="18"/>
              </w:rPr>
              <w:t>Measure of Access to Primary Care</w:t>
            </w:r>
          </w:p>
        </w:tc>
        <w:tc>
          <w:tcPr>
            <w:tcW w:w="4084" w:type="dxa"/>
            <w:gridSpan w:val="3"/>
          </w:tcPr>
          <w:p w14:paraId="2946DA71" w14:textId="77777777" w:rsidR="002533C1" w:rsidRPr="002A4194" w:rsidRDefault="002533C1" w:rsidP="005E7BA4">
            <w:pPr>
              <w:spacing w:after="0"/>
              <w:jc w:val="center"/>
              <w:rPr>
                <w:rFonts w:eastAsia="Calibri" w:cs="Calibri"/>
                <w:b/>
                <w:bCs/>
                <w:spacing w:val="0"/>
                <w:sz w:val="20"/>
                <w:szCs w:val="20"/>
              </w:rPr>
            </w:pPr>
            <w:r w:rsidRPr="002A4194">
              <w:rPr>
                <w:rFonts w:eastAsia="Calibri" w:cs="Calibri"/>
                <w:b/>
                <w:bCs/>
                <w:spacing w:val="0"/>
                <w:sz w:val="20"/>
                <w:szCs w:val="20"/>
              </w:rPr>
              <w:t>Queensland</w:t>
            </w:r>
          </w:p>
        </w:tc>
        <w:tc>
          <w:tcPr>
            <w:tcW w:w="4252" w:type="dxa"/>
            <w:gridSpan w:val="3"/>
          </w:tcPr>
          <w:p w14:paraId="23B41803" w14:textId="2A613807" w:rsidR="002533C1" w:rsidRPr="002A4194" w:rsidRDefault="002533C1" w:rsidP="005E7BA4">
            <w:pPr>
              <w:spacing w:after="0"/>
              <w:jc w:val="center"/>
              <w:rPr>
                <w:rFonts w:eastAsia="Calibri" w:cs="Calibri"/>
                <w:b/>
                <w:bCs/>
                <w:spacing w:val="0"/>
                <w:sz w:val="20"/>
                <w:szCs w:val="20"/>
              </w:rPr>
            </w:pPr>
            <w:r w:rsidRPr="002A4194">
              <w:rPr>
                <w:rFonts w:eastAsia="Calibri" w:cs="Calibri"/>
                <w:b/>
                <w:bCs/>
                <w:spacing w:val="0"/>
                <w:sz w:val="20"/>
                <w:szCs w:val="20"/>
              </w:rPr>
              <w:t>New South Wales</w:t>
            </w:r>
          </w:p>
        </w:tc>
        <w:tc>
          <w:tcPr>
            <w:tcW w:w="2835" w:type="dxa"/>
            <w:gridSpan w:val="2"/>
          </w:tcPr>
          <w:p w14:paraId="3AC2F6DA" w14:textId="02E25604" w:rsidR="002533C1" w:rsidRPr="002A4194" w:rsidRDefault="002533C1" w:rsidP="005E7BA4">
            <w:pPr>
              <w:spacing w:after="0"/>
              <w:jc w:val="center"/>
              <w:rPr>
                <w:rFonts w:eastAsia="Calibri" w:cs="Calibri"/>
                <w:b/>
                <w:bCs/>
                <w:spacing w:val="0"/>
                <w:sz w:val="20"/>
                <w:szCs w:val="20"/>
              </w:rPr>
            </w:pPr>
            <w:r w:rsidRPr="002A4194">
              <w:rPr>
                <w:rFonts w:eastAsia="Calibri" w:cs="Calibri"/>
                <w:b/>
                <w:bCs/>
                <w:spacing w:val="0"/>
                <w:sz w:val="20"/>
                <w:szCs w:val="20"/>
              </w:rPr>
              <w:t>Northern Territory</w:t>
            </w:r>
          </w:p>
        </w:tc>
        <w:tc>
          <w:tcPr>
            <w:tcW w:w="2694" w:type="dxa"/>
            <w:gridSpan w:val="2"/>
          </w:tcPr>
          <w:p w14:paraId="6484D000" w14:textId="77777777" w:rsidR="002533C1" w:rsidRPr="002A4194" w:rsidRDefault="002533C1" w:rsidP="005E7BA4">
            <w:pPr>
              <w:spacing w:after="0"/>
              <w:jc w:val="center"/>
              <w:rPr>
                <w:rFonts w:eastAsia="Calibri" w:cs="Calibri"/>
                <w:b/>
                <w:bCs/>
                <w:spacing w:val="0"/>
                <w:sz w:val="20"/>
                <w:szCs w:val="20"/>
              </w:rPr>
            </w:pPr>
            <w:r w:rsidRPr="002A4194">
              <w:rPr>
                <w:rFonts w:eastAsia="Calibri" w:cs="Calibri"/>
                <w:b/>
                <w:bCs/>
                <w:spacing w:val="0"/>
                <w:sz w:val="20"/>
                <w:szCs w:val="20"/>
              </w:rPr>
              <w:t>Western Australia</w:t>
            </w:r>
          </w:p>
        </w:tc>
      </w:tr>
      <w:tr w:rsidR="002533C1" w:rsidRPr="002A4194" w14:paraId="2B9761D2" w14:textId="77777777" w:rsidTr="00A85EEA">
        <w:trPr>
          <w:tblHeader/>
        </w:trPr>
        <w:tc>
          <w:tcPr>
            <w:tcW w:w="1587" w:type="dxa"/>
            <w:vMerge/>
          </w:tcPr>
          <w:p w14:paraId="04A263B7" w14:textId="77777777" w:rsidR="002533C1" w:rsidRPr="002A4194" w:rsidRDefault="002533C1" w:rsidP="002A4194">
            <w:pPr>
              <w:spacing w:after="0"/>
              <w:rPr>
                <w:rFonts w:eastAsia="Calibri" w:cs="Calibri"/>
                <w:b/>
                <w:bCs/>
                <w:spacing w:val="0"/>
                <w:sz w:val="20"/>
                <w:szCs w:val="20"/>
              </w:rPr>
            </w:pPr>
          </w:p>
        </w:tc>
        <w:tc>
          <w:tcPr>
            <w:tcW w:w="1391" w:type="dxa"/>
          </w:tcPr>
          <w:p w14:paraId="64D81F45"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Tully</w:t>
            </w:r>
          </w:p>
        </w:tc>
        <w:tc>
          <w:tcPr>
            <w:tcW w:w="1382" w:type="dxa"/>
          </w:tcPr>
          <w:p w14:paraId="52349852"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Longreach</w:t>
            </w:r>
          </w:p>
        </w:tc>
        <w:tc>
          <w:tcPr>
            <w:tcW w:w="1311" w:type="dxa"/>
          </w:tcPr>
          <w:p w14:paraId="46C45E1A"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Proserpine</w:t>
            </w:r>
          </w:p>
        </w:tc>
        <w:tc>
          <w:tcPr>
            <w:tcW w:w="1462" w:type="dxa"/>
          </w:tcPr>
          <w:p w14:paraId="765ADCE4"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Temora</w:t>
            </w:r>
          </w:p>
        </w:tc>
        <w:tc>
          <w:tcPr>
            <w:tcW w:w="1373" w:type="dxa"/>
          </w:tcPr>
          <w:p w14:paraId="16D901AE"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Nyngan</w:t>
            </w:r>
          </w:p>
        </w:tc>
        <w:tc>
          <w:tcPr>
            <w:tcW w:w="1417" w:type="dxa"/>
          </w:tcPr>
          <w:p w14:paraId="1E222497"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Quirindi</w:t>
            </w:r>
          </w:p>
        </w:tc>
        <w:tc>
          <w:tcPr>
            <w:tcW w:w="1369" w:type="dxa"/>
          </w:tcPr>
          <w:p w14:paraId="1EE2670F"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Tennant Ck</w:t>
            </w:r>
          </w:p>
        </w:tc>
        <w:tc>
          <w:tcPr>
            <w:tcW w:w="1466" w:type="dxa"/>
          </w:tcPr>
          <w:p w14:paraId="6E9878BF"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Jabiru</w:t>
            </w:r>
          </w:p>
        </w:tc>
        <w:tc>
          <w:tcPr>
            <w:tcW w:w="1307" w:type="dxa"/>
          </w:tcPr>
          <w:p w14:paraId="6A5D3078"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Kununurra</w:t>
            </w:r>
          </w:p>
        </w:tc>
        <w:tc>
          <w:tcPr>
            <w:tcW w:w="1387" w:type="dxa"/>
          </w:tcPr>
          <w:p w14:paraId="141959D1" w14:textId="77777777" w:rsidR="002533C1" w:rsidRPr="002A4194" w:rsidRDefault="002533C1" w:rsidP="002A4194">
            <w:pPr>
              <w:spacing w:after="0"/>
              <w:rPr>
                <w:rFonts w:eastAsia="Calibri" w:cs="Calibri"/>
                <w:b/>
                <w:bCs/>
                <w:spacing w:val="0"/>
                <w:sz w:val="20"/>
                <w:szCs w:val="20"/>
              </w:rPr>
            </w:pPr>
            <w:r w:rsidRPr="002A4194">
              <w:rPr>
                <w:rFonts w:eastAsia="Calibri" w:cs="Calibri"/>
                <w:b/>
                <w:bCs/>
                <w:spacing w:val="0"/>
                <w:sz w:val="20"/>
                <w:szCs w:val="20"/>
              </w:rPr>
              <w:t>Meekatharra</w:t>
            </w:r>
          </w:p>
        </w:tc>
      </w:tr>
      <w:tr w:rsidR="005E7BA4" w:rsidRPr="002A4194" w14:paraId="4FDDEAAF" w14:textId="77777777" w:rsidTr="00A85EEA">
        <w:tc>
          <w:tcPr>
            <w:tcW w:w="1587" w:type="dxa"/>
          </w:tcPr>
          <w:p w14:paraId="69908649" w14:textId="6889E4E9" w:rsidR="002A4194" w:rsidRPr="002A4194" w:rsidRDefault="002533C1" w:rsidP="002A4194">
            <w:pPr>
              <w:spacing w:after="0"/>
              <w:rPr>
                <w:rFonts w:eastAsia="Calibri" w:cs="Calibri"/>
                <w:spacing w:val="0"/>
                <w:sz w:val="20"/>
                <w:szCs w:val="20"/>
              </w:rPr>
            </w:pPr>
            <w:r>
              <w:rPr>
                <w:rFonts w:eastAsia="Calibri" w:cs="Calibri"/>
                <w:spacing w:val="0"/>
                <w:sz w:val="20"/>
                <w:szCs w:val="20"/>
              </w:rPr>
              <w:t>The Initiative</w:t>
            </w:r>
            <w:r w:rsidR="002A4194" w:rsidRPr="002A4194">
              <w:rPr>
                <w:rFonts w:eastAsia="Calibri" w:cs="Calibri"/>
                <w:spacing w:val="0"/>
                <w:sz w:val="20"/>
                <w:szCs w:val="20"/>
              </w:rPr>
              <w:t xml:space="preserve"> claims: </w:t>
            </w:r>
            <w:r w:rsidR="004C665D">
              <w:rPr>
                <w:rFonts w:eastAsia="Calibri" w:cs="Calibri"/>
                <w:spacing w:val="0"/>
                <w:sz w:val="20"/>
                <w:szCs w:val="20"/>
              </w:rPr>
              <w:t>20</w:t>
            </w:r>
            <w:r w:rsidR="002A4194" w:rsidRPr="002A4194">
              <w:rPr>
                <w:rFonts w:eastAsia="Calibri" w:cs="Calibri"/>
                <w:spacing w:val="0"/>
                <w:sz w:val="20"/>
                <w:szCs w:val="20"/>
              </w:rPr>
              <w:t>19</w:t>
            </w:r>
            <w:r w:rsidR="004C665D">
              <w:rPr>
                <w:rFonts w:ascii="Calibri" w:eastAsia="Calibri" w:hAnsi="Calibri" w:cs="Calibri"/>
                <w:spacing w:val="0"/>
                <w:sz w:val="20"/>
                <w:szCs w:val="20"/>
              </w:rPr>
              <w:t>‒</w:t>
            </w:r>
            <w:r w:rsidR="002A4194" w:rsidRPr="002A4194">
              <w:rPr>
                <w:rFonts w:eastAsia="Calibri" w:cs="Calibri"/>
                <w:spacing w:val="0"/>
                <w:sz w:val="20"/>
                <w:szCs w:val="20"/>
              </w:rPr>
              <w:t>20</w:t>
            </w:r>
          </w:p>
        </w:tc>
        <w:tc>
          <w:tcPr>
            <w:tcW w:w="1391" w:type="dxa"/>
          </w:tcPr>
          <w:p w14:paraId="687C85EB" w14:textId="773E1216"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$0.660</w:t>
            </w:r>
            <w:r w:rsidR="00F97F43">
              <w:rPr>
                <w:rFonts w:eastAsia="Calibri" w:cs="Calibri"/>
                <w:spacing w:val="0"/>
                <w:sz w:val="20"/>
                <w:szCs w:val="20"/>
              </w:rPr>
              <w:t xml:space="preserve"> </w:t>
            </w:r>
            <w:r w:rsidRPr="002A4194">
              <w:rPr>
                <w:rFonts w:eastAsia="Calibri" w:cs="Calibri"/>
                <w:spacing w:val="0"/>
                <w:sz w:val="20"/>
                <w:szCs w:val="20"/>
              </w:rPr>
              <w:t>m</w:t>
            </w:r>
          </w:p>
        </w:tc>
        <w:tc>
          <w:tcPr>
            <w:tcW w:w="1382" w:type="dxa"/>
          </w:tcPr>
          <w:p w14:paraId="0C2A7BB0" w14:textId="7088DFD1"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$0.258</w:t>
            </w:r>
            <w:r w:rsidR="00F97F43">
              <w:rPr>
                <w:rFonts w:eastAsia="Calibri" w:cs="Calibri"/>
                <w:spacing w:val="0"/>
                <w:sz w:val="20"/>
                <w:szCs w:val="20"/>
              </w:rPr>
              <w:t xml:space="preserve"> </w:t>
            </w:r>
            <w:r w:rsidRPr="002A4194">
              <w:rPr>
                <w:rFonts w:eastAsia="Calibri" w:cs="Calibri"/>
                <w:spacing w:val="0"/>
                <w:sz w:val="20"/>
                <w:szCs w:val="20"/>
              </w:rPr>
              <w:t>m</w:t>
            </w:r>
          </w:p>
        </w:tc>
        <w:tc>
          <w:tcPr>
            <w:tcW w:w="1311" w:type="dxa"/>
          </w:tcPr>
          <w:p w14:paraId="54D7D751" w14:textId="585B12BA"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$1.300</w:t>
            </w:r>
            <w:r w:rsidR="00F97F43">
              <w:rPr>
                <w:rFonts w:eastAsia="Calibri" w:cs="Calibri"/>
                <w:spacing w:val="0"/>
                <w:sz w:val="20"/>
                <w:szCs w:val="20"/>
              </w:rPr>
              <w:t xml:space="preserve"> </w:t>
            </w:r>
            <w:r w:rsidRPr="002A4194">
              <w:rPr>
                <w:rFonts w:eastAsia="Calibri" w:cs="Calibri"/>
                <w:spacing w:val="0"/>
                <w:sz w:val="20"/>
                <w:szCs w:val="20"/>
              </w:rPr>
              <w:t>m</w:t>
            </w:r>
          </w:p>
        </w:tc>
        <w:tc>
          <w:tcPr>
            <w:tcW w:w="1462" w:type="dxa"/>
          </w:tcPr>
          <w:p w14:paraId="776C2A18" w14:textId="38D1FBBF"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$0.300</w:t>
            </w:r>
            <w:r w:rsidR="00F97F43">
              <w:rPr>
                <w:rFonts w:eastAsia="Calibri" w:cs="Calibri"/>
                <w:spacing w:val="0"/>
                <w:sz w:val="20"/>
                <w:szCs w:val="20"/>
              </w:rPr>
              <w:t xml:space="preserve"> </w:t>
            </w:r>
            <w:r w:rsidRPr="002A4194">
              <w:rPr>
                <w:rFonts w:eastAsia="Calibri" w:cs="Calibri"/>
                <w:spacing w:val="0"/>
                <w:sz w:val="20"/>
                <w:szCs w:val="20"/>
              </w:rPr>
              <w:t>m</w:t>
            </w:r>
          </w:p>
        </w:tc>
        <w:tc>
          <w:tcPr>
            <w:tcW w:w="1373" w:type="dxa"/>
          </w:tcPr>
          <w:p w14:paraId="0B97DB99" w14:textId="4DF3DA48"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$0.050</w:t>
            </w:r>
            <w:r w:rsidR="00F97F43">
              <w:rPr>
                <w:rFonts w:eastAsia="Calibri" w:cs="Calibri"/>
                <w:spacing w:val="0"/>
                <w:sz w:val="20"/>
                <w:szCs w:val="20"/>
              </w:rPr>
              <w:t xml:space="preserve"> </w:t>
            </w:r>
            <w:r w:rsidRPr="002A4194">
              <w:rPr>
                <w:rFonts w:eastAsia="Calibri" w:cs="Calibri"/>
                <w:spacing w:val="0"/>
                <w:sz w:val="20"/>
                <w:szCs w:val="20"/>
              </w:rPr>
              <w:t>m</w:t>
            </w:r>
          </w:p>
        </w:tc>
        <w:tc>
          <w:tcPr>
            <w:tcW w:w="1417" w:type="dxa"/>
          </w:tcPr>
          <w:p w14:paraId="5BD0403E" w14:textId="09CF96E6"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$0.040</w:t>
            </w:r>
            <w:r w:rsidR="00F97F43">
              <w:rPr>
                <w:rFonts w:eastAsia="Calibri" w:cs="Calibri"/>
                <w:spacing w:val="0"/>
                <w:sz w:val="20"/>
                <w:szCs w:val="20"/>
              </w:rPr>
              <w:t xml:space="preserve"> </w:t>
            </w:r>
            <w:r w:rsidRPr="002A4194">
              <w:rPr>
                <w:rFonts w:eastAsia="Calibri" w:cs="Calibri"/>
                <w:spacing w:val="0"/>
                <w:sz w:val="20"/>
                <w:szCs w:val="20"/>
              </w:rPr>
              <w:t>m</w:t>
            </w:r>
          </w:p>
        </w:tc>
        <w:tc>
          <w:tcPr>
            <w:tcW w:w="1369" w:type="dxa"/>
          </w:tcPr>
          <w:p w14:paraId="5F3D652F" w14:textId="0A47D7EB"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$0.600</w:t>
            </w:r>
            <w:r w:rsidR="00F97F43">
              <w:rPr>
                <w:rFonts w:eastAsia="Calibri" w:cs="Calibri"/>
                <w:spacing w:val="0"/>
                <w:sz w:val="20"/>
                <w:szCs w:val="20"/>
              </w:rPr>
              <w:t xml:space="preserve"> </w:t>
            </w:r>
            <w:r w:rsidRPr="002A4194">
              <w:rPr>
                <w:rFonts w:eastAsia="Calibri" w:cs="Calibri"/>
                <w:spacing w:val="0"/>
                <w:sz w:val="20"/>
                <w:szCs w:val="20"/>
              </w:rPr>
              <w:t>m</w:t>
            </w:r>
          </w:p>
        </w:tc>
        <w:tc>
          <w:tcPr>
            <w:tcW w:w="1466" w:type="dxa"/>
          </w:tcPr>
          <w:p w14:paraId="515FB409" w14:textId="3ADC9A59"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$0.200</w:t>
            </w:r>
            <w:r w:rsidR="00F97F43">
              <w:rPr>
                <w:rFonts w:eastAsia="Calibri" w:cs="Calibri"/>
                <w:spacing w:val="0"/>
                <w:sz w:val="20"/>
                <w:szCs w:val="20"/>
              </w:rPr>
              <w:t xml:space="preserve"> </w:t>
            </w:r>
            <w:r w:rsidRPr="002A4194">
              <w:rPr>
                <w:rFonts w:eastAsia="Calibri" w:cs="Calibri"/>
                <w:spacing w:val="0"/>
                <w:sz w:val="20"/>
                <w:szCs w:val="20"/>
              </w:rPr>
              <w:t>m</w:t>
            </w:r>
          </w:p>
        </w:tc>
        <w:tc>
          <w:tcPr>
            <w:tcW w:w="1307" w:type="dxa"/>
          </w:tcPr>
          <w:p w14:paraId="5F8A8FB0" w14:textId="03A66B5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$0.2</w:t>
            </w:r>
            <w:r w:rsidR="000E750B">
              <w:rPr>
                <w:rFonts w:eastAsia="Calibri" w:cs="Calibri"/>
                <w:spacing w:val="0"/>
                <w:sz w:val="20"/>
                <w:szCs w:val="20"/>
              </w:rPr>
              <w:t>00</w:t>
            </w:r>
            <w:r w:rsidR="00F97F43">
              <w:rPr>
                <w:rFonts w:eastAsia="Calibri" w:cs="Calibri"/>
                <w:spacing w:val="0"/>
                <w:sz w:val="20"/>
                <w:szCs w:val="20"/>
              </w:rPr>
              <w:t xml:space="preserve"> </w:t>
            </w:r>
            <w:r w:rsidRPr="002A4194">
              <w:rPr>
                <w:rFonts w:eastAsia="Calibri" w:cs="Calibri"/>
                <w:spacing w:val="0"/>
                <w:sz w:val="20"/>
                <w:szCs w:val="20"/>
              </w:rPr>
              <w:t>m</w:t>
            </w:r>
          </w:p>
        </w:tc>
        <w:tc>
          <w:tcPr>
            <w:tcW w:w="1387" w:type="dxa"/>
          </w:tcPr>
          <w:p w14:paraId="61B74BA5" w14:textId="5B8A44EE"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$0.</w:t>
            </w:r>
            <w:r w:rsidR="000E750B">
              <w:rPr>
                <w:rFonts w:eastAsia="Calibri" w:cs="Calibri"/>
                <w:spacing w:val="0"/>
                <w:sz w:val="20"/>
                <w:szCs w:val="20"/>
              </w:rPr>
              <w:t>070</w:t>
            </w:r>
            <w:r w:rsidR="00F97F43">
              <w:rPr>
                <w:rFonts w:eastAsia="Calibri" w:cs="Calibri"/>
                <w:spacing w:val="0"/>
                <w:sz w:val="20"/>
                <w:szCs w:val="20"/>
              </w:rPr>
              <w:t xml:space="preserve"> </w:t>
            </w:r>
            <w:r w:rsidRPr="002A4194">
              <w:rPr>
                <w:rFonts w:eastAsia="Calibri" w:cs="Calibri"/>
                <w:spacing w:val="0"/>
                <w:sz w:val="20"/>
                <w:szCs w:val="20"/>
              </w:rPr>
              <w:t>m</w:t>
            </w:r>
          </w:p>
        </w:tc>
      </w:tr>
      <w:tr w:rsidR="002A4194" w:rsidRPr="002A4194" w14:paraId="400EB485" w14:textId="77777777" w:rsidTr="00A85EEA">
        <w:trPr>
          <w:trHeight w:val="3041"/>
        </w:trPr>
        <w:tc>
          <w:tcPr>
            <w:tcW w:w="1587" w:type="dxa"/>
          </w:tcPr>
          <w:p w14:paraId="0F810B14" w14:textId="63D1890D" w:rsidR="002A4194" w:rsidRPr="002A4194" w:rsidRDefault="002533C1" w:rsidP="002A4194">
            <w:pPr>
              <w:spacing w:after="0"/>
              <w:rPr>
                <w:rFonts w:eastAsia="Calibri" w:cs="Calibri"/>
                <w:spacing w:val="0"/>
                <w:sz w:val="20"/>
                <w:szCs w:val="20"/>
              </w:rPr>
            </w:pPr>
            <w:r>
              <w:rPr>
                <w:rFonts w:eastAsia="Calibri" w:cs="Calibri"/>
                <w:spacing w:val="0"/>
                <w:sz w:val="20"/>
                <w:szCs w:val="20"/>
              </w:rPr>
              <w:t xml:space="preserve">The Initiative </w:t>
            </w:r>
            <w:r w:rsidR="002A4194" w:rsidRPr="002A4194">
              <w:rPr>
                <w:rFonts w:eastAsia="Calibri" w:cs="Calibri"/>
                <w:spacing w:val="0"/>
                <w:sz w:val="20"/>
                <w:szCs w:val="20"/>
              </w:rPr>
              <w:t>contribut</w:t>
            </w:r>
            <w:r>
              <w:rPr>
                <w:rFonts w:eastAsia="Calibri" w:cs="Calibri"/>
                <w:spacing w:val="0"/>
                <w:sz w:val="20"/>
                <w:szCs w:val="20"/>
              </w:rPr>
              <w:t>ion</w:t>
            </w:r>
            <w:r w:rsidR="002A4194" w:rsidRPr="002A4194">
              <w:rPr>
                <w:rFonts w:eastAsia="Calibri" w:cs="Calibri"/>
                <w:spacing w:val="0"/>
                <w:sz w:val="20"/>
                <w:szCs w:val="20"/>
              </w:rPr>
              <w:t xml:space="preserve"> to urgent / emergency care in hospital</w:t>
            </w:r>
            <w:r w:rsidR="00A85EEA">
              <w:rPr>
                <w:rFonts w:eastAsia="Calibri" w:cs="Calibri"/>
                <w:spacing w:val="0"/>
                <w:sz w:val="20"/>
                <w:szCs w:val="20"/>
              </w:rPr>
              <w:t>,</w:t>
            </w:r>
            <w:r w:rsidR="002A4194" w:rsidRPr="002A4194">
              <w:rPr>
                <w:rFonts w:eastAsia="Calibri" w:cs="Calibri"/>
                <w:spacing w:val="0"/>
                <w:sz w:val="20"/>
                <w:szCs w:val="20"/>
              </w:rPr>
              <w:t xml:space="preserve"> e.g. treatment of Cat</w:t>
            </w:r>
            <w:r w:rsidR="004C665D">
              <w:rPr>
                <w:rFonts w:eastAsia="Calibri" w:cs="Calibri"/>
                <w:spacing w:val="0"/>
                <w:sz w:val="20"/>
                <w:szCs w:val="20"/>
              </w:rPr>
              <w:t>egories</w:t>
            </w:r>
            <w:r w:rsidR="002A4194" w:rsidRPr="002A4194">
              <w:rPr>
                <w:rFonts w:eastAsia="Calibri" w:cs="Calibri"/>
                <w:spacing w:val="0"/>
                <w:sz w:val="20"/>
                <w:szCs w:val="20"/>
              </w:rPr>
              <w:t xml:space="preserve"> 4 and 5 ED</w:t>
            </w:r>
          </w:p>
          <w:p w14:paraId="6492A706" w14:textId="130A35B1" w:rsidR="002A4194" w:rsidRPr="002A4194" w:rsidRDefault="002A4194" w:rsidP="002A4194">
            <w:pPr>
              <w:spacing w:after="0"/>
              <w:rPr>
                <w:rFonts w:eastAsia="Calibri" w:cs="Calibri"/>
                <w:spacing w:val="0"/>
                <w:sz w:val="20"/>
                <w:szCs w:val="20"/>
              </w:rPr>
            </w:pPr>
            <w:r>
              <w:rPr>
                <w:rFonts w:eastAsia="Calibri" w:cs="Calibri"/>
                <w:spacing w:val="0"/>
                <w:sz w:val="20"/>
                <w:szCs w:val="20"/>
              </w:rPr>
              <w:t>p</w:t>
            </w:r>
            <w:r w:rsidRPr="002A4194">
              <w:rPr>
                <w:rFonts w:eastAsia="Calibri" w:cs="Calibri"/>
                <w:spacing w:val="0"/>
                <w:sz w:val="20"/>
                <w:szCs w:val="20"/>
              </w:rPr>
              <w:t>res</w:t>
            </w:r>
            <w:r>
              <w:rPr>
                <w:rFonts w:eastAsia="Calibri" w:cs="Calibri"/>
                <w:spacing w:val="0"/>
                <w:sz w:val="20"/>
                <w:szCs w:val="20"/>
              </w:rPr>
              <w:t>entations</w:t>
            </w:r>
          </w:p>
        </w:tc>
        <w:tc>
          <w:tcPr>
            <w:tcW w:w="1391" w:type="dxa"/>
            <w:shd w:val="clear" w:color="auto" w:fill="00B0F0"/>
          </w:tcPr>
          <w:p w14:paraId="691E8A30"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3</w:t>
            </w:r>
          </w:p>
          <w:p w14:paraId="53A83AB0" w14:textId="77777777" w:rsidR="002A4194" w:rsidRPr="002A4194" w:rsidRDefault="002A4194" w:rsidP="002A4194">
            <w:pPr>
              <w:spacing w:after="0"/>
              <w:rPr>
                <w:rFonts w:eastAsia="Calibri" w:cs="Calibri"/>
                <w:spacing w:val="0"/>
                <w:sz w:val="20"/>
                <w:szCs w:val="20"/>
              </w:rPr>
            </w:pPr>
          </w:p>
          <w:p w14:paraId="77E05750" w14:textId="7679087F" w:rsidR="002A4194" w:rsidRPr="002A4194" w:rsidRDefault="002533C1" w:rsidP="002A4194">
            <w:pPr>
              <w:spacing w:after="0"/>
              <w:rPr>
                <w:rFonts w:eastAsia="Calibri" w:cs="Calibri"/>
                <w:spacing w:val="0"/>
                <w:sz w:val="20"/>
                <w:szCs w:val="20"/>
              </w:rPr>
            </w:pPr>
            <w:r>
              <w:rPr>
                <w:rFonts w:eastAsia="Calibri" w:cs="Calibri"/>
                <w:spacing w:val="0"/>
                <w:sz w:val="20"/>
                <w:szCs w:val="20"/>
              </w:rPr>
              <w:t xml:space="preserve">The Initiative </w:t>
            </w:r>
            <w:r w:rsidR="002A4194" w:rsidRPr="002A4194">
              <w:rPr>
                <w:rFonts w:eastAsia="Calibri" w:cs="Calibri"/>
                <w:spacing w:val="0"/>
                <w:sz w:val="20"/>
                <w:szCs w:val="20"/>
              </w:rPr>
              <w:t>add</w:t>
            </w:r>
            <w:r>
              <w:rPr>
                <w:rFonts w:eastAsia="Calibri" w:cs="Calibri"/>
                <w:spacing w:val="0"/>
                <w:sz w:val="20"/>
                <w:szCs w:val="20"/>
              </w:rPr>
              <w:t>ed</w:t>
            </w:r>
            <w:r w:rsidR="002A4194" w:rsidRPr="002A4194">
              <w:rPr>
                <w:rFonts w:eastAsia="Calibri" w:cs="Calibri"/>
                <w:spacing w:val="0"/>
                <w:sz w:val="20"/>
                <w:szCs w:val="20"/>
              </w:rPr>
              <w:t xml:space="preserve"> capacity to hospital – 1 SMO and nurse; enabling rotation to Aboriginal community health service</w:t>
            </w:r>
          </w:p>
        </w:tc>
        <w:tc>
          <w:tcPr>
            <w:tcW w:w="1382" w:type="dxa"/>
            <w:shd w:val="clear" w:color="auto" w:fill="00B0F0"/>
          </w:tcPr>
          <w:p w14:paraId="74828F0C"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3</w:t>
            </w:r>
          </w:p>
          <w:p w14:paraId="4FB6AA48" w14:textId="77777777" w:rsidR="002A4194" w:rsidRPr="002A4194" w:rsidRDefault="002A4194" w:rsidP="002A4194">
            <w:pPr>
              <w:spacing w:after="0"/>
              <w:rPr>
                <w:rFonts w:eastAsia="Calibri" w:cs="Calibri"/>
                <w:spacing w:val="0"/>
                <w:sz w:val="20"/>
                <w:szCs w:val="20"/>
              </w:rPr>
            </w:pPr>
          </w:p>
          <w:p w14:paraId="2DAF6DCA" w14:textId="64E37DA0" w:rsidR="002A4194" w:rsidRPr="002A4194" w:rsidRDefault="002533C1" w:rsidP="002A4194">
            <w:pPr>
              <w:spacing w:after="0"/>
              <w:rPr>
                <w:rFonts w:eastAsia="Calibri" w:cs="Calibri"/>
                <w:spacing w:val="0"/>
                <w:sz w:val="20"/>
                <w:szCs w:val="20"/>
              </w:rPr>
            </w:pPr>
            <w:r>
              <w:rPr>
                <w:rFonts w:eastAsia="Calibri" w:cs="Calibri"/>
                <w:spacing w:val="0"/>
                <w:sz w:val="20"/>
                <w:szCs w:val="20"/>
              </w:rPr>
              <w:t>The Initiative added</w:t>
            </w:r>
            <w:r w:rsidR="002A4194" w:rsidRPr="002A4194">
              <w:rPr>
                <w:rFonts w:eastAsia="Calibri" w:cs="Calibri"/>
                <w:spacing w:val="0"/>
                <w:sz w:val="20"/>
                <w:szCs w:val="20"/>
              </w:rPr>
              <w:t xml:space="preserve"> to</w:t>
            </w:r>
            <w:r>
              <w:rPr>
                <w:rFonts w:eastAsia="Calibri" w:cs="Calibri"/>
                <w:spacing w:val="0"/>
                <w:sz w:val="20"/>
                <w:szCs w:val="20"/>
              </w:rPr>
              <w:t xml:space="preserve"> the</w:t>
            </w:r>
            <w:r w:rsidR="002A4194" w:rsidRPr="002A4194">
              <w:rPr>
                <w:rFonts w:eastAsia="Calibri" w:cs="Calibri"/>
                <w:spacing w:val="0"/>
                <w:sz w:val="20"/>
                <w:szCs w:val="20"/>
              </w:rPr>
              <w:t xml:space="preserve"> number of doctors at </w:t>
            </w:r>
            <w:r>
              <w:rPr>
                <w:rFonts w:eastAsia="Calibri" w:cs="Calibri"/>
                <w:spacing w:val="0"/>
                <w:sz w:val="20"/>
                <w:szCs w:val="20"/>
              </w:rPr>
              <w:t xml:space="preserve">the </w:t>
            </w:r>
            <w:r w:rsidR="002A4194" w:rsidRPr="002A4194">
              <w:rPr>
                <w:rFonts w:eastAsia="Calibri" w:cs="Calibri"/>
                <w:spacing w:val="0"/>
                <w:sz w:val="20"/>
                <w:szCs w:val="20"/>
              </w:rPr>
              <w:t>health service</w:t>
            </w:r>
          </w:p>
        </w:tc>
        <w:tc>
          <w:tcPr>
            <w:tcW w:w="1311" w:type="dxa"/>
            <w:shd w:val="clear" w:color="auto" w:fill="00B0F0"/>
          </w:tcPr>
          <w:p w14:paraId="3E13ABDC"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Score 3 </w:t>
            </w:r>
          </w:p>
          <w:p w14:paraId="13B4E9B8" w14:textId="77777777" w:rsidR="002A4194" w:rsidRPr="002A4194" w:rsidRDefault="002A4194" w:rsidP="002A4194">
            <w:pPr>
              <w:spacing w:after="0"/>
              <w:rPr>
                <w:rFonts w:eastAsia="Calibri" w:cs="Calibri"/>
                <w:spacing w:val="0"/>
                <w:sz w:val="20"/>
                <w:szCs w:val="20"/>
              </w:rPr>
            </w:pPr>
          </w:p>
          <w:p w14:paraId="1E7706AC" w14:textId="0A41CA2A" w:rsidR="002A4194" w:rsidRPr="002A4194" w:rsidRDefault="006247F3" w:rsidP="002A4194">
            <w:pPr>
              <w:spacing w:after="0"/>
              <w:rPr>
                <w:rFonts w:eastAsia="Calibri" w:cs="Calibri"/>
                <w:spacing w:val="0"/>
                <w:sz w:val="20"/>
                <w:szCs w:val="20"/>
              </w:rPr>
            </w:pPr>
            <w:r>
              <w:rPr>
                <w:rFonts w:eastAsia="Calibri" w:cs="Calibri"/>
                <w:spacing w:val="0"/>
                <w:sz w:val="20"/>
                <w:szCs w:val="20"/>
              </w:rPr>
              <w:t xml:space="preserve">The Initiative </w:t>
            </w:r>
            <w:r w:rsidR="002A4194" w:rsidRPr="002A4194">
              <w:rPr>
                <w:rFonts w:eastAsia="Calibri" w:cs="Calibri"/>
                <w:spacing w:val="0"/>
                <w:sz w:val="20"/>
                <w:szCs w:val="20"/>
              </w:rPr>
              <w:t>fund</w:t>
            </w:r>
            <w:r>
              <w:rPr>
                <w:rFonts w:eastAsia="Calibri" w:cs="Calibri"/>
                <w:spacing w:val="0"/>
                <w:sz w:val="20"/>
                <w:szCs w:val="20"/>
              </w:rPr>
              <w:t xml:space="preserve">ed </w:t>
            </w:r>
            <w:r w:rsidR="002A4194" w:rsidRPr="002A4194">
              <w:rPr>
                <w:rFonts w:eastAsia="Calibri" w:cs="Calibri"/>
                <w:spacing w:val="0"/>
                <w:sz w:val="20"/>
                <w:szCs w:val="20"/>
              </w:rPr>
              <w:t xml:space="preserve">3 additional </w:t>
            </w:r>
            <w:r>
              <w:rPr>
                <w:rFonts w:eastAsia="Calibri" w:cs="Calibri"/>
                <w:spacing w:val="0"/>
                <w:sz w:val="20"/>
                <w:szCs w:val="20"/>
              </w:rPr>
              <w:t>p</w:t>
            </w:r>
            <w:r w:rsidR="00147ECA">
              <w:rPr>
                <w:rFonts w:eastAsia="Calibri" w:cs="Calibri"/>
                <w:spacing w:val="0"/>
                <w:sz w:val="20"/>
                <w:szCs w:val="20"/>
              </w:rPr>
              <w:t>rincipal</w:t>
            </w:r>
            <w:r>
              <w:rPr>
                <w:rFonts w:eastAsia="Calibri" w:cs="Calibri"/>
                <w:spacing w:val="0"/>
                <w:sz w:val="20"/>
                <w:szCs w:val="20"/>
              </w:rPr>
              <w:t xml:space="preserve"> house officer (PHO or doctor) </w:t>
            </w:r>
            <w:r w:rsidR="002A4194" w:rsidRPr="002A4194">
              <w:rPr>
                <w:rFonts w:eastAsia="Calibri" w:cs="Calibri"/>
                <w:spacing w:val="0"/>
                <w:sz w:val="20"/>
                <w:szCs w:val="20"/>
              </w:rPr>
              <w:t xml:space="preserve">FTE, plus </w:t>
            </w:r>
            <w:r w:rsidR="005E7BA4">
              <w:rPr>
                <w:rFonts w:eastAsia="Calibri" w:cs="Calibri"/>
                <w:spacing w:val="0"/>
                <w:sz w:val="20"/>
                <w:szCs w:val="20"/>
              </w:rPr>
              <w:t>full-time</w:t>
            </w:r>
            <w:r w:rsidR="002A4194" w:rsidRPr="002A4194">
              <w:rPr>
                <w:rFonts w:eastAsia="Calibri" w:cs="Calibri"/>
                <w:spacing w:val="0"/>
                <w:sz w:val="20"/>
                <w:szCs w:val="20"/>
              </w:rPr>
              <w:t xml:space="preserve"> reception / admin staff</w:t>
            </w:r>
          </w:p>
        </w:tc>
        <w:tc>
          <w:tcPr>
            <w:tcW w:w="1462" w:type="dxa"/>
            <w:shd w:val="clear" w:color="auto" w:fill="FFC000"/>
          </w:tcPr>
          <w:p w14:paraId="5747AB42" w14:textId="6493E2E3"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Score </w:t>
            </w:r>
            <w:r w:rsidR="003E3BE5">
              <w:rPr>
                <w:rFonts w:eastAsia="Calibri" w:cs="Calibri"/>
                <w:spacing w:val="0"/>
                <w:sz w:val="20"/>
                <w:szCs w:val="20"/>
              </w:rPr>
              <w:t>1</w:t>
            </w:r>
          </w:p>
          <w:p w14:paraId="7381D459" w14:textId="77777777" w:rsidR="002A4194" w:rsidRPr="002A4194" w:rsidRDefault="002A4194" w:rsidP="002A4194">
            <w:pPr>
              <w:spacing w:after="0"/>
              <w:rPr>
                <w:rFonts w:eastAsia="Calibri" w:cs="Calibri"/>
                <w:spacing w:val="0"/>
                <w:sz w:val="20"/>
                <w:szCs w:val="20"/>
              </w:rPr>
            </w:pPr>
          </w:p>
          <w:p w14:paraId="56BC3E36" w14:textId="512BDFCD" w:rsidR="002A4194" w:rsidRPr="002A4194" w:rsidRDefault="00783742" w:rsidP="002A4194">
            <w:pPr>
              <w:spacing w:after="0"/>
              <w:rPr>
                <w:rFonts w:eastAsia="Calibri" w:cs="Calibri"/>
                <w:spacing w:val="0"/>
                <w:sz w:val="20"/>
                <w:szCs w:val="20"/>
              </w:rPr>
            </w:pPr>
            <w:r>
              <w:rPr>
                <w:rFonts w:eastAsia="Calibri" w:cs="Calibri"/>
                <w:spacing w:val="0"/>
                <w:sz w:val="20"/>
                <w:szCs w:val="20"/>
                <w:shd w:val="clear" w:color="auto" w:fill="FFC000"/>
              </w:rPr>
              <w:t>S19</w:t>
            </w:r>
            <w:r w:rsidR="00A07293">
              <w:rPr>
                <w:rFonts w:eastAsia="Calibri" w:cs="Calibri"/>
                <w:spacing w:val="0"/>
                <w:sz w:val="20"/>
                <w:szCs w:val="20"/>
                <w:shd w:val="clear" w:color="auto" w:fill="FFC000"/>
              </w:rPr>
              <w:t>(2)</w:t>
            </w:r>
            <w:r w:rsidR="003E3BE5" w:rsidRPr="003E3BE5">
              <w:rPr>
                <w:rFonts w:eastAsia="Calibri" w:cs="Calibri"/>
                <w:spacing w:val="0"/>
                <w:sz w:val="20"/>
                <w:szCs w:val="20"/>
                <w:shd w:val="clear" w:color="auto" w:fill="FFC000"/>
              </w:rPr>
              <w:t xml:space="preserve"> has a minimal impact. There was a</w:t>
            </w:r>
            <w:r w:rsidR="002A4194" w:rsidRPr="003E3BE5">
              <w:rPr>
                <w:rFonts w:eastAsia="Calibri" w:cs="Calibri"/>
                <w:spacing w:val="0"/>
                <w:sz w:val="20"/>
                <w:szCs w:val="20"/>
                <w:shd w:val="clear" w:color="auto" w:fill="FFC000"/>
              </w:rPr>
              <w:t xml:space="preserve">lready </w:t>
            </w:r>
            <w:r w:rsidR="003E3BE5">
              <w:rPr>
                <w:rFonts w:eastAsia="Calibri" w:cs="Calibri"/>
                <w:spacing w:val="0"/>
                <w:sz w:val="20"/>
                <w:szCs w:val="20"/>
                <w:shd w:val="clear" w:color="auto" w:fill="FFC000"/>
              </w:rPr>
              <w:t xml:space="preserve">a </w:t>
            </w:r>
            <w:r w:rsidR="002A4194" w:rsidRPr="003E3BE5">
              <w:rPr>
                <w:rFonts w:eastAsia="Calibri" w:cs="Calibri"/>
                <w:spacing w:val="0"/>
                <w:sz w:val="20"/>
                <w:szCs w:val="20"/>
                <w:shd w:val="clear" w:color="auto" w:fill="FFC000"/>
              </w:rPr>
              <w:t>viable private practice providing VMO services</w:t>
            </w:r>
          </w:p>
        </w:tc>
        <w:tc>
          <w:tcPr>
            <w:tcW w:w="1373" w:type="dxa"/>
            <w:shd w:val="clear" w:color="auto" w:fill="FF0000"/>
          </w:tcPr>
          <w:p w14:paraId="0EAB7C68"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Score 0 </w:t>
            </w:r>
          </w:p>
          <w:p w14:paraId="63D04CA3"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 </w:t>
            </w:r>
          </w:p>
          <w:p w14:paraId="49190585" w14:textId="51E6435B" w:rsidR="002A4194" w:rsidRPr="002A4194" w:rsidRDefault="002A4194" w:rsidP="002A4194">
            <w:pPr>
              <w:spacing w:after="0"/>
              <w:rPr>
                <w:rFonts w:eastAsia="Calibri" w:cs="Calibri"/>
                <w:spacing w:val="0"/>
                <w:sz w:val="20"/>
                <w:szCs w:val="20"/>
              </w:rPr>
            </w:pPr>
            <w:r w:rsidRPr="00CB0A4C">
              <w:rPr>
                <w:rFonts w:eastAsia="Calibri" w:cs="Calibri"/>
                <w:spacing w:val="0"/>
                <w:sz w:val="20"/>
                <w:szCs w:val="20"/>
              </w:rPr>
              <w:t>V</w:t>
            </w:r>
            <w:r w:rsidR="00CB0A4C" w:rsidRPr="00CB0A4C">
              <w:rPr>
                <w:rFonts w:eastAsia="Calibri" w:cs="Calibri"/>
                <w:spacing w:val="0"/>
                <w:sz w:val="20"/>
                <w:szCs w:val="20"/>
              </w:rPr>
              <w:t>ir</w:t>
            </w:r>
            <w:r w:rsidR="00CB0A4C">
              <w:rPr>
                <w:rFonts w:eastAsia="Calibri" w:cs="Calibri"/>
                <w:spacing w:val="0"/>
                <w:sz w:val="20"/>
                <w:szCs w:val="20"/>
              </w:rPr>
              <w:t>tual Rural Generalist (VRG) program,</w:t>
            </w:r>
            <w:r w:rsidR="005B758D">
              <w:rPr>
                <w:rFonts w:eastAsia="Calibri" w:cs="Calibri"/>
                <w:spacing w:val="0"/>
                <w:sz w:val="20"/>
                <w:szCs w:val="20"/>
              </w:rPr>
              <w:t xml:space="preserve"> </w:t>
            </w:r>
            <w:r w:rsidRPr="002A4194">
              <w:rPr>
                <w:rFonts w:eastAsia="Calibri" w:cs="Calibri"/>
                <w:spacing w:val="0"/>
                <w:sz w:val="20"/>
                <w:szCs w:val="20"/>
              </w:rPr>
              <w:t xml:space="preserve">with </w:t>
            </w:r>
            <w:r w:rsidR="00CB0A4C">
              <w:rPr>
                <w:rFonts w:eastAsia="Calibri" w:cs="Calibri"/>
                <w:spacing w:val="0"/>
                <w:sz w:val="20"/>
                <w:szCs w:val="20"/>
              </w:rPr>
              <w:t xml:space="preserve">only </w:t>
            </w:r>
            <w:r w:rsidRPr="002A4194">
              <w:rPr>
                <w:rFonts w:eastAsia="Calibri" w:cs="Calibri"/>
                <w:spacing w:val="0"/>
                <w:sz w:val="20"/>
                <w:szCs w:val="20"/>
              </w:rPr>
              <w:t xml:space="preserve">1 week in 6 on-site </w:t>
            </w:r>
            <w:r w:rsidR="000E750B">
              <w:rPr>
                <w:rFonts w:eastAsia="Calibri" w:cs="Calibri"/>
                <w:spacing w:val="0"/>
                <w:sz w:val="20"/>
                <w:szCs w:val="20"/>
              </w:rPr>
              <w:t>face-to-face</w:t>
            </w:r>
            <w:r w:rsidRPr="002A4194">
              <w:rPr>
                <w:rFonts w:eastAsia="Calibri" w:cs="Calibri"/>
                <w:spacing w:val="0"/>
                <w:sz w:val="20"/>
                <w:szCs w:val="20"/>
              </w:rPr>
              <w:t>; not making major difference to emergency care availability</w:t>
            </w:r>
          </w:p>
        </w:tc>
        <w:tc>
          <w:tcPr>
            <w:tcW w:w="1417" w:type="dxa"/>
            <w:shd w:val="clear" w:color="auto" w:fill="FF0000"/>
          </w:tcPr>
          <w:p w14:paraId="5FF5A644"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0</w:t>
            </w:r>
          </w:p>
          <w:p w14:paraId="6DF86E92" w14:textId="77777777" w:rsidR="002A4194" w:rsidRPr="002A4194" w:rsidRDefault="002A4194" w:rsidP="002A4194">
            <w:pPr>
              <w:spacing w:after="0"/>
              <w:rPr>
                <w:rFonts w:eastAsia="Calibri" w:cs="Calibri"/>
                <w:spacing w:val="0"/>
                <w:sz w:val="20"/>
                <w:szCs w:val="20"/>
              </w:rPr>
            </w:pPr>
          </w:p>
          <w:p w14:paraId="6EB6B825"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Private </w:t>
            </w:r>
          </w:p>
          <w:p w14:paraId="4FBD11AF" w14:textId="77777777" w:rsidR="0044704B" w:rsidRDefault="002A4194" w:rsidP="002A4194">
            <w:pPr>
              <w:spacing w:after="0"/>
              <w:rPr>
                <w:rFonts w:eastAsia="Calibri" w:cs="Calibri"/>
                <w:spacing w:val="0"/>
                <w:sz w:val="20"/>
                <w:szCs w:val="20"/>
              </w:rPr>
            </w:pPr>
            <w:r w:rsidRPr="002A4194">
              <w:rPr>
                <w:rFonts w:eastAsia="Calibri" w:cs="Calibri"/>
                <w:spacing w:val="0"/>
                <w:sz w:val="20"/>
                <w:szCs w:val="20"/>
              </w:rPr>
              <w:t xml:space="preserve">practice and Health One; not making major difference to </w:t>
            </w:r>
            <w:r w:rsidR="002B59CD">
              <w:rPr>
                <w:rFonts w:eastAsia="Calibri" w:cs="Calibri"/>
                <w:spacing w:val="0"/>
                <w:sz w:val="20"/>
                <w:szCs w:val="20"/>
              </w:rPr>
              <w:t>urgent/</w:t>
            </w:r>
          </w:p>
          <w:p w14:paraId="72C34CDD" w14:textId="061A4D73"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emergency care availability</w:t>
            </w:r>
          </w:p>
        </w:tc>
        <w:tc>
          <w:tcPr>
            <w:tcW w:w="1369" w:type="dxa"/>
            <w:shd w:val="clear" w:color="auto" w:fill="00B0F0"/>
          </w:tcPr>
          <w:p w14:paraId="4968AA01"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3</w:t>
            </w:r>
          </w:p>
          <w:p w14:paraId="4F4EBB9C" w14:textId="77777777" w:rsidR="002A4194" w:rsidRPr="002A4194" w:rsidRDefault="002A4194" w:rsidP="002A4194">
            <w:pPr>
              <w:spacing w:after="0"/>
              <w:rPr>
                <w:rFonts w:eastAsia="Calibri" w:cs="Calibri"/>
                <w:spacing w:val="0"/>
                <w:sz w:val="20"/>
                <w:szCs w:val="20"/>
              </w:rPr>
            </w:pPr>
          </w:p>
          <w:p w14:paraId="1A8021F2" w14:textId="023264DA" w:rsidR="002A4194" w:rsidRPr="002A4194" w:rsidRDefault="006247F3" w:rsidP="002A4194">
            <w:pPr>
              <w:spacing w:after="0"/>
              <w:rPr>
                <w:rFonts w:eastAsia="Calibri" w:cs="Calibri"/>
                <w:spacing w:val="0"/>
                <w:sz w:val="20"/>
                <w:szCs w:val="20"/>
              </w:rPr>
            </w:pPr>
            <w:r>
              <w:rPr>
                <w:rFonts w:eastAsia="Calibri" w:cs="Calibri"/>
                <w:spacing w:val="0"/>
                <w:sz w:val="20"/>
                <w:szCs w:val="20"/>
              </w:rPr>
              <w:t xml:space="preserve">The Initiative </w:t>
            </w:r>
            <w:r w:rsidR="002A4194" w:rsidRPr="002A4194">
              <w:rPr>
                <w:rFonts w:eastAsia="Calibri" w:cs="Calibri"/>
                <w:spacing w:val="0"/>
                <w:sz w:val="20"/>
                <w:szCs w:val="20"/>
              </w:rPr>
              <w:t>ensure</w:t>
            </w:r>
            <w:r>
              <w:rPr>
                <w:rFonts w:eastAsia="Calibri" w:cs="Calibri"/>
                <w:spacing w:val="0"/>
                <w:sz w:val="20"/>
                <w:szCs w:val="20"/>
              </w:rPr>
              <w:t>d</w:t>
            </w:r>
            <w:r w:rsidR="002A4194" w:rsidRPr="002A4194">
              <w:rPr>
                <w:rFonts w:eastAsia="Calibri" w:cs="Calibri"/>
                <w:spacing w:val="0"/>
                <w:sz w:val="20"/>
                <w:szCs w:val="20"/>
              </w:rPr>
              <w:t xml:space="preserve"> funding of 24 hours ED service </w:t>
            </w:r>
          </w:p>
        </w:tc>
        <w:tc>
          <w:tcPr>
            <w:tcW w:w="1466" w:type="dxa"/>
            <w:shd w:val="clear" w:color="auto" w:fill="00B0F0"/>
          </w:tcPr>
          <w:p w14:paraId="40A30553"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Score 3 </w:t>
            </w:r>
          </w:p>
          <w:p w14:paraId="491014C6" w14:textId="77777777" w:rsidR="002A4194" w:rsidRPr="002A4194" w:rsidRDefault="002A4194" w:rsidP="002A4194">
            <w:pPr>
              <w:spacing w:after="0"/>
              <w:rPr>
                <w:rFonts w:eastAsia="Calibri" w:cs="Calibri"/>
                <w:spacing w:val="0"/>
                <w:sz w:val="20"/>
                <w:szCs w:val="20"/>
              </w:rPr>
            </w:pPr>
          </w:p>
          <w:p w14:paraId="08F9BEAF" w14:textId="392D93F5" w:rsidR="002A4194" w:rsidRPr="002A4194" w:rsidRDefault="006247F3" w:rsidP="002A4194">
            <w:pPr>
              <w:spacing w:after="0"/>
              <w:rPr>
                <w:rFonts w:eastAsia="Calibri" w:cs="Calibri"/>
                <w:spacing w:val="0"/>
                <w:sz w:val="20"/>
                <w:szCs w:val="20"/>
              </w:rPr>
            </w:pPr>
            <w:r>
              <w:rPr>
                <w:rFonts w:eastAsia="Calibri" w:cs="Calibri"/>
                <w:spacing w:val="0"/>
                <w:sz w:val="20"/>
                <w:szCs w:val="20"/>
              </w:rPr>
              <w:t xml:space="preserve">The Initiative </w:t>
            </w:r>
            <w:r w:rsidR="002A4194" w:rsidRPr="002A4194">
              <w:rPr>
                <w:rFonts w:eastAsia="Calibri" w:cs="Calibri"/>
                <w:spacing w:val="0"/>
                <w:sz w:val="20"/>
                <w:szCs w:val="20"/>
              </w:rPr>
              <w:t>ensure</w:t>
            </w:r>
            <w:r>
              <w:rPr>
                <w:rFonts w:eastAsia="Calibri" w:cs="Calibri"/>
                <w:spacing w:val="0"/>
                <w:sz w:val="20"/>
                <w:szCs w:val="20"/>
              </w:rPr>
              <w:t>d</w:t>
            </w:r>
            <w:r w:rsidR="002A4194" w:rsidRPr="002A4194">
              <w:rPr>
                <w:rFonts w:eastAsia="Calibri" w:cs="Calibri"/>
                <w:spacing w:val="0"/>
                <w:sz w:val="20"/>
                <w:szCs w:val="20"/>
              </w:rPr>
              <w:t xml:space="preserve"> access to a GP within hours and on-call after hours</w:t>
            </w:r>
          </w:p>
        </w:tc>
        <w:tc>
          <w:tcPr>
            <w:tcW w:w="1307" w:type="dxa"/>
            <w:shd w:val="clear" w:color="auto" w:fill="92D050"/>
          </w:tcPr>
          <w:p w14:paraId="7014EF60"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2</w:t>
            </w:r>
          </w:p>
          <w:p w14:paraId="6E3031BB" w14:textId="77777777" w:rsidR="002A4194" w:rsidRPr="002A4194" w:rsidRDefault="002A4194" w:rsidP="002A4194">
            <w:pPr>
              <w:spacing w:after="0"/>
              <w:rPr>
                <w:rFonts w:eastAsia="Calibri" w:cs="Calibri"/>
                <w:spacing w:val="0"/>
                <w:sz w:val="20"/>
                <w:szCs w:val="20"/>
              </w:rPr>
            </w:pPr>
          </w:p>
          <w:p w14:paraId="49F0B683" w14:textId="3C999979" w:rsidR="002A4194" w:rsidRPr="002A4194" w:rsidRDefault="006247F3" w:rsidP="002A4194">
            <w:pPr>
              <w:spacing w:after="0"/>
              <w:rPr>
                <w:rFonts w:eastAsia="Calibri" w:cs="Calibri"/>
                <w:spacing w:val="0"/>
                <w:sz w:val="20"/>
                <w:szCs w:val="20"/>
              </w:rPr>
            </w:pPr>
            <w:r>
              <w:rPr>
                <w:rFonts w:eastAsia="Calibri" w:cs="Calibri"/>
                <w:spacing w:val="0"/>
                <w:sz w:val="20"/>
                <w:szCs w:val="20"/>
              </w:rPr>
              <w:t xml:space="preserve">The Initiative </w:t>
            </w:r>
            <w:r w:rsidR="002A4194" w:rsidRPr="002A4194">
              <w:rPr>
                <w:rFonts w:eastAsia="Calibri" w:cs="Calibri"/>
                <w:spacing w:val="0"/>
                <w:sz w:val="20"/>
                <w:szCs w:val="20"/>
              </w:rPr>
              <w:t>supports better management of Cat</w:t>
            </w:r>
            <w:r>
              <w:rPr>
                <w:rFonts w:eastAsia="Calibri" w:cs="Calibri"/>
                <w:spacing w:val="0"/>
                <w:sz w:val="20"/>
                <w:szCs w:val="20"/>
              </w:rPr>
              <w:t xml:space="preserve">egories </w:t>
            </w:r>
            <w:r w:rsidR="002A4194" w:rsidRPr="002A4194">
              <w:rPr>
                <w:rFonts w:eastAsia="Calibri" w:cs="Calibri"/>
                <w:spacing w:val="0"/>
                <w:sz w:val="20"/>
                <w:szCs w:val="20"/>
              </w:rPr>
              <w:t>4 &amp; 5; private practice ha</w:t>
            </w:r>
            <w:r>
              <w:rPr>
                <w:rFonts w:eastAsia="Calibri" w:cs="Calibri"/>
                <w:spacing w:val="0"/>
                <w:sz w:val="20"/>
                <w:szCs w:val="20"/>
              </w:rPr>
              <w:t>d</w:t>
            </w:r>
            <w:r w:rsidR="002A4194" w:rsidRPr="002A4194">
              <w:rPr>
                <w:rFonts w:eastAsia="Calibri" w:cs="Calibri"/>
                <w:spacing w:val="0"/>
                <w:sz w:val="20"/>
                <w:szCs w:val="20"/>
              </w:rPr>
              <w:t xml:space="preserve"> limited capacity to deal with walk-ins due to workforce shortage</w:t>
            </w:r>
          </w:p>
        </w:tc>
        <w:tc>
          <w:tcPr>
            <w:tcW w:w="1387" w:type="dxa"/>
            <w:shd w:val="clear" w:color="auto" w:fill="92D050"/>
          </w:tcPr>
          <w:p w14:paraId="3296A8DE"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2</w:t>
            </w:r>
          </w:p>
          <w:p w14:paraId="58D907FE" w14:textId="77777777" w:rsidR="002A4194" w:rsidRPr="002A4194" w:rsidRDefault="002A4194" w:rsidP="002A4194">
            <w:pPr>
              <w:spacing w:after="0"/>
              <w:rPr>
                <w:rFonts w:eastAsia="Calibri" w:cs="Calibri"/>
                <w:spacing w:val="0"/>
                <w:sz w:val="20"/>
                <w:szCs w:val="20"/>
              </w:rPr>
            </w:pPr>
          </w:p>
          <w:p w14:paraId="19146FB8" w14:textId="76BF7DBC"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Private practice in town; patients sometimes choose to present to ED rather than private practice</w:t>
            </w:r>
          </w:p>
        </w:tc>
      </w:tr>
      <w:tr w:rsidR="002A4194" w:rsidRPr="002A4194" w14:paraId="00363390" w14:textId="77777777" w:rsidTr="00A85EEA">
        <w:tc>
          <w:tcPr>
            <w:tcW w:w="1587" w:type="dxa"/>
          </w:tcPr>
          <w:p w14:paraId="620A03CE" w14:textId="330EE55B" w:rsidR="002A4194" w:rsidRPr="002A4194" w:rsidRDefault="006247F3" w:rsidP="002A4194">
            <w:pPr>
              <w:spacing w:after="0"/>
              <w:rPr>
                <w:rFonts w:eastAsia="Calibri" w:cs="Calibri"/>
                <w:spacing w:val="0"/>
                <w:sz w:val="20"/>
                <w:szCs w:val="20"/>
              </w:rPr>
            </w:pPr>
            <w:r>
              <w:rPr>
                <w:rFonts w:eastAsia="Calibri" w:cs="Calibri"/>
                <w:spacing w:val="0"/>
                <w:sz w:val="20"/>
                <w:szCs w:val="20"/>
              </w:rPr>
              <w:t xml:space="preserve">The Initiative </w:t>
            </w:r>
            <w:r w:rsidR="002A4194" w:rsidRPr="002A4194">
              <w:rPr>
                <w:rFonts w:eastAsia="Calibri" w:cs="Calibri"/>
                <w:spacing w:val="0"/>
                <w:sz w:val="20"/>
                <w:szCs w:val="20"/>
              </w:rPr>
              <w:t>contribut</w:t>
            </w:r>
            <w:r>
              <w:rPr>
                <w:rFonts w:eastAsia="Calibri" w:cs="Calibri"/>
                <w:spacing w:val="0"/>
                <w:sz w:val="20"/>
                <w:szCs w:val="20"/>
              </w:rPr>
              <w:t>ed</w:t>
            </w:r>
            <w:r w:rsidR="002A4194" w:rsidRPr="002A4194">
              <w:rPr>
                <w:rFonts w:eastAsia="Calibri" w:cs="Calibri"/>
                <w:spacing w:val="0"/>
                <w:sz w:val="20"/>
                <w:szCs w:val="20"/>
              </w:rPr>
              <w:t xml:space="preserve"> to Integrated compr</w:t>
            </w:r>
            <w:r w:rsidR="002533C1">
              <w:rPr>
                <w:rFonts w:eastAsia="Calibri" w:cs="Calibri"/>
                <w:spacing w:val="0"/>
                <w:sz w:val="20"/>
                <w:szCs w:val="20"/>
              </w:rPr>
              <w:t>e</w:t>
            </w:r>
            <w:r w:rsidR="002A4194" w:rsidRPr="002A4194">
              <w:rPr>
                <w:rFonts w:eastAsia="Calibri" w:cs="Calibri"/>
                <w:spacing w:val="0"/>
                <w:sz w:val="20"/>
                <w:szCs w:val="20"/>
              </w:rPr>
              <w:t>h</w:t>
            </w:r>
            <w:r w:rsidR="002533C1">
              <w:rPr>
                <w:rFonts w:eastAsia="Calibri" w:cs="Calibri"/>
                <w:spacing w:val="0"/>
                <w:sz w:val="20"/>
                <w:szCs w:val="20"/>
              </w:rPr>
              <w:t>e</w:t>
            </w:r>
            <w:r w:rsidR="002A4194" w:rsidRPr="002A4194">
              <w:rPr>
                <w:rFonts w:eastAsia="Calibri" w:cs="Calibri"/>
                <w:spacing w:val="0"/>
                <w:sz w:val="20"/>
                <w:szCs w:val="20"/>
              </w:rPr>
              <w:t>ns</w:t>
            </w:r>
            <w:r w:rsidR="002533C1">
              <w:rPr>
                <w:rFonts w:eastAsia="Calibri" w:cs="Calibri"/>
                <w:spacing w:val="0"/>
                <w:sz w:val="20"/>
                <w:szCs w:val="20"/>
              </w:rPr>
              <w:t>i</w:t>
            </w:r>
            <w:r w:rsidR="002A4194" w:rsidRPr="002A4194">
              <w:rPr>
                <w:rFonts w:eastAsia="Calibri" w:cs="Calibri"/>
                <w:spacing w:val="0"/>
                <w:sz w:val="20"/>
                <w:szCs w:val="20"/>
              </w:rPr>
              <w:t>v</w:t>
            </w:r>
            <w:r w:rsidR="002533C1">
              <w:rPr>
                <w:rFonts w:eastAsia="Calibri" w:cs="Calibri"/>
                <w:spacing w:val="0"/>
                <w:sz w:val="20"/>
                <w:szCs w:val="20"/>
              </w:rPr>
              <w:t xml:space="preserve">e </w:t>
            </w:r>
            <w:r w:rsidR="002A4194" w:rsidRPr="002A4194">
              <w:rPr>
                <w:rFonts w:eastAsia="Calibri" w:cs="Calibri"/>
                <w:spacing w:val="0"/>
                <w:sz w:val="20"/>
                <w:szCs w:val="20"/>
              </w:rPr>
              <w:t xml:space="preserve">primary </w:t>
            </w:r>
            <w:r w:rsidR="00E419DC">
              <w:rPr>
                <w:rFonts w:eastAsia="Calibri" w:cs="Calibri"/>
                <w:spacing w:val="0"/>
                <w:sz w:val="20"/>
                <w:szCs w:val="20"/>
              </w:rPr>
              <w:t>healthcare</w:t>
            </w:r>
            <w:r w:rsidR="00A85EEA">
              <w:rPr>
                <w:rFonts w:eastAsia="Calibri" w:cs="Calibri"/>
                <w:spacing w:val="0"/>
                <w:sz w:val="20"/>
                <w:szCs w:val="20"/>
              </w:rPr>
              <w:t xml:space="preserve"> </w:t>
            </w:r>
            <w:r w:rsidR="002A4194" w:rsidRPr="002A4194">
              <w:rPr>
                <w:rFonts w:eastAsia="Calibri" w:cs="Calibri"/>
                <w:spacing w:val="0"/>
                <w:sz w:val="20"/>
                <w:szCs w:val="20"/>
              </w:rPr>
              <w:t xml:space="preserve">(e.g. chronic disease </w:t>
            </w:r>
            <w:r w:rsidR="002533C1">
              <w:rPr>
                <w:rFonts w:eastAsia="Calibri" w:cs="Calibri"/>
                <w:spacing w:val="0"/>
                <w:sz w:val="20"/>
                <w:szCs w:val="20"/>
              </w:rPr>
              <w:t>management</w:t>
            </w:r>
            <w:r w:rsidR="002A4194" w:rsidRPr="002A4194">
              <w:rPr>
                <w:rFonts w:eastAsia="Calibri" w:cs="Calibri"/>
                <w:spacing w:val="0"/>
                <w:sz w:val="20"/>
                <w:szCs w:val="20"/>
              </w:rPr>
              <w:t xml:space="preserve">, lifestyle </w:t>
            </w:r>
            <w:r w:rsidR="002533C1">
              <w:rPr>
                <w:rFonts w:eastAsia="Calibri" w:cs="Calibri"/>
                <w:spacing w:val="0"/>
                <w:sz w:val="20"/>
                <w:szCs w:val="20"/>
              </w:rPr>
              <w:t>management</w:t>
            </w:r>
            <w:r w:rsidR="002A4194" w:rsidRPr="002A4194">
              <w:rPr>
                <w:rFonts w:eastAsia="Calibri" w:cs="Calibri"/>
                <w:spacing w:val="0"/>
                <w:sz w:val="20"/>
                <w:szCs w:val="20"/>
              </w:rPr>
              <w:t>, mental health, child health)</w:t>
            </w:r>
          </w:p>
        </w:tc>
        <w:tc>
          <w:tcPr>
            <w:tcW w:w="1391" w:type="dxa"/>
            <w:shd w:val="clear" w:color="auto" w:fill="92D050"/>
          </w:tcPr>
          <w:p w14:paraId="3540DB97"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2</w:t>
            </w:r>
          </w:p>
          <w:p w14:paraId="1434FCF6" w14:textId="77777777" w:rsidR="002A4194" w:rsidRPr="002A4194" w:rsidRDefault="002A4194" w:rsidP="002A4194">
            <w:pPr>
              <w:spacing w:after="0"/>
              <w:rPr>
                <w:rFonts w:eastAsia="Calibri" w:cs="Calibri"/>
                <w:spacing w:val="0"/>
                <w:sz w:val="20"/>
                <w:szCs w:val="20"/>
              </w:rPr>
            </w:pPr>
          </w:p>
          <w:p w14:paraId="4FD91952" w14:textId="143D0163"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GP clinic in hospital and nurse</w:t>
            </w:r>
            <w:r w:rsidR="00287C0E">
              <w:rPr>
                <w:rFonts w:eastAsia="Calibri" w:cs="Calibri"/>
                <w:spacing w:val="0"/>
                <w:sz w:val="20"/>
                <w:szCs w:val="20"/>
              </w:rPr>
              <w:t xml:space="preserve"> hours</w:t>
            </w:r>
            <w:r w:rsidRPr="002A4194">
              <w:rPr>
                <w:rFonts w:eastAsia="Calibri" w:cs="Calibri"/>
                <w:spacing w:val="0"/>
                <w:sz w:val="20"/>
                <w:szCs w:val="20"/>
              </w:rPr>
              <w:t>. However, limited capacity to deliver</w:t>
            </w:r>
            <w:r w:rsidR="004C665D">
              <w:rPr>
                <w:rFonts w:eastAsia="Calibri" w:cs="Calibri"/>
                <w:spacing w:val="0"/>
                <w:sz w:val="20"/>
                <w:szCs w:val="20"/>
              </w:rPr>
              <w:t xml:space="preserve"> </w:t>
            </w:r>
            <w:r w:rsidRPr="002A4194">
              <w:rPr>
                <w:rFonts w:eastAsia="Calibri" w:cs="Calibri"/>
                <w:spacing w:val="0"/>
                <w:sz w:val="20"/>
                <w:szCs w:val="20"/>
              </w:rPr>
              <w:t xml:space="preserve">integrated, comprehensive care </w:t>
            </w:r>
          </w:p>
        </w:tc>
        <w:tc>
          <w:tcPr>
            <w:tcW w:w="1382" w:type="dxa"/>
            <w:shd w:val="clear" w:color="auto" w:fill="92D050"/>
          </w:tcPr>
          <w:p w14:paraId="56AD4238"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2</w:t>
            </w:r>
          </w:p>
          <w:p w14:paraId="4FD2399B" w14:textId="77777777" w:rsidR="002A4194" w:rsidRPr="002A4194" w:rsidRDefault="002A4194" w:rsidP="002A4194">
            <w:pPr>
              <w:spacing w:after="0"/>
              <w:rPr>
                <w:rFonts w:eastAsia="Calibri" w:cs="Calibri"/>
                <w:spacing w:val="0"/>
                <w:sz w:val="20"/>
                <w:szCs w:val="20"/>
              </w:rPr>
            </w:pPr>
          </w:p>
          <w:p w14:paraId="4EF8D24A" w14:textId="2A45B1FA"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GP outreach to more remote comm</w:t>
            </w:r>
            <w:r w:rsidR="006247F3">
              <w:rPr>
                <w:rFonts w:eastAsia="Calibri" w:cs="Calibri"/>
                <w:spacing w:val="0"/>
                <w:sz w:val="20"/>
                <w:szCs w:val="20"/>
              </w:rPr>
              <w:t>unities</w:t>
            </w:r>
            <w:r w:rsidRPr="002A4194">
              <w:rPr>
                <w:rFonts w:eastAsia="Calibri" w:cs="Calibri"/>
                <w:spacing w:val="0"/>
                <w:sz w:val="20"/>
                <w:szCs w:val="20"/>
              </w:rPr>
              <w:t xml:space="preserve"> but </w:t>
            </w:r>
            <w:r w:rsidR="006247F3">
              <w:rPr>
                <w:rFonts w:eastAsia="Calibri" w:cs="Calibri"/>
                <w:spacing w:val="0"/>
                <w:sz w:val="20"/>
                <w:szCs w:val="20"/>
              </w:rPr>
              <w:t>th</w:t>
            </w:r>
            <w:r w:rsidR="00215A50">
              <w:rPr>
                <w:rFonts w:eastAsia="Calibri" w:cs="Calibri"/>
                <w:spacing w:val="0"/>
                <w:sz w:val="20"/>
                <w:szCs w:val="20"/>
              </w:rPr>
              <w:t>is service</w:t>
            </w:r>
            <w:r w:rsidR="006247F3">
              <w:rPr>
                <w:rFonts w:eastAsia="Calibri" w:cs="Calibri"/>
                <w:spacing w:val="0"/>
                <w:sz w:val="20"/>
                <w:szCs w:val="20"/>
              </w:rPr>
              <w:t xml:space="preserve"> is </w:t>
            </w:r>
            <w:r w:rsidRPr="002A4194">
              <w:rPr>
                <w:rFonts w:eastAsia="Calibri" w:cs="Calibri"/>
                <w:spacing w:val="0"/>
                <w:sz w:val="20"/>
                <w:szCs w:val="20"/>
              </w:rPr>
              <w:t>at</w:t>
            </w:r>
            <w:r w:rsidR="004C665D">
              <w:rPr>
                <w:rFonts w:eastAsia="Calibri" w:cs="Calibri"/>
                <w:spacing w:val="0"/>
                <w:sz w:val="20"/>
                <w:szCs w:val="20"/>
              </w:rPr>
              <w:t xml:space="preserve"> </w:t>
            </w:r>
            <w:r w:rsidRPr="002A4194">
              <w:rPr>
                <w:rFonts w:eastAsia="Calibri" w:cs="Calibri"/>
                <w:spacing w:val="0"/>
                <w:sz w:val="20"/>
                <w:szCs w:val="20"/>
              </w:rPr>
              <w:t>risk due to Queensland Health budget constraints</w:t>
            </w:r>
          </w:p>
        </w:tc>
        <w:tc>
          <w:tcPr>
            <w:tcW w:w="1311" w:type="dxa"/>
            <w:shd w:val="clear" w:color="auto" w:fill="00B0F0"/>
          </w:tcPr>
          <w:p w14:paraId="3AA838B3" w14:textId="75EA3BF1"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3</w:t>
            </w:r>
          </w:p>
          <w:p w14:paraId="6294005E" w14:textId="77777777" w:rsidR="002A4194" w:rsidRPr="002A4194" w:rsidRDefault="002A4194" w:rsidP="002A4194">
            <w:pPr>
              <w:spacing w:after="0"/>
              <w:rPr>
                <w:rFonts w:eastAsia="Calibri" w:cs="Calibri"/>
                <w:spacing w:val="0"/>
                <w:sz w:val="20"/>
                <w:szCs w:val="20"/>
              </w:rPr>
            </w:pPr>
          </w:p>
          <w:p w14:paraId="62DF1214" w14:textId="558E4558"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P</w:t>
            </w:r>
            <w:r w:rsidR="00147ECA">
              <w:rPr>
                <w:rFonts w:eastAsia="Calibri" w:cs="Calibri"/>
                <w:spacing w:val="0"/>
                <w:sz w:val="20"/>
                <w:szCs w:val="20"/>
              </w:rPr>
              <w:t xml:space="preserve">HOs </w:t>
            </w:r>
            <w:r w:rsidRPr="002A4194">
              <w:rPr>
                <w:rFonts w:eastAsia="Calibri" w:cs="Calibri"/>
                <w:spacing w:val="0"/>
                <w:sz w:val="20"/>
                <w:szCs w:val="20"/>
              </w:rPr>
              <w:t xml:space="preserve">funded by </w:t>
            </w:r>
            <w:r w:rsidR="006247F3">
              <w:rPr>
                <w:rFonts w:eastAsia="Calibri" w:cs="Calibri"/>
                <w:spacing w:val="0"/>
                <w:sz w:val="20"/>
                <w:szCs w:val="20"/>
              </w:rPr>
              <w:t>the Initiative</w:t>
            </w:r>
            <w:r w:rsidRPr="002A4194">
              <w:rPr>
                <w:rFonts w:eastAsia="Calibri" w:cs="Calibri"/>
                <w:spacing w:val="0"/>
                <w:sz w:val="20"/>
                <w:szCs w:val="20"/>
              </w:rPr>
              <w:t xml:space="preserve"> undert</w:t>
            </w:r>
            <w:r w:rsidR="006247F3">
              <w:rPr>
                <w:rFonts w:eastAsia="Calibri" w:cs="Calibri"/>
                <w:spacing w:val="0"/>
                <w:sz w:val="20"/>
                <w:szCs w:val="20"/>
              </w:rPr>
              <w:t>ook</w:t>
            </w:r>
            <w:r w:rsidRPr="002A4194">
              <w:rPr>
                <w:rFonts w:eastAsia="Calibri" w:cs="Calibri"/>
                <w:spacing w:val="0"/>
                <w:sz w:val="20"/>
                <w:szCs w:val="20"/>
              </w:rPr>
              <w:t xml:space="preserve"> 6</w:t>
            </w:r>
            <w:r w:rsidR="00065C89">
              <w:rPr>
                <w:rFonts w:eastAsia="Calibri" w:cs="Calibri"/>
                <w:spacing w:val="0"/>
                <w:sz w:val="20"/>
                <w:szCs w:val="20"/>
              </w:rPr>
              <w:t>-</w:t>
            </w:r>
            <w:r w:rsidRPr="002A4194">
              <w:rPr>
                <w:rFonts w:eastAsia="Calibri" w:cs="Calibri"/>
                <w:spacing w:val="0"/>
                <w:sz w:val="20"/>
                <w:szCs w:val="20"/>
              </w:rPr>
              <w:t>month rotation</w:t>
            </w:r>
            <w:r w:rsidR="006247F3">
              <w:rPr>
                <w:rFonts w:eastAsia="Calibri" w:cs="Calibri"/>
                <w:spacing w:val="0"/>
                <w:sz w:val="20"/>
                <w:szCs w:val="20"/>
              </w:rPr>
              <w:t>s</w:t>
            </w:r>
            <w:r w:rsidRPr="002A4194">
              <w:rPr>
                <w:rFonts w:eastAsia="Calibri" w:cs="Calibri"/>
                <w:spacing w:val="0"/>
                <w:sz w:val="20"/>
                <w:szCs w:val="20"/>
              </w:rPr>
              <w:t xml:space="preserve"> in private GP practices, in addition to 6 months in ED</w:t>
            </w:r>
          </w:p>
        </w:tc>
        <w:tc>
          <w:tcPr>
            <w:tcW w:w="1462" w:type="dxa"/>
            <w:shd w:val="clear" w:color="auto" w:fill="FFC000"/>
          </w:tcPr>
          <w:p w14:paraId="22C573BE" w14:textId="74C27323" w:rsidR="002A4194" w:rsidRDefault="003E3BE5" w:rsidP="002A4194">
            <w:pPr>
              <w:spacing w:after="0"/>
              <w:rPr>
                <w:rFonts w:eastAsia="Calibri" w:cs="Calibri"/>
                <w:spacing w:val="0"/>
                <w:sz w:val="20"/>
                <w:szCs w:val="20"/>
              </w:rPr>
            </w:pPr>
            <w:r>
              <w:rPr>
                <w:rFonts w:eastAsia="Calibri" w:cs="Calibri"/>
                <w:spacing w:val="0"/>
                <w:sz w:val="20"/>
                <w:szCs w:val="20"/>
              </w:rPr>
              <w:t>Score 1</w:t>
            </w:r>
          </w:p>
          <w:p w14:paraId="62C7F8E1" w14:textId="0CDD10BD" w:rsidR="003E3BE5" w:rsidRDefault="003E3BE5" w:rsidP="002A4194">
            <w:pPr>
              <w:spacing w:after="0"/>
              <w:rPr>
                <w:rFonts w:eastAsia="Calibri" w:cs="Calibri"/>
                <w:spacing w:val="0"/>
                <w:sz w:val="20"/>
                <w:szCs w:val="20"/>
              </w:rPr>
            </w:pPr>
          </w:p>
          <w:p w14:paraId="0BF5F7C6" w14:textId="788A61C4" w:rsidR="002A4194" w:rsidRPr="002A4194" w:rsidRDefault="003E3BE5" w:rsidP="002A4194">
            <w:pPr>
              <w:spacing w:after="0"/>
              <w:rPr>
                <w:rFonts w:eastAsia="Calibri" w:cs="Calibri"/>
                <w:spacing w:val="0"/>
                <w:sz w:val="20"/>
                <w:szCs w:val="20"/>
              </w:rPr>
            </w:pPr>
            <w:r w:rsidRPr="003E3BE5">
              <w:rPr>
                <w:rFonts w:eastAsia="Calibri" w:cs="Calibri"/>
                <w:spacing w:val="0"/>
                <w:sz w:val="20"/>
                <w:szCs w:val="20"/>
                <w:shd w:val="clear" w:color="auto" w:fill="FFC000"/>
              </w:rPr>
              <w:t xml:space="preserve">There was already </w:t>
            </w:r>
            <w:r w:rsidR="00A85EEA">
              <w:rPr>
                <w:rFonts w:eastAsia="Calibri" w:cs="Calibri"/>
                <w:spacing w:val="0"/>
                <w:sz w:val="20"/>
                <w:szCs w:val="20"/>
                <w:shd w:val="clear" w:color="auto" w:fill="FFC000"/>
              </w:rPr>
              <w:t xml:space="preserve">a </w:t>
            </w:r>
            <w:r w:rsidRPr="003E3BE5">
              <w:rPr>
                <w:rFonts w:eastAsia="Calibri" w:cs="Calibri"/>
                <w:spacing w:val="0"/>
                <w:sz w:val="20"/>
                <w:szCs w:val="20"/>
                <w:shd w:val="clear" w:color="auto" w:fill="FFC000"/>
              </w:rPr>
              <w:t>viable private practice providing VMO services</w:t>
            </w:r>
            <w:r w:rsidR="006247F3">
              <w:rPr>
                <w:rFonts w:eastAsia="Calibri" w:cs="Calibri"/>
                <w:spacing w:val="0"/>
                <w:sz w:val="20"/>
                <w:szCs w:val="20"/>
              </w:rPr>
              <w:t>.</w:t>
            </w:r>
          </w:p>
        </w:tc>
        <w:tc>
          <w:tcPr>
            <w:tcW w:w="1373" w:type="dxa"/>
            <w:shd w:val="clear" w:color="auto" w:fill="FF0000"/>
          </w:tcPr>
          <w:p w14:paraId="762F1FCC"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0</w:t>
            </w:r>
          </w:p>
          <w:p w14:paraId="08E3D025" w14:textId="77777777" w:rsidR="002A4194" w:rsidRPr="002A4194" w:rsidRDefault="002A4194" w:rsidP="002A4194">
            <w:pPr>
              <w:spacing w:after="0"/>
              <w:rPr>
                <w:rFonts w:eastAsia="Calibri" w:cs="Calibri"/>
                <w:spacing w:val="0"/>
                <w:sz w:val="20"/>
                <w:szCs w:val="20"/>
              </w:rPr>
            </w:pPr>
          </w:p>
          <w:p w14:paraId="26B4D8CF" w14:textId="38324CC3"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Goal to have nurse practitioner and Aboriginal </w:t>
            </w:r>
            <w:r w:rsidR="004C665D" w:rsidRPr="002A4194">
              <w:rPr>
                <w:rFonts w:eastAsia="Calibri" w:cs="Calibri"/>
                <w:spacing w:val="0"/>
                <w:sz w:val="20"/>
                <w:szCs w:val="20"/>
              </w:rPr>
              <w:t>health workers</w:t>
            </w:r>
          </w:p>
        </w:tc>
        <w:tc>
          <w:tcPr>
            <w:tcW w:w="1417" w:type="dxa"/>
            <w:shd w:val="clear" w:color="auto" w:fill="FF0000"/>
          </w:tcPr>
          <w:p w14:paraId="02EE4DFA"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0</w:t>
            </w:r>
          </w:p>
          <w:p w14:paraId="0B321BF5" w14:textId="77777777" w:rsidR="002A4194" w:rsidRPr="002A4194" w:rsidRDefault="002A4194" w:rsidP="002A4194">
            <w:pPr>
              <w:spacing w:after="0"/>
              <w:rPr>
                <w:rFonts w:eastAsia="Calibri" w:cs="Calibri"/>
                <w:spacing w:val="0"/>
                <w:sz w:val="20"/>
                <w:szCs w:val="20"/>
              </w:rPr>
            </w:pPr>
          </w:p>
          <w:p w14:paraId="1C6738F6" w14:textId="17EA800B"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Devel</w:t>
            </w:r>
            <w:r w:rsidR="00524E37">
              <w:rPr>
                <w:rFonts w:eastAsia="Calibri" w:cs="Calibri"/>
                <w:spacing w:val="0"/>
                <w:sz w:val="20"/>
                <w:szCs w:val="20"/>
              </w:rPr>
              <w:t>o</w:t>
            </w:r>
            <w:r w:rsidRPr="002A4194">
              <w:rPr>
                <w:rFonts w:eastAsia="Calibri" w:cs="Calibri"/>
                <w:spacing w:val="0"/>
                <w:sz w:val="20"/>
                <w:szCs w:val="20"/>
              </w:rPr>
              <w:t>pm</w:t>
            </w:r>
            <w:r w:rsidR="00524E37">
              <w:rPr>
                <w:rFonts w:eastAsia="Calibri" w:cs="Calibri"/>
                <w:spacing w:val="0"/>
                <w:sz w:val="20"/>
                <w:szCs w:val="20"/>
              </w:rPr>
              <w:t>e</w:t>
            </w:r>
            <w:r w:rsidRPr="002A4194">
              <w:rPr>
                <w:rFonts w:eastAsia="Calibri" w:cs="Calibri"/>
                <w:spacing w:val="0"/>
                <w:sz w:val="20"/>
                <w:szCs w:val="20"/>
              </w:rPr>
              <w:t>ntal</w:t>
            </w:r>
            <w:r w:rsidR="00524E37">
              <w:rPr>
                <w:rFonts w:eastAsia="Calibri" w:cs="Calibri"/>
                <w:spacing w:val="0"/>
                <w:sz w:val="20"/>
                <w:szCs w:val="20"/>
              </w:rPr>
              <w:t xml:space="preserve"> </w:t>
            </w:r>
            <w:r w:rsidRPr="002A4194">
              <w:rPr>
                <w:rFonts w:eastAsia="Calibri" w:cs="Calibri"/>
                <w:spacing w:val="0"/>
                <w:sz w:val="20"/>
                <w:szCs w:val="20"/>
              </w:rPr>
              <w:t>model of care at this stage with intention around care navigation</w:t>
            </w:r>
            <w:r w:rsidR="0044704B">
              <w:rPr>
                <w:rFonts w:eastAsia="Calibri" w:cs="Calibri"/>
                <w:spacing w:val="0"/>
                <w:sz w:val="20"/>
                <w:szCs w:val="20"/>
              </w:rPr>
              <w:t xml:space="preserve"> and workforce </w:t>
            </w:r>
            <w:r w:rsidR="004A323C">
              <w:rPr>
                <w:rFonts w:eastAsia="Calibri" w:cs="Calibri"/>
                <w:spacing w:val="0"/>
                <w:sz w:val="20"/>
                <w:szCs w:val="20"/>
              </w:rPr>
              <w:t>development</w:t>
            </w:r>
          </w:p>
        </w:tc>
        <w:tc>
          <w:tcPr>
            <w:tcW w:w="1369" w:type="dxa"/>
            <w:shd w:val="clear" w:color="auto" w:fill="FF0000"/>
          </w:tcPr>
          <w:p w14:paraId="3F00ED41"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0</w:t>
            </w:r>
          </w:p>
          <w:p w14:paraId="219AB48A" w14:textId="77777777" w:rsidR="002A4194" w:rsidRPr="002A4194" w:rsidRDefault="002A4194" w:rsidP="002A4194">
            <w:pPr>
              <w:spacing w:after="0"/>
              <w:rPr>
                <w:rFonts w:eastAsia="Calibri" w:cs="Calibri"/>
                <w:spacing w:val="0"/>
                <w:sz w:val="20"/>
                <w:szCs w:val="20"/>
              </w:rPr>
            </w:pPr>
          </w:p>
          <w:p w14:paraId="470CCCBA" w14:textId="1F96F6D3"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Service </w:t>
            </w:r>
            <w:r w:rsidR="00A32F7F">
              <w:rPr>
                <w:rFonts w:eastAsia="Calibri" w:cs="Calibri"/>
                <w:spacing w:val="0"/>
                <w:sz w:val="20"/>
                <w:szCs w:val="20"/>
              </w:rPr>
              <w:t>focus</w:t>
            </w:r>
            <w:r w:rsidRPr="002A4194">
              <w:rPr>
                <w:rFonts w:eastAsia="Calibri" w:cs="Calibri"/>
                <w:spacing w:val="0"/>
                <w:sz w:val="20"/>
                <w:szCs w:val="20"/>
              </w:rPr>
              <w:t>ed on urgent care for triage categories</w:t>
            </w:r>
            <w:r w:rsidR="001E75D0">
              <w:rPr>
                <w:rFonts w:eastAsia="Calibri" w:cs="Calibri"/>
                <w:spacing w:val="0"/>
                <w:sz w:val="20"/>
                <w:szCs w:val="20"/>
              </w:rPr>
              <w:t xml:space="preserve"> </w:t>
            </w:r>
            <w:r w:rsidR="006247F3" w:rsidRPr="002A4194">
              <w:rPr>
                <w:rFonts w:eastAsia="Calibri" w:cs="Calibri"/>
                <w:spacing w:val="0"/>
                <w:sz w:val="20"/>
                <w:szCs w:val="20"/>
              </w:rPr>
              <w:t>4/5</w:t>
            </w:r>
            <w:r w:rsidRPr="002A4194">
              <w:rPr>
                <w:rFonts w:eastAsia="Calibri" w:cs="Calibri"/>
                <w:spacing w:val="0"/>
                <w:sz w:val="20"/>
                <w:szCs w:val="20"/>
              </w:rPr>
              <w:t>, because of high demand and no private practice</w:t>
            </w:r>
          </w:p>
        </w:tc>
        <w:tc>
          <w:tcPr>
            <w:tcW w:w="1466" w:type="dxa"/>
            <w:shd w:val="clear" w:color="auto" w:fill="FFC000"/>
          </w:tcPr>
          <w:p w14:paraId="5116D70F"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1</w:t>
            </w:r>
          </w:p>
          <w:p w14:paraId="74452BF8" w14:textId="77777777" w:rsidR="002A4194" w:rsidRPr="002A4194" w:rsidRDefault="002A4194" w:rsidP="002A4194">
            <w:pPr>
              <w:spacing w:after="0"/>
              <w:rPr>
                <w:rFonts w:eastAsia="Calibri" w:cs="Calibri"/>
                <w:spacing w:val="0"/>
                <w:sz w:val="20"/>
                <w:szCs w:val="20"/>
              </w:rPr>
            </w:pPr>
          </w:p>
          <w:p w14:paraId="1CB4BAEA" w14:textId="10113661"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Service is mainly </w:t>
            </w:r>
            <w:r w:rsidR="00A32F7F">
              <w:rPr>
                <w:rFonts w:eastAsia="Calibri" w:cs="Calibri"/>
                <w:spacing w:val="0"/>
                <w:sz w:val="20"/>
                <w:szCs w:val="20"/>
              </w:rPr>
              <w:t>focus</w:t>
            </w:r>
            <w:r w:rsidRPr="002A4194">
              <w:rPr>
                <w:rFonts w:eastAsia="Calibri" w:cs="Calibri"/>
                <w:spacing w:val="0"/>
                <w:sz w:val="20"/>
                <w:szCs w:val="20"/>
              </w:rPr>
              <w:t xml:space="preserve">ed on urgent </w:t>
            </w:r>
            <w:r w:rsidR="00065C89" w:rsidRPr="002A4194">
              <w:rPr>
                <w:rFonts w:eastAsia="Calibri" w:cs="Calibri"/>
                <w:spacing w:val="0"/>
                <w:sz w:val="20"/>
                <w:szCs w:val="20"/>
              </w:rPr>
              <w:t>care,</w:t>
            </w:r>
            <w:r w:rsidRPr="002A4194">
              <w:rPr>
                <w:rFonts w:eastAsia="Calibri" w:cs="Calibri"/>
                <w:spacing w:val="0"/>
                <w:sz w:val="20"/>
                <w:szCs w:val="20"/>
              </w:rPr>
              <w:t xml:space="preserve"> but GP </w:t>
            </w:r>
            <w:r w:rsidR="00A85EEA">
              <w:rPr>
                <w:rFonts w:eastAsia="Calibri" w:cs="Calibri"/>
                <w:spacing w:val="0"/>
                <w:sz w:val="20"/>
                <w:szCs w:val="20"/>
              </w:rPr>
              <w:t xml:space="preserve">based at site </w:t>
            </w:r>
            <w:r w:rsidRPr="002A4194">
              <w:rPr>
                <w:rFonts w:eastAsia="Calibri" w:cs="Calibri"/>
                <w:spacing w:val="0"/>
                <w:sz w:val="20"/>
                <w:szCs w:val="20"/>
              </w:rPr>
              <w:t>seeks to provide coordinated care (subject to d</w:t>
            </w:r>
            <w:r w:rsidR="005E7BA4">
              <w:rPr>
                <w:rFonts w:eastAsia="Calibri" w:cs="Calibri"/>
                <w:spacing w:val="0"/>
                <w:sz w:val="20"/>
                <w:szCs w:val="20"/>
              </w:rPr>
              <w:t>emand</w:t>
            </w:r>
            <w:r w:rsidRPr="002A4194">
              <w:rPr>
                <w:rFonts w:eastAsia="Calibri" w:cs="Calibri"/>
                <w:spacing w:val="0"/>
                <w:sz w:val="20"/>
                <w:szCs w:val="20"/>
              </w:rPr>
              <w:t xml:space="preserve"> constraints)</w:t>
            </w:r>
          </w:p>
        </w:tc>
        <w:tc>
          <w:tcPr>
            <w:tcW w:w="1307" w:type="dxa"/>
            <w:shd w:val="clear" w:color="auto" w:fill="FFC000"/>
          </w:tcPr>
          <w:p w14:paraId="5C73532F"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 xml:space="preserve">Score 1 </w:t>
            </w:r>
          </w:p>
          <w:p w14:paraId="4F4B2A69" w14:textId="77777777" w:rsidR="002A4194" w:rsidRPr="002A4194" w:rsidRDefault="002A4194" w:rsidP="002A4194">
            <w:pPr>
              <w:spacing w:after="0"/>
              <w:rPr>
                <w:rFonts w:eastAsia="Calibri" w:cs="Calibri"/>
                <w:spacing w:val="0"/>
                <w:sz w:val="20"/>
                <w:szCs w:val="20"/>
              </w:rPr>
            </w:pPr>
          </w:p>
          <w:p w14:paraId="11A6CD0C" w14:textId="7AA25991"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Podiatrist (private provider) and antenatal outreach nurse provide some broader primary care</w:t>
            </w:r>
            <w:r w:rsidR="006247F3">
              <w:rPr>
                <w:rFonts w:eastAsia="Calibri" w:cs="Calibri"/>
                <w:spacing w:val="0"/>
                <w:sz w:val="20"/>
                <w:szCs w:val="20"/>
              </w:rPr>
              <w:t xml:space="preserve"> services</w:t>
            </w:r>
          </w:p>
        </w:tc>
        <w:tc>
          <w:tcPr>
            <w:tcW w:w="1387" w:type="dxa"/>
            <w:shd w:val="clear" w:color="auto" w:fill="FFC000"/>
          </w:tcPr>
          <w:p w14:paraId="4715031A" w14:textId="77777777"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Score 1</w:t>
            </w:r>
          </w:p>
          <w:p w14:paraId="0C24C9B3" w14:textId="77777777" w:rsidR="002A4194" w:rsidRPr="002A4194" w:rsidRDefault="002A4194" w:rsidP="002A4194">
            <w:pPr>
              <w:spacing w:after="0"/>
              <w:rPr>
                <w:rFonts w:eastAsia="Calibri" w:cs="Calibri"/>
                <w:spacing w:val="0"/>
                <w:sz w:val="20"/>
                <w:szCs w:val="20"/>
              </w:rPr>
            </w:pPr>
          </w:p>
          <w:p w14:paraId="7A5A95EA" w14:textId="25601520" w:rsidR="002A4194" w:rsidRPr="002A4194" w:rsidRDefault="002A4194" w:rsidP="002A4194">
            <w:pPr>
              <w:spacing w:after="0"/>
              <w:rPr>
                <w:rFonts w:eastAsia="Calibri" w:cs="Calibri"/>
                <w:spacing w:val="0"/>
                <w:sz w:val="20"/>
                <w:szCs w:val="20"/>
              </w:rPr>
            </w:pPr>
            <w:r w:rsidRPr="002A4194">
              <w:rPr>
                <w:rFonts w:eastAsia="Calibri" w:cs="Calibri"/>
                <w:spacing w:val="0"/>
                <w:sz w:val="20"/>
                <w:szCs w:val="20"/>
              </w:rPr>
              <w:t>Visiting midwife 2 days per month. Ultrasound equipment purchased for practice, saving travel to Geraldton</w:t>
            </w:r>
          </w:p>
        </w:tc>
      </w:tr>
    </w:tbl>
    <w:p w14:paraId="3A64D109" w14:textId="2F8F69F3" w:rsidR="002A4194" w:rsidRPr="006247F3" w:rsidRDefault="002A4194" w:rsidP="002A4194">
      <w:pPr>
        <w:spacing w:after="0" w:line="259" w:lineRule="auto"/>
        <w:rPr>
          <w:rFonts w:ascii="Calibri" w:eastAsia="Calibri" w:hAnsi="Calibri" w:cs="Times New Roman"/>
          <w:spacing w:val="0"/>
          <w:sz w:val="16"/>
          <w:szCs w:val="16"/>
        </w:rPr>
      </w:pPr>
      <w:r w:rsidRPr="006247F3">
        <w:rPr>
          <w:rFonts w:ascii="Calibri" w:eastAsia="Calibri" w:hAnsi="Calibri" w:cs="Times New Roman"/>
          <w:spacing w:val="0"/>
          <w:sz w:val="16"/>
          <w:szCs w:val="16"/>
        </w:rPr>
        <w:t xml:space="preserve">Legend: </w:t>
      </w:r>
      <w:r w:rsidRPr="006247F3">
        <w:rPr>
          <w:rFonts w:ascii="Calibri" w:eastAsia="Calibri" w:hAnsi="Calibri" w:cs="Times New Roman"/>
          <w:b/>
          <w:bCs/>
          <w:spacing w:val="0"/>
          <w:sz w:val="16"/>
          <w:szCs w:val="16"/>
        </w:rPr>
        <w:t xml:space="preserve">Evaluative Assessment Colour </w:t>
      </w:r>
      <w:r w:rsidR="00065C89" w:rsidRPr="006247F3">
        <w:rPr>
          <w:rFonts w:ascii="Calibri" w:eastAsia="Calibri" w:hAnsi="Calibri" w:cs="Times New Roman"/>
          <w:b/>
          <w:bCs/>
          <w:spacing w:val="0"/>
          <w:sz w:val="16"/>
          <w:szCs w:val="16"/>
        </w:rPr>
        <w:t>Code:</w:t>
      </w:r>
      <w:r w:rsidRPr="006247F3">
        <w:rPr>
          <w:rFonts w:ascii="Calibri" w:eastAsia="Calibri" w:hAnsi="Calibri" w:cs="Times New Roman"/>
          <w:spacing w:val="0"/>
          <w:sz w:val="16"/>
          <w:szCs w:val="16"/>
        </w:rPr>
        <w:t xml:space="preserve"> </w:t>
      </w:r>
      <w:r w:rsidR="00783742">
        <w:rPr>
          <w:rFonts w:ascii="Calibri" w:eastAsia="Calibri" w:hAnsi="Calibri" w:cs="Times New Roman"/>
          <w:spacing w:val="0"/>
          <w:sz w:val="16"/>
          <w:szCs w:val="16"/>
        </w:rPr>
        <w:t>S19</w:t>
      </w:r>
      <w:r w:rsidR="00A07293">
        <w:rPr>
          <w:rFonts w:ascii="Calibri" w:eastAsia="Calibri" w:hAnsi="Calibri" w:cs="Times New Roman"/>
          <w:spacing w:val="0"/>
          <w:sz w:val="16"/>
          <w:szCs w:val="16"/>
        </w:rPr>
        <w:t>(2)</w:t>
      </w:r>
      <w:r w:rsidRPr="006247F3">
        <w:rPr>
          <w:rFonts w:ascii="Calibri" w:eastAsia="Calibri" w:hAnsi="Calibri" w:cs="Times New Roman"/>
          <w:spacing w:val="0"/>
          <w:sz w:val="16"/>
          <w:szCs w:val="16"/>
        </w:rPr>
        <w:t xml:space="preserve"> </w:t>
      </w:r>
      <w:r w:rsidR="004C665D">
        <w:rPr>
          <w:rFonts w:ascii="Calibri" w:eastAsia="Calibri" w:hAnsi="Calibri" w:cs="Times New Roman"/>
          <w:spacing w:val="0"/>
          <w:sz w:val="16"/>
          <w:szCs w:val="16"/>
        </w:rPr>
        <w:t xml:space="preserve">Initiative </w:t>
      </w:r>
      <w:r w:rsidRPr="006247F3">
        <w:rPr>
          <w:rFonts w:ascii="Calibri" w:eastAsia="Calibri" w:hAnsi="Calibri" w:cs="Times New Roman"/>
          <w:spacing w:val="0"/>
          <w:sz w:val="16"/>
          <w:szCs w:val="16"/>
        </w:rPr>
        <w:t xml:space="preserve">– evaluator observations on impact of the Initiative at each of the case study sites in relation to access to primary care: </w:t>
      </w:r>
    </w:p>
    <w:tbl>
      <w:tblPr>
        <w:tblStyle w:val="TableGrid8"/>
        <w:tblW w:w="10656" w:type="dxa"/>
        <w:tblLayout w:type="fixed"/>
        <w:tblLook w:val="04A0" w:firstRow="1" w:lastRow="0" w:firstColumn="1" w:lastColumn="0" w:noHBand="0" w:noVBand="1"/>
      </w:tblPr>
      <w:tblGrid>
        <w:gridCol w:w="2664"/>
        <w:gridCol w:w="2664"/>
        <w:gridCol w:w="2664"/>
        <w:gridCol w:w="2664"/>
      </w:tblGrid>
      <w:tr w:rsidR="005E7BA4" w:rsidRPr="002A4194" w14:paraId="13B16575" w14:textId="77777777" w:rsidTr="005E7BA4">
        <w:tc>
          <w:tcPr>
            <w:tcW w:w="2664" w:type="dxa"/>
            <w:shd w:val="clear" w:color="auto" w:fill="FF0000"/>
          </w:tcPr>
          <w:p w14:paraId="48B4292D" w14:textId="77777777" w:rsidR="005E7BA4" w:rsidRPr="006247F3" w:rsidRDefault="005E7BA4" w:rsidP="002A4194">
            <w:pPr>
              <w:spacing w:after="40"/>
              <w:rPr>
                <w:rFonts w:ascii="Calibri" w:eastAsia="Calibri" w:hAnsi="Calibri" w:cs="Times New Roman"/>
                <w:spacing w:val="0"/>
                <w:sz w:val="16"/>
                <w:szCs w:val="16"/>
              </w:rPr>
            </w:pPr>
            <w:r w:rsidRPr="006247F3">
              <w:rPr>
                <w:rFonts w:ascii="Calibri" w:eastAsia="Calibri" w:hAnsi="Calibri" w:cs="Times New Roman"/>
                <w:b/>
                <w:bCs/>
                <w:spacing w:val="0"/>
                <w:sz w:val="16"/>
                <w:szCs w:val="16"/>
              </w:rPr>
              <w:t>0</w:t>
            </w:r>
            <w:r w:rsidRPr="006247F3">
              <w:rPr>
                <w:rFonts w:ascii="Calibri" w:eastAsia="Calibri" w:hAnsi="Calibri" w:cs="Times New Roman"/>
                <w:spacing w:val="0"/>
                <w:sz w:val="16"/>
                <w:szCs w:val="16"/>
              </w:rPr>
              <w:t>: No impact/ Developmental</w:t>
            </w:r>
          </w:p>
        </w:tc>
        <w:tc>
          <w:tcPr>
            <w:tcW w:w="2664" w:type="dxa"/>
            <w:shd w:val="clear" w:color="auto" w:fill="FFC000"/>
          </w:tcPr>
          <w:p w14:paraId="429C8295" w14:textId="77777777" w:rsidR="005E7BA4" w:rsidRPr="006247F3" w:rsidRDefault="005E7BA4" w:rsidP="002A4194">
            <w:pPr>
              <w:spacing w:after="0"/>
              <w:rPr>
                <w:rFonts w:ascii="Calibri" w:eastAsia="Calibri" w:hAnsi="Calibri" w:cs="Times New Roman"/>
                <w:spacing w:val="0"/>
                <w:sz w:val="16"/>
                <w:szCs w:val="16"/>
              </w:rPr>
            </w:pPr>
            <w:r w:rsidRPr="006247F3">
              <w:rPr>
                <w:rFonts w:ascii="Calibri" w:eastAsia="Calibri" w:hAnsi="Calibri" w:cs="Times New Roman"/>
                <w:b/>
                <w:bCs/>
                <w:spacing w:val="0"/>
                <w:sz w:val="16"/>
                <w:szCs w:val="16"/>
              </w:rPr>
              <w:t>1</w:t>
            </w:r>
            <w:r w:rsidRPr="006247F3">
              <w:rPr>
                <w:rFonts w:ascii="Calibri" w:eastAsia="Calibri" w:hAnsi="Calibri" w:cs="Times New Roman"/>
                <w:spacing w:val="0"/>
                <w:sz w:val="16"/>
                <w:szCs w:val="16"/>
              </w:rPr>
              <w:t>: Marginal impact</w:t>
            </w:r>
          </w:p>
        </w:tc>
        <w:tc>
          <w:tcPr>
            <w:tcW w:w="2664" w:type="dxa"/>
            <w:shd w:val="clear" w:color="auto" w:fill="70AD47"/>
          </w:tcPr>
          <w:p w14:paraId="094A62CD" w14:textId="35D304E8" w:rsidR="005E7BA4" w:rsidRPr="006247F3" w:rsidRDefault="005E7BA4" w:rsidP="002A4194">
            <w:pPr>
              <w:spacing w:after="0"/>
              <w:rPr>
                <w:rFonts w:ascii="Calibri" w:eastAsia="Calibri" w:hAnsi="Calibri" w:cs="Times New Roman"/>
                <w:spacing w:val="0"/>
                <w:sz w:val="16"/>
                <w:szCs w:val="16"/>
              </w:rPr>
            </w:pPr>
            <w:r w:rsidRPr="006247F3">
              <w:rPr>
                <w:rFonts w:ascii="Calibri" w:eastAsia="Calibri" w:hAnsi="Calibri" w:cs="Times New Roman"/>
                <w:b/>
                <w:bCs/>
                <w:spacing w:val="0"/>
                <w:sz w:val="16"/>
                <w:szCs w:val="16"/>
              </w:rPr>
              <w:t>2</w:t>
            </w:r>
            <w:r w:rsidRPr="006247F3">
              <w:rPr>
                <w:rFonts w:ascii="Calibri" w:eastAsia="Calibri" w:hAnsi="Calibri" w:cs="Times New Roman"/>
                <w:spacing w:val="0"/>
                <w:sz w:val="16"/>
                <w:szCs w:val="16"/>
              </w:rPr>
              <w:t>: Important contribution</w:t>
            </w:r>
          </w:p>
        </w:tc>
        <w:tc>
          <w:tcPr>
            <w:tcW w:w="2664" w:type="dxa"/>
            <w:shd w:val="clear" w:color="auto" w:fill="00B0F0"/>
          </w:tcPr>
          <w:p w14:paraId="05BD0FB1" w14:textId="384EC909" w:rsidR="005E7BA4" w:rsidRPr="006247F3" w:rsidRDefault="005E7BA4" w:rsidP="002A4194">
            <w:pPr>
              <w:spacing w:after="0"/>
              <w:rPr>
                <w:rFonts w:ascii="Calibri" w:eastAsia="Calibri" w:hAnsi="Calibri" w:cs="Times New Roman"/>
                <w:spacing w:val="0"/>
                <w:sz w:val="16"/>
                <w:szCs w:val="16"/>
              </w:rPr>
            </w:pPr>
            <w:r w:rsidRPr="006247F3">
              <w:rPr>
                <w:rFonts w:ascii="Calibri" w:eastAsia="Calibri" w:hAnsi="Calibri" w:cs="Times New Roman"/>
                <w:b/>
                <w:bCs/>
                <w:spacing w:val="0"/>
                <w:sz w:val="16"/>
                <w:szCs w:val="16"/>
              </w:rPr>
              <w:t>3</w:t>
            </w:r>
            <w:r w:rsidRPr="006247F3">
              <w:rPr>
                <w:rFonts w:ascii="Calibri" w:eastAsia="Calibri" w:hAnsi="Calibri" w:cs="Times New Roman"/>
                <w:spacing w:val="0"/>
                <w:sz w:val="16"/>
                <w:szCs w:val="16"/>
              </w:rPr>
              <w:t>: Significant contribution</w:t>
            </w:r>
          </w:p>
        </w:tc>
      </w:tr>
    </w:tbl>
    <w:p w14:paraId="3D776439" w14:textId="77777777" w:rsidR="002A4194" w:rsidRDefault="002A4194" w:rsidP="00CC2420">
      <w:pPr>
        <w:sectPr w:rsidR="002A4194" w:rsidSect="002A4194">
          <w:type w:val="continuous"/>
          <w:pgSz w:w="16838" w:h="11906" w:orient="landscape" w:code="9"/>
          <w:pgMar w:top="737" w:right="1304" w:bottom="1134" w:left="737" w:header="567" w:footer="284" w:gutter="0"/>
          <w:cols w:space="708"/>
          <w:docGrid w:linePitch="360"/>
        </w:sectPr>
      </w:pPr>
    </w:p>
    <w:p w14:paraId="4C05F55F" w14:textId="77777777" w:rsidR="00847B1A" w:rsidRDefault="00847B1A" w:rsidP="00792BD3">
      <w:pPr>
        <w:pStyle w:val="ProjectImplication"/>
        <w:keepNext/>
      </w:pPr>
      <w:bookmarkStart w:id="86" w:name="_Hlk75849411"/>
      <w:bookmarkStart w:id="87" w:name="_Hlk71709489"/>
      <w:r>
        <w:lastRenderedPageBreak/>
        <w:t>CASE STUDY BOX #1</w:t>
      </w:r>
    </w:p>
    <w:p w14:paraId="1BA32584" w14:textId="77777777" w:rsidR="00847B1A" w:rsidRPr="00847B1A" w:rsidRDefault="00847B1A" w:rsidP="00847B1A">
      <w:pPr>
        <w:pStyle w:val="ProjectImplication"/>
        <w:rPr>
          <w:b/>
          <w:bCs/>
        </w:rPr>
      </w:pPr>
      <w:r w:rsidRPr="00847B1A">
        <w:rPr>
          <w:b/>
          <w:bCs/>
        </w:rPr>
        <w:t>Proserpine Hospital: using the Initiative to improve access to emergency care</w:t>
      </w:r>
    </w:p>
    <w:bookmarkEnd w:id="86"/>
    <w:p w14:paraId="5CE2F0EC" w14:textId="69A64422" w:rsidR="00847B1A" w:rsidRDefault="00847B1A" w:rsidP="00847B1A">
      <w:pPr>
        <w:pStyle w:val="ProjectImplication"/>
      </w:pPr>
      <w:r>
        <w:t xml:space="preserve">Proserpine Hospital is a </w:t>
      </w:r>
      <w:r w:rsidR="00065C89">
        <w:t>33-bed</w:t>
      </w:r>
      <w:r>
        <w:t xml:space="preserve"> facility that has day surgery capacity and a community health centre. The immediate town has a population of 3,500 people but the hospital is the major source of acute care, including emergency care, for a regional population of 34,000 people, including the large coastal tourist town of Airlie Beach (10,000 people)</w:t>
      </w:r>
      <w:r w:rsidR="00A85EEA">
        <w:t xml:space="preserve"> </w:t>
      </w:r>
      <w:r>
        <w:t xml:space="preserve">30 km to the east, and multiple tourist resorts in the nearby Whitsunday Islands. There are two private </w:t>
      </w:r>
      <w:r w:rsidR="00702FF0">
        <w:t>practices</w:t>
      </w:r>
      <w:r>
        <w:t xml:space="preserve"> in </w:t>
      </w:r>
      <w:r w:rsidR="00A85EEA">
        <w:t xml:space="preserve">Proserpine </w:t>
      </w:r>
      <w:r>
        <w:t>with 6</w:t>
      </w:r>
      <w:r w:rsidR="00CB1E8E">
        <w:t> </w:t>
      </w:r>
      <w:r>
        <w:t xml:space="preserve">FTE GPs. These GP services were closed on weekends and did not provide services after hours or on weekends. </w:t>
      </w:r>
      <w:r w:rsidR="00A85EEA">
        <w:t>Prior to the Initiative commencement at the site, a</w:t>
      </w:r>
      <w:r>
        <w:t>fter</w:t>
      </w:r>
      <w:r w:rsidR="00293261">
        <w:t>-</w:t>
      </w:r>
      <w:r>
        <w:t>hours emergency care for the Whitsunday catchment was available from Proserpine Hospital’s 2 FTE Principal House Officers (PHOs). These positions struggled to deal with the volume of after</w:t>
      </w:r>
      <w:r w:rsidR="00702FF0">
        <w:t>-</w:t>
      </w:r>
      <w:r>
        <w:t>ho</w:t>
      </w:r>
      <w:r w:rsidR="00A85EEA">
        <w:t>u</w:t>
      </w:r>
      <w:r>
        <w:t>rs presentations.</w:t>
      </w:r>
    </w:p>
    <w:p w14:paraId="094181E0" w14:textId="22A34834" w:rsidR="00847B1A" w:rsidRDefault="00847B1A" w:rsidP="00847B1A">
      <w:pPr>
        <w:pStyle w:val="ProjectImplication"/>
      </w:pPr>
      <w:r>
        <w:t>Proserpine Hospital (MMM 5) was approved as a participating site under the Initiative in 2017. In 2019–20 the health service received MBS revenues of $</w:t>
      </w:r>
      <w:r w:rsidR="000645C5">
        <w:t xml:space="preserve">0.969 million. </w:t>
      </w:r>
      <w:r w:rsidRPr="00AA0059">
        <w:rPr>
          <w:b/>
          <w:bCs/>
        </w:rPr>
        <w:t xml:space="preserve">The </w:t>
      </w:r>
      <w:r w:rsidR="00AA0059">
        <w:rPr>
          <w:b/>
          <w:bCs/>
        </w:rPr>
        <w:t xml:space="preserve">relatively </w:t>
      </w:r>
      <w:r w:rsidRPr="00AA0059">
        <w:rPr>
          <w:b/>
          <w:bCs/>
        </w:rPr>
        <w:t>high level</w:t>
      </w:r>
      <w:r w:rsidR="00AA0059">
        <w:rPr>
          <w:b/>
          <w:bCs/>
        </w:rPr>
        <w:t xml:space="preserve"> of </w:t>
      </w:r>
      <w:r w:rsidRPr="00AA0059">
        <w:rPr>
          <w:b/>
          <w:bCs/>
        </w:rPr>
        <w:t xml:space="preserve">MBS billing </w:t>
      </w:r>
      <w:r w:rsidR="00AA0059">
        <w:rPr>
          <w:b/>
          <w:bCs/>
        </w:rPr>
        <w:t xml:space="preserve">for an Initiative site </w:t>
      </w:r>
      <w:r w:rsidRPr="00AA0059">
        <w:rPr>
          <w:b/>
          <w:bCs/>
        </w:rPr>
        <w:t xml:space="preserve">was enabled by the employment of a further </w:t>
      </w:r>
      <w:r w:rsidR="00CB1E8E">
        <w:rPr>
          <w:b/>
          <w:bCs/>
        </w:rPr>
        <w:t>four</w:t>
      </w:r>
      <w:r w:rsidRPr="00AA0059">
        <w:rPr>
          <w:b/>
          <w:bCs/>
        </w:rPr>
        <w:t xml:space="preserve"> PHO positions. This extra clinical staffing allowed the </w:t>
      </w:r>
      <w:r w:rsidR="00A85EEA" w:rsidRPr="00AA0059">
        <w:rPr>
          <w:b/>
          <w:bCs/>
        </w:rPr>
        <w:t xml:space="preserve">introduction of </w:t>
      </w:r>
      <w:r w:rsidRPr="00AA0059">
        <w:rPr>
          <w:b/>
          <w:bCs/>
        </w:rPr>
        <w:t>a 24</w:t>
      </w:r>
      <w:r w:rsidR="00293261">
        <w:rPr>
          <w:b/>
          <w:bCs/>
        </w:rPr>
        <w:t>-</w:t>
      </w:r>
      <w:r w:rsidRPr="00AA0059">
        <w:rPr>
          <w:b/>
          <w:bCs/>
        </w:rPr>
        <w:t xml:space="preserve">hour, </w:t>
      </w:r>
      <w:r w:rsidR="00CB1E8E">
        <w:rPr>
          <w:b/>
          <w:bCs/>
        </w:rPr>
        <w:t>seven</w:t>
      </w:r>
      <w:r w:rsidRPr="00AA0059">
        <w:rPr>
          <w:b/>
          <w:bCs/>
        </w:rPr>
        <w:t xml:space="preserve"> days per week emergency department</w:t>
      </w:r>
      <w:r w:rsidR="00A85EEA" w:rsidRPr="00AA0059">
        <w:rPr>
          <w:b/>
          <w:bCs/>
        </w:rPr>
        <w:t xml:space="preserve"> (ED). The clinical ED staff are</w:t>
      </w:r>
      <w:r w:rsidRPr="00AA0059">
        <w:rPr>
          <w:b/>
          <w:bCs/>
        </w:rPr>
        <w:t xml:space="preserve"> further supported by 2.2 FTE of administrative staff</w:t>
      </w:r>
      <w:r w:rsidR="00AA0059">
        <w:rPr>
          <w:b/>
          <w:bCs/>
        </w:rPr>
        <w:t xml:space="preserve"> who</w:t>
      </w:r>
      <w:r w:rsidRPr="00AA0059">
        <w:rPr>
          <w:b/>
          <w:bCs/>
        </w:rPr>
        <w:t xml:space="preserve"> provide a reception service, assess Medicare eligibility, collect patient billing details, and lodge authorised claims.</w:t>
      </w:r>
      <w:r>
        <w:t xml:space="preserve"> The PHOs are employed as GP registrars and </w:t>
      </w:r>
      <w:r w:rsidR="00AA0059">
        <w:t xml:space="preserve">during their training rotation at Proserpine </w:t>
      </w:r>
      <w:r>
        <w:t xml:space="preserve">are required to allocate half their clinical time to care in the </w:t>
      </w:r>
      <w:r w:rsidR="00A85EEA">
        <w:t xml:space="preserve">ED </w:t>
      </w:r>
      <w:r>
        <w:t xml:space="preserve">and </w:t>
      </w:r>
      <w:r w:rsidR="00702FF0">
        <w:t xml:space="preserve">the remaining </w:t>
      </w:r>
      <w:r>
        <w:t xml:space="preserve">half to working in </w:t>
      </w:r>
      <w:r w:rsidR="00702FF0">
        <w:t>a</w:t>
      </w:r>
      <w:r w:rsidR="00A85EEA">
        <w:t xml:space="preserve"> Proserpine</w:t>
      </w:r>
      <w:r>
        <w:t xml:space="preserve"> private general practice. </w:t>
      </w:r>
      <w:r w:rsidR="00A85EEA">
        <w:t>The site now has little difficulty attracting registrars to staff the ED</w:t>
      </w:r>
      <w:r w:rsidR="00AA0059">
        <w:t xml:space="preserve"> because</w:t>
      </w:r>
      <w:r w:rsidR="00A85EEA">
        <w:t xml:space="preserve"> the site, in addition to giving access to training in private general practice,</w:t>
      </w:r>
      <w:r>
        <w:t xml:space="preserve"> is accredited as a registrar training facility with the Australian College of Emergency Medicine and the Royal Australasian and New Zealand College of Obstetricians and Gynaecologists.</w:t>
      </w:r>
    </w:p>
    <w:p w14:paraId="4E715934" w14:textId="312036AF" w:rsidR="00847B1A" w:rsidRDefault="00847B1A" w:rsidP="00847B1A">
      <w:pPr>
        <w:pStyle w:val="ProjectImplication"/>
      </w:pPr>
      <w:r>
        <w:t>A further nurse position is funded under the Initiative. This role leads multidisciplinary clinics for wound care, chronic disease and palliative care.</w:t>
      </w:r>
    </w:p>
    <w:p w14:paraId="24AB4894" w14:textId="065419BE" w:rsidR="00847B1A" w:rsidRDefault="00847B1A" w:rsidP="00907810"/>
    <w:p w14:paraId="0FC5D098" w14:textId="53960F96" w:rsidR="008A29CE" w:rsidRDefault="00D76FE0" w:rsidP="00907810">
      <w:r>
        <w:t>Normative assessment o</w:t>
      </w:r>
      <w:r w:rsidR="00EE7733">
        <w:t xml:space="preserve">f the </w:t>
      </w:r>
      <w:r>
        <w:t xml:space="preserve">Initiative </w:t>
      </w:r>
      <w:r w:rsidR="00EE7733">
        <w:t xml:space="preserve">impact </w:t>
      </w:r>
      <w:r>
        <w:t xml:space="preserve">on access to </w:t>
      </w:r>
      <w:r w:rsidR="008A29CE">
        <w:t xml:space="preserve">primary </w:t>
      </w:r>
      <w:r w:rsidR="001941A7">
        <w:t xml:space="preserve">care </w:t>
      </w:r>
      <w:r w:rsidR="008A29CE">
        <w:t xml:space="preserve">services from the evaluation survey of site managers </w:t>
      </w:r>
      <w:r w:rsidR="009C3F50">
        <w:t>supported the insights provide</w:t>
      </w:r>
      <w:r w:rsidR="003536AC">
        <w:t>d</w:t>
      </w:r>
      <w:r w:rsidR="009C3F50">
        <w:t xml:space="preserve"> by the case studies</w:t>
      </w:r>
      <w:r w:rsidR="00EE7733">
        <w:t xml:space="preserve"> and MBS data analysis</w:t>
      </w:r>
      <w:r w:rsidR="008A29CE">
        <w:t xml:space="preserve"> (see </w:t>
      </w:r>
      <w:r w:rsidR="008A29CE">
        <w:fldChar w:fldCharType="begin"/>
      </w:r>
      <w:r w:rsidR="008A29CE">
        <w:instrText xml:space="preserve"> REF _Ref75843205 \h </w:instrText>
      </w:r>
      <w:r w:rsidR="008A29CE">
        <w:fldChar w:fldCharType="separate"/>
      </w:r>
      <w:r w:rsidR="00C50B67">
        <w:t xml:space="preserve">Table </w:t>
      </w:r>
      <w:r w:rsidR="00C50B67">
        <w:rPr>
          <w:noProof/>
        </w:rPr>
        <w:t>4</w:t>
      </w:r>
      <w:r w:rsidR="00C50B67">
        <w:t>.</w:t>
      </w:r>
      <w:r w:rsidR="00C50B67">
        <w:rPr>
          <w:noProof/>
        </w:rPr>
        <w:t>3</w:t>
      </w:r>
      <w:r w:rsidR="008A29CE">
        <w:fldChar w:fldCharType="end"/>
      </w:r>
      <w:r w:rsidR="008A29CE">
        <w:t>)</w:t>
      </w:r>
      <w:r w:rsidR="00EE7733">
        <w:t xml:space="preserve">. </w:t>
      </w:r>
      <w:r w:rsidR="008A29CE">
        <w:t>Across sites responding to the survey:</w:t>
      </w:r>
    </w:p>
    <w:p w14:paraId="799E473F" w14:textId="3D63F0A8" w:rsidR="008A29CE" w:rsidRDefault="008A29CE" w:rsidP="008A29CE">
      <w:pPr>
        <w:pStyle w:val="ListBullet"/>
      </w:pPr>
      <w:r>
        <w:t>98% of managers considered that their local community had adequate access to urgent medical care, and</w:t>
      </w:r>
    </w:p>
    <w:p w14:paraId="17EF2678" w14:textId="2DEB4555" w:rsidR="00CA5063" w:rsidRDefault="008A29CE" w:rsidP="008A29CE">
      <w:pPr>
        <w:pStyle w:val="ListBullet"/>
      </w:pPr>
      <w:r>
        <w:t>65% of managers considered they had adequate access to</w:t>
      </w:r>
      <w:r w:rsidRPr="008A29CE">
        <w:t xml:space="preserve"> integrated comprehensive primary care (</w:t>
      </w:r>
      <w:r>
        <w:t xml:space="preserve">defined in the survey as </w:t>
      </w:r>
      <w:r w:rsidRPr="008A29CE">
        <w:t>GP services plus all other primary health workers and equipment required to address the holistic primary care needs of patients)</w:t>
      </w:r>
      <w:r>
        <w:t>. There was some variation in this response rate by jurisdiction with a low of 43% (n=23) in NSW and a high of 100% in WA (n=11)</w:t>
      </w:r>
      <w:r w:rsidR="00D76FE0">
        <w:t xml:space="preserve">. </w:t>
      </w:r>
    </w:p>
    <w:p w14:paraId="1980A471" w14:textId="335CF8E4" w:rsidR="00CA5063" w:rsidRDefault="006A6268" w:rsidP="006A6268">
      <w:pPr>
        <w:pStyle w:val="Caption"/>
      </w:pPr>
      <w:bookmarkStart w:id="88" w:name="_Ref75843205"/>
      <w:r>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3</w:t>
      </w:r>
      <w:r w:rsidR="00A67BE9">
        <w:rPr>
          <w:noProof/>
        </w:rPr>
        <w:fldChar w:fldCharType="end"/>
      </w:r>
      <w:bookmarkEnd w:id="88"/>
      <w:r>
        <w:t xml:space="preserve">: </w:t>
      </w:r>
      <w:r w:rsidRPr="00293261">
        <w:rPr>
          <w:rStyle w:val="Caption-notboldChar"/>
        </w:rPr>
        <w:t xml:space="preserve">Assessment of </w:t>
      </w:r>
      <w:r w:rsidR="008A29CE" w:rsidRPr="00293261">
        <w:rPr>
          <w:rStyle w:val="Caption-notboldChar"/>
        </w:rPr>
        <w:t xml:space="preserve">adequacy of </w:t>
      </w:r>
      <w:r w:rsidRPr="00293261">
        <w:rPr>
          <w:rStyle w:val="Caption-notboldChar"/>
        </w:rPr>
        <w:t xml:space="preserve">local service availability </w:t>
      </w:r>
      <w:r w:rsidR="0093431E" w:rsidRPr="00293261">
        <w:rPr>
          <w:rStyle w:val="Caption-notboldChar"/>
        </w:rPr>
        <w:t>at Initiative sites,</w:t>
      </w:r>
      <w:r w:rsidRPr="00293261">
        <w:rPr>
          <w:rStyle w:val="Caption-notboldChar"/>
        </w:rPr>
        <w:t xml:space="preserve"> </w:t>
      </w:r>
      <w:r w:rsidR="0093431E" w:rsidRPr="00293261">
        <w:rPr>
          <w:rStyle w:val="Caption-notboldChar"/>
        </w:rPr>
        <w:t xml:space="preserve">% ‘Yes’/’No’ for </w:t>
      </w:r>
      <w:r w:rsidRPr="00293261">
        <w:rPr>
          <w:rStyle w:val="Caption-notboldChar"/>
        </w:rPr>
        <w:t xml:space="preserve">urgent medical care &amp; </w:t>
      </w:r>
      <w:r w:rsidR="0093431E" w:rsidRPr="00293261">
        <w:rPr>
          <w:rStyle w:val="Caption-notboldChar"/>
        </w:rPr>
        <w:t>integrated comprehensive primary care</w:t>
      </w:r>
    </w:p>
    <w:tbl>
      <w:tblPr>
        <w:tblStyle w:val="HMATableA10"/>
        <w:tblW w:w="0" w:type="auto"/>
        <w:tblLook w:val="04A0" w:firstRow="1" w:lastRow="0" w:firstColumn="1" w:lastColumn="0" w:noHBand="0" w:noVBand="1"/>
      </w:tblPr>
      <w:tblGrid>
        <w:gridCol w:w="5103"/>
        <w:gridCol w:w="709"/>
        <w:gridCol w:w="709"/>
        <w:gridCol w:w="523"/>
      </w:tblGrid>
      <w:tr w:rsidR="00CA5063" w:rsidRPr="00CA5063" w14:paraId="74099D5D" w14:textId="77777777" w:rsidTr="00473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8972318" w14:textId="1994FF56" w:rsidR="00CA5063" w:rsidRPr="0036717D" w:rsidRDefault="0093431E" w:rsidP="00CA5063">
            <w:pPr>
              <w:rPr>
                <w:color w:val="000000" w:themeColor="text1"/>
              </w:rPr>
            </w:pPr>
            <w:r w:rsidRPr="0036717D">
              <w:rPr>
                <w:color w:val="000000" w:themeColor="text1"/>
              </w:rPr>
              <w:t>Assessment of local s</w:t>
            </w:r>
            <w:r w:rsidR="00CA5063" w:rsidRPr="0036717D">
              <w:rPr>
                <w:color w:val="000000" w:themeColor="text1"/>
              </w:rPr>
              <w:t>ervice</w:t>
            </w:r>
            <w:r w:rsidRPr="0036717D">
              <w:rPr>
                <w:color w:val="000000" w:themeColor="text1"/>
              </w:rPr>
              <w:t xml:space="preserve"> adequacy</w:t>
            </w:r>
          </w:p>
        </w:tc>
        <w:tc>
          <w:tcPr>
            <w:tcW w:w="709" w:type="dxa"/>
          </w:tcPr>
          <w:p w14:paraId="692A3911" w14:textId="77777777" w:rsidR="00CA5063" w:rsidRPr="0036717D" w:rsidRDefault="00CA5063" w:rsidP="008A29CE">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Yes</w:t>
            </w:r>
          </w:p>
        </w:tc>
        <w:tc>
          <w:tcPr>
            <w:tcW w:w="709" w:type="dxa"/>
          </w:tcPr>
          <w:p w14:paraId="13DC29DB" w14:textId="77777777" w:rsidR="00CA5063" w:rsidRPr="0036717D" w:rsidRDefault="00CA5063" w:rsidP="008A29CE">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No</w:t>
            </w:r>
          </w:p>
        </w:tc>
        <w:tc>
          <w:tcPr>
            <w:tcW w:w="523" w:type="dxa"/>
          </w:tcPr>
          <w:p w14:paraId="003E6086" w14:textId="4BCE1A79" w:rsidR="00CA5063" w:rsidRPr="0036717D" w:rsidRDefault="008A29CE" w:rsidP="008A29CE">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n</w:t>
            </w:r>
          </w:p>
        </w:tc>
      </w:tr>
      <w:tr w:rsidR="00CA5063" w:rsidRPr="00CA5063" w14:paraId="14B08671" w14:textId="77777777" w:rsidTr="00473E61">
        <w:tc>
          <w:tcPr>
            <w:cnfStyle w:val="001000000000" w:firstRow="0" w:lastRow="0" w:firstColumn="1" w:lastColumn="0" w:oddVBand="0" w:evenVBand="0" w:oddHBand="0" w:evenHBand="0" w:firstRowFirstColumn="0" w:firstRowLastColumn="0" w:lastRowFirstColumn="0" w:lastRowLastColumn="0"/>
            <w:tcW w:w="5103" w:type="dxa"/>
            <w:vAlign w:val="bottom"/>
          </w:tcPr>
          <w:p w14:paraId="2FE6EAD4" w14:textId="2CDF2209" w:rsidR="00CA5063" w:rsidRPr="0036717D" w:rsidRDefault="0093431E" w:rsidP="00CA5063">
            <w:pPr>
              <w:rPr>
                <w:color w:val="000000" w:themeColor="text1"/>
                <w:szCs w:val="20"/>
              </w:rPr>
            </w:pPr>
            <w:r w:rsidRPr="0036717D">
              <w:rPr>
                <w:rFonts w:cs="Arial"/>
                <w:color w:val="000000" w:themeColor="text1"/>
                <w:szCs w:val="20"/>
              </w:rPr>
              <w:t>Adequacy of local u</w:t>
            </w:r>
            <w:r w:rsidR="00CA5063" w:rsidRPr="0036717D">
              <w:rPr>
                <w:rFonts w:cs="Arial"/>
                <w:color w:val="000000" w:themeColor="text1"/>
                <w:szCs w:val="20"/>
              </w:rPr>
              <w:t>rgent medical care (i.e.</w:t>
            </w:r>
            <w:r w:rsidR="00F11C8C">
              <w:rPr>
                <w:rFonts w:cs="Arial"/>
                <w:color w:val="000000" w:themeColor="text1"/>
                <w:szCs w:val="20"/>
              </w:rPr>
              <w:t>,</w:t>
            </w:r>
            <w:r w:rsidR="00CA5063" w:rsidRPr="0036717D">
              <w:rPr>
                <w:rFonts w:cs="Arial"/>
                <w:color w:val="000000" w:themeColor="text1"/>
                <w:szCs w:val="20"/>
              </w:rPr>
              <w:t xml:space="preserve"> category 4 and 5 presentations in the ED)</w:t>
            </w:r>
          </w:p>
        </w:tc>
        <w:tc>
          <w:tcPr>
            <w:tcW w:w="709" w:type="dxa"/>
          </w:tcPr>
          <w:p w14:paraId="48CB9A69" w14:textId="248A03A7" w:rsidR="00CA5063" w:rsidRPr="0036717D" w:rsidRDefault="00CA5063" w:rsidP="00CA5063">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09" w:type="dxa"/>
          </w:tcPr>
          <w:p w14:paraId="45EF8E5A" w14:textId="750A3B18" w:rsidR="00CA5063" w:rsidRPr="0036717D" w:rsidRDefault="00CA5063" w:rsidP="00CA5063">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523" w:type="dxa"/>
          </w:tcPr>
          <w:p w14:paraId="1234F53B" w14:textId="61FAFEB4" w:rsidR="00CA5063" w:rsidRPr="0036717D" w:rsidRDefault="00CA5063" w:rsidP="00CA5063">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r>
      <w:tr w:rsidR="0093431E" w:rsidRPr="00CA5063" w14:paraId="5FAA4420"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bottom"/>
          </w:tcPr>
          <w:p w14:paraId="12CE7D35" w14:textId="35BAC948" w:rsidR="0093431E" w:rsidRPr="0036717D" w:rsidRDefault="009A4F03" w:rsidP="0093431E">
            <w:pPr>
              <w:rPr>
                <w:rFonts w:cs="Arial"/>
                <w:b w:val="0"/>
                <w:bCs/>
                <w:color w:val="000000" w:themeColor="text1"/>
                <w:szCs w:val="20"/>
              </w:rPr>
            </w:pPr>
            <w:r>
              <w:rPr>
                <w:rFonts w:cs="Arial"/>
                <w:b w:val="0"/>
                <w:bCs/>
                <w:color w:val="000000" w:themeColor="text1"/>
                <w:szCs w:val="20"/>
              </w:rPr>
              <w:t xml:space="preserve">   </w:t>
            </w:r>
            <w:r w:rsidR="0093431E" w:rsidRPr="0036717D">
              <w:rPr>
                <w:rFonts w:cs="Arial"/>
                <w:b w:val="0"/>
                <w:bCs/>
                <w:color w:val="000000" w:themeColor="text1"/>
                <w:szCs w:val="20"/>
              </w:rPr>
              <w:t xml:space="preserve"> All responses (NSW, Q</w:t>
            </w:r>
            <w:r w:rsidR="00173487">
              <w:rPr>
                <w:rFonts w:cs="Arial"/>
                <w:b w:val="0"/>
                <w:bCs/>
                <w:color w:val="000000" w:themeColor="text1"/>
                <w:szCs w:val="20"/>
              </w:rPr>
              <w:t>LD</w:t>
            </w:r>
            <w:r w:rsidR="0093431E" w:rsidRPr="0036717D">
              <w:rPr>
                <w:rFonts w:cs="Arial"/>
                <w:b w:val="0"/>
                <w:bCs/>
                <w:color w:val="000000" w:themeColor="text1"/>
                <w:szCs w:val="20"/>
              </w:rPr>
              <w:t>, WA, NT)</w:t>
            </w:r>
          </w:p>
        </w:tc>
        <w:tc>
          <w:tcPr>
            <w:tcW w:w="709" w:type="dxa"/>
          </w:tcPr>
          <w:p w14:paraId="16A61DEB" w14:textId="0C745822" w:rsidR="0093431E" w:rsidRPr="0036717D" w:rsidRDefault="0093431E" w:rsidP="0093431E">
            <w:pPr>
              <w:jc w:val="righ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36717D">
              <w:rPr>
                <w:rFonts w:cs="Arial"/>
                <w:color w:val="000000" w:themeColor="text1"/>
                <w:szCs w:val="20"/>
              </w:rPr>
              <w:t>98%</w:t>
            </w:r>
          </w:p>
        </w:tc>
        <w:tc>
          <w:tcPr>
            <w:tcW w:w="709" w:type="dxa"/>
          </w:tcPr>
          <w:p w14:paraId="7DD674AB" w14:textId="6665CB65" w:rsidR="0093431E" w:rsidRPr="0036717D" w:rsidRDefault="0093431E" w:rsidP="0093431E">
            <w:pPr>
              <w:jc w:val="righ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36717D">
              <w:rPr>
                <w:rFonts w:cs="Arial"/>
                <w:color w:val="000000" w:themeColor="text1"/>
                <w:szCs w:val="20"/>
              </w:rPr>
              <w:t>2%</w:t>
            </w:r>
          </w:p>
        </w:tc>
        <w:tc>
          <w:tcPr>
            <w:tcW w:w="523" w:type="dxa"/>
          </w:tcPr>
          <w:p w14:paraId="2746BC15" w14:textId="6A38C0A0" w:rsidR="0093431E" w:rsidRPr="0036717D" w:rsidRDefault="0093431E" w:rsidP="0093431E">
            <w:pPr>
              <w:jc w:val="righ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36717D">
              <w:rPr>
                <w:rFonts w:cs="Arial"/>
                <w:color w:val="000000" w:themeColor="text1"/>
                <w:szCs w:val="20"/>
              </w:rPr>
              <w:t>47</w:t>
            </w:r>
          </w:p>
        </w:tc>
      </w:tr>
      <w:tr w:rsidR="0093431E" w:rsidRPr="00CA5063" w14:paraId="47C183B1" w14:textId="77777777" w:rsidTr="00473E61">
        <w:tc>
          <w:tcPr>
            <w:cnfStyle w:val="001000000000" w:firstRow="0" w:lastRow="0" w:firstColumn="1" w:lastColumn="0" w:oddVBand="0" w:evenVBand="0" w:oddHBand="0" w:evenHBand="0" w:firstRowFirstColumn="0" w:firstRowLastColumn="0" w:lastRowFirstColumn="0" w:lastRowLastColumn="0"/>
            <w:tcW w:w="5103" w:type="dxa"/>
            <w:vAlign w:val="bottom"/>
          </w:tcPr>
          <w:p w14:paraId="532264C2" w14:textId="35763569" w:rsidR="0093431E" w:rsidRPr="0036717D" w:rsidRDefault="0093431E" w:rsidP="0093431E">
            <w:pPr>
              <w:rPr>
                <w:color w:val="000000" w:themeColor="text1"/>
                <w:szCs w:val="20"/>
              </w:rPr>
            </w:pPr>
            <w:r w:rsidRPr="0036717D">
              <w:rPr>
                <w:rFonts w:cs="Arial"/>
                <w:color w:val="000000" w:themeColor="text1"/>
                <w:szCs w:val="20"/>
              </w:rPr>
              <w:t>Adequacy of integrated comprehensive primary care (i.e.</w:t>
            </w:r>
            <w:r w:rsidR="00F11C8C">
              <w:rPr>
                <w:rFonts w:cs="Arial"/>
                <w:color w:val="000000" w:themeColor="text1"/>
                <w:szCs w:val="20"/>
              </w:rPr>
              <w:t>,</w:t>
            </w:r>
            <w:r w:rsidRPr="0036717D">
              <w:rPr>
                <w:rFonts w:cs="Arial"/>
                <w:color w:val="000000" w:themeColor="text1"/>
                <w:szCs w:val="20"/>
              </w:rPr>
              <w:t xml:space="preserve"> GP services plus all other primary health workers and equipment required to address the holistic primary care needs of patients)</w:t>
            </w:r>
          </w:p>
        </w:tc>
        <w:tc>
          <w:tcPr>
            <w:tcW w:w="709" w:type="dxa"/>
          </w:tcPr>
          <w:p w14:paraId="698039CB" w14:textId="07282CAD" w:rsidR="0093431E" w:rsidRPr="0036717D" w:rsidRDefault="0093431E" w:rsidP="0093431E">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09" w:type="dxa"/>
          </w:tcPr>
          <w:p w14:paraId="77362059" w14:textId="363E17EA" w:rsidR="0093431E" w:rsidRPr="0036717D" w:rsidRDefault="0093431E" w:rsidP="0093431E">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523" w:type="dxa"/>
          </w:tcPr>
          <w:p w14:paraId="7283DCFB" w14:textId="12392B48" w:rsidR="0093431E" w:rsidRPr="0036717D" w:rsidRDefault="0093431E" w:rsidP="0093431E">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p>
        </w:tc>
      </w:tr>
      <w:tr w:rsidR="0093431E" w:rsidRPr="00CA5063" w14:paraId="78FBD422"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5E5F68A" w14:textId="63834BA1" w:rsidR="0093431E" w:rsidRPr="0036717D" w:rsidRDefault="009A4F03" w:rsidP="0093431E">
            <w:pPr>
              <w:rPr>
                <w:b w:val="0"/>
                <w:bCs/>
                <w:color w:val="000000" w:themeColor="text1"/>
              </w:rPr>
            </w:pPr>
            <w:r>
              <w:rPr>
                <w:b w:val="0"/>
                <w:bCs/>
                <w:color w:val="000000" w:themeColor="text1"/>
              </w:rPr>
              <w:t xml:space="preserve">   </w:t>
            </w:r>
            <w:r w:rsidR="0093431E" w:rsidRPr="0036717D">
              <w:rPr>
                <w:b w:val="0"/>
                <w:bCs/>
                <w:color w:val="000000" w:themeColor="text1"/>
              </w:rPr>
              <w:t xml:space="preserve"> All responses (NSW, Q</w:t>
            </w:r>
            <w:r w:rsidR="00173487">
              <w:rPr>
                <w:b w:val="0"/>
                <w:bCs/>
                <w:color w:val="000000" w:themeColor="text1"/>
              </w:rPr>
              <w:t>LD</w:t>
            </w:r>
            <w:r w:rsidR="0093431E" w:rsidRPr="0036717D">
              <w:rPr>
                <w:b w:val="0"/>
                <w:bCs/>
                <w:color w:val="000000" w:themeColor="text1"/>
              </w:rPr>
              <w:t>, WA, NT)</w:t>
            </w:r>
          </w:p>
        </w:tc>
        <w:tc>
          <w:tcPr>
            <w:tcW w:w="709" w:type="dxa"/>
          </w:tcPr>
          <w:p w14:paraId="422FF2C9" w14:textId="3F71ADE4" w:rsidR="0093431E" w:rsidRPr="0036717D" w:rsidRDefault="0093431E" w:rsidP="0093431E">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rFonts w:cs="Arial"/>
                <w:color w:val="000000" w:themeColor="text1"/>
                <w:szCs w:val="20"/>
              </w:rPr>
              <w:t>65%</w:t>
            </w:r>
          </w:p>
        </w:tc>
        <w:tc>
          <w:tcPr>
            <w:tcW w:w="709" w:type="dxa"/>
          </w:tcPr>
          <w:p w14:paraId="4481DD04" w14:textId="0728D07C" w:rsidR="0093431E" w:rsidRPr="0036717D" w:rsidRDefault="0093431E" w:rsidP="0093431E">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rFonts w:cs="Arial"/>
                <w:color w:val="000000" w:themeColor="text1"/>
                <w:szCs w:val="20"/>
              </w:rPr>
              <w:t>35%</w:t>
            </w:r>
          </w:p>
        </w:tc>
        <w:tc>
          <w:tcPr>
            <w:tcW w:w="523" w:type="dxa"/>
          </w:tcPr>
          <w:p w14:paraId="4508ADAE" w14:textId="43D2D18E" w:rsidR="0093431E" w:rsidRPr="0036717D" w:rsidRDefault="0093431E" w:rsidP="0093431E">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rFonts w:cs="Arial"/>
                <w:color w:val="000000" w:themeColor="text1"/>
                <w:szCs w:val="20"/>
              </w:rPr>
              <w:t>48</w:t>
            </w:r>
          </w:p>
        </w:tc>
      </w:tr>
      <w:tr w:rsidR="0093431E" w:rsidRPr="00CA5063" w14:paraId="7D3CDE64" w14:textId="77777777" w:rsidTr="00473E61">
        <w:tc>
          <w:tcPr>
            <w:cnfStyle w:val="001000000000" w:firstRow="0" w:lastRow="0" w:firstColumn="1" w:lastColumn="0" w:oddVBand="0" w:evenVBand="0" w:oddHBand="0" w:evenHBand="0" w:firstRowFirstColumn="0" w:firstRowLastColumn="0" w:lastRowFirstColumn="0" w:lastRowLastColumn="0"/>
            <w:tcW w:w="5103" w:type="dxa"/>
          </w:tcPr>
          <w:p w14:paraId="609B9985" w14:textId="2998E475" w:rsidR="0093431E" w:rsidRPr="0036717D" w:rsidRDefault="009A4F03" w:rsidP="0093431E">
            <w:pPr>
              <w:rPr>
                <w:b w:val="0"/>
                <w:bCs/>
                <w:i/>
                <w:iCs/>
                <w:color w:val="000000" w:themeColor="text1"/>
              </w:rPr>
            </w:pPr>
            <w:r>
              <w:rPr>
                <w:b w:val="0"/>
                <w:bCs/>
                <w:i/>
                <w:iCs/>
                <w:color w:val="000000" w:themeColor="text1"/>
              </w:rPr>
              <w:t xml:space="preserve">   </w:t>
            </w:r>
            <w:r w:rsidR="0093431E" w:rsidRPr="0036717D">
              <w:rPr>
                <w:b w:val="0"/>
                <w:bCs/>
                <w:i/>
                <w:iCs/>
                <w:color w:val="000000" w:themeColor="text1"/>
              </w:rPr>
              <w:t xml:space="preserve"> NSW responses</w:t>
            </w:r>
          </w:p>
        </w:tc>
        <w:tc>
          <w:tcPr>
            <w:tcW w:w="709" w:type="dxa"/>
          </w:tcPr>
          <w:p w14:paraId="4C5D5D88" w14:textId="145DF2D0" w:rsidR="0093431E" w:rsidRPr="0036717D" w:rsidRDefault="0093431E" w:rsidP="0093431E">
            <w:pPr>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sidRPr="0036717D">
              <w:rPr>
                <w:i/>
                <w:iCs/>
                <w:color w:val="000000" w:themeColor="text1"/>
              </w:rPr>
              <w:t>43%</w:t>
            </w:r>
          </w:p>
        </w:tc>
        <w:tc>
          <w:tcPr>
            <w:tcW w:w="709" w:type="dxa"/>
          </w:tcPr>
          <w:p w14:paraId="34D9F88F" w14:textId="1009883F" w:rsidR="0093431E" w:rsidRPr="0036717D" w:rsidRDefault="0093431E" w:rsidP="0093431E">
            <w:pPr>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sidRPr="0036717D">
              <w:rPr>
                <w:i/>
                <w:iCs/>
                <w:color w:val="000000" w:themeColor="text1"/>
              </w:rPr>
              <w:t>57%</w:t>
            </w:r>
          </w:p>
        </w:tc>
        <w:tc>
          <w:tcPr>
            <w:tcW w:w="523" w:type="dxa"/>
          </w:tcPr>
          <w:p w14:paraId="29214ABC" w14:textId="1759EEB0" w:rsidR="0093431E" w:rsidRPr="0036717D" w:rsidRDefault="0093431E" w:rsidP="0093431E">
            <w:pPr>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sidRPr="0036717D">
              <w:rPr>
                <w:i/>
                <w:iCs/>
                <w:color w:val="000000" w:themeColor="text1"/>
              </w:rPr>
              <w:t>23</w:t>
            </w:r>
          </w:p>
        </w:tc>
      </w:tr>
      <w:tr w:rsidR="0093431E" w:rsidRPr="00CA5063" w14:paraId="70149791"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32CA933" w14:textId="3EFDC9FE" w:rsidR="0093431E" w:rsidRPr="0036717D" w:rsidRDefault="009A4F03" w:rsidP="0093431E">
            <w:pPr>
              <w:rPr>
                <w:b w:val="0"/>
                <w:bCs/>
                <w:i/>
                <w:iCs/>
                <w:color w:val="000000" w:themeColor="text1"/>
              </w:rPr>
            </w:pPr>
            <w:r>
              <w:rPr>
                <w:b w:val="0"/>
                <w:bCs/>
                <w:i/>
                <w:iCs/>
                <w:color w:val="000000" w:themeColor="text1"/>
              </w:rPr>
              <w:t xml:space="preserve">   </w:t>
            </w:r>
            <w:r w:rsidR="0093431E" w:rsidRPr="0036717D">
              <w:rPr>
                <w:b w:val="0"/>
                <w:bCs/>
                <w:i/>
                <w:iCs/>
                <w:color w:val="000000" w:themeColor="text1"/>
              </w:rPr>
              <w:t xml:space="preserve"> Q</w:t>
            </w:r>
            <w:r w:rsidR="00173487">
              <w:rPr>
                <w:b w:val="0"/>
                <w:bCs/>
                <w:i/>
                <w:iCs/>
                <w:color w:val="000000" w:themeColor="text1"/>
              </w:rPr>
              <w:t>LD</w:t>
            </w:r>
            <w:r w:rsidR="0093431E" w:rsidRPr="0036717D">
              <w:rPr>
                <w:b w:val="0"/>
                <w:bCs/>
                <w:i/>
                <w:iCs/>
                <w:color w:val="000000" w:themeColor="text1"/>
              </w:rPr>
              <w:t xml:space="preserve"> responses </w:t>
            </w:r>
          </w:p>
        </w:tc>
        <w:tc>
          <w:tcPr>
            <w:tcW w:w="709" w:type="dxa"/>
          </w:tcPr>
          <w:p w14:paraId="0363E192" w14:textId="62CD4BD9" w:rsidR="0093431E" w:rsidRPr="0036717D" w:rsidRDefault="0093431E" w:rsidP="0093431E">
            <w:pPr>
              <w:jc w:val="center"/>
              <w:cnfStyle w:val="000000010000" w:firstRow="0" w:lastRow="0" w:firstColumn="0" w:lastColumn="0" w:oddVBand="0" w:evenVBand="0" w:oddHBand="0" w:evenHBand="1" w:firstRowFirstColumn="0" w:firstRowLastColumn="0" w:lastRowFirstColumn="0" w:lastRowLastColumn="0"/>
              <w:rPr>
                <w:i/>
                <w:iCs/>
                <w:color w:val="000000" w:themeColor="text1"/>
              </w:rPr>
            </w:pPr>
            <w:r w:rsidRPr="0036717D">
              <w:rPr>
                <w:i/>
                <w:iCs/>
                <w:color w:val="000000" w:themeColor="text1"/>
              </w:rPr>
              <w:t>63%</w:t>
            </w:r>
          </w:p>
        </w:tc>
        <w:tc>
          <w:tcPr>
            <w:tcW w:w="709" w:type="dxa"/>
          </w:tcPr>
          <w:p w14:paraId="29D161ED" w14:textId="79801305" w:rsidR="0093431E" w:rsidRPr="0036717D" w:rsidRDefault="0093431E" w:rsidP="0093431E">
            <w:pPr>
              <w:jc w:val="center"/>
              <w:cnfStyle w:val="000000010000" w:firstRow="0" w:lastRow="0" w:firstColumn="0" w:lastColumn="0" w:oddVBand="0" w:evenVBand="0" w:oddHBand="0" w:evenHBand="1" w:firstRowFirstColumn="0" w:firstRowLastColumn="0" w:lastRowFirstColumn="0" w:lastRowLastColumn="0"/>
              <w:rPr>
                <w:i/>
                <w:iCs/>
                <w:color w:val="000000" w:themeColor="text1"/>
              </w:rPr>
            </w:pPr>
            <w:r w:rsidRPr="0036717D">
              <w:rPr>
                <w:i/>
                <w:iCs/>
                <w:color w:val="000000" w:themeColor="text1"/>
              </w:rPr>
              <w:t>38%</w:t>
            </w:r>
          </w:p>
        </w:tc>
        <w:tc>
          <w:tcPr>
            <w:tcW w:w="523" w:type="dxa"/>
          </w:tcPr>
          <w:p w14:paraId="60A68A4D" w14:textId="632E5216" w:rsidR="0093431E" w:rsidRPr="0036717D" w:rsidRDefault="0093431E" w:rsidP="0093431E">
            <w:pPr>
              <w:jc w:val="center"/>
              <w:cnfStyle w:val="000000010000" w:firstRow="0" w:lastRow="0" w:firstColumn="0" w:lastColumn="0" w:oddVBand="0" w:evenVBand="0" w:oddHBand="0" w:evenHBand="1" w:firstRowFirstColumn="0" w:firstRowLastColumn="0" w:lastRowFirstColumn="0" w:lastRowLastColumn="0"/>
              <w:rPr>
                <w:i/>
                <w:iCs/>
                <w:color w:val="000000" w:themeColor="text1"/>
              </w:rPr>
            </w:pPr>
            <w:r w:rsidRPr="0036717D">
              <w:rPr>
                <w:i/>
                <w:iCs/>
                <w:color w:val="000000" w:themeColor="text1"/>
              </w:rPr>
              <w:t>8</w:t>
            </w:r>
          </w:p>
        </w:tc>
      </w:tr>
      <w:tr w:rsidR="0093431E" w:rsidRPr="00CA5063" w14:paraId="3FA8C778" w14:textId="77777777" w:rsidTr="00473E61">
        <w:tc>
          <w:tcPr>
            <w:cnfStyle w:val="001000000000" w:firstRow="0" w:lastRow="0" w:firstColumn="1" w:lastColumn="0" w:oddVBand="0" w:evenVBand="0" w:oddHBand="0" w:evenHBand="0" w:firstRowFirstColumn="0" w:firstRowLastColumn="0" w:lastRowFirstColumn="0" w:lastRowLastColumn="0"/>
            <w:tcW w:w="5103" w:type="dxa"/>
          </w:tcPr>
          <w:p w14:paraId="14BC9A84" w14:textId="7F2EB249" w:rsidR="0093431E" w:rsidRPr="0036717D" w:rsidRDefault="009A4F03" w:rsidP="0093431E">
            <w:pPr>
              <w:rPr>
                <w:b w:val="0"/>
                <w:bCs/>
                <w:i/>
                <w:iCs/>
                <w:color w:val="000000" w:themeColor="text1"/>
              </w:rPr>
            </w:pPr>
            <w:r>
              <w:rPr>
                <w:b w:val="0"/>
                <w:bCs/>
                <w:i/>
                <w:iCs/>
                <w:color w:val="000000" w:themeColor="text1"/>
              </w:rPr>
              <w:t xml:space="preserve">   </w:t>
            </w:r>
            <w:r w:rsidR="0093431E" w:rsidRPr="0036717D">
              <w:rPr>
                <w:b w:val="0"/>
                <w:bCs/>
                <w:i/>
                <w:iCs/>
                <w:color w:val="000000" w:themeColor="text1"/>
              </w:rPr>
              <w:t xml:space="preserve"> WA responses</w:t>
            </w:r>
          </w:p>
        </w:tc>
        <w:tc>
          <w:tcPr>
            <w:tcW w:w="709" w:type="dxa"/>
          </w:tcPr>
          <w:p w14:paraId="228070A7" w14:textId="2A249E2F" w:rsidR="0093431E" w:rsidRPr="0036717D" w:rsidRDefault="008A29CE" w:rsidP="0093431E">
            <w:pPr>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sidRPr="0036717D">
              <w:rPr>
                <w:i/>
                <w:iCs/>
                <w:color w:val="000000" w:themeColor="text1"/>
              </w:rPr>
              <w:t>100%</w:t>
            </w:r>
          </w:p>
        </w:tc>
        <w:tc>
          <w:tcPr>
            <w:tcW w:w="709" w:type="dxa"/>
          </w:tcPr>
          <w:p w14:paraId="346E8113" w14:textId="26C1588A" w:rsidR="0093431E" w:rsidRPr="0036717D" w:rsidRDefault="008A29CE" w:rsidP="0093431E">
            <w:pPr>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sidRPr="0036717D">
              <w:rPr>
                <w:i/>
                <w:iCs/>
                <w:color w:val="000000" w:themeColor="text1"/>
              </w:rPr>
              <w:t>0%</w:t>
            </w:r>
          </w:p>
        </w:tc>
        <w:tc>
          <w:tcPr>
            <w:tcW w:w="523" w:type="dxa"/>
          </w:tcPr>
          <w:p w14:paraId="0E5A778B" w14:textId="69C3BB6E" w:rsidR="0093431E" w:rsidRPr="0036717D" w:rsidRDefault="008A29CE" w:rsidP="0093431E">
            <w:pPr>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sidRPr="0036717D">
              <w:rPr>
                <w:i/>
                <w:iCs/>
                <w:color w:val="000000" w:themeColor="text1"/>
              </w:rPr>
              <w:t>11</w:t>
            </w:r>
          </w:p>
        </w:tc>
      </w:tr>
      <w:tr w:rsidR="008A29CE" w:rsidRPr="00CA5063" w14:paraId="71FCFFE8"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8F9145E" w14:textId="0DFD57B3" w:rsidR="008A29CE" w:rsidRPr="0036717D" w:rsidRDefault="009A4F03" w:rsidP="008A29CE">
            <w:pPr>
              <w:rPr>
                <w:b w:val="0"/>
                <w:bCs/>
                <w:i/>
                <w:iCs/>
                <w:color w:val="000000" w:themeColor="text1"/>
              </w:rPr>
            </w:pPr>
            <w:r>
              <w:rPr>
                <w:b w:val="0"/>
                <w:bCs/>
                <w:i/>
                <w:iCs/>
                <w:color w:val="000000" w:themeColor="text1"/>
              </w:rPr>
              <w:t xml:space="preserve">   </w:t>
            </w:r>
            <w:r w:rsidR="008A29CE" w:rsidRPr="0036717D">
              <w:rPr>
                <w:b w:val="0"/>
                <w:bCs/>
                <w:i/>
                <w:iCs/>
                <w:color w:val="000000" w:themeColor="text1"/>
              </w:rPr>
              <w:t xml:space="preserve"> NT responses</w:t>
            </w:r>
          </w:p>
        </w:tc>
        <w:tc>
          <w:tcPr>
            <w:tcW w:w="709" w:type="dxa"/>
          </w:tcPr>
          <w:p w14:paraId="168F48D2" w14:textId="03D58121" w:rsidR="008A29CE" w:rsidRPr="0036717D" w:rsidRDefault="008A29CE" w:rsidP="008A29CE">
            <w:pPr>
              <w:jc w:val="center"/>
              <w:cnfStyle w:val="000000010000" w:firstRow="0" w:lastRow="0" w:firstColumn="0" w:lastColumn="0" w:oddVBand="0" w:evenVBand="0" w:oddHBand="0" w:evenHBand="1" w:firstRowFirstColumn="0" w:firstRowLastColumn="0" w:lastRowFirstColumn="0" w:lastRowLastColumn="0"/>
              <w:rPr>
                <w:i/>
                <w:iCs/>
                <w:color w:val="000000" w:themeColor="text1"/>
              </w:rPr>
            </w:pPr>
            <w:r w:rsidRPr="0036717D">
              <w:rPr>
                <w:i/>
                <w:iCs/>
                <w:color w:val="000000" w:themeColor="text1"/>
              </w:rPr>
              <w:t>83%</w:t>
            </w:r>
          </w:p>
        </w:tc>
        <w:tc>
          <w:tcPr>
            <w:tcW w:w="709" w:type="dxa"/>
          </w:tcPr>
          <w:p w14:paraId="11E95EA2" w14:textId="6E471F08" w:rsidR="008A29CE" w:rsidRPr="0036717D" w:rsidRDefault="008A29CE" w:rsidP="008A29CE">
            <w:pPr>
              <w:jc w:val="center"/>
              <w:cnfStyle w:val="000000010000" w:firstRow="0" w:lastRow="0" w:firstColumn="0" w:lastColumn="0" w:oddVBand="0" w:evenVBand="0" w:oddHBand="0" w:evenHBand="1" w:firstRowFirstColumn="0" w:firstRowLastColumn="0" w:lastRowFirstColumn="0" w:lastRowLastColumn="0"/>
              <w:rPr>
                <w:i/>
                <w:iCs/>
                <w:color w:val="000000" w:themeColor="text1"/>
              </w:rPr>
            </w:pPr>
            <w:r w:rsidRPr="0036717D">
              <w:rPr>
                <w:i/>
                <w:iCs/>
                <w:color w:val="000000" w:themeColor="text1"/>
              </w:rPr>
              <w:t>17%</w:t>
            </w:r>
          </w:p>
        </w:tc>
        <w:tc>
          <w:tcPr>
            <w:tcW w:w="523" w:type="dxa"/>
          </w:tcPr>
          <w:p w14:paraId="40E0251F" w14:textId="439FC0AE" w:rsidR="008A29CE" w:rsidRPr="0036717D" w:rsidRDefault="008A29CE" w:rsidP="008A29CE">
            <w:pPr>
              <w:jc w:val="center"/>
              <w:cnfStyle w:val="000000010000" w:firstRow="0" w:lastRow="0" w:firstColumn="0" w:lastColumn="0" w:oddVBand="0" w:evenVBand="0" w:oddHBand="0" w:evenHBand="1" w:firstRowFirstColumn="0" w:firstRowLastColumn="0" w:lastRowFirstColumn="0" w:lastRowLastColumn="0"/>
              <w:rPr>
                <w:i/>
                <w:iCs/>
                <w:color w:val="000000" w:themeColor="text1"/>
              </w:rPr>
            </w:pPr>
            <w:r w:rsidRPr="0036717D">
              <w:rPr>
                <w:i/>
                <w:iCs/>
                <w:color w:val="000000" w:themeColor="text1"/>
              </w:rPr>
              <w:t>6</w:t>
            </w:r>
          </w:p>
        </w:tc>
      </w:tr>
    </w:tbl>
    <w:p w14:paraId="2FBA9758" w14:textId="35AE0AC1" w:rsidR="00CA5063" w:rsidRPr="008A29CE" w:rsidRDefault="008A29CE" w:rsidP="008A29CE">
      <w:pPr>
        <w:ind w:firstLine="720"/>
        <w:rPr>
          <w:sz w:val="16"/>
          <w:szCs w:val="16"/>
        </w:rPr>
      </w:pPr>
      <w:r w:rsidRPr="008A29CE">
        <w:rPr>
          <w:sz w:val="16"/>
          <w:szCs w:val="16"/>
        </w:rPr>
        <w:t>Source: evaluation survey of</w:t>
      </w:r>
      <w:r w:rsidR="00E220C4">
        <w:rPr>
          <w:sz w:val="16"/>
          <w:szCs w:val="16"/>
        </w:rPr>
        <w:t xml:space="preserve"> Initiative</w:t>
      </w:r>
      <w:r w:rsidRPr="008A29CE">
        <w:rPr>
          <w:sz w:val="16"/>
          <w:szCs w:val="16"/>
        </w:rPr>
        <w:t xml:space="preserve"> site manager</w:t>
      </w:r>
      <w:r>
        <w:rPr>
          <w:sz w:val="16"/>
          <w:szCs w:val="16"/>
        </w:rPr>
        <w:t>s</w:t>
      </w:r>
      <w:r w:rsidR="00AE1E4A">
        <w:rPr>
          <w:sz w:val="16"/>
          <w:szCs w:val="16"/>
        </w:rPr>
        <w:t>, question 8</w:t>
      </w:r>
    </w:p>
    <w:p w14:paraId="06E090DF" w14:textId="50DDE555" w:rsidR="008A29CE" w:rsidRDefault="00AE1E4A" w:rsidP="008A29CE">
      <w:r>
        <w:t xml:space="preserve">Facility managers were asked whether the Initiative was an effective way of increasing investment in primary </w:t>
      </w:r>
      <w:r w:rsidR="00E419DC">
        <w:t>healthcare</w:t>
      </w:r>
      <w:r>
        <w:t xml:space="preserve"> services</w:t>
      </w:r>
      <w:bookmarkStart w:id="89" w:name="_Hlk75846480"/>
      <w:r>
        <w:t xml:space="preserve">. Across all sites 50% of respondents (n=46) either ‘agreed’ or ‘strongly agreed’ with this assessment. The variation in this response rate by jurisdiction is shown in </w:t>
      </w:r>
      <w:r w:rsidR="00E220C4">
        <w:fldChar w:fldCharType="begin"/>
      </w:r>
      <w:r w:rsidR="00E220C4">
        <w:instrText xml:space="preserve"> REF _Ref75845139 \h </w:instrText>
      </w:r>
      <w:r w:rsidR="00E220C4">
        <w:fldChar w:fldCharType="separate"/>
      </w:r>
      <w:r w:rsidR="00C50B67">
        <w:t xml:space="preserve">Table </w:t>
      </w:r>
      <w:r w:rsidR="00C50B67">
        <w:rPr>
          <w:noProof/>
        </w:rPr>
        <w:t>4</w:t>
      </w:r>
      <w:r w:rsidR="00C50B67">
        <w:t>.</w:t>
      </w:r>
      <w:r w:rsidR="00C50B67">
        <w:rPr>
          <w:noProof/>
        </w:rPr>
        <w:t>4</w:t>
      </w:r>
      <w:r w:rsidR="00E220C4">
        <w:fldChar w:fldCharType="end"/>
      </w:r>
      <w:r w:rsidR="00293261">
        <w:t>.</w:t>
      </w:r>
    </w:p>
    <w:bookmarkEnd w:id="89"/>
    <w:p w14:paraId="0C8B9DD8" w14:textId="5A54AF3E" w:rsidR="008A29CE" w:rsidRDefault="008A29CE" w:rsidP="008A29CE"/>
    <w:p w14:paraId="7DD3B2A3" w14:textId="77777777" w:rsidR="008A29CE" w:rsidRDefault="008A29CE" w:rsidP="008A29CE"/>
    <w:p w14:paraId="4C020A29" w14:textId="22881EAA" w:rsidR="00AE1E4A" w:rsidRDefault="00AE1E4A" w:rsidP="00AE1E4A">
      <w:pPr>
        <w:pStyle w:val="Caption"/>
      </w:pPr>
      <w:bookmarkStart w:id="90" w:name="_Ref75845139"/>
      <w:r>
        <w:lastRenderedPageBreak/>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4</w:t>
      </w:r>
      <w:r w:rsidR="00A67BE9">
        <w:rPr>
          <w:noProof/>
        </w:rPr>
        <w:fldChar w:fldCharType="end"/>
      </w:r>
      <w:bookmarkEnd w:id="90"/>
      <w:r>
        <w:t xml:space="preserve">: </w:t>
      </w:r>
      <w:r w:rsidRPr="00293261">
        <w:rPr>
          <w:rStyle w:val="Caption-notboldChar"/>
        </w:rPr>
        <w:t>Assessment of the Initiative as an effective way to increase investment in primary</w:t>
      </w:r>
      <w:r w:rsidR="00293261" w:rsidRPr="00293261">
        <w:rPr>
          <w:rStyle w:val="Caption-notboldChar"/>
        </w:rPr>
        <w:t> </w:t>
      </w:r>
      <w:r w:rsidRPr="00293261">
        <w:rPr>
          <w:rStyle w:val="Caption-notboldChar"/>
        </w:rPr>
        <w:t>care</w:t>
      </w:r>
      <w:r w:rsidR="00293261" w:rsidRPr="00293261">
        <w:rPr>
          <w:rStyle w:val="Caption-notboldChar"/>
        </w:rPr>
        <w:t> </w:t>
      </w:r>
      <w:r w:rsidRPr="00293261">
        <w:rPr>
          <w:rStyle w:val="Caption-notboldChar"/>
        </w:rPr>
        <w:t>services</w:t>
      </w:r>
    </w:p>
    <w:tbl>
      <w:tblPr>
        <w:tblStyle w:val="HMATableA11"/>
        <w:tblW w:w="5000" w:type="pct"/>
        <w:tblLook w:val="04A0" w:firstRow="1" w:lastRow="0" w:firstColumn="1" w:lastColumn="0" w:noHBand="0" w:noVBand="1"/>
      </w:tblPr>
      <w:tblGrid>
        <w:gridCol w:w="2693"/>
        <w:gridCol w:w="1087"/>
        <w:gridCol w:w="1088"/>
        <w:gridCol w:w="1088"/>
        <w:gridCol w:w="1088"/>
      </w:tblGrid>
      <w:tr w:rsidR="00E220C4" w:rsidRPr="00AE1E4A" w14:paraId="31374948" w14:textId="77777777" w:rsidTr="00E22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64FE77F5" w14:textId="4C9640C6" w:rsidR="00E220C4" w:rsidRPr="00AE1E4A" w:rsidRDefault="00E220C4" w:rsidP="00AE1E4A">
            <w:r>
              <w:t>Effectiveness of the Initiative in…</w:t>
            </w:r>
          </w:p>
        </w:tc>
        <w:tc>
          <w:tcPr>
            <w:tcW w:w="772" w:type="pct"/>
          </w:tcPr>
          <w:p w14:paraId="114CD7E9" w14:textId="2E797BFB" w:rsidR="00E220C4" w:rsidRPr="00AE1E4A" w:rsidRDefault="00E220C4" w:rsidP="00AE1E4A">
            <w:pPr>
              <w:cnfStyle w:val="100000000000" w:firstRow="1" w:lastRow="0" w:firstColumn="0" w:lastColumn="0" w:oddVBand="0" w:evenVBand="0" w:oddHBand="0" w:evenHBand="0" w:firstRowFirstColumn="0" w:firstRowLastColumn="0" w:lastRowFirstColumn="0" w:lastRowLastColumn="0"/>
            </w:pPr>
            <w:r>
              <w:t>D</w:t>
            </w:r>
            <w:r w:rsidRPr="00AE1E4A">
              <w:t>isagree</w:t>
            </w:r>
            <w:r>
              <w:t xml:space="preserve"> /strongly disagree</w:t>
            </w:r>
          </w:p>
        </w:tc>
        <w:tc>
          <w:tcPr>
            <w:tcW w:w="772" w:type="pct"/>
          </w:tcPr>
          <w:p w14:paraId="460FA9DD" w14:textId="77777777" w:rsidR="00E220C4" w:rsidRPr="00AE1E4A" w:rsidRDefault="00E220C4" w:rsidP="00AE1E4A">
            <w:pPr>
              <w:cnfStyle w:val="100000000000" w:firstRow="1" w:lastRow="0" w:firstColumn="0" w:lastColumn="0" w:oddVBand="0" w:evenVBand="0" w:oddHBand="0" w:evenHBand="0" w:firstRowFirstColumn="0" w:firstRowLastColumn="0" w:lastRowFirstColumn="0" w:lastRowLastColumn="0"/>
            </w:pPr>
            <w:r w:rsidRPr="00AE1E4A">
              <w:t>Neither agree nor disagree</w:t>
            </w:r>
          </w:p>
        </w:tc>
        <w:tc>
          <w:tcPr>
            <w:tcW w:w="772" w:type="pct"/>
          </w:tcPr>
          <w:p w14:paraId="78321472" w14:textId="155654DA" w:rsidR="00E220C4" w:rsidRPr="00AE1E4A" w:rsidRDefault="00E220C4" w:rsidP="00AE1E4A">
            <w:pPr>
              <w:cnfStyle w:val="100000000000" w:firstRow="1" w:lastRow="0" w:firstColumn="0" w:lastColumn="0" w:oddVBand="0" w:evenVBand="0" w:oddHBand="0" w:evenHBand="0" w:firstRowFirstColumn="0" w:firstRowLastColumn="0" w:lastRowFirstColumn="0" w:lastRowLastColumn="0"/>
            </w:pPr>
            <w:r>
              <w:t>Agree / s</w:t>
            </w:r>
            <w:r w:rsidRPr="00AE1E4A">
              <w:t>trongly agree</w:t>
            </w:r>
          </w:p>
        </w:tc>
        <w:tc>
          <w:tcPr>
            <w:tcW w:w="772" w:type="pct"/>
          </w:tcPr>
          <w:p w14:paraId="34475FE9" w14:textId="3A465F59" w:rsidR="00E220C4" w:rsidRPr="00AE1E4A" w:rsidRDefault="00E220C4" w:rsidP="00E220C4">
            <w:pPr>
              <w:jc w:val="center"/>
              <w:cnfStyle w:val="100000000000" w:firstRow="1" w:lastRow="0" w:firstColumn="0" w:lastColumn="0" w:oddVBand="0" w:evenVBand="0" w:oddHBand="0" w:evenHBand="0" w:firstRowFirstColumn="0" w:firstRowLastColumn="0" w:lastRowFirstColumn="0" w:lastRowLastColumn="0"/>
            </w:pPr>
            <w:r>
              <w:t>n</w:t>
            </w:r>
          </w:p>
        </w:tc>
      </w:tr>
      <w:tr w:rsidR="00E220C4" w:rsidRPr="00AE1E4A" w14:paraId="097DB857" w14:textId="77777777" w:rsidTr="00E220C4">
        <w:tc>
          <w:tcPr>
            <w:cnfStyle w:val="001000000000" w:firstRow="0" w:lastRow="0" w:firstColumn="1" w:lastColumn="0" w:oddVBand="0" w:evenVBand="0" w:oddHBand="0" w:evenHBand="0" w:firstRowFirstColumn="0" w:firstRowLastColumn="0" w:lastRowFirstColumn="0" w:lastRowLastColumn="0"/>
            <w:tcW w:w="1912" w:type="pct"/>
            <w:vAlign w:val="bottom"/>
          </w:tcPr>
          <w:p w14:paraId="31032E9E" w14:textId="2A6F3089" w:rsidR="00E220C4" w:rsidRPr="00F243C3" w:rsidRDefault="00E220C4" w:rsidP="00AE1E4A">
            <w:pPr>
              <w:rPr>
                <w:color w:val="000000" w:themeColor="text1"/>
                <w:szCs w:val="20"/>
              </w:rPr>
            </w:pPr>
            <w:r w:rsidRPr="00F243C3">
              <w:rPr>
                <w:rFonts w:cs="Arial"/>
                <w:color w:val="000000" w:themeColor="text1"/>
                <w:szCs w:val="20"/>
              </w:rPr>
              <w:t>Increasing investment in primary care services?</w:t>
            </w:r>
          </w:p>
        </w:tc>
        <w:tc>
          <w:tcPr>
            <w:tcW w:w="772" w:type="pct"/>
          </w:tcPr>
          <w:p w14:paraId="6220269B" w14:textId="577F9BCB"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78CCBFC9" w14:textId="167D1447"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61ABC736" w14:textId="4C69EB84"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1606447A" w14:textId="65D58C08"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E220C4" w:rsidRPr="00AE1E4A" w14:paraId="07C75F44" w14:textId="77777777" w:rsidTr="00E22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68E74C5C" w14:textId="490A1B87" w:rsidR="00E220C4" w:rsidRPr="00F243C3" w:rsidRDefault="009A4F03" w:rsidP="00AE1E4A">
            <w:pPr>
              <w:rPr>
                <w:rFonts w:cs="Arial"/>
                <w:color w:val="000000" w:themeColor="text1"/>
                <w:szCs w:val="20"/>
              </w:rPr>
            </w:pPr>
            <w:r>
              <w:rPr>
                <w:b w:val="0"/>
                <w:bCs/>
                <w:color w:val="000000" w:themeColor="text1"/>
              </w:rPr>
              <w:t xml:space="preserve">   </w:t>
            </w:r>
            <w:r w:rsidR="00E220C4" w:rsidRPr="00F243C3">
              <w:rPr>
                <w:b w:val="0"/>
                <w:bCs/>
                <w:color w:val="000000" w:themeColor="text1"/>
              </w:rPr>
              <w:t xml:space="preserve"> All responses (NSW, Q</w:t>
            </w:r>
            <w:r w:rsidR="00173487">
              <w:rPr>
                <w:b w:val="0"/>
                <w:bCs/>
                <w:color w:val="000000" w:themeColor="text1"/>
              </w:rPr>
              <w:t>LD</w:t>
            </w:r>
            <w:r w:rsidR="00E220C4" w:rsidRPr="00F243C3">
              <w:rPr>
                <w:b w:val="0"/>
                <w:bCs/>
                <w:color w:val="000000" w:themeColor="text1"/>
              </w:rPr>
              <w:t>, WA, NT)</w:t>
            </w:r>
          </w:p>
        </w:tc>
        <w:tc>
          <w:tcPr>
            <w:tcW w:w="772" w:type="pct"/>
          </w:tcPr>
          <w:p w14:paraId="0C695538" w14:textId="0710413A"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35%</w:t>
            </w:r>
          </w:p>
        </w:tc>
        <w:tc>
          <w:tcPr>
            <w:tcW w:w="772" w:type="pct"/>
          </w:tcPr>
          <w:p w14:paraId="00BFE173" w14:textId="275EB7CD"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15%</w:t>
            </w:r>
          </w:p>
        </w:tc>
        <w:tc>
          <w:tcPr>
            <w:tcW w:w="772" w:type="pct"/>
          </w:tcPr>
          <w:p w14:paraId="02AB6885" w14:textId="3887E2A2"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50%</w:t>
            </w:r>
          </w:p>
        </w:tc>
        <w:tc>
          <w:tcPr>
            <w:tcW w:w="772" w:type="pct"/>
          </w:tcPr>
          <w:p w14:paraId="04D55916" w14:textId="727F93F5"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46</w:t>
            </w:r>
          </w:p>
        </w:tc>
      </w:tr>
      <w:tr w:rsidR="00E220C4" w:rsidRPr="00AE1E4A" w14:paraId="12A08399" w14:textId="77777777" w:rsidTr="00E220C4">
        <w:tc>
          <w:tcPr>
            <w:cnfStyle w:val="001000000000" w:firstRow="0" w:lastRow="0" w:firstColumn="1" w:lastColumn="0" w:oddVBand="0" w:evenVBand="0" w:oddHBand="0" w:evenHBand="0" w:firstRowFirstColumn="0" w:firstRowLastColumn="0" w:lastRowFirstColumn="0" w:lastRowLastColumn="0"/>
            <w:tcW w:w="1912" w:type="pct"/>
          </w:tcPr>
          <w:p w14:paraId="265DB264" w14:textId="398C8DA4" w:rsidR="00E220C4" w:rsidRPr="00F243C3" w:rsidRDefault="009A4F03" w:rsidP="00AE1E4A">
            <w:pPr>
              <w:rPr>
                <w:rFonts w:cs="Arial"/>
                <w:color w:val="000000" w:themeColor="text1"/>
                <w:szCs w:val="20"/>
              </w:rPr>
            </w:pPr>
            <w:r>
              <w:rPr>
                <w:b w:val="0"/>
                <w:bCs/>
                <w:i/>
                <w:iCs/>
                <w:color w:val="000000" w:themeColor="text1"/>
              </w:rPr>
              <w:t xml:space="preserve">   </w:t>
            </w:r>
            <w:r w:rsidR="00E220C4" w:rsidRPr="00F243C3">
              <w:rPr>
                <w:b w:val="0"/>
                <w:bCs/>
                <w:i/>
                <w:iCs/>
                <w:color w:val="000000" w:themeColor="text1"/>
              </w:rPr>
              <w:t xml:space="preserve"> NSW responses</w:t>
            </w:r>
          </w:p>
        </w:tc>
        <w:tc>
          <w:tcPr>
            <w:tcW w:w="772" w:type="pct"/>
          </w:tcPr>
          <w:p w14:paraId="7391784C" w14:textId="4474AF22" w:rsidR="00E220C4" w:rsidRPr="00F243C3" w:rsidRDefault="00E464C2"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17</w:t>
            </w:r>
            <w:r w:rsidR="00E220C4" w:rsidRPr="00F243C3">
              <w:rPr>
                <w:color w:val="000000" w:themeColor="text1"/>
              </w:rPr>
              <w:t>%</w:t>
            </w:r>
          </w:p>
        </w:tc>
        <w:tc>
          <w:tcPr>
            <w:tcW w:w="772" w:type="pct"/>
          </w:tcPr>
          <w:p w14:paraId="3AE57F31" w14:textId="1DC8B2DC"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243C3">
              <w:rPr>
                <w:color w:val="000000" w:themeColor="text1"/>
              </w:rPr>
              <w:t>9%</w:t>
            </w:r>
          </w:p>
        </w:tc>
        <w:tc>
          <w:tcPr>
            <w:tcW w:w="772" w:type="pct"/>
          </w:tcPr>
          <w:p w14:paraId="5DDD52F3" w14:textId="532A543F"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243C3">
              <w:rPr>
                <w:color w:val="000000" w:themeColor="text1"/>
              </w:rPr>
              <w:t>74%</w:t>
            </w:r>
          </w:p>
        </w:tc>
        <w:tc>
          <w:tcPr>
            <w:tcW w:w="772" w:type="pct"/>
          </w:tcPr>
          <w:p w14:paraId="0EC40FD8" w14:textId="19493903"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243C3">
              <w:rPr>
                <w:color w:val="000000" w:themeColor="text1"/>
              </w:rPr>
              <w:t>23</w:t>
            </w:r>
          </w:p>
        </w:tc>
      </w:tr>
      <w:tr w:rsidR="00E220C4" w:rsidRPr="00AE1E4A" w14:paraId="64C46842" w14:textId="77777777" w:rsidTr="00E22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32E54BEA" w14:textId="766FB324" w:rsidR="00E220C4" w:rsidRPr="00F243C3" w:rsidRDefault="009A4F03" w:rsidP="00AE1E4A">
            <w:pPr>
              <w:rPr>
                <w:rFonts w:cs="Arial"/>
                <w:color w:val="000000" w:themeColor="text1"/>
                <w:szCs w:val="20"/>
              </w:rPr>
            </w:pPr>
            <w:r>
              <w:rPr>
                <w:b w:val="0"/>
                <w:bCs/>
                <w:i/>
                <w:iCs/>
                <w:color w:val="000000" w:themeColor="text1"/>
              </w:rPr>
              <w:t xml:space="preserve">   </w:t>
            </w:r>
            <w:r w:rsidR="00E220C4" w:rsidRPr="00F243C3">
              <w:rPr>
                <w:b w:val="0"/>
                <w:bCs/>
                <w:i/>
                <w:iCs/>
                <w:color w:val="000000" w:themeColor="text1"/>
              </w:rPr>
              <w:t xml:space="preserve"> Q</w:t>
            </w:r>
            <w:r w:rsidR="00173487">
              <w:rPr>
                <w:b w:val="0"/>
                <w:bCs/>
                <w:i/>
                <w:iCs/>
                <w:color w:val="000000" w:themeColor="text1"/>
              </w:rPr>
              <w:t>LD</w:t>
            </w:r>
            <w:r w:rsidR="00E220C4" w:rsidRPr="00F243C3">
              <w:rPr>
                <w:b w:val="0"/>
                <w:bCs/>
                <w:i/>
                <w:iCs/>
                <w:color w:val="000000" w:themeColor="text1"/>
              </w:rPr>
              <w:t xml:space="preserve"> responses </w:t>
            </w:r>
          </w:p>
        </w:tc>
        <w:tc>
          <w:tcPr>
            <w:tcW w:w="772" w:type="pct"/>
          </w:tcPr>
          <w:p w14:paraId="219E26DA" w14:textId="77B0A97E"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14%</w:t>
            </w:r>
          </w:p>
        </w:tc>
        <w:tc>
          <w:tcPr>
            <w:tcW w:w="772" w:type="pct"/>
          </w:tcPr>
          <w:p w14:paraId="3ACF11A0" w14:textId="69523CFE"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29%</w:t>
            </w:r>
          </w:p>
        </w:tc>
        <w:tc>
          <w:tcPr>
            <w:tcW w:w="772" w:type="pct"/>
          </w:tcPr>
          <w:p w14:paraId="2BC9211A" w14:textId="0B8C9EDC"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57%</w:t>
            </w:r>
          </w:p>
        </w:tc>
        <w:tc>
          <w:tcPr>
            <w:tcW w:w="772" w:type="pct"/>
          </w:tcPr>
          <w:p w14:paraId="5E079AA4" w14:textId="5CD9578D" w:rsidR="00E220C4" w:rsidRPr="00F243C3" w:rsidRDefault="00E220C4" w:rsidP="00AE1E4A">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7</w:t>
            </w:r>
          </w:p>
        </w:tc>
      </w:tr>
      <w:tr w:rsidR="00E220C4" w:rsidRPr="00AE1E4A" w14:paraId="63A990EB" w14:textId="77777777" w:rsidTr="00E220C4">
        <w:tc>
          <w:tcPr>
            <w:cnfStyle w:val="001000000000" w:firstRow="0" w:lastRow="0" w:firstColumn="1" w:lastColumn="0" w:oddVBand="0" w:evenVBand="0" w:oddHBand="0" w:evenHBand="0" w:firstRowFirstColumn="0" w:firstRowLastColumn="0" w:lastRowFirstColumn="0" w:lastRowLastColumn="0"/>
            <w:tcW w:w="1912" w:type="pct"/>
          </w:tcPr>
          <w:p w14:paraId="75D9D30E" w14:textId="52736343" w:rsidR="00E220C4" w:rsidRPr="00F243C3" w:rsidRDefault="009A4F03" w:rsidP="00AE1E4A">
            <w:pPr>
              <w:rPr>
                <w:rFonts w:cs="Arial"/>
                <w:color w:val="000000" w:themeColor="text1"/>
                <w:szCs w:val="20"/>
              </w:rPr>
            </w:pPr>
            <w:r>
              <w:rPr>
                <w:b w:val="0"/>
                <w:bCs/>
                <w:i/>
                <w:iCs/>
                <w:color w:val="000000" w:themeColor="text1"/>
              </w:rPr>
              <w:t xml:space="preserve">   </w:t>
            </w:r>
            <w:r w:rsidR="00E220C4" w:rsidRPr="00F243C3">
              <w:rPr>
                <w:b w:val="0"/>
                <w:bCs/>
                <w:i/>
                <w:iCs/>
                <w:color w:val="000000" w:themeColor="text1"/>
              </w:rPr>
              <w:t xml:space="preserve"> WA responses</w:t>
            </w:r>
          </w:p>
        </w:tc>
        <w:tc>
          <w:tcPr>
            <w:tcW w:w="772" w:type="pct"/>
          </w:tcPr>
          <w:p w14:paraId="4082B1D4" w14:textId="21FD157D"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243C3">
              <w:rPr>
                <w:color w:val="000000" w:themeColor="text1"/>
              </w:rPr>
              <w:t>100%</w:t>
            </w:r>
          </w:p>
        </w:tc>
        <w:tc>
          <w:tcPr>
            <w:tcW w:w="772" w:type="pct"/>
          </w:tcPr>
          <w:p w14:paraId="4E09AC3F" w14:textId="4A4DEDB3"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243C3">
              <w:rPr>
                <w:color w:val="000000" w:themeColor="text1"/>
              </w:rPr>
              <w:t>0%</w:t>
            </w:r>
          </w:p>
        </w:tc>
        <w:tc>
          <w:tcPr>
            <w:tcW w:w="772" w:type="pct"/>
          </w:tcPr>
          <w:p w14:paraId="7D3F3158" w14:textId="5F1C186E"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243C3">
              <w:rPr>
                <w:color w:val="000000" w:themeColor="text1"/>
              </w:rPr>
              <w:t>0%</w:t>
            </w:r>
          </w:p>
        </w:tc>
        <w:tc>
          <w:tcPr>
            <w:tcW w:w="772" w:type="pct"/>
          </w:tcPr>
          <w:p w14:paraId="7C54FE37" w14:textId="4F28F68D" w:rsidR="00E220C4" w:rsidRPr="00F243C3" w:rsidRDefault="00E220C4" w:rsidP="00AE1E4A">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F243C3">
              <w:rPr>
                <w:color w:val="000000" w:themeColor="text1"/>
              </w:rPr>
              <w:t>11</w:t>
            </w:r>
          </w:p>
        </w:tc>
      </w:tr>
      <w:tr w:rsidR="00E220C4" w:rsidRPr="00AE1E4A" w14:paraId="3D33D381" w14:textId="77777777" w:rsidTr="00E22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7B297AD5" w14:textId="3F879E0C" w:rsidR="00E220C4" w:rsidRPr="00F243C3" w:rsidRDefault="009A4F03" w:rsidP="00E220C4">
            <w:pPr>
              <w:rPr>
                <w:rFonts w:cs="Arial"/>
                <w:color w:val="000000" w:themeColor="text1"/>
                <w:szCs w:val="20"/>
              </w:rPr>
            </w:pPr>
            <w:r>
              <w:rPr>
                <w:b w:val="0"/>
                <w:bCs/>
                <w:i/>
                <w:iCs/>
                <w:color w:val="000000" w:themeColor="text1"/>
              </w:rPr>
              <w:t xml:space="preserve">   </w:t>
            </w:r>
            <w:r w:rsidR="00E220C4" w:rsidRPr="00F243C3">
              <w:rPr>
                <w:b w:val="0"/>
                <w:bCs/>
                <w:i/>
                <w:iCs/>
                <w:color w:val="000000" w:themeColor="text1"/>
              </w:rPr>
              <w:t xml:space="preserve"> NT responses</w:t>
            </w:r>
          </w:p>
        </w:tc>
        <w:tc>
          <w:tcPr>
            <w:tcW w:w="772" w:type="pct"/>
          </w:tcPr>
          <w:p w14:paraId="015A3A10" w14:textId="7EDA96B3" w:rsidR="00E220C4" w:rsidRPr="00F243C3" w:rsidRDefault="00CF10A4" w:rsidP="00E220C4">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17</w:t>
            </w:r>
            <w:r w:rsidR="00E220C4" w:rsidRPr="00F243C3">
              <w:rPr>
                <w:color w:val="000000" w:themeColor="text1"/>
              </w:rPr>
              <w:t>%</w:t>
            </w:r>
          </w:p>
        </w:tc>
        <w:tc>
          <w:tcPr>
            <w:tcW w:w="772" w:type="pct"/>
          </w:tcPr>
          <w:p w14:paraId="21637701" w14:textId="6C6BD2C4" w:rsidR="00E220C4" w:rsidRPr="00F243C3" w:rsidRDefault="00E220C4" w:rsidP="00E220C4">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50%</w:t>
            </w:r>
          </w:p>
        </w:tc>
        <w:tc>
          <w:tcPr>
            <w:tcW w:w="772" w:type="pct"/>
          </w:tcPr>
          <w:p w14:paraId="491AAA15" w14:textId="308E5DA5" w:rsidR="00E220C4" w:rsidRPr="00F243C3" w:rsidRDefault="00CF10A4" w:rsidP="00E220C4">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34</w:t>
            </w:r>
            <w:r w:rsidR="00E220C4" w:rsidRPr="00F243C3">
              <w:rPr>
                <w:color w:val="000000" w:themeColor="text1"/>
              </w:rPr>
              <w:t>%</w:t>
            </w:r>
          </w:p>
        </w:tc>
        <w:tc>
          <w:tcPr>
            <w:tcW w:w="772" w:type="pct"/>
          </w:tcPr>
          <w:p w14:paraId="1EFBCEA8" w14:textId="04033B0E" w:rsidR="00E220C4" w:rsidRPr="00F243C3" w:rsidRDefault="00E220C4" w:rsidP="00E220C4">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F243C3">
              <w:rPr>
                <w:color w:val="000000" w:themeColor="text1"/>
              </w:rPr>
              <w:t>6</w:t>
            </w:r>
          </w:p>
        </w:tc>
      </w:tr>
    </w:tbl>
    <w:p w14:paraId="6F90E9FA" w14:textId="41CFEE5C" w:rsidR="00E220C4" w:rsidRPr="008A29CE" w:rsidRDefault="00E220C4" w:rsidP="00E220C4">
      <w:pPr>
        <w:ind w:firstLine="720"/>
        <w:rPr>
          <w:sz w:val="16"/>
          <w:szCs w:val="16"/>
        </w:rPr>
      </w:pPr>
      <w:r w:rsidRPr="008A29CE">
        <w:rPr>
          <w:sz w:val="16"/>
          <w:szCs w:val="16"/>
        </w:rPr>
        <w:t xml:space="preserve">Source: evaluation survey of </w:t>
      </w:r>
      <w:r>
        <w:rPr>
          <w:sz w:val="16"/>
          <w:szCs w:val="16"/>
        </w:rPr>
        <w:t xml:space="preserve">Initiative </w:t>
      </w:r>
      <w:r w:rsidRPr="008A29CE">
        <w:rPr>
          <w:sz w:val="16"/>
          <w:szCs w:val="16"/>
        </w:rPr>
        <w:t>site manager</w:t>
      </w:r>
      <w:r>
        <w:rPr>
          <w:sz w:val="16"/>
          <w:szCs w:val="16"/>
        </w:rPr>
        <w:t>s, question 9</w:t>
      </w:r>
    </w:p>
    <w:p w14:paraId="78DD55B7" w14:textId="4861281E" w:rsidR="00D76FE0" w:rsidRDefault="001D5BEE" w:rsidP="00EE7733">
      <w:pPr>
        <w:pStyle w:val="Heading4"/>
      </w:pPr>
      <w:r>
        <w:t xml:space="preserve">Access to primary care: </w:t>
      </w:r>
      <w:r w:rsidR="00DE5CEB">
        <w:t>S</w:t>
      </w:r>
      <w:r w:rsidR="00EE7733">
        <w:t>ummary assessment</w:t>
      </w:r>
    </w:p>
    <w:p w14:paraId="230570CF" w14:textId="798898FF" w:rsidR="00EE7733" w:rsidRDefault="001D5BEE" w:rsidP="00EE7733">
      <w:r>
        <w:t>Based on</w:t>
      </w:r>
      <w:r w:rsidR="00EE7733">
        <w:t xml:space="preserve"> the analysis presented above</w:t>
      </w:r>
      <w:r w:rsidR="00293261">
        <w:t>,</w:t>
      </w:r>
      <w:r w:rsidR="00EE7733">
        <w:t xml:space="preserve"> the evaluation team </w:t>
      </w:r>
      <w:r w:rsidR="00AA0059">
        <w:t>reached</w:t>
      </w:r>
      <w:r w:rsidR="00EE7733">
        <w:t xml:space="preserve"> the following </w:t>
      </w:r>
      <w:r w:rsidR="00AA0059">
        <w:t>conclusions</w:t>
      </w:r>
      <w:r w:rsidR="00EE7733">
        <w:t>:</w:t>
      </w:r>
    </w:p>
    <w:p w14:paraId="35AF886E" w14:textId="2EE247BA" w:rsidR="00D626D0" w:rsidRPr="00693D5E" w:rsidRDefault="00D626D0" w:rsidP="001665A3">
      <w:pPr>
        <w:pStyle w:val="Finding"/>
      </w:pPr>
      <w:r w:rsidRPr="00693D5E">
        <w:t>Analysis of MBS claims</w:t>
      </w:r>
      <w:r w:rsidR="009C3F50" w:rsidRPr="00693D5E">
        <w:t>,</w:t>
      </w:r>
      <w:r w:rsidRPr="00693D5E">
        <w:t xml:space="preserve"> case study site observations </w:t>
      </w:r>
      <w:r w:rsidR="009C3F50" w:rsidRPr="00693D5E">
        <w:t xml:space="preserve">and the survey of participating sites </w:t>
      </w:r>
      <w:r w:rsidRPr="00693D5E">
        <w:t xml:space="preserve">found that the Initiative has </w:t>
      </w:r>
      <w:bookmarkStart w:id="91" w:name="_Hlk76028902"/>
      <w:r w:rsidRPr="00693D5E">
        <w:t xml:space="preserve">improved access to </w:t>
      </w:r>
      <w:r w:rsidR="00F36390" w:rsidRPr="00693D5E">
        <w:t>urgent/</w:t>
      </w:r>
      <w:r w:rsidRPr="00693D5E">
        <w:t>emergency medical care and after-hours services at many participating sites.</w:t>
      </w:r>
    </w:p>
    <w:bookmarkEnd w:id="91"/>
    <w:p w14:paraId="2A11C67E" w14:textId="473CDA4A" w:rsidR="00D626D0" w:rsidRDefault="00D626D0" w:rsidP="001665A3">
      <w:pPr>
        <w:pStyle w:val="Finding"/>
      </w:pPr>
      <w:r>
        <w:t xml:space="preserve">Case study observations </w:t>
      </w:r>
      <w:r w:rsidR="009C3F50">
        <w:t xml:space="preserve">and survey results </w:t>
      </w:r>
      <w:r>
        <w:t>were consistent with MBS claims data patterns in suggesting that the Initiative has less impact on enhancing access to integrated, comprehensive primary care services.</w:t>
      </w:r>
      <w:r w:rsidR="0039498A">
        <w:t xml:space="preserve"> It is acknowledged </w:t>
      </w:r>
      <w:r w:rsidR="0035203F">
        <w:t>t</w:t>
      </w:r>
      <w:r w:rsidR="0039498A" w:rsidRPr="0039498A">
        <w:t>here may be some health service funded referrals, call</w:t>
      </w:r>
      <w:r w:rsidR="0039498A">
        <w:t>-</w:t>
      </w:r>
      <w:r w:rsidR="0039498A" w:rsidRPr="0039498A">
        <w:t>back and coordination not reflected in the MBS claims data.</w:t>
      </w:r>
    </w:p>
    <w:p w14:paraId="06F8A426" w14:textId="1E74C2E1" w:rsidR="00D626D0" w:rsidRDefault="00D626D0" w:rsidP="001665A3">
      <w:pPr>
        <w:pStyle w:val="Finding"/>
      </w:pPr>
      <w:r>
        <w:t>Observations from the case study sites suggest the availability of integrated primary care services is dependent on access to a</w:t>
      </w:r>
      <w:r w:rsidR="00EE31EF">
        <w:t xml:space="preserve"> range of primary care services which, depending on the location, may include</w:t>
      </w:r>
      <w:r>
        <w:t xml:space="preserve"> private general practice</w:t>
      </w:r>
      <w:r w:rsidR="00EE31EF">
        <w:t xml:space="preserve"> and/ or Aboriginal Medical Service</w:t>
      </w:r>
      <w:r w:rsidR="0035203F">
        <w:t>s</w:t>
      </w:r>
      <w:r>
        <w:t xml:space="preserve"> to provide a core foundation for other primary care services. However, </w:t>
      </w:r>
      <w:r>
        <w:t xml:space="preserve">it is difficult to build a broader profile of primary care services in a smaller community where core general practice capability </w:t>
      </w:r>
      <w:r w:rsidR="0035203F">
        <w:t>(e.g.</w:t>
      </w:r>
      <w:r w:rsidR="00416976">
        <w:t>,</w:t>
      </w:r>
      <w:r w:rsidR="0035203F">
        <w:t xml:space="preserve"> Nyngan) or the service profile of an Aboriginal Medical Service </w:t>
      </w:r>
      <w:r>
        <w:t xml:space="preserve">is </w:t>
      </w:r>
      <w:r w:rsidR="0035203F">
        <w:t xml:space="preserve">limited </w:t>
      </w:r>
      <w:r>
        <w:t>(e.g.  Tennant Creek</w:t>
      </w:r>
      <w:r w:rsidR="0035203F">
        <w:t xml:space="preserve">, where the ACCHO did not provide </w:t>
      </w:r>
      <w:r w:rsidR="00065C89">
        <w:t>pre-</w:t>
      </w:r>
      <w:r w:rsidR="0035203F">
        <w:t xml:space="preserve"> or post-natal services</w:t>
      </w:r>
      <w:r>
        <w:t>).</w:t>
      </w:r>
    </w:p>
    <w:p w14:paraId="52F9F10F" w14:textId="142391AA" w:rsidR="00D626D0" w:rsidRDefault="00D626D0" w:rsidP="00B2799B">
      <w:pPr>
        <w:pStyle w:val="Heading2"/>
        <w:numPr>
          <w:ilvl w:val="1"/>
          <w:numId w:val="27"/>
        </w:numPr>
      </w:pPr>
      <w:bookmarkStart w:id="92" w:name="_Toc85203290"/>
      <w:r>
        <w:t>Access to relevant healthcare workforce</w:t>
      </w:r>
      <w:bookmarkEnd w:id="92"/>
    </w:p>
    <w:p w14:paraId="108C5969" w14:textId="13612A7A" w:rsidR="0061627F" w:rsidRDefault="00D626D0" w:rsidP="00CC2420">
      <w:pPr>
        <w:sectPr w:rsidR="0061627F" w:rsidSect="009D74BA">
          <w:type w:val="continuous"/>
          <w:pgSz w:w="16838" w:h="11906" w:orient="landscape" w:code="9"/>
          <w:pgMar w:top="737" w:right="1304" w:bottom="1134" w:left="737" w:header="567" w:footer="284" w:gutter="0"/>
          <w:cols w:num="2" w:space="708"/>
          <w:docGrid w:linePitch="360"/>
        </w:sectPr>
      </w:pPr>
      <w:r w:rsidRPr="00D05C05">
        <w:t xml:space="preserve">The extent to which the Initiative contributes to recruitment and retention of the healthcare workforce differs between jurisdictions. </w:t>
      </w:r>
      <w:r>
        <w:t xml:space="preserve">Our analysis </w:t>
      </w:r>
      <w:r w:rsidR="00F36390">
        <w:t xml:space="preserve">of </w:t>
      </w:r>
      <w:r w:rsidR="00AA0059">
        <w:t xml:space="preserve">the Initiative workforce impacts was informed by </w:t>
      </w:r>
      <w:r>
        <w:t>how the Initiative funds were reinvested</w:t>
      </w:r>
      <w:r w:rsidR="00AA0059">
        <w:t xml:space="preserve">, </w:t>
      </w:r>
      <w:r>
        <w:t xml:space="preserve">based on an examination of the annual reports for the case study sites </w:t>
      </w:r>
      <w:r w:rsidR="00F36390">
        <w:t>(</w:t>
      </w:r>
      <w:r w:rsidR="008A29CE">
        <w:fldChar w:fldCharType="begin"/>
      </w:r>
      <w:r w:rsidR="008A29CE">
        <w:instrText xml:space="preserve"> REF _Ref75843607 \h </w:instrText>
      </w:r>
      <w:r w:rsidR="008A29CE">
        <w:fldChar w:fldCharType="separate"/>
      </w:r>
      <w:r w:rsidR="00C50B67">
        <w:t xml:space="preserve">Table </w:t>
      </w:r>
      <w:r w:rsidR="00C50B67">
        <w:rPr>
          <w:noProof/>
        </w:rPr>
        <w:t>4</w:t>
      </w:r>
      <w:r w:rsidR="00C50B67">
        <w:t>.</w:t>
      </w:r>
      <w:r w:rsidR="00C50B67">
        <w:rPr>
          <w:noProof/>
        </w:rPr>
        <w:t>5</w:t>
      </w:r>
      <w:r w:rsidR="008A29CE">
        <w:fldChar w:fldCharType="end"/>
      </w:r>
      <w:r w:rsidR="00F36390">
        <w:t xml:space="preserve">, </w:t>
      </w:r>
      <w:r>
        <w:t>see next page)</w:t>
      </w:r>
      <w:bookmarkEnd w:id="87"/>
      <w:r w:rsidR="00293261">
        <w:t>.</w:t>
      </w:r>
    </w:p>
    <w:p w14:paraId="1DE6C2F8" w14:textId="2DDD47F9" w:rsidR="0061627F" w:rsidRDefault="003548CD" w:rsidP="00F0554A">
      <w:pPr>
        <w:pStyle w:val="Caption"/>
        <w:spacing w:before="0"/>
      </w:pPr>
      <w:bookmarkStart w:id="93" w:name="_Ref75843607"/>
      <w:r>
        <w:lastRenderedPageBreak/>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5</w:t>
      </w:r>
      <w:r w:rsidR="00A67BE9">
        <w:rPr>
          <w:noProof/>
        </w:rPr>
        <w:fldChar w:fldCharType="end"/>
      </w:r>
      <w:bookmarkEnd w:id="93"/>
      <w:r>
        <w:t xml:space="preserve">: </w:t>
      </w:r>
      <w:r w:rsidRPr="00D943F0">
        <w:rPr>
          <w:rStyle w:val="Caption-notboldChar"/>
        </w:rPr>
        <w:t>How Initiative funds were reinvested at case study sites, 2019</w:t>
      </w:r>
      <w:r w:rsidR="00D943F0">
        <w:rPr>
          <w:rStyle w:val="Caption-notboldChar"/>
          <w:rFonts w:ascii="Calibri" w:hAnsi="Calibri" w:cs="Calibri"/>
        </w:rPr>
        <w:t>‒</w:t>
      </w:r>
      <w:r w:rsidRPr="00D943F0">
        <w:rPr>
          <w:rStyle w:val="Caption-notboldChar"/>
        </w:rPr>
        <w:t>20</w:t>
      </w:r>
    </w:p>
    <w:tbl>
      <w:tblPr>
        <w:tblStyle w:val="HMATableA"/>
        <w:tblW w:w="5000" w:type="pct"/>
        <w:tblLook w:val="06A0" w:firstRow="1" w:lastRow="0" w:firstColumn="1" w:lastColumn="0" w:noHBand="1" w:noVBand="1"/>
      </w:tblPr>
      <w:tblGrid>
        <w:gridCol w:w="1737"/>
        <w:gridCol w:w="1095"/>
        <w:gridCol w:w="1018"/>
        <w:gridCol w:w="442"/>
        <w:gridCol w:w="847"/>
        <w:gridCol w:w="442"/>
        <w:gridCol w:w="733"/>
        <w:gridCol w:w="442"/>
        <w:gridCol w:w="733"/>
        <w:gridCol w:w="442"/>
        <w:gridCol w:w="650"/>
        <w:gridCol w:w="442"/>
        <w:gridCol w:w="743"/>
        <w:gridCol w:w="442"/>
        <w:gridCol w:w="686"/>
        <w:gridCol w:w="459"/>
        <w:gridCol w:w="560"/>
        <w:gridCol w:w="442"/>
        <w:gridCol w:w="650"/>
        <w:gridCol w:w="442"/>
        <w:gridCol w:w="733"/>
        <w:gridCol w:w="617"/>
      </w:tblGrid>
      <w:tr w:rsidR="000663CF" w:rsidRPr="000663CF" w14:paraId="68E3C271" w14:textId="77777777" w:rsidTr="005B1D19">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08" w:type="pct"/>
            <w:vMerge w:val="restart"/>
            <w:noWrap/>
            <w:hideMark/>
          </w:tcPr>
          <w:p w14:paraId="3E96CEA9" w14:textId="77777777" w:rsidR="000663CF" w:rsidRPr="000663CF" w:rsidRDefault="000663CF" w:rsidP="000663CF">
            <w:pPr>
              <w:rPr>
                <w:lang w:eastAsia="zh-CN"/>
              </w:rPr>
            </w:pPr>
            <w:r w:rsidRPr="000663CF">
              <w:rPr>
                <w:lang w:eastAsia="zh-CN"/>
              </w:rPr>
              <w:t xml:space="preserve">Service </w:t>
            </w:r>
          </w:p>
        </w:tc>
        <w:tc>
          <w:tcPr>
            <w:tcW w:w="387" w:type="pct"/>
            <w:vMerge w:val="restart"/>
            <w:hideMark/>
          </w:tcPr>
          <w:p w14:paraId="3A82F5E6" w14:textId="61AC6D91" w:rsidR="000663CF" w:rsidRPr="000663CF" w:rsidRDefault="000663CF" w:rsidP="000663CF">
            <w:pPr>
              <w:cnfStyle w:val="100000000000" w:firstRow="1" w:lastRow="0" w:firstColumn="0" w:lastColumn="0" w:oddVBand="0" w:evenVBand="0" w:oddHBand="0" w:evenHBand="0" w:firstRowFirstColumn="0" w:firstRowLastColumn="0" w:lastRowFirstColumn="0" w:lastRowLastColumn="0"/>
              <w:rPr>
                <w:lang w:eastAsia="zh-CN"/>
              </w:rPr>
            </w:pPr>
            <w:r w:rsidRPr="000663CF">
              <w:rPr>
                <w:lang w:eastAsia="zh-CN"/>
              </w:rPr>
              <w:t xml:space="preserve">Total </w:t>
            </w:r>
            <w:r w:rsidR="00703EC1">
              <w:rPr>
                <w:lang w:eastAsia="zh-CN"/>
              </w:rPr>
              <w:br/>
            </w:r>
            <w:r w:rsidR="00A07293">
              <w:rPr>
                <w:lang w:eastAsia="zh-CN"/>
              </w:rPr>
              <w:t>Initiative</w:t>
            </w:r>
            <w:r w:rsidRPr="000663CF">
              <w:rPr>
                <w:lang w:eastAsia="zh-CN"/>
              </w:rPr>
              <w:t xml:space="preserve"> funds </w:t>
            </w:r>
          </w:p>
        </w:tc>
        <w:tc>
          <w:tcPr>
            <w:tcW w:w="4104" w:type="pct"/>
            <w:gridSpan w:val="20"/>
            <w:noWrap/>
            <w:vAlign w:val="center"/>
            <w:hideMark/>
          </w:tcPr>
          <w:p w14:paraId="4D203D7D" w14:textId="27D87696" w:rsidR="000663CF" w:rsidRPr="000663CF" w:rsidRDefault="000663CF" w:rsidP="005B1D19">
            <w:pPr>
              <w:jc w:val="center"/>
              <w:cnfStyle w:val="100000000000" w:firstRow="1" w:lastRow="0" w:firstColumn="0" w:lastColumn="0" w:oddVBand="0" w:evenVBand="0" w:oddHBand="0" w:evenHBand="0" w:firstRowFirstColumn="0" w:firstRowLastColumn="0" w:lastRowFirstColumn="0" w:lastRowLastColumn="0"/>
              <w:rPr>
                <w:lang w:eastAsia="zh-CN"/>
              </w:rPr>
            </w:pPr>
            <w:r w:rsidRPr="000663CF">
              <w:rPr>
                <w:lang w:eastAsia="zh-CN"/>
              </w:rPr>
              <w:t xml:space="preserve">Breakdown of </w:t>
            </w:r>
            <w:r w:rsidR="00E419DC">
              <w:rPr>
                <w:lang w:eastAsia="zh-CN"/>
              </w:rPr>
              <w:t>reinvestment</w:t>
            </w:r>
            <w:r w:rsidRPr="000663CF">
              <w:rPr>
                <w:lang w:eastAsia="zh-CN"/>
              </w:rPr>
              <w:t xml:space="preserve"> of </w:t>
            </w:r>
            <w:r w:rsidR="00A07293">
              <w:rPr>
                <w:lang w:eastAsia="zh-CN"/>
              </w:rPr>
              <w:t>Initiative</w:t>
            </w:r>
            <w:r w:rsidRPr="000663CF">
              <w:rPr>
                <w:lang w:eastAsia="zh-CN"/>
              </w:rPr>
              <w:t xml:space="preserve"> funds</w:t>
            </w:r>
            <w:r w:rsidRPr="00C53037">
              <w:rPr>
                <w:vertAlign w:val="superscript"/>
                <w:lang w:eastAsia="zh-CN"/>
              </w:rPr>
              <w:t>(a)</w:t>
            </w:r>
          </w:p>
        </w:tc>
      </w:tr>
      <w:tr w:rsidR="005B1D19" w:rsidRPr="000663CF" w14:paraId="386EA525" w14:textId="77777777" w:rsidTr="00F0554A">
        <w:trPr>
          <w:trHeight w:val="315"/>
        </w:trPr>
        <w:tc>
          <w:tcPr>
            <w:cnfStyle w:val="001000000000" w:firstRow="0" w:lastRow="0" w:firstColumn="1" w:lastColumn="0" w:oddVBand="0" w:evenVBand="0" w:oddHBand="0" w:evenHBand="0" w:firstRowFirstColumn="0" w:firstRowLastColumn="0" w:lastRowFirstColumn="0" w:lastRowLastColumn="0"/>
            <w:tcW w:w="508" w:type="pct"/>
            <w:vMerge/>
            <w:hideMark/>
          </w:tcPr>
          <w:p w14:paraId="04A767AF" w14:textId="77777777" w:rsidR="000663CF" w:rsidRPr="000663CF" w:rsidRDefault="000663CF" w:rsidP="000663CF">
            <w:pPr>
              <w:rPr>
                <w:lang w:eastAsia="zh-CN"/>
              </w:rPr>
            </w:pPr>
          </w:p>
        </w:tc>
        <w:tc>
          <w:tcPr>
            <w:tcW w:w="387" w:type="pct"/>
            <w:vMerge/>
            <w:hideMark/>
          </w:tcPr>
          <w:p w14:paraId="25415701" w14:textId="77777777" w:rsidR="000663CF" w:rsidRPr="000663CF" w:rsidRDefault="000663CF" w:rsidP="000663CF">
            <w:pPr>
              <w:cnfStyle w:val="000000000000" w:firstRow="0" w:lastRow="0" w:firstColumn="0" w:lastColumn="0" w:oddVBand="0" w:evenVBand="0" w:oddHBand="0" w:evenHBand="0" w:firstRowFirstColumn="0" w:firstRowLastColumn="0" w:lastRowFirstColumn="0" w:lastRowLastColumn="0"/>
              <w:rPr>
                <w:lang w:eastAsia="zh-CN"/>
              </w:rPr>
            </w:pPr>
          </w:p>
        </w:tc>
        <w:tc>
          <w:tcPr>
            <w:tcW w:w="482" w:type="pct"/>
            <w:gridSpan w:val="2"/>
            <w:vMerge w:val="restart"/>
            <w:shd w:val="clear" w:color="auto" w:fill="D9D9D9" w:themeFill="background1" w:themeFillShade="D9"/>
            <w:noWrap/>
            <w:hideMark/>
          </w:tcPr>
          <w:p w14:paraId="56B37E34" w14:textId="42A4714C" w:rsidR="000663CF" w:rsidRPr="000663CF" w:rsidRDefault="000663CF" w:rsidP="000663CF">
            <w:pPr>
              <w:spacing w:after="0" w:line="270" w:lineRule="atLeast"/>
              <w:ind w:left="57" w:right="-7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Administration</w:t>
            </w:r>
          </w:p>
        </w:tc>
        <w:tc>
          <w:tcPr>
            <w:tcW w:w="1970" w:type="pct"/>
            <w:gridSpan w:val="10"/>
            <w:shd w:val="clear" w:color="auto" w:fill="D9D9D9" w:themeFill="background1" w:themeFillShade="D9"/>
            <w:noWrap/>
            <w:hideMark/>
          </w:tcPr>
          <w:p w14:paraId="3EFD7D9D"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Personnel</w:t>
            </w:r>
          </w:p>
        </w:tc>
        <w:tc>
          <w:tcPr>
            <w:tcW w:w="1652" w:type="pct"/>
            <w:gridSpan w:val="8"/>
            <w:shd w:val="clear" w:color="auto" w:fill="D9D9D9" w:themeFill="background1" w:themeFillShade="D9"/>
            <w:noWrap/>
            <w:hideMark/>
          </w:tcPr>
          <w:p w14:paraId="1DC8B905"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Other</w:t>
            </w:r>
          </w:p>
        </w:tc>
      </w:tr>
      <w:tr w:rsidR="005B1D19" w:rsidRPr="000663CF" w14:paraId="4856A9D3" w14:textId="77777777" w:rsidTr="00F0554A">
        <w:trPr>
          <w:trHeight w:val="293"/>
        </w:trPr>
        <w:tc>
          <w:tcPr>
            <w:cnfStyle w:val="001000000000" w:firstRow="0" w:lastRow="0" w:firstColumn="1" w:lastColumn="0" w:oddVBand="0" w:evenVBand="0" w:oddHBand="0" w:evenHBand="0" w:firstRowFirstColumn="0" w:firstRowLastColumn="0" w:lastRowFirstColumn="0" w:lastRowLastColumn="0"/>
            <w:tcW w:w="508" w:type="pct"/>
            <w:vMerge/>
            <w:hideMark/>
          </w:tcPr>
          <w:p w14:paraId="07C25C5A" w14:textId="77777777" w:rsidR="000663CF" w:rsidRPr="000663CF" w:rsidRDefault="000663CF" w:rsidP="000663CF">
            <w:pPr>
              <w:rPr>
                <w:lang w:eastAsia="zh-CN"/>
              </w:rPr>
            </w:pPr>
          </w:p>
        </w:tc>
        <w:tc>
          <w:tcPr>
            <w:tcW w:w="387" w:type="pct"/>
            <w:vMerge/>
            <w:hideMark/>
          </w:tcPr>
          <w:p w14:paraId="465DAF5A" w14:textId="77777777" w:rsidR="000663CF" w:rsidRPr="000663CF" w:rsidRDefault="000663CF" w:rsidP="000663CF">
            <w:pPr>
              <w:cnfStyle w:val="000000000000" w:firstRow="0" w:lastRow="0" w:firstColumn="0" w:lastColumn="0" w:oddVBand="0" w:evenVBand="0" w:oddHBand="0" w:evenHBand="0" w:firstRowFirstColumn="0" w:firstRowLastColumn="0" w:lastRowFirstColumn="0" w:lastRowLastColumn="0"/>
              <w:rPr>
                <w:lang w:eastAsia="zh-CN"/>
              </w:rPr>
            </w:pPr>
          </w:p>
        </w:tc>
        <w:tc>
          <w:tcPr>
            <w:tcW w:w="482" w:type="pct"/>
            <w:gridSpan w:val="2"/>
            <w:vMerge/>
            <w:shd w:val="clear" w:color="auto" w:fill="D9D9D9" w:themeFill="background1" w:themeFillShade="D9"/>
            <w:hideMark/>
          </w:tcPr>
          <w:p w14:paraId="131CF48D"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p>
        </w:tc>
        <w:tc>
          <w:tcPr>
            <w:tcW w:w="422" w:type="pct"/>
            <w:gridSpan w:val="2"/>
            <w:shd w:val="clear" w:color="auto" w:fill="D9D9D9" w:themeFill="background1" w:themeFillShade="D9"/>
            <w:hideMark/>
          </w:tcPr>
          <w:p w14:paraId="58DE8B6E"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Doctors</w:t>
            </w:r>
          </w:p>
        </w:tc>
        <w:tc>
          <w:tcPr>
            <w:tcW w:w="381" w:type="pct"/>
            <w:gridSpan w:val="2"/>
            <w:shd w:val="clear" w:color="auto" w:fill="D9D9D9" w:themeFill="background1" w:themeFillShade="D9"/>
            <w:hideMark/>
          </w:tcPr>
          <w:p w14:paraId="6C97DC5E"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Telehealth Services</w:t>
            </w:r>
          </w:p>
        </w:tc>
        <w:tc>
          <w:tcPr>
            <w:tcW w:w="383" w:type="pct"/>
            <w:gridSpan w:val="2"/>
            <w:shd w:val="clear" w:color="auto" w:fill="D9D9D9" w:themeFill="background1" w:themeFillShade="D9"/>
            <w:hideMark/>
          </w:tcPr>
          <w:p w14:paraId="18EDE116"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Nurses</w:t>
            </w:r>
          </w:p>
        </w:tc>
        <w:tc>
          <w:tcPr>
            <w:tcW w:w="355" w:type="pct"/>
            <w:gridSpan w:val="2"/>
            <w:shd w:val="clear" w:color="auto" w:fill="D9D9D9" w:themeFill="background1" w:themeFillShade="D9"/>
            <w:hideMark/>
          </w:tcPr>
          <w:p w14:paraId="78E0C1DC" w14:textId="1B88C8B0"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Data Entry/</w:t>
            </w:r>
            <w:r w:rsidR="00F0554A">
              <w:rPr>
                <w:rFonts w:asciiTheme="majorHAnsi" w:hAnsiTheme="majorHAnsi" w:cs="Times New Roman"/>
                <w:color w:val="000000" w:themeColor="text1"/>
                <w:szCs w:val="20"/>
                <w:lang w:eastAsia="zh-CN"/>
              </w:rPr>
              <w:t xml:space="preserve"> </w:t>
            </w:r>
            <w:r w:rsidRPr="000663CF">
              <w:rPr>
                <w:rFonts w:asciiTheme="majorHAnsi" w:hAnsiTheme="majorHAnsi" w:cs="Times New Roman"/>
                <w:color w:val="000000" w:themeColor="text1"/>
                <w:szCs w:val="20"/>
                <w:lang w:eastAsia="zh-CN"/>
              </w:rPr>
              <w:t xml:space="preserve">Other </w:t>
            </w:r>
          </w:p>
        </w:tc>
        <w:tc>
          <w:tcPr>
            <w:tcW w:w="429" w:type="pct"/>
            <w:gridSpan w:val="2"/>
            <w:shd w:val="clear" w:color="auto" w:fill="D9D9D9" w:themeFill="background1" w:themeFillShade="D9"/>
            <w:hideMark/>
          </w:tcPr>
          <w:p w14:paraId="617A0FF4" w14:textId="602EDB44" w:rsidR="000663CF" w:rsidRPr="005B1D19" w:rsidRDefault="008D21E1"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 w:val="18"/>
                <w:szCs w:val="18"/>
                <w:lang w:eastAsia="zh-CN"/>
              </w:rPr>
            </w:pPr>
            <w:r w:rsidRPr="005B1D19">
              <w:rPr>
                <w:rFonts w:asciiTheme="majorHAnsi" w:hAnsiTheme="majorHAnsi" w:cs="Times New Roman"/>
                <w:color w:val="000000" w:themeColor="text1"/>
                <w:sz w:val="18"/>
                <w:szCs w:val="18"/>
                <w:lang w:eastAsia="zh-CN"/>
              </w:rPr>
              <w:t>Allied Health Profess</w:t>
            </w:r>
            <w:r w:rsidR="005B1D19" w:rsidRPr="005B1D19">
              <w:rPr>
                <w:rFonts w:asciiTheme="majorHAnsi" w:hAnsiTheme="majorHAnsi" w:cs="Times New Roman"/>
                <w:color w:val="000000" w:themeColor="text1"/>
                <w:sz w:val="18"/>
                <w:szCs w:val="18"/>
                <w:lang w:eastAsia="zh-CN"/>
              </w:rPr>
              <w:t>-</w:t>
            </w:r>
            <w:r w:rsidRPr="005B1D19">
              <w:rPr>
                <w:rFonts w:asciiTheme="majorHAnsi" w:hAnsiTheme="majorHAnsi" w:cs="Times New Roman"/>
                <w:color w:val="000000" w:themeColor="text1"/>
                <w:sz w:val="18"/>
                <w:szCs w:val="18"/>
                <w:lang w:eastAsia="zh-CN"/>
              </w:rPr>
              <w:t>ionals</w:t>
            </w:r>
          </w:p>
        </w:tc>
        <w:tc>
          <w:tcPr>
            <w:tcW w:w="426" w:type="pct"/>
            <w:gridSpan w:val="2"/>
            <w:shd w:val="clear" w:color="auto" w:fill="D9D9D9" w:themeFill="background1" w:themeFillShade="D9"/>
            <w:hideMark/>
          </w:tcPr>
          <w:p w14:paraId="22C2E75F" w14:textId="0A5DAD56" w:rsidR="000663CF" w:rsidRPr="005B1D19"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 w:val="18"/>
                <w:szCs w:val="18"/>
                <w:lang w:eastAsia="zh-CN"/>
              </w:rPr>
            </w:pPr>
            <w:r w:rsidRPr="005B1D19">
              <w:rPr>
                <w:rFonts w:asciiTheme="majorHAnsi" w:hAnsiTheme="majorHAnsi" w:cs="Times New Roman"/>
                <w:color w:val="000000" w:themeColor="text1"/>
                <w:sz w:val="18"/>
                <w:szCs w:val="18"/>
                <w:lang w:eastAsia="zh-CN"/>
              </w:rPr>
              <w:t>Profess</w:t>
            </w:r>
            <w:r w:rsidR="005B1D19">
              <w:rPr>
                <w:rFonts w:asciiTheme="majorHAnsi" w:hAnsiTheme="majorHAnsi" w:cs="Times New Roman"/>
                <w:color w:val="000000" w:themeColor="text1"/>
                <w:sz w:val="18"/>
                <w:szCs w:val="18"/>
                <w:lang w:eastAsia="zh-CN"/>
              </w:rPr>
              <w:t>-</w:t>
            </w:r>
            <w:r w:rsidRPr="005B1D19">
              <w:rPr>
                <w:rFonts w:asciiTheme="majorHAnsi" w:hAnsiTheme="majorHAnsi" w:cs="Times New Roman"/>
                <w:color w:val="000000" w:themeColor="text1"/>
                <w:sz w:val="18"/>
                <w:szCs w:val="18"/>
                <w:lang w:eastAsia="zh-CN"/>
              </w:rPr>
              <w:t>ional Develop</w:t>
            </w:r>
            <w:r w:rsidR="005B1D19">
              <w:rPr>
                <w:rFonts w:asciiTheme="majorHAnsi" w:hAnsiTheme="majorHAnsi" w:cs="Times New Roman"/>
                <w:color w:val="000000" w:themeColor="text1"/>
                <w:sz w:val="18"/>
                <w:szCs w:val="18"/>
                <w:lang w:eastAsia="zh-CN"/>
              </w:rPr>
              <w:t>-</w:t>
            </w:r>
            <w:r w:rsidRPr="005B1D19">
              <w:rPr>
                <w:rFonts w:asciiTheme="majorHAnsi" w:hAnsiTheme="majorHAnsi" w:cs="Times New Roman"/>
                <w:color w:val="000000" w:themeColor="text1"/>
                <w:sz w:val="18"/>
                <w:szCs w:val="18"/>
                <w:lang w:eastAsia="zh-CN"/>
              </w:rPr>
              <w:t>ment</w:t>
            </w:r>
          </w:p>
        </w:tc>
        <w:tc>
          <w:tcPr>
            <w:tcW w:w="338" w:type="pct"/>
            <w:gridSpan w:val="2"/>
            <w:shd w:val="clear" w:color="auto" w:fill="D9D9D9" w:themeFill="background1" w:themeFillShade="D9"/>
            <w:hideMark/>
          </w:tcPr>
          <w:p w14:paraId="2A32F849"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Staff Training</w:t>
            </w:r>
          </w:p>
        </w:tc>
        <w:tc>
          <w:tcPr>
            <w:tcW w:w="371" w:type="pct"/>
            <w:gridSpan w:val="2"/>
            <w:shd w:val="clear" w:color="auto" w:fill="D9D9D9" w:themeFill="background1" w:themeFillShade="D9"/>
            <w:hideMark/>
          </w:tcPr>
          <w:p w14:paraId="006BDB05" w14:textId="370976DF" w:rsidR="000663CF" w:rsidRPr="000663CF" w:rsidRDefault="000663CF" w:rsidP="005B1D19">
            <w:pPr>
              <w:spacing w:after="0" w:line="270" w:lineRule="atLeast"/>
              <w:ind w:left="57" w:right="-4"/>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5B1D19">
              <w:rPr>
                <w:rFonts w:asciiTheme="majorHAnsi" w:hAnsiTheme="majorHAnsi" w:cs="Times New Roman"/>
                <w:color w:val="000000" w:themeColor="text1"/>
                <w:sz w:val="18"/>
                <w:szCs w:val="18"/>
                <w:lang w:eastAsia="zh-CN"/>
              </w:rPr>
              <w:t xml:space="preserve">Equipment </w:t>
            </w:r>
          </w:p>
        </w:tc>
        <w:tc>
          <w:tcPr>
            <w:tcW w:w="517" w:type="pct"/>
            <w:gridSpan w:val="2"/>
            <w:shd w:val="clear" w:color="auto" w:fill="D9D9D9" w:themeFill="background1" w:themeFillShade="D9"/>
            <w:hideMark/>
          </w:tcPr>
          <w:p w14:paraId="44BE01C5" w14:textId="77777777" w:rsidR="000663CF" w:rsidRPr="000663CF" w:rsidRDefault="000663CF" w:rsidP="000663CF">
            <w:pPr>
              <w:spacing w:after="0" w:line="270" w:lineRule="atLeast"/>
              <w:ind w:left="57" w:right="57"/>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themeColor="text1"/>
                <w:szCs w:val="20"/>
                <w:lang w:eastAsia="zh-CN"/>
              </w:rPr>
            </w:pPr>
            <w:r w:rsidRPr="000663CF">
              <w:rPr>
                <w:rFonts w:asciiTheme="majorHAnsi" w:hAnsiTheme="majorHAnsi" w:cs="Times New Roman"/>
                <w:color w:val="000000" w:themeColor="text1"/>
                <w:szCs w:val="20"/>
                <w:lang w:eastAsia="zh-CN"/>
              </w:rPr>
              <w:t>Locum cover</w:t>
            </w:r>
          </w:p>
        </w:tc>
      </w:tr>
      <w:tr w:rsidR="00A67BE9" w:rsidRPr="000663CF" w14:paraId="5E1376A9" w14:textId="77777777" w:rsidTr="00F0554A">
        <w:tblPrEx>
          <w:tblBorders>
            <w:top w:val="single" w:sz="3" w:space="0" w:color="auto"/>
            <w:bottom w:val="single" w:sz="3" w:space="0" w:color="auto"/>
            <w:insideH w:val="single" w:sz="3" w:space="0" w:color="auto"/>
            <w:insideV w:val="single" w:sz="3" w:space="0" w:color="FFFFFF" w:themeColor="background1"/>
          </w:tblBorders>
          <w:tblCellMar>
            <w:left w:w="63" w:type="dxa"/>
            <w:right w:w="81" w:type="dxa"/>
          </w:tblCellMar>
        </w:tblPrEx>
        <w:trPr>
          <w:trHeight w:val="219"/>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3" w:space="0" w:color="auto"/>
            </w:tcBorders>
            <w:hideMark/>
          </w:tcPr>
          <w:p w14:paraId="3FBDDEFE" w14:textId="77777777" w:rsidR="000663CF" w:rsidRPr="000663CF" w:rsidRDefault="000663CF" w:rsidP="000663CF">
            <w:pPr>
              <w:rPr>
                <w:lang w:eastAsia="zh-CN"/>
              </w:rPr>
            </w:pPr>
          </w:p>
        </w:tc>
        <w:tc>
          <w:tcPr>
            <w:tcW w:w="387" w:type="pct"/>
            <w:tcBorders>
              <w:bottom w:val="single" w:sz="3" w:space="0" w:color="auto"/>
            </w:tcBorders>
            <w:shd w:val="clear" w:color="auto" w:fill="D9D9D9" w:themeFill="background1" w:themeFillShade="D9"/>
            <w:hideMark/>
          </w:tcPr>
          <w:p w14:paraId="722079DB"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340" w:type="pct"/>
            <w:tcBorders>
              <w:bottom w:val="single" w:sz="3" w:space="0" w:color="auto"/>
            </w:tcBorders>
            <w:shd w:val="clear" w:color="auto" w:fill="D9D9D9" w:themeFill="background1" w:themeFillShade="D9"/>
            <w:hideMark/>
          </w:tcPr>
          <w:p w14:paraId="62EFC09D"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43" w:type="pct"/>
            <w:tcBorders>
              <w:bottom w:val="single" w:sz="3" w:space="0" w:color="auto"/>
            </w:tcBorders>
            <w:shd w:val="clear" w:color="auto" w:fill="D9D9D9" w:themeFill="background1" w:themeFillShade="D9"/>
            <w:hideMark/>
          </w:tcPr>
          <w:p w14:paraId="22BD4332"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79" w:type="pct"/>
            <w:tcBorders>
              <w:bottom w:val="single" w:sz="3" w:space="0" w:color="auto"/>
            </w:tcBorders>
            <w:shd w:val="clear" w:color="auto" w:fill="D9D9D9" w:themeFill="background1" w:themeFillShade="D9"/>
            <w:hideMark/>
          </w:tcPr>
          <w:p w14:paraId="51C787D1"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43" w:type="pct"/>
            <w:tcBorders>
              <w:bottom w:val="single" w:sz="3" w:space="0" w:color="auto"/>
            </w:tcBorders>
            <w:shd w:val="clear" w:color="auto" w:fill="D9D9D9" w:themeFill="background1" w:themeFillShade="D9"/>
            <w:hideMark/>
          </w:tcPr>
          <w:p w14:paraId="6EB22EAC"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38" w:type="pct"/>
            <w:tcBorders>
              <w:bottom w:val="single" w:sz="3" w:space="0" w:color="auto"/>
            </w:tcBorders>
            <w:shd w:val="clear" w:color="auto" w:fill="D9D9D9" w:themeFill="background1" w:themeFillShade="D9"/>
            <w:hideMark/>
          </w:tcPr>
          <w:p w14:paraId="44B55CD8"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43" w:type="pct"/>
            <w:tcBorders>
              <w:bottom w:val="single" w:sz="3" w:space="0" w:color="auto"/>
            </w:tcBorders>
            <w:shd w:val="clear" w:color="auto" w:fill="D9D9D9" w:themeFill="background1" w:themeFillShade="D9"/>
            <w:hideMark/>
          </w:tcPr>
          <w:p w14:paraId="7CB794B8"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41" w:type="pct"/>
            <w:tcBorders>
              <w:bottom w:val="single" w:sz="3" w:space="0" w:color="auto"/>
            </w:tcBorders>
            <w:shd w:val="clear" w:color="auto" w:fill="D9D9D9" w:themeFill="background1" w:themeFillShade="D9"/>
            <w:hideMark/>
          </w:tcPr>
          <w:p w14:paraId="29D15746"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43" w:type="pct"/>
            <w:tcBorders>
              <w:bottom w:val="single" w:sz="3" w:space="0" w:color="auto"/>
            </w:tcBorders>
            <w:shd w:val="clear" w:color="auto" w:fill="D9D9D9" w:themeFill="background1" w:themeFillShade="D9"/>
            <w:hideMark/>
          </w:tcPr>
          <w:p w14:paraId="5F0DD8CB"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13" w:type="pct"/>
            <w:tcBorders>
              <w:bottom w:val="single" w:sz="3" w:space="0" w:color="auto"/>
            </w:tcBorders>
            <w:shd w:val="clear" w:color="auto" w:fill="D9D9D9" w:themeFill="background1" w:themeFillShade="D9"/>
            <w:hideMark/>
          </w:tcPr>
          <w:p w14:paraId="3142BEB6"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43" w:type="pct"/>
            <w:tcBorders>
              <w:bottom w:val="single" w:sz="3" w:space="0" w:color="auto"/>
            </w:tcBorders>
            <w:shd w:val="clear" w:color="auto" w:fill="D9D9D9" w:themeFill="background1" w:themeFillShade="D9"/>
            <w:hideMark/>
          </w:tcPr>
          <w:p w14:paraId="689B1339"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68" w:type="pct"/>
            <w:tcBorders>
              <w:bottom w:val="single" w:sz="3" w:space="0" w:color="auto"/>
            </w:tcBorders>
            <w:shd w:val="clear" w:color="auto" w:fill="D9D9D9" w:themeFill="background1" w:themeFillShade="D9"/>
            <w:hideMark/>
          </w:tcPr>
          <w:p w14:paraId="203D5A02"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61" w:type="pct"/>
            <w:tcBorders>
              <w:bottom w:val="single" w:sz="3" w:space="0" w:color="auto"/>
            </w:tcBorders>
            <w:shd w:val="clear" w:color="auto" w:fill="D9D9D9" w:themeFill="background1" w:themeFillShade="D9"/>
            <w:hideMark/>
          </w:tcPr>
          <w:p w14:paraId="6CB2D292"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54" w:type="pct"/>
            <w:tcBorders>
              <w:bottom w:val="single" w:sz="3" w:space="0" w:color="auto"/>
            </w:tcBorders>
            <w:shd w:val="clear" w:color="auto" w:fill="D9D9D9" w:themeFill="background1" w:themeFillShade="D9"/>
            <w:hideMark/>
          </w:tcPr>
          <w:p w14:paraId="23450EB2"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72" w:type="pct"/>
            <w:tcBorders>
              <w:bottom w:val="single" w:sz="3" w:space="0" w:color="auto"/>
            </w:tcBorders>
            <w:shd w:val="clear" w:color="auto" w:fill="D9D9D9" w:themeFill="background1" w:themeFillShade="D9"/>
            <w:hideMark/>
          </w:tcPr>
          <w:p w14:paraId="2B518C9F"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92" w:type="pct"/>
            <w:tcBorders>
              <w:bottom w:val="single" w:sz="3" w:space="0" w:color="auto"/>
            </w:tcBorders>
            <w:shd w:val="clear" w:color="auto" w:fill="D9D9D9" w:themeFill="background1" w:themeFillShade="D9"/>
            <w:hideMark/>
          </w:tcPr>
          <w:p w14:paraId="728C6DF3"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46" w:type="pct"/>
            <w:tcBorders>
              <w:bottom w:val="single" w:sz="3" w:space="0" w:color="auto"/>
            </w:tcBorders>
            <w:shd w:val="clear" w:color="auto" w:fill="D9D9D9" w:themeFill="background1" w:themeFillShade="D9"/>
            <w:hideMark/>
          </w:tcPr>
          <w:p w14:paraId="1062FA57"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25" w:type="pct"/>
            <w:tcBorders>
              <w:bottom w:val="single" w:sz="3" w:space="0" w:color="auto"/>
            </w:tcBorders>
            <w:shd w:val="clear" w:color="auto" w:fill="D9D9D9" w:themeFill="background1" w:themeFillShade="D9"/>
            <w:hideMark/>
          </w:tcPr>
          <w:p w14:paraId="402AA735"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146" w:type="pct"/>
            <w:tcBorders>
              <w:bottom w:val="single" w:sz="3" w:space="0" w:color="auto"/>
            </w:tcBorders>
            <w:shd w:val="clear" w:color="auto" w:fill="D9D9D9" w:themeFill="background1" w:themeFillShade="D9"/>
            <w:hideMark/>
          </w:tcPr>
          <w:p w14:paraId="3F5D80A8"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61" w:type="pct"/>
            <w:tcBorders>
              <w:bottom w:val="single" w:sz="3" w:space="0" w:color="auto"/>
            </w:tcBorders>
            <w:shd w:val="clear" w:color="auto" w:fill="D9D9D9" w:themeFill="background1" w:themeFillShade="D9"/>
            <w:hideMark/>
          </w:tcPr>
          <w:p w14:paraId="011D9629"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c>
          <w:tcPr>
            <w:tcW w:w="256" w:type="pct"/>
            <w:tcBorders>
              <w:bottom w:val="single" w:sz="3" w:space="0" w:color="auto"/>
            </w:tcBorders>
            <w:shd w:val="clear" w:color="auto" w:fill="D9D9D9" w:themeFill="background1" w:themeFillShade="D9"/>
            <w:hideMark/>
          </w:tcPr>
          <w:p w14:paraId="6716504D" w14:textId="77777777" w:rsidR="000663CF" w:rsidRPr="000663CF" w:rsidRDefault="000663CF" w:rsidP="000663CF">
            <w:pPr>
              <w:jc w:val="center"/>
              <w:cnfStyle w:val="000000000000" w:firstRow="0" w:lastRow="0" w:firstColumn="0" w:lastColumn="0" w:oddVBand="0" w:evenVBand="0" w:oddHBand="0" w:evenHBand="0" w:firstRowFirstColumn="0" w:firstRowLastColumn="0" w:lastRowFirstColumn="0" w:lastRowLastColumn="0"/>
              <w:rPr>
                <w:b/>
                <w:bCs/>
                <w:lang w:eastAsia="zh-CN"/>
              </w:rPr>
            </w:pPr>
            <w:r w:rsidRPr="000663CF">
              <w:rPr>
                <w:b/>
                <w:bCs/>
                <w:lang w:eastAsia="zh-CN"/>
              </w:rPr>
              <w:t>%</w:t>
            </w:r>
          </w:p>
        </w:tc>
      </w:tr>
      <w:tr w:rsidR="00A67BE9" w:rsidRPr="000663CF" w14:paraId="0ECB0A11" w14:textId="77777777" w:rsidTr="00F0554A">
        <w:trPr>
          <w:trHeight w:val="285"/>
        </w:trPr>
        <w:tc>
          <w:tcPr>
            <w:cnfStyle w:val="001000000000" w:firstRow="0" w:lastRow="0" w:firstColumn="1" w:lastColumn="0" w:oddVBand="0" w:evenVBand="0" w:oddHBand="0" w:evenHBand="0" w:firstRowFirstColumn="0" w:firstRowLastColumn="0" w:lastRowFirstColumn="0" w:lastRowLastColumn="0"/>
            <w:tcW w:w="508" w:type="pct"/>
            <w:noWrap/>
            <w:hideMark/>
          </w:tcPr>
          <w:p w14:paraId="2BBC0AC9" w14:textId="77777777" w:rsidR="000663CF" w:rsidRPr="000663CF" w:rsidRDefault="000663CF" w:rsidP="000663CF">
            <w:pPr>
              <w:rPr>
                <w:lang w:eastAsia="zh-CN"/>
              </w:rPr>
            </w:pPr>
            <w:r w:rsidRPr="000663CF">
              <w:rPr>
                <w:lang w:eastAsia="zh-CN"/>
              </w:rPr>
              <w:t>Temora NSW</w:t>
            </w:r>
          </w:p>
        </w:tc>
        <w:tc>
          <w:tcPr>
            <w:tcW w:w="387" w:type="pct"/>
            <w:noWrap/>
            <w:hideMark/>
          </w:tcPr>
          <w:p w14:paraId="67F68F3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141,642</w:t>
            </w:r>
          </w:p>
        </w:tc>
        <w:tc>
          <w:tcPr>
            <w:tcW w:w="340" w:type="pct"/>
            <w:shd w:val="clear" w:color="auto" w:fill="FFFCCC" w:themeFill="background2" w:themeFillTint="33"/>
            <w:noWrap/>
            <w:hideMark/>
          </w:tcPr>
          <w:p w14:paraId="78E22FA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45,590</w:t>
            </w:r>
          </w:p>
        </w:tc>
        <w:tc>
          <w:tcPr>
            <w:tcW w:w="143" w:type="pct"/>
            <w:shd w:val="clear" w:color="auto" w:fill="FFFCCC" w:themeFill="background2" w:themeFillTint="33"/>
            <w:noWrap/>
            <w:hideMark/>
          </w:tcPr>
          <w:p w14:paraId="184A728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32</w:t>
            </w:r>
          </w:p>
        </w:tc>
        <w:tc>
          <w:tcPr>
            <w:tcW w:w="279" w:type="pct"/>
            <w:shd w:val="clear" w:color="auto" w:fill="C9E4FF"/>
            <w:noWrap/>
            <w:hideMark/>
          </w:tcPr>
          <w:p w14:paraId="7B19929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1F1A99D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38" w:type="pct"/>
            <w:shd w:val="clear" w:color="auto" w:fill="C9E4FF"/>
            <w:noWrap/>
            <w:hideMark/>
          </w:tcPr>
          <w:p w14:paraId="5A8D341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7614EFE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shd w:val="clear" w:color="auto" w:fill="C9E4FF"/>
            <w:noWrap/>
            <w:hideMark/>
          </w:tcPr>
          <w:p w14:paraId="1C4594E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346DCC6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13" w:type="pct"/>
            <w:shd w:val="clear" w:color="auto" w:fill="C9E4FF"/>
            <w:noWrap/>
            <w:hideMark/>
          </w:tcPr>
          <w:p w14:paraId="7347D35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258308A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8" w:type="pct"/>
            <w:shd w:val="clear" w:color="auto" w:fill="C9E4FF"/>
            <w:noWrap/>
            <w:hideMark/>
          </w:tcPr>
          <w:p w14:paraId="2EF0692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9,065</w:t>
            </w:r>
          </w:p>
        </w:tc>
        <w:tc>
          <w:tcPr>
            <w:tcW w:w="161" w:type="pct"/>
            <w:shd w:val="clear" w:color="auto" w:fill="C9E4FF"/>
            <w:noWrap/>
            <w:hideMark/>
          </w:tcPr>
          <w:p w14:paraId="57FEDF9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6</w:t>
            </w:r>
          </w:p>
        </w:tc>
        <w:tc>
          <w:tcPr>
            <w:tcW w:w="254" w:type="pct"/>
            <w:shd w:val="clear" w:color="auto" w:fill="B3FFB3"/>
            <w:noWrap/>
            <w:hideMark/>
          </w:tcPr>
          <w:p w14:paraId="67D5CA8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shd w:val="clear" w:color="auto" w:fill="B3FFB3"/>
            <w:noWrap/>
            <w:hideMark/>
          </w:tcPr>
          <w:p w14:paraId="0FC768E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shd w:val="clear" w:color="auto" w:fill="B3FFB3"/>
            <w:noWrap/>
            <w:hideMark/>
          </w:tcPr>
          <w:p w14:paraId="700F05F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shd w:val="clear" w:color="auto" w:fill="B3FFB3"/>
            <w:noWrap/>
            <w:hideMark/>
          </w:tcPr>
          <w:p w14:paraId="0B6464C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shd w:val="clear" w:color="auto" w:fill="B3FFB3"/>
            <w:noWrap/>
            <w:hideMark/>
          </w:tcPr>
          <w:p w14:paraId="257A884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76,987</w:t>
            </w:r>
          </w:p>
        </w:tc>
        <w:tc>
          <w:tcPr>
            <w:tcW w:w="146" w:type="pct"/>
            <w:shd w:val="clear" w:color="auto" w:fill="B3FFB3"/>
            <w:noWrap/>
            <w:hideMark/>
          </w:tcPr>
          <w:p w14:paraId="68C9B8F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54</w:t>
            </w:r>
          </w:p>
        </w:tc>
        <w:tc>
          <w:tcPr>
            <w:tcW w:w="261" w:type="pct"/>
            <w:shd w:val="clear" w:color="auto" w:fill="B3FFB3"/>
            <w:noWrap/>
            <w:hideMark/>
          </w:tcPr>
          <w:p w14:paraId="1DC8F08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10,000</w:t>
            </w:r>
          </w:p>
        </w:tc>
        <w:tc>
          <w:tcPr>
            <w:tcW w:w="256" w:type="pct"/>
            <w:shd w:val="clear" w:color="auto" w:fill="B3FFB3"/>
            <w:noWrap/>
            <w:hideMark/>
          </w:tcPr>
          <w:p w14:paraId="40BF87D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7</w:t>
            </w:r>
          </w:p>
        </w:tc>
      </w:tr>
      <w:tr w:rsidR="00A67BE9" w:rsidRPr="000663CF" w14:paraId="279B599B" w14:textId="77777777" w:rsidTr="00F0554A">
        <w:trPr>
          <w:trHeight w:val="285"/>
        </w:trPr>
        <w:tc>
          <w:tcPr>
            <w:cnfStyle w:val="001000000000" w:firstRow="0" w:lastRow="0" w:firstColumn="1" w:lastColumn="0" w:oddVBand="0" w:evenVBand="0" w:oddHBand="0" w:evenHBand="0" w:firstRowFirstColumn="0" w:firstRowLastColumn="0" w:lastRowFirstColumn="0" w:lastRowLastColumn="0"/>
            <w:tcW w:w="508" w:type="pct"/>
            <w:noWrap/>
            <w:hideMark/>
          </w:tcPr>
          <w:p w14:paraId="1E4DE22E" w14:textId="77777777" w:rsidR="000663CF" w:rsidRPr="000663CF" w:rsidRDefault="000663CF" w:rsidP="000663CF">
            <w:pPr>
              <w:rPr>
                <w:lang w:eastAsia="zh-CN"/>
              </w:rPr>
            </w:pPr>
            <w:r w:rsidRPr="000663CF">
              <w:rPr>
                <w:lang w:eastAsia="zh-CN"/>
              </w:rPr>
              <w:t>Quirindi NSW</w:t>
            </w:r>
          </w:p>
        </w:tc>
        <w:tc>
          <w:tcPr>
            <w:tcW w:w="387" w:type="pct"/>
            <w:noWrap/>
            <w:hideMark/>
          </w:tcPr>
          <w:p w14:paraId="2CEAB47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14,272</w:t>
            </w:r>
          </w:p>
        </w:tc>
        <w:tc>
          <w:tcPr>
            <w:tcW w:w="340" w:type="pct"/>
            <w:shd w:val="clear" w:color="auto" w:fill="FFFCCC" w:themeFill="background2" w:themeFillTint="33"/>
            <w:noWrap/>
            <w:hideMark/>
          </w:tcPr>
          <w:p w14:paraId="4318E93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14,272</w:t>
            </w:r>
          </w:p>
        </w:tc>
        <w:tc>
          <w:tcPr>
            <w:tcW w:w="143" w:type="pct"/>
            <w:shd w:val="clear" w:color="auto" w:fill="FFFCCC" w:themeFill="background2" w:themeFillTint="33"/>
            <w:noWrap/>
            <w:hideMark/>
          </w:tcPr>
          <w:p w14:paraId="2DB84D4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100</w:t>
            </w:r>
          </w:p>
        </w:tc>
        <w:tc>
          <w:tcPr>
            <w:tcW w:w="279" w:type="pct"/>
            <w:shd w:val="clear" w:color="auto" w:fill="C9E4FF"/>
            <w:noWrap/>
            <w:hideMark/>
          </w:tcPr>
          <w:p w14:paraId="12799CA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5E7A54F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38" w:type="pct"/>
            <w:shd w:val="clear" w:color="auto" w:fill="C9E4FF"/>
            <w:noWrap/>
            <w:hideMark/>
          </w:tcPr>
          <w:p w14:paraId="161A02A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7EE3F39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shd w:val="clear" w:color="auto" w:fill="C9E4FF"/>
            <w:noWrap/>
            <w:hideMark/>
          </w:tcPr>
          <w:p w14:paraId="0A03DF0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519042B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13" w:type="pct"/>
            <w:shd w:val="clear" w:color="auto" w:fill="C9E4FF"/>
            <w:noWrap/>
            <w:hideMark/>
          </w:tcPr>
          <w:p w14:paraId="265B8C1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211B327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8" w:type="pct"/>
            <w:shd w:val="clear" w:color="auto" w:fill="C9E4FF"/>
            <w:noWrap/>
            <w:hideMark/>
          </w:tcPr>
          <w:p w14:paraId="2B6CCC3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61" w:type="pct"/>
            <w:shd w:val="clear" w:color="auto" w:fill="C9E4FF"/>
            <w:noWrap/>
            <w:hideMark/>
          </w:tcPr>
          <w:p w14:paraId="07E3158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4" w:type="pct"/>
            <w:shd w:val="clear" w:color="auto" w:fill="B3FFB3"/>
            <w:noWrap/>
            <w:hideMark/>
          </w:tcPr>
          <w:p w14:paraId="2DBE853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shd w:val="clear" w:color="auto" w:fill="B3FFB3"/>
            <w:noWrap/>
            <w:hideMark/>
          </w:tcPr>
          <w:p w14:paraId="01092AE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shd w:val="clear" w:color="auto" w:fill="B3FFB3"/>
            <w:noWrap/>
            <w:hideMark/>
          </w:tcPr>
          <w:p w14:paraId="57C0BCC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shd w:val="clear" w:color="auto" w:fill="B3FFB3"/>
            <w:noWrap/>
            <w:hideMark/>
          </w:tcPr>
          <w:p w14:paraId="18173A1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shd w:val="clear" w:color="auto" w:fill="B3FFB3"/>
            <w:noWrap/>
            <w:hideMark/>
          </w:tcPr>
          <w:p w14:paraId="4E1B9BA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shd w:val="clear" w:color="auto" w:fill="B3FFB3"/>
            <w:noWrap/>
            <w:hideMark/>
          </w:tcPr>
          <w:p w14:paraId="1430459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1" w:type="pct"/>
            <w:shd w:val="clear" w:color="auto" w:fill="B3FFB3"/>
            <w:noWrap/>
            <w:hideMark/>
          </w:tcPr>
          <w:p w14:paraId="1AE99FF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6" w:type="pct"/>
            <w:shd w:val="clear" w:color="auto" w:fill="B3FFB3"/>
            <w:noWrap/>
            <w:hideMark/>
          </w:tcPr>
          <w:p w14:paraId="0FAAD43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r>
      <w:tr w:rsidR="00A67BE9" w:rsidRPr="000663CF" w14:paraId="271BEE41" w14:textId="77777777" w:rsidTr="00F0554A">
        <w:trPr>
          <w:trHeight w:val="293"/>
        </w:trPr>
        <w:tc>
          <w:tcPr>
            <w:cnfStyle w:val="001000000000" w:firstRow="0" w:lastRow="0" w:firstColumn="1" w:lastColumn="0" w:oddVBand="0" w:evenVBand="0" w:oddHBand="0" w:evenHBand="0" w:firstRowFirstColumn="0" w:firstRowLastColumn="0" w:lastRowFirstColumn="0" w:lastRowLastColumn="0"/>
            <w:tcW w:w="508" w:type="pct"/>
            <w:tcBorders>
              <w:bottom w:val="single" w:sz="12" w:space="0" w:color="auto"/>
            </w:tcBorders>
            <w:noWrap/>
            <w:hideMark/>
          </w:tcPr>
          <w:p w14:paraId="0DC9682D" w14:textId="77777777" w:rsidR="000663CF" w:rsidRPr="000663CF" w:rsidRDefault="000663CF" w:rsidP="000663CF">
            <w:pPr>
              <w:rPr>
                <w:lang w:eastAsia="zh-CN"/>
              </w:rPr>
            </w:pPr>
            <w:r w:rsidRPr="000663CF">
              <w:rPr>
                <w:lang w:eastAsia="zh-CN"/>
              </w:rPr>
              <w:t>Nyngan NSW</w:t>
            </w:r>
          </w:p>
        </w:tc>
        <w:tc>
          <w:tcPr>
            <w:tcW w:w="387" w:type="pct"/>
            <w:tcBorders>
              <w:bottom w:val="single" w:sz="12" w:space="0" w:color="auto"/>
            </w:tcBorders>
            <w:noWrap/>
            <w:hideMark/>
          </w:tcPr>
          <w:p w14:paraId="02AE4A29" w14:textId="165F07E9"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46,413</w:t>
            </w:r>
          </w:p>
        </w:tc>
        <w:tc>
          <w:tcPr>
            <w:tcW w:w="340" w:type="pct"/>
            <w:tcBorders>
              <w:bottom w:val="single" w:sz="12" w:space="0" w:color="auto"/>
            </w:tcBorders>
            <w:shd w:val="clear" w:color="auto" w:fill="FFFCCC" w:themeFill="background2" w:themeFillTint="33"/>
            <w:noWrap/>
            <w:hideMark/>
          </w:tcPr>
          <w:p w14:paraId="735FC92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13,924</w:t>
            </w:r>
          </w:p>
        </w:tc>
        <w:tc>
          <w:tcPr>
            <w:tcW w:w="143" w:type="pct"/>
            <w:tcBorders>
              <w:bottom w:val="single" w:sz="12" w:space="0" w:color="auto"/>
            </w:tcBorders>
            <w:shd w:val="clear" w:color="auto" w:fill="FFFCCC" w:themeFill="background2" w:themeFillTint="33"/>
            <w:noWrap/>
            <w:hideMark/>
          </w:tcPr>
          <w:p w14:paraId="3CB3E6B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30</w:t>
            </w:r>
          </w:p>
        </w:tc>
        <w:tc>
          <w:tcPr>
            <w:tcW w:w="279" w:type="pct"/>
            <w:tcBorders>
              <w:bottom w:val="single" w:sz="12" w:space="0" w:color="auto"/>
            </w:tcBorders>
            <w:shd w:val="clear" w:color="auto" w:fill="C9E4FF"/>
            <w:noWrap/>
            <w:hideMark/>
          </w:tcPr>
          <w:p w14:paraId="5CA697E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7E1F47B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38" w:type="pct"/>
            <w:tcBorders>
              <w:bottom w:val="single" w:sz="12" w:space="0" w:color="auto"/>
            </w:tcBorders>
            <w:shd w:val="clear" w:color="auto" w:fill="C9E4FF"/>
            <w:noWrap/>
            <w:hideMark/>
          </w:tcPr>
          <w:p w14:paraId="110E676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70A0EDD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tcBorders>
              <w:bottom w:val="single" w:sz="12" w:space="0" w:color="auto"/>
            </w:tcBorders>
            <w:shd w:val="clear" w:color="auto" w:fill="C9E4FF"/>
            <w:noWrap/>
            <w:hideMark/>
          </w:tcPr>
          <w:p w14:paraId="68D1701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45C6805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13" w:type="pct"/>
            <w:tcBorders>
              <w:bottom w:val="single" w:sz="12" w:space="0" w:color="auto"/>
            </w:tcBorders>
            <w:shd w:val="clear" w:color="auto" w:fill="C9E4FF"/>
            <w:noWrap/>
            <w:hideMark/>
          </w:tcPr>
          <w:p w14:paraId="6B3777B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49F8214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8" w:type="pct"/>
            <w:tcBorders>
              <w:bottom w:val="single" w:sz="12" w:space="0" w:color="auto"/>
            </w:tcBorders>
            <w:shd w:val="clear" w:color="auto" w:fill="C9E4FF"/>
            <w:noWrap/>
            <w:hideMark/>
          </w:tcPr>
          <w:p w14:paraId="4F20DE5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61" w:type="pct"/>
            <w:tcBorders>
              <w:bottom w:val="single" w:sz="12" w:space="0" w:color="auto"/>
            </w:tcBorders>
            <w:shd w:val="clear" w:color="auto" w:fill="C9E4FF"/>
            <w:noWrap/>
            <w:hideMark/>
          </w:tcPr>
          <w:p w14:paraId="3AFE384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4" w:type="pct"/>
            <w:tcBorders>
              <w:bottom w:val="single" w:sz="12" w:space="0" w:color="auto"/>
            </w:tcBorders>
            <w:shd w:val="clear" w:color="auto" w:fill="B3FFB3"/>
            <w:noWrap/>
            <w:hideMark/>
          </w:tcPr>
          <w:p w14:paraId="45C2982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tcBorders>
              <w:bottom w:val="single" w:sz="12" w:space="0" w:color="auto"/>
            </w:tcBorders>
            <w:shd w:val="clear" w:color="auto" w:fill="B3FFB3"/>
            <w:noWrap/>
            <w:hideMark/>
          </w:tcPr>
          <w:p w14:paraId="5553A9C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tcBorders>
              <w:bottom w:val="single" w:sz="12" w:space="0" w:color="auto"/>
            </w:tcBorders>
            <w:shd w:val="clear" w:color="auto" w:fill="B3FFB3"/>
            <w:noWrap/>
            <w:hideMark/>
          </w:tcPr>
          <w:p w14:paraId="05A5AF3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bottom w:val="single" w:sz="12" w:space="0" w:color="auto"/>
            </w:tcBorders>
            <w:shd w:val="clear" w:color="auto" w:fill="B3FFB3"/>
            <w:noWrap/>
            <w:hideMark/>
          </w:tcPr>
          <w:p w14:paraId="4040462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tcBorders>
              <w:bottom w:val="single" w:sz="12" w:space="0" w:color="auto"/>
            </w:tcBorders>
            <w:shd w:val="clear" w:color="auto" w:fill="B3FFB3"/>
            <w:noWrap/>
            <w:hideMark/>
          </w:tcPr>
          <w:p w14:paraId="7CCFDFD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10,940</w:t>
            </w:r>
          </w:p>
        </w:tc>
        <w:tc>
          <w:tcPr>
            <w:tcW w:w="146" w:type="pct"/>
            <w:tcBorders>
              <w:bottom w:val="single" w:sz="12" w:space="0" w:color="auto"/>
            </w:tcBorders>
            <w:shd w:val="clear" w:color="auto" w:fill="B3FFB3"/>
            <w:noWrap/>
            <w:hideMark/>
          </w:tcPr>
          <w:p w14:paraId="4DCC2D1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24</w:t>
            </w:r>
          </w:p>
        </w:tc>
        <w:tc>
          <w:tcPr>
            <w:tcW w:w="261" w:type="pct"/>
            <w:tcBorders>
              <w:bottom w:val="single" w:sz="12" w:space="0" w:color="auto"/>
            </w:tcBorders>
            <w:shd w:val="clear" w:color="auto" w:fill="B3FFB3"/>
            <w:noWrap/>
            <w:hideMark/>
          </w:tcPr>
          <w:p w14:paraId="2CEB163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21,549</w:t>
            </w:r>
          </w:p>
        </w:tc>
        <w:tc>
          <w:tcPr>
            <w:tcW w:w="256" w:type="pct"/>
            <w:tcBorders>
              <w:bottom w:val="single" w:sz="12" w:space="0" w:color="auto"/>
            </w:tcBorders>
            <w:shd w:val="clear" w:color="auto" w:fill="B3FFB3"/>
            <w:noWrap/>
            <w:hideMark/>
          </w:tcPr>
          <w:p w14:paraId="51BEFDD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46</w:t>
            </w:r>
          </w:p>
        </w:tc>
      </w:tr>
      <w:tr w:rsidR="00A67BE9" w:rsidRPr="000663CF" w14:paraId="7288923E" w14:textId="77777777" w:rsidTr="00F0554A">
        <w:trPr>
          <w:trHeight w:val="285"/>
        </w:trPr>
        <w:tc>
          <w:tcPr>
            <w:cnfStyle w:val="001000000000" w:firstRow="0" w:lastRow="0" w:firstColumn="1" w:lastColumn="0" w:oddVBand="0" w:evenVBand="0" w:oddHBand="0" w:evenHBand="0" w:firstRowFirstColumn="0" w:firstRowLastColumn="0" w:lastRowFirstColumn="0" w:lastRowLastColumn="0"/>
            <w:tcW w:w="508" w:type="pct"/>
            <w:tcBorders>
              <w:top w:val="single" w:sz="12" w:space="0" w:color="auto"/>
            </w:tcBorders>
            <w:noWrap/>
            <w:hideMark/>
          </w:tcPr>
          <w:p w14:paraId="758FF758" w14:textId="77777777" w:rsidR="000663CF" w:rsidRPr="000663CF" w:rsidRDefault="000663CF" w:rsidP="000663CF">
            <w:pPr>
              <w:rPr>
                <w:lang w:eastAsia="zh-CN"/>
              </w:rPr>
            </w:pPr>
            <w:r w:rsidRPr="000663CF">
              <w:rPr>
                <w:lang w:eastAsia="zh-CN"/>
              </w:rPr>
              <w:t>Kununurra WA</w:t>
            </w:r>
          </w:p>
        </w:tc>
        <w:tc>
          <w:tcPr>
            <w:tcW w:w="387" w:type="pct"/>
            <w:tcBorders>
              <w:top w:val="single" w:sz="12" w:space="0" w:color="auto"/>
            </w:tcBorders>
            <w:noWrap/>
            <w:hideMark/>
          </w:tcPr>
          <w:p w14:paraId="2F10F2F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271,547</w:t>
            </w:r>
          </w:p>
        </w:tc>
        <w:tc>
          <w:tcPr>
            <w:tcW w:w="340" w:type="pct"/>
            <w:tcBorders>
              <w:top w:val="single" w:sz="12" w:space="0" w:color="auto"/>
            </w:tcBorders>
            <w:shd w:val="clear" w:color="auto" w:fill="FFFCCC" w:themeFill="background2" w:themeFillTint="33"/>
            <w:noWrap/>
            <w:hideMark/>
          </w:tcPr>
          <w:p w14:paraId="3845BB4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97,458</w:t>
            </w:r>
          </w:p>
        </w:tc>
        <w:tc>
          <w:tcPr>
            <w:tcW w:w="143" w:type="pct"/>
            <w:tcBorders>
              <w:top w:val="single" w:sz="12" w:space="0" w:color="auto"/>
            </w:tcBorders>
            <w:shd w:val="clear" w:color="auto" w:fill="FFFCCC" w:themeFill="background2" w:themeFillTint="33"/>
            <w:noWrap/>
            <w:hideMark/>
          </w:tcPr>
          <w:p w14:paraId="662E92E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36</w:t>
            </w:r>
          </w:p>
        </w:tc>
        <w:tc>
          <w:tcPr>
            <w:tcW w:w="279" w:type="pct"/>
            <w:tcBorders>
              <w:top w:val="single" w:sz="12" w:space="0" w:color="auto"/>
            </w:tcBorders>
            <w:shd w:val="clear" w:color="auto" w:fill="C9E4FF"/>
            <w:noWrap/>
            <w:hideMark/>
          </w:tcPr>
          <w:p w14:paraId="23C7327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top w:val="single" w:sz="12" w:space="0" w:color="auto"/>
            </w:tcBorders>
            <w:shd w:val="clear" w:color="auto" w:fill="C9E4FF"/>
            <w:noWrap/>
            <w:hideMark/>
          </w:tcPr>
          <w:p w14:paraId="2BE6D03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38" w:type="pct"/>
            <w:tcBorders>
              <w:top w:val="single" w:sz="12" w:space="0" w:color="auto"/>
            </w:tcBorders>
            <w:shd w:val="clear" w:color="auto" w:fill="C9E4FF"/>
            <w:noWrap/>
            <w:hideMark/>
          </w:tcPr>
          <w:p w14:paraId="50CE026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top w:val="single" w:sz="12" w:space="0" w:color="auto"/>
            </w:tcBorders>
            <w:shd w:val="clear" w:color="auto" w:fill="C9E4FF"/>
            <w:noWrap/>
            <w:hideMark/>
          </w:tcPr>
          <w:p w14:paraId="0A3E128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tcBorders>
              <w:top w:val="single" w:sz="12" w:space="0" w:color="auto"/>
            </w:tcBorders>
            <w:shd w:val="clear" w:color="auto" w:fill="C9E4FF"/>
            <w:noWrap/>
            <w:hideMark/>
          </w:tcPr>
          <w:p w14:paraId="0A590C2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47,321</w:t>
            </w:r>
          </w:p>
        </w:tc>
        <w:tc>
          <w:tcPr>
            <w:tcW w:w="143" w:type="pct"/>
            <w:tcBorders>
              <w:top w:val="single" w:sz="12" w:space="0" w:color="auto"/>
            </w:tcBorders>
            <w:shd w:val="clear" w:color="auto" w:fill="C9E4FF"/>
            <w:noWrap/>
            <w:hideMark/>
          </w:tcPr>
          <w:p w14:paraId="1534D2F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17</w:t>
            </w:r>
          </w:p>
        </w:tc>
        <w:tc>
          <w:tcPr>
            <w:tcW w:w="213" w:type="pct"/>
            <w:tcBorders>
              <w:top w:val="single" w:sz="12" w:space="0" w:color="auto"/>
            </w:tcBorders>
            <w:shd w:val="clear" w:color="auto" w:fill="C9E4FF"/>
            <w:noWrap/>
            <w:hideMark/>
          </w:tcPr>
          <w:p w14:paraId="268F406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33,680</w:t>
            </w:r>
          </w:p>
        </w:tc>
        <w:tc>
          <w:tcPr>
            <w:tcW w:w="143" w:type="pct"/>
            <w:tcBorders>
              <w:top w:val="single" w:sz="12" w:space="0" w:color="auto"/>
            </w:tcBorders>
            <w:shd w:val="clear" w:color="auto" w:fill="C9E4FF"/>
            <w:noWrap/>
            <w:hideMark/>
          </w:tcPr>
          <w:p w14:paraId="60A678F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12</w:t>
            </w:r>
          </w:p>
        </w:tc>
        <w:tc>
          <w:tcPr>
            <w:tcW w:w="268" w:type="pct"/>
            <w:tcBorders>
              <w:top w:val="single" w:sz="12" w:space="0" w:color="auto"/>
            </w:tcBorders>
            <w:shd w:val="clear" w:color="auto" w:fill="C9E4FF"/>
            <w:noWrap/>
            <w:hideMark/>
          </w:tcPr>
          <w:p w14:paraId="6D7CB6B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90,904</w:t>
            </w:r>
          </w:p>
        </w:tc>
        <w:tc>
          <w:tcPr>
            <w:tcW w:w="161" w:type="pct"/>
            <w:tcBorders>
              <w:top w:val="single" w:sz="12" w:space="0" w:color="auto"/>
            </w:tcBorders>
            <w:shd w:val="clear" w:color="auto" w:fill="C9E4FF"/>
            <w:noWrap/>
            <w:hideMark/>
          </w:tcPr>
          <w:p w14:paraId="647A496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33</w:t>
            </w:r>
          </w:p>
        </w:tc>
        <w:tc>
          <w:tcPr>
            <w:tcW w:w="254" w:type="pct"/>
            <w:tcBorders>
              <w:top w:val="single" w:sz="12" w:space="0" w:color="auto"/>
            </w:tcBorders>
            <w:shd w:val="clear" w:color="auto" w:fill="B3FFB3"/>
            <w:noWrap/>
            <w:hideMark/>
          </w:tcPr>
          <w:p w14:paraId="425F7DE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tcBorders>
              <w:top w:val="single" w:sz="12" w:space="0" w:color="auto"/>
            </w:tcBorders>
            <w:shd w:val="clear" w:color="auto" w:fill="B3FFB3"/>
            <w:noWrap/>
            <w:hideMark/>
          </w:tcPr>
          <w:p w14:paraId="646D5C8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tcBorders>
              <w:top w:val="single" w:sz="12" w:space="0" w:color="auto"/>
            </w:tcBorders>
            <w:shd w:val="clear" w:color="auto" w:fill="B3FFB3"/>
            <w:noWrap/>
            <w:hideMark/>
          </w:tcPr>
          <w:p w14:paraId="5282C86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2,185</w:t>
            </w:r>
          </w:p>
        </w:tc>
        <w:tc>
          <w:tcPr>
            <w:tcW w:w="146" w:type="pct"/>
            <w:tcBorders>
              <w:top w:val="single" w:sz="12" w:space="0" w:color="auto"/>
            </w:tcBorders>
            <w:shd w:val="clear" w:color="auto" w:fill="B3FFB3"/>
            <w:noWrap/>
            <w:hideMark/>
          </w:tcPr>
          <w:p w14:paraId="7E4F2E2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w:t>
            </w:r>
          </w:p>
        </w:tc>
        <w:tc>
          <w:tcPr>
            <w:tcW w:w="225" w:type="pct"/>
            <w:tcBorders>
              <w:top w:val="single" w:sz="12" w:space="0" w:color="auto"/>
            </w:tcBorders>
            <w:shd w:val="clear" w:color="auto" w:fill="B3FFB3"/>
            <w:noWrap/>
            <w:hideMark/>
          </w:tcPr>
          <w:p w14:paraId="3EAB398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top w:val="single" w:sz="12" w:space="0" w:color="auto"/>
            </w:tcBorders>
            <w:shd w:val="clear" w:color="auto" w:fill="B3FFB3"/>
            <w:noWrap/>
            <w:hideMark/>
          </w:tcPr>
          <w:p w14:paraId="49C9FCE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1" w:type="pct"/>
            <w:tcBorders>
              <w:top w:val="single" w:sz="12" w:space="0" w:color="auto"/>
            </w:tcBorders>
            <w:shd w:val="clear" w:color="auto" w:fill="B3FFB3"/>
            <w:noWrap/>
            <w:hideMark/>
          </w:tcPr>
          <w:p w14:paraId="64F7169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6" w:type="pct"/>
            <w:tcBorders>
              <w:top w:val="single" w:sz="12" w:space="0" w:color="auto"/>
            </w:tcBorders>
            <w:shd w:val="clear" w:color="auto" w:fill="B3FFB3"/>
            <w:noWrap/>
            <w:hideMark/>
          </w:tcPr>
          <w:p w14:paraId="762B347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r>
      <w:tr w:rsidR="00A67BE9" w:rsidRPr="000663CF" w14:paraId="362C7B60" w14:textId="77777777" w:rsidTr="00F0554A">
        <w:trPr>
          <w:trHeight w:val="293"/>
        </w:trPr>
        <w:tc>
          <w:tcPr>
            <w:cnfStyle w:val="001000000000" w:firstRow="0" w:lastRow="0" w:firstColumn="1" w:lastColumn="0" w:oddVBand="0" w:evenVBand="0" w:oddHBand="0" w:evenHBand="0" w:firstRowFirstColumn="0" w:firstRowLastColumn="0" w:lastRowFirstColumn="0" w:lastRowLastColumn="0"/>
            <w:tcW w:w="508" w:type="pct"/>
            <w:tcBorders>
              <w:bottom w:val="single" w:sz="12" w:space="0" w:color="auto"/>
            </w:tcBorders>
            <w:noWrap/>
            <w:hideMark/>
          </w:tcPr>
          <w:p w14:paraId="6F0BC348" w14:textId="750BC39B" w:rsidR="000663CF" w:rsidRPr="000663CF" w:rsidRDefault="000663CF" w:rsidP="005B1D19">
            <w:pPr>
              <w:rPr>
                <w:b w:val="0"/>
                <w:bCs/>
                <w:lang w:eastAsia="zh-CN"/>
              </w:rPr>
            </w:pPr>
            <w:r w:rsidRPr="000663CF">
              <w:rPr>
                <w:lang w:eastAsia="zh-CN"/>
              </w:rPr>
              <w:t>Meekatharra WA</w:t>
            </w:r>
            <w:r w:rsidRPr="005B1D19">
              <w:rPr>
                <w:b w:val="0"/>
                <w:bCs/>
                <w:vertAlign w:val="superscript"/>
                <w:lang w:eastAsia="zh-CN"/>
              </w:rPr>
              <w:t>(b)</w:t>
            </w:r>
          </w:p>
        </w:tc>
        <w:tc>
          <w:tcPr>
            <w:tcW w:w="387" w:type="pct"/>
            <w:tcBorders>
              <w:bottom w:val="single" w:sz="12" w:space="0" w:color="auto"/>
            </w:tcBorders>
            <w:noWrap/>
            <w:hideMark/>
          </w:tcPr>
          <w:p w14:paraId="314F98A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340" w:type="pct"/>
            <w:tcBorders>
              <w:bottom w:val="single" w:sz="12" w:space="0" w:color="auto"/>
            </w:tcBorders>
            <w:shd w:val="clear" w:color="auto" w:fill="FFFCCC" w:themeFill="background2" w:themeFillTint="33"/>
            <w:noWrap/>
            <w:hideMark/>
          </w:tcPr>
          <w:p w14:paraId="55A0A72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FFFCCC" w:themeFill="background2" w:themeFillTint="33"/>
            <w:noWrap/>
            <w:hideMark/>
          </w:tcPr>
          <w:p w14:paraId="0F3A0EA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79" w:type="pct"/>
            <w:tcBorders>
              <w:bottom w:val="single" w:sz="12" w:space="0" w:color="auto"/>
            </w:tcBorders>
            <w:shd w:val="clear" w:color="auto" w:fill="C9E4FF"/>
            <w:noWrap/>
            <w:hideMark/>
          </w:tcPr>
          <w:p w14:paraId="415154C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682DC83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38" w:type="pct"/>
            <w:tcBorders>
              <w:bottom w:val="single" w:sz="12" w:space="0" w:color="auto"/>
            </w:tcBorders>
            <w:shd w:val="clear" w:color="auto" w:fill="C9E4FF"/>
            <w:noWrap/>
            <w:hideMark/>
          </w:tcPr>
          <w:p w14:paraId="3F666D6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577FBB3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41" w:type="pct"/>
            <w:tcBorders>
              <w:bottom w:val="single" w:sz="12" w:space="0" w:color="auto"/>
            </w:tcBorders>
            <w:shd w:val="clear" w:color="auto" w:fill="C9E4FF"/>
            <w:noWrap/>
            <w:hideMark/>
          </w:tcPr>
          <w:p w14:paraId="5A3E330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1F386BA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13" w:type="pct"/>
            <w:tcBorders>
              <w:bottom w:val="single" w:sz="12" w:space="0" w:color="auto"/>
            </w:tcBorders>
            <w:shd w:val="clear" w:color="auto" w:fill="C9E4FF"/>
            <w:noWrap/>
            <w:hideMark/>
          </w:tcPr>
          <w:p w14:paraId="5286FD3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1FAE455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68" w:type="pct"/>
            <w:tcBorders>
              <w:bottom w:val="single" w:sz="12" w:space="0" w:color="auto"/>
            </w:tcBorders>
            <w:shd w:val="clear" w:color="auto" w:fill="C9E4FF"/>
            <w:noWrap/>
            <w:hideMark/>
          </w:tcPr>
          <w:p w14:paraId="7BA6B9D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61" w:type="pct"/>
            <w:tcBorders>
              <w:bottom w:val="single" w:sz="12" w:space="0" w:color="auto"/>
            </w:tcBorders>
            <w:shd w:val="clear" w:color="auto" w:fill="C9E4FF"/>
            <w:noWrap/>
            <w:hideMark/>
          </w:tcPr>
          <w:p w14:paraId="4634B03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54" w:type="pct"/>
            <w:tcBorders>
              <w:bottom w:val="single" w:sz="12" w:space="0" w:color="auto"/>
            </w:tcBorders>
            <w:shd w:val="clear" w:color="auto" w:fill="B3FFB3"/>
            <w:noWrap/>
            <w:hideMark/>
          </w:tcPr>
          <w:p w14:paraId="6E592DE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tcBorders>
              <w:bottom w:val="single" w:sz="12" w:space="0" w:color="auto"/>
            </w:tcBorders>
            <w:shd w:val="clear" w:color="auto" w:fill="B3FFB3"/>
            <w:noWrap/>
            <w:hideMark/>
          </w:tcPr>
          <w:p w14:paraId="6E42134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192" w:type="pct"/>
            <w:tcBorders>
              <w:bottom w:val="single" w:sz="12" w:space="0" w:color="auto"/>
            </w:tcBorders>
            <w:shd w:val="clear" w:color="auto" w:fill="B3FFB3"/>
            <w:noWrap/>
            <w:hideMark/>
          </w:tcPr>
          <w:p w14:paraId="77E9DB5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bottom w:val="single" w:sz="12" w:space="0" w:color="auto"/>
            </w:tcBorders>
            <w:shd w:val="clear" w:color="auto" w:fill="B3FFB3"/>
            <w:noWrap/>
            <w:hideMark/>
          </w:tcPr>
          <w:p w14:paraId="6191598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25" w:type="pct"/>
            <w:tcBorders>
              <w:bottom w:val="single" w:sz="12" w:space="0" w:color="auto"/>
            </w:tcBorders>
            <w:shd w:val="clear" w:color="auto" w:fill="B3FFB3"/>
            <w:noWrap/>
            <w:hideMark/>
          </w:tcPr>
          <w:p w14:paraId="2024425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bottom w:val="single" w:sz="12" w:space="0" w:color="auto"/>
            </w:tcBorders>
            <w:shd w:val="clear" w:color="auto" w:fill="B3FFB3"/>
            <w:noWrap/>
            <w:hideMark/>
          </w:tcPr>
          <w:p w14:paraId="2A11190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c>
          <w:tcPr>
            <w:tcW w:w="261" w:type="pct"/>
            <w:tcBorders>
              <w:bottom w:val="single" w:sz="12" w:space="0" w:color="auto"/>
            </w:tcBorders>
            <w:shd w:val="clear" w:color="auto" w:fill="B3FFB3"/>
            <w:noWrap/>
            <w:hideMark/>
          </w:tcPr>
          <w:p w14:paraId="6CFB230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6" w:type="pct"/>
            <w:tcBorders>
              <w:bottom w:val="single" w:sz="12" w:space="0" w:color="auto"/>
            </w:tcBorders>
            <w:shd w:val="clear" w:color="auto" w:fill="B3FFB3"/>
            <w:noWrap/>
            <w:hideMark/>
          </w:tcPr>
          <w:p w14:paraId="797C71F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n/a</w:t>
            </w:r>
          </w:p>
        </w:tc>
      </w:tr>
      <w:tr w:rsidR="00A67BE9" w:rsidRPr="000663CF" w14:paraId="5C19F81C" w14:textId="77777777" w:rsidTr="00F0554A">
        <w:trPr>
          <w:trHeight w:val="285"/>
        </w:trPr>
        <w:tc>
          <w:tcPr>
            <w:cnfStyle w:val="001000000000" w:firstRow="0" w:lastRow="0" w:firstColumn="1" w:lastColumn="0" w:oddVBand="0" w:evenVBand="0" w:oddHBand="0" w:evenHBand="0" w:firstRowFirstColumn="0" w:firstRowLastColumn="0" w:lastRowFirstColumn="0" w:lastRowLastColumn="0"/>
            <w:tcW w:w="508" w:type="pct"/>
            <w:tcBorders>
              <w:top w:val="single" w:sz="12" w:space="0" w:color="auto"/>
            </w:tcBorders>
            <w:noWrap/>
            <w:hideMark/>
          </w:tcPr>
          <w:p w14:paraId="6385F4B4" w14:textId="77777777" w:rsidR="000663CF" w:rsidRPr="000663CF" w:rsidRDefault="000663CF" w:rsidP="000663CF">
            <w:pPr>
              <w:rPr>
                <w:lang w:eastAsia="zh-CN"/>
              </w:rPr>
            </w:pPr>
            <w:r w:rsidRPr="000663CF">
              <w:rPr>
                <w:lang w:eastAsia="zh-CN"/>
              </w:rPr>
              <w:t>Jabiru NT</w:t>
            </w:r>
          </w:p>
        </w:tc>
        <w:tc>
          <w:tcPr>
            <w:tcW w:w="387" w:type="pct"/>
            <w:tcBorders>
              <w:top w:val="single" w:sz="12" w:space="0" w:color="auto"/>
            </w:tcBorders>
            <w:noWrap/>
            <w:hideMark/>
          </w:tcPr>
          <w:p w14:paraId="25098DA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204,525</w:t>
            </w:r>
          </w:p>
        </w:tc>
        <w:tc>
          <w:tcPr>
            <w:tcW w:w="340" w:type="pct"/>
            <w:tcBorders>
              <w:top w:val="single" w:sz="12" w:space="0" w:color="auto"/>
            </w:tcBorders>
            <w:shd w:val="clear" w:color="auto" w:fill="FFFCCC" w:themeFill="background2" w:themeFillTint="33"/>
            <w:noWrap/>
            <w:hideMark/>
          </w:tcPr>
          <w:p w14:paraId="7A8B5D6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10,983</w:t>
            </w:r>
          </w:p>
        </w:tc>
        <w:tc>
          <w:tcPr>
            <w:tcW w:w="143" w:type="pct"/>
            <w:tcBorders>
              <w:top w:val="single" w:sz="12" w:space="0" w:color="auto"/>
            </w:tcBorders>
            <w:shd w:val="clear" w:color="auto" w:fill="FFFCCC" w:themeFill="background2" w:themeFillTint="33"/>
            <w:noWrap/>
            <w:hideMark/>
          </w:tcPr>
          <w:p w14:paraId="4F8C668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5</w:t>
            </w:r>
          </w:p>
        </w:tc>
        <w:tc>
          <w:tcPr>
            <w:tcW w:w="279" w:type="pct"/>
            <w:tcBorders>
              <w:top w:val="single" w:sz="12" w:space="0" w:color="auto"/>
            </w:tcBorders>
            <w:shd w:val="clear" w:color="auto" w:fill="C9E4FF"/>
            <w:noWrap/>
            <w:hideMark/>
          </w:tcPr>
          <w:p w14:paraId="5845546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102,263</w:t>
            </w:r>
          </w:p>
        </w:tc>
        <w:tc>
          <w:tcPr>
            <w:tcW w:w="143" w:type="pct"/>
            <w:tcBorders>
              <w:top w:val="single" w:sz="12" w:space="0" w:color="auto"/>
            </w:tcBorders>
            <w:shd w:val="clear" w:color="auto" w:fill="C9E4FF"/>
            <w:noWrap/>
            <w:hideMark/>
          </w:tcPr>
          <w:p w14:paraId="76C2EE3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50</w:t>
            </w:r>
          </w:p>
        </w:tc>
        <w:tc>
          <w:tcPr>
            <w:tcW w:w="238" w:type="pct"/>
            <w:tcBorders>
              <w:top w:val="single" w:sz="12" w:space="0" w:color="auto"/>
            </w:tcBorders>
            <w:shd w:val="clear" w:color="auto" w:fill="C9E4FF"/>
            <w:noWrap/>
            <w:hideMark/>
          </w:tcPr>
          <w:p w14:paraId="2F38CFA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top w:val="single" w:sz="12" w:space="0" w:color="auto"/>
            </w:tcBorders>
            <w:shd w:val="clear" w:color="auto" w:fill="C9E4FF"/>
            <w:noWrap/>
            <w:hideMark/>
          </w:tcPr>
          <w:p w14:paraId="31830B4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tcBorders>
              <w:top w:val="single" w:sz="12" w:space="0" w:color="auto"/>
            </w:tcBorders>
            <w:shd w:val="clear" w:color="auto" w:fill="C9E4FF"/>
            <w:noWrap/>
            <w:hideMark/>
          </w:tcPr>
          <w:p w14:paraId="0B54022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top w:val="single" w:sz="12" w:space="0" w:color="auto"/>
            </w:tcBorders>
            <w:shd w:val="clear" w:color="auto" w:fill="C9E4FF"/>
            <w:noWrap/>
            <w:hideMark/>
          </w:tcPr>
          <w:p w14:paraId="30E257F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13" w:type="pct"/>
            <w:tcBorders>
              <w:top w:val="single" w:sz="12" w:space="0" w:color="auto"/>
            </w:tcBorders>
            <w:shd w:val="clear" w:color="auto" w:fill="C9E4FF"/>
            <w:noWrap/>
            <w:hideMark/>
          </w:tcPr>
          <w:p w14:paraId="7655B6D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top w:val="single" w:sz="12" w:space="0" w:color="auto"/>
            </w:tcBorders>
            <w:shd w:val="clear" w:color="auto" w:fill="C9E4FF"/>
            <w:noWrap/>
            <w:hideMark/>
          </w:tcPr>
          <w:p w14:paraId="5153FF3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8" w:type="pct"/>
            <w:tcBorders>
              <w:top w:val="single" w:sz="12" w:space="0" w:color="auto"/>
            </w:tcBorders>
            <w:shd w:val="clear" w:color="auto" w:fill="C9E4FF"/>
            <w:noWrap/>
            <w:hideMark/>
          </w:tcPr>
          <w:p w14:paraId="1E73BCB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61" w:type="pct"/>
            <w:tcBorders>
              <w:top w:val="single" w:sz="12" w:space="0" w:color="auto"/>
            </w:tcBorders>
            <w:shd w:val="clear" w:color="auto" w:fill="C9E4FF"/>
            <w:noWrap/>
            <w:hideMark/>
          </w:tcPr>
          <w:p w14:paraId="591BDED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4" w:type="pct"/>
            <w:tcBorders>
              <w:top w:val="single" w:sz="12" w:space="0" w:color="auto"/>
            </w:tcBorders>
            <w:shd w:val="clear" w:color="auto" w:fill="B3FFB3"/>
            <w:noWrap/>
            <w:hideMark/>
          </w:tcPr>
          <w:p w14:paraId="1D40016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13,001</w:t>
            </w:r>
          </w:p>
        </w:tc>
        <w:tc>
          <w:tcPr>
            <w:tcW w:w="172" w:type="pct"/>
            <w:tcBorders>
              <w:top w:val="single" w:sz="12" w:space="0" w:color="auto"/>
            </w:tcBorders>
            <w:shd w:val="clear" w:color="auto" w:fill="B3FFB3"/>
            <w:noWrap/>
            <w:hideMark/>
          </w:tcPr>
          <w:p w14:paraId="3B834BA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6</w:t>
            </w:r>
          </w:p>
        </w:tc>
        <w:tc>
          <w:tcPr>
            <w:tcW w:w="192" w:type="pct"/>
            <w:tcBorders>
              <w:top w:val="single" w:sz="12" w:space="0" w:color="auto"/>
            </w:tcBorders>
            <w:shd w:val="clear" w:color="auto" w:fill="B3FFB3"/>
            <w:noWrap/>
            <w:hideMark/>
          </w:tcPr>
          <w:p w14:paraId="36F9063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top w:val="single" w:sz="12" w:space="0" w:color="auto"/>
            </w:tcBorders>
            <w:shd w:val="clear" w:color="auto" w:fill="B3FFB3"/>
            <w:noWrap/>
            <w:hideMark/>
          </w:tcPr>
          <w:p w14:paraId="0A70B56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tcBorders>
              <w:top w:val="single" w:sz="12" w:space="0" w:color="auto"/>
            </w:tcBorders>
            <w:shd w:val="clear" w:color="auto" w:fill="B3FFB3"/>
            <w:noWrap/>
            <w:hideMark/>
          </w:tcPr>
          <w:p w14:paraId="20EB7A6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4,650</w:t>
            </w:r>
          </w:p>
        </w:tc>
        <w:tc>
          <w:tcPr>
            <w:tcW w:w="146" w:type="pct"/>
            <w:tcBorders>
              <w:top w:val="single" w:sz="12" w:space="0" w:color="auto"/>
            </w:tcBorders>
            <w:shd w:val="clear" w:color="auto" w:fill="B3FFB3"/>
            <w:noWrap/>
            <w:hideMark/>
          </w:tcPr>
          <w:p w14:paraId="04C34FF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w:t>
            </w:r>
          </w:p>
        </w:tc>
        <w:tc>
          <w:tcPr>
            <w:tcW w:w="261" w:type="pct"/>
            <w:tcBorders>
              <w:top w:val="single" w:sz="12" w:space="0" w:color="auto"/>
            </w:tcBorders>
            <w:shd w:val="clear" w:color="auto" w:fill="B3FFB3"/>
            <w:noWrap/>
            <w:hideMark/>
          </w:tcPr>
          <w:p w14:paraId="53DF269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73,629</w:t>
            </w:r>
          </w:p>
        </w:tc>
        <w:tc>
          <w:tcPr>
            <w:tcW w:w="256" w:type="pct"/>
            <w:tcBorders>
              <w:top w:val="single" w:sz="12" w:space="0" w:color="auto"/>
            </w:tcBorders>
            <w:shd w:val="clear" w:color="auto" w:fill="B3FFB3"/>
            <w:noWrap/>
            <w:hideMark/>
          </w:tcPr>
          <w:p w14:paraId="32D9799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36</w:t>
            </w:r>
          </w:p>
        </w:tc>
      </w:tr>
      <w:tr w:rsidR="00A67BE9" w:rsidRPr="000663CF" w14:paraId="6161FCD9" w14:textId="77777777" w:rsidTr="00F0554A">
        <w:trPr>
          <w:trHeight w:val="293"/>
        </w:trPr>
        <w:tc>
          <w:tcPr>
            <w:cnfStyle w:val="001000000000" w:firstRow="0" w:lastRow="0" w:firstColumn="1" w:lastColumn="0" w:oddVBand="0" w:evenVBand="0" w:oddHBand="0" w:evenHBand="0" w:firstRowFirstColumn="0" w:firstRowLastColumn="0" w:lastRowFirstColumn="0" w:lastRowLastColumn="0"/>
            <w:tcW w:w="508" w:type="pct"/>
            <w:tcBorders>
              <w:bottom w:val="single" w:sz="12" w:space="0" w:color="auto"/>
            </w:tcBorders>
            <w:noWrap/>
            <w:hideMark/>
          </w:tcPr>
          <w:p w14:paraId="6B501FBD" w14:textId="77777777" w:rsidR="000663CF" w:rsidRPr="000663CF" w:rsidRDefault="000663CF" w:rsidP="000663CF">
            <w:pPr>
              <w:rPr>
                <w:lang w:eastAsia="zh-CN"/>
              </w:rPr>
            </w:pPr>
            <w:r w:rsidRPr="000663CF">
              <w:rPr>
                <w:lang w:eastAsia="zh-CN"/>
              </w:rPr>
              <w:t>Tenant Creek NT</w:t>
            </w:r>
          </w:p>
        </w:tc>
        <w:tc>
          <w:tcPr>
            <w:tcW w:w="387" w:type="pct"/>
            <w:tcBorders>
              <w:bottom w:val="single" w:sz="12" w:space="0" w:color="auto"/>
            </w:tcBorders>
            <w:noWrap/>
            <w:hideMark/>
          </w:tcPr>
          <w:p w14:paraId="7BDE802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1,205,841</w:t>
            </w:r>
          </w:p>
        </w:tc>
        <w:tc>
          <w:tcPr>
            <w:tcW w:w="340" w:type="pct"/>
            <w:tcBorders>
              <w:bottom w:val="single" w:sz="12" w:space="0" w:color="auto"/>
            </w:tcBorders>
            <w:shd w:val="clear" w:color="auto" w:fill="FFFCCC" w:themeFill="background2" w:themeFillTint="33"/>
            <w:noWrap/>
            <w:hideMark/>
          </w:tcPr>
          <w:p w14:paraId="21E6768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FFFCCC" w:themeFill="background2" w:themeFillTint="33"/>
            <w:noWrap/>
            <w:hideMark/>
          </w:tcPr>
          <w:p w14:paraId="215E4C0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79" w:type="pct"/>
            <w:tcBorders>
              <w:bottom w:val="single" w:sz="12" w:space="0" w:color="auto"/>
            </w:tcBorders>
            <w:shd w:val="clear" w:color="auto" w:fill="C9E4FF"/>
            <w:noWrap/>
            <w:hideMark/>
          </w:tcPr>
          <w:p w14:paraId="39983FE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555,762</w:t>
            </w:r>
          </w:p>
        </w:tc>
        <w:tc>
          <w:tcPr>
            <w:tcW w:w="143" w:type="pct"/>
            <w:tcBorders>
              <w:bottom w:val="single" w:sz="12" w:space="0" w:color="auto"/>
            </w:tcBorders>
            <w:shd w:val="clear" w:color="auto" w:fill="C9E4FF"/>
            <w:noWrap/>
            <w:hideMark/>
          </w:tcPr>
          <w:p w14:paraId="20D7543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46</w:t>
            </w:r>
          </w:p>
        </w:tc>
        <w:tc>
          <w:tcPr>
            <w:tcW w:w="238" w:type="pct"/>
            <w:tcBorders>
              <w:bottom w:val="single" w:sz="12" w:space="0" w:color="auto"/>
            </w:tcBorders>
            <w:shd w:val="clear" w:color="auto" w:fill="C9E4FF"/>
            <w:noWrap/>
            <w:hideMark/>
          </w:tcPr>
          <w:p w14:paraId="7FC65B4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173,565</w:t>
            </w:r>
          </w:p>
        </w:tc>
        <w:tc>
          <w:tcPr>
            <w:tcW w:w="143" w:type="pct"/>
            <w:tcBorders>
              <w:bottom w:val="single" w:sz="12" w:space="0" w:color="auto"/>
            </w:tcBorders>
            <w:shd w:val="clear" w:color="auto" w:fill="C9E4FF"/>
            <w:noWrap/>
            <w:hideMark/>
          </w:tcPr>
          <w:p w14:paraId="77A9A84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14</w:t>
            </w:r>
          </w:p>
        </w:tc>
        <w:tc>
          <w:tcPr>
            <w:tcW w:w="241" w:type="pct"/>
            <w:tcBorders>
              <w:bottom w:val="single" w:sz="12" w:space="0" w:color="auto"/>
            </w:tcBorders>
            <w:shd w:val="clear" w:color="auto" w:fill="C9E4FF"/>
            <w:noWrap/>
            <w:hideMark/>
          </w:tcPr>
          <w:p w14:paraId="42AACAF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240,132</w:t>
            </w:r>
          </w:p>
        </w:tc>
        <w:tc>
          <w:tcPr>
            <w:tcW w:w="143" w:type="pct"/>
            <w:tcBorders>
              <w:bottom w:val="single" w:sz="12" w:space="0" w:color="auto"/>
            </w:tcBorders>
            <w:shd w:val="clear" w:color="auto" w:fill="C9E4FF"/>
            <w:noWrap/>
            <w:hideMark/>
          </w:tcPr>
          <w:p w14:paraId="2D39781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20</w:t>
            </w:r>
          </w:p>
        </w:tc>
        <w:tc>
          <w:tcPr>
            <w:tcW w:w="213" w:type="pct"/>
            <w:tcBorders>
              <w:bottom w:val="single" w:sz="12" w:space="0" w:color="auto"/>
            </w:tcBorders>
            <w:shd w:val="clear" w:color="auto" w:fill="C9E4FF"/>
            <w:noWrap/>
            <w:hideMark/>
          </w:tcPr>
          <w:p w14:paraId="10BFF434" w14:textId="1592E974" w:rsidR="000663CF" w:rsidRPr="005B1D19" w:rsidRDefault="00951689"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Pr>
                <w:sz w:val="18"/>
                <w:szCs w:val="20"/>
                <w:lang w:eastAsia="zh-CN"/>
              </w:rPr>
              <w:t>0</w:t>
            </w:r>
          </w:p>
        </w:tc>
        <w:tc>
          <w:tcPr>
            <w:tcW w:w="143" w:type="pct"/>
            <w:tcBorders>
              <w:bottom w:val="single" w:sz="12" w:space="0" w:color="auto"/>
            </w:tcBorders>
            <w:shd w:val="clear" w:color="auto" w:fill="C9E4FF"/>
            <w:noWrap/>
            <w:hideMark/>
          </w:tcPr>
          <w:p w14:paraId="2F082211" w14:textId="4484DF1B" w:rsidR="000663CF" w:rsidRPr="005B1D19" w:rsidRDefault="00951689"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Pr>
                <w:sz w:val="18"/>
                <w:szCs w:val="20"/>
                <w:lang w:eastAsia="zh-CN"/>
              </w:rPr>
              <w:t>0</w:t>
            </w:r>
          </w:p>
        </w:tc>
        <w:tc>
          <w:tcPr>
            <w:tcW w:w="268" w:type="pct"/>
            <w:tcBorders>
              <w:bottom w:val="single" w:sz="12" w:space="0" w:color="auto"/>
            </w:tcBorders>
            <w:shd w:val="clear" w:color="auto" w:fill="C9E4FF"/>
            <w:noWrap/>
            <w:hideMark/>
          </w:tcPr>
          <w:p w14:paraId="660FC25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236,382</w:t>
            </w:r>
          </w:p>
        </w:tc>
        <w:tc>
          <w:tcPr>
            <w:tcW w:w="161" w:type="pct"/>
            <w:tcBorders>
              <w:bottom w:val="single" w:sz="12" w:space="0" w:color="auto"/>
            </w:tcBorders>
            <w:shd w:val="clear" w:color="auto" w:fill="C9E4FF"/>
            <w:noWrap/>
            <w:hideMark/>
          </w:tcPr>
          <w:p w14:paraId="059F471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20</w:t>
            </w:r>
          </w:p>
        </w:tc>
        <w:tc>
          <w:tcPr>
            <w:tcW w:w="254" w:type="pct"/>
            <w:tcBorders>
              <w:bottom w:val="single" w:sz="12" w:space="0" w:color="auto"/>
            </w:tcBorders>
            <w:shd w:val="clear" w:color="auto" w:fill="B3FFB3"/>
            <w:noWrap/>
            <w:hideMark/>
          </w:tcPr>
          <w:p w14:paraId="4A7816A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tcBorders>
              <w:bottom w:val="single" w:sz="12" w:space="0" w:color="auto"/>
            </w:tcBorders>
            <w:shd w:val="clear" w:color="auto" w:fill="B3FFB3"/>
            <w:noWrap/>
            <w:hideMark/>
          </w:tcPr>
          <w:p w14:paraId="7C08D1F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tcBorders>
              <w:bottom w:val="single" w:sz="12" w:space="0" w:color="auto"/>
            </w:tcBorders>
            <w:shd w:val="clear" w:color="auto" w:fill="B3FFB3"/>
            <w:noWrap/>
            <w:hideMark/>
          </w:tcPr>
          <w:p w14:paraId="796BC26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bottom w:val="single" w:sz="12" w:space="0" w:color="auto"/>
            </w:tcBorders>
            <w:shd w:val="clear" w:color="auto" w:fill="B3FFB3"/>
            <w:noWrap/>
            <w:hideMark/>
          </w:tcPr>
          <w:p w14:paraId="360DC2F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tcBorders>
              <w:bottom w:val="single" w:sz="12" w:space="0" w:color="auto"/>
            </w:tcBorders>
            <w:shd w:val="clear" w:color="auto" w:fill="B3FFB3"/>
            <w:noWrap/>
            <w:hideMark/>
          </w:tcPr>
          <w:p w14:paraId="48FD0D3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bottom w:val="single" w:sz="12" w:space="0" w:color="auto"/>
            </w:tcBorders>
            <w:shd w:val="clear" w:color="auto" w:fill="B3FFB3"/>
            <w:noWrap/>
            <w:hideMark/>
          </w:tcPr>
          <w:p w14:paraId="2EF1CE0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1" w:type="pct"/>
            <w:tcBorders>
              <w:bottom w:val="single" w:sz="12" w:space="0" w:color="auto"/>
            </w:tcBorders>
            <w:shd w:val="clear" w:color="auto" w:fill="B3FFB3"/>
            <w:noWrap/>
            <w:hideMark/>
          </w:tcPr>
          <w:p w14:paraId="0D78C4F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6" w:type="pct"/>
            <w:tcBorders>
              <w:bottom w:val="single" w:sz="12" w:space="0" w:color="auto"/>
            </w:tcBorders>
            <w:shd w:val="clear" w:color="auto" w:fill="B3FFB3"/>
            <w:noWrap/>
            <w:hideMark/>
          </w:tcPr>
          <w:p w14:paraId="6D29384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r>
      <w:tr w:rsidR="00A67BE9" w:rsidRPr="000663CF" w14:paraId="0637476C" w14:textId="77777777" w:rsidTr="00F0554A">
        <w:trPr>
          <w:trHeight w:val="285"/>
        </w:trPr>
        <w:tc>
          <w:tcPr>
            <w:cnfStyle w:val="001000000000" w:firstRow="0" w:lastRow="0" w:firstColumn="1" w:lastColumn="0" w:oddVBand="0" w:evenVBand="0" w:oddHBand="0" w:evenHBand="0" w:firstRowFirstColumn="0" w:firstRowLastColumn="0" w:lastRowFirstColumn="0" w:lastRowLastColumn="0"/>
            <w:tcW w:w="508" w:type="pct"/>
            <w:tcBorders>
              <w:top w:val="single" w:sz="12" w:space="0" w:color="auto"/>
            </w:tcBorders>
            <w:noWrap/>
            <w:hideMark/>
          </w:tcPr>
          <w:p w14:paraId="072DFC0F" w14:textId="77777777" w:rsidR="000663CF" w:rsidRPr="000663CF" w:rsidRDefault="000663CF" w:rsidP="000663CF">
            <w:pPr>
              <w:rPr>
                <w:lang w:eastAsia="zh-CN"/>
              </w:rPr>
            </w:pPr>
            <w:r w:rsidRPr="000663CF">
              <w:rPr>
                <w:lang w:eastAsia="zh-CN"/>
              </w:rPr>
              <w:t>Tully QLD</w:t>
            </w:r>
          </w:p>
        </w:tc>
        <w:tc>
          <w:tcPr>
            <w:tcW w:w="387" w:type="pct"/>
            <w:tcBorders>
              <w:top w:val="single" w:sz="12" w:space="0" w:color="auto"/>
            </w:tcBorders>
            <w:noWrap/>
            <w:hideMark/>
          </w:tcPr>
          <w:p w14:paraId="0A2B7C2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639,293</w:t>
            </w:r>
          </w:p>
        </w:tc>
        <w:tc>
          <w:tcPr>
            <w:tcW w:w="340" w:type="pct"/>
            <w:tcBorders>
              <w:top w:val="single" w:sz="12" w:space="0" w:color="auto"/>
            </w:tcBorders>
            <w:shd w:val="clear" w:color="auto" w:fill="FFFCCC" w:themeFill="background2" w:themeFillTint="33"/>
            <w:noWrap/>
            <w:hideMark/>
          </w:tcPr>
          <w:p w14:paraId="4146C08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133,295</w:t>
            </w:r>
          </w:p>
        </w:tc>
        <w:tc>
          <w:tcPr>
            <w:tcW w:w="143" w:type="pct"/>
            <w:tcBorders>
              <w:top w:val="single" w:sz="12" w:space="0" w:color="auto"/>
            </w:tcBorders>
            <w:shd w:val="clear" w:color="auto" w:fill="FFFCCC" w:themeFill="background2" w:themeFillTint="33"/>
            <w:noWrap/>
            <w:hideMark/>
          </w:tcPr>
          <w:p w14:paraId="5255E00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21</w:t>
            </w:r>
          </w:p>
        </w:tc>
        <w:tc>
          <w:tcPr>
            <w:tcW w:w="279" w:type="pct"/>
            <w:tcBorders>
              <w:top w:val="single" w:sz="12" w:space="0" w:color="auto"/>
            </w:tcBorders>
            <w:shd w:val="clear" w:color="auto" w:fill="C9E4FF"/>
            <w:noWrap/>
            <w:hideMark/>
          </w:tcPr>
          <w:p w14:paraId="437F46B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379,499</w:t>
            </w:r>
          </w:p>
        </w:tc>
        <w:tc>
          <w:tcPr>
            <w:tcW w:w="143" w:type="pct"/>
            <w:tcBorders>
              <w:top w:val="single" w:sz="12" w:space="0" w:color="auto"/>
            </w:tcBorders>
            <w:shd w:val="clear" w:color="auto" w:fill="C9E4FF"/>
            <w:noWrap/>
            <w:hideMark/>
          </w:tcPr>
          <w:p w14:paraId="04C9288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59</w:t>
            </w:r>
          </w:p>
        </w:tc>
        <w:tc>
          <w:tcPr>
            <w:tcW w:w="238" w:type="pct"/>
            <w:tcBorders>
              <w:top w:val="single" w:sz="12" w:space="0" w:color="auto"/>
            </w:tcBorders>
            <w:shd w:val="clear" w:color="auto" w:fill="C9E4FF"/>
            <w:noWrap/>
            <w:hideMark/>
          </w:tcPr>
          <w:p w14:paraId="3424D6E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top w:val="single" w:sz="12" w:space="0" w:color="auto"/>
            </w:tcBorders>
            <w:shd w:val="clear" w:color="auto" w:fill="C9E4FF"/>
            <w:noWrap/>
            <w:hideMark/>
          </w:tcPr>
          <w:p w14:paraId="045437A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tcBorders>
              <w:top w:val="single" w:sz="12" w:space="0" w:color="auto"/>
            </w:tcBorders>
            <w:shd w:val="clear" w:color="auto" w:fill="C9E4FF"/>
            <w:noWrap/>
            <w:hideMark/>
          </w:tcPr>
          <w:p w14:paraId="2DE8BBB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126,500</w:t>
            </w:r>
          </w:p>
        </w:tc>
        <w:tc>
          <w:tcPr>
            <w:tcW w:w="143" w:type="pct"/>
            <w:tcBorders>
              <w:top w:val="single" w:sz="12" w:space="0" w:color="auto"/>
            </w:tcBorders>
            <w:shd w:val="clear" w:color="auto" w:fill="C9E4FF"/>
            <w:noWrap/>
            <w:hideMark/>
          </w:tcPr>
          <w:p w14:paraId="547558F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20</w:t>
            </w:r>
          </w:p>
        </w:tc>
        <w:tc>
          <w:tcPr>
            <w:tcW w:w="213" w:type="pct"/>
            <w:tcBorders>
              <w:top w:val="single" w:sz="12" w:space="0" w:color="auto"/>
            </w:tcBorders>
            <w:shd w:val="clear" w:color="auto" w:fill="C9E4FF"/>
            <w:noWrap/>
            <w:hideMark/>
          </w:tcPr>
          <w:p w14:paraId="34E278C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top w:val="single" w:sz="12" w:space="0" w:color="auto"/>
            </w:tcBorders>
            <w:shd w:val="clear" w:color="auto" w:fill="C9E4FF"/>
            <w:noWrap/>
            <w:hideMark/>
          </w:tcPr>
          <w:p w14:paraId="6F4173D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8" w:type="pct"/>
            <w:tcBorders>
              <w:top w:val="single" w:sz="12" w:space="0" w:color="auto"/>
            </w:tcBorders>
            <w:shd w:val="clear" w:color="auto" w:fill="C9E4FF"/>
            <w:noWrap/>
            <w:hideMark/>
          </w:tcPr>
          <w:p w14:paraId="3D04F1D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61" w:type="pct"/>
            <w:tcBorders>
              <w:top w:val="single" w:sz="12" w:space="0" w:color="auto"/>
            </w:tcBorders>
            <w:shd w:val="clear" w:color="auto" w:fill="C9E4FF"/>
            <w:noWrap/>
            <w:hideMark/>
          </w:tcPr>
          <w:p w14:paraId="01BF9C8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4" w:type="pct"/>
            <w:tcBorders>
              <w:top w:val="single" w:sz="12" w:space="0" w:color="auto"/>
            </w:tcBorders>
            <w:shd w:val="clear" w:color="auto" w:fill="B3FFB3"/>
            <w:noWrap/>
            <w:hideMark/>
          </w:tcPr>
          <w:p w14:paraId="2EE3C5F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tcBorders>
              <w:top w:val="single" w:sz="12" w:space="0" w:color="auto"/>
            </w:tcBorders>
            <w:shd w:val="clear" w:color="auto" w:fill="B3FFB3"/>
            <w:noWrap/>
            <w:hideMark/>
          </w:tcPr>
          <w:p w14:paraId="732DC0E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tcBorders>
              <w:top w:val="single" w:sz="12" w:space="0" w:color="auto"/>
            </w:tcBorders>
            <w:shd w:val="clear" w:color="auto" w:fill="B3FFB3"/>
            <w:noWrap/>
            <w:hideMark/>
          </w:tcPr>
          <w:p w14:paraId="3D4DAB7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top w:val="single" w:sz="12" w:space="0" w:color="auto"/>
            </w:tcBorders>
            <w:shd w:val="clear" w:color="auto" w:fill="B3FFB3"/>
            <w:noWrap/>
            <w:hideMark/>
          </w:tcPr>
          <w:p w14:paraId="67B8D15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tcBorders>
              <w:top w:val="single" w:sz="12" w:space="0" w:color="auto"/>
            </w:tcBorders>
            <w:shd w:val="clear" w:color="auto" w:fill="B3FFB3"/>
            <w:noWrap/>
            <w:hideMark/>
          </w:tcPr>
          <w:p w14:paraId="38431AB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top w:val="single" w:sz="12" w:space="0" w:color="auto"/>
            </w:tcBorders>
            <w:shd w:val="clear" w:color="auto" w:fill="B3FFB3"/>
            <w:noWrap/>
            <w:hideMark/>
          </w:tcPr>
          <w:p w14:paraId="0165D0B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1" w:type="pct"/>
            <w:tcBorders>
              <w:top w:val="single" w:sz="12" w:space="0" w:color="auto"/>
            </w:tcBorders>
            <w:shd w:val="clear" w:color="auto" w:fill="B3FFB3"/>
            <w:noWrap/>
            <w:hideMark/>
          </w:tcPr>
          <w:p w14:paraId="3A044F8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6" w:type="pct"/>
            <w:tcBorders>
              <w:top w:val="single" w:sz="12" w:space="0" w:color="auto"/>
            </w:tcBorders>
            <w:shd w:val="clear" w:color="auto" w:fill="B3FFB3"/>
            <w:noWrap/>
            <w:hideMark/>
          </w:tcPr>
          <w:p w14:paraId="526BA21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r>
      <w:tr w:rsidR="00A67BE9" w:rsidRPr="000663CF" w14:paraId="4F167958" w14:textId="77777777" w:rsidTr="00F0554A">
        <w:trPr>
          <w:trHeight w:val="285"/>
        </w:trPr>
        <w:tc>
          <w:tcPr>
            <w:cnfStyle w:val="001000000000" w:firstRow="0" w:lastRow="0" w:firstColumn="1" w:lastColumn="0" w:oddVBand="0" w:evenVBand="0" w:oddHBand="0" w:evenHBand="0" w:firstRowFirstColumn="0" w:firstRowLastColumn="0" w:lastRowFirstColumn="0" w:lastRowLastColumn="0"/>
            <w:tcW w:w="508" w:type="pct"/>
            <w:noWrap/>
            <w:hideMark/>
          </w:tcPr>
          <w:p w14:paraId="11BBAAA4" w14:textId="77777777" w:rsidR="000663CF" w:rsidRPr="000663CF" w:rsidRDefault="000663CF" w:rsidP="000663CF">
            <w:pPr>
              <w:rPr>
                <w:lang w:eastAsia="zh-CN"/>
              </w:rPr>
            </w:pPr>
            <w:r w:rsidRPr="000663CF">
              <w:rPr>
                <w:lang w:eastAsia="zh-CN"/>
              </w:rPr>
              <w:t>Longreach QLD</w:t>
            </w:r>
          </w:p>
        </w:tc>
        <w:tc>
          <w:tcPr>
            <w:tcW w:w="387" w:type="pct"/>
            <w:noWrap/>
            <w:hideMark/>
          </w:tcPr>
          <w:p w14:paraId="678E161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274,674</w:t>
            </w:r>
          </w:p>
        </w:tc>
        <w:tc>
          <w:tcPr>
            <w:tcW w:w="340" w:type="pct"/>
            <w:shd w:val="clear" w:color="auto" w:fill="FFFCCC" w:themeFill="background2" w:themeFillTint="33"/>
            <w:noWrap/>
            <w:hideMark/>
          </w:tcPr>
          <w:p w14:paraId="50F2594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86,403</w:t>
            </w:r>
          </w:p>
        </w:tc>
        <w:tc>
          <w:tcPr>
            <w:tcW w:w="143" w:type="pct"/>
            <w:shd w:val="clear" w:color="auto" w:fill="FFFCCC" w:themeFill="background2" w:themeFillTint="33"/>
            <w:noWrap/>
            <w:hideMark/>
          </w:tcPr>
          <w:p w14:paraId="7C56F7D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31</w:t>
            </w:r>
          </w:p>
        </w:tc>
        <w:tc>
          <w:tcPr>
            <w:tcW w:w="279" w:type="pct"/>
            <w:shd w:val="clear" w:color="auto" w:fill="C9E4FF"/>
            <w:noWrap/>
            <w:hideMark/>
          </w:tcPr>
          <w:p w14:paraId="2F6EDC2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4B00B77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38" w:type="pct"/>
            <w:shd w:val="clear" w:color="auto" w:fill="C9E4FF"/>
            <w:noWrap/>
            <w:hideMark/>
          </w:tcPr>
          <w:p w14:paraId="758BD86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10FAB94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shd w:val="clear" w:color="auto" w:fill="C9E4FF"/>
            <w:noWrap/>
            <w:hideMark/>
          </w:tcPr>
          <w:p w14:paraId="7DA266A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5A4905A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13" w:type="pct"/>
            <w:shd w:val="clear" w:color="auto" w:fill="C9E4FF"/>
            <w:noWrap/>
            <w:hideMark/>
          </w:tcPr>
          <w:p w14:paraId="3E6AFAF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shd w:val="clear" w:color="auto" w:fill="C9E4FF"/>
            <w:noWrap/>
            <w:hideMark/>
          </w:tcPr>
          <w:p w14:paraId="29299B2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8" w:type="pct"/>
            <w:shd w:val="clear" w:color="auto" w:fill="C9E4FF"/>
            <w:noWrap/>
            <w:hideMark/>
          </w:tcPr>
          <w:p w14:paraId="3C3242C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61" w:type="pct"/>
            <w:shd w:val="clear" w:color="auto" w:fill="C9E4FF"/>
            <w:noWrap/>
            <w:hideMark/>
          </w:tcPr>
          <w:p w14:paraId="6F3949D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4" w:type="pct"/>
            <w:shd w:val="clear" w:color="auto" w:fill="B3FFB3"/>
            <w:noWrap/>
            <w:hideMark/>
          </w:tcPr>
          <w:p w14:paraId="03D2FD7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72" w:type="pct"/>
            <w:shd w:val="clear" w:color="auto" w:fill="B3FFB3"/>
            <w:noWrap/>
            <w:hideMark/>
          </w:tcPr>
          <w:p w14:paraId="5051E2B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shd w:val="clear" w:color="auto" w:fill="B3FFB3"/>
            <w:noWrap/>
            <w:hideMark/>
          </w:tcPr>
          <w:p w14:paraId="7074752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shd w:val="clear" w:color="auto" w:fill="B3FFB3"/>
            <w:noWrap/>
            <w:hideMark/>
          </w:tcPr>
          <w:p w14:paraId="3EC03D9A"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shd w:val="clear" w:color="auto" w:fill="B3FFB3"/>
            <w:noWrap/>
            <w:hideMark/>
          </w:tcPr>
          <w:p w14:paraId="7008195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shd w:val="clear" w:color="auto" w:fill="B3FFB3"/>
            <w:noWrap/>
            <w:hideMark/>
          </w:tcPr>
          <w:p w14:paraId="01C0AA4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1" w:type="pct"/>
            <w:shd w:val="clear" w:color="auto" w:fill="B3FFB3"/>
            <w:noWrap/>
            <w:hideMark/>
          </w:tcPr>
          <w:p w14:paraId="5751E5F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188,271</w:t>
            </w:r>
          </w:p>
        </w:tc>
        <w:tc>
          <w:tcPr>
            <w:tcW w:w="256" w:type="pct"/>
            <w:shd w:val="clear" w:color="auto" w:fill="B3FFB3"/>
            <w:noWrap/>
            <w:hideMark/>
          </w:tcPr>
          <w:p w14:paraId="7BF05C6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69</w:t>
            </w:r>
          </w:p>
        </w:tc>
      </w:tr>
      <w:tr w:rsidR="00A67BE9" w:rsidRPr="000663CF" w14:paraId="3D4A82E5" w14:textId="77777777" w:rsidTr="00F0554A">
        <w:trPr>
          <w:trHeight w:val="293"/>
        </w:trPr>
        <w:tc>
          <w:tcPr>
            <w:cnfStyle w:val="001000000000" w:firstRow="0" w:lastRow="0" w:firstColumn="1" w:lastColumn="0" w:oddVBand="0" w:evenVBand="0" w:oddHBand="0" w:evenHBand="0" w:firstRowFirstColumn="0" w:firstRowLastColumn="0" w:lastRowFirstColumn="0" w:lastRowLastColumn="0"/>
            <w:tcW w:w="508" w:type="pct"/>
            <w:tcBorders>
              <w:bottom w:val="single" w:sz="12" w:space="0" w:color="auto"/>
            </w:tcBorders>
            <w:noWrap/>
            <w:hideMark/>
          </w:tcPr>
          <w:p w14:paraId="2C3A0434" w14:textId="77777777" w:rsidR="000663CF" w:rsidRPr="000663CF" w:rsidRDefault="000663CF" w:rsidP="000663CF">
            <w:pPr>
              <w:rPr>
                <w:lang w:eastAsia="zh-CN"/>
              </w:rPr>
            </w:pPr>
            <w:r w:rsidRPr="000663CF">
              <w:rPr>
                <w:lang w:eastAsia="zh-CN"/>
              </w:rPr>
              <w:t>Proserpine QLD</w:t>
            </w:r>
          </w:p>
        </w:tc>
        <w:tc>
          <w:tcPr>
            <w:tcW w:w="387" w:type="pct"/>
            <w:tcBorders>
              <w:bottom w:val="single" w:sz="12" w:space="0" w:color="auto"/>
            </w:tcBorders>
            <w:noWrap/>
            <w:hideMark/>
          </w:tcPr>
          <w:p w14:paraId="48C0138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1,157,700</w:t>
            </w:r>
          </w:p>
        </w:tc>
        <w:tc>
          <w:tcPr>
            <w:tcW w:w="340" w:type="pct"/>
            <w:tcBorders>
              <w:bottom w:val="single" w:sz="12" w:space="0" w:color="auto"/>
            </w:tcBorders>
            <w:shd w:val="clear" w:color="auto" w:fill="FFFCCC" w:themeFill="background2" w:themeFillTint="33"/>
            <w:noWrap/>
            <w:hideMark/>
          </w:tcPr>
          <w:p w14:paraId="0BBB388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217,671</w:t>
            </w:r>
          </w:p>
        </w:tc>
        <w:tc>
          <w:tcPr>
            <w:tcW w:w="143" w:type="pct"/>
            <w:tcBorders>
              <w:bottom w:val="single" w:sz="12" w:space="0" w:color="auto"/>
            </w:tcBorders>
            <w:shd w:val="clear" w:color="auto" w:fill="FFFCCC" w:themeFill="background2" w:themeFillTint="33"/>
            <w:noWrap/>
            <w:hideMark/>
          </w:tcPr>
          <w:p w14:paraId="28747C3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19</w:t>
            </w:r>
          </w:p>
        </w:tc>
        <w:tc>
          <w:tcPr>
            <w:tcW w:w="279" w:type="pct"/>
            <w:tcBorders>
              <w:bottom w:val="single" w:sz="12" w:space="0" w:color="auto"/>
            </w:tcBorders>
            <w:shd w:val="clear" w:color="auto" w:fill="C9E4FF"/>
            <w:noWrap/>
            <w:hideMark/>
          </w:tcPr>
          <w:p w14:paraId="17CF314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826,462</w:t>
            </w:r>
          </w:p>
        </w:tc>
        <w:tc>
          <w:tcPr>
            <w:tcW w:w="143" w:type="pct"/>
            <w:tcBorders>
              <w:bottom w:val="single" w:sz="12" w:space="0" w:color="auto"/>
            </w:tcBorders>
            <w:shd w:val="clear" w:color="auto" w:fill="C9E4FF"/>
            <w:noWrap/>
            <w:hideMark/>
          </w:tcPr>
          <w:p w14:paraId="02A1AFE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71</w:t>
            </w:r>
          </w:p>
        </w:tc>
        <w:tc>
          <w:tcPr>
            <w:tcW w:w="238" w:type="pct"/>
            <w:tcBorders>
              <w:bottom w:val="single" w:sz="12" w:space="0" w:color="auto"/>
            </w:tcBorders>
            <w:shd w:val="clear" w:color="auto" w:fill="C9E4FF"/>
            <w:noWrap/>
            <w:hideMark/>
          </w:tcPr>
          <w:p w14:paraId="0FE6259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0B3C97DB"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41" w:type="pct"/>
            <w:tcBorders>
              <w:bottom w:val="single" w:sz="12" w:space="0" w:color="auto"/>
            </w:tcBorders>
            <w:shd w:val="clear" w:color="auto" w:fill="C9E4FF"/>
            <w:noWrap/>
            <w:hideMark/>
          </w:tcPr>
          <w:p w14:paraId="2E9A650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106,890</w:t>
            </w:r>
          </w:p>
        </w:tc>
        <w:tc>
          <w:tcPr>
            <w:tcW w:w="143" w:type="pct"/>
            <w:tcBorders>
              <w:bottom w:val="single" w:sz="12" w:space="0" w:color="auto"/>
            </w:tcBorders>
            <w:shd w:val="clear" w:color="auto" w:fill="C9E4FF"/>
            <w:noWrap/>
            <w:hideMark/>
          </w:tcPr>
          <w:p w14:paraId="7423A24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9</w:t>
            </w:r>
          </w:p>
        </w:tc>
        <w:tc>
          <w:tcPr>
            <w:tcW w:w="213" w:type="pct"/>
            <w:tcBorders>
              <w:bottom w:val="single" w:sz="12" w:space="0" w:color="auto"/>
            </w:tcBorders>
            <w:shd w:val="clear" w:color="auto" w:fill="C9E4FF"/>
            <w:noWrap/>
            <w:hideMark/>
          </w:tcPr>
          <w:p w14:paraId="16154F9E"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3" w:type="pct"/>
            <w:tcBorders>
              <w:bottom w:val="single" w:sz="12" w:space="0" w:color="auto"/>
            </w:tcBorders>
            <w:shd w:val="clear" w:color="auto" w:fill="C9E4FF"/>
            <w:noWrap/>
            <w:hideMark/>
          </w:tcPr>
          <w:p w14:paraId="4A9C215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8" w:type="pct"/>
            <w:tcBorders>
              <w:bottom w:val="single" w:sz="12" w:space="0" w:color="auto"/>
            </w:tcBorders>
            <w:shd w:val="clear" w:color="auto" w:fill="C9E4FF"/>
            <w:noWrap/>
            <w:hideMark/>
          </w:tcPr>
          <w:p w14:paraId="62B8B2C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61" w:type="pct"/>
            <w:tcBorders>
              <w:bottom w:val="single" w:sz="12" w:space="0" w:color="auto"/>
            </w:tcBorders>
            <w:shd w:val="clear" w:color="auto" w:fill="C9E4FF"/>
            <w:noWrap/>
            <w:hideMark/>
          </w:tcPr>
          <w:p w14:paraId="62AEFC1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4" w:type="pct"/>
            <w:tcBorders>
              <w:bottom w:val="single" w:sz="12" w:space="0" w:color="auto"/>
            </w:tcBorders>
            <w:shd w:val="clear" w:color="auto" w:fill="B3FFB3"/>
            <w:noWrap/>
            <w:hideMark/>
          </w:tcPr>
          <w:p w14:paraId="6E09037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2,727</w:t>
            </w:r>
          </w:p>
        </w:tc>
        <w:tc>
          <w:tcPr>
            <w:tcW w:w="172" w:type="pct"/>
            <w:tcBorders>
              <w:bottom w:val="single" w:sz="12" w:space="0" w:color="auto"/>
            </w:tcBorders>
            <w:shd w:val="clear" w:color="auto" w:fill="B3FFB3"/>
            <w:noWrap/>
            <w:hideMark/>
          </w:tcPr>
          <w:p w14:paraId="6AD716F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92" w:type="pct"/>
            <w:tcBorders>
              <w:bottom w:val="single" w:sz="12" w:space="0" w:color="auto"/>
            </w:tcBorders>
            <w:shd w:val="clear" w:color="auto" w:fill="B3FFB3"/>
            <w:noWrap/>
            <w:hideMark/>
          </w:tcPr>
          <w:p w14:paraId="5899E69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146" w:type="pct"/>
            <w:tcBorders>
              <w:bottom w:val="single" w:sz="12" w:space="0" w:color="auto"/>
            </w:tcBorders>
            <w:shd w:val="clear" w:color="auto" w:fill="B3FFB3"/>
            <w:noWrap/>
            <w:hideMark/>
          </w:tcPr>
          <w:p w14:paraId="2330F4D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25" w:type="pct"/>
            <w:tcBorders>
              <w:bottom w:val="single" w:sz="12" w:space="0" w:color="auto"/>
            </w:tcBorders>
            <w:shd w:val="clear" w:color="auto" w:fill="B3FFB3"/>
            <w:noWrap/>
            <w:hideMark/>
          </w:tcPr>
          <w:p w14:paraId="282ECEB4"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3,950</w:t>
            </w:r>
          </w:p>
        </w:tc>
        <w:tc>
          <w:tcPr>
            <w:tcW w:w="146" w:type="pct"/>
            <w:tcBorders>
              <w:bottom w:val="single" w:sz="12" w:space="0" w:color="auto"/>
            </w:tcBorders>
            <w:shd w:val="clear" w:color="auto" w:fill="B3FFB3"/>
            <w:noWrap/>
            <w:hideMark/>
          </w:tcPr>
          <w:p w14:paraId="26BC920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61" w:type="pct"/>
            <w:tcBorders>
              <w:bottom w:val="single" w:sz="12" w:space="0" w:color="auto"/>
            </w:tcBorders>
            <w:shd w:val="clear" w:color="auto" w:fill="B3FFB3"/>
            <w:noWrap/>
            <w:hideMark/>
          </w:tcPr>
          <w:p w14:paraId="2B39F63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c>
          <w:tcPr>
            <w:tcW w:w="256" w:type="pct"/>
            <w:tcBorders>
              <w:bottom w:val="single" w:sz="12" w:space="0" w:color="auto"/>
            </w:tcBorders>
            <w:shd w:val="clear" w:color="auto" w:fill="B3FFB3"/>
            <w:noWrap/>
            <w:hideMark/>
          </w:tcPr>
          <w:p w14:paraId="69A6C11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sz w:val="18"/>
                <w:szCs w:val="20"/>
                <w:lang w:eastAsia="zh-CN"/>
              </w:rPr>
            </w:pPr>
            <w:r w:rsidRPr="005B1D19">
              <w:rPr>
                <w:sz w:val="18"/>
                <w:szCs w:val="20"/>
                <w:lang w:eastAsia="zh-CN"/>
              </w:rPr>
              <w:t>0</w:t>
            </w:r>
          </w:p>
        </w:tc>
      </w:tr>
      <w:tr w:rsidR="00A67BE9" w:rsidRPr="000663CF" w14:paraId="7524B6CD" w14:textId="77777777" w:rsidTr="00F0554A">
        <w:trPr>
          <w:trHeight w:val="293"/>
        </w:trPr>
        <w:tc>
          <w:tcPr>
            <w:cnfStyle w:val="001000000000" w:firstRow="0" w:lastRow="0" w:firstColumn="1" w:lastColumn="0" w:oddVBand="0" w:evenVBand="0" w:oddHBand="0" w:evenHBand="0" w:firstRowFirstColumn="0" w:firstRowLastColumn="0" w:lastRowFirstColumn="0" w:lastRowLastColumn="0"/>
            <w:tcW w:w="508" w:type="pct"/>
            <w:tcBorders>
              <w:top w:val="single" w:sz="12" w:space="0" w:color="auto"/>
            </w:tcBorders>
            <w:noWrap/>
            <w:hideMark/>
          </w:tcPr>
          <w:p w14:paraId="6E8C687A" w14:textId="77777777" w:rsidR="000663CF" w:rsidRPr="000663CF" w:rsidRDefault="000663CF" w:rsidP="000663CF">
            <w:pPr>
              <w:rPr>
                <w:lang w:eastAsia="zh-CN"/>
              </w:rPr>
            </w:pPr>
            <w:r w:rsidRPr="000663CF">
              <w:rPr>
                <w:lang w:eastAsia="zh-CN"/>
              </w:rPr>
              <w:t>Total:</w:t>
            </w:r>
          </w:p>
        </w:tc>
        <w:tc>
          <w:tcPr>
            <w:tcW w:w="387" w:type="pct"/>
            <w:tcBorders>
              <w:top w:val="single" w:sz="12" w:space="0" w:color="auto"/>
            </w:tcBorders>
            <w:noWrap/>
            <w:hideMark/>
          </w:tcPr>
          <w:p w14:paraId="1B90EFA2"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3,955,908</w:t>
            </w:r>
          </w:p>
        </w:tc>
        <w:tc>
          <w:tcPr>
            <w:tcW w:w="340" w:type="pct"/>
            <w:tcBorders>
              <w:top w:val="single" w:sz="12" w:space="0" w:color="auto"/>
            </w:tcBorders>
            <w:shd w:val="clear" w:color="auto" w:fill="FFFCCC" w:themeFill="background2" w:themeFillTint="33"/>
            <w:noWrap/>
            <w:hideMark/>
          </w:tcPr>
          <w:p w14:paraId="2245CF2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619,596</w:t>
            </w:r>
          </w:p>
        </w:tc>
        <w:tc>
          <w:tcPr>
            <w:tcW w:w="143" w:type="pct"/>
            <w:tcBorders>
              <w:top w:val="single" w:sz="12" w:space="0" w:color="auto"/>
            </w:tcBorders>
            <w:shd w:val="clear" w:color="auto" w:fill="FFFCCC" w:themeFill="background2" w:themeFillTint="33"/>
            <w:noWrap/>
            <w:hideMark/>
          </w:tcPr>
          <w:p w14:paraId="6B27DE1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16</w:t>
            </w:r>
          </w:p>
        </w:tc>
        <w:tc>
          <w:tcPr>
            <w:tcW w:w="279" w:type="pct"/>
            <w:tcBorders>
              <w:top w:val="single" w:sz="12" w:space="0" w:color="auto"/>
            </w:tcBorders>
            <w:shd w:val="clear" w:color="auto" w:fill="C9E4FF"/>
            <w:noWrap/>
            <w:hideMark/>
          </w:tcPr>
          <w:p w14:paraId="737FB53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1,863,985</w:t>
            </w:r>
          </w:p>
        </w:tc>
        <w:tc>
          <w:tcPr>
            <w:tcW w:w="143" w:type="pct"/>
            <w:tcBorders>
              <w:top w:val="single" w:sz="12" w:space="0" w:color="auto"/>
            </w:tcBorders>
            <w:shd w:val="clear" w:color="auto" w:fill="C9E4FF"/>
            <w:noWrap/>
            <w:hideMark/>
          </w:tcPr>
          <w:p w14:paraId="0557633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47</w:t>
            </w:r>
          </w:p>
        </w:tc>
        <w:tc>
          <w:tcPr>
            <w:tcW w:w="238" w:type="pct"/>
            <w:tcBorders>
              <w:top w:val="single" w:sz="12" w:space="0" w:color="auto"/>
            </w:tcBorders>
            <w:shd w:val="clear" w:color="auto" w:fill="C9E4FF"/>
            <w:noWrap/>
            <w:hideMark/>
          </w:tcPr>
          <w:p w14:paraId="0484CD15"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173,565</w:t>
            </w:r>
          </w:p>
        </w:tc>
        <w:tc>
          <w:tcPr>
            <w:tcW w:w="143" w:type="pct"/>
            <w:tcBorders>
              <w:top w:val="single" w:sz="12" w:space="0" w:color="auto"/>
            </w:tcBorders>
            <w:shd w:val="clear" w:color="auto" w:fill="C9E4FF"/>
            <w:noWrap/>
            <w:hideMark/>
          </w:tcPr>
          <w:p w14:paraId="75BC4B49"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4</w:t>
            </w:r>
          </w:p>
        </w:tc>
        <w:tc>
          <w:tcPr>
            <w:tcW w:w="241" w:type="pct"/>
            <w:tcBorders>
              <w:top w:val="single" w:sz="12" w:space="0" w:color="auto"/>
            </w:tcBorders>
            <w:shd w:val="clear" w:color="auto" w:fill="C9E4FF"/>
            <w:noWrap/>
            <w:hideMark/>
          </w:tcPr>
          <w:p w14:paraId="53A1134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520,842</w:t>
            </w:r>
          </w:p>
        </w:tc>
        <w:tc>
          <w:tcPr>
            <w:tcW w:w="143" w:type="pct"/>
            <w:tcBorders>
              <w:top w:val="single" w:sz="12" w:space="0" w:color="auto"/>
            </w:tcBorders>
            <w:shd w:val="clear" w:color="auto" w:fill="C9E4FF"/>
            <w:noWrap/>
            <w:hideMark/>
          </w:tcPr>
          <w:p w14:paraId="656C4F1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13</w:t>
            </w:r>
          </w:p>
        </w:tc>
        <w:tc>
          <w:tcPr>
            <w:tcW w:w="213" w:type="pct"/>
            <w:tcBorders>
              <w:top w:val="single" w:sz="12" w:space="0" w:color="auto"/>
            </w:tcBorders>
            <w:shd w:val="clear" w:color="auto" w:fill="C9E4FF"/>
            <w:noWrap/>
            <w:hideMark/>
          </w:tcPr>
          <w:p w14:paraId="07234B8D" w14:textId="0C87D621" w:rsidR="000663CF" w:rsidRPr="005B1D19" w:rsidRDefault="00951689"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Pr>
                <w:b/>
                <w:sz w:val="18"/>
                <w:szCs w:val="20"/>
                <w:lang w:eastAsia="zh-CN"/>
              </w:rPr>
              <w:t>33,680</w:t>
            </w:r>
          </w:p>
        </w:tc>
        <w:tc>
          <w:tcPr>
            <w:tcW w:w="143" w:type="pct"/>
            <w:tcBorders>
              <w:top w:val="single" w:sz="12" w:space="0" w:color="auto"/>
            </w:tcBorders>
            <w:shd w:val="clear" w:color="auto" w:fill="C9E4FF"/>
            <w:noWrap/>
            <w:hideMark/>
          </w:tcPr>
          <w:p w14:paraId="70160F0D"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1</w:t>
            </w:r>
          </w:p>
        </w:tc>
        <w:tc>
          <w:tcPr>
            <w:tcW w:w="268" w:type="pct"/>
            <w:tcBorders>
              <w:top w:val="single" w:sz="12" w:space="0" w:color="auto"/>
            </w:tcBorders>
            <w:shd w:val="clear" w:color="auto" w:fill="C9E4FF"/>
            <w:noWrap/>
            <w:hideMark/>
          </w:tcPr>
          <w:p w14:paraId="194C53B8"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336,351</w:t>
            </w:r>
          </w:p>
        </w:tc>
        <w:tc>
          <w:tcPr>
            <w:tcW w:w="161" w:type="pct"/>
            <w:tcBorders>
              <w:top w:val="single" w:sz="12" w:space="0" w:color="auto"/>
            </w:tcBorders>
            <w:shd w:val="clear" w:color="auto" w:fill="C9E4FF"/>
            <w:noWrap/>
            <w:hideMark/>
          </w:tcPr>
          <w:p w14:paraId="20348633"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9</w:t>
            </w:r>
          </w:p>
        </w:tc>
        <w:tc>
          <w:tcPr>
            <w:tcW w:w="254" w:type="pct"/>
            <w:tcBorders>
              <w:top w:val="single" w:sz="12" w:space="0" w:color="auto"/>
            </w:tcBorders>
            <w:shd w:val="clear" w:color="auto" w:fill="B3FFB3"/>
            <w:noWrap/>
            <w:hideMark/>
          </w:tcPr>
          <w:p w14:paraId="1A0D098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15,728</w:t>
            </w:r>
          </w:p>
        </w:tc>
        <w:tc>
          <w:tcPr>
            <w:tcW w:w="172" w:type="pct"/>
            <w:tcBorders>
              <w:top w:val="single" w:sz="12" w:space="0" w:color="auto"/>
            </w:tcBorders>
            <w:shd w:val="clear" w:color="auto" w:fill="B3FFB3"/>
            <w:noWrap/>
            <w:hideMark/>
          </w:tcPr>
          <w:p w14:paraId="01333FF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0</w:t>
            </w:r>
          </w:p>
        </w:tc>
        <w:tc>
          <w:tcPr>
            <w:tcW w:w="192" w:type="pct"/>
            <w:tcBorders>
              <w:top w:val="single" w:sz="12" w:space="0" w:color="auto"/>
            </w:tcBorders>
            <w:shd w:val="clear" w:color="auto" w:fill="B3FFB3"/>
            <w:noWrap/>
            <w:hideMark/>
          </w:tcPr>
          <w:p w14:paraId="26297186"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2,185</w:t>
            </w:r>
          </w:p>
        </w:tc>
        <w:tc>
          <w:tcPr>
            <w:tcW w:w="146" w:type="pct"/>
            <w:tcBorders>
              <w:top w:val="single" w:sz="12" w:space="0" w:color="auto"/>
            </w:tcBorders>
            <w:shd w:val="clear" w:color="auto" w:fill="B3FFB3"/>
            <w:noWrap/>
            <w:hideMark/>
          </w:tcPr>
          <w:p w14:paraId="1EF4DB27"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0</w:t>
            </w:r>
          </w:p>
        </w:tc>
        <w:tc>
          <w:tcPr>
            <w:tcW w:w="225" w:type="pct"/>
            <w:tcBorders>
              <w:top w:val="single" w:sz="12" w:space="0" w:color="auto"/>
            </w:tcBorders>
            <w:shd w:val="clear" w:color="auto" w:fill="B3FFB3"/>
            <w:noWrap/>
            <w:hideMark/>
          </w:tcPr>
          <w:p w14:paraId="3288325C"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96,527</w:t>
            </w:r>
          </w:p>
        </w:tc>
        <w:tc>
          <w:tcPr>
            <w:tcW w:w="146" w:type="pct"/>
            <w:tcBorders>
              <w:top w:val="single" w:sz="12" w:space="0" w:color="auto"/>
            </w:tcBorders>
            <w:shd w:val="clear" w:color="auto" w:fill="B3FFB3"/>
            <w:noWrap/>
            <w:hideMark/>
          </w:tcPr>
          <w:p w14:paraId="2E00C4AF"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2</w:t>
            </w:r>
          </w:p>
        </w:tc>
        <w:tc>
          <w:tcPr>
            <w:tcW w:w="261" w:type="pct"/>
            <w:tcBorders>
              <w:top w:val="single" w:sz="12" w:space="0" w:color="auto"/>
            </w:tcBorders>
            <w:shd w:val="clear" w:color="auto" w:fill="B3FFB3"/>
            <w:noWrap/>
            <w:hideMark/>
          </w:tcPr>
          <w:p w14:paraId="6E8633D1"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293,449</w:t>
            </w:r>
          </w:p>
        </w:tc>
        <w:tc>
          <w:tcPr>
            <w:tcW w:w="256" w:type="pct"/>
            <w:tcBorders>
              <w:top w:val="single" w:sz="12" w:space="0" w:color="auto"/>
            </w:tcBorders>
            <w:shd w:val="clear" w:color="auto" w:fill="B3FFB3"/>
            <w:noWrap/>
            <w:hideMark/>
          </w:tcPr>
          <w:p w14:paraId="2D7ED100" w14:textId="77777777" w:rsidR="000663CF" w:rsidRPr="005B1D19" w:rsidRDefault="000663CF" w:rsidP="000663CF">
            <w:pPr>
              <w:jc w:val="right"/>
              <w:cnfStyle w:val="000000000000" w:firstRow="0" w:lastRow="0" w:firstColumn="0" w:lastColumn="0" w:oddVBand="0" w:evenVBand="0" w:oddHBand="0" w:evenHBand="0" w:firstRowFirstColumn="0" w:firstRowLastColumn="0" w:lastRowFirstColumn="0" w:lastRowLastColumn="0"/>
              <w:rPr>
                <w:b/>
                <w:sz w:val="18"/>
                <w:szCs w:val="20"/>
                <w:lang w:eastAsia="zh-CN"/>
              </w:rPr>
            </w:pPr>
            <w:r w:rsidRPr="005B1D19">
              <w:rPr>
                <w:b/>
                <w:sz w:val="18"/>
                <w:szCs w:val="20"/>
                <w:lang w:eastAsia="zh-CN"/>
              </w:rPr>
              <w:t>7</w:t>
            </w:r>
          </w:p>
        </w:tc>
      </w:tr>
    </w:tbl>
    <w:p w14:paraId="39918E1A" w14:textId="7D64C6DB" w:rsidR="00B620DF" w:rsidRPr="00C61C7A" w:rsidRDefault="00B620DF" w:rsidP="000663CF">
      <w:pPr>
        <w:spacing w:after="0" w:line="256" w:lineRule="auto"/>
        <w:rPr>
          <w:rFonts w:eastAsia="Calibri" w:cs="Times New Roman"/>
          <w:spacing w:val="0"/>
          <w:sz w:val="18"/>
          <w:szCs w:val="18"/>
        </w:rPr>
      </w:pPr>
      <w:r w:rsidRPr="00B620DF">
        <w:rPr>
          <w:rFonts w:eastAsia="Calibri" w:cs="Times New Roman"/>
          <w:spacing w:val="0"/>
          <w:sz w:val="18"/>
          <w:szCs w:val="18"/>
        </w:rPr>
        <w:t>(a) Percentages are a proportion of MBS funding (second column)</w:t>
      </w:r>
    </w:p>
    <w:p w14:paraId="1E2DB75F" w14:textId="3CAA1561" w:rsidR="000663CF" w:rsidRPr="00C61C7A" w:rsidRDefault="000663CF" w:rsidP="000663CF">
      <w:pPr>
        <w:spacing w:after="0" w:line="256" w:lineRule="auto"/>
        <w:rPr>
          <w:rFonts w:eastAsia="Calibri" w:cs="Times New Roman"/>
          <w:spacing w:val="0"/>
          <w:sz w:val="18"/>
          <w:szCs w:val="18"/>
        </w:rPr>
      </w:pPr>
      <w:r w:rsidRPr="00C61C7A">
        <w:rPr>
          <w:rFonts w:eastAsia="Calibri" w:cs="Times New Roman"/>
          <w:spacing w:val="0"/>
          <w:sz w:val="18"/>
          <w:szCs w:val="18"/>
        </w:rPr>
        <w:t>(b) Meekatha</w:t>
      </w:r>
      <w:r w:rsidR="00F97F43">
        <w:rPr>
          <w:rFonts w:eastAsia="Calibri" w:cs="Times New Roman"/>
          <w:spacing w:val="0"/>
          <w:sz w:val="18"/>
          <w:szCs w:val="18"/>
        </w:rPr>
        <w:t>r</w:t>
      </w:r>
      <w:r w:rsidRPr="00C61C7A">
        <w:rPr>
          <w:rFonts w:eastAsia="Calibri" w:cs="Times New Roman"/>
          <w:spacing w:val="0"/>
          <w:sz w:val="18"/>
          <w:szCs w:val="18"/>
        </w:rPr>
        <w:t>ra annual report contained nil data on reinvestment, due to changed model of care arrangements, including attracting a GP to the town to deliver private practice GP services and on-call emergency services o</w:t>
      </w:r>
      <w:r w:rsidR="00F97F43">
        <w:rPr>
          <w:rFonts w:eastAsia="Calibri" w:cs="Times New Roman"/>
          <w:spacing w:val="0"/>
          <w:sz w:val="18"/>
          <w:szCs w:val="18"/>
        </w:rPr>
        <w:t>f</w:t>
      </w:r>
      <w:r w:rsidRPr="00C61C7A">
        <w:rPr>
          <w:rFonts w:eastAsia="Calibri" w:cs="Times New Roman"/>
          <w:spacing w:val="0"/>
          <w:sz w:val="18"/>
          <w:szCs w:val="18"/>
        </w:rPr>
        <w:t xml:space="preserve"> the hospital.</w:t>
      </w:r>
    </w:p>
    <w:p w14:paraId="2005574F" w14:textId="5012E8BD" w:rsidR="00B620DF" w:rsidRPr="00B620DF" w:rsidRDefault="00B620DF" w:rsidP="00B620DF">
      <w:pPr>
        <w:spacing w:after="160" w:line="256" w:lineRule="auto"/>
        <w:rPr>
          <w:rFonts w:eastAsia="Calibri" w:cs="Times New Roman"/>
          <w:spacing w:val="0"/>
          <w:sz w:val="18"/>
          <w:szCs w:val="18"/>
        </w:rPr>
      </w:pPr>
      <w:r w:rsidRPr="00B620DF">
        <w:rPr>
          <w:rFonts w:eastAsia="Times New Roman" w:cs="Calibri"/>
          <w:color w:val="000000"/>
          <w:spacing w:val="0"/>
          <w:sz w:val="18"/>
          <w:szCs w:val="18"/>
          <w:lang w:eastAsia="zh-CN"/>
        </w:rPr>
        <w:t>Source:</w:t>
      </w:r>
      <w:r w:rsidR="00AA0059">
        <w:rPr>
          <w:rFonts w:eastAsia="Times New Roman" w:cs="Calibri"/>
          <w:color w:val="000000"/>
          <w:spacing w:val="0"/>
          <w:sz w:val="18"/>
          <w:szCs w:val="18"/>
          <w:lang w:eastAsia="zh-CN"/>
        </w:rPr>
        <w:t xml:space="preserve"> </w:t>
      </w:r>
      <w:r w:rsidRPr="00B620DF">
        <w:rPr>
          <w:rFonts w:eastAsia="Times New Roman" w:cs="Calibri"/>
          <w:color w:val="000000"/>
          <w:spacing w:val="0"/>
          <w:sz w:val="18"/>
          <w:szCs w:val="18"/>
          <w:lang w:eastAsia="zh-CN"/>
        </w:rPr>
        <w:t>Initiative Annual Reports</w:t>
      </w:r>
      <w:r w:rsidR="00C61C7A" w:rsidRPr="00C61C7A">
        <w:rPr>
          <w:rFonts w:eastAsia="Times New Roman" w:cs="Calibri"/>
          <w:color w:val="000000"/>
          <w:spacing w:val="0"/>
          <w:sz w:val="18"/>
          <w:szCs w:val="18"/>
          <w:lang w:eastAsia="zh-CN"/>
        </w:rPr>
        <w:t>, 20</w:t>
      </w:r>
      <w:r w:rsidRPr="00B620DF">
        <w:rPr>
          <w:rFonts w:eastAsia="Times New Roman" w:cs="Calibri"/>
          <w:color w:val="000000"/>
          <w:spacing w:val="0"/>
          <w:sz w:val="18"/>
          <w:szCs w:val="18"/>
          <w:lang w:eastAsia="zh-CN"/>
        </w:rPr>
        <w:t>19</w:t>
      </w:r>
      <w:r w:rsidR="00F97F43">
        <w:rPr>
          <w:rFonts w:ascii="Calibri" w:eastAsia="Times New Roman" w:hAnsi="Calibri" w:cs="Calibri"/>
          <w:color w:val="000000"/>
          <w:spacing w:val="0"/>
          <w:sz w:val="18"/>
          <w:szCs w:val="18"/>
          <w:lang w:eastAsia="zh-CN"/>
        </w:rPr>
        <w:t>‒</w:t>
      </w:r>
      <w:r w:rsidRPr="00B620DF">
        <w:rPr>
          <w:rFonts w:eastAsia="Times New Roman" w:cs="Calibri"/>
          <w:color w:val="000000"/>
          <w:spacing w:val="0"/>
          <w:sz w:val="18"/>
          <w:szCs w:val="18"/>
          <w:lang w:eastAsia="zh-CN"/>
        </w:rPr>
        <w:t>20</w:t>
      </w:r>
    </w:p>
    <w:p w14:paraId="6A0DE16D" w14:textId="38FB4C81" w:rsidR="0061627F" w:rsidRDefault="0061627F" w:rsidP="00CC2420"/>
    <w:p w14:paraId="1BB2D0B3" w14:textId="455340DC" w:rsidR="0061627F" w:rsidRDefault="0061627F" w:rsidP="00CC2420"/>
    <w:p w14:paraId="25EC0C85" w14:textId="54704C56" w:rsidR="0061627F" w:rsidRDefault="0061627F" w:rsidP="00CC2420"/>
    <w:p w14:paraId="732D6F7B" w14:textId="77777777" w:rsidR="005B1D19" w:rsidRDefault="005B1D19" w:rsidP="00CC2420"/>
    <w:p w14:paraId="78AFDFD9" w14:textId="77777777" w:rsidR="0061627F" w:rsidRDefault="0061627F" w:rsidP="00CC2420"/>
    <w:p w14:paraId="508144F8" w14:textId="77777777" w:rsidR="0061627F" w:rsidRDefault="0061627F" w:rsidP="00CC2420">
      <w:pPr>
        <w:sectPr w:rsidR="0061627F" w:rsidSect="0061627F">
          <w:pgSz w:w="16838" w:h="11906" w:orient="landscape" w:code="9"/>
          <w:pgMar w:top="737" w:right="1304" w:bottom="1134" w:left="737" w:header="567" w:footer="284" w:gutter="0"/>
          <w:cols w:space="708"/>
          <w:docGrid w:linePitch="360"/>
        </w:sectPr>
      </w:pPr>
    </w:p>
    <w:p w14:paraId="1746D7AA" w14:textId="6F923F41" w:rsidR="0014033A" w:rsidRDefault="0014033A" w:rsidP="0014033A">
      <w:r w:rsidRPr="00D05C05">
        <w:lastRenderedPageBreak/>
        <w:t>The case study analysis indicate</w:t>
      </w:r>
      <w:r w:rsidR="00E220C4">
        <w:t>d</w:t>
      </w:r>
      <w:r w:rsidRPr="00D05C05">
        <w:t xml:space="preserve"> that in the Northern Territory and Queensland</w:t>
      </w:r>
      <w:r w:rsidR="00F36390">
        <w:t>,</w:t>
      </w:r>
      <w:r w:rsidRPr="00D05C05">
        <w:t xml:space="preserve"> the majority of revenue</w:t>
      </w:r>
      <w:r>
        <w:t xml:space="preserve"> (53% of funds available for reinvestment) were allocated</w:t>
      </w:r>
      <w:r w:rsidRPr="00D05C05">
        <w:t xml:space="preserve"> </w:t>
      </w:r>
      <w:r>
        <w:t>to</w:t>
      </w:r>
      <w:r w:rsidRPr="00D05C05">
        <w:t xml:space="preserve"> medical officer salaries including Senior Medical Officers</w:t>
      </w:r>
      <w:r>
        <w:t xml:space="preserve"> (SMOs)</w:t>
      </w:r>
      <w:r w:rsidRPr="00D05C05">
        <w:t xml:space="preserve">, junior doctors and medical locums. </w:t>
      </w:r>
      <w:r>
        <w:t>This was not surprising based on the award arrangements that operate in those jurisdictions, partially linking hospital doctor salaries to MBS billing (see Section 2.</w:t>
      </w:r>
      <w:r w:rsidR="00386E36">
        <w:t>7</w:t>
      </w:r>
      <w:r>
        <w:t>).</w:t>
      </w:r>
      <w:bookmarkStart w:id="94" w:name="_Hlk75804556"/>
    </w:p>
    <w:bookmarkEnd w:id="94"/>
    <w:p w14:paraId="43B51598" w14:textId="76D26784" w:rsidR="0014033A" w:rsidRPr="00D05C05" w:rsidRDefault="0014033A" w:rsidP="0014033A">
      <w:r w:rsidRPr="00D05C05">
        <w:t xml:space="preserve">In NSW, the GP VMO </w:t>
      </w:r>
      <w:r>
        <w:t xml:space="preserve">arrangements </w:t>
      </w:r>
      <w:r w:rsidRPr="00D05C05">
        <w:t>operate where</w:t>
      </w:r>
      <w:r>
        <w:t>by</w:t>
      </w:r>
      <w:r w:rsidRPr="00D05C05">
        <w:t xml:space="preserve"> GPs are contracted to provide services to the hospital rather than </w:t>
      </w:r>
      <w:r w:rsidR="00B439E4">
        <w:t xml:space="preserve">being </w:t>
      </w:r>
      <w:r w:rsidRPr="00D05C05">
        <w:t>directly employed by the LHN</w:t>
      </w:r>
      <w:r>
        <w:t xml:space="preserve">. The use of these arrangements is reflected in the </w:t>
      </w:r>
      <w:r w:rsidR="00AA0059">
        <w:t xml:space="preserve">high </w:t>
      </w:r>
      <w:r>
        <w:t>allocation of funds to locum cover at Temora and Nyngan.</w:t>
      </w:r>
      <w:r>
        <w:rPr>
          <w:rStyle w:val="FootnoteReference"/>
        </w:rPr>
        <w:footnoteReference w:id="9"/>
      </w:r>
      <w:r>
        <w:t xml:space="preserve"> Similar arrangements applied at the Longreach case study. </w:t>
      </w:r>
    </w:p>
    <w:p w14:paraId="150A32B3" w14:textId="73EC17B2" w:rsidR="0014033A" w:rsidRDefault="0014033A" w:rsidP="0014033A">
      <w:r>
        <w:t>Analysis of the case study experiences indicated that the Initiative i</w:t>
      </w:r>
      <w:r w:rsidRPr="00D05C05">
        <w:t>nvestment in allied health and nursing was limited. Investment in allied health occurred</w:t>
      </w:r>
      <w:r>
        <w:t xml:space="preserve"> at</w:t>
      </w:r>
      <w:r w:rsidRPr="00D05C05">
        <w:t xml:space="preserve"> </w:t>
      </w:r>
      <w:r w:rsidR="00B439E4">
        <w:t>three</w:t>
      </w:r>
      <w:r>
        <w:t xml:space="preserve"> case study</w:t>
      </w:r>
      <w:r w:rsidRPr="00D05C05">
        <w:t xml:space="preserve"> sites and accounted for 10% of </w:t>
      </w:r>
      <w:r>
        <w:t xml:space="preserve">total case study </w:t>
      </w:r>
      <w:r w:rsidRPr="00D05C05">
        <w:t>revenue</w:t>
      </w:r>
      <w:r>
        <w:t xml:space="preserve"> reinvested</w:t>
      </w:r>
      <w:r w:rsidRPr="00D05C05">
        <w:t xml:space="preserve">. </w:t>
      </w:r>
      <w:r>
        <w:t>At s</w:t>
      </w:r>
      <w:r w:rsidRPr="00D05C05">
        <w:t>imilarly</w:t>
      </w:r>
      <w:r>
        <w:t xml:space="preserve"> low levels was</w:t>
      </w:r>
      <w:r w:rsidRPr="00D05C05">
        <w:t xml:space="preserve"> investment in nursing</w:t>
      </w:r>
      <w:r>
        <w:t>, which</w:t>
      </w:r>
      <w:r w:rsidRPr="00D05C05">
        <w:t xml:space="preserve"> accounted for 13% of </w:t>
      </w:r>
      <w:r>
        <w:t xml:space="preserve">overall </w:t>
      </w:r>
      <w:r w:rsidRPr="00D05C05">
        <w:t xml:space="preserve">revenue </w:t>
      </w:r>
      <w:r>
        <w:t xml:space="preserve">reinvestment, but at only </w:t>
      </w:r>
      <w:r w:rsidR="00B439E4">
        <w:t>four</w:t>
      </w:r>
      <w:r w:rsidRPr="00D05C05">
        <w:t xml:space="preserve"> </w:t>
      </w:r>
      <w:r>
        <w:t xml:space="preserve">case study </w:t>
      </w:r>
      <w:r w:rsidRPr="00D05C05">
        <w:t>sites. There was negligible investment in professional development and staff training across the case study sites</w:t>
      </w:r>
      <w:r>
        <w:t xml:space="preserve"> (under 2% of reinvested Initiative funds)</w:t>
      </w:r>
      <w:r w:rsidRPr="00D05C05">
        <w:t xml:space="preserve">. </w:t>
      </w:r>
    </w:p>
    <w:p w14:paraId="4347C5A2" w14:textId="25D449FC" w:rsidR="0014033A" w:rsidRDefault="0014033A" w:rsidP="0014033A">
      <w:r>
        <w:t>An illustration of how reinvestment of Initiative funds w</w:t>
      </w:r>
      <w:r w:rsidR="00F11C8C">
        <w:t>as</w:t>
      </w:r>
      <w:r>
        <w:t xml:space="preserve"> used to support the development of a healthcare workforce relevant to local needs is provided by Gundagai MPS (see the Case Study Box #2).</w:t>
      </w:r>
    </w:p>
    <w:p w14:paraId="0900A052" w14:textId="048485AE" w:rsidR="0014033A" w:rsidRDefault="0014033A" w:rsidP="0014033A"/>
    <w:p w14:paraId="6B09118A" w14:textId="77777777" w:rsidR="0014033A" w:rsidRDefault="0014033A" w:rsidP="0014033A"/>
    <w:p w14:paraId="705DC75F" w14:textId="293F3949" w:rsidR="0014033A" w:rsidRDefault="0014033A" w:rsidP="0014033A"/>
    <w:p w14:paraId="7985722B" w14:textId="735F03E6" w:rsidR="0014033A" w:rsidRDefault="0014033A" w:rsidP="0014033A"/>
    <w:p w14:paraId="1F2581DF" w14:textId="77777777" w:rsidR="00635EDE" w:rsidRDefault="00635EDE" w:rsidP="00635EDE"/>
    <w:p w14:paraId="7CDDA37C" w14:textId="0CE6A8A3" w:rsidR="00635EDE" w:rsidRDefault="00635EDE" w:rsidP="00635EDE">
      <w:pPr>
        <w:pStyle w:val="ProjectImplication"/>
      </w:pPr>
      <w:r>
        <w:t>CASE STUDY BOX #2</w:t>
      </w:r>
    </w:p>
    <w:p w14:paraId="00122F0B" w14:textId="19A04202" w:rsidR="00635EDE" w:rsidRDefault="0014033A" w:rsidP="00635EDE">
      <w:pPr>
        <w:pStyle w:val="ProjectImplication"/>
      </w:pPr>
      <w:r w:rsidRPr="00847B1A">
        <w:rPr>
          <w:b/>
          <w:bCs/>
        </w:rPr>
        <w:t>Gundagai</w:t>
      </w:r>
      <w:r w:rsidR="00B71AFE">
        <w:rPr>
          <w:b/>
          <w:bCs/>
        </w:rPr>
        <w:t xml:space="preserve"> MPS</w:t>
      </w:r>
      <w:r w:rsidRPr="00847B1A">
        <w:rPr>
          <w:b/>
          <w:bCs/>
        </w:rPr>
        <w:t xml:space="preserve">: using </w:t>
      </w:r>
      <w:r w:rsidR="00635EDE">
        <w:rPr>
          <w:b/>
          <w:bCs/>
        </w:rPr>
        <w:t xml:space="preserve">the </w:t>
      </w:r>
      <w:r w:rsidR="00A07293">
        <w:rPr>
          <w:b/>
          <w:bCs/>
        </w:rPr>
        <w:t>Initiative</w:t>
      </w:r>
      <w:r w:rsidRPr="00847B1A">
        <w:rPr>
          <w:b/>
          <w:bCs/>
        </w:rPr>
        <w:t xml:space="preserve"> to improve access to </w:t>
      </w:r>
      <w:r w:rsidR="00635EDE">
        <w:rPr>
          <w:b/>
          <w:bCs/>
        </w:rPr>
        <w:t xml:space="preserve">a broader </w:t>
      </w:r>
      <w:r w:rsidRPr="00847B1A">
        <w:rPr>
          <w:b/>
          <w:bCs/>
        </w:rPr>
        <w:t>primary care workforce</w:t>
      </w:r>
    </w:p>
    <w:p w14:paraId="625F3EF9" w14:textId="77777777" w:rsidR="00635EDE" w:rsidRDefault="0014033A" w:rsidP="00635EDE">
      <w:pPr>
        <w:pStyle w:val="ProjectImplication"/>
      </w:pPr>
      <w:r>
        <w:t xml:space="preserve">Gundagai is in the Riverina of NSW and situated within the Murrumbidgee LHD. The township and surrounds have a population of 1,925. Gundagai has an MPS (30 bed facility with 12 hospital care beds and 18 residential aged care facility beds) and one private general practice providing community based primary care, emergency care and inpatient care. The practice has a registrar in the hospital during the day with the GP fellows on-call to support the registrar at the hospital where required. The doctors are remunerated for VMO services under the NSW RDA Settlement package. </w:t>
      </w:r>
    </w:p>
    <w:p w14:paraId="49664C41" w14:textId="091B0C14" w:rsidR="00635EDE" w:rsidRDefault="0014033A" w:rsidP="00635EDE">
      <w:pPr>
        <w:pStyle w:val="ProjectImplication"/>
      </w:pPr>
      <w:r>
        <w:t>The practice has a patient load of approximately 3,000</w:t>
      </w:r>
      <w:r w:rsidR="00B71AFE">
        <w:t xml:space="preserve"> Standardised Whole Patient Equivalent</w:t>
      </w:r>
      <w:r>
        <w:t xml:space="preserve"> </w:t>
      </w:r>
      <w:r w:rsidR="00B71AFE">
        <w:t>(</w:t>
      </w:r>
      <w:r>
        <w:t>SWPE</w:t>
      </w:r>
      <w:r w:rsidR="00B71AFE">
        <w:t>)</w:t>
      </w:r>
      <w:r>
        <w:t xml:space="preserve"> but requires a minimum of </w:t>
      </w:r>
      <w:r w:rsidR="00CB1E8E">
        <w:t>five</w:t>
      </w:r>
      <w:r>
        <w:t xml:space="preserve"> doctors to manage a sustainable on-call roster for the town and manage workload balance to retain GPs and Registrars. However, Medicare revenue from this patient base is insufficient to support 5 FTE GPs (8 headcount) and general practice running costs. </w:t>
      </w:r>
    </w:p>
    <w:p w14:paraId="478952CF" w14:textId="26CE5EE8" w:rsidR="0014033A" w:rsidRPr="00DC06C2" w:rsidRDefault="0014033A" w:rsidP="00635EDE">
      <w:pPr>
        <w:pStyle w:val="ProjectImplication"/>
      </w:pPr>
      <w:r>
        <w:t xml:space="preserve">To support the sustainability of primary care and secondary care services in the community and build service delivery capacity, the Medical Centre has negotiated an agreement with the Murrumbidgee LHD to guarantee 24/7 coverage to Gundagai MPS by payment of a fixed amount of revenue generated through the Initiative. </w:t>
      </w:r>
      <w:r w:rsidRPr="00DC06C2">
        <w:t>The practice has used the Initiative revenue to contribute to employment of a Nurse Practitioner (1 FTE) and mental health nurse (0.6</w:t>
      </w:r>
      <w:r w:rsidR="00CB1E8E" w:rsidRPr="00DC06C2">
        <w:t> </w:t>
      </w:r>
      <w:r w:rsidRPr="00DC06C2">
        <w:t>FTE) within the practice supporting the development of an in-house multidisciplinary team, increased capacity for GP care planning and enhanced primary care, improved continuity of care, and further contributing to practice sustainability through Medicare generation.</w:t>
      </w:r>
    </w:p>
    <w:p w14:paraId="3B58E376" w14:textId="6AD6D6B7" w:rsidR="00CC069B" w:rsidRPr="00D05C05" w:rsidRDefault="00CC069B" w:rsidP="002F5024">
      <w:pPr>
        <w:spacing w:before="240"/>
      </w:pPr>
      <w:r w:rsidRPr="00D05C05">
        <w:lastRenderedPageBreak/>
        <w:t xml:space="preserve">Investment in equipment to support service delivery predominantly occurred </w:t>
      </w:r>
      <w:r>
        <w:t>at</w:t>
      </w:r>
      <w:r w:rsidRPr="00D05C05">
        <w:t xml:space="preserve"> NSW </w:t>
      </w:r>
      <w:r>
        <w:t xml:space="preserve">case study </w:t>
      </w:r>
      <w:r w:rsidRPr="00D05C05">
        <w:t>sites</w:t>
      </w:r>
      <w:r>
        <w:t xml:space="preserve"> but was negligible overall</w:t>
      </w:r>
      <w:r w:rsidRPr="00D05C05">
        <w:t xml:space="preserve">. </w:t>
      </w:r>
      <w:r>
        <w:t>The case study sites attributed equipment as a suitable way of allocating funds at NSW because of the generally lower average levels of funds at these sites (e.g. $46,413 funds available at Nyngan)</w:t>
      </w:r>
      <w:r w:rsidR="00B439E4">
        <w:t xml:space="preserve">. </w:t>
      </w:r>
      <w:r w:rsidRPr="00D05C05">
        <w:t>Where average funds were lower, there was less incentive to invest in workforce and so greater propensity to invest in equipment.</w:t>
      </w:r>
    </w:p>
    <w:p w14:paraId="5C1AF0DE" w14:textId="77777777" w:rsidR="00CC069B" w:rsidRDefault="00CC069B" w:rsidP="00CC069B">
      <w:r>
        <w:t>Allocation of Initiative reinvestment funds to a</w:t>
      </w:r>
      <w:r w:rsidRPr="00D05C05">
        <w:t xml:space="preserve">dministration represented 16% across the </w:t>
      </w:r>
      <w:r>
        <w:t>10</w:t>
      </w:r>
      <w:r w:rsidRPr="00D05C05">
        <w:t xml:space="preserve"> case study sites </w:t>
      </w:r>
      <w:r>
        <w:t xml:space="preserve">overall </w:t>
      </w:r>
      <w:r w:rsidRPr="00D05C05">
        <w:t>but varied considerably</w:t>
      </w:r>
      <w:r>
        <w:t xml:space="preserve"> by individual site</w:t>
      </w:r>
      <w:r w:rsidRPr="00D05C05">
        <w:t>.</w:t>
      </w:r>
      <w:r>
        <w:t xml:space="preserve"> </w:t>
      </w:r>
    </w:p>
    <w:p w14:paraId="5568CF94" w14:textId="1418E0BA" w:rsidR="00310BE7" w:rsidRPr="00310BE7" w:rsidRDefault="00F66DEB" w:rsidP="00B87DBD">
      <w:pPr>
        <w:spacing w:before="120"/>
      </w:pPr>
      <w:r>
        <w:t>Running i</w:t>
      </w:r>
      <w:r w:rsidR="00310BE7" w:rsidRPr="00310BE7">
        <w:t xml:space="preserve">n parallel </w:t>
      </w:r>
      <w:r>
        <w:t xml:space="preserve">with </w:t>
      </w:r>
      <w:r w:rsidR="00310BE7" w:rsidRPr="00310BE7">
        <w:t>th</w:t>
      </w:r>
      <w:r w:rsidR="00571126">
        <w:t xml:space="preserve">e </w:t>
      </w:r>
      <w:r w:rsidR="00310BE7" w:rsidRPr="00310BE7">
        <w:t xml:space="preserve">Initiative has been increased interest in </w:t>
      </w:r>
      <w:r>
        <w:t xml:space="preserve">development of </w:t>
      </w:r>
      <w:r w:rsidR="00310BE7" w:rsidRPr="00310BE7">
        <w:t xml:space="preserve">rural medical training models. Rural Generalist </w:t>
      </w:r>
      <w:r w:rsidR="00310BE7">
        <w:t xml:space="preserve">(RG) </w:t>
      </w:r>
      <w:r w:rsidR="00310BE7" w:rsidRPr="00310BE7">
        <w:t xml:space="preserve">training has been in place in Queensland for nearly 15 years and is being explored in NSW, the Northern Territory and WA. A key feature of the Queensland and Northern Territory model is the employment of the RG by the LHN (as a single employer) along their training pathway. Consultations with </w:t>
      </w:r>
      <w:r w:rsidR="00310BE7">
        <w:t>SMOs</w:t>
      </w:r>
      <w:r w:rsidR="00310BE7" w:rsidRPr="00310BE7">
        <w:t xml:space="preserve"> identified some reservations about the training model </w:t>
      </w:r>
      <w:r w:rsidR="00310BE7">
        <w:t>due to its</w:t>
      </w:r>
      <w:r w:rsidR="00310BE7" w:rsidRPr="00310BE7">
        <w:t xml:space="preserve"> </w:t>
      </w:r>
      <w:r w:rsidR="00310BE7">
        <w:t xml:space="preserve">perceived </w:t>
      </w:r>
      <w:r w:rsidR="00310BE7" w:rsidRPr="00310BE7">
        <w:t xml:space="preserve">greater emphasis </w:t>
      </w:r>
      <w:r w:rsidR="00310BE7">
        <w:t xml:space="preserve">on development of </w:t>
      </w:r>
      <w:r w:rsidR="00310BE7" w:rsidRPr="00310BE7">
        <w:t>hospital</w:t>
      </w:r>
      <w:r>
        <w:t>-</w:t>
      </w:r>
      <w:r w:rsidR="00310BE7" w:rsidRPr="00310BE7">
        <w:t xml:space="preserve">based </w:t>
      </w:r>
      <w:r w:rsidR="00310BE7">
        <w:t xml:space="preserve">skills, </w:t>
      </w:r>
      <w:r w:rsidR="00310BE7" w:rsidRPr="00310BE7">
        <w:t xml:space="preserve">rather than developing expertise in general practice. However, </w:t>
      </w:r>
      <w:r w:rsidR="000F5E89" w:rsidRPr="00F66DEB">
        <w:t>one</w:t>
      </w:r>
      <w:r w:rsidR="00310BE7" w:rsidRPr="00310BE7">
        <w:t xml:space="preserve"> </w:t>
      </w:r>
      <w:r w:rsidR="00B71AFE">
        <w:t>Initiative</w:t>
      </w:r>
      <w:r w:rsidR="00310BE7" w:rsidRPr="00310BE7">
        <w:t xml:space="preserve"> site</w:t>
      </w:r>
      <w:r w:rsidR="000F5E89">
        <w:t xml:space="preserve"> </w:t>
      </w:r>
      <w:r w:rsidR="00310BE7" w:rsidRPr="00310BE7">
        <w:t>ha</w:t>
      </w:r>
      <w:r>
        <w:t>s</w:t>
      </w:r>
      <w:r w:rsidR="00310BE7" w:rsidRPr="00310BE7">
        <w:t xml:space="preserve"> developed models where RG trainees alternate their time in hospital and local general practices to develop expertise in primary care as well as consolidating their specific advanced skill in the hospital (Proserpine). </w:t>
      </w:r>
    </w:p>
    <w:p w14:paraId="30F04D1D" w14:textId="31B5100E" w:rsidR="00310BE7" w:rsidRDefault="00310BE7" w:rsidP="00310BE7">
      <w:r w:rsidRPr="00310BE7">
        <w:t xml:space="preserve">In NSW, the Murrumbidgee LHD has progressed a separate </w:t>
      </w:r>
      <w:r w:rsidR="00783742">
        <w:t>S19</w:t>
      </w:r>
      <w:r w:rsidRPr="00310BE7">
        <w:t>(2) Exemption to trial a single employment model for RG training. Under this arrangement, the RG trainee is based in general practice, where the majority of their work occurs, and in-reaches to the hospital to provide acute care and advanced car</w:t>
      </w:r>
      <w:r w:rsidR="00DB178E">
        <w:t>e</w:t>
      </w:r>
      <w:r w:rsidRPr="00310BE7">
        <w:t xml:space="preserve">/ procedural services. There is continuing interest in exploring this model to develop an appropriately skilled medical workforce with skills to work across primary and secondary care, as well as enabling structural reform for rural workforce development. </w:t>
      </w:r>
    </w:p>
    <w:p w14:paraId="2900F0C8" w14:textId="5A3421E0" w:rsidR="007E68CF" w:rsidRDefault="00CF10A4" w:rsidP="007E68CF">
      <w:bookmarkStart w:id="95" w:name="_Hlk75949379"/>
      <w:r>
        <w:t>In the survey of Initiative sites</w:t>
      </w:r>
      <w:r w:rsidR="00B439E4">
        <w:t>,</w:t>
      </w:r>
      <w:r>
        <w:t xml:space="preserve"> facility managers were asked to assess whether the Initiative was an effective way of contributing to the attraction of the primary care workforce</w:t>
      </w:r>
      <w:r w:rsidR="007E68CF">
        <w:t>.</w:t>
      </w:r>
      <w:r w:rsidR="007E68CF" w:rsidRPr="007E68CF">
        <w:t xml:space="preserve"> </w:t>
      </w:r>
      <w:r w:rsidR="007E68CF">
        <w:t>Across all sites 32% of respondents (n=46) either ‘agreed’ or ‘strongly agreed’ with this assessment. The variation in this response rate by jurisdiction is shown in</w:t>
      </w:r>
      <w:r w:rsidR="00B439E4">
        <w:t xml:space="preserve"> </w:t>
      </w:r>
      <w:r w:rsidR="00B439E4">
        <w:fldChar w:fldCharType="begin"/>
      </w:r>
      <w:r w:rsidR="00B439E4">
        <w:instrText xml:space="preserve"> REF _Ref76127504 \h </w:instrText>
      </w:r>
      <w:r w:rsidR="00B439E4">
        <w:fldChar w:fldCharType="separate"/>
      </w:r>
      <w:r w:rsidR="00C50B67">
        <w:t xml:space="preserve">Table </w:t>
      </w:r>
      <w:r w:rsidR="00C50B67">
        <w:rPr>
          <w:noProof/>
        </w:rPr>
        <w:t>4</w:t>
      </w:r>
      <w:r w:rsidR="00C50B67">
        <w:t>.</w:t>
      </w:r>
      <w:r w:rsidR="00C50B67">
        <w:rPr>
          <w:noProof/>
        </w:rPr>
        <w:t>6</w:t>
      </w:r>
      <w:r w:rsidR="00B439E4">
        <w:fldChar w:fldCharType="end"/>
      </w:r>
      <w:r w:rsidR="007E68CF">
        <w:t>.</w:t>
      </w:r>
    </w:p>
    <w:p w14:paraId="566B9F00" w14:textId="77777777" w:rsidR="00CF10A4" w:rsidRDefault="00CF10A4" w:rsidP="00CF10A4"/>
    <w:p w14:paraId="4AAB0AD7" w14:textId="3DFCCD07" w:rsidR="00CF10A4" w:rsidRDefault="00CF10A4" w:rsidP="00CF10A4">
      <w:pPr>
        <w:pStyle w:val="Caption"/>
      </w:pPr>
      <w:bookmarkStart w:id="96" w:name="_Ref76127504"/>
      <w:r>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w:instrText>
      </w:r>
      <w:r w:rsidR="00A67BE9">
        <w:instrText xml:space="preserve">ABIC \s 1 </w:instrText>
      </w:r>
      <w:r w:rsidR="00A67BE9">
        <w:fldChar w:fldCharType="separate"/>
      </w:r>
      <w:r w:rsidR="00C50B67">
        <w:rPr>
          <w:noProof/>
        </w:rPr>
        <w:t>6</w:t>
      </w:r>
      <w:r w:rsidR="00A67BE9">
        <w:rPr>
          <w:noProof/>
        </w:rPr>
        <w:fldChar w:fldCharType="end"/>
      </w:r>
      <w:bookmarkEnd w:id="96"/>
      <w:r>
        <w:t xml:space="preserve">: </w:t>
      </w:r>
      <w:r w:rsidRPr="00B439E4">
        <w:rPr>
          <w:rStyle w:val="Caption-notboldChar"/>
        </w:rPr>
        <w:t>Assessment of the Initiative as an effective way to contribute to the attraction and retention of the primary care workforce</w:t>
      </w:r>
    </w:p>
    <w:tbl>
      <w:tblPr>
        <w:tblStyle w:val="HMATableA11"/>
        <w:tblW w:w="5000" w:type="pct"/>
        <w:tblLook w:val="04A0" w:firstRow="1" w:lastRow="0" w:firstColumn="1" w:lastColumn="0" w:noHBand="0" w:noVBand="1"/>
      </w:tblPr>
      <w:tblGrid>
        <w:gridCol w:w="2693"/>
        <w:gridCol w:w="1087"/>
        <w:gridCol w:w="1088"/>
        <w:gridCol w:w="1088"/>
        <w:gridCol w:w="1088"/>
      </w:tblGrid>
      <w:tr w:rsidR="00CF10A4" w:rsidRPr="00AE1E4A" w14:paraId="3BAF2C54" w14:textId="77777777" w:rsidTr="00473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1ECBC089" w14:textId="6FF57A19" w:rsidR="00CF10A4" w:rsidRPr="0036717D" w:rsidRDefault="00CF10A4" w:rsidP="00473E61">
            <w:pPr>
              <w:rPr>
                <w:color w:val="000000" w:themeColor="text1"/>
              </w:rPr>
            </w:pPr>
            <w:r w:rsidRPr="0036717D">
              <w:rPr>
                <w:color w:val="000000" w:themeColor="text1"/>
              </w:rPr>
              <w:t>Effectiveness of the Initiative in…</w:t>
            </w:r>
          </w:p>
        </w:tc>
        <w:tc>
          <w:tcPr>
            <w:tcW w:w="772" w:type="pct"/>
          </w:tcPr>
          <w:p w14:paraId="09A606DD" w14:textId="77777777" w:rsidR="00CF10A4" w:rsidRPr="0036717D" w:rsidRDefault="00CF10A4" w:rsidP="00473E61">
            <w:pPr>
              <w:cnfStyle w:val="100000000000" w:firstRow="1"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Disagree /strongly disagree</w:t>
            </w:r>
          </w:p>
        </w:tc>
        <w:tc>
          <w:tcPr>
            <w:tcW w:w="772" w:type="pct"/>
          </w:tcPr>
          <w:p w14:paraId="4161FD83" w14:textId="77777777" w:rsidR="00CF10A4" w:rsidRPr="0036717D" w:rsidRDefault="00CF10A4" w:rsidP="00473E61">
            <w:pPr>
              <w:cnfStyle w:val="100000000000" w:firstRow="1"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Neither agree nor disagree</w:t>
            </w:r>
          </w:p>
        </w:tc>
        <w:tc>
          <w:tcPr>
            <w:tcW w:w="772" w:type="pct"/>
          </w:tcPr>
          <w:p w14:paraId="67477164" w14:textId="77777777" w:rsidR="00CF10A4" w:rsidRPr="0036717D" w:rsidRDefault="00CF10A4" w:rsidP="00473E61">
            <w:pPr>
              <w:cnfStyle w:val="100000000000" w:firstRow="1"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Agree / strongly agree</w:t>
            </w:r>
          </w:p>
        </w:tc>
        <w:tc>
          <w:tcPr>
            <w:tcW w:w="772" w:type="pct"/>
          </w:tcPr>
          <w:p w14:paraId="3AD5EB43" w14:textId="77777777" w:rsidR="00CF10A4" w:rsidRPr="0036717D" w:rsidRDefault="00CF10A4" w:rsidP="00473E61">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n</w:t>
            </w:r>
          </w:p>
        </w:tc>
      </w:tr>
      <w:tr w:rsidR="00CF10A4" w:rsidRPr="00AE1E4A" w14:paraId="51B308A1" w14:textId="77777777" w:rsidTr="00473E61">
        <w:tc>
          <w:tcPr>
            <w:cnfStyle w:val="001000000000" w:firstRow="0" w:lastRow="0" w:firstColumn="1" w:lastColumn="0" w:oddVBand="0" w:evenVBand="0" w:oddHBand="0" w:evenHBand="0" w:firstRowFirstColumn="0" w:firstRowLastColumn="0" w:lastRowFirstColumn="0" w:lastRowLastColumn="0"/>
            <w:tcW w:w="1912" w:type="pct"/>
            <w:vAlign w:val="bottom"/>
          </w:tcPr>
          <w:p w14:paraId="4A4454D4" w14:textId="2CEAB67F" w:rsidR="00CF10A4" w:rsidRPr="0036717D" w:rsidRDefault="00CF10A4" w:rsidP="00473E61">
            <w:pPr>
              <w:rPr>
                <w:color w:val="000000" w:themeColor="text1"/>
                <w:szCs w:val="20"/>
              </w:rPr>
            </w:pPr>
            <w:r w:rsidRPr="0036717D">
              <w:rPr>
                <w:rFonts w:cs="Arial"/>
                <w:color w:val="000000" w:themeColor="text1"/>
                <w:szCs w:val="20"/>
              </w:rPr>
              <w:t>Contributing to the attraction and retention of the primary care workforce?</w:t>
            </w:r>
          </w:p>
        </w:tc>
        <w:tc>
          <w:tcPr>
            <w:tcW w:w="772" w:type="pct"/>
          </w:tcPr>
          <w:p w14:paraId="3A771957"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0613EDA9"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459111B5"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69613820"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CF10A4" w:rsidRPr="00AE1E4A" w14:paraId="3A254FE2"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5C5EDCA2" w14:textId="13CA3E13" w:rsidR="00CF10A4" w:rsidRPr="0036717D" w:rsidRDefault="009A4F03" w:rsidP="00473E61">
            <w:pPr>
              <w:rPr>
                <w:rFonts w:cs="Arial"/>
                <w:color w:val="000000" w:themeColor="text1"/>
                <w:szCs w:val="20"/>
              </w:rPr>
            </w:pPr>
            <w:r>
              <w:rPr>
                <w:b w:val="0"/>
                <w:bCs/>
                <w:color w:val="000000" w:themeColor="text1"/>
              </w:rPr>
              <w:t xml:space="preserve">   </w:t>
            </w:r>
            <w:r w:rsidR="00CF10A4" w:rsidRPr="0036717D">
              <w:rPr>
                <w:b w:val="0"/>
                <w:bCs/>
                <w:color w:val="000000" w:themeColor="text1"/>
              </w:rPr>
              <w:t xml:space="preserve"> All responses (NSW, Q</w:t>
            </w:r>
            <w:r w:rsidR="00173487">
              <w:rPr>
                <w:b w:val="0"/>
                <w:bCs/>
                <w:color w:val="000000" w:themeColor="text1"/>
              </w:rPr>
              <w:t>LD</w:t>
            </w:r>
            <w:r w:rsidR="00CF10A4" w:rsidRPr="0036717D">
              <w:rPr>
                <w:b w:val="0"/>
                <w:bCs/>
                <w:color w:val="000000" w:themeColor="text1"/>
              </w:rPr>
              <w:t>, WA, NT)</w:t>
            </w:r>
          </w:p>
        </w:tc>
        <w:tc>
          <w:tcPr>
            <w:tcW w:w="772" w:type="pct"/>
          </w:tcPr>
          <w:p w14:paraId="3E430C04" w14:textId="581F643E"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38%</w:t>
            </w:r>
          </w:p>
        </w:tc>
        <w:tc>
          <w:tcPr>
            <w:tcW w:w="772" w:type="pct"/>
          </w:tcPr>
          <w:p w14:paraId="2D30D523" w14:textId="443DF8C0"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30%</w:t>
            </w:r>
          </w:p>
        </w:tc>
        <w:tc>
          <w:tcPr>
            <w:tcW w:w="772" w:type="pct"/>
          </w:tcPr>
          <w:p w14:paraId="456D77D5" w14:textId="75D8A819"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32%</w:t>
            </w:r>
          </w:p>
        </w:tc>
        <w:tc>
          <w:tcPr>
            <w:tcW w:w="772" w:type="pct"/>
          </w:tcPr>
          <w:p w14:paraId="139AF13C" w14:textId="4611D631"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47</w:t>
            </w:r>
          </w:p>
        </w:tc>
      </w:tr>
      <w:tr w:rsidR="00CF10A4" w:rsidRPr="00AE1E4A" w14:paraId="3A796161" w14:textId="77777777" w:rsidTr="00473E61">
        <w:tc>
          <w:tcPr>
            <w:cnfStyle w:val="001000000000" w:firstRow="0" w:lastRow="0" w:firstColumn="1" w:lastColumn="0" w:oddVBand="0" w:evenVBand="0" w:oddHBand="0" w:evenHBand="0" w:firstRowFirstColumn="0" w:firstRowLastColumn="0" w:lastRowFirstColumn="0" w:lastRowLastColumn="0"/>
            <w:tcW w:w="1912" w:type="pct"/>
          </w:tcPr>
          <w:p w14:paraId="447656B6" w14:textId="0EF95593" w:rsidR="00CF10A4" w:rsidRPr="0036717D" w:rsidRDefault="009A4F03" w:rsidP="00473E61">
            <w:pPr>
              <w:rPr>
                <w:rFonts w:cs="Arial"/>
                <w:color w:val="000000" w:themeColor="text1"/>
                <w:szCs w:val="20"/>
              </w:rPr>
            </w:pPr>
            <w:r>
              <w:rPr>
                <w:b w:val="0"/>
                <w:bCs/>
                <w:i/>
                <w:iCs/>
                <w:color w:val="000000" w:themeColor="text1"/>
              </w:rPr>
              <w:t xml:space="preserve">   </w:t>
            </w:r>
            <w:r w:rsidR="00CF10A4" w:rsidRPr="0036717D">
              <w:rPr>
                <w:b w:val="0"/>
                <w:bCs/>
                <w:i/>
                <w:iCs/>
                <w:color w:val="000000" w:themeColor="text1"/>
              </w:rPr>
              <w:t xml:space="preserve"> NSW responses</w:t>
            </w:r>
          </w:p>
        </w:tc>
        <w:tc>
          <w:tcPr>
            <w:tcW w:w="772" w:type="pct"/>
          </w:tcPr>
          <w:p w14:paraId="0AE95425" w14:textId="07B2AA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26%</w:t>
            </w:r>
          </w:p>
        </w:tc>
        <w:tc>
          <w:tcPr>
            <w:tcW w:w="772" w:type="pct"/>
          </w:tcPr>
          <w:p w14:paraId="344DC29E" w14:textId="2AAA5E9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35%</w:t>
            </w:r>
          </w:p>
        </w:tc>
        <w:tc>
          <w:tcPr>
            <w:tcW w:w="772" w:type="pct"/>
          </w:tcPr>
          <w:p w14:paraId="26300390" w14:textId="468B64B4"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39%</w:t>
            </w:r>
          </w:p>
        </w:tc>
        <w:tc>
          <w:tcPr>
            <w:tcW w:w="772" w:type="pct"/>
          </w:tcPr>
          <w:p w14:paraId="1B056ED3"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23</w:t>
            </w:r>
          </w:p>
        </w:tc>
      </w:tr>
      <w:tr w:rsidR="00CF10A4" w:rsidRPr="00AE1E4A" w14:paraId="37BBD785"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5D99A013" w14:textId="2F2A17CB" w:rsidR="00CF10A4" w:rsidRPr="0036717D" w:rsidRDefault="009A4F03" w:rsidP="00473E61">
            <w:pPr>
              <w:rPr>
                <w:rFonts w:cs="Arial"/>
                <w:color w:val="000000" w:themeColor="text1"/>
                <w:szCs w:val="20"/>
              </w:rPr>
            </w:pPr>
            <w:r>
              <w:rPr>
                <w:b w:val="0"/>
                <w:bCs/>
                <w:i/>
                <w:iCs/>
                <w:color w:val="000000" w:themeColor="text1"/>
              </w:rPr>
              <w:t xml:space="preserve">   </w:t>
            </w:r>
            <w:r w:rsidR="00CF10A4" w:rsidRPr="0036717D">
              <w:rPr>
                <w:b w:val="0"/>
                <w:bCs/>
                <w:i/>
                <w:iCs/>
                <w:color w:val="000000" w:themeColor="text1"/>
              </w:rPr>
              <w:t xml:space="preserve"> Q</w:t>
            </w:r>
            <w:r w:rsidR="00173487">
              <w:rPr>
                <w:b w:val="0"/>
                <w:bCs/>
                <w:i/>
                <w:iCs/>
                <w:color w:val="000000" w:themeColor="text1"/>
              </w:rPr>
              <w:t>LD</w:t>
            </w:r>
            <w:r w:rsidR="00CF10A4" w:rsidRPr="0036717D">
              <w:rPr>
                <w:b w:val="0"/>
                <w:bCs/>
                <w:i/>
                <w:iCs/>
                <w:color w:val="000000" w:themeColor="text1"/>
              </w:rPr>
              <w:t xml:space="preserve"> responses </w:t>
            </w:r>
          </w:p>
        </w:tc>
        <w:tc>
          <w:tcPr>
            <w:tcW w:w="772" w:type="pct"/>
          </w:tcPr>
          <w:p w14:paraId="699EF0EF" w14:textId="3F0B66DD" w:rsidR="00CF10A4" w:rsidRPr="0036717D" w:rsidRDefault="00B71AFE"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14</w:t>
            </w:r>
            <w:r w:rsidR="00CF10A4" w:rsidRPr="0036717D">
              <w:rPr>
                <w:color w:val="000000" w:themeColor="text1"/>
              </w:rPr>
              <w:t>%</w:t>
            </w:r>
          </w:p>
        </w:tc>
        <w:tc>
          <w:tcPr>
            <w:tcW w:w="772" w:type="pct"/>
          </w:tcPr>
          <w:p w14:paraId="118E0095" w14:textId="40F8B2BF" w:rsidR="00CF10A4" w:rsidRPr="0036717D" w:rsidRDefault="00B71AFE"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29</w:t>
            </w:r>
            <w:r w:rsidR="00CF10A4" w:rsidRPr="0036717D">
              <w:rPr>
                <w:color w:val="000000" w:themeColor="text1"/>
              </w:rPr>
              <w:t>%</w:t>
            </w:r>
          </w:p>
        </w:tc>
        <w:tc>
          <w:tcPr>
            <w:tcW w:w="772" w:type="pct"/>
          </w:tcPr>
          <w:p w14:paraId="0FB8FBFE" w14:textId="3E591100" w:rsidR="00CF10A4" w:rsidRPr="0036717D" w:rsidRDefault="00B71AFE"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57</w:t>
            </w:r>
            <w:r w:rsidR="00CF10A4" w:rsidRPr="0036717D">
              <w:rPr>
                <w:color w:val="000000" w:themeColor="text1"/>
              </w:rPr>
              <w:t>%</w:t>
            </w:r>
          </w:p>
        </w:tc>
        <w:tc>
          <w:tcPr>
            <w:tcW w:w="772" w:type="pct"/>
          </w:tcPr>
          <w:p w14:paraId="46A80B07" w14:textId="17B429E7" w:rsidR="00CF10A4" w:rsidRPr="0036717D" w:rsidRDefault="00E464C2"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7</w:t>
            </w:r>
          </w:p>
        </w:tc>
      </w:tr>
      <w:tr w:rsidR="00CF10A4" w:rsidRPr="00AE1E4A" w14:paraId="197CF20F" w14:textId="77777777" w:rsidTr="00473E61">
        <w:tc>
          <w:tcPr>
            <w:cnfStyle w:val="001000000000" w:firstRow="0" w:lastRow="0" w:firstColumn="1" w:lastColumn="0" w:oddVBand="0" w:evenVBand="0" w:oddHBand="0" w:evenHBand="0" w:firstRowFirstColumn="0" w:firstRowLastColumn="0" w:lastRowFirstColumn="0" w:lastRowLastColumn="0"/>
            <w:tcW w:w="1912" w:type="pct"/>
          </w:tcPr>
          <w:p w14:paraId="3C47EA33" w14:textId="0A2FDD53" w:rsidR="00CF10A4" w:rsidRPr="0036717D" w:rsidRDefault="009A4F03" w:rsidP="00473E61">
            <w:pPr>
              <w:rPr>
                <w:rFonts w:cs="Arial"/>
                <w:color w:val="000000" w:themeColor="text1"/>
                <w:szCs w:val="20"/>
              </w:rPr>
            </w:pPr>
            <w:r>
              <w:rPr>
                <w:b w:val="0"/>
                <w:bCs/>
                <w:i/>
                <w:iCs/>
                <w:color w:val="000000" w:themeColor="text1"/>
              </w:rPr>
              <w:t xml:space="preserve">   </w:t>
            </w:r>
            <w:r w:rsidR="00CF10A4" w:rsidRPr="0036717D">
              <w:rPr>
                <w:b w:val="0"/>
                <w:bCs/>
                <w:i/>
                <w:iCs/>
                <w:color w:val="000000" w:themeColor="text1"/>
              </w:rPr>
              <w:t xml:space="preserve"> WA responses</w:t>
            </w:r>
          </w:p>
        </w:tc>
        <w:tc>
          <w:tcPr>
            <w:tcW w:w="772" w:type="pct"/>
          </w:tcPr>
          <w:p w14:paraId="2DF07B0C"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100%</w:t>
            </w:r>
          </w:p>
        </w:tc>
        <w:tc>
          <w:tcPr>
            <w:tcW w:w="772" w:type="pct"/>
          </w:tcPr>
          <w:p w14:paraId="7DAD5100"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0%</w:t>
            </w:r>
          </w:p>
        </w:tc>
        <w:tc>
          <w:tcPr>
            <w:tcW w:w="772" w:type="pct"/>
          </w:tcPr>
          <w:p w14:paraId="7D095E70"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0%</w:t>
            </w:r>
          </w:p>
        </w:tc>
        <w:tc>
          <w:tcPr>
            <w:tcW w:w="772" w:type="pct"/>
          </w:tcPr>
          <w:p w14:paraId="6B78EF30" w14:textId="77777777" w:rsidR="00CF10A4" w:rsidRPr="0036717D" w:rsidRDefault="00CF10A4"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36717D">
              <w:rPr>
                <w:color w:val="000000" w:themeColor="text1"/>
              </w:rPr>
              <w:t>11</w:t>
            </w:r>
          </w:p>
        </w:tc>
      </w:tr>
      <w:tr w:rsidR="00CF10A4" w:rsidRPr="00AE1E4A" w14:paraId="509442C1"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695EF965" w14:textId="10957036" w:rsidR="00CF10A4" w:rsidRPr="0036717D" w:rsidRDefault="009A4F03" w:rsidP="00473E61">
            <w:pPr>
              <w:rPr>
                <w:rFonts w:cs="Arial"/>
                <w:color w:val="000000" w:themeColor="text1"/>
                <w:szCs w:val="20"/>
              </w:rPr>
            </w:pPr>
            <w:r>
              <w:rPr>
                <w:b w:val="0"/>
                <w:bCs/>
                <w:i/>
                <w:iCs/>
                <w:color w:val="000000" w:themeColor="text1"/>
              </w:rPr>
              <w:t xml:space="preserve">   </w:t>
            </w:r>
            <w:r w:rsidR="00CF10A4" w:rsidRPr="0036717D">
              <w:rPr>
                <w:b w:val="0"/>
                <w:bCs/>
                <w:i/>
                <w:iCs/>
                <w:color w:val="000000" w:themeColor="text1"/>
              </w:rPr>
              <w:t xml:space="preserve"> NT responses</w:t>
            </w:r>
          </w:p>
        </w:tc>
        <w:tc>
          <w:tcPr>
            <w:tcW w:w="772" w:type="pct"/>
          </w:tcPr>
          <w:p w14:paraId="7B92909F" w14:textId="77777777"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33%</w:t>
            </w:r>
          </w:p>
        </w:tc>
        <w:tc>
          <w:tcPr>
            <w:tcW w:w="772" w:type="pct"/>
          </w:tcPr>
          <w:p w14:paraId="40C32A68" w14:textId="77777777"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50%</w:t>
            </w:r>
          </w:p>
        </w:tc>
        <w:tc>
          <w:tcPr>
            <w:tcW w:w="772" w:type="pct"/>
          </w:tcPr>
          <w:p w14:paraId="1A3EC15C" w14:textId="77777777"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17%</w:t>
            </w:r>
          </w:p>
        </w:tc>
        <w:tc>
          <w:tcPr>
            <w:tcW w:w="772" w:type="pct"/>
          </w:tcPr>
          <w:p w14:paraId="748C9746" w14:textId="77777777" w:rsidR="00CF10A4" w:rsidRPr="0036717D" w:rsidRDefault="00CF10A4"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sidRPr="0036717D">
              <w:rPr>
                <w:color w:val="000000" w:themeColor="text1"/>
              </w:rPr>
              <w:t>6</w:t>
            </w:r>
          </w:p>
        </w:tc>
      </w:tr>
    </w:tbl>
    <w:p w14:paraId="62D1B65C" w14:textId="3181680C" w:rsidR="00CF10A4" w:rsidRPr="008A29CE" w:rsidRDefault="00CF10A4" w:rsidP="00CF10A4">
      <w:pPr>
        <w:ind w:firstLine="720"/>
        <w:rPr>
          <w:sz w:val="16"/>
          <w:szCs w:val="16"/>
        </w:rPr>
      </w:pPr>
      <w:r w:rsidRPr="008A29CE">
        <w:rPr>
          <w:sz w:val="16"/>
          <w:szCs w:val="16"/>
        </w:rPr>
        <w:t xml:space="preserve">Source: evaluation survey of </w:t>
      </w:r>
      <w:r>
        <w:rPr>
          <w:sz w:val="16"/>
          <w:szCs w:val="16"/>
        </w:rPr>
        <w:t xml:space="preserve">Initiative </w:t>
      </w:r>
      <w:r w:rsidRPr="008A29CE">
        <w:rPr>
          <w:sz w:val="16"/>
          <w:szCs w:val="16"/>
        </w:rPr>
        <w:t>site manager</w:t>
      </w:r>
      <w:r>
        <w:rPr>
          <w:sz w:val="16"/>
          <w:szCs w:val="16"/>
        </w:rPr>
        <w:t>s, question 9</w:t>
      </w:r>
    </w:p>
    <w:p w14:paraId="3BBB8088" w14:textId="4F9936FC" w:rsidR="00333AC1" w:rsidRDefault="00333AC1" w:rsidP="00333AC1">
      <w:pPr>
        <w:pStyle w:val="Heading4"/>
      </w:pPr>
      <w:bookmarkStart w:id="97" w:name="_Hlk75840378"/>
      <w:bookmarkEnd w:id="95"/>
      <w:r>
        <w:t xml:space="preserve">Access to relevant healthcare workforce: </w:t>
      </w:r>
      <w:r w:rsidR="00DE5CEB">
        <w:t>S</w:t>
      </w:r>
      <w:r>
        <w:t>ummary assessment</w:t>
      </w:r>
    </w:p>
    <w:p w14:paraId="233EC7FC" w14:textId="0FDE3AD2" w:rsidR="00333AC1" w:rsidRDefault="00333AC1" w:rsidP="00333AC1">
      <w:r>
        <w:t>Based on the analysis presented above</w:t>
      </w:r>
      <w:r w:rsidR="00AC7CC8">
        <w:t>,</w:t>
      </w:r>
      <w:r>
        <w:t xml:space="preserve"> the evaluation team reached the following conclusions:</w:t>
      </w:r>
    </w:p>
    <w:bookmarkEnd w:id="97"/>
    <w:p w14:paraId="5A1BEDBF" w14:textId="2AA8C23F" w:rsidR="00333AC1" w:rsidRDefault="00333AC1" w:rsidP="001665A3">
      <w:pPr>
        <w:pStyle w:val="Finding"/>
      </w:pPr>
      <w:r>
        <w:t>The highest proportion</w:t>
      </w:r>
      <w:r w:rsidRPr="00310BE7">
        <w:t xml:space="preserve"> </w:t>
      </w:r>
      <w:r>
        <w:t>of case study site Initiative re</w:t>
      </w:r>
      <w:r w:rsidRPr="00310BE7">
        <w:t xml:space="preserve">investment </w:t>
      </w:r>
      <w:r w:rsidR="00AE3875">
        <w:t xml:space="preserve">at a national level </w:t>
      </w:r>
      <w:r>
        <w:t>was</w:t>
      </w:r>
      <w:r w:rsidRPr="00310BE7">
        <w:t xml:space="preserve"> </w:t>
      </w:r>
      <w:r>
        <w:t xml:space="preserve">allocated to </w:t>
      </w:r>
      <w:r w:rsidRPr="00310BE7">
        <w:t>support</w:t>
      </w:r>
      <w:r>
        <w:t>ing</w:t>
      </w:r>
      <w:r w:rsidRPr="00310BE7">
        <w:t xml:space="preserve"> medical officer salaries and locum costs</w:t>
      </w:r>
      <w:r>
        <w:t xml:space="preserve"> (47%). </w:t>
      </w:r>
      <w:r w:rsidR="00EE31EF">
        <w:t>Th</w:t>
      </w:r>
      <w:r w:rsidR="009D554F">
        <w:t xml:space="preserve">at </w:t>
      </w:r>
      <w:r w:rsidR="00EE31EF">
        <w:t>overall reinvestment pattern was dominated by Queensland and Northern Territory where t</w:t>
      </w:r>
      <w:r w:rsidRPr="00310BE7">
        <w:t xml:space="preserve">he model of engagement of the medical workforce to provide acute hospital emergency services </w:t>
      </w:r>
      <w:r>
        <w:t>was</w:t>
      </w:r>
      <w:r w:rsidRPr="00310BE7">
        <w:t xml:space="preserve"> a </w:t>
      </w:r>
      <w:r>
        <w:t xml:space="preserve">key driver </w:t>
      </w:r>
      <w:r w:rsidR="009D554F">
        <w:t>of that observed pattern</w:t>
      </w:r>
      <w:r w:rsidR="00524323">
        <w:t xml:space="preserve">. </w:t>
      </w:r>
      <w:r w:rsidR="00EE31EF">
        <w:t>No reinvestment in doctors</w:t>
      </w:r>
      <w:r w:rsidR="00065C89">
        <w:t>’</w:t>
      </w:r>
      <w:r w:rsidR="00EE31EF">
        <w:t xml:space="preserve"> salaries was recorded at the NSW and WA case study sites.</w:t>
      </w:r>
    </w:p>
    <w:p w14:paraId="7C7CA57B" w14:textId="6CB67722" w:rsidR="00333AC1" w:rsidRDefault="00333AC1" w:rsidP="001665A3">
      <w:pPr>
        <w:pStyle w:val="Finding"/>
      </w:pPr>
      <w:r>
        <w:t xml:space="preserve">In sites where the quantum of revenue generated by MBS billings </w:t>
      </w:r>
      <w:r w:rsidR="00065C89">
        <w:t>was relatively</w:t>
      </w:r>
      <w:r>
        <w:t xml:space="preserve"> low, the Initiative arrangements were less likely to support employment of more staff. </w:t>
      </w:r>
    </w:p>
    <w:p w14:paraId="2F053E6D" w14:textId="5A43E7C4" w:rsidR="00AC54A1" w:rsidRDefault="00AC54A1" w:rsidP="00AC54A1"/>
    <w:p w14:paraId="7A1F2683" w14:textId="77777777" w:rsidR="00AC54A1" w:rsidRPr="00AC54A1" w:rsidRDefault="00AC54A1" w:rsidP="00AC54A1"/>
    <w:p w14:paraId="74BD39EF" w14:textId="64A1D4C5" w:rsidR="00333AC1" w:rsidRDefault="00333AC1" w:rsidP="001665A3">
      <w:pPr>
        <w:pStyle w:val="Finding"/>
      </w:pPr>
      <w:r w:rsidRPr="00310BE7">
        <w:lastRenderedPageBreak/>
        <w:t xml:space="preserve">Case study consultations identified a reluctance </w:t>
      </w:r>
      <w:r>
        <w:t xml:space="preserve">by some site managers </w:t>
      </w:r>
      <w:r w:rsidRPr="00310BE7">
        <w:t>to employ staff under permanent contracts due to uncertainty of revenue</w:t>
      </w:r>
      <w:r>
        <w:t xml:space="preserve"> under the Initiative (the four-year duration of an MOU does not appear to remove this uncertainty)</w:t>
      </w:r>
      <w:r w:rsidRPr="00310BE7">
        <w:t>. In Queensland</w:t>
      </w:r>
      <w:r>
        <w:t>,</w:t>
      </w:r>
      <w:r w:rsidRPr="00310BE7">
        <w:t xml:space="preserve"> this </w:t>
      </w:r>
      <w:r>
        <w:t xml:space="preserve">legal requirement could be avoided </w:t>
      </w:r>
      <w:r w:rsidRPr="00310BE7">
        <w:t xml:space="preserve">by employing </w:t>
      </w:r>
      <w:r>
        <w:t xml:space="preserve">some </w:t>
      </w:r>
      <w:r w:rsidRPr="00310BE7">
        <w:t>medical staff on short term, 12</w:t>
      </w:r>
      <w:r>
        <w:t>-</w:t>
      </w:r>
      <w:r w:rsidRPr="00310BE7">
        <w:t>month contracts.</w:t>
      </w:r>
    </w:p>
    <w:p w14:paraId="0DCB1E0A" w14:textId="4E06413B" w:rsidR="00310BE7" w:rsidRDefault="00310BE7" w:rsidP="00F55618">
      <w:pPr>
        <w:pStyle w:val="Finding"/>
      </w:pPr>
      <w:r w:rsidRPr="00310BE7">
        <w:t xml:space="preserve">Case study consultations found that the Initiative has been used to support employment of junior doctors in hospitals as a component of Rural Generalist training </w:t>
      </w:r>
      <w:r w:rsidR="000F5E89">
        <w:t>i</w:t>
      </w:r>
      <w:r w:rsidRPr="00310BE7">
        <w:t xml:space="preserve">n Queensland. A separate </w:t>
      </w:r>
      <w:r w:rsidR="00783742">
        <w:t>S19</w:t>
      </w:r>
      <w:r w:rsidR="00A07293">
        <w:t>(2)</w:t>
      </w:r>
      <w:r w:rsidRPr="00310BE7">
        <w:t xml:space="preserve"> </w:t>
      </w:r>
      <w:r w:rsidR="000F5E89">
        <w:t>e</w:t>
      </w:r>
      <w:r w:rsidRPr="00310BE7">
        <w:t>xemption</w:t>
      </w:r>
      <w:r w:rsidR="000F5E89">
        <w:t xml:space="preserve"> (not formally part of the Initiative)</w:t>
      </w:r>
      <w:r w:rsidRPr="00310BE7">
        <w:t xml:space="preserve"> is trialling a single employer model to support RG training in NSW, with a focus on GP exposure and in-reach to hospitals.</w:t>
      </w:r>
      <w:r w:rsidR="00CA2011">
        <w:t xml:space="preserve"> Consultations with peak body stakeholders</w:t>
      </w:r>
      <w:r w:rsidR="000D0CA6">
        <w:t>,</w:t>
      </w:r>
      <w:r w:rsidR="00CA2011">
        <w:t xml:space="preserve"> including RWAs</w:t>
      </w:r>
      <w:r w:rsidR="000D0CA6">
        <w:t>,</w:t>
      </w:r>
      <w:r w:rsidR="00CA2011">
        <w:t xml:space="preserve"> found a strong interest in further exploration of these more flexible employment arrangements. </w:t>
      </w:r>
    </w:p>
    <w:p w14:paraId="4FB0EF35" w14:textId="79CEC7A4" w:rsidR="00CA2011" w:rsidRDefault="00263F92" w:rsidP="00427B52">
      <w:pPr>
        <w:pStyle w:val="Heading2"/>
      </w:pPr>
      <w:bookmarkStart w:id="98" w:name="_Toc85203291"/>
      <w:r>
        <w:t>D</w:t>
      </w:r>
      <w:r w:rsidR="00CA2011">
        <w:t>evelopment of sustainable health services</w:t>
      </w:r>
      <w:bookmarkEnd w:id="98"/>
    </w:p>
    <w:p w14:paraId="51D5B432" w14:textId="7B1C51BD" w:rsidR="00CA2011" w:rsidRDefault="00801C73" w:rsidP="00801C73">
      <w:r>
        <w:t xml:space="preserve">The third objective of </w:t>
      </w:r>
      <w:r w:rsidR="00CA2011" w:rsidRPr="00D05C05">
        <w:t>the Initiative</w:t>
      </w:r>
      <w:r>
        <w:t xml:space="preserve"> is to</w:t>
      </w:r>
      <w:r w:rsidR="00CA2011">
        <w:t xml:space="preserve"> assist with the sustainability of rural health services</w:t>
      </w:r>
      <w:r>
        <w:t>.</w:t>
      </w:r>
      <w:r w:rsidR="00241717">
        <w:t xml:space="preserve"> The evaluation assess</w:t>
      </w:r>
      <w:r w:rsidR="00D46950">
        <w:t>ed</w:t>
      </w:r>
      <w:r w:rsidR="00241717">
        <w:t xml:space="preserve"> performance against this objective from</w:t>
      </w:r>
      <w:r w:rsidR="00D46950">
        <w:t xml:space="preserve"> several</w:t>
      </w:r>
      <w:r w:rsidR="00241717">
        <w:t xml:space="preserve"> perspectives</w:t>
      </w:r>
      <w:r w:rsidR="00D46950">
        <w:t>:</w:t>
      </w:r>
    </w:p>
    <w:p w14:paraId="6432EADA" w14:textId="42EC8EA6" w:rsidR="00D46950" w:rsidRDefault="00D46950" w:rsidP="00D46950">
      <w:pPr>
        <w:pStyle w:val="ListBullet"/>
      </w:pPr>
      <w:r>
        <w:t>Contribution of the Initiative to overall service budget</w:t>
      </w:r>
      <w:r w:rsidR="00E225E4">
        <w:t>s</w:t>
      </w:r>
    </w:p>
    <w:p w14:paraId="52315B7D" w14:textId="38FF0601" w:rsidR="00C22FEE" w:rsidRDefault="00C22FEE" w:rsidP="00D46950">
      <w:pPr>
        <w:pStyle w:val="ListBullet"/>
      </w:pPr>
      <w:r>
        <w:t>Normative assessment of facility managers about the importance of the Initiative, based on survey responses, and</w:t>
      </w:r>
    </w:p>
    <w:p w14:paraId="1DD36BF2" w14:textId="1A0E926B" w:rsidR="00D46950" w:rsidRDefault="00D46950" w:rsidP="00D46950">
      <w:pPr>
        <w:pStyle w:val="ListBullet"/>
      </w:pPr>
      <w:r>
        <w:t>Role of the Initiative in facilitating maintenance of core services</w:t>
      </w:r>
      <w:r w:rsidR="00C22FEE">
        <w:t>.</w:t>
      </w:r>
    </w:p>
    <w:p w14:paraId="5FA727BE" w14:textId="5C408FF7" w:rsidR="00D46950" w:rsidRDefault="00D46950" w:rsidP="00CC2420">
      <w:r>
        <w:t xml:space="preserve">We examine </w:t>
      </w:r>
      <w:r w:rsidR="00C22FEE">
        <w:t xml:space="preserve">the evidence for </w:t>
      </w:r>
      <w:r>
        <w:t xml:space="preserve">each of these </w:t>
      </w:r>
      <w:r w:rsidR="00C22FEE">
        <w:t>perspective</w:t>
      </w:r>
      <w:r w:rsidR="00E225E4">
        <w:t>s</w:t>
      </w:r>
      <w:r>
        <w:t xml:space="preserve"> in turn.</w:t>
      </w:r>
    </w:p>
    <w:p w14:paraId="0E5D837D" w14:textId="2BB9BA38" w:rsidR="00D46950" w:rsidRDefault="00207C0F" w:rsidP="00D46950">
      <w:pPr>
        <w:pStyle w:val="Heading3"/>
      </w:pPr>
      <w:bookmarkStart w:id="99" w:name="_Toc85203292"/>
      <w:r>
        <w:t>Relative c</w:t>
      </w:r>
      <w:r w:rsidR="00D46950">
        <w:t xml:space="preserve">ontribution </w:t>
      </w:r>
      <w:r>
        <w:t xml:space="preserve">of Initiative revenues </w:t>
      </w:r>
      <w:r w:rsidR="00D46950">
        <w:t>to service budgets</w:t>
      </w:r>
      <w:bookmarkEnd w:id="99"/>
    </w:p>
    <w:p w14:paraId="71996C2B" w14:textId="2433EA23" w:rsidR="00F06C05" w:rsidRDefault="00D46950" w:rsidP="00CC2420">
      <w:r>
        <w:t>A comprehensive a</w:t>
      </w:r>
      <w:r w:rsidR="007E3B70">
        <w:t>nalysis</w:t>
      </w:r>
      <w:r>
        <w:t xml:space="preserve"> of the relative size of Initiative revenues to the overall budgets of services would require examination of the profit and loss statements for each site. </w:t>
      </w:r>
      <w:r w:rsidR="00F06C05">
        <w:t xml:space="preserve">Such an </w:t>
      </w:r>
      <w:r w:rsidR="00C22FEE">
        <w:t>analysis</w:t>
      </w:r>
      <w:r>
        <w:t xml:space="preserve"> would require an assessment</w:t>
      </w:r>
      <w:r w:rsidR="00E72805">
        <w:t xml:space="preserve"> of</w:t>
      </w:r>
      <w:r>
        <w:t xml:space="preserve"> financial report comparability across sites (e.g. approaches to treatment of depreciation and salary on-costs), </w:t>
      </w:r>
      <w:r w:rsidR="00C22FEE">
        <w:t>information on</w:t>
      </w:r>
      <w:r w:rsidR="00C0136D">
        <w:t xml:space="preserve"> processes for</w:t>
      </w:r>
      <w:r w:rsidR="00C22FEE">
        <w:t xml:space="preserve"> the allocation of LHN overheads to individual sites, </w:t>
      </w:r>
      <w:r>
        <w:t xml:space="preserve">adjustments to </w:t>
      </w:r>
      <w:r w:rsidR="00207C0F">
        <w:t xml:space="preserve">accounts </w:t>
      </w:r>
      <w:r w:rsidR="00C0136D">
        <w:t xml:space="preserve">to </w:t>
      </w:r>
      <w:r>
        <w:t xml:space="preserve">ensure </w:t>
      </w:r>
      <w:r w:rsidR="00C22FEE">
        <w:t xml:space="preserve">cross-site </w:t>
      </w:r>
      <w:r>
        <w:t>comparability, and extensive data collection processes</w:t>
      </w:r>
      <w:r w:rsidR="00207C0F">
        <w:t xml:space="preserve"> from all sites via the Chief Financial Officer of the LHN</w:t>
      </w:r>
      <w:r>
        <w:t xml:space="preserve">. </w:t>
      </w:r>
    </w:p>
    <w:p w14:paraId="1CE535E4" w14:textId="5809FA74" w:rsidR="00207C0F" w:rsidRDefault="00D46950" w:rsidP="00CC2420">
      <w:r>
        <w:t xml:space="preserve">None of these </w:t>
      </w:r>
      <w:r w:rsidR="00207C0F">
        <w:t>processes were practical within the scope of this evaluation. We therefore developed a proxy measure of each service’s budget, based on modelling assumptions</w:t>
      </w:r>
      <w:r w:rsidR="00C22FEE">
        <w:t xml:space="preserve">, which </w:t>
      </w:r>
      <w:r w:rsidR="0048303F">
        <w:t xml:space="preserve">we </w:t>
      </w:r>
      <w:r w:rsidR="00C22FEE">
        <w:t>then compared to site Initiative revenues</w:t>
      </w:r>
      <w:r w:rsidR="00207C0F">
        <w:t xml:space="preserve">. </w:t>
      </w:r>
      <w:r w:rsidR="00C22FEE">
        <w:t>Our approach</w:t>
      </w:r>
      <w:r w:rsidR="00207C0F">
        <w:t xml:space="preserve"> involved</w:t>
      </w:r>
      <w:r w:rsidR="00C22FEE">
        <w:t xml:space="preserve"> the following</w:t>
      </w:r>
      <w:r w:rsidR="0048303F">
        <w:t xml:space="preserve"> steps</w:t>
      </w:r>
      <w:r w:rsidR="00207C0F">
        <w:t>:</w:t>
      </w:r>
    </w:p>
    <w:p w14:paraId="059010D0" w14:textId="0AF93456" w:rsidR="00207C0F" w:rsidRDefault="00207C0F" w:rsidP="00207C0F">
      <w:pPr>
        <w:pStyle w:val="ListBullet"/>
      </w:pPr>
      <w:r>
        <w:t xml:space="preserve">Obtaining details of the estimated FTE at each site </w:t>
      </w:r>
      <w:r w:rsidR="007101C7">
        <w:t xml:space="preserve">from </w:t>
      </w:r>
      <w:r>
        <w:t>the survey of participating sites</w:t>
      </w:r>
    </w:p>
    <w:p w14:paraId="52F2BB37" w14:textId="0BE542DA" w:rsidR="00207C0F" w:rsidRDefault="00207C0F" w:rsidP="00207C0F">
      <w:pPr>
        <w:pStyle w:val="ListBullet"/>
      </w:pPr>
      <w:r>
        <w:t>Calculating a benchmark estimated average salary for a comparable small rural health service (based on financial data for health services available to HMA)</w:t>
      </w:r>
      <w:r w:rsidR="00E72805">
        <w:t>.</w:t>
      </w:r>
      <w:r>
        <w:t xml:space="preserve"> This average was based on </w:t>
      </w:r>
      <w:r w:rsidR="0048303F">
        <w:t xml:space="preserve">a </w:t>
      </w:r>
      <w:r>
        <w:t xml:space="preserve">typical small rural health service </w:t>
      </w:r>
      <w:r w:rsidR="009C3E80">
        <w:t xml:space="preserve">with a mix of </w:t>
      </w:r>
      <w:r>
        <w:t>nursing, allied health, non-direct care</w:t>
      </w:r>
      <w:r w:rsidR="007101C7">
        <w:t xml:space="preserve"> (including cleaners and catering staff)</w:t>
      </w:r>
      <w:r>
        <w:t>, administrative and management staff</w:t>
      </w:r>
      <w:r w:rsidR="009C3E80">
        <w:t xml:space="preserve">. The benchmark service used VMOs to deliver medical services, </w:t>
      </w:r>
      <w:r w:rsidR="00F06C05">
        <w:t>and t</w:t>
      </w:r>
      <w:r w:rsidR="009C3E80">
        <w:t>hese estimates were excluded from salary cost</w:t>
      </w:r>
      <w:r w:rsidR="0048303F">
        <w:t xml:space="preserve">s within the benchmark. </w:t>
      </w:r>
      <w:r w:rsidR="000F5C7C">
        <w:rPr>
          <w:rStyle w:val="FootnoteReference"/>
        </w:rPr>
        <w:footnoteReference w:id="10"/>
      </w:r>
    </w:p>
    <w:p w14:paraId="33FFD0F4" w14:textId="2AD3F0CB" w:rsidR="009C3E80" w:rsidRDefault="00E72805" w:rsidP="00207C0F">
      <w:pPr>
        <w:pStyle w:val="ListBullet"/>
      </w:pPr>
      <w:r>
        <w:lastRenderedPageBreak/>
        <w:t>Applying</w:t>
      </w:r>
      <w:r w:rsidR="009C3E80">
        <w:t xml:space="preserve"> the benchmark salary to the reported FTE contained in survey responses to derive a ‘modelled budget’ </w:t>
      </w:r>
      <w:r w:rsidR="00F06C05">
        <w:t xml:space="preserve">of salaries and wages </w:t>
      </w:r>
      <w:r w:rsidR="009C3E80">
        <w:t>for each respondent health service</w:t>
      </w:r>
      <w:r w:rsidR="0048303F">
        <w:t>, and</w:t>
      </w:r>
    </w:p>
    <w:p w14:paraId="35F7970C" w14:textId="0304F223" w:rsidR="00D46950" w:rsidRDefault="00E72805" w:rsidP="00207C0F">
      <w:pPr>
        <w:pStyle w:val="ListBullet"/>
      </w:pPr>
      <w:r>
        <w:t>Comparing</w:t>
      </w:r>
      <w:r w:rsidR="009C3E80">
        <w:t xml:space="preserve"> the relative size of the Initiative MBS revenues to the modelled budget, expressed as a percentage.</w:t>
      </w:r>
    </w:p>
    <w:p w14:paraId="3E888FE0" w14:textId="68BAFA36" w:rsidR="009C3E80" w:rsidRDefault="009C3E80" w:rsidP="009C3E80">
      <w:r>
        <w:t xml:space="preserve">The results of that analysis </w:t>
      </w:r>
      <w:r w:rsidR="00C0136D">
        <w:t xml:space="preserve">at </w:t>
      </w:r>
      <w:r>
        <w:t>a</w:t>
      </w:r>
      <w:r w:rsidR="00C0136D">
        <w:t xml:space="preserve"> jurisdiction level are</w:t>
      </w:r>
      <w:r>
        <w:t xml:space="preserve"> summarised</w:t>
      </w:r>
      <w:r w:rsidR="00060FFA">
        <w:t xml:space="preserve"> </w:t>
      </w:r>
      <w:r>
        <w:t>in</w:t>
      </w:r>
      <w:r w:rsidR="00C01A72">
        <w:t xml:space="preserve"> </w:t>
      </w:r>
      <w:r w:rsidR="00C01A72">
        <w:fldChar w:fldCharType="begin"/>
      </w:r>
      <w:r w:rsidR="00C01A72">
        <w:instrText xml:space="preserve"> REF _Ref75899631 \h </w:instrText>
      </w:r>
      <w:r w:rsidR="00C01A72">
        <w:fldChar w:fldCharType="separate"/>
      </w:r>
      <w:r w:rsidR="00C50B67">
        <w:t xml:space="preserve">Table </w:t>
      </w:r>
      <w:r w:rsidR="00C50B67">
        <w:rPr>
          <w:noProof/>
        </w:rPr>
        <w:t>4</w:t>
      </w:r>
      <w:r w:rsidR="00C50B67">
        <w:t>.</w:t>
      </w:r>
      <w:r w:rsidR="00C50B67">
        <w:rPr>
          <w:noProof/>
        </w:rPr>
        <w:t>7</w:t>
      </w:r>
      <w:r w:rsidR="00C01A72">
        <w:fldChar w:fldCharType="end"/>
      </w:r>
      <w:r w:rsidR="00F06C05">
        <w:t xml:space="preserve"> </w:t>
      </w:r>
      <w:r w:rsidR="00060FFA">
        <w:t xml:space="preserve">(see next page) </w:t>
      </w:r>
      <w:r w:rsidR="00F06C05">
        <w:t xml:space="preserve">and </w:t>
      </w:r>
      <w:r w:rsidR="000F5C7C">
        <w:t>indicate</w:t>
      </w:r>
      <w:r w:rsidR="00C01A72">
        <w:t xml:space="preserve"> the following:</w:t>
      </w:r>
    </w:p>
    <w:p w14:paraId="4EE68C19" w14:textId="11AD9DD0" w:rsidR="00C01A72" w:rsidRDefault="00C01A72" w:rsidP="00C01A72">
      <w:pPr>
        <w:pStyle w:val="ListBullet"/>
      </w:pPr>
      <w:bookmarkStart w:id="100" w:name="_Hlk75945293"/>
      <w:r>
        <w:t xml:space="preserve">At a national </w:t>
      </w:r>
      <w:r w:rsidR="00B07EB1">
        <w:t>level,</w:t>
      </w:r>
      <w:r>
        <w:t xml:space="preserve"> the MBS revenues represented in the order of </w:t>
      </w:r>
      <w:r w:rsidR="000645C5">
        <w:t>6</w:t>
      </w:r>
      <w:r>
        <w:t xml:space="preserve">% </w:t>
      </w:r>
      <w:r w:rsidR="000645C5">
        <w:t xml:space="preserve">of </w:t>
      </w:r>
      <w:r w:rsidR="000F5C7C">
        <w:t xml:space="preserve">modelled salaries and wages </w:t>
      </w:r>
      <w:r>
        <w:t>of survey respondent sites, suggesting t</w:t>
      </w:r>
      <w:r w:rsidR="000645C5">
        <w:t>he</w:t>
      </w:r>
      <w:r>
        <w:t xml:space="preserve"> Initiative is</w:t>
      </w:r>
      <w:r w:rsidR="00F06C05">
        <w:t>, on average,</w:t>
      </w:r>
      <w:r>
        <w:t xml:space="preserve"> a reasonably significant cont</w:t>
      </w:r>
      <w:r w:rsidR="000F5C7C">
        <w:t>r</w:t>
      </w:r>
      <w:r>
        <w:t xml:space="preserve">ibutor to overall revenue of </w:t>
      </w:r>
      <w:r w:rsidR="00F06C05">
        <w:t>participating services</w:t>
      </w:r>
    </w:p>
    <w:bookmarkEnd w:id="100"/>
    <w:p w14:paraId="2F1DEC2A" w14:textId="1E486414" w:rsidR="000F5C7C" w:rsidRDefault="00C01A72" w:rsidP="00473E61">
      <w:pPr>
        <w:pStyle w:val="ListBullet"/>
      </w:pPr>
      <w:r>
        <w:t>The</w:t>
      </w:r>
      <w:r w:rsidR="000F5C7C">
        <w:t xml:space="preserve">re are variations across jurisdictions </w:t>
      </w:r>
      <w:r w:rsidR="00F06C05">
        <w:t>in this measure</w:t>
      </w:r>
      <w:r w:rsidR="00060FFA">
        <w:t xml:space="preserve"> </w:t>
      </w:r>
      <w:r w:rsidR="00F06C05">
        <w:t xml:space="preserve">with </w:t>
      </w:r>
      <w:r w:rsidR="000F5C7C">
        <w:t xml:space="preserve">MBS revenues </w:t>
      </w:r>
      <w:r w:rsidR="00F06C05">
        <w:t xml:space="preserve">as a proportion of </w:t>
      </w:r>
      <w:r w:rsidR="000F5C7C" w:rsidRPr="000F5C7C">
        <w:t xml:space="preserve">modelled salaries and wages </w:t>
      </w:r>
      <w:r w:rsidR="00F06C05">
        <w:t xml:space="preserve">ranging from </w:t>
      </w:r>
      <w:r w:rsidR="000F5C7C">
        <w:t xml:space="preserve">a low of 3% </w:t>
      </w:r>
      <w:r w:rsidR="00F06C05">
        <w:t xml:space="preserve">across all respondent sites </w:t>
      </w:r>
      <w:r w:rsidR="000F5C7C">
        <w:t>in NSW</w:t>
      </w:r>
      <w:r w:rsidR="00F06C05">
        <w:t>,</w:t>
      </w:r>
      <w:r w:rsidR="000F5C7C">
        <w:t xml:space="preserve"> to a high </w:t>
      </w:r>
      <w:r w:rsidR="00F06C05">
        <w:t xml:space="preserve">of </w:t>
      </w:r>
      <w:r w:rsidR="000F5C7C">
        <w:t>8%</w:t>
      </w:r>
      <w:r w:rsidR="00060FFA">
        <w:t xml:space="preserve"> across all respondent sites</w:t>
      </w:r>
      <w:r w:rsidR="000F5C7C">
        <w:t xml:space="preserve"> in NT</w:t>
      </w:r>
      <w:r w:rsidR="00693FF1">
        <w:t xml:space="preserve"> (t</w:t>
      </w:r>
      <w:r w:rsidR="000F5C7C">
        <w:t>he same measure was 6% in WA and 7% in Queensland</w:t>
      </w:r>
      <w:r w:rsidR="00693FF1">
        <w:t>).</w:t>
      </w:r>
    </w:p>
    <w:p w14:paraId="14F4A49F" w14:textId="221445CE" w:rsidR="00C0136D" w:rsidRDefault="00C0136D" w:rsidP="009C3E80"/>
    <w:p w14:paraId="7F40E126" w14:textId="77777777" w:rsidR="00C0136D" w:rsidRDefault="00C0136D" w:rsidP="009C3E80">
      <w:pPr>
        <w:sectPr w:rsidR="00C0136D" w:rsidSect="009D74BA">
          <w:type w:val="continuous"/>
          <w:pgSz w:w="16838" w:h="11906" w:orient="landscape" w:code="9"/>
          <w:pgMar w:top="737" w:right="1304" w:bottom="1134" w:left="737" w:header="567" w:footer="284" w:gutter="0"/>
          <w:cols w:num="2" w:space="708"/>
          <w:docGrid w:linePitch="360"/>
        </w:sectPr>
      </w:pPr>
    </w:p>
    <w:p w14:paraId="7EC6A8DA" w14:textId="737281F3" w:rsidR="00C0136D" w:rsidRDefault="003B6D55" w:rsidP="003B6D55">
      <w:pPr>
        <w:pStyle w:val="Caption"/>
      </w:pPr>
      <w:bookmarkStart w:id="101" w:name="_Ref75899631"/>
      <w:r>
        <w:lastRenderedPageBreak/>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7</w:t>
      </w:r>
      <w:r w:rsidR="00A67BE9">
        <w:rPr>
          <w:noProof/>
        </w:rPr>
        <w:fldChar w:fldCharType="end"/>
      </w:r>
      <w:bookmarkEnd w:id="101"/>
      <w:r>
        <w:t xml:space="preserve">: </w:t>
      </w:r>
      <w:r w:rsidRPr="00E72805">
        <w:rPr>
          <w:rStyle w:val="Caption-notboldChar"/>
        </w:rPr>
        <w:t xml:space="preserve">MBS </w:t>
      </w:r>
      <w:r w:rsidR="00E72805">
        <w:rPr>
          <w:rStyle w:val="Caption-notboldChar"/>
        </w:rPr>
        <w:t>r</w:t>
      </w:r>
      <w:r w:rsidRPr="00E72805">
        <w:rPr>
          <w:rStyle w:val="Caption-notboldChar"/>
        </w:rPr>
        <w:t>evenues as a percentage of modelled salaries and wages for Initiative survey respondent sites</w:t>
      </w:r>
    </w:p>
    <w:tbl>
      <w:tblPr>
        <w:tblStyle w:val="HMATableD-Recommendations1"/>
        <w:tblW w:w="0" w:type="auto"/>
        <w:tblLook w:val="04A0" w:firstRow="1" w:lastRow="0" w:firstColumn="1" w:lastColumn="0" w:noHBand="0" w:noVBand="1"/>
      </w:tblPr>
      <w:tblGrid>
        <w:gridCol w:w="2113"/>
        <w:gridCol w:w="2114"/>
        <w:gridCol w:w="2114"/>
        <w:gridCol w:w="2114"/>
        <w:gridCol w:w="2114"/>
        <w:gridCol w:w="2114"/>
        <w:gridCol w:w="2114"/>
      </w:tblGrid>
      <w:tr w:rsidR="000645C5" w14:paraId="0F37E666" w14:textId="77777777" w:rsidTr="00473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Merge w:val="restart"/>
          </w:tcPr>
          <w:p w14:paraId="1063BD02" w14:textId="77777777" w:rsidR="000645C5" w:rsidRDefault="000645C5" w:rsidP="00473E61">
            <w:r>
              <w:t>Jurisdiction</w:t>
            </w:r>
          </w:p>
        </w:tc>
        <w:tc>
          <w:tcPr>
            <w:tcW w:w="2114" w:type="dxa"/>
            <w:vMerge w:val="restart"/>
          </w:tcPr>
          <w:p w14:paraId="5D56C107" w14:textId="77777777" w:rsidR="000645C5" w:rsidRDefault="000645C5" w:rsidP="00473E61">
            <w:pPr>
              <w:cnfStyle w:val="100000000000" w:firstRow="1" w:lastRow="0" w:firstColumn="0" w:lastColumn="0" w:oddVBand="0" w:evenVBand="0" w:oddHBand="0" w:evenHBand="0" w:firstRowFirstColumn="0" w:firstRowLastColumn="0" w:lastRowFirstColumn="0" w:lastRowLastColumn="0"/>
            </w:pPr>
            <w:r>
              <w:t>Survey response Numbers (n)</w:t>
            </w:r>
          </w:p>
        </w:tc>
        <w:tc>
          <w:tcPr>
            <w:tcW w:w="2114" w:type="dxa"/>
            <w:vMerge w:val="restart"/>
          </w:tcPr>
          <w:p w14:paraId="6438186F" w14:textId="77777777" w:rsidR="000645C5" w:rsidRDefault="000645C5" w:rsidP="00473E61">
            <w:pPr>
              <w:cnfStyle w:val="100000000000" w:firstRow="1" w:lastRow="0" w:firstColumn="0" w:lastColumn="0" w:oddVBand="0" w:evenVBand="0" w:oddHBand="0" w:evenHBand="0" w:firstRowFirstColumn="0" w:firstRowLastColumn="0" w:lastRowFirstColumn="0" w:lastRowLastColumn="0"/>
            </w:pPr>
            <w:r>
              <w:t xml:space="preserve">MOdelled Salaries and wages (S&amp;W) budget (total) </w:t>
            </w:r>
          </w:p>
        </w:tc>
        <w:tc>
          <w:tcPr>
            <w:tcW w:w="2114" w:type="dxa"/>
            <w:vMerge w:val="restart"/>
          </w:tcPr>
          <w:p w14:paraId="570E53EF" w14:textId="0170AE91" w:rsidR="000645C5" w:rsidRDefault="000645C5" w:rsidP="00473E61">
            <w:pPr>
              <w:cnfStyle w:val="100000000000" w:firstRow="1" w:lastRow="0" w:firstColumn="0" w:lastColumn="0" w:oddVBand="0" w:evenVBand="0" w:oddHBand="0" w:evenHBand="0" w:firstRowFirstColumn="0" w:firstRowLastColumn="0" w:lastRowFirstColumn="0" w:lastRowLastColumn="0"/>
            </w:pPr>
            <w:r>
              <w:t>Aggregate Initiative MBS revenue, based on individual site receipts (</w:t>
            </w:r>
            <w:r w:rsidR="00E72805">
              <w:t>20</w:t>
            </w:r>
            <w:r>
              <w:t>19</w:t>
            </w:r>
            <w:r w:rsidR="00E72805">
              <w:rPr>
                <w:rFonts w:ascii="Calibri" w:hAnsi="Calibri" w:cs="Calibri"/>
              </w:rPr>
              <w:t>‒</w:t>
            </w:r>
            <w:r>
              <w:t>20) for respondent sites</w:t>
            </w:r>
          </w:p>
        </w:tc>
        <w:tc>
          <w:tcPr>
            <w:tcW w:w="2114" w:type="dxa"/>
            <w:vMerge w:val="restart"/>
          </w:tcPr>
          <w:p w14:paraId="5BB6CA18" w14:textId="77777777" w:rsidR="000645C5" w:rsidRDefault="000645C5" w:rsidP="00473E61">
            <w:pPr>
              <w:cnfStyle w:val="100000000000" w:firstRow="1" w:lastRow="0" w:firstColumn="0" w:lastColumn="0" w:oddVBand="0" w:evenVBand="0" w:oddHBand="0" w:evenHBand="0" w:firstRowFirstColumn="0" w:firstRowLastColumn="0" w:lastRowFirstColumn="0" w:lastRowLastColumn="0"/>
            </w:pPr>
            <w:r>
              <w:t>MBS Revenue as % of modelled salaries &amp; Wages budget, at a jurisdiction level</w:t>
            </w:r>
          </w:p>
        </w:tc>
        <w:tc>
          <w:tcPr>
            <w:tcW w:w="4228" w:type="dxa"/>
            <w:gridSpan w:val="2"/>
          </w:tcPr>
          <w:p w14:paraId="0E73E57F" w14:textId="753B819C" w:rsidR="000645C5" w:rsidRDefault="000645C5" w:rsidP="00473E61">
            <w:pPr>
              <w:cnfStyle w:val="100000000000" w:firstRow="1" w:lastRow="0" w:firstColumn="0" w:lastColumn="0" w:oddVBand="0" w:evenVBand="0" w:oddHBand="0" w:evenHBand="0" w:firstRowFirstColumn="0" w:firstRowLastColumn="0" w:lastRowFirstColumn="0" w:lastRowLastColumn="0"/>
            </w:pPr>
            <w:r>
              <w:t>MBS Revenues as a % of modelled S&amp;W budget</w:t>
            </w:r>
            <w:r w:rsidR="00E72805">
              <w:t xml:space="preserve"> –</w:t>
            </w:r>
            <w:r>
              <w:t xml:space="preserve"> Range of values within jurisdiction </w:t>
            </w:r>
          </w:p>
        </w:tc>
      </w:tr>
      <w:tr w:rsidR="000645C5" w14:paraId="28782346" w14:textId="77777777" w:rsidTr="00473E61">
        <w:tc>
          <w:tcPr>
            <w:cnfStyle w:val="001000000000" w:firstRow="0" w:lastRow="0" w:firstColumn="1" w:lastColumn="0" w:oddVBand="0" w:evenVBand="0" w:oddHBand="0" w:evenHBand="0" w:firstRowFirstColumn="0" w:firstRowLastColumn="0" w:lastRowFirstColumn="0" w:lastRowLastColumn="0"/>
            <w:tcW w:w="2113" w:type="dxa"/>
            <w:vMerge/>
          </w:tcPr>
          <w:p w14:paraId="6E8E7F70" w14:textId="77777777" w:rsidR="000645C5" w:rsidRDefault="000645C5" w:rsidP="00473E61"/>
        </w:tc>
        <w:tc>
          <w:tcPr>
            <w:tcW w:w="2114" w:type="dxa"/>
            <w:vMerge/>
          </w:tcPr>
          <w:p w14:paraId="6BBBE837" w14:textId="77777777" w:rsidR="000645C5" w:rsidRDefault="000645C5" w:rsidP="00473E61">
            <w:pPr>
              <w:cnfStyle w:val="000000000000" w:firstRow="0" w:lastRow="0" w:firstColumn="0" w:lastColumn="0" w:oddVBand="0" w:evenVBand="0" w:oddHBand="0" w:evenHBand="0" w:firstRowFirstColumn="0" w:firstRowLastColumn="0" w:lastRowFirstColumn="0" w:lastRowLastColumn="0"/>
            </w:pPr>
          </w:p>
        </w:tc>
        <w:tc>
          <w:tcPr>
            <w:tcW w:w="2114" w:type="dxa"/>
            <w:vMerge/>
          </w:tcPr>
          <w:p w14:paraId="22C881FD" w14:textId="77777777" w:rsidR="000645C5" w:rsidRDefault="000645C5" w:rsidP="00473E61">
            <w:pPr>
              <w:cnfStyle w:val="000000000000" w:firstRow="0" w:lastRow="0" w:firstColumn="0" w:lastColumn="0" w:oddVBand="0" w:evenVBand="0" w:oddHBand="0" w:evenHBand="0" w:firstRowFirstColumn="0" w:firstRowLastColumn="0" w:lastRowFirstColumn="0" w:lastRowLastColumn="0"/>
            </w:pPr>
          </w:p>
        </w:tc>
        <w:tc>
          <w:tcPr>
            <w:tcW w:w="2114" w:type="dxa"/>
            <w:vMerge/>
          </w:tcPr>
          <w:p w14:paraId="012F9211" w14:textId="77777777" w:rsidR="000645C5" w:rsidRDefault="000645C5" w:rsidP="00473E61">
            <w:pPr>
              <w:cnfStyle w:val="000000000000" w:firstRow="0" w:lastRow="0" w:firstColumn="0" w:lastColumn="0" w:oddVBand="0" w:evenVBand="0" w:oddHBand="0" w:evenHBand="0" w:firstRowFirstColumn="0" w:firstRowLastColumn="0" w:lastRowFirstColumn="0" w:lastRowLastColumn="0"/>
            </w:pPr>
          </w:p>
        </w:tc>
        <w:tc>
          <w:tcPr>
            <w:tcW w:w="2114" w:type="dxa"/>
            <w:vMerge/>
          </w:tcPr>
          <w:p w14:paraId="190350C6" w14:textId="77777777" w:rsidR="000645C5" w:rsidRDefault="000645C5" w:rsidP="00473E61">
            <w:pPr>
              <w:cnfStyle w:val="000000000000" w:firstRow="0" w:lastRow="0" w:firstColumn="0" w:lastColumn="0" w:oddVBand="0" w:evenVBand="0" w:oddHBand="0" w:evenHBand="0" w:firstRowFirstColumn="0" w:firstRowLastColumn="0" w:lastRowFirstColumn="0" w:lastRowLastColumn="0"/>
            </w:pPr>
          </w:p>
        </w:tc>
        <w:tc>
          <w:tcPr>
            <w:tcW w:w="2114" w:type="dxa"/>
          </w:tcPr>
          <w:p w14:paraId="2F3E710E" w14:textId="77777777" w:rsidR="000645C5" w:rsidRDefault="000645C5" w:rsidP="00473E61">
            <w:pPr>
              <w:cnfStyle w:val="000000000000" w:firstRow="0" w:lastRow="0" w:firstColumn="0" w:lastColumn="0" w:oddVBand="0" w:evenVBand="0" w:oddHBand="0" w:evenHBand="0" w:firstRowFirstColumn="0" w:firstRowLastColumn="0" w:lastRowFirstColumn="0" w:lastRowLastColumn="0"/>
            </w:pPr>
            <w:r>
              <w:t>Smallest % for a respondent site within the jurisdiction</w:t>
            </w:r>
          </w:p>
        </w:tc>
        <w:tc>
          <w:tcPr>
            <w:tcW w:w="2114" w:type="dxa"/>
          </w:tcPr>
          <w:p w14:paraId="0984031D" w14:textId="77777777" w:rsidR="000645C5" w:rsidRDefault="000645C5" w:rsidP="00473E61">
            <w:pPr>
              <w:cnfStyle w:val="000000000000" w:firstRow="0" w:lastRow="0" w:firstColumn="0" w:lastColumn="0" w:oddVBand="0" w:evenVBand="0" w:oddHBand="0" w:evenHBand="0" w:firstRowFirstColumn="0" w:firstRowLastColumn="0" w:lastRowFirstColumn="0" w:lastRowLastColumn="0"/>
            </w:pPr>
            <w:r>
              <w:t>Largest % for a respondent site within the jurisdiction</w:t>
            </w:r>
          </w:p>
        </w:tc>
      </w:tr>
      <w:tr w:rsidR="000645C5" w14:paraId="20C3E14A" w14:textId="77777777" w:rsidTr="00367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23EE0B50" w14:textId="77777777" w:rsidR="000645C5" w:rsidRDefault="000645C5" w:rsidP="00473E61">
            <w:r>
              <w:t>NSW</w:t>
            </w:r>
          </w:p>
        </w:tc>
        <w:tc>
          <w:tcPr>
            <w:tcW w:w="2114" w:type="dxa"/>
          </w:tcPr>
          <w:p w14:paraId="7E34B3D8"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21</w:t>
            </w:r>
          </w:p>
        </w:tc>
        <w:tc>
          <w:tcPr>
            <w:tcW w:w="2114" w:type="dxa"/>
          </w:tcPr>
          <w:p w14:paraId="46E45B5E" w14:textId="33942A19"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$59.628</w:t>
            </w:r>
            <w:r w:rsidR="001E75D0">
              <w:t xml:space="preserve"> </w:t>
            </w:r>
            <w:r>
              <w:t>m</w:t>
            </w:r>
          </w:p>
        </w:tc>
        <w:tc>
          <w:tcPr>
            <w:tcW w:w="2114" w:type="dxa"/>
          </w:tcPr>
          <w:p w14:paraId="41920AFA" w14:textId="698B36C2"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$1.608</w:t>
            </w:r>
            <w:r w:rsidR="001E75D0">
              <w:t xml:space="preserve"> </w:t>
            </w:r>
            <w:r>
              <w:t>m</w:t>
            </w:r>
          </w:p>
        </w:tc>
        <w:tc>
          <w:tcPr>
            <w:tcW w:w="2114" w:type="dxa"/>
            <w:shd w:val="clear" w:color="auto" w:fill="FFF766" w:themeFill="background2" w:themeFillTint="99"/>
          </w:tcPr>
          <w:p w14:paraId="1ABBECE4"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3%</w:t>
            </w:r>
          </w:p>
        </w:tc>
        <w:tc>
          <w:tcPr>
            <w:tcW w:w="2114" w:type="dxa"/>
          </w:tcPr>
          <w:p w14:paraId="367BB906"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0%</w:t>
            </w:r>
          </w:p>
        </w:tc>
        <w:tc>
          <w:tcPr>
            <w:tcW w:w="2114" w:type="dxa"/>
          </w:tcPr>
          <w:p w14:paraId="4375FEFC"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7%</w:t>
            </w:r>
          </w:p>
        </w:tc>
      </w:tr>
      <w:tr w:rsidR="000645C5" w14:paraId="315A2B59" w14:textId="77777777" w:rsidTr="0036717D">
        <w:tc>
          <w:tcPr>
            <w:cnfStyle w:val="001000000000" w:firstRow="0" w:lastRow="0" w:firstColumn="1" w:lastColumn="0" w:oddVBand="0" w:evenVBand="0" w:oddHBand="0" w:evenHBand="0" w:firstRowFirstColumn="0" w:firstRowLastColumn="0" w:lastRowFirstColumn="0" w:lastRowLastColumn="0"/>
            <w:tcW w:w="2113" w:type="dxa"/>
          </w:tcPr>
          <w:p w14:paraId="15A6A243" w14:textId="77777777" w:rsidR="000645C5" w:rsidRDefault="000645C5" w:rsidP="00473E61">
            <w:r>
              <w:t>QLD</w:t>
            </w:r>
          </w:p>
        </w:tc>
        <w:tc>
          <w:tcPr>
            <w:tcW w:w="2114" w:type="dxa"/>
          </w:tcPr>
          <w:p w14:paraId="34AB97AB"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7</w:t>
            </w:r>
          </w:p>
        </w:tc>
        <w:tc>
          <w:tcPr>
            <w:tcW w:w="2114" w:type="dxa"/>
          </w:tcPr>
          <w:p w14:paraId="35E63EDB" w14:textId="16B33F74"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$24.317</w:t>
            </w:r>
            <w:r w:rsidR="001E75D0">
              <w:t xml:space="preserve"> </w:t>
            </w:r>
            <w:r>
              <w:t>m</w:t>
            </w:r>
          </w:p>
        </w:tc>
        <w:tc>
          <w:tcPr>
            <w:tcW w:w="2114" w:type="dxa"/>
          </w:tcPr>
          <w:p w14:paraId="5D063930" w14:textId="435A6B4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$1.472</w:t>
            </w:r>
            <w:r w:rsidR="001E75D0">
              <w:t xml:space="preserve"> </w:t>
            </w:r>
            <w:r>
              <w:t>m</w:t>
            </w:r>
          </w:p>
        </w:tc>
        <w:tc>
          <w:tcPr>
            <w:tcW w:w="2114" w:type="dxa"/>
            <w:shd w:val="clear" w:color="auto" w:fill="FFF766" w:themeFill="background2" w:themeFillTint="99"/>
          </w:tcPr>
          <w:p w14:paraId="52CCDA47"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6%</w:t>
            </w:r>
          </w:p>
        </w:tc>
        <w:tc>
          <w:tcPr>
            <w:tcW w:w="2114" w:type="dxa"/>
          </w:tcPr>
          <w:p w14:paraId="17DEA897"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0%</w:t>
            </w:r>
          </w:p>
        </w:tc>
        <w:tc>
          <w:tcPr>
            <w:tcW w:w="2114" w:type="dxa"/>
          </w:tcPr>
          <w:p w14:paraId="53F677AE"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80%</w:t>
            </w:r>
            <w:r w:rsidRPr="00F22951">
              <w:rPr>
                <w:vertAlign w:val="superscript"/>
              </w:rPr>
              <w:t xml:space="preserve"> (a)</w:t>
            </w:r>
          </w:p>
        </w:tc>
      </w:tr>
      <w:tr w:rsidR="000645C5" w14:paraId="016BAE9D" w14:textId="77777777" w:rsidTr="00367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6B3DC6B4" w14:textId="77777777" w:rsidR="000645C5" w:rsidRDefault="000645C5" w:rsidP="00473E61">
            <w:r>
              <w:t>WA</w:t>
            </w:r>
          </w:p>
        </w:tc>
        <w:tc>
          <w:tcPr>
            <w:tcW w:w="2114" w:type="dxa"/>
          </w:tcPr>
          <w:p w14:paraId="3BFCCB45"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11</w:t>
            </w:r>
          </w:p>
        </w:tc>
        <w:tc>
          <w:tcPr>
            <w:tcW w:w="2114" w:type="dxa"/>
          </w:tcPr>
          <w:p w14:paraId="6C0EF4D9" w14:textId="3B6EBB74"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$61.654</w:t>
            </w:r>
            <w:r w:rsidR="001E75D0">
              <w:t xml:space="preserve"> </w:t>
            </w:r>
            <w:r>
              <w:t>m</w:t>
            </w:r>
          </w:p>
        </w:tc>
        <w:tc>
          <w:tcPr>
            <w:tcW w:w="2114" w:type="dxa"/>
          </w:tcPr>
          <w:p w14:paraId="14D4206C" w14:textId="63DBA259"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$4.1</w:t>
            </w:r>
            <w:r w:rsidR="001E75D0">
              <w:t xml:space="preserve"> </w:t>
            </w:r>
            <w:r>
              <w:t>m</w:t>
            </w:r>
          </w:p>
        </w:tc>
        <w:tc>
          <w:tcPr>
            <w:tcW w:w="2114" w:type="dxa"/>
            <w:shd w:val="clear" w:color="auto" w:fill="FFF766" w:themeFill="background2" w:themeFillTint="99"/>
          </w:tcPr>
          <w:p w14:paraId="28EC7ED1"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7%</w:t>
            </w:r>
          </w:p>
        </w:tc>
        <w:tc>
          <w:tcPr>
            <w:tcW w:w="2114" w:type="dxa"/>
          </w:tcPr>
          <w:p w14:paraId="13C9D884"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1%</w:t>
            </w:r>
          </w:p>
        </w:tc>
        <w:tc>
          <w:tcPr>
            <w:tcW w:w="2114" w:type="dxa"/>
          </w:tcPr>
          <w:p w14:paraId="41840975" w14:textId="77777777" w:rsidR="000645C5" w:rsidRDefault="000645C5" w:rsidP="00473E61">
            <w:pPr>
              <w:jc w:val="center"/>
              <w:cnfStyle w:val="000000010000" w:firstRow="0" w:lastRow="0" w:firstColumn="0" w:lastColumn="0" w:oddVBand="0" w:evenVBand="0" w:oddHBand="0" w:evenHBand="1" w:firstRowFirstColumn="0" w:firstRowLastColumn="0" w:lastRowFirstColumn="0" w:lastRowLastColumn="0"/>
            </w:pPr>
            <w:r>
              <w:t xml:space="preserve">82% </w:t>
            </w:r>
            <w:r w:rsidRPr="00F22951">
              <w:rPr>
                <w:vertAlign w:val="superscript"/>
              </w:rPr>
              <w:t>(b)</w:t>
            </w:r>
          </w:p>
        </w:tc>
      </w:tr>
      <w:tr w:rsidR="000645C5" w14:paraId="13A44906" w14:textId="77777777" w:rsidTr="0036717D">
        <w:tc>
          <w:tcPr>
            <w:cnfStyle w:val="001000000000" w:firstRow="0" w:lastRow="0" w:firstColumn="1" w:lastColumn="0" w:oddVBand="0" w:evenVBand="0" w:oddHBand="0" w:evenHBand="0" w:firstRowFirstColumn="0" w:firstRowLastColumn="0" w:lastRowFirstColumn="0" w:lastRowLastColumn="0"/>
            <w:tcW w:w="2113" w:type="dxa"/>
          </w:tcPr>
          <w:p w14:paraId="1B168019" w14:textId="77777777" w:rsidR="000645C5" w:rsidRDefault="000645C5" w:rsidP="00473E61">
            <w:r>
              <w:t>NT</w:t>
            </w:r>
          </w:p>
        </w:tc>
        <w:tc>
          <w:tcPr>
            <w:tcW w:w="2114" w:type="dxa"/>
          </w:tcPr>
          <w:p w14:paraId="493D085D"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5</w:t>
            </w:r>
          </w:p>
        </w:tc>
        <w:tc>
          <w:tcPr>
            <w:tcW w:w="2114" w:type="dxa"/>
          </w:tcPr>
          <w:p w14:paraId="4576AF7D" w14:textId="2B1AD413"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$15.728</w:t>
            </w:r>
            <w:r w:rsidR="001E75D0">
              <w:t xml:space="preserve"> </w:t>
            </w:r>
            <w:r>
              <w:t>m</w:t>
            </w:r>
          </w:p>
        </w:tc>
        <w:tc>
          <w:tcPr>
            <w:tcW w:w="2114" w:type="dxa"/>
          </w:tcPr>
          <w:p w14:paraId="75372C84" w14:textId="4C6CC999"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$1.188</w:t>
            </w:r>
            <w:r w:rsidR="001E75D0">
              <w:t xml:space="preserve"> </w:t>
            </w:r>
            <w:r>
              <w:t>m</w:t>
            </w:r>
          </w:p>
        </w:tc>
        <w:tc>
          <w:tcPr>
            <w:tcW w:w="2114" w:type="dxa"/>
            <w:shd w:val="clear" w:color="auto" w:fill="FFF766" w:themeFill="background2" w:themeFillTint="99"/>
          </w:tcPr>
          <w:p w14:paraId="60B3C98C"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8%</w:t>
            </w:r>
          </w:p>
        </w:tc>
        <w:tc>
          <w:tcPr>
            <w:tcW w:w="2114" w:type="dxa"/>
          </w:tcPr>
          <w:p w14:paraId="6C47FAF7"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4%</w:t>
            </w:r>
          </w:p>
        </w:tc>
        <w:tc>
          <w:tcPr>
            <w:tcW w:w="2114" w:type="dxa"/>
          </w:tcPr>
          <w:p w14:paraId="2073C048"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r>
              <w:t>38%</w:t>
            </w:r>
          </w:p>
        </w:tc>
      </w:tr>
      <w:tr w:rsidR="000645C5" w:rsidRPr="00693FF1" w14:paraId="5ED0A893" w14:textId="77777777" w:rsidTr="00367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20922DDE" w14:textId="10B2A5A5" w:rsidR="000645C5" w:rsidRPr="00693FF1" w:rsidRDefault="000645C5" w:rsidP="00473E61">
            <w:pPr>
              <w:rPr>
                <w:b/>
                <w:bCs/>
              </w:rPr>
            </w:pPr>
            <w:r w:rsidRPr="00693FF1">
              <w:rPr>
                <w:b/>
                <w:bCs/>
              </w:rPr>
              <w:t>Total</w:t>
            </w:r>
            <w:r w:rsidR="00693FF1">
              <w:rPr>
                <w:b/>
                <w:bCs/>
              </w:rPr>
              <w:t>/measure for all respondent sites</w:t>
            </w:r>
          </w:p>
        </w:tc>
        <w:tc>
          <w:tcPr>
            <w:tcW w:w="2114" w:type="dxa"/>
          </w:tcPr>
          <w:p w14:paraId="22F66A74" w14:textId="77777777" w:rsidR="000645C5" w:rsidRPr="00693FF1" w:rsidRDefault="000645C5" w:rsidP="00473E61">
            <w:pPr>
              <w:jc w:val="center"/>
              <w:cnfStyle w:val="000000010000" w:firstRow="0" w:lastRow="0" w:firstColumn="0" w:lastColumn="0" w:oddVBand="0" w:evenVBand="0" w:oddHBand="0" w:evenHBand="1" w:firstRowFirstColumn="0" w:firstRowLastColumn="0" w:lastRowFirstColumn="0" w:lastRowLastColumn="0"/>
              <w:rPr>
                <w:b/>
                <w:bCs/>
              </w:rPr>
            </w:pPr>
            <w:r w:rsidRPr="00693FF1">
              <w:rPr>
                <w:b/>
                <w:bCs/>
              </w:rPr>
              <w:t>44</w:t>
            </w:r>
          </w:p>
        </w:tc>
        <w:tc>
          <w:tcPr>
            <w:tcW w:w="2114" w:type="dxa"/>
          </w:tcPr>
          <w:p w14:paraId="625E9E95" w14:textId="77777777" w:rsidR="000645C5" w:rsidRPr="00693FF1" w:rsidRDefault="000645C5" w:rsidP="00473E61">
            <w:pPr>
              <w:jc w:val="center"/>
              <w:cnfStyle w:val="000000010000" w:firstRow="0" w:lastRow="0" w:firstColumn="0" w:lastColumn="0" w:oddVBand="0" w:evenVBand="0" w:oddHBand="0" w:evenHBand="1" w:firstRowFirstColumn="0" w:firstRowLastColumn="0" w:lastRowFirstColumn="0" w:lastRowLastColumn="0"/>
              <w:rPr>
                <w:b/>
                <w:bCs/>
                <w:highlight w:val="green"/>
              </w:rPr>
            </w:pPr>
            <w:r w:rsidRPr="00693FF1">
              <w:rPr>
                <w:b/>
                <w:bCs/>
              </w:rPr>
              <w:t>$161.327</w:t>
            </w:r>
          </w:p>
        </w:tc>
        <w:tc>
          <w:tcPr>
            <w:tcW w:w="2114" w:type="dxa"/>
          </w:tcPr>
          <w:p w14:paraId="62F6AE0B" w14:textId="29D1F7CE" w:rsidR="000645C5" w:rsidRPr="00693FF1" w:rsidRDefault="000645C5" w:rsidP="00473E61">
            <w:pPr>
              <w:jc w:val="center"/>
              <w:cnfStyle w:val="000000010000" w:firstRow="0" w:lastRow="0" w:firstColumn="0" w:lastColumn="0" w:oddVBand="0" w:evenVBand="0" w:oddHBand="0" w:evenHBand="1" w:firstRowFirstColumn="0" w:firstRowLastColumn="0" w:lastRowFirstColumn="0" w:lastRowLastColumn="0"/>
              <w:rPr>
                <w:b/>
                <w:bCs/>
                <w:highlight w:val="green"/>
              </w:rPr>
            </w:pPr>
            <w:r w:rsidRPr="00693FF1">
              <w:rPr>
                <w:b/>
                <w:bCs/>
              </w:rPr>
              <w:t>$8.</w:t>
            </w:r>
            <w:r w:rsidR="00693FF1">
              <w:rPr>
                <w:b/>
                <w:bCs/>
              </w:rPr>
              <w:t>368</w:t>
            </w:r>
            <w:r w:rsidR="001E75D0" w:rsidRPr="00693FF1">
              <w:rPr>
                <w:b/>
                <w:bCs/>
              </w:rPr>
              <w:t xml:space="preserve"> </w:t>
            </w:r>
            <w:r w:rsidRPr="00693FF1">
              <w:rPr>
                <w:b/>
                <w:bCs/>
              </w:rPr>
              <w:t>m</w:t>
            </w:r>
          </w:p>
        </w:tc>
        <w:tc>
          <w:tcPr>
            <w:tcW w:w="2114" w:type="dxa"/>
            <w:shd w:val="clear" w:color="auto" w:fill="FFF766" w:themeFill="background2" w:themeFillTint="99"/>
          </w:tcPr>
          <w:p w14:paraId="2C7FB5C3" w14:textId="77777777" w:rsidR="000645C5" w:rsidRPr="00693FF1" w:rsidRDefault="000645C5" w:rsidP="00473E61">
            <w:pPr>
              <w:jc w:val="center"/>
              <w:cnfStyle w:val="000000010000" w:firstRow="0" w:lastRow="0" w:firstColumn="0" w:lastColumn="0" w:oddVBand="0" w:evenVBand="0" w:oddHBand="0" w:evenHBand="1" w:firstRowFirstColumn="0" w:firstRowLastColumn="0" w:lastRowFirstColumn="0" w:lastRowLastColumn="0"/>
              <w:rPr>
                <w:b/>
                <w:bCs/>
                <w:highlight w:val="green"/>
              </w:rPr>
            </w:pPr>
            <w:r w:rsidRPr="00693FF1">
              <w:rPr>
                <w:b/>
                <w:bCs/>
              </w:rPr>
              <w:t>6%</w:t>
            </w:r>
          </w:p>
        </w:tc>
        <w:tc>
          <w:tcPr>
            <w:tcW w:w="2114" w:type="dxa"/>
          </w:tcPr>
          <w:p w14:paraId="3A6CC48B" w14:textId="77777777" w:rsidR="000645C5" w:rsidRPr="00693FF1" w:rsidRDefault="000645C5" w:rsidP="00473E61">
            <w:pPr>
              <w:jc w:val="center"/>
              <w:cnfStyle w:val="000000010000" w:firstRow="0" w:lastRow="0" w:firstColumn="0" w:lastColumn="0" w:oddVBand="0" w:evenVBand="0" w:oddHBand="0" w:evenHBand="1" w:firstRowFirstColumn="0" w:firstRowLastColumn="0" w:lastRowFirstColumn="0" w:lastRowLastColumn="0"/>
              <w:rPr>
                <w:b/>
                <w:bCs/>
                <w:highlight w:val="green"/>
              </w:rPr>
            </w:pPr>
            <w:r w:rsidRPr="00693FF1">
              <w:rPr>
                <w:b/>
                <w:bCs/>
              </w:rPr>
              <w:t>0%</w:t>
            </w:r>
          </w:p>
        </w:tc>
        <w:tc>
          <w:tcPr>
            <w:tcW w:w="2114" w:type="dxa"/>
          </w:tcPr>
          <w:p w14:paraId="79BCE601" w14:textId="77777777" w:rsidR="000645C5" w:rsidRPr="00693FF1" w:rsidRDefault="000645C5" w:rsidP="00473E61">
            <w:pPr>
              <w:jc w:val="center"/>
              <w:cnfStyle w:val="000000010000" w:firstRow="0" w:lastRow="0" w:firstColumn="0" w:lastColumn="0" w:oddVBand="0" w:evenVBand="0" w:oddHBand="0" w:evenHBand="1" w:firstRowFirstColumn="0" w:firstRowLastColumn="0" w:lastRowFirstColumn="0" w:lastRowLastColumn="0"/>
              <w:rPr>
                <w:b/>
                <w:bCs/>
                <w:highlight w:val="green"/>
              </w:rPr>
            </w:pPr>
            <w:r w:rsidRPr="00693FF1">
              <w:rPr>
                <w:b/>
                <w:bCs/>
              </w:rPr>
              <w:t>82%</w:t>
            </w:r>
          </w:p>
        </w:tc>
      </w:tr>
      <w:tr w:rsidR="000645C5" w14:paraId="14B09042" w14:textId="77777777" w:rsidTr="0036717D">
        <w:tc>
          <w:tcPr>
            <w:cnfStyle w:val="001000000000" w:firstRow="0" w:lastRow="0" w:firstColumn="1" w:lastColumn="0" w:oddVBand="0" w:evenVBand="0" w:oddHBand="0" w:evenHBand="0" w:firstRowFirstColumn="0" w:firstRowLastColumn="0" w:lastRowFirstColumn="0" w:lastRowLastColumn="0"/>
            <w:tcW w:w="2113" w:type="dxa"/>
          </w:tcPr>
          <w:p w14:paraId="05E0051E" w14:textId="77777777" w:rsidR="000645C5" w:rsidRPr="00C01A72" w:rsidRDefault="000645C5" w:rsidP="00473E61">
            <w:pPr>
              <w:rPr>
                <w:i/>
                <w:iCs/>
              </w:rPr>
            </w:pPr>
            <w:r w:rsidRPr="00C01A72">
              <w:rPr>
                <w:i/>
                <w:iCs/>
              </w:rPr>
              <w:t>Other site aggregations</w:t>
            </w:r>
          </w:p>
        </w:tc>
        <w:tc>
          <w:tcPr>
            <w:tcW w:w="2114" w:type="dxa"/>
          </w:tcPr>
          <w:p w14:paraId="7E311115" w14:textId="77777777" w:rsidR="000645C5" w:rsidRDefault="000645C5" w:rsidP="00473E61">
            <w:pPr>
              <w:jc w:val="center"/>
              <w:cnfStyle w:val="000000000000" w:firstRow="0" w:lastRow="0" w:firstColumn="0" w:lastColumn="0" w:oddVBand="0" w:evenVBand="0" w:oddHBand="0" w:evenHBand="0" w:firstRowFirstColumn="0" w:firstRowLastColumn="0" w:lastRowFirstColumn="0" w:lastRowLastColumn="0"/>
            </w:pPr>
          </w:p>
        </w:tc>
        <w:tc>
          <w:tcPr>
            <w:tcW w:w="2114" w:type="dxa"/>
          </w:tcPr>
          <w:p w14:paraId="3B6953E1" w14:textId="77777777" w:rsidR="000645C5" w:rsidRPr="003B6D55" w:rsidRDefault="000645C5" w:rsidP="00473E61">
            <w:pPr>
              <w:jc w:val="center"/>
              <w:cnfStyle w:val="000000000000" w:firstRow="0" w:lastRow="0" w:firstColumn="0" w:lastColumn="0" w:oddVBand="0" w:evenVBand="0" w:oddHBand="0" w:evenHBand="0" w:firstRowFirstColumn="0" w:firstRowLastColumn="0" w:lastRowFirstColumn="0" w:lastRowLastColumn="0"/>
              <w:rPr>
                <w:highlight w:val="green"/>
              </w:rPr>
            </w:pPr>
          </w:p>
        </w:tc>
        <w:tc>
          <w:tcPr>
            <w:tcW w:w="2114" w:type="dxa"/>
          </w:tcPr>
          <w:p w14:paraId="52C3C550" w14:textId="77777777" w:rsidR="000645C5" w:rsidRPr="003B6D55" w:rsidRDefault="000645C5" w:rsidP="00473E61">
            <w:pPr>
              <w:jc w:val="center"/>
              <w:cnfStyle w:val="000000000000" w:firstRow="0" w:lastRow="0" w:firstColumn="0" w:lastColumn="0" w:oddVBand="0" w:evenVBand="0" w:oddHBand="0" w:evenHBand="0" w:firstRowFirstColumn="0" w:firstRowLastColumn="0" w:lastRowFirstColumn="0" w:lastRowLastColumn="0"/>
              <w:rPr>
                <w:highlight w:val="green"/>
              </w:rPr>
            </w:pPr>
          </w:p>
        </w:tc>
        <w:tc>
          <w:tcPr>
            <w:tcW w:w="2114" w:type="dxa"/>
            <w:shd w:val="clear" w:color="auto" w:fill="FFF766" w:themeFill="background2" w:themeFillTint="99"/>
          </w:tcPr>
          <w:p w14:paraId="3B758174" w14:textId="77777777" w:rsidR="000645C5" w:rsidRPr="003B6D55" w:rsidRDefault="000645C5" w:rsidP="00473E61">
            <w:pPr>
              <w:jc w:val="center"/>
              <w:cnfStyle w:val="000000000000" w:firstRow="0" w:lastRow="0" w:firstColumn="0" w:lastColumn="0" w:oddVBand="0" w:evenVBand="0" w:oddHBand="0" w:evenHBand="0" w:firstRowFirstColumn="0" w:firstRowLastColumn="0" w:lastRowFirstColumn="0" w:lastRowLastColumn="0"/>
              <w:rPr>
                <w:highlight w:val="green"/>
              </w:rPr>
            </w:pPr>
          </w:p>
        </w:tc>
        <w:tc>
          <w:tcPr>
            <w:tcW w:w="2114" w:type="dxa"/>
          </w:tcPr>
          <w:p w14:paraId="25F40E7E" w14:textId="77777777" w:rsidR="000645C5" w:rsidRPr="003B6D55" w:rsidRDefault="000645C5" w:rsidP="00473E61">
            <w:pPr>
              <w:jc w:val="center"/>
              <w:cnfStyle w:val="000000000000" w:firstRow="0" w:lastRow="0" w:firstColumn="0" w:lastColumn="0" w:oddVBand="0" w:evenVBand="0" w:oddHBand="0" w:evenHBand="0" w:firstRowFirstColumn="0" w:firstRowLastColumn="0" w:lastRowFirstColumn="0" w:lastRowLastColumn="0"/>
              <w:rPr>
                <w:highlight w:val="green"/>
              </w:rPr>
            </w:pPr>
          </w:p>
        </w:tc>
        <w:tc>
          <w:tcPr>
            <w:tcW w:w="2114" w:type="dxa"/>
          </w:tcPr>
          <w:p w14:paraId="1EDCB8F7" w14:textId="77777777" w:rsidR="000645C5" w:rsidRPr="003B6D55" w:rsidRDefault="000645C5" w:rsidP="00473E61">
            <w:pPr>
              <w:jc w:val="center"/>
              <w:cnfStyle w:val="000000000000" w:firstRow="0" w:lastRow="0" w:firstColumn="0" w:lastColumn="0" w:oddVBand="0" w:evenVBand="0" w:oddHBand="0" w:evenHBand="0" w:firstRowFirstColumn="0" w:firstRowLastColumn="0" w:lastRowFirstColumn="0" w:lastRowLastColumn="0"/>
              <w:rPr>
                <w:highlight w:val="green"/>
              </w:rPr>
            </w:pPr>
          </w:p>
        </w:tc>
      </w:tr>
      <w:tr w:rsidR="000645C5" w14:paraId="736DFDCC" w14:textId="77777777" w:rsidTr="00367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549AF41D" w14:textId="77777777" w:rsidR="000645C5" w:rsidRPr="00C01A72" w:rsidRDefault="000645C5" w:rsidP="00473E61">
            <w:pPr>
              <w:rPr>
                <w:i/>
                <w:iCs/>
                <w:sz w:val="18"/>
                <w:szCs w:val="18"/>
              </w:rPr>
            </w:pPr>
            <w:r w:rsidRPr="00C01A72">
              <w:rPr>
                <w:i/>
                <w:iCs/>
                <w:sz w:val="18"/>
                <w:szCs w:val="18"/>
              </w:rPr>
              <w:t xml:space="preserve"> - </w:t>
            </w:r>
            <w:r>
              <w:rPr>
                <w:i/>
                <w:iCs/>
                <w:sz w:val="18"/>
                <w:szCs w:val="18"/>
              </w:rPr>
              <w:t>Respondent s</w:t>
            </w:r>
            <w:r w:rsidRPr="00C01A72">
              <w:rPr>
                <w:i/>
                <w:iCs/>
                <w:sz w:val="18"/>
                <w:szCs w:val="18"/>
              </w:rPr>
              <w:t>ites in northern WA, NT and QLD</w:t>
            </w:r>
          </w:p>
        </w:tc>
        <w:tc>
          <w:tcPr>
            <w:tcW w:w="2114" w:type="dxa"/>
          </w:tcPr>
          <w:p w14:paraId="5793E8F5" w14:textId="77777777" w:rsidR="000645C5" w:rsidRPr="00C01A72" w:rsidRDefault="000645C5" w:rsidP="00473E61">
            <w:pPr>
              <w:jc w:val="cente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22</w:t>
            </w:r>
          </w:p>
        </w:tc>
        <w:tc>
          <w:tcPr>
            <w:tcW w:w="2114" w:type="dxa"/>
          </w:tcPr>
          <w:p w14:paraId="605CD279" w14:textId="3C9D2E96" w:rsidR="000645C5" w:rsidRPr="00C93BB3" w:rsidRDefault="000645C5" w:rsidP="00473E61">
            <w:pPr>
              <w:jc w:val="center"/>
              <w:cnfStyle w:val="000000010000" w:firstRow="0" w:lastRow="0" w:firstColumn="0" w:lastColumn="0" w:oddVBand="0" w:evenVBand="0" w:oddHBand="0" w:evenHBand="1" w:firstRowFirstColumn="0" w:firstRowLastColumn="0" w:lastRowFirstColumn="0" w:lastRowLastColumn="0"/>
              <w:rPr>
                <w:i/>
                <w:iCs/>
                <w:sz w:val="18"/>
                <w:szCs w:val="18"/>
              </w:rPr>
            </w:pPr>
            <w:r w:rsidRPr="00C93BB3">
              <w:rPr>
                <w:i/>
                <w:iCs/>
                <w:sz w:val="18"/>
                <w:szCs w:val="18"/>
              </w:rPr>
              <w:t>$98.272</w:t>
            </w:r>
            <w:r w:rsidR="001E75D0">
              <w:rPr>
                <w:i/>
                <w:iCs/>
                <w:sz w:val="18"/>
                <w:szCs w:val="18"/>
              </w:rPr>
              <w:t xml:space="preserve"> </w:t>
            </w:r>
            <w:r w:rsidRPr="00C93BB3">
              <w:rPr>
                <w:i/>
                <w:iCs/>
                <w:sz w:val="18"/>
                <w:szCs w:val="18"/>
              </w:rPr>
              <w:t>m</w:t>
            </w:r>
          </w:p>
        </w:tc>
        <w:tc>
          <w:tcPr>
            <w:tcW w:w="2114" w:type="dxa"/>
          </w:tcPr>
          <w:p w14:paraId="64035322" w14:textId="62E7AB22" w:rsidR="000645C5" w:rsidRPr="00C93BB3" w:rsidRDefault="000645C5" w:rsidP="00473E61">
            <w:pPr>
              <w:jc w:val="center"/>
              <w:cnfStyle w:val="000000010000" w:firstRow="0" w:lastRow="0" w:firstColumn="0" w:lastColumn="0" w:oddVBand="0" w:evenVBand="0" w:oddHBand="0" w:evenHBand="1" w:firstRowFirstColumn="0" w:firstRowLastColumn="0" w:lastRowFirstColumn="0" w:lastRowLastColumn="0"/>
              <w:rPr>
                <w:i/>
                <w:iCs/>
                <w:sz w:val="18"/>
                <w:szCs w:val="18"/>
              </w:rPr>
            </w:pPr>
            <w:r w:rsidRPr="00C93BB3">
              <w:rPr>
                <w:i/>
                <w:iCs/>
                <w:sz w:val="18"/>
                <w:szCs w:val="18"/>
              </w:rPr>
              <w:t>$6.690</w:t>
            </w:r>
            <w:r w:rsidR="001E75D0">
              <w:rPr>
                <w:i/>
                <w:iCs/>
                <w:sz w:val="18"/>
                <w:szCs w:val="18"/>
              </w:rPr>
              <w:t xml:space="preserve"> </w:t>
            </w:r>
            <w:r w:rsidRPr="00C93BB3">
              <w:rPr>
                <w:i/>
                <w:iCs/>
                <w:sz w:val="18"/>
                <w:szCs w:val="18"/>
              </w:rPr>
              <w:t>m</w:t>
            </w:r>
          </w:p>
        </w:tc>
        <w:tc>
          <w:tcPr>
            <w:tcW w:w="2114" w:type="dxa"/>
            <w:shd w:val="clear" w:color="auto" w:fill="FFF766" w:themeFill="background2" w:themeFillTint="99"/>
          </w:tcPr>
          <w:p w14:paraId="6E991DC2" w14:textId="77777777" w:rsidR="000645C5" w:rsidRPr="00C93BB3" w:rsidRDefault="000645C5" w:rsidP="00473E61">
            <w:pPr>
              <w:jc w:val="center"/>
              <w:cnfStyle w:val="000000010000" w:firstRow="0" w:lastRow="0" w:firstColumn="0" w:lastColumn="0" w:oddVBand="0" w:evenVBand="0" w:oddHBand="0" w:evenHBand="1" w:firstRowFirstColumn="0" w:firstRowLastColumn="0" w:lastRowFirstColumn="0" w:lastRowLastColumn="0"/>
              <w:rPr>
                <w:i/>
                <w:iCs/>
                <w:sz w:val="18"/>
                <w:szCs w:val="18"/>
              </w:rPr>
            </w:pPr>
            <w:r w:rsidRPr="00C93BB3">
              <w:rPr>
                <w:i/>
                <w:iCs/>
                <w:sz w:val="18"/>
                <w:szCs w:val="18"/>
              </w:rPr>
              <w:t>8%</w:t>
            </w:r>
          </w:p>
        </w:tc>
        <w:tc>
          <w:tcPr>
            <w:tcW w:w="2114" w:type="dxa"/>
          </w:tcPr>
          <w:p w14:paraId="03179696" w14:textId="77777777" w:rsidR="000645C5" w:rsidRPr="00C93BB3" w:rsidRDefault="000645C5" w:rsidP="00473E61">
            <w:pPr>
              <w:jc w:val="center"/>
              <w:cnfStyle w:val="000000010000" w:firstRow="0" w:lastRow="0" w:firstColumn="0" w:lastColumn="0" w:oddVBand="0" w:evenVBand="0" w:oddHBand="0" w:evenHBand="1" w:firstRowFirstColumn="0" w:firstRowLastColumn="0" w:lastRowFirstColumn="0" w:lastRowLastColumn="0"/>
              <w:rPr>
                <w:i/>
                <w:iCs/>
                <w:sz w:val="18"/>
                <w:szCs w:val="18"/>
              </w:rPr>
            </w:pPr>
            <w:r w:rsidRPr="00C93BB3">
              <w:rPr>
                <w:i/>
                <w:iCs/>
                <w:sz w:val="18"/>
                <w:szCs w:val="18"/>
              </w:rPr>
              <w:t>0%</w:t>
            </w:r>
          </w:p>
        </w:tc>
        <w:tc>
          <w:tcPr>
            <w:tcW w:w="2114" w:type="dxa"/>
          </w:tcPr>
          <w:p w14:paraId="3AF8BCC1" w14:textId="77777777" w:rsidR="000645C5" w:rsidRPr="00C93BB3" w:rsidRDefault="000645C5" w:rsidP="00473E61">
            <w:pPr>
              <w:jc w:val="center"/>
              <w:cnfStyle w:val="000000010000" w:firstRow="0" w:lastRow="0" w:firstColumn="0" w:lastColumn="0" w:oddVBand="0" w:evenVBand="0" w:oddHBand="0" w:evenHBand="1" w:firstRowFirstColumn="0" w:firstRowLastColumn="0" w:lastRowFirstColumn="0" w:lastRowLastColumn="0"/>
              <w:rPr>
                <w:i/>
                <w:iCs/>
                <w:sz w:val="18"/>
                <w:szCs w:val="18"/>
              </w:rPr>
            </w:pPr>
            <w:r w:rsidRPr="00C93BB3">
              <w:rPr>
                <w:i/>
                <w:iCs/>
                <w:sz w:val="18"/>
                <w:szCs w:val="18"/>
              </w:rPr>
              <w:t>82%</w:t>
            </w:r>
          </w:p>
        </w:tc>
      </w:tr>
      <w:tr w:rsidR="000645C5" w14:paraId="196CD6A8" w14:textId="77777777" w:rsidTr="0036717D">
        <w:tc>
          <w:tcPr>
            <w:cnfStyle w:val="001000000000" w:firstRow="0" w:lastRow="0" w:firstColumn="1" w:lastColumn="0" w:oddVBand="0" w:evenVBand="0" w:oddHBand="0" w:evenHBand="0" w:firstRowFirstColumn="0" w:firstRowLastColumn="0" w:lastRowFirstColumn="0" w:lastRowLastColumn="0"/>
            <w:tcW w:w="2113" w:type="dxa"/>
          </w:tcPr>
          <w:p w14:paraId="5DAE691A" w14:textId="77777777" w:rsidR="000645C5" w:rsidRPr="00C01A72" w:rsidRDefault="000645C5" w:rsidP="00473E61">
            <w:pPr>
              <w:rPr>
                <w:i/>
                <w:iCs/>
                <w:sz w:val="18"/>
                <w:szCs w:val="18"/>
              </w:rPr>
            </w:pPr>
            <w:r w:rsidRPr="00C01A72">
              <w:rPr>
                <w:i/>
                <w:iCs/>
                <w:sz w:val="18"/>
                <w:szCs w:val="18"/>
              </w:rPr>
              <w:t xml:space="preserve"> - </w:t>
            </w:r>
            <w:r>
              <w:rPr>
                <w:i/>
                <w:iCs/>
                <w:sz w:val="18"/>
                <w:szCs w:val="18"/>
              </w:rPr>
              <w:t>Respondent s</w:t>
            </w:r>
            <w:r w:rsidRPr="00C01A72">
              <w:rPr>
                <w:i/>
                <w:iCs/>
                <w:sz w:val="18"/>
                <w:szCs w:val="18"/>
              </w:rPr>
              <w:t>ites in southern WA and NSW</w:t>
            </w:r>
          </w:p>
        </w:tc>
        <w:tc>
          <w:tcPr>
            <w:tcW w:w="2114" w:type="dxa"/>
          </w:tcPr>
          <w:p w14:paraId="0702FD2A" w14:textId="77777777" w:rsidR="000645C5" w:rsidRPr="00C01A72" w:rsidRDefault="000645C5" w:rsidP="00473E61">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22</w:t>
            </w:r>
          </w:p>
        </w:tc>
        <w:tc>
          <w:tcPr>
            <w:tcW w:w="2114" w:type="dxa"/>
          </w:tcPr>
          <w:p w14:paraId="18B6EB42" w14:textId="40871E52" w:rsidR="000645C5" w:rsidRPr="00C93BB3" w:rsidRDefault="000645C5" w:rsidP="00473E61">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C93BB3">
              <w:rPr>
                <w:i/>
                <w:iCs/>
                <w:sz w:val="18"/>
                <w:szCs w:val="18"/>
              </w:rPr>
              <w:t>$62.148</w:t>
            </w:r>
            <w:r w:rsidR="001E75D0">
              <w:rPr>
                <w:i/>
                <w:iCs/>
                <w:sz w:val="18"/>
                <w:szCs w:val="18"/>
              </w:rPr>
              <w:t xml:space="preserve"> </w:t>
            </w:r>
            <w:r w:rsidRPr="00C93BB3">
              <w:rPr>
                <w:i/>
                <w:iCs/>
                <w:sz w:val="18"/>
                <w:szCs w:val="18"/>
              </w:rPr>
              <w:t>m</w:t>
            </w:r>
          </w:p>
        </w:tc>
        <w:tc>
          <w:tcPr>
            <w:tcW w:w="2114" w:type="dxa"/>
          </w:tcPr>
          <w:p w14:paraId="3C6C02E4" w14:textId="56E086DC" w:rsidR="000645C5" w:rsidRPr="00C93BB3" w:rsidRDefault="000645C5" w:rsidP="00473E61">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C93BB3">
              <w:rPr>
                <w:i/>
                <w:iCs/>
                <w:sz w:val="18"/>
                <w:szCs w:val="18"/>
              </w:rPr>
              <w:t>$1.679</w:t>
            </w:r>
            <w:r w:rsidR="00693FF1">
              <w:rPr>
                <w:i/>
                <w:iCs/>
                <w:sz w:val="18"/>
                <w:szCs w:val="18"/>
              </w:rPr>
              <w:t xml:space="preserve"> m</w:t>
            </w:r>
          </w:p>
        </w:tc>
        <w:tc>
          <w:tcPr>
            <w:tcW w:w="2114" w:type="dxa"/>
            <w:shd w:val="clear" w:color="auto" w:fill="FFF766" w:themeFill="background2" w:themeFillTint="99"/>
          </w:tcPr>
          <w:p w14:paraId="16B7BC59" w14:textId="77777777" w:rsidR="000645C5" w:rsidRPr="00C93BB3" w:rsidRDefault="000645C5" w:rsidP="00473E61">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C93BB3">
              <w:rPr>
                <w:i/>
                <w:iCs/>
                <w:sz w:val="18"/>
                <w:szCs w:val="18"/>
              </w:rPr>
              <w:t>3%</w:t>
            </w:r>
          </w:p>
        </w:tc>
        <w:tc>
          <w:tcPr>
            <w:tcW w:w="2114" w:type="dxa"/>
          </w:tcPr>
          <w:p w14:paraId="21C15BCE" w14:textId="77777777" w:rsidR="000645C5" w:rsidRPr="00C93BB3" w:rsidRDefault="000645C5" w:rsidP="00473E61">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C93BB3">
              <w:rPr>
                <w:i/>
                <w:iCs/>
                <w:sz w:val="18"/>
                <w:szCs w:val="18"/>
              </w:rPr>
              <w:t>0%</w:t>
            </w:r>
          </w:p>
        </w:tc>
        <w:tc>
          <w:tcPr>
            <w:tcW w:w="2114" w:type="dxa"/>
          </w:tcPr>
          <w:p w14:paraId="11EBAD87" w14:textId="77777777" w:rsidR="000645C5" w:rsidRPr="00C93BB3" w:rsidRDefault="000645C5" w:rsidP="00473E61">
            <w:pPr>
              <w:jc w:val="center"/>
              <w:cnfStyle w:val="000000000000" w:firstRow="0" w:lastRow="0" w:firstColumn="0" w:lastColumn="0" w:oddVBand="0" w:evenVBand="0" w:oddHBand="0" w:evenHBand="0" w:firstRowFirstColumn="0" w:firstRowLastColumn="0" w:lastRowFirstColumn="0" w:lastRowLastColumn="0"/>
              <w:rPr>
                <w:i/>
                <w:iCs/>
                <w:sz w:val="18"/>
                <w:szCs w:val="18"/>
              </w:rPr>
            </w:pPr>
            <w:r w:rsidRPr="00C93BB3">
              <w:rPr>
                <w:i/>
                <w:iCs/>
                <w:sz w:val="18"/>
                <w:szCs w:val="18"/>
              </w:rPr>
              <w:t>7%</w:t>
            </w:r>
          </w:p>
        </w:tc>
      </w:tr>
    </w:tbl>
    <w:p w14:paraId="39E4D135" w14:textId="05851A9B" w:rsidR="003B6D55" w:rsidRPr="003B6D55" w:rsidRDefault="003B6D55" w:rsidP="00C01A72">
      <w:pPr>
        <w:spacing w:before="120" w:after="0"/>
        <w:rPr>
          <w:sz w:val="16"/>
          <w:szCs w:val="16"/>
        </w:rPr>
      </w:pPr>
      <w:r w:rsidRPr="003B6D55">
        <w:rPr>
          <w:sz w:val="16"/>
          <w:szCs w:val="16"/>
        </w:rPr>
        <w:t xml:space="preserve">Note: the benchmark average salary used to calculate the modelled salaries and wages budget (benchmark* FTE) was $90,654 </w:t>
      </w:r>
      <w:bookmarkStart w:id="102" w:name="_Hlk75935004"/>
      <w:r w:rsidRPr="003B6D55">
        <w:rPr>
          <w:sz w:val="16"/>
          <w:szCs w:val="16"/>
        </w:rPr>
        <w:t>(2019–</w:t>
      </w:r>
      <w:r w:rsidR="00C01A72">
        <w:rPr>
          <w:sz w:val="16"/>
          <w:szCs w:val="16"/>
        </w:rPr>
        <w:t xml:space="preserve"> 20 </w:t>
      </w:r>
      <w:r w:rsidRPr="003B6D55">
        <w:rPr>
          <w:sz w:val="16"/>
          <w:szCs w:val="16"/>
        </w:rPr>
        <w:t>prices)</w:t>
      </w:r>
      <w:bookmarkEnd w:id="102"/>
    </w:p>
    <w:p w14:paraId="00C6829E" w14:textId="62FA5D94" w:rsidR="00C0136D" w:rsidRPr="003B6D55" w:rsidRDefault="003B6D55" w:rsidP="003B6D55">
      <w:pPr>
        <w:spacing w:after="0"/>
        <w:rPr>
          <w:sz w:val="16"/>
          <w:szCs w:val="16"/>
        </w:rPr>
      </w:pPr>
      <w:r w:rsidRPr="003B6D55">
        <w:rPr>
          <w:sz w:val="16"/>
          <w:szCs w:val="16"/>
        </w:rPr>
        <w:t>(a) Service with a very low reported FTE (1.7)</w:t>
      </w:r>
    </w:p>
    <w:p w14:paraId="41898676" w14:textId="17A4C6DB" w:rsidR="003B6D55" w:rsidRPr="003B6D55" w:rsidRDefault="003B6D55" w:rsidP="009C3E80">
      <w:pPr>
        <w:rPr>
          <w:sz w:val="16"/>
          <w:szCs w:val="16"/>
        </w:rPr>
      </w:pPr>
      <w:r w:rsidRPr="003B6D55">
        <w:rPr>
          <w:sz w:val="16"/>
          <w:szCs w:val="16"/>
        </w:rPr>
        <w:t>(b) Service with a very low reported FTE (0.4)</w:t>
      </w:r>
    </w:p>
    <w:p w14:paraId="2D1EBC8F" w14:textId="06E0FA13" w:rsidR="00C0136D" w:rsidRDefault="00C0136D" w:rsidP="009C3E80"/>
    <w:p w14:paraId="7FE65515" w14:textId="49E19F83" w:rsidR="00C0136D" w:rsidRDefault="00C0136D" w:rsidP="009C3E80"/>
    <w:p w14:paraId="6FB15129" w14:textId="77777777" w:rsidR="00C0136D" w:rsidRDefault="00C0136D" w:rsidP="009C3E80"/>
    <w:p w14:paraId="4B498B81" w14:textId="35771F46" w:rsidR="00857213" w:rsidRDefault="00E308AF" w:rsidP="00CC2420">
      <w:pPr>
        <w:sectPr w:rsidR="00857213" w:rsidSect="00C0136D">
          <w:pgSz w:w="16838" w:h="11906" w:orient="landscape" w:code="9"/>
          <w:pgMar w:top="737" w:right="1304" w:bottom="1134" w:left="737" w:header="567" w:footer="284" w:gutter="0"/>
          <w:cols w:space="708"/>
          <w:docGrid w:linePitch="360"/>
        </w:sectPr>
      </w:pPr>
      <w:r>
        <w:t>.</w:t>
      </w:r>
    </w:p>
    <w:p w14:paraId="50AB3D14" w14:textId="4456C550" w:rsidR="003B6D55" w:rsidRDefault="00B87DBD" w:rsidP="003A2294">
      <w:pPr>
        <w:pStyle w:val="Heading3"/>
        <w:spacing w:before="120" w:after="120"/>
      </w:pPr>
      <w:bookmarkStart w:id="103" w:name="_Toc85203293"/>
      <w:r>
        <w:lastRenderedPageBreak/>
        <w:t xml:space="preserve">Importance of the Initiative to </w:t>
      </w:r>
      <w:r w:rsidR="0036717D">
        <w:t>s</w:t>
      </w:r>
      <w:r>
        <w:t xml:space="preserve">ustainability: </w:t>
      </w:r>
      <w:r w:rsidR="0036717D">
        <w:t>n</w:t>
      </w:r>
      <w:r>
        <w:t xml:space="preserve">ormative </w:t>
      </w:r>
      <w:r w:rsidR="0036717D">
        <w:t>a</w:t>
      </w:r>
      <w:r>
        <w:t>ssessment</w:t>
      </w:r>
      <w:bookmarkEnd w:id="103"/>
    </w:p>
    <w:p w14:paraId="6599B41F" w14:textId="574614CD" w:rsidR="00B87DBD" w:rsidRDefault="00B87DBD" w:rsidP="00B87DBD">
      <w:r>
        <w:t>In the survey of Initiative sites</w:t>
      </w:r>
      <w:r w:rsidR="0060211D">
        <w:t>,</w:t>
      </w:r>
      <w:r>
        <w:t xml:space="preserve"> facility managers were asked to assess whether the Initiative was an effective way of assisting to support the </w:t>
      </w:r>
      <w:r w:rsidR="00693FF1">
        <w:t>sustainability</w:t>
      </w:r>
      <w:r>
        <w:t xml:space="preserve"> of the health service [at this location].</w:t>
      </w:r>
      <w:r w:rsidRPr="007E68CF">
        <w:t xml:space="preserve"> </w:t>
      </w:r>
      <w:r>
        <w:t xml:space="preserve">Across all sites </w:t>
      </w:r>
      <w:r w:rsidR="00856A0E">
        <w:t>50</w:t>
      </w:r>
      <w:r>
        <w:t>% of respondents (n=4</w:t>
      </w:r>
      <w:r w:rsidR="00856A0E">
        <w:t>8</w:t>
      </w:r>
      <w:r>
        <w:t>) either ‘agreed’ or ‘strongly agreed’ with this assessment. The variation in this response rate by jurisdiction is shown in</w:t>
      </w:r>
      <w:r w:rsidR="00BF6BA8">
        <w:t xml:space="preserve"> </w:t>
      </w:r>
      <w:r w:rsidR="00BF6BA8">
        <w:fldChar w:fldCharType="begin"/>
      </w:r>
      <w:r w:rsidR="00BF6BA8">
        <w:instrText xml:space="preserve"> REF _Ref75949951 \h </w:instrText>
      </w:r>
      <w:r w:rsidR="00BF6BA8">
        <w:fldChar w:fldCharType="separate"/>
      </w:r>
      <w:r w:rsidR="00C50B67">
        <w:t xml:space="preserve">Table </w:t>
      </w:r>
      <w:r w:rsidR="00C50B67">
        <w:rPr>
          <w:noProof/>
        </w:rPr>
        <w:t>4</w:t>
      </w:r>
      <w:r w:rsidR="00C50B67">
        <w:t>.</w:t>
      </w:r>
      <w:r w:rsidR="00C50B67">
        <w:rPr>
          <w:noProof/>
        </w:rPr>
        <w:t>8</w:t>
      </w:r>
      <w:r w:rsidR="00BF6BA8">
        <w:fldChar w:fldCharType="end"/>
      </w:r>
      <w:r>
        <w:t>.</w:t>
      </w:r>
    </w:p>
    <w:p w14:paraId="16453DB2" w14:textId="6C5614F1" w:rsidR="00B87DBD" w:rsidRDefault="00B87DBD" w:rsidP="00B87DBD">
      <w:pPr>
        <w:pStyle w:val="Caption"/>
      </w:pPr>
      <w:bookmarkStart w:id="104" w:name="_Ref75949951"/>
      <w:r>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8</w:t>
      </w:r>
      <w:r w:rsidR="00A67BE9">
        <w:rPr>
          <w:noProof/>
        </w:rPr>
        <w:fldChar w:fldCharType="end"/>
      </w:r>
      <w:bookmarkEnd w:id="104"/>
      <w:r>
        <w:t xml:space="preserve">: </w:t>
      </w:r>
      <w:r w:rsidRPr="009821B2">
        <w:rPr>
          <w:rStyle w:val="Caption-notboldChar"/>
        </w:rPr>
        <w:t xml:space="preserve">Assessment of the Initiative as an effective way </w:t>
      </w:r>
      <w:r w:rsidR="00CC3248" w:rsidRPr="009821B2">
        <w:rPr>
          <w:rStyle w:val="Caption-notboldChar"/>
        </w:rPr>
        <w:t xml:space="preserve">to support the </w:t>
      </w:r>
      <w:r w:rsidR="009821B2">
        <w:rPr>
          <w:rStyle w:val="Caption-notboldChar"/>
        </w:rPr>
        <w:br/>
      </w:r>
      <w:r w:rsidR="00693FF1">
        <w:rPr>
          <w:rStyle w:val="Caption-notboldChar"/>
        </w:rPr>
        <w:t>sustainability</w:t>
      </w:r>
      <w:r w:rsidR="00CC3248" w:rsidRPr="009821B2">
        <w:rPr>
          <w:rStyle w:val="Caption-notboldChar"/>
        </w:rPr>
        <w:t xml:space="preserve"> of health services</w:t>
      </w:r>
    </w:p>
    <w:tbl>
      <w:tblPr>
        <w:tblStyle w:val="HMATableA11"/>
        <w:tblW w:w="5000" w:type="pct"/>
        <w:tblLook w:val="04A0" w:firstRow="1" w:lastRow="0" w:firstColumn="1" w:lastColumn="0" w:noHBand="0" w:noVBand="1"/>
      </w:tblPr>
      <w:tblGrid>
        <w:gridCol w:w="2693"/>
        <w:gridCol w:w="1087"/>
        <w:gridCol w:w="1088"/>
        <w:gridCol w:w="1088"/>
        <w:gridCol w:w="1088"/>
      </w:tblGrid>
      <w:tr w:rsidR="00B87DBD" w:rsidRPr="00AE1E4A" w14:paraId="077C57DF" w14:textId="77777777" w:rsidTr="00473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795C9666" w14:textId="0C7B2294" w:rsidR="00B87DBD" w:rsidRPr="00BF6BA8" w:rsidRDefault="00B87DBD" w:rsidP="00473E61">
            <w:pPr>
              <w:rPr>
                <w:color w:val="000000" w:themeColor="text1"/>
              </w:rPr>
            </w:pPr>
            <w:r w:rsidRPr="00BF6BA8">
              <w:rPr>
                <w:color w:val="000000" w:themeColor="text1"/>
              </w:rPr>
              <w:t>Effectiveness of the Initiative in…</w:t>
            </w:r>
          </w:p>
        </w:tc>
        <w:tc>
          <w:tcPr>
            <w:tcW w:w="772" w:type="pct"/>
          </w:tcPr>
          <w:p w14:paraId="7002C4DB" w14:textId="77777777" w:rsidR="00B87DBD" w:rsidRPr="00BF6BA8" w:rsidRDefault="00B87DBD" w:rsidP="00473E61">
            <w:pPr>
              <w:cnfStyle w:val="100000000000" w:firstRow="1" w:lastRow="0" w:firstColumn="0" w:lastColumn="0" w:oddVBand="0" w:evenVBand="0" w:oddHBand="0" w:evenHBand="0" w:firstRowFirstColumn="0" w:firstRowLastColumn="0" w:lastRowFirstColumn="0" w:lastRowLastColumn="0"/>
              <w:rPr>
                <w:color w:val="000000" w:themeColor="text1"/>
              </w:rPr>
            </w:pPr>
            <w:r w:rsidRPr="00BF6BA8">
              <w:rPr>
                <w:color w:val="000000" w:themeColor="text1"/>
              </w:rPr>
              <w:t>Disagree /strongly disagree</w:t>
            </w:r>
          </w:p>
        </w:tc>
        <w:tc>
          <w:tcPr>
            <w:tcW w:w="772" w:type="pct"/>
          </w:tcPr>
          <w:p w14:paraId="354704DD" w14:textId="77777777" w:rsidR="00B87DBD" w:rsidRPr="00BF6BA8" w:rsidRDefault="00B87DBD" w:rsidP="00473E61">
            <w:pPr>
              <w:cnfStyle w:val="100000000000" w:firstRow="1" w:lastRow="0" w:firstColumn="0" w:lastColumn="0" w:oddVBand="0" w:evenVBand="0" w:oddHBand="0" w:evenHBand="0" w:firstRowFirstColumn="0" w:firstRowLastColumn="0" w:lastRowFirstColumn="0" w:lastRowLastColumn="0"/>
              <w:rPr>
                <w:color w:val="000000" w:themeColor="text1"/>
              </w:rPr>
            </w:pPr>
            <w:r w:rsidRPr="00BF6BA8">
              <w:rPr>
                <w:color w:val="000000" w:themeColor="text1"/>
              </w:rPr>
              <w:t>Neither agree nor disagree</w:t>
            </w:r>
          </w:p>
        </w:tc>
        <w:tc>
          <w:tcPr>
            <w:tcW w:w="772" w:type="pct"/>
          </w:tcPr>
          <w:p w14:paraId="00925D25" w14:textId="77777777" w:rsidR="00B87DBD" w:rsidRPr="00BF6BA8" w:rsidRDefault="00B87DBD" w:rsidP="00473E61">
            <w:pPr>
              <w:cnfStyle w:val="100000000000" w:firstRow="1" w:lastRow="0" w:firstColumn="0" w:lastColumn="0" w:oddVBand="0" w:evenVBand="0" w:oddHBand="0" w:evenHBand="0" w:firstRowFirstColumn="0" w:firstRowLastColumn="0" w:lastRowFirstColumn="0" w:lastRowLastColumn="0"/>
              <w:rPr>
                <w:color w:val="000000" w:themeColor="text1"/>
              </w:rPr>
            </w:pPr>
            <w:r w:rsidRPr="00BF6BA8">
              <w:rPr>
                <w:color w:val="000000" w:themeColor="text1"/>
              </w:rPr>
              <w:t>Agree / strongly agree</w:t>
            </w:r>
          </w:p>
        </w:tc>
        <w:tc>
          <w:tcPr>
            <w:tcW w:w="772" w:type="pct"/>
          </w:tcPr>
          <w:p w14:paraId="0A0BF32A" w14:textId="77777777" w:rsidR="00B87DBD" w:rsidRPr="00BF6BA8" w:rsidRDefault="00B87DBD" w:rsidP="00473E61">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F6BA8">
              <w:rPr>
                <w:color w:val="000000" w:themeColor="text1"/>
              </w:rPr>
              <w:t>n</w:t>
            </w:r>
          </w:p>
        </w:tc>
      </w:tr>
      <w:tr w:rsidR="00B87DBD" w:rsidRPr="00AE1E4A" w14:paraId="6EDF835F" w14:textId="77777777" w:rsidTr="00473E61">
        <w:tc>
          <w:tcPr>
            <w:cnfStyle w:val="001000000000" w:firstRow="0" w:lastRow="0" w:firstColumn="1" w:lastColumn="0" w:oddVBand="0" w:evenVBand="0" w:oddHBand="0" w:evenHBand="0" w:firstRowFirstColumn="0" w:firstRowLastColumn="0" w:lastRowFirstColumn="0" w:lastRowLastColumn="0"/>
            <w:tcW w:w="1912" w:type="pct"/>
            <w:vAlign w:val="bottom"/>
          </w:tcPr>
          <w:p w14:paraId="4843BB2C" w14:textId="7B36CFE5" w:rsidR="00B87DBD" w:rsidRPr="00BF6BA8" w:rsidRDefault="00B87DBD" w:rsidP="00473E61">
            <w:pPr>
              <w:rPr>
                <w:color w:val="000000" w:themeColor="text1"/>
                <w:szCs w:val="20"/>
              </w:rPr>
            </w:pPr>
            <w:r w:rsidRPr="00BF6BA8">
              <w:rPr>
                <w:color w:val="000000" w:themeColor="text1"/>
                <w:szCs w:val="20"/>
              </w:rPr>
              <w:t xml:space="preserve">Assisting to support the </w:t>
            </w:r>
            <w:r w:rsidR="00693FF1">
              <w:rPr>
                <w:color w:val="000000" w:themeColor="text1"/>
                <w:szCs w:val="20"/>
              </w:rPr>
              <w:t>sustainability</w:t>
            </w:r>
            <w:r w:rsidRPr="00BF6BA8">
              <w:rPr>
                <w:color w:val="000000" w:themeColor="text1"/>
                <w:szCs w:val="20"/>
              </w:rPr>
              <w:t xml:space="preserve"> of the health service [at this location]</w:t>
            </w:r>
          </w:p>
        </w:tc>
        <w:tc>
          <w:tcPr>
            <w:tcW w:w="772" w:type="pct"/>
          </w:tcPr>
          <w:p w14:paraId="69706F2C" w14:textId="77777777" w:rsidR="00B87DBD" w:rsidRPr="00BF6BA8" w:rsidRDefault="00B87DBD"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1965C799" w14:textId="77777777" w:rsidR="00B87DBD" w:rsidRPr="00BF6BA8" w:rsidRDefault="00B87DBD"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70A6FF89" w14:textId="77777777" w:rsidR="00B87DBD" w:rsidRPr="00BF6BA8" w:rsidRDefault="00B87DBD"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c>
          <w:tcPr>
            <w:tcW w:w="772" w:type="pct"/>
          </w:tcPr>
          <w:p w14:paraId="51A62B7F" w14:textId="77777777" w:rsidR="00B87DBD" w:rsidRPr="00BF6BA8" w:rsidRDefault="00B87DBD" w:rsidP="00473E61">
            <w:pPr>
              <w:jc w:val="right"/>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B87DBD" w:rsidRPr="00AE1E4A" w14:paraId="422D7457"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0FBFC45B" w14:textId="61C47C93" w:rsidR="00B87DBD" w:rsidRPr="00BF6BA8" w:rsidRDefault="009A4F03" w:rsidP="00473E61">
            <w:pPr>
              <w:rPr>
                <w:rFonts w:cs="Arial"/>
                <w:color w:val="000000" w:themeColor="text1"/>
                <w:szCs w:val="20"/>
              </w:rPr>
            </w:pPr>
            <w:r>
              <w:rPr>
                <w:b w:val="0"/>
                <w:bCs/>
                <w:color w:val="000000" w:themeColor="text1"/>
              </w:rPr>
              <w:t xml:space="preserve">   </w:t>
            </w:r>
            <w:r w:rsidR="00B87DBD" w:rsidRPr="00BF6BA8">
              <w:rPr>
                <w:b w:val="0"/>
                <w:bCs/>
                <w:color w:val="000000" w:themeColor="text1"/>
              </w:rPr>
              <w:t xml:space="preserve"> All responses (NSW, Q</w:t>
            </w:r>
            <w:r w:rsidR="00173487">
              <w:rPr>
                <w:b w:val="0"/>
                <w:bCs/>
                <w:color w:val="000000" w:themeColor="text1"/>
              </w:rPr>
              <w:t>LD</w:t>
            </w:r>
            <w:r w:rsidR="00B87DBD" w:rsidRPr="00BF6BA8">
              <w:rPr>
                <w:b w:val="0"/>
                <w:bCs/>
                <w:color w:val="000000" w:themeColor="text1"/>
              </w:rPr>
              <w:t>, WA, NT)</w:t>
            </w:r>
          </w:p>
        </w:tc>
        <w:tc>
          <w:tcPr>
            <w:tcW w:w="772" w:type="pct"/>
          </w:tcPr>
          <w:p w14:paraId="4ADC9FD0" w14:textId="0E18DE4A" w:rsidR="00B87DBD" w:rsidRPr="00BF6BA8" w:rsidRDefault="00C2464F"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29</w:t>
            </w:r>
            <w:r w:rsidR="00B87DBD" w:rsidRPr="00BF6BA8">
              <w:rPr>
                <w:color w:val="000000" w:themeColor="text1"/>
              </w:rPr>
              <w:t>%</w:t>
            </w:r>
          </w:p>
        </w:tc>
        <w:tc>
          <w:tcPr>
            <w:tcW w:w="772" w:type="pct"/>
          </w:tcPr>
          <w:p w14:paraId="0CEBD6B7" w14:textId="480026AB" w:rsidR="00B87DBD" w:rsidRPr="00BF6BA8" w:rsidRDefault="00C2464F"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13</w:t>
            </w:r>
            <w:r w:rsidR="00B87DBD" w:rsidRPr="00BF6BA8">
              <w:rPr>
                <w:color w:val="000000" w:themeColor="text1"/>
              </w:rPr>
              <w:t>%</w:t>
            </w:r>
          </w:p>
        </w:tc>
        <w:tc>
          <w:tcPr>
            <w:tcW w:w="772" w:type="pct"/>
          </w:tcPr>
          <w:p w14:paraId="4E98F063" w14:textId="1ED8B2FC" w:rsidR="00B87DBD" w:rsidRPr="00BF6BA8" w:rsidRDefault="00C2464F"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58</w:t>
            </w:r>
            <w:r w:rsidR="00B87DBD" w:rsidRPr="00BF6BA8">
              <w:rPr>
                <w:color w:val="000000" w:themeColor="text1"/>
              </w:rPr>
              <w:t>%</w:t>
            </w:r>
          </w:p>
        </w:tc>
        <w:tc>
          <w:tcPr>
            <w:tcW w:w="772" w:type="pct"/>
          </w:tcPr>
          <w:p w14:paraId="5C4AF1DC" w14:textId="5AF38DE0" w:rsidR="00B87DBD" w:rsidRPr="00BF6BA8" w:rsidRDefault="00856A0E" w:rsidP="00473E61">
            <w:pPr>
              <w:jc w:val="righ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48</w:t>
            </w:r>
          </w:p>
        </w:tc>
      </w:tr>
      <w:tr w:rsidR="00B87DBD" w:rsidRPr="00AE1E4A" w14:paraId="15E6E5C6" w14:textId="77777777" w:rsidTr="00473E61">
        <w:tc>
          <w:tcPr>
            <w:cnfStyle w:val="001000000000" w:firstRow="0" w:lastRow="0" w:firstColumn="1" w:lastColumn="0" w:oddVBand="0" w:evenVBand="0" w:oddHBand="0" w:evenHBand="0" w:firstRowFirstColumn="0" w:firstRowLastColumn="0" w:lastRowFirstColumn="0" w:lastRowLastColumn="0"/>
            <w:tcW w:w="1912" w:type="pct"/>
          </w:tcPr>
          <w:p w14:paraId="64D50B44" w14:textId="5F7B206E" w:rsidR="00B87DBD" w:rsidRPr="00AE1E4A" w:rsidRDefault="009A4F03" w:rsidP="00473E61">
            <w:pPr>
              <w:rPr>
                <w:rFonts w:cs="Arial"/>
                <w:color w:val="333333"/>
                <w:szCs w:val="20"/>
              </w:rPr>
            </w:pPr>
            <w:r>
              <w:rPr>
                <w:b w:val="0"/>
                <w:bCs/>
                <w:i/>
                <w:iCs/>
              </w:rPr>
              <w:t xml:space="preserve">   </w:t>
            </w:r>
            <w:r w:rsidR="00B87DBD" w:rsidRPr="0093431E">
              <w:rPr>
                <w:b w:val="0"/>
                <w:bCs/>
                <w:i/>
                <w:iCs/>
              </w:rPr>
              <w:t xml:space="preserve"> NSW responses</w:t>
            </w:r>
          </w:p>
        </w:tc>
        <w:tc>
          <w:tcPr>
            <w:tcW w:w="772" w:type="pct"/>
          </w:tcPr>
          <w:p w14:paraId="5C1E0B7D" w14:textId="4E4F4C76" w:rsidR="00B87DBD" w:rsidRPr="00AE1E4A" w:rsidRDefault="00B87DBD" w:rsidP="00473E61">
            <w:pPr>
              <w:jc w:val="right"/>
              <w:cnfStyle w:val="000000000000" w:firstRow="0" w:lastRow="0" w:firstColumn="0" w:lastColumn="0" w:oddVBand="0" w:evenVBand="0" w:oddHBand="0" w:evenHBand="0" w:firstRowFirstColumn="0" w:firstRowLastColumn="0" w:lastRowFirstColumn="0" w:lastRowLastColumn="0"/>
            </w:pPr>
            <w:r>
              <w:t>13%</w:t>
            </w:r>
          </w:p>
        </w:tc>
        <w:tc>
          <w:tcPr>
            <w:tcW w:w="772" w:type="pct"/>
          </w:tcPr>
          <w:p w14:paraId="07ABA7CF" w14:textId="6185C119" w:rsidR="00B87DBD" w:rsidRPr="00AE1E4A" w:rsidRDefault="00B87DBD" w:rsidP="00473E61">
            <w:pPr>
              <w:jc w:val="right"/>
              <w:cnfStyle w:val="000000000000" w:firstRow="0" w:lastRow="0" w:firstColumn="0" w:lastColumn="0" w:oddVBand="0" w:evenVBand="0" w:oddHBand="0" w:evenHBand="0" w:firstRowFirstColumn="0" w:firstRowLastColumn="0" w:lastRowFirstColumn="0" w:lastRowLastColumn="0"/>
            </w:pPr>
            <w:r>
              <w:t>9%</w:t>
            </w:r>
          </w:p>
        </w:tc>
        <w:tc>
          <w:tcPr>
            <w:tcW w:w="772" w:type="pct"/>
          </w:tcPr>
          <w:p w14:paraId="5F516B2B" w14:textId="07DE76F4" w:rsidR="00B87DBD" w:rsidRPr="00AE1E4A" w:rsidRDefault="00E464C2" w:rsidP="00473E61">
            <w:pPr>
              <w:jc w:val="right"/>
              <w:cnfStyle w:val="000000000000" w:firstRow="0" w:lastRow="0" w:firstColumn="0" w:lastColumn="0" w:oddVBand="0" w:evenVBand="0" w:oddHBand="0" w:evenHBand="0" w:firstRowFirstColumn="0" w:firstRowLastColumn="0" w:lastRowFirstColumn="0" w:lastRowLastColumn="0"/>
            </w:pPr>
            <w:r>
              <w:t>78</w:t>
            </w:r>
            <w:r w:rsidR="00B87DBD">
              <w:t>%</w:t>
            </w:r>
          </w:p>
        </w:tc>
        <w:tc>
          <w:tcPr>
            <w:tcW w:w="772" w:type="pct"/>
          </w:tcPr>
          <w:p w14:paraId="51892896" w14:textId="77777777" w:rsidR="00B87DBD" w:rsidRPr="00AE1E4A" w:rsidRDefault="00B87DBD" w:rsidP="00473E61">
            <w:pPr>
              <w:jc w:val="right"/>
              <w:cnfStyle w:val="000000000000" w:firstRow="0" w:lastRow="0" w:firstColumn="0" w:lastColumn="0" w:oddVBand="0" w:evenVBand="0" w:oddHBand="0" w:evenHBand="0" w:firstRowFirstColumn="0" w:firstRowLastColumn="0" w:lastRowFirstColumn="0" w:lastRowLastColumn="0"/>
            </w:pPr>
            <w:r>
              <w:t>23</w:t>
            </w:r>
          </w:p>
        </w:tc>
      </w:tr>
      <w:tr w:rsidR="00B87DBD" w:rsidRPr="00AE1E4A" w14:paraId="2AC33002"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5609AA41" w14:textId="533B3E13" w:rsidR="00B87DBD" w:rsidRPr="00AE1E4A" w:rsidRDefault="009A4F03" w:rsidP="00473E61">
            <w:pPr>
              <w:rPr>
                <w:rFonts w:cs="Arial"/>
                <w:color w:val="333333"/>
                <w:szCs w:val="20"/>
              </w:rPr>
            </w:pPr>
            <w:r>
              <w:rPr>
                <w:b w:val="0"/>
                <w:bCs/>
                <w:i/>
                <w:iCs/>
              </w:rPr>
              <w:t xml:space="preserve">   </w:t>
            </w:r>
            <w:r w:rsidR="00B87DBD" w:rsidRPr="0093431E">
              <w:rPr>
                <w:b w:val="0"/>
                <w:bCs/>
                <w:i/>
                <w:iCs/>
              </w:rPr>
              <w:t xml:space="preserve"> Q</w:t>
            </w:r>
            <w:r w:rsidR="00173487">
              <w:rPr>
                <w:b w:val="0"/>
                <w:bCs/>
                <w:i/>
                <w:iCs/>
              </w:rPr>
              <w:t>LD</w:t>
            </w:r>
            <w:r w:rsidR="00B87DBD" w:rsidRPr="0093431E">
              <w:rPr>
                <w:b w:val="0"/>
                <w:bCs/>
                <w:i/>
                <w:iCs/>
              </w:rPr>
              <w:t xml:space="preserve"> responses </w:t>
            </w:r>
          </w:p>
        </w:tc>
        <w:tc>
          <w:tcPr>
            <w:tcW w:w="772" w:type="pct"/>
          </w:tcPr>
          <w:p w14:paraId="4BD56AD6" w14:textId="72AD0B16" w:rsidR="00B87DBD" w:rsidRPr="00AE1E4A" w:rsidRDefault="00B87DBD" w:rsidP="00473E61">
            <w:pPr>
              <w:jc w:val="right"/>
              <w:cnfStyle w:val="000000010000" w:firstRow="0" w:lastRow="0" w:firstColumn="0" w:lastColumn="0" w:oddVBand="0" w:evenVBand="0" w:oddHBand="0" w:evenHBand="1" w:firstRowFirstColumn="0" w:firstRowLastColumn="0" w:lastRowFirstColumn="0" w:lastRowLastColumn="0"/>
            </w:pPr>
            <w:r>
              <w:t>0%</w:t>
            </w:r>
          </w:p>
        </w:tc>
        <w:tc>
          <w:tcPr>
            <w:tcW w:w="772" w:type="pct"/>
          </w:tcPr>
          <w:p w14:paraId="55706ACF" w14:textId="6A87E0CA" w:rsidR="00B87DBD" w:rsidRPr="00AE1E4A" w:rsidRDefault="00693FF1" w:rsidP="00473E61">
            <w:pPr>
              <w:jc w:val="right"/>
              <w:cnfStyle w:val="000000010000" w:firstRow="0" w:lastRow="0" w:firstColumn="0" w:lastColumn="0" w:oddVBand="0" w:evenVBand="0" w:oddHBand="0" w:evenHBand="1" w:firstRowFirstColumn="0" w:firstRowLastColumn="0" w:lastRowFirstColumn="0" w:lastRowLastColumn="0"/>
            </w:pPr>
            <w:r>
              <w:t>25</w:t>
            </w:r>
            <w:r w:rsidR="00B87DBD">
              <w:t>%</w:t>
            </w:r>
          </w:p>
        </w:tc>
        <w:tc>
          <w:tcPr>
            <w:tcW w:w="772" w:type="pct"/>
          </w:tcPr>
          <w:p w14:paraId="54BE6396" w14:textId="06D2CE5E" w:rsidR="00B87DBD" w:rsidRPr="00AE1E4A" w:rsidRDefault="00693FF1" w:rsidP="00473E61">
            <w:pPr>
              <w:jc w:val="right"/>
              <w:cnfStyle w:val="000000010000" w:firstRow="0" w:lastRow="0" w:firstColumn="0" w:lastColumn="0" w:oddVBand="0" w:evenVBand="0" w:oddHBand="0" w:evenHBand="1" w:firstRowFirstColumn="0" w:firstRowLastColumn="0" w:lastRowFirstColumn="0" w:lastRowLastColumn="0"/>
            </w:pPr>
            <w:r>
              <w:t>75</w:t>
            </w:r>
            <w:r w:rsidR="00B87DBD">
              <w:t>%</w:t>
            </w:r>
          </w:p>
        </w:tc>
        <w:tc>
          <w:tcPr>
            <w:tcW w:w="772" w:type="pct"/>
          </w:tcPr>
          <w:p w14:paraId="26FF49E9" w14:textId="77777777" w:rsidR="00B87DBD" w:rsidRPr="00AE1E4A" w:rsidRDefault="00B87DBD" w:rsidP="00473E61">
            <w:pPr>
              <w:jc w:val="right"/>
              <w:cnfStyle w:val="000000010000" w:firstRow="0" w:lastRow="0" w:firstColumn="0" w:lastColumn="0" w:oddVBand="0" w:evenVBand="0" w:oddHBand="0" w:evenHBand="1" w:firstRowFirstColumn="0" w:firstRowLastColumn="0" w:lastRowFirstColumn="0" w:lastRowLastColumn="0"/>
            </w:pPr>
            <w:r>
              <w:t>8</w:t>
            </w:r>
          </w:p>
        </w:tc>
      </w:tr>
      <w:tr w:rsidR="00B87DBD" w:rsidRPr="00AE1E4A" w14:paraId="0A76C0D8" w14:textId="77777777" w:rsidTr="00473E61">
        <w:tc>
          <w:tcPr>
            <w:cnfStyle w:val="001000000000" w:firstRow="0" w:lastRow="0" w:firstColumn="1" w:lastColumn="0" w:oddVBand="0" w:evenVBand="0" w:oddHBand="0" w:evenHBand="0" w:firstRowFirstColumn="0" w:firstRowLastColumn="0" w:lastRowFirstColumn="0" w:lastRowLastColumn="0"/>
            <w:tcW w:w="1912" w:type="pct"/>
          </w:tcPr>
          <w:p w14:paraId="1D1597B1" w14:textId="4FC94B84" w:rsidR="00B87DBD" w:rsidRPr="00AE1E4A" w:rsidRDefault="009A4F03" w:rsidP="00473E61">
            <w:pPr>
              <w:rPr>
                <w:rFonts w:cs="Arial"/>
                <w:color w:val="333333"/>
                <w:szCs w:val="20"/>
              </w:rPr>
            </w:pPr>
            <w:r>
              <w:rPr>
                <w:b w:val="0"/>
                <w:bCs/>
                <w:i/>
                <w:iCs/>
              </w:rPr>
              <w:t xml:space="preserve">   </w:t>
            </w:r>
            <w:r w:rsidR="00B87DBD" w:rsidRPr="0093431E">
              <w:rPr>
                <w:b w:val="0"/>
                <w:bCs/>
                <w:i/>
                <w:iCs/>
              </w:rPr>
              <w:t xml:space="preserve"> WA responses</w:t>
            </w:r>
          </w:p>
        </w:tc>
        <w:tc>
          <w:tcPr>
            <w:tcW w:w="772" w:type="pct"/>
          </w:tcPr>
          <w:p w14:paraId="60692868" w14:textId="77777777" w:rsidR="00B87DBD" w:rsidRPr="00AE1E4A" w:rsidRDefault="00B87DBD" w:rsidP="00473E61">
            <w:pPr>
              <w:jc w:val="right"/>
              <w:cnfStyle w:val="000000000000" w:firstRow="0" w:lastRow="0" w:firstColumn="0" w:lastColumn="0" w:oddVBand="0" w:evenVBand="0" w:oddHBand="0" w:evenHBand="0" w:firstRowFirstColumn="0" w:firstRowLastColumn="0" w:lastRowFirstColumn="0" w:lastRowLastColumn="0"/>
            </w:pPr>
            <w:r>
              <w:t>100%</w:t>
            </w:r>
          </w:p>
        </w:tc>
        <w:tc>
          <w:tcPr>
            <w:tcW w:w="772" w:type="pct"/>
          </w:tcPr>
          <w:p w14:paraId="3D400615" w14:textId="77777777" w:rsidR="00B87DBD" w:rsidRPr="00AE1E4A" w:rsidRDefault="00B87DBD" w:rsidP="00473E61">
            <w:pPr>
              <w:jc w:val="right"/>
              <w:cnfStyle w:val="000000000000" w:firstRow="0" w:lastRow="0" w:firstColumn="0" w:lastColumn="0" w:oddVBand="0" w:evenVBand="0" w:oddHBand="0" w:evenHBand="0" w:firstRowFirstColumn="0" w:firstRowLastColumn="0" w:lastRowFirstColumn="0" w:lastRowLastColumn="0"/>
            </w:pPr>
            <w:r>
              <w:t>0%</w:t>
            </w:r>
          </w:p>
        </w:tc>
        <w:tc>
          <w:tcPr>
            <w:tcW w:w="772" w:type="pct"/>
          </w:tcPr>
          <w:p w14:paraId="5C362779" w14:textId="77777777" w:rsidR="00B87DBD" w:rsidRPr="00AE1E4A" w:rsidRDefault="00B87DBD" w:rsidP="00473E61">
            <w:pPr>
              <w:jc w:val="right"/>
              <w:cnfStyle w:val="000000000000" w:firstRow="0" w:lastRow="0" w:firstColumn="0" w:lastColumn="0" w:oddVBand="0" w:evenVBand="0" w:oddHBand="0" w:evenHBand="0" w:firstRowFirstColumn="0" w:firstRowLastColumn="0" w:lastRowFirstColumn="0" w:lastRowLastColumn="0"/>
            </w:pPr>
            <w:r>
              <w:t>0%</w:t>
            </w:r>
          </w:p>
        </w:tc>
        <w:tc>
          <w:tcPr>
            <w:tcW w:w="772" w:type="pct"/>
          </w:tcPr>
          <w:p w14:paraId="2495309D" w14:textId="77777777" w:rsidR="00B87DBD" w:rsidRPr="00AE1E4A" w:rsidRDefault="00B87DBD" w:rsidP="00473E61">
            <w:pPr>
              <w:jc w:val="right"/>
              <w:cnfStyle w:val="000000000000" w:firstRow="0" w:lastRow="0" w:firstColumn="0" w:lastColumn="0" w:oddVBand="0" w:evenVBand="0" w:oddHBand="0" w:evenHBand="0" w:firstRowFirstColumn="0" w:firstRowLastColumn="0" w:lastRowFirstColumn="0" w:lastRowLastColumn="0"/>
            </w:pPr>
            <w:r>
              <w:t>11</w:t>
            </w:r>
          </w:p>
        </w:tc>
      </w:tr>
      <w:tr w:rsidR="00B87DBD" w:rsidRPr="00AE1E4A" w14:paraId="5C2ACD11" w14:textId="77777777" w:rsidTr="00473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pct"/>
          </w:tcPr>
          <w:p w14:paraId="08D0CEBA" w14:textId="57D3A743" w:rsidR="00B87DBD" w:rsidRPr="00AE1E4A" w:rsidRDefault="009A4F03" w:rsidP="00473E61">
            <w:pPr>
              <w:rPr>
                <w:rFonts w:cs="Arial"/>
                <w:color w:val="333333"/>
                <w:szCs w:val="20"/>
              </w:rPr>
            </w:pPr>
            <w:r>
              <w:rPr>
                <w:b w:val="0"/>
                <w:bCs/>
                <w:i/>
                <w:iCs/>
              </w:rPr>
              <w:t xml:space="preserve">   </w:t>
            </w:r>
            <w:r w:rsidR="00B87DBD" w:rsidRPr="0093431E">
              <w:rPr>
                <w:b w:val="0"/>
                <w:bCs/>
                <w:i/>
                <w:iCs/>
              </w:rPr>
              <w:t xml:space="preserve"> NT responses</w:t>
            </w:r>
          </w:p>
        </w:tc>
        <w:tc>
          <w:tcPr>
            <w:tcW w:w="772" w:type="pct"/>
          </w:tcPr>
          <w:p w14:paraId="4D976825" w14:textId="50BCD226" w:rsidR="00B87DBD" w:rsidRPr="00AE1E4A" w:rsidRDefault="00B87DBD" w:rsidP="00473E61">
            <w:pPr>
              <w:jc w:val="right"/>
              <w:cnfStyle w:val="000000010000" w:firstRow="0" w:lastRow="0" w:firstColumn="0" w:lastColumn="0" w:oddVBand="0" w:evenVBand="0" w:oddHBand="0" w:evenHBand="1" w:firstRowFirstColumn="0" w:firstRowLastColumn="0" w:lastRowFirstColumn="0" w:lastRowLastColumn="0"/>
            </w:pPr>
            <w:r>
              <w:t>0%</w:t>
            </w:r>
          </w:p>
        </w:tc>
        <w:tc>
          <w:tcPr>
            <w:tcW w:w="772" w:type="pct"/>
          </w:tcPr>
          <w:p w14:paraId="44834495" w14:textId="7FE6483B" w:rsidR="00B87DBD" w:rsidRPr="00AE1E4A" w:rsidRDefault="00B87DBD" w:rsidP="00473E61">
            <w:pPr>
              <w:jc w:val="right"/>
              <w:cnfStyle w:val="000000010000" w:firstRow="0" w:lastRow="0" w:firstColumn="0" w:lastColumn="0" w:oddVBand="0" w:evenVBand="0" w:oddHBand="0" w:evenHBand="1" w:firstRowFirstColumn="0" w:firstRowLastColumn="0" w:lastRowFirstColumn="0" w:lastRowLastColumn="0"/>
            </w:pPr>
            <w:r>
              <w:t>33%</w:t>
            </w:r>
          </w:p>
        </w:tc>
        <w:tc>
          <w:tcPr>
            <w:tcW w:w="772" w:type="pct"/>
          </w:tcPr>
          <w:p w14:paraId="7AEAEC9B" w14:textId="60427ED8" w:rsidR="00B87DBD" w:rsidRPr="00AE1E4A" w:rsidRDefault="00B87DBD" w:rsidP="00473E61">
            <w:pPr>
              <w:jc w:val="right"/>
              <w:cnfStyle w:val="000000010000" w:firstRow="0" w:lastRow="0" w:firstColumn="0" w:lastColumn="0" w:oddVBand="0" w:evenVBand="0" w:oddHBand="0" w:evenHBand="1" w:firstRowFirstColumn="0" w:firstRowLastColumn="0" w:lastRowFirstColumn="0" w:lastRowLastColumn="0"/>
            </w:pPr>
            <w:r>
              <w:t>67%</w:t>
            </w:r>
          </w:p>
        </w:tc>
        <w:tc>
          <w:tcPr>
            <w:tcW w:w="772" w:type="pct"/>
          </w:tcPr>
          <w:p w14:paraId="2183E667" w14:textId="77777777" w:rsidR="00B87DBD" w:rsidRPr="00AE1E4A" w:rsidRDefault="00B87DBD" w:rsidP="00473E61">
            <w:pPr>
              <w:jc w:val="right"/>
              <w:cnfStyle w:val="000000010000" w:firstRow="0" w:lastRow="0" w:firstColumn="0" w:lastColumn="0" w:oddVBand="0" w:evenVBand="0" w:oddHBand="0" w:evenHBand="1" w:firstRowFirstColumn="0" w:firstRowLastColumn="0" w:lastRowFirstColumn="0" w:lastRowLastColumn="0"/>
            </w:pPr>
            <w:r>
              <w:t>6</w:t>
            </w:r>
          </w:p>
        </w:tc>
      </w:tr>
    </w:tbl>
    <w:p w14:paraId="7109E23C" w14:textId="735683C4" w:rsidR="00B87DBD" w:rsidRPr="008A29CE" w:rsidRDefault="00B87DBD" w:rsidP="00B87DBD">
      <w:pPr>
        <w:ind w:firstLine="720"/>
        <w:rPr>
          <w:sz w:val="16"/>
          <w:szCs w:val="16"/>
        </w:rPr>
      </w:pPr>
      <w:r w:rsidRPr="008A29CE">
        <w:rPr>
          <w:sz w:val="16"/>
          <w:szCs w:val="16"/>
        </w:rPr>
        <w:t xml:space="preserve">Source: evaluation survey of </w:t>
      </w:r>
      <w:r>
        <w:rPr>
          <w:sz w:val="16"/>
          <w:szCs w:val="16"/>
        </w:rPr>
        <w:t xml:space="preserve">Initiative </w:t>
      </w:r>
      <w:r w:rsidRPr="008A29CE">
        <w:rPr>
          <w:sz w:val="16"/>
          <w:szCs w:val="16"/>
        </w:rPr>
        <w:t>site manager</w:t>
      </w:r>
      <w:r>
        <w:rPr>
          <w:sz w:val="16"/>
          <w:szCs w:val="16"/>
        </w:rPr>
        <w:t>s, question 9</w:t>
      </w:r>
    </w:p>
    <w:p w14:paraId="089ECFB9" w14:textId="38D18C5C" w:rsidR="00B87DBD" w:rsidRPr="00B87DBD" w:rsidRDefault="00BF6BA8" w:rsidP="00B87DBD">
      <w:r>
        <w:t>The reason for the lesser level of support in WA is unclear, given the financial modelling suggests that revenue received under the Initiative is higher on average than in both NSW and Queensland.</w:t>
      </w:r>
    </w:p>
    <w:p w14:paraId="5BBBD4E7" w14:textId="1D164EA5" w:rsidR="003B6D55" w:rsidRDefault="00366015" w:rsidP="003A2294">
      <w:pPr>
        <w:pStyle w:val="Heading3"/>
        <w:spacing w:before="240" w:after="120"/>
      </w:pPr>
      <w:bookmarkStart w:id="105" w:name="_Toc85203294"/>
      <w:r w:rsidRPr="00366015">
        <w:t>Role of the Initiative in facilitating maintenance of core services</w:t>
      </w:r>
      <w:bookmarkEnd w:id="105"/>
    </w:p>
    <w:p w14:paraId="51B8F851" w14:textId="3D056E62" w:rsidR="00036943" w:rsidRDefault="00366015" w:rsidP="003B6D55">
      <w:r>
        <w:t>Assessments of the contribution of the Initiative to health service sustainability should be considered in the context of the assessment of the first program objective</w:t>
      </w:r>
      <w:r w:rsidR="00036943">
        <w:t xml:space="preserve"> </w:t>
      </w:r>
      <w:bookmarkStart w:id="106" w:name="_Hlk75950638"/>
      <w:r w:rsidR="00036943">
        <w:t>–</w:t>
      </w:r>
      <w:bookmarkEnd w:id="106"/>
      <w:r w:rsidR="00036943">
        <w:t xml:space="preserve"> </w:t>
      </w:r>
      <w:r w:rsidR="00F243C3">
        <w:t xml:space="preserve">enhanced </w:t>
      </w:r>
      <w:r w:rsidR="00036943">
        <w:t>access to primary care. In Section 4.1</w:t>
      </w:r>
      <w:r w:rsidR="00F243C3">
        <w:t xml:space="preserve"> </w:t>
      </w:r>
      <w:r w:rsidR="00036943">
        <w:t>we noted the Initiative has clearly improved.</w:t>
      </w:r>
      <w:r w:rsidR="00036943" w:rsidRPr="00036943">
        <w:t xml:space="preserve"> access to emergency medical care and after-hours services at many participating sites</w:t>
      </w:r>
      <w:r w:rsidR="00036943">
        <w:t xml:space="preserve">. </w:t>
      </w:r>
      <w:bookmarkStart w:id="107" w:name="_Hlk75951820"/>
      <w:r w:rsidR="00036943">
        <w:t xml:space="preserve">The availability of financial resources underpins that service </w:t>
      </w:r>
      <w:r w:rsidR="00036943">
        <w:t>delivery development, evidence that the Initiative has contributed to delivery of these core services.</w:t>
      </w:r>
      <w:bookmarkEnd w:id="107"/>
      <w:r w:rsidR="003A2294">
        <w:t xml:space="preserve"> </w:t>
      </w:r>
      <w:r w:rsidR="00036943">
        <w:t xml:space="preserve">However, it should be emphasised that access to the Initiative </w:t>
      </w:r>
      <w:r w:rsidR="009821B2">
        <w:t>–</w:t>
      </w:r>
      <w:r w:rsidR="00036943">
        <w:t xml:space="preserve"> and </w:t>
      </w:r>
      <w:r w:rsidR="00065C89">
        <w:t>its</w:t>
      </w:r>
      <w:r w:rsidR="00036943">
        <w:t xml:space="preserve"> associated </w:t>
      </w:r>
      <w:bookmarkStart w:id="108" w:name="_Hlk75952060"/>
      <w:r w:rsidR="00036943">
        <w:t>support for primary care service development, access to greater levels of relevant healthcare workforce</w:t>
      </w:r>
      <w:bookmarkEnd w:id="108"/>
      <w:r w:rsidR="00036943">
        <w:t xml:space="preserve">, and </w:t>
      </w:r>
      <w:r w:rsidR="00F243C3">
        <w:t>increased</w:t>
      </w:r>
      <w:r w:rsidR="00036943">
        <w:t xml:space="preserve"> financial </w:t>
      </w:r>
      <w:r w:rsidR="00F243C3">
        <w:t>support</w:t>
      </w:r>
      <w:r w:rsidR="00036943">
        <w:t xml:space="preserve"> </w:t>
      </w:r>
      <w:r w:rsidR="009821B2">
        <w:t>–</w:t>
      </w:r>
      <w:r w:rsidR="00036943">
        <w:t xml:space="preserve"> </w:t>
      </w:r>
      <w:bookmarkStart w:id="109" w:name="_Hlk75952197"/>
      <w:r w:rsidR="00036943">
        <w:t xml:space="preserve">is not a guarantee of </w:t>
      </w:r>
      <w:r w:rsidR="00F243C3">
        <w:t>long</w:t>
      </w:r>
      <w:r w:rsidR="009821B2">
        <w:t>-</w:t>
      </w:r>
      <w:r w:rsidR="00F243C3">
        <w:t>term health service viability. Historical service delivery arrangements, industrial arrangements and gradual population decline can all interact to threaten the sustainability of health services and compromise the models of care available to some small communities.</w:t>
      </w:r>
      <w:bookmarkEnd w:id="109"/>
      <w:r w:rsidR="00F243C3">
        <w:t xml:space="preserve"> The interaction of these various challenges is illustrated by our case study of the Nyngan MPS in north</w:t>
      </w:r>
      <w:r w:rsidR="00B07EB1">
        <w:t>-</w:t>
      </w:r>
      <w:r w:rsidR="00F243C3">
        <w:t xml:space="preserve">western NSW (see Case Study Box #3 </w:t>
      </w:r>
      <w:r w:rsidR="003A2294">
        <w:t>below</w:t>
      </w:r>
      <w:r w:rsidR="00F243C3">
        <w:t>).</w:t>
      </w:r>
    </w:p>
    <w:p w14:paraId="11602ABD" w14:textId="3CC44581" w:rsidR="00635EDE" w:rsidRPr="00531DBF" w:rsidRDefault="00635EDE" w:rsidP="00241717">
      <w:pPr>
        <w:pStyle w:val="ProjectImplication"/>
      </w:pPr>
      <w:r w:rsidRPr="00241717">
        <w:rPr>
          <w:caps/>
        </w:rPr>
        <w:t>Case Study Box</w:t>
      </w:r>
      <w:r w:rsidRPr="00531DBF">
        <w:t xml:space="preserve"> #3</w:t>
      </w:r>
    </w:p>
    <w:p w14:paraId="01631F37" w14:textId="4CCEE208" w:rsidR="00635EDE" w:rsidRPr="00635EDE" w:rsidRDefault="00635EDE" w:rsidP="00241717">
      <w:pPr>
        <w:pStyle w:val="ProjectImplication"/>
        <w:rPr>
          <w:b/>
          <w:bCs/>
        </w:rPr>
      </w:pPr>
      <w:r w:rsidRPr="00635EDE">
        <w:rPr>
          <w:b/>
          <w:bCs/>
        </w:rPr>
        <w:t>Nyngan</w:t>
      </w:r>
      <w:r w:rsidR="00E225E4">
        <w:rPr>
          <w:b/>
          <w:bCs/>
        </w:rPr>
        <w:t xml:space="preserve"> MPS</w:t>
      </w:r>
      <w:r w:rsidRPr="00635EDE">
        <w:rPr>
          <w:b/>
          <w:bCs/>
        </w:rPr>
        <w:t xml:space="preserve">: </w:t>
      </w:r>
      <w:r w:rsidR="00241717">
        <w:rPr>
          <w:b/>
          <w:bCs/>
        </w:rPr>
        <w:t>c</w:t>
      </w:r>
      <w:r w:rsidRPr="00635EDE">
        <w:rPr>
          <w:b/>
          <w:bCs/>
        </w:rPr>
        <w:t xml:space="preserve">ontribution of the Initiative to sustainable health services is dependent on medical workforce capacity and </w:t>
      </w:r>
      <w:r w:rsidR="00241717">
        <w:rPr>
          <w:b/>
          <w:bCs/>
        </w:rPr>
        <w:t xml:space="preserve">the underlying </w:t>
      </w:r>
      <w:r w:rsidRPr="00635EDE">
        <w:rPr>
          <w:b/>
          <w:bCs/>
        </w:rPr>
        <w:t>service model</w:t>
      </w:r>
    </w:p>
    <w:p w14:paraId="1962FE7E" w14:textId="5FDFEF60" w:rsidR="00241717" w:rsidRDefault="00635EDE" w:rsidP="00241717">
      <w:pPr>
        <w:pStyle w:val="ProjectImplication"/>
        <w:rPr>
          <w:rFonts w:cs="Calibri"/>
        </w:rPr>
      </w:pPr>
      <w:r w:rsidRPr="00635EDE">
        <w:t>Nyngan MPS provides acute care, inpatient care, emergency care and residential aged care in the 36</w:t>
      </w:r>
      <w:r w:rsidR="00CB1E8E">
        <w:t>-</w:t>
      </w:r>
      <w:r w:rsidRPr="00635EDE">
        <w:t xml:space="preserve">bed facility. The Bogan Medical Centre is owned and operated by the Bogan Shire Council and usually has two locum GPs in the </w:t>
      </w:r>
      <w:r w:rsidR="00065C89" w:rsidRPr="00635EDE">
        <w:t>clinic,</w:t>
      </w:r>
      <w:r w:rsidRPr="00635EDE">
        <w:t xml:space="preserve"> but </w:t>
      </w:r>
      <w:r>
        <w:t xml:space="preserve">they </w:t>
      </w:r>
      <w:r w:rsidRPr="00635EDE">
        <w:t>do not provide medical coverage to the MPS. There is one privately owned solo general practice</w:t>
      </w:r>
      <w:r w:rsidR="00F243C3">
        <w:t>; the GP</w:t>
      </w:r>
      <w:r w:rsidRPr="00635EDE">
        <w:t xml:space="preserve"> previously worked as a VMO to the </w:t>
      </w:r>
      <w:r w:rsidR="00065C89" w:rsidRPr="00635EDE">
        <w:t>MPS,</w:t>
      </w:r>
      <w:r w:rsidRPr="00635EDE">
        <w:t xml:space="preserve"> but </w:t>
      </w:r>
      <w:r w:rsidR="00241717">
        <w:t xml:space="preserve">that service </w:t>
      </w:r>
      <w:r w:rsidRPr="00635EDE">
        <w:t xml:space="preserve">has since ceased. </w:t>
      </w:r>
      <w:r w:rsidR="00241717">
        <w:t xml:space="preserve">In response, </w:t>
      </w:r>
      <w:r w:rsidR="00241717" w:rsidRPr="00857213">
        <w:t xml:space="preserve">Western NSW LHD </w:t>
      </w:r>
      <w:r w:rsidR="00241717">
        <w:t>applied</w:t>
      </w:r>
      <w:r w:rsidR="00241717" w:rsidRPr="00857213">
        <w:t xml:space="preserve"> the Virtual Rural Generalist Service to provide telehealth medical support to the Nyngan MPS for emergency and inpatient care with a GP on-site one week in six. As a result of the limited medical presence physically, revenue generated through the Initiative is curtailed. </w:t>
      </w:r>
      <w:r w:rsidR="00241717" w:rsidRPr="00857213">
        <w:rPr>
          <w:rFonts w:cs="Calibri"/>
        </w:rPr>
        <w:t>Medicare revenue was $46,413 (</w:t>
      </w:r>
      <w:r w:rsidR="00241717">
        <w:rPr>
          <w:rFonts w:cs="Calibri"/>
        </w:rPr>
        <w:t>2019–20</w:t>
      </w:r>
      <w:r w:rsidR="00241717" w:rsidRPr="00857213">
        <w:rPr>
          <w:rFonts w:cs="Calibri"/>
        </w:rPr>
        <w:t>) and $29,980 (201</w:t>
      </w:r>
      <w:r w:rsidR="00241717">
        <w:rPr>
          <w:rFonts w:cs="Calibri"/>
        </w:rPr>
        <w:t>8–19</w:t>
      </w:r>
      <w:r w:rsidR="00241717" w:rsidRPr="00857213">
        <w:rPr>
          <w:rFonts w:cs="Calibri"/>
        </w:rPr>
        <w:t>)</w:t>
      </w:r>
      <w:r w:rsidR="00241717">
        <w:rPr>
          <w:rFonts w:cs="Calibri"/>
        </w:rPr>
        <w:t xml:space="preserve">. The funds generated were </w:t>
      </w:r>
      <w:r w:rsidR="00241717" w:rsidRPr="00857213">
        <w:rPr>
          <w:rFonts w:cs="Calibri"/>
        </w:rPr>
        <w:t>reinvested in locum support ($2</w:t>
      </w:r>
      <w:r w:rsidR="00E225E4">
        <w:rPr>
          <w:rFonts w:cs="Calibri"/>
        </w:rPr>
        <w:t>1,000</w:t>
      </w:r>
      <w:r w:rsidR="00241717" w:rsidRPr="00857213">
        <w:rPr>
          <w:rFonts w:cs="Calibri"/>
        </w:rPr>
        <w:t xml:space="preserve"> each year), administration ($14</w:t>
      </w:r>
      <w:r w:rsidR="00E225E4">
        <w:rPr>
          <w:rFonts w:cs="Calibri"/>
        </w:rPr>
        <w:t>,000</w:t>
      </w:r>
      <w:r w:rsidR="00241717" w:rsidRPr="00857213">
        <w:rPr>
          <w:rFonts w:cs="Calibri"/>
        </w:rPr>
        <w:t xml:space="preserve"> and $8</w:t>
      </w:r>
      <w:r w:rsidR="00E225E4">
        <w:rPr>
          <w:rFonts w:cs="Calibri"/>
        </w:rPr>
        <w:t>,000</w:t>
      </w:r>
      <w:r w:rsidR="00241717">
        <w:rPr>
          <w:rFonts w:cs="Calibri"/>
        </w:rPr>
        <w:t xml:space="preserve"> in each respective financial year</w:t>
      </w:r>
      <w:r w:rsidR="00241717" w:rsidRPr="00857213">
        <w:rPr>
          <w:rFonts w:cs="Calibri"/>
        </w:rPr>
        <w:t>) and equipment ($1</w:t>
      </w:r>
      <w:r w:rsidR="00E225E4">
        <w:rPr>
          <w:rFonts w:cs="Calibri"/>
        </w:rPr>
        <w:t>1,000</w:t>
      </w:r>
      <w:r w:rsidR="00241717" w:rsidRPr="00857213">
        <w:rPr>
          <w:rFonts w:cs="Calibri"/>
        </w:rPr>
        <w:t xml:space="preserve"> in </w:t>
      </w:r>
      <w:r w:rsidR="00241717">
        <w:rPr>
          <w:rFonts w:cs="Calibri"/>
        </w:rPr>
        <w:t>2019–</w:t>
      </w:r>
      <w:r w:rsidR="00241717" w:rsidRPr="00857213">
        <w:rPr>
          <w:rFonts w:cs="Calibri"/>
        </w:rPr>
        <w:t>20).</w:t>
      </w:r>
    </w:p>
    <w:p w14:paraId="3D127A20" w14:textId="519F0F9F" w:rsidR="00241717" w:rsidRDefault="00241717" w:rsidP="00241717">
      <w:pPr>
        <w:pStyle w:val="ProjectImplication"/>
        <w:rPr>
          <w:rFonts w:eastAsia="Calibri" w:cs="Calibri"/>
          <w:spacing w:val="0"/>
        </w:rPr>
      </w:pPr>
      <w:r w:rsidRPr="00857213">
        <w:rPr>
          <w:rFonts w:eastAsia="Calibri" w:cs="Calibri"/>
          <w:spacing w:val="0"/>
        </w:rPr>
        <w:t xml:space="preserve">The fragility of primary care services in Nyngan has </w:t>
      </w:r>
      <w:r>
        <w:rPr>
          <w:rFonts w:eastAsia="Calibri" w:cs="Calibri"/>
          <w:spacing w:val="0"/>
        </w:rPr>
        <w:t xml:space="preserve">a </w:t>
      </w:r>
      <w:r w:rsidRPr="00857213">
        <w:rPr>
          <w:rFonts w:eastAsia="Calibri" w:cs="Calibri"/>
          <w:spacing w:val="0"/>
        </w:rPr>
        <w:t xml:space="preserve">severe impact on access to care for the </w:t>
      </w:r>
      <w:r>
        <w:rPr>
          <w:rFonts w:eastAsia="Calibri" w:cs="Calibri"/>
          <w:spacing w:val="0"/>
        </w:rPr>
        <w:t xml:space="preserve">Nyngan </w:t>
      </w:r>
      <w:r w:rsidRPr="00857213">
        <w:rPr>
          <w:rFonts w:eastAsia="Calibri" w:cs="Calibri"/>
          <w:spacing w:val="0"/>
        </w:rPr>
        <w:t>MPS residents. Under the MPS model, funding for primary care services to residents is intended to be met through Medicare</w:t>
      </w:r>
      <w:r>
        <w:rPr>
          <w:rFonts w:eastAsia="Calibri" w:cs="Calibri"/>
          <w:spacing w:val="0"/>
        </w:rPr>
        <w:t>,</w:t>
      </w:r>
      <w:r w:rsidRPr="00857213">
        <w:rPr>
          <w:rFonts w:eastAsia="Calibri" w:cs="Calibri"/>
          <w:spacing w:val="0"/>
        </w:rPr>
        <w:t xml:space="preserve"> as in other</w:t>
      </w:r>
      <w:r w:rsidR="00856A0E">
        <w:rPr>
          <w:rFonts w:eastAsia="Calibri" w:cs="Calibri"/>
          <w:spacing w:val="0"/>
        </w:rPr>
        <w:t xml:space="preserve"> residential aged care facilities</w:t>
      </w:r>
      <w:r w:rsidRPr="00857213">
        <w:rPr>
          <w:rFonts w:eastAsia="Calibri" w:cs="Calibri"/>
          <w:spacing w:val="0"/>
        </w:rPr>
        <w:t>. However, in Nyngan the residents do not have access to potential benefits of Medicare such as private allied health services supported through GP care plans,</w:t>
      </w:r>
      <w:r w:rsidR="00F243C3">
        <w:rPr>
          <w:rFonts w:eastAsia="Calibri" w:cs="Calibri"/>
          <w:spacing w:val="0"/>
        </w:rPr>
        <w:t xml:space="preserve"> Pharmaceutical Benefits Scheme </w:t>
      </w:r>
      <w:r w:rsidRPr="00857213">
        <w:rPr>
          <w:rFonts w:eastAsia="Calibri" w:cs="Calibri"/>
          <w:spacing w:val="0"/>
        </w:rPr>
        <w:lastRenderedPageBreak/>
        <w:t xml:space="preserve">scripts or medication reviews by </w:t>
      </w:r>
      <w:r w:rsidR="00F243C3">
        <w:rPr>
          <w:rFonts w:eastAsia="Calibri" w:cs="Calibri"/>
          <w:spacing w:val="0"/>
        </w:rPr>
        <w:t>consultant</w:t>
      </w:r>
      <w:r w:rsidRPr="00857213">
        <w:rPr>
          <w:rFonts w:eastAsia="Calibri" w:cs="Calibri"/>
          <w:spacing w:val="0"/>
        </w:rPr>
        <w:t xml:space="preserve"> pharmacists. Furthermore, as the Nyngan MPS operates under the NSW patient information system, there is no</w:t>
      </w:r>
      <w:r>
        <w:rPr>
          <w:rFonts w:eastAsia="Calibri" w:cs="Calibri"/>
          <w:spacing w:val="0"/>
        </w:rPr>
        <w:t xml:space="preserve"> information technology support at the service </w:t>
      </w:r>
      <w:r w:rsidRPr="00857213">
        <w:rPr>
          <w:rFonts w:eastAsia="Calibri" w:cs="Calibri"/>
          <w:spacing w:val="0"/>
        </w:rPr>
        <w:t xml:space="preserve">to develop </w:t>
      </w:r>
      <w:r w:rsidR="00F243C3">
        <w:rPr>
          <w:rFonts w:eastAsia="Calibri" w:cs="Calibri"/>
          <w:spacing w:val="0"/>
        </w:rPr>
        <w:t xml:space="preserve">and record </w:t>
      </w:r>
      <w:r w:rsidRPr="00857213">
        <w:rPr>
          <w:rFonts w:eastAsia="Calibri" w:cs="Calibri"/>
          <w:spacing w:val="0"/>
        </w:rPr>
        <w:t xml:space="preserve">care plans or put in place </w:t>
      </w:r>
      <w:r w:rsidR="00F243C3">
        <w:rPr>
          <w:rFonts w:eastAsia="Calibri" w:cs="Calibri"/>
          <w:spacing w:val="0"/>
        </w:rPr>
        <w:t xml:space="preserve">care management </w:t>
      </w:r>
      <w:r w:rsidRPr="00857213">
        <w:rPr>
          <w:rFonts w:eastAsia="Calibri" w:cs="Calibri"/>
          <w:spacing w:val="0"/>
        </w:rPr>
        <w:t xml:space="preserve">systems for management of chronic and complex conditions. </w:t>
      </w:r>
    </w:p>
    <w:p w14:paraId="4E927DCF" w14:textId="41B63A94" w:rsidR="003A2294" w:rsidRPr="003A2294" w:rsidRDefault="003A2294" w:rsidP="003A2294">
      <w:r>
        <w:t xml:space="preserve">We return to the issue of access to health services in outer rural and remote settings in our commentary on appropriateness of the Initiative in Section </w:t>
      </w:r>
      <w:r w:rsidR="00E46A74">
        <w:t>D</w:t>
      </w:r>
      <w:r>
        <w:t xml:space="preserve"> of this chapter.</w:t>
      </w:r>
    </w:p>
    <w:p w14:paraId="2C5CD4FA" w14:textId="22EC6973" w:rsidR="00333AC1" w:rsidRDefault="00333AC1" w:rsidP="00333AC1">
      <w:pPr>
        <w:pStyle w:val="Heading4"/>
      </w:pPr>
      <w:r>
        <w:t xml:space="preserve">Development of sustainable health services: </w:t>
      </w:r>
      <w:r w:rsidR="009821B2">
        <w:t>S</w:t>
      </w:r>
      <w:r>
        <w:t>ummary assessment</w:t>
      </w:r>
    </w:p>
    <w:p w14:paraId="006342E8" w14:textId="605B971F" w:rsidR="00333AC1" w:rsidRDefault="00333AC1" w:rsidP="00333AC1">
      <w:r>
        <w:t>Based on the analysis presented above</w:t>
      </w:r>
      <w:r w:rsidR="009821B2">
        <w:t>,</w:t>
      </w:r>
      <w:r>
        <w:t xml:space="preserve"> the evaluation team reached the following conclusions:</w:t>
      </w:r>
    </w:p>
    <w:p w14:paraId="524E124C" w14:textId="572D49EB" w:rsidR="007E3B70" w:rsidRPr="007E3B70" w:rsidRDefault="007E3B70" w:rsidP="001665A3">
      <w:pPr>
        <w:pStyle w:val="Finding"/>
      </w:pPr>
      <w:r w:rsidRPr="007E3B70">
        <w:t xml:space="preserve">At a national </w:t>
      </w:r>
      <w:r w:rsidR="00B07EB1" w:rsidRPr="007E3B70">
        <w:t>level,</w:t>
      </w:r>
      <w:r w:rsidRPr="007E3B70">
        <w:t xml:space="preserve"> the MBS revenues </w:t>
      </w:r>
      <w:r w:rsidR="005F293A">
        <w:t>enabled by the Ini</w:t>
      </w:r>
      <w:r w:rsidR="00613C43">
        <w:t>ti</w:t>
      </w:r>
      <w:r w:rsidR="005F293A">
        <w:t xml:space="preserve">ative </w:t>
      </w:r>
      <w:r w:rsidRPr="007E3B70">
        <w:t xml:space="preserve">represented in the order of </w:t>
      </w:r>
      <w:r w:rsidR="0036717D">
        <w:t>6</w:t>
      </w:r>
      <w:r w:rsidRPr="007E3B70">
        <w:t xml:space="preserve">% </w:t>
      </w:r>
      <w:r w:rsidR="0036717D">
        <w:t xml:space="preserve">of </w:t>
      </w:r>
      <w:r w:rsidRPr="007E3B70">
        <w:t>modelled salaries and wages of survey respondent sites, suggesting that</w:t>
      </w:r>
      <w:r w:rsidR="009821B2">
        <w:t xml:space="preserve"> the</w:t>
      </w:r>
      <w:r w:rsidRPr="007E3B70">
        <w:t xml:space="preserve"> Initiative is, on average, a reasonably significant contributor to overall revenue of participating services</w:t>
      </w:r>
      <w:r>
        <w:t>. This</w:t>
      </w:r>
      <w:r w:rsidR="003A2294">
        <w:t xml:space="preserve"> indicator </w:t>
      </w:r>
      <w:r>
        <w:t>of Initiative revenue contribution varie</w:t>
      </w:r>
      <w:r w:rsidR="009D554F">
        <w:t>d</w:t>
      </w:r>
      <w:r>
        <w:t xml:space="preserve"> by jurisdiction with</w:t>
      </w:r>
      <w:r w:rsidR="003A2294">
        <w:t>, for example,</w:t>
      </w:r>
      <w:r>
        <w:t xml:space="preserve"> a low</w:t>
      </w:r>
      <w:r w:rsidR="00F243C3">
        <w:t>er</w:t>
      </w:r>
      <w:r>
        <w:t xml:space="preserve"> </w:t>
      </w:r>
      <w:r w:rsidR="00F243C3">
        <w:t xml:space="preserve">level </w:t>
      </w:r>
      <w:r>
        <w:t>of 3% in NSW surveyed sites and a high</w:t>
      </w:r>
      <w:r w:rsidR="003A2294">
        <w:t>er level</w:t>
      </w:r>
      <w:r>
        <w:t xml:space="preserve"> of 8% in NT surveyed sites.</w:t>
      </w:r>
      <w:r w:rsidR="00446610" w:rsidRPr="00446610">
        <w:t xml:space="preserve"> WA noted the materiality of Initiative revenue was low relative to </w:t>
      </w:r>
      <w:r w:rsidR="00446610">
        <w:t xml:space="preserve">that health service’s </w:t>
      </w:r>
      <w:r w:rsidR="00446610" w:rsidRPr="00446610">
        <w:t>total revenue.</w:t>
      </w:r>
    </w:p>
    <w:p w14:paraId="70A8752F" w14:textId="6554DBE3" w:rsidR="00333AC1" w:rsidRDefault="00C00019" w:rsidP="001665A3">
      <w:pPr>
        <w:pStyle w:val="Finding"/>
      </w:pPr>
      <w:r>
        <w:t>Two thirds</w:t>
      </w:r>
      <w:r w:rsidR="00CC3248">
        <w:t xml:space="preserve"> of respondents to the </w:t>
      </w:r>
      <w:r w:rsidR="009D554F">
        <w:t xml:space="preserve">evaluation </w:t>
      </w:r>
      <w:r w:rsidR="00CC3248">
        <w:t xml:space="preserve">Initiative site survey </w:t>
      </w:r>
      <w:r>
        <w:t xml:space="preserve">from NSW, Qld and NT </w:t>
      </w:r>
      <w:r w:rsidR="00CC3248">
        <w:t>(n=4</w:t>
      </w:r>
      <w:r>
        <w:t>2</w:t>
      </w:r>
      <w:r w:rsidR="00CC3248">
        <w:t xml:space="preserve">) </w:t>
      </w:r>
      <w:r w:rsidR="00856A0E">
        <w:t>saw</w:t>
      </w:r>
      <w:r w:rsidR="00CC3248">
        <w:t xml:space="preserve"> the program as a way of supporting the </w:t>
      </w:r>
      <w:r w:rsidR="00856A0E">
        <w:t>sustainability</w:t>
      </w:r>
      <w:r w:rsidR="00CC3248">
        <w:t xml:space="preserve"> of health services</w:t>
      </w:r>
      <w:r w:rsidR="003A2294">
        <w:t xml:space="preserve"> at the location where they worked.</w:t>
      </w:r>
      <w:r>
        <w:t xml:space="preserve"> 100% of the WA responses (n=11) </w:t>
      </w:r>
      <w:r w:rsidR="00446610">
        <w:t xml:space="preserve">disagreed with this </w:t>
      </w:r>
      <w:r w:rsidR="008A7AF7">
        <w:t>view, indicating their position the Initiative did not contribute to supporting the sustainability of the health service</w:t>
      </w:r>
      <w:r w:rsidR="00446610">
        <w:t xml:space="preserve">. </w:t>
      </w:r>
    </w:p>
    <w:p w14:paraId="5CBE38F5" w14:textId="038480DD" w:rsidR="00CC3248" w:rsidRPr="00CC3248" w:rsidRDefault="00CC3248" w:rsidP="001665A3">
      <w:pPr>
        <w:pStyle w:val="Finding"/>
      </w:pPr>
      <w:r w:rsidRPr="00CC3248">
        <w:t xml:space="preserve">The availability of financial resources </w:t>
      </w:r>
      <w:r>
        <w:t xml:space="preserve">under the Initiative </w:t>
      </w:r>
      <w:r w:rsidRPr="00CC3248">
        <w:t>underpin</w:t>
      </w:r>
      <w:r w:rsidR="00446610">
        <w:t xml:space="preserve">ned </w:t>
      </w:r>
      <w:r w:rsidRPr="00CC3248">
        <w:t>service delivery development</w:t>
      </w:r>
      <w:r>
        <w:t xml:space="preserve"> </w:t>
      </w:r>
      <w:r w:rsidR="00446610">
        <w:t xml:space="preserve">at many case study sites </w:t>
      </w:r>
      <w:r>
        <w:t>th</w:t>
      </w:r>
      <w:r w:rsidR="00D8057C">
        <w:t>r</w:t>
      </w:r>
      <w:r>
        <w:t>ough reinvestment of funds to</w:t>
      </w:r>
      <w:r w:rsidRPr="00CC3248">
        <w:t xml:space="preserve"> </w:t>
      </w:r>
      <w:r>
        <w:t>support primary care service development and access to greater levels of relevant healthcare workforce.</w:t>
      </w:r>
    </w:p>
    <w:p w14:paraId="6F1928EE" w14:textId="47DA4F8A" w:rsidR="00333AC1" w:rsidRDefault="00CC3248" w:rsidP="001665A3">
      <w:pPr>
        <w:pStyle w:val="Finding"/>
      </w:pPr>
      <w:r>
        <w:t xml:space="preserve">Visits to case study sites highlighted that </w:t>
      </w:r>
      <w:r w:rsidR="003A2294">
        <w:t>a</w:t>
      </w:r>
      <w:r>
        <w:t xml:space="preserve">ccess to the Initiative </w:t>
      </w:r>
      <w:r w:rsidRPr="00CC3248">
        <w:t>is not a guarantee of</w:t>
      </w:r>
      <w:r>
        <w:t xml:space="preserve"> an individual health service’s</w:t>
      </w:r>
      <w:r w:rsidRPr="00CC3248">
        <w:t xml:space="preserve"> long</w:t>
      </w:r>
      <w:r w:rsidR="00D8057C">
        <w:t>-</w:t>
      </w:r>
      <w:r w:rsidRPr="00CC3248">
        <w:t>term viability. Historical service delivery arrangements, industrial arrangements</w:t>
      </w:r>
      <w:r>
        <w:t xml:space="preserve">, </w:t>
      </w:r>
      <w:r w:rsidRPr="00CC3248">
        <w:t>gradual population decline</w:t>
      </w:r>
      <w:r>
        <w:t xml:space="preserve">, and the sudden resignation of a key </w:t>
      </w:r>
      <w:r w:rsidR="003A2294">
        <w:t>manager or clinician</w:t>
      </w:r>
      <w:r w:rsidRPr="00CC3248">
        <w:t xml:space="preserve"> can all interact to threaten the sustainability of health services and compromise the models of </w:t>
      </w:r>
      <w:r w:rsidR="003A2294">
        <w:t xml:space="preserve">clinical </w:t>
      </w:r>
      <w:r w:rsidRPr="00CC3248">
        <w:t>care available to some small communities.</w:t>
      </w:r>
    </w:p>
    <w:p w14:paraId="7D438EA3" w14:textId="6170C8FA" w:rsidR="003A2294" w:rsidRDefault="003A2294" w:rsidP="003A2294"/>
    <w:p w14:paraId="0E2BCB29" w14:textId="6FD6EC7C" w:rsidR="003C79BA" w:rsidRDefault="00F73AD6" w:rsidP="00CC3248">
      <w:pPr>
        <w:pStyle w:val="SectionTitle"/>
        <w:numPr>
          <w:ilvl w:val="0"/>
          <w:numId w:val="0"/>
        </w:numPr>
        <w:spacing w:before="480"/>
      </w:pPr>
      <w:bookmarkStart w:id="110" w:name="_Toc85203295"/>
      <w:r>
        <w:t>Section B:</w:t>
      </w:r>
      <w:r>
        <w:tab/>
      </w:r>
      <w:r w:rsidR="003C79BA">
        <w:t>Program design &amp;</w:t>
      </w:r>
      <w:r>
        <w:t xml:space="preserve"> </w:t>
      </w:r>
      <w:r w:rsidR="003C79BA">
        <w:t>Administration</w:t>
      </w:r>
      <w:bookmarkEnd w:id="110"/>
    </w:p>
    <w:p w14:paraId="649BDAEA" w14:textId="3BE19758" w:rsidR="002644BC" w:rsidRDefault="002644BC" w:rsidP="002644BC">
      <w:r>
        <w:t>The evaluation brief specified that there should be an examination of the program’s design and administration. In this evaluation area</w:t>
      </w:r>
      <w:r w:rsidR="009821B2">
        <w:t>,</w:t>
      </w:r>
      <w:r>
        <w:t xml:space="preserve"> the team examined the Initiative’s eligibility criteria, administrative arrangements, including the MOU principles and objectives, required processes for stakeholder engagement and reporting, and Department of Health administrative arrangements.</w:t>
      </w:r>
    </w:p>
    <w:p w14:paraId="411DAD79" w14:textId="4BCB25BE" w:rsidR="003C79BA" w:rsidRDefault="003C79BA" w:rsidP="003C79BA">
      <w:pPr>
        <w:pStyle w:val="Heading2"/>
      </w:pPr>
      <w:bookmarkStart w:id="111" w:name="_Toc85203296"/>
      <w:r>
        <w:t>Initiative eligibility criteri</w:t>
      </w:r>
      <w:r w:rsidR="008B1642">
        <w:t>on</w:t>
      </w:r>
      <w:r>
        <w:t xml:space="preserve">: </w:t>
      </w:r>
      <w:r w:rsidR="00EE4319">
        <w:t>Appropriateness</w:t>
      </w:r>
      <w:bookmarkEnd w:id="111"/>
    </w:p>
    <w:p w14:paraId="7723C729" w14:textId="4AA1DC4A" w:rsidR="004C697A" w:rsidRPr="004C697A" w:rsidRDefault="00083D85" w:rsidP="004C697A">
      <w:r>
        <w:t>T</w:t>
      </w:r>
      <w:r w:rsidR="004C697A">
        <w:t xml:space="preserve">here was strong support for the single eligibility criterion for the Initiative </w:t>
      </w:r>
      <w:bookmarkStart w:id="112" w:name="_Hlk73097598"/>
      <w:r w:rsidR="004C697A">
        <w:t xml:space="preserve">– </w:t>
      </w:r>
      <w:bookmarkEnd w:id="112"/>
      <w:r w:rsidR="004C697A">
        <w:t xml:space="preserve">public health services based </w:t>
      </w:r>
      <w:r w:rsidR="004C697A" w:rsidRPr="004C697A">
        <w:t>in areas 5 to 7 of the MMM</w:t>
      </w:r>
      <w:r w:rsidR="004C697A">
        <w:t xml:space="preserve"> </w:t>
      </w:r>
      <w:r w:rsidR="004C697A" w:rsidRPr="004C697A">
        <w:t>geographical classification scheme</w:t>
      </w:r>
      <w:r w:rsidR="005B758D">
        <w:t xml:space="preserve"> </w:t>
      </w:r>
      <w:r>
        <w:t>–</w:t>
      </w:r>
      <w:r w:rsidR="005B758D">
        <w:t xml:space="preserve"> </w:t>
      </w:r>
      <w:r>
        <w:t>d</w:t>
      </w:r>
      <w:r w:rsidRPr="00083D85">
        <w:t>uring project consultations with jurisdiction representatives, LHN management, PHNs, and RWAs</w:t>
      </w:r>
      <w:r>
        <w:t>.</w:t>
      </w:r>
      <w:r w:rsidR="005B758D">
        <w:t xml:space="preserve"> </w:t>
      </w:r>
      <w:r w:rsidR="004C697A">
        <w:t xml:space="preserve">This program rule was considered a straightforward way of designating services within scope and was easy to administer. More importantly, stakeholders uniformly considered </w:t>
      </w:r>
      <w:r w:rsidR="0028748B">
        <w:t xml:space="preserve">that services in this classification </w:t>
      </w:r>
      <w:r w:rsidR="004C697A">
        <w:t>face</w:t>
      </w:r>
      <w:r w:rsidR="0028748B">
        <w:t>d</w:t>
      </w:r>
      <w:r w:rsidR="004C697A">
        <w:t xml:space="preserve"> site-specific challenges in responding to primary care needs and recruiting appropriately skilled professionals.</w:t>
      </w:r>
    </w:p>
    <w:p w14:paraId="7FC616C6" w14:textId="0F81DA7C" w:rsidR="00CF3741" w:rsidRDefault="00C0551F" w:rsidP="00CF3741">
      <w:r w:rsidRPr="00C0551F">
        <w:t>The MMM is updated approximately every five years following the Australian Bureau of Stat</w:t>
      </w:r>
      <w:r w:rsidR="00865773">
        <w:t>i</w:t>
      </w:r>
      <w:r w:rsidRPr="00C0551F">
        <w:t xml:space="preserve">stics national census. If an exempted site becomes ineligible due to </w:t>
      </w:r>
      <w:r w:rsidRPr="00C0551F">
        <w:lastRenderedPageBreak/>
        <w:t>changes in the MMM classification of the site, the Commonwealth will provide 18 months’ notice that the site will be phased out of the Initiative (see Clause 6.4 of the MOU).</w:t>
      </w:r>
    </w:p>
    <w:p w14:paraId="39C4FC8B" w14:textId="2E526F7A" w:rsidR="00A54AC6" w:rsidRDefault="00C0551F" w:rsidP="00CF3741">
      <w:r>
        <w:t xml:space="preserve">During </w:t>
      </w:r>
      <w:r w:rsidR="00865773">
        <w:t>consultations</w:t>
      </w:r>
      <w:r w:rsidR="00263F92">
        <w:t>,</w:t>
      </w:r>
      <w:r w:rsidR="00865773">
        <w:t xml:space="preserve"> the evaluators became aware of </w:t>
      </w:r>
      <w:r w:rsidR="00320D45">
        <w:t>several</w:t>
      </w:r>
      <w:r w:rsidR="00865773">
        <w:t xml:space="preserve"> hospital</w:t>
      </w:r>
      <w:r w:rsidR="00320D45">
        <w:t>s</w:t>
      </w:r>
      <w:r w:rsidR="00865773">
        <w:t xml:space="preserve"> that </w:t>
      </w:r>
      <w:r w:rsidR="00320D45">
        <w:t>are</w:t>
      </w:r>
      <w:r w:rsidR="00865773">
        <w:t xml:space="preserve"> subject to these MOU provisions</w:t>
      </w:r>
      <w:r w:rsidR="00D76435">
        <w:t xml:space="preserve">, i.e. </w:t>
      </w:r>
      <w:r w:rsidR="00865773">
        <w:t>Stanthorpe Hospital</w:t>
      </w:r>
      <w:r w:rsidR="00320D45">
        <w:t xml:space="preserve"> and Chinchilla Hospital</w:t>
      </w:r>
      <w:r w:rsidR="00083D85">
        <w:t xml:space="preserve"> </w:t>
      </w:r>
      <w:r w:rsidR="00320D45">
        <w:t>in the</w:t>
      </w:r>
      <w:r w:rsidR="00083D85">
        <w:t xml:space="preserve"> </w:t>
      </w:r>
      <w:r w:rsidR="00865773">
        <w:t>Darling Downs HHS</w:t>
      </w:r>
      <w:r w:rsidR="00320D45">
        <w:t xml:space="preserve"> and Scone Hospital in the Hunter New England LHD.</w:t>
      </w:r>
    </w:p>
    <w:p w14:paraId="3B8CB1FB" w14:textId="18C8B10C" w:rsidR="00A54AC6" w:rsidRPr="00531DBF" w:rsidRDefault="00A54AC6" w:rsidP="009821B2">
      <w:pPr>
        <w:pStyle w:val="ProjectImplication"/>
        <w:keepNext/>
      </w:pPr>
      <w:bookmarkStart w:id="113" w:name="_Hlk75855021"/>
      <w:r w:rsidRPr="00241717">
        <w:rPr>
          <w:caps/>
        </w:rPr>
        <w:t>Case Study Box</w:t>
      </w:r>
      <w:r w:rsidRPr="00531DBF">
        <w:t xml:space="preserve"> #</w:t>
      </w:r>
      <w:r w:rsidR="004B1AFF">
        <w:t>4</w:t>
      </w:r>
    </w:p>
    <w:p w14:paraId="07801B09" w14:textId="71CFC4DF" w:rsidR="00A54AC6" w:rsidRPr="00A54AC6" w:rsidRDefault="00A54AC6" w:rsidP="00A54AC6">
      <w:pPr>
        <w:pStyle w:val="ProjectImplication"/>
        <w:rPr>
          <w:b/>
          <w:bCs/>
        </w:rPr>
      </w:pPr>
      <w:r w:rsidRPr="00A54AC6">
        <w:rPr>
          <w:b/>
          <w:bCs/>
        </w:rPr>
        <w:t>Stanthorpe Hospital: the need for a review process when site eligibility changes</w:t>
      </w:r>
    </w:p>
    <w:bookmarkEnd w:id="113"/>
    <w:p w14:paraId="2404B4DD" w14:textId="7953E237" w:rsidR="00A54AC6" w:rsidRDefault="00A54AC6" w:rsidP="00A54AC6">
      <w:pPr>
        <w:pStyle w:val="ProjectImplication"/>
      </w:pPr>
      <w:r>
        <w:t>Stanthorpe Hospital was granted an exemption under the Initiative in 2014 when the key eligibility criteria required a community to be &lt;7,000 and in a District of Workforce Shortage. With the introduction of the MMM 5</w:t>
      </w:r>
      <w:r w:rsidR="0014271A">
        <w:rPr>
          <w:rFonts w:ascii="Calibri" w:hAnsi="Calibri" w:cs="Calibri"/>
        </w:rPr>
        <w:t>‒</w:t>
      </w:r>
      <w:r>
        <w:t>7 criteria, communities with population</w:t>
      </w:r>
      <w:r w:rsidR="00627CF6">
        <w:t>s</w:t>
      </w:r>
      <w:r>
        <w:t xml:space="preserve"> above 5,000 </w:t>
      </w:r>
      <w:r w:rsidR="00031993">
        <w:t xml:space="preserve">people </w:t>
      </w:r>
      <w:r>
        <w:t xml:space="preserve">no longer </w:t>
      </w:r>
      <w:r w:rsidR="00031993">
        <w:t xml:space="preserve">satisfy </w:t>
      </w:r>
      <w:r w:rsidR="00D5566B">
        <w:t>that requirement</w:t>
      </w:r>
      <w:r>
        <w:t xml:space="preserve">. In 2020, the annual review of the MMM classification determined that Stanthorpe was an MMM 4 (rather than a MMM 5) and the Medical Director was advised that the site was no longer eligible and would have to cease </w:t>
      </w:r>
      <w:r w:rsidR="00D5566B">
        <w:t xml:space="preserve">MBS </w:t>
      </w:r>
      <w:r>
        <w:t xml:space="preserve">billing by 1 January 2022. While the Medical Director requested the Department to reconsider this determination, the event highlighted the absence of a review or appeal mechanism in the current </w:t>
      </w:r>
      <w:r w:rsidR="00A32F7F">
        <w:t>MOU</w:t>
      </w:r>
      <w:r>
        <w:t xml:space="preserve">. </w:t>
      </w:r>
    </w:p>
    <w:p w14:paraId="57E8434A" w14:textId="6FBBF2AB" w:rsidR="00A54AC6" w:rsidRDefault="00A54AC6" w:rsidP="00A54AC6">
      <w:pPr>
        <w:pStyle w:val="ProjectImplication"/>
      </w:pPr>
      <w:r>
        <w:t>Since 2014, funds generated through the Initiative have been predominantly reinvested to support rural medical workforce development.</w:t>
      </w:r>
      <w:r w:rsidR="009F1ED3" w:rsidRPr="009F1ED3">
        <w:t xml:space="preserve"> MBS funds of $0.471 m are currently invested in delivery of after-hours emergency care </w:t>
      </w:r>
      <w:r w:rsidR="00320D45">
        <w:t xml:space="preserve">at Stanthorpe Hospital </w:t>
      </w:r>
      <w:r w:rsidR="009F1ED3" w:rsidRPr="009F1ED3">
        <w:t xml:space="preserve">and </w:t>
      </w:r>
      <w:r w:rsidR="00320D45">
        <w:t xml:space="preserve">to </w:t>
      </w:r>
      <w:r w:rsidR="009F1ED3" w:rsidRPr="009F1ED3">
        <w:t>support the delivery of complex mental health, paediatric and general outpatient clinics.</w:t>
      </w:r>
      <w:r w:rsidR="009A4F03">
        <w:t xml:space="preserve"> </w:t>
      </w:r>
      <w:r>
        <w:t xml:space="preserve">The Initiative currently supports 2.2 FTE RG trainees with the Darling Downs HHS supporting an additional 2 FTE positions. These positions add capacity within the hospital enabling a sustainable roster, internal </w:t>
      </w:r>
      <w:r w:rsidR="009F1ED3">
        <w:t xml:space="preserve">staffing </w:t>
      </w:r>
      <w:r>
        <w:t>relief and support for community-based general practice by providing after-hours care and facilitating joint appointments of medical staff. This additional workforce capacity is supporting a training and service model to Texas and Inglewood, two MMM 5 communities without full-time medical coverage.</w:t>
      </w:r>
      <w:r w:rsidR="009A4F03">
        <w:t xml:space="preserve"> </w:t>
      </w:r>
    </w:p>
    <w:p w14:paraId="62A864F3" w14:textId="52E30E87" w:rsidR="009F1ED3" w:rsidRDefault="009F1ED3" w:rsidP="009F1ED3">
      <w:pPr>
        <w:pStyle w:val="ProjectImplication"/>
      </w:pPr>
      <w:r>
        <w:t>Withdrawal of MBS funds provided under the Initiative has the potential to significantly reduce access to primary care to the sub-regional population supported by Stanthorpe Hospital and reduce workforce development training opportunities.</w:t>
      </w:r>
    </w:p>
    <w:p w14:paraId="58EC6428" w14:textId="7E2456CB" w:rsidR="009F1ED3" w:rsidRPr="009F1ED3" w:rsidRDefault="00B5617B" w:rsidP="009F1ED3">
      <w:pPr>
        <w:spacing w:before="240"/>
      </w:pPr>
      <w:r>
        <w:t xml:space="preserve">The current MOU contains no review mechanism to assess the impacts of removing a site’s entitlement to participate in the Initiative. </w:t>
      </w:r>
      <w:r w:rsidR="009F1ED3" w:rsidRPr="009F1ED3">
        <w:t xml:space="preserve">This example </w:t>
      </w:r>
      <w:r>
        <w:t xml:space="preserve">supports a case </w:t>
      </w:r>
      <w:r w:rsidR="009F1ED3" w:rsidRPr="009F1ED3">
        <w:t xml:space="preserve">for a review process for sites that no longer meet the eligibility criteria. </w:t>
      </w:r>
      <w:r>
        <w:t>Such f</w:t>
      </w:r>
      <w:r w:rsidR="009F1ED3" w:rsidRPr="009F1ED3">
        <w:t xml:space="preserve">actors </w:t>
      </w:r>
      <w:r>
        <w:t xml:space="preserve">could </w:t>
      </w:r>
      <w:r w:rsidR="009F1ED3" w:rsidRPr="009F1ED3">
        <w:t>include: evidence that the Initiative has directly and measurably met the objectives of the program</w:t>
      </w:r>
      <w:r w:rsidR="00320D45">
        <w:t>;</w:t>
      </w:r>
      <w:r w:rsidR="009F1ED3" w:rsidRPr="009F1ED3">
        <w:t xml:space="preserve"> local clinicians and stakeholders provide written support for continuation</w:t>
      </w:r>
      <w:r w:rsidR="00320D45">
        <w:t xml:space="preserve">; </w:t>
      </w:r>
      <w:r w:rsidR="009F1ED3">
        <w:t xml:space="preserve">and </w:t>
      </w:r>
      <w:r w:rsidR="009F1ED3" w:rsidRPr="009F1ED3">
        <w:t>evidence of state or territory</w:t>
      </w:r>
      <w:r w:rsidR="009F1ED3">
        <w:t xml:space="preserve"> commitment to maintain and / or expand their</w:t>
      </w:r>
      <w:r w:rsidR="009F1ED3" w:rsidRPr="009F1ED3">
        <w:t xml:space="preserve"> contribution</w:t>
      </w:r>
      <w:r w:rsidR="009F1ED3">
        <w:t xml:space="preserve"> to the service</w:t>
      </w:r>
      <w:r w:rsidR="009F1ED3" w:rsidRPr="009F1ED3">
        <w:t>.</w:t>
      </w:r>
    </w:p>
    <w:p w14:paraId="5B57A3D3" w14:textId="4C191514" w:rsidR="0053108F" w:rsidRDefault="00B5617B" w:rsidP="00CF3741">
      <w:r>
        <w:t>The innovative workforce development models developed at Stanthorpe Hospital</w:t>
      </w:r>
      <w:r w:rsidR="00FA018B">
        <w:t xml:space="preserve">, based on use of RG trainees funded through the </w:t>
      </w:r>
      <w:r>
        <w:t>Initiative</w:t>
      </w:r>
      <w:r w:rsidR="003B1FF7">
        <w:t>,</w:t>
      </w:r>
      <w:r w:rsidR="00FA018B">
        <w:t xml:space="preserve"> </w:t>
      </w:r>
      <w:r>
        <w:t>suggests an alternative approach to deal</w:t>
      </w:r>
      <w:r w:rsidR="00FA018B">
        <w:t xml:space="preserve">ing </w:t>
      </w:r>
      <w:r w:rsidR="009F3226">
        <w:t xml:space="preserve">with </w:t>
      </w:r>
      <w:r w:rsidR="00FA018B">
        <w:t>Stanthorpe Hospital’s ineligibility</w:t>
      </w:r>
      <w:r w:rsidR="00C94028">
        <w:t xml:space="preserve"> based on the changed population levels of the town</w:t>
      </w:r>
      <w:r w:rsidR="00FA018B">
        <w:t xml:space="preserve">; a future funding stream that could potentially be accessed is PHN support for innovative workforce models using RGs. </w:t>
      </w:r>
      <w:r w:rsidR="00C94028">
        <w:t>This would avoid modifying the underlying population eligibility rule of the Initiative, which has strong stakeholder support.</w:t>
      </w:r>
    </w:p>
    <w:p w14:paraId="3AD96C73" w14:textId="16067E55" w:rsidR="00333AC1" w:rsidRDefault="00333AC1" w:rsidP="00333AC1">
      <w:pPr>
        <w:pStyle w:val="Heading4"/>
      </w:pPr>
      <w:r>
        <w:t xml:space="preserve">Initiative eligibility criteria: </w:t>
      </w:r>
      <w:r w:rsidR="00DE5CEB">
        <w:t>S</w:t>
      </w:r>
      <w:r>
        <w:t>ummary assessment</w:t>
      </w:r>
    </w:p>
    <w:p w14:paraId="42223B96" w14:textId="7F56B419" w:rsidR="00333AC1" w:rsidRDefault="00333AC1" w:rsidP="00333AC1">
      <w:r>
        <w:t>Based on the analysis presented above</w:t>
      </w:r>
      <w:r w:rsidR="00627CF6">
        <w:t>,</w:t>
      </w:r>
      <w:r>
        <w:t xml:space="preserve"> the evaluation team reached the following conclusions:</w:t>
      </w:r>
    </w:p>
    <w:p w14:paraId="1FF6FDB7" w14:textId="6F1C11BC" w:rsidR="0053108F" w:rsidRDefault="0053108F" w:rsidP="001665A3">
      <w:pPr>
        <w:pStyle w:val="Finding"/>
      </w:pPr>
      <w:r>
        <w:t>Development of a</w:t>
      </w:r>
      <w:r w:rsidR="00083D85">
        <w:t xml:space="preserve"> new</w:t>
      </w:r>
      <w:r>
        <w:t xml:space="preserve"> MOU</w:t>
      </w:r>
      <w:r w:rsidR="00083D85">
        <w:t xml:space="preserve"> should consider introduction of mechanism</w:t>
      </w:r>
      <w:r w:rsidR="00B5617B">
        <w:t>s</w:t>
      </w:r>
      <w:r w:rsidR="00083D85">
        <w:t xml:space="preserve"> for </w:t>
      </w:r>
      <w:r w:rsidR="00B5617B">
        <w:t xml:space="preserve">dealing with the </w:t>
      </w:r>
      <w:r w:rsidR="00473201">
        <w:t xml:space="preserve">underlying service development needs of </w:t>
      </w:r>
      <w:r w:rsidR="00083D85">
        <w:t>sites that no longer comply with the MMM 5 to 7 eligibility criterion.</w:t>
      </w:r>
      <w:r w:rsidR="00FA018B">
        <w:t xml:space="preserve"> This could include PHN support for innovative RG models.</w:t>
      </w:r>
    </w:p>
    <w:p w14:paraId="0D0F4650" w14:textId="6BBBA4AC" w:rsidR="003C79BA" w:rsidRDefault="003C79BA" w:rsidP="003C79BA">
      <w:pPr>
        <w:pStyle w:val="Heading2"/>
      </w:pPr>
      <w:bookmarkStart w:id="114" w:name="_Toc85203297"/>
      <w:r>
        <w:lastRenderedPageBreak/>
        <w:t>Suitability of current administrative arrangements</w:t>
      </w:r>
      <w:bookmarkEnd w:id="114"/>
    </w:p>
    <w:p w14:paraId="3A7F997E" w14:textId="670307E7" w:rsidR="003C79BA" w:rsidRPr="00AA3848" w:rsidRDefault="003C79BA" w:rsidP="003C79BA">
      <w:pPr>
        <w:pStyle w:val="Heading3"/>
      </w:pPr>
      <w:bookmarkStart w:id="115" w:name="_Toc85203298"/>
      <w:r w:rsidRPr="00AA3848">
        <w:t xml:space="preserve">Principles: </w:t>
      </w:r>
      <w:r w:rsidR="00DE5CEB">
        <w:t>V</w:t>
      </w:r>
      <w:r w:rsidRPr="00AA3848">
        <w:t xml:space="preserve">alue and </w:t>
      </w:r>
      <w:r w:rsidR="00EE4319" w:rsidRPr="00AA3848">
        <w:t>c</w:t>
      </w:r>
      <w:r w:rsidRPr="00AA3848">
        <w:t>ontribution</w:t>
      </w:r>
      <w:bookmarkEnd w:id="115"/>
    </w:p>
    <w:p w14:paraId="66892601" w14:textId="59F973DE" w:rsidR="005C364E" w:rsidRPr="005C364E" w:rsidRDefault="005C364E" w:rsidP="005C364E">
      <w:pPr>
        <w:rPr>
          <w:rFonts w:eastAsia="Times New Roman" w:cs="Arial"/>
        </w:rPr>
      </w:pPr>
      <w:r w:rsidRPr="005C364E">
        <w:rPr>
          <w:rFonts w:eastAsia="Times New Roman" w:cs="Arial"/>
        </w:rPr>
        <w:t>Clause 7 of the MOU with each jurisdiction specifies principles to guide its development and operation</w:t>
      </w:r>
      <w:r>
        <w:rPr>
          <w:rFonts w:eastAsia="Times New Roman" w:cs="Arial"/>
        </w:rPr>
        <w:t xml:space="preserve">. </w:t>
      </w:r>
      <w:r w:rsidR="00E225E4">
        <w:rPr>
          <w:rFonts w:eastAsia="Times New Roman" w:cs="Arial"/>
        </w:rPr>
        <w:t>We listed those principles in Chapter 2, Section 2.3.</w:t>
      </w:r>
    </w:p>
    <w:p w14:paraId="220D01E7" w14:textId="77777777" w:rsidR="005C364E" w:rsidRPr="005C364E" w:rsidRDefault="005C364E" w:rsidP="005C364E">
      <w:pPr>
        <w:spacing w:before="240"/>
        <w:rPr>
          <w:rFonts w:eastAsia="Times New Roman" w:cs="Times New Roman"/>
        </w:rPr>
      </w:pPr>
      <w:r w:rsidRPr="005C364E">
        <w:rPr>
          <w:rFonts w:eastAsia="Times New Roman" w:cs="Times New Roman"/>
        </w:rPr>
        <w:t xml:space="preserve">It is noteworthy that the fourth of these principles – avoiding undermining local private sector viability – must be demonstrated in applications for an exemption. The MOU Schedule A Definitions explicitly state that ‘primary care practitioners may choose to be represented by a representative (sic) in negotiations.’ </w:t>
      </w:r>
    </w:p>
    <w:p w14:paraId="547A99E1" w14:textId="66B92EEC" w:rsidR="009A1314" w:rsidRDefault="000A6549" w:rsidP="000A6549">
      <w:pPr>
        <w:rPr>
          <w:rFonts w:cs="Times New Roman"/>
          <w:spacing w:val="0"/>
        </w:rPr>
      </w:pPr>
      <w:r>
        <w:t xml:space="preserve">However, all the other principles operate as </w:t>
      </w:r>
      <w:r w:rsidR="009A1314" w:rsidRPr="009A1314">
        <w:t xml:space="preserve">general statements and do </w:t>
      </w:r>
      <w:r w:rsidR="00571126">
        <w:t xml:space="preserve">not </w:t>
      </w:r>
      <w:r>
        <w:t xml:space="preserve">explicitly link </w:t>
      </w:r>
      <w:r w:rsidR="009A1314" w:rsidRPr="009A1314">
        <w:t xml:space="preserve">to </w:t>
      </w:r>
      <w:r>
        <w:t xml:space="preserve">the Initiative </w:t>
      </w:r>
      <w:r w:rsidR="009A1314" w:rsidRPr="009A1314">
        <w:t>objectives</w:t>
      </w:r>
      <w:r>
        <w:t xml:space="preserve"> via either </w:t>
      </w:r>
      <w:r w:rsidR="00E225E4">
        <w:t xml:space="preserve">the </w:t>
      </w:r>
      <w:r>
        <w:t xml:space="preserve">application rules or reporting statements. </w:t>
      </w:r>
      <w:r w:rsidR="009A1314" w:rsidRPr="009A1314">
        <w:rPr>
          <w:rFonts w:cs="Times New Roman"/>
          <w:spacing w:val="0"/>
        </w:rPr>
        <w:t xml:space="preserve">Furthermore, it </w:t>
      </w:r>
      <w:r>
        <w:rPr>
          <w:rFonts w:cs="Times New Roman"/>
          <w:spacing w:val="0"/>
        </w:rPr>
        <w:t xml:space="preserve">was </w:t>
      </w:r>
      <w:r w:rsidR="009A1314" w:rsidRPr="009A1314">
        <w:rPr>
          <w:rFonts w:cs="Times New Roman"/>
          <w:spacing w:val="0"/>
        </w:rPr>
        <w:t xml:space="preserve">not clear </w:t>
      </w:r>
      <w:r>
        <w:rPr>
          <w:rFonts w:cs="Times New Roman"/>
          <w:spacing w:val="0"/>
        </w:rPr>
        <w:t xml:space="preserve">to the evaluators that these other principles had </w:t>
      </w:r>
      <w:r w:rsidR="009A1314" w:rsidRPr="009A1314">
        <w:rPr>
          <w:rFonts w:cs="Times New Roman"/>
          <w:spacing w:val="0"/>
        </w:rPr>
        <w:t>informed jurisdictional approaches</w:t>
      </w:r>
      <w:r>
        <w:rPr>
          <w:rFonts w:cs="Times New Roman"/>
          <w:spacing w:val="0"/>
        </w:rPr>
        <w:t xml:space="preserve"> to Initiative implementation.</w:t>
      </w:r>
    </w:p>
    <w:p w14:paraId="1FFBE475" w14:textId="41AB2E62" w:rsidR="00333AC1" w:rsidRDefault="00333AC1" w:rsidP="00333AC1">
      <w:pPr>
        <w:pStyle w:val="Heading4"/>
      </w:pPr>
      <w:r>
        <w:t xml:space="preserve">MOU Principles: </w:t>
      </w:r>
      <w:r w:rsidR="00851E8B">
        <w:t>S</w:t>
      </w:r>
      <w:r>
        <w:t>ummary assessment</w:t>
      </w:r>
    </w:p>
    <w:p w14:paraId="1D782D21" w14:textId="5E84C83C" w:rsidR="00333AC1" w:rsidRDefault="00333AC1" w:rsidP="00333AC1">
      <w:r>
        <w:t>Based on the analysis presented above</w:t>
      </w:r>
      <w:r w:rsidR="00851E8B">
        <w:t>,</w:t>
      </w:r>
      <w:r>
        <w:t xml:space="preserve"> the evaluation team reached the following conclusions:</w:t>
      </w:r>
    </w:p>
    <w:p w14:paraId="2E3B188D" w14:textId="5E7CEA94" w:rsidR="000A6549" w:rsidRPr="009A1314" w:rsidRDefault="00856A0E" w:rsidP="001665A3">
      <w:pPr>
        <w:pStyle w:val="Finding"/>
      </w:pPr>
      <w:r>
        <w:t>T</w:t>
      </w:r>
      <w:r w:rsidR="000A6549">
        <w:t>he current MOU principles have minimal impact on the Initiative’s operations. However, they do provide a useful statement of the context explaining why the Initiative was introduced in 2008 and continues to operate.</w:t>
      </w:r>
      <w:r w:rsidR="005B758D">
        <w:t xml:space="preserve"> </w:t>
      </w:r>
      <w:r w:rsidR="000A6549">
        <w:t>It may be better that these general statements are rephrased as a ‘preamble’ in a redrafted MOU. The current statement relating to engagement with primary care practitioners has ongoing importance in informing applications and consultation</w:t>
      </w:r>
      <w:r w:rsidR="00B33206">
        <w:t xml:space="preserve"> processes</w:t>
      </w:r>
      <w:r w:rsidR="008A2716">
        <w:t xml:space="preserve"> once participation of a site is approved; it </w:t>
      </w:r>
      <w:r w:rsidR="000A6549">
        <w:t>should be retained</w:t>
      </w:r>
      <w:r w:rsidR="00B33206">
        <w:t xml:space="preserve"> in the operational arrangements of the MOU.</w:t>
      </w:r>
    </w:p>
    <w:p w14:paraId="4BCCC576" w14:textId="2E0F506C" w:rsidR="003C79BA" w:rsidRDefault="003C79BA" w:rsidP="003C79BA">
      <w:pPr>
        <w:pStyle w:val="Heading3"/>
      </w:pPr>
      <w:bookmarkStart w:id="116" w:name="_Toc85203299"/>
      <w:r>
        <w:t xml:space="preserve">Site </w:t>
      </w:r>
      <w:r w:rsidR="00EE4319">
        <w:t>e</w:t>
      </w:r>
      <w:r>
        <w:t xml:space="preserve">ngagement of </w:t>
      </w:r>
      <w:r w:rsidR="00EE4319">
        <w:t>s</w:t>
      </w:r>
      <w:r>
        <w:t>takeholders</w:t>
      </w:r>
      <w:bookmarkEnd w:id="116"/>
    </w:p>
    <w:p w14:paraId="353989C4" w14:textId="13EDF918" w:rsidR="009A1314" w:rsidRPr="009A1314" w:rsidRDefault="009A1314" w:rsidP="00480B94">
      <w:r w:rsidRPr="009A1314">
        <w:t xml:space="preserve">The guidelines indicate that sites should engage with local stakeholders for the purpose of operational planning as a component of the application process. The application requires signed endorsement by local GPs, hospital doctors, ACCHOs, </w:t>
      </w:r>
      <w:r>
        <w:t xml:space="preserve">and </w:t>
      </w:r>
      <w:r w:rsidRPr="009A1314">
        <w:t>the RFDS that may be materially affected by the Initiative</w:t>
      </w:r>
      <w:r>
        <w:t>, together with</w:t>
      </w:r>
      <w:r w:rsidRPr="009A1314">
        <w:t xml:space="preserve"> other stakeholders including the PHN, local government and community representative. </w:t>
      </w:r>
    </w:p>
    <w:p w14:paraId="7B66EC0E" w14:textId="4413D3B9" w:rsidR="009A1314" w:rsidRPr="009A1314" w:rsidRDefault="009A1314" w:rsidP="00480B94">
      <w:r w:rsidRPr="009A1314">
        <w:t xml:space="preserve">The evaluation has found variation between jurisdictions and within jurisdictions in relation to the extent to which the LHNs engage with communities, local service providers and PHNs for application, operational planning and reinvestment purposes. In the most part, the sites/LHNs reported that they had not re-submitted an operational plan since their initial application for an </w:t>
      </w:r>
      <w:r>
        <w:t>e</w:t>
      </w:r>
      <w:r w:rsidRPr="009A1314">
        <w:t xml:space="preserve">xemption, the majority of which preceded the current </w:t>
      </w:r>
      <w:r w:rsidR="00A32F7F">
        <w:t>MOU</w:t>
      </w:r>
      <w:r w:rsidRPr="009A1314">
        <w:t xml:space="preserve">. </w:t>
      </w:r>
    </w:p>
    <w:p w14:paraId="37EE700E" w14:textId="1AF1E7FA" w:rsidR="00480B94" w:rsidRDefault="009A1314" w:rsidP="00480B94">
      <w:pPr>
        <w:rPr>
          <w:rFonts w:eastAsia="Times New Roman"/>
        </w:rPr>
      </w:pPr>
      <w:r w:rsidRPr="009A1314">
        <w:t xml:space="preserve">There was a spectrum of engagement with local stakeholders for reinvestment decision-making. At </w:t>
      </w:r>
      <w:r>
        <w:t xml:space="preserve">the </w:t>
      </w:r>
      <w:r w:rsidRPr="009A1314">
        <w:t>high engagement end of the spectrum</w:t>
      </w:r>
      <w:r w:rsidR="00851E8B">
        <w:t>,</w:t>
      </w:r>
      <w:r w:rsidRPr="009A1314">
        <w:t xml:space="preserve"> the M</w:t>
      </w:r>
      <w:r>
        <w:t xml:space="preserve">urrumbidgee </w:t>
      </w:r>
      <w:r w:rsidRPr="009A1314">
        <w:t>LHD has established</w:t>
      </w:r>
      <w:r w:rsidR="006278B1">
        <w:t xml:space="preserve"> </w:t>
      </w:r>
      <w:r w:rsidR="00783742">
        <w:t>S19</w:t>
      </w:r>
      <w:r w:rsidR="006278B1">
        <w:t>(2)</w:t>
      </w:r>
      <w:r w:rsidR="008500C8">
        <w:t xml:space="preserve"> Initiative</w:t>
      </w:r>
      <w:r w:rsidRPr="009A1314">
        <w:t xml:space="preserve"> committees in each site</w:t>
      </w:r>
      <w:r w:rsidR="00EE595A">
        <w:t xml:space="preserve"> (see Case Study Box #5)</w:t>
      </w:r>
      <w:r w:rsidRPr="009A1314">
        <w:rPr>
          <w:rFonts w:eastAsia="Times New Roman"/>
        </w:rPr>
        <w:t xml:space="preserve">. </w:t>
      </w:r>
      <w:r w:rsidR="00EE595A">
        <w:rPr>
          <w:rFonts w:eastAsia="Times New Roman"/>
        </w:rPr>
        <w:t>S</w:t>
      </w:r>
      <w:r w:rsidRPr="009A1314">
        <w:rPr>
          <w:rFonts w:eastAsia="Times New Roman"/>
        </w:rPr>
        <w:t>imilarly in Kununurra</w:t>
      </w:r>
      <w:r w:rsidR="00480B94">
        <w:rPr>
          <w:rFonts w:eastAsia="Times New Roman"/>
        </w:rPr>
        <w:t>,</w:t>
      </w:r>
      <w:r w:rsidRPr="009A1314">
        <w:rPr>
          <w:rFonts w:eastAsia="Times New Roman"/>
        </w:rPr>
        <w:t xml:space="preserve"> an Advisory </w:t>
      </w:r>
      <w:r w:rsidR="00851E8B">
        <w:rPr>
          <w:rFonts w:eastAsia="Times New Roman"/>
        </w:rPr>
        <w:t>C</w:t>
      </w:r>
      <w:r w:rsidRPr="009A1314">
        <w:rPr>
          <w:rFonts w:eastAsia="Times New Roman"/>
        </w:rPr>
        <w:t xml:space="preserve">ommittee inclusive of the Senior Medical </w:t>
      </w:r>
      <w:r w:rsidR="00851E8B">
        <w:rPr>
          <w:rFonts w:eastAsia="Times New Roman"/>
        </w:rPr>
        <w:t>O</w:t>
      </w:r>
      <w:r w:rsidRPr="009A1314">
        <w:rPr>
          <w:rFonts w:eastAsia="Times New Roman"/>
        </w:rPr>
        <w:t xml:space="preserve">fficer, Boab Health, </w:t>
      </w:r>
      <w:r w:rsidR="00480B94">
        <w:rPr>
          <w:rFonts w:eastAsia="Times New Roman"/>
        </w:rPr>
        <w:t xml:space="preserve">and </w:t>
      </w:r>
      <w:r w:rsidRPr="009A1314">
        <w:rPr>
          <w:rFonts w:eastAsia="Times New Roman"/>
        </w:rPr>
        <w:t xml:space="preserve">Wunan Health meet quarterly with recommendations for reinvestment signed off by </w:t>
      </w:r>
      <w:r w:rsidR="00851E8B">
        <w:rPr>
          <w:rFonts w:eastAsia="Times New Roman"/>
        </w:rPr>
        <w:t xml:space="preserve">the </w:t>
      </w:r>
      <w:r w:rsidRPr="009A1314">
        <w:rPr>
          <w:rFonts w:eastAsia="Times New Roman"/>
        </w:rPr>
        <w:t xml:space="preserve">WACHS Regional Director. </w:t>
      </w:r>
    </w:p>
    <w:p w14:paraId="0533E947" w14:textId="3334F651" w:rsidR="00480B94" w:rsidRDefault="009A1314" w:rsidP="00480B94">
      <w:r w:rsidRPr="009A1314">
        <w:rPr>
          <w:rFonts w:eastAsia="Times New Roman"/>
        </w:rPr>
        <w:t xml:space="preserve">In Queensland </w:t>
      </w:r>
      <w:r w:rsidR="00EE595A">
        <w:rPr>
          <w:rFonts w:eastAsia="Times New Roman"/>
        </w:rPr>
        <w:t xml:space="preserve">case study </w:t>
      </w:r>
      <w:r w:rsidRPr="009A1314">
        <w:rPr>
          <w:rFonts w:eastAsia="Times New Roman"/>
        </w:rPr>
        <w:t>sites</w:t>
      </w:r>
      <w:r w:rsidR="00EE595A">
        <w:rPr>
          <w:rFonts w:eastAsia="Times New Roman"/>
        </w:rPr>
        <w:t>,</w:t>
      </w:r>
      <w:r w:rsidRPr="009A1314">
        <w:rPr>
          <w:rFonts w:eastAsia="Times New Roman"/>
        </w:rPr>
        <w:t xml:space="preserve"> reinvestment decisions were </w:t>
      </w:r>
      <w:r w:rsidR="00EE595A">
        <w:rPr>
          <w:rFonts w:eastAsia="Times New Roman"/>
        </w:rPr>
        <w:t xml:space="preserve">predominantly </w:t>
      </w:r>
      <w:r w:rsidRPr="009A1314">
        <w:rPr>
          <w:rFonts w:eastAsia="Times New Roman"/>
        </w:rPr>
        <w:t>internal to the HHS.</w:t>
      </w:r>
      <w:r w:rsidR="005B758D">
        <w:rPr>
          <w:rFonts w:eastAsia="Times New Roman"/>
        </w:rPr>
        <w:t xml:space="preserve"> </w:t>
      </w:r>
    </w:p>
    <w:p w14:paraId="367ADCB5" w14:textId="5D43983B" w:rsidR="009A1314" w:rsidRPr="009A1314" w:rsidRDefault="009A1314" w:rsidP="00480B94">
      <w:r w:rsidRPr="009A1314">
        <w:t>At the low engagement end, one site retrospectively determines revenue allocation after meeting medical staffing costs.</w:t>
      </w:r>
    </w:p>
    <w:p w14:paraId="2271DCE7" w14:textId="78A23ECA" w:rsidR="009A1314" w:rsidRPr="009A1314" w:rsidRDefault="00480B94" w:rsidP="00480B94">
      <w:r>
        <w:t>A</w:t>
      </w:r>
      <w:r w:rsidR="009A1314" w:rsidRPr="009A1314">
        <w:t>cross sites</w:t>
      </w:r>
      <w:r w:rsidR="00851E8B">
        <w:t>,</w:t>
      </w:r>
      <w:r w:rsidR="009A1314" w:rsidRPr="009A1314">
        <w:t xml:space="preserve"> engagement with RWAs to identify workforce priorities and workforce development opportunities was very limited or absent. Similarly, there was limited formal engagement with PHNs to utilise their </w:t>
      </w:r>
      <w:r>
        <w:t>h</w:t>
      </w:r>
      <w:r w:rsidR="009A1314" w:rsidRPr="009A1314">
        <w:t xml:space="preserve">ealth </w:t>
      </w:r>
      <w:r>
        <w:t>n</w:t>
      </w:r>
      <w:r w:rsidR="009A1314" w:rsidRPr="009A1314">
        <w:t xml:space="preserve">eeds </w:t>
      </w:r>
      <w:r>
        <w:t>a</w:t>
      </w:r>
      <w:r w:rsidR="009A1314" w:rsidRPr="009A1314">
        <w:t xml:space="preserve">ssessment for reinvestment considerations, or alignment of reinvestment with PHN commissioning opportunities. PHNs and RWA consultations identified opportunities to better maximise benefits derived </w:t>
      </w:r>
      <w:r w:rsidR="008500C8">
        <w:t>from</w:t>
      </w:r>
      <w:r w:rsidR="009A1314" w:rsidRPr="009A1314">
        <w:t xml:space="preserve"> the Initiative through collaborative planning and leveraging available funds and programs. </w:t>
      </w:r>
    </w:p>
    <w:p w14:paraId="053458E5" w14:textId="23C2B8FD" w:rsidR="009A1314" w:rsidRPr="009A1314" w:rsidRDefault="009A1314" w:rsidP="00480B94">
      <w:r w:rsidRPr="009A1314">
        <w:t xml:space="preserve">External stakeholders identified concerns with transparency of the program. Stakeholders indicated difficulty in obtaining a copy of the </w:t>
      </w:r>
      <w:r w:rsidR="00A32F7F">
        <w:t>MOU</w:t>
      </w:r>
      <w:r w:rsidRPr="009A1314">
        <w:t xml:space="preserve"> between the Commonwealth and Queensland, where</w:t>
      </w:r>
      <w:r w:rsidR="00480B94">
        <w:t>as</w:t>
      </w:r>
      <w:r w:rsidRPr="009A1314">
        <w:t xml:space="preserve"> the </w:t>
      </w:r>
      <w:r w:rsidR="00613C43">
        <w:t>MOUs</w:t>
      </w:r>
      <w:r w:rsidRPr="009A1314">
        <w:t xml:space="preserve"> between the Commonwealth, </w:t>
      </w:r>
      <w:r w:rsidRPr="009A1314">
        <w:lastRenderedPageBreak/>
        <w:t xml:space="preserve">NSW and WA are available </w:t>
      </w:r>
      <w:r w:rsidR="00480B94">
        <w:t>on</w:t>
      </w:r>
      <w:r w:rsidRPr="009A1314">
        <w:t xml:space="preserve"> the internet.</w:t>
      </w:r>
      <w:r w:rsidR="005B758D">
        <w:t xml:space="preserve"> </w:t>
      </w:r>
      <w:r w:rsidRPr="009A1314">
        <w:t>Issues were also raised about apparent absence of a review of operational plans on a regular cycle (</w:t>
      </w:r>
      <w:r w:rsidR="00E72805">
        <w:t>e.g.</w:t>
      </w:r>
      <w:r w:rsidR="008A7AF7">
        <w:t>,</w:t>
      </w:r>
      <w:r w:rsidR="00E72805">
        <w:t xml:space="preserve"> </w:t>
      </w:r>
      <w:r w:rsidRPr="009A1314">
        <w:t xml:space="preserve">at the commencement of each </w:t>
      </w:r>
      <w:r w:rsidR="00A32F7F">
        <w:t>MOU</w:t>
      </w:r>
      <w:r w:rsidRPr="009A1314">
        <w:t xml:space="preserve">) or mechanism to trigger the review of the eligibility of a site where local service status changed. </w:t>
      </w:r>
    </w:p>
    <w:p w14:paraId="44430DE7" w14:textId="3D5A71DE" w:rsidR="009A1314" w:rsidRDefault="009A1314" w:rsidP="00480B94">
      <w:r w:rsidRPr="009A1314">
        <w:t xml:space="preserve">Case study participants currently applying for exemptions in Western NSW indicated difficulty in finding publicly accessible information </w:t>
      </w:r>
      <w:r w:rsidR="001308A5">
        <w:t>(</w:t>
      </w:r>
      <w:r w:rsidR="00E72805">
        <w:t>e.g.</w:t>
      </w:r>
      <w:r w:rsidR="008A7AF7">
        <w:t>,</w:t>
      </w:r>
      <w:r w:rsidR="00E72805">
        <w:t xml:space="preserve"> </w:t>
      </w:r>
      <w:r w:rsidR="001308A5">
        <w:t xml:space="preserve">fact sheets) </w:t>
      </w:r>
      <w:r w:rsidRPr="009A1314">
        <w:t>about the Initiative on Commonwealth and NSW Health websites. This hindered discussion with external stakeholders and state employees who were concerned about the legitimacy of billing Medicare in public hospitals or by employed staff.</w:t>
      </w:r>
      <w:r w:rsidR="005B758D">
        <w:t xml:space="preserve"> </w:t>
      </w:r>
    </w:p>
    <w:p w14:paraId="08BDA4B6" w14:textId="11088F5A" w:rsidR="00013752" w:rsidRDefault="00013752" w:rsidP="00137DE0"/>
    <w:p w14:paraId="10701B02" w14:textId="46B219B1" w:rsidR="00AA3848" w:rsidRDefault="00AA3848" w:rsidP="00137DE0"/>
    <w:p w14:paraId="39906435" w14:textId="1EE6D9E5" w:rsidR="00AA3848" w:rsidRDefault="00AA3848" w:rsidP="00137DE0"/>
    <w:p w14:paraId="6D8684C8" w14:textId="59BA5E8D" w:rsidR="00013752" w:rsidRPr="00531DBF" w:rsidRDefault="00013752" w:rsidP="00013752">
      <w:pPr>
        <w:pStyle w:val="ProjectImplication"/>
      </w:pPr>
      <w:r w:rsidRPr="00241717">
        <w:rPr>
          <w:caps/>
        </w:rPr>
        <w:t>Case Study Box</w:t>
      </w:r>
      <w:r w:rsidRPr="00531DBF">
        <w:t xml:space="preserve"> #</w:t>
      </w:r>
      <w:r w:rsidR="004B1AFF">
        <w:t>5</w:t>
      </w:r>
    </w:p>
    <w:p w14:paraId="5CA0DDCC" w14:textId="2097AD61" w:rsidR="00013752" w:rsidRPr="001308A5" w:rsidRDefault="00013752" w:rsidP="00013752">
      <w:pPr>
        <w:pStyle w:val="ProjectImplication"/>
        <w:rPr>
          <w:b/>
          <w:bCs/>
        </w:rPr>
      </w:pPr>
      <w:r w:rsidRPr="001308A5">
        <w:rPr>
          <w:b/>
          <w:bCs/>
        </w:rPr>
        <w:t xml:space="preserve">Murrumbidgee LHD: </w:t>
      </w:r>
      <w:r w:rsidR="008B1FE8">
        <w:rPr>
          <w:b/>
          <w:bCs/>
        </w:rPr>
        <w:t>G</w:t>
      </w:r>
      <w:r w:rsidRPr="001308A5">
        <w:rPr>
          <w:b/>
          <w:bCs/>
        </w:rPr>
        <w:t>ood practice site engagement</w:t>
      </w:r>
      <w:r w:rsidR="008B1FE8">
        <w:rPr>
          <w:b/>
          <w:bCs/>
        </w:rPr>
        <w:t xml:space="preserve">, </w:t>
      </w:r>
      <w:r w:rsidRPr="001308A5">
        <w:rPr>
          <w:b/>
          <w:bCs/>
        </w:rPr>
        <w:t>governance</w:t>
      </w:r>
      <w:r w:rsidR="008B1FE8">
        <w:rPr>
          <w:b/>
          <w:bCs/>
        </w:rPr>
        <w:t xml:space="preserve"> and </w:t>
      </w:r>
      <w:r w:rsidRPr="001308A5">
        <w:rPr>
          <w:b/>
          <w:bCs/>
        </w:rPr>
        <w:t>reinvestment to improve access to primary care</w:t>
      </w:r>
    </w:p>
    <w:p w14:paraId="414CD033" w14:textId="77777777" w:rsidR="00013752" w:rsidRPr="001308A5" w:rsidRDefault="00013752" w:rsidP="00013752">
      <w:pPr>
        <w:pStyle w:val="ProjectImplication"/>
        <w:rPr>
          <w:b/>
          <w:bCs/>
        </w:rPr>
      </w:pPr>
      <w:r w:rsidRPr="001308A5">
        <w:rPr>
          <w:b/>
          <w:bCs/>
        </w:rPr>
        <w:t>Context</w:t>
      </w:r>
    </w:p>
    <w:p w14:paraId="3ADBFEDB" w14:textId="6AD5E20E" w:rsidR="00013752" w:rsidRDefault="00013752" w:rsidP="00013752">
      <w:pPr>
        <w:pStyle w:val="ProjectImplication"/>
      </w:pPr>
      <w:r>
        <w:t>The Murrumbidgee LHD (M</w:t>
      </w:r>
      <w:r w:rsidR="00E419DC">
        <w:t>LH</w:t>
      </w:r>
      <w:r>
        <w:t>D)</w:t>
      </w:r>
      <w:r w:rsidR="00E419DC">
        <w:t xml:space="preserve"> </w:t>
      </w:r>
      <w:r>
        <w:t>has 22 facilities that hold a</w:t>
      </w:r>
      <w:r w:rsidR="008500C8">
        <w:t>n Initiative</w:t>
      </w:r>
      <w:r>
        <w:t xml:space="preserve"> Exemption, of which </w:t>
      </w:r>
      <w:r w:rsidR="00E419DC">
        <w:t>11</w:t>
      </w:r>
      <w:r>
        <w:t xml:space="preserve"> are </w:t>
      </w:r>
      <w:r w:rsidR="001665A3">
        <w:t xml:space="preserve">an </w:t>
      </w:r>
      <w:r>
        <w:t xml:space="preserve">MPS and </w:t>
      </w:r>
      <w:r w:rsidR="00E419DC">
        <w:t>11</w:t>
      </w:r>
      <w:r>
        <w:t xml:space="preserve"> are hospitals. Medical services in these facilities are predominantly provided by GP VMOs. </w:t>
      </w:r>
      <w:r w:rsidRPr="00AA3848">
        <w:t>MLHD operates the Remote Medical Consultation Service (RMCS) to support clinicians in outlying hospitals by prescribing medical treatments, providing first aid advice and identifying when further care is required. Sometimes hospitals in outlying areas are not staffed by doctors all the time. In such instances the RMCS allows clinicians (usually nursing staff) to seek advice on appropriate treatment options and have patients assessed via phone or video link to avoid admitting or transporting patients long distances unnecessarily. The MLHD currently has a contract with Rural and Remote Medical Services (RARMS) to provide telehealth support to rural facilities for category 4 and 5 presentations when there is not a doctor on-call to the hospital.</w:t>
      </w:r>
      <w:r>
        <w:t xml:space="preserve"> </w:t>
      </w:r>
    </w:p>
    <w:p w14:paraId="03915914" w14:textId="037535C8" w:rsidR="00013752" w:rsidRDefault="00013752" w:rsidP="00013752">
      <w:pPr>
        <w:pStyle w:val="ProjectImplication"/>
      </w:pPr>
      <w:r>
        <w:t xml:space="preserve">The Manager of Revenue Performance &amp; Improvement sits in the Finance and Performance section of the MLHD and has the responsibility of managing the </w:t>
      </w:r>
      <w:r>
        <w:t>Initiative across all rural facilities. This position supports each site in the application and operational planning process and convenes bi-monthly meetings of the local Initiative committee to review implementation issues and plan for reinvestment of funds. The Manager also supports sites to develop, implement and review Medicare claiming processes and works with the practices and LHD Medical Administration to arrange VMO contracts, streamline applications for provider numbers for VMOs and GP registrars, provide information packs for new doctors including consent to opt</w:t>
      </w:r>
      <w:r w:rsidR="00E419DC">
        <w:t xml:space="preserve"> </w:t>
      </w:r>
      <w:r>
        <w:t xml:space="preserve">into the Initiative and opt into gap cover arrangements. The Manager shares ideas about </w:t>
      </w:r>
      <w:r w:rsidR="00E419DC">
        <w:t>reinvestment</w:t>
      </w:r>
      <w:r>
        <w:t xml:space="preserve"> opportunities across sites and prepares site level revenue and expenditure reports that </w:t>
      </w:r>
      <w:r w:rsidR="001308A5">
        <w:t xml:space="preserve">are </w:t>
      </w:r>
      <w:r>
        <w:t>visible to local stakeholders. The Manager works strategically with the Ministry of Health to provide information about the Initiative and value of reinvestment to communities.</w:t>
      </w:r>
    </w:p>
    <w:p w14:paraId="76479DDC" w14:textId="53E1390A" w:rsidR="00013752" w:rsidRDefault="00013752" w:rsidP="004B1AFF">
      <w:pPr>
        <w:pStyle w:val="ProjectImplication"/>
      </w:pPr>
      <w:r w:rsidRPr="004B1AFF">
        <w:rPr>
          <w:b/>
          <w:bCs/>
        </w:rPr>
        <w:t>Governance:</w:t>
      </w:r>
      <w:r>
        <w:t xml:space="preserve"> </w:t>
      </w:r>
      <w:r w:rsidR="004B1AFF">
        <w:t>t</w:t>
      </w:r>
      <w:r>
        <w:t xml:space="preserve">he local </w:t>
      </w:r>
      <w:r w:rsidR="001308A5">
        <w:t>Initiative</w:t>
      </w:r>
      <w:r>
        <w:t xml:space="preserve"> committee includes representation from</w:t>
      </w:r>
      <w:r w:rsidR="004B1AFF">
        <w:t xml:space="preserve"> the </w:t>
      </w:r>
      <w:r>
        <w:t>Health Service Manager</w:t>
      </w:r>
      <w:r w:rsidR="004B1AFF">
        <w:t xml:space="preserve">; the </w:t>
      </w:r>
      <w:r>
        <w:t>Revenue Clerk</w:t>
      </w:r>
      <w:r w:rsidR="004B1AFF">
        <w:t xml:space="preserve">; the </w:t>
      </w:r>
      <w:r>
        <w:t>Manager, Revenue Performance and Innovation, MLHD</w:t>
      </w:r>
      <w:r w:rsidR="004B1AFF">
        <w:t xml:space="preserve">; </w:t>
      </w:r>
      <w:r>
        <w:t>GP(s) practice principals</w:t>
      </w:r>
      <w:r w:rsidR="004B1AFF">
        <w:t xml:space="preserve">; the </w:t>
      </w:r>
      <w:r>
        <w:t>Local Health Advisory Committee representative</w:t>
      </w:r>
      <w:r w:rsidR="004B1AFF">
        <w:t>; and l</w:t>
      </w:r>
      <w:r>
        <w:t>ocal government.</w:t>
      </w:r>
    </w:p>
    <w:p w14:paraId="3A9E2662" w14:textId="412C8D50" w:rsidR="004B1AFF" w:rsidRPr="00013752" w:rsidRDefault="004B1AFF" w:rsidP="004B1AFF">
      <w:pPr>
        <w:pStyle w:val="ProjectImplication"/>
      </w:pPr>
      <w:r>
        <w:t>Priorities for reinvestment identified by the local Initiative committee are assessed by the Cluster Manager for the area and</w:t>
      </w:r>
      <w:r w:rsidR="00E419DC">
        <w:t>,</w:t>
      </w:r>
      <w:r>
        <w:t xml:space="preserve"> where supported</w:t>
      </w:r>
      <w:r w:rsidR="00E419DC">
        <w:t>,</w:t>
      </w:r>
      <w:r>
        <w:t xml:space="preserve"> progressed to the MLHD Executive Committee for approval. The Executive Committee includes the</w:t>
      </w:r>
      <w:r w:rsidR="001308A5">
        <w:t xml:space="preserve"> </w:t>
      </w:r>
      <w:r>
        <w:t>Director of Medical Services; the Director Clinical Operations; and the Manager of Finance.</w:t>
      </w:r>
    </w:p>
    <w:p w14:paraId="791BEA71" w14:textId="02AE9EEE" w:rsidR="004B1AFF" w:rsidRPr="004B1AFF" w:rsidRDefault="004B1AFF" w:rsidP="004B1AFF">
      <w:pPr>
        <w:pStyle w:val="ProjectImplication"/>
      </w:pPr>
      <w:r w:rsidRPr="004B1AFF">
        <w:rPr>
          <w:b/>
          <w:bCs/>
        </w:rPr>
        <w:t>Reinvestment:</w:t>
      </w:r>
      <w:r>
        <w:t xml:space="preserve"> funds are reinvested across a variety of areas to improve access to primary healthcare and/or support health workforce recruitment and retention.</w:t>
      </w:r>
      <w:r w:rsidR="009A4F03">
        <w:t xml:space="preserve"> </w:t>
      </w:r>
      <w:r>
        <w:t>The</w:t>
      </w:r>
      <w:r w:rsidR="001308A5">
        <w:t>se</w:t>
      </w:r>
      <w:r>
        <w:t xml:space="preserve"> include: </w:t>
      </w:r>
    </w:p>
    <w:p w14:paraId="5C2681CB" w14:textId="560F62B8" w:rsidR="00013752" w:rsidRDefault="004B1AFF" w:rsidP="004B1AFF">
      <w:pPr>
        <w:pStyle w:val="ProjectImplication"/>
      </w:pPr>
      <w:r w:rsidRPr="004B1AFF">
        <w:t xml:space="preserve">- </w:t>
      </w:r>
      <w:r w:rsidRPr="004B1AFF">
        <w:rPr>
          <w:b/>
          <w:bCs/>
        </w:rPr>
        <w:t>Workforce recruitment and retention:</w:t>
      </w:r>
      <w:r w:rsidRPr="004B1AFF">
        <w:t xml:space="preserve"> contribution to locum backfill for Practice Principals</w:t>
      </w:r>
      <w:r>
        <w:t xml:space="preserve">; contribution to agency fees to recruit doctors to Narrandera to experience rural health (including allocation for travel and accommodation); Quack Quest – online video and international recruitment strategy </w:t>
      </w:r>
      <w:r w:rsidR="00346353">
        <w:t>–</w:t>
      </w:r>
      <w:r>
        <w:t xml:space="preserve"> recruitment strategy for GPs to Temora; and local student scholarships.</w:t>
      </w:r>
    </w:p>
    <w:p w14:paraId="0193930E" w14:textId="4FC776B3" w:rsidR="004B1AFF" w:rsidRDefault="004B1AFF" w:rsidP="004B1AFF">
      <w:pPr>
        <w:pStyle w:val="ProjectImplication"/>
      </w:pPr>
      <w:r>
        <w:t xml:space="preserve"> - </w:t>
      </w:r>
      <w:r w:rsidRPr="004B1AFF">
        <w:rPr>
          <w:b/>
          <w:bCs/>
        </w:rPr>
        <w:t>Workforce development to address service gaps:</w:t>
      </w:r>
      <w:r>
        <w:t xml:space="preserve"> t</w:t>
      </w:r>
      <w:r w:rsidRPr="004B1AFF">
        <w:t xml:space="preserve">raining for a local GP in pain management and equipment for ultrasound guided injections. This training </w:t>
      </w:r>
      <w:r w:rsidRPr="004B1AFF">
        <w:lastRenderedPageBreak/>
        <w:t>will enable local access to pain management services and the trained GP will provide training to other GPs to increase capacity across the region</w:t>
      </w:r>
      <w:r>
        <w:t>.</w:t>
      </w:r>
    </w:p>
    <w:p w14:paraId="00354464" w14:textId="3557D1FC" w:rsidR="00013752" w:rsidRDefault="004B1AFF" w:rsidP="004B1AFF">
      <w:pPr>
        <w:pStyle w:val="ProjectImplication"/>
      </w:pPr>
      <w:r>
        <w:t xml:space="preserve"> - </w:t>
      </w:r>
      <w:r w:rsidRPr="004B1AFF">
        <w:rPr>
          <w:b/>
          <w:bCs/>
        </w:rPr>
        <w:t xml:space="preserve">Workforce for delivery primary </w:t>
      </w:r>
      <w:r w:rsidR="00E419DC">
        <w:rPr>
          <w:b/>
          <w:bCs/>
        </w:rPr>
        <w:t>healthcare</w:t>
      </w:r>
      <w:r w:rsidRPr="004B1AFF">
        <w:rPr>
          <w:b/>
          <w:bCs/>
        </w:rPr>
        <w:t>:</w:t>
      </w:r>
      <w:r w:rsidR="009A4F03">
        <w:t xml:space="preserve"> </w:t>
      </w:r>
      <w:r>
        <w:t>Nurse Practitioner (Gundagai Medical Centre); Mental health nurse (Gundagai Medical Centre); short-term allocation of hours for a trauma counsellor to work from the Temora Medical Centre</w:t>
      </w:r>
      <w:r w:rsidR="008B1FE8">
        <w:t xml:space="preserve">. </w:t>
      </w:r>
    </w:p>
    <w:p w14:paraId="20F507A6" w14:textId="534D027D" w:rsidR="008B1FE8" w:rsidRPr="008B1FE8" w:rsidRDefault="008B1FE8" w:rsidP="008B1FE8">
      <w:r>
        <w:t xml:space="preserve">This case study provides an example of benefits of local governance to inform reinvestment strategies responsive to local service needs and value of embedding management of the Initiative within the </w:t>
      </w:r>
      <w:r w:rsidR="00EE595A">
        <w:t>Executive structure of the LHN.</w:t>
      </w:r>
    </w:p>
    <w:p w14:paraId="243C8B9D" w14:textId="4DE2FA3A" w:rsidR="00333AC1" w:rsidRDefault="00333AC1" w:rsidP="00333AC1">
      <w:pPr>
        <w:pStyle w:val="Heading4"/>
      </w:pPr>
      <w:bookmarkStart w:id="117" w:name="_Hlk75952678"/>
      <w:r>
        <w:t xml:space="preserve">Engagement with stakeholders: </w:t>
      </w:r>
      <w:r w:rsidR="00346353">
        <w:t>S</w:t>
      </w:r>
      <w:r>
        <w:t>ummary assessment</w:t>
      </w:r>
    </w:p>
    <w:p w14:paraId="41C4CF9D" w14:textId="374AA079" w:rsidR="00333AC1" w:rsidRDefault="00333AC1" w:rsidP="00333AC1">
      <w:r>
        <w:t>Based on the analysis presented above</w:t>
      </w:r>
      <w:r w:rsidR="009A6914">
        <w:t>,</w:t>
      </w:r>
      <w:r>
        <w:t xml:space="preserve"> the evaluation team reached the following conclusions:</w:t>
      </w:r>
    </w:p>
    <w:bookmarkEnd w:id="117"/>
    <w:p w14:paraId="4E8D8BEF" w14:textId="5C27108D" w:rsidR="00480B94" w:rsidRDefault="00480B94" w:rsidP="001665A3">
      <w:pPr>
        <w:pStyle w:val="Finding"/>
      </w:pPr>
      <w:r>
        <w:t xml:space="preserve">Two jurisdictions do not publish their MOUs publicly. </w:t>
      </w:r>
      <w:r w:rsidR="006C2A45">
        <w:t xml:space="preserve">This is not ideal. </w:t>
      </w:r>
      <w:r>
        <w:t xml:space="preserve">The </w:t>
      </w:r>
      <w:r w:rsidR="008500C8">
        <w:t>Initiative</w:t>
      </w:r>
      <w:r>
        <w:t xml:space="preserve"> arrangements can impact on the operations of private providers</w:t>
      </w:r>
      <w:r w:rsidR="006C2A45">
        <w:t xml:space="preserve"> and ACCHOs</w:t>
      </w:r>
      <w:r w:rsidR="008A2716">
        <w:t xml:space="preserve"> and therefore transparency about the arrangements that apply </w:t>
      </w:r>
      <w:r w:rsidR="006C2A45">
        <w:t>is needed</w:t>
      </w:r>
      <w:r w:rsidR="000E5790">
        <w:t>. Further, the local community should be aware of the health service delivery arrangements that operate in their town</w:t>
      </w:r>
      <w:r w:rsidR="00354238">
        <w:t>.</w:t>
      </w:r>
    </w:p>
    <w:p w14:paraId="5B79200C" w14:textId="2A32891C" w:rsidR="009A1314" w:rsidRPr="009A1314" w:rsidRDefault="00D84895" w:rsidP="001665A3">
      <w:pPr>
        <w:pStyle w:val="Finding"/>
      </w:pPr>
      <w:r w:rsidRPr="00D84895">
        <w:t>Responsibility for final sign-off of reinvestment decisions generally sat with either facility or LHN senior management. Case study observations found that the level of engagement with stakeholders to inform reinvestment varied between jurisdictions. There were sites with greater emphasis on stakeholder engagement (</w:t>
      </w:r>
      <w:r w:rsidR="00E72805">
        <w:t xml:space="preserve">e.g. </w:t>
      </w:r>
      <w:r w:rsidRPr="00D84895">
        <w:t xml:space="preserve">via an implementation committee that met bi-monthly and included community and GP representatives) </w:t>
      </w:r>
      <w:r w:rsidR="00023656" w:rsidRPr="00023656">
        <w:t>that made recommendations for reinvestment although final sign-off remained with the LHN.</w:t>
      </w:r>
    </w:p>
    <w:p w14:paraId="50CF50FD" w14:textId="1FAEE0B5" w:rsidR="009A1314" w:rsidRPr="009A1314" w:rsidRDefault="000939E4" w:rsidP="001665A3">
      <w:pPr>
        <w:pStyle w:val="Finding"/>
      </w:pPr>
      <w:r>
        <w:t>Greater</w:t>
      </w:r>
      <w:r w:rsidR="007B037E" w:rsidRPr="007B037E">
        <w:t xml:space="preserve"> transparency about funds available for reinvestment in a town could be enhanced by insights of other stakeholders about underlying health needs in their community. In addition to GPs and </w:t>
      </w:r>
      <w:r w:rsidR="007B037E" w:rsidRPr="007B037E">
        <w:t>community members</w:t>
      </w:r>
      <w:r w:rsidR="009A6914">
        <w:t>,</w:t>
      </w:r>
      <w:r w:rsidR="007B037E" w:rsidRPr="007B037E">
        <w:t xml:space="preserve"> this could include RWA</w:t>
      </w:r>
      <w:r w:rsidR="00EE595A">
        <w:t>,</w:t>
      </w:r>
      <w:r w:rsidR="007B037E" w:rsidRPr="007B037E">
        <w:t xml:space="preserve"> PHN</w:t>
      </w:r>
      <w:r w:rsidR="00EE595A">
        <w:t>,</w:t>
      </w:r>
      <w:r w:rsidR="007B037E" w:rsidRPr="007B037E">
        <w:t xml:space="preserve"> </w:t>
      </w:r>
      <w:r w:rsidR="00023656" w:rsidRPr="00023656">
        <w:t xml:space="preserve">local ACCHO or State Affiliate </w:t>
      </w:r>
      <w:r w:rsidR="007B037E" w:rsidRPr="007B037E">
        <w:t>representation</w:t>
      </w:r>
      <w:r>
        <w:t>.</w:t>
      </w:r>
    </w:p>
    <w:p w14:paraId="61244878" w14:textId="6E494B3F" w:rsidR="009A1314" w:rsidRPr="00352A23" w:rsidRDefault="00352A23" w:rsidP="001665A3">
      <w:pPr>
        <w:pStyle w:val="Finding"/>
        <w:rPr>
          <w:rFonts w:cstheme="minorBidi"/>
        </w:rPr>
      </w:pPr>
      <w:r w:rsidRPr="00352A23">
        <w:t xml:space="preserve">The evaluation team observed examples of innovation </w:t>
      </w:r>
      <w:r w:rsidR="000D0CA6">
        <w:t xml:space="preserve">which had </w:t>
      </w:r>
      <w:r w:rsidR="008E70DE">
        <w:t>occurred</w:t>
      </w:r>
      <w:r w:rsidR="000D0CA6">
        <w:t xml:space="preserve"> </w:t>
      </w:r>
      <w:r w:rsidR="008A7AF7">
        <w:t>because of</w:t>
      </w:r>
      <w:r w:rsidR="000D0CA6">
        <w:t xml:space="preserve"> </w:t>
      </w:r>
      <w:r w:rsidRPr="00352A23">
        <w:t>LHNs engaging with a broader range of stakeholders around Initiative implementation plans. One LHN</w:t>
      </w:r>
      <w:r w:rsidR="009A1314" w:rsidRPr="00352A23">
        <w:rPr>
          <w:rFonts w:eastAsia="Calibri"/>
          <w:spacing w:val="0"/>
        </w:rPr>
        <w:t xml:space="preserve"> developed links with universities, general practice training providers and larger regional hospitals to progress junior doctor training across hospital</w:t>
      </w:r>
      <w:r w:rsidR="000D0CA6">
        <w:rPr>
          <w:rFonts w:eastAsia="Calibri"/>
          <w:spacing w:val="0"/>
        </w:rPr>
        <w:t>s</w:t>
      </w:r>
      <w:r w:rsidR="009A1314" w:rsidRPr="00352A23">
        <w:rPr>
          <w:rFonts w:eastAsia="Calibri"/>
          <w:spacing w:val="0"/>
        </w:rPr>
        <w:t xml:space="preserve"> and general practice</w:t>
      </w:r>
      <w:r w:rsidRPr="00352A23">
        <w:rPr>
          <w:rFonts w:eastAsia="Calibri"/>
          <w:spacing w:val="0"/>
        </w:rPr>
        <w:t>. S</w:t>
      </w:r>
      <w:r w:rsidR="009A1314" w:rsidRPr="00352A23">
        <w:rPr>
          <w:rFonts w:eastAsia="Calibri"/>
          <w:spacing w:val="0"/>
        </w:rPr>
        <w:t xml:space="preserve">ome locations used </w:t>
      </w:r>
      <w:r w:rsidRPr="00352A23">
        <w:rPr>
          <w:rFonts w:eastAsia="Calibri"/>
          <w:spacing w:val="0"/>
        </w:rPr>
        <w:t>the Ini</w:t>
      </w:r>
      <w:r w:rsidR="00F97F43">
        <w:rPr>
          <w:rFonts w:eastAsia="Calibri"/>
          <w:spacing w:val="0"/>
        </w:rPr>
        <w:t>t</w:t>
      </w:r>
      <w:r w:rsidRPr="00352A23">
        <w:rPr>
          <w:rFonts w:eastAsia="Calibri"/>
          <w:spacing w:val="0"/>
        </w:rPr>
        <w:t xml:space="preserve">iative to </w:t>
      </w:r>
      <w:r w:rsidR="009A1314" w:rsidRPr="00352A23">
        <w:rPr>
          <w:rFonts w:eastAsia="Calibri"/>
          <w:spacing w:val="0"/>
        </w:rPr>
        <w:t>extend GP services to smaller MMM 5</w:t>
      </w:r>
      <w:r w:rsidR="0014271A">
        <w:rPr>
          <w:rFonts w:ascii="Calibri" w:eastAsia="Calibri" w:hAnsi="Calibri" w:cs="Calibri"/>
          <w:spacing w:val="0"/>
        </w:rPr>
        <w:t>‒</w:t>
      </w:r>
      <w:r w:rsidR="009A1314" w:rsidRPr="00352A23">
        <w:rPr>
          <w:rFonts w:eastAsia="Calibri"/>
          <w:spacing w:val="0"/>
        </w:rPr>
        <w:t>7 communities</w:t>
      </w:r>
      <w:r w:rsidRPr="00352A23">
        <w:rPr>
          <w:rFonts w:eastAsia="Calibri"/>
          <w:spacing w:val="0"/>
        </w:rPr>
        <w:t xml:space="preserve"> beyond their immediate town</w:t>
      </w:r>
      <w:r w:rsidR="00042C65">
        <w:rPr>
          <w:rFonts w:eastAsia="Calibri"/>
          <w:spacing w:val="0"/>
        </w:rPr>
        <w:t>,</w:t>
      </w:r>
      <w:r w:rsidR="009A1314" w:rsidRPr="00352A23">
        <w:rPr>
          <w:rFonts w:eastAsia="Calibri"/>
          <w:spacing w:val="0"/>
        </w:rPr>
        <w:t xml:space="preserve"> e.g. Stanthorpe, Longreach, </w:t>
      </w:r>
      <w:r w:rsidR="00023656">
        <w:rPr>
          <w:rFonts w:eastAsia="Calibri"/>
          <w:spacing w:val="0"/>
        </w:rPr>
        <w:t>Tully</w:t>
      </w:r>
      <w:r w:rsidR="009A1314" w:rsidRPr="00352A23">
        <w:rPr>
          <w:rFonts w:eastAsia="Calibri"/>
          <w:spacing w:val="0"/>
        </w:rPr>
        <w:t xml:space="preserve">. </w:t>
      </w:r>
    </w:p>
    <w:p w14:paraId="15E12EEC" w14:textId="6F5AB1C6" w:rsidR="003C79BA" w:rsidRDefault="003C79BA" w:rsidP="003C79BA">
      <w:pPr>
        <w:pStyle w:val="Heading3"/>
      </w:pPr>
      <w:bookmarkStart w:id="118" w:name="_Toc85203300"/>
      <w:r>
        <w:t xml:space="preserve">Reporting </w:t>
      </w:r>
      <w:r w:rsidR="00EE4319">
        <w:t>a</w:t>
      </w:r>
      <w:r>
        <w:t>rrangements</w:t>
      </w:r>
      <w:bookmarkEnd w:id="118"/>
    </w:p>
    <w:p w14:paraId="564C9C1E" w14:textId="2E9EE773" w:rsidR="00352A23" w:rsidRDefault="00354238" w:rsidP="00352A23">
      <w:r w:rsidRPr="009A1314">
        <w:t xml:space="preserve">Review of the current reporting template and case site reports demonstrate that reporting arrangements are transactional and predominantly focused on quantum of Medicare </w:t>
      </w:r>
      <w:r w:rsidR="00352A23">
        <w:t xml:space="preserve">funds </w:t>
      </w:r>
      <w:r w:rsidRPr="009A1314">
        <w:t xml:space="preserve">generated, number of patients serviced and how funds have been spent. </w:t>
      </w:r>
    </w:p>
    <w:p w14:paraId="66D17F07" w14:textId="3B099EDA" w:rsidR="00333AC1" w:rsidRDefault="00333AC1" w:rsidP="00333AC1">
      <w:pPr>
        <w:pStyle w:val="Heading4"/>
      </w:pPr>
      <w:r>
        <w:t xml:space="preserve">Reporting arrangements: </w:t>
      </w:r>
      <w:r w:rsidR="009A6914">
        <w:t>S</w:t>
      </w:r>
      <w:r>
        <w:t>ummary assessment</w:t>
      </w:r>
    </w:p>
    <w:p w14:paraId="0E032183" w14:textId="6F3B41B0" w:rsidR="00333AC1" w:rsidRDefault="00333AC1" w:rsidP="00333AC1">
      <w:r>
        <w:t>Based on the analysis presented above</w:t>
      </w:r>
      <w:r w:rsidR="009A6914">
        <w:t>,</w:t>
      </w:r>
      <w:r>
        <w:t xml:space="preserve"> the evaluation team reached the following conclusion:</w:t>
      </w:r>
    </w:p>
    <w:p w14:paraId="7DED4CBB" w14:textId="195B045D" w:rsidR="00354238" w:rsidRPr="009A1314" w:rsidRDefault="00013752" w:rsidP="001665A3">
      <w:pPr>
        <w:pStyle w:val="Finding"/>
      </w:pPr>
      <w:r>
        <w:t>Annual s</w:t>
      </w:r>
      <w:r w:rsidR="00352A23">
        <w:t>ite r</w:t>
      </w:r>
      <w:r w:rsidR="00354238" w:rsidRPr="009A1314">
        <w:t xml:space="preserve">eporting is not linked to </w:t>
      </w:r>
      <w:r>
        <w:t>an updated</w:t>
      </w:r>
      <w:r w:rsidR="00354238" w:rsidRPr="009A1314">
        <w:t xml:space="preserve"> operational plan, nor does it require an assessment of impact of </w:t>
      </w:r>
      <w:r w:rsidR="00352A23">
        <w:t xml:space="preserve">funds </w:t>
      </w:r>
      <w:r w:rsidR="00354238" w:rsidRPr="009A1314">
        <w:t xml:space="preserve">reinvestment. </w:t>
      </w:r>
    </w:p>
    <w:p w14:paraId="4B949FC7" w14:textId="6E165ABC" w:rsidR="00023656" w:rsidRDefault="00023656" w:rsidP="003C79BA">
      <w:pPr>
        <w:pStyle w:val="Heading3"/>
      </w:pPr>
      <w:bookmarkStart w:id="119" w:name="_Toc85203301"/>
      <w:r w:rsidRPr="00023656">
        <w:t xml:space="preserve">Sub-regional and </w:t>
      </w:r>
      <w:r w:rsidR="00013752">
        <w:t>j</w:t>
      </w:r>
      <w:r w:rsidRPr="00023656">
        <w:t>urisdiction governance</w:t>
      </w:r>
      <w:bookmarkEnd w:id="119"/>
    </w:p>
    <w:p w14:paraId="63BF3614" w14:textId="4C8CB9ED" w:rsidR="00023656" w:rsidRDefault="00023656" w:rsidP="00023656">
      <w:r>
        <w:t>External stakeholders (RWAs,</w:t>
      </w:r>
      <w:r w:rsidR="00EE595A">
        <w:t xml:space="preserve"> PHNs,</w:t>
      </w:r>
      <w:r>
        <w:t xml:space="preserve"> RDAA and NACCHO) consistently identified the need for stronger governance of the program at a jurisdiction and local level. The key areas of concern were in relation to clearer guidelines and transparency in identification of sites, approval processes and appeal mechanisms. There was also concern about transparency with respect to sites approved under the Initiative, whether the site is implementing the Initiative and</w:t>
      </w:r>
      <w:r w:rsidR="005F2EF4">
        <w:t>,</w:t>
      </w:r>
      <w:r>
        <w:t xml:space="preserve"> if so</w:t>
      </w:r>
      <w:r w:rsidR="005F2EF4">
        <w:t>,</w:t>
      </w:r>
      <w:r>
        <w:t xml:space="preserve"> the quantum of </w:t>
      </w:r>
      <w:r>
        <w:lastRenderedPageBreak/>
        <w:t>revenue generated</w:t>
      </w:r>
      <w:r w:rsidR="00EE595A">
        <w:t>,</w:t>
      </w:r>
      <w:r>
        <w:t xml:space="preserve"> and transparency of decision-making for </w:t>
      </w:r>
      <w:r w:rsidR="00E419DC">
        <w:t>reinvestment</w:t>
      </w:r>
      <w:r>
        <w:t>.</w:t>
      </w:r>
      <w:r w:rsidR="009A4F03">
        <w:t xml:space="preserve"> </w:t>
      </w:r>
      <w:r>
        <w:t xml:space="preserve">The apparent absence of a review of operational plans on a regular cycle (e.g. at the commencement of each </w:t>
      </w:r>
      <w:r w:rsidR="00A32F7F">
        <w:t>MOU</w:t>
      </w:r>
      <w:r>
        <w:t>) was raised</w:t>
      </w:r>
      <w:r w:rsidR="00976C5C">
        <w:t>,</w:t>
      </w:r>
      <w:r>
        <w:t xml:space="preserve"> as well the lack of a mechanism to trigger the review of the eligibility of a site where local service status changed.</w:t>
      </w:r>
    </w:p>
    <w:p w14:paraId="1E219FA2" w14:textId="581ADA7A" w:rsidR="00023656" w:rsidRDefault="00023656" w:rsidP="00023656">
      <w:r>
        <w:t>NACCHO’s written submission to the evaluation indicated there was inadequate consultation with the sector at the local ACCHO level and with their jurisdiction affiliates in relation to new applications, ongoing implementation of the Initiative and reinvestment. RDAA raised concerns around the governance of reinvestment</w:t>
      </w:r>
      <w:r w:rsidR="005F2EF4">
        <w:t>,</w:t>
      </w:r>
      <w:r>
        <w:t xml:space="preserve"> highlighting the risk of funding generated through the Initiative being re-directed to the bottom line of public hospital bodies rather than used to increase access to primary care services as intended. While it was acknowledged that the Initiative is an excellent mechanism to use when there is market failure in community based general practice and other primary care models, it should be directed to supporting the jurisdictions to develop integrated models of care. This was re-iterated by several PHNs. Furthermore, PHNs have capability in developing primary </w:t>
      </w:r>
      <w:r w:rsidR="00E419DC">
        <w:t>healthcare</w:t>
      </w:r>
      <w:r>
        <w:t xml:space="preserve"> models of care and patient information system support that the hospitals could draw upon.</w:t>
      </w:r>
    </w:p>
    <w:p w14:paraId="0C7C4859" w14:textId="77777777" w:rsidR="00976C5C" w:rsidRDefault="00976C5C" w:rsidP="00023656"/>
    <w:p w14:paraId="6419427C" w14:textId="445346FF" w:rsidR="00023656" w:rsidRDefault="00023656" w:rsidP="005F2EF4">
      <w:pPr>
        <w:pStyle w:val="ProjectImplication"/>
        <w:keepNext/>
      </w:pPr>
      <w:r>
        <w:t xml:space="preserve">CASE STUDY BOX # </w:t>
      </w:r>
      <w:r w:rsidR="004B1AFF">
        <w:t>6</w:t>
      </w:r>
    </w:p>
    <w:p w14:paraId="3818801D" w14:textId="4EE0A920" w:rsidR="00023656" w:rsidRDefault="00023656" w:rsidP="00023656">
      <w:pPr>
        <w:pStyle w:val="ProjectImplication"/>
        <w:rPr>
          <w:b/>
          <w:bCs/>
        </w:rPr>
      </w:pPr>
      <w:r>
        <w:rPr>
          <w:b/>
          <w:bCs/>
        </w:rPr>
        <w:t>An example of LHN and PHN cooperation across the regional primary care sector</w:t>
      </w:r>
    </w:p>
    <w:p w14:paraId="57C1CA4C" w14:textId="239EBF8A" w:rsidR="00023656" w:rsidRPr="00023656" w:rsidRDefault="00023656" w:rsidP="00023656">
      <w:pPr>
        <w:pStyle w:val="ProjectImplication"/>
      </w:pPr>
      <w:r w:rsidRPr="008D0B9A">
        <w:rPr>
          <w:b/>
          <w:bCs/>
        </w:rPr>
        <w:t>The South West HHS in Queensland operates nine general practices in communities where there is no private practice.</w:t>
      </w:r>
      <w:r w:rsidRPr="00023656">
        <w:t xml:space="preserve"> </w:t>
      </w:r>
      <w:r w:rsidRPr="00B044A2">
        <w:rPr>
          <w:b/>
          <w:bCs/>
        </w:rPr>
        <w:t>It has partnered with Western Queensland PHN to establish the Health Care Home model of care in these practices, using their practice support</w:t>
      </w:r>
      <w:r w:rsidRPr="005274F8">
        <w:rPr>
          <w:b/>
          <w:bCs/>
        </w:rPr>
        <w:t xml:space="preserve"> team to develop practice systems, patient recall, staff training, data cleansing and data extraction for quality improvement and monitoring key health indicators.</w:t>
      </w:r>
      <w:r w:rsidR="009A4F03">
        <w:t xml:space="preserve"> </w:t>
      </w:r>
    </w:p>
    <w:p w14:paraId="45D55F13" w14:textId="248761C8" w:rsidR="00023656" w:rsidRPr="00DF6C5B" w:rsidRDefault="00023656" w:rsidP="0035325A">
      <w:pPr>
        <w:spacing w:before="240"/>
      </w:pPr>
      <w:r w:rsidRPr="00DF6C5B">
        <w:t xml:space="preserve">Under the current </w:t>
      </w:r>
      <w:r w:rsidR="00A32F7F">
        <w:t>MOU</w:t>
      </w:r>
      <w:r w:rsidRPr="00DF6C5B">
        <w:t xml:space="preserve">, the jurisdiction submits an operational plan to the Commonwealth for sites where an exemption is being sought under the Initiative. In Queensland, under the first </w:t>
      </w:r>
      <w:r w:rsidR="00A32F7F">
        <w:t>MOU</w:t>
      </w:r>
      <w:r w:rsidRPr="00DF6C5B">
        <w:t xml:space="preserve"> (2006), all applications were presented to a Reference Group for consideration and sign-off. The Reference Group comprised </w:t>
      </w:r>
      <w:r w:rsidR="008D0B9A">
        <w:t>representatives from</w:t>
      </w:r>
      <w:r w:rsidRPr="00DF6C5B">
        <w:t xml:space="preserve"> Queensland Aboriginal and Islander Health Council, Queensland Division of General Practice (now Check-Up), Health Workforce </w:t>
      </w:r>
      <w:r w:rsidRPr="00DF6C5B">
        <w:t xml:space="preserve">Queensland and Rural Doctors Association Queensland. External stakeholders considered this </w:t>
      </w:r>
      <w:r w:rsidR="008D0B9A">
        <w:t>mechanism for coordination had</w:t>
      </w:r>
      <w:r w:rsidRPr="00DF6C5B">
        <w:t xml:space="preserve"> greater transparency </w:t>
      </w:r>
      <w:r w:rsidR="008D0B9A">
        <w:t xml:space="preserve">around </w:t>
      </w:r>
      <w:r w:rsidRPr="00DF6C5B">
        <w:t>the application and approval stage as well as providing a</w:t>
      </w:r>
      <w:r w:rsidR="00E7692A">
        <w:t xml:space="preserve"> point of contact </w:t>
      </w:r>
      <w:r w:rsidRPr="00DF6C5B">
        <w:t xml:space="preserve">for local stakeholders to raise concerns if there were issues in implementation of the Initiative. </w:t>
      </w:r>
    </w:p>
    <w:p w14:paraId="25AD3B5D" w14:textId="24139E15" w:rsidR="00023656" w:rsidRPr="00DF6C5B" w:rsidRDefault="00023656" w:rsidP="008D0B9A">
      <w:r w:rsidRPr="00DF6C5B">
        <w:t xml:space="preserve">Broadening governance at a jurisdiction level to include </w:t>
      </w:r>
      <w:r w:rsidR="008D0B9A">
        <w:t xml:space="preserve">representatives from </w:t>
      </w:r>
      <w:r w:rsidRPr="00DF6C5B">
        <w:t xml:space="preserve">the </w:t>
      </w:r>
      <w:r w:rsidR="00E7692A">
        <w:t xml:space="preserve">ACCHO </w:t>
      </w:r>
      <w:r w:rsidRPr="00DF6C5B">
        <w:t>sector, RWA, rural PHN</w:t>
      </w:r>
      <w:r w:rsidR="008D0B9A">
        <w:t>s</w:t>
      </w:r>
      <w:r w:rsidR="00E7692A">
        <w:t xml:space="preserve"> </w:t>
      </w:r>
      <w:r w:rsidR="008D0B9A">
        <w:t xml:space="preserve">and </w:t>
      </w:r>
      <w:r w:rsidRPr="00DF6C5B">
        <w:t xml:space="preserve">Rural Doctors Association presents opportunity to identify, explore and leverage innovations and other funding sources that have relevance to the intent of the Initiative at a </w:t>
      </w:r>
      <w:r w:rsidR="008D0B9A">
        <w:t>j</w:t>
      </w:r>
      <w:r w:rsidRPr="00DF6C5B">
        <w:t xml:space="preserve">urisdiction or regional level. </w:t>
      </w:r>
    </w:p>
    <w:p w14:paraId="68E40ADA" w14:textId="4305CFA1" w:rsidR="00023656" w:rsidRDefault="00023656" w:rsidP="0035325A">
      <w:pPr>
        <w:spacing w:after="240"/>
      </w:pPr>
      <w:r w:rsidRPr="00DF6C5B">
        <w:t xml:space="preserve">Under the current </w:t>
      </w:r>
      <w:r w:rsidR="00A32F7F">
        <w:t>MOU</w:t>
      </w:r>
      <w:r w:rsidRPr="00DF6C5B">
        <w:t>, it is the intent that revenue is reinvested at the site (</w:t>
      </w:r>
      <w:r w:rsidR="008D0B9A">
        <w:t xml:space="preserve">according to plans </w:t>
      </w:r>
      <w:r w:rsidRPr="00DF6C5B">
        <w:t xml:space="preserve">set out in the Operational Plan) and overseen by a local governance group. As outlined </w:t>
      </w:r>
      <w:r w:rsidR="008D0B9A">
        <w:t xml:space="preserve">immediately </w:t>
      </w:r>
      <w:r w:rsidRPr="00DF6C5B">
        <w:t xml:space="preserve">above and in earlier sections, there is considerable variability between and within jurisdiction in local governance processes. There were a number of external stakeholders </w:t>
      </w:r>
      <w:r w:rsidR="00B044A2">
        <w:t>who</w:t>
      </w:r>
      <w:r w:rsidRPr="00DF6C5B">
        <w:t xml:space="preserve"> identified opportunities to use </w:t>
      </w:r>
      <w:r w:rsidR="005076A0">
        <w:t xml:space="preserve">a </w:t>
      </w:r>
      <w:r w:rsidR="00783742">
        <w:t>S19</w:t>
      </w:r>
      <w:r w:rsidR="005076A0">
        <w:t>(2) exemption</w:t>
      </w:r>
      <w:r w:rsidRPr="00DF6C5B">
        <w:t xml:space="preserve"> to support system change (</w:t>
      </w:r>
      <w:r w:rsidR="00E72805">
        <w:t xml:space="preserve">e.g. </w:t>
      </w:r>
      <w:r w:rsidRPr="00DF6C5B">
        <w:t xml:space="preserve">the </w:t>
      </w:r>
      <w:r w:rsidR="00E7692A">
        <w:t xml:space="preserve">Murrumbidgee </w:t>
      </w:r>
      <w:r w:rsidRPr="00DF6C5B">
        <w:t>single employer model for Rural Generalist trainees employed by the LHD and based in general practice) or address structural issues particularly at a sub</w:t>
      </w:r>
      <w:r w:rsidR="00B044A2">
        <w:noBreakHyphen/>
      </w:r>
      <w:r w:rsidRPr="00DF6C5B">
        <w:t>regional level</w:t>
      </w:r>
      <w:r w:rsidR="00A32F7F">
        <w:t xml:space="preserve">, e.g. </w:t>
      </w:r>
      <w:r w:rsidRPr="00DF6C5B">
        <w:t>the 4Ts model. This was seen to have potential for greater benefit particularly where the quantum</w:t>
      </w:r>
      <w:r w:rsidR="008D0B9A">
        <w:t xml:space="preserve"> of investment required</w:t>
      </w:r>
      <w:r w:rsidRPr="00DF6C5B">
        <w:t xml:space="preserve"> per site was relatively modest, or where smaller communities did not have a doctor (but had primary care needs) and could not derive financial benefit from an exemption. </w:t>
      </w:r>
    </w:p>
    <w:p w14:paraId="64B61A5F" w14:textId="6F312619" w:rsidR="008D0B9A" w:rsidRDefault="008D0B9A" w:rsidP="008D0B9A">
      <w:pPr>
        <w:pStyle w:val="ProjectImplication"/>
      </w:pPr>
      <w:r>
        <w:t xml:space="preserve">CASE STUDY BOX # </w:t>
      </w:r>
      <w:r w:rsidR="004B1AFF">
        <w:t>7</w:t>
      </w:r>
    </w:p>
    <w:p w14:paraId="32FD8BF3" w14:textId="48DAD782" w:rsidR="008D0B9A" w:rsidRPr="008D0B9A" w:rsidRDefault="008D0B9A" w:rsidP="008D0B9A">
      <w:pPr>
        <w:pStyle w:val="ProjectImplication"/>
        <w:rPr>
          <w:b/>
          <w:bCs/>
        </w:rPr>
      </w:pPr>
      <w:r w:rsidRPr="008D0B9A">
        <w:rPr>
          <w:b/>
          <w:bCs/>
        </w:rPr>
        <w:t>The 4Ts: Applying sub-regional planning to develop a sub-regional response</w:t>
      </w:r>
    </w:p>
    <w:p w14:paraId="43EEC836" w14:textId="30DAD052" w:rsidR="008D0B9A" w:rsidRDefault="008D0B9A" w:rsidP="008D0B9A">
      <w:pPr>
        <w:pStyle w:val="ProjectImplication"/>
      </w:pPr>
      <w:r>
        <w:t>There is no existing model of care in NSW that comprehensively supports both primary care and hospital-based needs in small rural communities. The Western NSW LHD recognised that the sustainability of both primary and acute care services in some towns requires the pooling of resources and integrating care across both federal and state jurisdictions, as well as needing support for innovative new models of recruitment and retention.</w:t>
      </w:r>
    </w:p>
    <w:p w14:paraId="3A839EC7" w14:textId="1F474369" w:rsidR="008D0B9A" w:rsidRDefault="008D0B9A" w:rsidP="008D0B9A">
      <w:pPr>
        <w:pStyle w:val="ProjectImplication"/>
      </w:pPr>
      <w:r>
        <w:lastRenderedPageBreak/>
        <w:t>The 4Ts project builds on proof-of-concept work completed in collaboration with the Rural Doctors Network (RDN) and the Western NSW Primary Health Network (</w:t>
      </w:r>
      <w:r w:rsidR="005076A0">
        <w:t xml:space="preserve">WNSW </w:t>
      </w:r>
      <w:r>
        <w:t>PHN).</w:t>
      </w:r>
    </w:p>
    <w:p w14:paraId="666F05FE" w14:textId="6026B7D6" w:rsidR="008D0B9A" w:rsidRDefault="008D0B9A" w:rsidP="008D0B9A">
      <w:pPr>
        <w:pStyle w:val="ProjectImplication"/>
      </w:pPr>
      <w:r>
        <w:t xml:space="preserve">The 4Ts is a single employer model operating in Tullamore, Trundle, Trangie and Tottenham. Each site was granted </w:t>
      </w:r>
      <w:r w:rsidR="00200694">
        <w:t>approval to participate in the Initiative</w:t>
      </w:r>
      <w:r>
        <w:t xml:space="preserve"> in October 2020. Each community has an MPS, ED and general practice (co-located on-site), and is supported by the Virtual Rural Generalist Service. The LHD employs two local doctors (working part time in Trundle and Trangie) and rotating locums under the VRG Service. VRG coverage supports the ED and MPS on the days the GPs are not in the community and after hours. </w:t>
      </w:r>
      <w:r w:rsidR="00E7692A">
        <w:t>At each site, p</w:t>
      </w:r>
      <w:r>
        <w:t xml:space="preserve">ractice management/ administration and nursing staff work </w:t>
      </w:r>
      <w:r w:rsidR="00E7692A">
        <w:t>across</w:t>
      </w:r>
      <w:r>
        <w:t xml:space="preserve"> the ‘general practice’, ED and MPS. There is a shared patient information system across the four sites</w:t>
      </w:r>
      <w:r w:rsidR="00613C43">
        <w:t>,</w:t>
      </w:r>
      <w:r>
        <w:t xml:space="preserve"> i.e. Prac Soft and Best Practice. Therefore, each site has systems in place for primary care and chronic disease management, with capability for data interrogation by </w:t>
      </w:r>
      <w:r w:rsidR="005076A0">
        <w:t>Pen CS</w:t>
      </w:r>
      <w:r>
        <w:t xml:space="preserve"> for quality improvement purposes and Medicare billing. The MPS residents have access to Medicare, PBS and care planning. </w:t>
      </w:r>
    </w:p>
    <w:p w14:paraId="4C45C8F9" w14:textId="1ACF329E" w:rsidR="008D0B9A" w:rsidRDefault="008D0B9A" w:rsidP="008D0B9A">
      <w:pPr>
        <w:pStyle w:val="ProjectImplication"/>
      </w:pPr>
      <w:r>
        <w:t>This one-employer model</w:t>
      </w:r>
      <w:r w:rsidR="00E7692A">
        <w:t xml:space="preserve"> seeks to</w:t>
      </w:r>
      <w:r>
        <w:t xml:space="preserve"> integrate multidisciplinary care across primary and acute care services in small rural communities. It differs to other single-employer models in that it includes nursing and administrative staff as well the GPs.</w:t>
      </w:r>
      <w:r w:rsidR="009A4F03">
        <w:t xml:space="preserve"> </w:t>
      </w:r>
      <w:r>
        <w:t>It is anticipated that pooled resourcing will sustain more comprehensive health services in communities than may otherwise have been the case. While Western NSW LHD is placed as the single employer across these towns, the project does not assume that the LHD should be the single employer if this model were to be translated more broadly across other communities at some future time.</w:t>
      </w:r>
    </w:p>
    <w:p w14:paraId="49B31207" w14:textId="2C3BE149" w:rsidR="00023656" w:rsidRPr="008D0B9A" w:rsidRDefault="008D0B9A" w:rsidP="008D0B9A">
      <w:pPr>
        <w:pStyle w:val="ProjectImplication"/>
        <w:rPr>
          <w:b/>
          <w:bCs/>
        </w:rPr>
      </w:pPr>
      <w:r w:rsidRPr="008D0B9A">
        <w:rPr>
          <w:b/>
          <w:bCs/>
        </w:rPr>
        <w:t>This example demonstrates the potential benefit that can be realised through collaborative planning and resourcing across primary and secondary care settings at a sub-regional level.</w:t>
      </w:r>
    </w:p>
    <w:p w14:paraId="02452774" w14:textId="331C6DC0" w:rsidR="005274F8" w:rsidRDefault="005274F8" w:rsidP="005274F8"/>
    <w:p w14:paraId="7C43A101" w14:textId="20E0A583" w:rsidR="005274F8" w:rsidRDefault="005274F8" w:rsidP="005274F8">
      <w:pPr>
        <w:pStyle w:val="ProjectImplication"/>
      </w:pPr>
      <w:r>
        <w:t xml:space="preserve">CASE STUDY BOX # </w:t>
      </w:r>
      <w:r w:rsidR="004B1AFF">
        <w:t>8</w:t>
      </w:r>
    </w:p>
    <w:p w14:paraId="6B1C977E" w14:textId="333C1798" w:rsidR="005274F8" w:rsidRPr="005274F8" w:rsidRDefault="007943C1" w:rsidP="005274F8">
      <w:pPr>
        <w:pStyle w:val="ProjectImplication"/>
        <w:rPr>
          <w:b/>
          <w:bCs/>
        </w:rPr>
      </w:pPr>
      <w:r>
        <w:rPr>
          <w:b/>
          <w:bCs/>
        </w:rPr>
        <w:t xml:space="preserve">Potential model </w:t>
      </w:r>
      <w:r w:rsidR="00564BB7">
        <w:rPr>
          <w:b/>
          <w:bCs/>
        </w:rPr>
        <w:t>–</w:t>
      </w:r>
      <w:r>
        <w:rPr>
          <w:b/>
          <w:bCs/>
        </w:rPr>
        <w:t xml:space="preserve"> </w:t>
      </w:r>
      <w:r w:rsidR="005076A0">
        <w:rPr>
          <w:b/>
          <w:bCs/>
        </w:rPr>
        <w:t>u</w:t>
      </w:r>
      <w:r w:rsidR="005274F8" w:rsidRPr="005274F8">
        <w:rPr>
          <w:b/>
          <w:bCs/>
        </w:rPr>
        <w:t xml:space="preserve">sing </w:t>
      </w:r>
      <w:r w:rsidR="00783742">
        <w:rPr>
          <w:b/>
          <w:bCs/>
        </w:rPr>
        <w:t>S19</w:t>
      </w:r>
      <w:r w:rsidR="00A07293">
        <w:rPr>
          <w:b/>
          <w:bCs/>
        </w:rPr>
        <w:t>(2)</w:t>
      </w:r>
      <w:r w:rsidR="005274F8" w:rsidRPr="005274F8">
        <w:rPr>
          <w:b/>
          <w:bCs/>
        </w:rPr>
        <w:t xml:space="preserve"> Directions to invest in </w:t>
      </w:r>
      <w:r w:rsidR="00564BB7">
        <w:rPr>
          <w:b/>
          <w:bCs/>
        </w:rPr>
        <w:t>i</w:t>
      </w:r>
      <w:r w:rsidR="005274F8" w:rsidRPr="005274F8">
        <w:rPr>
          <w:b/>
          <w:bCs/>
        </w:rPr>
        <w:t>ntegration</w:t>
      </w:r>
      <w:r>
        <w:rPr>
          <w:b/>
          <w:bCs/>
        </w:rPr>
        <w:t xml:space="preserve"> </w:t>
      </w:r>
    </w:p>
    <w:p w14:paraId="42ECBAB1" w14:textId="0CDF0A68" w:rsidR="005274F8" w:rsidRDefault="005274F8" w:rsidP="005274F8">
      <w:pPr>
        <w:pStyle w:val="ProjectImplication"/>
      </w:pPr>
      <w:r>
        <w:t xml:space="preserve">A structural challenge in the primary </w:t>
      </w:r>
      <w:r w:rsidR="00E419DC">
        <w:t>healthcare</w:t>
      </w:r>
      <w:r>
        <w:t xml:space="preserve"> system is that </w:t>
      </w:r>
      <w:r w:rsidR="007943C1">
        <w:t>under the fee-for-service model</w:t>
      </w:r>
      <w:r w:rsidR="00564BB7">
        <w:t>,</w:t>
      </w:r>
      <w:r w:rsidR="007943C1">
        <w:t xml:space="preserve"> </w:t>
      </w:r>
      <w:r>
        <w:t>GPs are</w:t>
      </w:r>
      <w:r w:rsidR="007943C1">
        <w:t xml:space="preserve"> not</w:t>
      </w:r>
      <w:r>
        <w:t xml:space="preserve"> paid for integrated service development activities. </w:t>
      </w:r>
    </w:p>
    <w:p w14:paraId="2501AAE6" w14:textId="083676E9" w:rsidR="005274F8" w:rsidRDefault="005274F8" w:rsidP="005274F8">
      <w:pPr>
        <w:pStyle w:val="ProjectImplication"/>
      </w:pPr>
      <w:r>
        <w:t xml:space="preserve">The Murrumbidgee PHN has established a </w:t>
      </w:r>
      <w:r w:rsidRPr="005274F8">
        <w:rPr>
          <w:i/>
          <w:iCs/>
        </w:rPr>
        <w:t>Winter Strategy</w:t>
      </w:r>
      <w:r>
        <w:t xml:space="preserve"> to reduce </w:t>
      </w:r>
      <w:r w:rsidRPr="005274F8">
        <w:rPr>
          <w:i/>
          <w:iCs/>
        </w:rPr>
        <w:t>Potentially Preventable Hospitalisations</w:t>
      </w:r>
      <w:r>
        <w:t>. Twenty practices have signed up to the Strategy. Under the strategy, a practice nurse manages a review of the most vulnerable patients across the practices and develops a preventative care plan for identified patients. These patients are placed on a risk register.</w:t>
      </w:r>
      <w:r w:rsidR="009A4F03">
        <w:t xml:space="preserve"> </w:t>
      </w:r>
      <w:r>
        <w:t xml:space="preserve">If the patient presents to </w:t>
      </w:r>
      <w:r w:rsidR="00065C89">
        <w:t>ED,</w:t>
      </w:r>
      <w:r>
        <w:t xml:space="preserve"> there is a warm handover back to GP with the intent to reduce hospitalisations. Each practice is paid $8</w:t>
      </w:r>
      <w:r w:rsidR="00613C43">
        <w:t>,000</w:t>
      </w:r>
      <w:r>
        <w:t xml:space="preserve"> p</w:t>
      </w:r>
      <w:r w:rsidR="00613C43">
        <w:t>.</w:t>
      </w:r>
      <w:r>
        <w:t>a</w:t>
      </w:r>
      <w:r w:rsidR="00613C43">
        <w:t>.</w:t>
      </w:r>
      <w:r>
        <w:t xml:space="preserve"> to participate in the strategy. Investment </w:t>
      </w:r>
      <w:r w:rsidR="005076A0">
        <w:t>of</w:t>
      </w:r>
      <w:r>
        <w:t xml:space="preserve"> </w:t>
      </w:r>
      <w:r w:rsidR="00783742">
        <w:t>S19</w:t>
      </w:r>
      <w:r w:rsidR="00A07293">
        <w:t>(2)</w:t>
      </w:r>
      <w:r w:rsidR="005076A0">
        <w:t xml:space="preserve"> Initiative</w:t>
      </w:r>
      <w:r>
        <w:t xml:space="preserve"> revenue</w:t>
      </w:r>
      <w:r w:rsidR="005076A0">
        <w:t>s</w:t>
      </w:r>
      <w:r>
        <w:t xml:space="preserve"> was identified as a </w:t>
      </w:r>
      <w:r w:rsidR="007943C1">
        <w:t xml:space="preserve">potential </w:t>
      </w:r>
      <w:r>
        <w:t>mechanism to support system change at a town/ sub-regional level, with funds contributing to a care navigator position, or community pharmacist to do medication reviews and prioritise care for the most vulnerable and keep people out of hospital.</w:t>
      </w:r>
    </w:p>
    <w:p w14:paraId="7DC48743" w14:textId="734A67A2" w:rsidR="0035325A" w:rsidRDefault="0035325A" w:rsidP="0035325A">
      <w:pPr>
        <w:spacing w:before="240"/>
      </w:pPr>
      <w:r w:rsidRPr="0035325A">
        <w:t>A sub-regional governance group that includes representation from the LHN, PHN, RWA, local ACCHO and local government enables access to relevant health and workforce needs assessment to inform prioritisation and planning, provides the foundation for collaborative resourcing to maximise the potential benefit of the Initiative, can identify changes within the service system that may need to be considered in relation to the operation of the Initiative (</w:t>
      </w:r>
      <w:r w:rsidR="00E72805">
        <w:t xml:space="preserve">e.g. </w:t>
      </w:r>
      <w:r w:rsidRPr="0035325A">
        <w:t>new private practice that may wish to establish, nuanced negotiation of Medicare items to be claimed) and provide transparency to local, sub-regional and regional stakeholders internal and external to the LHN for planning and implementation of the Initiative</w:t>
      </w:r>
      <w:r>
        <w:t>.</w:t>
      </w:r>
    </w:p>
    <w:p w14:paraId="30244838" w14:textId="11D23F49" w:rsidR="00E46A74" w:rsidRDefault="00E46A74" w:rsidP="00E46A74">
      <w:pPr>
        <w:pStyle w:val="Heading4"/>
      </w:pPr>
      <w:r>
        <w:t xml:space="preserve">Sub-regional and jurisdiction governance: </w:t>
      </w:r>
      <w:r w:rsidR="00564BB7">
        <w:t>S</w:t>
      </w:r>
      <w:r>
        <w:t>ummary assessment</w:t>
      </w:r>
    </w:p>
    <w:p w14:paraId="7AF35C10" w14:textId="5B5CDE91" w:rsidR="00E46A74" w:rsidRDefault="00E46A74" w:rsidP="00E46A74">
      <w:r>
        <w:t>Based on the analysis presented above</w:t>
      </w:r>
      <w:r w:rsidR="00564BB7">
        <w:t>,</w:t>
      </w:r>
      <w:r>
        <w:t xml:space="preserve"> the evaluation team reached the following conclusions:</w:t>
      </w:r>
    </w:p>
    <w:p w14:paraId="14D344EF" w14:textId="60D5F260" w:rsidR="00E60A62" w:rsidRDefault="00E60A62" w:rsidP="00E60A62">
      <w:pPr>
        <w:pStyle w:val="Finding"/>
      </w:pPr>
      <w:r>
        <w:t>C</w:t>
      </w:r>
      <w:r w:rsidRPr="0035325A">
        <w:t xml:space="preserve">onsideration should be given to broader representation of stakeholders in governance of the Initiative to provide transparency and </w:t>
      </w:r>
      <w:r>
        <w:t xml:space="preserve">to </w:t>
      </w:r>
      <w:r w:rsidRPr="0035325A">
        <w:t xml:space="preserve">facilitate opportunities to leverage resources </w:t>
      </w:r>
      <w:r>
        <w:t xml:space="preserve">from other program funding streams </w:t>
      </w:r>
      <w:r w:rsidRPr="0035325A">
        <w:t>and identify innovations to maximise benefit from the Initiat</w:t>
      </w:r>
      <w:r>
        <w:t>ive.</w:t>
      </w:r>
    </w:p>
    <w:p w14:paraId="56053544" w14:textId="29996BAD" w:rsidR="003C79BA" w:rsidRDefault="003C79BA" w:rsidP="0035325A">
      <w:pPr>
        <w:pStyle w:val="Heading2"/>
      </w:pPr>
      <w:bookmarkStart w:id="120" w:name="_Toc85203302"/>
      <w:r>
        <w:lastRenderedPageBreak/>
        <w:t xml:space="preserve">Department of Health </w:t>
      </w:r>
      <w:r w:rsidR="00143F67">
        <w:t>a</w:t>
      </w:r>
      <w:r>
        <w:t>dministration</w:t>
      </w:r>
      <w:bookmarkEnd w:id="120"/>
    </w:p>
    <w:p w14:paraId="636E1E20" w14:textId="40F5A5D0" w:rsidR="00DB457D" w:rsidRPr="00DB457D" w:rsidRDefault="00DB457D" w:rsidP="00DB457D">
      <w:r w:rsidRPr="00DB457D">
        <w:rPr>
          <w:rFonts w:cs="Times New Roman"/>
        </w:rPr>
        <w:t xml:space="preserve">The </w:t>
      </w:r>
      <w:r w:rsidRPr="00DB457D">
        <w:t>Primary Care Policy Section, in the Primary Health and Palliative Care Branch of the Department of Health</w:t>
      </w:r>
      <w:r w:rsidR="00564BB7">
        <w:t>,</w:t>
      </w:r>
      <w:r w:rsidRPr="00DB457D">
        <w:t xml:space="preserve"> manage</w:t>
      </w:r>
      <w:r w:rsidR="00564BB7">
        <w:t>s</w:t>
      </w:r>
      <w:r w:rsidRPr="00DB457D">
        <w:t xml:space="preserve"> the COAG </w:t>
      </w:r>
      <w:r w:rsidR="00783742">
        <w:t>S19</w:t>
      </w:r>
      <w:r w:rsidR="00A07293">
        <w:t>(2)</w:t>
      </w:r>
      <w:r w:rsidRPr="00DB457D">
        <w:t xml:space="preserve"> Exemptions Initiative. Standard Operating Procedures (SOP</w:t>
      </w:r>
      <w:r w:rsidR="00C95D76">
        <w:t>s</w:t>
      </w:r>
      <w:r w:rsidRPr="00DB457D">
        <w:t>) have been developed to assist staff manage the Initiative.</w:t>
      </w:r>
    </w:p>
    <w:p w14:paraId="53ABCBD6" w14:textId="2CAC5B9B" w:rsidR="00DB457D" w:rsidRDefault="00DB457D" w:rsidP="00DB457D">
      <w:r w:rsidRPr="00DB457D">
        <w:t xml:space="preserve">In reviewing the SOP, the evaluators </w:t>
      </w:r>
      <w:r w:rsidR="00256BD2">
        <w:t>found</w:t>
      </w:r>
      <w:r w:rsidRPr="00DB457D">
        <w:t xml:space="preserve"> that it provides clear directions for the application assessment, approval and management of the program. However, the annual report assessment is focused on MBS claims at each site and compliance checks. </w:t>
      </w:r>
      <w:r w:rsidR="00256BD2">
        <w:t>The evaluation team noted</w:t>
      </w:r>
      <w:r w:rsidRPr="00DB457D">
        <w:t xml:space="preserve"> that it is difficult </w:t>
      </w:r>
      <w:r w:rsidR="00256BD2">
        <w:t xml:space="preserve">for the program management team </w:t>
      </w:r>
      <w:r w:rsidRPr="00DB457D">
        <w:t xml:space="preserve">to determine total MBS expenditure by </w:t>
      </w:r>
      <w:r w:rsidR="00564BB7" w:rsidRPr="00DB457D">
        <w:t xml:space="preserve">states and territories </w:t>
      </w:r>
      <w:r w:rsidRPr="00DB457D">
        <w:t xml:space="preserve">based on current information provided. This aligns with findings of the evaluation that current reporting requirements do not provide transparency </w:t>
      </w:r>
      <w:r w:rsidR="00256BD2">
        <w:t>around</w:t>
      </w:r>
      <w:r w:rsidRPr="00DB457D">
        <w:t xml:space="preserve"> reinvestment of revenue, the extent to which investment aligns with operational plans or evidence that can inform an assessment of impact of the Initiative.</w:t>
      </w:r>
      <w:r w:rsidR="005B758D">
        <w:t xml:space="preserve"> </w:t>
      </w:r>
    </w:p>
    <w:p w14:paraId="4E6F276B" w14:textId="6425D1A8" w:rsidR="00333AC1" w:rsidRDefault="00333AC1" w:rsidP="00333AC1">
      <w:pPr>
        <w:pStyle w:val="Heading4"/>
      </w:pPr>
      <w:bookmarkStart w:id="121" w:name="_Hlk75840558"/>
      <w:r>
        <w:t xml:space="preserve">Department of Health administration: </w:t>
      </w:r>
      <w:r w:rsidR="00DE5CEB">
        <w:t>S</w:t>
      </w:r>
      <w:r>
        <w:t>ummary assessment</w:t>
      </w:r>
    </w:p>
    <w:p w14:paraId="19482338" w14:textId="4C6AFD2A" w:rsidR="00333AC1" w:rsidRDefault="00333AC1" w:rsidP="00333AC1">
      <w:bookmarkStart w:id="122" w:name="_Hlk75840574"/>
      <w:bookmarkEnd w:id="121"/>
      <w:r>
        <w:t>Based on the analysis presented above</w:t>
      </w:r>
      <w:r w:rsidR="00564BB7">
        <w:t>,</w:t>
      </w:r>
      <w:r>
        <w:t xml:space="preserve"> the evaluation team reached the following conclusions:</w:t>
      </w:r>
    </w:p>
    <w:p w14:paraId="7BFC80D6" w14:textId="6E501076" w:rsidR="00E74476" w:rsidRDefault="00E74476" w:rsidP="00333AC1">
      <w:pPr>
        <w:pStyle w:val="Finding"/>
      </w:pPr>
      <w:r w:rsidRPr="001665A3">
        <w:t>The current reporting mechanisms of the Initiative focus on levels of MBS revenue generation. Appreciation of the models of care and closer examination of reinvestment processes at each site would enhance understanding of underlying drivers for the MBS billin</w:t>
      </w:r>
      <w:r>
        <w:t>g.</w:t>
      </w:r>
    </w:p>
    <w:p w14:paraId="0FC5D31F" w14:textId="47E6B64D" w:rsidR="003C79BA" w:rsidRDefault="00FF6B6D" w:rsidP="00394C1B">
      <w:pPr>
        <w:pStyle w:val="SectionTitle"/>
        <w:spacing w:before="360"/>
      </w:pPr>
      <w:bookmarkStart w:id="123" w:name="_Toc85203303"/>
      <w:bookmarkEnd w:id="122"/>
      <w:r>
        <w:t>efficiency of current arrangements</w:t>
      </w:r>
      <w:bookmarkEnd w:id="123"/>
    </w:p>
    <w:p w14:paraId="5DF09ABB" w14:textId="7E540957" w:rsidR="003C79BA" w:rsidRDefault="00FF6B6D" w:rsidP="00394C1B">
      <w:pPr>
        <w:pStyle w:val="Heading2"/>
        <w:spacing w:before="240"/>
      </w:pPr>
      <w:bookmarkStart w:id="124" w:name="_Toc85203304"/>
      <w:r>
        <w:t xml:space="preserve">MBS billing – site &amp; LHN </w:t>
      </w:r>
      <w:r w:rsidR="008C1C89">
        <w:t>processes</w:t>
      </w:r>
      <w:bookmarkEnd w:id="124"/>
    </w:p>
    <w:p w14:paraId="0D1CC4DA" w14:textId="20D2B76D" w:rsidR="00FF6B6D" w:rsidRDefault="00DB457D" w:rsidP="00FF6B6D">
      <w:r>
        <w:t xml:space="preserve">At each case study </w:t>
      </w:r>
      <w:r w:rsidR="00AC54A1">
        <w:t>site,</w:t>
      </w:r>
      <w:r w:rsidR="00B23528">
        <w:t xml:space="preserve"> </w:t>
      </w:r>
      <w:r>
        <w:t>we interviewed representatives of the administrative teams and relevant managers to understand the process flows within h</w:t>
      </w:r>
      <w:r w:rsidR="00B56C23">
        <w:t xml:space="preserve">ealth services </w:t>
      </w:r>
      <w:r>
        <w:t xml:space="preserve">for </w:t>
      </w:r>
      <w:r>
        <w:t>managing patients presenting for primary care. At most sites</w:t>
      </w:r>
      <w:r w:rsidR="00030314">
        <w:t xml:space="preserve"> (</w:t>
      </w:r>
      <w:r w:rsidR="00B23528">
        <w:t>eight</w:t>
      </w:r>
      <w:r w:rsidR="00030314">
        <w:t xml:space="preserve"> of the 10 case studies)</w:t>
      </w:r>
      <w:r>
        <w:t xml:space="preserve"> the</w:t>
      </w:r>
      <w:r w:rsidR="00030314">
        <w:t xml:space="preserve"> main service provided </w:t>
      </w:r>
      <w:r w:rsidR="00801334">
        <w:t xml:space="preserve">under the Initiative </w:t>
      </w:r>
      <w:r w:rsidR="00030314">
        <w:t xml:space="preserve">was urgent / emergency care. </w:t>
      </w:r>
      <w:r w:rsidR="00972742">
        <w:t>The</w:t>
      </w:r>
      <w:r w:rsidR="00030314">
        <w:t xml:space="preserve"> process map</w:t>
      </w:r>
      <w:r w:rsidR="00972742">
        <w:t xml:space="preserve"> (at </w:t>
      </w:r>
      <w:r w:rsidR="00972742">
        <w:fldChar w:fldCharType="begin"/>
      </w:r>
      <w:r w:rsidR="00972742">
        <w:instrText xml:space="preserve"> REF _Ref73109750 \h </w:instrText>
      </w:r>
      <w:r w:rsidR="00972742">
        <w:fldChar w:fldCharType="separate"/>
      </w:r>
      <w:r w:rsidR="00C50B67">
        <w:t xml:space="preserve">Figure </w:t>
      </w:r>
      <w:r w:rsidR="00C50B67">
        <w:rPr>
          <w:noProof/>
        </w:rPr>
        <w:t>4</w:t>
      </w:r>
      <w:r w:rsidR="00C50B67">
        <w:t>.</w:t>
      </w:r>
      <w:r w:rsidR="00C50B67">
        <w:rPr>
          <w:noProof/>
        </w:rPr>
        <w:t>1</w:t>
      </w:r>
      <w:r w:rsidR="00972742">
        <w:fldChar w:fldCharType="end"/>
      </w:r>
      <w:r w:rsidR="00972742">
        <w:t xml:space="preserve"> (see next page))</w:t>
      </w:r>
      <w:r w:rsidR="00030314">
        <w:t xml:space="preserve"> shows </w:t>
      </w:r>
      <w:r w:rsidR="00996710">
        <w:t xml:space="preserve">typical steps in the </w:t>
      </w:r>
      <w:r w:rsidR="00030314">
        <w:t xml:space="preserve">management of these patients and the associated documentation and billing processes </w:t>
      </w:r>
      <w:r w:rsidR="00972742">
        <w:t>for one jurisdiction (in this case Kununurra, WA)</w:t>
      </w:r>
      <w:r w:rsidR="0049653D">
        <w:t>.</w:t>
      </w:r>
      <w:r w:rsidR="00EF35E1">
        <w:t xml:space="preserve"> This shows that the processes involved were c</w:t>
      </w:r>
      <w:r w:rsidR="00EF35E1" w:rsidRPr="00996710">
        <w:t>umbersome</w:t>
      </w:r>
      <w:r w:rsidR="00EF35E1">
        <w:t xml:space="preserve"> and complex and</w:t>
      </w:r>
      <w:r w:rsidR="00EF35E1" w:rsidRPr="00996710">
        <w:t xml:space="preserve"> data entry </w:t>
      </w:r>
      <w:r w:rsidR="00EF35E1">
        <w:t xml:space="preserve">was </w:t>
      </w:r>
      <w:r w:rsidR="00EF35E1" w:rsidRPr="00996710">
        <w:t xml:space="preserve">duplicative </w:t>
      </w:r>
      <w:r w:rsidR="00EF35E1">
        <w:t xml:space="preserve">because information was required in both </w:t>
      </w:r>
      <w:r w:rsidR="00EF35E1" w:rsidRPr="00996710">
        <w:t xml:space="preserve">electronic and paper-based systems. </w:t>
      </w:r>
      <w:r w:rsidR="00972742">
        <w:t xml:space="preserve">The administrative detail and processes can vary slightly for health services in other jurisdictions but generally still involve complex IT interfaces and duplicative data entry. </w:t>
      </w:r>
    </w:p>
    <w:p w14:paraId="16CDF375" w14:textId="230E864F" w:rsidR="00137DE0" w:rsidRPr="005D1EED" w:rsidRDefault="004B374E" w:rsidP="00394C1B">
      <w:pPr>
        <w:spacing w:after="0"/>
      </w:pPr>
      <w:r>
        <w:t xml:space="preserve">Across jurisdictions </w:t>
      </w:r>
      <w:r w:rsidR="00137DE0">
        <w:t xml:space="preserve">administration staff </w:t>
      </w:r>
      <w:r>
        <w:t>may be required to</w:t>
      </w:r>
      <w:r w:rsidR="00137DE0">
        <w:t>:</w:t>
      </w:r>
    </w:p>
    <w:p w14:paraId="760196AF" w14:textId="0DF75AA9" w:rsidR="00137DE0" w:rsidRDefault="00137DE0" w:rsidP="00137DE0">
      <w:pPr>
        <w:pStyle w:val="ListBullet"/>
      </w:pPr>
      <w:r>
        <w:t>collect patient details (name, address, age)</w:t>
      </w:r>
    </w:p>
    <w:p w14:paraId="655DB9EB" w14:textId="581B87B9" w:rsidR="006A6416" w:rsidRDefault="006A6416" w:rsidP="006A6416">
      <w:pPr>
        <w:pStyle w:val="ListBullet"/>
      </w:pPr>
      <w:r>
        <w:t>assess Medicare eligibility (particularly important at some sites with large numbers of tourists passing through town) and record the Medicare number</w:t>
      </w:r>
    </w:p>
    <w:p w14:paraId="05537C45" w14:textId="77777777" w:rsidR="00137DE0" w:rsidRDefault="00137DE0" w:rsidP="00137DE0">
      <w:pPr>
        <w:pStyle w:val="ListBullet"/>
      </w:pPr>
      <w:r>
        <w:t>transfer case details from the hospital patient administration system and ED clinical management system (where treating doctors recorded their notes about the nature of their clinical intervention) into the Medicare billing system</w:t>
      </w:r>
    </w:p>
    <w:p w14:paraId="6ED327B3" w14:textId="0B566482" w:rsidR="00137DE0" w:rsidRDefault="00137DE0" w:rsidP="00137DE0">
      <w:pPr>
        <w:pStyle w:val="ListBullet"/>
      </w:pPr>
      <w:r>
        <w:t xml:space="preserve">allocate an MBS item number, and </w:t>
      </w:r>
    </w:p>
    <w:p w14:paraId="35A6E68E" w14:textId="1AAA94EF" w:rsidR="00137DE0" w:rsidRDefault="00137DE0" w:rsidP="00137DE0">
      <w:pPr>
        <w:pStyle w:val="ListBullet"/>
      </w:pPr>
      <w:r>
        <w:t>depending on local protocols</w:t>
      </w:r>
      <w:r w:rsidR="00EC12A8">
        <w:t xml:space="preserve">, </w:t>
      </w:r>
      <w:r>
        <w:t xml:space="preserve">submit the claim directly to Services Australia or the LHN billing team, for verification and lodgement. </w:t>
      </w:r>
    </w:p>
    <w:p w14:paraId="5EE7980C" w14:textId="07BD08A3" w:rsidR="00137DE0" w:rsidRDefault="00137DE0" w:rsidP="00137DE0">
      <w:r>
        <w:t>Medicare billing processes were not optimised at all sites</w:t>
      </w:r>
      <w:r w:rsidR="006A6416">
        <w:t>. T</w:t>
      </w:r>
      <w:r>
        <w:t>here was scope to increase the number of items claimed at some, but not all, sites</w:t>
      </w:r>
      <w:r w:rsidR="006A6416">
        <w:t>, due to</w:t>
      </w:r>
      <w:r>
        <w:t xml:space="preserve">: </w:t>
      </w:r>
    </w:p>
    <w:p w14:paraId="75C0E29E" w14:textId="1CF029B3" w:rsidR="00137DE0" w:rsidRDefault="00137DE0" w:rsidP="00137DE0">
      <w:pPr>
        <w:pStyle w:val="ListBullet"/>
      </w:pPr>
      <w:r>
        <w:t xml:space="preserve">doctors having limited knowledge of MBS. This was especially the case for </w:t>
      </w:r>
      <w:r w:rsidRPr="008C3F48">
        <w:t xml:space="preserve">junior doctors who were often more </w:t>
      </w:r>
      <w:r w:rsidR="00A32F7F">
        <w:t>focus</w:t>
      </w:r>
      <w:r w:rsidRPr="008C3F48">
        <w:t>ed on developing t</w:t>
      </w:r>
      <w:r>
        <w:t xml:space="preserve">heir </w:t>
      </w:r>
      <w:r w:rsidRPr="008C3F48">
        <w:t>clinical skills</w:t>
      </w:r>
      <w:r>
        <w:t>, rather than conforming with administrative requirements</w:t>
      </w:r>
    </w:p>
    <w:p w14:paraId="03C2B493" w14:textId="0A14E180" w:rsidR="00137DE0" w:rsidRDefault="00137DE0" w:rsidP="00394C1B">
      <w:pPr>
        <w:pStyle w:val="ListBullet"/>
        <w:spacing w:after="0"/>
      </w:pPr>
      <w:r>
        <w:t>miss</w:t>
      </w:r>
      <w:r w:rsidR="00394C1B">
        <w:t>ed</w:t>
      </w:r>
      <w:r>
        <w:t xml:space="preserve"> opportunities to bill for </w:t>
      </w:r>
      <w:r w:rsidR="00394C1B">
        <w:t xml:space="preserve">extra </w:t>
      </w:r>
      <w:r>
        <w:t>items within a consult because they were</w:t>
      </w:r>
      <w:r w:rsidR="00761996">
        <w:t>:</w:t>
      </w:r>
      <w:r>
        <w:t xml:space="preserve"> </w:t>
      </w:r>
    </w:p>
    <w:p w14:paraId="5F96118A" w14:textId="61B4B252" w:rsidR="00137DE0" w:rsidRDefault="00137DE0" w:rsidP="00137DE0">
      <w:pPr>
        <w:pStyle w:val="ListBullet2"/>
      </w:pPr>
      <w:r>
        <w:t>too busy</w:t>
      </w:r>
      <w:r w:rsidR="00826F36">
        <w:t xml:space="preserve"> in ED</w:t>
      </w:r>
    </w:p>
    <w:p w14:paraId="1B2BC66F" w14:textId="053FF762" w:rsidR="00137DE0" w:rsidRDefault="00137DE0" w:rsidP="00137DE0">
      <w:pPr>
        <w:pStyle w:val="ListBullet2"/>
      </w:pPr>
      <w:r>
        <w:t xml:space="preserve">had limited interest or incentive to bill where they were already paid under state awards or VMO arrangements </w:t>
      </w:r>
    </w:p>
    <w:p w14:paraId="796847FE" w14:textId="24EAD3F4" w:rsidR="00137DE0" w:rsidRDefault="00137DE0" w:rsidP="00137DE0">
      <w:pPr>
        <w:pStyle w:val="ListBullet2"/>
      </w:pPr>
      <w:r>
        <w:t>delays in obtaining provider numbers</w:t>
      </w:r>
      <w:r w:rsidR="00394C1B">
        <w:t xml:space="preserve"> </w:t>
      </w:r>
      <w:r>
        <w:t>for locums and junior doctors</w:t>
      </w:r>
    </w:p>
    <w:p w14:paraId="309ED9E7" w14:textId="77777777" w:rsidR="00137DE0" w:rsidRDefault="00137DE0" w:rsidP="00137DE0">
      <w:pPr>
        <w:pStyle w:val="ListBullet2"/>
      </w:pPr>
      <w:r>
        <w:t>turnover of locums not familiar with local MBS billing processes, and</w:t>
      </w:r>
    </w:p>
    <w:p w14:paraId="591A4BDB" w14:textId="68731D73" w:rsidR="00137DE0" w:rsidRDefault="00137DE0" w:rsidP="00137DE0">
      <w:pPr>
        <w:pStyle w:val="ListBullet2"/>
        <w:spacing w:after="0"/>
      </w:pPr>
      <w:r>
        <w:t>no administrative support in after</w:t>
      </w:r>
      <w:r w:rsidR="00F97F43">
        <w:t>-</w:t>
      </w:r>
      <w:r>
        <w:t>hours periods.</w:t>
      </w:r>
    </w:p>
    <w:p w14:paraId="60DD01B3" w14:textId="77777777" w:rsidR="00137DE0" w:rsidRPr="00801334" w:rsidRDefault="00137DE0" w:rsidP="00137DE0">
      <w:pPr>
        <w:pStyle w:val="ListBullet"/>
      </w:pPr>
      <w:r>
        <w:lastRenderedPageBreak/>
        <w:t xml:space="preserve">resistance by </w:t>
      </w:r>
      <w:r w:rsidRPr="00801334">
        <w:t>hospital staff and other stakeholders concerned that billing Medicare was double dipping</w:t>
      </w:r>
    </w:p>
    <w:p w14:paraId="19971482" w14:textId="279FBB2A" w:rsidR="00137DE0" w:rsidRPr="00801334" w:rsidRDefault="00137DE0" w:rsidP="00137DE0">
      <w:pPr>
        <w:pStyle w:val="ListBullet"/>
      </w:pPr>
      <w:r>
        <w:t>l</w:t>
      </w:r>
      <w:r w:rsidRPr="00801334">
        <w:t>imited sharing of information between LHNs</w:t>
      </w:r>
      <w:r>
        <w:t xml:space="preserve"> within some jurisdictions</w:t>
      </w:r>
      <w:r w:rsidRPr="00801334">
        <w:t xml:space="preserve"> (NSW</w:t>
      </w:r>
      <w:r>
        <w:t xml:space="preserve"> and </w:t>
      </w:r>
      <w:r w:rsidRPr="00801334">
        <w:t>Queensland) to develop improved administrative processes</w:t>
      </w:r>
      <w:r w:rsidR="00D76435">
        <w:t xml:space="preserve">, i.e. </w:t>
      </w:r>
      <w:r w:rsidRPr="00801334">
        <w:t>each site has developed their own approach</w:t>
      </w:r>
      <w:r>
        <w:t xml:space="preserve"> to collecting data and checking </w:t>
      </w:r>
      <w:r w:rsidR="006A6416">
        <w:t xml:space="preserve">claim </w:t>
      </w:r>
      <w:r>
        <w:t>veracity</w:t>
      </w:r>
    </w:p>
    <w:p w14:paraId="53FA88F5" w14:textId="0A642D2E" w:rsidR="00137DE0" w:rsidRPr="00801334" w:rsidRDefault="00137DE0" w:rsidP="00137DE0">
      <w:pPr>
        <w:pStyle w:val="ListBullet"/>
      </w:pPr>
      <w:r>
        <w:t>v</w:t>
      </w:r>
      <w:r w:rsidRPr="00801334">
        <w:t xml:space="preserve">ariation between sites in requesting/requiring patients to sign </w:t>
      </w:r>
      <w:r w:rsidR="005076A0">
        <w:t>bulk bill claims forms (</w:t>
      </w:r>
      <w:r w:rsidRPr="00801334">
        <w:t>DB4</w:t>
      </w:r>
      <w:r w:rsidR="005076A0">
        <w:t>)</w:t>
      </w:r>
      <w:r w:rsidR="00B23528">
        <w:t>; t</w:t>
      </w:r>
      <w:r w:rsidRPr="00801334">
        <w:t>he requirement to sign had been waived due to COVID</w:t>
      </w:r>
      <w:r w:rsidR="00B23528">
        <w:t>-19</w:t>
      </w:r>
      <w:r w:rsidRPr="00801334">
        <w:t xml:space="preserve"> but it was unclear how long this would continue</w:t>
      </w:r>
      <w:r w:rsidR="00761996">
        <w:t>, and</w:t>
      </w:r>
    </w:p>
    <w:p w14:paraId="4D64EEA7" w14:textId="4FE65EEA" w:rsidR="00137DE0" w:rsidRDefault="00137DE0" w:rsidP="00137DE0">
      <w:pPr>
        <w:pStyle w:val="ListBullet"/>
      </w:pPr>
      <w:r>
        <w:t xml:space="preserve">variation between sites in requiring doctors to complete the DB4. There were instances where the revenue clerk completed the form based on the ED record, while in other locations the revenue clerk checked the ED record and added additional items that the doctor may have </w:t>
      </w:r>
      <w:r w:rsidR="00065C89">
        <w:t>missed and</w:t>
      </w:r>
      <w:r>
        <w:t xml:space="preserve"> asked the doctor to check and sign.</w:t>
      </w:r>
    </w:p>
    <w:p w14:paraId="570973EB" w14:textId="77777777" w:rsidR="0049653D" w:rsidRDefault="0049653D" w:rsidP="00FF6B6D">
      <w:pPr>
        <w:sectPr w:rsidR="0049653D" w:rsidSect="00857213">
          <w:pgSz w:w="16838" w:h="11906" w:orient="landscape" w:code="9"/>
          <w:pgMar w:top="737" w:right="1304" w:bottom="1134" w:left="737" w:header="567" w:footer="284" w:gutter="0"/>
          <w:cols w:num="2" w:space="708"/>
          <w:docGrid w:linePitch="360"/>
        </w:sectPr>
      </w:pPr>
    </w:p>
    <w:p w14:paraId="4CF35C6D" w14:textId="17D810CE" w:rsidR="0049653D" w:rsidRDefault="0049653D" w:rsidP="00FF6B6D"/>
    <w:p w14:paraId="66BF75E5" w14:textId="1BAF95B8" w:rsidR="00FF6B6D" w:rsidRDefault="0049653D" w:rsidP="0049653D">
      <w:pPr>
        <w:pStyle w:val="Caption"/>
      </w:pPr>
      <w:bookmarkStart w:id="125" w:name="_Ref73109750"/>
      <w:r>
        <w:t xml:space="preserve">Figure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D51D65">
        <w:t>.</w:t>
      </w:r>
      <w:r w:rsidR="00A67BE9">
        <w:fldChar w:fldCharType="begin"/>
      </w:r>
      <w:r w:rsidR="00A67BE9">
        <w:instrText xml:space="preserve"> SEQ Figure \* ARABIC \s 1 </w:instrText>
      </w:r>
      <w:r w:rsidR="00A67BE9">
        <w:fldChar w:fldCharType="separate"/>
      </w:r>
      <w:r w:rsidR="00C50B67">
        <w:rPr>
          <w:noProof/>
        </w:rPr>
        <w:t>1</w:t>
      </w:r>
      <w:r w:rsidR="00A67BE9">
        <w:rPr>
          <w:noProof/>
        </w:rPr>
        <w:fldChar w:fldCharType="end"/>
      </w:r>
      <w:bookmarkEnd w:id="125"/>
      <w:r>
        <w:rPr>
          <w:noProof/>
        </w:rPr>
        <w:t xml:space="preserve">: </w:t>
      </w:r>
      <w:r w:rsidRPr="00D943F0">
        <w:rPr>
          <w:rStyle w:val="Caption-notboldChar"/>
        </w:rPr>
        <w:t>Processes required to lodge an MBS claim under the Initiative, as applied at Kununurra Hospital, Western Australia</w:t>
      </w:r>
    </w:p>
    <w:p w14:paraId="4565962C" w14:textId="5DE4E451" w:rsidR="0049653D" w:rsidRDefault="004B374E" w:rsidP="00FF6B6D">
      <w:r>
        <w:rPr>
          <w:noProof/>
        </w:rPr>
        <w:drawing>
          <wp:inline distT="0" distB="0" distL="0" distR="0" wp14:anchorId="2108F819" wp14:editId="175384BD">
            <wp:extent cx="9470071" cy="3137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94416" cy="3145465"/>
                    </a:xfrm>
                    <a:prstGeom prst="rect">
                      <a:avLst/>
                    </a:prstGeom>
                    <a:noFill/>
                  </pic:spPr>
                </pic:pic>
              </a:graphicData>
            </a:graphic>
          </wp:inline>
        </w:drawing>
      </w:r>
    </w:p>
    <w:p w14:paraId="055B86C0" w14:textId="5E0FACED" w:rsidR="0049653D" w:rsidRPr="00CC2389" w:rsidRDefault="0049653D" w:rsidP="00FF6B6D">
      <w:pPr>
        <w:rPr>
          <w:sz w:val="18"/>
          <w:szCs w:val="18"/>
        </w:rPr>
      </w:pPr>
      <w:r w:rsidRPr="0049653D">
        <w:rPr>
          <w:sz w:val="18"/>
          <w:szCs w:val="18"/>
        </w:rPr>
        <w:t>Source: Kunu</w:t>
      </w:r>
      <w:r>
        <w:rPr>
          <w:sz w:val="18"/>
          <w:szCs w:val="18"/>
        </w:rPr>
        <w:t>nu</w:t>
      </w:r>
      <w:r w:rsidRPr="0049653D">
        <w:rPr>
          <w:sz w:val="18"/>
          <w:szCs w:val="18"/>
        </w:rPr>
        <w:t>rra Hospital case study</w:t>
      </w:r>
    </w:p>
    <w:p w14:paraId="595B2F91" w14:textId="77777777" w:rsidR="0049653D" w:rsidRDefault="0049653D" w:rsidP="00FF6B6D">
      <w:pPr>
        <w:sectPr w:rsidR="0049653D" w:rsidSect="0049653D">
          <w:pgSz w:w="16838" w:h="11906" w:orient="landscape" w:code="9"/>
          <w:pgMar w:top="737" w:right="1304" w:bottom="1134" w:left="737" w:header="567" w:footer="284" w:gutter="0"/>
          <w:cols w:space="708"/>
          <w:docGrid w:linePitch="360"/>
        </w:sectPr>
      </w:pPr>
    </w:p>
    <w:p w14:paraId="1FF6EFEC" w14:textId="288E8ED3" w:rsidR="005D1EED" w:rsidRDefault="005D1EED" w:rsidP="00DB2423">
      <w:r>
        <w:t xml:space="preserve">The case study analysis identified </w:t>
      </w:r>
      <w:r w:rsidR="007B5DB3">
        <w:t>relatively large levels of</w:t>
      </w:r>
      <w:r>
        <w:t xml:space="preserve"> administrati</w:t>
      </w:r>
      <w:r w:rsidR="007B5DB3">
        <w:t xml:space="preserve">ve staff </w:t>
      </w:r>
      <w:r w:rsidR="00EF35E1">
        <w:t xml:space="preserve">associated with the Initiative, </w:t>
      </w:r>
      <w:r>
        <w:t>rang</w:t>
      </w:r>
      <w:r w:rsidR="00EF35E1">
        <w:t xml:space="preserve">ing </w:t>
      </w:r>
      <w:r>
        <w:t>from 0.5</w:t>
      </w:r>
      <w:r w:rsidR="007B5DB3">
        <w:t xml:space="preserve"> FTE</w:t>
      </w:r>
      <w:r>
        <w:t xml:space="preserve"> to </w:t>
      </w:r>
      <w:r w:rsidR="007B5DB3">
        <w:t>2.2</w:t>
      </w:r>
      <w:r>
        <w:t xml:space="preserve"> FTE</w:t>
      </w:r>
      <w:r w:rsidR="00F83629">
        <w:t xml:space="preserve"> per site</w:t>
      </w:r>
      <w:r w:rsidR="00EF35E1">
        <w:t>.</w:t>
      </w:r>
      <w:r w:rsidR="005B758D">
        <w:t xml:space="preserve"> </w:t>
      </w:r>
      <w:r w:rsidR="00EF35E1">
        <w:t xml:space="preserve">The </w:t>
      </w:r>
      <w:r>
        <w:t>administrative staff</w:t>
      </w:r>
      <w:r w:rsidR="00B23528">
        <w:t>,</w:t>
      </w:r>
      <w:r w:rsidR="00EF35E1">
        <w:t xml:space="preserve"> in addition to</w:t>
      </w:r>
      <w:r>
        <w:t xml:space="preserve"> support</w:t>
      </w:r>
      <w:r w:rsidR="00F83629">
        <w:t xml:space="preserve">ing </w:t>
      </w:r>
      <w:r w:rsidR="00EF35E1">
        <w:t>the claims management processes</w:t>
      </w:r>
      <w:r w:rsidR="00B23528">
        <w:t>,</w:t>
      </w:r>
      <w:r w:rsidR="00EF35E1">
        <w:t xml:space="preserve"> would assist with reception duties </w:t>
      </w:r>
      <w:r>
        <w:t>a</w:t>
      </w:r>
      <w:r w:rsidR="00F83629">
        <w:t xml:space="preserve">nd </w:t>
      </w:r>
      <w:r>
        <w:t xml:space="preserve">patient </w:t>
      </w:r>
      <w:r w:rsidR="003726AD">
        <w:t>flow management (</w:t>
      </w:r>
      <w:r w:rsidR="00E72805">
        <w:t xml:space="preserve">e.g. </w:t>
      </w:r>
      <w:r w:rsidR="003726AD">
        <w:t>queuing in the waiting room)</w:t>
      </w:r>
      <w:r>
        <w:t xml:space="preserve">. </w:t>
      </w:r>
    </w:p>
    <w:p w14:paraId="5070C002" w14:textId="007F245A" w:rsidR="007B5DB3" w:rsidRDefault="007B5DB3" w:rsidP="007B5DB3">
      <w:r>
        <w:t>The NT health services sought to deal with th</w:t>
      </w:r>
      <w:r w:rsidR="00B56C23">
        <w:t>e administrative</w:t>
      </w:r>
      <w:r>
        <w:t xml:space="preserve"> complexity by providing support to all service delivery sites</w:t>
      </w:r>
      <w:r w:rsidR="00B56C23">
        <w:t xml:space="preserve"> operating a </w:t>
      </w:r>
      <w:r w:rsidR="00783742">
        <w:t>S19</w:t>
      </w:r>
      <w:r w:rsidR="00A07293">
        <w:t>(2)</w:t>
      </w:r>
      <w:r w:rsidR="00B56C23">
        <w:t xml:space="preserve"> exemption</w:t>
      </w:r>
      <w:r>
        <w:t>. Each health service (Top End and Central Australia) had a billing support team that trained new doctors and revenue clerks in MBS billing processes, reviewed claims</w:t>
      </w:r>
      <w:r w:rsidR="00F83629">
        <w:t xml:space="preserve"> and lodged them on behalf of the </w:t>
      </w:r>
      <w:r w:rsidR="00065C89">
        <w:t>site and</w:t>
      </w:r>
      <w:r>
        <w:t xml:space="preserve"> ensured that all new doctors received </w:t>
      </w:r>
      <w:r>
        <w:t>their prescriber numbers from Services Australia in a timely manner. These arrangements in the NT reflected:</w:t>
      </w:r>
    </w:p>
    <w:p w14:paraId="1082E4C5" w14:textId="4432BDF2" w:rsidR="007B5DB3" w:rsidRDefault="007B5DB3" w:rsidP="007B5DB3">
      <w:pPr>
        <w:pStyle w:val="ListBullet"/>
      </w:pPr>
      <w:r>
        <w:t>the large numbers of sites</w:t>
      </w:r>
      <w:r w:rsidR="00B56C23">
        <w:t xml:space="preserve"> in that jurisdiction</w:t>
      </w:r>
      <w:r>
        <w:t xml:space="preserve"> </w:t>
      </w:r>
      <w:r w:rsidR="00B56C23">
        <w:t xml:space="preserve">operating a </w:t>
      </w:r>
      <w:r w:rsidR="00783742">
        <w:t>S19</w:t>
      </w:r>
      <w:r w:rsidR="00A07293">
        <w:t>(2)</w:t>
      </w:r>
      <w:r>
        <w:t xml:space="preserve"> </w:t>
      </w:r>
      <w:r w:rsidR="00161315">
        <w:t xml:space="preserve">exemption </w:t>
      </w:r>
      <w:r>
        <w:t>(including both Initiative and RMBS exemption sites), and</w:t>
      </w:r>
    </w:p>
    <w:p w14:paraId="088F1D75" w14:textId="7C5B9F62" w:rsidR="007B5DB3" w:rsidRDefault="007B5DB3" w:rsidP="007B5DB3">
      <w:pPr>
        <w:pStyle w:val="ListBullet"/>
      </w:pPr>
      <w:r>
        <w:t>the revenue realised from the previous year was treated as a budget line item that facility managers were accountable for rea</w:t>
      </w:r>
      <w:r w:rsidR="00F83629">
        <w:t>ching</w:t>
      </w:r>
      <w:r>
        <w:t xml:space="preserve"> the following financial year.</w:t>
      </w:r>
      <w:r w:rsidR="00F83629">
        <w:t xml:space="preserve"> Facility managers received a monthly performance report on their site’s revenue </w:t>
      </w:r>
      <w:r w:rsidR="00B56C23">
        <w:t xml:space="preserve">billing </w:t>
      </w:r>
      <w:r w:rsidR="00F83629">
        <w:t xml:space="preserve">performance under the Initiative compared to </w:t>
      </w:r>
      <w:r w:rsidR="00B56C23">
        <w:t xml:space="preserve">a revenue </w:t>
      </w:r>
      <w:r w:rsidR="00F83629">
        <w:t>target.</w:t>
      </w:r>
    </w:p>
    <w:p w14:paraId="7569B458" w14:textId="04F9E0ED" w:rsidR="007B5DB3" w:rsidRDefault="007B5DB3" w:rsidP="007B5DB3">
      <w:r>
        <w:t>A similar central billing team functioned at WACHS, based in</w:t>
      </w:r>
      <w:r w:rsidR="00F97F43">
        <w:t xml:space="preserve"> </w:t>
      </w:r>
      <w:r w:rsidR="00EA35F3">
        <w:t>Bunbury</w:t>
      </w:r>
      <w:r>
        <w:t xml:space="preserve">. </w:t>
      </w:r>
    </w:p>
    <w:p w14:paraId="21A8EBE1" w14:textId="69BDF843" w:rsidR="00801334" w:rsidRDefault="00F66DEB" w:rsidP="00801334">
      <w:r>
        <w:lastRenderedPageBreak/>
        <w:t xml:space="preserve">The </w:t>
      </w:r>
      <w:r w:rsidR="002E7D11">
        <w:t>PMS</w:t>
      </w:r>
      <w:r>
        <w:t xml:space="preserve"> software supporting the lodgement of MBS claims varied between health services but included Medical Director (Queensland and Central Australia HS, Northern Territory), Communicare / River Medical (Queensland), and PCIS (Top End HS Northern Territory). In contrast, the NSW sites use the hospital based electronic medical record patient management module and the NSW Health Power Billing and Revenue Collection system to lodge MBS claims.</w:t>
      </w:r>
      <w:r w:rsidR="004D6A74">
        <w:t xml:space="preserve"> </w:t>
      </w:r>
    </w:p>
    <w:p w14:paraId="436B99C7" w14:textId="77777777" w:rsidR="00394C1B" w:rsidRDefault="00394C1B" w:rsidP="00394C1B">
      <w:r w:rsidRPr="00A10C4C">
        <w:t>The evaluation team undertook a sample survey (n=8) in two jurisdictions of the reasons that some sites listed on the Department as participating had not billed in the previous financial year (2019–20). These reasons included: variation in the local model of care (n=2) e.g. where the GP had changed their preference for where they consulted with patients  (from the hospital to private practice); the status of the facility had changed from a hospital to a community health service (n=1); delivery arrangements at the hospital had changed to a contracted provider from outside the town (n=6); and the non-reporting of revenue was a data extraction error by the LHN in the data submitted to the Department (n=1).</w:t>
      </w:r>
    </w:p>
    <w:p w14:paraId="63A15DF5" w14:textId="0FE4DE2D" w:rsidR="00E87779" w:rsidRDefault="00256BD2" w:rsidP="00E87779">
      <w:pPr>
        <w:pStyle w:val="Heading4"/>
      </w:pPr>
      <w:r>
        <w:t>MBS billing arrangements</w:t>
      </w:r>
      <w:r w:rsidR="00E87779">
        <w:t xml:space="preserve">: </w:t>
      </w:r>
      <w:r w:rsidR="00DE5CEB">
        <w:t>S</w:t>
      </w:r>
      <w:r w:rsidR="00E87779">
        <w:t>ummary assessment</w:t>
      </w:r>
    </w:p>
    <w:p w14:paraId="44402ACA" w14:textId="6E92F3EA" w:rsidR="00E87779" w:rsidRDefault="00E87779" w:rsidP="00E87779">
      <w:r>
        <w:t>Based on the analysis presented above</w:t>
      </w:r>
      <w:r w:rsidR="00B23528">
        <w:t>,</w:t>
      </w:r>
      <w:r>
        <w:t xml:space="preserve"> the evaluation team reached the following conclusions:</w:t>
      </w:r>
    </w:p>
    <w:p w14:paraId="33A16BA1" w14:textId="0CB3C6A9" w:rsidR="00E87779" w:rsidRDefault="00E87779" w:rsidP="001665A3">
      <w:pPr>
        <w:pStyle w:val="Finding"/>
      </w:pPr>
      <w:bookmarkStart w:id="126" w:name="_Hlk73445173"/>
      <w:r>
        <w:t>Observations</w:t>
      </w:r>
      <w:r w:rsidRPr="002E7D11">
        <w:t xml:space="preserve"> at case stud</w:t>
      </w:r>
      <w:r w:rsidR="00B23528">
        <w:t>y sites</w:t>
      </w:r>
      <w:r w:rsidRPr="002E7D11">
        <w:t xml:space="preserve"> found that processes </w:t>
      </w:r>
      <w:r w:rsidR="00256BD2">
        <w:t xml:space="preserve">used by Initiative sites </w:t>
      </w:r>
      <w:r w:rsidRPr="002E7D11">
        <w:t xml:space="preserve">to lodge a legally compliant MBS claim were extensive and contribute to explaining the high levels of </w:t>
      </w:r>
      <w:r>
        <w:t xml:space="preserve">site-level </w:t>
      </w:r>
      <w:r w:rsidRPr="002E7D11">
        <w:t>administration</w:t>
      </w:r>
      <w:r>
        <w:t xml:space="preserve"> costs. </w:t>
      </w:r>
      <w:r w:rsidRPr="002E7D11">
        <w:t xml:space="preserve">Site revenue officers </w:t>
      </w:r>
      <w:r>
        <w:t xml:space="preserve">must </w:t>
      </w:r>
      <w:r w:rsidRPr="002E7D11">
        <w:t>reconci</w:t>
      </w:r>
      <w:r>
        <w:t xml:space="preserve">le emergency department </w:t>
      </w:r>
      <w:r w:rsidRPr="002E7D11">
        <w:t>attendance lists against records in the hospital patient administration system and manually</w:t>
      </w:r>
      <w:r>
        <w:t xml:space="preserve"> – </w:t>
      </w:r>
      <w:r w:rsidRPr="002E7D11">
        <w:t>in all jurisdictions except NSW</w:t>
      </w:r>
      <w:r>
        <w:t xml:space="preserve"> –</w:t>
      </w:r>
      <w:r w:rsidRPr="002E7D11">
        <w:t xml:space="preserve"> re-enter the data in a separate MBS patient </w:t>
      </w:r>
      <w:r>
        <w:t xml:space="preserve">management / </w:t>
      </w:r>
      <w:r w:rsidRPr="002E7D11">
        <w:t>billing</w:t>
      </w:r>
      <w:r>
        <w:t xml:space="preserve"> </w:t>
      </w:r>
      <w:r w:rsidRPr="002E7D11">
        <w:t>system</w:t>
      </w:r>
      <w:r>
        <w:t xml:space="preserve"> (PMS)</w:t>
      </w:r>
      <w:r w:rsidRPr="002E7D11">
        <w:t xml:space="preserve">. High turnover of hospital doctors due to routine training rotations means constant attention is required to ensure </w:t>
      </w:r>
      <w:r>
        <w:t>new doctors</w:t>
      </w:r>
      <w:r w:rsidRPr="002E7D11">
        <w:t xml:space="preserve"> have a site-specific provider number issued by Services Australia. The extensive provision of urgen</w:t>
      </w:r>
      <w:r>
        <w:t>t</w:t>
      </w:r>
      <w:r w:rsidRPr="002E7D11">
        <w:t xml:space="preserve"> and emergency care </w:t>
      </w:r>
      <w:bookmarkStart w:id="127" w:name="_Hlk73444520"/>
      <w:r w:rsidRPr="002E7D11">
        <w:t>–</w:t>
      </w:r>
      <w:bookmarkEnd w:id="127"/>
      <w:r>
        <w:t xml:space="preserve"> </w:t>
      </w:r>
      <w:r w:rsidRPr="002E7D11">
        <w:t xml:space="preserve">involving large numbers of patient walk-ups </w:t>
      </w:r>
      <w:r>
        <w:t>that haven’t</w:t>
      </w:r>
      <w:r w:rsidRPr="002E7D11">
        <w:t xml:space="preserve"> previously attended the hospital –</w:t>
      </w:r>
      <w:r>
        <w:t xml:space="preserve"> produced large data entry </w:t>
      </w:r>
      <w:r w:rsidRPr="002E7D11">
        <w:t>volumes relating to patient personal details (name, address, ge</w:t>
      </w:r>
      <w:r>
        <w:t>nder</w:t>
      </w:r>
      <w:r w:rsidRPr="002E7D11">
        <w:t xml:space="preserve">, date of birth, </w:t>
      </w:r>
      <w:r w:rsidRPr="002E7D11">
        <w:t>Medicare number)</w:t>
      </w:r>
      <w:r>
        <w:t xml:space="preserve"> which must be accurately recorded in the PMS to avoid claims rejection</w:t>
      </w:r>
      <w:bookmarkEnd w:id="126"/>
      <w:r>
        <w:t>.</w:t>
      </w:r>
    </w:p>
    <w:p w14:paraId="176767FD" w14:textId="7F435013" w:rsidR="00801334" w:rsidRPr="004D6A74" w:rsidRDefault="00F449BA" w:rsidP="001665A3">
      <w:pPr>
        <w:pStyle w:val="Finding"/>
      </w:pPr>
      <w:r>
        <w:t>PMS</w:t>
      </w:r>
      <w:r w:rsidR="00F17A46">
        <w:t>s</w:t>
      </w:r>
      <w:r>
        <w:t xml:space="preserve"> used in general practice settings were standard at Initiative sites in NT and Queensland, but th</w:t>
      </w:r>
      <w:r w:rsidR="007E643D">
        <w:t>is</w:t>
      </w:r>
      <w:r>
        <w:t xml:space="preserve"> situation is not common in non-Initiative health services within those jurisdictions. As result, LHNs and/ or sites running the Initiative invest additional effort to ensure doctors experienced in using hospital-based patient administration systems are also familiar with the accurate use of PMSs. (NSW has an IT software package for MBS billing processes which is unique to that jurisdiction and leads to less administrative effort for ensuring MBS claims integrity).</w:t>
      </w:r>
    </w:p>
    <w:p w14:paraId="7BBE20C9" w14:textId="4E8C9E32" w:rsidR="00FF6B6D" w:rsidRDefault="00FF6B6D" w:rsidP="00CC2389">
      <w:pPr>
        <w:pStyle w:val="SectionTitle"/>
        <w:spacing w:before="360"/>
      </w:pPr>
      <w:bookmarkStart w:id="128" w:name="_Toc85203305"/>
      <w:r>
        <w:t>appropriateness</w:t>
      </w:r>
      <w:bookmarkEnd w:id="128"/>
    </w:p>
    <w:p w14:paraId="039DD469" w14:textId="1A1F83BF" w:rsidR="00256BD2" w:rsidRPr="00256BD2" w:rsidRDefault="00256BD2" w:rsidP="00256BD2">
      <w:pPr>
        <w:pStyle w:val="BodyCopy"/>
      </w:pPr>
      <w:r>
        <w:t>An evaluative assessment of appropriateness examines the underlying need for a program</w:t>
      </w:r>
      <w:r w:rsidR="009F6C23">
        <w:t xml:space="preserve">. </w:t>
      </w:r>
      <w:r>
        <w:t>In this part of the evaluation analysis we examine issues about the relationship between the access to MBS funding enabled by the Initiative Directions and the underlying needs for health services in rural and remote geographic areas.</w:t>
      </w:r>
    </w:p>
    <w:p w14:paraId="3CCAD1FC" w14:textId="4580E7EA" w:rsidR="00FF6B6D" w:rsidRDefault="00FF6B6D" w:rsidP="00CC2389">
      <w:pPr>
        <w:pStyle w:val="Heading2"/>
        <w:spacing w:before="240"/>
      </w:pPr>
      <w:bookmarkStart w:id="129" w:name="_Toc85203306"/>
      <w:r>
        <w:t xml:space="preserve">MBS </w:t>
      </w:r>
      <w:r w:rsidR="00EE4319">
        <w:t>c</w:t>
      </w:r>
      <w:r>
        <w:t>laim</w:t>
      </w:r>
      <w:r w:rsidR="009F7769">
        <w:t xml:space="preserve"> levels</w:t>
      </w:r>
      <w:r>
        <w:t xml:space="preserve"> </w:t>
      </w:r>
      <w:r w:rsidR="004F1B37">
        <w:t xml:space="preserve">not linked to underlying </w:t>
      </w:r>
      <w:r w:rsidR="006968C3">
        <w:t xml:space="preserve">population </w:t>
      </w:r>
      <w:r w:rsidR="004F1B37">
        <w:t>need</w:t>
      </w:r>
      <w:bookmarkEnd w:id="129"/>
      <w:r w:rsidR="004F1B37">
        <w:t xml:space="preserve"> </w:t>
      </w:r>
    </w:p>
    <w:p w14:paraId="479C0B12" w14:textId="2BFB9163" w:rsidR="008423AF" w:rsidRDefault="008423AF" w:rsidP="008423AF">
      <w:r w:rsidRPr="00AF3BEC">
        <w:t>Overall revenue derived from the Initiative was $</w:t>
      </w:r>
      <w:r>
        <w:t>13.6</w:t>
      </w:r>
      <w:r w:rsidRPr="00AF3BEC">
        <w:t xml:space="preserve"> m in 2019</w:t>
      </w:r>
      <w:r w:rsidR="00B23528">
        <w:t>–</w:t>
      </w:r>
      <w:r w:rsidRPr="00AF3BEC">
        <w:t>20 across the 9</w:t>
      </w:r>
      <w:r w:rsidR="005A54BF">
        <w:t>2</w:t>
      </w:r>
      <w:r w:rsidRPr="00AF3BEC">
        <w:t xml:space="preserve"> billing</w:t>
      </w:r>
      <w:r w:rsidR="00ED1630">
        <w:t xml:space="preserve"> sites</w:t>
      </w:r>
      <w:r w:rsidR="009F7769">
        <w:t xml:space="preserve"> in that financial year</w:t>
      </w:r>
      <w:r w:rsidRPr="00AF3BEC">
        <w:t>.</w:t>
      </w:r>
      <w:r w:rsidR="005B758D">
        <w:t xml:space="preserve"> </w:t>
      </w:r>
      <w:r w:rsidRPr="00AF3BEC">
        <w:t>However, there was a wide variation in the quantum of Medicare billing</w:t>
      </w:r>
      <w:r w:rsidR="00280E22">
        <w:t xml:space="preserve"> generated by </w:t>
      </w:r>
      <w:r w:rsidR="00CA6B81">
        <w:t xml:space="preserve">different </w:t>
      </w:r>
      <w:r w:rsidR="00280E22">
        <w:t>sites</w:t>
      </w:r>
      <w:r w:rsidR="00ED1630">
        <w:t>.</w:t>
      </w:r>
    </w:p>
    <w:p w14:paraId="40BDD300" w14:textId="237D667B" w:rsidR="008423AF" w:rsidRDefault="008423AF" w:rsidP="009F7769">
      <w:bookmarkStart w:id="130" w:name="_Hlk76034117"/>
      <w:r w:rsidRPr="00AF3BEC">
        <w:t>In 2019</w:t>
      </w:r>
      <w:r w:rsidR="00B23528">
        <w:t>–</w:t>
      </w:r>
      <w:r w:rsidRPr="00AF3BEC">
        <w:t>20 eight sites generated over $600</w:t>
      </w:r>
      <w:r w:rsidR="009F7769">
        <w:t>,000</w:t>
      </w:r>
      <w:r w:rsidR="00ED1630">
        <w:t xml:space="preserve"> in revenue each</w:t>
      </w:r>
      <w:r w:rsidRPr="00AF3BEC">
        <w:t xml:space="preserve"> (ranging from $0.600</w:t>
      </w:r>
      <w:r w:rsidR="009F7769">
        <w:t xml:space="preserve"> </w:t>
      </w:r>
      <w:r>
        <w:t>m</w:t>
      </w:r>
      <w:r w:rsidR="009F7769">
        <w:t>illion</w:t>
      </w:r>
      <w:r w:rsidRPr="00AF3BEC">
        <w:t xml:space="preserve"> (Fitzroy Crossing) to $</w:t>
      </w:r>
      <w:r w:rsidR="005A54BF">
        <w:t>1.043</w:t>
      </w:r>
      <w:r w:rsidR="009F7769">
        <w:t xml:space="preserve"> million</w:t>
      </w:r>
      <w:r w:rsidRPr="00AF3BEC">
        <w:t xml:space="preserve"> (</w:t>
      </w:r>
      <w:r w:rsidR="005A54BF">
        <w:t>Derby</w:t>
      </w:r>
      <w:r w:rsidRPr="00AF3BEC">
        <w:t>)</w:t>
      </w:r>
      <w:r w:rsidR="005A54BF">
        <w:t>)</w:t>
      </w:r>
      <w:r w:rsidR="00B23528">
        <w:t>.</w:t>
      </w:r>
    </w:p>
    <w:p w14:paraId="4D546D5B" w14:textId="2DB788BB" w:rsidR="008423AF" w:rsidRDefault="00B56C23" w:rsidP="008423AF">
      <w:pPr>
        <w:pStyle w:val="ListBullet"/>
      </w:pPr>
      <w:r>
        <w:t>t</w:t>
      </w:r>
      <w:r w:rsidR="008423AF" w:rsidRPr="00AF3BEC">
        <w:t xml:space="preserve">hese eight sites accounted for </w:t>
      </w:r>
      <w:r w:rsidR="008423AF">
        <w:t>revenue of $6.3</w:t>
      </w:r>
      <w:r w:rsidR="00F97F43">
        <w:t xml:space="preserve"> </w:t>
      </w:r>
      <w:r w:rsidR="008423AF">
        <w:t>m</w:t>
      </w:r>
      <w:r w:rsidR="009F7769">
        <w:t>illion</w:t>
      </w:r>
      <w:r w:rsidR="00CA6B81">
        <w:t xml:space="preserve"> under the Initiative</w:t>
      </w:r>
      <w:r w:rsidR="008423AF">
        <w:t xml:space="preserve">, </w:t>
      </w:r>
      <w:r w:rsidR="008423AF" w:rsidRPr="00AF3BEC">
        <w:t xml:space="preserve">more than 45% of total </w:t>
      </w:r>
      <w:r w:rsidR="00280E22">
        <w:t>funds</w:t>
      </w:r>
      <w:r w:rsidR="008423AF" w:rsidRPr="00AF3BEC">
        <w:t xml:space="preserve"> generated</w:t>
      </w:r>
      <w:r w:rsidR="00CA6B81">
        <w:t>, and</w:t>
      </w:r>
    </w:p>
    <w:p w14:paraId="3AF42B67" w14:textId="0BE30FA4" w:rsidR="008423AF" w:rsidRDefault="00B56C23" w:rsidP="008423AF">
      <w:pPr>
        <w:pStyle w:val="ListBullet"/>
      </w:pPr>
      <w:r>
        <w:t>t</w:t>
      </w:r>
      <w:r w:rsidR="008423AF" w:rsidRPr="00AF3BEC">
        <w:t xml:space="preserve">hree </w:t>
      </w:r>
      <w:r w:rsidR="008423AF">
        <w:t xml:space="preserve">of these </w:t>
      </w:r>
      <w:r w:rsidR="008423AF" w:rsidRPr="00AF3BEC">
        <w:t>sites were in WA, four in Queensland and one in N</w:t>
      </w:r>
      <w:r w:rsidR="00CA6B81">
        <w:t>T.</w:t>
      </w:r>
    </w:p>
    <w:p w14:paraId="492F4314" w14:textId="24AB7044" w:rsidR="008423AF" w:rsidRDefault="008423AF" w:rsidP="008423AF">
      <w:r>
        <w:t>The mean revenue for the other 85 sites with under $0.6</w:t>
      </w:r>
      <w:r w:rsidR="00F97F43">
        <w:t xml:space="preserve"> </w:t>
      </w:r>
      <w:r>
        <w:t>m</w:t>
      </w:r>
      <w:r w:rsidR="009F7769">
        <w:t>illion</w:t>
      </w:r>
      <w:r>
        <w:t xml:space="preserve"> in revenue was $85,702 in 2019</w:t>
      </w:r>
      <w:r w:rsidR="000816D8">
        <w:t>–</w:t>
      </w:r>
      <w:r>
        <w:t>20</w:t>
      </w:r>
      <w:r w:rsidR="00ED1630">
        <w:t>,</w:t>
      </w:r>
      <w:r>
        <w:t xml:space="preserve"> a relatively low level of </w:t>
      </w:r>
      <w:r w:rsidR="00ED1630">
        <w:t xml:space="preserve">MBS </w:t>
      </w:r>
      <w:r>
        <w:t xml:space="preserve">top-up </w:t>
      </w:r>
      <w:r w:rsidR="00B56C23">
        <w:t>funding</w:t>
      </w:r>
      <w:bookmarkEnd w:id="130"/>
      <w:r w:rsidR="00CA6B81">
        <w:t>:</w:t>
      </w:r>
    </w:p>
    <w:p w14:paraId="388FAA98" w14:textId="7AFE2616" w:rsidR="005A54BF" w:rsidRDefault="005A54BF" w:rsidP="005A54BF">
      <w:pPr>
        <w:pStyle w:val="ListBullet"/>
      </w:pPr>
      <w:r>
        <w:lastRenderedPageBreak/>
        <w:t>i</w:t>
      </w:r>
      <w:r w:rsidRPr="00AF3BEC">
        <w:t xml:space="preserve">n NSW, the maximum amount of revenue generated </w:t>
      </w:r>
      <w:r>
        <w:t>by a site within the</w:t>
      </w:r>
      <w:r w:rsidRPr="00AF3BEC">
        <w:t xml:space="preserve"> state</w:t>
      </w:r>
      <w:r>
        <w:t xml:space="preserve"> </w:t>
      </w:r>
      <w:r w:rsidRPr="00AF3BEC">
        <w:t>was $</w:t>
      </w:r>
      <w:r>
        <w:t>0.</w:t>
      </w:r>
      <w:r w:rsidRPr="00AF3BEC">
        <w:t>303</w:t>
      </w:r>
      <w:r>
        <w:t xml:space="preserve"> m</w:t>
      </w:r>
      <w:r w:rsidR="009F7769">
        <w:t>illion</w:t>
      </w:r>
      <w:r>
        <w:t xml:space="preserve">; </w:t>
      </w:r>
      <w:r w:rsidRPr="005A54BF">
        <w:t xml:space="preserve">five sites </w:t>
      </w:r>
      <w:r>
        <w:t xml:space="preserve">in the state </w:t>
      </w:r>
      <w:r w:rsidRPr="005A54BF">
        <w:t>generated less than $10,000 (ranging from $76 to $7,036).</w:t>
      </w:r>
    </w:p>
    <w:p w14:paraId="364BED45" w14:textId="7D53F94C" w:rsidR="00ED1630" w:rsidRDefault="008423AF" w:rsidP="008423AF">
      <w:r>
        <w:t>This analysis highlights that revenue generating capacity under the Initiative is</w:t>
      </w:r>
      <w:r w:rsidR="00CA6B81">
        <w:t xml:space="preserve"> typically</w:t>
      </w:r>
      <w:r>
        <w:t xml:space="preserve"> linked to the number of salaried doctors at </w:t>
      </w:r>
      <w:r w:rsidR="00ED1630">
        <w:t>a</w:t>
      </w:r>
      <w:r>
        <w:t xml:space="preserve"> site</w:t>
      </w:r>
      <w:r w:rsidR="00ED1630">
        <w:t xml:space="preserve">, especially where there are larger </w:t>
      </w:r>
      <w:r w:rsidR="00EC12A8">
        <w:t>emergency departments</w:t>
      </w:r>
      <w:r w:rsidR="00ED1630">
        <w:t xml:space="preserve"> </w:t>
      </w:r>
      <w:r>
        <w:t>–</w:t>
      </w:r>
      <w:r w:rsidR="00ED1630">
        <w:t xml:space="preserve"> as in </w:t>
      </w:r>
      <w:r w:rsidR="00B56C23">
        <w:t xml:space="preserve">the </w:t>
      </w:r>
      <w:r w:rsidR="00ED1630">
        <w:t>bigger MMM 5 to 7 towns in WA, NT and Queensland.</w:t>
      </w:r>
    </w:p>
    <w:p w14:paraId="533E182C" w14:textId="39FE9FCE" w:rsidR="00ED1630" w:rsidRDefault="00652783" w:rsidP="008423AF">
      <w:r>
        <w:t xml:space="preserve">The models of care that </w:t>
      </w:r>
      <w:r w:rsidR="008423AF">
        <w:t>operat</w:t>
      </w:r>
      <w:r>
        <w:t xml:space="preserve">e within the context of the </w:t>
      </w:r>
      <w:r w:rsidR="008423AF">
        <w:t>GP VMO arrangements (as in NSW)</w:t>
      </w:r>
      <w:r w:rsidR="00ED1630">
        <w:t xml:space="preserve"> generate relatively less MBS revenue for their sites under the Initiative</w:t>
      </w:r>
      <w:r>
        <w:t>, because the doctors are not salaried and operating extended hour</w:t>
      </w:r>
      <w:r w:rsidR="000816D8">
        <w:t>s</w:t>
      </w:r>
      <w:r>
        <w:t xml:space="preserve"> or 24</w:t>
      </w:r>
      <w:r w:rsidR="000816D8">
        <w:t>-</w:t>
      </w:r>
      <w:r>
        <w:t>hour emergency departments (as in Queensland and the Northern Territory).</w:t>
      </w:r>
    </w:p>
    <w:p w14:paraId="33D49F8E" w14:textId="04B8F0C8" w:rsidR="009A1314" w:rsidRPr="009A1314" w:rsidRDefault="009A1314" w:rsidP="009A1314">
      <w:r w:rsidRPr="009A1314">
        <w:t>An underpinning principle guiding the development and operation of the</w:t>
      </w:r>
      <w:r w:rsidR="00652783">
        <w:t xml:space="preserve"> Initiative</w:t>
      </w:r>
      <w:r w:rsidRPr="009A1314">
        <w:t xml:space="preserve"> (as set out in the </w:t>
      </w:r>
      <w:r w:rsidR="00A32F7F">
        <w:t>MOU</w:t>
      </w:r>
      <w:r w:rsidRPr="009A1314">
        <w:t>) is that:</w:t>
      </w:r>
    </w:p>
    <w:p w14:paraId="7EF9E3E6" w14:textId="77777777" w:rsidR="009A1314" w:rsidRPr="009A1314" w:rsidRDefault="009A1314" w:rsidP="00652783">
      <w:pPr>
        <w:ind w:left="720"/>
        <w:rPr>
          <w:i/>
          <w:iCs/>
        </w:rPr>
      </w:pPr>
      <w:r w:rsidRPr="009A1314">
        <w:rPr>
          <w:i/>
          <w:iCs/>
        </w:rPr>
        <w:t xml:space="preserve">All Australians should have equitable access to appropriate and quality health care, throughout their lifetime, regardless of their place of residence within Australia. </w:t>
      </w:r>
    </w:p>
    <w:p w14:paraId="4A0B87E4" w14:textId="7C1A68E3" w:rsidR="008423AF" w:rsidRDefault="009A1314" w:rsidP="008423AF">
      <w:r w:rsidRPr="009A1314">
        <w:t xml:space="preserve">However, the </w:t>
      </w:r>
      <w:r w:rsidR="00256BD2">
        <w:t>nature of</w:t>
      </w:r>
      <w:r w:rsidRPr="009A1314">
        <w:t xml:space="preserve"> the </w:t>
      </w:r>
      <w:r w:rsidR="00652783">
        <w:t>Initiative</w:t>
      </w:r>
      <w:r w:rsidR="00256BD2">
        <w:t xml:space="preserve"> is that its design elements (i.e. approval to access the MBS)</w:t>
      </w:r>
      <w:r w:rsidR="00652783">
        <w:t xml:space="preserve"> </w:t>
      </w:r>
      <w:r w:rsidRPr="009A1314">
        <w:t xml:space="preserve">does not </w:t>
      </w:r>
      <w:r w:rsidR="00CC2389">
        <w:t xml:space="preserve">enable a direct link </w:t>
      </w:r>
      <w:r w:rsidRPr="009A1314">
        <w:t xml:space="preserve">between MBS revenue generation and </w:t>
      </w:r>
      <w:r w:rsidR="00CC2389">
        <w:t xml:space="preserve">the </w:t>
      </w:r>
      <w:r w:rsidRPr="009A1314">
        <w:t>underlying primary care need</w:t>
      </w:r>
      <w:r w:rsidR="00CC2389">
        <w:t>s of a community</w:t>
      </w:r>
      <w:r w:rsidRPr="009A1314">
        <w:t>. This</w:t>
      </w:r>
      <w:r w:rsidR="00CC2389">
        <w:t xml:space="preserve"> </w:t>
      </w:r>
      <w:r w:rsidR="000816D8">
        <w:t>lack</w:t>
      </w:r>
      <w:r w:rsidR="00CC2389">
        <w:t xml:space="preserve"> of linkage</w:t>
      </w:r>
      <w:r w:rsidRPr="009A1314">
        <w:t xml:space="preserve"> occurs because revenue generation</w:t>
      </w:r>
      <w:r w:rsidR="00CC2389">
        <w:t xml:space="preserve"> under the Initiative</w:t>
      </w:r>
      <w:r w:rsidRPr="009A1314">
        <w:t xml:space="preserve"> is </w:t>
      </w:r>
      <w:r w:rsidR="00CC2389">
        <w:t>mainly reliant on the</w:t>
      </w:r>
      <w:r w:rsidRPr="009A1314">
        <w:t xml:space="preserve"> availability of medical practitioners with provider numbers, with the quantum </w:t>
      </w:r>
      <w:r w:rsidR="00CC2389">
        <w:t xml:space="preserve">of MBS revenue </w:t>
      </w:r>
      <w:r w:rsidRPr="009A1314">
        <w:t xml:space="preserve">generated dependent on volume of services provided. Therefore, small remote communities without regular access to a medical practitioner will have very limited revenue generated but are likely to have high primary </w:t>
      </w:r>
      <w:r w:rsidR="00E419DC">
        <w:t>healthcare</w:t>
      </w:r>
      <w:r w:rsidRPr="009A1314">
        <w:t xml:space="preserve"> needs.</w:t>
      </w:r>
    </w:p>
    <w:p w14:paraId="1C36BDFC" w14:textId="4858C61D" w:rsidR="00394C1B" w:rsidRDefault="00394C1B" w:rsidP="008423AF"/>
    <w:p w14:paraId="10B5198F" w14:textId="37451F8E" w:rsidR="00394C1B" w:rsidRDefault="00394C1B" w:rsidP="008423AF"/>
    <w:p w14:paraId="71D85271" w14:textId="42B4AB24" w:rsidR="00394C1B" w:rsidRDefault="00394C1B" w:rsidP="008423AF"/>
    <w:p w14:paraId="281658AD" w14:textId="57B681BF" w:rsidR="00394C1B" w:rsidRDefault="00394C1B" w:rsidP="008423AF"/>
    <w:p w14:paraId="0F9C5854" w14:textId="77777777" w:rsidR="00394C1B" w:rsidRDefault="00394C1B" w:rsidP="008423AF"/>
    <w:p w14:paraId="2AA3067A" w14:textId="58DF2AC6" w:rsidR="00E87779" w:rsidRDefault="00E87779" w:rsidP="00CC2389">
      <w:pPr>
        <w:pStyle w:val="Heading4"/>
        <w:spacing w:before="240"/>
      </w:pPr>
      <w:bookmarkStart w:id="131" w:name="_Hlk75840663"/>
      <w:r>
        <w:t xml:space="preserve">Link of Initiative to underlying population need: </w:t>
      </w:r>
      <w:r w:rsidR="00DE5CEB">
        <w:t>S</w:t>
      </w:r>
      <w:r>
        <w:t>ummary assessment</w:t>
      </w:r>
    </w:p>
    <w:p w14:paraId="4B3C4452" w14:textId="070E9CD3" w:rsidR="00E87779" w:rsidRDefault="00E87779" w:rsidP="00CC2389">
      <w:pPr>
        <w:spacing w:after="0"/>
      </w:pPr>
      <w:r>
        <w:t>Based on the analysis presented above</w:t>
      </w:r>
      <w:r w:rsidR="000816D8">
        <w:t>,</w:t>
      </w:r>
      <w:r>
        <w:t xml:space="preserve"> the evaluation team reached the following conclusions:</w:t>
      </w:r>
    </w:p>
    <w:bookmarkEnd w:id="131"/>
    <w:p w14:paraId="247B2C60" w14:textId="5463DEC3" w:rsidR="008423AF" w:rsidRDefault="00652783" w:rsidP="001665A3">
      <w:pPr>
        <w:pStyle w:val="Finding"/>
      </w:pPr>
      <w:r>
        <w:t>Funding contributions to different sites resulting from the Initiative can be internally inequitable within the program</w:t>
      </w:r>
      <w:r w:rsidRPr="00D55FCC">
        <w:t xml:space="preserve"> </w:t>
      </w:r>
      <w:r>
        <w:t xml:space="preserve">arrangements </w:t>
      </w:r>
      <w:r w:rsidRPr="00991467">
        <w:t>–</w:t>
      </w:r>
      <w:r>
        <w:t xml:space="preserve"> </w:t>
      </w:r>
      <w:r w:rsidRPr="00991467">
        <w:t xml:space="preserve">larger sites with more salaried doctors have a greater ability to </w:t>
      </w:r>
      <w:r>
        <w:t xml:space="preserve">undertake MBS billing. This characteristic highlights a program design </w:t>
      </w:r>
      <w:r w:rsidR="00CC2389">
        <w:t>characteristic</w:t>
      </w:r>
      <w:r>
        <w:t xml:space="preserve"> of the Initiative; MBS revenues of a site are </w:t>
      </w:r>
      <w:r w:rsidRPr="00D55FCC">
        <w:t xml:space="preserve">not </w:t>
      </w:r>
      <w:r>
        <w:t xml:space="preserve">directly </w:t>
      </w:r>
      <w:r w:rsidRPr="00D55FCC">
        <w:t>linked to underlying health needs</w:t>
      </w:r>
      <w:r w:rsidR="00CC2389">
        <w:t xml:space="preserve"> of a community</w:t>
      </w:r>
      <w:r w:rsidRPr="00D55FCC">
        <w:t>.</w:t>
      </w:r>
      <w:r>
        <w:t xml:space="preserve"> T</w:t>
      </w:r>
      <w:r w:rsidRPr="00991467">
        <w:t>here</w:t>
      </w:r>
      <w:r>
        <w:t xml:space="preserve"> is</w:t>
      </w:r>
      <w:r w:rsidRPr="00991467">
        <w:t xml:space="preserve"> limited capacity to address th</w:t>
      </w:r>
      <w:r w:rsidR="004538DC">
        <w:t>is</w:t>
      </w:r>
      <w:r>
        <w:t xml:space="preserve"> program characteristi</w:t>
      </w:r>
      <w:r w:rsidR="00CC2389">
        <w:t>c –</w:t>
      </w:r>
      <w:r>
        <w:t xml:space="preserve"> the foundation of the Initiative </w:t>
      </w:r>
      <w:r w:rsidR="00CC2389">
        <w:t>is</w:t>
      </w:r>
      <w:r>
        <w:t xml:space="preserve"> </w:t>
      </w:r>
      <w:r w:rsidR="00CC2389">
        <w:t xml:space="preserve">primarily as a top-up to funding, enabled by access to </w:t>
      </w:r>
      <w:r>
        <w:t>MBS billing.</w:t>
      </w:r>
      <w:r w:rsidR="00CC2389">
        <w:t xml:space="preserve"> Communities and health service providers need to access other funding sources to address local </w:t>
      </w:r>
      <w:r w:rsidR="00E419DC">
        <w:t>healthcare</w:t>
      </w:r>
      <w:r w:rsidR="00CC2389">
        <w:t xml:space="preserve"> needs in a more targeted way, including programs administered or commissioned by PHNs, RWAs</w:t>
      </w:r>
      <w:r w:rsidR="004538DC">
        <w:t>, aged care funding,</w:t>
      </w:r>
      <w:r w:rsidR="00CC2389">
        <w:t xml:space="preserve"> and locally based service </w:t>
      </w:r>
      <w:r w:rsidR="004538DC">
        <w:t xml:space="preserve">delivered by local </w:t>
      </w:r>
      <w:r w:rsidR="00CC2389">
        <w:t>providers such as local government and LHNs.</w:t>
      </w:r>
    </w:p>
    <w:p w14:paraId="1F2920E5" w14:textId="3254A611" w:rsidR="001A2100" w:rsidRDefault="00263F92" w:rsidP="00CC2389">
      <w:pPr>
        <w:pStyle w:val="Heading2"/>
        <w:spacing w:before="360" w:after="120"/>
      </w:pPr>
      <w:bookmarkStart w:id="132" w:name="_Toc85203307"/>
      <w:r>
        <w:t>O</w:t>
      </w:r>
      <w:r w:rsidR="001A2100" w:rsidRPr="009A1314">
        <w:t>ng</w:t>
      </w:r>
      <w:r w:rsidR="001A2100">
        <w:t>oing barriers to care</w:t>
      </w:r>
      <w:bookmarkEnd w:id="132"/>
    </w:p>
    <w:p w14:paraId="0CBFAD5B" w14:textId="2966353D" w:rsidR="009A1314" w:rsidRDefault="00394C1B" w:rsidP="00A65E9C">
      <w:r>
        <w:t>The concept of a</w:t>
      </w:r>
      <w:r w:rsidR="009A1314" w:rsidRPr="009A1314">
        <w:t xml:space="preserve">ccess to </w:t>
      </w:r>
      <w:r w:rsidR="00E419DC">
        <w:t>healthcare</w:t>
      </w:r>
      <w:r w:rsidR="009A1314" w:rsidRPr="009A1314">
        <w:t xml:space="preserve"> can be </w:t>
      </w:r>
      <w:r>
        <w:t xml:space="preserve">described </w:t>
      </w:r>
      <w:r w:rsidR="009A1314" w:rsidRPr="009A1314">
        <w:t xml:space="preserve">as the potential ease with which consumers can obtain </w:t>
      </w:r>
      <w:r w:rsidR="00E419DC">
        <w:t>healthcare</w:t>
      </w:r>
      <w:r w:rsidR="0017629F">
        <w:t xml:space="preserve">. </w:t>
      </w:r>
      <w:r w:rsidR="00FA2076">
        <w:t xml:space="preserve">Access in a </w:t>
      </w:r>
      <w:r w:rsidR="00E419DC">
        <w:t>healthcare</w:t>
      </w:r>
      <w:r w:rsidR="00FA2076">
        <w:t xml:space="preserve"> context</w:t>
      </w:r>
      <w:r w:rsidR="009A1314" w:rsidRPr="009A1314">
        <w:t xml:space="preserve"> is a complex and multidimensional concept. Disaggregation of the concept into </w:t>
      </w:r>
      <w:r w:rsidR="00FA2076">
        <w:t>a range of</w:t>
      </w:r>
      <w:r w:rsidR="009A1314" w:rsidRPr="009A1314">
        <w:t xml:space="preserve"> dimensions </w:t>
      </w:r>
      <w:r w:rsidR="00FA2076">
        <w:t xml:space="preserve">is </w:t>
      </w:r>
      <w:r w:rsidR="009A1314" w:rsidRPr="009A1314">
        <w:t xml:space="preserve">outlined </w:t>
      </w:r>
      <w:r w:rsidR="0017629F">
        <w:t xml:space="preserve">in </w:t>
      </w:r>
      <w:r w:rsidR="00D943F0">
        <w:fldChar w:fldCharType="begin"/>
      </w:r>
      <w:r w:rsidR="00D943F0">
        <w:instrText xml:space="preserve"> REF _Ref73109818 \h </w:instrText>
      </w:r>
      <w:r w:rsidR="00D943F0">
        <w:fldChar w:fldCharType="separate"/>
      </w:r>
      <w:r w:rsidR="00C50B67">
        <w:t xml:space="preserve">Table </w:t>
      </w:r>
      <w:r w:rsidR="00C50B67">
        <w:rPr>
          <w:noProof/>
        </w:rPr>
        <w:t>4</w:t>
      </w:r>
      <w:r w:rsidR="00C50B67">
        <w:t>.</w:t>
      </w:r>
      <w:r w:rsidR="00C50B67">
        <w:rPr>
          <w:noProof/>
        </w:rPr>
        <w:t>9</w:t>
      </w:r>
      <w:r w:rsidR="00D943F0">
        <w:fldChar w:fldCharType="end"/>
      </w:r>
      <w:r w:rsidR="00FA2076">
        <w:t xml:space="preserve">. This </w:t>
      </w:r>
      <w:r>
        <w:t xml:space="preserve">more granular description </w:t>
      </w:r>
      <w:r w:rsidR="009A1314" w:rsidRPr="009A1314">
        <w:t xml:space="preserve">allows policy makers and health service organisations </w:t>
      </w:r>
      <w:r w:rsidR="00A65E9C">
        <w:t xml:space="preserve">to </w:t>
      </w:r>
      <w:r w:rsidR="009A1314" w:rsidRPr="009A1314">
        <w:t xml:space="preserve">identify key questions to be addressed in the planning and delivery of services to ensure optimal access to </w:t>
      </w:r>
      <w:r w:rsidR="00E419DC">
        <w:t>healthcare</w:t>
      </w:r>
      <w:r w:rsidR="009A1314" w:rsidRPr="009A1314">
        <w:t xml:space="preserve"> for </w:t>
      </w:r>
      <w:r w:rsidR="00FA2076">
        <w:t xml:space="preserve">Australians living in regional, </w:t>
      </w:r>
      <w:r w:rsidR="009A1314" w:rsidRPr="009A1314">
        <w:t>rural</w:t>
      </w:r>
      <w:r w:rsidR="00FA2076">
        <w:t xml:space="preserve"> and</w:t>
      </w:r>
      <w:r w:rsidR="009A1314" w:rsidRPr="009A1314">
        <w:t xml:space="preserve"> remote </w:t>
      </w:r>
      <w:r w:rsidR="00FA2076">
        <w:t>areas.</w:t>
      </w:r>
    </w:p>
    <w:p w14:paraId="1F6ECF2B" w14:textId="5B64C114" w:rsidR="00394C1B" w:rsidRDefault="00394C1B" w:rsidP="00A65E9C"/>
    <w:p w14:paraId="435004A4" w14:textId="60FEE0FA" w:rsidR="00394C1B" w:rsidRDefault="00394C1B" w:rsidP="00A65E9C"/>
    <w:p w14:paraId="2D09BAED" w14:textId="6C364407" w:rsidR="00394C1B" w:rsidRDefault="00394C1B" w:rsidP="00A65E9C"/>
    <w:p w14:paraId="78DCAFF5" w14:textId="77777777" w:rsidR="00394C1B" w:rsidRDefault="00394C1B" w:rsidP="00A65E9C"/>
    <w:p w14:paraId="020D6D0A" w14:textId="1A9038F4" w:rsidR="00A65E9C" w:rsidRPr="009A1314" w:rsidRDefault="0094091A" w:rsidP="00CC2389">
      <w:pPr>
        <w:pStyle w:val="Caption"/>
        <w:spacing w:before="120"/>
      </w:pPr>
      <w:bookmarkStart w:id="133" w:name="_Ref73109818"/>
      <w:r>
        <w:lastRenderedPageBreak/>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9</w:t>
      </w:r>
      <w:r w:rsidR="00A67BE9">
        <w:rPr>
          <w:noProof/>
        </w:rPr>
        <w:fldChar w:fldCharType="end"/>
      </w:r>
      <w:bookmarkEnd w:id="133"/>
      <w:r>
        <w:t xml:space="preserve">: </w:t>
      </w:r>
      <w:r w:rsidRPr="00D943F0">
        <w:rPr>
          <w:rStyle w:val="Caption-notboldChar"/>
        </w:rPr>
        <w:t xml:space="preserve">Defining access to </w:t>
      </w:r>
      <w:r w:rsidR="00E419DC">
        <w:rPr>
          <w:rStyle w:val="Caption-notboldChar"/>
        </w:rPr>
        <w:t>healthcare</w:t>
      </w:r>
      <w:r w:rsidRPr="00D943F0">
        <w:rPr>
          <w:rStyle w:val="Caption-notboldChar"/>
        </w:rPr>
        <w:t xml:space="preserve"> </w:t>
      </w:r>
      <w:r w:rsidR="00D943F0" w:rsidRPr="00D943F0">
        <w:rPr>
          <w:rStyle w:val="Caption-notboldChar"/>
        </w:rPr>
        <w:t xml:space="preserve">– </w:t>
      </w:r>
      <w:r w:rsidRPr="00D943F0">
        <w:rPr>
          <w:rStyle w:val="Caption-notboldChar"/>
        </w:rPr>
        <w:t>key conce</w:t>
      </w:r>
      <w:r w:rsidR="0017629F" w:rsidRPr="00D943F0">
        <w:rPr>
          <w:rStyle w:val="Caption-notboldChar"/>
        </w:rPr>
        <w:t>p</w:t>
      </w:r>
      <w:r w:rsidRPr="00D943F0">
        <w:rPr>
          <w:rStyle w:val="Caption-notboldChar"/>
        </w:rPr>
        <w:t>ts</w:t>
      </w:r>
    </w:p>
    <w:tbl>
      <w:tblPr>
        <w:tblStyle w:val="HMATableB1"/>
        <w:tblW w:w="7513" w:type="dxa"/>
        <w:tblLook w:val="04A0" w:firstRow="1" w:lastRow="0" w:firstColumn="1" w:lastColumn="0" w:noHBand="0" w:noVBand="1"/>
      </w:tblPr>
      <w:tblGrid>
        <w:gridCol w:w="1545"/>
        <w:gridCol w:w="3020"/>
        <w:gridCol w:w="2948"/>
      </w:tblGrid>
      <w:tr w:rsidR="00A65E9C" w:rsidRPr="00570F57" w14:paraId="399F5F74" w14:textId="77777777" w:rsidTr="00394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948D9A" w14:textId="37EE82D5" w:rsidR="00A65E9C" w:rsidRPr="00570F57" w:rsidRDefault="00A65E9C" w:rsidP="009A1314">
            <w:pPr>
              <w:spacing w:after="0"/>
              <w:jc w:val="right"/>
              <w:rPr>
                <w:rFonts w:eastAsia="MS Gothic" w:cs="Times New Roman"/>
                <w:bCs/>
                <w:caps w:val="0"/>
                <w:spacing w:val="0"/>
                <w:sz w:val="18"/>
                <w:szCs w:val="18"/>
              </w:rPr>
            </w:pPr>
            <w:r w:rsidRPr="00570F57">
              <w:rPr>
                <w:rFonts w:eastAsia="MS Gothic" w:cs="Times New Roman"/>
                <w:bCs/>
                <w:spacing w:val="0"/>
                <w:sz w:val="18"/>
                <w:szCs w:val="18"/>
              </w:rPr>
              <w:t>Access dimensions</w:t>
            </w:r>
          </w:p>
        </w:tc>
        <w:tc>
          <w:tcPr>
            <w:tcW w:w="5773" w:type="dxa"/>
            <w:gridSpan w:val="2"/>
          </w:tcPr>
          <w:p w14:paraId="02094B6E" w14:textId="2EF658F9" w:rsidR="00A65E9C" w:rsidRPr="00570F57" w:rsidRDefault="00A65E9C" w:rsidP="009A1314">
            <w:pPr>
              <w:spacing w:after="0"/>
              <w:jc w:val="center"/>
              <w:cnfStyle w:val="100000000000" w:firstRow="1" w:lastRow="0" w:firstColumn="0" w:lastColumn="0" w:oddVBand="0" w:evenVBand="0" w:oddHBand="0" w:evenHBand="0" w:firstRowFirstColumn="0" w:firstRowLastColumn="0" w:lastRowFirstColumn="0" w:lastRowLastColumn="0"/>
              <w:rPr>
                <w:rFonts w:eastAsia="MS Gothic" w:cs="Times New Roman"/>
                <w:bCs/>
                <w:i/>
                <w:iCs/>
                <w:spacing w:val="0"/>
                <w:sz w:val="18"/>
                <w:szCs w:val="18"/>
              </w:rPr>
            </w:pPr>
            <w:r w:rsidRPr="00570F57">
              <w:rPr>
                <w:rFonts w:eastAsia="MS Gothic" w:cs="Times New Roman"/>
                <w:bCs/>
                <w:i/>
                <w:iCs/>
                <w:spacing w:val="0"/>
                <w:sz w:val="18"/>
                <w:szCs w:val="18"/>
              </w:rPr>
              <w:t>Definition</w:t>
            </w:r>
            <w:r w:rsidR="00570F57">
              <w:rPr>
                <w:rFonts w:eastAsia="MS Gothic" w:cs="Times New Roman"/>
                <w:bCs/>
                <w:i/>
                <w:iCs/>
                <w:spacing w:val="0"/>
                <w:sz w:val="18"/>
                <w:szCs w:val="18"/>
              </w:rPr>
              <w:t>s</w:t>
            </w:r>
          </w:p>
        </w:tc>
      </w:tr>
      <w:tr w:rsidR="00A65E9C" w:rsidRPr="00570F57" w14:paraId="67B542C5" w14:textId="77777777" w:rsidTr="00394C1B">
        <w:tc>
          <w:tcPr>
            <w:cnfStyle w:val="001000000000" w:firstRow="0" w:lastRow="0" w:firstColumn="1" w:lastColumn="0" w:oddVBand="0" w:evenVBand="0" w:oddHBand="0" w:evenHBand="0" w:firstRowFirstColumn="0" w:firstRowLastColumn="0" w:lastRowFirstColumn="0" w:lastRowLastColumn="0"/>
            <w:tcW w:w="0" w:type="auto"/>
            <w:vMerge/>
          </w:tcPr>
          <w:p w14:paraId="321DAA3A" w14:textId="165AE421" w:rsidR="00A65E9C" w:rsidRPr="00570F57" w:rsidRDefault="00A65E9C" w:rsidP="009A1314">
            <w:pPr>
              <w:spacing w:after="0"/>
              <w:jc w:val="right"/>
              <w:rPr>
                <w:rFonts w:ascii="Century Gothic" w:eastAsia="MS Gothic" w:hAnsi="Century Gothic" w:cs="Times New Roman"/>
                <w:i/>
                <w:iCs/>
                <w:spacing w:val="0"/>
                <w:sz w:val="18"/>
                <w:szCs w:val="18"/>
              </w:rPr>
            </w:pPr>
          </w:p>
        </w:tc>
        <w:tc>
          <w:tcPr>
            <w:tcW w:w="0" w:type="auto"/>
          </w:tcPr>
          <w:p w14:paraId="37184FAF" w14:textId="77777777" w:rsidR="00A65E9C" w:rsidRPr="00570F57" w:rsidRDefault="00A65E9C" w:rsidP="009A1314">
            <w:pPr>
              <w:spacing w:after="0"/>
              <w:cnfStyle w:val="000000000000" w:firstRow="0" w:lastRow="0" w:firstColumn="0" w:lastColumn="0" w:oddVBand="0" w:evenVBand="0" w:oddHBand="0" w:evenHBand="0" w:firstRowFirstColumn="0" w:firstRowLastColumn="0" w:lastRowFirstColumn="0" w:lastRowLastColumn="0"/>
              <w:rPr>
                <w:rFonts w:eastAsia="MS Gothic" w:cs="Times New Roman"/>
                <w:bCs/>
                <w:spacing w:val="0"/>
                <w:sz w:val="18"/>
                <w:szCs w:val="18"/>
              </w:rPr>
            </w:pPr>
            <w:r w:rsidRPr="00570F57">
              <w:rPr>
                <w:rFonts w:eastAsia="Calibri" w:cs="Times New Roman"/>
                <w:bCs/>
                <w:spacing w:val="0"/>
                <w:sz w:val="18"/>
                <w:szCs w:val="18"/>
              </w:rPr>
              <w:t>Health system characteristics</w:t>
            </w:r>
          </w:p>
        </w:tc>
        <w:tc>
          <w:tcPr>
            <w:tcW w:w="2948" w:type="dxa"/>
          </w:tcPr>
          <w:p w14:paraId="3AB5B388" w14:textId="77777777" w:rsidR="00A65E9C" w:rsidRPr="00570F57" w:rsidRDefault="00A65E9C" w:rsidP="009A1314">
            <w:pPr>
              <w:spacing w:after="0"/>
              <w:cnfStyle w:val="000000000000" w:firstRow="0" w:lastRow="0" w:firstColumn="0" w:lastColumn="0" w:oddVBand="0" w:evenVBand="0" w:oddHBand="0" w:evenHBand="0" w:firstRowFirstColumn="0" w:firstRowLastColumn="0" w:lastRowFirstColumn="0" w:lastRowLastColumn="0"/>
              <w:rPr>
                <w:rFonts w:eastAsia="Calibri" w:cs="Times New Roman"/>
                <w:bCs/>
                <w:spacing w:val="0"/>
                <w:sz w:val="18"/>
                <w:szCs w:val="18"/>
              </w:rPr>
            </w:pPr>
            <w:r w:rsidRPr="00570F57">
              <w:rPr>
                <w:rFonts w:eastAsia="Calibri" w:cs="Times New Roman"/>
                <w:bCs/>
                <w:spacing w:val="0"/>
                <w:sz w:val="18"/>
                <w:szCs w:val="18"/>
              </w:rPr>
              <w:t>Population characteristics</w:t>
            </w:r>
          </w:p>
        </w:tc>
      </w:tr>
      <w:tr w:rsidR="009A1314" w:rsidRPr="00570F57" w14:paraId="7D6E61AC" w14:textId="77777777" w:rsidTr="00394C1B">
        <w:tc>
          <w:tcPr>
            <w:cnfStyle w:val="001000000000" w:firstRow="0" w:lastRow="0" w:firstColumn="1" w:lastColumn="0" w:oddVBand="0" w:evenVBand="0" w:oddHBand="0" w:evenHBand="0" w:firstRowFirstColumn="0" w:firstRowLastColumn="0" w:lastRowFirstColumn="0" w:lastRowLastColumn="0"/>
            <w:tcW w:w="0" w:type="auto"/>
          </w:tcPr>
          <w:p w14:paraId="2FCF5BA8" w14:textId="77777777" w:rsidR="009A1314" w:rsidRPr="00570F57" w:rsidRDefault="009A1314" w:rsidP="00A65E9C">
            <w:pPr>
              <w:pStyle w:val="TableCopy"/>
              <w:rPr>
                <w:sz w:val="18"/>
                <w:szCs w:val="18"/>
              </w:rPr>
            </w:pPr>
            <w:r w:rsidRPr="00570F57">
              <w:rPr>
                <w:sz w:val="18"/>
                <w:szCs w:val="18"/>
              </w:rPr>
              <w:t>Availability</w:t>
            </w:r>
          </w:p>
        </w:tc>
        <w:tc>
          <w:tcPr>
            <w:tcW w:w="0" w:type="auto"/>
          </w:tcPr>
          <w:p w14:paraId="40FBF893" w14:textId="1DADC122"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w:t>
            </w:r>
            <w:r w:rsidR="009A1314" w:rsidRPr="00570F57">
              <w:rPr>
                <w:sz w:val="18"/>
                <w:szCs w:val="18"/>
              </w:rPr>
              <w:t>olume and type of services</w:t>
            </w:r>
          </w:p>
          <w:p w14:paraId="1D7BF041" w14:textId="77777777" w:rsidR="009A1314" w:rsidRPr="00570F57" w:rsidRDefault="009A1314"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p>
        </w:tc>
        <w:tc>
          <w:tcPr>
            <w:tcW w:w="2948" w:type="dxa"/>
          </w:tcPr>
          <w:p w14:paraId="36BCA0B7" w14:textId="36AACCE5"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w:t>
            </w:r>
            <w:r w:rsidR="009A1314" w:rsidRPr="00570F57">
              <w:rPr>
                <w:sz w:val="18"/>
                <w:szCs w:val="18"/>
              </w:rPr>
              <w:t>olume and type of service the population needs</w:t>
            </w:r>
          </w:p>
        </w:tc>
      </w:tr>
      <w:tr w:rsidR="009A1314" w:rsidRPr="00570F57" w14:paraId="7AECACC3" w14:textId="77777777" w:rsidTr="00394C1B">
        <w:tc>
          <w:tcPr>
            <w:cnfStyle w:val="001000000000" w:firstRow="0" w:lastRow="0" w:firstColumn="1" w:lastColumn="0" w:oddVBand="0" w:evenVBand="0" w:oddHBand="0" w:evenHBand="0" w:firstRowFirstColumn="0" w:firstRowLastColumn="0" w:lastRowFirstColumn="0" w:lastRowLastColumn="0"/>
            <w:tcW w:w="0" w:type="auto"/>
          </w:tcPr>
          <w:p w14:paraId="0EA5F17C" w14:textId="77777777" w:rsidR="009A1314" w:rsidRPr="00570F57" w:rsidRDefault="009A1314" w:rsidP="00A65E9C">
            <w:pPr>
              <w:pStyle w:val="TableCopy"/>
              <w:rPr>
                <w:sz w:val="18"/>
                <w:szCs w:val="18"/>
              </w:rPr>
            </w:pPr>
            <w:r w:rsidRPr="00570F57">
              <w:rPr>
                <w:sz w:val="18"/>
                <w:szCs w:val="18"/>
              </w:rPr>
              <w:t>Geography</w:t>
            </w:r>
          </w:p>
        </w:tc>
        <w:tc>
          <w:tcPr>
            <w:tcW w:w="0" w:type="auto"/>
          </w:tcPr>
          <w:p w14:paraId="0F2DC80A" w14:textId="77777777" w:rsidR="009A1314" w:rsidRPr="00570F57" w:rsidRDefault="009A1314"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sidRPr="00570F57">
              <w:rPr>
                <w:sz w:val="18"/>
                <w:szCs w:val="18"/>
              </w:rPr>
              <w:t>Proximity of providers to consumers</w:t>
            </w:r>
          </w:p>
        </w:tc>
        <w:tc>
          <w:tcPr>
            <w:tcW w:w="2948" w:type="dxa"/>
          </w:tcPr>
          <w:p w14:paraId="6A5FDEA1" w14:textId="7A13CEEF"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w:t>
            </w:r>
            <w:r w:rsidR="009A1314" w:rsidRPr="00570F57">
              <w:rPr>
                <w:sz w:val="18"/>
                <w:szCs w:val="18"/>
              </w:rPr>
              <w:t>ase with which the population can transcend this space</w:t>
            </w:r>
          </w:p>
        </w:tc>
      </w:tr>
      <w:tr w:rsidR="009A1314" w:rsidRPr="00570F57" w14:paraId="10D0A688" w14:textId="77777777" w:rsidTr="00394C1B">
        <w:tc>
          <w:tcPr>
            <w:cnfStyle w:val="001000000000" w:firstRow="0" w:lastRow="0" w:firstColumn="1" w:lastColumn="0" w:oddVBand="0" w:evenVBand="0" w:oddHBand="0" w:evenHBand="0" w:firstRowFirstColumn="0" w:firstRowLastColumn="0" w:lastRowFirstColumn="0" w:lastRowLastColumn="0"/>
            <w:tcW w:w="0" w:type="auto"/>
          </w:tcPr>
          <w:p w14:paraId="64ACB2B8" w14:textId="77777777" w:rsidR="009A1314" w:rsidRPr="00570F57" w:rsidRDefault="009A1314" w:rsidP="00A65E9C">
            <w:pPr>
              <w:pStyle w:val="TableCopy"/>
              <w:rPr>
                <w:sz w:val="18"/>
                <w:szCs w:val="18"/>
              </w:rPr>
            </w:pPr>
            <w:r w:rsidRPr="00570F57">
              <w:rPr>
                <w:sz w:val="18"/>
                <w:szCs w:val="18"/>
              </w:rPr>
              <w:t>Affordability</w:t>
            </w:r>
          </w:p>
        </w:tc>
        <w:tc>
          <w:tcPr>
            <w:tcW w:w="0" w:type="auto"/>
          </w:tcPr>
          <w:p w14:paraId="50511CAD" w14:textId="28A691D5"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009A1314" w:rsidRPr="00570F57">
              <w:rPr>
                <w:sz w:val="18"/>
                <w:szCs w:val="18"/>
              </w:rPr>
              <w:t xml:space="preserve">irect and indirect costs of securing </w:t>
            </w:r>
            <w:r w:rsidR="00E419DC" w:rsidRPr="00570F57">
              <w:rPr>
                <w:sz w:val="18"/>
                <w:szCs w:val="18"/>
              </w:rPr>
              <w:t>healthcare</w:t>
            </w:r>
          </w:p>
        </w:tc>
        <w:tc>
          <w:tcPr>
            <w:tcW w:w="2948" w:type="dxa"/>
          </w:tcPr>
          <w:p w14:paraId="52C5FEE6" w14:textId="1C9C7DB1"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9A1314" w:rsidRPr="00570F57">
              <w:rPr>
                <w:sz w:val="18"/>
                <w:szCs w:val="18"/>
              </w:rPr>
              <w:t>onsumers</w:t>
            </w:r>
            <w:r>
              <w:rPr>
                <w:sz w:val="18"/>
                <w:szCs w:val="18"/>
              </w:rPr>
              <w:t>’</w:t>
            </w:r>
            <w:r w:rsidR="009A1314" w:rsidRPr="00570F57">
              <w:rPr>
                <w:sz w:val="18"/>
                <w:szCs w:val="18"/>
              </w:rPr>
              <w:t xml:space="preserve"> ability to meet the direct and indirect costs of </w:t>
            </w:r>
            <w:r w:rsidR="00E419DC" w:rsidRPr="00570F57">
              <w:rPr>
                <w:sz w:val="18"/>
                <w:szCs w:val="18"/>
              </w:rPr>
              <w:t>healthcare</w:t>
            </w:r>
          </w:p>
        </w:tc>
      </w:tr>
      <w:tr w:rsidR="009A1314" w:rsidRPr="00570F57" w14:paraId="19937BD8" w14:textId="77777777" w:rsidTr="00394C1B">
        <w:tc>
          <w:tcPr>
            <w:cnfStyle w:val="001000000000" w:firstRow="0" w:lastRow="0" w:firstColumn="1" w:lastColumn="0" w:oddVBand="0" w:evenVBand="0" w:oddHBand="0" w:evenHBand="0" w:firstRowFirstColumn="0" w:firstRowLastColumn="0" w:lastRowFirstColumn="0" w:lastRowLastColumn="0"/>
            <w:tcW w:w="0" w:type="auto"/>
          </w:tcPr>
          <w:p w14:paraId="2F91753E" w14:textId="77777777" w:rsidR="009A1314" w:rsidRPr="00570F57" w:rsidRDefault="009A1314" w:rsidP="00A65E9C">
            <w:pPr>
              <w:pStyle w:val="TableCopy"/>
              <w:rPr>
                <w:sz w:val="18"/>
                <w:szCs w:val="18"/>
              </w:rPr>
            </w:pPr>
            <w:r w:rsidRPr="00570F57">
              <w:rPr>
                <w:sz w:val="18"/>
                <w:szCs w:val="18"/>
              </w:rPr>
              <w:t>Accommodation</w:t>
            </w:r>
          </w:p>
        </w:tc>
        <w:tc>
          <w:tcPr>
            <w:tcW w:w="0" w:type="auto"/>
          </w:tcPr>
          <w:p w14:paraId="7A4B8A16" w14:textId="1E694AF3"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9A1314" w:rsidRPr="00570F57">
              <w:rPr>
                <w:sz w:val="18"/>
                <w:szCs w:val="18"/>
              </w:rPr>
              <w:t>anner in which the supply resources are organised</w:t>
            </w:r>
          </w:p>
        </w:tc>
        <w:tc>
          <w:tcPr>
            <w:tcW w:w="2948" w:type="dxa"/>
          </w:tcPr>
          <w:p w14:paraId="3EFD6188" w14:textId="10FAFCC5"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9A1314" w:rsidRPr="00570F57">
              <w:rPr>
                <w:sz w:val="18"/>
                <w:szCs w:val="18"/>
              </w:rPr>
              <w:t>onsumers</w:t>
            </w:r>
            <w:r>
              <w:rPr>
                <w:sz w:val="18"/>
                <w:szCs w:val="18"/>
              </w:rPr>
              <w:t>’</w:t>
            </w:r>
            <w:r w:rsidR="009A1314" w:rsidRPr="00570F57">
              <w:rPr>
                <w:sz w:val="18"/>
                <w:szCs w:val="18"/>
              </w:rPr>
              <w:t xml:space="preserve"> ability to contact, gain entry to and navigate the health system</w:t>
            </w:r>
          </w:p>
        </w:tc>
      </w:tr>
      <w:tr w:rsidR="009A1314" w:rsidRPr="00570F57" w14:paraId="24A334D8" w14:textId="77777777" w:rsidTr="00394C1B">
        <w:tc>
          <w:tcPr>
            <w:cnfStyle w:val="001000000000" w:firstRow="0" w:lastRow="0" w:firstColumn="1" w:lastColumn="0" w:oddVBand="0" w:evenVBand="0" w:oddHBand="0" w:evenHBand="0" w:firstRowFirstColumn="0" w:firstRowLastColumn="0" w:lastRowFirstColumn="0" w:lastRowLastColumn="0"/>
            <w:tcW w:w="0" w:type="auto"/>
          </w:tcPr>
          <w:p w14:paraId="4A02D45A" w14:textId="77777777" w:rsidR="009A1314" w:rsidRPr="00570F57" w:rsidRDefault="009A1314" w:rsidP="00A65E9C">
            <w:pPr>
              <w:pStyle w:val="TableCopy"/>
              <w:rPr>
                <w:sz w:val="18"/>
                <w:szCs w:val="18"/>
              </w:rPr>
            </w:pPr>
            <w:r w:rsidRPr="00570F57">
              <w:rPr>
                <w:sz w:val="18"/>
                <w:szCs w:val="18"/>
              </w:rPr>
              <w:t>Timeliness</w:t>
            </w:r>
          </w:p>
        </w:tc>
        <w:tc>
          <w:tcPr>
            <w:tcW w:w="0" w:type="auto"/>
          </w:tcPr>
          <w:p w14:paraId="69995417" w14:textId="5332CE43"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w:t>
            </w:r>
            <w:r w:rsidR="009A1314" w:rsidRPr="00570F57">
              <w:rPr>
                <w:sz w:val="18"/>
                <w:szCs w:val="18"/>
              </w:rPr>
              <w:t xml:space="preserve">ime until </w:t>
            </w:r>
            <w:r w:rsidR="00E419DC" w:rsidRPr="00570F57">
              <w:rPr>
                <w:sz w:val="18"/>
                <w:szCs w:val="18"/>
              </w:rPr>
              <w:t>healthcare</w:t>
            </w:r>
            <w:r w:rsidR="009A1314" w:rsidRPr="00570F57">
              <w:rPr>
                <w:sz w:val="18"/>
                <w:szCs w:val="18"/>
              </w:rPr>
              <w:t xml:space="preserve"> can be provided</w:t>
            </w:r>
          </w:p>
        </w:tc>
        <w:tc>
          <w:tcPr>
            <w:tcW w:w="2948" w:type="dxa"/>
          </w:tcPr>
          <w:p w14:paraId="3A3BD690" w14:textId="405F7065"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w:t>
            </w:r>
            <w:r w:rsidR="009A1314" w:rsidRPr="00570F57">
              <w:rPr>
                <w:sz w:val="18"/>
                <w:szCs w:val="18"/>
              </w:rPr>
              <w:t xml:space="preserve">rgency of the need for </w:t>
            </w:r>
            <w:r w:rsidR="00E419DC" w:rsidRPr="00570F57">
              <w:rPr>
                <w:sz w:val="18"/>
                <w:szCs w:val="18"/>
              </w:rPr>
              <w:t>healthcare</w:t>
            </w:r>
          </w:p>
        </w:tc>
      </w:tr>
      <w:tr w:rsidR="009A1314" w:rsidRPr="00570F57" w14:paraId="7190A257" w14:textId="77777777" w:rsidTr="00394C1B">
        <w:tc>
          <w:tcPr>
            <w:cnfStyle w:val="001000000000" w:firstRow="0" w:lastRow="0" w:firstColumn="1" w:lastColumn="0" w:oddVBand="0" w:evenVBand="0" w:oddHBand="0" w:evenHBand="0" w:firstRowFirstColumn="0" w:firstRowLastColumn="0" w:lastRowFirstColumn="0" w:lastRowLastColumn="0"/>
            <w:tcW w:w="0" w:type="auto"/>
          </w:tcPr>
          <w:p w14:paraId="242F16D7" w14:textId="77777777" w:rsidR="009A1314" w:rsidRPr="00570F57" w:rsidRDefault="009A1314" w:rsidP="00A65E9C">
            <w:pPr>
              <w:pStyle w:val="TableCopy"/>
              <w:rPr>
                <w:sz w:val="18"/>
                <w:szCs w:val="18"/>
              </w:rPr>
            </w:pPr>
            <w:r w:rsidRPr="00570F57">
              <w:rPr>
                <w:sz w:val="18"/>
                <w:szCs w:val="18"/>
              </w:rPr>
              <w:t>Acceptability</w:t>
            </w:r>
          </w:p>
        </w:tc>
        <w:tc>
          <w:tcPr>
            <w:tcW w:w="0" w:type="auto"/>
          </w:tcPr>
          <w:p w14:paraId="3D8BFDD0" w14:textId="27797E23"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r w:rsidR="009A1314" w:rsidRPr="00570F57">
              <w:rPr>
                <w:sz w:val="18"/>
                <w:szCs w:val="18"/>
              </w:rPr>
              <w:t>roviders</w:t>
            </w:r>
            <w:r>
              <w:rPr>
                <w:sz w:val="18"/>
                <w:szCs w:val="18"/>
              </w:rPr>
              <w:t>’</w:t>
            </w:r>
            <w:r w:rsidR="009A1314" w:rsidRPr="00570F57">
              <w:rPr>
                <w:sz w:val="18"/>
                <w:szCs w:val="18"/>
              </w:rPr>
              <w:t xml:space="preserve"> attitudes and beliefs about health and personal characteristics of consumers (e.g. age, gender, ethnicity, religion)</w:t>
            </w:r>
          </w:p>
        </w:tc>
        <w:tc>
          <w:tcPr>
            <w:tcW w:w="2948" w:type="dxa"/>
          </w:tcPr>
          <w:p w14:paraId="3E94E7E2" w14:textId="66D5DD0C"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9A1314" w:rsidRPr="00570F57">
              <w:rPr>
                <w:sz w:val="18"/>
                <w:szCs w:val="18"/>
              </w:rPr>
              <w:t>onsumers</w:t>
            </w:r>
            <w:r>
              <w:rPr>
                <w:sz w:val="18"/>
                <w:szCs w:val="18"/>
              </w:rPr>
              <w:t>’</w:t>
            </w:r>
            <w:r w:rsidR="009A1314" w:rsidRPr="00570F57">
              <w:rPr>
                <w:sz w:val="18"/>
                <w:szCs w:val="18"/>
              </w:rPr>
              <w:t xml:space="preserve"> attitudes and beliefs about health and personal and practice characteristics of providers</w:t>
            </w:r>
          </w:p>
        </w:tc>
      </w:tr>
      <w:tr w:rsidR="009A1314" w:rsidRPr="00570F57" w14:paraId="1F1E6549" w14:textId="77777777" w:rsidTr="00394C1B">
        <w:tc>
          <w:tcPr>
            <w:cnfStyle w:val="001000000000" w:firstRow="0" w:lastRow="0" w:firstColumn="1" w:lastColumn="0" w:oddVBand="0" w:evenVBand="0" w:oddHBand="0" w:evenHBand="0" w:firstRowFirstColumn="0" w:firstRowLastColumn="0" w:lastRowFirstColumn="0" w:lastRowLastColumn="0"/>
            <w:tcW w:w="0" w:type="auto"/>
          </w:tcPr>
          <w:p w14:paraId="54B0CA42" w14:textId="77777777" w:rsidR="009A1314" w:rsidRPr="00570F57" w:rsidRDefault="009A1314" w:rsidP="00A65E9C">
            <w:pPr>
              <w:pStyle w:val="TableCopy"/>
              <w:rPr>
                <w:sz w:val="18"/>
                <w:szCs w:val="18"/>
              </w:rPr>
            </w:pPr>
            <w:r w:rsidRPr="00570F57">
              <w:rPr>
                <w:sz w:val="18"/>
                <w:szCs w:val="18"/>
              </w:rPr>
              <w:t>Awareness</w:t>
            </w:r>
          </w:p>
        </w:tc>
        <w:tc>
          <w:tcPr>
            <w:tcW w:w="0" w:type="auto"/>
          </w:tcPr>
          <w:p w14:paraId="1D4C1A20" w14:textId="670DFB4E" w:rsidR="009A1314" w:rsidRPr="00570F57" w:rsidRDefault="00570F57"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9A1314" w:rsidRPr="00570F57">
              <w:rPr>
                <w:sz w:val="18"/>
                <w:szCs w:val="18"/>
              </w:rPr>
              <w:t>ommunication of health and health systems information to consumers</w:t>
            </w:r>
          </w:p>
        </w:tc>
        <w:tc>
          <w:tcPr>
            <w:tcW w:w="2948" w:type="dxa"/>
          </w:tcPr>
          <w:p w14:paraId="0B92F06E" w14:textId="080C5FA8" w:rsidR="009A1314" w:rsidRPr="00570F57" w:rsidRDefault="0008218C" w:rsidP="00A65E9C">
            <w:pPr>
              <w:pStyle w:val="Table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9A1314" w:rsidRPr="00570F57">
              <w:rPr>
                <w:sz w:val="18"/>
                <w:szCs w:val="18"/>
              </w:rPr>
              <w:t>onsumers</w:t>
            </w:r>
            <w:r>
              <w:rPr>
                <w:sz w:val="18"/>
                <w:szCs w:val="18"/>
              </w:rPr>
              <w:t>’</w:t>
            </w:r>
            <w:r w:rsidR="009A1314" w:rsidRPr="00570F57">
              <w:rPr>
                <w:sz w:val="18"/>
                <w:szCs w:val="18"/>
              </w:rPr>
              <w:t xml:space="preserve"> understanding of their health needs and knowledge of how to have these needs met</w:t>
            </w:r>
          </w:p>
        </w:tc>
      </w:tr>
    </w:tbl>
    <w:p w14:paraId="32F5665A" w14:textId="762FCF3A" w:rsidR="0017629F" w:rsidRPr="0017629F" w:rsidRDefault="0017629F" w:rsidP="0008218C">
      <w:pPr>
        <w:spacing w:after="80"/>
        <w:rPr>
          <w:sz w:val="20"/>
          <w:szCs w:val="20"/>
        </w:rPr>
      </w:pPr>
      <w:r w:rsidRPr="0017629F">
        <w:rPr>
          <w:sz w:val="20"/>
          <w:szCs w:val="20"/>
        </w:rPr>
        <w:t>See</w:t>
      </w:r>
      <w:r w:rsidR="00D943F0">
        <w:rPr>
          <w:sz w:val="20"/>
          <w:szCs w:val="20"/>
        </w:rPr>
        <w:t xml:space="preserve">: </w:t>
      </w:r>
      <w:r w:rsidR="00D943F0" w:rsidRPr="00D943F0">
        <w:rPr>
          <w:sz w:val="20"/>
          <w:szCs w:val="20"/>
        </w:rPr>
        <w:t>Helping policy makers address rural health access problems</w:t>
      </w:r>
      <w:r w:rsidRPr="0017629F">
        <w:rPr>
          <w:sz w:val="20"/>
          <w:szCs w:val="20"/>
        </w:rPr>
        <w:t xml:space="preserve"> </w:t>
      </w:r>
      <w:sdt>
        <w:sdtPr>
          <w:rPr>
            <w:sz w:val="20"/>
            <w:szCs w:val="20"/>
          </w:rPr>
          <w:id w:val="-1248264447"/>
          <w:citation/>
        </w:sdtPr>
        <w:sdtEndPr/>
        <w:sdtContent>
          <w:r w:rsidRPr="0017629F">
            <w:rPr>
              <w:sz w:val="20"/>
              <w:szCs w:val="20"/>
            </w:rPr>
            <w:fldChar w:fldCharType="begin"/>
          </w:r>
          <w:r w:rsidR="004B2C82">
            <w:rPr>
              <w:sz w:val="20"/>
              <w:szCs w:val="20"/>
            </w:rPr>
            <w:instrText xml:space="preserve">CITATION Rus13 \l 3081 </w:instrText>
          </w:r>
          <w:r w:rsidRPr="0017629F">
            <w:rPr>
              <w:sz w:val="20"/>
              <w:szCs w:val="20"/>
            </w:rPr>
            <w:fldChar w:fldCharType="separate"/>
          </w:r>
          <w:r w:rsidR="003E36C4" w:rsidRPr="003E36C4">
            <w:rPr>
              <w:noProof/>
              <w:sz w:val="20"/>
              <w:szCs w:val="20"/>
            </w:rPr>
            <w:t>[17]</w:t>
          </w:r>
          <w:r w:rsidRPr="0017629F">
            <w:rPr>
              <w:sz w:val="20"/>
              <w:szCs w:val="20"/>
            </w:rPr>
            <w:fldChar w:fldCharType="end"/>
          </w:r>
        </w:sdtContent>
      </w:sdt>
    </w:p>
    <w:p w14:paraId="20142DA2" w14:textId="2F4CF684" w:rsidR="00394C1B" w:rsidRDefault="0017629F" w:rsidP="00703EC1">
      <w:pPr>
        <w:spacing w:before="120"/>
        <w:sectPr w:rsidR="00394C1B" w:rsidSect="00060DDA">
          <w:type w:val="continuous"/>
          <w:pgSz w:w="16838" w:h="11906" w:orient="landscape" w:code="9"/>
          <w:pgMar w:top="737" w:right="1304" w:bottom="1134" w:left="737" w:header="567" w:footer="284" w:gutter="0"/>
          <w:cols w:num="2" w:space="708"/>
          <w:docGrid w:linePitch="360"/>
        </w:sectPr>
      </w:pPr>
      <w:r>
        <w:t xml:space="preserve">To </w:t>
      </w:r>
      <w:r w:rsidR="00FA2076">
        <w:t xml:space="preserve">summarise the underlying </w:t>
      </w:r>
      <w:r w:rsidR="00524323">
        <w:t xml:space="preserve">issues of </w:t>
      </w:r>
      <w:r w:rsidR="00FA2076">
        <w:t>access we encountered through our case studies</w:t>
      </w:r>
      <w:r w:rsidR="000816D8">
        <w:t>,</w:t>
      </w:r>
      <w:r w:rsidR="00FA2076">
        <w:t xml:space="preserve"> </w:t>
      </w:r>
      <w:r>
        <w:t>we compared the experience of the 10 case study sites against these access dimensions.</w:t>
      </w:r>
      <w:r w:rsidR="005B758D">
        <w:t xml:space="preserve"> </w:t>
      </w:r>
      <w:r>
        <w:t xml:space="preserve">Our observations about the frequency that these access dimensions </w:t>
      </w:r>
      <w:r w:rsidR="00524323">
        <w:t>are</w:t>
      </w:r>
      <w:r w:rsidR="00FA2076">
        <w:t xml:space="preserve"> </w:t>
      </w:r>
      <w:r>
        <w:t>a problem</w:t>
      </w:r>
      <w:r w:rsidR="003A13B6">
        <w:t xml:space="preserve"> at Initiative sites</w:t>
      </w:r>
      <w:r>
        <w:t xml:space="preserve"> </w:t>
      </w:r>
      <w:r w:rsidR="00FA2076">
        <w:t>is</w:t>
      </w:r>
      <w:r>
        <w:t xml:space="preserve"> summarised in </w:t>
      </w:r>
      <w:r w:rsidR="00D943F0">
        <w:fldChar w:fldCharType="begin"/>
      </w:r>
      <w:r w:rsidR="00D943F0">
        <w:instrText xml:space="preserve"> REF _Ref73109888 \h </w:instrText>
      </w:r>
      <w:r w:rsidR="00D943F0">
        <w:fldChar w:fldCharType="separate"/>
      </w:r>
      <w:r w:rsidR="00C50B67">
        <w:t xml:space="preserve">Table </w:t>
      </w:r>
      <w:r w:rsidR="00C50B67">
        <w:rPr>
          <w:noProof/>
        </w:rPr>
        <w:t>4</w:t>
      </w:r>
      <w:r w:rsidR="00C50B67">
        <w:t>.</w:t>
      </w:r>
      <w:r w:rsidR="00C50B67">
        <w:rPr>
          <w:noProof/>
        </w:rPr>
        <w:t>10</w:t>
      </w:r>
      <w:r w:rsidR="00D943F0">
        <w:fldChar w:fldCharType="end"/>
      </w:r>
      <w:r w:rsidR="00703EC1">
        <w:t xml:space="preserve"> on the next page</w:t>
      </w:r>
      <w:r>
        <w:t xml:space="preserve">. </w:t>
      </w:r>
    </w:p>
    <w:p w14:paraId="2C55DEEF" w14:textId="1DECCA28" w:rsidR="000C6256" w:rsidRDefault="000C6256" w:rsidP="00703EC1">
      <w:pPr>
        <w:spacing w:before="120"/>
      </w:pPr>
    </w:p>
    <w:p w14:paraId="6D8D6430" w14:textId="77777777" w:rsidR="000C6256" w:rsidRDefault="000C6256" w:rsidP="00A65E9C">
      <w:pPr>
        <w:spacing w:before="120"/>
        <w:sectPr w:rsidR="000C6256" w:rsidSect="00394C1B">
          <w:pgSz w:w="16838" w:h="11906" w:orient="landscape" w:code="9"/>
          <w:pgMar w:top="737" w:right="1304" w:bottom="1134" w:left="737" w:header="567" w:footer="284" w:gutter="0"/>
          <w:cols w:num="2" w:space="708"/>
          <w:docGrid w:linePitch="360"/>
        </w:sectPr>
      </w:pPr>
    </w:p>
    <w:p w14:paraId="4F67C24E" w14:textId="0BE69A6C" w:rsidR="00E55FF0" w:rsidRPr="009A1314" w:rsidRDefault="00761996" w:rsidP="000C6256">
      <w:pPr>
        <w:pStyle w:val="Caption"/>
        <w:spacing w:before="0"/>
      </w:pPr>
      <w:bookmarkStart w:id="134" w:name="_Ref73109888"/>
      <w:r>
        <w:t xml:space="preserve">Table </w:t>
      </w:r>
      <w:r w:rsidR="00A67BE9">
        <w:fldChar w:fldCharType="begin"/>
      </w:r>
      <w:r w:rsidR="00A67BE9">
        <w:instrText xml:space="preserve"> STYLEREF 1 \s </w:instrText>
      </w:r>
      <w:r w:rsidR="00A67BE9">
        <w:fldChar w:fldCharType="separate"/>
      </w:r>
      <w:r w:rsidR="00C50B67">
        <w:rPr>
          <w:noProof/>
        </w:rPr>
        <w:t>4</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10</w:t>
      </w:r>
      <w:r w:rsidR="00A67BE9">
        <w:rPr>
          <w:noProof/>
        </w:rPr>
        <w:fldChar w:fldCharType="end"/>
      </w:r>
      <w:bookmarkEnd w:id="134"/>
      <w:r>
        <w:t xml:space="preserve">: </w:t>
      </w:r>
      <w:r w:rsidRPr="00D943F0">
        <w:rPr>
          <w:rStyle w:val="Caption-notboldChar"/>
        </w:rPr>
        <w:t>Evaluator assessment of ongoing health service accessibility issues in case study sites</w:t>
      </w:r>
    </w:p>
    <w:tbl>
      <w:tblPr>
        <w:tblStyle w:val="HMATableA"/>
        <w:tblW w:w="0" w:type="auto"/>
        <w:tblLook w:val="04A0" w:firstRow="1" w:lastRow="0" w:firstColumn="1" w:lastColumn="0" w:noHBand="0" w:noVBand="1"/>
      </w:tblPr>
      <w:tblGrid>
        <w:gridCol w:w="1686"/>
        <w:gridCol w:w="9345"/>
        <w:gridCol w:w="3766"/>
      </w:tblGrid>
      <w:tr w:rsidR="00761996" w:rsidRPr="009A1314" w14:paraId="544BF8D6" w14:textId="77777777" w:rsidTr="00E55F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6E508AE" w14:textId="77777777" w:rsidR="009A1314" w:rsidRPr="00945983" w:rsidRDefault="009A1314" w:rsidP="00945983">
            <w:pPr>
              <w:pStyle w:val="TableCopy"/>
              <w:rPr>
                <w:b/>
                <w:bCs/>
              </w:rPr>
            </w:pPr>
            <w:r w:rsidRPr="00945983">
              <w:rPr>
                <w:b/>
                <w:bCs/>
              </w:rPr>
              <w:t>Dimension</w:t>
            </w:r>
          </w:p>
        </w:tc>
        <w:tc>
          <w:tcPr>
            <w:tcW w:w="0" w:type="auto"/>
          </w:tcPr>
          <w:p w14:paraId="6B8AC7C9" w14:textId="3301F484" w:rsidR="009A1314" w:rsidRPr="00945983" w:rsidRDefault="009A1314" w:rsidP="00945983">
            <w:pPr>
              <w:pStyle w:val="TableCopy"/>
              <w:cnfStyle w:val="100000000000" w:firstRow="1" w:lastRow="0" w:firstColumn="0" w:lastColumn="0" w:oddVBand="0" w:evenVBand="0" w:oddHBand="0" w:evenHBand="0" w:firstRowFirstColumn="0" w:firstRowLastColumn="0" w:lastRowFirstColumn="0" w:lastRowLastColumn="0"/>
              <w:rPr>
                <w:b/>
                <w:bCs/>
              </w:rPr>
            </w:pPr>
            <w:r w:rsidRPr="00945983">
              <w:rPr>
                <w:b/>
                <w:bCs/>
              </w:rPr>
              <w:t>Continuing Issues in MM</w:t>
            </w:r>
            <w:r w:rsidR="00042C65">
              <w:rPr>
                <w:b/>
                <w:bCs/>
              </w:rPr>
              <w:t>M</w:t>
            </w:r>
            <w:r w:rsidR="0014271A">
              <w:rPr>
                <w:b/>
                <w:bCs/>
              </w:rPr>
              <w:t xml:space="preserve"> </w:t>
            </w:r>
            <w:r w:rsidRPr="00945983">
              <w:rPr>
                <w:b/>
                <w:bCs/>
              </w:rPr>
              <w:t>5 to 7 localities Observed at Case Study Sites</w:t>
            </w:r>
          </w:p>
        </w:tc>
        <w:tc>
          <w:tcPr>
            <w:tcW w:w="0" w:type="auto"/>
          </w:tcPr>
          <w:p w14:paraId="3C243682" w14:textId="0147218F" w:rsidR="009A1314" w:rsidRPr="00945983" w:rsidRDefault="009A1314" w:rsidP="00F97F43">
            <w:pPr>
              <w:pStyle w:val="TableCopy"/>
              <w:cnfStyle w:val="100000000000" w:firstRow="1" w:lastRow="0" w:firstColumn="0" w:lastColumn="0" w:oddVBand="0" w:evenVBand="0" w:oddHBand="0" w:evenHBand="0" w:firstRowFirstColumn="0" w:firstRowLastColumn="0" w:lastRowFirstColumn="0" w:lastRowLastColumn="0"/>
              <w:rPr>
                <w:b/>
                <w:bCs/>
              </w:rPr>
            </w:pPr>
            <w:r w:rsidRPr="00945983">
              <w:rPr>
                <w:rFonts w:eastAsia="Times New Roman"/>
                <w:b/>
                <w:bCs/>
              </w:rPr>
              <w:t xml:space="preserve">Frequency </w:t>
            </w:r>
            <w:r w:rsidR="000816D8">
              <w:rPr>
                <w:rFonts w:eastAsia="Times New Roman"/>
                <w:b/>
                <w:bCs/>
              </w:rPr>
              <w:t>–</w:t>
            </w:r>
            <w:r w:rsidRPr="00945983">
              <w:rPr>
                <w:rFonts w:eastAsia="Times New Roman"/>
                <w:b/>
                <w:bCs/>
              </w:rPr>
              <w:t xml:space="preserve"> Issue Identified as a Problem at Case Study Sites (</w:t>
            </w:r>
            <w:r w:rsidR="00775855">
              <w:rPr>
                <w:rFonts w:eastAsia="Times New Roman"/>
                <w:b/>
                <w:bCs/>
              </w:rPr>
              <w:t xml:space="preserve">at a </w:t>
            </w:r>
            <w:r w:rsidRPr="00945983">
              <w:rPr>
                <w:rFonts w:eastAsia="Times New Roman"/>
                <w:b/>
                <w:bCs/>
              </w:rPr>
              <w:t>sub-regional level)</w:t>
            </w:r>
          </w:p>
        </w:tc>
      </w:tr>
      <w:tr w:rsidR="00945983" w:rsidRPr="009A1314" w14:paraId="0222699B" w14:textId="77777777" w:rsidTr="00761996">
        <w:tc>
          <w:tcPr>
            <w:cnfStyle w:val="001000000000" w:firstRow="0" w:lastRow="0" w:firstColumn="1" w:lastColumn="0" w:oddVBand="0" w:evenVBand="0" w:oddHBand="0" w:evenHBand="0" w:firstRowFirstColumn="0" w:firstRowLastColumn="0" w:lastRowFirstColumn="0" w:lastRowLastColumn="0"/>
            <w:tcW w:w="0" w:type="auto"/>
            <w:vMerge w:val="restart"/>
          </w:tcPr>
          <w:p w14:paraId="0195FAE5" w14:textId="77777777" w:rsidR="00945983" w:rsidRPr="009A1314" w:rsidRDefault="00945983" w:rsidP="00945983">
            <w:pPr>
              <w:pStyle w:val="TableCopy"/>
            </w:pPr>
            <w:r w:rsidRPr="009A1314">
              <w:t xml:space="preserve">Availability </w:t>
            </w:r>
          </w:p>
        </w:tc>
        <w:tc>
          <w:tcPr>
            <w:tcW w:w="0" w:type="auto"/>
          </w:tcPr>
          <w:p w14:paraId="71C6CBCD" w14:textId="5BEE7448" w:rsidR="00945983" w:rsidRPr="009A1314" w:rsidRDefault="00945983" w:rsidP="00945983">
            <w:pPr>
              <w:pStyle w:val="TableCopy"/>
              <w:cnfStyle w:val="000000000000" w:firstRow="0" w:lastRow="0" w:firstColumn="0" w:lastColumn="0" w:oddVBand="0" w:evenVBand="0" w:oddHBand="0" w:evenHBand="0" w:firstRowFirstColumn="0" w:firstRowLastColumn="0" w:lastRowFirstColumn="0" w:lastRowLastColumn="0"/>
              <w:rPr>
                <w:rFonts w:cs="Calibri"/>
              </w:rPr>
            </w:pPr>
            <w:r w:rsidRPr="009A1314">
              <w:rPr>
                <w:rFonts w:cs="Calibri"/>
              </w:rPr>
              <w:t xml:space="preserve">All communities in </w:t>
            </w:r>
            <w:r w:rsidR="00042C65">
              <w:rPr>
                <w:rFonts w:cs="Calibri"/>
              </w:rPr>
              <w:t>M</w:t>
            </w:r>
            <w:r w:rsidRPr="009A1314">
              <w:rPr>
                <w:rFonts w:cs="Calibri"/>
              </w:rPr>
              <w:t>MM 5</w:t>
            </w:r>
            <w:r w:rsidR="0014271A">
              <w:rPr>
                <w:rFonts w:ascii="Calibri" w:hAnsi="Calibri" w:cs="Calibri"/>
              </w:rPr>
              <w:t>‒</w:t>
            </w:r>
            <w:r w:rsidRPr="009A1314">
              <w:rPr>
                <w:rFonts w:cs="Calibri"/>
              </w:rPr>
              <w:t>7 and the Northern Territory are automatically classified as a Distribution Priority Area</w:t>
            </w:r>
            <w:r w:rsidR="000816D8">
              <w:rPr>
                <w:rFonts w:cs="Calibri"/>
              </w:rPr>
              <w:t xml:space="preserve"> (DPA)</w:t>
            </w:r>
            <w:r w:rsidRPr="009A1314">
              <w:rPr>
                <w:rFonts w:cs="Calibri"/>
              </w:rPr>
              <w:t xml:space="preserve"> for general practitioner services</w:t>
            </w:r>
          </w:p>
        </w:tc>
        <w:tc>
          <w:tcPr>
            <w:tcW w:w="0" w:type="auto"/>
            <w:shd w:val="clear" w:color="auto" w:fill="FF0000"/>
          </w:tcPr>
          <w:p w14:paraId="7285628B" w14:textId="03266B8B" w:rsidR="00945983" w:rsidRPr="009A1314" w:rsidRDefault="00945983" w:rsidP="00945983">
            <w:pPr>
              <w:pStyle w:val="TableCopy"/>
              <w:cnfStyle w:val="000000000000" w:firstRow="0" w:lastRow="0" w:firstColumn="0" w:lastColumn="0" w:oddVBand="0" w:evenVBand="0" w:oddHBand="0" w:evenHBand="0" w:firstRowFirstColumn="0" w:firstRowLastColumn="0" w:lastRowFirstColumn="0" w:lastRowLastColumn="0"/>
            </w:pPr>
            <w:r>
              <w:t>All</w:t>
            </w:r>
            <w:r w:rsidR="00761996">
              <w:t xml:space="preserve"> sites</w:t>
            </w:r>
            <w:r>
              <w:t xml:space="preserve"> [access to GPs is an ongoing problem, despite the DPA rules]</w:t>
            </w:r>
          </w:p>
        </w:tc>
      </w:tr>
      <w:tr w:rsidR="00945983" w:rsidRPr="009A1314" w14:paraId="74E3271C"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D3A2391" w14:textId="77777777" w:rsidR="00945983" w:rsidRPr="009A1314" w:rsidRDefault="00945983" w:rsidP="00945983">
            <w:pPr>
              <w:pStyle w:val="TableCopy"/>
            </w:pPr>
          </w:p>
        </w:tc>
        <w:tc>
          <w:tcPr>
            <w:tcW w:w="0" w:type="auto"/>
          </w:tcPr>
          <w:p w14:paraId="3A735DBA" w14:textId="77777777" w:rsidR="00945983" w:rsidRPr="009A1314" w:rsidRDefault="00945983" w:rsidP="00945983">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Patients encounter delays in accessing GP appointments and some doctors have closed books. Manifests as high Category 4 and 5 presentations to EDs or exacerbation of problems and increased potentially preventable hospitalisations</w:t>
            </w:r>
          </w:p>
        </w:tc>
        <w:tc>
          <w:tcPr>
            <w:tcW w:w="0" w:type="auto"/>
            <w:shd w:val="clear" w:color="auto" w:fill="92D050"/>
          </w:tcPr>
          <w:p w14:paraId="76DF7046" w14:textId="1F0D1337" w:rsidR="00945983" w:rsidRPr="009A1314" w:rsidRDefault="00945983" w:rsidP="00945983">
            <w:pPr>
              <w:pStyle w:val="TableCopy"/>
              <w:cnfStyle w:val="000000010000" w:firstRow="0" w:lastRow="0" w:firstColumn="0" w:lastColumn="0" w:oddVBand="0" w:evenVBand="0" w:oddHBand="0" w:evenHBand="1" w:firstRowFirstColumn="0" w:firstRowLastColumn="0" w:lastRowFirstColumn="0" w:lastRowLastColumn="0"/>
            </w:pPr>
            <w:r w:rsidRPr="009A1314">
              <w:t>Some</w:t>
            </w:r>
            <w:r>
              <w:t xml:space="preserve"> sites [1 to 4 case study sites]</w:t>
            </w:r>
          </w:p>
        </w:tc>
      </w:tr>
      <w:tr w:rsidR="00945983" w:rsidRPr="009A1314" w14:paraId="5805F6BE" w14:textId="77777777" w:rsidTr="00761996">
        <w:tc>
          <w:tcPr>
            <w:cnfStyle w:val="001000000000" w:firstRow="0" w:lastRow="0" w:firstColumn="1" w:lastColumn="0" w:oddVBand="0" w:evenVBand="0" w:oddHBand="0" w:evenHBand="0" w:firstRowFirstColumn="0" w:firstRowLastColumn="0" w:lastRowFirstColumn="0" w:lastRowLastColumn="0"/>
            <w:tcW w:w="0" w:type="auto"/>
            <w:vMerge/>
          </w:tcPr>
          <w:p w14:paraId="49605CC6" w14:textId="77777777" w:rsidR="00945983" w:rsidRPr="009A1314" w:rsidRDefault="00945983" w:rsidP="00945983">
            <w:pPr>
              <w:pStyle w:val="TableCopy"/>
            </w:pPr>
          </w:p>
        </w:tc>
        <w:tc>
          <w:tcPr>
            <w:tcW w:w="0" w:type="auto"/>
          </w:tcPr>
          <w:p w14:paraId="10D3FEA9" w14:textId="77777777" w:rsidR="00945983" w:rsidRPr="009A1314" w:rsidRDefault="00945983" w:rsidP="00945983">
            <w:pPr>
              <w:pStyle w:val="TableCopy"/>
              <w:cnfStyle w:val="000000000000" w:firstRow="0" w:lastRow="0" w:firstColumn="0" w:lastColumn="0" w:oddVBand="0" w:evenVBand="0" w:oddHBand="0" w:evenHBand="0" w:firstRowFirstColumn="0" w:firstRowLastColumn="0" w:lastRowFirstColumn="0" w:lastRowLastColumn="0"/>
              <w:rPr>
                <w:rFonts w:cs="Calibri"/>
              </w:rPr>
            </w:pPr>
            <w:r w:rsidRPr="009A1314">
              <w:rPr>
                <w:rFonts w:cs="Calibri"/>
              </w:rPr>
              <w:t>GPs have high caseloads due to higher clinical need in rural and remote communities</w:t>
            </w:r>
          </w:p>
        </w:tc>
        <w:tc>
          <w:tcPr>
            <w:tcW w:w="0" w:type="auto"/>
            <w:shd w:val="clear" w:color="auto" w:fill="FF0000"/>
          </w:tcPr>
          <w:p w14:paraId="2FDD4DFF" w14:textId="10A05CBF" w:rsidR="00945983" w:rsidRPr="009A1314" w:rsidRDefault="00945983" w:rsidP="00945983">
            <w:pPr>
              <w:pStyle w:val="TableCopy"/>
              <w:cnfStyle w:val="000000000000" w:firstRow="0" w:lastRow="0" w:firstColumn="0" w:lastColumn="0" w:oddVBand="0" w:evenVBand="0" w:oddHBand="0" w:evenHBand="0" w:firstRowFirstColumn="0" w:firstRowLastColumn="0" w:lastRowFirstColumn="0" w:lastRowLastColumn="0"/>
            </w:pPr>
            <w:r w:rsidRPr="009A1314">
              <w:t>All</w:t>
            </w:r>
            <w:r w:rsidR="003459FC">
              <w:t xml:space="preserve"> sites</w:t>
            </w:r>
          </w:p>
        </w:tc>
      </w:tr>
      <w:tr w:rsidR="00945983" w:rsidRPr="009A1314" w14:paraId="4E42AEEC"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7D7BF52" w14:textId="77777777" w:rsidR="00945983" w:rsidRPr="009A1314" w:rsidRDefault="00945983" w:rsidP="00945983">
            <w:pPr>
              <w:pStyle w:val="TableCopy"/>
            </w:pPr>
          </w:p>
        </w:tc>
        <w:tc>
          <w:tcPr>
            <w:tcW w:w="0" w:type="auto"/>
          </w:tcPr>
          <w:p w14:paraId="2AD3A700" w14:textId="714E4566" w:rsidR="00945983" w:rsidRPr="009A1314" w:rsidRDefault="00945983" w:rsidP="00945983">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 xml:space="preserve">Small populations </w:t>
            </w:r>
            <w:r w:rsidR="00761996">
              <w:rPr>
                <w:rFonts w:cs="Calibri"/>
              </w:rPr>
              <w:t xml:space="preserve">in towns </w:t>
            </w:r>
            <w:r w:rsidRPr="009A1314">
              <w:rPr>
                <w:rFonts w:cs="Calibri"/>
              </w:rPr>
              <w:t>and there is a threshold below which communities cannot support a full-time doctor (under private practice arrangements)</w:t>
            </w:r>
            <w:r w:rsidR="00D76435">
              <w:rPr>
                <w:rFonts w:cs="Calibri"/>
              </w:rPr>
              <w:t xml:space="preserve">, i.e. </w:t>
            </w:r>
            <w:r w:rsidRPr="009A1314">
              <w:rPr>
                <w:rFonts w:cs="Calibri"/>
              </w:rPr>
              <w:t>practice viability, coupled with unsustainable on-call requirements and/or recruitment and retention challenges</w:t>
            </w:r>
          </w:p>
        </w:tc>
        <w:tc>
          <w:tcPr>
            <w:tcW w:w="0" w:type="auto"/>
            <w:shd w:val="clear" w:color="auto" w:fill="92D050"/>
          </w:tcPr>
          <w:p w14:paraId="14BA685F" w14:textId="3F90C875" w:rsidR="00945983" w:rsidRPr="009A1314" w:rsidRDefault="00945983" w:rsidP="00945983">
            <w:pPr>
              <w:pStyle w:val="TableCopy"/>
              <w:cnfStyle w:val="000000010000" w:firstRow="0" w:lastRow="0" w:firstColumn="0" w:lastColumn="0" w:oddVBand="0" w:evenVBand="0" w:oddHBand="0" w:evenHBand="1" w:firstRowFirstColumn="0" w:firstRowLastColumn="0" w:lastRowFirstColumn="0" w:lastRowLastColumn="0"/>
            </w:pPr>
            <w:r w:rsidRPr="009A1314">
              <w:t>Some</w:t>
            </w:r>
            <w:r>
              <w:t xml:space="preserve"> sites [1 to 4 case study sites]</w:t>
            </w:r>
          </w:p>
        </w:tc>
      </w:tr>
      <w:tr w:rsidR="00945983" w:rsidRPr="009A1314" w14:paraId="70ED8399" w14:textId="77777777" w:rsidTr="00414A7B">
        <w:tc>
          <w:tcPr>
            <w:cnfStyle w:val="001000000000" w:firstRow="0" w:lastRow="0" w:firstColumn="1" w:lastColumn="0" w:oddVBand="0" w:evenVBand="0" w:oddHBand="0" w:evenHBand="0" w:firstRowFirstColumn="0" w:firstRowLastColumn="0" w:lastRowFirstColumn="0" w:lastRowLastColumn="0"/>
            <w:tcW w:w="0" w:type="auto"/>
            <w:vMerge/>
          </w:tcPr>
          <w:p w14:paraId="6F3D663A" w14:textId="77777777" w:rsidR="00945983" w:rsidRPr="009A1314" w:rsidRDefault="00945983" w:rsidP="00945983">
            <w:pPr>
              <w:pStyle w:val="TableCopy"/>
            </w:pPr>
          </w:p>
        </w:tc>
        <w:tc>
          <w:tcPr>
            <w:tcW w:w="0" w:type="auto"/>
          </w:tcPr>
          <w:p w14:paraId="2187BEC0" w14:textId="77777777" w:rsidR="00945983" w:rsidRPr="009A1314" w:rsidRDefault="00945983" w:rsidP="00945983">
            <w:pPr>
              <w:pStyle w:val="TableCopy"/>
              <w:cnfStyle w:val="000000000000" w:firstRow="0" w:lastRow="0" w:firstColumn="0" w:lastColumn="0" w:oddVBand="0" w:evenVBand="0" w:oddHBand="0" w:evenHBand="0" w:firstRowFirstColumn="0" w:firstRowLastColumn="0" w:lastRowFirstColumn="0" w:lastRowLastColumn="0"/>
              <w:rPr>
                <w:rFonts w:cs="Calibri"/>
              </w:rPr>
            </w:pPr>
            <w:r w:rsidRPr="009A1314">
              <w:rPr>
                <w:rFonts w:cs="Calibri"/>
              </w:rPr>
              <w:t>The number of allied health professionals is low and insufficient workload/ patient numbers to justify full-time salaried positions or viable private practice</w:t>
            </w:r>
          </w:p>
        </w:tc>
        <w:tc>
          <w:tcPr>
            <w:tcW w:w="0" w:type="auto"/>
            <w:shd w:val="clear" w:color="auto" w:fill="92D050"/>
          </w:tcPr>
          <w:p w14:paraId="6FAD9301" w14:textId="1731F5FE" w:rsidR="00945983" w:rsidRPr="009A1314" w:rsidRDefault="00414A7B" w:rsidP="00945983">
            <w:pPr>
              <w:pStyle w:val="TableCopy"/>
              <w:cnfStyle w:val="000000000000" w:firstRow="0" w:lastRow="0" w:firstColumn="0" w:lastColumn="0" w:oddVBand="0" w:evenVBand="0" w:oddHBand="0" w:evenHBand="0" w:firstRowFirstColumn="0" w:firstRowLastColumn="0" w:lastRowFirstColumn="0" w:lastRowLastColumn="0"/>
            </w:pPr>
            <w:r>
              <w:t>Some</w:t>
            </w:r>
            <w:r w:rsidR="00761996">
              <w:t xml:space="preserve"> sites</w:t>
            </w:r>
            <w:r w:rsidR="00945983">
              <w:t xml:space="preserve"> [</w:t>
            </w:r>
            <w:r>
              <w:t>1</w:t>
            </w:r>
            <w:r w:rsidR="00761996">
              <w:t xml:space="preserve"> to</w:t>
            </w:r>
            <w:r w:rsidR="00945983">
              <w:t xml:space="preserve"> </w:t>
            </w:r>
            <w:r>
              <w:t>4</w:t>
            </w:r>
            <w:r w:rsidR="00945983">
              <w:t xml:space="preserve"> case study sites]</w:t>
            </w:r>
          </w:p>
        </w:tc>
      </w:tr>
      <w:tr w:rsidR="00945983" w:rsidRPr="009A1314" w14:paraId="7C295F4B"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2DE76B2" w14:textId="77777777" w:rsidR="00945983" w:rsidRPr="009A1314" w:rsidRDefault="00945983" w:rsidP="00945983">
            <w:pPr>
              <w:pStyle w:val="TableCopy"/>
            </w:pPr>
          </w:p>
        </w:tc>
        <w:tc>
          <w:tcPr>
            <w:tcW w:w="0" w:type="auto"/>
          </w:tcPr>
          <w:p w14:paraId="0B7C7D15" w14:textId="77777777" w:rsidR="00945983" w:rsidRPr="009A1314" w:rsidRDefault="00945983" w:rsidP="00945983">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High caseload and challenging work environments lead to burnout, high turnover – impacting on continuity of care</w:t>
            </w:r>
          </w:p>
        </w:tc>
        <w:tc>
          <w:tcPr>
            <w:tcW w:w="0" w:type="auto"/>
            <w:shd w:val="clear" w:color="auto" w:fill="92D050"/>
          </w:tcPr>
          <w:p w14:paraId="41D7501E" w14:textId="1770024F" w:rsidR="00945983" w:rsidRPr="009A1314" w:rsidRDefault="003459FC" w:rsidP="00945983">
            <w:pPr>
              <w:pStyle w:val="TableCopy"/>
              <w:cnfStyle w:val="000000010000" w:firstRow="0" w:lastRow="0" w:firstColumn="0" w:lastColumn="0" w:oddVBand="0" w:evenVBand="0" w:oddHBand="0" w:evenHBand="1" w:firstRowFirstColumn="0" w:firstRowLastColumn="0" w:lastRowFirstColumn="0" w:lastRowLastColumn="0"/>
            </w:pPr>
            <w:r w:rsidRPr="009A1314">
              <w:t>Some</w:t>
            </w:r>
            <w:r>
              <w:t xml:space="preserve"> sites [1 to 4 case study sites]</w:t>
            </w:r>
          </w:p>
        </w:tc>
      </w:tr>
      <w:tr w:rsidR="00945983" w:rsidRPr="009A1314" w14:paraId="123CDBA8" w14:textId="77777777" w:rsidTr="00414A7B">
        <w:tc>
          <w:tcPr>
            <w:cnfStyle w:val="001000000000" w:firstRow="0" w:lastRow="0" w:firstColumn="1" w:lastColumn="0" w:oddVBand="0" w:evenVBand="0" w:oddHBand="0" w:evenHBand="0" w:firstRowFirstColumn="0" w:firstRowLastColumn="0" w:lastRowFirstColumn="0" w:lastRowLastColumn="0"/>
            <w:tcW w:w="0" w:type="auto"/>
            <w:vMerge/>
          </w:tcPr>
          <w:p w14:paraId="5A39BCA0" w14:textId="77777777" w:rsidR="00945983" w:rsidRPr="009A1314" w:rsidRDefault="00945983" w:rsidP="00945983">
            <w:pPr>
              <w:pStyle w:val="TableCopy"/>
            </w:pPr>
          </w:p>
        </w:tc>
        <w:tc>
          <w:tcPr>
            <w:tcW w:w="0" w:type="auto"/>
          </w:tcPr>
          <w:p w14:paraId="7406340B" w14:textId="77777777" w:rsidR="00945983" w:rsidRPr="009A1314" w:rsidRDefault="00945983" w:rsidP="00945983">
            <w:pPr>
              <w:pStyle w:val="TableCopy"/>
              <w:cnfStyle w:val="000000000000" w:firstRow="0" w:lastRow="0" w:firstColumn="0" w:lastColumn="0" w:oddVBand="0" w:evenVBand="0" w:oddHBand="0" w:evenHBand="0" w:firstRowFirstColumn="0" w:firstRowLastColumn="0" w:lastRowFirstColumn="0" w:lastRowLastColumn="0"/>
              <w:rPr>
                <w:rFonts w:cs="Calibri"/>
              </w:rPr>
            </w:pPr>
            <w:r w:rsidRPr="009A1314">
              <w:rPr>
                <w:rFonts w:cs="Calibri"/>
              </w:rPr>
              <w:t>Difficulty in recruiting and retaining practice nurses, Aboriginal Health Workers, allied health professionals and administration staff</w:t>
            </w:r>
          </w:p>
        </w:tc>
        <w:tc>
          <w:tcPr>
            <w:tcW w:w="0" w:type="auto"/>
            <w:shd w:val="clear" w:color="auto" w:fill="92D050"/>
          </w:tcPr>
          <w:p w14:paraId="2D0775BF" w14:textId="752D320B" w:rsidR="00945983" w:rsidRPr="009A1314" w:rsidRDefault="00414A7B" w:rsidP="00945983">
            <w:pPr>
              <w:pStyle w:val="TableCopy"/>
              <w:cnfStyle w:val="000000000000" w:firstRow="0" w:lastRow="0" w:firstColumn="0" w:lastColumn="0" w:oddVBand="0" w:evenVBand="0" w:oddHBand="0" w:evenHBand="0" w:firstRowFirstColumn="0" w:firstRowLastColumn="0" w:lastRowFirstColumn="0" w:lastRowLastColumn="0"/>
            </w:pPr>
            <w:r>
              <w:t>Some</w:t>
            </w:r>
            <w:r w:rsidR="003459FC">
              <w:t xml:space="preserve"> </w:t>
            </w:r>
            <w:r>
              <w:t xml:space="preserve">sites </w:t>
            </w:r>
            <w:r w:rsidR="003459FC">
              <w:t>[1 to 4 case study sites]</w:t>
            </w:r>
          </w:p>
        </w:tc>
      </w:tr>
      <w:tr w:rsidR="00945983" w:rsidRPr="009A1314" w14:paraId="50B2AF80"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3C38982" w14:textId="77777777" w:rsidR="00945983" w:rsidRPr="009A1314" w:rsidRDefault="00945983" w:rsidP="00945983">
            <w:pPr>
              <w:pStyle w:val="TableCopy"/>
            </w:pPr>
            <w:r w:rsidRPr="009A1314">
              <w:t>Geography</w:t>
            </w:r>
          </w:p>
        </w:tc>
        <w:tc>
          <w:tcPr>
            <w:tcW w:w="0" w:type="auto"/>
          </w:tcPr>
          <w:p w14:paraId="3F7F1306" w14:textId="7AE1CEF2" w:rsidR="00945983" w:rsidRPr="009A1314" w:rsidRDefault="00945983" w:rsidP="00945983">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 xml:space="preserve">For small communities without </w:t>
            </w:r>
            <w:r w:rsidR="00A6620D">
              <w:rPr>
                <w:rFonts w:cs="Calibri"/>
              </w:rPr>
              <w:t xml:space="preserve">a </w:t>
            </w:r>
            <w:r w:rsidRPr="009A1314">
              <w:rPr>
                <w:rFonts w:cs="Calibri"/>
              </w:rPr>
              <w:t xml:space="preserve">local GP </w:t>
            </w:r>
            <w:r w:rsidR="000816D8">
              <w:rPr>
                <w:rFonts w:cs="Calibri"/>
              </w:rPr>
              <w:t>–</w:t>
            </w:r>
            <w:r w:rsidRPr="009A1314">
              <w:rPr>
                <w:rFonts w:cs="Calibri"/>
              </w:rPr>
              <w:t xml:space="preserve"> distance to travel to access medical care remains problematic</w:t>
            </w:r>
          </w:p>
        </w:tc>
        <w:tc>
          <w:tcPr>
            <w:tcW w:w="0" w:type="auto"/>
            <w:shd w:val="clear" w:color="auto" w:fill="FFC000"/>
          </w:tcPr>
          <w:p w14:paraId="09099C02" w14:textId="355B1EC2" w:rsidR="00945983" w:rsidRPr="009A1314" w:rsidRDefault="003459FC" w:rsidP="003459FC">
            <w:pPr>
              <w:pStyle w:val="TableCopy"/>
              <w:ind w:left="0"/>
              <w:cnfStyle w:val="000000010000" w:firstRow="0" w:lastRow="0" w:firstColumn="0" w:lastColumn="0" w:oddVBand="0" w:evenVBand="0" w:oddHBand="0" w:evenHBand="1" w:firstRowFirstColumn="0" w:firstRowLastColumn="0" w:lastRowFirstColumn="0" w:lastRowLastColumn="0"/>
            </w:pPr>
            <w:r>
              <w:t xml:space="preserve">Many sites [5 to </w:t>
            </w:r>
            <w:r w:rsidR="004F3EE1">
              <w:t>10</w:t>
            </w:r>
            <w:r>
              <w:t xml:space="preserve"> case study sites]</w:t>
            </w:r>
          </w:p>
        </w:tc>
      </w:tr>
      <w:tr w:rsidR="003459FC" w:rsidRPr="009A1314" w14:paraId="09A3B543" w14:textId="77777777" w:rsidTr="00761996">
        <w:tc>
          <w:tcPr>
            <w:cnfStyle w:val="001000000000" w:firstRow="0" w:lastRow="0" w:firstColumn="1" w:lastColumn="0" w:oddVBand="0" w:evenVBand="0" w:oddHBand="0" w:evenHBand="0" w:firstRowFirstColumn="0" w:firstRowLastColumn="0" w:lastRowFirstColumn="0" w:lastRowLastColumn="0"/>
            <w:tcW w:w="0" w:type="auto"/>
            <w:vMerge/>
          </w:tcPr>
          <w:p w14:paraId="720392DF" w14:textId="77777777" w:rsidR="003459FC" w:rsidRPr="009A1314" w:rsidRDefault="003459FC" w:rsidP="003459FC">
            <w:pPr>
              <w:pStyle w:val="TableCopy"/>
            </w:pPr>
          </w:p>
        </w:tc>
        <w:tc>
          <w:tcPr>
            <w:tcW w:w="0" w:type="auto"/>
          </w:tcPr>
          <w:p w14:paraId="0E2658E5" w14:textId="77777777" w:rsidR="003459FC" w:rsidRPr="009A1314" w:rsidRDefault="003459FC" w:rsidP="003459FC">
            <w:pPr>
              <w:pStyle w:val="TableCopy"/>
              <w:cnfStyle w:val="000000000000" w:firstRow="0" w:lastRow="0" w:firstColumn="0" w:lastColumn="0" w:oddVBand="0" w:evenVBand="0" w:oddHBand="0" w:evenHBand="0" w:firstRowFirstColumn="0" w:firstRowLastColumn="0" w:lastRowFirstColumn="0" w:lastRowLastColumn="0"/>
              <w:rPr>
                <w:rFonts w:cs="Calibri"/>
              </w:rPr>
            </w:pPr>
            <w:r w:rsidRPr="009A1314">
              <w:rPr>
                <w:rFonts w:cs="Calibri"/>
              </w:rPr>
              <w:t>Extensive travel to regional centres and capital cities is required to access specialist care and specialised services</w:t>
            </w:r>
          </w:p>
        </w:tc>
        <w:tc>
          <w:tcPr>
            <w:tcW w:w="0" w:type="auto"/>
            <w:shd w:val="clear" w:color="auto" w:fill="FFC000"/>
          </w:tcPr>
          <w:p w14:paraId="702D019C" w14:textId="7E8E5DD4" w:rsidR="003459FC" w:rsidRPr="009A1314" w:rsidRDefault="003459FC" w:rsidP="003459FC">
            <w:pPr>
              <w:pStyle w:val="TableCopy"/>
              <w:ind w:left="0"/>
              <w:cnfStyle w:val="000000000000" w:firstRow="0" w:lastRow="0" w:firstColumn="0" w:lastColumn="0" w:oddVBand="0" w:evenVBand="0" w:oddHBand="0" w:evenHBand="0" w:firstRowFirstColumn="0" w:firstRowLastColumn="0" w:lastRowFirstColumn="0" w:lastRowLastColumn="0"/>
            </w:pPr>
            <w:r>
              <w:t xml:space="preserve">Many sites [5 to </w:t>
            </w:r>
            <w:r w:rsidR="004F3EE1">
              <w:t>10</w:t>
            </w:r>
            <w:r>
              <w:t xml:space="preserve"> case study sites]</w:t>
            </w:r>
          </w:p>
        </w:tc>
      </w:tr>
      <w:tr w:rsidR="003459FC" w:rsidRPr="009A1314" w14:paraId="1226B324" w14:textId="77777777" w:rsidTr="00A66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86D7AEB" w14:textId="77777777" w:rsidR="003459FC" w:rsidRPr="009A1314" w:rsidRDefault="003459FC" w:rsidP="003459FC">
            <w:pPr>
              <w:pStyle w:val="TableCopy"/>
            </w:pPr>
            <w:r w:rsidRPr="009A1314">
              <w:t>Affordability</w:t>
            </w:r>
          </w:p>
        </w:tc>
        <w:tc>
          <w:tcPr>
            <w:tcW w:w="0" w:type="auto"/>
          </w:tcPr>
          <w:p w14:paraId="4B117052" w14:textId="77777777"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Lower socioeconomic status and reduced capacity to pay for private GP and allied health services</w:t>
            </w:r>
          </w:p>
        </w:tc>
        <w:tc>
          <w:tcPr>
            <w:tcW w:w="0" w:type="auto"/>
            <w:shd w:val="clear" w:color="auto" w:fill="92D050"/>
          </w:tcPr>
          <w:p w14:paraId="770EE9A7" w14:textId="32DA870C"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pPr>
            <w:r w:rsidRPr="009A1314">
              <w:t>Some</w:t>
            </w:r>
            <w:r>
              <w:t xml:space="preserve"> sites [1 to 4 case study sites]</w:t>
            </w:r>
          </w:p>
        </w:tc>
      </w:tr>
      <w:tr w:rsidR="003459FC" w:rsidRPr="009A1314" w14:paraId="5764B34B" w14:textId="77777777" w:rsidTr="00761996">
        <w:tc>
          <w:tcPr>
            <w:cnfStyle w:val="001000000000" w:firstRow="0" w:lastRow="0" w:firstColumn="1" w:lastColumn="0" w:oddVBand="0" w:evenVBand="0" w:oddHBand="0" w:evenHBand="0" w:firstRowFirstColumn="0" w:firstRowLastColumn="0" w:lastRowFirstColumn="0" w:lastRowLastColumn="0"/>
            <w:tcW w:w="0" w:type="auto"/>
            <w:vMerge/>
          </w:tcPr>
          <w:p w14:paraId="71B32F23" w14:textId="77777777" w:rsidR="003459FC" w:rsidRPr="009A1314" w:rsidRDefault="003459FC" w:rsidP="003459FC">
            <w:pPr>
              <w:pStyle w:val="TableCopy"/>
            </w:pPr>
          </w:p>
        </w:tc>
        <w:tc>
          <w:tcPr>
            <w:tcW w:w="0" w:type="auto"/>
          </w:tcPr>
          <w:p w14:paraId="0224415D" w14:textId="73A0CFF1" w:rsidR="003459FC" w:rsidRPr="009A1314" w:rsidRDefault="003459FC" w:rsidP="003459FC">
            <w:pPr>
              <w:pStyle w:val="TableCopy"/>
              <w:cnfStyle w:val="000000000000" w:firstRow="0" w:lastRow="0" w:firstColumn="0" w:lastColumn="0" w:oddVBand="0" w:evenVBand="0" w:oddHBand="0" w:evenHBand="0" w:firstRowFirstColumn="0" w:firstRowLastColumn="0" w:lastRowFirstColumn="0" w:lastRowLastColumn="0"/>
              <w:rPr>
                <w:rFonts w:cs="Calibri"/>
              </w:rPr>
            </w:pPr>
            <w:r w:rsidRPr="009A1314">
              <w:rPr>
                <w:rFonts w:cs="Calibri"/>
              </w:rPr>
              <w:t>Patient capacity to pay for travel to access care</w:t>
            </w:r>
            <w:r w:rsidR="00761996">
              <w:rPr>
                <w:rFonts w:cs="Calibri"/>
              </w:rPr>
              <w:t xml:space="preserve"> is compromised</w:t>
            </w:r>
          </w:p>
        </w:tc>
        <w:tc>
          <w:tcPr>
            <w:tcW w:w="0" w:type="auto"/>
            <w:shd w:val="clear" w:color="auto" w:fill="FFC000"/>
          </w:tcPr>
          <w:p w14:paraId="43EC32C6" w14:textId="7B57B873" w:rsidR="003459FC" w:rsidRPr="009A1314" w:rsidRDefault="003459FC" w:rsidP="003459FC">
            <w:pPr>
              <w:pStyle w:val="TableCopy"/>
              <w:ind w:left="0"/>
              <w:cnfStyle w:val="000000000000" w:firstRow="0" w:lastRow="0" w:firstColumn="0" w:lastColumn="0" w:oddVBand="0" w:evenVBand="0" w:oddHBand="0" w:evenHBand="0" w:firstRowFirstColumn="0" w:firstRowLastColumn="0" w:lastRowFirstColumn="0" w:lastRowLastColumn="0"/>
            </w:pPr>
            <w:r>
              <w:t xml:space="preserve">Many sites [5 to </w:t>
            </w:r>
            <w:r w:rsidR="004F3EE1">
              <w:t>10</w:t>
            </w:r>
            <w:r>
              <w:t xml:space="preserve"> case study sites]</w:t>
            </w:r>
          </w:p>
        </w:tc>
      </w:tr>
      <w:tr w:rsidR="003459FC" w:rsidRPr="009A1314" w14:paraId="7B6BCA1E"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D3F1B2A" w14:textId="77777777" w:rsidR="003459FC" w:rsidRPr="009A1314" w:rsidRDefault="003459FC" w:rsidP="003459FC">
            <w:pPr>
              <w:pStyle w:val="TableCopy"/>
            </w:pPr>
          </w:p>
        </w:tc>
        <w:tc>
          <w:tcPr>
            <w:tcW w:w="0" w:type="auto"/>
          </w:tcPr>
          <w:p w14:paraId="0901E8B6" w14:textId="77777777"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Patient transport subsidies cover specialist medical services but not allied health</w:t>
            </w:r>
          </w:p>
        </w:tc>
        <w:tc>
          <w:tcPr>
            <w:tcW w:w="0" w:type="auto"/>
            <w:shd w:val="clear" w:color="auto" w:fill="FF0000"/>
          </w:tcPr>
          <w:p w14:paraId="2949486A" w14:textId="4A86B34D"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pPr>
            <w:r>
              <w:t>All sites</w:t>
            </w:r>
          </w:p>
        </w:tc>
      </w:tr>
      <w:tr w:rsidR="003459FC" w:rsidRPr="009A1314" w14:paraId="4C05F714" w14:textId="77777777" w:rsidTr="00613BB0">
        <w:tc>
          <w:tcPr>
            <w:cnfStyle w:val="001000000000" w:firstRow="0" w:lastRow="0" w:firstColumn="1" w:lastColumn="0" w:oddVBand="0" w:evenVBand="0" w:oddHBand="0" w:evenHBand="0" w:firstRowFirstColumn="0" w:firstRowLastColumn="0" w:lastRowFirstColumn="0" w:lastRowLastColumn="0"/>
            <w:tcW w:w="0" w:type="auto"/>
            <w:vMerge w:val="restart"/>
          </w:tcPr>
          <w:p w14:paraId="7135E944" w14:textId="77777777" w:rsidR="003459FC" w:rsidRPr="009A1314" w:rsidRDefault="003459FC" w:rsidP="003459FC">
            <w:pPr>
              <w:pStyle w:val="TableCopy"/>
            </w:pPr>
            <w:r w:rsidRPr="009A1314">
              <w:t>Accommodation</w:t>
            </w:r>
          </w:p>
        </w:tc>
        <w:tc>
          <w:tcPr>
            <w:tcW w:w="0" w:type="auto"/>
          </w:tcPr>
          <w:p w14:paraId="3C42C605" w14:textId="77777777" w:rsidR="003459FC" w:rsidRPr="009A1314" w:rsidRDefault="003459FC" w:rsidP="003459FC">
            <w:pPr>
              <w:pStyle w:val="TableCopy"/>
              <w:cnfStyle w:val="000000000000" w:firstRow="0" w:lastRow="0" w:firstColumn="0" w:lastColumn="0" w:oddVBand="0" w:evenVBand="0" w:oddHBand="0" w:evenHBand="0" w:firstRowFirstColumn="0" w:firstRowLastColumn="0" w:lastRowFirstColumn="0" w:lastRowLastColumn="0"/>
            </w:pPr>
            <w:r w:rsidRPr="009A1314">
              <w:t xml:space="preserve">As a result of availability challenges, service provision and referral pathways are inconsistent </w:t>
            </w:r>
          </w:p>
        </w:tc>
        <w:tc>
          <w:tcPr>
            <w:tcW w:w="0" w:type="auto"/>
            <w:shd w:val="clear" w:color="auto" w:fill="92D050"/>
          </w:tcPr>
          <w:p w14:paraId="68B39271" w14:textId="385A2C66" w:rsidR="003459FC" w:rsidRPr="009A1314" w:rsidRDefault="003459FC" w:rsidP="003459FC">
            <w:pPr>
              <w:pStyle w:val="TableCopy"/>
              <w:cnfStyle w:val="000000000000" w:firstRow="0" w:lastRow="0" w:firstColumn="0" w:lastColumn="0" w:oddVBand="0" w:evenVBand="0" w:oddHBand="0" w:evenHBand="0" w:firstRowFirstColumn="0" w:firstRowLastColumn="0" w:lastRowFirstColumn="0" w:lastRowLastColumn="0"/>
            </w:pPr>
            <w:r w:rsidRPr="009A1314">
              <w:t>Some</w:t>
            </w:r>
            <w:r>
              <w:t xml:space="preserve"> sites [1 to 4 case study sites]</w:t>
            </w:r>
          </w:p>
        </w:tc>
      </w:tr>
      <w:tr w:rsidR="003459FC" w:rsidRPr="009A1314" w14:paraId="38E58E10" w14:textId="77777777" w:rsidTr="00613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BE4A80A" w14:textId="77777777" w:rsidR="003459FC" w:rsidRPr="009A1314" w:rsidRDefault="003459FC" w:rsidP="003459FC">
            <w:pPr>
              <w:pStyle w:val="TableCopy"/>
            </w:pPr>
          </w:p>
        </w:tc>
        <w:tc>
          <w:tcPr>
            <w:tcW w:w="0" w:type="auto"/>
          </w:tcPr>
          <w:p w14:paraId="2E0F3F15" w14:textId="13B26B8A"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Demand management and/or resource management strategies, referral criteria impede access to care</w:t>
            </w:r>
            <w:r w:rsidR="00A32F7F">
              <w:rPr>
                <w:rFonts w:cs="Calibri"/>
              </w:rPr>
              <w:t xml:space="preserve">, e.g. </w:t>
            </w:r>
            <w:r w:rsidRPr="009A1314">
              <w:rPr>
                <w:rFonts w:cs="Calibri"/>
              </w:rPr>
              <w:t>pregnant Indigenous women in Tennant Creek struggle to access vitamins to support quality ante-natal care</w:t>
            </w:r>
          </w:p>
        </w:tc>
        <w:tc>
          <w:tcPr>
            <w:tcW w:w="0" w:type="auto"/>
            <w:shd w:val="clear" w:color="auto" w:fill="92D050"/>
          </w:tcPr>
          <w:p w14:paraId="19F3CBFE" w14:textId="7977CFDA"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pPr>
            <w:r w:rsidRPr="009A1314">
              <w:t>Some</w:t>
            </w:r>
            <w:r>
              <w:t xml:space="preserve"> sites [1 to 4 case study sites]</w:t>
            </w:r>
          </w:p>
        </w:tc>
      </w:tr>
      <w:tr w:rsidR="003459FC" w:rsidRPr="009A1314" w14:paraId="0C2E562B" w14:textId="77777777" w:rsidTr="00761996">
        <w:tc>
          <w:tcPr>
            <w:cnfStyle w:val="001000000000" w:firstRow="0" w:lastRow="0" w:firstColumn="1" w:lastColumn="0" w:oddVBand="0" w:evenVBand="0" w:oddHBand="0" w:evenHBand="0" w:firstRowFirstColumn="0" w:firstRowLastColumn="0" w:lastRowFirstColumn="0" w:lastRowLastColumn="0"/>
            <w:tcW w:w="0" w:type="auto"/>
            <w:vMerge/>
          </w:tcPr>
          <w:p w14:paraId="5987DDE4" w14:textId="77777777" w:rsidR="003459FC" w:rsidRPr="009A1314" w:rsidRDefault="003459FC" w:rsidP="003459FC">
            <w:pPr>
              <w:pStyle w:val="TableCopy"/>
            </w:pPr>
          </w:p>
        </w:tc>
        <w:tc>
          <w:tcPr>
            <w:tcW w:w="0" w:type="auto"/>
          </w:tcPr>
          <w:p w14:paraId="4C586B1D" w14:textId="6891C78B" w:rsidR="001E31A6" w:rsidRPr="009A1314" w:rsidRDefault="003459FC" w:rsidP="000C6256">
            <w:pPr>
              <w:pStyle w:val="TableCopy"/>
              <w:cnfStyle w:val="000000000000" w:firstRow="0" w:lastRow="0" w:firstColumn="0" w:lastColumn="0" w:oddVBand="0" w:evenVBand="0" w:oddHBand="0" w:evenHBand="0" w:firstRowFirstColumn="0" w:firstRowLastColumn="0" w:lastRowFirstColumn="0" w:lastRowLastColumn="0"/>
            </w:pPr>
            <w:r w:rsidRPr="009A1314">
              <w:t xml:space="preserve">Siloed funding (directed to service provider organisations) limits multidisciplinary primary </w:t>
            </w:r>
            <w:r w:rsidR="00E419DC">
              <w:t>healthcare</w:t>
            </w:r>
            <w:r w:rsidRPr="009A1314">
              <w:t xml:space="preserve"> model of care (inclusive of GP)</w:t>
            </w:r>
          </w:p>
        </w:tc>
        <w:tc>
          <w:tcPr>
            <w:tcW w:w="0" w:type="auto"/>
            <w:shd w:val="clear" w:color="auto" w:fill="FF0000"/>
          </w:tcPr>
          <w:p w14:paraId="771217F7" w14:textId="2A24AA28" w:rsidR="003459FC" w:rsidRPr="009A1314" w:rsidRDefault="00761996" w:rsidP="003459FC">
            <w:pPr>
              <w:pStyle w:val="TableCopy"/>
              <w:ind w:left="0"/>
              <w:cnfStyle w:val="000000000000" w:firstRow="0" w:lastRow="0" w:firstColumn="0" w:lastColumn="0" w:oddVBand="0" w:evenVBand="0" w:oddHBand="0" w:evenHBand="0" w:firstRowFirstColumn="0" w:firstRowLastColumn="0" w:lastRowFirstColumn="0" w:lastRowLastColumn="0"/>
            </w:pPr>
            <w:r>
              <w:t>All</w:t>
            </w:r>
            <w:r w:rsidR="003459FC">
              <w:t xml:space="preserve"> sites </w:t>
            </w:r>
          </w:p>
        </w:tc>
      </w:tr>
      <w:tr w:rsidR="003459FC" w:rsidRPr="009A1314" w14:paraId="76D82B0D"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8AC77C6" w14:textId="77777777" w:rsidR="003459FC" w:rsidRPr="009A1314" w:rsidRDefault="003459FC" w:rsidP="003459FC">
            <w:pPr>
              <w:pStyle w:val="TableCopy"/>
            </w:pPr>
          </w:p>
        </w:tc>
        <w:tc>
          <w:tcPr>
            <w:tcW w:w="0" w:type="auto"/>
          </w:tcPr>
          <w:p w14:paraId="3B7BE40F" w14:textId="77777777"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Communities receive an array of services funded by State and Commonwealth governments (directly or via commissioning arrangements) creating a complex, often uncoordinated and fragmented care environment.</w:t>
            </w:r>
          </w:p>
        </w:tc>
        <w:tc>
          <w:tcPr>
            <w:tcW w:w="0" w:type="auto"/>
            <w:shd w:val="clear" w:color="auto" w:fill="FF0000"/>
          </w:tcPr>
          <w:p w14:paraId="1AE8FA54" w14:textId="285CDCF7" w:rsidR="003459FC" w:rsidRPr="009A1314" w:rsidRDefault="00761996" w:rsidP="003459FC">
            <w:pPr>
              <w:pStyle w:val="TableCopy"/>
              <w:ind w:left="0"/>
              <w:cnfStyle w:val="000000010000" w:firstRow="0" w:lastRow="0" w:firstColumn="0" w:lastColumn="0" w:oddVBand="0" w:evenVBand="0" w:oddHBand="0" w:evenHBand="1" w:firstRowFirstColumn="0" w:firstRowLastColumn="0" w:lastRowFirstColumn="0" w:lastRowLastColumn="0"/>
            </w:pPr>
            <w:r>
              <w:t xml:space="preserve">All </w:t>
            </w:r>
            <w:r w:rsidR="003459FC">
              <w:t xml:space="preserve">sites </w:t>
            </w:r>
          </w:p>
        </w:tc>
      </w:tr>
      <w:tr w:rsidR="003459FC" w:rsidRPr="009A1314" w14:paraId="0B55DE21" w14:textId="77777777" w:rsidTr="00613BB0">
        <w:tc>
          <w:tcPr>
            <w:cnfStyle w:val="001000000000" w:firstRow="0" w:lastRow="0" w:firstColumn="1" w:lastColumn="0" w:oddVBand="0" w:evenVBand="0" w:oddHBand="0" w:evenHBand="0" w:firstRowFirstColumn="0" w:firstRowLastColumn="0" w:lastRowFirstColumn="0" w:lastRowLastColumn="0"/>
            <w:tcW w:w="0" w:type="auto"/>
            <w:vMerge w:val="restart"/>
          </w:tcPr>
          <w:p w14:paraId="5DF876F3" w14:textId="77777777" w:rsidR="003459FC" w:rsidRPr="009A1314" w:rsidRDefault="003459FC" w:rsidP="003459FC">
            <w:pPr>
              <w:pStyle w:val="TableCopy"/>
            </w:pPr>
            <w:r w:rsidRPr="009A1314">
              <w:t>Timeliness</w:t>
            </w:r>
          </w:p>
        </w:tc>
        <w:tc>
          <w:tcPr>
            <w:tcW w:w="0" w:type="auto"/>
          </w:tcPr>
          <w:p w14:paraId="1FF83167" w14:textId="363719A7" w:rsidR="003459FC" w:rsidRPr="009A1314" w:rsidRDefault="00761996" w:rsidP="003459FC">
            <w:pPr>
              <w:pStyle w:val="TableCopy"/>
              <w:cnfStyle w:val="000000000000" w:firstRow="0" w:lastRow="0" w:firstColumn="0" w:lastColumn="0" w:oddVBand="0" w:evenVBand="0" w:oddHBand="0" w:evenHBand="0" w:firstRowFirstColumn="0" w:firstRowLastColumn="0" w:lastRowFirstColumn="0" w:lastRowLastColumn="0"/>
              <w:rPr>
                <w:rFonts w:cs="Calibri"/>
              </w:rPr>
            </w:pPr>
            <w:r>
              <w:rPr>
                <w:rFonts w:cs="Calibri"/>
              </w:rPr>
              <w:t>Patient access is i</w:t>
            </w:r>
            <w:r w:rsidR="003459FC" w:rsidRPr="009A1314">
              <w:rPr>
                <w:rFonts w:cs="Calibri"/>
              </w:rPr>
              <w:t>mpacted by availability – delay in accessi</w:t>
            </w:r>
            <w:r>
              <w:rPr>
                <w:rFonts w:cs="Calibri"/>
              </w:rPr>
              <w:t>n</w:t>
            </w:r>
            <w:r w:rsidR="003459FC" w:rsidRPr="009A1314">
              <w:rPr>
                <w:rFonts w:cs="Calibri"/>
              </w:rPr>
              <w:t>g care locally</w:t>
            </w:r>
          </w:p>
        </w:tc>
        <w:tc>
          <w:tcPr>
            <w:tcW w:w="0" w:type="auto"/>
            <w:shd w:val="clear" w:color="auto" w:fill="92D050"/>
          </w:tcPr>
          <w:p w14:paraId="0F8C1031" w14:textId="7F565E60" w:rsidR="003459FC" w:rsidRPr="009A1314" w:rsidRDefault="003459FC" w:rsidP="003459FC">
            <w:pPr>
              <w:pStyle w:val="TableCopy"/>
              <w:cnfStyle w:val="000000000000" w:firstRow="0" w:lastRow="0" w:firstColumn="0" w:lastColumn="0" w:oddVBand="0" w:evenVBand="0" w:oddHBand="0" w:evenHBand="0" w:firstRowFirstColumn="0" w:firstRowLastColumn="0" w:lastRowFirstColumn="0" w:lastRowLastColumn="0"/>
            </w:pPr>
            <w:r w:rsidRPr="009A1314">
              <w:t>Some</w:t>
            </w:r>
            <w:r>
              <w:t xml:space="preserve"> sites [1 to 4 case study sites]</w:t>
            </w:r>
          </w:p>
        </w:tc>
      </w:tr>
      <w:tr w:rsidR="003459FC" w:rsidRPr="009A1314" w14:paraId="1CE8BCA2"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8373F8C" w14:textId="77777777" w:rsidR="003459FC" w:rsidRPr="009A1314" w:rsidRDefault="003459FC" w:rsidP="003459FC">
            <w:pPr>
              <w:pStyle w:val="TableCopy"/>
            </w:pPr>
          </w:p>
        </w:tc>
        <w:tc>
          <w:tcPr>
            <w:tcW w:w="0" w:type="auto"/>
          </w:tcPr>
          <w:p w14:paraId="7A8DDA76" w14:textId="77777777"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Outreach/ visiting services can be infrequent or there is often extended time between visits</w:t>
            </w:r>
          </w:p>
        </w:tc>
        <w:tc>
          <w:tcPr>
            <w:tcW w:w="0" w:type="auto"/>
            <w:shd w:val="clear" w:color="auto" w:fill="FFC000"/>
          </w:tcPr>
          <w:p w14:paraId="2F02E3C5" w14:textId="0E01F54F" w:rsidR="003459FC" w:rsidRPr="009A1314" w:rsidRDefault="00761996" w:rsidP="003459FC">
            <w:pPr>
              <w:pStyle w:val="TableCopy"/>
              <w:cnfStyle w:val="000000010000" w:firstRow="0" w:lastRow="0" w:firstColumn="0" w:lastColumn="0" w:oddVBand="0" w:evenVBand="0" w:oddHBand="0" w:evenHBand="1" w:firstRowFirstColumn="0" w:firstRowLastColumn="0" w:lastRowFirstColumn="0" w:lastRowLastColumn="0"/>
            </w:pPr>
            <w:r>
              <w:t>Many</w:t>
            </w:r>
            <w:r w:rsidR="003459FC">
              <w:t xml:space="preserve"> sites [</w:t>
            </w:r>
            <w:r>
              <w:t>5</w:t>
            </w:r>
            <w:r w:rsidR="003459FC">
              <w:t xml:space="preserve"> to </w:t>
            </w:r>
            <w:r w:rsidR="004F3EE1">
              <w:t>10</w:t>
            </w:r>
            <w:r w:rsidR="003459FC">
              <w:t xml:space="preserve"> case study sites]</w:t>
            </w:r>
          </w:p>
        </w:tc>
      </w:tr>
      <w:tr w:rsidR="003459FC" w:rsidRPr="009A1314" w14:paraId="418DCAAB" w14:textId="77777777" w:rsidTr="00761996">
        <w:tc>
          <w:tcPr>
            <w:cnfStyle w:val="001000000000" w:firstRow="0" w:lastRow="0" w:firstColumn="1" w:lastColumn="0" w:oddVBand="0" w:evenVBand="0" w:oddHBand="0" w:evenHBand="0" w:firstRowFirstColumn="0" w:firstRowLastColumn="0" w:lastRowFirstColumn="0" w:lastRowLastColumn="0"/>
            <w:tcW w:w="0" w:type="auto"/>
            <w:vMerge w:val="restart"/>
          </w:tcPr>
          <w:p w14:paraId="279951F1" w14:textId="77777777" w:rsidR="003459FC" w:rsidRPr="009A1314" w:rsidRDefault="003459FC" w:rsidP="003459FC">
            <w:pPr>
              <w:pStyle w:val="TableCopy"/>
            </w:pPr>
            <w:r w:rsidRPr="009A1314">
              <w:t>Awareness</w:t>
            </w:r>
          </w:p>
        </w:tc>
        <w:tc>
          <w:tcPr>
            <w:tcW w:w="0" w:type="auto"/>
          </w:tcPr>
          <w:p w14:paraId="3FE96224" w14:textId="06CFC1C4" w:rsidR="003459FC" w:rsidRPr="009A1314" w:rsidRDefault="003459FC" w:rsidP="003459FC">
            <w:pPr>
              <w:pStyle w:val="TableCopy"/>
              <w:cnfStyle w:val="000000000000" w:firstRow="0" w:lastRow="0" w:firstColumn="0" w:lastColumn="0" w:oddVBand="0" w:evenVBand="0" w:oddHBand="0" w:evenHBand="0" w:firstRowFirstColumn="0" w:firstRowLastColumn="0" w:lastRowFirstColumn="0" w:lastRowLastColumn="0"/>
              <w:rPr>
                <w:rFonts w:cs="Calibri"/>
              </w:rPr>
            </w:pPr>
            <w:r w:rsidRPr="009A1314">
              <w:rPr>
                <w:rFonts w:cs="Calibri"/>
              </w:rPr>
              <w:t>Poor health literacy leads to lower utilisation of services or delay</w:t>
            </w:r>
            <w:r w:rsidR="00761996">
              <w:rPr>
                <w:rFonts w:cs="Calibri"/>
              </w:rPr>
              <w:t>s in</w:t>
            </w:r>
            <w:r w:rsidRPr="009A1314">
              <w:rPr>
                <w:rFonts w:cs="Calibri"/>
              </w:rPr>
              <w:t xml:space="preserve"> seeking </w:t>
            </w:r>
            <w:r w:rsidR="00E419DC">
              <w:rPr>
                <w:rFonts w:cs="Calibri"/>
              </w:rPr>
              <w:t>healthcare</w:t>
            </w:r>
            <w:r w:rsidRPr="009A1314">
              <w:rPr>
                <w:rFonts w:cs="Calibri"/>
              </w:rPr>
              <w:t xml:space="preserve"> </w:t>
            </w:r>
          </w:p>
        </w:tc>
        <w:tc>
          <w:tcPr>
            <w:tcW w:w="0" w:type="auto"/>
            <w:shd w:val="clear" w:color="auto" w:fill="FFC000"/>
          </w:tcPr>
          <w:p w14:paraId="7766E5E0" w14:textId="709F4DF4" w:rsidR="003459FC" w:rsidRPr="009A1314" w:rsidRDefault="003459FC" w:rsidP="003459FC">
            <w:pPr>
              <w:pStyle w:val="TableCopy"/>
              <w:cnfStyle w:val="000000000000" w:firstRow="0" w:lastRow="0" w:firstColumn="0" w:lastColumn="0" w:oddVBand="0" w:evenVBand="0" w:oddHBand="0" w:evenHBand="0" w:firstRowFirstColumn="0" w:firstRowLastColumn="0" w:lastRowFirstColumn="0" w:lastRowLastColumn="0"/>
            </w:pPr>
            <w:r w:rsidRPr="009A1314">
              <w:t>Many</w:t>
            </w:r>
            <w:r w:rsidR="00761996">
              <w:t xml:space="preserve"> sites [5 to </w:t>
            </w:r>
            <w:r w:rsidR="004F3EE1">
              <w:t>10</w:t>
            </w:r>
            <w:r w:rsidR="00761996">
              <w:t xml:space="preserve"> sites]</w:t>
            </w:r>
          </w:p>
        </w:tc>
      </w:tr>
      <w:tr w:rsidR="003459FC" w:rsidRPr="009A1314" w14:paraId="7A06A152" w14:textId="77777777" w:rsidTr="00761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7A4EB8B" w14:textId="77777777" w:rsidR="003459FC" w:rsidRPr="009A1314" w:rsidRDefault="003459FC" w:rsidP="003459FC">
            <w:pPr>
              <w:pStyle w:val="TableCopy"/>
            </w:pPr>
          </w:p>
        </w:tc>
        <w:tc>
          <w:tcPr>
            <w:tcW w:w="0" w:type="auto"/>
          </w:tcPr>
          <w:p w14:paraId="0CED2325" w14:textId="3A0E7C05" w:rsidR="003459FC" w:rsidRPr="009A1314" w:rsidRDefault="003459FC" w:rsidP="003459FC">
            <w:pPr>
              <w:pStyle w:val="TableCopy"/>
              <w:cnfStyle w:val="000000010000" w:firstRow="0" w:lastRow="0" w:firstColumn="0" w:lastColumn="0" w:oddVBand="0" w:evenVBand="0" w:oddHBand="0" w:evenHBand="1" w:firstRowFirstColumn="0" w:firstRowLastColumn="0" w:lastRowFirstColumn="0" w:lastRowLastColumn="0"/>
              <w:rPr>
                <w:rFonts w:cs="Calibri"/>
              </w:rPr>
            </w:pPr>
            <w:r w:rsidRPr="009A1314">
              <w:rPr>
                <w:rFonts w:cs="Calibri"/>
              </w:rPr>
              <w:t xml:space="preserve">Patchiness of service provision – </w:t>
            </w:r>
            <w:r w:rsidR="007004AD">
              <w:rPr>
                <w:rFonts w:cs="Calibri"/>
              </w:rPr>
              <w:t>‘</w:t>
            </w:r>
            <w:r w:rsidRPr="009A1314">
              <w:rPr>
                <w:rFonts w:cs="Calibri"/>
              </w:rPr>
              <w:t>don’t know when service will be in town</w:t>
            </w:r>
            <w:r w:rsidR="007004AD">
              <w:rPr>
                <w:rFonts w:cs="Calibri"/>
              </w:rPr>
              <w:t>’</w:t>
            </w:r>
          </w:p>
        </w:tc>
        <w:tc>
          <w:tcPr>
            <w:tcW w:w="0" w:type="auto"/>
            <w:shd w:val="clear" w:color="auto" w:fill="92D050"/>
          </w:tcPr>
          <w:p w14:paraId="0069E86F" w14:textId="1A145DCA" w:rsidR="003459FC" w:rsidRPr="009A1314" w:rsidRDefault="003459FC" w:rsidP="003459FC">
            <w:pPr>
              <w:pStyle w:val="TableCopy"/>
              <w:ind w:left="0"/>
              <w:cnfStyle w:val="000000010000" w:firstRow="0" w:lastRow="0" w:firstColumn="0" w:lastColumn="0" w:oddVBand="0" w:evenVBand="0" w:oddHBand="0" w:evenHBand="1" w:firstRowFirstColumn="0" w:firstRowLastColumn="0" w:lastRowFirstColumn="0" w:lastRowLastColumn="0"/>
            </w:pPr>
            <w:r w:rsidRPr="009A1314">
              <w:t>Some</w:t>
            </w:r>
            <w:r>
              <w:t xml:space="preserve"> sites [1 to 4 case study sites]</w:t>
            </w:r>
          </w:p>
        </w:tc>
      </w:tr>
    </w:tbl>
    <w:p w14:paraId="29143917" w14:textId="762C0A95" w:rsidR="00060DDA" w:rsidRPr="002A4194" w:rsidRDefault="00060DDA" w:rsidP="00060DDA">
      <w:pPr>
        <w:spacing w:after="0" w:line="259" w:lineRule="auto"/>
        <w:rPr>
          <w:rFonts w:ascii="Calibri" w:eastAsia="Calibri" w:hAnsi="Calibri" w:cs="Times New Roman"/>
          <w:spacing w:val="0"/>
        </w:rPr>
      </w:pPr>
      <w:r w:rsidRPr="002A4194">
        <w:rPr>
          <w:rFonts w:ascii="Calibri" w:eastAsia="Calibri" w:hAnsi="Calibri" w:cs="Times New Roman"/>
          <w:spacing w:val="0"/>
        </w:rPr>
        <w:t xml:space="preserve">Legend: </w:t>
      </w:r>
      <w:r w:rsidRPr="002A4194">
        <w:rPr>
          <w:rFonts w:ascii="Calibri" w:eastAsia="Calibri" w:hAnsi="Calibri" w:cs="Times New Roman"/>
          <w:b/>
          <w:bCs/>
          <w:spacing w:val="0"/>
          <w:sz w:val="18"/>
          <w:szCs w:val="18"/>
        </w:rPr>
        <w:t>Evaluative Assessment Colour Code:</w:t>
      </w:r>
      <w:r w:rsidRPr="002A4194">
        <w:rPr>
          <w:rFonts w:ascii="Calibri" w:eastAsia="Calibri" w:hAnsi="Calibri" w:cs="Times New Roman"/>
          <w:spacing w:val="0"/>
          <w:sz w:val="18"/>
          <w:szCs w:val="18"/>
        </w:rPr>
        <w:t xml:space="preserve"> impact of the Initiative </w:t>
      </w:r>
      <w:r>
        <w:rPr>
          <w:rFonts w:ascii="Calibri" w:eastAsia="Calibri" w:hAnsi="Calibri" w:cs="Times New Roman"/>
          <w:spacing w:val="0"/>
          <w:sz w:val="18"/>
          <w:szCs w:val="18"/>
        </w:rPr>
        <w:t xml:space="preserve">on accessibility dimensions (as </w:t>
      </w:r>
      <w:r w:rsidR="0090321E">
        <w:rPr>
          <w:rFonts w:ascii="Calibri" w:eastAsia="Calibri" w:hAnsi="Calibri" w:cs="Times New Roman"/>
          <w:spacing w:val="0"/>
          <w:sz w:val="18"/>
          <w:szCs w:val="18"/>
        </w:rPr>
        <w:t xml:space="preserve">specified in Table 4.9) </w:t>
      </w:r>
      <w:r w:rsidRPr="002A4194">
        <w:rPr>
          <w:rFonts w:ascii="Calibri" w:eastAsia="Calibri" w:hAnsi="Calibri" w:cs="Times New Roman"/>
          <w:spacing w:val="0"/>
          <w:sz w:val="18"/>
          <w:szCs w:val="18"/>
        </w:rPr>
        <w:t>at each of the case study sites</w:t>
      </w:r>
    </w:p>
    <w:tbl>
      <w:tblPr>
        <w:tblStyle w:val="TableGrid8"/>
        <w:tblW w:w="6516" w:type="dxa"/>
        <w:tblLayout w:type="fixed"/>
        <w:tblLook w:val="04A0" w:firstRow="1" w:lastRow="0" w:firstColumn="1" w:lastColumn="0" w:noHBand="0" w:noVBand="1"/>
      </w:tblPr>
      <w:tblGrid>
        <w:gridCol w:w="2172"/>
        <w:gridCol w:w="2172"/>
        <w:gridCol w:w="2172"/>
      </w:tblGrid>
      <w:tr w:rsidR="00060DDA" w:rsidRPr="002A4194" w14:paraId="1552230C" w14:textId="77777777" w:rsidTr="00014F14">
        <w:tc>
          <w:tcPr>
            <w:tcW w:w="2172" w:type="dxa"/>
            <w:shd w:val="clear" w:color="auto" w:fill="FF0000"/>
          </w:tcPr>
          <w:p w14:paraId="3F0B7FE5" w14:textId="77777777" w:rsidR="00060DDA" w:rsidRPr="002A4194" w:rsidRDefault="00060DDA" w:rsidP="008E70DE">
            <w:pPr>
              <w:spacing w:after="40"/>
              <w:rPr>
                <w:rFonts w:ascii="Calibri" w:eastAsia="Calibri" w:hAnsi="Calibri" w:cs="Times New Roman"/>
                <w:spacing w:val="0"/>
                <w:sz w:val="18"/>
                <w:szCs w:val="18"/>
              </w:rPr>
            </w:pPr>
            <w:r>
              <w:rPr>
                <w:rFonts w:ascii="Calibri" w:eastAsia="Calibri" w:hAnsi="Calibri" w:cs="Times New Roman"/>
                <w:b/>
                <w:bCs/>
                <w:spacing w:val="0"/>
                <w:sz w:val="18"/>
                <w:szCs w:val="18"/>
              </w:rPr>
              <w:t>All sites</w:t>
            </w:r>
          </w:p>
        </w:tc>
        <w:tc>
          <w:tcPr>
            <w:tcW w:w="2172" w:type="dxa"/>
            <w:shd w:val="clear" w:color="auto" w:fill="FFC000"/>
          </w:tcPr>
          <w:p w14:paraId="37364E1B" w14:textId="06F89BF6" w:rsidR="00060DDA" w:rsidRPr="002A4194" w:rsidRDefault="00060DDA" w:rsidP="008E70DE">
            <w:pPr>
              <w:spacing w:after="0"/>
              <w:rPr>
                <w:rFonts w:ascii="Calibri" w:eastAsia="Calibri" w:hAnsi="Calibri" w:cs="Times New Roman"/>
                <w:spacing w:val="0"/>
                <w:sz w:val="18"/>
                <w:szCs w:val="18"/>
              </w:rPr>
            </w:pPr>
            <w:r>
              <w:rPr>
                <w:rFonts w:ascii="Calibri" w:eastAsia="Calibri" w:hAnsi="Calibri" w:cs="Times New Roman"/>
                <w:b/>
                <w:bCs/>
                <w:spacing w:val="0"/>
                <w:sz w:val="18"/>
                <w:szCs w:val="18"/>
              </w:rPr>
              <w:t xml:space="preserve">Many sites [5 to </w:t>
            </w:r>
            <w:r w:rsidR="004F3EE1">
              <w:rPr>
                <w:rFonts w:ascii="Calibri" w:eastAsia="Calibri" w:hAnsi="Calibri" w:cs="Times New Roman"/>
                <w:b/>
                <w:bCs/>
                <w:spacing w:val="0"/>
                <w:sz w:val="18"/>
                <w:szCs w:val="18"/>
              </w:rPr>
              <w:t>10</w:t>
            </w:r>
            <w:r>
              <w:rPr>
                <w:rFonts w:ascii="Calibri" w:eastAsia="Calibri" w:hAnsi="Calibri" w:cs="Times New Roman"/>
                <w:b/>
                <w:bCs/>
                <w:spacing w:val="0"/>
                <w:sz w:val="18"/>
                <w:szCs w:val="18"/>
              </w:rPr>
              <w:t xml:space="preserve"> sites]</w:t>
            </w:r>
          </w:p>
        </w:tc>
        <w:tc>
          <w:tcPr>
            <w:tcW w:w="2172" w:type="dxa"/>
            <w:shd w:val="clear" w:color="auto" w:fill="70AD47"/>
          </w:tcPr>
          <w:p w14:paraId="395F3A73" w14:textId="77777777" w:rsidR="00060DDA" w:rsidRPr="002A4194" w:rsidRDefault="00060DDA" w:rsidP="008E70DE">
            <w:pPr>
              <w:spacing w:after="0"/>
              <w:rPr>
                <w:rFonts w:ascii="Calibri" w:eastAsia="Calibri" w:hAnsi="Calibri" w:cs="Times New Roman"/>
                <w:spacing w:val="0"/>
                <w:sz w:val="18"/>
                <w:szCs w:val="18"/>
              </w:rPr>
            </w:pPr>
            <w:r>
              <w:rPr>
                <w:rFonts w:ascii="Calibri" w:eastAsia="Calibri" w:hAnsi="Calibri" w:cs="Times New Roman"/>
                <w:b/>
                <w:bCs/>
                <w:spacing w:val="0"/>
                <w:sz w:val="18"/>
                <w:szCs w:val="18"/>
              </w:rPr>
              <w:t>Some sites [1 to 4 sites]</w:t>
            </w:r>
          </w:p>
        </w:tc>
      </w:tr>
    </w:tbl>
    <w:p w14:paraId="755764FA" w14:textId="77777777" w:rsidR="000C6256" w:rsidRDefault="000C6256" w:rsidP="00060DDA">
      <w:pPr>
        <w:spacing w:before="120"/>
        <w:sectPr w:rsidR="000C6256" w:rsidSect="000C6256">
          <w:type w:val="continuous"/>
          <w:pgSz w:w="16838" w:h="11906" w:orient="landscape" w:code="9"/>
          <w:pgMar w:top="737" w:right="1304" w:bottom="1134" w:left="737" w:header="567" w:footer="284" w:gutter="0"/>
          <w:cols w:space="708"/>
          <w:docGrid w:linePitch="360"/>
        </w:sectPr>
      </w:pPr>
    </w:p>
    <w:p w14:paraId="73C4D935" w14:textId="6E86D267" w:rsidR="0035325A" w:rsidRDefault="0035325A" w:rsidP="0035325A">
      <w:pPr>
        <w:pStyle w:val="ProjectImplication"/>
      </w:pPr>
      <w:r>
        <w:lastRenderedPageBreak/>
        <w:t xml:space="preserve">CASE STUDY BOX # </w:t>
      </w:r>
      <w:r w:rsidR="004B1AFF">
        <w:t>9</w:t>
      </w:r>
    </w:p>
    <w:p w14:paraId="5E333AFB" w14:textId="316C3118" w:rsidR="0035325A" w:rsidRPr="0035325A" w:rsidRDefault="0007083F" w:rsidP="0035325A">
      <w:pPr>
        <w:pStyle w:val="ProjectImplication"/>
        <w:rPr>
          <w:b/>
          <w:bCs/>
        </w:rPr>
      </w:pPr>
      <w:r>
        <w:rPr>
          <w:b/>
          <w:bCs/>
        </w:rPr>
        <w:t xml:space="preserve">Primary care in </w:t>
      </w:r>
      <w:r w:rsidR="0035325A" w:rsidRPr="0035325A">
        <w:rPr>
          <w:b/>
          <w:bCs/>
        </w:rPr>
        <w:t xml:space="preserve">Tully: </w:t>
      </w:r>
      <w:r>
        <w:rPr>
          <w:b/>
          <w:bCs/>
        </w:rPr>
        <w:t>b</w:t>
      </w:r>
      <w:r w:rsidR="0035325A" w:rsidRPr="0035325A">
        <w:rPr>
          <w:b/>
          <w:bCs/>
        </w:rPr>
        <w:t>arriers to access care are multi-dimensional</w:t>
      </w:r>
    </w:p>
    <w:p w14:paraId="6E6A9AC7" w14:textId="3FF70295" w:rsidR="0035325A" w:rsidRDefault="0035325A" w:rsidP="0035325A">
      <w:pPr>
        <w:pStyle w:val="ProjectImplication"/>
      </w:pPr>
      <w:r>
        <w:t xml:space="preserve">Tully is located </w:t>
      </w:r>
      <w:r w:rsidR="00613C43">
        <w:t>two</w:t>
      </w:r>
      <w:r>
        <w:t xml:space="preserve"> hours</w:t>
      </w:r>
      <w:r w:rsidR="00613C43">
        <w:t>’</w:t>
      </w:r>
      <w:r>
        <w:t xml:space="preserve"> drive south of Cairns and </w:t>
      </w:r>
      <w:r w:rsidR="007004AD">
        <w:t>two</w:t>
      </w:r>
      <w:r>
        <w:t xml:space="preserve"> hours north of Townsville. It has a population of approximately 3,000 people. Mission Beach is about 25</w:t>
      </w:r>
      <w:r w:rsidR="00613C43">
        <w:t xml:space="preserve"> kilometres</w:t>
      </w:r>
      <w:r>
        <w:t xml:space="preserve"> from Tully and has a population of about 4,000. Innisfail is the main service centre for the Cassowary Coast Shire with a population of 10,000. </w:t>
      </w:r>
    </w:p>
    <w:p w14:paraId="0AC0BE34" w14:textId="72F67AA1" w:rsidR="0035325A" w:rsidRDefault="0035325A" w:rsidP="0035325A">
      <w:pPr>
        <w:pStyle w:val="ProjectImplication"/>
      </w:pPr>
      <w:r>
        <w:t xml:space="preserve">There is one private general practice in Tully. The Tully Medical Centre has </w:t>
      </w:r>
      <w:r w:rsidR="007004AD">
        <w:t>two</w:t>
      </w:r>
      <w:r>
        <w:t xml:space="preserve"> full-time fellows (one of which is the practice principal) and currently four GP registrars. However, this</w:t>
      </w:r>
      <w:r w:rsidR="00CC1279">
        <w:t xml:space="preserve"> staffing level </w:t>
      </w:r>
      <w:r>
        <w:t>fluctuates</w:t>
      </w:r>
      <w:r w:rsidR="00CC1279">
        <w:t>,</w:t>
      </w:r>
      <w:r>
        <w:t xml:space="preserve"> depend</w:t>
      </w:r>
      <w:r w:rsidR="00CC1279">
        <w:t>ing</w:t>
      </w:r>
      <w:r>
        <w:t xml:space="preserve"> on the number of registrars allocated by the Regional Training Provider. The practice principal also services the residential aged care facility in Tully. The Medical Centre is heavily booked with a waiting time of </w:t>
      </w:r>
      <w:r w:rsidR="00A80A71">
        <w:t>six to eight</w:t>
      </w:r>
      <w:r>
        <w:t xml:space="preserve"> weeks to see the practice principal and about </w:t>
      </w:r>
      <w:r w:rsidR="00A80A71">
        <w:t>two to three</w:t>
      </w:r>
      <w:r>
        <w:t xml:space="preserve"> weeks for appointments with other doctors.</w:t>
      </w:r>
    </w:p>
    <w:p w14:paraId="1F4D98C0" w14:textId="331150CA" w:rsidR="0035325A" w:rsidRDefault="0035325A" w:rsidP="0035325A">
      <w:pPr>
        <w:pStyle w:val="ProjectImplication"/>
      </w:pPr>
      <w:r>
        <w:t>There is one private practice at Mission Beach managed by a small corporate</w:t>
      </w:r>
      <w:r w:rsidR="00CC1279">
        <w:t xml:space="preserve"> provider</w:t>
      </w:r>
      <w:r>
        <w:t>. One GP works in this practice (0.6 FTE) and has closed books.</w:t>
      </w:r>
    </w:p>
    <w:p w14:paraId="7EE9B8A4" w14:textId="77777777" w:rsidR="0035325A" w:rsidRDefault="0035325A" w:rsidP="0035325A">
      <w:pPr>
        <w:pStyle w:val="ProjectImplication"/>
      </w:pPr>
      <w:r>
        <w:t xml:space="preserve">Mamu Aboriginal Health Service is based in Innisfail and provides outreach services to Tully, Babinda and Ravenshoe. A GP services the Tully community one day per week. However, Mamu is experiencing difficulties recruiting doctors. </w:t>
      </w:r>
    </w:p>
    <w:p w14:paraId="675D62F0" w14:textId="0FECA47F" w:rsidR="0035325A" w:rsidRDefault="0035325A" w:rsidP="0035325A">
      <w:pPr>
        <w:pStyle w:val="ProjectImplication"/>
      </w:pPr>
      <w:r>
        <w:t xml:space="preserve">Tully Hospital is staffed </w:t>
      </w:r>
      <w:r w:rsidR="00A80A71">
        <w:t>by eight</w:t>
      </w:r>
      <w:r>
        <w:t xml:space="preserve"> doctors. This includes </w:t>
      </w:r>
      <w:r w:rsidR="00A80A71">
        <w:t>three</w:t>
      </w:r>
      <w:r>
        <w:t xml:space="preserve"> permanent SMO appointments, </w:t>
      </w:r>
      <w:r w:rsidR="00A80A71">
        <w:t>four</w:t>
      </w:r>
      <w:r>
        <w:t xml:space="preserve"> PHOs (two rotating from Cairns Hospital and two rotating from Innisfail Hospital) and </w:t>
      </w:r>
      <w:r w:rsidR="00A80A71">
        <w:t>one</w:t>
      </w:r>
      <w:r>
        <w:t xml:space="preserve"> SMO (temporary appointment) funded through </w:t>
      </w:r>
      <w:r w:rsidR="00CC1279">
        <w:t xml:space="preserve">Initiative </w:t>
      </w:r>
      <w:r>
        <w:t xml:space="preserve">revenue. Tully Hospital is currently funded for </w:t>
      </w:r>
      <w:r w:rsidR="00A80A71">
        <w:t>nine</w:t>
      </w:r>
      <w:r>
        <w:t xml:space="preserve"> acute care beds but can operate up to 20 beds (if funded).</w:t>
      </w:r>
    </w:p>
    <w:p w14:paraId="04A978AB" w14:textId="21529561" w:rsidR="0035325A" w:rsidRDefault="0035325A" w:rsidP="0035325A">
      <w:pPr>
        <w:pStyle w:val="ProjectImplication"/>
      </w:pPr>
      <w:r>
        <w:t xml:space="preserve">In addition to the ED, Tully Hospital operates a GP clinic with booked appointments (18 per day) </w:t>
      </w:r>
      <w:r w:rsidR="00A80A71">
        <w:t>three</w:t>
      </w:r>
      <w:r>
        <w:t xml:space="preserve"> days per week and </w:t>
      </w:r>
      <w:r w:rsidR="00A80A71">
        <w:t>two</w:t>
      </w:r>
      <w:r>
        <w:t xml:space="preserve"> afternoons. One SMO is rostered onto the GP clinic each day with the roster shared between three resident doctors. There is a two</w:t>
      </w:r>
      <w:r w:rsidR="00A80A71">
        <w:t>-</w:t>
      </w:r>
      <w:r>
        <w:t xml:space="preserve">week waiting list. </w:t>
      </w:r>
    </w:p>
    <w:p w14:paraId="348D94CC" w14:textId="058562D6" w:rsidR="0035325A" w:rsidRDefault="0035325A" w:rsidP="0035325A">
      <w:pPr>
        <w:pStyle w:val="ProjectImplication"/>
      </w:pPr>
      <w:r>
        <w:t>Tully Hospital ED sees about 40</w:t>
      </w:r>
      <w:r w:rsidR="00CC1279">
        <w:t xml:space="preserve"> to </w:t>
      </w:r>
      <w:r>
        <w:t>50 patients per day when there is no GP clinic. When the clinic operates, ED sees about 22 patients (including after-hours</w:t>
      </w:r>
      <w:r w:rsidR="00CC1279">
        <w:t xml:space="preserve"> presentations</w:t>
      </w:r>
      <w:r>
        <w:t>). The shortage of GPs in the community, low socio</w:t>
      </w:r>
      <w:r w:rsidR="00A54AC6">
        <w:t>-</w:t>
      </w:r>
      <w:r>
        <w:t>eco</w:t>
      </w:r>
      <w:r w:rsidR="00A54AC6">
        <w:t>no</w:t>
      </w:r>
      <w:r>
        <w:t xml:space="preserve">mic </w:t>
      </w:r>
      <w:r>
        <w:t>status</w:t>
      </w:r>
      <w:r w:rsidR="00CC1279">
        <w:t xml:space="preserve"> of the area</w:t>
      </w:r>
      <w:r>
        <w:t>, and farm workers who cannot access medical services during the day, results in high use of the hospital clinic and ED.</w:t>
      </w:r>
    </w:p>
    <w:p w14:paraId="2E0A4FD3" w14:textId="77777777" w:rsidR="00CC1279" w:rsidRPr="00CC1279" w:rsidRDefault="00CC1279" w:rsidP="00CC1279">
      <w:pPr>
        <w:pStyle w:val="ProjectImplication"/>
        <w:rPr>
          <w:b/>
          <w:bCs/>
        </w:rPr>
      </w:pPr>
      <w:r w:rsidRPr="00CC1279">
        <w:rPr>
          <w:b/>
          <w:bCs/>
        </w:rPr>
        <w:t>Key challenges impacting on patient access to care for the Tully and Mission Beach communities</w:t>
      </w:r>
    </w:p>
    <w:p w14:paraId="6B3D2E4E" w14:textId="168D0162" w:rsidR="00CC1279" w:rsidRDefault="00CC1279" w:rsidP="00CC1279">
      <w:pPr>
        <w:pStyle w:val="ProjectImplication"/>
      </w:pPr>
      <w:r>
        <w:t xml:space="preserve"> - </w:t>
      </w:r>
      <w:r w:rsidRPr="00CC1279">
        <w:rPr>
          <w:b/>
          <w:bCs/>
        </w:rPr>
        <w:t>Affordability:</w:t>
      </w:r>
      <w:r w:rsidR="009A4F03">
        <w:rPr>
          <w:b/>
          <w:bCs/>
        </w:rPr>
        <w:t xml:space="preserve"> </w:t>
      </w:r>
      <w:r>
        <w:t>(1) p</w:t>
      </w:r>
      <w:r w:rsidRPr="00CC1279">
        <w:t xml:space="preserve">rivate practice is not financially viable on bulk billing and patients are charged a private fee. The rural BB item number (10991) is only for Health </w:t>
      </w:r>
      <w:r w:rsidR="007004AD">
        <w:t>C</w:t>
      </w:r>
      <w:r w:rsidRPr="00CC1279">
        <w:t xml:space="preserve">are cardholders and </w:t>
      </w:r>
      <w:r w:rsidR="007004AD">
        <w:t>u</w:t>
      </w:r>
      <w:r w:rsidRPr="00CC1279">
        <w:t>nder 16</w:t>
      </w:r>
      <w:r w:rsidR="00613C43">
        <w:t>-</w:t>
      </w:r>
      <w:r w:rsidRPr="00CC1279">
        <w:t>year</w:t>
      </w:r>
      <w:r w:rsidR="00613C43">
        <w:t>-</w:t>
      </w:r>
      <w:r w:rsidRPr="00CC1279">
        <w:t>olds. The rebate is $9 and even when added to standard item 23</w:t>
      </w:r>
      <w:r w:rsidR="00A80A71">
        <w:t>,</w:t>
      </w:r>
      <w:r w:rsidRPr="00CC1279">
        <w:t xml:space="preserve"> it is about $35 less than the private fee</w:t>
      </w:r>
      <w:r w:rsidR="00A80A71">
        <w:t>.</w:t>
      </w:r>
      <w:r>
        <w:t xml:space="preserve"> (2) </w:t>
      </w:r>
      <w:r w:rsidRPr="00CC1279">
        <w:t>Patients have variable capacity to pay</w:t>
      </w:r>
      <w:r w:rsidR="00A80A71">
        <w:t>,</w:t>
      </w:r>
      <w:r w:rsidRPr="00CC1279">
        <w:t xml:space="preserve"> which puts pressure on ED</w:t>
      </w:r>
    </w:p>
    <w:p w14:paraId="44492083" w14:textId="04EF1BCE" w:rsidR="00CC1279" w:rsidRDefault="00CC1279" w:rsidP="00CC1279">
      <w:pPr>
        <w:pStyle w:val="ProjectImplication"/>
      </w:pPr>
      <w:r>
        <w:t xml:space="preserve"> - </w:t>
      </w:r>
      <w:r w:rsidRPr="00CC1279">
        <w:rPr>
          <w:b/>
          <w:bCs/>
        </w:rPr>
        <w:t>Timeliness</w:t>
      </w:r>
      <w:r>
        <w:t>: (1)</w:t>
      </w:r>
      <w:r w:rsidR="00E109A1">
        <w:t xml:space="preserve"> </w:t>
      </w:r>
      <w:r>
        <w:t xml:space="preserve">there is a </w:t>
      </w:r>
      <w:r w:rsidR="00A80A71">
        <w:t>six to eight</w:t>
      </w:r>
      <w:r>
        <w:t xml:space="preserve"> week wait for appointment with GP fellow at private practice, </w:t>
      </w:r>
      <w:r w:rsidR="00A80A71">
        <w:t>two</w:t>
      </w:r>
      <w:r>
        <w:t xml:space="preserve"> weeks for GP registrars;</w:t>
      </w:r>
      <w:r w:rsidR="009A4F03">
        <w:t xml:space="preserve"> </w:t>
      </w:r>
      <w:r w:rsidR="00A80A71">
        <w:t>two-</w:t>
      </w:r>
      <w:r>
        <w:t>week wait at Tully GP clinic; and the solo practice at Mission Beach has closed books</w:t>
      </w:r>
    </w:p>
    <w:p w14:paraId="4F8EDD4B" w14:textId="5BD82DFD" w:rsidR="00CC1279" w:rsidRPr="00CC1279" w:rsidRDefault="00CC1279" w:rsidP="00CC1279">
      <w:pPr>
        <w:pStyle w:val="ProjectImplication"/>
      </w:pPr>
      <w:r>
        <w:t xml:space="preserve"> - </w:t>
      </w:r>
      <w:r w:rsidRPr="00CC1279">
        <w:rPr>
          <w:b/>
          <w:bCs/>
        </w:rPr>
        <w:t xml:space="preserve">Systems to support quality primary </w:t>
      </w:r>
      <w:r w:rsidR="00E419DC">
        <w:rPr>
          <w:b/>
          <w:bCs/>
        </w:rPr>
        <w:t>healthcare</w:t>
      </w:r>
      <w:r w:rsidRPr="00CC1279">
        <w:rPr>
          <w:b/>
          <w:bCs/>
        </w:rPr>
        <w:t>:</w:t>
      </w:r>
      <w:r>
        <w:t xml:space="preserve"> w</w:t>
      </w:r>
      <w:r w:rsidRPr="00CC1279">
        <w:t>hile Tully Hospital GP Clinic has River Medical</w:t>
      </w:r>
      <w:r w:rsidR="007004AD">
        <w:t xml:space="preserve"> – </w:t>
      </w:r>
      <w:r w:rsidR="00E109A1">
        <w:t>(Communicare)</w:t>
      </w:r>
      <w:r w:rsidRPr="00CC1279">
        <w:t xml:space="preserve"> in place, systems have not yet been operationalised to support health assessments and care plans. This is a focus of future work.</w:t>
      </w:r>
    </w:p>
    <w:p w14:paraId="3F8CFF19" w14:textId="67EA6EB5" w:rsidR="00CC1279" w:rsidRDefault="00CC1279" w:rsidP="00AE274F">
      <w:pPr>
        <w:pStyle w:val="ProjectImplication"/>
      </w:pPr>
      <w:r w:rsidRPr="00AE274F">
        <w:rPr>
          <w:b/>
          <w:bCs/>
        </w:rPr>
        <w:t>The Tully Case Study highlights the ongoing challenges of building medical workforce capacity</w:t>
      </w:r>
      <w:r>
        <w:t>. For private practice this includes the viability of the practice where it has fluctuating GP registrar numbers</w:t>
      </w:r>
      <w:r w:rsidR="007004AD">
        <w:t>. This</w:t>
      </w:r>
      <w:r>
        <w:t xml:space="preserve"> impacts on revenue and forward planning and difficulties attracting GP registrars where the practice is competing with Queensland Health medical awards</w:t>
      </w:r>
      <w:r w:rsidR="00D76435">
        <w:t xml:space="preserve">, i.e. </w:t>
      </w:r>
      <w:r>
        <w:t xml:space="preserve">registrars take a pay drop when </w:t>
      </w:r>
      <w:r w:rsidR="00AE274F">
        <w:t xml:space="preserve">they </w:t>
      </w:r>
      <w:r>
        <w:t>leave the hospital setting (</w:t>
      </w:r>
      <w:r w:rsidR="00AE274F">
        <w:t xml:space="preserve">they now have a financial incentive to pursue the </w:t>
      </w:r>
      <w:r>
        <w:t xml:space="preserve">RG pathway). A similar issue is faced by Mamu Aboriginal Health </w:t>
      </w:r>
      <w:r w:rsidR="000B18D3">
        <w:t>Service</w:t>
      </w:r>
      <w:r>
        <w:t xml:space="preserve">. </w:t>
      </w:r>
    </w:p>
    <w:p w14:paraId="18ABA458" w14:textId="17B28D20" w:rsidR="0035325A" w:rsidRDefault="00CC1279" w:rsidP="00AE274F">
      <w:pPr>
        <w:pStyle w:val="ProjectImplication"/>
      </w:pPr>
      <w:r>
        <w:t>Tully Hospital is seeking to become a GP/RG training practice but will need to become accredited under the</w:t>
      </w:r>
      <w:r w:rsidR="0090321E">
        <w:t xml:space="preserve"> Royal Australian College of General Practitioners</w:t>
      </w:r>
      <w:r>
        <w:t xml:space="preserve"> </w:t>
      </w:r>
      <w:r w:rsidR="0090321E">
        <w:t>(</w:t>
      </w:r>
      <w:r>
        <w:t>RACGP</w:t>
      </w:r>
      <w:r w:rsidR="0090321E">
        <w:t>)</w:t>
      </w:r>
      <w:r>
        <w:t xml:space="preserve"> standards. Currently there is very limited practice management capability within the HHS to support accreditation. However, consideration could be given to shared GP training positions between the hospital and Tully Medical Practice.</w:t>
      </w:r>
    </w:p>
    <w:p w14:paraId="3A16BD09" w14:textId="0DCA8017" w:rsidR="00FA2076" w:rsidRDefault="00FA2076" w:rsidP="00FA2076"/>
    <w:p w14:paraId="2CA0B079" w14:textId="4D5C80D5" w:rsidR="00FA2076" w:rsidRDefault="00FA2076" w:rsidP="00FA2076"/>
    <w:p w14:paraId="77D33AE3" w14:textId="262A4433" w:rsidR="00FA2076" w:rsidRDefault="00FA2076" w:rsidP="00FA2076">
      <w:r w:rsidRPr="00FA2076">
        <w:lastRenderedPageBreak/>
        <w:t xml:space="preserve">When considered in the context of the access dimensions summarised above, the Initiative is not designed to address many of the factors continuing to impede access to primary </w:t>
      </w:r>
      <w:r w:rsidR="00E419DC">
        <w:t>healthcare</w:t>
      </w:r>
      <w:r w:rsidRPr="00FA2076">
        <w:t xml:space="preserve"> </w:t>
      </w:r>
      <w:r w:rsidR="00E53A47">
        <w:t>at participating</w:t>
      </w:r>
      <w:r w:rsidRPr="00FA2076">
        <w:t xml:space="preserve"> sites. Importantly, the Initiative cannot be expected to be sufficiently nuanced to address this range of access issues; this is because the Initiative </w:t>
      </w:r>
      <w:r w:rsidR="00E53A47">
        <w:t xml:space="preserve">is </w:t>
      </w:r>
      <w:r w:rsidRPr="00FA2076">
        <w:t xml:space="preserve">essentially </w:t>
      </w:r>
      <w:r w:rsidR="00E53A47">
        <w:t xml:space="preserve">designed to </w:t>
      </w:r>
      <w:r w:rsidRPr="00FA2076">
        <w:t xml:space="preserve">facilitate access to a funding stream </w:t>
      </w:r>
      <w:r w:rsidR="00E53A47">
        <w:t xml:space="preserve">(the MBS program), </w:t>
      </w:r>
      <w:r w:rsidRPr="00FA2076">
        <w:t>supported by some broad principles about how the accessed funds should be reinvested.</w:t>
      </w:r>
      <w:r w:rsidR="00E53A47">
        <w:t xml:space="preserve"> The nature of this policy instrument design means the Initiative cannot be expected to solve the large variability in access issues that are experienced by different rural and remote communities; each of these </w:t>
      </w:r>
      <w:r w:rsidR="00065C89">
        <w:t>communities has</w:t>
      </w:r>
      <w:r w:rsidR="00E53A47">
        <w:t xml:space="preserve"> </w:t>
      </w:r>
      <w:r w:rsidR="0090321E">
        <w:t xml:space="preserve">a </w:t>
      </w:r>
      <w:r w:rsidR="00E53A47">
        <w:t>unique</w:t>
      </w:r>
      <w:r w:rsidR="0090321E">
        <w:t xml:space="preserve"> combination of</w:t>
      </w:r>
      <w:r w:rsidR="00E53A47">
        <w:t xml:space="preserve"> access issues.</w:t>
      </w:r>
    </w:p>
    <w:p w14:paraId="62EE92C9" w14:textId="02C457A0" w:rsidR="00E11216" w:rsidRDefault="00E11216" w:rsidP="00E11216">
      <w:r>
        <w:t xml:space="preserve">We suspect the $13.6 million of annual MBS top-up funding provided under the Initiative is relatively low when compared to the underlying health needs of the communities where the participating sites operate. But it would be misleading to not consider the extensive range of other services that are funded in these rural and remote areas; these include </w:t>
      </w:r>
      <w:r w:rsidRPr="00E11216">
        <w:t xml:space="preserve">services funded </w:t>
      </w:r>
      <w:r w:rsidR="00E109A1">
        <w:t xml:space="preserve">or commissioned </w:t>
      </w:r>
      <w:r w:rsidRPr="00E11216">
        <w:t>by RWAs, PHNs, NDIS, and locally available community support services</w:t>
      </w:r>
      <w:r>
        <w:t xml:space="preserve"> delivered by LHNs and local government.</w:t>
      </w:r>
    </w:p>
    <w:p w14:paraId="33447972" w14:textId="016F652B" w:rsidR="00E87779" w:rsidRDefault="00E87779" w:rsidP="00E87779">
      <w:pPr>
        <w:pStyle w:val="Heading4"/>
      </w:pPr>
      <w:r>
        <w:t xml:space="preserve">Ongoing barriers to care: </w:t>
      </w:r>
      <w:r w:rsidR="00DE5CEB">
        <w:t>S</w:t>
      </w:r>
      <w:r>
        <w:t>ummary assessment</w:t>
      </w:r>
    </w:p>
    <w:p w14:paraId="64F3CFCC" w14:textId="73B9FAC4" w:rsidR="00E87779" w:rsidRDefault="00E87779" w:rsidP="00E87779">
      <w:r>
        <w:t>Based on the analysis presented above</w:t>
      </w:r>
      <w:r w:rsidR="007004AD">
        <w:t>,</w:t>
      </w:r>
      <w:r>
        <w:t xml:space="preserve"> the evaluation team reached the following conclusions:</w:t>
      </w:r>
    </w:p>
    <w:p w14:paraId="03674B28" w14:textId="7EE7B523" w:rsidR="009A1314" w:rsidRDefault="00652783" w:rsidP="001665A3">
      <w:pPr>
        <w:pStyle w:val="Finding"/>
      </w:pPr>
      <w:r>
        <w:t xml:space="preserve">The Initiative program design – with its reliance on MBS billing to determine the level of top-up revenue to a site – does not vary resourcing according to a range of other underlying access problems encountered by communities residing in outer rural and remote </w:t>
      </w:r>
      <w:r w:rsidR="007004AD">
        <w:t>areas</w:t>
      </w:r>
      <w:r>
        <w:t xml:space="preserve">; the mix of these problems is highly variable by site and relates to service availability of primary care services other than emergency care, geographic proximity to services, affordability, system navigation by patients, cultural acceptability, and health literacy. </w:t>
      </w:r>
    </w:p>
    <w:p w14:paraId="5F2B34BC" w14:textId="48E279AE" w:rsidR="004F3EE1" w:rsidRDefault="004F3EE1" w:rsidP="004F3EE1"/>
    <w:p w14:paraId="3362DA2F" w14:textId="77777777" w:rsidR="004F3EE1" w:rsidRPr="004F3EE1" w:rsidRDefault="004F3EE1" w:rsidP="004F3EE1"/>
    <w:p w14:paraId="01E19D93" w14:textId="4F986CFF" w:rsidR="008E39DC" w:rsidRDefault="00357BA0" w:rsidP="001665A3">
      <w:pPr>
        <w:pStyle w:val="Finding"/>
      </w:pPr>
      <w:bookmarkStart w:id="135" w:name="_Hlk76030254"/>
      <w:r>
        <w:t xml:space="preserve">It was beyond the scope of the </w:t>
      </w:r>
      <w:r w:rsidR="00652783">
        <w:t xml:space="preserve">project to assess </w:t>
      </w:r>
      <w:r>
        <w:t xml:space="preserve">levels of funding under the Initiative relative to </w:t>
      </w:r>
      <w:r w:rsidR="00652783">
        <w:t>the underlying health needs of the community where they operate.</w:t>
      </w:r>
      <w:bookmarkEnd w:id="135"/>
      <w:r w:rsidR="00652783">
        <w:t xml:space="preserve"> </w:t>
      </w:r>
      <w:r w:rsidR="009F6C23">
        <w:t>Such an analysis</w:t>
      </w:r>
      <w:r w:rsidR="00652783">
        <w:t xml:space="preserve"> would require access to a</w:t>
      </w:r>
      <w:r w:rsidR="00122C22">
        <w:t>n extensive r</w:t>
      </w:r>
      <w:r w:rsidR="00652783">
        <w:t>ange of additional data sets</w:t>
      </w:r>
      <w:r w:rsidR="00122C22">
        <w:t xml:space="preserve">. </w:t>
      </w:r>
      <w:r w:rsidR="00652783">
        <w:t xml:space="preserve">Comprehensive analysis of </w:t>
      </w:r>
      <w:r w:rsidR="00122C22">
        <w:t xml:space="preserve">underlying needs </w:t>
      </w:r>
      <w:r w:rsidR="00E11216">
        <w:t xml:space="preserve">assessment within a health service catchment </w:t>
      </w:r>
      <w:r w:rsidR="00122C22">
        <w:t xml:space="preserve">would </w:t>
      </w:r>
      <w:r w:rsidR="00F17A46">
        <w:t>have</w:t>
      </w:r>
      <w:r w:rsidR="00122C22">
        <w:t xml:space="preserve"> to examine</w:t>
      </w:r>
      <w:r w:rsidR="00E11216">
        <w:t xml:space="preserve">, </w:t>
      </w:r>
      <w:r w:rsidR="00E11216" w:rsidRPr="00E11216">
        <w:rPr>
          <w:i/>
          <w:iCs/>
        </w:rPr>
        <w:t xml:space="preserve">inter </w:t>
      </w:r>
      <w:r w:rsidR="009F6C23" w:rsidRPr="00E11216">
        <w:rPr>
          <w:i/>
          <w:iCs/>
        </w:rPr>
        <w:t>alia</w:t>
      </w:r>
      <w:r w:rsidR="009F6C23">
        <w:t>:</w:t>
      </w:r>
      <w:r w:rsidR="00652783">
        <w:t xml:space="preserve"> rates of chronic disease, complex conditions and avoidable hospital admissions</w:t>
      </w:r>
      <w:r w:rsidR="007004AD">
        <w:t>,</w:t>
      </w:r>
      <w:r w:rsidR="00652783">
        <w:t xml:space="preserve"> and access to non-medical primary </w:t>
      </w:r>
      <w:r w:rsidR="00E419DC">
        <w:t>healthcare</w:t>
      </w:r>
      <w:r w:rsidR="00E11216">
        <w:t xml:space="preserve">, including services funded </w:t>
      </w:r>
      <w:r w:rsidR="00E109A1">
        <w:t xml:space="preserve">or commissioned </w:t>
      </w:r>
      <w:r w:rsidR="00E11216">
        <w:t>by RWAs, PHNs, NDIS,</w:t>
      </w:r>
      <w:r w:rsidR="00652783">
        <w:t xml:space="preserve"> and </w:t>
      </w:r>
      <w:r w:rsidR="00E11216">
        <w:t xml:space="preserve">locally available </w:t>
      </w:r>
      <w:r w:rsidR="00652783">
        <w:t>community support service</w:t>
      </w:r>
      <w:r w:rsidR="00122C22">
        <w:t>s</w:t>
      </w:r>
      <w:r w:rsidR="00652783">
        <w:t>.</w:t>
      </w:r>
      <w:r w:rsidR="001A2100">
        <w:t xml:space="preserve"> </w:t>
      </w:r>
    </w:p>
    <w:p w14:paraId="76F7E9F4" w14:textId="586D91C0" w:rsidR="00014F14" w:rsidRDefault="00014F14" w:rsidP="001665A3">
      <w:pPr>
        <w:pStyle w:val="Finding"/>
      </w:pPr>
      <w:r>
        <w:t xml:space="preserve">Although there are limitations on the capacity of the Initiative to address ongoing structural problems </w:t>
      </w:r>
      <w:r w:rsidR="00982086">
        <w:t>contributing to the</w:t>
      </w:r>
      <w:r>
        <w:t xml:space="preserve"> underlying health needs of outer rural and remote communities, caution must be exercised</w:t>
      </w:r>
      <w:r w:rsidR="003A13B6">
        <w:t>. We are not advocating an</w:t>
      </w:r>
      <w:r>
        <w:t xml:space="preserve"> unpicking </w:t>
      </w:r>
      <w:r w:rsidR="003A13B6">
        <w:t xml:space="preserve">of </w:t>
      </w:r>
      <w:r>
        <w:t>the current arrangements</w:t>
      </w:r>
      <w:r w:rsidR="003A13B6">
        <w:t xml:space="preserve"> without </w:t>
      </w:r>
      <w:r w:rsidR="0090321E">
        <w:t>certainty</w:t>
      </w:r>
      <w:r w:rsidR="003A13B6">
        <w:t xml:space="preserve"> that better funding mechanisms could be</w:t>
      </w:r>
      <w:r w:rsidR="00982086">
        <w:t xml:space="preserve"> impl</w:t>
      </w:r>
      <w:r w:rsidR="00F862C7">
        <w:t>e</w:t>
      </w:r>
      <w:r w:rsidR="00982086">
        <w:t>mented</w:t>
      </w:r>
      <w:r>
        <w:t xml:space="preserve">. A unilateral withdrawal of the current funding would have </w:t>
      </w:r>
      <w:r w:rsidR="00B51003">
        <w:t>a harmful</w:t>
      </w:r>
      <w:r>
        <w:t xml:space="preserve"> impact on access to primary </w:t>
      </w:r>
      <w:r w:rsidR="00E419DC">
        <w:t>healthcare</w:t>
      </w:r>
      <w:r>
        <w:t xml:space="preserve"> services in locations </w:t>
      </w:r>
      <w:r w:rsidR="005A327F">
        <w:t xml:space="preserve">currently </w:t>
      </w:r>
      <w:r>
        <w:t>receiving f</w:t>
      </w:r>
      <w:r w:rsidR="00D11D97">
        <w:t>u</w:t>
      </w:r>
      <w:r>
        <w:t>nding under the Initiative.</w:t>
      </w:r>
    </w:p>
    <w:p w14:paraId="779490F8" w14:textId="10302974" w:rsidR="00A447D8" w:rsidRDefault="00A447D8" w:rsidP="00A447D8">
      <w:pPr>
        <w:pStyle w:val="SectionTitle"/>
      </w:pPr>
      <w:bookmarkStart w:id="136" w:name="_Toc85203308"/>
      <w:r>
        <w:t>Overall evaluation assessment</w:t>
      </w:r>
      <w:bookmarkEnd w:id="136"/>
    </w:p>
    <w:p w14:paraId="2D5520F2" w14:textId="442F2375" w:rsidR="0048304A" w:rsidRDefault="00034AA5" w:rsidP="00A447D8">
      <w:pPr>
        <w:pStyle w:val="BodyCopy"/>
      </w:pPr>
      <w:r>
        <w:t>Based on the detailed assessment</w:t>
      </w:r>
      <w:r w:rsidR="0048304A">
        <w:t xml:space="preserve"> provided above,</w:t>
      </w:r>
      <w:r>
        <w:t xml:space="preserve"> the evaluation team </w:t>
      </w:r>
      <w:r w:rsidR="005F293A">
        <w:t>formed the following overall assessment of the Initiative operations and its impacts presented below.</w:t>
      </w:r>
    </w:p>
    <w:p w14:paraId="28AC6459" w14:textId="77777777" w:rsidR="00E55A9E" w:rsidRDefault="00E55A9E" w:rsidP="00E55A9E">
      <w:pPr>
        <w:pStyle w:val="Heading4"/>
      </w:pPr>
      <w:r>
        <w:t>Effectiveness</w:t>
      </w:r>
    </w:p>
    <w:p w14:paraId="33574073" w14:textId="7CCF5C58" w:rsidR="005F293A" w:rsidRDefault="008B1642" w:rsidP="0048304A">
      <w:pPr>
        <w:pStyle w:val="BodyCopy"/>
      </w:pPr>
      <w:r>
        <w:t>With respect to effectiveness in meeting overall objectives</w:t>
      </w:r>
      <w:r w:rsidR="00964919">
        <w:t>,</w:t>
      </w:r>
      <w:r>
        <w:t xml:space="preserve"> we found that </w:t>
      </w:r>
      <w:r w:rsidR="0048304A">
        <w:t>t</w:t>
      </w:r>
      <w:r w:rsidR="005F293A">
        <w:t xml:space="preserve">he Initiative </w:t>
      </w:r>
      <w:r w:rsidR="005F293A" w:rsidRPr="005F293A">
        <w:t>improved access to urgen</w:t>
      </w:r>
      <w:r w:rsidR="005F293A">
        <w:t>t</w:t>
      </w:r>
      <w:r w:rsidR="005F293A" w:rsidRPr="005F293A">
        <w:t xml:space="preserve"> medical care and after-hours services at </w:t>
      </w:r>
      <w:r w:rsidR="0048304A">
        <w:t>a large proportion of</w:t>
      </w:r>
      <w:r w:rsidR="005F293A" w:rsidRPr="005F293A">
        <w:t xml:space="preserve"> participating sites.</w:t>
      </w:r>
      <w:r w:rsidR="005F293A">
        <w:t xml:space="preserve"> It has also contributed to increased availability of primary care services in </w:t>
      </w:r>
      <w:r w:rsidR="0048304A">
        <w:t>many</w:t>
      </w:r>
      <w:r w:rsidR="005F293A">
        <w:t xml:space="preserve"> locations.</w:t>
      </w:r>
      <w:r w:rsidR="0048304A">
        <w:t xml:space="preserve"> </w:t>
      </w:r>
      <w:r w:rsidR="005F293A">
        <w:t xml:space="preserve">Much of the MBS revenue reinvestment was allocated to medical officer remuneration to support </w:t>
      </w:r>
      <w:r w:rsidR="005F293A" w:rsidRPr="005F293A">
        <w:t>acute hospital emergency services</w:t>
      </w:r>
      <w:r w:rsidR="00D11D97">
        <w:t>.</w:t>
      </w:r>
    </w:p>
    <w:p w14:paraId="7AF3413D" w14:textId="703C79E4" w:rsidR="005F293A" w:rsidRDefault="005F293A" w:rsidP="0048304A">
      <w:r>
        <w:lastRenderedPageBreak/>
        <w:t xml:space="preserve">Nationally </w:t>
      </w:r>
      <w:r w:rsidRPr="005F293A">
        <w:t xml:space="preserve">MBS revenues </w:t>
      </w:r>
      <w:r>
        <w:t xml:space="preserve">under the Initiative </w:t>
      </w:r>
      <w:r w:rsidRPr="005F293A">
        <w:t xml:space="preserve">represented in the order of 6% of modelled salaries and wages of </w:t>
      </w:r>
      <w:r w:rsidR="008B1642">
        <w:t>participating</w:t>
      </w:r>
      <w:r w:rsidRPr="005F293A">
        <w:t xml:space="preserve"> sites, suggesting that </w:t>
      </w:r>
      <w:r w:rsidR="00964919">
        <w:t xml:space="preserve">the </w:t>
      </w:r>
      <w:r w:rsidRPr="005F293A">
        <w:t xml:space="preserve">Initiative is, on average, a reasonably significant contributor to overall revenue of </w:t>
      </w:r>
      <w:r w:rsidR="008B1642">
        <w:t>these sites</w:t>
      </w:r>
      <w:r w:rsidRPr="005F293A">
        <w:t>.</w:t>
      </w:r>
      <w:r>
        <w:t xml:space="preserve"> This proportion varied </w:t>
      </w:r>
      <w:r w:rsidR="008B1642">
        <w:t>significantly by both site and jurisdiction.</w:t>
      </w:r>
    </w:p>
    <w:p w14:paraId="02D72DDB" w14:textId="70A4EB98" w:rsidR="008B1642" w:rsidRDefault="008B1642" w:rsidP="0048304A">
      <w:r>
        <w:t xml:space="preserve">Although the revenues </w:t>
      </w:r>
      <w:r w:rsidR="0048304A">
        <w:t xml:space="preserve">provided under the Initiative </w:t>
      </w:r>
      <w:r>
        <w:t xml:space="preserve">are reasonably significant, </w:t>
      </w:r>
      <w:r w:rsidRPr="008B1642">
        <w:t>the</w:t>
      </w:r>
      <w:r w:rsidR="0048304A">
        <w:t xml:space="preserve"> evaluation observed that the program </w:t>
      </w:r>
      <w:r w:rsidRPr="008B1642">
        <w:t>is not a guarantee of an individual health service’s long-term viability. Historical service delivery arrangements, industrial arrangements, gradual population decline</w:t>
      </w:r>
      <w:r w:rsidR="0048304A">
        <w:t xml:space="preserve"> in rural areas</w:t>
      </w:r>
      <w:r w:rsidRPr="008B1642">
        <w:t>, and the sudden resignation of a key manager or clinician can all interact to threaten the sustainability of health services and compromise the models of clinical care available to some small communities.</w:t>
      </w:r>
    </w:p>
    <w:p w14:paraId="37000454" w14:textId="77777777" w:rsidR="00E55A9E" w:rsidRPr="00A447D8" w:rsidRDefault="00E55A9E" w:rsidP="00E55A9E">
      <w:pPr>
        <w:pStyle w:val="Heading4"/>
      </w:pPr>
      <w:r>
        <w:t>Program design and administration</w:t>
      </w:r>
    </w:p>
    <w:p w14:paraId="6E20330F" w14:textId="7F80B428" w:rsidR="00E55A9E" w:rsidRDefault="008B1642" w:rsidP="00A447D8">
      <w:r>
        <w:t>Our examination of the</w:t>
      </w:r>
      <w:r w:rsidRPr="008B1642">
        <w:t xml:space="preserve"> program’s design and administration</w:t>
      </w:r>
      <w:r>
        <w:t xml:space="preserve"> found that there was strong support for the single eligibility criterion</w:t>
      </w:r>
      <w:r w:rsidR="0048304A">
        <w:t xml:space="preserve"> </w:t>
      </w:r>
      <w:r>
        <w:t xml:space="preserve">that </w:t>
      </w:r>
      <w:r w:rsidRPr="008B1642">
        <w:t xml:space="preserve">public health services </w:t>
      </w:r>
      <w:r>
        <w:t xml:space="preserve">must be </w:t>
      </w:r>
      <w:r w:rsidRPr="008B1642">
        <w:t>based in areas 5 to 7 of the M</w:t>
      </w:r>
      <w:r>
        <w:t xml:space="preserve">odified </w:t>
      </w:r>
      <w:r w:rsidRPr="008B1642">
        <w:t>M</w:t>
      </w:r>
      <w:r>
        <w:t xml:space="preserve">onash </w:t>
      </w:r>
      <w:r w:rsidRPr="008B1642">
        <w:t>M</w:t>
      </w:r>
      <w:r>
        <w:t>odel</w:t>
      </w:r>
      <w:r w:rsidRPr="008B1642">
        <w:t xml:space="preserve"> geographical classification</w:t>
      </w:r>
      <w:r>
        <w:t xml:space="preserve">. There was also support for review mechanisms for sites that are no longer eligible under this criterion; clearer program objectives; and greater transparency in program operations, including publication of MOUs and formalised and regular engagement </w:t>
      </w:r>
      <w:r w:rsidR="0048304A">
        <w:t xml:space="preserve">of site service providers </w:t>
      </w:r>
      <w:r>
        <w:t>with local stakeholders.</w:t>
      </w:r>
    </w:p>
    <w:p w14:paraId="7A262EE7" w14:textId="421B9BAC" w:rsidR="00E55A9E" w:rsidRDefault="008B1642" w:rsidP="00A447D8">
      <w:r>
        <w:t>HMA considered that changes are needed to site reporting</w:t>
      </w:r>
      <w:r w:rsidR="0048304A">
        <w:t xml:space="preserve"> processes</w:t>
      </w:r>
      <w:r>
        <w:t xml:space="preserve"> to make a clearer link between the operational plan, models of care and reinvestment.</w:t>
      </w:r>
      <w:r w:rsidR="0048304A">
        <w:t xml:space="preserve"> We suggest Operational Plans should </w:t>
      </w:r>
      <w:r w:rsidR="00964919">
        <w:t xml:space="preserve">be </w:t>
      </w:r>
      <w:r w:rsidR="0048304A">
        <w:t>refreshed at least once within each MOU cycle.</w:t>
      </w:r>
    </w:p>
    <w:p w14:paraId="0E2652E6" w14:textId="77777777" w:rsidR="00E55A9E" w:rsidRDefault="00E55A9E" w:rsidP="00E55A9E">
      <w:pPr>
        <w:pStyle w:val="Heading4"/>
      </w:pPr>
      <w:r>
        <w:t>Appropriateness</w:t>
      </w:r>
    </w:p>
    <w:p w14:paraId="2E99E602" w14:textId="6ACD4E6E" w:rsidR="0048304A" w:rsidRPr="00A447D8" w:rsidRDefault="00E55A9E" w:rsidP="00A447D8">
      <w:r>
        <w:t>C</w:t>
      </w:r>
      <w:r w:rsidR="0048304A">
        <w:t>onsideration of the Initiative’s appropriateness observed that f</w:t>
      </w:r>
      <w:r w:rsidR="0048304A" w:rsidRPr="0048304A">
        <w:t>unding contributions to different sites resulting from the Initiative can be internally inequitable</w:t>
      </w:r>
      <w:r w:rsidR="0048304A">
        <w:t xml:space="preserve"> </w:t>
      </w:r>
      <w:r w:rsidR="0048304A" w:rsidRPr="0048304A">
        <w:t>– larger sites with more salaried doctors have a greater ability to undertake MBS billing. This characteristic highlights a program</w:t>
      </w:r>
      <w:r w:rsidR="00D11D97">
        <w:t xml:space="preserve"> impact that emerges from its inherent</w:t>
      </w:r>
      <w:r w:rsidR="0048304A" w:rsidRPr="0048304A">
        <w:t xml:space="preserve"> design; MBS revenues of a site are not directly linked to underlying health needs of a community. There is limited capacity to address th</w:t>
      </w:r>
      <w:r w:rsidR="00D11D97">
        <w:t>is</w:t>
      </w:r>
      <w:r w:rsidR="0048304A" w:rsidRPr="0048304A">
        <w:t xml:space="preserve"> program characteristic – the foundation of the Initiative is primarily as a top-up to funding, enabled by access to MBS billing. Communities and health service providers need to access other funding sources to address local </w:t>
      </w:r>
      <w:r w:rsidR="00E419DC">
        <w:t>healthcare</w:t>
      </w:r>
      <w:r w:rsidR="0048304A" w:rsidRPr="0048304A">
        <w:t xml:space="preserve"> needs in a more targeted </w:t>
      </w:r>
      <w:r w:rsidR="0048304A" w:rsidRPr="0048304A">
        <w:t xml:space="preserve">way, including programs administered or commissioned by PHNs, RWAs, the NDIS and locally based service </w:t>
      </w:r>
      <w:r w:rsidR="00D11D97">
        <w:t xml:space="preserve">delivered by local </w:t>
      </w:r>
      <w:r w:rsidR="0048304A" w:rsidRPr="0048304A">
        <w:t>providers such as local government and LHNs.</w:t>
      </w:r>
    </w:p>
    <w:p w14:paraId="2A440EB1" w14:textId="77777777" w:rsidR="006F7939" w:rsidRDefault="006F7939" w:rsidP="006F7939">
      <w:pPr>
        <w:sectPr w:rsidR="006F7939" w:rsidSect="00060DDA">
          <w:type w:val="continuous"/>
          <w:pgSz w:w="16838" w:h="11906" w:orient="landscape" w:code="9"/>
          <w:pgMar w:top="737" w:right="1304" w:bottom="1134" w:left="737" w:header="567" w:footer="284" w:gutter="0"/>
          <w:cols w:num="2" w:space="708"/>
          <w:docGrid w:linePitch="360"/>
        </w:sectPr>
      </w:pPr>
    </w:p>
    <w:p w14:paraId="50BD3DA8" w14:textId="3981F906" w:rsidR="006F7939" w:rsidRDefault="006F7939" w:rsidP="006F7939">
      <w:pPr>
        <w:pStyle w:val="Heading1"/>
        <w:framePr w:wrap="around"/>
      </w:pPr>
      <w:bookmarkStart w:id="137" w:name="_Toc85203309"/>
      <w:r>
        <w:lastRenderedPageBreak/>
        <w:t xml:space="preserve">The way forward: </w:t>
      </w:r>
      <w:r w:rsidR="00DE5CEB">
        <w:t>Options for program refinement</w:t>
      </w:r>
      <w:bookmarkEnd w:id="137"/>
    </w:p>
    <w:p w14:paraId="08769DE1" w14:textId="086F9610" w:rsidR="00A974F7" w:rsidRDefault="00A974F7" w:rsidP="00A974F7">
      <w:pPr>
        <w:spacing w:before="120"/>
      </w:pPr>
      <w:r w:rsidRPr="00C21C90">
        <w:t>The findings from the evaluation suggest that changes to the current arrangements should be considered to ensure implementation of the Initiative</w:t>
      </w:r>
      <w:r>
        <w:t>:</w:t>
      </w:r>
    </w:p>
    <w:p w14:paraId="49937783" w14:textId="1870F304" w:rsidR="00A974F7" w:rsidRDefault="00FD1760" w:rsidP="00A974F7">
      <w:pPr>
        <w:pStyle w:val="ListBullet"/>
      </w:pPr>
      <w:r>
        <w:t xml:space="preserve">is </w:t>
      </w:r>
      <w:r w:rsidR="00A974F7" w:rsidRPr="00C21C90">
        <w:t xml:space="preserve">responsive to the context in which it is operating </w:t>
      </w:r>
    </w:p>
    <w:p w14:paraId="395CADF6" w14:textId="07A1F3BA" w:rsidR="00A974F7" w:rsidRDefault="00FD1760" w:rsidP="00A974F7">
      <w:pPr>
        <w:pStyle w:val="ListBullet"/>
      </w:pPr>
      <w:r>
        <w:t xml:space="preserve">is </w:t>
      </w:r>
      <w:r w:rsidR="00A974F7" w:rsidRPr="00C21C90">
        <w:t>transparent</w:t>
      </w:r>
      <w:r w:rsidR="00A974F7">
        <w:t xml:space="preserve"> about how it is being administered at Commonwealth, jurisdiction and site levels</w:t>
      </w:r>
      <w:r w:rsidR="0013531F">
        <w:t>,</w:t>
      </w:r>
      <w:r w:rsidR="00A974F7" w:rsidRPr="00C21C90">
        <w:t xml:space="preserve"> and</w:t>
      </w:r>
    </w:p>
    <w:p w14:paraId="338A9A3F" w14:textId="426F13F9" w:rsidR="00A974F7" w:rsidRDefault="00FD1760" w:rsidP="00A974F7">
      <w:pPr>
        <w:pStyle w:val="ListBullet"/>
      </w:pPr>
      <w:r>
        <w:t xml:space="preserve">allows for </w:t>
      </w:r>
      <w:r w:rsidR="00A974F7" w:rsidRPr="00C21C90">
        <w:t>potential benefit</w:t>
      </w:r>
      <w:r w:rsidR="00A974F7">
        <w:t xml:space="preserve">s from the Initiative </w:t>
      </w:r>
      <w:r>
        <w:t>to be</w:t>
      </w:r>
      <w:r w:rsidR="00A974F7" w:rsidRPr="00C21C90">
        <w:t xml:space="preserve"> maximised. </w:t>
      </w:r>
    </w:p>
    <w:p w14:paraId="674C4198" w14:textId="6BA43C6A" w:rsidR="00A974F7" w:rsidRPr="00C21C90" w:rsidRDefault="00A974F7" w:rsidP="00A974F7">
      <w:r w:rsidRPr="00C21C90">
        <w:t xml:space="preserve">In this </w:t>
      </w:r>
      <w:r>
        <w:t>chapter</w:t>
      </w:r>
      <w:r w:rsidRPr="00C21C90">
        <w:t xml:space="preserve"> we outline a continuum of options</w:t>
      </w:r>
      <w:r>
        <w:t>.</w:t>
      </w:r>
      <w:r w:rsidR="008A7AF7">
        <w:t xml:space="preserve"> </w:t>
      </w:r>
    </w:p>
    <w:p w14:paraId="737D54D5" w14:textId="77777777" w:rsidR="00A974F7" w:rsidRPr="00C21C90" w:rsidRDefault="00A974F7" w:rsidP="00A974F7">
      <w:pPr>
        <w:pStyle w:val="Heading2"/>
      </w:pPr>
      <w:bookmarkStart w:id="138" w:name="_Toc75855909"/>
      <w:bookmarkStart w:id="139" w:name="_Toc85203310"/>
      <w:r w:rsidRPr="00C21C90">
        <w:t>Overview of options</w:t>
      </w:r>
      <w:bookmarkEnd w:id="138"/>
      <w:bookmarkEnd w:id="139"/>
    </w:p>
    <w:p w14:paraId="2A2C6FCF" w14:textId="764EF1B8" w:rsidR="00A974F7" w:rsidRPr="00C21C90" w:rsidRDefault="00A974F7" w:rsidP="00A974F7">
      <w:pPr>
        <w:spacing w:before="120"/>
      </w:pPr>
      <w:r w:rsidRPr="00C21C90">
        <w:t xml:space="preserve">The Initiative currently operates in four jurisdictions with differing industrial arrangements to engage their medical workforce. Capacity for revenue generation at a site level is largely dependent on medical workforce </w:t>
      </w:r>
      <w:r w:rsidR="009919C5">
        <w:t xml:space="preserve">availability and associated </w:t>
      </w:r>
      <w:r w:rsidRPr="00C21C90">
        <w:t xml:space="preserve">local service </w:t>
      </w:r>
      <w:r w:rsidR="009919C5">
        <w:t>delivery models</w:t>
      </w:r>
      <w:r w:rsidRPr="00C21C90">
        <w:t xml:space="preserve">. </w:t>
      </w:r>
    </w:p>
    <w:p w14:paraId="05CA1891" w14:textId="77777777" w:rsidR="00A974F7" w:rsidRPr="00C21C90" w:rsidRDefault="00A974F7" w:rsidP="00A974F7">
      <w:pPr>
        <w:spacing w:before="120"/>
      </w:pPr>
      <w:r w:rsidRPr="00C21C90">
        <w:t xml:space="preserve">There is variation in governance and administration of the Initiative between jurisdictions, as well as between LHNs within jurisdictions. External stakeholders identified the need for greater transparency in all aspects of the Initiative from application and operational planning to reinvestment decisions, facilitated by establishing a cycle of planning and review. </w:t>
      </w:r>
    </w:p>
    <w:p w14:paraId="351D2747" w14:textId="2EA81FEF" w:rsidR="00A974F7" w:rsidRPr="00C21C90" w:rsidRDefault="00A974F7" w:rsidP="00A974F7">
      <w:pPr>
        <w:spacing w:before="120"/>
      </w:pPr>
      <w:r w:rsidRPr="00C21C90">
        <w:t>While the Initiative presents a revenue stream to local health services</w:t>
      </w:r>
      <w:r w:rsidR="00FD1760">
        <w:t>,</w:t>
      </w:r>
      <w:r w:rsidRPr="00C21C90">
        <w:t xml:space="preserve"> the median quantum</w:t>
      </w:r>
      <w:r w:rsidR="00985118">
        <w:t xml:space="preserve"> of MBS available for reinvestment </w:t>
      </w:r>
      <w:r w:rsidRPr="00C21C90">
        <w:t xml:space="preserve">available at a community level is relatively modest in the majority of sites. Partnering with local, regional or state-level agencies offers opportunities for joint planning, resource allocation and investment to maximise benefit derived from the Initiative. </w:t>
      </w:r>
    </w:p>
    <w:p w14:paraId="3F1B80DB" w14:textId="77777777" w:rsidR="00A974F7" w:rsidRPr="00C21C90" w:rsidRDefault="00A974F7" w:rsidP="00A974F7">
      <w:r w:rsidRPr="00C21C90">
        <w:t xml:space="preserve">Areas of improvement that we consider should be examined include: </w:t>
      </w:r>
    </w:p>
    <w:p w14:paraId="1D2B2568" w14:textId="77777777" w:rsidR="00A974F7" w:rsidRPr="00C21C90" w:rsidRDefault="00A974F7" w:rsidP="00A974F7">
      <w:pPr>
        <w:pStyle w:val="ListBullet"/>
      </w:pPr>
      <w:r w:rsidRPr="00C21C90">
        <w:t>Clearer principles and objectives to guide the development and implementation of the Initiative in the jurisdictions (</w:t>
      </w:r>
      <w:r w:rsidRPr="00BB1006">
        <w:rPr>
          <w:i/>
          <w:iCs/>
        </w:rPr>
        <w:t>Option 1</w:t>
      </w:r>
      <w:r w:rsidRPr="00C21C90">
        <w:t>)</w:t>
      </w:r>
    </w:p>
    <w:p w14:paraId="1B46C413" w14:textId="77777777" w:rsidR="00A974F7" w:rsidRPr="00C21C90" w:rsidRDefault="00A974F7" w:rsidP="00A974F7">
      <w:pPr>
        <w:pStyle w:val="ListBullet"/>
      </w:pPr>
      <w:r w:rsidRPr="00C21C90">
        <w:t>Revised program governance arrangements (</w:t>
      </w:r>
      <w:r w:rsidRPr="00BB1006">
        <w:rPr>
          <w:i/>
          <w:iCs/>
        </w:rPr>
        <w:t>Option 2</w:t>
      </w:r>
      <w:r w:rsidRPr="00C21C90">
        <w:t>) that expand formalised and required engagement via:</w:t>
      </w:r>
    </w:p>
    <w:p w14:paraId="04DCD6B6" w14:textId="1B87A048" w:rsidR="00A974F7" w:rsidRPr="00C21C90" w:rsidRDefault="00A974F7" w:rsidP="00A974F7">
      <w:pPr>
        <w:pStyle w:val="ListBullet2"/>
      </w:pPr>
      <w:r w:rsidRPr="00C21C90">
        <w:t xml:space="preserve"> </w:t>
      </w:r>
      <w:r w:rsidRPr="00BB1006">
        <w:rPr>
          <w:i/>
          <w:iCs/>
        </w:rPr>
        <w:t>Option 2 (a)</w:t>
      </w:r>
      <w:r w:rsidRPr="00C21C90">
        <w:t>: sub-regional (site level) governance committees, including stakeholders not currently specified in the MOU, such as RWA representatives and local community members, and</w:t>
      </w:r>
    </w:p>
    <w:p w14:paraId="2725B45F" w14:textId="77777777" w:rsidR="00A974F7" w:rsidRPr="00C21C90" w:rsidRDefault="00A974F7" w:rsidP="00A974F7">
      <w:pPr>
        <w:pStyle w:val="ListBullet2"/>
      </w:pPr>
      <w:r w:rsidRPr="00BB1006">
        <w:rPr>
          <w:i/>
          <w:iCs/>
        </w:rPr>
        <w:t>Option 2 (b)</w:t>
      </w:r>
      <w:r w:rsidRPr="00C21C90">
        <w:t xml:space="preserve">: </w:t>
      </w:r>
      <w:bookmarkStart w:id="140" w:name="_Hlk75971076"/>
      <w:r w:rsidRPr="00C21C90">
        <w:t>a Commonwealth/jurisdiction bi-lateral governance committee (one for each participating jurisdiction)</w:t>
      </w:r>
    </w:p>
    <w:bookmarkEnd w:id="140"/>
    <w:p w14:paraId="6C857973" w14:textId="7559AFB8" w:rsidR="00A974F7" w:rsidRPr="00C21C90" w:rsidRDefault="00A974F7" w:rsidP="00A974F7">
      <w:pPr>
        <w:pStyle w:val="ListBullet"/>
      </w:pPr>
      <w:r w:rsidRPr="00C21C90">
        <w:t xml:space="preserve">Establishing mechanisms to maximise benefit to communities through collaborative planning and co-investment </w:t>
      </w:r>
      <w:r w:rsidR="00985118">
        <w:t>by</w:t>
      </w:r>
      <w:r w:rsidRPr="00C21C90">
        <w:t xml:space="preserve"> explor</w:t>
      </w:r>
      <w:r w:rsidR="00985118">
        <w:t>ing</w:t>
      </w:r>
      <w:r w:rsidRPr="00C21C90">
        <w:t xml:space="preserve"> the relationship with other Commonwealth and jurisdiction program investments in the town and its surrounding community</w:t>
      </w:r>
      <w:r>
        <w:t xml:space="preserve"> (</w:t>
      </w:r>
      <w:r w:rsidRPr="00BB1006">
        <w:rPr>
          <w:i/>
          <w:iCs/>
        </w:rPr>
        <w:t>Option 3</w:t>
      </w:r>
      <w:r>
        <w:t>)</w:t>
      </w:r>
      <w:r w:rsidRPr="00C21C90">
        <w:t>,</w:t>
      </w:r>
      <w:r>
        <w:t xml:space="preserve"> and</w:t>
      </w:r>
    </w:p>
    <w:p w14:paraId="579121EB" w14:textId="2F792C0F" w:rsidR="00A974F7" w:rsidRPr="00C21C90" w:rsidRDefault="007E17CF" w:rsidP="00A974F7">
      <w:pPr>
        <w:pStyle w:val="ListBullet"/>
      </w:pPr>
      <w:r>
        <w:t>A</w:t>
      </w:r>
      <w:r w:rsidR="00A974F7" w:rsidRPr="00C21C90">
        <w:t xml:space="preserve">dministrative refinement to program processes (including </w:t>
      </w:r>
      <w:r w:rsidR="00985118">
        <w:t xml:space="preserve">formalised jurisdiction-level </w:t>
      </w:r>
      <w:r w:rsidR="00A974F7" w:rsidRPr="00C21C90">
        <w:t>reporting on reinvestment and a mid-cycle review process for all plans)</w:t>
      </w:r>
      <w:r w:rsidR="0013531F">
        <w:t xml:space="preserve"> </w:t>
      </w:r>
      <w:r w:rsidR="00A974F7">
        <w:t>(</w:t>
      </w:r>
      <w:r w:rsidR="00A974F7" w:rsidRPr="00BB1006">
        <w:rPr>
          <w:i/>
          <w:iCs/>
        </w:rPr>
        <w:t>Option 4</w:t>
      </w:r>
      <w:r w:rsidR="00A974F7">
        <w:t>).</w:t>
      </w:r>
    </w:p>
    <w:p w14:paraId="75CF18FF" w14:textId="29FCC652" w:rsidR="00A974F7" w:rsidRDefault="00A974F7" w:rsidP="00A974F7">
      <w:bookmarkStart w:id="141" w:name="_Toc75855910"/>
      <w:r w:rsidRPr="00BB1006">
        <w:t>These options have been designed to facilitate subsequent negotiation of the new MOU between the Commonwealth and jurisdictions</w:t>
      </w:r>
      <w:r w:rsidR="00985118">
        <w:t xml:space="preserve">. Parties will be able to explore priorities to </w:t>
      </w:r>
      <w:r w:rsidRPr="00BB1006">
        <w:t>progress program enhancement, but</w:t>
      </w:r>
      <w:r w:rsidR="00985118">
        <w:t xml:space="preserve"> the structuring of the options</w:t>
      </w:r>
      <w:r w:rsidRPr="00BB1006">
        <w:t xml:space="preserve"> allow</w:t>
      </w:r>
      <w:r w:rsidR="00985118">
        <w:t>s for</w:t>
      </w:r>
      <w:r w:rsidRPr="00BB1006">
        <w:t xml:space="preserve"> areas of debate/sticking points to be isolated so a consensus view can be more easily identified.</w:t>
      </w:r>
    </w:p>
    <w:p w14:paraId="7F4CACC4" w14:textId="46174744" w:rsidR="00985118" w:rsidRDefault="00985118" w:rsidP="00A974F7">
      <w:r>
        <w:t>During stakeholder discussions for the evaluation</w:t>
      </w:r>
      <w:r w:rsidR="00FD1760">
        <w:t>,</w:t>
      </w:r>
      <w:r>
        <w:t xml:space="preserve"> there was some support for larger changes to funding arrangements for small health services in rural and remote areas. These options for funding redesign raised included:</w:t>
      </w:r>
    </w:p>
    <w:p w14:paraId="6A996C73" w14:textId="5AFA7A1F" w:rsidR="00985118" w:rsidRDefault="00CE14C1" w:rsidP="00985118">
      <w:pPr>
        <w:pStyle w:val="ListBullet"/>
      </w:pPr>
      <w:r>
        <w:t>P</w:t>
      </w:r>
      <w:r w:rsidR="00985118">
        <w:t xml:space="preserve">ooling of funds at a sub-regional level using </w:t>
      </w:r>
      <w:r>
        <w:t xml:space="preserve">revenues </w:t>
      </w:r>
      <w:r w:rsidR="00985118">
        <w:t xml:space="preserve">from the Initiative </w:t>
      </w:r>
      <w:r>
        <w:t xml:space="preserve">together with </w:t>
      </w:r>
      <w:r w:rsidR="00985118">
        <w:t xml:space="preserve">other relevant programs including RWAs, PHNs, NDIS, local government and LHNs, and </w:t>
      </w:r>
    </w:p>
    <w:p w14:paraId="381DCC0A" w14:textId="3CBD9530" w:rsidR="00985118" w:rsidRDefault="00985118" w:rsidP="00985118">
      <w:pPr>
        <w:pStyle w:val="ListBullet"/>
      </w:pPr>
      <w:r>
        <w:t>Place based planning and service development.</w:t>
      </w:r>
    </w:p>
    <w:p w14:paraId="3B8E39C7" w14:textId="02E5F78F" w:rsidR="00985118" w:rsidRDefault="00985118" w:rsidP="00985118">
      <w:r>
        <w:lastRenderedPageBreak/>
        <w:t xml:space="preserve">These options were beyond the scope of this evaluation, which was to focus on the effectiveness, </w:t>
      </w:r>
      <w:r w:rsidR="00DE48A4">
        <w:t xml:space="preserve">program </w:t>
      </w:r>
      <w:r>
        <w:t xml:space="preserve">rules and appropriateness of the Initiative. </w:t>
      </w:r>
    </w:p>
    <w:p w14:paraId="4B56E1AB" w14:textId="43B1DD7B" w:rsidR="007F146D" w:rsidRPr="00BB1006" w:rsidRDefault="007F146D" w:rsidP="00985118">
      <w:r>
        <w:t xml:space="preserve">After the detailed description of each option below we include a summary of the jurisdiction feedback on that option. </w:t>
      </w:r>
    </w:p>
    <w:p w14:paraId="24FEECAB" w14:textId="5A754CBA" w:rsidR="00A974F7" w:rsidRPr="000B2E59" w:rsidRDefault="00A974F7" w:rsidP="000B2E59">
      <w:pPr>
        <w:pStyle w:val="Heading2"/>
        <w:numPr>
          <w:ilvl w:val="0"/>
          <w:numId w:val="0"/>
        </w:numPr>
        <w:rPr>
          <w:rFonts w:eastAsia="Calibri"/>
        </w:rPr>
      </w:pPr>
      <w:bookmarkStart w:id="142" w:name="_Toc85203311"/>
      <w:r w:rsidRPr="000B2E59">
        <w:rPr>
          <w:rFonts w:eastAsia="Calibri"/>
        </w:rPr>
        <w:t xml:space="preserve">Option 1: Administrative refinement of the </w:t>
      </w:r>
      <w:r w:rsidR="00A07293" w:rsidRPr="000B2E59">
        <w:rPr>
          <w:rFonts w:eastAsia="Calibri"/>
        </w:rPr>
        <w:t>Initiative</w:t>
      </w:r>
      <w:bookmarkEnd w:id="141"/>
      <w:bookmarkEnd w:id="142"/>
    </w:p>
    <w:p w14:paraId="62CA23AD" w14:textId="77777777" w:rsidR="00A974F7" w:rsidRPr="00F43EAC" w:rsidRDefault="00A974F7" w:rsidP="00A974F7">
      <w:r w:rsidRPr="00F43EAC">
        <w:rPr>
          <w:b/>
          <w:bCs/>
        </w:rPr>
        <w:t xml:space="preserve">Option scope and rationale: </w:t>
      </w:r>
      <w:r w:rsidRPr="00F43EAC">
        <w:t xml:space="preserve">the principles and objectives of the Initiative should be revised to provide greater clarity to guide the jurisdictions and service providers about their approach to implementation and reinvestment. </w:t>
      </w:r>
    </w:p>
    <w:p w14:paraId="7FC78F97" w14:textId="0F8139C4" w:rsidR="00A974F7" w:rsidRPr="00F43EAC" w:rsidRDefault="00A974F7" w:rsidP="00A974F7">
      <w:r w:rsidRPr="00F43EAC">
        <w:t xml:space="preserve">We suggest the following </w:t>
      </w:r>
      <w:bookmarkStart w:id="143" w:name="_Hlk73391469"/>
      <w:r w:rsidR="00E225E4">
        <w:t xml:space="preserve">current </w:t>
      </w:r>
      <w:r w:rsidRPr="00F43EAC">
        <w:t xml:space="preserve">principles </w:t>
      </w:r>
      <w:r w:rsidR="00E225E4">
        <w:t xml:space="preserve">be rephrased as a preamble </w:t>
      </w:r>
      <w:r w:rsidRPr="00F43EAC">
        <w:t>for a future MOU</w:t>
      </w:r>
      <w:r w:rsidR="00E225E4">
        <w:t>, to</w:t>
      </w:r>
      <w:r w:rsidR="00E225E4" w:rsidRPr="00E225E4">
        <w:t xml:space="preserve"> provide a statement </w:t>
      </w:r>
      <w:r w:rsidR="00E225E4">
        <w:t>about</w:t>
      </w:r>
      <w:r w:rsidR="00E225E4" w:rsidRPr="00E225E4">
        <w:t xml:space="preserve"> the context </w:t>
      </w:r>
      <w:r w:rsidR="00E225E4">
        <w:t>for</w:t>
      </w:r>
      <w:r w:rsidR="00E225E4" w:rsidRPr="00E225E4">
        <w:t xml:space="preserve"> the Initiative </w:t>
      </w:r>
      <w:r w:rsidR="00E225E4">
        <w:t xml:space="preserve">and explaining why it </w:t>
      </w:r>
      <w:r w:rsidR="00E225E4" w:rsidRPr="00E225E4">
        <w:t>was introduced in 2008 and continues to operate</w:t>
      </w:r>
      <w:r w:rsidRPr="00F43EAC">
        <w:t>:</w:t>
      </w:r>
    </w:p>
    <w:p w14:paraId="25DC9BB4" w14:textId="5AC55F23" w:rsidR="00A974F7" w:rsidRPr="00F43EAC" w:rsidRDefault="00A974F7" w:rsidP="00A974F7">
      <w:pPr>
        <w:pStyle w:val="ListBullet"/>
        <w:numPr>
          <w:ilvl w:val="0"/>
          <w:numId w:val="0"/>
        </w:numPr>
        <w:ind w:left="284"/>
        <w:rPr>
          <w:i/>
          <w:iCs/>
        </w:rPr>
      </w:pPr>
      <w:r w:rsidRPr="00F43EAC">
        <w:rPr>
          <w:i/>
          <w:iCs/>
        </w:rPr>
        <w:t>The overarching purpose of the Initiative is to</w:t>
      </w:r>
      <w:r w:rsidR="00AA3848">
        <w:rPr>
          <w:i/>
          <w:iCs/>
        </w:rPr>
        <w:t xml:space="preserve"> facilitate access to an additional funding stream from the Medical Benefits Schedule that can be applied to </w:t>
      </w:r>
      <w:r w:rsidRPr="00F43EAC">
        <w:rPr>
          <w:i/>
          <w:iCs/>
        </w:rPr>
        <w:t>improve access to primary health care in response to identified local priorities</w:t>
      </w:r>
      <w:bookmarkEnd w:id="143"/>
    </w:p>
    <w:p w14:paraId="1B4E0802" w14:textId="5F8B0BD1" w:rsidR="00A974F7" w:rsidRPr="00F43EAC" w:rsidRDefault="00A974F7" w:rsidP="00A974F7">
      <w:pPr>
        <w:pStyle w:val="ListBullet2"/>
        <w:ind w:left="851"/>
        <w:rPr>
          <w:i/>
          <w:iCs/>
        </w:rPr>
      </w:pPr>
      <w:r>
        <w:rPr>
          <w:i/>
          <w:iCs/>
        </w:rPr>
        <w:t>P</w:t>
      </w:r>
      <w:r w:rsidRPr="00F43EAC">
        <w:rPr>
          <w:i/>
          <w:iCs/>
        </w:rPr>
        <w:t xml:space="preserve">riorities for </w:t>
      </w:r>
      <w:r w:rsidR="00E419DC">
        <w:rPr>
          <w:i/>
          <w:iCs/>
        </w:rPr>
        <w:t>reinvestment</w:t>
      </w:r>
      <w:r w:rsidRPr="00F43EAC">
        <w:rPr>
          <w:i/>
          <w:iCs/>
        </w:rPr>
        <w:t xml:space="preserve"> in primary health care </w:t>
      </w:r>
      <w:r>
        <w:rPr>
          <w:i/>
          <w:iCs/>
        </w:rPr>
        <w:t>should be</w:t>
      </w:r>
      <w:r w:rsidRPr="00F43EAC">
        <w:rPr>
          <w:i/>
          <w:iCs/>
        </w:rPr>
        <w:t xml:space="preserve"> informed by local health and workforce needs assessment</w:t>
      </w:r>
    </w:p>
    <w:p w14:paraId="1B95F05F" w14:textId="77777777" w:rsidR="00A974F7" w:rsidRPr="00F43EAC" w:rsidRDefault="00A974F7" w:rsidP="00A974F7">
      <w:pPr>
        <w:pStyle w:val="ListBullet2"/>
        <w:ind w:left="851"/>
        <w:rPr>
          <w:i/>
          <w:iCs/>
        </w:rPr>
      </w:pPr>
      <w:r w:rsidRPr="00F43EAC">
        <w:rPr>
          <w:i/>
          <w:iCs/>
        </w:rPr>
        <w:t xml:space="preserve">The Initiative </w:t>
      </w:r>
      <w:r>
        <w:rPr>
          <w:i/>
          <w:iCs/>
        </w:rPr>
        <w:t xml:space="preserve">seeks to </w:t>
      </w:r>
      <w:r w:rsidRPr="00F43EAC">
        <w:rPr>
          <w:i/>
          <w:iCs/>
        </w:rPr>
        <w:t xml:space="preserve">promotes the development of </w:t>
      </w:r>
      <w:r>
        <w:rPr>
          <w:i/>
          <w:iCs/>
        </w:rPr>
        <w:t xml:space="preserve">a local </w:t>
      </w:r>
      <w:r w:rsidRPr="00F43EAC">
        <w:rPr>
          <w:i/>
          <w:iCs/>
        </w:rPr>
        <w:t>health workforce skilled to work in rural and remote communities</w:t>
      </w:r>
    </w:p>
    <w:p w14:paraId="62333677" w14:textId="77777777" w:rsidR="00A974F7" w:rsidRPr="00F43EAC" w:rsidRDefault="00A974F7" w:rsidP="00A974F7">
      <w:pPr>
        <w:pStyle w:val="ListBullet2"/>
        <w:ind w:left="851"/>
        <w:rPr>
          <w:i/>
          <w:iCs/>
        </w:rPr>
      </w:pPr>
      <w:r w:rsidRPr="00F43EAC">
        <w:rPr>
          <w:i/>
          <w:iCs/>
        </w:rPr>
        <w:t>Actions implemented under the Initiative should ensure the nexus between acute and primary health care delivery is strengthened</w:t>
      </w:r>
      <w:r>
        <w:rPr>
          <w:i/>
          <w:iCs/>
        </w:rPr>
        <w:t xml:space="preserve"> at a local level</w:t>
      </w:r>
      <w:r w:rsidRPr="00F43EAC">
        <w:rPr>
          <w:i/>
          <w:iCs/>
        </w:rPr>
        <w:t xml:space="preserve"> </w:t>
      </w:r>
    </w:p>
    <w:p w14:paraId="61BD57C8" w14:textId="77777777" w:rsidR="00A974F7" w:rsidRPr="00F43EAC" w:rsidRDefault="00A974F7" w:rsidP="00A974F7">
      <w:pPr>
        <w:pStyle w:val="ListBullet2"/>
        <w:ind w:left="851"/>
        <w:rPr>
          <w:i/>
          <w:iCs/>
        </w:rPr>
      </w:pPr>
      <w:r w:rsidRPr="00F43EAC">
        <w:rPr>
          <w:i/>
          <w:iCs/>
        </w:rPr>
        <w:t>Health professionals are a valuable and finite resource in rural and remote areas and need to be clinically capable of working in and across both settings</w:t>
      </w:r>
    </w:p>
    <w:p w14:paraId="37DD8AB8" w14:textId="71BDD712" w:rsidR="00A974F7" w:rsidRPr="00F43EAC" w:rsidRDefault="00A974F7" w:rsidP="00A974F7">
      <w:pPr>
        <w:pStyle w:val="ListBullet2"/>
        <w:ind w:left="851"/>
        <w:rPr>
          <w:i/>
          <w:iCs/>
        </w:rPr>
      </w:pPr>
      <w:r w:rsidRPr="00F43EAC">
        <w:rPr>
          <w:i/>
          <w:iCs/>
        </w:rPr>
        <w:t>Funding accessed through the Initiative should not undermine the viability and profitability of existing, privately operated health services including existing general practices</w:t>
      </w:r>
      <w:r w:rsidR="00AA3848">
        <w:rPr>
          <w:i/>
          <w:iCs/>
        </w:rPr>
        <w:t>.</w:t>
      </w:r>
    </w:p>
    <w:p w14:paraId="491F805F" w14:textId="4894D996" w:rsidR="00A974F7" w:rsidRPr="00F43EAC" w:rsidRDefault="00A974F7" w:rsidP="00A974F7">
      <w:r>
        <w:t xml:space="preserve">In addition., we recommend </w:t>
      </w:r>
      <w:r w:rsidRPr="00F43EAC">
        <w:t xml:space="preserve">revised objectives </w:t>
      </w:r>
      <w:r>
        <w:t xml:space="preserve">for the MOU to </w:t>
      </w:r>
      <w:r w:rsidRPr="00F43EAC">
        <w:t xml:space="preserve">provide greater clarity about the focus of the Initiative at a site level and inform reinvestment </w:t>
      </w:r>
      <w:r w:rsidRPr="00F43EAC">
        <w:t>decisions. Therefore, each site</w:t>
      </w:r>
      <w:r>
        <w:t xml:space="preserve"> should be required to</w:t>
      </w:r>
      <w:r w:rsidRPr="00F43EAC">
        <w:t xml:space="preserve"> identif</w:t>
      </w:r>
      <w:r>
        <w:t xml:space="preserve">y </w:t>
      </w:r>
      <w:r w:rsidRPr="00F43EAC">
        <w:t xml:space="preserve">one or more priority objectives </w:t>
      </w:r>
      <w:r w:rsidR="00AA3848" w:rsidRPr="00AA3848">
        <w:t>through the</w:t>
      </w:r>
      <w:r w:rsidR="00CE14C1">
        <w:t>ir</w:t>
      </w:r>
      <w:r w:rsidR="00AA3848" w:rsidRPr="00AA3848">
        <w:t xml:space="preserve"> </w:t>
      </w:r>
      <w:r w:rsidR="00CE14C1">
        <w:t>O</w:t>
      </w:r>
      <w:r w:rsidR="00AA3848" w:rsidRPr="00AA3848">
        <w:t xml:space="preserve">perational </w:t>
      </w:r>
      <w:r w:rsidR="00CE14C1">
        <w:t>P</w:t>
      </w:r>
      <w:r w:rsidR="00AA3848" w:rsidRPr="00AA3848">
        <w:t xml:space="preserve">lan, </w:t>
      </w:r>
      <w:r w:rsidRPr="00F43EAC">
        <w:t>including:</w:t>
      </w:r>
    </w:p>
    <w:p w14:paraId="588C99F2" w14:textId="77777777" w:rsidR="00A974F7" w:rsidRPr="00F43EAC" w:rsidRDefault="00A974F7" w:rsidP="00A974F7">
      <w:pPr>
        <w:pStyle w:val="ListBullet2"/>
        <w:ind w:left="851"/>
        <w:rPr>
          <w:i/>
          <w:iCs/>
        </w:rPr>
      </w:pPr>
      <w:r w:rsidRPr="00F43EAC">
        <w:rPr>
          <w:i/>
          <w:iCs/>
        </w:rPr>
        <w:t xml:space="preserve">promote the provision of urgent medical care where access to this care is limited </w:t>
      </w:r>
    </w:p>
    <w:p w14:paraId="24FAC629" w14:textId="77777777" w:rsidR="00A974F7" w:rsidRPr="00F43EAC" w:rsidRDefault="00A974F7" w:rsidP="00A974F7">
      <w:pPr>
        <w:pStyle w:val="ListBullet2"/>
        <w:ind w:left="851"/>
        <w:rPr>
          <w:i/>
          <w:iCs/>
        </w:rPr>
      </w:pPr>
      <w:r w:rsidRPr="00F43EAC">
        <w:rPr>
          <w:i/>
          <w:iCs/>
        </w:rPr>
        <w:t xml:space="preserve">expand the availability of </w:t>
      </w:r>
      <w:bookmarkStart w:id="144" w:name="_Hlk73453849"/>
      <w:r w:rsidRPr="00F43EAC">
        <w:rPr>
          <w:i/>
          <w:iCs/>
        </w:rPr>
        <w:t xml:space="preserve">comprehensive team based primary care </w:t>
      </w:r>
      <w:bookmarkEnd w:id="144"/>
      <w:r w:rsidRPr="00F43EAC">
        <w:rPr>
          <w:i/>
          <w:iCs/>
        </w:rPr>
        <w:t>in rural and remote communities</w:t>
      </w:r>
    </w:p>
    <w:p w14:paraId="4390E64A" w14:textId="36D75309" w:rsidR="00A974F7" w:rsidRPr="008F0790" w:rsidRDefault="00A974F7" w:rsidP="00A974F7">
      <w:pPr>
        <w:pStyle w:val="ListBullet2"/>
        <w:ind w:left="851"/>
        <w:rPr>
          <w:i/>
          <w:iCs/>
        </w:rPr>
      </w:pPr>
      <w:r w:rsidRPr="008F0790">
        <w:rPr>
          <w:i/>
          <w:iCs/>
        </w:rPr>
        <w:t xml:space="preserve"> promote and support recruitment, training and development, and retention of a flexible health workforce to provide </w:t>
      </w:r>
      <w:r>
        <w:rPr>
          <w:i/>
          <w:iCs/>
        </w:rPr>
        <w:t xml:space="preserve">for </w:t>
      </w:r>
      <w:r w:rsidRPr="008F0790">
        <w:rPr>
          <w:i/>
          <w:iCs/>
        </w:rPr>
        <w:t>models of care tailored to rural and remote populations and service environments</w:t>
      </w:r>
    </w:p>
    <w:p w14:paraId="28DF8518" w14:textId="77777777" w:rsidR="00A974F7" w:rsidRPr="00F43EAC" w:rsidRDefault="00A974F7" w:rsidP="00A974F7">
      <w:pPr>
        <w:pStyle w:val="ListBullet2"/>
        <w:ind w:left="851"/>
        <w:rPr>
          <w:i/>
          <w:iCs/>
        </w:rPr>
      </w:pPr>
      <w:r w:rsidRPr="00F43EAC">
        <w:rPr>
          <w:i/>
          <w:iCs/>
        </w:rPr>
        <w:t>assist in supporting the sustainability of rural and remote health services</w:t>
      </w:r>
      <w:r>
        <w:rPr>
          <w:i/>
          <w:iCs/>
        </w:rPr>
        <w:t>, and / or</w:t>
      </w:r>
    </w:p>
    <w:p w14:paraId="2201A5E3" w14:textId="0C8FFB34" w:rsidR="00A974F7" w:rsidRDefault="00A974F7" w:rsidP="00A974F7">
      <w:pPr>
        <w:pStyle w:val="ListBullet2"/>
        <w:ind w:left="851"/>
        <w:rPr>
          <w:i/>
          <w:iCs/>
        </w:rPr>
      </w:pPr>
      <w:r w:rsidRPr="00F43EAC">
        <w:rPr>
          <w:i/>
          <w:iCs/>
        </w:rPr>
        <w:t xml:space="preserve">respond to identified primary care needs of </w:t>
      </w:r>
      <w:r w:rsidR="00AA3848">
        <w:rPr>
          <w:i/>
          <w:iCs/>
        </w:rPr>
        <w:t xml:space="preserve">the </w:t>
      </w:r>
      <w:r w:rsidRPr="00F43EAC">
        <w:rPr>
          <w:i/>
          <w:iCs/>
        </w:rPr>
        <w:t>community.</w:t>
      </w:r>
    </w:p>
    <w:tbl>
      <w:tblPr>
        <w:tblStyle w:val="HMATableB"/>
        <w:tblW w:w="0" w:type="auto"/>
        <w:tblLook w:val="04A0" w:firstRow="1" w:lastRow="0" w:firstColumn="1" w:lastColumn="0" w:noHBand="0" w:noVBand="1"/>
      </w:tblPr>
      <w:tblGrid>
        <w:gridCol w:w="7034"/>
      </w:tblGrid>
      <w:tr w:rsidR="00A974F7" w:rsidRPr="00F43EAC" w14:paraId="745CDE72" w14:textId="77777777" w:rsidTr="00F90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p w14:paraId="3445C9D6" w14:textId="77777777" w:rsidR="00A974F7" w:rsidRPr="00F43EAC" w:rsidRDefault="00A974F7" w:rsidP="00473E61">
            <w:pPr>
              <w:pStyle w:val="TableCopy"/>
              <w:rPr>
                <w:b/>
                <w:bCs/>
              </w:rPr>
            </w:pPr>
            <w:r w:rsidRPr="00F43EAC">
              <w:rPr>
                <w:b/>
                <w:bCs/>
              </w:rPr>
              <w:t>Benefits</w:t>
            </w:r>
            <w:r>
              <w:rPr>
                <w:b/>
                <w:bCs/>
              </w:rPr>
              <w:t xml:space="preserve"> of Option 1</w:t>
            </w:r>
          </w:p>
        </w:tc>
      </w:tr>
      <w:tr w:rsidR="00A974F7" w:rsidRPr="00F90595" w14:paraId="16151433" w14:textId="77777777" w:rsidTr="00F90595">
        <w:tc>
          <w:tcPr>
            <w:cnfStyle w:val="001000000000" w:firstRow="0" w:lastRow="0" w:firstColumn="1" w:lastColumn="0" w:oddVBand="0" w:evenVBand="0" w:oddHBand="0" w:evenHBand="0" w:firstRowFirstColumn="0" w:firstRowLastColumn="0" w:lastRowFirstColumn="0" w:lastRowLastColumn="0"/>
            <w:tcW w:w="7034" w:type="dxa"/>
          </w:tcPr>
          <w:p w14:paraId="29CEB519" w14:textId="556D4AE6" w:rsidR="00A974F7" w:rsidRPr="00F90595" w:rsidRDefault="00A974F7" w:rsidP="00473E61">
            <w:pPr>
              <w:pStyle w:val="TableBullets1"/>
              <w:rPr>
                <w:sz w:val="22"/>
                <w:szCs w:val="22"/>
              </w:rPr>
            </w:pPr>
            <w:r w:rsidRPr="00F90595">
              <w:rPr>
                <w:sz w:val="22"/>
                <w:szCs w:val="22"/>
              </w:rPr>
              <w:t xml:space="preserve">Provides clear direction that the development of primary </w:t>
            </w:r>
            <w:r w:rsidR="00E419DC" w:rsidRPr="00F90595">
              <w:rPr>
                <w:sz w:val="22"/>
                <w:szCs w:val="22"/>
              </w:rPr>
              <w:t>healthcare</w:t>
            </w:r>
            <w:r w:rsidRPr="00F90595">
              <w:rPr>
                <w:sz w:val="22"/>
                <w:szCs w:val="22"/>
              </w:rPr>
              <w:t xml:space="preserve"> and the primary </w:t>
            </w:r>
            <w:r w:rsidR="00E419DC" w:rsidRPr="00F90595">
              <w:rPr>
                <w:sz w:val="22"/>
                <w:szCs w:val="22"/>
              </w:rPr>
              <w:t>healthcare</w:t>
            </w:r>
            <w:r w:rsidRPr="00F90595">
              <w:rPr>
                <w:sz w:val="22"/>
                <w:szCs w:val="22"/>
              </w:rPr>
              <w:t xml:space="preserve"> workforce is the primary purpose of the Initiative</w:t>
            </w:r>
          </w:p>
          <w:p w14:paraId="7A065952" w14:textId="77777777" w:rsidR="00A974F7" w:rsidRPr="00F90595" w:rsidRDefault="00A974F7" w:rsidP="00473E61">
            <w:pPr>
              <w:pStyle w:val="TableBullets1"/>
              <w:rPr>
                <w:sz w:val="22"/>
                <w:szCs w:val="22"/>
              </w:rPr>
            </w:pPr>
            <w:r w:rsidRPr="00F90595">
              <w:rPr>
                <w:sz w:val="22"/>
                <w:szCs w:val="22"/>
              </w:rPr>
              <w:t xml:space="preserve">Enables flexibility to target the Initiative in response to local context </w:t>
            </w:r>
          </w:p>
          <w:p w14:paraId="609D8570" w14:textId="77777777" w:rsidR="00A974F7" w:rsidRPr="00F90595" w:rsidRDefault="00A974F7" w:rsidP="00473E61">
            <w:pPr>
              <w:pStyle w:val="TableBullets1"/>
              <w:rPr>
                <w:sz w:val="22"/>
                <w:szCs w:val="22"/>
              </w:rPr>
            </w:pPr>
            <w:r w:rsidRPr="00F90595">
              <w:rPr>
                <w:sz w:val="22"/>
                <w:szCs w:val="22"/>
              </w:rPr>
              <w:t>Focuses sustainability on rural health services rather than hospitals alone, recognising the interconnection of primary and secondary care in rural and remote areas</w:t>
            </w:r>
          </w:p>
        </w:tc>
      </w:tr>
    </w:tbl>
    <w:p w14:paraId="583CE3C1" w14:textId="105BF98B" w:rsidR="007F146D" w:rsidRDefault="007F146D" w:rsidP="000B2E59">
      <w:pPr>
        <w:spacing w:before="240"/>
      </w:pPr>
      <w:bookmarkStart w:id="145" w:name="_Toc75855911"/>
      <w:r w:rsidRPr="00A85847">
        <w:rPr>
          <w:b/>
          <w:bCs/>
        </w:rPr>
        <w:t>Jurisdiction feedback on the option</w:t>
      </w:r>
      <w:r>
        <w:t xml:space="preserve">: </w:t>
      </w:r>
      <w:r w:rsidR="0052614E">
        <w:t xml:space="preserve">subject to </w:t>
      </w:r>
      <w:r w:rsidR="00B02520">
        <w:t xml:space="preserve">further editing and refinement, </w:t>
      </w:r>
      <w:r>
        <w:t>th</w:t>
      </w:r>
      <w:r w:rsidR="00B02520">
        <w:t xml:space="preserve">ere </w:t>
      </w:r>
      <w:r>
        <w:t>was overall support for this option from all jurisdictions</w:t>
      </w:r>
      <w:r w:rsidR="00B02520">
        <w:t>, apart from WA. Th</w:t>
      </w:r>
      <w:r w:rsidR="0052614E">
        <w:t>e latter</w:t>
      </w:r>
      <w:r w:rsidR="00B02520">
        <w:t xml:space="preserve"> jurisdiction requested additional consultation on the overall strategic intent of the Initiative.</w:t>
      </w:r>
    </w:p>
    <w:p w14:paraId="41B49B54" w14:textId="1640A743" w:rsidR="00A974F7" w:rsidRPr="000B2E59" w:rsidRDefault="00A974F7" w:rsidP="000B2E59">
      <w:pPr>
        <w:pStyle w:val="Heading2"/>
        <w:numPr>
          <w:ilvl w:val="0"/>
          <w:numId w:val="0"/>
        </w:numPr>
        <w:rPr>
          <w:rFonts w:eastAsia="Calibri"/>
        </w:rPr>
      </w:pPr>
      <w:bookmarkStart w:id="146" w:name="_Toc85203312"/>
      <w:r w:rsidRPr="000B2E59">
        <w:rPr>
          <w:rFonts w:eastAsia="Calibri"/>
        </w:rPr>
        <w:t xml:space="preserve">Option 2: </w:t>
      </w:r>
      <w:bookmarkEnd w:id="145"/>
      <w:r w:rsidRPr="000B2E59">
        <w:rPr>
          <w:rFonts w:eastAsia="Calibri"/>
        </w:rPr>
        <w:t>Revise program governance arrangements</w:t>
      </w:r>
      <w:bookmarkEnd w:id="146"/>
    </w:p>
    <w:p w14:paraId="495D6DD6" w14:textId="05987398" w:rsidR="003A3F6B" w:rsidRPr="003A3F6B" w:rsidRDefault="003A3F6B" w:rsidP="003A3F6B">
      <w:r>
        <w:t>There are two sub-options within Option 2.</w:t>
      </w:r>
    </w:p>
    <w:p w14:paraId="48B7C533" w14:textId="622A585D" w:rsidR="00A974F7" w:rsidRDefault="00A974F7" w:rsidP="00A974F7">
      <w:pPr>
        <w:pStyle w:val="ProjectImplication"/>
      </w:pPr>
      <w:bookmarkStart w:id="147" w:name="_Hlk73391029"/>
      <w:r>
        <w:t xml:space="preserve">Option 2(a): </w:t>
      </w:r>
      <w:r w:rsidRPr="00031399">
        <w:t>sub-regional governance committees</w:t>
      </w:r>
      <w:r>
        <w:t xml:space="preserve"> and local implementation committee</w:t>
      </w:r>
      <w:r w:rsidR="00DE6955">
        <w:t>s.</w:t>
      </w:r>
    </w:p>
    <w:p w14:paraId="4D150DA4" w14:textId="1B6D7421" w:rsidR="00A974F7" w:rsidRPr="00031399" w:rsidRDefault="00A974F7" w:rsidP="00A974F7">
      <w:r w:rsidRPr="00F43EAC">
        <w:rPr>
          <w:b/>
          <w:bCs/>
        </w:rPr>
        <w:t xml:space="preserve">Option scope and rationale: </w:t>
      </w:r>
      <w:r w:rsidRPr="00031399">
        <w:t xml:space="preserve">there should be revision to local governance of the program to further progress the intent of the Initiative </w:t>
      </w:r>
      <w:r>
        <w:t xml:space="preserve">and </w:t>
      </w:r>
      <w:r w:rsidRPr="00031399">
        <w:t xml:space="preserve">enable access to relevant </w:t>
      </w:r>
      <w:r w:rsidRPr="00031399">
        <w:lastRenderedPageBreak/>
        <w:t xml:space="preserve">health and workforce needs assessment data to inform prioritisation and planning. This approach could also inform the foundation for collaborative </w:t>
      </w:r>
      <w:r w:rsidR="00CE14C1">
        <w:t>planning</w:t>
      </w:r>
      <w:r w:rsidRPr="00031399">
        <w:t xml:space="preserve"> to maximise the potential benefit of the Initiative (Option 3). </w:t>
      </w:r>
    </w:p>
    <w:p w14:paraId="3BB93DCC" w14:textId="6CA83CAF" w:rsidR="00A974F7" w:rsidRPr="00031399" w:rsidRDefault="00A974F7" w:rsidP="00A974F7">
      <w:r w:rsidRPr="00031399">
        <w:t xml:space="preserve">To facilitate this enhanced </w:t>
      </w:r>
      <w:r w:rsidR="00CE14C1" w:rsidRPr="00031399">
        <w:t>governance,</w:t>
      </w:r>
      <w:r w:rsidRPr="00031399">
        <w:t xml:space="preserve"> we suggest a requirement for all sites to implement an organised structure of sub-regional stakeholders proximate to a site with representation from:</w:t>
      </w:r>
    </w:p>
    <w:p w14:paraId="4C848031" w14:textId="77777777" w:rsidR="00A974F7" w:rsidRPr="00031399" w:rsidRDefault="00A974F7" w:rsidP="00A974F7">
      <w:pPr>
        <w:pStyle w:val="ListBullet"/>
      </w:pPr>
      <w:r w:rsidRPr="00031399">
        <w:t>LHD executive</w:t>
      </w:r>
    </w:p>
    <w:p w14:paraId="1236C3C7" w14:textId="77777777" w:rsidR="00A974F7" w:rsidRPr="00031399" w:rsidRDefault="00A974F7" w:rsidP="00A974F7">
      <w:pPr>
        <w:pStyle w:val="ListBullet"/>
      </w:pPr>
      <w:r w:rsidRPr="00031399">
        <w:t>PHN executive</w:t>
      </w:r>
    </w:p>
    <w:p w14:paraId="5A0152F4" w14:textId="77777777" w:rsidR="00A974F7" w:rsidRPr="00031399" w:rsidRDefault="00A974F7" w:rsidP="00A974F7">
      <w:pPr>
        <w:pStyle w:val="ListBullet"/>
      </w:pPr>
      <w:r w:rsidRPr="00031399">
        <w:t>RWA executive</w:t>
      </w:r>
    </w:p>
    <w:p w14:paraId="7FD8342D" w14:textId="77777777" w:rsidR="00A974F7" w:rsidRPr="00031399" w:rsidRDefault="00A974F7" w:rsidP="00A974F7">
      <w:pPr>
        <w:pStyle w:val="ListBullet"/>
      </w:pPr>
      <w:r w:rsidRPr="00031399">
        <w:t>Aboriginal Community Controlled sector (where relevant)</w:t>
      </w:r>
    </w:p>
    <w:p w14:paraId="2456A4E0" w14:textId="77777777" w:rsidR="00A974F7" w:rsidRPr="00031399" w:rsidRDefault="00A974F7" w:rsidP="00A974F7">
      <w:pPr>
        <w:pStyle w:val="ListBullet"/>
      </w:pPr>
      <w:r w:rsidRPr="00031399">
        <w:t>Local Government, and</w:t>
      </w:r>
    </w:p>
    <w:p w14:paraId="2AFFE909" w14:textId="77777777" w:rsidR="00A974F7" w:rsidRPr="00031399" w:rsidRDefault="00A974F7" w:rsidP="00A974F7">
      <w:pPr>
        <w:pStyle w:val="ListBullet"/>
      </w:pPr>
      <w:r w:rsidRPr="00031399">
        <w:t>A community representative</w:t>
      </w:r>
      <w:r>
        <w:t>.</w:t>
      </w:r>
    </w:p>
    <w:p w14:paraId="369BD8EF" w14:textId="3A4AECA5" w:rsidR="00A974F7" w:rsidRPr="00031399" w:rsidRDefault="00A974F7" w:rsidP="00A974F7">
      <w:r w:rsidRPr="00031399">
        <w:t xml:space="preserve">This sub-regional governance group would have responsibility to </w:t>
      </w:r>
      <w:r w:rsidR="00B07EB1" w:rsidRPr="00031399">
        <w:t>assess</w:t>
      </w:r>
      <w:r w:rsidRPr="00031399">
        <w:t>:</w:t>
      </w:r>
    </w:p>
    <w:p w14:paraId="13DE1A6D" w14:textId="77777777" w:rsidR="00A974F7" w:rsidRPr="00031399" w:rsidRDefault="00A974F7" w:rsidP="00A974F7">
      <w:pPr>
        <w:pStyle w:val="ListBullet"/>
      </w:pPr>
      <w:r w:rsidRPr="00031399">
        <w:t>site applications before submission</w:t>
      </w:r>
    </w:p>
    <w:p w14:paraId="4AA873A8" w14:textId="77777777" w:rsidR="00A974F7" w:rsidRPr="00031399" w:rsidRDefault="00A974F7" w:rsidP="00A974F7">
      <w:pPr>
        <w:pStyle w:val="ListBullet"/>
      </w:pPr>
      <w:r w:rsidRPr="00031399">
        <w:t>develop and review operational plans</w:t>
      </w:r>
    </w:p>
    <w:p w14:paraId="3B69C661" w14:textId="0CDF4555" w:rsidR="00A974F7" w:rsidRPr="00031399" w:rsidRDefault="00A974F7" w:rsidP="00A974F7">
      <w:pPr>
        <w:pStyle w:val="ListBullet"/>
      </w:pPr>
      <w:r w:rsidRPr="00031399">
        <w:t xml:space="preserve">approve </w:t>
      </w:r>
      <w:r w:rsidR="00E419DC">
        <w:t>reinvestment</w:t>
      </w:r>
    </w:p>
    <w:p w14:paraId="63EC429D" w14:textId="10FE8592" w:rsidR="00A974F7" w:rsidRPr="00031399" w:rsidRDefault="00A974F7" w:rsidP="00A974F7">
      <w:pPr>
        <w:pStyle w:val="ListBullet"/>
      </w:pPr>
      <w:r w:rsidRPr="00031399">
        <w:t xml:space="preserve">review the effectiveness of models of care developed under the Initiative where sites may no longer meet eligibility criteria </w:t>
      </w:r>
      <w:r w:rsidR="009F6C23">
        <w:t>(e.g. Stanthorpe Hospital</w:t>
      </w:r>
      <w:r w:rsidR="00CE14C1">
        <w:t xml:space="preserve"> situation</w:t>
      </w:r>
      <w:r w:rsidR="009F6C23">
        <w:t xml:space="preserve">) </w:t>
      </w:r>
      <w:r w:rsidRPr="00031399">
        <w:t>or where local stakeholders seek a revision to a site exemption</w:t>
      </w:r>
    </w:p>
    <w:p w14:paraId="79C476E5" w14:textId="6A3D028E" w:rsidR="00A974F7" w:rsidRPr="00031399" w:rsidRDefault="00A974F7" w:rsidP="00A974F7">
      <w:pPr>
        <w:pStyle w:val="ListBullet"/>
      </w:pPr>
      <w:r w:rsidRPr="00031399">
        <w:t>review reports prior to submission to the jurisdiction</w:t>
      </w:r>
      <w:r w:rsidR="00CE14C1">
        <w:t>.</w:t>
      </w:r>
      <w:r w:rsidRPr="00031399">
        <w:t xml:space="preserve"> </w:t>
      </w:r>
    </w:p>
    <w:p w14:paraId="011224AF" w14:textId="77777777" w:rsidR="00A974F7" w:rsidRPr="00031399" w:rsidRDefault="00A974F7" w:rsidP="00A974F7">
      <w:r w:rsidRPr="00031399">
        <w:t xml:space="preserve">The sub-regional governance committee should meet at least six monthly, with secretariat support provided by the LHN. </w:t>
      </w:r>
    </w:p>
    <w:p w14:paraId="3015F9DC" w14:textId="12C75C2F" w:rsidR="00A974F7" w:rsidRPr="00031399" w:rsidRDefault="00A974F7" w:rsidP="00A974F7">
      <w:r w:rsidRPr="00031399">
        <w:t>At a site level a local governance group should be formed with representation from the following</w:t>
      </w:r>
      <w:r w:rsidR="0065373D">
        <w:t>:</w:t>
      </w:r>
    </w:p>
    <w:p w14:paraId="561F2DCF" w14:textId="77777777" w:rsidR="00A974F7" w:rsidRPr="00031399" w:rsidRDefault="00A974F7" w:rsidP="00A974F7">
      <w:pPr>
        <w:pStyle w:val="ListBullet"/>
      </w:pPr>
      <w:r w:rsidRPr="00031399">
        <w:t>Health service facility manager</w:t>
      </w:r>
    </w:p>
    <w:p w14:paraId="052D4F15" w14:textId="77777777" w:rsidR="00A974F7" w:rsidRPr="00031399" w:rsidRDefault="00A974F7" w:rsidP="00A974F7">
      <w:pPr>
        <w:pStyle w:val="ListBullet"/>
      </w:pPr>
      <w:r w:rsidRPr="00031399">
        <w:t>Revenue clerk</w:t>
      </w:r>
    </w:p>
    <w:p w14:paraId="363F9193" w14:textId="77777777" w:rsidR="00A974F7" w:rsidRPr="00031399" w:rsidRDefault="00A974F7" w:rsidP="00A974F7">
      <w:pPr>
        <w:pStyle w:val="ListBullet"/>
      </w:pPr>
      <w:r w:rsidRPr="00031399">
        <w:t>Participating GPs/ SMOs</w:t>
      </w:r>
    </w:p>
    <w:p w14:paraId="3FC0900A" w14:textId="77777777" w:rsidR="00A974F7" w:rsidRPr="00031399" w:rsidRDefault="00A974F7" w:rsidP="00A974F7">
      <w:pPr>
        <w:pStyle w:val="ListBullet"/>
      </w:pPr>
      <w:r w:rsidRPr="00031399">
        <w:t>Community representative</w:t>
      </w:r>
    </w:p>
    <w:p w14:paraId="5962AF17" w14:textId="6C75B323" w:rsidR="00A974F7" w:rsidRPr="00031399" w:rsidRDefault="00A974F7" w:rsidP="00A974F7">
      <w:pPr>
        <w:pStyle w:val="ListBullet"/>
      </w:pPr>
      <w:r w:rsidRPr="00031399">
        <w:t>Other local health services (private providers, A</w:t>
      </w:r>
      <w:r w:rsidR="00CE14C1">
        <w:t>CCHO</w:t>
      </w:r>
      <w:r w:rsidRPr="00031399">
        <w:t>)</w:t>
      </w:r>
    </w:p>
    <w:p w14:paraId="39E3EEEE" w14:textId="6343577B" w:rsidR="00A974F7" w:rsidRDefault="00A974F7" w:rsidP="00A974F7">
      <w:r w:rsidRPr="00031399">
        <w:t xml:space="preserve">The </w:t>
      </w:r>
      <w:r w:rsidR="00CE14C1">
        <w:t>sub-regional</w:t>
      </w:r>
      <w:r w:rsidRPr="00031399">
        <w:t xml:space="preserve"> governance group should have responsibility for oversighting local implementation, identifying and addressing operational issues, monitoring potential impact on local private, ACCHO and NGO services, and identifying local priorities for </w:t>
      </w:r>
      <w:r w:rsidR="00CE14C1">
        <w:t xml:space="preserve">new </w:t>
      </w:r>
      <w:r w:rsidRPr="00031399">
        <w:t>investment.</w:t>
      </w:r>
      <w:r>
        <w:t xml:space="preserve"> The local governance group should meet on a quarterly basis.</w:t>
      </w:r>
    </w:p>
    <w:tbl>
      <w:tblPr>
        <w:tblStyle w:val="HMATableB"/>
        <w:tblW w:w="0" w:type="auto"/>
        <w:tblLook w:val="04A0" w:firstRow="1" w:lastRow="0" w:firstColumn="1" w:lastColumn="0" w:noHBand="0" w:noVBand="1"/>
      </w:tblPr>
      <w:tblGrid>
        <w:gridCol w:w="7034"/>
      </w:tblGrid>
      <w:tr w:rsidR="00A974F7" w:rsidRPr="00031399" w14:paraId="7B97922B" w14:textId="77777777" w:rsidTr="009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bookmarkEnd w:id="147"/>
          <w:p w14:paraId="7851F7AD" w14:textId="77777777" w:rsidR="00A974F7" w:rsidRPr="00031399" w:rsidRDefault="00A974F7" w:rsidP="00473E61">
            <w:pPr>
              <w:pStyle w:val="TableCopy"/>
              <w:keepNext/>
              <w:rPr>
                <w:b/>
                <w:bCs/>
              </w:rPr>
            </w:pPr>
            <w:r w:rsidRPr="00031399">
              <w:rPr>
                <w:b/>
                <w:bCs/>
              </w:rPr>
              <w:t>Benefits</w:t>
            </w:r>
            <w:r>
              <w:rPr>
                <w:b/>
                <w:bCs/>
              </w:rPr>
              <w:t xml:space="preserve"> of Option 2(a)</w:t>
            </w:r>
          </w:p>
        </w:tc>
      </w:tr>
      <w:tr w:rsidR="00A974F7" w:rsidRPr="009F7BBB" w14:paraId="4598D61D" w14:textId="77777777" w:rsidTr="009F7BBB">
        <w:tc>
          <w:tcPr>
            <w:cnfStyle w:val="001000000000" w:firstRow="0" w:lastRow="0" w:firstColumn="1" w:lastColumn="0" w:oddVBand="0" w:evenVBand="0" w:oddHBand="0" w:evenHBand="0" w:firstRowFirstColumn="0" w:firstRowLastColumn="0" w:lastRowFirstColumn="0" w:lastRowLastColumn="0"/>
            <w:tcW w:w="7034" w:type="dxa"/>
          </w:tcPr>
          <w:p w14:paraId="00CF723D" w14:textId="77777777" w:rsidR="00A974F7" w:rsidRPr="009F7BBB" w:rsidRDefault="00A974F7" w:rsidP="00473E61">
            <w:pPr>
              <w:pStyle w:val="TableCopy"/>
              <w:rPr>
                <w:sz w:val="22"/>
                <w:szCs w:val="22"/>
              </w:rPr>
            </w:pPr>
            <w:r w:rsidRPr="009F7BBB">
              <w:rPr>
                <w:sz w:val="22"/>
                <w:szCs w:val="22"/>
              </w:rPr>
              <w:t>The composition of the sub-regional and local governance group will enhance:</w:t>
            </w:r>
          </w:p>
          <w:p w14:paraId="315E2FF4" w14:textId="799AB73B" w:rsidR="00A974F7" w:rsidRPr="009F7BBB" w:rsidRDefault="00A974F7" w:rsidP="00473E61">
            <w:pPr>
              <w:pStyle w:val="TableBullets1"/>
              <w:rPr>
                <w:sz w:val="22"/>
                <w:szCs w:val="22"/>
              </w:rPr>
            </w:pPr>
            <w:r w:rsidRPr="009F7BBB">
              <w:rPr>
                <w:sz w:val="22"/>
                <w:szCs w:val="22"/>
              </w:rPr>
              <w:t xml:space="preserve">Access to and input from local health and workforce needs assessments (PHN and RWAs) for evidence to inform </w:t>
            </w:r>
            <w:r w:rsidR="00E419DC" w:rsidRPr="009F7BBB">
              <w:rPr>
                <w:sz w:val="22"/>
                <w:szCs w:val="22"/>
              </w:rPr>
              <w:t>reinvestment</w:t>
            </w:r>
            <w:r w:rsidRPr="009F7BBB">
              <w:rPr>
                <w:sz w:val="22"/>
                <w:szCs w:val="22"/>
              </w:rPr>
              <w:t xml:space="preserve"> </w:t>
            </w:r>
          </w:p>
          <w:p w14:paraId="05627A6A" w14:textId="0D855A8F" w:rsidR="00A974F7" w:rsidRPr="009F7BBB" w:rsidRDefault="00A974F7" w:rsidP="00473E61">
            <w:pPr>
              <w:pStyle w:val="TableBullets1"/>
              <w:rPr>
                <w:sz w:val="22"/>
                <w:szCs w:val="22"/>
              </w:rPr>
            </w:pPr>
            <w:r w:rsidRPr="009F7BBB">
              <w:rPr>
                <w:sz w:val="22"/>
                <w:szCs w:val="22"/>
              </w:rPr>
              <w:t xml:space="preserve">Identification and alignment with other programs, initiatives and funding opportunities that can be leveraged at site, sub-regional and regional level in conjunction with Initiative </w:t>
            </w:r>
            <w:r w:rsidR="00E419DC" w:rsidRPr="009F7BBB">
              <w:rPr>
                <w:sz w:val="22"/>
                <w:szCs w:val="22"/>
              </w:rPr>
              <w:t>reinvestment</w:t>
            </w:r>
            <w:r w:rsidRPr="009F7BBB">
              <w:rPr>
                <w:sz w:val="22"/>
                <w:szCs w:val="22"/>
              </w:rPr>
              <w:t xml:space="preserve"> to strengthen health service delivery, new models of care, and workforce development strategies</w:t>
            </w:r>
            <w:r w:rsidR="00CE14C1" w:rsidRPr="009F7BBB">
              <w:rPr>
                <w:sz w:val="22"/>
                <w:szCs w:val="22"/>
              </w:rPr>
              <w:t xml:space="preserve"> that should be pursued</w:t>
            </w:r>
          </w:p>
          <w:p w14:paraId="2DFEDA29" w14:textId="77777777" w:rsidR="00A974F7" w:rsidRPr="009F7BBB" w:rsidRDefault="00A974F7" w:rsidP="00473E61">
            <w:pPr>
              <w:pStyle w:val="TableBullets1"/>
              <w:rPr>
                <w:sz w:val="22"/>
                <w:szCs w:val="22"/>
              </w:rPr>
            </w:pPr>
            <w:r w:rsidRPr="009F7BBB">
              <w:rPr>
                <w:sz w:val="22"/>
                <w:szCs w:val="22"/>
              </w:rPr>
              <w:t>Provision of local advice to jurisdiction and Commonwealth Departments to inform decisions in relation to changes in eligibility of sites</w:t>
            </w:r>
          </w:p>
          <w:p w14:paraId="25042815" w14:textId="145E0A75" w:rsidR="00A974F7" w:rsidRPr="009F7BBB" w:rsidRDefault="00A974F7" w:rsidP="00473E61">
            <w:pPr>
              <w:pStyle w:val="TableBullets1"/>
              <w:rPr>
                <w:sz w:val="22"/>
                <w:szCs w:val="22"/>
              </w:rPr>
            </w:pPr>
            <w:r w:rsidRPr="009F7BBB">
              <w:rPr>
                <w:sz w:val="22"/>
                <w:szCs w:val="22"/>
              </w:rPr>
              <w:t>Early identification of changes within the service system that may need to be considered in relation to the operation of the Initiative</w:t>
            </w:r>
            <w:r w:rsidR="00A32F7F" w:rsidRPr="009F7BBB">
              <w:rPr>
                <w:sz w:val="22"/>
                <w:szCs w:val="22"/>
              </w:rPr>
              <w:t xml:space="preserve">, e.g. </w:t>
            </w:r>
            <w:r w:rsidRPr="009F7BBB">
              <w:rPr>
                <w:sz w:val="22"/>
                <w:szCs w:val="22"/>
              </w:rPr>
              <w:t>a new private practice that may wish to establish, negotiation of items that can be claimed</w:t>
            </w:r>
          </w:p>
          <w:p w14:paraId="2B826CE8" w14:textId="6A292175" w:rsidR="00A974F7" w:rsidRPr="009F7BBB" w:rsidRDefault="00A974F7" w:rsidP="00473E61">
            <w:pPr>
              <w:pStyle w:val="TableBullets1"/>
              <w:rPr>
                <w:sz w:val="22"/>
                <w:szCs w:val="22"/>
              </w:rPr>
            </w:pPr>
            <w:r w:rsidRPr="009F7BBB">
              <w:rPr>
                <w:sz w:val="22"/>
                <w:szCs w:val="22"/>
              </w:rPr>
              <w:t>Provide transparency to local, sub-regional and regional stakeholders internal and external to the LHN for planning and implementation of the Initiative</w:t>
            </w:r>
          </w:p>
        </w:tc>
      </w:tr>
    </w:tbl>
    <w:p w14:paraId="2FEAF26D" w14:textId="163C2524" w:rsidR="007F146D" w:rsidRDefault="007F146D" w:rsidP="000B2E59">
      <w:pPr>
        <w:spacing w:before="240"/>
      </w:pPr>
      <w:bookmarkStart w:id="148" w:name="_Toc75855912"/>
      <w:r w:rsidRPr="00A85847">
        <w:rPr>
          <w:b/>
          <w:bCs/>
        </w:rPr>
        <w:t>Jurisdiction feedback on the option</w:t>
      </w:r>
      <w:r>
        <w:t>:</w:t>
      </w:r>
      <w:r w:rsidR="00E323C0">
        <w:t xml:space="preserve"> there was not strong support for this option from any jurisdiction. The general view was that this option added a layer of governance that did not allow for consultative arrangements already in place at a health service level</w:t>
      </w:r>
      <w:r w:rsidR="0052614E">
        <w:t xml:space="preserve"> and/ or required </w:t>
      </w:r>
      <w:r w:rsidR="00AC54A1">
        <w:t xml:space="preserve">under existing </w:t>
      </w:r>
      <w:r w:rsidR="0052614E">
        <w:t>jurisdiction governance arrangements.</w:t>
      </w:r>
    </w:p>
    <w:p w14:paraId="4C65D44F" w14:textId="4F0BA34E" w:rsidR="00A974F7" w:rsidRDefault="00A974F7" w:rsidP="00952302">
      <w:pPr>
        <w:pStyle w:val="ProjectImplication"/>
      </w:pPr>
      <w:r>
        <w:t xml:space="preserve">Option 2(b): </w:t>
      </w:r>
      <w:r w:rsidRPr="008F606A">
        <w:t>a Commonwealth/jurisdiction bi-lateral governance committee</w:t>
      </w:r>
      <w:r>
        <w:t xml:space="preserve"> should be established</w:t>
      </w:r>
      <w:r w:rsidRPr="008F606A">
        <w:t xml:space="preserve"> (one for each participating jurisdiction)</w:t>
      </w:r>
    </w:p>
    <w:p w14:paraId="798EC8B1" w14:textId="238DF7A7" w:rsidR="00A974F7" w:rsidRDefault="00A974F7" w:rsidP="00A974F7">
      <w:bookmarkStart w:id="149" w:name="_Hlk75972469"/>
      <w:r w:rsidRPr="00F43EAC">
        <w:rPr>
          <w:b/>
          <w:bCs/>
        </w:rPr>
        <w:t>Option scope and rationale:</w:t>
      </w:r>
      <w:bookmarkEnd w:id="149"/>
      <w:r w:rsidRPr="00F43EAC">
        <w:rPr>
          <w:b/>
          <w:bCs/>
        </w:rPr>
        <w:t xml:space="preserve"> </w:t>
      </w:r>
      <w:r w:rsidRPr="00031399">
        <w:t>t</w:t>
      </w:r>
      <w:r>
        <w:t xml:space="preserve">he purpose of the </w:t>
      </w:r>
      <w:r w:rsidRPr="008F606A">
        <w:t>Commonwealth/jurisdiction bi</w:t>
      </w:r>
      <w:r w:rsidR="0065373D">
        <w:noBreakHyphen/>
      </w:r>
      <w:r w:rsidRPr="008F606A">
        <w:t>lateral governance committee</w:t>
      </w:r>
      <w:r>
        <w:t xml:space="preserve"> is to ensure both levels of government are informed of:</w:t>
      </w:r>
    </w:p>
    <w:p w14:paraId="75B63804" w14:textId="77777777" w:rsidR="00A974F7" w:rsidRDefault="00A974F7" w:rsidP="00A974F7">
      <w:pPr>
        <w:pStyle w:val="ListBullet"/>
      </w:pPr>
      <w:r>
        <w:lastRenderedPageBreak/>
        <w:t>Any changes in broader health policies that may impact on the operation of the Initiative</w:t>
      </w:r>
    </w:p>
    <w:p w14:paraId="6A8FEC42" w14:textId="77777777" w:rsidR="00A974F7" w:rsidRDefault="00A974F7" w:rsidP="00A974F7">
      <w:pPr>
        <w:pStyle w:val="ListBullet"/>
      </w:pPr>
      <w:r>
        <w:t>Jurisdictions can inform the Commonwealth of changes in the status of participating sites that may affect:</w:t>
      </w:r>
    </w:p>
    <w:p w14:paraId="2E679517" w14:textId="2FD23EEB" w:rsidR="00A974F7" w:rsidRDefault="00A974F7" w:rsidP="00A974F7">
      <w:pPr>
        <w:pStyle w:val="ListBullet2"/>
      </w:pPr>
      <w:r>
        <w:t>Their eligibility</w:t>
      </w:r>
      <w:r w:rsidR="009F6C23">
        <w:t xml:space="preserve"> and processes to de</w:t>
      </w:r>
      <w:r w:rsidR="00CE14C1">
        <w:t>al</w:t>
      </w:r>
      <w:r w:rsidR="009F6C23">
        <w:t xml:space="preserve"> with </w:t>
      </w:r>
      <w:r w:rsidR="00CE14C1">
        <w:t xml:space="preserve">future transition </w:t>
      </w:r>
      <w:r w:rsidR="009F6C23">
        <w:t>(</w:t>
      </w:r>
      <w:r w:rsidR="00E72805">
        <w:t xml:space="preserve">e.g. </w:t>
      </w:r>
      <w:r w:rsidR="00CE14C1">
        <w:t>provides a process for managing</w:t>
      </w:r>
      <w:r w:rsidR="009F6C23">
        <w:t xml:space="preserve"> cases like Stanthorpe Hospital)</w:t>
      </w:r>
    </w:p>
    <w:p w14:paraId="56CF6986" w14:textId="07B611A3" w:rsidR="00A974F7" w:rsidRDefault="00A974F7" w:rsidP="00A974F7">
      <w:pPr>
        <w:pStyle w:val="ListBullet2"/>
      </w:pPr>
      <w:r>
        <w:t>The level of claims made at a site</w:t>
      </w:r>
      <w:r w:rsidR="00A32F7F">
        <w:t xml:space="preserve">, e.g. </w:t>
      </w:r>
      <w:r>
        <w:t>resignation of a doctor</w:t>
      </w:r>
    </w:p>
    <w:p w14:paraId="6E100F2C" w14:textId="77777777" w:rsidR="00A974F7" w:rsidRDefault="00A974F7" w:rsidP="00A974F7">
      <w:pPr>
        <w:pStyle w:val="ListBullet2"/>
      </w:pPr>
      <w:r>
        <w:t>Changes in site governance arrangements</w:t>
      </w:r>
    </w:p>
    <w:p w14:paraId="7922EE7C" w14:textId="54253957" w:rsidR="00A974F7" w:rsidRDefault="00A974F7" w:rsidP="00A974F7">
      <w:pPr>
        <w:pStyle w:val="ListBullet2"/>
      </w:pPr>
      <w:r>
        <w:t>New proposals to enhance local level service integration, particularly those that require links across funding programs from the Commonwealth and jurisdictions</w:t>
      </w:r>
      <w:r w:rsidR="0065373D">
        <w:t>.</w:t>
      </w:r>
    </w:p>
    <w:p w14:paraId="4C2413A4" w14:textId="2261EC86" w:rsidR="00A974F7" w:rsidRDefault="00A974F7" w:rsidP="00A974F7">
      <w:r>
        <w:t>The jurisdiction governance committee should meet at least once within each financial year of the MOU operation, ideally around the middle of the year, to progress consideration of new applications.</w:t>
      </w:r>
    </w:p>
    <w:tbl>
      <w:tblPr>
        <w:tblStyle w:val="HMATableB"/>
        <w:tblW w:w="0" w:type="auto"/>
        <w:tblLook w:val="04A0" w:firstRow="1" w:lastRow="0" w:firstColumn="1" w:lastColumn="0" w:noHBand="0" w:noVBand="1"/>
      </w:tblPr>
      <w:tblGrid>
        <w:gridCol w:w="7034"/>
      </w:tblGrid>
      <w:tr w:rsidR="00A974F7" w:rsidRPr="00031399" w14:paraId="1E00D5C0" w14:textId="77777777" w:rsidTr="009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p w14:paraId="1F125984" w14:textId="77777777" w:rsidR="00A974F7" w:rsidRPr="00031399" w:rsidRDefault="00A974F7" w:rsidP="00473E61">
            <w:pPr>
              <w:pStyle w:val="TableCopy"/>
              <w:keepNext/>
              <w:rPr>
                <w:b/>
                <w:bCs/>
              </w:rPr>
            </w:pPr>
            <w:bookmarkStart w:id="150" w:name="_Hlk76018880"/>
            <w:r w:rsidRPr="00031399">
              <w:rPr>
                <w:b/>
                <w:bCs/>
              </w:rPr>
              <w:t>Benefits</w:t>
            </w:r>
            <w:r>
              <w:rPr>
                <w:b/>
                <w:bCs/>
              </w:rPr>
              <w:t xml:space="preserve"> of Option 2(b)</w:t>
            </w:r>
          </w:p>
        </w:tc>
      </w:tr>
      <w:tr w:rsidR="00A974F7" w:rsidRPr="009F7BBB" w14:paraId="0D0505A9" w14:textId="77777777" w:rsidTr="009F7BBB">
        <w:tc>
          <w:tcPr>
            <w:cnfStyle w:val="001000000000" w:firstRow="0" w:lastRow="0" w:firstColumn="1" w:lastColumn="0" w:oddVBand="0" w:evenVBand="0" w:oddHBand="0" w:evenHBand="0" w:firstRowFirstColumn="0" w:firstRowLastColumn="0" w:lastRowFirstColumn="0" w:lastRowLastColumn="0"/>
            <w:tcW w:w="7034" w:type="dxa"/>
          </w:tcPr>
          <w:p w14:paraId="2114F474" w14:textId="77777777" w:rsidR="00A974F7" w:rsidRPr="009F7BBB" w:rsidRDefault="00A974F7" w:rsidP="00473E61">
            <w:pPr>
              <w:pStyle w:val="TableCopy"/>
              <w:rPr>
                <w:sz w:val="22"/>
                <w:szCs w:val="22"/>
              </w:rPr>
            </w:pPr>
            <w:r w:rsidRPr="009F7BBB">
              <w:rPr>
                <w:sz w:val="22"/>
                <w:szCs w:val="22"/>
              </w:rPr>
              <w:t>The bi-lateral governance committees will ensure:</w:t>
            </w:r>
          </w:p>
          <w:p w14:paraId="3BF2C77B" w14:textId="77777777" w:rsidR="00A974F7" w:rsidRPr="009F7BBB" w:rsidRDefault="00A974F7" w:rsidP="00473E61">
            <w:pPr>
              <w:pStyle w:val="TableBullets1"/>
              <w:rPr>
                <w:sz w:val="22"/>
                <w:szCs w:val="22"/>
              </w:rPr>
            </w:pPr>
            <w:r w:rsidRPr="009F7BBB">
              <w:rPr>
                <w:sz w:val="22"/>
                <w:szCs w:val="22"/>
              </w:rPr>
              <w:t xml:space="preserve"> continuity of information flow about the impact of the Initiative between levels of government over the life of the MOU</w:t>
            </w:r>
          </w:p>
          <w:p w14:paraId="6BDB7C25" w14:textId="2B93836D" w:rsidR="00A974F7" w:rsidRPr="009F7BBB" w:rsidRDefault="00A974F7" w:rsidP="00473E61">
            <w:pPr>
              <w:pStyle w:val="TableBullets1"/>
              <w:rPr>
                <w:sz w:val="22"/>
                <w:szCs w:val="22"/>
              </w:rPr>
            </w:pPr>
            <w:r w:rsidRPr="009F7BBB">
              <w:rPr>
                <w:sz w:val="22"/>
                <w:szCs w:val="22"/>
              </w:rPr>
              <w:t>Provide a mechanism</w:t>
            </w:r>
            <w:r w:rsidR="00CE14C1" w:rsidRPr="009F7BBB">
              <w:rPr>
                <w:sz w:val="22"/>
                <w:szCs w:val="22"/>
              </w:rPr>
              <w:t xml:space="preserve"> to</w:t>
            </w:r>
            <w:r w:rsidRPr="009F7BBB">
              <w:rPr>
                <w:sz w:val="22"/>
                <w:szCs w:val="22"/>
              </w:rPr>
              <w:t>:</w:t>
            </w:r>
          </w:p>
          <w:p w14:paraId="5E3675B3" w14:textId="596A5E2E" w:rsidR="00A974F7" w:rsidRPr="009F7BBB" w:rsidRDefault="00A974F7" w:rsidP="00473E61">
            <w:pPr>
              <w:pStyle w:val="TableBullets2"/>
              <w:rPr>
                <w:sz w:val="22"/>
                <w:szCs w:val="22"/>
              </w:rPr>
            </w:pPr>
            <w:r w:rsidRPr="009F7BBB">
              <w:rPr>
                <w:sz w:val="22"/>
                <w:szCs w:val="22"/>
              </w:rPr>
              <w:t xml:space="preserve">Better understand the rationale about new applications for participation by sites and the underlying model of care that is proposed </w:t>
            </w:r>
            <w:r w:rsidR="00CE14C1" w:rsidRPr="009F7BBB">
              <w:rPr>
                <w:sz w:val="22"/>
                <w:szCs w:val="22"/>
              </w:rPr>
              <w:t>for</w:t>
            </w:r>
            <w:r w:rsidRPr="009F7BBB">
              <w:rPr>
                <w:sz w:val="22"/>
                <w:szCs w:val="22"/>
              </w:rPr>
              <w:t xml:space="preserve"> implement</w:t>
            </w:r>
            <w:r w:rsidR="00CE14C1" w:rsidRPr="009F7BBB">
              <w:rPr>
                <w:sz w:val="22"/>
                <w:szCs w:val="22"/>
              </w:rPr>
              <w:t>ation</w:t>
            </w:r>
          </w:p>
          <w:p w14:paraId="6A4E4158" w14:textId="77777777" w:rsidR="00A974F7" w:rsidRPr="009F7BBB" w:rsidRDefault="00A974F7" w:rsidP="00473E61">
            <w:pPr>
              <w:pStyle w:val="TableBullets2"/>
              <w:rPr>
                <w:sz w:val="22"/>
                <w:szCs w:val="22"/>
              </w:rPr>
            </w:pPr>
            <w:r w:rsidRPr="009F7BBB">
              <w:rPr>
                <w:sz w:val="22"/>
                <w:szCs w:val="22"/>
              </w:rPr>
              <w:t>Review the ongoing status of sites that are no longer eligible and formulate a transition plan</w:t>
            </w:r>
          </w:p>
          <w:p w14:paraId="572DCDB2" w14:textId="77777777" w:rsidR="00A974F7" w:rsidRPr="009F7BBB" w:rsidRDefault="00A974F7" w:rsidP="00473E61">
            <w:pPr>
              <w:pStyle w:val="TableBullets2"/>
              <w:rPr>
                <w:sz w:val="22"/>
                <w:szCs w:val="22"/>
              </w:rPr>
            </w:pPr>
            <w:r w:rsidRPr="009F7BBB">
              <w:rPr>
                <w:sz w:val="22"/>
                <w:szCs w:val="22"/>
              </w:rPr>
              <w:t>Review reinvestment activities at a site level</w:t>
            </w:r>
          </w:p>
          <w:p w14:paraId="133901C1" w14:textId="08F02F63" w:rsidR="00A974F7" w:rsidRPr="009F7BBB" w:rsidRDefault="00A974F7" w:rsidP="00473E61">
            <w:pPr>
              <w:pStyle w:val="TableBullets2"/>
              <w:rPr>
                <w:sz w:val="22"/>
                <w:szCs w:val="22"/>
              </w:rPr>
            </w:pPr>
            <w:r w:rsidRPr="009F7BBB">
              <w:rPr>
                <w:sz w:val="22"/>
                <w:szCs w:val="22"/>
              </w:rPr>
              <w:t>Review the effectiveness of template tools and how they support the MOU implementation, including the form for new sites and the annual reporting template</w:t>
            </w:r>
          </w:p>
        </w:tc>
      </w:tr>
    </w:tbl>
    <w:p w14:paraId="02F75849" w14:textId="6DC95CA9" w:rsidR="007F146D" w:rsidRDefault="007F146D" w:rsidP="000B2E59">
      <w:pPr>
        <w:spacing w:before="240"/>
      </w:pPr>
      <w:bookmarkStart w:id="151" w:name="_Hlk75973669"/>
      <w:bookmarkEnd w:id="150"/>
      <w:r w:rsidRPr="00A85847">
        <w:rPr>
          <w:b/>
          <w:bCs/>
        </w:rPr>
        <w:t>Jurisdiction feedback on the option</w:t>
      </w:r>
      <w:r>
        <w:t>:</w:t>
      </w:r>
      <w:r w:rsidR="0052614E">
        <w:t xml:space="preserve"> jurisdictions support this option in principle but would seek to negotiate the precise role of a </w:t>
      </w:r>
      <w:r w:rsidR="00AC54A1">
        <w:t xml:space="preserve">bi-lateral </w:t>
      </w:r>
      <w:r w:rsidR="0052614E">
        <w:t>governance committee.</w:t>
      </w:r>
    </w:p>
    <w:p w14:paraId="50230B15" w14:textId="44009729" w:rsidR="00A974F7" w:rsidRPr="000B2E59" w:rsidRDefault="00A974F7" w:rsidP="000B2E59">
      <w:pPr>
        <w:pStyle w:val="Heading2"/>
        <w:numPr>
          <w:ilvl w:val="0"/>
          <w:numId w:val="0"/>
        </w:numPr>
        <w:rPr>
          <w:rFonts w:eastAsia="Calibri"/>
        </w:rPr>
      </w:pPr>
      <w:bookmarkStart w:id="152" w:name="_Toc85203313"/>
      <w:r w:rsidRPr="000B2E59">
        <w:rPr>
          <w:rFonts w:eastAsia="Calibri"/>
        </w:rPr>
        <w:t xml:space="preserve">Option 3: Use </w:t>
      </w:r>
      <w:r w:rsidR="00DE5CEB" w:rsidRPr="000B2E59">
        <w:rPr>
          <w:rFonts w:eastAsia="Calibri"/>
        </w:rPr>
        <w:t>s</w:t>
      </w:r>
      <w:r w:rsidRPr="000B2E59">
        <w:rPr>
          <w:rFonts w:eastAsia="Calibri"/>
        </w:rPr>
        <w:t xml:space="preserve">ub-regional governance committees </w:t>
      </w:r>
      <w:bookmarkEnd w:id="151"/>
      <w:r w:rsidRPr="000B2E59">
        <w:rPr>
          <w:rFonts w:eastAsia="Calibri"/>
        </w:rPr>
        <w:t>as a coordination mechanism</w:t>
      </w:r>
      <w:bookmarkEnd w:id="148"/>
      <w:bookmarkEnd w:id="152"/>
    </w:p>
    <w:p w14:paraId="07E214EE" w14:textId="170576B8" w:rsidR="00CE14C1" w:rsidRDefault="00A974F7" w:rsidP="00A974F7">
      <w:r w:rsidRPr="006A1BA3">
        <w:rPr>
          <w:b/>
          <w:bCs/>
        </w:rPr>
        <w:t>Option scope and rationale:</w:t>
      </w:r>
      <w:r w:rsidR="009A4F03">
        <w:rPr>
          <w:b/>
          <w:bCs/>
        </w:rPr>
        <w:t xml:space="preserve"> </w:t>
      </w:r>
      <w:r w:rsidRPr="006A1BA3">
        <w:t xml:space="preserve">this option would expand the role of the sub-regional governance committees proposed in Option 2(a). Under Option 3 these committees would be tasked with identifying primary </w:t>
      </w:r>
      <w:r w:rsidR="00E419DC">
        <w:t>healthcare</w:t>
      </w:r>
      <w:r w:rsidRPr="006A1BA3">
        <w:t xml:space="preserve"> and workforce development priorities at the sub-regional level. This option would provide a mechanism to identify potential program resources available through the PHN, RWA, LHN that can be complemented by Initiative reinvestment to maximise reach or benefit.</w:t>
      </w:r>
    </w:p>
    <w:p w14:paraId="6B6D129F" w14:textId="189FCBD7" w:rsidR="00A974F7" w:rsidRPr="006A1BA3" w:rsidRDefault="00A974F7" w:rsidP="00A974F7">
      <w:r w:rsidRPr="006A1BA3">
        <w:t xml:space="preserve">PHN program resources </w:t>
      </w:r>
      <w:r w:rsidR="00CE14C1">
        <w:t xml:space="preserve">within scope of the coordination activities </w:t>
      </w:r>
      <w:r w:rsidRPr="006A1BA3">
        <w:t>could include:</w:t>
      </w:r>
    </w:p>
    <w:p w14:paraId="5270507A" w14:textId="77777777" w:rsidR="00A974F7" w:rsidRPr="006A1BA3" w:rsidRDefault="00A974F7" w:rsidP="00A974F7">
      <w:pPr>
        <w:pStyle w:val="ListBullet"/>
      </w:pPr>
      <w:r w:rsidRPr="006A1BA3">
        <w:t>AOD services</w:t>
      </w:r>
    </w:p>
    <w:p w14:paraId="39CC35C2" w14:textId="2D82C945" w:rsidR="00A974F7" w:rsidRPr="006A1BA3" w:rsidRDefault="005C38F5" w:rsidP="00A974F7">
      <w:pPr>
        <w:pStyle w:val="ListBullet"/>
      </w:pPr>
      <w:r>
        <w:t>a</w:t>
      </w:r>
      <w:r w:rsidR="00A974F7" w:rsidRPr="006A1BA3">
        <w:t>fter</w:t>
      </w:r>
      <w:r>
        <w:t>-</w:t>
      </w:r>
      <w:r w:rsidR="00A974F7" w:rsidRPr="006A1BA3">
        <w:t>hours arrangements</w:t>
      </w:r>
    </w:p>
    <w:p w14:paraId="6A371A5B" w14:textId="7C5D80DB" w:rsidR="00A974F7" w:rsidRPr="006A1BA3" w:rsidRDefault="00CE14C1" w:rsidP="00A974F7">
      <w:pPr>
        <w:pStyle w:val="ListBullet"/>
      </w:pPr>
      <w:r>
        <w:t>m</w:t>
      </w:r>
      <w:r w:rsidR="00A974F7" w:rsidRPr="006A1BA3">
        <w:t xml:space="preserve">ental health programs, and </w:t>
      </w:r>
    </w:p>
    <w:p w14:paraId="5EFB0ED1" w14:textId="77777777" w:rsidR="00A974F7" w:rsidRPr="006A1BA3" w:rsidRDefault="00A974F7" w:rsidP="00A974F7">
      <w:pPr>
        <w:pStyle w:val="ListBullet"/>
      </w:pPr>
      <w:r w:rsidRPr="006A1BA3">
        <w:t>chronic disease p</w:t>
      </w:r>
      <w:r>
        <w:t>rog</w:t>
      </w:r>
      <w:r w:rsidRPr="006A1BA3">
        <w:t>rams.</w:t>
      </w:r>
    </w:p>
    <w:p w14:paraId="60744822" w14:textId="77777777" w:rsidR="00A974F7" w:rsidRPr="006A1BA3" w:rsidRDefault="00A974F7" w:rsidP="00A974F7">
      <w:r w:rsidRPr="006A1BA3">
        <w:t xml:space="preserve">The RWA program resources </w:t>
      </w:r>
      <w:r>
        <w:t xml:space="preserve">considered by the sub-regional governance committee </w:t>
      </w:r>
      <w:r w:rsidRPr="006A1BA3">
        <w:t>could include the Rural Health Outreach Fund and other Outreach programs.</w:t>
      </w:r>
    </w:p>
    <w:p w14:paraId="680022E1" w14:textId="19ED4E8D" w:rsidR="00A974F7" w:rsidRPr="006A1BA3" w:rsidRDefault="00A974F7" w:rsidP="00A974F7">
      <w:r w:rsidRPr="006A1BA3">
        <w:t>In addition, the sub-regional governance committee could be empowered to develop sub-regional workforce training and development strategies where the Initiative contributes to and complements investments by RWAs, Universities, University Departments of Rural Health, and LHNs.</w:t>
      </w:r>
      <w:r w:rsidR="009A4F03">
        <w:t xml:space="preserve"> </w:t>
      </w:r>
    </w:p>
    <w:p w14:paraId="68470C78" w14:textId="77777777" w:rsidR="00A974F7" w:rsidRPr="006A1BA3" w:rsidRDefault="00A974F7" w:rsidP="00A974F7">
      <w:r w:rsidRPr="006A1BA3">
        <w:t>The workforce development role of the sub-regional governance committee could be expanded to promote the development of innovative employment models and Regional Workforce Modelling – an expansion of the ‘4Ts’ and</w:t>
      </w:r>
      <w:r>
        <w:t xml:space="preserve"> the</w:t>
      </w:r>
      <w:r w:rsidRPr="006A1BA3">
        <w:t xml:space="preserve"> Murrumbidgee model. The underlying objective would be to support medical workforce development in a sub-region, aided by Initiative revenue to be invested in salaried positions.</w:t>
      </w:r>
    </w:p>
    <w:tbl>
      <w:tblPr>
        <w:tblStyle w:val="HMATableB"/>
        <w:tblW w:w="0" w:type="auto"/>
        <w:tblLook w:val="04A0" w:firstRow="1" w:lastRow="0" w:firstColumn="1" w:lastColumn="0" w:noHBand="0" w:noVBand="1"/>
      </w:tblPr>
      <w:tblGrid>
        <w:gridCol w:w="7034"/>
      </w:tblGrid>
      <w:tr w:rsidR="00A974F7" w:rsidRPr="006A1BA3" w14:paraId="55F978F2" w14:textId="77777777" w:rsidTr="009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p w14:paraId="45548184" w14:textId="77777777" w:rsidR="00A974F7" w:rsidRPr="00F90595" w:rsidRDefault="00A974F7" w:rsidP="003A3F6B">
            <w:pPr>
              <w:pStyle w:val="TableCopy"/>
              <w:keepNext/>
              <w:rPr>
                <w:b/>
                <w:bCs/>
              </w:rPr>
            </w:pPr>
            <w:r w:rsidRPr="00F90595">
              <w:rPr>
                <w:b/>
                <w:bCs/>
              </w:rPr>
              <w:lastRenderedPageBreak/>
              <w:t>Benefits of Option 3</w:t>
            </w:r>
          </w:p>
        </w:tc>
      </w:tr>
      <w:tr w:rsidR="00A974F7" w:rsidRPr="009F7BBB" w14:paraId="584516B2" w14:textId="77777777" w:rsidTr="009F7BBB">
        <w:tc>
          <w:tcPr>
            <w:cnfStyle w:val="001000000000" w:firstRow="0" w:lastRow="0" w:firstColumn="1" w:lastColumn="0" w:oddVBand="0" w:evenVBand="0" w:oddHBand="0" w:evenHBand="0" w:firstRowFirstColumn="0" w:firstRowLastColumn="0" w:lastRowFirstColumn="0" w:lastRowLastColumn="0"/>
            <w:tcW w:w="7034" w:type="dxa"/>
          </w:tcPr>
          <w:p w14:paraId="5EA1CD81" w14:textId="77777777" w:rsidR="00A974F7" w:rsidRPr="009F7BBB" w:rsidRDefault="00A974F7" w:rsidP="003A3F6B">
            <w:pPr>
              <w:pStyle w:val="TableCopy"/>
              <w:keepNext/>
              <w:rPr>
                <w:sz w:val="22"/>
                <w:szCs w:val="22"/>
              </w:rPr>
            </w:pPr>
            <w:r w:rsidRPr="009F7BBB">
              <w:rPr>
                <w:sz w:val="22"/>
                <w:szCs w:val="22"/>
              </w:rPr>
              <w:t>In addition to benefits identified for Option 2 (a), this extension to sub-regional governance would ensure that:</w:t>
            </w:r>
          </w:p>
          <w:p w14:paraId="0055B5CB" w14:textId="31D6D6E6" w:rsidR="00A974F7" w:rsidRPr="009F7BBB" w:rsidRDefault="00A974F7" w:rsidP="003A3F6B">
            <w:pPr>
              <w:pStyle w:val="TableBullets1"/>
              <w:keepNext/>
              <w:rPr>
                <w:sz w:val="22"/>
                <w:szCs w:val="22"/>
              </w:rPr>
            </w:pPr>
            <w:r w:rsidRPr="009F7BBB">
              <w:rPr>
                <w:sz w:val="22"/>
                <w:szCs w:val="22"/>
              </w:rPr>
              <w:t>Funding through the Initiative complements</w:t>
            </w:r>
            <w:r w:rsidR="00AA664B" w:rsidRPr="009F7BBB">
              <w:rPr>
                <w:sz w:val="22"/>
                <w:szCs w:val="22"/>
              </w:rPr>
              <w:t xml:space="preserve"> use of</w:t>
            </w:r>
            <w:r w:rsidRPr="009F7BBB">
              <w:rPr>
                <w:sz w:val="22"/>
                <w:szCs w:val="22"/>
              </w:rPr>
              <w:t xml:space="preserve"> resources from </w:t>
            </w:r>
            <w:r w:rsidR="00AA664B" w:rsidRPr="009F7BBB">
              <w:rPr>
                <w:sz w:val="22"/>
                <w:szCs w:val="22"/>
              </w:rPr>
              <w:t>other relevant locally delivered</w:t>
            </w:r>
            <w:r w:rsidRPr="009F7BBB">
              <w:rPr>
                <w:sz w:val="22"/>
                <w:szCs w:val="22"/>
              </w:rPr>
              <w:t xml:space="preserve"> programs and strengthens sustainability of resultant services and programs</w:t>
            </w:r>
          </w:p>
          <w:p w14:paraId="732BDDBF" w14:textId="1FE4D547" w:rsidR="00A974F7" w:rsidRPr="009F7BBB" w:rsidRDefault="00A974F7" w:rsidP="003A3F6B">
            <w:pPr>
              <w:pStyle w:val="TableBullets1"/>
              <w:keepNext/>
              <w:rPr>
                <w:sz w:val="22"/>
                <w:szCs w:val="22"/>
              </w:rPr>
            </w:pPr>
            <w:r w:rsidRPr="009F7BBB">
              <w:rPr>
                <w:sz w:val="22"/>
                <w:szCs w:val="22"/>
              </w:rPr>
              <w:t>There is a mechanism for co-investment in workforce that can span primary and secondary care, which is essential for maintaining local health service capability (</w:t>
            </w:r>
            <w:r w:rsidR="00E72805" w:rsidRPr="009F7BBB">
              <w:rPr>
                <w:sz w:val="22"/>
                <w:szCs w:val="22"/>
              </w:rPr>
              <w:t xml:space="preserve">e.g. </w:t>
            </w:r>
            <w:r w:rsidRPr="009F7BBB">
              <w:rPr>
                <w:sz w:val="22"/>
                <w:szCs w:val="22"/>
              </w:rPr>
              <w:t>connection between midwives, theatre nurses and GP Obstetricians for the delivery of a comprehensive sub-regional maternity service)</w:t>
            </w:r>
          </w:p>
          <w:p w14:paraId="74E6E0A5" w14:textId="188FB07F" w:rsidR="00A974F7" w:rsidRPr="009F7BBB" w:rsidRDefault="00A974F7" w:rsidP="003A3F6B">
            <w:pPr>
              <w:pStyle w:val="TableBullets1"/>
              <w:keepNext/>
              <w:rPr>
                <w:sz w:val="22"/>
                <w:szCs w:val="22"/>
              </w:rPr>
            </w:pPr>
            <w:r w:rsidRPr="009F7BBB">
              <w:rPr>
                <w:sz w:val="22"/>
                <w:szCs w:val="22"/>
              </w:rPr>
              <w:t>planning and investment to support smaller communities still occurs, even though access to revenue through the Initiative may be minimal</w:t>
            </w:r>
          </w:p>
        </w:tc>
      </w:tr>
    </w:tbl>
    <w:p w14:paraId="47137FF4" w14:textId="52FEC5FF" w:rsidR="007F146D" w:rsidRDefault="007F146D" w:rsidP="000B2E59">
      <w:pPr>
        <w:spacing w:before="240"/>
      </w:pPr>
      <w:r w:rsidRPr="00A85847">
        <w:rPr>
          <w:b/>
          <w:bCs/>
        </w:rPr>
        <w:t>Jurisdiction feedback on the option</w:t>
      </w:r>
      <w:r>
        <w:t>:</w:t>
      </w:r>
      <w:r w:rsidR="007C2563">
        <w:t xml:space="preserve"> there was no support for this option from jurisdictions. The y considered it outside the scope of the Initiative.</w:t>
      </w:r>
    </w:p>
    <w:p w14:paraId="125A3DD4" w14:textId="1BDB4C86" w:rsidR="00A974F7" w:rsidRPr="007E17CF" w:rsidRDefault="00A974F7" w:rsidP="000B2E59">
      <w:pPr>
        <w:pStyle w:val="Heading2"/>
        <w:numPr>
          <w:ilvl w:val="0"/>
          <w:numId w:val="0"/>
        </w:numPr>
        <w:rPr>
          <w:rFonts w:eastAsia="Calibri"/>
        </w:rPr>
      </w:pPr>
      <w:bookmarkStart w:id="153" w:name="_Toc85203314"/>
      <w:r w:rsidRPr="007E17CF">
        <w:rPr>
          <w:rFonts w:eastAsia="Calibri"/>
        </w:rPr>
        <w:t>Option 4</w:t>
      </w:r>
      <w:r w:rsidR="007E17CF" w:rsidRPr="007E17CF">
        <w:rPr>
          <w:rFonts w:eastAsia="Calibri"/>
        </w:rPr>
        <w:t>: Administrative refinement to program processes</w:t>
      </w:r>
      <w:bookmarkEnd w:id="153"/>
    </w:p>
    <w:p w14:paraId="148DA142" w14:textId="0D6B7C71" w:rsidR="0015308E" w:rsidRDefault="00AA664B" w:rsidP="00A974F7">
      <w:r>
        <w:rPr>
          <w:rFonts w:eastAsia="Calibri"/>
        </w:rPr>
        <w:t>T</w:t>
      </w:r>
      <w:r w:rsidR="0015308E">
        <w:rPr>
          <w:rFonts w:eastAsia="Calibri"/>
        </w:rPr>
        <w:t xml:space="preserve">his option </w:t>
      </w:r>
      <w:r>
        <w:rPr>
          <w:rFonts w:eastAsia="Calibri"/>
        </w:rPr>
        <w:t xml:space="preserve">proposes </w:t>
      </w:r>
      <w:r w:rsidR="0015308E">
        <w:rPr>
          <w:rFonts w:eastAsia="Calibri"/>
        </w:rPr>
        <w:t>a series of program rule refinements</w:t>
      </w:r>
      <w:r w:rsidR="00705B1B">
        <w:rPr>
          <w:rFonts w:eastAsia="Calibri"/>
        </w:rPr>
        <w:t xml:space="preserve">. These </w:t>
      </w:r>
      <w:r w:rsidR="0015308E">
        <w:rPr>
          <w:rFonts w:eastAsia="Calibri"/>
        </w:rPr>
        <w:t xml:space="preserve">would be reflected in </w:t>
      </w:r>
      <w:r w:rsidR="007E17CF">
        <w:rPr>
          <w:rFonts w:eastAsia="Calibri"/>
        </w:rPr>
        <w:t>amendments to</w:t>
      </w:r>
      <w:r w:rsidR="0015308E">
        <w:rPr>
          <w:rFonts w:eastAsia="Calibri"/>
        </w:rPr>
        <w:t xml:space="preserve"> the next round of MOUs negotiated with jurisd</w:t>
      </w:r>
      <w:r w:rsidR="00705B1B">
        <w:rPr>
          <w:rFonts w:eastAsia="Calibri"/>
        </w:rPr>
        <w:t>i</w:t>
      </w:r>
      <w:r w:rsidR="0015308E">
        <w:rPr>
          <w:rFonts w:eastAsia="Calibri"/>
        </w:rPr>
        <w:t>ctions</w:t>
      </w:r>
      <w:r w:rsidR="007E17CF">
        <w:rPr>
          <w:rFonts w:eastAsia="Calibri"/>
        </w:rPr>
        <w:t>,</w:t>
      </w:r>
      <w:r w:rsidR="00705B1B">
        <w:rPr>
          <w:rFonts w:eastAsia="Calibri"/>
        </w:rPr>
        <w:t xml:space="preserve"> and </w:t>
      </w:r>
      <w:r w:rsidR="007E17CF">
        <w:rPr>
          <w:rFonts w:eastAsia="Calibri"/>
        </w:rPr>
        <w:t xml:space="preserve">adjustments </w:t>
      </w:r>
      <w:r w:rsidR="00705B1B">
        <w:rPr>
          <w:rFonts w:eastAsia="Calibri"/>
        </w:rPr>
        <w:t xml:space="preserve">to the Department’s SOPs. </w:t>
      </w:r>
      <w:r w:rsidR="007E17CF">
        <w:rPr>
          <w:rFonts w:eastAsia="Calibri"/>
        </w:rPr>
        <w:t>Each</w:t>
      </w:r>
      <w:r w:rsidR="00705B1B">
        <w:rPr>
          <w:rFonts w:eastAsia="Calibri"/>
        </w:rPr>
        <w:t xml:space="preserve"> </w:t>
      </w:r>
      <w:r w:rsidR="007E17CF">
        <w:rPr>
          <w:rFonts w:eastAsia="Calibri"/>
        </w:rPr>
        <w:t xml:space="preserve">individual refinement listed below </w:t>
      </w:r>
      <w:r w:rsidR="00705B1B">
        <w:rPr>
          <w:rFonts w:eastAsia="Calibri"/>
        </w:rPr>
        <w:t>can be considered as standalone option.</w:t>
      </w:r>
    </w:p>
    <w:p w14:paraId="35921D31" w14:textId="54AAE8ED" w:rsidR="003A3F6B" w:rsidRDefault="00705B1B" w:rsidP="003A3F6B">
      <w:pPr>
        <w:pStyle w:val="ProjectImplication"/>
      </w:pPr>
      <w:r w:rsidRPr="007E17CF">
        <w:t>Option 4(a)</w:t>
      </w:r>
      <w:r w:rsidR="000B2E59">
        <w:t>:</w:t>
      </w:r>
      <w:r w:rsidR="005C38F5">
        <w:t xml:space="preserve"> </w:t>
      </w:r>
      <w:r w:rsidR="009F6C23" w:rsidRPr="007E17CF">
        <w:t>Periodic refresh of operational plans</w:t>
      </w:r>
      <w:bookmarkStart w:id="154" w:name="_Hlk76018740"/>
    </w:p>
    <w:p w14:paraId="7678C95C" w14:textId="11EFBF7F" w:rsidR="00705B1B" w:rsidRDefault="00705B1B" w:rsidP="003A3F6B">
      <w:pPr>
        <w:pStyle w:val="ListBullet"/>
        <w:numPr>
          <w:ilvl w:val="0"/>
          <w:numId w:val="0"/>
        </w:numPr>
        <w:ind w:left="113"/>
      </w:pPr>
      <w:r w:rsidRPr="00705B1B">
        <w:rPr>
          <w:b/>
          <w:bCs/>
        </w:rPr>
        <w:t>Scope and rationale:</w:t>
      </w:r>
      <w:r w:rsidRPr="00705B1B">
        <w:t xml:space="preserve"> sites </w:t>
      </w:r>
      <w:r>
        <w:t xml:space="preserve">should be required </w:t>
      </w:r>
      <w:r w:rsidRPr="00705B1B">
        <w:t>to update the operational plan at least once an MOU cycle (at present the majority of sites are operating on plans that were cleared</w:t>
      </w:r>
      <w:r w:rsidRPr="00705B1B">
        <w:rPr>
          <w:b/>
          <w:bCs/>
        </w:rPr>
        <w:t xml:space="preserve"> </w:t>
      </w:r>
      <w:r w:rsidRPr="00705B1B">
        <w:t>at the time of their original application, between 2008 and 2015)</w:t>
      </w:r>
      <w:r w:rsidR="00524323">
        <w:t>.</w:t>
      </w:r>
    </w:p>
    <w:tbl>
      <w:tblPr>
        <w:tblStyle w:val="HMATableB"/>
        <w:tblW w:w="0" w:type="auto"/>
        <w:tblLook w:val="04A0" w:firstRow="1" w:lastRow="0" w:firstColumn="1" w:lastColumn="0" w:noHBand="0" w:noVBand="1"/>
      </w:tblPr>
      <w:tblGrid>
        <w:gridCol w:w="7034"/>
      </w:tblGrid>
      <w:tr w:rsidR="00705B1B" w:rsidRPr="00031399" w14:paraId="6E928C3C" w14:textId="77777777" w:rsidTr="009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p w14:paraId="2130F778" w14:textId="64CF956F" w:rsidR="00705B1B" w:rsidRPr="00031399" w:rsidRDefault="00705B1B" w:rsidP="003A3F6B">
            <w:pPr>
              <w:pStyle w:val="TableCopy"/>
              <w:keepNext/>
              <w:keepLines/>
              <w:rPr>
                <w:b/>
                <w:bCs/>
              </w:rPr>
            </w:pPr>
            <w:r w:rsidRPr="00031399">
              <w:rPr>
                <w:b/>
                <w:bCs/>
              </w:rPr>
              <w:t>Benefits</w:t>
            </w:r>
            <w:r>
              <w:rPr>
                <w:b/>
                <w:bCs/>
              </w:rPr>
              <w:t xml:space="preserve"> of Option 4(a)</w:t>
            </w:r>
          </w:p>
        </w:tc>
      </w:tr>
      <w:tr w:rsidR="00705B1B" w:rsidRPr="009F7BBB" w14:paraId="6B837DDC" w14:textId="77777777" w:rsidTr="009F7BBB">
        <w:tc>
          <w:tcPr>
            <w:cnfStyle w:val="001000000000" w:firstRow="0" w:lastRow="0" w:firstColumn="1" w:lastColumn="0" w:oddVBand="0" w:evenVBand="0" w:oddHBand="0" w:evenHBand="0" w:firstRowFirstColumn="0" w:firstRowLastColumn="0" w:lastRowFirstColumn="0" w:lastRowLastColumn="0"/>
            <w:tcW w:w="7034" w:type="dxa"/>
          </w:tcPr>
          <w:p w14:paraId="071ACB3E" w14:textId="7C5BF68C" w:rsidR="00705B1B" w:rsidRPr="009F7BBB" w:rsidRDefault="00705B1B" w:rsidP="003A3F6B">
            <w:pPr>
              <w:pStyle w:val="TableBullets1"/>
              <w:keepNext/>
              <w:keepLines/>
              <w:rPr>
                <w:sz w:val="22"/>
                <w:szCs w:val="22"/>
              </w:rPr>
            </w:pPr>
            <w:r w:rsidRPr="009F7BBB">
              <w:rPr>
                <w:sz w:val="22"/>
                <w:szCs w:val="22"/>
              </w:rPr>
              <w:t>The operational plan w</w:t>
            </w:r>
            <w:r w:rsidR="00732ABF" w:rsidRPr="009F7BBB">
              <w:rPr>
                <w:sz w:val="22"/>
                <w:szCs w:val="22"/>
              </w:rPr>
              <w:t>ill</w:t>
            </w:r>
            <w:r w:rsidRPr="009F7BBB">
              <w:rPr>
                <w:sz w:val="22"/>
                <w:szCs w:val="22"/>
              </w:rPr>
              <w:t xml:space="preserve"> more closely align with current circumstances</w:t>
            </w:r>
            <w:r w:rsidR="00732ABF" w:rsidRPr="009F7BBB">
              <w:rPr>
                <w:sz w:val="22"/>
                <w:szCs w:val="22"/>
              </w:rPr>
              <w:t>, including changes to the level of local involvement of a range of other funding programs that may operate in a locality, including services funded or commissioned by RWAs, PHNs, NDIS, and locally available community support services</w:t>
            </w:r>
          </w:p>
          <w:p w14:paraId="342D7660" w14:textId="205C506E" w:rsidR="00732ABF" w:rsidRPr="009F7BBB" w:rsidRDefault="00732ABF" w:rsidP="003A3F6B">
            <w:pPr>
              <w:pStyle w:val="TableBullets1"/>
              <w:keepNext/>
              <w:keepLines/>
              <w:rPr>
                <w:sz w:val="22"/>
                <w:szCs w:val="22"/>
              </w:rPr>
            </w:pPr>
            <w:r w:rsidRPr="009F7BBB">
              <w:rPr>
                <w:sz w:val="22"/>
                <w:szCs w:val="22"/>
              </w:rPr>
              <w:t>Local stakeholders have an opportunity to reassess their position about the operation of the Initiative, based on changed local circumstances</w:t>
            </w:r>
          </w:p>
          <w:p w14:paraId="4A66F9A1" w14:textId="46F1B82A" w:rsidR="00705B1B" w:rsidRPr="009F7BBB" w:rsidRDefault="00705B1B" w:rsidP="003A3F6B">
            <w:pPr>
              <w:pStyle w:val="TableBullets1"/>
              <w:keepNext/>
              <w:keepLines/>
              <w:rPr>
                <w:sz w:val="22"/>
                <w:szCs w:val="22"/>
              </w:rPr>
            </w:pPr>
            <w:r w:rsidRPr="009F7BBB">
              <w:rPr>
                <w:sz w:val="22"/>
                <w:szCs w:val="22"/>
              </w:rPr>
              <w:t xml:space="preserve">Annual reporting by sites would </w:t>
            </w:r>
            <w:r w:rsidR="00AA664B" w:rsidRPr="009F7BBB">
              <w:rPr>
                <w:sz w:val="22"/>
                <w:szCs w:val="22"/>
              </w:rPr>
              <w:t>consider</w:t>
            </w:r>
            <w:r w:rsidRPr="009F7BBB">
              <w:rPr>
                <w:sz w:val="22"/>
                <w:szCs w:val="22"/>
              </w:rPr>
              <w:t xml:space="preserve"> revised service delivery arrangements</w:t>
            </w:r>
            <w:r w:rsidR="00732ABF" w:rsidRPr="009F7BBB">
              <w:rPr>
                <w:sz w:val="22"/>
                <w:szCs w:val="22"/>
              </w:rPr>
              <w:t xml:space="preserve"> introduced sin</w:t>
            </w:r>
            <w:r w:rsidR="00AA664B" w:rsidRPr="009F7BBB">
              <w:rPr>
                <w:sz w:val="22"/>
                <w:szCs w:val="22"/>
              </w:rPr>
              <w:t>c</w:t>
            </w:r>
            <w:r w:rsidR="00732ABF" w:rsidRPr="009F7BBB">
              <w:rPr>
                <w:sz w:val="22"/>
                <w:szCs w:val="22"/>
              </w:rPr>
              <w:t xml:space="preserve">e </w:t>
            </w:r>
            <w:r w:rsidR="00AA664B" w:rsidRPr="009F7BBB">
              <w:rPr>
                <w:sz w:val="22"/>
                <w:szCs w:val="22"/>
              </w:rPr>
              <w:t xml:space="preserve">the original </w:t>
            </w:r>
            <w:r w:rsidR="00732ABF" w:rsidRPr="009F7BBB">
              <w:rPr>
                <w:sz w:val="22"/>
                <w:szCs w:val="22"/>
              </w:rPr>
              <w:t xml:space="preserve">approval to participate </w:t>
            </w:r>
            <w:r w:rsidR="00AA664B" w:rsidRPr="009F7BBB">
              <w:rPr>
                <w:sz w:val="22"/>
                <w:szCs w:val="22"/>
              </w:rPr>
              <w:t>in the Initiative</w:t>
            </w:r>
          </w:p>
        </w:tc>
      </w:tr>
    </w:tbl>
    <w:bookmarkEnd w:id="154"/>
    <w:p w14:paraId="7606B214" w14:textId="201488E7" w:rsidR="007F146D" w:rsidRDefault="007F146D" w:rsidP="000B2E59">
      <w:pPr>
        <w:spacing w:before="240" w:after="240"/>
      </w:pPr>
      <w:r w:rsidRPr="00A85847">
        <w:rPr>
          <w:b/>
          <w:bCs/>
        </w:rPr>
        <w:t>Jurisdiction feedback on the option</w:t>
      </w:r>
      <w:r>
        <w:t xml:space="preserve">: </w:t>
      </w:r>
      <w:r w:rsidR="00385805">
        <w:t>subject to further editing and refinement, there was overall support for this option from all jurisdictions.</w:t>
      </w:r>
    </w:p>
    <w:p w14:paraId="516CF681" w14:textId="2054128C" w:rsidR="009F6C23" w:rsidRPr="007E17CF" w:rsidRDefault="00705B1B" w:rsidP="00F55618">
      <w:pPr>
        <w:pStyle w:val="ProjectImplication"/>
        <w:pBdr>
          <w:bottom w:val="single" w:sz="4" w:space="4" w:color="auto"/>
        </w:pBdr>
      </w:pPr>
      <w:r w:rsidRPr="007E17CF">
        <w:t>Option 4(b)</w:t>
      </w:r>
      <w:r w:rsidR="000B2E59">
        <w:t>:</w:t>
      </w:r>
      <w:r w:rsidRPr="007E17CF">
        <w:t xml:space="preserve"> </w:t>
      </w:r>
      <w:r w:rsidR="009F6C23" w:rsidRPr="007E17CF">
        <w:t>Processes for dealing with changes to site eligibility</w:t>
      </w:r>
      <w:r w:rsidR="007E17CF" w:rsidRPr="007E17CF">
        <w:t xml:space="preserve"> where </w:t>
      </w:r>
      <w:r w:rsidR="007E17CF">
        <w:t xml:space="preserve">a site </w:t>
      </w:r>
      <w:r w:rsidR="007E17CF" w:rsidRPr="007E17CF">
        <w:t>no longer meet</w:t>
      </w:r>
      <w:r w:rsidR="007E17CF">
        <w:t>s</w:t>
      </w:r>
      <w:r w:rsidR="007E17CF" w:rsidRPr="007E17CF">
        <w:t xml:space="preserve"> the eligibility criterion of being located in MMM 5 to</w:t>
      </w:r>
      <w:r w:rsidR="005C38F5">
        <w:t> </w:t>
      </w:r>
      <w:r w:rsidR="007E17CF" w:rsidRPr="007E17CF">
        <w:t>7</w:t>
      </w:r>
    </w:p>
    <w:p w14:paraId="3B930B6C" w14:textId="4D75630D" w:rsidR="00512FEF" w:rsidRDefault="00705B1B" w:rsidP="003A3F6B">
      <w:r w:rsidRPr="00705B1B">
        <w:rPr>
          <w:b/>
          <w:bCs/>
        </w:rPr>
        <w:t>Scope and rationale</w:t>
      </w:r>
      <w:r>
        <w:t xml:space="preserve">: </w:t>
      </w:r>
      <w:r w:rsidR="00DE614C">
        <w:t>The current MOU contains no review mechanism to assess the impacts of removing a site’s entitlement to participate in the Initiative. A transparent review process for sites that no longer meet the eligibility criteri</w:t>
      </w:r>
      <w:r w:rsidR="00AA664B">
        <w:t>on</w:t>
      </w:r>
      <w:r w:rsidR="00DE614C">
        <w:t xml:space="preserve"> </w:t>
      </w:r>
      <w:r w:rsidR="00512FEF">
        <w:t>would be welcomed if it could ensure ongoing stability in service delivery access</w:t>
      </w:r>
      <w:r w:rsidR="00AA664B">
        <w:t>.</w:t>
      </w:r>
      <w:r w:rsidR="00DE614C">
        <w:t xml:space="preserve"> </w:t>
      </w:r>
      <w:r w:rsidR="007E17CF">
        <w:t xml:space="preserve">We suggest a structured </w:t>
      </w:r>
      <w:r w:rsidR="008016F6">
        <w:t xml:space="preserve">review </w:t>
      </w:r>
      <w:r w:rsidR="007E17CF">
        <w:t>process</w:t>
      </w:r>
      <w:r w:rsidR="00512FEF">
        <w:t xml:space="preserve"> to deal with </w:t>
      </w:r>
      <w:r w:rsidR="00AA664B">
        <w:t>such circumstances</w:t>
      </w:r>
      <w:r w:rsidR="0097585B">
        <w:t>:</w:t>
      </w:r>
    </w:p>
    <w:p w14:paraId="72265427" w14:textId="3BA870FE" w:rsidR="00512FEF" w:rsidRDefault="00512FEF" w:rsidP="00512FEF">
      <w:pPr>
        <w:pStyle w:val="ListBullet2"/>
      </w:pPr>
      <w:r>
        <w:t xml:space="preserve">The </w:t>
      </w:r>
      <w:r w:rsidR="00AA664B">
        <w:t xml:space="preserve">ineligible </w:t>
      </w:r>
      <w:r>
        <w:t xml:space="preserve">local site prepares a report on </w:t>
      </w:r>
    </w:p>
    <w:p w14:paraId="4A8DCA93" w14:textId="4E7DA12D" w:rsidR="00512FEF" w:rsidRPr="00512FEF" w:rsidRDefault="00512FEF" w:rsidP="00512FEF">
      <w:pPr>
        <w:pStyle w:val="ListBullet3"/>
      </w:pPr>
      <w:r w:rsidRPr="00512FEF">
        <w:t xml:space="preserve">what is being </w:t>
      </w:r>
      <w:r>
        <w:t xml:space="preserve">billed and </w:t>
      </w:r>
      <w:r w:rsidRPr="00512FEF">
        <w:t>delivered</w:t>
      </w:r>
      <w:r>
        <w:t xml:space="preserve"> at the site under the Initiative arrangements</w:t>
      </w:r>
    </w:p>
    <w:p w14:paraId="648A9B1E" w14:textId="7561F9FF" w:rsidR="00512FEF" w:rsidRPr="00512FEF" w:rsidRDefault="00DE614C" w:rsidP="00512FEF">
      <w:pPr>
        <w:pStyle w:val="ListBullet3"/>
      </w:pPr>
      <w:r w:rsidRPr="00512FEF">
        <w:t>evidence that the Initiative has directly and measurably met the objectives of the program</w:t>
      </w:r>
      <w:r w:rsidR="00512FEF">
        <w:t>,</w:t>
      </w:r>
      <w:r w:rsidRPr="00512FEF">
        <w:t xml:space="preserve"> </w:t>
      </w:r>
      <w:r w:rsidR="007E17CF" w:rsidRPr="00512FEF">
        <w:t>and</w:t>
      </w:r>
    </w:p>
    <w:p w14:paraId="39CDE598" w14:textId="787295FD" w:rsidR="00DE614C" w:rsidRPr="00512FEF" w:rsidRDefault="00DE614C" w:rsidP="00512FEF">
      <w:pPr>
        <w:pStyle w:val="ListBullet3"/>
      </w:pPr>
      <w:r w:rsidRPr="00512FEF">
        <w:t xml:space="preserve">local clinicians and stakeholders provide written support for </w:t>
      </w:r>
      <w:r w:rsidR="008016F6" w:rsidRPr="00512FEF">
        <w:t xml:space="preserve">ongoing </w:t>
      </w:r>
      <w:r w:rsidRPr="00512FEF">
        <w:t>continuation</w:t>
      </w:r>
      <w:r w:rsidR="00512FEF" w:rsidRPr="00512FEF">
        <w:t xml:space="preserve"> of the service delivery and billing arrangemen</w:t>
      </w:r>
      <w:r w:rsidR="00512FEF">
        <w:t>t</w:t>
      </w:r>
      <w:r w:rsidR="00512FEF" w:rsidRPr="00512FEF">
        <w:t>s</w:t>
      </w:r>
      <w:r w:rsidRPr="00512FEF">
        <w:t xml:space="preserve">. </w:t>
      </w:r>
    </w:p>
    <w:p w14:paraId="41BC404F" w14:textId="6D4EBEC0" w:rsidR="00512FEF" w:rsidRDefault="00DE614C" w:rsidP="00512FEF">
      <w:pPr>
        <w:pStyle w:val="ListBullet2"/>
      </w:pPr>
      <w:r>
        <w:t>Th</w:t>
      </w:r>
      <w:r w:rsidR="00AA664B">
        <w:t>e</w:t>
      </w:r>
      <w:r>
        <w:t xml:space="preserve"> review </w:t>
      </w:r>
      <w:r w:rsidR="00AA664B">
        <w:t xml:space="preserve">report </w:t>
      </w:r>
      <w:r>
        <w:t xml:space="preserve">could be submitted to the sub-regional governance committee proposed in </w:t>
      </w:r>
      <w:r w:rsidR="007E17CF">
        <w:t>O</w:t>
      </w:r>
      <w:r>
        <w:t xml:space="preserve">ption 2(a). </w:t>
      </w:r>
    </w:p>
    <w:p w14:paraId="48C46A95" w14:textId="1CDE7DD3" w:rsidR="00DE614C" w:rsidRDefault="00DE614C" w:rsidP="000B2E59">
      <w:pPr>
        <w:pStyle w:val="ListBullet2"/>
        <w:ind w:left="568" w:hanging="284"/>
        <w:contextualSpacing w:val="0"/>
      </w:pPr>
      <w:r>
        <w:lastRenderedPageBreak/>
        <w:t>If there is ongoing support locally</w:t>
      </w:r>
      <w:r w:rsidR="00AA664B">
        <w:t xml:space="preserve"> from the sub-regional governance committee</w:t>
      </w:r>
      <w:r>
        <w:t xml:space="preserve">, the </w:t>
      </w:r>
      <w:r w:rsidR="007E17CF">
        <w:t xml:space="preserve">review </w:t>
      </w:r>
      <w:r w:rsidR="00AA664B">
        <w:t xml:space="preserve">report </w:t>
      </w:r>
      <w:r w:rsidR="007E17CF">
        <w:t xml:space="preserve">could </w:t>
      </w:r>
      <w:r>
        <w:t>the</w:t>
      </w:r>
      <w:r w:rsidR="007E17CF">
        <w:t>n</w:t>
      </w:r>
      <w:r>
        <w:t xml:space="preserve"> </w:t>
      </w:r>
      <w:r w:rsidR="007E17CF">
        <w:t>be</w:t>
      </w:r>
      <w:r>
        <w:t xml:space="preserve"> forwarded to the Commonwealth / jurisdiction committee proposed in Option 2(b). Th</w:t>
      </w:r>
      <w:r w:rsidR="007E17CF">
        <w:t xml:space="preserve">is would examine </w:t>
      </w:r>
      <w:r w:rsidR="007E17CF" w:rsidRPr="007E17CF">
        <w:t>state or territory commitment</w:t>
      </w:r>
      <w:r w:rsidR="007E17CF">
        <w:t>s</w:t>
      </w:r>
      <w:r w:rsidR="007E17CF" w:rsidRPr="007E17CF">
        <w:t xml:space="preserve"> to maintain and/or expand their contribution to the service</w:t>
      </w:r>
      <w:r w:rsidR="00512FEF">
        <w:t>, so that the scope of the Commonwealth role does not drift beyond facilitating access to MBS funding</w:t>
      </w:r>
      <w:r w:rsidR="00A34873">
        <w:t>.</w:t>
      </w:r>
    </w:p>
    <w:tbl>
      <w:tblPr>
        <w:tblStyle w:val="HMATableB"/>
        <w:tblW w:w="0" w:type="auto"/>
        <w:tblLook w:val="04A0" w:firstRow="1" w:lastRow="0" w:firstColumn="1" w:lastColumn="0" w:noHBand="0" w:noVBand="1"/>
      </w:tblPr>
      <w:tblGrid>
        <w:gridCol w:w="7034"/>
      </w:tblGrid>
      <w:tr w:rsidR="007E17CF" w:rsidRPr="00031399" w14:paraId="366BA0DF" w14:textId="77777777" w:rsidTr="009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p w14:paraId="2A19AF6D" w14:textId="7B7A2724" w:rsidR="007E17CF" w:rsidRPr="00031399" w:rsidRDefault="007E17CF" w:rsidP="00473E61">
            <w:pPr>
              <w:pStyle w:val="TableCopy"/>
              <w:keepNext/>
              <w:rPr>
                <w:b/>
                <w:bCs/>
              </w:rPr>
            </w:pPr>
            <w:r w:rsidRPr="00031399">
              <w:rPr>
                <w:b/>
                <w:bCs/>
              </w:rPr>
              <w:t>Benefits</w:t>
            </w:r>
            <w:r>
              <w:rPr>
                <w:b/>
                <w:bCs/>
              </w:rPr>
              <w:t xml:space="preserve"> of Option 4(b)</w:t>
            </w:r>
          </w:p>
        </w:tc>
      </w:tr>
      <w:tr w:rsidR="007E17CF" w:rsidRPr="009F7BBB" w14:paraId="561036D3" w14:textId="77777777" w:rsidTr="009F7BBB">
        <w:tc>
          <w:tcPr>
            <w:cnfStyle w:val="001000000000" w:firstRow="0" w:lastRow="0" w:firstColumn="1" w:lastColumn="0" w:oddVBand="0" w:evenVBand="0" w:oddHBand="0" w:evenHBand="0" w:firstRowFirstColumn="0" w:firstRowLastColumn="0" w:lastRowFirstColumn="0" w:lastRowLastColumn="0"/>
            <w:tcW w:w="7034" w:type="dxa"/>
          </w:tcPr>
          <w:p w14:paraId="52F32CF3" w14:textId="15AD22AA" w:rsidR="007E17CF" w:rsidRPr="009F7BBB" w:rsidRDefault="007E17CF" w:rsidP="008016F6">
            <w:pPr>
              <w:pStyle w:val="TableBullets1"/>
              <w:rPr>
                <w:sz w:val="22"/>
                <w:szCs w:val="22"/>
              </w:rPr>
            </w:pPr>
            <w:r w:rsidRPr="009F7BBB">
              <w:rPr>
                <w:sz w:val="22"/>
                <w:szCs w:val="22"/>
              </w:rPr>
              <w:t xml:space="preserve">Subject to stakeholder </w:t>
            </w:r>
            <w:r w:rsidR="008016F6" w:rsidRPr="009F7BBB">
              <w:rPr>
                <w:sz w:val="22"/>
                <w:szCs w:val="22"/>
              </w:rPr>
              <w:t xml:space="preserve">support and jurisdiction commitment of funds, </w:t>
            </w:r>
            <w:r w:rsidRPr="009F7BBB">
              <w:rPr>
                <w:sz w:val="22"/>
                <w:szCs w:val="22"/>
              </w:rPr>
              <w:t xml:space="preserve">the proposed review mechanism could </w:t>
            </w:r>
            <w:r w:rsidR="008016F6" w:rsidRPr="009F7BBB">
              <w:rPr>
                <w:sz w:val="22"/>
                <w:szCs w:val="22"/>
              </w:rPr>
              <w:t>provide a pathway for ensuring service delivery arrangements are not disrupted by the change to eligibility status</w:t>
            </w:r>
          </w:p>
        </w:tc>
      </w:tr>
    </w:tbl>
    <w:p w14:paraId="37A67A05" w14:textId="16DA983F" w:rsidR="007602E2" w:rsidRDefault="007F146D" w:rsidP="000B2E59">
      <w:pPr>
        <w:spacing w:before="240"/>
      </w:pPr>
      <w:r w:rsidRPr="00A85847">
        <w:rPr>
          <w:b/>
          <w:bCs/>
        </w:rPr>
        <w:t>Jurisdiction feedback on the option</w:t>
      </w:r>
      <w:r>
        <w:t>:</w:t>
      </w:r>
      <w:r w:rsidR="007602E2" w:rsidRPr="007602E2">
        <w:t xml:space="preserve"> </w:t>
      </w:r>
      <w:r w:rsidR="007602E2">
        <w:t>subject to further editing and refinement, there was overall support for this option from all jurisdictions.</w:t>
      </w:r>
    </w:p>
    <w:p w14:paraId="783DC099" w14:textId="2A270958" w:rsidR="007864F6" w:rsidRDefault="007864F6" w:rsidP="007864F6">
      <w:r>
        <w:t>An alternative approach to dealing with ineligibility based on changed population levels of a town could be access to PHN support for innovative workforce models using RGs. This would avoid modifying the underlying population eligibility rule of the Initiative, which has strong stakeholder support.</w:t>
      </w:r>
    </w:p>
    <w:p w14:paraId="5B0F698C" w14:textId="77777777" w:rsidR="00DE61DB" w:rsidRDefault="00DE61DB" w:rsidP="000B2E59">
      <w:pPr>
        <w:spacing w:before="240"/>
      </w:pPr>
    </w:p>
    <w:p w14:paraId="5C3992D8" w14:textId="5AF81959" w:rsidR="009F6C23" w:rsidRDefault="00705B1B" w:rsidP="00F55618">
      <w:pPr>
        <w:pStyle w:val="ProjectImplication"/>
      </w:pPr>
      <w:r w:rsidRPr="008016F6">
        <w:t>Option 4(</w:t>
      </w:r>
      <w:r w:rsidR="003A3F6B">
        <w:t>c</w:t>
      </w:r>
      <w:r w:rsidRPr="008016F6">
        <w:t>)</w:t>
      </w:r>
      <w:r w:rsidR="00FD1DE8">
        <w:t>:</w:t>
      </w:r>
      <w:r w:rsidRPr="008016F6">
        <w:t xml:space="preserve"> </w:t>
      </w:r>
      <w:r w:rsidR="009F6C23" w:rsidRPr="008016F6">
        <w:t>Facilitating jurisdiction and site level knowledge sharing</w:t>
      </w:r>
      <w:r w:rsidR="009F6C23">
        <w:t xml:space="preserve"> </w:t>
      </w:r>
    </w:p>
    <w:p w14:paraId="7A7EA9A4" w14:textId="585CEF59" w:rsidR="00705B1B" w:rsidRDefault="00705B1B" w:rsidP="003A3F6B">
      <w:r w:rsidRPr="00705B1B">
        <w:rPr>
          <w:b/>
          <w:bCs/>
        </w:rPr>
        <w:t>Scope and rationale</w:t>
      </w:r>
      <w:r w:rsidRPr="0097585B">
        <w:rPr>
          <w:b/>
          <w:bCs/>
        </w:rPr>
        <w:t>:</w:t>
      </w:r>
      <w:r>
        <w:t xml:space="preserve"> </w:t>
      </w:r>
      <w:r w:rsidR="008016F6">
        <w:t xml:space="preserve">at present extensive effort </w:t>
      </w:r>
      <w:r w:rsidR="00AA664B">
        <w:t xml:space="preserve">is </w:t>
      </w:r>
      <w:r w:rsidR="008016F6">
        <w:t>involved in preparing local patient consent forms</w:t>
      </w:r>
      <w:r w:rsidR="00512FEF">
        <w:t>,</w:t>
      </w:r>
      <w:r w:rsidR="008016F6">
        <w:t xml:space="preserve"> check lists for in-scope</w:t>
      </w:r>
      <w:r w:rsidR="00AA664B">
        <w:t xml:space="preserve"> MBS</w:t>
      </w:r>
      <w:r w:rsidR="008016F6">
        <w:t xml:space="preserve"> items</w:t>
      </w:r>
      <w:r w:rsidR="00AA664B">
        <w:t>,</w:t>
      </w:r>
      <w:r w:rsidR="008016F6">
        <w:t xml:space="preserve"> and application</w:t>
      </w:r>
      <w:r w:rsidR="00AA664B">
        <w:t xml:space="preserve"> forms and processes</w:t>
      </w:r>
      <w:r w:rsidR="008016F6">
        <w:t xml:space="preserve"> for new registered provider numbers. New and existing sites are often unclear whether particular types of expenditure meet the reinvestment rules of the program.</w:t>
      </w:r>
    </w:p>
    <w:p w14:paraId="526E4633" w14:textId="5048F0E8" w:rsidR="008016F6" w:rsidRDefault="008016F6" w:rsidP="003A3F6B">
      <w:r>
        <w:t xml:space="preserve">An on-line clearing-house could be </w:t>
      </w:r>
      <w:r w:rsidR="00AA664B">
        <w:t>developed</w:t>
      </w:r>
      <w:r>
        <w:t xml:space="preserve"> to store these materials and curate </w:t>
      </w:r>
      <w:r w:rsidR="00512FEF">
        <w:t>responses to site queries. One jurisdiction could be asked to support this on-line function</w:t>
      </w:r>
      <w:r w:rsidR="00AF7D90">
        <w:t xml:space="preserve"> on behalf of all participating jurisdictions.</w:t>
      </w:r>
    </w:p>
    <w:tbl>
      <w:tblPr>
        <w:tblStyle w:val="HMATableB"/>
        <w:tblW w:w="0" w:type="auto"/>
        <w:tblLook w:val="04A0" w:firstRow="1" w:lastRow="0" w:firstColumn="1" w:lastColumn="0" w:noHBand="0" w:noVBand="1"/>
      </w:tblPr>
      <w:tblGrid>
        <w:gridCol w:w="7034"/>
      </w:tblGrid>
      <w:tr w:rsidR="00512FEF" w:rsidRPr="00031399" w14:paraId="7B6E2448" w14:textId="77777777" w:rsidTr="009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p w14:paraId="1EC15F35" w14:textId="48556BF2" w:rsidR="00512FEF" w:rsidRPr="00031399" w:rsidRDefault="00512FEF" w:rsidP="00473E61">
            <w:pPr>
              <w:pStyle w:val="TableCopy"/>
              <w:keepNext/>
              <w:rPr>
                <w:b/>
                <w:bCs/>
              </w:rPr>
            </w:pPr>
            <w:bookmarkStart w:id="155" w:name="_Hlk76026287"/>
            <w:r w:rsidRPr="00031399">
              <w:rPr>
                <w:b/>
                <w:bCs/>
              </w:rPr>
              <w:t>Benefits</w:t>
            </w:r>
            <w:r>
              <w:rPr>
                <w:b/>
                <w:bCs/>
              </w:rPr>
              <w:t xml:space="preserve"> of Option 4(</w:t>
            </w:r>
            <w:r w:rsidR="0097585B">
              <w:rPr>
                <w:b/>
                <w:bCs/>
              </w:rPr>
              <w:t>c</w:t>
            </w:r>
            <w:r>
              <w:rPr>
                <w:b/>
                <w:bCs/>
              </w:rPr>
              <w:t>)</w:t>
            </w:r>
          </w:p>
        </w:tc>
      </w:tr>
      <w:tr w:rsidR="00512FEF" w:rsidRPr="009F7BBB" w14:paraId="0D84C6BB" w14:textId="77777777" w:rsidTr="009F7BBB">
        <w:tc>
          <w:tcPr>
            <w:cnfStyle w:val="001000000000" w:firstRow="0" w:lastRow="0" w:firstColumn="1" w:lastColumn="0" w:oddVBand="0" w:evenVBand="0" w:oddHBand="0" w:evenHBand="0" w:firstRowFirstColumn="0" w:firstRowLastColumn="0" w:lastRowFirstColumn="0" w:lastRowLastColumn="0"/>
            <w:tcW w:w="7034" w:type="dxa"/>
          </w:tcPr>
          <w:p w14:paraId="4B72C88E" w14:textId="6AFF3CBC" w:rsidR="00512FEF" w:rsidRPr="009F7BBB" w:rsidRDefault="00512FEF" w:rsidP="00473E61">
            <w:pPr>
              <w:pStyle w:val="TableBullets1"/>
              <w:rPr>
                <w:sz w:val="22"/>
                <w:szCs w:val="22"/>
              </w:rPr>
            </w:pPr>
            <w:r w:rsidRPr="009F7BBB">
              <w:rPr>
                <w:sz w:val="22"/>
                <w:szCs w:val="22"/>
              </w:rPr>
              <w:t>Operation of a</w:t>
            </w:r>
            <w:r w:rsidR="00AA664B" w:rsidRPr="009F7BBB">
              <w:rPr>
                <w:sz w:val="22"/>
                <w:szCs w:val="22"/>
              </w:rPr>
              <w:t>n on-line</w:t>
            </w:r>
            <w:r w:rsidRPr="009F7BBB">
              <w:rPr>
                <w:sz w:val="22"/>
                <w:szCs w:val="22"/>
              </w:rPr>
              <w:t xml:space="preserve"> clearing-house would reduce duplication of administrative effort at a site and jurisdiction level. The Commonwealth would </w:t>
            </w:r>
            <w:r w:rsidRPr="009F7BBB">
              <w:rPr>
                <w:sz w:val="22"/>
                <w:szCs w:val="22"/>
              </w:rPr>
              <w:t>have a forum where it could distribute advice on rule interpretation and efficiently get feedback from jurisd</w:t>
            </w:r>
            <w:r w:rsidR="00AF7D90" w:rsidRPr="009F7BBB">
              <w:rPr>
                <w:sz w:val="22"/>
                <w:szCs w:val="22"/>
              </w:rPr>
              <w:t>i</w:t>
            </w:r>
            <w:r w:rsidRPr="009F7BBB">
              <w:rPr>
                <w:sz w:val="22"/>
                <w:szCs w:val="22"/>
              </w:rPr>
              <w:t>ctions and sites</w:t>
            </w:r>
          </w:p>
        </w:tc>
      </w:tr>
    </w:tbl>
    <w:bookmarkEnd w:id="155"/>
    <w:p w14:paraId="4E0B1AD8" w14:textId="1ED00B90" w:rsidR="007602E2" w:rsidRDefault="007602E2" w:rsidP="00FD1DE8">
      <w:pPr>
        <w:spacing w:before="240"/>
      </w:pPr>
      <w:r w:rsidRPr="00A85847">
        <w:rPr>
          <w:b/>
          <w:bCs/>
        </w:rPr>
        <w:t>Jurisdiction feedback on the option</w:t>
      </w:r>
      <w:r>
        <w:t>:</w:t>
      </w:r>
      <w:r w:rsidRPr="007602E2">
        <w:t xml:space="preserve"> </w:t>
      </w:r>
      <w:r>
        <w:t>there was overall support for this option from all jurisdictions. One jurisdiction (NSW) considered the clearing-house should be managed by the Commonwealth and a second (WA) said the resources shared must be consistent with Medicare and MOU requirements.</w:t>
      </w:r>
    </w:p>
    <w:p w14:paraId="0CBED53D" w14:textId="43ED003B" w:rsidR="009F6C23" w:rsidRPr="001B2005" w:rsidRDefault="00705B1B" w:rsidP="00F55618">
      <w:pPr>
        <w:pStyle w:val="ProjectImplication"/>
        <w:pBdr>
          <w:top w:val="single" w:sz="4" w:space="4" w:color="auto"/>
        </w:pBdr>
      </w:pPr>
      <w:r w:rsidRPr="001B2005">
        <w:t>Option 4(</w:t>
      </w:r>
      <w:r w:rsidR="00DE48A4">
        <w:t>d</w:t>
      </w:r>
      <w:r w:rsidRPr="001B2005">
        <w:t>)</w:t>
      </w:r>
      <w:r w:rsidR="00FD1DE8">
        <w:t>:</w:t>
      </w:r>
      <w:r w:rsidRPr="001B2005">
        <w:t xml:space="preserve"> </w:t>
      </w:r>
      <w:r w:rsidR="009F6C23" w:rsidRPr="001B2005">
        <w:t>Jurisdiction reporting – revise</w:t>
      </w:r>
      <w:r w:rsidR="001B2005" w:rsidRPr="001B2005">
        <w:t xml:space="preserve"> the reporting template and submission processes</w:t>
      </w:r>
    </w:p>
    <w:p w14:paraId="3734BAA9" w14:textId="3C3C4D6B" w:rsidR="00705B1B" w:rsidRDefault="00705B1B" w:rsidP="000B2E59">
      <w:r w:rsidRPr="00705B1B">
        <w:rPr>
          <w:b/>
          <w:bCs/>
        </w:rPr>
        <w:t xml:space="preserve">Scope and rationale: </w:t>
      </w:r>
      <w:r w:rsidR="001B2005">
        <w:t xml:space="preserve">at present </w:t>
      </w:r>
      <w:r w:rsidR="00D14DC2">
        <w:t xml:space="preserve">site annual </w:t>
      </w:r>
      <w:r w:rsidR="001B2005">
        <w:t>report</w:t>
      </w:r>
      <w:r w:rsidR="00AA664B">
        <w:t>s are due</w:t>
      </w:r>
      <w:r w:rsidR="00A34873">
        <w:t xml:space="preserve"> </w:t>
      </w:r>
      <w:r w:rsidR="00D14DC2">
        <w:t>by 31 August each year.</w:t>
      </w:r>
      <w:r w:rsidR="009A4F03">
        <w:t xml:space="preserve"> </w:t>
      </w:r>
      <w:r w:rsidR="00D14DC2">
        <w:t xml:space="preserve">Sites </w:t>
      </w:r>
      <w:r w:rsidR="00A34873">
        <w:t xml:space="preserve">must </w:t>
      </w:r>
      <w:r w:rsidR="00D14DC2">
        <w:t xml:space="preserve">list how the MBS funds received by the site </w:t>
      </w:r>
      <w:r w:rsidR="00A34873">
        <w:t>were</w:t>
      </w:r>
      <w:r w:rsidR="00D14DC2">
        <w:t xml:space="preserve"> reinvested by categories specified in the MOU. The reporting template contains no link to the original Operating Plan.</w:t>
      </w:r>
    </w:p>
    <w:p w14:paraId="3ED5A565" w14:textId="451EB1B0" w:rsidR="00D14DC2" w:rsidRDefault="00D14DC2" w:rsidP="000B2E59">
      <w:r>
        <w:t xml:space="preserve">Understanding of how the MBS funds are being used at a site level would be enhanced if submission and storage of annual report data </w:t>
      </w:r>
      <w:r w:rsidR="00B07EB1">
        <w:t>were</w:t>
      </w:r>
      <w:r>
        <w:t xml:space="preserve"> enabled by an online portal linked to a database to facilitate data management. Sites could enter their data online and edit this data up to the 31 August clo</w:t>
      </w:r>
      <w:r w:rsidR="00AA664B">
        <w:t>se-off</w:t>
      </w:r>
      <w:r>
        <w:t>. The database should contain links to the Operating Plan. Submissions should be required to explain how the reinvestment is in alignment with the Operating Plan or varies from the Plan.</w:t>
      </w:r>
    </w:p>
    <w:p w14:paraId="18C7810F" w14:textId="7DEB6EBF" w:rsidR="00D14DC2" w:rsidRDefault="00D14DC2" w:rsidP="000B2E59">
      <w:r>
        <w:t xml:space="preserve">The Commonwealth program area should produce annual reports on how the </w:t>
      </w:r>
      <w:r w:rsidR="00A34873">
        <w:t xml:space="preserve">MBS </w:t>
      </w:r>
      <w:r>
        <w:t xml:space="preserve">funds </w:t>
      </w:r>
      <w:r w:rsidR="00A34873">
        <w:t>have been reinvested at a site and jurisdiction level.</w:t>
      </w:r>
      <w:r w:rsidR="009A4F03">
        <w:t xml:space="preserve"> </w:t>
      </w:r>
      <w:r w:rsidR="00A34873">
        <w:t xml:space="preserve">This information could be shared with jurisdiction and sub-regional committees. </w:t>
      </w:r>
    </w:p>
    <w:tbl>
      <w:tblPr>
        <w:tblStyle w:val="HMATableB"/>
        <w:tblW w:w="0" w:type="auto"/>
        <w:tblLook w:val="04A0" w:firstRow="1" w:lastRow="0" w:firstColumn="1" w:lastColumn="0" w:noHBand="0" w:noVBand="1"/>
      </w:tblPr>
      <w:tblGrid>
        <w:gridCol w:w="7034"/>
      </w:tblGrid>
      <w:tr w:rsidR="00D14DC2" w:rsidRPr="00031399" w14:paraId="4F6F2E80" w14:textId="77777777" w:rsidTr="009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tcPr>
          <w:p w14:paraId="28D0057C" w14:textId="2EAD7B74" w:rsidR="00D14DC2" w:rsidRPr="00031399" w:rsidRDefault="00D14DC2" w:rsidP="00473E61">
            <w:pPr>
              <w:pStyle w:val="TableCopy"/>
              <w:keepNext/>
              <w:rPr>
                <w:b/>
                <w:bCs/>
              </w:rPr>
            </w:pPr>
            <w:r w:rsidRPr="00031399">
              <w:rPr>
                <w:b/>
                <w:bCs/>
              </w:rPr>
              <w:t>Benefits</w:t>
            </w:r>
            <w:r>
              <w:rPr>
                <w:b/>
                <w:bCs/>
              </w:rPr>
              <w:t xml:space="preserve"> of Option 4(</w:t>
            </w:r>
            <w:r w:rsidR="00DE48A4">
              <w:rPr>
                <w:b/>
                <w:bCs/>
              </w:rPr>
              <w:t>d</w:t>
            </w:r>
            <w:r>
              <w:rPr>
                <w:b/>
                <w:bCs/>
              </w:rPr>
              <w:t>)</w:t>
            </w:r>
          </w:p>
        </w:tc>
      </w:tr>
      <w:tr w:rsidR="00D14DC2" w:rsidRPr="009F7BBB" w14:paraId="7FE55678" w14:textId="77777777" w:rsidTr="009F7BBB">
        <w:tc>
          <w:tcPr>
            <w:cnfStyle w:val="001000000000" w:firstRow="0" w:lastRow="0" w:firstColumn="1" w:lastColumn="0" w:oddVBand="0" w:evenVBand="0" w:oddHBand="0" w:evenHBand="0" w:firstRowFirstColumn="0" w:firstRowLastColumn="0" w:lastRowFirstColumn="0" w:lastRowLastColumn="0"/>
            <w:tcW w:w="7034" w:type="dxa"/>
          </w:tcPr>
          <w:p w14:paraId="7757D723" w14:textId="56EA6EBE" w:rsidR="00D14DC2" w:rsidRPr="009F7BBB" w:rsidRDefault="00A34873" w:rsidP="00473E61">
            <w:pPr>
              <w:pStyle w:val="TableBullets1"/>
              <w:rPr>
                <w:sz w:val="22"/>
                <w:szCs w:val="22"/>
              </w:rPr>
            </w:pPr>
            <w:r w:rsidRPr="009F7BBB">
              <w:rPr>
                <w:sz w:val="22"/>
                <w:szCs w:val="22"/>
              </w:rPr>
              <w:t>Transparency of how Initiative funds are reinvested would be increased and assist with local area resource planning and service development</w:t>
            </w:r>
          </w:p>
        </w:tc>
      </w:tr>
    </w:tbl>
    <w:p w14:paraId="78D6EDA3" w14:textId="734DD33F" w:rsidR="00A974F7" w:rsidRDefault="007F146D" w:rsidP="000B2E59">
      <w:pPr>
        <w:spacing w:before="240"/>
      </w:pPr>
      <w:r w:rsidRPr="00A85847">
        <w:rPr>
          <w:b/>
          <w:bCs/>
        </w:rPr>
        <w:t>Jurisdiction feedback on the option</w:t>
      </w:r>
      <w:r>
        <w:t>:</w:t>
      </w:r>
      <w:r w:rsidR="007602E2">
        <w:t xml:space="preserve"> there was support for the principles of this option but reservations about use of a portal by some jurisdictions because of perce</w:t>
      </w:r>
      <w:r w:rsidR="00524323">
        <w:t>p</w:t>
      </w:r>
      <w:r w:rsidR="007602E2">
        <w:t xml:space="preserve">tions </w:t>
      </w:r>
      <w:r w:rsidR="00524323">
        <w:t xml:space="preserve">this </w:t>
      </w:r>
      <w:r w:rsidR="00AC54A1">
        <w:t xml:space="preserve">data collection method may </w:t>
      </w:r>
      <w:r w:rsidR="00524323">
        <w:t>increase administrative complexity</w:t>
      </w:r>
      <w:r w:rsidR="00AC54A1">
        <w:t>.</w:t>
      </w:r>
    </w:p>
    <w:p w14:paraId="749C0CC9" w14:textId="77777777" w:rsidR="00A34873" w:rsidRDefault="00A34873" w:rsidP="00A974F7"/>
    <w:p w14:paraId="6FBCCDBE" w14:textId="77777777" w:rsidR="00BC63BD" w:rsidRDefault="00BC63BD" w:rsidP="00CC2420"/>
    <w:p w14:paraId="444FD118" w14:textId="77777777" w:rsidR="00CC2420" w:rsidRDefault="00CC2420" w:rsidP="00150F81">
      <w:pPr>
        <w:sectPr w:rsidR="00CC2420" w:rsidSect="006F7939">
          <w:pgSz w:w="16838" w:h="11906" w:orient="landscape" w:code="9"/>
          <w:pgMar w:top="737" w:right="1304" w:bottom="1134" w:left="737" w:header="567" w:footer="284" w:gutter="0"/>
          <w:cols w:num="2" w:space="708"/>
          <w:docGrid w:linePitch="360"/>
        </w:sectPr>
      </w:pPr>
    </w:p>
    <w:p w14:paraId="0210F82B" w14:textId="6EF77642" w:rsidR="008C0AA9" w:rsidRDefault="00CA160C" w:rsidP="00E716AD">
      <w:pPr>
        <w:pStyle w:val="Heading1"/>
        <w:framePr w:wrap="around"/>
      </w:pPr>
      <w:bookmarkStart w:id="156" w:name="_Toc85203315"/>
      <w:r>
        <w:lastRenderedPageBreak/>
        <w:t>Appendices</w:t>
      </w:r>
      <w:bookmarkEnd w:id="156"/>
    </w:p>
    <w:p w14:paraId="7F39A2BE" w14:textId="77777777" w:rsidR="00A902A6" w:rsidRDefault="00A902A6" w:rsidP="00A902A6">
      <w:pPr>
        <w:sectPr w:rsidR="00A902A6" w:rsidSect="00006354">
          <w:headerReference w:type="default" r:id="rId35"/>
          <w:type w:val="continuous"/>
          <w:pgSz w:w="16838" w:h="11906" w:orient="landscape" w:code="9"/>
          <w:pgMar w:top="737" w:right="1304" w:bottom="1134" w:left="737" w:header="567" w:footer="284" w:gutter="0"/>
          <w:cols w:num="2" w:space="708"/>
          <w:docGrid w:linePitch="360"/>
        </w:sectPr>
      </w:pPr>
    </w:p>
    <w:p w14:paraId="2A592036" w14:textId="5CF9EE2C" w:rsidR="00006354" w:rsidRDefault="00006354" w:rsidP="00CA160C">
      <w:pPr>
        <w:pStyle w:val="AppendixHeading"/>
      </w:pPr>
      <w:bookmarkStart w:id="157" w:name="_Toc85203316"/>
      <w:r>
        <w:lastRenderedPageBreak/>
        <w:t>Detailed evaluation questions</w:t>
      </w:r>
      <w:r w:rsidR="00A902A6">
        <w:t xml:space="preserve"> </w:t>
      </w:r>
      <w:r w:rsidR="00DE5CEB">
        <w:t>specified</w:t>
      </w:r>
      <w:r w:rsidR="00A902A6">
        <w:t xml:space="preserve"> in the RFQ</w:t>
      </w:r>
      <w:bookmarkEnd w:id="157"/>
    </w:p>
    <w:p w14:paraId="27F8FD37" w14:textId="1BA8A282" w:rsidR="00006354" w:rsidRPr="00006354" w:rsidRDefault="00006354" w:rsidP="00006354">
      <w:pPr>
        <w:spacing w:after="160" w:line="259" w:lineRule="auto"/>
      </w:pPr>
      <w:r>
        <w:t>The approach to data collection described in Chapter 3 was informed by the evaluation questions specified in t</w:t>
      </w:r>
      <w:r w:rsidRPr="00006354">
        <w:t>he RFQ</w:t>
      </w:r>
      <w:r>
        <w:t>. This</w:t>
      </w:r>
      <w:r w:rsidRPr="00006354">
        <w:t xml:space="preserve"> specifie</w:t>
      </w:r>
      <w:r>
        <w:t>d</w:t>
      </w:r>
      <w:r w:rsidRPr="00006354">
        <w:t xml:space="preserve"> that the evaluation </w:t>
      </w:r>
      <w:r>
        <w:t xml:space="preserve">was </w:t>
      </w:r>
      <w:r w:rsidRPr="00006354">
        <w:t>to address two broad areas in relation to the Initiative:</w:t>
      </w:r>
    </w:p>
    <w:p w14:paraId="1616F762" w14:textId="67F9C772" w:rsidR="00006354" w:rsidRPr="00006354" w:rsidRDefault="00006354" w:rsidP="00B2799B">
      <w:pPr>
        <w:numPr>
          <w:ilvl w:val="0"/>
          <w:numId w:val="22"/>
        </w:numPr>
        <w:spacing w:before="20" w:after="20" w:line="264" w:lineRule="atLeast"/>
        <w:rPr>
          <w:rFonts w:cs="Times New Roman"/>
          <w:color w:val="000000" w:themeColor="text1"/>
          <w:szCs w:val="20"/>
        </w:rPr>
      </w:pPr>
      <w:r w:rsidRPr="00006354">
        <w:rPr>
          <w:rFonts w:cs="Times New Roman"/>
          <w:color w:val="000000" w:themeColor="text1"/>
          <w:szCs w:val="20"/>
        </w:rPr>
        <w:t>T</w:t>
      </w:r>
      <w:r w:rsidRPr="00006354">
        <w:rPr>
          <w:rFonts w:cs="Times New Roman"/>
          <w:b/>
          <w:bCs/>
          <w:color w:val="000000" w:themeColor="text1"/>
          <w:szCs w:val="20"/>
        </w:rPr>
        <w:t>he underlying appropriateness / relevance of the program.</w:t>
      </w:r>
      <w:r w:rsidR="009A4F03">
        <w:rPr>
          <w:rFonts w:cs="Times New Roman"/>
          <w:color w:val="000000" w:themeColor="text1"/>
          <w:szCs w:val="20"/>
        </w:rPr>
        <w:t xml:space="preserve"> </w:t>
      </w:r>
      <w:bookmarkStart w:id="158" w:name="_Hlk64578599"/>
      <w:r w:rsidRPr="00006354">
        <w:rPr>
          <w:rFonts w:cs="Times New Roman"/>
          <w:color w:val="000000" w:themeColor="text1"/>
          <w:szCs w:val="20"/>
        </w:rPr>
        <w:t>Within this area the RFQ states that the detailed evaluation questions to be answered are</w:t>
      </w:r>
      <w:bookmarkEnd w:id="158"/>
    </w:p>
    <w:p w14:paraId="0A1D1A42" w14:textId="59CE0B54" w:rsidR="00006354" w:rsidRPr="00006354" w:rsidRDefault="00006354" w:rsidP="00B2799B">
      <w:pPr>
        <w:numPr>
          <w:ilvl w:val="1"/>
          <w:numId w:val="22"/>
        </w:numPr>
        <w:spacing w:before="20" w:after="20" w:line="264" w:lineRule="atLeast"/>
        <w:rPr>
          <w:rFonts w:cs="Times New Roman"/>
          <w:b/>
          <w:color w:val="000000" w:themeColor="text1"/>
          <w:szCs w:val="20"/>
        </w:rPr>
      </w:pPr>
      <w:r w:rsidRPr="00006354">
        <w:rPr>
          <w:rFonts w:cs="Times New Roman"/>
          <w:b/>
          <w:color w:val="000000" w:themeColor="text1"/>
          <w:szCs w:val="20"/>
        </w:rPr>
        <w:t xml:space="preserve">Does the Section 19(2) </w:t>
      </w:r>
      <w:r w:rsidR="00A07293">
        <w:rPr>
          <w:rFonts w:cs="Times New Roman"/>
          <w:b/>
          <w:color w:val="000000" w:themeColor="text1"/>
          <w:szCs w:val="20"/>
        </w:rPr>
        <w:t>Initiative</w:t>
      </w:r>
      <w:r w:rsidRPr="00006354">
        <w:rPr>
          <w:rFonts w:cs="Times New Roman"/>
          <w:b/>
          <w:color w:val="000000" w:themeColor="text1"/>
          <w:szCs w:val="20"/>
        </w:rPr>
        <w:t xml:space="preserve"> continue to meet the need to improve access to primary care in rural and remote areas?</w:t>
      </w:r>
    </w:p>
    <w:p w14:paraId="19851D89" w14:textId="77777777" w:rsidR="00006354" w:rsidRPr="00006354" w:rsidRDefault="00006354" w:rsidP="00B2799B">
      <w:pPr>
        <w:numPr>
          <w:ilvl w:val="2"/>
          <w:numId w:val="23"/>
        </w:numPr>
        <w:spacing w:before="20" w:after="20" w:line="264" w:lineRule="atLeast"/>
        <w:rPr>
          <w:rFonts w:cs="Times New Roman"/>
          <w:color w:val="000000" w:themeColor="text1"/>
          <w:szCs w:val="20"/>
        </w:rPr>
      </w:pPr>
      <w:r w:rsidRPr="00006354">
        <w:rPr>
          <w:rFonts w:cs="Times New Roman"/>
          <w:color w:val="000000" w:themeColor="text1"/>
          <w:szCs w:val="20"/>
        </w:rPr>
        <w:t>To what extent does this Program still contribute to resolving this issue?</w:t>
      </w:r>
    </w:p>
    <w:p w14:paraId="22CAD628" w14:textId="77777777" w:rsidR="00006354" w:rsidRPr="00006354" w:rsidRDefault="00006354" w:rsidP="00B2799B">
      <w:pPr>
        <w:numPr>
          <w:ilvl w:val="2"/>
          <w:numId w:val="23"/>
        </w:numPr>
        <w:spacing w:before="20" w:after="20" w:line="264" w:lineRule="atLeast"/>
        <w:rPr>
          <w:rFonts w:cs="Times New Roman"/>
          <w:color w:val="000000" w:themeColor="text1"/>
          <w:szCs w:val="20"/>
        </w:rPr>
      </w:pPr>
      <w:r w:rsidRPr="00006354">
        <w:rPr>
          <w:rFonts w:cs="Times New Roman"/>
          <w:color w:val="000000" w:themeColor="text1"/>
          <w:szCs w:val="20"/>
        </w:rPr>
        <w:t xml:space="preserve">Is this policy still the right response to the issues and context which led to its development? </w:t>
      </w:r>
    </w:p>
    <w:p w14:paraId="5A8677A6" w14:textId="1A7BEE59" w:rsidR="00006354" w:rsidRPr="00006354" w:rsidRDefault="00006354" w:rsidP="00B2799B">
      <w:pPr>
        <w:numPr>
          <w:ilvl w:val="2"/>
          <w:numId w:val="23"/>
        </w:numPr>
        <w:spacing w:before="20" w:after="20" w:line="264" w:lineRule="atLeast"/>
        <w:rPr>
          <w:rFonts w:cs="Times New Roman"/>
          <w:color w:val="000000" w:themeColor="text1"/>
          <w:szCs w:val="20"/>
        </w:rPr>
      </w:pPr>
      <w:r w:rsidRPr="00006354">
        <w:rPr>
          <w:rFonts w:cs="Times New Roman"/>
          <w:color w:val="000000" w:themeColor="text1"/>
          <w:szCs w:val="20"/>
        </w:rPr>
        <w:t xml:space="preserve">To what extent does the Program remain contemporary in aligning with government approaches to primary </w:t>
      </w:r>
      <w:r w:rsidR="00E419DC">
        <w:rPr>
          <w:rFonts w:cs="Times New Roman"/>
          <w:color w:val="000000" w:themeColor="text1"/>
          <w:szCs w:val="20"/>
        </w:rPr>
        <w:t>healthcare</w:t>
      </w:r>
      <w:r w:rsidRPr="00006354">
        <w:rPr>
          <w:rFonts w:cs="Times New Roman"/>
          <w:color w:val="000000" w:themeColor="text1"/>
          <w:szCs w:val="20"/>
        </w:rPr>
        <w:t xml:space="preserve"> delivery in rural and remote areas including the Innovative Employment Models trials and Sub-Regional Workforce Modelling activities currently being supported by Health Workforce Division, Commonwealth Department of Health. </w:t>
      </w:r>
    </w:p>
    <w:p w14:paraId="73A90134" w14:textId="77777777" w:rsidR="00006354" w:rsidRPr="00006354" w:rsidRDefault="00006354" w:rsidP="00B2799B">
      <w:pPr>
        <w:numPr>
          <w:ilvl w:val="1"/>
          <w:numId w:val="22"/>
        </w:numPr>
        <w:spacing w:before="20" w:after="20" w:line="264" w:lineRule="atLeast"/>
        <w:rPr>
          <w:rFonts w:cs="Times New Roman"/>
          <w:b/>
          <w:color w:val="000000" w:themeColor="text1"/>
          <w:szCs w:val="20"/>
        </w:rPr>
      </w:pPr>
      <w:r w:rsidRPr="00006354">
        <w:rPr>
          <w:rFonts w:cs="Times New Roman"/>
          <w:b/>
          <w:color w:val="000000" w:themeColor="text1"/>
          <w:szCs w:val="20"/>
        </w:rPr>
        <w:t xml:space="preserve">Are the current Section 19(2) Initiative eligibility criteria appropriate? </w:t>
      </w:r>
    </w:p>
    <w:p w14:paraId="35A0294B" w14:textId="77777777" w:rsidR="00006354" w:rsidRPr="00006354" w:rsidRDefault="00006354" w:rsidP="00B2799B">
      <w:pPr>
        <w:numPr>
          <w:ilvl w:val="2"/>
          <w:numId w:val="22"/>
        </w:numPr>
        <w:spacing w:before="20" w:after="20" w:line="264" w:lineRule="atLeast"/>
        <w:rPr>
          <w:rFonts w:cs="Times New Roman"/>
          <w:color w:val="000000" w:themeColor="text1"/>
          <w:szCs w:val="20"/>
        </w:rPr>
      </w:pPr>
      <w:r w:rsidRPr="00006354">
        <w:rPr>
          <w:rFonts w:cs="Times New Roman"/>
          <w:color w:val="000000" w:themeColor="text1"/>
          <w:szCs w:val="20"/>
        </w:rPr>
        <w:t xml:space="preserve">Is the need for sites to be located in categories five through seven of the MMM classification system appropriate to achieve the Initiatives objectives? </w:t>
      </w:r>
    </w:p>
    <w:p w14:paraId="5C5CF065" w14:textId="77777777" w:rsidR="00006354" w:rsidRPr="00006354" w:rsidRDefault="00006354" w:rsidP="00B2799B">
      <w:pPr>
        <w:numPr>
          <w:ilvl w:val="2"/>
          <w:numId w:val="22"/>
        </w:numPr>
        <w:spacing w:before="20" w:after="20" w:line="264" w:lineRule="atLeast"/>
        <w:rPr>
          <w:rFonts w:cs="Times New Roman"/>
          <w:color w:val="000000" w:themeColor="text1"/>
          <w:szCs w:val="20"/>
        </w:rPr>
      </w:pPr>
      <w:r w:rsidRPr="00006354">
        <w:rPr>
          <w:rFonts w:cs="Times New Roman"/>
          <w:color w:val="000000" w:themeColor="text1"/>
          <w:szCs w:val="20"/>
        </w:rPr>
        <w:t>Should the eligibility criteria be modified and if so, how should it be changed?</w:t>
      </w:r>
    </w:p>
    <w:p w14:paraId="747F3DD6" w14:textId="77777777" w:rsidR="00006354" w:rsidRPr="00006354" w:rsidRDefault="00006354" w:rsidP="00B2799B">
      <w:pPr>
        <w:numPr>
          <w:ilvl w:val="1"/>
          <w:numId w:val="22"/>
        </w:numPr>
        <w:spacing w:before="20" w:after="20" w:line="264" w:lineRule="atLeast"/>
        <w:rPr>
          <w:rFonts w:cs="Times New Roman"/>
          <w:b/>
          <w:color w:val="000000" w:themeColor="text1"/>
          <w:szCs w:val="20"/>
        </w:rPr>
      </w:pPr>
      <w:r w:rsidRPr="00006354">
        <w:rPr>
          <w:rFonts w:cs="Times New Roman"/>
          <w:b/>
          <w:color w:val="000000" w:themeColor="text1"/>
          <w:szCs w:val="20"/>
        </w:rPr>
        <w:t>Are the current administrative arrangements and processes appropriate for management, accountability and transparency purposes and if not, how can these be improved?</w:t>
      </w:r>
    </w:p>
    <w:p w14:paraId="50743134" w14:textId="77777777" w:rsidR="00006354" w:rsidRPr="00006354" w:rsidRDefault="00006354" w:rsidP="00B2799B">
      <w:pPr>
        <w:numPr>
          <w:ilvl w:val="2"/>
          <w:numId w:val="22"/>
        </w:numPr>
        <w:spacing w:before="20" w:after="20" w:line="264" w:lineRule="atLeast"/>
        <w:rPr>
          <w:rFonts w:cs="Times New Roman"/>
          <w:color w:val="000000" w:themeColor="text1"/>
          <w:szCs w:val="20"/>
        </w:rPr>
      </w:pPr>
      <w:r w:rsidRPr="00006354">
        <w:rPr>
          <w:rFonts w:cs="Times New Roman"/>
          <w:color w:val="000000" w:themeColor="text1"/>
          <w:szCs w:val="20"/>
        </w:rPr>
        <w:t xml:space="preserve">Does the existing MOU provide both parties adequate explanation and clarity in terms of expectations? </w:t>
      </w:r>
    </w:p>
    <w:p w14:paraId="1490787A" w14:textId="77777777" w:rsidR="00006354" w:rsidRPr="00006354" w:rsidRDefault="00006354" w:rsidP="00B2799B">
      <w:pPr>
        <w:numPr>
          <w:ilvl w:val="2"/>
          <w:numId w:val="22"/>
        </w:numPr>
        <w:spacing w:before="20" w:after="20" w:line="264" w:lineRule="atLeast"/>
        <w:rPr>
          <w:rFonts w:cs="Times New Roman"/>
          <w:color w:val="000000" w:themeColor="text1"/>
          <w:szCs w:val="20"/>
        </w:rPr>
      </w:pPr>
      <w:r w:rsidRPr="00006354">
        <w:rPr>
          <w:rFonts w:cs="Times New Roman"/>
          <w:color w:val="000000" w:themeColor="text1"/>
          <w:szCs w:val="20"/>
        </w:rPr>
        <w:t>Are the reporting requirements adequate in terms of measuring:</w:t>
      </w:r>
    </w:p>
    <w:p w14:paraId="056A98F8" w14:textId="6D327542" w:rsidR="00006354" w:rsidRPr="00006354" w:rsidRDefault="00006354" w:rsidP="00B2799B">
      <w:pPr>
        <w:numPr>
          <w:ilvl w:val="3"/>
          <w:numId w:val="22"/>
        </w:numPr>
        <w:spacing w:before="20" w:after="20" w:line="264" w:lineRule="atLeast"/>
        <w:rPr>
          <w:rFonts w:cs="Times New Roman"/>
          <w:color w:val="000000" w:themeColor="text1"/>
          <w:szCs w:val="20"/>
        </w:rPr>
      </w:pPr>
      <w:r w:rsidRPr="00006354">
        <w:rPr>
          <w:rFonts w:cs="Times New Roman"/>
          <w:color w:val="000000" w:themeColor="text1"/>
          <w:szCs w:val="20"/>
        </w:rPr>
        <w:t xml:space="preserve">the impact of the </w:t>
      </w:r>
      <w:r w:rsidR="00A07293">
        <w:rPr>
          <w:rFonts w:cs="Times New Roman"/>
          <w:color w:val="000000" w:themeColor="text1"/>
          <w:szCs w:val="20"/>
        </w:rPr>
        <w:t>Initiative</w:t>
      </w:r>
      <w:r w:rsidRPr="00006354">
        <w:rPr>
          <w:rFonts w:cs="Times New Roman"/>
          <w:color w:val="000000" w:themeColor="text1"/>
          <w:szCs w:val="20"/>
        </w:rPr>
        <w:t xml:space="preserve"> and its appropriateness</w:t>
      </w:r>
      <w:r w:rsidR="00B07EB1">
        <w:rPr>
          <w:rFonts w:cs="Times New Roman"/>
          <w:color w:val="000000" w:themeColor="text1"/>
          <w:szCs w:val="20"/>
        </w:rPr>
        <w:t>?</w:t>
      </w:r>
    </w:p>
    <w:p w14:paraId="657B21DB" w14:textId="6B58BF9D" w:rsidR="00006354" w:rsidRPr="00006354" w:rsidRDefault="00006354" w:rsidP="00B2799B">
      <w:pPr>
        <w:numPr>
          <w:ilvl w:val="3"/>
          <w:numId w:val="22"/>
        </w:numPr>
        <w:spacing w:before="20" w:after="20" w:line="264" w:lineRule="atLeast"/>
        <w:rPr>
          <w:rFonts w:cs="Times New Roman"/>
          <w:color w:val="000000" w:themeColor="text1"/>
          <w:szCs w:val="20"/>
        </w:rPr>
      </w:pPr>
      <w:r w:rsidRPr="00006354">
        <w:rPr>
          <w:rFonts w:cs="Times New Roman"/>
          <w:color w:val="000000" w:themeColor="text1"/>
          <w:szCs w:val="20"/>
        </w:rPr>
        <w:t>Site MBS billing accountability and appropriateness of claims</w:t>
      </w:r>
      <w:r w:rsidR="00B07EB1">
        <w:rPr>
          <w:rFonts w:cs="Times New Roman"/>
          <w:color w:val="000000" w:themeColor="text1"/>
          <w:szCs w:val="20"/>
        </w:rPr>
        <w:t>?</w:t>
      </w:r>
    </w:p>
    <w:p w14:paraId="5F20F8CA" w14:textId="40D65FDA" w:rsidR="00006354" w:rsidRDefault="00006354" w:rsidP="00B2799B">
      <w:pPr>
        <w:numPr>
          <w:ilvl w:val="2"/>
          <w:numId w:val="22"/>
        </w:numPr>
        <w:spacing w:before="20" w:after="20" w:line="264" w:lineRule="atLeast"/>
        <w:rPr>
          <w:rFonts w:cs="Times New Roman"/>
          <w:color w:val="000000" w:themeColor="text1"/>
          <w:szCs w:val="20"/>
        </w:rPr>
      </w:pPr>
      <w:r w:rsidRPr="00006354">
        <w:rPr>
          <w:rFonts w:cs="Times New Roman"/>
          <w:color w:val="000000" w:themeColor="text1"/>
          <w:szCs w:val="20"/>
        </w:rPr>
        <w:t>Are the Department of Health administrative processes in terms of application assessment, approval, ongoing management and reporting adequate for review purposes</w:t>
      </w:r>
      <w:r w:rsidR="0097585B">
        <w:rPr>
          <w:rFonts w:cs="Times New Roman"/>
          <w:color w:val="000000" w:themeColor="text1"/>
          <w:szCs w:val="20"/>
        </w:rPr>
        <w:t>?</w:t>
      </w:r>
    </w:p>
    <w:p w14:paraId="796F1C92" w14:textId="34566587" w:rsidR="00006354" w:rsidRPr="00006354" w:rsidRDefault="00006354" w:rsidP="00B2799B">
      <w:pPr>
        <w:pStyle w:val="Numbers10"/>
        <w:numPr>
          <w:ilvl w:val="0"/>
          <w:numId w:val="22"/>
        </w:numPr>
      </w:pPr>
      <w:r w:rsidRPr="00006354">
        <w:rPr>
          <w:b/>
          <w:bCs/>
        </w:rPr>
        <w:t>The effectiveness of the program</w:t>
      </w:r>
      <w:r w:rsidRPr="00006354">
        <w:t>. Within this area the RFQ states that the detailed evaluation questions to be answered are</w:t>
      </w:r>
      <w:r w:rsidR="0097585B">
        <w:t>:</w:t>
      </w:r>
    </w:p>
    <w:p w14:paraId="36A818B5" w14:textId="51B89909" w:rsidR="00006354" w:rsidRPr="00006354" w:rsidRDefault="00006354" w:rsidP="00B2799B">
      <w:pPr>
        <w:numPr>
          <w:ilvl w:val="1"/>
          <w:numId w:val="16"/>
        </w:numPr>
        <w:spacing w:before="20" w:after="20" w:line="264" w:lineRule="atLeast"/>
        <w:ind w:left="765" w:hanging="311"/>
        <w:rPr>
          <w:rFonts w:cs="Times New Roman"/>
          <w:b/>
          <w:bCs/>
          <w:color w:val="000000" w:themeColor="text1"/>
          <w:szCs w:val="20"/>
        </w:rPr>
      </w:pPr>
      <w:r w:rsidRPr="00006354">
        <w:rPr>
          <w:rFonts w:cs="Times New Roman"/>
          <w:b/>
          <w:bCs/>
          <w:color w:val="000000" w:themeColor="text1"/>
          <w:szCs w:val="20"/>
        </w:rPr>
        <w:t xml:space="preserve">Do patients attending an approved eligible Section 19(2) site have improved access to primary </w:t>
      </w:r>
      <w:r w:rsidR="00E419DC">
        <w:rPr>
          <w:rFonts w:cs="Times New Roman"/>
          <w:b/>
          <w:bCs/>
          <w:color w:val="000000" w:themeColor="text1"/>
          <w:szCs w:val="20"/>
        </w:rPr>
        <w:t>healthcare</w:t>
      </w:r>
      <w:r w:rsidRPr="00006354">
        <w:rPr>
          <w:rFonts w:cs="Times New Roman"/>
          <w:b/>
          <w:bCs/>
          <w:color w:val="000000" w:themeColor="text1"/>
          <w:szCs w:val="20"/>
        </w:rPr>
        <w:t xml:space="preserve"> services? </w:t>
      </w:r>
    </w:p>
    <w:p w14:paraId="69C8A168" w14:textId="77777777" w:rsidR="00006354" w:rsidRPr="0097585B" w:rsidRDefault="00006354" w:rsidP="00B2799B">
      <w:pPr>
        <w:numPr>
          <w:ilvl w:val="2"/>
          <w:numId w:val="16"/>
        </w:numPr>
        <w:spacing w:before="20" w:after="20" w:line="264" w:lineRule="atLeast"/>
        <w:ind w:left="1191" w:hanging="426"/>
        <w:rPr>
          <w:rFonts w:cs="Times New Roman"/>
          <w:color w:val="000000" w:themeColor="text1"/>
          <w:szCs w:val="20"/>
        </w:rPr>
      </w:pPr>
      <w:r w:rsidRPr="0097585B">
        <w:rPr>
          <w:rFonts w:cs="Times New Roman"/>
          <w:color w:val="000000" w:themeColor="text1"/>
          <w:szCs w:val="20"/>
        </w:rPr>
        <w:t xml:space="preserve">Has the Section 19(2) Initiative improved patient access to primary care in approved sites? </w:t>
      </w:r>
    </w:p>
    <w:p w14:paraId="50E501D3" w14:textId="6BBC33A8" w:rsidR="00006354" w:rsidRPr="00006354" w:rsidRDefault="00006354" w:rsidP="00B2799B">
      <w:pPr>
        <w:numPr>
          <w:ilvl w:val="2"/>
          <w:numId w:val="16"/>
        </w:numPr>
        <w:spacing w:before="20" w:after="20" w:line="264" w:lineRule="atLeast"/>
        <w:ind w:left="1191" w:hanging="426"/>
        <w:rPr>
          <w:rFonts w:cs="Times New Roman"/>
          <w:b/>
          <w:color w:val="000000" w:themeColor="text1"/>
          <w:szCs w:val="20"/>
        </w:rPr>
      </w:pPr>
      <w:r w:rsidRPr="0097585B">
        <w:rPr>
          <w:rFonts w:cs="Times New Roman"/>
          <w:color w:val="000000" w:themeColor="text1"/>
          <w:szCs w:val="20"/>
        </w:rPr>
        <w:t xml:space="preserve">What barriers exist that still prevent patients from accessing primary </w:t>
      </w:r>
      <w:r w:rsidR="00E419DC" w:rsidRPr="0097585B">
        <w:rPr>
          <w:rFonts w:cs="Times New Roman"/>
          <w:color w:val="000000" w:themeColor="text1"/>
          <w:szCs w:val="20"/>
        </w:rPr>
        <w:t>healthcare</w:t>
      </w:r>
      <w:r w:rsidRPr="00006354">
        <w:rPr>
          <w:rFonts w:cs="Times New Roman"/>
          <w:color w:val="000000" w:themeColor="text1"/>
          <w:szCs w:val="20"/>
        </w:rPr>
        <w:t xml:space="preserve"> services at an approved eligible Section 19(2) site?</w:t>
      </w:r>
    </w:p>
    <w:p w14:paraId="7C83DCD5" w14:textId="77777777" w:rsidR="00006354" w:rsidRPr="00006354" w:rsidRDefault="00006354" w:rsidP="00B2799B">
      <w:pPr>
        <w:numPr>
          <w:ilvl w:val="1"/>
          <w:numId w:val="16"/>
        </w:numPr>
        <w:spacing w:before="20" w:after="20" w:line="264" w:lineRule="atLeast"/>
        <w:ind w:left="765" w:hanging="311"/>
        <w:rPr>
          <w:rFonts w:cs="Times New Roman"/>
          <w:b/>
          <w:color w:val="000000" w:themeColor="text1"/>
          <w:szCs w:val="20"/>
        </w:rPr>
      </w:pPr>
      <w:r w:rsidRPr="00006354">
        <w:rPr>
          <w:rFonts w:cs="Times New Roman"/>
          <w:b/>
          <w:color w:val="000000" w:themeColor="text1"/>
          <w:szCs w:val="20"/>
        </w:rPr>
        <w:t>What effects has the MBS billing reinvestment had on approved eligible sites?</w:t>
      </w:r>
    </w:p>
    <w:p w14:paraId="69BBC7C5" w14:textId="77777777" w:rsidR="00006354" w:rsidRPr="00006354" w:rsidRDefault="00006354" w:rsidP="00B2799B">
      <w:pPr>
        <w:numPr>
          <w:ilvl w:val="2"/>
          <w:numId w:val="16"/>
        </w:numPr>
        <w:spacing w:before="20" w:after="20" w:line="264" w:lineRule="atLeast"/>
        <w:ind w:left="1191" w:hanging="426"/>
        <w:rPr>
          <w:rFonts w:cs="Times New Roman"/>
          <w:b/>
          <w:color w:val="000000" w:themeColor="text1"/>
          <w:szCs w:val="20"/>
        </w:rPr>
      </w:pPr>
      <w:r w:rsidRPr="00006354">
        <w:rPr>
          <w:rFonts w:cs="Times New Roman"/>
          <w:color w:val="000000" w:themeColor="text1"/>
          <w:szCs w:val="20"/>
        </w:rPr>
        <w:t>Has the funding improved the provision and consistency of primary care initiatives at the sites and in what areas is it reinvested?</w:t>
      </w:r>
    </w:p>
    <w:p w14:paraId="63EBBC16" w14:textId="1809AC53" w:rsidR="00006354" w:rsidRPr="00006354" w:rsidRDefault="00006354" w:rsidP="00B2799B">
      <w:pPr>
        <w:numPr>
          <w:ilvl w:val="2"/>
          <w:numId w:val="16"/>
        </w:numPr>
        <w:spacing w:before="20" w:after="20" w:line="264" w:lineRule="atLeast"/>
        <w:ind w:left="1191" w:hanging="426"/>
        <w:rPr>
          <w:rFonts w:cs="Times New Roman"/>
          <w:b/>
          <w:color w:val="000000" w:themeColor="text1"/>
          <w:szCs w:val="20"/>
        </w:rPr>
      </w:pPr>
      <w:r w:rsidRPr="00006354">
        <w:rPr>
          <w:rFonts w:cs="Times New Roman"/>
          <w:color w:val="000000" w:themeColor="text1"/>
          <w:szCs w:val="20"/>
        </w:rPr>
        <w:t xml:space="preserve">Has there been an increase in primary </w:t>
      </w:r>
      <w:r w:rsidR="00E419DC">
        <w:rPr>
          <w:rFonts w:cs="Times New Roman"/>
          <w:color w:val="000000" w:themeColor="text1"/>
          <w:szCs w:val="20"/>
        </w:rPr>
        <w:t>healthcare</w:t>
      </w:r>
      <w:r w:rsidRPr="00006354">
        <w:rPr>
          <w:rFonts w:cs="Times New Roman"/>
          <w:color w:val="000000" w:themeColor="text1"/>
          <w:szCs w:val="20"/>
        </w:rPr>
        <w:t xml:space="preserve"> community health programs in this location, and if so, can this be attributed to the Section 19(2) </w:t>
      </w:r>
      <w:r w:rsidR="00A07293">
        <w:rPr>
          <w:rFonts w:cs="Times New Roman"/>
          <w:color w:val="000000" w:themeColor="text1"/>
          <w:szCs w:val="20"/>
        </w:rPr>
        <w:t>Initiative</w:t>
      </w:r>
      <w:r w:rsidRPr="00006354">
        <w:rPr>
          <w:rFonts w:cs="Times New Roman"/>
          <w:color w:val="000000" w:themeColor="text1"/>
          <w:szCs w:val="20"/>
        </w:rPr>
        <w:t>?</w:t>
      </w:r>
    </w:p>
    <w:p w14:paraId="4DA882E5" w14:textId="0C425DFD" w:rsidR="00006354" w:rsidRPr="005817F5" w:rsidRDefault="00006354" w:rsidP="00B2799B">
      <w:pPr>
        <w:numPr>
          <w:ilvl w:val="2"/>
          <w:numId w:val="16"/>
        </w:numPr>
        <w:spacing w:before="20" w:after="20" w:line="264" w:lineRule="atLeast"/>
        <w:ind w:left="1191" w:hanging="426"/>
        <w:rPr>
          <w:rFonts w:cs="Times New Roman"/>
          <w:b/>
          <w:color w:val="000000" w:themeColor="text1"/>
          <w:szCs w:val="20"/>
        </w:rPr>
      </w:pPr>
      <w:r w:rsidRPr="00006354">
        <w:rPr>
          <w:rFonts w:cs="Times New Roman"/>
          <w:color w:val="000000" w:themeColor="text1"/>
          <w:szCs w:val="20"/>
        </w:rPr>
        <w:t xml:space="preserve">Has the Section 19(2) </w:t>
      </w:r>
      <w:r w:rsidR="00A07293">
        <w:rPr>
          <w:rFonts w:cs="Times New Roman"/>
          <w:color w:val="000000" w:themeColor="text1"/>
          <w:szCs w:val="20"/>
        </w:rPr>
        <w:t>Initiative</w:t>
      </w:r>
      <w:r w:rsidRPr="00006354">
        <w:rPr>
          <w:rFonts w:cs="Times New Roman"/>
          <w:color w:val="000000" w:themeColor="text1"/>
          <w:szCs w:val="20"/>
        </w:rPr>
        <w:t xml:space="preserve"> improved workforce attraction and retention in eligible sites?</w:t>
      </w:r>
      <w:r w:rsidR="005817F5">
        <w:rPr>
          <w:rFonts w:cs="Times New Roman"/>
          <w:color w:val="000000" w:themeColor="text1"/>
          <w:szCs w:val="20"/>
        </w:rPr>
        <w:t xml:space="preserve"> </w:t>
      </w:r>
    </w:p>
    <w:p w14:paraId="347BF234" w14:textId="77777777" w:rsidR="005817F5" w:rsidRDefault="005817F5" w:rsidP="005817F5">
      <w:pPr>
        <w:sectPr w:rsidR="005817F5" w:rsidSect="00A902A6">
          <w:pgSz w:w="16838" w:h="11906" w:orient="landscape" w:code="9"/>
          <w:pgMar w:top="737" w:right="1304" w:bottom="1134" w:left="737" w:header="567" w:footer="284" w:gutter="0"/>
          <w:cols w:num="2" w:space="708"/>
          <w:docGrid w:linePitch="360"/>
        </w:sectPr>
      </w:pPr>
    </w:p>
    <w:p w14:paraId="35F18BA1" w14:textId="0D6D5208" w:rsidR="005817F5" w:rsidRDefault="005817F5" w:rsidP="005817F5">
      <w:pPr>
        <w:pStyle w:val="AppendixHeading"/>
      </w:pPr>
      <w:r>
        <w:lastRenderedPageBreak/>
        <w:t xml:space="preserve"> </w:t>
      </w:r>
      <w:bookmarkStart w:id="159" w:name="_Toc85203317"/>
      <w:r>
        <w:t xml:space="preserve">List of other </w:t>
      </w:r>
      <w:r w:rsidR="00783742">
        <w:t>S19(2)</w:t>
      </w:r>
      <w:r>
        <w:t xml:space="preserve"> Exemption</w:t>
      </w:r>
      <w:r w:rsidR="002501BD">
        <w:t xml:space="preserve"> sites</w:t>
      </w:r>
      <w:bookmarkEnd w:id="159"/>
    </w:p>
    <w:p w14:paraId="7CC47899" w14:textId="005CDE7B" w:rsidR="003E36C4" w:rsidRDefault="003E36C4" w:rsidP="003E36C4">
      <w:pPr>
        <w:pStyle w:val="Heading4"/>
      </w:pPr>
      <w:bookmarkStart w:id="160" w:name="_Toc67487737"/>
      <w:bookmarkStart w:id="161" w:name="_Toc67487736"/>
      <w:r>
        <w:t xml:space="preserve"> </w:t>
      </w:r>
      <w:r w:rsidR="00783742">
        <w:t>S19(2)</w:t>
      </w:r>
      <w:r>
        <w:t xml:space="preserve"> Exemptions Initiative in New South Wales</w:t>
      </w:r>
      <w:bookmarkEnd w:id="160"/>
    </w:p>
    <w:tbl>
      <w:tblPr>
        <w:tblStyle w:val="HMATableA"/>
        <w:tblW w:w="0" w:type="auto"/>
        <w:tblLook w:val="0620" w:firstRow="1" w:lastRow="0" w:firstColumn="0" w:lastColumn="0" w:noHBand="1" w:noVBand="1"/>
      </w:tblPr>
      <w:tblGrid>
        <w:gridCol w:w="3720"/>
        <w:gridCol w:w="5276"/>
        <w:gridCol w:w="1767"/>
        <w:gridCol w:w="1648"/>
        <w:gridCol w:w="2386"/>
      </w:tblGrid>
      <w:tr w:rsidR="003E36C4" w:rsidRPr="00961631" w14:paraId="586B3451"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0" w:type="auto"/>
            <w:gridSpan w:val="5"/>
          </w:tcPr>
          <w:p w14:paraId="18538D94" w14:textId="6B65F597" w:rsidR="003E36C4" w:rsidRPr="00961631" w:rsidRDefault="003E36C4" w:rsidP="00473E61">
            <w:pPr>
              <w:pStyle w:val="TableHeading"/>
            </w:pPr>
            <w:r w:rsidRPr="00961631">
              <w:t xml:space="preserve">Categories of </w:t>
            </w:r>
            <w:r w:rsidR="00783742">
              <w:t>S</w:t>
            </w:r>
            <w:r w:rsidRPr="00961631">
              <w:t>19</w:t>
            </w:r>
            <w:r w:rsidR="00783742">
              <w:t>(2)</w:t>
            </w:r>
            <w:r w:rsidR="004713D3">
              <w:t xml:space="preserve"> </w:t>
            </w:r>
            <w:r w:rsidRPr="00961631">
              <w:t>Exemption, by Service / Location</w:t>
            </w:r>
          </w:p>
        </w:tc>
      </w:tr>
      <w:tr w:rsidR="003E36C4" w:rsidRPr="00961631" w14:paraId="2E062E0E"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0" w:type="auto"/>
          </w:tcPr>
          <w:p w14:paraId="23C2E131" w14:textId="77777777" w:rsidR="003E36C4" w:rsidRPr="00961631" w:rsidRDefault="003E36C4" w:rsidP="00473E61">
            <w:pPr>
              <w:pStyle w:val="TableHeading"/>
            </w:pPr>
            <w:r w:rsidRPr="00961631">
              <w:t>COAG</w:t>
            </w:r>
          </w:p>
        </w:tc>
        <w:tc>
          <w:tcPr>
            <w:tcW w:w="0" w:type="auto"/>
          </w:tcPr>
          <w:p w14:paraId="0645DF82" w14:textId="77777777" w:rsidR="003E36C4" w:rsidRPr="00961631" w:rsidRDefault="003E36C4" w:rsidP="00473E61">
            <w:pPr>
              <w:pStyle w:val="TableHeading"/>
            </w:pPr>
            <w:r w:rsidRPr="00961631">
              <w:t>ACCHO</w:t>
            </w:r>
          </w:p>
        </w:tc>
        <w:tc>
          <w:tcPr>
            <w:tcW w:w="0" w:type="auto"/>
          </w:tcPr>
          <w:p w14:paraId="419C3560" w14:textId="77777777" w:rsidR="003E36C4" w:rsidRPr="00961631" w:rsidRDefault="003E36C4" w:rsidP="00473E61">
            <w:pPr>
              <w:pStyle w:val="TableHeading"/>
            </w:pPr>
            <w:r w:rsidRPr="00961631">
              <w:t xml:space="preserve">Indigenous Health </w:t>
            </w:r>
          </w:p>
        </w:tc>
        <w:tc>
          <w:tcPr>
            <w:tcW w:w="0" w:type="auto"/>
          </w:tcPr>
          <w:p w14:paraId="20B871BA" w14:textId="77777777" w:rsidR="003E36C4" w:rsidRPr="00961631" w:rsidRDefault="003E36C4" w:rsidP="00473E61">
            <w:pPr>
              <w:pStyle w:val="TableHeading"/>
            </w:pPr>
            <w:r w:rsidRPr="00961631">
              <w:t>Murrumbidgee</w:t>
            </w:r>
          </w:p>
        </w:tc>
        <w:tc>
          <w:tcPr>
            <w:tcW w:w="0" w:type="auto"/>
          </w:tcPr>
          <w:p w14:paraId="5EEFBBD8" w14:textId="77777777" w:rsidR="003E36C4" w:rsidRPr="00961631" w:rsidRDefault="003E36C4" w:rsidP="00473E61">
            <w:pPr>
              <w:pStyle w:val="TableHeading"/>
            </w:pPr>
            <w:r w:rsidRPr="00961631">
              <w:t>RVTS</w:t>
            </w:r>
          </w:p>
        </w:tc>
      </w:tr>
      <w:tr w:rsidR="003E36C4" w:rsidRPr="00961631" w14:paraId="3E08A682" w14:textId="77777777" w:rsidTr="00473E61">
        <w:tc>
          <w:tcPr>
            <w:tcW w:w="0" w:type="auto"/>
          </w:tcPr>
          <w:p w14:paraId="3E2187BB" w14:textId="77777777" w:rsidR="003E36C4" w:rsidRPr="00961631" w:rsidRDefault="003E36C4" w:rsidP="00473E61">
            <w:pPr>
              <w:pStyle w:val="TableCopy"/>
            </w:pPr>
            <w:r w:rsidRPr="00961631">
              <w:t>Barham MPS</w:t>
            </w:r>
          </w:p>
          <w:p w14:paraId="2760F710" w14:textId="77777777" w:rsidR="003E36C4" w:rsidRPr="00961631" w:rsidRDefault="003E36C4" w:rsidP="00473E61">
            <w:pPr>
              <w:pStyle w:val="TableCopy"/>
            </w:pPr>
            <w:r w:rsidRPr="00961631">
              <w:t>Batlow MPS</w:t>
            </w:r>
          </w:p>
          <w:p w14:paraId="4DF2EA64" w14:textId="77777777" w:rsidR="003E36C4" w:rsidRPr="00961631" w:rsidRDefault="003E36C4" w:rsidP="00473E61">
            <w:pPr>
              <w:pStyle w:val="TableCopy"/>
            </w:pPr>
            <w:r w:rsidRPr="00961631">
              <w:t>Berrigan HS</w:t>
            </w:r>
          </w:p>
          <w:p w14:paraId="7B16E666" w14:textId="77777777" w:rsidR="003E36C4" w:rsidRPr="00961631" w:rsidRDefault="003E36C4" w:rsidP="00473E61">
            <w:pPr>
              <w:pStyle w:val="TableCopy"/>
            </w:pPr>
            <w:r w:rsidRPr="00961631">
              <w:t>Bingara MPS</w:t>
            </w:r>
          </w:p>
          <w:p w14:paraId="3891E2B9" w14:textId="77777777" w:rsidR="003E36C4" w:rsidRPr="00961631" w:rsidRDefault="003E36C4" w:rsidP="00473E61">
            <w:pPr>
              <w:pStyle w:val="TableCopy"/>
            </w:pPr>
            <w:r w:rsidRPr="00961631">
              <w:t>Boorowa MPS</w:t>
            </w:r>
          </w:p>
          <w:p w14:paraId="4FB39CDC" w14:textId="77777777" w:rsidR="003E36C4" w:rsidRPr="00961631" w:rsidRDefault="003E36C4" w:rsidP="00473E61">
            <w:pPr>
              <w:pStyle w:val="TableCopy"/>
            </w:pPr>
            <w:r w:rsidRPr="00961631">
              <w:t>Coolamon MPS</w:t>
            </w:r>
          </w:p>
          <w:p w14:paraId="389592F7" w14:textId="77777777" w:rsidR="003E36C4" w:rsidRPr="00961631" w:rsidRDefault="003E36C4" w:rsidP="00473E61">
            <w:pPr>
              <w:pStyle w:val="TableCopy"/>
            </w:pPr>
            <w:r w:rsidRPr="00961631">
              <w:t>Culcairn MPS</w:t>
            </w:r>
          </w:p>
          <w:p w14:paraId="5D33EEE9" w14:textId="77777777" w:rsidR="003E36C4" w:rsidRPr="00961631" w:rsidRDefault="003E36C4" w:rsidP="00473E61">
            <w:pPr>
              <w:pStyle w:val="TableCopy"/>
            </w:pPr>
            <w:r w:rsidRPr="00961631">
              <w:t>Dungog Community Hospital</w:t>
            </w:r>
          </w:p>
          <w:p w14:paraId="2C61510A" w14:textId="77777777" w:rsidR="003E36C4" w:rsidRPr="00961631" w:rsidRDefault="003E36C4" w:rsidP="00473E61">
            <w:pPr>
              <w:pStyle w:val="TableCopy"/>
            </w:pPr>
            <w:r w:rsidRPr="00961631">
              <w:t>Finley HS</w:t>
            </w:r>
          </w:p>
          <w:p w14:paraId="2C6EB1CB" w14:textId="77777777" w:rsidR="003E36C4" w:rsidRPr="00961631" w:rsidRDefault="003E36C4" w:rsidP="00473E61">
            <w:pPr>
              <w:pStyle w:val="TableCopy"/>
            </w:pPr>
            <w:r w:rsidRPr="00961631">
              <w:t>Gloucester Soldiers Memorial Hospital and CHC</w:t>
            </w:r>
          </w:p>
          <w:p w14:paraId="2DA78553" w14:textId="77777777" w:rsidR="003E36C4" w:rsidRPr="00961631" w:rsidRDefault="003E36C4" w:rsidP="00473E61">
            <w:pPr>
              <w:pStyle w:val="TableCopy"/>
            </w:pPr>
            <w:r w:rsidRPr="00961631">
              <w:t>Gundagai MPS</w:t>
            </w:r>
          </w:p>
          <w:p w14:paraId="0EB28D0F" w14:textId="77777777" w:rsidR="003E36C4" w:rsidRPr="00961631" w:rsidRDefault="003E36C4" w:rsidP="00473E61">
            <w:pPr>
              <w:pStyle w:val="TableCopy"/>
            </w:pPr>
            <w:r w:rsidRPr="00961631">
              <w:t>Guyra MPS</w:t>
            </w:r>
          </w:p>
          <w:p w14:paraId="72DA2BFF" w14:textId="77777777" w:rsidR="003E36C4" w:rsidRPr="00961631" w:rsidRDefault="003E36C4" w:rsidP="00473E61">
            <w:pPr>
              <w:pStyle w:val="TableCopy"/>
            </w:pPr>
            <w:r w:rsidRPr="00961631">
              <w:t>Hay Hospital</w:t>
            </w:r>
          </w:p>
          <w:p w14:paraId="36D6D4A4" w14:textId="77777777" w:rsidR="003E36C4" w:rsidRPr="00961631" w:rsidRDefault="003E36C4" w:rsidP="00473E61">
            <w:pPr>
              <w:pStyle w:val="TableCopy"/>
            </w:pPr>
            <w:r w:rsidRPr="00961631">
              <w:t>Henty MPS</w:t>
            </w:r>
          </w:p>
          <w:p w14:paraId="6AA86CEB" w14:textId="77777777" w:rsidR="003E36C4" w:rsidRPr="00961631" w:rsidRDefault="003E36C4" w:rsidP="00473E61">
            <w:pPr>
              <w:pStyle w:val="TableCopy"/>
            </w:pPr>
            <w:r w:rsidRPr="00961631">
              <w:t>Hillston Hospital and HS</w:t>
            </w:r>
          </w:p>
          <w:p w14:paraId="5A676F4D" w14:textId="77777777" w:rsidR="003E36C4" w:rsidRPr="00961631" w:rsidRDefault="003E36C4" w:rsidP="00473E61">
            <w:pPr>
              <w:pStyle w:val="TableCopy"/>
            </w:pPr>
            <w:r w:rsidRPr="00961631">
              <w:t>Holbrook Hospital</w:t>
            </w:r>
          </w:p>
          <w:p w14:paraId="4D25C772" w14:textId="77777777" w:rsidR="003E36C4" w:rsidRPr="00961631" w:rsidRDefault="003E36C4" w:rsidP="00473E61">
            <w:pPr>
              <w:pStyle w:val="TableCopy"/>
            </w:pPr>
            <w:r w:rsidRPr="00961631">
              <w:t>Jerilderie Hospital and HS</w:t>
            </w:r>
          </w:p>
          <w:p w14:paraId="3D613E86" w14:textId="77777777" w:rsidR="003E36C4" w:rsidRPr="00961631" w:rsidRDefault="003E36C4" w:rsidP="00473E61">
            <w:pPr>
              <w:pStyle w:val="TableCopy"/>
            </w:pPr>
            <w:r w:rsidRPr="00961631">
              <w:t>Junee MPS</w:t>
            </w:r>
          </w:p>
          <w:p w14:paraId="56A879EA" w14:textId="77777777" w:rsidR="003E36C4" w:rsidRPr="00961631" w:rsidRDefault="003E36C4" w:rsidP="00473E61">
            <w:pPr>
              <w:pStyle w:val="TableCopy"/>
            </w:pPr>
            <w:r w:rsidRPr="00961631">
              <w:t>Kyogle MPS</w:t>
            </w:r>
          </w:p>
          <w:p w14:paraId="1859DAAE" w14:textId="77777777" w:rsidR="003E36C4" w:rsidRPr="00961631" w:rsidRDefault="003E36C4" w:rsidP="00473E61">
            <w:pPr>
              <w:pStyle w:val="TableCopy"/>
            </w:pPr>
            <w:r w:rsidRPr="00961631">
              <w:t>Lake Cargelligo Hospital and HS</w:t>
            </w:r>
          </w:p>
          <w:p w14:paraId="4A27026D" w14:textId="77777777" w:rsidR="003E36C4" w:rsidRPr="00961631" w:rsidRDefault="003E36C4" w:rsidP="00473E61">
            <w:pPr>
              <w:pStyle w:val="TableCopy"/>
            </w:pPr>
            <w:r w:rsidRPr="00961631">
              <w:t>Lockhart Hospital and HS</w:t>
            </w:r>
          </w:p>
          <w:p w14:paraId="5594F8CC" w14:textId="77777777" w:rsidR="003E36C4" w:rsidRPr="00961631" w:rsidRDefault="003E36C4" w:rsidP="00473E61">
            <w:pPr>
              <w:pStyle w:val="TableCopy"/>
            </w:pPr>
            <w:r w:rsidRPr="00961631">
              <w:t>Manilla MPS</w:t>
            </w:r>
          </w:p>
          <w:p w14:paraId="4F1984D9" w14:textId="77777777" w:rsidR="003E36C4" w:rsidRPr="00961631" w:rsidRDefault="003E36C4" w:rsidP="00473E61">
            <w:pPr>
              <w:pStyle w:val="TableCopy"/>
            </w:pPr>
            <w:r w:rsidRPr="00961631">
              <w:t>Merriwa MPS</w:t>
            </w:r>
          </w:p>
          <w:p w14:paraId="210A5166" w14:textId="77777777" w:rsidR="003E36C4" w:rsidRPr="00961631" w:rsidRDefault="003E36C4" w:rsidP="00473E61">
            <w:pPr>
              <w:pStyle w:val="TableCopy"/>
            </w:pPr>
            <w:r w:rsidRPr="00961631">
              <w:t>Murrumburrah-Harden Hospital and HS</w:t>
            </w:r>
          </w:p>
          <w:p w14:paraId="23E1845B" w14:textId="77777777" w:rsidR="003E36C4" w:rsidRPr="00961631" w:rsidRDefault="003E36C4" w:rsidP="00473E61">
            <w:pPr>
              <w:pStyle w:val="TableCopy"/>
            </w:pPr>
            <w:r w:rsidRPr="00961631">
              <w:t>Narranderra HS</w:t>
            </w:r>
          </w:p>
          <w:p w14:paraId="1D9F69C8" w14:textId="77777777" w:rsidR="003E36C4" w:rsidRPr="00961631" w:rsidRDefault="003E36C4" w:rsidP="00473E61">
            <w:pPr>
              <w:pStyle w:val="TableCopy"/>
            </w:pPr>
            <w:r w:rsidRPr="00961631">
              <w:t>Nimbin HS</w:t>
            </w:r>
          </w:p>
          <w:p w14:paraId="07A9E584" w14:textId="77777777" w:rsidR="003E36C4" w:rsidRPr="00961631" w:rsidRDefault="003E36C4" w:rsidP="00473E61">
            <w:pPr>
              <w:pStyle w:val="TableCopy"/>
            </w:pPr>
            <w:r w:rsidRPr="00961631">
              <w:t>Nyngan Hospital and CHS</w:t>
            </w:r>
          </w:p>
          <w:p w14:paraId="1BD6B3D9" w14:textId="77777777" w:rsidR="003E36C4" w:rsidRPr="00961631" w:rsidRDefault="003E36C4" w:rsidP="00473E61">
            <w:pPr>
              <w:pStyle w:val="TableCopy"/>
            </w:pPr>
            <w:r w:rsidRPr="00961631">
              <w:t>Quirindi HS</w:t>
            </w:r>
          </w:p>
          <w:p w14:paraId="16BE5CD5" w14:textId="77777777" w:rsidR="003E36C4" w:rsidRPr="00961631" w:rsidRDefault="003E36C4" w:rsidP="00473E61">
            <w:pPr>
              <w:pStyle w:val="TableCopy"/>
            </w:pPr>
            <w:r w:rsidRPr="00961631">
              <w:t>Scone Hospital and CHC</w:t>
            </w:r>
          </w:p>
          <w:p w14:paraId="1FFC186B" w14:textId="77777777" w:rsidR="003E36C4" w:rsidRPr="00961631" w:rsidRDefault="003E36C4" w:rsidP="00473E61">
            <w:pPr>
              <w:pStyle w:val="TableCopy"/>
            </w:pPr>
            <w:r w:rsidRPr="00961631">
              <w:lastRenderedPageBreak/>
              <w:t>Temora HS</w:t>
            </w:r>
          </w:p>
          <w:p w14:paraId="25418DD3" w14:textId="77777777" w:rsidR="003E36C4" w:rsidRPr="00961631" w:rsidRDefault="003E36C4" w:rsidP="00473E61">
            <w:pPr>
              <w:pStyle w:val="TableCopy"/>
            </w:pPr>
            <w:r w:rsidRPr="00961631">
              <w:t>Tocumwal HS</w:t>
            </w:r>
          </w:p>
          <w:p w14:paraId="5EEAA008" w14:textId="77777777" w:rsidR="003E36C4" w:rsidRPr="00961631" w:rsidRDefault="003E36C4" w:rsidP="00473E61">
            <w:pPr>
              <w:pStyle w:val="TableCopy"/>
            </w:pPr>
            <w:r w:rsidRPr="00961631">
              <w:t>Tottenham MPS</w:t>
            </w:r>
          </w:p>
          <w:p w14:paraId="6A0A3E93" w14:textId="77777777" w:rsidR="003E36C4" w:rsidRPr="00961631" w:rsidRDefault="003E36C4" w:rsidP="00473E61">
            <w:pPr>
              <w:pStyle w:val="TableCopy"/>
            </w:pPr>
            <w:r w:rsidRPr="00961631">
              <w:t>Trundle MPS</w:t>
            </w:r>
          </w:p>
          <w:p w14:paraId="260F8E48" w14:textId="77777777" w:rsidR="003E36C4" w:rsidRPr="00961631" w:rsidRDefault="003E36C4" w:rsidP="00473E61">
            <w:pPr>
              <w:pStyle w:val="TableCopy"/>
            </w:pPr>
            <w:r w:rsidRPr="00961631">
              <w:t>Tullamore MPS</w:t>
            </w:r>
          </w:p>
          <w:p w14:paraId="3DD223D1" w14:textId="77777777" w:rsidR="003E36C4" w:rsidRPr="00961631" w:rsidRDefault="003E36C4" w:rsidP="00473E61">
            <w:pPr>
              <w:pStyle w:val="TableCopy"/>
            </w:pPr>
            <w:r w:rsidRPr="00961631">
              <w:t>Tumbarumba MPS</w:t>
            </w:r>
          </w:p>
          <w:p w14:paraId="41B4E397" w14:textId="77777777" w:rsidR="003E36C4" w:rsidRPr="00961631" w:rsidRDefault="003E36C4" w:rsidP="00473E61">
            <w:pPr>
              <w:pStyle w:val="TableCopy"/>
            </w:pPr>
            <w:r w:rsidRPr="00961631">
              <w:t>Urana MPS</w:t>
            </w:r>
          </w:p>
          <w:p w14:paraId="538BE974" w14:textId="77777777" w:rsidR="003E36C4" w:rsidRPr="00961631" w:rsidRDefault="003E36C4" w:rsidP="00473E61">
            <w:pPr>
              <w:pStyle w:val="TableCopy"/>
            </w:pPr>
            <w:r w:rsidRPr="00961631">
              <w:t>Urbenville MPS</w:t>
            </w:r>
          </w:p>
          <w:p w14:paraId="3987D990" w14:textId="77777777" w:rsidR="003E36C4" w:rsidRPr="00961631" w:rsidRDefault="003E36C4" w:rsidP="00473E61">
            <w:pPr>
              <w:pStyle w:val="TableCopy"/>
            </w:pPr>
            <w:r w:rsidRPr="00961631">
              <w:t>Warialda MPS</w:t>
            </w:r>
          </w:p>
          <w:p w14:paraId="2BB23BA9" w14:textId="77777777" w:rsidR="003E36C4" w:rsidRPr="00961631" w:rsidRDefault="003E36C4" w:rsidP="00473E61">
            <w:pPr>
              <w:pStyle w:val="TableCopy"/>
            </w:pPr>
            <w:r w:rsidRPr="00961631">
              <w:t>Wee Waa Hospital and CHC</w:t>
            </w:r>
          </w:p>
          <w:p w14:paraId="6FA78DC5" w14:textId="77777777" w:rsidR="003E36C4" w:rsidRPr="00961631" w:rsidRDefault="003E36C4" w:rsidP="00473E61">
            <w:pPr>
              <w:pStyle w:val="TableCopy"/>
            </w:pPr>
            <w:r w:rsidRPr="00961631">
              <w:t>Wentworth Hospital</w:t>
            </w:r>
          </w:p>
          <w:p w14:paraId="09F6B46F" w14:textId="77777777" w:rsidR="003E36C4" w:rsidRPr="00961631" w:rsidRDefault="003E36C4" w:rsidP="00473E61">
            <w:pPr>
              <w:pStyle w:val="TableCopy"/>
            </w:pPr>
            <w:r w:rsidRPr="00961631">
              <w:t>West Wyalong Hospital</w:t>
            </w:r>
          </w:p>
          <w:p w14:paraId="5874AF29" w14:textId="77777777" w:rsidR="003E36C4" w:rsidRPr="00961631" w:rsidRDefault="003E36C4" w:rsidP="00473E61">
            <w:pPr>
              <w:pStyle w:val="TableCopy"/>
            </w:pPr>
            <w:r w:rsidRPr="00961631">
              <w:t>Wilson Memorial Hospital Murrundi and Murrundi CHC</w:t>
            </w:r>
          </w:p>
        </w:tc>
        <w:tc>
          <w:tcPr>
            <w:tcW w:w="0" w:type="auto"/>
          </w:tcPr>
          <w:p w14:paraId="0F709183" w14:textId="77777777" w:rsidR="003E36C4" w:rsidRPr="00961631" w:rsidRDefault="003E36C4" w:rsidP="00473E61">
            <w:pPr>
              <w:pStyle w:val="TableCopy"/>
            </w:pPr>
            <w:r w:rsidRPr="00961631">
              <w:lastRenderedPageBreak/>
              <w:t>Aboriginal Medical Service Cooperative Limited, Redfern</w:t>
            </w:r>
          </w:p>
          <w:p w14:paraId="6C8B0B5B" w14:textId="77777777" w:rsidR="003E36C4" w:rsidRPr="00961631" w:rsidRDefault="003E36C4" w:rsidP="00473E61">
            <w:pPr>
              <w:pStyle w:val="TableCopy"/>
            </w:pPr>
            <w:r w:rsidRPr="00961631">
              <w:t>Albury Wodonga Aboriginal Health Service, Glenroy</w:t>
            </w:r>
          </w:p>
          <w:p w14:paraId="2D3F87D0" w14:textId="6E7250FF" w:rsidR="003E36C4" w:rsidRPr="00961631" w:rsidRDefault="003E36C4" w:rsidP="00473E61">
            <w:pPr>
              <w:pStyle w:val="TableCopy"/>
            </w:pPr>
            <w:r w:rsidRPr="00961631">
              <w:t>Armajun Aboriginal Health Service, lnverell</w:t>
            </w:r>
          </w:p>
          <w:p w14:paraId="794A03CF" w14:textId="77777777" w:rsidR="003E36C4" w:rsidRPr="00961631" w:rsidRDefault="003E36C4" w:rsidP="00473E61">
            <w:pPr>
              <w:pStyle w:val="TableCopy"/>
            </w:pPr>
            <w:r w:rsidRPr="00961631">
              <w:t>Awabakal Ltd, Newcastle</w:t>
            </w:r>
          </w:p>
          <w:p w14:paraId="278126D2" w14:textId="10A01B3C" w:rsidR="003E36C4" w:rsidRPr="00961631" w:rsidRDefault="003E36C4" w:rsidP="00473E61">
            <w:pPr>
              <w:pStyle w:val="TableCopy"/>
            </w:pPr>
            <w:r w:rsidRPr="00961631">
              <w:t xml:space="preserve">Biripi </w:t>
            </w:r>
            <w:r w:rsidR="002557A8" w:rsidRPr="00961631">
              <w:t>Aboriginal</w:t>
            </w:r>
            <w:r w:rsidRPr="00961631">
              <w:t xml:space="preserve"> Corporation Medical Centre, Purfleet</w:t>
            </w:r>
          </w:p>
          <w:p w14:paraId="20BAFB44" w14:textId="77777777" w:rsidR="003E36C4" w:rsidRPr="00961631" w:rsidRDefault="003E36C4" w:rsidP="00473E61">
            <w:pPr>
              <w:pStyle w:val="TableCopy"/>
            </w:pPr>
            <w:r w:rsidRPr="00961631">
              <w:t>Bourke Aboriginal Health Service, Bourke</w:t>
            </w:r>
          </w:p>
          <w:p w14:paraId="4046234A" w14:textId="77777777" w:rsidR="003E36C4" w:rsidRPr="00961631" w:rsidRDefault="003E36C4" w:rsidP="00473E61">
            <w:pPr>
              <w:pStyle w:val="TableCopy"/>
            </w:pPr>
            <w:r w:rsidRPr="00961631">
              <w:t>Bulgarr Ngaru Medical Aboriginal Corporation, Grafton</w:t>
            </w:r>
          </w:p>
          <w:p w14:paraId="5DC4A194" w14:textId="77777777" w:rsidR="003E36C4" w:rsidRPr="00961631" w:rsidRDefault="003E36C4" w:rsidP="00473E61">
            <w:pPr>
              <w:pStyle w:val="TableCopy"/>
            </w:pPr>
            <w:r w:rsidRPr="00961631">
              <w:t>Bullinah Aboriginal Health Service, Ballina</w:t>
            </w:r>
          </w:p>
          <w:p w14:paraId="5B77807B" w14:textId="77777777" w:rsidR="003E36C4" w:rsidRPr="00961631" w:rsidRDefault="003E36C4" w:rsidP="00473E61">
            <w:pPr>
              <w:pStyle w:val="TableCopy"/>
            </w:pPr>
            <w:r w:rsidRPr="00961631">
              <w:t>Condobolin Aboriginal Health Service Inc, Condobolin</w:t>
            </w:r>
          </w:p>
          <w:p w14:paraId="1288E719" w14:textId="77777777" w:rsidR="003E36C4" w:rsidRPr="00961631" w:rsidRDefault="003E36C4" w:rsidP="00473E61">
            <w:pPr>
              <w:pStyle w:val="TableCopy"/>
            </w:pPr>
            <w:r w:rsidRPr="00961631">
              <w:t>Coomealla Health Aboriginal Corporation, Dareton</w:t>
            </w:r>
          </w:p>
          <w:p w14:paraId="29165997" w14:textId="28213AAB" w:rsidR="003E36C4" w:rsidRPr="00961631" w:rsidRDefault="003E36C4" w:rsidP="00473E61">
            <w:pPr>
              <w:pStyle w:val="TableCopy"/>
            </w:pPr>
            <w:r w:rsidRPr="00961631">
              <w:t>Coonamble Aboriginal Health Service, Coonamble</w:t>
            </w:r>
          </w:p>
          <w:p w14:paraId="5977AF79" w14:textId="77777777" w:rsidR="003E36C4" w:rsidRPr="00961631" w:rsidRDefault="003E36C4" w:rsidP="00473E61">
            <w:pPr>
              <w:pStyle w:val="TableCopy"/>
            </w:pPr>
            <w:r w:rsidRPr="00961631">
              <w:t>Cummeragunja Housing &amp; Development Aboriginal Corporation, Moama</w:t>
            </w:r>
          </w:p>
          <w:p w14:paraId="5F93A8F2" w14:textId="4FB20484" w:rsidR="003E36C4" w:rsidRPr="00961631" w:rsidRDefault="003E36C4" w:rsidP="00473E61">
            <w:pPr>
              <w:pStyle w:val="TableCopy"/>
            </w:pPr>
            <w:r w:rsidRPr="00961631">
              <w:t xml:space="preserve">Durri </w:t>
            </w:r>
            <w:r w:rsidR="00C95D76">
              <w:t>Aboriginal</w:t>
            </w:r>
            <w:r w:rsidRPr="00961631">
              <w:t xml:space="preserve"> Corporation Medical Service, Kempsey</w:t>
            </w:r>
          </w:p>
          <w:p w14:paraId="3EC52CA6" w14:textId="77777777" w:rsidR="003E36C4" w:rsidRPr="00961631" w:rsidRDefault="003E36C4" w:rsidP="00473E61">
            <w:pPr>
              <w:pStyle w:val="TableCopy"/>
            </w:pPr>
            <w:r w:rsidRPr="00961631">
              <w:t>Galambila Aboriginal Health Service Inc, Coffs Harbour</w:t>
            </w:r>
          </w:p>
          <w:p w14:paraId="2D4EA2E3" w14:textId="77777777" w:rsidR="003E36C4" w:rsidRPr="00961631" w:rsidRDefault="003E36C4" w:rsidP="00473E61">
            <w:pPr>
              <w:pStyle w:val="TableCopy"/>
            </w:pPr>
            <w:r w:rsidRPr="00961631">
              <w:t>Griffith Aboriginal Medical Service Incorporated, Griffith</w:t>
            </w:r>
          </w:p>
          <w:p w14:paraId="3CCBBC5A" w14:textId="2DD69BBE" w:rsidR="003E36C4" w:rsidRPr="00961631" w:rsidRDefault="003E36C4" w:rsidP="00473E61">
            <w:pPr>
              <w:pStyle w:val="TableCopy"/>
            </w:pPr>
            <w:r w:rsidRPr="00961631">
              <w:t>Illawarra Aboriginal Medical Service</w:t>
            </w:r>
            <w:r w:rsidR="00F4185D">
              <w:t>,</w:t>
            </w:r>
            <w:r w:rsidRPr="00961631">
              <w:t xml:space="preserve"> Wollongong</w:t>
            </w:r>
          </w:p>
          <w:p w14:paraId="6F059306" w14:textId="78EDC3AD" w:rsidR="003E36C4" w:rsidRPr="00961631" w:rsidRDefault="003E36C4" w:rsidP="00473E61">
            <w:pPr>
              <w:pStyle w:val="TableCopy"/>
            </w:pPr>
            <w:r w:rsidRPr="00961631">
              <w:t>Katungul Aboriginal Corporation</w:t>
            </w:r>
            <w:r w:rsidR="00F4185D">
              <w:t xml:space="preserve"> Regional Health and Community Services</w:t>
            </w:r>
            <w:r w:rsidRPr="00961631">
              <w:t>, Narooma</w:t>
            </w:r>
          </w:p>
          <w:p w14:paraId="43E62E36" w14:textId="363E0AA6" w:rsidR="003E36C4" w:rsidRPr="00961631" w:rsidRDefault="003E36C4" w:rsidP="00473E61">
            <w:pPr>
              <w:pStyle w:val="TableCopy"/>
            </w:pPr>
            <w:r w:rsidRPr="00961631">
              <w:t>Maari Ma Health, Broken Hill</w:t>
            </w:r>
          </w:p>
          <w:p w14:paraId="7087B025" w14:textId="77777777" w:rsidR="003E36C4" w:rsidRPr="00961631" w:rsidRDefault="003E36C4" w:rsidP="00473E61">
            <w:pPr>
              <w:pStyle w:val="TableCopy"/>
            </w:pPr>
            <w:r w:rsidRPr="00961631">
              <w:t>Orange Aboriginal Medical Service Inc, Orange</w:t>
            </w:r>
          </w:p>
          <w:p w14:paraId="207D762D" w14:textId="77777777" w:rsidR="003E36C4" w:rsidRPr="00961631" w:rsidRDefault="003E36C4" w:rsidP="00473E61">
            <w:pPr>
              <w:pStyle w:val="TableCopy"/>
            </w:pPr>
            <w:r w:rsidRPr="00961631">
              <w:t>Pius X Aboriginal Corporation, Moree</w:t>
            </w:r>
          </w:p>
          <w:p w14:paraId="082B6435" w14:textId="77777777" w:rsidR="003E36C4" w:rsidRPr="00961631" w:rsidRDefault="003E36C4" w:rsidP="00473E61">
            <w:pPr>
              <w:pStyle w:val="TableCopy"/>
            </w:pPr>
            <w:r w:rsidRPr="00961631">
              <w:t>Riverina Medical &amp; Dental Aboriginal Corporation, Wagga Wagga</w:t>
            </w:r>
          </w:p>
          <w:p w14:paraId="03B00027" w14:textId="77777777" w:rsidR="003E36C4" w:rsidRPr="00961631" w:rsidRDefault="003E36C4" w:rsidP="00473E61">
            <w:pPr>
              <w:pStyle w:val="TableCopy"/>
            </w:pPr>
            <w:r w:rsidRPr="00961631">
              <w:t>South Coast Medical Service Aboriginal Corporation Nowra</w:t>
            </w:r>
          </w:p>
          <w:p w14:paraId="5690720D" w14:textId="6B726C8B" w:rsidR="0055188A" w:rsidRDefault="0055188A" w:rsidP="00473E61">
            <w:pPr>
              <w:pStyle w:val="TableCopy"/>
            </w:pPr>
            <w:r w:rsidRPr="0055188A">
              <w:t>Waminda South Coast Women</w:t>
            </w:r>
            <w:r>
              <w:t>’</w:t>
            </w:r>
            <w:r w:rsidRPr="0055188A">
              <w:t xml:space="preserve">s Health &amp; Welfare Aboriginal Corporation, Nowra </w:t>
            </w:r>
          </w:p>
          <w:p w14:paraId="0560D9E1" w14:textId="2BE727F2" w:rsidR="003E36C4" w:rsidRPr="00961631" w:rsidRDefault="003E36C4" w:rsidP="00473E61">
            <w:pPr>
              <w:pStyle w:val="TableCopy"/>
            </w:pPr>
            <w:r w:rsidRPr="00961631">
              <w:t xml:space="preserve">Tamworth Aboriginal </w:t>
            </w:r>
            <w:r w:rsidR="0055188A">
              <w:t>Medical</w:t>
            </w:r>
            <w:r w:rsidRPr="00961631">
              <w:t xml:space="preserve"> Service, Tamworth</w:t>
            </w:r>
          </w:p>
          <w:p w14:paraId="6F933353" w14:textId="17E9A660" w:rsidR="003E36C4" w:rsidRPr="00961631" w:rsidRDefault="003E36C4" w:rsidP="00473E61">
            <w:pPr>
              <w:pStyle w:val="TableCopy"/>
            </w:pPr>
            <w:r w:rsidRPr="00961631">
              <w:t xml:space="preserve">Tharawal Aboriginal </w:t>
            </w:r>
            <w:r w:rsidR="0055188A">
              <w:t>Corporation</w:t>
            </w:r>
          </w:p>
          <w:p w14:paraId="7D24E5E5" w14:textId="77777777" w:rsidR="003E36C4" w:rsidRPr="00961631" w:rsidRDefault="003E36C4" w:rsidP="00473E61">
            <w:pPr>
              <w:pStyle w:val="TableCopy"/>
            </w:pPr>
            <w:r w:rsidRPr="00961631">
              <w:t>Tobwabba Aboriginal Medical Service, Forster</w:t>
            </w:r>
          </w:p>
          <w:p w14:paraId="0B946E04" w14:textId="6A322D27" w:rsidR="003E36C4" w:rsidRPr="00961631" w:rsidRDefault="003E36C4" w:rsidP="00473E61">
            <w:pPr>
              <w:pStyle w:val="TableCopy"/>
            </w:pPr>
            <w:r w:rsidRPr="00961631">
              <w:lastRenderedPageBreak/>
              <w:t>Walgett Aboriginal Medical Service, Walgett</w:t>
            </w:r>
          </w:p>
          <w:p w14:paraId="584D519D" w14:textId="038CEBBB" w:rsidR="003E36C4" w:rsidRPr="00961631" w:rsidRDefault="003E36C4" w:rsidP="00473E61">
            <w:pPr>
              <w:pStyle w:val="TableCopy"/>
            </w:pPr>
            <w:r w:rsidRPr="00961631">
              <w:t>Walhallow Aboriginal Corporation</w:t>
            </w:r>
          </w:p>
          <w:p w14:paraId="2940DCC9" w14:textId="77777777" w:rsidR="003E36C4" w:rsidRPr="00961631" w:rsidRDefault="003E36C4" w:rsidP="00473E61">
            <w:pPr>
              <w:pStyle w:val="TableCopy"/>
            </w:pPr>
            <w:r w:rsidRPr="00961631">
              <w:t>Weigelli Centre Aboriginal Corporation, Woodstock</w:t>
            </w:r>
          </w:p>
          <w:p w14:paraId="3862E250" w14:textId="79A25F18" w:rsidR="003E36C4" w:rsidRPr="00961631" w:rsidRDefault="003E36C4" w:rsidP="00473E61">
            <w:pPr>
              <w:pStyle w:val="TableCopy"/>
            </w:pPr>
            <w:r w:rsidRPr="00961631">
              <w:t xml:space="preserve">Wellington Aboriginal Corporation Health Service, </w:t>
            </w:r>
            <w:r w:rsidR="0055188A" w:rsidRPr="00961631">
              <w:t>Wellington</w:t>
            </w:r>
          </w:p>
          <w:p w14:paraId="4490E1FE" w14:textId="7A8DACF6" w:rsidR="003E36C4" w:rsidRPr="00961631" w:rsidRDefault="003E36C4" w:rsidP="00473E61">
            <w:pPr>
              <w:pStyle w:val="TableCopy"/>
            </w:pPr>
            <w:r w:rsidRPr="00961631">
              <w:t>Werin Aboriginal Corporation</w:t>
            </w:r>
            <w:r w:rsidR="0055188A">
              <w:t xml:space="preserve"> Medical Clinic</w:t>
            </w:r>
            <w:r w:rsidRPr="00961631">
              <w:t>, Port Macquarie</w:t>
            </w:r>
          </w:p>
          <w:p w14:paraId="053A9954" w14:textId="755C9D0A" w:rsidR="003E36C4" w:rsidRPr="00961631" w:rsidRDefault="003E36C4" w:rsidP="00473E61">
            <w:pPr>
              <w:pStyle w:val="TableCopy"/>
            </w:pPr>
            <w:r w:rsidRPr="00961631">
              <w:t>Yerin Aboriginal Health Services (Eleanor Duncan Aboriginal Health Centre</w:t>
            </w:r>
            <w:r w:rsidR="00065C89" w:rsidRPr="00961631">
              <w:t>), Wyong</w:t>
            </w:r>
          </w:p>
        </w:tc>
        <w:tc>
          <w:tcPr>
            <w:tcW w:w="0" w:type="auto"/>
          </w:tcPr>
          <w:p w14:paraId="3418ED01" w14:textId="77777777" w:rsidR="003E36C4" w:rsidRPr="00961631" w:rsidRDefault="003E36C4" w:rsidP="00473E61">
            <w:pPr>
              <w:pStyle w:val="TableCopy"/>
            </w:pPr>
          </w:p>
        </w:tc>
        <w:tc>
          <w:tcPr>
            <w:tcW w:w="0" w:type="auto"/>
          </w:tcPr>
          <w:p w14:paraId="3B490FC3" w14:textId="77777777" w:rsidR="003E36C4" w:rsidRPr="00961631" w:rsidRDefault="003E36C4" w:rsidP="00473E61">
            <w:pPr>
              <w:pStyle w:val="TableCopy"/>
            </w:pPr>
            <w:r w:rsidRPr="00961631">
              <w:t>Cootamundra</w:t>
            </w:r>
          </w:p>
          <w:p w14:paraId="7CEE81DB" w14:textId="77777777" w:rsidR="003E36C4" w:rsidRPr="00961631" w:rsidRDefault="003E36C4" w:rsidP="00473E61">
            <w:pPr>
              <w:pStyle w:val="TableCopy"/>
            </w:pPr>
            <w:r w:rsidRPr="00961631">
              <w:t>Deniliquin</w:t>
            </w:r>
          </w:p>
          <w:p w14:paraId="64F89C7A" w14:textId="77777777" w:rsidR="003E36C4" w:rsidRPr="00961631" w:rsidRDefault="003E36C4" w:rsidP="00473E61">
            <w:pPr>
              <w:pStyle w:val="TableCopy"/>
            </w:pPr>
            <w:r w:rsidRPr="00961631">
              <w:t>Gundagai</w:t>
            </w:r>
          </w:p>
          <w:p w14:paraId="3097E025" w14:textId="77777777" w:rsidR="003E36C4" w:rsidRPr="00961631" w:rsidRDefault="003E36C4" w:rsidP="00473E61">
            <w:pPr>
              <w:pStyle w:val="TableCopy"/>
            </w:pPr>
            <w:r w:rsidRPr="00961631">
              <w:t>Narrandera</w:t>
            </w:r>
          </w:p>
          <w:p w14:paraId="4D7EAD87" w14:textId="77777777" w:rsidR="003E36C4" w:rsidRPr="00961631" w:rsidRDefault="003E36C4" w:rsidP="00473E61">
            <w:pPr>
              <w:pStyle w:val="TableCopy"/>
            </w:pPr>
            <w:r w:rsidRPr="00961631">
              <w:t>Temora</w:t>
            </w:r>
          </w:p>
          <w:p w14:paraId="0FD3F5D4" w14:textId="77777777" w:rsidR="003E36C4" w:rsidRPr="00961631" w:rsidRDefault="003E36C4" w:rsidP="00473E61">
            <w:pPr>
              <w:pStyle w:val="TableCopy"/>
            </w:pPr>
            <w:r w:rsidRPr="00961631">
              <w:t>Young</w:t>
            </w:r>
          </w:p>
        </w:tc>
        <w:tc>
          <w:tcPr>
            <w:tcW w:w="0" w:type="auto"/>
          </w:tcPr>
          <w:p w14:paraId="518A7B10" w14:textId="77777777" w:rsidR="003E36C4" w:rsidRPr="00961631" w:rsidRDefault="003E36C4" w:rsidP="00473E61">
            <w:pPr>
              <w:pStyle w:val="TableCopy"/>
            </w:pPr>
            <w:r w:rsidRPr="00961631">
              <w:t>Cobar Primary Health Care Centre</w:t>
            </w:r>
          </w:p>
          <w:p w14:paraId="48A005BB" w14:textId="77777777" w:rsidR="003E36C4" w:rsidRPr="00961631" w:rsidRDefault="003E36C4" w:rsidP="00473E61">
            <w:pPr>
              <w:pStyle w:val="TableCopy"/>
            </w:pPr>
            <w:r w:rsidRPr="00961631">
              <w:t>Lake Cargelligo Family Practice</w:t>
            </w:r>
          </w:p>
        </w:tc>
      </w:tr>
    </w:tbl>
    <w:p w14:paraId="1ABFDC1A" w14:textId="77777777" w:rsidR="003E36C4" w:rsidRDefault="003E36C4" w:rsidP="002501BD">
      <w:pPr>
        <w:pStyle w:val="Heading4"/>
        <w:sectPr w:rsidR="003E36C4" w:rsidSect="002501BD">
          <w:pgSz w:w="16838" w:h="11906" w:orient="landscape" w:code="9"/>
          <w:pgMar w:top="737" w:right="1304" w:bottom="1134" w:left="737" w:header="567" w:footer="284" w:gutter="0"/>
          <w:cols w:space="708"/>
          <w:docGrid w:linePitch="360"/>
        </w:sectPr>
      </w:pPr>
    </w:p>
    <w:p w14:paraId="13C3256D" w14:textId="1DAD76F3" w:rsidR="002501BD" w:rsidRDefault="00783742" w:rsidP="002501BD">
      <w:pPr>
        <w:pStyle w:val="Heading4"/>
      </w:pPr>
      <w:r>
        <w:lastRenderedPageBreak/>
        <w:t>S19</w:t>
      </w:r>
      <w:r w:rsidR="00A07293">
        <w:t>(2)</w:t>
      </w:r>
      <w:r w:rsidR="002501BD">
        <w:t xml:space="preserve"> Exemptions Initiative in Queensland</w:t>
      </w:r>
      <w:bookmarkEnd w:id="161"/>
    </w:p>
    <w:tbl>
      <w:tblPr>
        <w:tblStyle w:val="HMATableA"/>
        <w:tblW w:w="0" w:type="auto"/>
        <w:tblLook w:val="0620" w:firstRow="1" w:lastRow="0" w:firstColumn="0" w:lastColumn="0" w:noHBand="1" w:noVBand="1"/>
      </w:tblPr>
      <w:tblGrid>
        <w:gridCol w:w="2263"/>
        <w:gridCol w:w="5092"/>
        <w:gridCol w:w="3921"/>
        <w:gridCol w:w="1648"/>
        <w:gridCol w:w="1873"/>
      </w:tblGrid>
      <w:tr w:rsidR="002501BD" w:rsidRPr="00961631" w14:paraId="76C2ADD4"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0" w:type="auto"/>
            <w:gridSpan w:val="5"/>
          </w:tcPr>
          <w:p w14:paraId="407F829E" w14:textId="41553626" w:rsidR="002501BD" w:rsidRPr="00961631" w:rsidRDefault="00DE48A4" w:rsidP="008E64B1">
            <w:pPr>
              <w:pStyle w:val="TableHeading"/>
            </w:pPr>
            <w:r w:rsidRPr="00961631">
              <w:t xml:space="preserve">Categories of </w:t>
            </w:r>
            <w:r w:rsidR="00783742">
              <w:t xml:space="preserve">S19(2) </w:t>
            </w:r>
            <w:r w:rsidR="002501BD" w:rsidRPr="00961631">
              <w:t>Exemption, by Service / Location</w:t>
            </w:r>
          </w:p>
        </w:tc>
      </w:tr>
      <w:tr w:rsidR="002501BD" w:rsidRPr="00961631" w14:paraId="032CE692"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2263" w:type="dxa"/>
          </w:tcPr>
          <w:p w14:paraId="25939454" w14:textId="77777777" w:rsidR="002501BD" w:rsidRPr="00961631" w:rsidRDefault="002501BD" w:rsidP="008E64B1">
            <w:pPr>
              <w:pStyle w:val="TableHeading"/>
            </w:pPr>
            <w:r w:rsidRPr="00961631">
              <w:t>COAG</w:t>
            </w:r>
          </w:p>
        </w:tc>
        <w:tc>
          <w:tcPr>
            <w:tcW w:w="5092" w:type="dxa"/>
          </w:tcPr>
          <w:p w14:paraId="29AE2D2A" w14:textId="77777777" w:rsidR="002501BD" w:rsidRPr="00961631" w:rsidRDefault="002501BD" w:rsidP="008E64B1">
            <w:pPr>
              <w:pStyle w:val="TableHeading"/>
            </w:pPr>
            <w:r w:rsidRPr="00961631">
              <w:t>ACCHO</w:t>
            </w:r>
          </w:p>
        </w:tc>
        <w:tc>
          <w:tcPr>
            <w:tcW w:w="0" w:type="auto"/>
          </w:tcPr>
          <w:p w14:paraId="1A076526" w14:textId="77777777" w:rsidR="002501BD" w:rsidRPr="00961631" w:rsidRDefault="002501BD" w:rsidP="008E64B1">
            <w:pPr>
              <w:pStyle w:val="TableHeading"/>
            </w:pPr>
            <w:r w:rsidRPr="00961631">
              <w:t>Indigenous Health</w:t>
            </w:r>
          </w:p>
        </w:tc>
        <w:tc>
          <w:tcPr>
            <w:tcW w:w="0" w:type="auto"/>
          </w:tcPr>
          <w:p w14:paraId="28C021D2" w14:textId="77777777" w:rsidR="002501BD" w:rsidRPr="00961631" w:rsidRDefault="002501BD" w:rsidP="008E64B1">
            <w:pPr>
              <w:pStyle w:val="TableHeading"/>
            </w:pPr>
            <w:r w:rsidRPr="00961631">
              <w:t>Murrumbidgee</w:t>
            </w:r>
          </w:p>
        </w:tc>
        <w:tc>
          <w:tcPr>
            <w:tcW w:w="0" w:type="auto"/>
          </w:tcPr>
          <w:p w14:paraId="6DDE45E9" w14:textId="77777777" w:rsidR="002501BD" w:rsidRPr="00961631" w:rsidRDefault="002501BD" w:rsidP="008E64B1">
            <w:pPr>
              <w:pStyle w:val="TableHeading"/>
            </w:pPr>
            <w:r w:rsidRPr="00961631">
              <w:t>RVTS</w:t>
            </w:r>
          </w:p>
        </w:tc>
      </w:tr>
      <w:tr w:rsidR="002501BD" w:rsidRPr="00961631" w14:paraId="533A025F" w14:textId="77777777" w:rsidTr="002501BD">
        <w:tc>
          <w:tcPr>
            <w:tcW w:w="2263" w:type="dxa"/>
          </w:tcPr>
          <w:p w14:paraId="6C962A4E" w14:textId="77777777" w:rsidR="002501BD" w:rsidRPr="00961631" w:rsidRDefault="002501BD" w:rsidP="008E64B1">
            <w:pPr>
              <w:pStyle w:val="TableCopy"/>
            </w:pPr>
            <w:r w:rsidRPr="00961631">
              <w:t>Babinda Hospital</w:t>
            </w:r>
          </w:p>
          <w:p w14:paraId="57E1E62D" w14:textId="77777777" w:rsidR="002501BD" w:rsidRPr="00961631" w:rsidRDefault="002501BD" w:rsidP="008E64B1">
            <w:pPr>
              <w:pStyle w:val="TableCopy"/>
            </w:pPr>
            <w:r w:rsidRPr="00961631">
              <w:t>Barcaldine MPS</w:t>
            </w:r>
          </w:p>
          <w:p w14:paraId="10483639" w14:textId="77777777" w:rsidR="002501BD" w:rsidRPr="00961631" w:rsidRDefault="002501BD" w:rsidP="008E64B1">
            <w:pPr>
              <w:pStyle w:val="TableCopy"/>
            </w:pPr>
            <w:r w:rsidRPr="00961631">
              <w:t>Biggenden MPS</w:t>
            </w:r>
          </w:p>
          <w:p w14:paraId="3D54F56F" w14:textId="77777777" w:rsidR="002501BD" w:rsidRPr="00961631" w:rsidRDefault="002501BD" w:rsidP="008E64B1">
            <w:pPr>
              <w:pStyle w:val="TableCopy"/>
            </w:pPr>
            <w:r w:rsidRPr="00961631">
              <w:t>Blackall Hospital</w:t>
            </w:r>
          </w:p>
          <w:p w14:paraId="7F587D29" w14:textId="77777777" w:rsidR="002501BD" w:rsidRPr="00961631" w:rsidRDefault="002501BD" w:rsidP="008E64B1">
            <w:pPr>
              <w:pStyle w:val="TableCopy"/>
            </w:pPr>
            <w:r w:rsidRPr="00961631">
              <w:t>Blackall MPS</w:t>
            </w:r>
          </w:p>
          <w:p w14:paraId="00C685EF" w14:textId="77777777" w:rsidR="002501BD" w:rsidRPr="00961631" w:rsidRDefault="002501BD" w:rsidP="008E64B1">
            <w:pPr>
              <w:pStyle w:val="TableCopy"/>
            </w:pPr>
            <w:r w:rsidRPr="00961631">
              <w:t>Boulia PHC</w:t>
            </w:r>
          </w:p>
          <w:p w14:paraId="5B0CD500" w14:textId="77777777" w:rsidR="002501BD" w:rsidRPr="00961631" w:rsidRDefault="002501BD" w:rsidP="008E64B1">
            <w:pPr>
              <w:pStyle w:val="TableCopy"/>
            </w:pPr>
            <w:r w:rsidRPr="00961631">
              <w:t>Capella OC</w:t>
            </w:r>
          </w:p>
          <w:p w14:paraId="16543D2A" w14:textId="77777777" w:rsidR="002501BD" w:rsidRPr="00961631" w:rsidRDefault="002501BD" w:rsidP="008E64B1">
            <w:pPr>
              <w:pStyle w:val="TableCopy"/>
            </w:pPr>
            <w:r w:rsidRPr="00961631">
              <w:t>Cardwell CH</w:t>
            </w:r>
          </w:p>
          <w:p w14:paraId="38BB433C" w14:textId="77777777" w:rsidR="002501BD" w:rsidRPr="00961631" w:rsidRDefault="002501BD" w:rsidP="008E64B1">
            <w:pPr>
              <w:pStyle w:val="TableCopy"/>
            </w:pPr>
            <w:r w:rsidRPr="00961631">
              <w:t>Childers MPS</w:t>
            </w:r>
          </w:p>
          <w:p w14:paraId="030F1983" w14:textId="77777777" w:rsidR="002501BD" w:rsidRPr="00961631" w:rsidRDefault="002501BD" w:rsidP="008E64B1">
            <w:pPr>
              <w:pStyle w:val="TableCopy"/>
            </w:pPr>
            <w:r w:rsidRPr="00961631">
              <w:t>Chillagoe PHC</w:t>
            </w:r>
          </w:p>
          <w:p w14:paraId="7552595B" w14:textId="77777777" w:rsidR="002501BD" w:rsidRPr="00961631" w:rsidRDefault="002501BD" w:rsidP="008E64B1">
            <w:pPr>
              <w:pStyle w:val="TableCopy"/>
            </w:pPr>
            <w:r w:rsidRPr="00961631">
              <w:t>Chinchilla HS</w:t>
            </w:r>
          </w:p>
          <w:p w14:paraId="733ADCB0" w14:textId="77777777" w:rsidR="002501BD" w:rsidRPr="00961631" w:rsidRDefault="002501BD" w:rsidP="008E64B1">
            <w:pPr>
              <w:pStyle w:val="TableCopy"/>
            </w:pPr>
            <w:r w:rsidRPr="00961631">
              <w:t>Collinsville Hospital</w:t>
            </w:r>
          </w:p>
          <w:p w14:paraId="34313A9C" w14:textId="77777777" w:rsidR="002501BD" w:rsidRPr="00961631" w:rsidRDefault="002501BD" w:rsidP="008E64B1">
            <w:pPr>
              <w:pStyle w:val="TableCopy"/>
            </w:pPr>
            <w:r w:rsidRPr="00961631">
              <w:t>Dimbulah PHC</w:t>
            </w:r>
          </w:p>
          <w:p w14:paraId="5FA23116" w14:textId="77777777" w:rsidR="002501BD" w:rsidRPr="00961631" w:rsidRDefault="002501BD" w:rsidP="008E64B1">
            <w:pPr>
              <w:pStyle w:val="TableCopy"/>
            </w:pPr>
            <w:r w:rsidRPr="00961631">
              <w:t>Dirranbandi MPS</w:t>
            </w:r>
          </w:p>
          <w:p w14:paraId="6C41FE98" w14:textId="77777777" w:rsidR="002501BD" w:rsidRPr="00961631" w:rsidRDefault="002501BD" w:rsidP="008E64B1">
            <w:pPr>
              <w:pStyle w:val="TableCopy"/>
            </w:pPr>
            <w:r w:rsidRPr="00961631">
              <w:t>Eidsvold HS</w:t>
            </w:r>
          </w:p>
          <w:p w14:paraId="3AD0F2BF" w14:textId="77777777" w:rsidR="002501BD" w:rsidRPr="00961631" w:rsidRDefault="002501BD" w:rsidP="008E64B1">
            <w:pPr>
              <w:pStyle w:val="TableCopy"/>
            </w:pPr>
            <w:r w:rsidRPr="00961631">
              <w:t>Gayndah Hospital</w:t>
            </w:r>
          </w:p>
          <w:p w14:paraId="7CFD6805" w14:textId="77777777" w:rsidR="002501BD" w:rsidRPr="00961631" w:rsidRDefault="002501BD" w:rsidP="008E64B1">
            <w:pPr>
              <w:pStyle w:val="TableCopy"/>
            </w:pPr>
            <w:r w:rsidRPr="00961631">
              <w:t>Gemfields OC</w:t>
            </w:r>
          </w:p>
          <w:p w14:paraId="208C7178" w14:textId="77777777" w:rsidR="002501BD" w:rsidRPr="00961631" w:rsidRDefault="002501BD" w:rsidP="008E64B1">
            <w:pPr>
              <w:pStyle w:val="TableCopy"/>
            </w:pPr>
            <w:r w:rsidRPr="00961631">
              <w:t>Gin Gin Hospital</w:t>
            </w:r>
          </w:p>
          <w:p w14:paraId="46E9C091" w14:textId="77777777" w:rsidR="002501BD" w:rsidRPr="00961631" w:rsidRDefault="002501BD" w:rsidP="008E64B1">
            <w:pPr>
              <w:pStyle w:val="TableCopy"/>
            </w:pPr>
            <w:r w:rsidRPr="00961631">
              <w:t>Hughenden HC</w:t>
            </w:r>
          </w:p>
          <w:p w14:paraId="108D4874" w14:textId="77777777" w:rsidR="002501BD" w:rsidRPr="00961631" w:rsidRDefault="002501BD" w:rsidP="008E64B1">
            <w:pPr>
              <w:pStyle w:val="TableCopy"/>
            </w:pPr>
            <w:r w:rsidRPr="00961631">
              <w:t>Inglewood MPS</w:t>
            </w:r>
          </w:p>
          <w:p w14:paraId="17215273" w14:textId="77777777" w:rsidR="002501BD" w:rsidRPr="00961631" w:rsidRDefault="002501BD" w:rsidP="008E64B1">
            <w:pPr>
              <w:pStyle w:val="TableCopy"/>
            </w:pPr>
            <w:r w:rsidRPr="00961631">
              <w:t>Injune HS</w:t>
            </w:r>
          </w:p>
          <w:p w14:paraId="7464C41D" w14:textId="77777777" w:rsidR="002501BD" w:rsidRPr="00961631" w:rsidRDefault="002501BD" w:rsidP="008E64B1">
            <w:pPr>
              <w:pStyle w:val="TableCopy"/>
            </w:pPr>
            <w:r w:rsidRPr="00961631">
              <w:t>Isisford PHC</w:t>
            </w:r>
          </w:p>
          <w:p w14:paraId="58C49188" w14:textId="77777777" w:rsidR="002501BD" w:rsidRPr="00961631" w:rsidRDefault="002501BD" w:rsidP="008E64B1">
            <w:pPr>
              <w:pStyle w:val="TableCopy"/>
            </w:pPr>
            <w:r w:rsidRPr="00961631">
              <w:t>Jandowee HS</w:t>
            </w:r>
          </w:p>
          <w:p w14:paraId="080FF822" w14:textId="77777777" w:rsidR="002501BD" w:rsidRPr="00961631" w:rsidRDefault="002501BD" w:rsidP="008E64B1">
            <w:pPr>
              <w:pStyle w:val="TableCopy"/>
            </w:pPr>
            <w:r w:rsidRPr="00961631">
              <w:t>Jundah PHC</w:t>
            </w:r>
          </w:p>
          <w:p w14:paraId="67AEEF24" w14:textId="77777777" w:rsidR="002501BD" w:rsidRPr="00961631" w:rsidRDefault="002501BD" w:rsidP="008E64B1">
            <w:pPr>
              <w:pStyle w:val="TableCopy"/>
            </w:pPr>
            <w:r w:rsidRPr="00961631">
              <w:t>Longreach Hospital</w:t>
            </w:r>
          </w:p>
          <w:p w14:paraId="3D191A29" w14:textId="77777777" w:rsidR="002501BD" w:rsidRPr="00961631" w:rsidRDefault="002501BD" w:rsidP="008E64B1">
            <w:pPr>
              <w:pStyle w:val="TableCopy"/>
            </w:pPr>
            <w:r w:rsidRPr="00961631">
              <w:t>Miles HS</w:t>
            </w:r>
          </w:p>
          <w:p w14:paraId="070D67D2" w14:textId="77777777" w:rsidR="002501BD" w:rsidRPr="00961631" w:rsidRDefault="002501BD" w:rsidP="008E64B1">
            <w:pPr>
              <w:pStyle w:val="TableCopy"/>
            </w:pPr>
            <w:r w:rsidRPr="00961631">
              <w:t>Millmerran MPS</w:t>
            </w:r>
          </w:p>
          <w:p w14:paraId="28549D5C" w14:textId="77777777" w:rsidR="002501BD" w:rsidRPr="00961631" w:rsidRDefault="002501BD" w:rsidP="008E64B1">
            <w:pPr>
              <w:pStyle w:val="TableCopy"/>
            </w:pPr>
            <w:r w:rsidRPr="00961631">
              <w:t>Millmerran MPS Outreach (Cecil Plains)</w:t>
            </w:r>
          </w:p>
          <w:p w14:paraId="5125A37E" w14:textId="77777777" w:rsidR="002501BD" w:rsidRPr="00961631" w:rsidRDefault="002501BD" w:rsidP="008E64B1">
            <w:pPr>
              <w:pStyle w:val="TableCopy"/>
            </w:pPr>
            <w:r w:rsidRPr="00961631">
              <w:t>Mitchell Hospital</w:t>
            </w:r>
          </w:p>
          <w:p w14:paraId="2BFE0725" w14:textId="77777777" w:rsidR="002501BD" w:rsidRPr="00961631" w:rsidRDefault="002501BD" w:rsidP="008E64B1">
            <w:pPr>
              <w:pStyle w:val="TableCopy"/>
            </w:pPr>
            <w:r w:rsidRPr="00961631">
              <w:t>Monto HS</w:t>
            </w:r>
          </w:p>
          <w:p w14:paraId="4B64DF45" w14:textId="77777777" w:rsidR="002501BD" w:rsidRPr="00961631" w:rsidRDefault="002501BD" w:rsidP="008E64B1">
            <w:pPr>
              <w:pStyle w:val="TableCopy"/>
            </w:pPr>
            <w:r w:rsidRPr="00961631">
              <w:t>Mossman MPS</w:t>
            </w:r>
          </w:p>
          <w:p w14:paraId="77D6492F" w14:textId="77777777" w:rsidR="002501BD" w:rsidRPr="00961631" w:rsidRDefault="002501BD" w:rsidP="008E64B1">
            <w:pPr>
              <w:pStyle w:val="TableCopy"/>
            </w:pPr>
            <w:r w:rsidRPr="00961631">
              <w:t>Mundubbera HS</w:t>
            </w:r>
          </w:p>
          <w:p w14:paraId="72C27839" w14:textId="77777777" w:rsidR="002501BD" w:rsidRPr="00961631" w:rsidRDefault="002501BD" w:rsidP="008E64B1">
            <w:pPr>
              <w:pStyle w:val="TableCopy"/>
            </w:pPr>
            <w:r w:rsidRPr="00961631">
              <w:t>Mungindi MPS</w:t>
            </w:r>
          </w:p>
          <w:p w14:paraId="298B0F21" w14:textId="77777777" w:rsidR="002501BD" w:rsidRPr="00961631" w:rsidRDefault="002501BD" w:rsidP="008E64B1">
            <w:pPr>
              <w:pStyle w:val="TableCopy"/>
            </w:pPr>
            <w:r w:rsidRPr="00961631">
              <w:t>Nanango HS</w:t>
            </w:r>
          </w:p>
          <w:p w14:paraId="56D03888" w14:textId="77777777" w:rsidR="002501BD" w:rsidRPr="00961631" w:rsidRDefault="002501BD" w:rsidP="008E64B1">
            <w:pPr>
              <w:pStyle w:val="TableCopy"/>
            </w:pPr>
            <w:r w:rsidRPr="00961631">
              <w:lastRenderedPageBreak/>
              <w:t>Oakey HS</w:t>
            </w:r>
          </w:p>
          <w:p w14:paraId="0D15A78E" w14:textId="77777777" w:rsidR="002501BD" w:rsidRPr="00961631" w:rsidRDefault="002501BD" w:rsidP="008E64B1">
            <w:pPr>
              <w:pStyle w:val="TableCopy"/>
            </w:pPr>
            <w:r w:rsidRPr="00961631">
              <w:t>Proserpine Hospital and CHC</w:t>
            </w:r>
          </w:p>
          <w:p w14:paraId="12C9A684" w14:textId="77777777" w:rsidR="002501BD" w:rsidRPr="00961631" w:rsidRDefault="002501BD" w:rsidP="008E64B1">
            <w:pPr>
              <w:pStyle w:val="TableCopy"/>
            </w:pPr>
            <w:r w:rsidRPr="00961631">
              <w:t>Quilpie MPS</w:t>
            </w:r>
          </w:p>
          <w:p w14:paraId="5D05C4B5" w14:textId="77777777" w:rsidR="002501BD" w:rsidRPr="00961631" w:rsidRDefault="002501BD" w:rsidP="008E64B1">
            <w:pPr>
              <w:pStyle w:val="TableCopy"/>
            </w:pPr>
            <w:r w:rsidRPr="00961631">
              <w:t>Richmond HC</w:t>
            </w:r>
          </w:p>
          <w:p w14:paraId="41583AC8" w14:textId="77777777" w:rsidR="002501BD" w:rsidRPr="00961631" w:rsidRDefault="002501BD" w:rsidP="008E64B1">
            <w:pPr>
              <w:pStyle w:val="TableCopy"/>
            </w:pPr>
            <w:r w:rsidRPr="00961631">
              <w:t>Springsure MPS</w:t>
            </w:r>
          </w:p>
          <w:p w14:paraId="70D3DB20" w14:textId="77777777" w:rsidR="002501BD" w:rsidRPr="00961631" w:rsidRDefault="002501BD" w:rsidP="008E64B1">
            <w:pPr>
              <w:pStyle w:val="TableCopy"/>
            </w:pPr>
            <w:r w:rsidRPr="00961631">
              <w:t>Stanthorpe Hospital</w:t>
            </w:r>
          </w:p>
          <w:p w14:paraId="0A8A5DFA" w14:textId="77777777" w:rsidR="002501BD" w:rsidRPr="00961631" w:rsidRDefault="002501BD" w:rsidP="008E64B1">
            <w:pPr>
              <w:pStyle w:val="TableCopy"/>
            </w:pPr>
            <w:r w:rsidRPr="00961631">
              <w:t>Surat Hospital</w:t>
            </w:r>
          </w:p>
          <w:p w14:paraId="79440354" w14:textId="77777777" w:rsidR="002501BD" w:rsidRPr="00961631" w:rsidRDefault="002501BD" w:rsidP="008E64B1">
            <w:pPr>
              <w:pStyle w:val="TableCopy"/>
            </w:pPr>
            <w:r w:rsidRPr="00961631">
              <w:t>Tambo PHC</w:t>
            </w:r>
          </w:p>
          <w:p w14:paraId="4140A09B" w14:textId="77777777" w:rsidR="002501BD" w:rsidRPr="00961631" w:rsidRDefault="002501BD" w:rsidP="008E64B1">
            <w:pPr>
              <w:pStyle w:val="TableCopy"/>
            </w:pPr>
            <w:r w:rsidRPr="00961631">
              <w:t>Tara Hospital</w:t>
            </w:r>
          </w:p>
          <w:p w14:paraId="675E3425" w14:textId="77777777" w:rsidR="002501BD" w:rsidRPr="00961631" w:rsidRDefault="002501BD" w:rsidP="008E64B1">
            <w:pPr>
              <w:pStyle w:val="TableCopy"/>
            </w:pPr>
            <w:r w:rsidRPr="00961631">
              <w:t>Taroom Hospital</w:t>
            </w:r>
          </w:p>
          <w:p w14:paraId="2403677B" w14:textId="77777777" w:rsidR="002501BD" w:rsidRPr="00961631" w:rsidRDefault="002501BD" w:rsidP="008E64B1">
            <w:pPr>
              <w:pStyle w:val="TableCopy"/>
            </w:pPr>
            <w:r w:rsidRPr="00961631">
              <w:t>Tully Hospital</w:t>
            </w:r>
          </w:p>
          <w:p w14:paraId="31A58CB6" w14:textId="77777777" w:rsidR="002501BD" w:rsidRPr="00961631" w:rsidRDefault="002501BD" w:rsidP="008E64B1">
            <w:pPr>
              <w:pStyle w:val="TableCopy"/>
            </w:pPr>
            <w:r w:rsidRPr="00961631">
              <w:t>Wallumbilla HS</w:t>
            </w:r>
          </w:p>
          <w:p w14:paraId="3713F058" w14:textId="77777777" w:rsidR="002501BD" w:rsidRPr="00961631" w:rsidRDefault="002501BD" w:rsidP="008E64B1">
            <w:pPr>
              <w:pStyle w:val="TableCopy"/>
            </w:pPr>
            <w:r w:rsidRPr="00961631">
              <w:t>Windorah PHC</w:t>
            </w:r>
          </w:p>
          <w:p w14:paraId="12F82BB9" w14:textId="77777777" w:rsidR="002501BD" w:rsidRPr="00961631" w:rsidRDefault="002501BD" w:rsidP="008E64B1">
            <w:pPr>
              <w:pStyle w:val="TableCopy"/>
            </w:pPr>
            <w:r w:rsidRPr="00961631">
              <w:t>Winton MPS</w:t>
            </w:r>
          </w:p>
        </w:tc>
        <w:tc>
          <w:tcPr>
            <w:tcW w:w="5092" w:type="dxa"/>
            <w:shd w:val="clear" w:color="auto" w:fill="auto"/>
          </w:tcPr>
          <w:p w14:paraId="55B2242F" w14:textId="77777777" w:rsidR="002501BD" w:rsidRPr="00961631" w:rsidRDefault="002501BD" w:rsidP="008E64B1">
            <w:pPr>
              <w:pStyle w:val="TableCopy"/>
            </w:pPr>
            <w:r w:rsidRPr="00961631">
              <w:lastRenderedPageBreak/>
              <w:t>Aboriginal and Torres Strait Islander Community Health Service Brisbane Ltd, Woolloongabba</w:t>
            </w:r>
          </w:p>
          <w:p w14:paraId="2E22FFF5" w14:textId="77777777" w:rsidR="002501BD" w:rsidRPr="00961631" w:rsidRDefault="002501BD" w:rsidP="008E64B1">
            <w:pPr>
              <w:pStyle w:val="TableCopy"/>
            </w:pPr>
            <w:r w:rsidRPr="00961631">
              <w:t>Aboriginal and Torres Strait Islander Community</w:t>
            </w:r>
          </w:p>
          <w:p w14:paraId="0FC22E87" w14:textId="77777777" w:rsidR="002501BD" w:rsidRPr="00961631" w:rsidRDefault="002501BD" w:rsidP="008E64B1">
            <w:pPr>
              <w:pStyle w:val="TableCopy"/>
            </w:pPr>
            <w:r w:rsidRPr="00961631">
              <w:t>Health Service Mackay Ltd, Mackay</w:t>
            </w:r>
          </w:p>
          <w:p w14:paraId="277FA053" w14:textId="77777777" w:rsidR="002501BD" w:rsidRPr="00961631" w:rsidRDefault="002501BD" w:rsidP="008E64B1">
            <w:pPr>
              <w:pStyle w:val="TableCopy"/>
            </w:pPr>
            <w:r w:rsidRPr="00961631">
              <w:t>Apunipima Cape York Health Council Limited, Bungalow</w:t>
            </w:r>
          </w:p>
          <w:p w14:paraId="66365B3A" w14:textId="0C14320E" w:rsidR="002501BD" w:rsidRPr="00961631" w:rsidRDefault="002501BD" w:rsidP="008E64B1">
            <w:pPr>
              <w:pStyle w:val="TableCopy"/>
            </w:pPr>
            <w:r w:rsidRPr="00961631">
              <w:t>Bidgerdii Community Health Service, Rockhampton</w:t>
            </w:r>
          </w:p>
          <w:p w14:paraId="4E56C06C" w14:textId="77777777" w:rsidR="002501BD" w:rsidRPr="00961631" w:rsidRDefault="002501BD" w:rsidP="008E64B1">
            <w:pPr>
              <w:pStyle w:val="TableCopy"/>
            </w:pPr>
            <w:r w:rsidRPr="00961631">
              <w:t>Carbal Medical Services, Toowoomba</w:t>
            </w:r>
          </w:p>
          <w:p w14:paraId="7120CED7" w14:textId="77777777" w:rsidR="002501BD" w:rsidRPr="00961631" w:rsidRDefault="002501BD" w:rsidP="008E64B1">
            <w:pPr>
              <w:pStyle w:val="TableCopy"/>
            </w:pPr>
            <w:r w:rsidRPr="00961631">
              <w:t>Charleville and Western Areas Aboriginal and Torres Strait Islander Community Health Limited, Charleville</w:t>
            </w:r>
          </w:p>
          <w:p w14:paraId="12AC059F" w14:textId="77777777" w:rsidR="002501BD" w:rsidRPr="00961631" w:rsidRDefault="002501BD" w:rsidP="008E64B1">
            <w:pPr>
              <w:pStyle w:val="TableCopy"/>
            </w:pPr>
            <w:r w:rsidRPr="00961631">
              <w:t>Cherbourg Regional Aboriginal and Islander Community Controlled Health Service, Cherbourg</w:t>
            </w:r>
          </w:p>
          <w:p w14:paraId="6C604D72" w14:textId="77777777" w:rsidR="002501BD" w:rsidRPr="00961631" w:rsidRDefault="002501BD" w:rsidP="008E64B1">
            <w:pPr>
              <w:pStyle w:val="TableCopy"/>
            </w:pPr>
            <w:r w:rsidRPr="00961631">
              <w:t>Cunnamulla Aboriginal Corporation for Health, Cunnamulla</w:t>
            </w:r>
          </w:p>
          <w:p w14:paraId="45880074" w14:textId="17CE598F" w:rsidR="002501BD" w:rsidRPr="00961631" w:rsidRDefault="002501BD" w:rsidP="008E64B1">
            <w:pPr>
              <w:pStyle w:val="TableCopy"/>
            </w:pPr>
            <w:r w:rsidRPr="00961631">
              <w:t>Galangoor Duwalami Primary Healthcare Service Ltd, Pialba</w:t>
            </w:r>
          </w:p>
          <w:p w14:paraId="0D864DAB" w14:textId="77777777" w:rsidR="002501BD" w:rsidRPr="00961631" w:rsidRDefault="002501BD" w:rsidP="008E64B1">
            <w:pPr>
              <w:pStyle w:val="TableCopy"/>
            </w:pPr>
            <w:r w:rsidRPr="00961631">
              <w:t>Gindaja Treatment and Healing Indigenous Corporation, Yarrabah</w:t>
            </w:r>
          </w:p>
          <w:p w14:paraId="745E3F55" w14:textId="77777777" w:rsidR="002501BD" w:rsidRPr="00961631" w:rsidRDefault="002501BD" w:rsidP="008E64B1">
            <w:pPr>
              <w:pStyle w:val="TableCopy"/>
            </w:pPr>
            <w:r w:rsidRPr="00961631">
              <w:t>Goolburri Aboriginal Health Advancement Corporation, Toowoomba</w:t>
            </w:r>
          </w:p>
          <w:p w14:paraId="5EB09225" w14:textId="1B867AFA" w:rsidR="002501BD" w:rsidRPr="00961631" w:rsidRDefault="002501BD" w:rsidP="008E64B1">
            <w:pPr>
              <w:pStyle w:val="TableCopy"/>
            </w:pPr>
            <w:r w:rsidRPr="00961631">
              <w:t>Goondir Health Service, Dalby</w:t>
            </w:r>
          </w:p>
          <w:p w14:paraId="36E36F6E" w14:textId="77777777" w:rsidR="002501BD" w:rsidRPr="00961631" w:rsidRDefault="002501BD" w:rsidP="008E64B1">
            <w:pPr>
              <w:pStyle w:val="TableCopy"/>
            </w:pPr>
            <w:r w:rsidRPr="00961631">
              <w:t>Gurriny Yealamucka Health Services Aboriginal</w:t>
            </w:r>
          </w:p>
          <w:p w14:paraId="4E36AE92" w14:textId="77777777" w:rsidR="002501BD" w:rsidRPr="00961631" w:rsidRDefault="002501BD" w:rsidP="008E64B1">
            <w:pPr>
              <w:pStyle w:val="TableCopy"/>
            </w:pPr>
            <w:r w:rsidRPr="00961631">
              <w:t>Corporation, Yarrabah</w:t>
            </w:r>
          </w:p>
          <w:p w14:paraId="22D3E830" w14:textId="77777777" w:rsidR="002501BD" w:rsidRPr="00961631" w:rsidRDefault="002501BD" w:rsidP="008E64B1">
            <w:pPr>
              <w:pStyle w:val="TableCopy"/>
            </w:pPr>
            <w:r w:rsidRPr="00961631">
              <w:t>Indigenous Wellbeing Centre Ltd, Bundaberg</w:t>
            </w:r>
          </w:p>
          <w:p w14:paraId="367F486A" w14:textId="77777777" w:rsidR="002501BD" w:rsidRPr="00961631" w:rsidRDefault="002501BD" w:rsidP="008E64B1">
            <w:pPr>
              <w:pStyle w:val="TableCopy"/>
            </w:pPr>
            <w:r w:rsidRPr="00961631">
              <w:t>Institute for Urban Indigenous Health Ltd, Bowen Hills</w:t>
            </w:r>
          </w:p>
          <w:p w14:paraId="4C09CF37" w14:textId="77777777" w:rsidR="002501BD" w:rsidRPr="00961631" w:rsidRDefault="002501BD" w:rsidP="008E64B1">
            <w:pPr>
              <w:pStyle w:val="TableCopy"/>
            </w:pPr>
            <w:r w:rsidRPr="00961631">
              <w:t>Kalwun Health Service, Miami</w:t>
            </w:r>
          </w:p>
          <w:p w14:paraId="2F5F607A" w14:textId="77777777" w:rsidR="002501BD" w:rsidRPr="00961631" w:rsidRDefault="002501BD" w:rsidP="008E64B1">
            <w:pPr>
              <w:pStyle w:val="TableCopy"/>
            </w:pPr>
            <w:r w:rsidRPr="00961631">
              <w:t>Kambu Aboriginal and Torres Strait Islander Corporation for Health, Ipswich</w:t>
            </w:r>
          </w:p>
          <w:p w14:paraId="7904E695" w14:textId="77777777" w:rsidR="002501BD" w:rsidRPr="00961631" w:rsidRDefault="002501BD" w:rsidP="008E64B1">
            <w:pPr>
              <w:pStyle w:val="TableCopy"/>
            </w:pPr>
            <w:r w:rsidRPr="00961631">
              <w:t>Mamu Health Service Limited, lnnisfail</w:t>
            </w:r>
          </w:p>
          <w:p w14:paraId="4C0EE028" w14:textId="2FE44489" w:rsidR="002501BD" w:rsidRPr="00961631" w:rsidRDefault="002501BD" w:rsidP="008E64B1">
            <w:pPr>
              <w:pStyle w:val="TableCopy"/>
            </w:pPr>
            <w:r w:rsidRPr="00961631">
              <w:t>Mookai Rosie</w:t>
            </w:r>
            <w:r w:rsidR="005D3825">
              <w:t xml:space="preserve"> </w:t>
            </w:r>
            <w:r w:rsidRPr="00961631">
              <w:t>Bi-Bayan (Aboriginal &amp; Torres Strait Islanders Cor</w:t>
            </w:r>
            <w:r w:rsidR="001D3D6C">
              <w:t>poration</w:t>
            </w:r>
            <w:r w:rsidRPr="00961631">
              <w:t>),</w:t>
            </w:r>
            <w:r w:rsidR="00EE0037">
              <w:t xml:space="preserve"> </w:t>
            </w:r>
            <w:r w:rsidRPr="00961631">
              <w:t>Edmonton</w:t>
            </w:r>
          </w:p>
          <w:p w14:paraId="71BA4C73" w14:textId="77777777" w:rsidR="002501BD" w:rsidRPr="00961631" w:rsidRDefault="002501BD" w:rsidP="008E64B1">
            <w:pPr>
              <w:pStyle w:val="TableCopy"/>
            </w:pPr>
            <w:r w:rsidRPr="00961631">
              <w:t>Mount Isa Aboriginal Community Controlled Health Services Ltd (Gidgee Healing), Mt Isa</w:t>
            </w:r>
          </w:p>
          <w:p w14:paraId="1313C387" w14:textId="77777777" w:rsidR="002501BD" w:rsidRPr="00961631" w:rsidRDefault="002501BD" w:rsidP="008E64B1">
            <w:pPr>
              <w:pStyle w:val="TableCopy"/>
            </w:pPr>
            <w:r w:rsidRPr="00961631">
              <w:t>Mulungu Aboriginal Corporation Primary Health Care</w:t>
            </w:r>
          </w:p>
          <w:p w14:paraId="7840CD4F" w14:textId="77777777" w:rsidR="002501BD" w:rsidRPr="00961631" w:rsidRDefault="002501BD" w:rsidP="008E64B1">
            <w:pPr>
              <w:pStyle w:val="TableCopy"/>
            </w:pPr>
            <w:r w:rsidRPr="00961631">
              <w:t>Service, Mareeba</w:t>
            </w:r>
          </w:p>
          <w:p w14:paraId="69114389" w14:textId="4495FD12" w:rsidR="002501BD" w:rsidRPr="00961631" w:rsidRDefault="002501BD" w:rsidP="008E64B1">
            <w:pPr>
              <w:pStyle w:val="TableCopy"/>
            </w:pPr>
            <w:r w:rsidRPr="00961631">
              <w:t>Nhulundu Health</w:t>
            </w:r>
            <w:r w:rsidR="001D3D6C">
              <w:t xml:space="preserve"> Service</w:t>
            </w:r>
            <w:r w:rsidRPr="00961631">
              <w:t>, Gladstone</w:t>
            </w:r>
          </w:p>
          <w:p w14:paraId="5658D814" w14:textId="77777777" w:rsidR="002501BD" w:rsidRPr="00961631" w:rsidRDefault="002501BD" w:rsidP="008E64B1">
            <w:pPr>
              <w:pStyle w:val="TableCopy"/>
            </w:pPr>
            <w:r w:rsidRPr="00961631">
              <w:t>North Coast Aboriginal Corporation for Community Health, Birtinya</w:t>
            </w:r>
          </w:p>
          <w:p w14:paraId="29665407" w14:textId="77777777" w:rsidR="002501BD" w:rsidRPr="00961631" w:rsidRDefault="002501BD" w:rsidP="008E64B1">
            <w:pPr>
              <w:pStyle w:val="TableCopy"/>
            </w:pPr>
            <w:r w:rsidRPr="00961631">
              <w:lastRenderedPageBreak/>
              <w:t>NPA Family and Community Services Aboriginal and</w:t>
            </w:r>
          </w:p>
          <w:p w14:paraId="55B26570" w14:textId="77777777" w:rsidR="002501BD" w:rsidRPr="00961631" w:rsidRDefault="002501BD" w:rsidP="008E64B1">
            <w:pPr>
              <w:pStyle w:val="TableCopy"/>
            </w:pPr>
            <w:r w:rsidRPr="00961631">
              <w:t>Torres Strait Islander Corporation, Bamaga</w:t>
            </w:r>
          </w:p>
          <w:p w14:paraId="37EA4BCF" w14:textId="01E8E5AF" w:rsidR="002501BD" w:rsidRPr="00961631" w:rsidRDefault="002501BD" w:rsidP="008E64B1">
            <w:pPr>
              <w:pStyle w:val="TableCopy"/>
            </w:pPr>
            <w:r w:rsidRPr="00961631">
              <w:t>Townsville Aboriginal and Islander Health Services, Garbutt</w:t>
            </w:r>
          </w:p>
          <w:p w14:paraId="326B2109" w14:textId="77777777" w:rsidR="002501BD" w:rsidRPr="00961631" w:rsidRDefault="002501BD" w:rsidP="008E64B1">
            <w:pPr>
              <w:pStyle w:val="TableCopy"/>
            </w:pPr>
            <w:r w:rsidRPr="00961631">
              <w:t>Wuchopperen Health Service Ltd, Manoora</w:t>
            </w:r>
          </w:p>
          <w:p w14:paraId="52DF3221" w14:textId="4D047359" w:rsidR="002501BD" w:rsidRPr="00961631" w:rsidRDefault="002501BD" w:rsidP="008E64B1">
            <w:pPr>
              <w:pStyle w:val="TableCopy"/>
            </w:pPr>
            <w:r w:rsidRPr="00961631">
              <w:t>Yulu-Burri</w:t>
            </w:r>
            <w:r w:rsidR="0096127D">
              <w:t>-</w:t>
            </w:r>
            <w:r w:rsidRPr="00961631">
              <w:t>Ba Aboriginal Corporation for Community Health, Dunwich</w:t>
            </w:r>
          </w:p>
        </w:tc>
        <w:tc>
          <w:tcPr>
            <w:tcW w:w="0" w:type="auto"/>
            <w:shd w:val="clear" w:color="auto" w:fill="auto"/>
          </w:tcPr>
          <w:p w14:paraId="3FE729E8" w14:textId="77777777" w:rsidR="002501BD" w:rsidRPr="00961631" w:rsidRDefault="002501BD" w:rsidP="008E64B1">
            <w:pPr>
              <w:pStyle w:val="TableCopy"/>
            </w:pPr>
            <w:r w:rsidRPr="00961631">
              <w:lastRenderedPageBreak/>
              <w:t>Thursday Island and Surrounding Communities</w:t>
            </w:r>
          </w:p>
          <w:p w14:paraId="223F81A0" w14:textId="77777777" w:rsidR="002501BD" w:rsidRPr="00961631" w:rsidRDefault="002501BD" w:rsidP="008E64B1">
            <w:pPr>
              <w:pStyle w:val="TableCopy"/>
            </w:pPr>
            <w:r w:rsidRPr="00961631">
              <w:t>Badu Island</w:t>
            </w:r>
          </w:p>
          <w:p w14:paraId="795C9084" w14:textId="77777777" w:rsidR="002501BD" w:rsidRPr="00961631" w:rsidRDefault="002501BD" w:rsidP="008E64B1">
            <w:pPr>
              <w:pStyle w:val="TableCopy"/>
            </w:pPr>
            <w:r w:rsidRPr="00961631">
              <w:t>Bamaga</w:t>
            </w:r>
          </w:p>
          <w:p w14:paraId="6F211D66" w14:textId="77777777" w:rsidR="002501BD" w:rsidRPr="00961631" w:rsidRDefault="002501BD" w:rsidP="008E64B1">
            <w:pPr>
              <w:pStyle w:val="TableCopy"/>
            </w:pPr>
            <w:r w:rsidRPr="00961631">
              <w:t>Boigu Island</w:t>
            </w:r>
          </w:p>
          <w:p w14:paraId="6471BF39" w14:textId="77777777" w:rsidR="002501BD" w:rsidRPr="00961631" w:rsidRDefault="002501BD" w:rsidP="008E64B1">
            <w:pPr>
              <w:pStyle w:val="TableCopy"/>
            </w:pPr>
            <w:r w:rsidRPr="00961631">
              <w:t>Dauan Island</w:t>
            </w:r>
          </w:p>
          <w:p w14:paraId="7AC1E092" w14:textId="77777777" w:rsidR="002501BD" w:rsidRPr="00961631" w:rsidRDefault="002501BD" w:rsidP="008E64B1">
            <w:pPr>
              <w:pStyle w:val="TableCopy"/>
            </w:pPr>
            <w:r w:rsidRPr="00961631">
              <w:t>Erub (Darnley) Island</w:t>
            </w:r>
          </w:p>
          <w:p w14:paraId="7AD12C55" w14:textId="77777777" w:rsidR="002501BD" w:rsidRPr="00961631" w:rsidRDefault="002501BD" w:rsidP="008E64B1">
            <w:pPr>
              <w:pStyle w:val="TableCopy"/>
            </w:pPr>
            <w:r w:rsidRPr="00961631">
              <w:t>lama (Yam) Island</w:t>
            </w:r>
          </w:p>
          <w:p w14:paraId="459EBD47" w14:textId="77777777" w:rsidR="002501BD" w:rsidRPr="00961631" w:rsidRDefault="002501BD" w:rsidP="008E64B1">
            <w:pPr>
              <w:pStyle w:val="TableCopy"/>
            </w:pPr>
            <w:r w:rsidRPr="00961631">
              <w:t>Kubin Island</w:t>
            </w:r>
          </w:p>
          <w:p w14:paraId="75D02521" w14:textId="77777777" w:rsidR="002501BD" w:rsidRPr="00961631" w:rsidRDefault="002501BD" w:rsidP="008E64B1">
            <w:pPr>
              <w:pStyle w:val="TableCopy"/>
            </w:pPr>
            <w:r w:rsidRPr="00961631">
              <w:t>Mabuiag Island</w:t>
            </w:r>
          </w:p>
          <w:p w14:paraId="4D2D691C" w14:textId="77777777" w:rsidR="002501BD" w:rsidRPr="00961631" w:rsidRDefault="002501BD" w:rsidP="008E64B1">
            <w:pPr>
              <w:pStyle w:val="TableCopy"/>
            </w:pPr>
            <w:r w:rsidRPr="00961631">
              <w:t>Masig (Yorke) Island</w:t>
            </w:r>
          </w:p>
          <w:p w14:paraId="62263667" w14:textId="77777777" w:rsidR="002501BD" w:rsidRPr="00961631" w:rsidRDefault="002501BD" w:rsidP="008E64B1">
            <w:pPr>
              <w:pStyle w:val="TableCopy"/>
            </w:pPr>
            <w:r w:rsidRPr="00961631">
              <w:t>Mer Island</w:t>
            </w:r>
          </w:p>
          <w:p w14:paraId="6F020873" w14:textId="77777777" w:rsidR="002501BD" w:rsidRPr="00961631" w:rsidRDefault="002501BD" w:rsidP="008E64B1">
            <w:pPr>
              <w:pStyle w:val="TableCopy"/>
            </w:pPr>
            <w:r w:rsidRPr="00961631">
              <w:t>Moa (St Pauls) Island</w:t>
            </w:r>
          </w:p>
          <w:p w14:paraId="3C0B075C" w14:textId="77777777" w:rsidR="002501BD" w:rsidRPr="00961631" w:rsidRDefault="002501BD" w:rsidP="008E64B1">
            <w:pPr>
              <w:pStyle w:val="TableCopy"/>
            </w:pPr>
            <w:r w:rsidRPr="00961631">
              <w:t>Ngurapai (Horn) Island</w:t>
            </w:r>
          </w:p>
          <w:p w14:paraId="0E261756" w14:textId="77777777" w:rsidR="002501BD" w:rsidRPr="00961631" w:rsidRDefault="002501BD" w:rsidP="008E64B1">
            <w:pPr>
              <w:pStyle w:val="TableCopy"/>
            </w:pPr>
            <w:r w:rsidRPr="00961631">
              <w:t>Poruma (Coconut) Island</w:t>
            </w:r>
          </w:p>
          <w:p w14:paraId="6659F995" w14:textId="77777777" w:rsidR="002501BD" w:rsidRPr="00961631" w:rsidRDefault="002501BD" w:rsidP="008E64B1">
            <w:pPr>
              <w:pStyle w:val="TableCopy"/>
            </w:pPr>
            <w:r w:rsidRPr="00961631">
              <w:t>Saibai Island</w:t>
            </w:r>
          </w:p>
          <w:p w14:paraId="24C8C3F0" w14:textId="77777777" w:rsidR="002501BD" w:rsidRPr="00961631" w:rsidRDefault="002501BD" w:rsidP="008E64B1">
            <w:pPr>
              <w:pStyle w:val="TableCopy"/>
            </w:pPr>
            <w:r w:rsidRPr="00961631">
              <w:t>Sibuwani Ngurpai Meta</w:t>
            </w:r>
          </w:p>
          <w:p w14:paraId="45119CDD" w14:textId="77777777" w:rsidR="002501BD" w:rsidRPr="00961631" w:rsidRDefault="002501BD" w:rsidP="008E64B1">
            <w:pPr>
              <w:pStyle w:val="TableCopy"/>
            </w:pPr>
            <w:r w:rsidRPr="00961631">
              <w:t>Waiben (Thursday) Island</w:t>
            </w:r>
          </w:p>
          <w:p w14:paraId="4FBB997C" w14:textId="77777777" w:rsidR="002501BD" w:rsidRPr="00961631" w:rsidRDefault="002501BD" w:rsidP="008E64B1">
            <w:pPr>
              <w:pStyle w:val="TableCopy"/>
            </w:pPr>
            <w:r w:rsidRPr="00961631">
              <w:t>Warraber Island</w:t>
            </w:r>
          </w:p>
          <w:p w14:paraId="6AFC03A9" w14:textId="77777777" w:rsidR="002501BD" w:rsidRPr="00961631" w:rsidRDefault="002501BD" w:rsidP="008E64B1">
            <w:pPr>
              <w:pStyle w:val="TableCopy"/>
            </w:pPr>
            <w:r w:rsidRPr="00961631">
              <w:t>lnjinoo</w:t>
            </w:r>
          </w:p>
          <w:p w14:paraId="61254D86" w14:textId="77777777" w:rsidR="002501BD" w:rsidRPr="00961631" w:rsidRDefault="002501BD" w:rsidP="008E64B1">
            <w:pPr>
              <w:pStyle w:val="TableCopy"/>
            </w:pPr>
            <w:r w:rsidRPr="00961631">
              <w:t>New Mapoon</w:t>
            </w:r>
          </w:p>
          <w:p w14:paraId="6F1BF381" w14:textId="77777777" w:rsidR="002501BD" w:rsidRPr="00961631" w:rsidRDefault="002501BD" w:rsidP="008E64B1">
            <w:pPr>
              <w:pStyle w:val="TableCopy"/>
            </w:pPr>
            <w:r w:rsidRPr="00961631">
              <w:t>Umagico</w:t>
            </w:r>
          </w:p>
          <w:p w14:paraId="1E59964C" w14:textId="65CBED23" w:rsidR="002501BD" w:rsidRPr="00961631" w:rsidRDefault="002501BD" w:rsidP="008E64B1">
            <w:pPr>
              <w:pStyle w:val="TableCopy"/>
            </w:pPr>
            <w:r w:rsidRPr="00961631">
              <w:t>Seis</w:t>
            </w:r>
            <w:r w:rsidR="0096127D">
              <w:t>i</w:t>
            </w:r>
            <w:r w:rsidRPr="00961631">
              <w:t>a</w:t>
            </w:r>
          </w:p>
          <w:p w14:paraId="6DE7B3F4" w14:textId="77777777" w:rsidR="002501BD" w:rsidRPr="00961631" w:rsidRDefault="002501BD" w:rsidP="008E64B1">
            <w:pPr>
              <w:pStyle w:val="TableCopy"/>
            </w:pPr>
            <w:r w:rsidRPr="00961631">
              <w:t>Aurukun</w:t>
            </w:r>
          </w:p>
          <w:p w14:paraId="6CEF8961" w14:textId="77777777" w:rsidR="002501BD" w:rsidRPr="00961631" w:rsidRDefault="002501BD" w:rsidP="008E64B1">
            <w:pPr>
              <w:pStyle w:val="TableCopy"/>
            </w:pPr>
            <w:r w:rsidRPr="00961631">
              <w:t>Coen</w:t>
            </w:r>
          </w:p>
          <w:p w14:paraId="3C764440" w14:textId="77777777" w:rsidR="002501BD" w:rsidRPr="00961631" w:rsidRDefault="002501BD" w:rsidP="008E64B1">
            <w:pPr>
              <w:pStyle w:val="TableCopy"/>
            </w:pPr>
            <w:r w:rsidRPr="00961631">
              <w:t>Cooktown</w:t>
            </w:r>
          </w:p>
          <w:p w14:paraId="20252863" w14:textId="4F91E96D" w:rsidR="002501BD" w:rsidRPr="00961631" w:rsidRDefault="002501BD" w:rsidP="008E64B1">
            <w:pPr>
              <w:pStyle w:val="TableCopy"/>
            </w:pPr>
            <w:r w:rsidRPr="00961631">
              <w:t>Hope</w:t>
            </w:r>
            <w:r w:rsidR="0082290A">
              <w:t xml:space="preserve"> V</w:t>
            </w:r>
            <w:r w:rsidRPr="00961631">
              <w:t>ale</w:t>
            </w:r>
          </w:p>
          <w:p w14:paraId="4C8B2F56" w14:textId="77777777" w:rsidR="002501BD" w:rsidRPr="00961631" w:rsidRDefault="002501BD" w:rsidP="008E64B1">
            <w:pPr>
              <w:pStyle w:val="TableCopy"/>
            </w:pPr>
            <w:r w:rsidRPr="00961631">
              <w:t>Kowanyama</w:t>
            </w:r>
          </w:p>
          <w:p w14:paraId="12A3DA20" w14:textId="77777777" w:rsidR="002501BD" w:rsidRPr="00961631" w:rsidRDefault="002501BD" w:rsidP="008E64B1">
            <w:pPr>
              <w:pStyle w:val="TableCopy"/>
            </w:pPr>
            <w:r w:rsidRPr="00961631">
              <w:t>Laura</w:t>
            </w:r>
          </w:p>
          <w:p w14:paraId="32F3B5F9" w14:textId="77777777" w:rsidR="002501BD" w:rsidRPr="00961631" w:rsidRDefault="002501BD" w:rsidP="008E64B1">
            <w:pPr>
              <w:pStyle w:val="TableCopy"/>
            </w:pPr>
            <w:r w:rsidRPr="00961631">
              <w:t>Lockhart River</w:t>
            </w:r>
          </w:p>
          <w:p w14:paraId="4A98DBB6" w14:textId="77777777" w:rsidR="002501BD" w:rsidRPr="00961631" w:rsidRDefault="002501BD" w:rsidP="008E64B1">
            <w:pPr>
              <w:pStyle w:val="TableCopy"/>
            </w:pPr>
            <w:r w:rsidRPr="00961631">
              <w:t>Mapoon</w:t>
            </w:r>
          </w:p>
          <w:p w14:paraId="6531AF2E" w14:textId="77777777" w:rsidR="002501BD" w:rsidRPr="00961631" w:rsidRDefault="002501BD" w:rsidP="008E64B1">
            <w:pPr>
              <w:pStyle w:val="TableCopy"/>
            </w:pPr>
            <w:r w:rsidRPr="00961631">
              <w:t>Napranum</w:t>
            </w:r>
          </w:p>
          <w:p w14:paraId="3E1A5E4A" w14:textId="77777777" w:rsidR="002501BD" w:rsidRPr="00961631" w:rsidRDefault="002501BD" w:rsidP="008E64B1">
            <w:pPr>
              <w:pStyle w:val="TableCopy"/>
            </w:pPr>
            <w:r w:rsidRPr="00961631">
              <w:t>Pormpuraaw</w:t>
            </w:r>
          </w:p>
          <w:p w14:paraId="14A009E9" w14:textId="77777777" w:rsidR="002501BD" w:rsidRPr="00961631" w:rsidRDefault="002501BD" w:rsidP="008E64B1">
            <w:pPr>
              <w:pStyle w:val="TableCopy"/>
            </w:pPr>
            <w:r w:rsidRPr="00961631">
              <w:t>Weipa</w:t>
            </w:r>
          </w:p>
          <w:p w14:paraId="5AA8FEFE" w14:textId="77777777" w:rsidR="002501BD" w:rsidRPr="00961631" w:rsidRDefault="002501BD" w:rsidP="008E64B1">
            <w:pPr>
              <w:pStyle w:val="TableCopy"/>
            </w:pPr>
            <w:r w:rsidRPr="00961631">
              <w:t>Wujal Wujal</w:t>
            </w:r>
          </w:p>
          <w:p w14:paraId="204B3DD4" w14:textId="77777777" w:rsidR="002501BD" w:rsidRPr="00961631" w:rsidRDefault="002501BD" w:rsidP="008E64B1">
            <w:pPr>
              <w:pStyle w:val="TableCopy"/>
            </w:pPr>
            <w:r w:rsidRPr="00961631">
              <w:t>Jumbun</w:t>
            </w:r>
          </w:p>
          <w:p w14:paraId="018FA28B" w14:textId="77777777" w:rsidR="002501BD" w:rsidRPr="00961631" w:rsidRDefault="002501BD" w:rsidP="008E64B1">
            <w:pPr>
              <w:pStyle w:val="TableCopy"/>
            </w:pPr>
            <w:r w:rsidRPr="00961631">
              <w:lastRenderedPageBreak/>
              <w:t>Yarrabah</w:t>
            </w:r>
          </w:p>
          <w:p w14:paraId="7E5B6EA2" w14:textId="77777777" w:rsidR="002501BD" w:rsidRPr="00961631" w:rsidRDefault="002501BD" w:rsidP="008E64B1">
            <w:pPr>
              <w:pStyle w:val="TableCopy"/>
            </w:pPr>
            <w:r w:rsidRPr="00961631">
              <w:t>Woorabinda</w:t>
            </w:r>
          </w:p>
          <w:p w14:paraId="14B02947" w14:textId="77777777" w:rsidR="002501BD" w:rsidRPr="00961631" w:rsidRDefault="002501BD" w:rsidP="008E64B1">
            <w:pPr>
              <w:pStyle w:val="TableCopy"/>
            </w:pPr>
            <w:r w:rsidRPr="00961631">
              <w:t xml:space="preserve">Cherbourg </w:t>
            </w:r>
          </w:p>
          <w:p w14:paraId="452C4184" w14:textId="77777777" w:rsidR="002501BD" w:rsidRPr="00961631" w:rsidRDefault="002501BD" w:rsidP="008E64B1">
            <w:pPr>
              <w:pStyle w:val="TableCopy"/>
            </w:pPr>
            <w:r w:rsidRPr="00961631">
              <w:t>Goondiwindi</w:t>
            </w:r>
          </w:p>
          <w:p w14:paraId="4DDA2BAF" w14:textId="77777777" w:rsidR="002501BD" w:rsidRPr="00961631" w:rsidRDefault="002501BD" w:rsidP="008E64B1">
            <w:pPr>
              <w:pStyle w:val="TableCopy"/>
            </w:pPr>
            <w:r w:rsidRPr="00961631">
              <w:t>North Stradbroke Island</w:t>
            </w:r>
          </w:p>
          <w:p w14:paraId="45CAC465" w14:textId="77777777" w:rsidR="002501BD" w:rsidRPr="00961631" w:rsidRDefault="002501BD" w:rsidP="008E64B1">
            <w:pPr>
              <w:pStyle w:val="TableCopy"/>
            </w:pPr>
            <w:r w:rsidRPr="00961631">
              <w:t>The Southern Queensland Centre of Excellence</w:t>
            </w:r>
          </w:p>
          <w:p w14:paraId="0EDD3F25" w14:textId="77777777" w:rsidR="002501BD" w:rsidRPr="00961631" w:rsidRDefault="002501BD" w:rsidP="008E64B1">
            <w:pPr>
              <w:pStyle w:val="TableCopy"/>
            </w:pPr>
            <w:r w:rsidRPr="00961631">
              <w:t>in Aboriginal and Torres Strait Islander Primary Health Care, lnala</w:t>
            </w:r>
          </w:p>
          <w:p w14:paraId="58CC29DC" w14:textId="77777777" w:rsidR="002501BD" w:rsidRPr="00961631" w:rsidRDefault="002501BD" w:rsidP="008E64B1">
            <w:pPr>
              <w:pStyle w:val="TableCopy"/>
            </w:pPr>
            <w:r w:rsidRPr="00961631">
              <w:t>Charleville</w:t>
            </w:r>
          </w:p>
          <w:p w14:paraId="2B6EB856" w14:textId="77777777" w:rsidR="002501BD" w:rsidRPr="00961631" w:rsidRDefault="002501BD" w:rsidP="008E64B1">
            <w:pPr>
              <w:pStyle w:val="TableCopy"/>
            </w:pPr>
            <w:r w:rsidRPr="00961631">
              <w:t>Cunnamulla</w:t>
            </w:r>
          </w:p>
          <w:p w14:paraId="51A285CC" w14:textId="77777777" w:rsidR="002501BD" w:rsidRPr="00961631" w:rsidRDefault="002501BD" w:rsidP="008E64B1">
            <w:pPr>
              <w:pStyle w:val="TableCopy"/>
            </w:pPr>
            <w:r w:rsidRPr="00961631">
              <w:t>Ayr</w:t>
            </w:r>
          </w:p>
          <w:p w14:paraId="62F3B2AE" w14:textId="77777777" w:rsidR="002501BD" w:rsidRPr="00961631" w:rsidRDefault="002501BD" w:rsidP="008E64B1">
            <w:pPr>
              <w:pStyle w:val="TableCopy"/>
            </w:pPr>
            <w:r w:rsidRPr="00961631">
              <w:t>Home Hill</w:t>
            </w:r>
          </w:p>
          <w:p w14:paraId="3A1AB9AB" w14:textId="77777777" w:rsidR="002501BD" w:rsidRPr="00961631" w:rsidRDefault="002501BD" w:rsidP="008E64B1">
            <w:pPr>
              <w:pStyle w:val="TableCopy"/>
            </w:pPr>
            <w:r w:rsidRPr="00961631">
              <w:t>Palm Island</w:t>
            </w:r>
          </w:p>
          <w:p w14:paraId="2E51A3A6" w14:textId="77777777" w:rsidR="002501BD" w:rsidRPr="00961631" w:rsidRDefault="002501BD" w:rsidP="008E64B1">
            <w:pPr>
              <w:pStyle w:val="TableCopy"/>
            </w:pPr>
            <w:r w:rsidRPr="00961631">
              <w:t>Burketown</w:t>
            </w:r>
          </w:p>
          <w:p w14:paraId="0CFFD892" w14:textId="77777777" w:rsidR="002501BD" w:rsidRPr="00961631" w:rsidRDefault="002501BD" w:rsidP="008E64B1">
            <w:pPr>
              <w:pStyle w:val="TableCopy"/>
            </w:pPr>
            <w:r w:rsidRPr="00961631">
              <w:t>Cloncurry</w:t>
            </w:r>
          </w:p>
          <w:p w14:paraId="4E241488" w14:textId="77777777" w:rsidR="002501BD" w:rsidRPr="00961631" w:rsidRDefault="002501BD" w:rsidP="008E64B1">
            <w:pPr>
              <w:pStyle w:val="TableCopy"/>
            </w:pPr>
            <w:r w:rsidRPr="00961631">
              <w:t>Camooweal</w:t>
            </w:r>
          </w:p>
          <w:p w14:paraId="593487C9" w14:textId="77777777" w:rsidR="002501BD" w:rsidRPr="00961631" w:rsidRDefault="002501BD" w:rsidP="008E64B1">
            <w:pPr>
              <w:pStyle w:val="TableCopy"/>
            </w:pPr>
            <w:r w:rsidRPr="00961631">
              <w:t>Dajarra</w:t>
            </w:r>
          </w:p>
          <w:p w14:paraId="4F4A16D1" w14:textId="77777777" w:rsidR="002501BD" w:rsidRPr="00961631" w:rsidRDefault="002501BD" w:rsidP="008E64B1">
            <w:pPr>
              <w:pStyle w:val="TableCopy"/>
            </w:pPr>
            <w:r w:rsidRPr="00961631">
              <w:t>Doomadgee</w:t>
            </w:r>
          </w:p>
          <w:p w14:paraId="685A1FDF" w14:textId="77777777" w:rsidR="002501BD" w:rsidRPr="00961631" w:rsidRDefault="002501BD" w:rsidP="008E64B1">
            <w:pPr>
              <w:pStyle w:val="TableCopy"/>
            </w:pPr>
            <w:r w:rsidRPr="00961631">
              <w:t>Julia Creek</w:t>
            </w:r>
          </w:p>
          <w:p w14:paraId="6485A6F2" w14:textId="77777777" w:rsidR="002501BD" w:rsidRPr="00961631" w:rsidRDefault="002501BD" w:rsidP="008E64B1">
            <w:pPr>
              <w:pStyle w:val="TableCopy"/>
            </w:pPr>
            <w:r w:rsidRPr="00961631">
              <w:t>Karumba</w:t>
            </w:r>
          </w:p>
          <w:p w14:paraId="76627232" w14:textId="77777777" w:rsidR="002501BD" w:rsidRPr="00961631" w:rsidRDefault="002501BD" w:rsidP="008E64B1">
            <w:pPr>
              <w:pStyle w:val="TableCopy"/>
            </w:pPr>
            <w:r w:rsidRPr="00961631">
              <w:t>Mornington Island</w:t>
            </w:r>
          </w:p>
          <w:p w14:paraId="39C3D1AA" w14:textId="77777777" w:rsidR="002501BD" w:rsidRPr="00961631" w:rsidRDefault="002501BD" w:rsidP="008E64B1">
            <w:pPr>
              <w:pStyle w:val="TableCopy"/>
            </w:pPr>
            <w:r w:rsidRPr="00961631">
              <w:t>Normanton</w:t>
            </w:r>
          </w:p>
        </w:tc>
        <w:tc>
          <w:tcPr>
            <w:tcW w:w="0" w:type="auto"/>
            <w:shd w:val="clear" w:color="auto" w:fill="auto"/>
          </w:tcPr>
          <w:p w14:paraId="284F3702" w14:textId="77777777" w:rsidR="002501BD" w:rsidRPr="00961631" w:rsidRDefault="002501BD" w:rsidP="008E64B1">
            <w:pPr>
              <w:pStyle w:val="TableCopy"/>
            </w:pPr>
          </w:p>
        </w:tc>
        <w:tc>
          <w:tcPr>
            <w:tcW w:w="0" w:type="auto"/>
            <w:shd w:val="clear" w:color="auto" w:fill="auto"/>
          </w:tcPr>
          <w:p w14:paraId="01FE0FD0" w14:textId="77777777" w:rsidR="002501BD" w:rsidRPr="00961631" w:rsidRDefault="002501BD" w:rsidP="008E64B1">
            <w:pPr>
              <w:pStyle w:val="TableCopy"/>
            </w:pPr>
            <w:r w:rsidRPr="00961631">
              <w:t>Badu Island PHC Centre</w:t>
            </w:r>
          </w:p>
          <w:p w14:paraId="0AB14800" w14:textId="77777777" w:rsidR="002501BD" w:rsidRPr="00961631" w:rsidRDefault="002501BD" w:rsidP="008E64B1">
            <w:pPr>
              <w:pStyle w:val="TableCopy"/>
            </w:pPr>
            <w:r w:rsidRPr="00961631">
              <w:t>Clermont Doctors Surgery</w:t>
            </w:r>
          </w:p>
          <w:p w14:paraId="4E23ECA3" w14:textId="77777777" w:rsidR="002501BD" w:rsidRPr="00961631" w:rsidRDefault="002501BD" w:rsidP="008E64B1">
            <w:pPr>
              <w:pStyle w:val="TableCopy"/>
            </w:pPr>
            <w:r w:rsidRPr="00961631">
              <w:t>Mt Isa – Gidgee Healing</w:t>
            </w:r>
          </w:p>
        </w:tc>
      </w:tr>
    </w:tbl>
    <w:p w14:paraId="7379C6E8" w14:textId="77777777" w:rsidR="002501BD" w:rsidRDefault="002501BD" w:rsidP="002501BD"/>
    <w:p w14:paraId="4F6C75B7" w14:textId="77777777" w:rsidR="002501BD" w:rsidRDefault="002501BD" w:rsidP="002501BD">
      <w:pPr>
        <w:sectPr w:rsidR="002501BD" w:rsidSect="002501BD">
          <w:pgSz w:w="16838" w:h="11906" w:orient="landscape" w:code="9"/>
          <w:pgMar w:top="737" w:right="1304" w:bottom="1134" w:left="737" w:header="567" w:footer="284" w:gutter="0"/>
          <w:cols w:space="708"/>
          <w:docGrid w:linePitch="360"/>
        </w:sectPr>
      </w:pPr>
    </w:p>
    <w:p w14:paraId="2116A024" w14:textId="00C172C9" w:rsidR="003E36C4" w:rsidRDefault="00783742" w:rsidP="003E36C4">
      <w:pPr>
        <w:pStyle w:val="Heading4"/>
      </w:pPr>
      <w:bookmarkStart w:id="162" w:name="_Toc67487739"/>
      <w:bookmarkStart w:id="163" w:name="_Toc67487738"/>
      <w:r>
        <w:lastRenderedPageBreak/>
        <w:t>S19</w:t>
      </w:r>
      <w:r w:rsidR="003E36C4">
        <w:t>(2) Exemptions Initiative in Western Australia</w:t>
      </w:r>
      <w:bookmarkEnd w:id="162"/>
    </w:p>
    <w:tbl>
      <w:tblPr>
        <w:tblStyle w:val="HMATableA"/>
        <w:tblW w:w="0" w:type="auto"/>
        <w:tblLook w:val="0620" w:firstRow="1" w:lastRow="0" w:firstColumn="0" w:lastColumn="0" w:noHBand="1" w:noVBand="1"/>
      </w:tblPr>
      <w:tblGrid>
        <w:gridCol w:w="2367"/>
        <w:gridCol w:w="5950"/>
        <w:gridCol w:w="1906"/>
        <w:gridCol w:w="1648"/>
        <w:gridCol w:w="2926"/>
      </w:tblGrid>
      <w:tr w:rsidR="003E36C4" w:rsidRPr="002E4A70" w14:paraId="32CBC75B"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0" w:type="auto"/>
            <w:gridSpan w:val="5"/>
          </w:tcPr>
          <w:p w14:paraId="7C0A50D4" w14:textId="7660333C" w:rsidR="003E36C4" w:rsidRPr="002E4A70" w:rsidRDefault="003E36C4" w:rsidP="00473E61">
            <w:pPr>
              <w:pStyle w:val="TableHeading"/>
            </w:pPr>
            <w:r>
              <w:t xml:space="preserve">Categories of </w:t>
            </w:r>
            <w:r w:rsidR="00783742">
              <w:t xml:space="preserve">S19(2) </w:t>
            </w:r>
            <w:r>
              <w:t>Exemption, by Service / Location</w:t>
            </w:r>
          </w:p>
        </w:tc>
      </w:tr>
      <w:tr w:rsidR="003E36C4" w:rsidRPr="002E4A70" w14:paraId="43DE03F4"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0" w:type="auto"/>
          </w:tcPr>
          <w:p w14:paraId="4EABCF17" w14:textId="77777777" w:rsidR="003E36C4" w:rsidRPr="002E4A70" w:rsidRDefault="003E36C4" w:rsidP="00473E61">
            <w:pPr>
              <w:pStyle w:val="TableHeading"/>
            </w:pPr>
            <w:r w:rsidRPr="002E4A70">
              <w:t xml:space="preserve">COAG </w:t>
            </w:r>
          </w:p>
        </w:tc>
        <w:tc>
          <w:tcPr>
            <w:tcW w:w="0" w:type="auto"/>
          </w:tcPr>
          <w:p w14:paraId="303487D0" w14:textId="77777777" w:rsidR="003E36C4" w:rsidRPr="002E4A70" w:rsidRDefault="003E36C4" w:rsidP="00473E61">
            <w:pPr>
              <w:pStyle w:val="TableHeading"/>
            </w:pPr>
            <w:r w:rsidRPr="002E4A70">
              <w:t>ACCHO</w:t>
            </w:r>
          </w:p>
        </w:tc>
        <w:tc>
          <w:tcPr>
            <w:tcW w:w="0" w:type="auto"/>
          </w:tcPr>
          <w:p w14:paraId="6A4B03F6" w14:textId="77777777" w:rsidR="003E36C4" w:rsidRPr="002E4A70" w:rsidRDefault="003E36C4" w:rsidP="00473E61">
            <w:pPr>
              <w:pStyle w:val="TableHeading"/>
            </w:pPr>
            <w:r w:rsidRPr="002E4A70">
              <w:t>Indigenous Health</w:t>
            </w:r>
          </w:p>
        </w:tc>
        <w:tc>
          <w:tcPr>
            <w:tcW w:w="0" w:type="auto"/>
          </w:tcPr>
          <w:p w14:paraId="5AE3E68E" w14:textId="77777777" w:rsidR="003E36C4" w:rsidRPr="002E4A70" w:rsidRDefault="003E36C4" w:rsidP="00473E61">
            <w:pPr>
              <w:pStyle w:val="TableHeading"/>
            </w:pPr>
            <w:r w:rsidRPr="002E4A70">
              <w:t>Murrumbidgee</w:t>
            </w:r>
          </w:p>
        </w:tc>
        <w:tc>
          <w:tcPr>
            <w:tcW w:w="0" w:type="auto"/>
          </w:tcPr>
          <w:p w14:paraId="7410CEE4" w14:textId="77777777" w:rsidR="003E36C4" w:rsidRPr="002E4A70" w:rsidRDefault="003E36C4" w:rsidP="00473E61">
            <w:pPr>
              <w:pStyle w:val="TableHeading"/>
            </w:pPr>
            <w:r w:rsidRPr="002E4A70">
              <w:t>RVTS</w:t>
            </w:r>
          </w:p>
        </w:tc>
      </w:tr>
      <w:tr w:rsidR="003E36C4" w:rsidRPr="002E4A70" w14:paraId="055488C9" w14:textId="77777777" w:rsidTr="00473E61">
        <w:tc>
          <w:tcPr>
            <w:tcW w:w="0" w:type="auto"/>
          </w:tcPr>
          <w:p w14:paraId="374A7CAF" w14:textId="77777777" w:rsidR="003E36C4" w:rsidRPr="002501BD" w:rsidRDefault="003E36C4" w:rsidP="00473E61">
            <w:pPr>
              <w:pStyle w:val="TableCopy"/>
            </w:pPr>
            <w:r w:rsidRPr="002501BD">
              <w:t>Bridgetown Hospital</w:t>
            </w:r>
          </w:p>
          <w:p w14:paraId="3F9E25A2" w14:textId="77777777" w:rsidR="003E36C4" w:rsidRPr="002501BD" w:rsidRDefault="003E36C4" w:rsidP="00473E61">
            <w:pPr>
              <w:pStyle w:val="TableCopy"/>
            </w:pPr>
            <w:r w:rsidRPr="002501BD">
              <w:t>Carnarvon Hospital</w:t>
            </w:r>
          </w:p>
          <w:p w14:paraId="31168C72" w14:textId="77777777" w:rsidR="003E36C4" w:rsidRPr="002501BD" w:rsidRDefault="003E36C4" w:rsidP="00473E61">
            <w:pPr>
              <w:pStyle w:val="TableCopy"/>
            </w:pPr>
            <w:r w:rsidRPr="002501BD">
              <w:t>Derby Hospital</w:t>
            </w:r>
          </w:p>
          <w:p w14:paraId="4916CE06" w14:textId="77777777" w:rsidR="003E36C4" w:rsidRPr="002501BD" w:rsidRDefault="003E36C4" w:rsidP="00473E61">
            <w:pPr>
              <w:pStyle w:val="TableCopy"/>
            </w:pPr>
            <w:r w:rsidRPr="002501BD">
              <w:t>Exmouth HS</w:t>
            </w:r>
          </w:p>
          <w:p w14:paraId="0AEAA981" w14:textId="77777777" w:rsidR="003E36C4" w:rsidRPr="002501BD" w:rsidRDefault="003E36C4" w:rsidP="00473E61">
            <w:pPr>
              <w:pStyle w:val="TableCopy"/>
            </w:pPr>
            <w:r w:rsidRPr="002501BD">
              <w:t>Fitzroy Crossing HS</w:t>
            </w:r>
          </w:p>
          <w:p w14:paraId="67756DDD" w14:textId="77777777" w:rsidR="003E36C4" w:rsidRPr="002501BD" w:rsidRDefault="003E36C4" w:rsidP="00473E61">
            <w:pPr>
              <w:pStyle w:val="TableCopy"/>
            </w:pPr>
            <w:r w:rsidRPr="002501BD">
              <w:t>Halls Creek Hospital</w:t>
            </w:r>
          </w:p>
          <w:p w14:paraId="1F049360" w14:textId="77777777" w:rsidR="003E36C4" w:rsidRPr="002501BD" w:rsidRDefault="003E36C4" w:rsidP="00473E61">
            <w:pPr>
              <w:pStyle w:val="TableCopy"/>
            </w:pPr>
            <w:r w:rsidRPr="002501BD">
              <w:t>Jerramungup HC</w:t>
            </w:r>
          </w:p>
          <w:p w14:paraId="0D96866C" w14:textId="77777777" w:rsidR="003E36C4" w:rsidRPr="002501BD" w:rsidRDefault="003E36C4" w:rsidP="00473E61">
            <w:pPr>
              <w:pStyle w:val="TableCopy"/>
            </w:pPr>
            <w:r w:rsidRPr="002501BD">
              <w:t>Katanning HS</w:t>
            </w:r>
          </w:p>
          <w:p w14:paraId="62AF87B8" w14:textId="77777777" w:rsidR="003E36C4" w:rsidRPr="002501BD" w:rsidRDefault="003E36C4" w:rsidP="00473E61">
            <w:pPr>
              <w:pStyle w:val="TableCopy"/>
            </w:pPr>
            <w:r w:rsidRPr="002501BD">
              <w:t>Kununurra District Hospital</w:t>
            </w:r>
          </w:p>
          <w:p w14:paraId="02F67750" w14:textId="77777777" w:rsidR="003E36C4" w:rsidRPr="002501BD" w:rsidRDefault="003E36C4" w:rsidP="00473E61">
            <w:pPr>
              <w:pStyle w:val="TableCopy"/>
            </w:pPr>
            <w:r w:rsidRPr="002501BD">
              <w:t>Laverton District Hospital</w:t>
            </w:r>
          </w:p>
          <w:p w14:paraId="444BE6E5" w14:textId="77777777" w:rsidR="003E36C4" w:rsidRPr="002501BD" w:rsidRDefault="003E36C4" w:rsidP="00473E61">
            <w:pPr>
              <w:pStyle w:val="TableCopy"/>
            </w:pPr>
            <w:r w:rsidRPr="002501BD">
              <w:t>Leonora District Hospital</w:t>
            </w:r>
          </w:p>
          <w:p w14:paraId="2EE5A6D4" w14:textId="77777777" w:rsidR="003E36C4" w:rsidRPr="002501BD" w:rsidRDefault="003E36C4" w:rsidP="00473E61">
            <w:pPr>
              <w:pStyle w:val="TableCopy"/>
            </w:pPr>
            <w:r w:rsidRPr="002501BD">
              <w:t>Meekatharra Hospital</w:t>
            </w:r>
          </w:p>
          <w:p w14:paraId="3B3DD002" w14:textId="77777777" w:rsidR="003E36C4" w:rsidRPr="002501BD" w:rsidRDefault="003E36C4" w:rsidP="00473E61">
            <w:pPr>
              <w:pStyle w:val="TableCopy"/>
            </w:pPr>
            <w:r w:rsidRPr="002501BD">
              <w:t>Norseman District Hospital</w:t>
            </w:r>
          </w:p>
          <w:p w14:paraId="4D61B105" w14:textId="77777777" w:rsidR="003E36C4" w:rsidRPr="002501BD" w:rsidRDefault="003E36C4" w:rsidP="00473E61">
            <w:pPr>
              <w:pStyle w:val="TableCopy"/>
            </w:pPr>
            <w:r w:rsidRPr="002501BD">
              <w:t>Onslow Hospital</w:t>
            </w:r>
          </w:p>
          <w:p w14:paraId="37D0F3EB" w14:textId="77777777" w:rsidR="003E36C4" w:rsidRPr="002501BD" w:rsidRDefault="003E36C4" w:rsidP="00473E61">
            <w:pPr>
              <w:pStyle w:val="TableCopy"/>
            </w:pPr>
            <w:r w:rsidRPr="002501BD">
              <w:t>Plantagenet HS</w:t>
            </w:r>
          </w:p>
          <w:p w14:paraId="662A55CF" w14:textId="77777777" w:rsidR="003E36C4" w:rsidRPr="002501BD" w:rsidRDefault="003E36C4" w:rsidP="00473E61">
            <w:pPr>
              <w:pStyle w:val="TableCopy"/>
            </w:pPr>
            <w:r w:rsidRPr="002501BD">
              <w:t>Shark Bay Nursing Post</w:t>
            </w:r>
          </w:p>
          <w:p w14:paraId="012AE56E" w14:textId="77777777" w:rsidR="003E36C4" w:rsidRPr="002501BD" w:rsidRDefault="003E36C4" w:rsidP="00473E61">
            <w:pPr>
              <w:pStyle w:val="TableCopy"/>
            </w:pPr>
            <w:r w:rsidRPr="002501BD">
              <w:t>Warmun HC</w:t>
            </w:r>
          </w:p>
          <w:p w14:paraId="65B070C5" w14:textId="77777777" w:rsidR="003E36C4" w:rsidRPr="002501BD" w:rsidRDefault="003E36C4" w:rsidP="00473E61">
            <w:pPr>
              <w:pStyle w:val="TableCopy"/>
            </w:pPr>
            <w:r w:rsidRPr="002501BD">
              <w:t>Warren HS</w:t>
            </w:r>
          </w:p>
          <w:p w14:paraId="3CE31E2B" w14:textId="77777777" w:rsidR="003E36C4" w:rsidRPr="002501BD" w:rsidRDefault="003E36C4" w:rsidP="00473E61">
            <w:pPr>
              <w:pStyle w:val="TableCopy"/>
            </w:pPr>
            <w:r w:rsidRPr="002501BD">
              <w:t>Wyndam District Hospital</w:t>
            </w:r>
          </w:p>
        </w:tc>
        <w:tc>
          <w:tcPr>
            <w:tcW w:w="0" w:type="auto"/>
          </w:tcPr>
          <w:p w14:paraId="70092C70" w14:textId="1B8342CB" w:rsidR="003E36C4" w:rsidRPr="002501BD" w:rsidRDefault="003E36C4" w:rsidP="00473E61">
            <w:pPr>
              <w:pStyle w:val="TableCopy"/>
            </w:pPr>
            <w:r w:rsidRPr="002501BD">
              <w:t>Bega Garnbirringu Health Service Incorporated, Kalgoorlie</w:t>
            </w:r>
          </w:p>
          <w:p w14:paraId="2AFAB635" w14:textId="77777777" w:rsidR="003E36C4" w:rsidRPr="002501BD" w:rsidRDefault="003E36C4" w:rsidP="00473E61">
            <w:pPr>
              <w:pStyle w:val="TableCopy"/>
            </w:pPr>
            <w:r w:rsidRPr="002501BD">
              <w:t>Broome Regional Aboriginal Medical Service, Broome</w:t>
            </w:r>
          </w:p>
          <w:p w14:paraId="6F2CC9EC" w14:textId="655FFB2E" w:rsidR="003E36C4" w:rsidRPr="002501BD" w:rsidRDefault="003E36C4" w:rsidP="00473E61">
            <w:pPr>
              <w:pStyle w:val="TableCopy"/>
            </w:pPr>
            <w:r w:rsidRPr="002501BD">
              <w:t>Derbarl Yerriqan Health Service, East Perth</w:t>
            </w:r>
          </w:p>
          <w:p w14:paraId="244B4531" w14:textId="49B0895F" w:rsidR="003E36C4" w:rsidRPr="002501BD" w:rsidRDefault="003E36C4" w:rsidP="00473E61">
            <w:pPr>
              <w:pStyle w:val="TableCopy"/>
            </w:pPr>
            <w:r w:rsidRPr="002501BD">
              <w:t>Derby Aboriginal Health Service, Derby</w:t>
            </w:r>
          </w:p>
          <w:p w14:paraId="76AA3659" w14:textId="77777777" w:rsidR="003E36C4" w:rsidRPr="002501BD" w:rsidRDefault="003E36C4" w:rsidP="00473E61">
            <w:pPr>
              <w:pStyle w:val="TableCopy"/>
            </w:pPr>
            <w:r w:rsidRPr="002501BD">
              <w:t>Geraldton Regional Aboriginal Medical Service, Rangeway</w:t>
            </w:r>
          </w:p>
          <w:p w14:paraId="7AF3F475" w14:textId="38B4CB19" w:rsidR="003E36C4" w:rsidRPr="002501BD" w:rsidRDefault="003E36C4" w:rsidP="00473E61">
            <w:pPr>
              <w:pStyle w:val="TableCopy"/>
            </w:pPr>
            <w:r w:rsidRPr="002501BD">
              <w:t>Kimberley Aboriginal Medical Services, Broome</w:t>
            </w:r>
          </w:p>
          <w:p w14:paraId="7BF61DB8" w14:textId="222DAE0B" w:rsidR="003E36C4" w:rsidRPr="002501BD" w:rsidRDefault="003E36C4" w:rsidP="00473E61">
            <w:pPr>
              <w:pStyle w:val="TableCopy"/>
            </w:pPr>
            <w:r w:rsidRPr="002501BD">
              <w:t>Mawarnkarra Health Service, Roebourne</w:t>
            </w:r>
          </w:p>
          <w:p w14:paraId="2BDF075E" w14:textId="6780DBB5" w:rsidR="003E36C4" w:rsidRPr="002501BD" w:rsidRDefault="003E36C4" w:rsidP="00473E61">
            <w:pPr>
              <w:pStyle w:val="TableCopy"/>
            </w:pPr>
            <w:r w:rsidRPr="002501BD">
              <w:t>Ngangganawili Aboriginal Health Service, Wiluna</w:t>
            </w:r>
          </w:p>
          <w:p w14:paraId="262A6DCD" w14:textId="298CD62D" w:rsidR="003E36C4" w:rsidRPr="002501BD" w:rsidRDefault="003E36C4" w:rsidP="00473E61">
            <w:pPr>
              <w:pStyle w:val="TableCopy"/>
            </w:pPr>
            <w:r w:rsidRPr="002501BD">
              <w:t>Ord Valley Aboriginal Health Service</w:t>
            </w:r>
          </w:p>
          <w:p w14:paraId="44C32458" w14:textId="77777777" w:rsidR="003E36C4" w:rsidRPr="002501BD" w:rsidRDefault="003E36C4" w:rsidP="00473E61">
            <w:pPr>
              <w:pStyle w:val="TableCopy"/>
            </w:pPr>
            <w:r w:rsidRPr="002501BD">
              <w:t>Corporation, Kununurra</w:t>
            </w:r>
          </w:p>
          <w:p w14:paraId="0D5619C4" w14:textId="2F9D13A8" w:rsidR="003E36C4" w:rsidRPr="002501BD" w:rsidRDefault="003E36C4" w:rsidP="00473E61">
            <w:pPr>
              <w:pStyle w:val="TableCopy"/>
            </w:pPr>
            <w:r w:rsidRPr="002501BD">
              <w:t>Paupiyala T</w:t>
            </w:r>
            <w:r w:rsidR="0082290A">
              <w:t>j</w:t>
            </w:r>
            <w:r w:rsidRPr="002501BD">
              <w:t>arut</w:t>
            </w:r>
            <w:r w:rsidR="0082290A">
              <w:t>j</w:t>
            </w:r>
            <w:r w:rsidRPr="002501BD">
              <w:t>a Aboriginal Corporation T</w:t>
            </w:r>
            <w:r w:rsidR="0082290A">
              <w:t>j</w:t>
            </w:r>
            <w:r w:rsidRPr="002501BD">
              <w:t>untjuntjara Community, Kalgoorlie</w:t>
            </w:r>
          </w:p>
          <w:p w14:paraId="3B2726DB" w14:textId="7649DC41" w:rsidR="003E36C4" w:rsidRPr="002501BD" w:rsidRDefault="003E36C4" w:rsidP="00473E61">
            <w:pPr>
              <w:pStyle w:val="TableCopy"/>
            </w:pPr>
            <w:r w:rsidRPr="002501BD">
              <w:t>Puntukurnu Aboriginal Medical Service, Newman</w:t>
            </w:r>
          </w:p>
          <w:p w14:paraId="680A714E" w14:textId="77777777" w:rsidR="003E36C4" w:rsidRPr="002501BD" w:rsidRDefault="003E36C4" w:rsidP="00473E61">
            <w:pPr>
              <w:pStyle w:val="TableCopy"/>
            </w:pPr>
            <w:r w:rsidRPr="002501BD">
              <w:t>South-West Aboriginal Medical Service Aboriginal</w:t>
            </w:r>
          </w:p>
          <w:p w14:paraId="73A99DB1" w14:textId="77777777" w:rsidR="003E36C4" w:rsidRPr="002501BD" w:rsidRDefault="003E36C4" w:rsidP="00473E61">
            <w:pPr>
              <w:pStyle w:val="TableCopy"/>
            </w:pPr>
            <w:r w:rsidRPr="002501BD">
              <w:t>Bunbury</w:t>
            </w:r>
          </w:p>
          <w:p w14:paraId="4D137FC5" w14:textId="77777777" w:rsidR="003E36C4" w:rsidRPr="002501BD" w:rsidRDefault="003E36C4" w:rsidP="00473E61">
            <w:pPr>
              <w:pStyle w:val="TableCopy"/>
            </w:pPr>
            <w:r w:rsidRPr="002501BD">
              <w:t>Wirraka Maya Health Service Aboriginal Corporation, South Hedland</w:t>
            </w:r>
          </w:p>
          <w:p w14:paraId="001974C6" w14:textId="77777777" w:rsidR="003E36C4" w:rsidRPr="002501BD" w:rsidRDefault="003E36C4" w:rsidP="00473E61">
            <w:pPr>
              <w:pStyle w:val="TableCopy"/>
            </w:pPr>
            <w:r w:rsidRPr="002501BD">
              <w:t>Yura Yungi Medical Service Aboriginal Corporation, Halls Creek</w:t>
            </w:r>
          </w:p>
        </w:tc>
        <w:tc>
          <w:tcPr>
            <w:tcW w:w="0" w:type="auto"/>
          </w:tcPr>
          <w:p w14:paraId="6BA178FD" w14:textId="77777777" w:rsidR="003E36C4" w:rsidRPr="002501BD" w:rsidRDefault="003E36C4" w:rsidP="00473E61">
            <w:pPr>
              <w:pStyle w:val="TableCopy"/>
            </w:pPr>
          </w:p>
        </w:tc>
        <w:tc>
          <w:tcPr>
            <w:tcW w:w="0" w:type="auto"/>
          </w:tcPr>
          <w:p w14:paraId="2CAB706F" w14:textId="77777777" w:rsidR="003E36C4" w:rsidRPr="002501BD" w:rsidRDefault="003E36C4" w:rsidP="00473E61">
            <w:pPr>
              <w:pStyle w:val="TableCopy"/>
            </w:pPr>
          </w:p>
        </w:tc>
        <w:tc>
          <w:tcPr>
            <w:tcW w:w="0" w:type="auto"/>
          </w:tcPr>
          <w:p w14:paraId="48051071" w14:textId="77777777" w:rsidR="003E36C4" w:rsidRPr="002501BD" w:rsidRDefault="003E36C4" w:rsidP="00473E61">
            <w:pPr>
              <w:pStyle w:val="TableCopy"/>
            </w:pPr>
            <w:r w:rsidRPr="002501BD">
              <w:t>Fitzroy Crossing – Fitzroy Valley HS</w:t>
            </w:r>
          </w:p>
        </w:tc>
      </w:tr>
    </w:tbl>
    <w:p w14:paraId="32F387EA" w14:textId="77777777" w:rsidR="003E36C4" w:rsidRDefault="003E36C4" w:rsidP="002501BD">
      <w:pPr>
        <w:pStyle w:val="Heading4"/>
        <w:sectPr w:rsidR="003E36C4" w:rsidSect="002501BD">
          <w:pgSz w:w="16838" w:h="11906" w:orient="landscape" w:code="9"/>
          <w:pgMar w:top="737" w:right="1304" w:bottom="1134" w:left="737" w:header="567" w:footer="284" w:gutter="0"/>
          <w:cols w:space="708"/>
          <w:docGrid w:linePitch="360"/>
        </w:sectPr>
      </w:pPr>
    </w:p>
    <w:p w14:paraId="239D4D48" w14:textId="10032BD3" w:rsidR="002501BD" w:rsidRDefault="00783742" w:rsidP="002501BD">
      <w:pPr>
        <w:pStyle w:val="Heading4"/>
      </w:pPr>
      <w:r>
        <w:lastRenderedPageBreak/>
        <w:t>S19</w:t>
      </w:r>
      <w:r w:rsidR="00A07293">
        <w:t>(2)</w:t>
      </w:r>
      <w:r w:rsidR="002501BD">
        <w:t xml:space="preserve"> Exemptions Initiative in the Northern Territory</w:t>
      </w:r>
      <w:bookmarkEnd w:id="163"/>
    </w:p>
    <w:tbl>
      <w:tblPr>
        <w:tblStyle w:val="HMATableA"/>
        <w:tblW w:w="0" w:type="auto"/>
        <w:tblLook w:val="0620" w:firstRow="1" w:lastRow="0" w:firstColumn="0" w:lastColumn="0" w:noHBand="1" w:noVBand="1"/>
      </w:tblPr>
      <w:tblGrid>
        <w:gridCol w:w="2130"/>
        <w:gridCol w:w="5992"/>
        <w:gridCol w:w="3119"/>
        <w:gridCol w:w="1648"/>
        <w:gridCol w:w="1195"/>
      </w:tblGrid>
      <w:tr w:rsidR="002501BD" w:rsidRPr="00961631" w14:paraId="7C310407"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0" w:type="auto"/>
            <w:gridSpan w:val="5"/>
          </w:tcPr>
          <w:p w14:paraId="64AA8158" w14:textId="27245578" w:rsidR="002501BD" w:rsidRPr="00961631" w:rsidRDefault="00FF467B" w:rsidP="008E64B1">
            <w:pPr>
              <w:pStyle w:val="TableHeading"/>
            </w:pPr>
            <w:r w:rsidRPr="00961631">
              <w:t xml:space="preserve">Categories of </w:t>
            </w:r>
            <w:r w:rsidR="00783742">
              <w:t xml:space="preserve">S19(2) </w:t>
            </w:r>
            <w:r w:rsidRPr="00961631">
              <w:t>Exemption, by Service / Location</w:t>
            </w:r>
          </w:p>
        </w:tc>
      </w:tr>
      <w:tr w:rsidR="002501BD" w:rsidRPr="00961631" w14:paraId="6A9B8EB7" w14:textId="77777777" w:rsidTr="00473E61">
        <w:trPr>
          <w:cnfStyle w:val="100000000000" w:firstRow="1" w:lastRow="0" w:firstColumn="0" w:lastColumn="0" w:oddVBand="0" w:evenVBand="0" w:oddHBand="0" w:evenHBand="0" w:firstRowFirstColumn="0" w:firstRowLastColumn="0" w:lastRowFirstColumn="0" w:lastRowLastColumn="0"/>
          <w:tblHeader/>
        </w:trPr>
        <w:tc>
          <w:tcPr>
            <w:tcW w:w="0" w:type="auto"/>
          </w:tcPr>
          <w:p w14:paraId="7F74726E" w14:textId="77777777" w:rsidR="002501BD" w:rsidRPr="00961631" w:rsidRDefault="002501BD" w:rsidP="008E64B1">
            <w:pPr>
              <w:pStyle w:val="TableHeading"/>
            </w:pPr>
            <w:r w:rsidRPr="00961631">
              <w:t>COAG</w:t>
            </w:r>
          </w:p>
        </w:tc>
        <w:tc>
          <w:tcPr>
            <w:tcW w:w="5992" w:type="dxa"/>
          </w:tcPr>
          <w:p w14:paraId="3156E9C3" w14:textId="77777777" w:rsidR="002501BD" w:rsidRPr="00961631" w:rsidRDefault="002501BD" w:rsidP="008E64B1">
            <w:pPr>
              <w:pStyle w:val="TableHeading"/>
            </w:pPr>
            <w:r w:rsidRPr="00961631">
              <w:t>ACCHO</w:t>
            </w:r>
          </w:p>
        </w:tc>
        <w:tc>
          <w:tcPr>
            <w:tcW w:w="3119" w:type="dxa"/>
          </w:tcPr>
          <w:p w14:paraId="6E52A4CB" w14:textId="77777777" w:rsidR="002501BD" w:rsidRPr="00961631" w:rsidRDefault="002501BD" w:rsidP="008E64B1">
            <w:pPr>
              <w:pStyle w:val="TableHeading"/>
            </w:pPr>
            <w:r w:rsidRPr="00961631">
              <w:t xml:space="preserve">Indigenous Health </w:t>
            </w:r>
          </w:p>
        </w:tc>
        <w:tc>
          <w:tcPr>
            <w:tcW w:w="1596" w:type="dxa"/>
          </w:tcPr>
          <w:p w14:paraId="73890078" w14:textId="77777777" w:rsidR="002501BD" w:rsidRPr="00961631" w:rsidRDefault="002501BD" w:rsidP="008E64B1">
            <w:pPr>
              <w:pStyle w:val="TableHeading"/>
            </w:pPr>
            <w:r w:rsidRPr="00961631">
              <w:t xml:space="preserve">Murrumbidgee </w:t>
            </w:r>
          </w:p>
        </w:tc>
        <w:tc>
          <w:tcPr>
            <w:tcW w:w="1195" w:type="dxa"/>
          </w:tcPr>
          <w:p w14:paraId="69E3FE31" w14:textId="77777777" w:rsidR="002501BD" w:rsidRPr="00961631" w:rsidRDefault="002501BD" w:rsidP="008E64B1">
            <w:pPr>
              <w:pStyle w:val="TableHeading"/>
            </w:pPr>
            <w:r w:rsidRPr="00961631">
              <w:t>RVTS</w:t>
            </w:r>
          </w:p>
        </w:tc>
      </w:tr>
      <w:tr w:rsidR="002501BD" w:rsidRPr="00961631" w14:paraId="547F1350" w14:textId="77777777" w:rsidTr="00473E61">
        <w:tc>
          <w:tcPr>
            <w:tcW w:w="0" w:type="auto"/>
          </w:tcPr>
          <w:p w14:paraId="6CBEF86A" w14:textId="77777777" w:rsidR="002501BD" w:rsidRPr="00961631" w:rsidRDefault="002501BD" w:rsidP="008E64B1">
            <w:pPr>
              <w:pStyle w:val="TableCopy"/>
            </w:pPr>
            <w:r w:rsidRPr="00961631">
              <w:t>Adelaide River HC</w:t>
            </w:r>
          </w:p>
          <w:p w14:paraId="754CF6F6" w14:textId="77777777" w:rsidR="002501BD" w:rsidRPr="00961631" w:rsidRDefault="002501BD" w:rsidP="008E64B1">
            <w:pPr>
              <w:pStyle w:val="TableCopy"/>
            </w:pPr>
            <w:r w:rsidRPr="00961631">
              <w:t>Batchelor HC</w:t>
            </w:r>
          </w:p>
          <w:p w14:paraId="24AB3055" w14:textId="77777777" w:rsidR="002501BD" w:rsidRPr="00961631" w:rsidRDefault="002501BD" w:rsidP="008E64B1">
            <w:pPr>
              <w:pStyle w:val="TableCopy"/>
            </w:pPr>
            <w:r w:rsidRPr="00961631">
              <w:t>Gove District Hospital</w:t>
            </w:r>
          </w:p>
          <w:p w14:paraId="5669F52F" w14:textId="77777777" w:rsidR="002501BD" w:rsidRPr="00961631" w:rsidRDefault="002501BD" w:rsidP="008E64B1">
            <w:pPr>
              <w:pStyle w:val="TableCopy"/>
            </w:pPr>
            <w:r w:rsidRPr="00961631">
              <w:t>Jabiru CHC</w:t>
            </w:r>
          </w:p>
          <w:p w14:paraId="39EFF0C7" w14:textId="77777777" w:rsidR="002501BD" w:rsidRPr="00961631" w:rsidRDefault="002501BD" w:rsidP="008E64B1">
            <w:pPr>
              <w:pStyle w:val="TableCopy"/>
            </w:pPr>
            <w:r w:rsidRPr="00961631">
              <w:t>Katherine Hospital</w:t>
            </w:r>
          </w:p>
          <w:p w14:paraId="44F4E0ED" w14:textId="77777777" w:rsidR="002501BD" w:rsidRPr="00961631" w:rsidRDefault="002501BD" w:rsidP="008E64B1">
            <w:pPr>
              <w:pStyle w:val="TableCopy"/>
            </w:pPr>
            <w:r w:rsidRPr="00961631">
              <w:t>Tennant Creek Hospital</w:t>
            </w:r>
          </w:p>
          <w:p w14:paraId="0165CDC0" w14:textId="77777777" w:rsidR="002501BD" w:rsidRPr="00961631" w:rsidRDefault="002501BD" w:rsidP="008E64B1">
            <w:pPr>
              <w:pStyle w:val="TableCopy"/>
            </w:pPr>
            <w:r w:rsidRPr="00961631">
              <w:t>Yulara HS</w:t>
            </w:r>
          </w:p>
        </w:tc>
        <w:tc>
          <w:tcPr>
            <w:tcW w:w="5992" w:type="dxa"/>
          </w:tcPr>
          <w:p w14:paraId="3992F693" w14:textId="7DFDD954" w:rsidR="002501BD" w:rsidRPr="00961631" w:rsidRDefault="002501BD" w:rsidP="008E64B1">
            <w:pPr>
              <w:pStyle w:val="TableCopy"/>
            </w:pPr>
            <w:r w:rsidRPr="00961631">
              <w:t>Ampilatwatja Health Centre Aboriginal Corporation, Ampilatwatja Community</w:t>
            </w:r>
          </w:p>
          <w:p w14:paraId="560A253E" w14:textId="77777777" w:rsidR="002501BD" w:rsidRPr="00961631" w:rsidRDefault="002501BD" w:rsidP="008E64B1">
            <w:pPr>
              <w:pStyle w:val="TableCopy"/>
            </w:pPr>
            <w:r w:rsidRPr="00961631">
              <w:t>Anyinginyi Health Aboriginal Corporation, Tennant Creek</w:t>
            </w:r>
          </w:p>
          <w:p w14:paraId="5E439789" w14:textId="77777777" w:rsidR="002501BD" w:rsidRPr="00961631" w:rsidRDefault="002501BD" w:rsidP="008E64B1">
            <w:pPr>
              <w:pStyle w:val="TableCopy"/>
            </w:pPr>
            <w:r w:rsidRPr="00961631">
              <w:t>Bagot Community Health Centre, Ludmilla</w:t>
            </w:r>
          </w:p>
          <w:p w14:paraId="62193EB4" w14:textId="5E562C00" w:rsidR="002501BD" w:rsidRPr="00961631" w:rsidRDefault="002501BD" w:rsidP="008E64B1">
            <w:pPr>
              <w:pStyle w:val="TableCopy"/>
            </w:pPr>
            <w:r w:rsidRPr="00961631">
              <w:t>Central Australian Aboriginal Congress, Alice Springs</w:t>
            </w:r>
          </w:p>
          <w:p w14:paraId="7D877AB8" w14:textId="15649B79" w:rsidR="002501BD" w:rsidRPr="00961631" w:rsidRDefault="002501BD" w:rsidP="008E64B1">
            <w:pPr>
              <w:pStyle w:val="TableCopy"/>
            </w:pPr>
            <w:r w:rsidRPr="00961631">
              <w:t>Danila Dilba Health Service, Darwin</w:t>
            </w:r>
          </w:p>
          <w:p w14:paraId="517BE44C" w14:textId="77777777" w:rsidR="002501BD" w:rsidRPr="00961631" w:rsidRDefault="002501BD" w:rsidP="008E64B1">
            <w:pPr>
              <w:pStyle w:val="TableCopy"/>
            </w:pPr>
            <w:r w:rsidRPr="00961631">
              <w:t>Katherine West Health Board Aboriginal Corporation, Katherine</w:t>
            </w:r>
          </w:p>
          <w:p w14:paraId="18F21067" w14:textId="77777777" w:rsidR="002501BD" w:rsidRPr="00961631" w:rsidRDefault="002501BD" w:rsidP="008E64B1">
            <w:pPr>
              <w:pStyle w:val="TableCopy"/>
            </w:pPr>
            <w:r w:rsidRPr="00961631">
              <w:t>Laynhapuy Homelands Aboriginal Corporation, Yirrkala</w:t>
            </w:r>
          </w:p>
          <w:p w14:paraId="196BFC43" w14:textId="6514B173" w:rsidR="002501BD" w:rsidRPr="00961631" w:rsidRDefault="002501BD" w:rsidP="008E64B1">
            <w:pPr>
              <w:pStyle w:val="TableCopy"/>
            </w:pPr>
            <w:r w:rsidRPr="00961631">
              <w:t>Mala</w:t>
            </w:r>
            <w:r w:rsidR="004B1D9F">
              <w:t>’l</w:t>
            </w:r>
            <w:r w:rsidRPr="00961631">
              <w:t xml:space="preserve">a Health Service Aboriginal Corporation, Maningrida </w:t>
            </w:r>
          </w:p>
          <w:p w14:paraId="5EB95CB2" w14:textId="6E41CB46" w:rsidR="002501BD" w:rsidRPr="00961631" w:rsidRDefault="002501BD" w:rsidP="008E64B1">
            <w:pPr>
              <w:pStyle w:val="TableCopy"/>
            </w:pPr>
            <w:r w:rsidRPr="00961631">
              <w:t>Marthakal Homeland and Resource Centre Association,</w:t>
            </w:r>
            <w:r w:rsidR="00613C43" w:rsidRPr="00961631">
              <w:t xml:space="preserve"> </w:t>
            </w:r>
            <w:r w:rsidRPr="00961631">
              <w:t>Galiwinku</w:t>
            </w:r>
          </w:p>
          <w:p w14:paraId="08260803" w14:textId="77777777" w:rsidR="002501BD" w:rsidRPr="00961631" w:rsidRDefault="002501BD" w:rsidP="008E64B1">
            <w:pPr>
              <w:pStyle w:val="TableCopy"/>
            </w:pPr>
            <w:r w:rsidRPr="00961631">
              <w:t>Miwatj Health Aboriginal Corporation, Nhulunbuy</w:t>
            </w:r>
          </w:p>
          <w:p w14:paraId="360E0B6B" w14:textId="77777777" w:rsidR="002501BD" w:rsidRPr="00961631" w:rsidRDefault="002501BD" w:rsidP="008E64B1">
            <w:pPr>
              <w:pStyle w:val="TableCopy"/>
            </w:pPr>
            <w:r w:rsidRPr="00961631">
              <w:t>Naaanvatiarra Health Services, Alice Springs</w:t>
            </w:r>
          </w:p>
          <w:p w14:paraId="53D8E7C7" w14:textId="77777777" w:rsidR="002501BD" w:rsidRPr="00961631" w:rsidRDefault="002501BD" w:rsidP="008E64B1">
            <w:pPr>
              <w:pStyle w:val="TableCopy"/>
            </w:pPr>
            <w:r w:rsidRPr="00961631">
              <w:t>Nganampa Health Council Inc, Alice Springs</w:t>
            </w:r>
          </w:p>
          <w:p w14:paraId="4340AA50" w14:textId="77777777" w:rsidR="002501BD" w:rsidRPr="00961631" w:rsidRDefault="002501BD" w:rsidP="008E64B1">
            <w:pPr>
              <w:pStyle w:val="TableCopy"/>
            </w:pPr>
            <w:r w:rsidRPr="00961631">
              <w:t>Pintupi Homelands Health Service, Kintore</w:t>
            </w:r>
          </w:p>
          <w:p w14:paraId="22D2A3EB" w14:textId="77777777" w:rsidR="002501BD" w:rsidRPr="00961631" w:rsidRDefault="002501BD" w:rsidP="008E64B1">
            <w:pPr>
              <w:pStyle w:val="TableCopy"/>
            </w:pPr>
            <w:r w:rsidRPr="00961631">
              <w:t>Sunrise Health Service Aboriginal Corporation, Katherine</w:t>
            </w:r>
          </w:p>
          <w:p w14:paraId="05E73495" w14:textId="35BBC2E5" w:rsidR="002501BD" w:rsidRPr="00961631" w:rsidRDefault="002501BD" w:rsidP="008E64B1">
            <w:pPr>
              <w:pStyle w:val="TableCopy"/>
            </w:pPr>
            <w:r w:rsidRPr="00961631">
              <w:t>Urapuntja Health Service, Utopia</w:t>
            </w:r>
          </w:p>
          <w:p w14:paraId="11D8F32D" w14:textId="3BAFEA66" w:rsidR="002501BD" w:rsidRPr="00961631" w:rsidRDefault="002501BD" w:rsidP="008E64B1">
            <w:pPr>
              <w:pStyle w:val="TableCopy"/>
            </w:pPr>
            <w:r w:rsidRPr="00961631">
              <w:t xml:space="preserve">Wurli-Wurlinjang </w:t>
            </w:r>
            <w:r w:rsidR="004B1D9F">
              <w:t>Health Service</w:t>
            </w:r>
            <w:r w:rsidRPr="00961631">
              <w:t>, Katherine</w:t>
            </w:r>
          </w:p>
        </w:tc>
        <w:tc>
          <w:tcPr>
            <w:tcW w:w="3119" w:type="dxa"/>
          </w:tcPr>
          <w:p w14:paraId="5083BF88" w14:textId="2124708C" w:rsidR="002501BD" w:rsidRPr="00961631" w:rsidRDefault="002501BD" w:rsidP="008E64B1">
            <w:pPr>
              <w:pStyle w:val="TableCopy"/>
            </w:pPr>
            <w:r w:rsidRPr="00961631">
              <w:t>Belyuen CHC, Cox Peninsula</w:t>
            </w:r>
          </w:p>
          <w:p w14:paraId="6957921B" w14:textId="77777777" w:rsidR="002501BD" w:rsidRPr="00961631" w:rsidRDefault="002501BD" w:rsidP="008E64B1">
            <w:pPr>
              <w:pStyle w:val="TableCopy"/>
            </w:pPr>
            <w:r w:rsidRPr="00961631">
              <w:t>Maningrida CHC</w:t>
            </w:r>
          </w:p>
          <w:p w14:paraId="5F8CFD82" w14:textId="77777777" w:rsidR="002501BD" w:rsidRPr="00961631" w:rsidRDefault="002501BD" w:rsidP="008E64B1">
            <w:pPr>
              <w:pStyle w:val="TableCopy"/>
            </w:pPr>
            <w:r w:rsidRPr="00961631">
              <w:t xml:space="preserve">Minjilang (Croker Island) CHC </w:t>
            </w:r>
          </w:p>
          <w:p w14:paraId="3EE64D0D" w14:textId="6D060313" w:rsidR="002501BD" w:rsidRPr="00961631" w:rsidRDefault="002501BD" w:rsidP="008E64B1">
            <w:pPr>
              <w:pStyle w:val="TableCopy"/>
            </w:pPr>
            <w:r w:rsidRPr="00961631">
              <w:t>Nauiy</w:t>
            </w:r>
            <w:r w:rsidR="004B1D9F">
              <w:t>u</w:t>
            </w:r>
            <w:r w:rsidRPr="00961631">
              <w:t xml:space="preserve"> Nambiyu (Daly River) CHC</w:t>
            </w:r>
          </w:p>
          <w:p w14:paraId="2426C9FC" w14:textId="305FE82C" w:rsidR="002501BD" w:rsidRPr="00961631" w:rsidRDefault="002501BD" w:rsidP="008E64B1">
            <w:pPr>
              <w:pStyle w:val="TableCopy"/>
            </w:pPr>
            <w:r w:rsidRPr="00961631">
              <w:t>Nganmarriyanga (Palumpa</w:t>
            </w:r>
            <w:r w:rsidR="00613C43" w:rsidRPr="00961631">
              <w:t>)</w:t>
            </w:r>
            <w:r w:rsidRPr="00961631">
              <w:t xml:space="preserve"> CHC</w:t>
            </w:r>
          </w:p>
          <w:p w14:paraId="7F1F8F5A" w14:textId="77777777" w:rsidR="002501BD" w:rsidRPr="00961631" w:rsidRDefault="002501BD" w:rsidP="008E64B1">
            <w:pPr>
              <w:pStyle w:val="TableCopy"/>
            </w:pPr>
            <w:r w:rsidRPr="00961631">
              <w:t>Oenpelli (Gunbalanya) CHC</w:t>
            </w:r>
          </w:p>
          <w:p w14:paraId="78CB627B" w14:textId="77777777" w:rsidR="002501BD" w:rsidRPr="00961631" w:rsidRDefault="002501BD" w:rsidP="008E64B1">
            <w:pPr>
              <w:pStyle w:val="TableCopy"/>
            </w:pPr>
            <w:r w:rsidRPr="00961631">
              <w:t>Peppimenarti CHC</w:t>
            </w:r>
          </w:p>
          <w:p w14:paraId="2D8E1361" w14:textId="77777777" w:rsidR="002501BD" w:rsidRPr="00961631" w:rsidRDefault="002501BD" w:rsidP="008E64B1">
            <w:pPr>
              <w:pStyle w:val="TableCopy"/>
            </w:pPr>
            <w:r w:rsidRPr="00961631">
              <w:t>Wadeye (Port Keats) CHC</w:t>
            </w:r>
          </w:p>
          <w:p w14:paraId="3E8A2C1B" w14:textId="77777777" w:rsidR="002501BD" w:rsidRPr="00961631" w:rsidRDefault="002501BD" w:rsidP="008E64B1">
            <w:pPr>
              <w:pStyle w:val="TableCopy"/>
            </w:pPr>
            <w:r w:rsidRPr="00961631">
              <w:t>Warruwi (Goulburn Is) CHC</w:t>
            </w:r>
          </w:p>
          <w:p w14:paraId="55CAE6AB" w14:textId="061C0494" w:rsidR="002501BD" w:rsidRPr="00961631" w:rsidRDefault="002501BD" w:rsidP="008E64B1">
            <w:pPr>
              <w:pStyle w:val="TableCopy"/>
            </w:pPr>
            <w:r w:rsidRPr="00961631">
              <w:t>Woodycup</w:t>
            </w:r>
            <w:r w:rsidR="004B1D9F">
              <w:t>a</w:t>
            </w:r>
            <w:r w:rsidRPr="00961631">
              <w:t>ldiya CHC, Daly River</w:t>
            </w:r>
          </w:p>
          <w:p w14:paraId="6FFEFCE2" w14:textId="77777777" w:rsidR="002501BD" w:rsidRPr="00961631" w:rsidRDefault="002501BD" w:rsidP="008E64B1">
            <w:pPr>
              <w:pStyle w:val="TableCopy"/>
            </w:pPr>
            <w:r w:rsidRPr="00961631">
              <w:t>Binjari CHC, Katherine</w:t>
            </w:r>
          </w:p>
          <w:p w14:paraId="2438516E" w14:textId="77777777" w:rsidR="002501BD" w:rsidRPr="00961631" w:rsidRDefault="002501BD" w:rsidP="008E64B1">
            <w:pPr>
              <w:pStyle w:val="TableCopy"/>
            </w:pPr>
            <w:r w:rsidRPr="00961631">
              <w:t>Numbulwar Health Centre</w:t>
            </w:r>
          </w:p>
          <w:p w14:paraId="1F98AF05" w14:textId="77777777" w:rsidR="002501BD" w:rsidRPr="00961631" w:rsidRDefault="002501BD" w:rsidP="008E64B1">
            <w:pPr>
              <w:pStyle w:val="TableCopy"/>
            </w:pPr>
            <w:r w:rsidRPr="00961631">
              <w:t>Pine Creek CHC</w:t>
            </w:r>
          </w:p>
          <w:p w14:paraId="3F7F2649" w14:textId="77777777" w:rsidR="002501BD" w:rsidRPr="00961631" w:rsidRDefault="002501BD" w:rsidP="008E64B1">
            <w:pPr>
              <w:pStyle w:val="TableCopy"/>
            </w:pPr>
            <w:r w:rsidRPr="00961631">
              <w:t>Robinson River CHC</w:t>
            </w:r>
          </w:p>
          <w:p w14:paraId="109D7C14" w14:textId="77777777" w:rsidR="002501BD" w:rsidRPr="00961631" w:rsidRDefault="002501BD" w:rsidP="008E64B1">
            <w:pPr>
              <w:pStyle w:val="TableCopy"/>
            </w:pPr>
            <w:r w:rsidRPr="00961631">
              <w:t>Alyangula (Groote Eylandt) HC</w:t>
            </w:r>
          </w:p>
          <w:p w14:paraId="04ADB9A6" w14:textId="77777777" w:rsidR="002501BD" w:rsidRPr="00961631" w:rsidRDefault="002501BD" w:rsidP="008E64B1">
            <w:pPr>
              <w:pStyle w:val="TableCopy"/>
            </w:pPr>
            <w:r w:rsidRPr="00961631">
              <w:t>Angurugu CHC</w:t>
            </w:r>
          </w:p>
          <w:p w14:paraId="17B7D97E" w14:textId="77777777" w:rsidR="002501BD" w:rsidRPr="00961631" w:rsidRDefault="002501BD" w:rsidP="008E64B1">
            <w:pPr>
              <w:pStyle w:val="TableCopy"/>
            </w:pPr>
            <w:r w:rsidRPr="00961631">
              <w:t>Gunyangara (Marngarr) CHC</w:t>
            </w:r>
          </w:p>
          <w:p w14:paraId="031F757E" w14:textId="77777777" w:rsidR="002501BD" w:rsidRPr="00961631" w:rsidRDefault="002501BD" w:rsidP="008E64B1">
            <w:pPr>
              <w:pStyle w:val="TableCopy"/>
            </w:pPr>
            <w:r w:rsidRPr="00961631">
              <w:t>Laynhapuy Homelands HC</w:t>
            </w:r>
          </w:p>
          <w:p w14:paraId="68EB1785" w14:textId="77208ADB" w:rsidR="002501BD" w:rsidRPr="00961631" w:rsidRDefault="002501BD" w:rsidP="008E64B1">
            <w:pPr>
              <w:pStyle w:val="TableCopy"/>
            </w:pPr>
            <w:r w:rsidRPr="00961631">
              <w:t>Milingimbi CHC</w:t>
            </w:r>
          </w:p>
          <w:p w14:paraId="1DF244BA" w14:textId="77777777" w:rsidR="002501BD" w:rsidRPr="00961631" w:rsidRDefault="002501BD" w:rsidP="008E64B1">
            <w:pPr>
              <w:pStyle w:val="TableCopy"/>
            </w:pPr>
            <w:r w:rsidRPr="00961631">
              <w:t>Milyakburra (Bickerton Is) CHC</w:t>
            </w:r>
          </w:p>
          <w:p w14:paraId="72436444" w14:textId="77777777" w:rsidR="002501BD" w:rsidRPr="00961631" w:rsidRDefault="002501BD" w:rsidP="008E64B1">
            <w:pPr>
              <w:pStyle w:val="TableCopy"/>
            </w:pPr>
            <w:r w:rsidRPr="00961631">
              <w:t>Umbakumba CHC</w:t>
            </w:r>
          </w:p>
          <w:p w14:paraId="1E6A7699" w14:textId="77777777" w:rsidR="002501BD" w:rsidRPr="00961631" w:rsidRDefault="002501BD" w:rsidP="008E64B1">
            <w:pPr>
              <w:pStyle w:val="TableCopy"/>
            </w:pPr>
            <w:r w:rsidRPr="00961631">
              <w:t>Yirrkala CHC</w:t>
            </w:r>
          </w:p>
          <w:p w14:paraId="755482A7" w14:textId="77777777" w:rsidR="002501BD" w:rsidRPr="00961631" w:rsidRDefault="002501BD" w:rsidP="008E64B1">
            <w:pPr>
              <w:pStyle w:val="TableCopy"/>
            </w:pPr>
          </w:p>
          <w:p w14:paraId="1B5F3D8E" w14:textId="77777777" w:rsidR="002501BD" w:rsidRPr="00961631" w:rsidRDefault="002501BD" w:rsidP="008E64B1">
            <w:pPr>
              <w:pStyle w:val="TableCopy"/>
            </w:pPr>
            <w:r w:rsidRPr="00961631">
              <w:t>Alpurrurulam (Lake Nash) CHC</w:t>
            </w:r>
          </w:p>
          <w:p w14:paraId="2FC9385E" w14:textId="77777777" w:rsidR="002501BD" w:rsidRPr="00961631" w:rsidRDefault="002501BD" w:rsidP="008E64B1">
            <w:pPr>
              <w:pStyle w:val="TableCopy"/>
            </w:pPr>
            <w:r w:rsidRPr="00961631">
              <w:t>Amunturmgu (Mt Liebig) CHC</w:t>
            </w:r>
          </w:p>
          <w:p w14:paraId="55844870" w14:textId="77777777" w:rsidR="002501BD" w:rsidRPr="00961631" w:rsidRDefault="002501BD" w:rsidP="008E64B1">
            <w:pPr>
              <w:pStyle w:val="TableCopy"/>
            </w:pPr>
            <w:r w:rsidRPr="00961631">
              <w:t>Aputula (Finke) CHC</w:t>
            </w:r>
          </w:p>
          <w:p w14:paraId="4EDBC5CE" w14:textId="77777777" w:rsidR="002501BD" w:rsidRPr="00961631" w:rsidRDefault="002501BD" w:rsidP="008E64B1">
            <w:pPr>
              <w:pStyle w:val="TableCopy"/>
            </w:pPr>
            <w:r w:rsidRPr="00961631">
              <w:t>Atitjere (Harts Range) CHC</w:t>
            </w:r>
          </w:p>
          <w:p w14:paraId="604056DC" w14:textId="77777777" w:rsidR="002501BD" w:rsidRPr="00961631" w:rsidRDefault="002501BD" w:rsidP="008E64B1">
            <w:pPr>
              <w:pStyle w:val="TableCopy"/>
            </w:pPr>
            <w:r w:rsidRPr="00961631">
              <w:t>Bonya (Baikal Bonja) CHC</w:t>
            </w:r>
          </w:p>
          <w:p w14:paraId="1F512CC3" w14:textId="77777777" w:rsidR="002501BD" w:rsidRPr="00961631" w:rsidRDefault="002501BD" w:rsidP="008E64B1">
            <w:pPr>
              <w:pStyle w:val="TableCopy"/>
            </w:pPr>
            <w:r w:rsidRPr="00961631">
              <w:t>Engawala (Alcoota) CHC</w:t>
            </w:r>
          </w:p>
          <w:p w14:paraId="082EEB77" w14:textId="77777777" w:rsidR="002501BD" w:rsidRPr="00961631" w:rsidRDefault="002501BD" w:rsidP="008E64B1">
            <w:pPr>
              <w:pStyle w:val="TableCopy"/>
            </w:pPr>
            <w:r w:rsidRPr="00961631">
              <w:t>Ikuntji (Haasts Bluff) CHC</w:t>
            </w:r>
          </w:p>
          <w:p w14:paraId="0B0BF7AB" w14:textId="77777777" w:rsidR="002501BD" w:rsidRPr="00961631" w:rsidRDefault="002501BD" w:rsidP="008E64B1">
            <w:pPr>
              <w:pStyle w:val="TableCopy"/>
            </w:pPr>
            <w:r w:rsidRPr="00961631">
              <w:t>Kaltukatjara (Docker River) CHC</w:t>
            </w:r>
          </w:p>
          <w:p w14:paraId="652920E1" w14:textId="77777777" w:rsidR="002501BD" w:rsidRPr="00961631" w:rsidRDefault="002501BD" w:rsidP="008E64B1">
            <w:pPr>
              <w:pStyle w:val="TableCopy"/>
            </w:pPr>
            <w:r w:rsidRPr="00961631">
              <w:t>Imanpa Community</w:t>
            </w:r>
          </w:p>
          <w:p w14:paraId="75DF35B2" w14:textId="77777777" w:rsidR="002501BD" w:rsidRPr="00961631" w:rsidRDefault="002501BD" w:rsidP="008E64B1">
            <w:pPr>
              <w:pStyle w:val="TableCopy"/>
            </w:pPr>
            <w:r w:rsidRPr="00961631">
              <w:t>Laramba (Napperby) CHC</w:t>
            </w:r>
          </w:p>
          <w:p w14:paraId="0F1BE554" w14:textId="77777777" w:rsidR="002501BD" w:rsidRPr="00961631" w:rsidRDefault="002501BD" w:rsidP="008E64B1">
            <w:pPr>
              <w:pStyle w:val="TableCopy"/>
            </w:pPr>
            <w:r w:rsidRPr="00961631">
              <w:t>Ntaria (Hermannsburg) CHC</w:t>
            </w:r>
          </w:p>
          <w:p w14:paraId="3C397E24" w14:textId="77777777" w:rsidR="002501BD" w:rsidRPr="00961631" w:rsidRDefault="002501BD" w:rsidP="008E64B1">
            <w:pPr>
              <w:pStyle w:val="TableCopy"/>
            </w:pPr>
            <w:r w:rsidRPr="00961631">
              <w:t>Nturiya (Ti Tree Station) CHC</w:t>
            </w:r>
          </w:p>
          <w:p w14:paraId="04A8EE84" w14:textId="77777777" w:rsidR="002501BD" w:rsidRPr="00961631" w:rsidRDefault="002501BD" w:rsidP="008E64B1">
            <w:pPr>
              <w:pStyle w:val="TableCopy"/>
            </w:pPr>
            <w:r w:rsidRPr="00961631">
              <w:lastRenderedPageBreak/>
              <w:t>Nyirripi (Waite Creek) CHC</w:t>
            </w:r>
          </w:p>
          <w:p w14:paraId="5FD303B6" w14:textId="77777777" w:rsidR="002501BD" w:rsidRPr="00961631" w:rsidRDefault="002501BD" w:rsidP="008E64B1">
            <w:pPr>
              <w:pStyle w:val="TableCopy"/>
            </w:pPr>
            <w:r w:rsidRPr="00961631">
              <w:t>Papunya CHC</w:t>
            </w:r>
          </w:p>
          <w:p w14:paraId="3D423B14" w14:textId="77777777" w:rsidR="002501BD" w:rsidRPr="00961631" w:rsidRDefault="002501BD" w:rsidP="008E64B1">
            <w:pPr>
              <w:pStyle w:val="TableCopy"/>
            </w:pPr>
            <w:r w:rsidRPr="00961631">
              <w:t>Pmara Jutunta (Ti Tree 6 mile) CHC</w:t>
            </w:r>
          </w:p>
          <w:p w14:paraId="30E13F90" w14:textId="77777777" w:rsidR="002501BD" w:rsidRPr="00961631" w:rsidRDefault="002501BD" w:rsidP="008E64B1">
            <w:pPr>
              <w:pStyle w:val="TableCopy"/>
            </w:pPr>
            <w:r w:rsidRPr="00961631">
              <w:t>Tara (Neutral Junction) CHC</w:t>
            </w:r>
          </w:p>
          <w:p w14:paraId="4C505439" w14:textId="77777777" w:rsidR="002501BD" w:rsidRPr="00961631" w:rsidRDefault="002501BD" w:rsidP="008E64B1">
            <w:pPr>
              <w:pStyle w:val="TableCopy"/>
            </w:pPr>
            <w:r w:rsidRPr="00961631">
              <w:t>Ti Tree CHC</w:t>
            </w:r>
          </w:p>
          <w:p w14:paraId="40BBF18A" w14:textId="09DFE99E" w:rsidR="002501BD" w:rsidRPr="00961631" w:rsidRDefault="002501BD" w:rsidP="008E64B1">
            <w:pPr>
              <w:pStyle w:val="TableCopy"/>
            </w:pPr>
            <w:r w:rsidRPr="00961631">
              <w:t>Titj</w:t>
            </w:r>
            <w:r w:rsidR="00BA257B">
              <w:t>i</w:t>
            </w:r>
            <w:r w:rsidRPr="00961631">
              <w:t>kala (Maryvale) CHC</w:t>
            </w:r>
          </w:p>
          <w:p w14:paraId="052E0504" w14:textId="77777777" w:rsidR="002501BD" w:rsidRPr="00961631" w:rsidRDefault="002501BD" w:rsidP="008E64B1">
            <w:pPr>
              <w:pStyle w:val="TableCopy"/>
            </w:pPr>
            <w:r w:rsidRPr="00961631">
              <w:t>Utju (Areyonga) CHC</w:t>
            </w:r>
          </w:p>
          <w:p w14:paraId="518321AD" w14:textId="77777777" w:rsidR="002501BD" w:rsidRPr="00961631" w:rsidRDefault="002501BD" w:rsidP="008E64B1">
            <w:pPr>
              <w:pStyle w:val="TableCopy"/>
            </w:pPr>
            <w:r w:rsidRPr="00961631">
              <w:t>Wallace Rockhole Health Centre</w:t>
            </w:r>
          </w:p>
          <w:p w14:paraId="2EAFBEAB" w14:textId="77777777" w:rsidR="002501BD" w:rsidRPr="00961631" w:rsidRDefault="002501BD" w:rsidP="008E64B1">
            <w:pPr>
              <w:pStyle w:val="TableCopy"/>
            </w:pPr>
            <w:r w:rsidRPr="00961631">
              <w:t>Watarrka (Kings Canyon) CHC</w:t>
            </w:r>
          </w:p>
          <w:p w14:paraId="27327147" w14:textId="77777777" w:rsidR="002501BD" w:rsidRPr="00961631" w:rsidRDefault="002501BD" w:rsidP="008E64B1">
            <w:pPr>
              <w:pStyle w:val="TableCopy"/>
            </w:pPr>
            <w:r w:rsidRPr="00961631">
              <w:t>Wilora (Stirling) CHC</w:t>
            </w:r>
          </w:p>
          <w:p w14:paraId="55306B63" w14:textId="77777777" w:rsidR="002501BD" w:rsidRPr="00961631" w:rsidRDefault="002501BD" w:rsidP="008E64B1">
            <w:pPr>
              <w:pStyle w:val="TableCopy"/>
            </w:pPr>
            <w:r w:rsidRPr="00961631">
              <w:t>Wirilyatjarrayi (Willowra) HC</w:t>
            </w:r>
          </w:p>
          <w:p w14:paraId="3D949074" w14:textId="77777777" w:rsidR="002501BD" w:rsidRPr="00961631" w:rsidRDefault="002501BD" w:rsidP="008E64B1">
            <w:pPr>
              <w:pStyle w:val="TableCopy"/>
            </w:pPr>
            <w:r w:rsidRPr="00961631">
              <w:t>Yuelamu (Mt Allen) CHC</w:t>
            </w:r>
          </w:p>
          <w:p w14:paraId="077683AB" w14:textId="77777777" w:rsidR="002501BD" w:rsidRPr="00961631" w:rsidRDefault="002501BD" w:rsidP="008E64B1">
            <w:pPr>
              <w:pStyle w:val="TableCopy"/>
            </w:pPr>
            <w:r w:rsidRPr="00961631">
              <w:t>Yuendumu CHC</w:t>
            </w:r>
          </w:p>
          <w:p w14:paraId="3DFDDA16" w14:textId="4EEE2127" w:rsidR="002501BD" w:rsidRPr="00961631" w:rsidRDefault="002501BD" w:rsidP="008E64B1">
            <w:pPr>
              <w:pStyle w:val="TableCopy"/>
            </w:pPr>
            <w:r w:rsidRPr="00961631">
              <w:t>Ali</w:t>
            </w:r>
            <w:r w:rsidR="00BA257B">
              <w:t xml:space="preserve"> </w:t>
            </w:r>
            <w:r w:rsidRPr="00961631">
              <w:t>Curung/ Alekarenge (Warrabi) CHC</w:t>
            </w:r>
          </w:p>
          <w:p w14:paraId="4EA448FF" w14:textId="77777777" w:rsidR="002501BD" w:rsidRPr="00961631" w:rsidRDefault="002501BD" w:rsidP="008E64B1">
            <w:pPr>
              <w:pStyle w:val="TableCopy"/>
            </w:pPr>
            <w:r w:rsidRPr="00961631">
              <w:t>Barkly Mobile</w:t>
            </w:r>
          </w:p>
          <w:p w14:paraId="0F9131A9" w14:textId="77777777" w:rsidR="002501BD" w:rsidRPr="00961631" w:rsidRDefault="002501BD" w:rsidP="008E64B1">
            <w:pPr>
              <w:pStyle w:val="TableCopy"/>
            </w:pPr>
            <w:r w:rsidRPr="00961631">
              <w:t>Canteen Creek (Orwatijilla) HC</w:t>
            </w:r>
          </w:p>
          <w:p w14:paraId="502ADDC3" w14:textId="77777777" w:rsidR="002501BD" w:rsidRPr="00961631" w:rsidRDefault="002501BD" w:rsidP="008E64B1">
            <w:pPr>
              <w:pStyle w:val="TableCopy"/>
            </w:pPr>
            <w:r w:rsidRPr="00961631">
              <w:t>Elliott CHC</w:t>
            </w:r>
          </w:p>
          <w:p w14:paraId="178A529E" w14:textId="38E0EF19" w:rsidR="002501BD" w:rsidRPr="00961631" w:rsidRDefault="002501BD" w:rsidP="008E64B1">
            <w:pPr>
              <w:pStyle w:val="TableCopy"/>
            </w:pPr>
            <w:r w:rsidRPr="00961631">
              <w:t>Epenarra (Wutunugurr</w:t>
            </w:r>
            <w:r w:rsidR="00BA257B">
              <w:t>a</w:t>
            </w:r>
            <w:r w:rsidRPr="00961631">
              <w:t>) HC</w:t>
            </w:r>
          </w:p>
          <w:p w14:paraId="30902388" w14:textId="1E40B3D4" w:rsidR="002501BD" w:rsidRPr="00961631" w:rsidRDefault="002501BD" w:rsidP="008E64B1">
            <w:pPr>
              <w:pStyle w:val="TableCopy"/>
            </w:pPr>
            <w:r w:rsidRPr="00961631">
              <w:t>Bo</w:t>
            </w:r>
            <w:r w:rsidR="00BA257B">
              <w:t>r</w:t>
            </w:r>
            <w:r w:rsidRPr="00961631">
              <w:t xml:space="preserve">roloola </w:t>
            </w:r>
          </w:p>
          <w:p w14:paraId="24AFF1B9" w14:textId="33B4867D" w:rsidR="002501BD" w:rsidRPr="00961631" w:rsidRDefault="002501BD" w:rsidP="008E64B1">
            <w:pPr>
              <w:pStyle w:val="TableCopy"/>
            </w:pPr>
            <w:r w:rsidRPr="00961631">
              <w:t>Bo</w:t>
            </w:r>
            <w:r w:rsidR="00BA257B">
              <w:t>r</w:t>
            </w:r>
            <w:r w:rsidRPr="00961631">
              <w:t>roloola Health Clinic</w:t>
            </w:r>
          </w:p>
          <w:p w14:paraId="0CD90D78" w14:textId="77777777" w:rsidR="002501BD" w:rsidRPr="00961631" w:rsidRDefault="002501BD" w:rsidP="008E64B1">
            <w:pPr>
              <w:pStyle w:val="TableCopy"/>
            </w:pPr>
            <w:r w:rsidRPr="00961631">
              <w:t>Tiwi Islands</w:t>
            </w:r>
          </w:p>
          <w:p w14:paraId="7DE65E1A" w14:textId="77777777" w:rsidR="002501BD" w:rsidRPr="00961631" w:rsidRDefault="002501BD" w:rsidP="008E64B1">
            <w:pPr>
              <w:pStyle w:val="TableCopy"/>
            </w:pPr>
            <w:r w:rsidRPr="00961631">
              <w:t xml:space="preserve">Julanimawu </w:t>
            </w:r>
          </w:p>
          <w:p w14:paraId="09B4FD6A" w14:textId="77777777" w:rsidR="002501BD" w:rsidRPr="00961631" w:rsidRDefault="002501BD" w:rsidP="008E64B1">
            <w:pPr>
              <w:pStyle w:val="TableCopy"/>
            </w:pPr>
            <w:r w:rsidRPr="00961631">
              <w:t>Milikapiti HC</w:t>
            </w:r>
          </w:p>
          <w:p w14:paraId="7F6A899F" w14:textId="77777777" w:rsidR="002501BD" w:rsidRPr="00961631" w:rsidRDefault="002501BD" w:rsidP="008E64B1">
            <w:pPr>
              <w:pStyle w:val="TableCopy"/>
            </w:pPr>
            <w:r w:rsidRPr="00961631">
              <w:t xml:space="preserve">Pirlangimpi </w:t>
            </w:r>
          </w:p>
        </w:tc>
        <w:tc>
          <w:tcPr>
            <w:tcW w:w="1596" w:type="dxa"/>
          </w:tcPr>
          <w:p w14:paraId="352E88DB" w14:textId="77777777" w:rsidR="002501BD" w:rsidRPr="00961631" w:rsidRDefault="002501BD" w:rsidP="008E64B1">
            <w:pPr>
              <w:pStyle w:val="TableCopy"/>
            </w:pPr>
          </w:p>
        </w:tc>
        <w:tc>
          <w:tcPr>
            <w:tcW w:w="1195" w:type="dxa"/>
          </w:tcPr>
          <w:p w14:paraId="55450935" w14:textId="77777777" w:rsidR="002501BD" w:rsidRPr="00961631" w:rsidRDefault="002501BD" w:rsidP="008E64B1">
            <w:pPr>
              <w:pStyle w:val="TableCopy"/>
            </w:pPr>
          </w:p>
        </w:tc>
      </w:tr>
    </w:tbl>
    <w:p w14:paraId="1D1CEEEC" w14:textId="77777777" w:rsidR="002501BD" w:rsidRDefault="002501BD" w:rsidP="002501BD">
      <w:pPr>
        <w:sectPr w:rsidR="002501BD" w:rsidSect="002501BD">
          <w:pgSz w:w="16838" w:h="11906" w:orient="landscape" w:code="9"/>
          <w:pgMar w:top="737" w:right="1304" w:bottom="1134" w:left="737" w:header="567" w:footer="284" w:gutter="0"/>
          <w:cols w:space="708"/>
          <w:docGrid w:linePitch="360"/>
        </w:sectPr>
      </w:pPr>
    </w:p>
    <w:p w14:paraId="7942548E" w14:textId="13E5B588" w:rsidR="002501BD" w:rsidRDefault="00783742" w:rsidP="002501BD">
      <w:pPr>
        <w:pStyle w:val="Heading4"/>
      </w:pPr>
      <w:bookmarkStart w:id="164" w:name="_Toc67487740"/>
      <w:r>
        <w:lastRenderedPageBreak/>
        <w:t>S19</w:t>
      </w:r>
      <w:r w:rsidR="00A07293">
        <w:t>(2)</w:t>
      </w:r>
      <w:r w:rsidR="002501BD">
        <w:t xml:space="preserve"> Exemptions Initiative in South Australia, Victoria, Tasmania and Australian Capital Territory</w:t>
      </w:r>
      <w:bookmarkEnd w:id="164"/>
    </w:p>
    <w:tbl>
      <w:tblPr>
        <w:tblStyle w:val="HMATableA"/>
        <w:tblW w:w="0" w:type="auto"/>
        <w:tblLayout w:type="fixed"/>
        <w:tblLook w:val="0620" w:firstRow="1" w:lastRow="0" w:firstColumn="0" w:lastColumn="0" w:noHBand="1" w:noVBand="1"/>
      </w:tblPr>
      <w:tblGrid>
        <w:gridCol w:w="1346"/>
        <w:gridCol w:w="5717"/>
        <w:gridCol w:w="2009"/>
        <w:gridCol w:w="1701"/>
        <w:gridCol w:w="4024"/>
      </w:tblGrid>
      <w:tr w:rsidR="002501BD" w:rsidRPr="003A0A81" w14:paraId="6640D621" w14:textId="77777777" w:rsidTr="008E64B1">
        <w:trPr>
          <w:cnfStyle w:val="100000000000" w:firstRow="1" w:lastRow="0" w:firstColumn="0" w:lastColumn="0" w:oddVBand="0" w:evenVBand="0" w:oddHBand="0" w:evenHBand="0" w:firstRowFirstColumn="0" w:firstRowLastColumn="0" w:lastRowFirstColumn="0" w:lastRowLastColumn="0"/>
          <w:tblHeader/>
        </w:trPr>
        <w:tc>
          <w:tcPr>
            <w:tcW w:w="14797" w:type="dxa"/>
            <w:gridSpan w:val="5"/>
          </w:tcPr>
          <w:p w14:paraId="00B2CBCB" w14:textId="728B11F8" w:rsidR="002501BD" w:rsidRPr="003A0A81" w:rsidRDefault="00FF467B" w:rsidP="008E64B1">
            <w:pPr>
              <w:pStyle w:val="TableHeading"/>
            </w:pPr>
            <w:r>
              <w:t xml:space="preserve">Categories of </w:t>
            </w:r>
            <w:r w:rsidR="00783742">
              <w:t xml:space="preserve">S19(2) </w:t>
            </w:r>
            <w:r>
              <w:t>Exemption, by Service / Location</w:t>
            </w:r>
          </w:p>
        </w:tc>
      </w:tr>
      <w:tr w:rsidR="002501BD" w:rsidRPr="003A0A81" w14:paraId="45B3B296" w14:textId="77777777" w:rsidTr="008E64B1">
        <w:trPr>
          <w:cnfStyle w:val="100000000000" w:firstRow="1" w:lastRow="0" w:firstColumn="0" w:lastColumn="0" w:oddVBand="0" w:evenVBand="0" w:oddHBand="0" w:evenHBand="0" w:firstRowFirstColumn="0" w:firstRowLastColumn="0" w:lastRowFirstColumn="0" w:lastRowLastColumn="0"/>
          <w:tblHeader/>
        </w:trPr>
        <w:tc>
          <w:tcPr>
            <w:tcW w:w="1346" w:type="dxa"/>
          </w:tcPr>
          <w:p w14:paraId="60639058" w14:textId="77777777" w:rsidR="002501BD" w:rsidRPr="003A0A81" w:rsidRDefault="002501BD" w:rsidP="008E64B1">
            <w:pPr>
              <w:pStyle w:val="TableHeading"/>
            </w:pPr>
          </w:p>
        </w:tc>
        <w:tc>
          <w:tcPr>
            <w:tcW w:w="5717" w:type="dxa"/>
          </w:tcPr>
          <w:p w14:paraId="66A57BE6" w14:textId="77777777" w:rsidR="002501BD" w:rsidRPr="003A0A81" w:rsidRDefault="002501BD" w:rsidP="008E64B1">
            <w:pPr>
              <w:pStyle w:val="TableHeading"/>
            </w:pPr>
            <w:r w:rsidRPr="003A0A81">
              <w:t>ACCHO</w:t>
            </w:r>
          </w:p>
        </w:tc>
        <w:tc>
          <w:tcPr>
            <w:tcW w:w="2009" w:type="dxa"/>
          </w:tcPr>
          <w:p w14:paraId="758F1106" w14:textId="77777777" w:rsidR="002501BD" w:rsidRPr="003A0A81" w:rsidRDefault="002501BD" w:rsidP="008E64B1">
            <w:pPr>
              <w:pStyle w:val="TableHeading"/>
            </w:pPr>
            <w:r w:rsidRPr="003A0A81">
              <w:t>Indigenous Health</w:t>
            </w:r>
          </w:p>
        </w:tc>
        <w:tc>
          <w:tcPr>
            <w:tcW w:w="1701" w:type="dxa"/>
          </w:tcPr>
          <w:p w14:paraId="0C8D17A8" w14:textId="77777777" w:rsidR="002501BD" w:rsidRPr="003A0A81" w:rsidRDefault="002501BD" w:rsidP="008E64B1">
            <w:pPr>
              <w:pStyle w:val="TableHeading"/>
            </w:pPr>
            <w:r w:rsidRPr="003A0A81">
              <w:t>Murrumbidgee</w:t>
            </w:r>
          </w:p>
        </w:tc>
        <w:tc>
          <w:tcPr>
            <w:tcW w:w="4024" w:type="dxa"/>
          </w:tcPr>
          <w:p w14:paraId="1BD140E8" w14:textId="77777777" w:rsidR="002501BD" w:rsidRPr="003A0A81" w:rsidRDefault="002501BD" w:rsidP="008E64B1">
            <w:pPr>
              <w:pStyle w:val="TableHeading"/>
            </w:pPr>
            <w:r w:rsidRPr="003A0A81">
              <w:t>RVTS</w:t>
            </w:r>
          </w:p>
        </w:tc>
      </w:tr>
      <w:tr w:rsidR="002501BD" w:rsidRPr="003A0A81" w14:paraId="2B4CD2C0" w14:textId="77777777" w:rsidTr="008E64B1">
        <w:tc>
          <w:tcPr>
            <w:tcW w:w="1346" w:type="dxa"/>
          </w:tcPr>
          <w:p w14:paraId="19D70813" w14:textId="77777777" w:rsidR="002501BD" w:rsidRPr="003A0A81" w:rsidRDefault="002501BD" w:rsidP="008E64B1">
            <w:pPr>
              <w:pStyle w:val="TableCopy"/>
            </w:pPr>
            <w:r w:rsidRPr="003A0A81">
              <w:t>South Australia</w:t>
            </w:r>
          </w:p>
        </w:tc>
        <w:tc>
          <w:tcPr>
            <w:tcW w:w="5717" w:type="dxa"/>
          </w:tcPr>
          <w:p w14:paraId="695D83BC" w14:textId="74B5B38D" w:rsidR="002501BD" w:rsidRPr="003A0A81" w:rsidRDefault="002501BD" w:rsidP="008E64B1">
            <w:pPr>
              <w:pStyle w:val="TableCopy"/>
            </w:pPr>
            <w:r w:rsidRPr="003A0A81">
              <w:t>Yadu Health Abori</w:t>
            </w:r>
            <w:r w:rsidR="00613C43">
              <w:t>g</w:t>
            </w:r>
            <w:r w:rsidRPr="003A0A81">
              <w:t>inal Corporation, Ceduna</w:t>
            </w:r>
          </w:p>
          <w:p w14:paraId="4393C466" w14:textId="77777777" w:rsidR="002501BD" w:rsidRPr="003A0A81" w:rsidRDefault="002501BD" w:rsidP="008E64B1">
            <w:pPr>
              <w:pStyle w:val="TableCopy"/>
            </w:pPr>
            <w:r w:rsidRPr="003A0A81">
              <w:t>Moorundi Aboriginal Community Controlled Health Service Incorporated, Murray Bridge</w:t>
            </w:r>
          </w:p>
          <w:p w14:paraId="16E2559F" w14:textId="55B0521D" w:rsidR="002501BD" w:rsidRPr="003A0A81" w:rsidRDefault="002501BD" w:rsidP="008E64B1">
            <w:pPr>
              <w:pStyle w:val="TableCopy"/>
            </w:pPr>
            <w:r w:rsidRPr="003A0A81">
              <w:t xml:space="preserve">Nunkuwarrin Yunti </w:t>
            </w:r>
            <w:r w:rsidR="00BA257B">
              <w:t xml:space="preserve">of South Australia </w:t>
            </w:r>
            <w:r w:rsidRPr="003A0A81">
              <w:t>Incorporated, Adelaide</w:t>
            </w:r>
          </w:p>
          <w:p w14:paraId="03FB8311" w14:textId="7A9A2C3A" w:rsidR="002501BD" w:rsidRPr="003A0A81" w:rsidRDefault="002501BD" w:rsidP="008E64B1">
            <w:pPr>
              <w:pStyle w:val="TableCopy"/>
            </w:pPr>
            <w:r w:rsidRPr="003A0A81">
              <w:t>Nunyara Abori</w:t>
            </w:r>
            <w:r w:rsidR="00613C43">
              <w:t>g</w:t>
            </w:r>
            <w:r w:rsidRPr="003A0A81">
              <w:t>inal Health Service Inc, Whyalla Stuart</w:t>
            </w:r>
          </w:p>
          <w:p w14:paraId="62DFCF88" w14:textId="2FCF6203" w:rsidR="002501BD" w:rsidRPr="003A0A81" w:rsidRDefault="002501BD" w:rsidP="008E64B1">
            <w:pPr>
              <w:pStyle w:val="TableCopy"/>
            </w:pPr>
            <w:r w:rsidRPr="003A0A81">
              <w:t>Oak Valley (Maralin</w:t>
            </w:r>
            <w:r w:rsidR="00BA257B">
              <w:t>g</w:t>
            </w:r>
            <w:r w:rsidRPr="003A0A81">
              <w:t xml:space="preserve">a) </w:t>
            </w:r>
            <w:r w:rsidR="00BA257B">
              <w:t>Aboriginal Corporation Inc</w:t>
            </w:r>
            <w:r w:rsidRPr="003A0A81">
              <w:t>, Ceduna</w:t>
            </w:r>
          </w:p>
          <w:p w14:paraId="3F2982A0" w14:textId="69CA9EBD" w:rsidR="002501BD" w:rsidRPr="003A0A81" w:rsidRDefault="002501BD" w:rsidP="008E64B1">
            <w:pPr>
              <w:pStyle w:val="TableCopy"/>
            </w:pPr>
            <w:r w:rsidRPr="003A0A81">
              <w:t xml:space="preserve">Pangula Mannamurna </w:t>
            </w:r>
            <w:r w:rsidR="003F5E00">
              <w:t xml:space="preserve">Aboriginal Corporation </w:t>
            </w:r>
            <w:r w:rsidRPr="003A0A81">
              <w:t>Inc, Mount Gambier</w:t>
            </w:r>
          </w:p>
          <w:p w14:paraId="36851562" w14:textId="018EA512" w:rsidR="002501BD" w:rsidRPr="003A0A81" w:rsidRDefault="002501BD" w:rsidP="008E64B1">
            <w:pPr>
              <w:pStyle w:val="TableCopy"/>
            </w:pPr>
            <w:r w:rsidRPr="003A0A81">
              <w:t>Pika Wi</w:t>
            </w:r>
            <w:r w:rsidR="003F5E00">
              <w:t>y</w:t>
            </w:r>
            <w:r w:rsidRPr="003A0A81">
              <w:t>a Health Service Aboriginal Incorporated, Port Augusta</w:t>
            </w:r>
          </w:p>
          <w:p w14:paraId="2A92219A" w14:textId="77777777" w:rsidR="002501BD" w:rsidRPr="003A0A81" w:rsidRDefault="002501BD" w:rsidP="008E64B1">
            <w:pPr>
              <w:pStyle w:val="TableCopy"/>
            </w:pPr>
            <w:r w:rsidRPr="003A0A81">
              <w:t>Port Lincoln Aboriginal Health Service Inc, Port Lincoln</w:t>
            </w:r>
          </w:p>
          <w:p w14:paraId="431FD1FC" w14:textId="77777777" w:rsidR="002501BD" w:rsidRPr="003A0A81" w:rsidRDefault="002501BD" w:rsidP="008E64B1">
            <w:pPr>
              <w:pStyle w:val="TableCopy"/>
            </w:pPr>
            <w:r w:rsidRPr="003A0A81">
              <w:t>Tullawon Health Service Incorporated, Yalata</w:t>
            </w:r>
          </w:p>
          <w:p w14:paraId="36C77D80" w14:textId="0D6AAD75" w:rsidR="002501BD" w:rsidRPr="003A0A81" w:rsidRDefault="002501BD" w:rsidP="008E64B1">
            <w:pPr>
              <w:pStyle w:val="TableCopy"/>
            </w:pPr>
            <w:r w:rsidRPr="003A0A81">
              <w:t>Umoona Tjutagku Health Service Aboriginal Corporation, Coober Pedy</w:t>
            </w:r>
          </w:p>
        </w:tc>
        <w:tc>
          <w:tcPr>
            <w:tcW w:w="2009" w:type="dxa"/>
          </w:tcPr>
          <w:p w14:paraId="1E265FE2" w14:textId="77777777" w:rsidR="002501BD" w:rsidRPr="003A0A81" w:rsidRDefault="002501BD" w:rsidP="008E64B1">
            <w:pPr>
              <w:pStyle w:val="TableCopy"/>
            </w:pPr>
          </w:p>
        </w:tc>
        <w:tc>
          <w:tcPr>
            <w:tcW w:w="1701" w:type="dxa"/>
          </w:tcPr>
          <w:p w14:paraId="41392669" w14:textId="77777777" w:rsidR="002501BD" w:rsidRPr="003A0A81" w:rsidRDefault="002501BD" w:rsidP="008E64B1">
            <w:pPr>
              <w:pStyle w:val="TableCopy"/>
            </w:pPr>
          </w:p>
        </w:tc>
        <w:tc>
          <w:tcPr>
            <w:tcW w:w="4024" w:type="dxa"/>
          </w:tcPr>
          <w:p w14:paraId="488364A8" w14:textId="33458B5F" w:rsidR="002501BD" w:rsidRPr="003A0A81" w:rsidRDefault="002501BD" w:rsidP="008E64B1">
            <w:pPr>
              <w:pStyle w:val="TableCopy"/>
            </w:pPr>
            <w:r w:rsidRPr="003A0A81">
              <w:t>Mid</w:t>
            </w:r>
            <w:r w:rsidR="00DE48A4">
              <w:t>-</w:t>
            </w:r>
            <w:r w:rsidRPr="003A0A81">
              <w:t>Eyre Medical Centre-(4 locations) Cleve, Kimba, Elliston, Cowell</w:t>
            </w:r>
          </w:p>
          <w:p w14:paraId="73B96B0D" w14:textId="77777777" w:rsidR="002501BD" w:rsidRPr="003A0A81" w:rsidRDefault="002501BD" w:rsidP="008E64B1">
            <w:pPr>
              <w:pStyle w:val="TableCopy"/>
            </w:pPr>
            <w:r w:rsidRPr="003A0A81">
              <w:t>Streaky Bay and District Medical Centre</w:t>
            </w:r>
          </w:p>
        </w:tc>
      </w:tr>
      <w:tr w:rsidR="002501BD" w:rsidRPr="003A0A81" w14:paraId="6B6BCE4B" w14:textId="77777777" w:rsidTr="008E64B1">
        <w:tc>
          <w:tcPr>
            <w:tcW w:w="1346" w:type="dxa"/>
          </w:tcPr>
          <w:p w14:paraId="3D3DE17F" w14:textId="77777777" w:rsidR="002501BD" w:rsidRPr="003A0A81" w:rsidRDefault="002501BD" w:rsidP="008E64B1">
            <w:pPr>
              <w:pStyle w:val="TableCopy"/>
            </w:pPr>
            <w:r w:rsidRPr="003A0A81">
              <w:t>Victoria</w:t>
            </w:r>
          </w:p>
        </w:tc>
        <w:tc>
          <w:tcPr>
            <w:tcW w:w="5717" w:type="dxa"/>
          </w:tcPr>
          <w:p w14:paraId="0A00A580" w14:textId="77777777" w:rsidR="002501BD" w:rsidRPr="003A0A81" w:rsidRDefault="002501BD" w:rsidP="008E64B1">
            <w:pPr>
              <w:pStyle w:val="TableCopy"/>
            </w:pPr>
            <w:r w:rsidRPr="003A0A81">
              <w:t>Ballarat &amp; District Aboriginal Cooperative, Ballarat</w:t>
            </w:r>
          </w:p>
          <w:p w14:paraId="55D9C33D" w14:textId="521E8865" w:rsidR="002501BD" w:rsidRPr="003A0A81" w:rsidRDefault="002501BD" w:rsidP="008E64B1">
            <w:pPr>
              <w:pStyle w:val="TableCopy"/>
            </w:pPr>
            <w:r w:rsidRPr="003A0A81">
              <w:t xml:space="preserve">Bendigo and District </w:t>
            </w:r>
            <w:r w:rsidR="004B2C82" w:rsidRPr="003A0A81">
              <w:t>Aboriginal</w:t>
            </w:r>
            <w:r w:rsidRPr="003A0A81">
              <w:t xml:space="preserve"> Cooperative, Bendigo</w:t>
            </w:r>
          </w:p>
          <w:p w14:paraId="1E23EDA7" w14:textId="1738BBD8" w:rsidR="002501BD" w:rsidRPr="003A0A81" w:rsidRDefault="002501BD" w:rsidP="008E64B1">
            <w:pPr>
              <w:pStyle w:val="TableCopy"/>
            </w:pPr>
            <w:r w:rsidRPr="003A0A81">
              <w:t>Budja</w:t>
            </w:r>
            <w:r w:rsidR="003F5E00">
              <w:t xml:space="preserve"> </w:t>
            </w:r>
            <w:r w:rsidRPr="003A0A81">
              <w:t>Budja Aboriginal Cooperative, Halls Gap</w:t>
            </w:r>
          </w:p>
          <w:p w14:paraId="6360E81F" w14:textId="77777777" w:rsidR="002501BD" w:rsidRPr="003A0A81" w:rsidRDefault="002501BD" w:rsidP="008E64B1">
            <w:pPr>
              <w:pStyle w:val="TableCopy"/>
            </w:pPr>
            <w:r w:rsidRPr="003A0A81">
              <w:t>Dandenong and District Aborigines Cooperative Ltd - Bunurong Health Services, Dandenong</w:t>
            </w:r>
          </w:p>
          <w:p w14:paraId="17B5DFE8" w14:textId="77777777" w:rsidR="002501BD" w:rsidRPr="003A0A81" w:rsidRDefault="002501BD" w:rsidP="008E64B1">
            <w:pPr>
              <w:pStyle w:val="TableCopy"/>
            </w:pPr>
            <w:r w:rsidRPr="003A0A81">
              <w:t>Dhauwurd-Wurrung Elderly &amp; Community Health</w:t>
            </w:r>
          </w:p>
          <w:p w14:paraId="375B7750" w14:textId="77777777" w:rsidR="002501BD" w:rsidRPr="003A0A81" w:rsidRDefault="002501BD" w:rsidP="008E64B1">
            <w:pPr>
              <w:pStyle w:val="TableCopy"/>
            </w:pPr>
            <w:r w:rsidRPr="003A0A81">
              <w:t>Service Inc, Portland</w:t>
            </w:r>
          </w:p>
          <w:p w14:paraId="4AFCFC19" w14:textId="6F6184B0" w:rsidR="002501BD" w:rsidRPr="003A0A81" w:rsidRDefault="002501BD" w:rsidP="008E64B1">
            <w:pPr>
              <w:pStyle w:val="TableCopy"/>
            </w:pPr>
            <w:r w:rsidRPr="003A0A81">
              <w:t>First Peoples Health and Wellbein</w:t>
            </w:r>
            <w:r w:rsidR="003F5E00">
              <w:t>g</w:t>
            </w:r>
            <w:r w:rsidRPr="003A0A81">
              <w:t>, Thomastown</w:t>
            </w:r>
          </w:p>
          <w:p w14:paraId="66602239" w14:textId="77777777" w:rsidR="002501BD" w:rsidRPr="003A0A81" w:rsidRDefault="002501BD" w:rsidP="008E64B1">
            <w:pPr>
              <w:pStyle w:val="TableCopy"/>
            </w:pPr>
            <w:r w:rsidRPr="003A0A81">
              <w:t>Gippsland &amp; East Gippsland Aboriginal Cooperative Ltd, Bairnsdale</w:t>
            </w:r>
          </w:p>
          <w:p w14:paraId="110DC811" w14:textId="77777777" w:rsidR="002501BD" w:rsidRPr="003A0A81" w:rsidRDefault="002501BD" w:rsidP="008E64B1">
            <w:pPr>
              <w:pStyle w:val="TableCopy"/>
            </w:pPr>
            <w:r w:rsidRPr="003A0A81">
              <w:t>Goolum Goolum Aboriginal Cooperative, Horsham</w:t>
            </w:r>
          </w:p>
          <w:p w14:paraId="58C0E21B" w14:textId="77777777" w:rsidR="002501BD" w:rsidRPr="003A0A81" w:rsidRDefault="002501BD" w:rsidP="008E64B1">
            <w:pPr>
              <w:pStyle w:val="TableCopy"/>
            </w:pPr>
            <w:r w:rsidRPr="003A0A81">
              <w:t>Gunditjmara Aboriginal Cooperative, Warrnambool</w:t>
            </w:r>
          </w:p>
          <w:p w14:paraId="7AAF0CE8" w14:textId="77777777" w:rsidR="002501BD" w:rsidRPr="003A0A81" w:rsidRDefault="002501BD" w:rsidP="008E64B1">
            <w:pPr>
              <w:pStyle w:val="TableCopy"/>
            </w:pPr>
            <w:r w:rsidRPr="003A0A81">
              <w:t>Kirrae Health Service Incorporated, Purnim</w:t>
            </w:r>
          </w:p>
          <w:p w14:paraId="288F1E16" w14:textId="77777777" w:rsidR="002501BD" w:rsidRPr="003A0A81" w:rsidRDefault="002501BD" w:rsidP="008E64B1">
            <w:pPr>
              <w:pStyle w:val="TableCopy"/>
            </w:pPr>
            <w:r w:rsidRPr="003A0A81">
              <w:t>Lake Tyers Health and Children's Services Association, Lakes Tyers</w:t>
            </w:r>
          </w:p>
          <w:p w14:paraId="15820AEF" w14:textId="77777777" w:rsidR="002501BD" w:rsidRPr="002501BD" w:rsidRDefault="002501BD" w:rsidP="008E64B1">
            <w:pPr>
              <w:pStyle w:val="TableCopy"/>
            </w:pPr>
            <w:r w:rsidRPr="003A0A81">
              <w:t xml:space="preserve">Mallee </w:t>
            </w:r>
            <w:r w:rsidRPr="002501BD">
              <w:t>District Aboriginal Services, Mildura</w:t>
            </w:r>
          </w:p>
          <w:p w14:paraId="38EA3D9A" w14:textId="77777777" w:rsidR="002501BD" w:rsidRPr="002501BD" w:rsidRDefault="002501BD" w:rsidP="008E64B1">
            <w:pPr>
              <w:pStyle w:val="TableCopy"/>
            </w:pPr>
            <w:r w:rsidRPr="002501BD">
              <w:t>Moogji Aboriginal Council East Gippsland Inc, Orbost</w:t>
            </w:r>
          </w:p>
          <w:p w14:paraId="0D4A216D" w14:textId="77777777" w:rsidR="002501BD" w:rsidRPr="002501BD" w:rsidRDefault="002501BD" w:rsidP="008E64B1">
            <w:pPr>
              <w:pStyle w:val="TableCopy"/>
            </w:pPr>
            <w:r w:rsidRPr="002501BD">
              <w:t>Murray Valley Aboriginal Cooperative, Robinvale</w:t>
            </w:r>
          </w:p>
          <w:p w14:paraId="6FF11C53" w14:textId="77777777" w:rsidR="002501BD" w:rsidRPr="002501BD" w:rsidRDefault="002501BD" w:rsidP="008E64B1">
            <w:pPr>
              <w:pStyle w:val="TableCopy"/>
            </w:pPr>
            <w:r w:rsidRPr="002501BD">
              <w:t>Njernda Aboriginal Corporation, Echuca</w:t>
            </w:r>
          </w:p>
          <w:p w14:paraId="0FD8922B" w14:textId="74414FE2" w:rsidR="002501BD" w:rsidRPr="002501BD" w:rsidRDefault="002501BD" w:rsidP="008E64B1">
            <w:pPr>
              <w:pStyle w:val="TableCopy"/>
            </w:pPr>
            <w:r w:rsidRPr="002501BD">
              <w:t>Ramah</w:t>
            </w:r>
            <w:r w:rsidR="003F5E00">
              <w:t>y</w:t>
            </w:r>
            <w:r w:rsidRPr="002501BD">
              <w:t>uck District Aboriginal Corporation, Sale</w:t>
            </w:r>
          </w:p>
          <w:p w14:paraId="026C3266" w14:textId="02B71C3D" w:rsidR="002501BD" w:rsidRPr="002501BD" w:rsidRDefault="002501BD" w:rsidP="008E64B1">
            <w:pPr>
              <w:pStyle w:val="TableCopy"/>
            </w:pPr>
            <w:r w:rsidRPr="002501BD">
              <w:t>Rumbalara Aboriginal Cooperative Ltd,</w:t>
            </w:r>
            <w:r w:rsidR="009A4F03">
              <w:t xml:space="preserve"> </w:t>
            </w:r>
            <w:r w:rsidRPr="002501BD">
              <w:t>Mooroopna</w:t>
            </w:r>
          </w:p>
          <w:p w14:paraId="0BD61E11" w14:textId="77777777" w:rsidR="002501BD" w:rsidRPr="002501BD" w:rsidRDefault="002501BD" w:rsidP="008E64B1">
            <w:pPr>
              <w:pStyle w:val="TableCopy"/>
            </w:pPr>
            <w:r w:rsidRPr="002501BD">
              <w:t>Victorian Aboriginal Health Service Co-operative, Fitzroy</w:t>
            </w:r>
          </w:p>
          <w:p w14:paraId="304C2FB2" w14:textId="4CAF62D3" w:rsidR="002501BD" w:rsidRPr="003A0A81" w:rsidRDefault="002501BD" w:rsidP="008E64B1">
            <w:pPr>
              <w:pStyle w:val="TableCopy"/>
            </w:pPr>
            <w:r w:rsidRPr="002501BD">
              <w:t>Wathaurong Aboriginal Cooperative,</w:t>
            </w:r>
            <w:r w:rsidR="004B2C82">
              <w:t xml:space="preserve"> </w:t>
            </w:r>
            <w:r w:rsidRPr="002501BD">
              <w:t>North Geelong</w:t>
            </w:r>
          </w:p>
          <w:p w14:paraId="75CE8F00" w14:textId="408422F8" w:rsidR="002501BD" w:rsidRPr="003A0A81" w:rsidRDefault="002501BD" w:rsidP="008E64B1">
            <w:pPr>
              <w:pStyle w:val="TableCopy"/>
            </w:pPr>
            <w:r w:rsidRPr="003A0A81">
              <w:t>Winda</w:t>
            </w:r>
            <w:r w:rsidR="003F5E00">
              <w:t>-</w:t>
            </w:r>
            <w:r w:rsidRPr="003A0A81">
              <w:t>Mara Aboriginal Corporation, Heywood</w:t>
            </w:r>
          </w:p>
        </w:tc>
        <w:tc>
          <w:tcPr>
            <w:tcW w:w="2009" w:type="dxa"/>
          </w:tcPr>
          <w:p w14:paraId="1050F1AB" w14:textId="77777777" w:rsidR="002501BD" w:rsidRPr="003A0A81" w:rsidRDefault="002501BD" w:rsidP="008E64B1">
            <w:pPr>
              <w:pStyle w:val="TableCopy"/>
            </w:pPr>
          </w:p>
        </w:tc>
        <w:tc>
          <w:tcPr>
            <w:tcW w:w="1701" w:type="dxa"/>
          </w:tcPr>
          <w:p w14:paraId="0C53F654" w14:textId="77777777" w:rsidR="002501BD" w:rsidRPr="002501BD" w:rsidRDefault="002501BD" w:rsidP="008E64B1">
            <w:pPr>
              <w:pStyle w:val="TableCopy"/>
            </w:pPr>
          </w:p>
        </w:tc>
        <w:tc>
          <w:tcPr>
            <w:tcW w:w="4024" w:type="dxa"/>
          </w:tcPr>
          <w:p w14:paraId="0C1DB9C1" w14:textId="77777777" w:rsidR="002501BD" w:rsidRPr="002501BD" w:rsidRDefault="002501BD" w:rsidP="008E64B1">
            <w:pPr>
              <w:pStyle w:val="TableCopy"/>
            </w:pPr>
            <w:r w:rsidRPr="002501BD">
              <w:t>Robinvale District Medical Centre</w:t>
            </w:r>
          </w:p>
        </w:tc>
      </w:tr>
      <w:tr w:rsidR="002501BD" w:rsidRPr="003A0A81" w14:paraId="2167F8AF" w14:textId="77777777" w:rsidTr="008E64B1">
        <w:tc>
          <w:tcPr>
            <w:tcW w:w="1346" w:type="dxa"/>
          </w:tcPr>
          <w:p w14:paraId="21D60165" w14:textId="77777777" w:rsidR="002501BD" w:rsidRPr="003A0A81" w:rsidRDefault="002501BD" w:rsidP="008E64B1">
            <w:pPr>
              <w:pStyle w:val="TableCopy"/>
            </w:pPr>
            <w:r w:rsidRPr="003A0A81">
              <w:t>Tasmania</w:t>
            </w:r>
          </w:p>
        </w:tc>
        <w:tc>
          <w:tcPr>
            <w:tcW w:w="5717" w:type="dxa"/>
          </w:tcPr>
          <w:p w14:paraId="2A0033C5" w14:textId="77777777" w:rsidR="002501BD" w:rsidRPr="003A0A81" w:rsidRDefault="002501BD" w:rsidP="008E64B1">
            <w:pPr>
              <w:pStyle w:val="TableCopy"/>
            </w:pPr>
            <w:r w:rsidRPr="003A0A81">
              <w:t>Flinders Is Aboriginal Assoc, Barron</w:t>
            </w:r>
          </w:p>
          <w:p w14:paraId="64CEC942" w14:textId="77777777" w:rsidR="002501BD" w:rsidRPr="003A0A81" w:rsidRDefault="002501BD" w:rsidP="008E64B1">
            <w:pPr>
              <w:pStyle w:val="TableCopy"/>
            </w:pPr>
            <w:r w:rsidRPr="003A0A81">
              <w:lastRenderedPageBreak/>
              <w:t>South East Tasmanian Aboriginal Corporation, Cygnet</w:t>
            </w:r>
          </w:p>
          <w:p w14:paraId="6C0BC7C2" w14:textId="77777777" w:rsidR="002501BD" w:rsidRPr="003A0A81" w:rsidRDefault="002501BD" w:rsidP="008E64B1">
            <w:pPr>
              <w:pStyle w:val="TableCopy"/>
            </w:pPr>
            <w:r w:rsidRPr="003A0A81">
              <w:t>Tasmanian Aboriginal Centre Inc, Hobart</w:t>
            </w:r>
          </w:p>
        </w:tc>
        <w:tc>
          <w:tcPr>
            <w:tcW w:w="2009" w:type="dxa"/>
          </w:tcPr>
          <w:p w14:paraId="1AFB5511" w14:textId="77777777" w:rsidR="002501BD" w:rsidRPr="003A0A81" w:rsidRDefault="002501BD" w:rsidP="008E64B1">
            <w:pPr>
              <w:pStyle w:val="TableCopy"/>
            </w:pPr>
          </w:p>
        </w:tc>
        <w:tc>
          <w:tcPr>
            <w:tcW w:w="1701" w:type="dxa"/>
          </w:tcPr>
          <w:p w14:paraId="36FB1CC2" w14:textId="77777777" w:rsidR="002501BD" w:rsidRPr="003A0A81" w:rsidRDefault="002501BD" w:rsidP="008E64B1">
            <w:pPr>
              <w:pStyle w:val="TableCopy"/>
            </w:pPr>
          </w:p>
        </w:tc>
        <w:tc>
          <w:tcPr>
            <w:tcW w:w="4024" w:type="dxa"/>
          </w:tcPr>
          <w:p w14:paraId="5A8AFF10" w14:textId="77777777" w:rsidR="002501BD" w:rsidRPr="003A0A81" w:rsidRDefault="002501BD" w:rsidP="008E64B1">
            <w:pPr>
              <w:pStyle w:val="TableCopy"/>
            </w:pPr>
            <w:r w:rsidRPr="003A0A81">
              <w:t>Smithton – Ochre Med Centre</w:t>
            </w:r>
          </w:p>
        </w:tc>
      </w:tr>
      <w:tr w:rsidR="002501BD" w:rsidRPr="003A0A81" w14:paraId="05B787F8" w14:textId="77777777" w:rsidTr="008E64B1">
        <w:tc>
          <w:tcPr>
            <w:tcW w:w="1346" w:type="dxa"/>
          </w:tcPr>
          <w:p w14:paraId="2CBC0C52" w14:textId="77777777" w:rsidR="002501BD" w:rsidRPr="003A0A81" w:rsidRDefault="002501BD" w:rsidP="008E64B1">
            <w:pPr>
              <w:pStyle w:val="TableCopy"/>
            </w:pPr>
            <w:r w:rsidRPr="003A0A81">
              <w:t>ACT</w:t>
            </w:r>
          </w:p>
        </w:tc>
        <w:tc>
          <w:tcPr>
            <w:tcW w:w="5717" w:type="dxa"/>
          </w:tcPr>
          <w:p w14:paraId="453168DA" w14:textId="653BECEB" w:rsidR="002501BD" w:rsidRPr="003A0A81" w:rsidRDefault="002501BD" w:rsidP="008E64B1">
            <w:pPr>
              <w:pStyle w:val="TableCopy"/>
            </w:pPr>
            <w:r w:rsidRPr="003A0A81">
              <w:t>Winnunga Nimmit</w:t>
            </w:r>
            <w:r w:rsidR="003F5E00">
              <w:t>yj</w:t>
            </w:r>
            <w:r w:rsidRPr="003A0A81">
              <w:t>ah AHS, Narrabundah</w:t>
            </w:r>
          </w:p>
        </w:tc>
        <w:tc>
          <w:tcPr>
            <w:tcW w:w="2009" w:type="dxa"/>
          </w:tcPr>
          <w:p w14:paraId="13903C7A" w14:textId="77777777" w:rsidR="002501BD" w:rsidRPr="003A0A81" w:rsidRDefault="002501BD" w:rsidP="008E64B1">
            <w:pPr>
              <w:pStyle w:val="TableCopy"/>
            </w:pPr>
          </w:p>
        </w:tc>
        <w:tc>
          <w:tcPr>
            <w:tcW w:w="1701" w:type="dxa"/>
          </w:tcPr>
          <w:p w14:paraId="1F6CE086" w14:textId="77777777" w:rsidR="002501BD" w:rsidRPr="003A0A81" w:rsidRDefault="002501BD" w:rsidP="008E64B1">
            <w:pPr>
              <w:pStyle w:val="TableCopy"/>
            </w:pPr>
          </w:p>
        </w:tc>
        <w:tc>
          <w:tcPr>
            <w:tcW w:w="4024" w:type="dxa"/>
          </w:tcPr>
          <w:p w14:paraId="2EEE441B" w14:textId="77777777" w:rsidR="002501BD" w:rsidRPr="003A0A81" w:rsidRDefault="002501BD" w:rsidP="008E64B1">
            <w:pPr>
              <w:pStyle w:val="TableCopy"/>
            </w:pPr>
          </w:p>
        </w:tc>
      </w:tr>
    </w:tbl>
    <w:p w14:paraId="07514291" w14:textId="2A3CA08C" w:rsidR="005817F5" w:rsidRDefault="005817F5" w:rsidP="005817F5"/>
    <w:p w14:paraId="01E330F0" w14:textId="77777777" w:rsidR="0008569D" w:rsidRDefault="0008569D" w:rsidP="005817F5">
      <w:pPr>
        <w:sectPr w:rsidR="0008569D" w:rsidSect="002501BD">
          <w:pgSz w:w="16838" w:h="11906" w:orient="landscape" w:code="9"/>
          <w:pgMar w:top="737" w:right="1304" w:bottom="1134" w:left="737" w:header="567" w:footer="284" w:gutter="0"/>
          <w:cols w:space="708"/>
          <w:docGrid w:linePitch="360"/>
        </w:sectPr>
      </w:pPr>
    </w:p>
    <w:p w14:paraId="72E7F00D" w14:textId="56407D36" w:rsidR="0008569D" w:rsidRDefault="00FD7726" w:rsidP="0008569D">
      <w:pPr>
        <w:pStyle w:val="AppendixHeading"/>
      </w:pPr>
      <w:bookmarkStart w:id="165" w:name="_Toc85203318"/>
      <w:r>
        <w:lastRenderedPageBreak/>
        <w:t>Australian Government programs targeting development of the rural workforce</w:t>
      </w:r>
      <w:bookmarkEnd w:id="165"/>
    </w:p>
    <w:p w14:paraId="66DD290B" w14:textId="6A86F47E" w:rsidR="00FD7726" w:rsidRDefault="0008569D" w:rsidP="0008569D">
      <w:r w:rsidRPr="0008569D">
        <w:t>On the following pages</w:t>
      </w:r>
      <w:r w:rsidR="00A928C2">
        <w:t xml:space="preserve"> (see</w:t>
      </w:r>
      <w:r w:rsidRPr="0008569D">
        <w:t xml:space="preserve"> </w:t>
      </w:r>
      <w:r w:rsidR="0097585B">
        <w:fldChar w:fldCharType="begin"/>
      </w:r>
      <w:r w:rsidR="0097585B">
        <w:instrText xml:space="preserve"> REF _Ref76135378 \h </w:instrText>
      </w:r>
      <w:r w:rsidR="0097585B">
        <w:fldChar w:fldCharType="separate"/>
      </w:r>
      <w:r w:rsidR="00C50B67">
        <w:t xml:space="preserve">Table </w:t>
      </w:r>
      <w:r w:rsidR="00C50B67">
        <w:rPr>
          <w:noProof/>
        </w:rPr>
        <w:t>6</w:t>
      </w:r>
      <w:r w:rsidR="00C50B67">
        <w:t>.</w:t>
      </w:r>
      <w:r w:rsidR="00C50B67">
        <w:rPr>
          <w:noProof/>
        </w:rPr>
        <w:t>1</w:t>
      </w:r>
      <w:r w:rsidR="0097585B">
        <w:fldChar w:fldCharType="end"/>
      </w:r>
      <w:r w:rsidR="0097585B">
        <w:t xml:space="preserve"> and </w:t>
      </w:r>
      <w:r w:rsidR="0097585B">
        <w:fldChar w:fldCharType="begin"/>
      </w:r>
      <w:r w:rsidR="0097585B">
        <w:instrText xml:space="preserve"> REF _Ref76135431 \h </w:instrText>
      </w:r>
      <w:r w:rsidR="0097585B">
        <w:fldChar w:fldCharType="separate"/>
      </w:r>
      <w:r w:rsidR="00C50B67">
        <w:t xml:space="preserve">Table </w:t>
      </w:r>
      <w:r w:rsidR="00C50B67">
        <w:rPr>
          <w:noProof/>
        </w:rPr>
        <w:t>6</w:t>
      </w:r>
      <w:r w:rsidR="00C50B67">
        <w:t>.</w:t>
      </w:r>
      <w:r w:rsidR="00C50B67">
        <w:rPr>
          <w:noProof/>
        </w:rPr>
        <w:t>2</w:t>
      </w:r>
      <w:r w:rsidR="0097585B">
        <w:fldChar w:fldCharType="end"/>
      </w:r>
      <w:r w:rsidR="00A928C2">
        <w:t>)</w:t>
      </w:r>
      <w:r w:rsidRPr="0008569D">
        <w:t xml:space="preserve"> </w:t>
      </w:r>
      <w:r w:rsidR="00A928C2">
        <w:t xml:space="preserve">we </w:t>
      </w:r>
      <w:r w:rsidRPr="0008569D">
        <w:t>outline current Australian Government policies and programs to increase the</w:t>
      </w:r>
      <w:r w:rsidR="00A928C2">
        <w:t xml:space="preserve"> size of the </w:t>
      </w:r>
      <w:r w:rsidRPr="0008569D">
        <w:t xml:space="preserve"> rural health workforce</w:t>
      </w:r>
      <w:r w:rsidR="00FD7726">
        <w:t>.</w:t>
      </w:r>
    </w:p>
    <w:p w14:paraId="4A15ED1B" w14:textId="32249AFE" w:rsidR="0008569D" w:rsidRDefault="00FD7726" w:rsidP="005817F5">
      <w:pPr>
        <w:sectPr w:rsidR="0008569D" w:rsidSect="0008569D">
          <w:pgSz w:w="16838" w:h="11906" w:orient="landscape" w:code="9"/>
          <w:pgMar w:top="737" w:right="1304" w:bottom="1134" w:left="737" w:header="567" w:footer="284" w:gutter="0"/>
          <w:cols w:num="2" w:space="708"/>
          <w:docGrid w:linePitch="360"/>
        </w:sectPr>
      </w:pPr>
      <w:r>
        <w:t>N</w:t>
      </w:r>
      <w:r w:rsidR="0008569D" w:rsidRPr="0008569D">
        <w:t>ote</w:t>
      </w:r>
      <w:r>
        <w:t xml:space="preserve"> that</w:t>
      </w:r>
      <w:r w:rsidR="0008569D" w:rsidRPr="0008569D">
        <w:t xml:space="preserve"> many of the programs </w:t>
      </w:r>
      <w:r>
        <w:t xml:space="preserve">described in the tables </w:t>
      </w:r>
      <w:r w:rsidR="0008569D" w:rsidRPr="0008569D">
        <w:t xml:space="preserve">have had previous iterations or may be an amalgamation of earlier initiatives. </w:t>
      </w:r>
    </w:p>
    <w:p w14:paraId="52CC838D" w14:textId="1AF96B32" w:rsidR="0097585B" w:rsidRDefault="0097585B" w:rsidP="0097585B">
      <w:pPr>
        <w:pStyle w:val="Caption"/>
      </w:pPr>
      <w:bookmarkStart w:id="166" w:name="_Ref76135378"/>
      <w:r>
        <w:lastRenderedPageBreak/>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1</w:t>
      </w:r>
      <w:r w:rsidR="00A67BE9">
        <w:rPr>
          <w:noProof/>
        </w:rPr>
        <w:fldChar w:fldCharType="end"/>
      </w:r>
      <w:bookmarkEnd w:id="166"/>
      <w:r>
        <w:t xml:space="preserve">: </w:t>
      </w:r>
      <w:r w:rsidRPr="0097585B">
        <w:rPr>
          <w:rStyle w:val="Caption-notboldChar"/>
        </w:rPr>
        <w:t>Australian Government rural health workforce training and professional development initiatives</w:t>
      </w:r>
    </w:p>
    <w:tbl>
      <w:tblPr>
        <w:tblStyle w:val="HMATableC-StrategicDirections2"/>
        <w:tblW w:w="15026" w:type="dxa"/>
        <w:tblLook w:val="04A0" w:firstRow="1" w:lastRow="0" w:firstColumn="1" w:lastColumn="0" w:noHBand="0" w:noVBand="1"/>
      </w:tblPr>
      <w:tblGrid>
        <w:gridCol w:w="952"/>
        <w:gridCol w:w="3248"/>
        <w:gridCol w:w="4705"/>
        <w:gridCol w:w="6121"/>
      </w:tblGrid>
      <w:tr w:rsidR="0008569D" w:rsidRPr="0008569D" w14:paraId="4D8B8060" w14:textId="77777777" w:rsidTr="00473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dxa"/>
          </w:tcPr>
          <w:p w14:paraId="40E4031D" w14:textId="77777777" w:rsidR="0008569D" w:rsidRPr="005115B5" w:rsidRDefault="0008569D" w:rsidP="0008569D">
            <w:pPr>
              <w:contextualSpacing/>
              <w:rPr>
                <w:rFonts w:asciiTheme="minorHAnsi" w:hAnsiTheme="minorHAnsi"/>
                <w:sz w:val="22"/>
              </w:rPr>
            </w:pPr>
            <w:r w:rsidRPr="005115B5">
              <w:rPr>
                <w:rFonts w:asciiTheme="minorHAnsi" w:hAnsiTheme="minorHAnsi"/>
                <w:sz w:val="22"/>
              </w:rPr>
              <w:t>Year</w:t>
            </w:r>
          </w:p>
        </w:tc>
        <w:tc>
          <w:tcPr>
            <w:tcW w:w="3260" w:type="dxa"/>
          </w:tcPr>
          <w:p w14:paraId="06585178" w14:textId="77777777" w:rsidR="0008569D" w:rsidRPr="0008569D" w:rsidRDefault="0008569D" w:rsidP="0008569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Policy</w:t>
            </w:r>
          </w:p>
        </w:tc>
        <w:tc>
          <w:tcPr>
            <w:tcW w:w="4732" w:type="dxa"/>
            <w:tcBorders>
              <w:bottom w:val="single" w:sz="4" w:space="0" w:color="auto"/>
            </w:tcBorders>
          </w:tcPr>
          <w:p w14:paraId="053A2B95" w14:textId="77777777" w:rsidR="0008569D" w:rsidRPr="0008569D" w:rsidRDefault="0008569D" w:rsidP="0008569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Focus</w:t>
            </w:r>
          </w:p>
        </w:tc>
        <w:tc>
          <w:tcPr>
            <w:tcW w:w="6158" w:type="dxa"/>
            <w:tcBorders>
              <w:bottom w:val="single" w:sz="4" w:space="0" w:color="auto"/>
            </w:tcBorders>
          </w:tcPr>
          <w:p w14:paraId="23A6B571" w14:textId="77777777" w:rsidR="0008569D" w:rsidRPr="0008569D" w:rsidRDefault="0008569D" w:rsidP="0008569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Strategy and Activities</w:t>
            </w:r>
          </w:p>
        </w:tc>
      </w:tr>
      <w:tr w:rsidR="0008569D" w:rsidRPr="0008569D" w14:paraId="2F97AFBF"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7BC8B1EC" w14:textId="77777777" w:rsidR="0008569D" w:rsidRPr="005115B5" w:rsidRDefault="0008569D" w:rsidP="0008569D">
            <w:pPr>
              <w:contextualSpacing/>
              <w:rPr>
                <w:rFonts w:asciiTheme="minorHAnsi" w:eastAsia="Times New Roman" w:hAnsiTheme="minorHAnsi" w:cstheme="minorHAnsi"/>
                <w:b/>
                <w:bCs/>
                <w:color w:val="000000"/>
                <w:sz w:val="22"/>
                <w:lang w:eastAsia="en-AU"/>
              </w:rPr>
            </w:pPr>
            <w:r w:rsidRPr="005115B5">
              <w:rPr>
                <w:rFonts w:asciiTheme="minorHAnsi" w:hAnsiTheme="minorHAnsi"/>
                <w:b/>
                <w:bCs/>
                <w:sz w:val="22"/>
              </w:rPr>
              <w:t>1997 and ongoing</w:t>
            </w:r>
          </w:p>
        </w:tc>
        <w:tc>
          <w:tcPr>
            <w:tcW w:w="3260" w:type="dxa"/>
            <w:tcBorders>
              <w:top w:val="single" w:sz="4" w:space="0" w:color="auto"/>
              <w:left w:val="single" w:sz="4" w:space="0" w:color="auto"/>
              <w:bottom w:val="single" w:sz="4" w:space="0" w:color="auto"/>
              <w:right w:val="single" w:sz="4" w:space="0" w:color="auto"/>
            </w:tcBorders>
          </w:tcPr>
          <w:p w14:paraId="5D5E9CC6" w14:textId="7E18DAA8"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r w:rsidRPr="0008569D">
              <w:rPr>
                <w:rFonts w:asciiTheme="minorHAnsi" w:hAnsiTheme="minorHAnsi"/>
                <w:b/>
                <w:bCs/>
                <w:sz w:val="22"/>
              </w:rPr>
              <w:t>Rural Health Multidisciplinary Training Program</w:t>
            </w:r>
            <w:r w:rsidRPr="0008569D">
              <w:rPr>
                <w:rFonts w:asciiTheme="minorHAnsi" w:hAnsiTheme="minorHAnsi"/>
                <w:sz w:val="22"/>
              </w:rPr>
              <w:t xml:space="preserve"> – previously the University Department of Rural Health </w:t>
            </w:r>
            <w:r w:rsidR="005115B5">
              <w:rPr>
                <w:rFonts w:asciiTheme="minorHAnsi" w:hAnsiTheme="minorHAnsi"/>
                <w:sz w:val="22"/>
              </w:rPr>
              <w:t>P</w:t>
            </w:r>
            <w:r w:rsidRPr="0008569D">
              <w:rPr>
                <w:rFonts w:asciiTheme="minorHAnsi" w:hAnsiTheme="minorHAnsi"/>
                <w:sz w:val="22"/>
              </w:rPr>
              <w:t xml:space="preserve">rogram and the Rural Clinical Training Support </w:t>
            </w:r>
            <w:r w:rsidR="005115B5">
              <w:rPr>
                <w:rFonts w:asciiTheme="minorHAnsi" w:hAnsiTheme="minorHAnsi"/>
                <w:sz w:val="22"/>
              </w:rPr>
              <w:t>P</w:t>
            </w:r>
            <w:r w:rsidRPr="0008569D">
              <w:rPr>
                <w:rFonts w:asciiTheme="minorHAnsi" w:hAnsiTheme="minorHAnsi"/>
                <w:sz w:val="22"/>
              </w:rPr>
              <w:t>rogram</w:t>
            </w:r>
          </w:p>
        </w:tc>
        <w:tc>
          <w:tcPr>
            <w:tcW w:w="4732" w:type="dxa"/>
            <w:tcBorders>
              <w:right w:val="single" w:sz="4" w:space="0" w:color="auto"/>
            </w:tcBorders>
          </w:tcPr>
          <w:p w14:paraId="11B14374"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To provide infrastructure and academic network in regional, rural and remote areas to improve the distribution of the health workforce through the delivery of rural training experience. </w:t>
            </w:r>
          </w:p>
        </w:tc>
        <w:tc>
          <w:tcPr>
            <w:tcW w:w="6158" w:type="dxa"/>
            <w:tcBorders>
              <w:left w:val="single" w:sz="4" w:space="0" w:color="auto"/>
              <w:right w:val="single" w:sz="4" w:space="0" w:color="auto"/>
            </w:tcBorders>
          </w:tcPr>
          <w:p w14:paraId="587585B7" w14:textId="680D17C1"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16 UDRHs and 19 RCSs establish and maintain networks of rural clinical supervisors and placements to expose undergraduate medical and health professional students to rurally based clinical training and practice to promote interest in, and uptake of, a rural health career.</w:t>
            </w:r>
            <w:r w:rsidR="009A4F03">
              <w:rPr>
                <w:rFonts w:asciiTheme="minorHAnsi" w:hAnsiTheme="minorHAnsi"/>
                <w:sz w:val="22"/>
              </w:rPr>
              <w:t xml:space="preserve"> </w:t>
            </w:r>
          </w:p>
        </w:tc>
      </w:tr>
      <w:tr w:rsidR="0008569D" w:rsidRPr="0008569D" w14:paraId="1DC8777F"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693E0C4C" w14:textId="77777777" w:rsidR="0008569D" w:rsidRPr="005115B5" w:rsidRDefault="0008569D" w:rsidP="0008569D">
            <w:pPr>
              <w:contextualSpacing/>
              <w:rPr>
                <w:rFonts w:asciiTheme="minorHAnsi" w:hAnsiTheme="minorHAnsi"/>
                <w:b/>
                <w:bCs/>
                <w:sz w:val="22"/>
              </w:rPr>
            </w:pPr>
            <w:r w:rsidRPr="005115B5">
              <w:rPr>
                <w:rFonts w:asciiTheme="minorHAnsi" w:eastAsia="Times New Roman" w:hAnsiTheme="minorHAnsi" w:cstheme="minorHAnsi"/>
                <w:b/>
                <w:bCs/>
                <w:color w:val="000000"/>
                <w:sz w:val="22"/>
                <w:lang w:eastAsia="en-AU"/>
              </w:rPr>
              <w:t>2016</w:t>
            </w:r>
          </w:p>
        </w:tc>
        <w:tc>
          <w:tcPr>
            <w:tcW w:w="3260" w:type="dxa"/>
            <w:tcBorders>
              <w:top w:val="single" w:sz="4" w:space="0" w:color="auto"/>
              <w:left w:val="single" w:sz="4" w:space="0" w:color="auto"/>
              <w:bottom w:val="single" w:sz="4" w:space="0" w:color="auto"/>
              <w:right w:val="single" w:sz="4" w:space="0" w:color="auto"/>
            </w:tcBorders>
          </w:tcPr>
          <w:p w14:paraId="0C6ABE9E"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eastAsia="Times New Roman" w:hAnsiTheme="minorHAnsi" w:cstheme="minorHAnsi"/>
                <w:b/>
                <w:bCs/>
                <w:color w:val="000000"/>
                <w:sz w:val="22"/>
                <w:lang w:eastAsia="en-AU"/>
              </w:rPr>
              <w:t>Rural Locum Assistance Program</w:t>
            </w:r>
            <w:r w:rsidRPr="0008569D">
              <w:rPr>
                <w:rFonts w:asciiTheme="minorHAnsi" w:eastAsia="Times New Roman" w:hAnsiTheme="minorHAnsi" w:cstheme="minorHAnsi"/>
                <w:color w:val="000000"/>
                <w:sz w:val="22"/>
                <w:lang w:eastAsia="en-AU"/>
              </w:rPr>
              <w:t xml:space="preserve"> funded under the Health Workforce Program – administered by Aspen Medical since April 2016 with an annual appropriation of around $11.5 million (currently to June 2022). </w:t>
            </w:r>
          </w:p>
        </w:tc>
        <w:tc>
          <w:tcPr>
            <w:tcW w:w="4732" w:type="dxa"/>
            <w:tcBorders>
              <w:right w:val="single" w:sz="4" w:space="0" w:color="auto"/>
            </w:tcBorders>
          </w:tcPr>
          <w:p w14:paraId="761F624D"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To enhance ability of specialists (obstetrics and anaesthetics), procedural GPs, nurses and allied health professionals in rural Australia to undertake leave for recreation or to undertake continuing professional development.</w:t>
            </w:r>
          </w:p>
        </w:tc>
        <w:tc>
          <w:tcPr>
            <w:tcW w:w="6158" w:type="dxa"/>
            <w:tcBorders>
              <w:left w:val="single" w:sz="4" w:space="0" w:color="auto"/>
              <w:right w:val="single" w:sz="4" w:space="0" w:color="auto"/>
            </w:tcBorders>
          </w:tcPr>
          <w:p w14:paraId="2D0B18F0"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Supports eligible rural health professionals to access CPD or take leave, metro-based GPs to upskill in emergency medicine to better prepare for rural locum work, and urban based health professionals to experience rural practice by undertaking a locum.</w:t>
            </w:r>
          </w:p>
        </w:tc>
      </w:tr>
      <w:tr w:rsidR="0008569D" w:rsidRPr="0008569D" w14:paraId="476975C9" w14:textId="77777777" w:rsidTr="00473E61">
        <w:trPr>
          <w:trHeight w:val="1462"/>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2E9D017A" w14:textId="77777777" w:rsidR="0008569D" w:rsidRPr="005115B5" w:rsidRDefault="0008569D" w:rsidP="0008569D">
            <w:pPr>
              <w:contextualSpacing/>
              <w:rPr>
                <w:rFonts w:asciiTheme="minorHAnsi" w:hAnsiTheme="minorHAnsi"/>
                <w:b/>
                <w:bCs/>
                <w:sz w:val="22"/>
              </w:rPr>
            </w:pPr>
            <w:r w:rsidRPr="005115B5">
              <w:rPr>
                <w:rFonts w:asciiTheme="minorHAnsi" w:eastAsia="Times New Roman" w:hAnsiTheme="minorHAnsi" w:cstheme="minorHAnsi"/>
                <w:b/>
                <w:bCs/>
                <w:color w:val="000000"/>
                <w:sz w:val="22"/>
                <w:lang w:eastAsia="en-AU"/>
              </w:rPr>
              <w:t>2017</w:t>
            </w:r>
          </w:p>
        </w:tc>
        <w:tc>
          <w:tcPr>
            <w:tcW w:w="3260" w:type="dxa"/>
            <w:tcBorders>
              <w:top w:val="single" w:sz="4" w:space="0" w:color="auto"/>
              <w:left w:val="single" w:sz="4" w:space="0" w:color="auto"/>
              <w:bottom w:val="single" w:sz="4" w:space="0" w:color="auto"/>
              <w:right w:val="single" w:sz="4" w:space="0" w:color="auto"/>
            </w:tcBorders>
          </w:tcPr>
          <w:p w14:paraId="584E83F4"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eastAsia="Times New Roman" w:hAnsiTheme="minorHAnsi" w:cstheme="minorHAnsi"/>
                <w:b/>
                <w:bCs/>
                <w:color w:val="000000"/>
                <w:sz w:val="22"/>
                <w:lang w:eastAsia="en-AU"/>
              </w:rPr>
              <w:t>Health Workforce Scholarship Program</w:t>
            </w:r>
          </w:p>
        </w:tc>
        <w:tc>
          <w:tcPr>
            <w:tcW w:w="4732" w:type="dxa"/>
            <w:tcBorders>
              <w:right w:val="single" w:sz="4" w:space="0" w:color="auto"/>
            </w:tcBorders>
          </w:tcPr>
          <w:p w14:paraId="5729114A"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To increase access to health services in rural and remote areas where there is skill shortage.</w:t>
            </w:r>
          </w:p>
          <w:p w14:paraId="5D892211" w14:textId="10D74B36"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This program replaced a number of scholarship programs including Nursing and Allied Health Scholarship Support Scheme and Rural Australian Medical Undergraduate Scheme</w:t>
            </w:r>
            <w:r w:rsidR="005115B5">
              <w:rPr>
                <w:rFonts w:asciiTheme="minorHAnsi" w:hAnsiTheme="minorHAnsi"/>
                <w:sz w:val="22"/>
              </w:rPr>
              <w:t>.</w:t>
            </w:r>
          </w:p>
        </w:tc>
        <w:tc>
          <w:tcPr>
            <w:tcW w:w="6158" w:type="dxa"/>
            <w:tcBorders>
              <w:left w:val="single" w:sz="4" w:space="0" w:color="auto"/>
              <w:right w:val="single" w:sz="4" w:space="0" w:color="auto"/>
            </w:tcBorders>
          </w:tcPr>
          <w:p w14:paraId="70ECCC60" w14:textId="320545A9"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Provides bursaries and scholarships to existing health professionals committed to rural service. RWA administer program ($33</w:t>
            </w:r>
            <w:r w:rsidR="004B2C82">
              <w:rPr>
                <w:rFonts w:asciiTheme="minorHAnsi" w:hAnsiTheme="minorHAnsi"/>
                <w:sz w:val="22"/>
              </w:rPr>
              <w:t xml:space="preserve"> </w:t>
            </w:r>
            <w:r w:rsidRPr="0008569D">
              <w:rPr>
                <w:rFonts w:asciiTheme="minorHAnsi" w:hAnsiTheme="minorHAnsi"/>
                <w:sz w:val="22"/>
              </w:rPr>
              <w:t xml:space="preserve">m over </w:t>
            </w:r>
            <w:r w:rsidR="004B2C82">
              <w:rPr>
                <w:rFonts w:asciiTheme="minorHAnsi" w:hAnsiTheme="minorHAnsi"/>
                <w:sz w:val="22"/>
              </w:rPr>
              <w:t>three</w:t>
            </w:r>
            <w:r w:rsidRPr="0008569D">
              <w:rPr>
                <w:rFonts w:asciiTheme="minorHAnsi" w:hAnsiTheme="minorHAnsi"/>
                <w:sz w:val="22"/>
              </w:rPr>
              <w:t xml:space="preserve"> years to June 2020) to deliver HWSP in MMM 3–7. Informed by the RWA’s Health Workforce Needs Assessment.</w:t>
            </w:r>
          </w:p>
        </w:tc>
      </w:tr>
      <w:tr w:rsidR="0008569D" w:rsidRPr="0008569D" w14:paraId="5C09B97D"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33D8840D" w14:textId="77777777" w:rsidR="0008569D" w:rsidRPr="005115B5" w:rsidRDefault="0008569D" w:rsidP="0008569D">
            <w:pPr>
              <w:contextualSpacing/>
              <w:rPr>
                <w:rFonts w:asciiTheme="minorHAnsi" w:hAnsiTheme="minorHAnsi"/>
                <w:b/>
                <w:bCs/>
                <w:sz w:val="22"/>
              </w:rPr>
            </w:pPr>
            <w:r w:rsidRPr="005115B5">
              <w:rPr>
                <w:rFonts w:asciiTheme="minorHAnsi" w:hAnsiTheme="minorHAnsi" w:cstheme="minorHAnsi"/>
                <w:b/>
                <w:bCs/>
                <w:sz w:val="22"/>
              </w:rPr>
              <w:t>2017</w:t>
            </w:r>
          </w:p>
        </w:tc>
        <w:tc>
          <w:tcPr>
            <w:tcW w:w="3260" w:type="dxa"/>
            <w:tcBorders>
              <w:top w:val="single" w:sz="4" w:space="0" w:color="auto"/>
              <w:left w:val="single" w:sz="4" w:space="0" w:color="auto"/>
              <w:bottom w:val="single" w:sz="4" w:space="0" w:color="auto"/>
              <w:right w:val="single" w:sz="4" w:space="0" w:color="auto"/>
            </w:tcBorders>
          </w:tcPr>
          <w:p w14:paraId="144EAD02"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cstheme="minorHAnsi"/>
                <w:b/>
                <w:bCs/>
                <w:sz w:val="22"/>
              </w:rPr>
              <w:t>Rural Workforce Support Activity – Go Rural</w:t>
            </w:r>
          </w:p>
        </w:tc>
        <w:tc>
          <w:tcPr>
            <w:tcW w:w="4732" w:type="dxa"/>
            <w:tcBorders>
              <w:right w:val="single" w:sz="4" w:space="0" w:color="auto"/>
            </w:tcBorders>
          </w:tcPr>
          <w:p w14:paraId="294FE7BD" w14:textId="5085D2ED"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Grow the sustainability and supply of the health workforce</w:t>
            </w:r>
            <w:r w:rsidR="005115B5">
              <w:rPr>
                <w:rFonts w:asciiTheme="minorHAnsi" w:hAnsiTheme="minorHAnsi"/>
                <w:sz w:val="22"/>
              </w:rPr>
              <w:t>.</w:t>
            </w:r>
          </w:p>
        </w:tc>
        <w:tc>
          <w:tcPr>
            <w:tcW w:w="6158" w:type="dxa"/>
            <w:tcBorders>
              <w:left w:val="single" w:sz="4" w:space="0" w:color="auto"/>
              <w:right w:val="single" w:sz="4" w:space="0" w:color="auto"/>
            </w:tcBorders>
          </w:tcPr>
          <w:p w14:paraId="797A1878"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RWAs engaging with Rural Health Clubs to promote careers to rural secondary school students; university student rural immersion activities; Supporting clinical placements for nursing and allied health students; linking students with mentors to guide rural journey.</w:t>
            </w:r>
          </w:p>
        </w:tc>
      </w:tr>
      <w:tr w:rsidR="0008569D" w:rsidRPr="0008569D" w14:paraId="4835A630"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7C1DE106" w14:textId="77777777" w:rsidR="0008569D" w:rsidRPr="005115B5" w:rsidRDefault="0008569D" w:rsidP="0008569D">
            <w:pPr>
              <w:contextualSpacing/>
              <w:rPr>
                <w:rFonts w:asciiTheme="minorHAnsi" w:hAnsiTheme="minorHAnsi"/>
                <w:b/>
                <w:bCs/>
                <w:sz w:val="22"/>
              </w:rPr>
            </w:pPr>
            <w:r w:rsidRPr="005115B5">
              <w:rPr>
                <w:rFonts w:asciiTheme="minorHAnsi" w:hAnsiTheme="minorHAnsi" w:cstheme="minorHAnsi"/>
                <w:b/>
                <w:bCs/>
                <w:sz w:val="22"/>
              </w:rPr>
              <w:t>2018</w:t>
            </w:r>
          </w:p>
        </w:tc>
        <w:tc>
          <w:tcPr>
            <w:tcW w:w="3260" w:type="dxa"/>
            <w:tcBorders>
              <w:top w:val="single" w:sz="4" w:space="0" w:color="auto"/>
              <w:left w:val="single" w:sz="4" w:space="0" w:color="auto"/>
              <w:bottom w:val="single" w:sz="4" w:space="0" w:color="auto"/>
              <w:right w:val="single" w:sz="4" w:space="0" w:color="auto"/>
            </w:tcBorders>
          </w:tcPr>
          <w:p w14:paraId="60E75809" w14:textId="6254B7F1" w:rsidR="0008569D" w:rsidRPr="0008569D" w:rsidRDefault="007770BF" w:rsidP="007770BF">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A928C2">
              <w:rPr>
                <w:rFonts w:cstheme="minorHAnsi"/>
                <w:b/>
                <w:bCs/>
              </w:rPr>
              <w:t>J</w:t>
            </w:r>
            <w:r w:rsidRPr="00A928C2">
              <w:rPr>
                <w:rFonts w:asciiTheme="minorHAnsi" w:eastAsia="Times New Roman" w:hAnsiTheme="minorHAnsi" w:cstheme="minorHAnsi"/>
                <w:b/>
                <w:bCs/>
                <w:color w:val="000000"/>
                <w:sz w:val="22"/>
                <w:lang w:eastAsia="en-AU"/>
              </w:rPr>
              <w:t>o</w:t>
            </w:r>
            <w:r w:rsidRPr="00D640F2">
              <w:rPr>
                <w:rFonts w:asciiTheme="minorHAnsi" w:eastAsia="Times New Roman" w:hAnsiTheme="minorHAnsi" w:cstheme="minorHAnsi"/>
                <w:b/>
                <w:bCs/>
                <w:color w:val="000000"/>
                <w:sz w:val="22"/>
                <w:lang w:eastAsia="en-AU"/>
              </w:rPr>
              <w:t>hn Flynn Prevocational Doctor Program (JFPDP)</w:t>
            </w:r>
            <w:r w:rsidRPr="00D640F2">
              <w:rPr>
                <w:rFonts w:asciiTheme="minorHAnsi" w:eastAsia="Times New Roman" w:hAnsiTheme="minorHAnsi" w:cstheme="minorHAnsi"/>
                <w:color w:val="000000"/>
                <w:sz w:val="22"/>
                <w:lang w:eastAsia="en-AU"/>
              </w:rPr>
              <w:t xml:space="preserve"> – announced as part of the 2021-22 Federal Budge</w:t>
            </w:r>
            <w:r w:rsidRPr="00D640F2">
              <w:rPr>
                <w:rFonts w:cstheme="minorHAnsi"/>
              </w:rPr>
              <w:t>t</w:t>
            </w:r>
            <w:r w:rsidRPr="00D640F2">
              <w:rPr>
                <w:rFonts w:asciiTheme="minorHAnsi" w:hAnsiTheme="minorHAnsi" w:cstheme="minorHAnsi"/>
                <w:sz w:val="22"/>
              </w:rPr>
              <w:t xml:space="preserve"> </w:t>
            </w:r>
          </w:p>
        </w:tc>
        <w:tc>
          <w:tcPr>
            <w:tcW w:w="4732" w:type="dxa"/>
            <w:tcBorders>
              <w:right w:val="single" w:sz="4" w:space="0" w:color="auto"/>
            </w:tcBorders>
          </w:tcPr>
          <w:p w14:paraId="1492C0E8" w14:textId="0136E120" w:rsidR="0008569D" w:rsidRPr="0008569D" w:rsidRDefault="007770BF">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640F2">
              <w:rPr>
                <w:rFonts w:asciiTheme="minorHAnsi" w:hAnsiTheme="minorHAnsi"/>
                <w:sz w:val="22"/>
              </w:rPr>
              <w:t xml:space="preserve">The JFPDP will commence from 1 January 2023 and will consolidate the two funding streams (core and Rural Generalist) under the Rural Junior Doctor Training Innovation Fund (RJDTIF). The RJDTIF arrangements will continue until 31 December 2022. JFPDP will expand the number of rural primary care rotations available each year and increase rural primary care rotations for hospital-based </w:t>
            </w:r>
            <w:r w:rsidRPr="00D640F2">
              <w:rPr>
                <w:rFonts w:asciiTheme="minorHAnsi" w:hAnsiTheme="minorHAnsi"/>
                <w:sz w:val="22"/>
              </w:rPr>
              <w:lastRenderedPageBreak/>
              <w:t>prevocational doctors (Postgraduate Year 1-5) in rural areas.</w:t>
            </w:r>
            <w:r w:rsidRPr="0008569D">
              <w:rPr>
                <w:rFonts w:asciiTheme="minorHAnsi" w:hAnsiTheme="minorHAnsi"/>
                <w:sz w:val="22"/>
              </w:rPr>
              <w:t xml:space="preserve"> </w:t>
            </w:r>
          </w:p>
        </w:tc>
        <w:tc>
          <w:tcPr>
            <w:tcW w:w="6158" w:type="dxa"/>
            <w:tcBorders>
              <w:left w:val="single" w:sz="4" w:space="0" w:color="auto"/>
              <w:right w:val="single" w:sz="4" w:space="0" w:color="auto"/>
            </w:tcBorders>
          </w:tcPr>
          <w:p w14:paraId="09E33050" w14:textId="77777777" w:rsidR="007770BF" w:rsidRPr="007770BF" w:rsidRDefault="007770BF"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640F2">
              <w:rPr>
                <w:rFonts w:asciiTheme="minorHAnsi" w:hAnsiTheme="minorHAnsi"/>
                <w:sz w:val="22"/>
              </w:rPr>
              <w:lastRenderedPageBreak/>
              <w:t>Will boost the required training capacity in Australia, for the next generation of doctors and will ensure the supply of junior doctor positions in primary care settings better meet projected demand by increasing the rural training opportunities and exposure to a career in general practice.</w:t>
            </w:r>
            <w:r w:rsidRPr="007770BF">
              <w:rPr>
                <w:rFonts w:asciiTheme="minorHAnsi" w:hAnsiTheme="minorHAnsi"/>
                <w:sz w:val="22"/>
              </w:rPr>
              <w:t xml:space="preserve"> </w:t>
            </w:r>
          </w:p>
          <w:p w14:paraId="5CFF4637" w14:textId="102CB650"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w:t>
            </w:r>
          </w:p>
        </w:tc>
      </w:tr>
      <w:tr w:rsidR="0008569D" w:rsidRPr="0008569D" w14:paraId="787BF7FF"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4D356317" w14:textId="77777777" w:rsidR="0008569D" w:rsidRPr="005115B5" w:rsidRDefault="0008569D" w:rsidP="0008569D">
            <w:pPr>
              <w:contextualSpacing/>
              <w:rPr>
                <w:rFonts w:asciiTheme="minorHAnsi" w:hAnsiTheme="minorHAnsi"/>
                <w:b/>
                <w:bCs/>
                <w:sz w:val="22"/>
              </w:rPr>
            </w:pPr>
            <w:r w:rsidRPr="005115B5">
              <w:rPr>
                <w:rFonts w:asciiTheme="minorHAnsi" w:hAnsiTheme="minorHAnsi" w:cstheme="minorHAnsi"/>
                <w:b/>
                <w:bCs/>
                <w:sz w:val="22"/>
              </w:rPr>
              <w:t>2018</w:t>
            </w:r>
          </w:p>
        </w:tc>
        <w:tc>
          <w:tcPr>
            <w:tcW w:w="3260" w:type="dxa"/>
            <w:tcBorders>
              <w:top w:val="single" w:sz="4" w:space="0" w:color="auto"/>
              <w:left w:val="single" w:sz="4" w:space="0" w:color="auto"/>
              <w:bottom w:val="single" w:sz="4" w:space="0" w:color="auto"/>
              <w:right w:val="single" w:sz="4" w:space="0" w:color="auto"/>
            </w:tcBorders>
          </w:tcPr>
          <w:p w14:paraId="14275987" w14:textId="77777777" w:rsidR="0008569D" w:rsidRPr="00C95D76" w:rsidRDefault="0008569D" w:rsidP="0008569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n-AU"/>
              </w:rPr>
            </w:pPr>
            <w:r w:rsidRPr="00C95D76">
              <w:rPr>
                <w:rFonts w:asciiTheme="minorHAnsi" w:hAnsiTheme="minorHAnsi" w:cstheme="minorHAnsi"/>
                <w:b/>
                <w:bCs/>
                <w:sz w:val="22"/>
                <w:lang w:eastAsia="en-AU"/>
              </w:rPr>
              <w:t>Stronger Rural Health Strategy – Bonded Medical Programs</w:t>
            </w:r>
            <w:r w:rsidRPr="00C95D76">
              <w:rPr>
                <w:rFonts w:asciiTheme="minorHAnsi" w:hAnsiTheme="minorHAnsi" w:cstheme="minorHAnsi"/>
                <w:sz w:val="22"/>
                <w:lang w:eastAsia="en-AU"/>
              </w:rPr>
              <w:t xml:space="preserve"> (reformed). </w:t>
            </w:r>
          </w:p>
        </w:tc>
        <w:tc>
          <w:tcPr>
            <w:tcW w:w="4732" w:type="dxa"/>
            <w:tcBorders>
              <w:right w:val="single" w:sz="4" w:space="0" w:color="auto"/>
            </w:tcBorders>
          </w:tcPr>
          <w:p w14:paraId="44A2404C"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Aim of the reform is greater flexibility and more support for bonded doctors and better target return of service to underserviced areas in most need.</w:t>
            </w:r>
          </w:p>
        </w:tc>
        <w:tc>
          <w:tcPr>
            <w:tcW w:w="6158" w:type="dxa"/>
            <w:tcBorders>
              <w:left w:val="single" w:sz="4" w:space="0" w:color="auto"/>
              <w:right w:val="single" w:sz="4" w:space="0" w:color="auto"/>
            </w:tcBorders>
          </w:tcPr>
          <w:p w14:paraId="1F897C8D"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From 1 January 2020, participants of Bonded Medical Program can complete Return of Service Obligation through working in eligible location in MMM 2–6, Distribution Priority Areas (DPA) for GPs areas, outer Metro and Districts of Workforce Shortages for the participants chosen specialty.</w:t>
            </w:r>
          </w:p>
        </w:tc>
      </w:tr>
      <w:tr w:rsidR="0008569D" w:rsidRPr="0008569D" w14:paraId="03CA5A76"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46E5FC7B" w14:textId="77777777" w:rsidR="0008569D" w:rsidRPr="005115B5" w:rsidRDefault="0008569D" w:rsidP="0008569D">
            <w:pPr>
              <w:contextualSpacing/>
              <w:rPr>
                <w:rFonts w:asciiTheme="minorHAnsi" w:hAnsiTheme="minorHAnsi"/>
                <w:b/>
                <w:bCs/>
                <w:sz w:val="22"/>
              </w:rPr>
            </w:pPr>
            <w:r w:rsidRPr="005115B5">
              <w:rPr>
                <w:rFonts w:asciiTheme="minorHAnsi" w:hAnsiTheme="minorHAnsi" w:cstheme="minorHAnsi"/>
                <w:b/>
                <w:bCs/>
                <w:sz w:val="22"/>
              </w:rPr>
              <w:t>2018</w:t>
            </w:r>
          </w:p>
        </w:tc>
        <w:tc>
          <w:tcPr>
            <w:tcW w:w="3260" w:type="dxa"/>
            <w:tcBorders>
              <w:top w:val="single" w:sz="4" w:space="0" w:color="auto"/>
              <w:left w:val="single" w:sz="4" w:space="0" w:color="auto"/>
              <w:bottom w:val="single" w:sz="4" w:space="0" w:color="auto"/>
              <w:right w:val="single" w:sz="4" w:space="0" w:color="auto"/>
            </w:tcBorders>
          </w:tcPr>
          <w:p w14:paraId="0013C47E"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r w:rsidRPr="00C95D76">
              <w:rPr>
                <w:rFonts w:asciiTheme="minorHAnsi" w:eastAsia="Times New Roman" w:hAnsiTheme="minorHAnsi" w:cstheme="minorHAnsi"/>
                <w:b/>
                <w:bCs/>
                <w:color w:val="000000"/>
                <w:sz w:val="22"/>
                <w:lang w:eastAsia="en-AU"/>
              </w:rPr>
              <w:t>Stronger Rural Health Strategy – Strengthening the role of the nursing workforce</w:t>
            </w:r>
          </w:p>
          <w:p w14:paraId="1165C608"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086AD37D"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0540147C"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065E9191"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750311A7"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11C9213C"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6C0CBBE8"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3F91AD91"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52BC57EF"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1E8657E0"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p>
          <w:p w14:paraId="22E5DD01" w14:textId="77777777" w:rsidR="0008569D" w:rsidRPr="00C95D76"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C95D76">
              <w:rPr>
                <w:rFonts w:asciiTheme="minorHAnsi" w:hAnsiTheme="minorHAnsi"/>
                <w:b/>
                <w:sz w:val="22"/>
              </w:rPr>
              <w:t>Train in the region, stay in the region</w:t>
            </w:r>
          </w:p>
        </w:tc>
        <w:tc>
          <w:tcPr>
            <w:tcW w:w="4732" w:type="dxa"/>
            <w:tcBorders>
              <w:right w:val="single" w:sz="4" w:space="0" w:color="auto"/>
            </w:tcBorders>
          </w:tcPr>
          <w:p w14:paraId="675C44C8"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Nursing in Primary Health Care (NiPHC) </w:t>
            </w:r>
          </w:p>
          <w:p w14:paraId="59C78931"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56E70327"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7770CDA6"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3D8E5B61"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19547EAB"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598C2536"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707C6035"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6E83B80E"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4E38D304"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750429E0"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3BC76605"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6BA19A2A"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31A440FC"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055DC39D"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Murray-Darling Medical Schools Network</w:t>
            </w:r>
          </w:p>
        </w:tc>
        <w:tc>
          <w:tcPr>
            <w:tcW w:w="6158" w:type="dxa"/>
            <w:tcBorders>
              <w:left w:val="single" w:sz="4" w:space="0" w:color="auto"/>
              <w:right w:val="single" w:sz="4" w:space="0" w:color="auto"/>
            </w:tcBorders>
          </w:tcPr>
          <w:p w14:paraId="79261D1F" w14:textId="29AF40CE"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This program aims to build capacity among the primary health care (PHC) nursing workforce by promoting employment of, and providing support to, nurses working in PHC settings. There are three components to this Program: the Transition to Practice Program, which aims to increase the confidence, skills and knowledge of recently graduated, and experienced, nurses starting work in primary </w:t>
            </w:r>
            <w:r w:rsidR="00E419DC">
              <w:rPr>
                <w:rFonts w:asciiTheme="minorHAnsi" w:hAnsiTheme="minorHAnsi"/>
                <w:sz w:val="22"/>
              </w:rPr>
              <w:t>healthcare</w:t>
            </w:r>
            <w:r w:rsidRPr="0008569D">
              <w:rPr>
                <w:rFonts w:asciiTheme="minorHAnsi" w:hAnsiTheme="minorHAnsi"/>
                <w:sz w:val="22"/>
              </w:rPr>
              <w:t xml:space="preserve"> settings; the Building Nurse Capacity project, which aims to build the capacity of primary </w:t>
            </w:r>
            <w:r w:rsidR="00E419DC">
              <w:rPr>
                <w:rFonts w:asciiTheme="minorHAnsi" w:hAnsiTheme="minorHAnsi"/>
                <w:sz w:val="22"/>
              </w:rPr>
              <w:t>healthcare</w:t>
            </w:r>
            <w:r w:rsidRPr="0008569D">
              <w:rPr>
                <w:rFonts w:asciiTheme="minorHAnsi" w:hAnsiTheme="minorHAnsi"/>
                <w:sz w:val="22"/>
              </w:rPr>
              <w:t xml:space="preserve"> teams by optimising the role of nurses in care delivery; and the Chronic Disease Management and Healthy Ageing workshops, which aim to support the professional development of nurses by providing evidence-based, best practice education on management of chronic diseases and healthy ageing for nurses working in primary </w:t>
            </w:r>
            <w:r w:rsidR="00E419DC">
              <w:rPr>
                <w:rFonts w:asciiTheme="minorHAnsi" w:hAnsiTheme="minorHAnsi"/>
                <w:sz w:val="22"/>
              </w:rPr>
              <w:t>healthcare</w:t>
            </w:r>
            <w:r w:rsidRPr="0008569D">
              <w:rPr>
                <w:rFonts w:asciiTheme="minorHAnsi" w:hAnsiTheme="minorHAnsi"/>
                <w:sz w:val="22"/>
              </w:rPr>
              <w:t>.</w:t>
            </w:r>
          </w:p>
          <w:p w14:paraId="46382C37"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740520DB" w14:textId="5B165CB5"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Establishing five rural medical school programs in the Murray-Darling region of NSW and Victoria, to provide end-to-end medical training in rural areas to improve the future distribution of the medical workforce</w:t>
            </w:r>
            <w:r w:rsidR="005115B5">
              <w:rPr>
                <w:rFonts w:asciiTheme="minorHAnsi" w:hAnsiTheme="minorHAnsi"/>
                <w:sz w:val="22"/>
              </w:rPr>
              <w:t>.</w:t>
            </w:r>
          </w:p>
        </w:tc>
      </w:tr>
      <w:tr w:rsidR="0008569D" w:rsidRPr="0008569D" w14:paraId="6CA41292" w14:textId="77777777" w:rsidTr="00473E61">
        <w:trPr>
          <w:trHeight w:val="755"/>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04FD1FBC" w14:textId="77777777" w:rsidR="0008569D" w:rsidRPr="005115B5" w:rsidRDefault="0008569D" w:rsidP="0008569D">
            <w:pPr>
              <w:contextualSpacing/>
              <w:rPr>
                <w:rFonts w:asciiTheme="minorHAnsi" w:hAnsiTheme="minorHAnsi" w:cstheme="minorHAnsi"/>
                <w:b/>
                <w:bCs/>
                <w:sz w:val="22"/>
              </w:rPr>
            </w:pPr>
            <w:r w:rsidRPr="005115B5">
              <w:rPr>
                <w:rFonts w:cstheme="minorHAnsi"/>
                <w:b/>
                <w:bCs/>
              </w:rPr>
              <w:t>2018</w:t>
            </w:r>
          </w:p>
        </w:tc>
        <w:tc>
          <w:tcPr>
            <w:tcW w:w="3260" w:type="dxa"/>
            <w:tcBorders>
              <w:top w:val="single" w:sz="4" w:space="0" w:color="auto"/>
              <w:left w:val="single" w:sz="4" w:space="0" w:color="auto"/>
              <w:bottom w:val="single" w:sz="4" w:space="0" w:color="auto"/>
              <w:right w:val="single" w:sz="4" w:space="0" w:color="auto"/>
            </w:tcBorders>
          </w:tcPr>
          <w:p w14:paraId="7DB731FB" w14:textId="77777777" w:rsidR="0008569D" w:rsidRPr="00C95D76" w:rsidRDefault="0008569D" w:rsidP="0008569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r w:rsidRPr="00C95D76">
              <w:rPr>
                <w:rFonts w:asciiTheme="minorHAnsi" w:eastAsia="Times New Roman" w:hAnsiTheme="minorHAnsi" w:cstheme="minorHAnsi"/>
                <w:b/>
                <w:bCs/>
                <w:color w:val="000000"/>
                <w:sz w:val="22"/>
                <w:lang w:eastAsia="en-AU"/>
              </w:rPr>
              <w:t>Stronger Rural Health Strategy – Support for Aboriginal and Torres Strait Islander Health Professional Organisations</w:t>
            </w:r>
          </w:p>
        </w:tc>
        <w:tc>
          <w:tcPr>
            <w:tcW w:w="4732" w:type="dxa"/>
            <w:tcBorders>
              <w:right w:val="single" w:sz="4" w:space="0" w:color="auto"/>
            </w:tcBorders>
          </w:tcPr>
          <w:p w14:paraId="78055D58" w14:textId="5C98D24E"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This aims to build and support the Aboriginal and Torres Strait Islander health </w:t>
            </w:r>
            <w:r w:rsidR="00065C89" w:rsidRPr="0008569D">
              <w:rPr>
                <w:rFonts w:asciiTheme="minorHAnsi" w:hAnsiTheme="minorHAnsi"/>
                <w:sz w:val="22"/>
              </w:rPr>
              <w:t>workforce and</w:t>
            </w:r>
            <w:r w:rsidRPr="0008569D">
              <w:rPr>
                <w:rFonts w:asciiTheme="minorHAnsi" w:hAnsiTheme="minorHAnsi"/>
                <w:sz w:val="22"/>
              </w:rPr>
              <w:t xml:space="preserve"> continue to increase the cultural capability of the broader health workforce to better meet the needs of Aboriginal and Torres Strait Islander people.</w:t>
            </w:r>
          </w:p>
        </w:tc>
        <w:tc>
          <w:tcPr>
            <w:tcW w:w="6158" w:type="dxa"/>
            <w:tcBorders>
              <w:left w:val="single" w:sz="4" w:space="0" w:color="auto"/>
              <w:right w:val="single" w:sz="4" w:space="0" w:color="auto"/>
            </w:tcBorders>
          </w:tcPr>
          <w:p w14:paraId="00DB0038" w14:textId="03117111"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This initiative funds a variety of activities, including training, mentoring, support, and activities to promote health careers to Aboriginal and Torres Strait Islander people.</w:t>
            </w:r>
          </w:p>
        </w:tc>
      </w:tr>
      <w:tr w:rsidR="0008569D" w:rsidRPr="0008569D" w14:paraId="13B8A38D" w14:textId="77777777" w:rsidTr="00473E61">
        <w:trPr>
          <w:trHeight w:val="755"/>
        </w:trPr>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6D696E03" w14:textId="77777777" w:rsidR="0008569D" w:rsidRPr="005115B5" w:rsidRDefault="0008569D" w:rsidP="0008569D">
            <w:pPr>
              <w:contextualSpacing/>
              <w:rPr>
                <w:rFonts w:asciiTheme="minorHAnsi" w:hAnsiTheme="minorHAnsi"/>
                <w:b/>
                <w:bCs/>
                <w:sz w:val="22"/>
              </w:rPr>
            </w:pPr>
            <w:r w:rsidRPr="005115B5">
              <w:rPr>
                <w:rFonts w:asciiTheme="minorHAnsi" w:hAnsiTheme="minorHAnsi" w:cstheme="minorHAnsi"/>
                <w:b/>
                <w:bCs/>
                <w:sz w:val="22"/>
              </w:rPr>
              <w:t>2018</w:t>
            </w:r>
          </w:p>
        </w:tc>
        <w:tc>
          <w:tcPr>
            <w:tcW w:w="3260" w:type="dxa"/>
            <w:tcBorders>
              <w:top w:val="single" w:sz="4" w:space="0" w:color="auto"/>
              <w:left w:val="single" w:sz="4" w:space="0" w:color="auto"/>
              <w:bottom w:val="single" w:sz="4" w:space="0" w:color="auto"/>
              <w:right w:val="single" w:sz="4" w:space="0" w:color="auto"/>
            </w:tcBorders>
          </w:tcPr>
          <w:p w14:paraId="00AE61F4" w14:textId="77777777" w:rsidR="0008569D" w:rsidRPr="00C95D76" w:rsidRDefault="0008569D" w:rsidP="0008569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C95D76">
              <w:rPr>
                <w:rFonts w:asciiTheme="minorHAnsi" w:eastAsia="Times New Roman" w:hAnsiTheme="minorHAnsi" w:cstheme="minorHAnsi"/>
                <w:b/>
                <w:bCs/>
                <w:color w:val="000000"/>
                <w:sz w:val="22"/>
                <w:lang w:eastAsia="en-AU"/>
              </w:rPr>
              <w:t>More Doctors for Rural Australia Program (MDRAP)</w:t>
            </w:r>
            <w:r w:rsidRPr="00C95D76">
              <w:rPr>
                <w:rFonts w:asciiTheme="minorHAnsi" w:eastAsia="Times New Roman" w:hAnsiTheme="minorHAnsi" w:cstheme="minorHAnsi"/>
                <w:color w:val="000000"/>
                <w:sz w:val="22"/>
                <w:lang w:eastAsia="en-AU"/>
              </w:rPr>
              <w:t xml:space="preserve"> </w:t>
            </w:r>
          </w:p>
        </w:tc>
        <w:tc>
          <w:tcPr>
            <w:tcW w:w="4732" w:type="dxa"/>
            <w:tcBorders>
              <w:right w:val="single" w:sz="4" w:space="0" w:color="auto"/>
            </w:tcBorders>
          </w:tcPr>
          <w:p w14:paraId="3CF080AB" w14:textId="35141D54"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The MDRAP is a workforce program designed to support non-vocationally recognised (non-VR) doctors to deliver general practice services in rural </w:t>
            </w:r>
            <w:r w:rsidRPr="0008569D">
              <w:rPr>
                <w:rFonts w:asciiTheme="minorHAnsi" w:hAnsiTheme="minorHAnsi"/>
                <w:sz w:val="22"/>
              </w:rPr>
              <w:lastRenderedPageBreak/>
              <w:t>and remote Australia and prepares them to join a formal fellowship pathway.</w:t>
            </w:r>
            <w:r w:rsidR="009A4F03">
              <w:rPr>
                <w:rFonts w:asciiTheme="minorHAnsi" w:hAnsiTheme="minorHAnsi"/>
                <w:sz w:val="22"/>
              </w:rPr>
              <w:t xml:space="preserve"> </w:t>
            </w:r>
            <w:r w:rsidRPr="0008569D">
              <w:rPr>
                <w:rFonts w:asciiTheme="minorHAnsi" w:hAnsiTheme="minorHAnsi"/>
                <w:sz w:val="22"/>
              </w:rPr>
              <w:t>Overseas and Australian trained doctors are eligible to join the MDRAP.</w:t>
            </w:r>
          </w:p>
        </w:tc>
        <w:tc>
          <w:tcPr>
            <w:tcW w:w="6158" w:type="dxa"/>
            <w:tcBorders>
              <w:left w:val="single" w:sz="4" w:space="0" w:color="auto"/>
              <w:right w:val="single" w:sz="4" w:space="0" w:color="auto"/>
            </w:tcBorders>
          </w:tcPr>
          <w:p w14:paraId="7184EE58"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lastRenderedPageBreak/>
              <w:t>Non vocationally registered doctors participating in the program will be able to access a Medicare benefit while working toward entry to a fellowship program.</w:t>
            </w:r>
          </w:p>
        </w:tc>
      </w:tr>
      <w:tr w:rsidR="0008569D" w:rsidRPr="0008569D" w14:paraId="7142F603"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2D671C2F" w14:textId="77777777" w:rsidR="0008569D" w:rsidRPr="005115B5" w:rsidRDefault="0008569D" w:rsidP="0008569D">
            <w:pPr>
              <w:contextualSpacing/>
              <w:rPr>
                <w:rFonts w:asciiTheme="minorHAnsi" w:hAnsiTheme="minorHAnsi"/>
                <w:b/>
                <w:bCs/>
                <w:sz w:val="22"/>
              </w:rPr>
            </w:pPr>
            <w:r w:rsidRPr="005115B5">
              <w:rPr>
                <w:rFonts w:asciiTheme="minorHAnsi" w:hAnsiTheme="minorHAnsi" w:cstheme="minorHAnsi"/>
                <w:b/>
                <w:bCs/>
                <w:sz w:val="22"/>
              </w:rPr>
              <w:t>2018</w:t>
            </w:r>
          </w:p>
        </w:tc>
        <w:tc>
          <w:tcPr>
            <w:tcW w:w="3260" w:type="dxa"/>
            <w:tcBorders>
              <w:top w:val="single" w:sz="4" w:space="0" w:color="auto"/>
              <w:left w:val="single" w:sz="4" w:space="0" w:color="auto"/>
              <w:bottom w:val="single" w:sz="4" w:space="0" w:color="auto"/>
              <w:right w:val="single" w:sz="4" w:space="0" w:color="auto"/>
            </w:tcBorders>
          </w:tcPr>
          <w:p w14:paraId="67B1073F"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cstheme="minorHAnsi"/>
                <w:b/>
                <w:bCs/>
                <w:sz w:val="22"/>
              </w:rPr>
              <w:t>National Rural (Medical) Generalist Pathway</w:t>
            </w:r>
          </w:p>
        </w:tc>
        <w:tc>
          <w:tcPr>
            <w:tcW w:w="4732" w:type="dxa"/>
            <w:tcBorders>
              <w:bottom w:val="single" w:sz="4" w:space="0" w:color="auto"/>
              <w:right w:val="single" w:sz="4" w:space="0" w:color="auto"/>
            </w:tcBorders>
          </w:tcPr>
          <w:p w14:paraId="0D6FE35E" w14:textId="6CF13210"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To improve workforce supply by coordinating the training pipeline for rural generalists to deliver quality healthcare in rural, remote and regional communities (focusing on MMM 3</w:t>
            </w:r>
            <w:r w:rsidR="0014271A">
              <w:rPr>
                <w:rFonts w:ascii="Calibri" w:hAnsi="Calibri" w:cs="Calibri"/>
                <w:sz w:val="22"/>
              </w:rPr>
              <w:t>‒</w:t>
            </w:r>
            <w:r w:rsidRPr="0008569D">
              <w:rPr>
                <w:rFonts w:asciiTheme="minorHAnsi" w:hAnsiTheme="minorHAnsi"/>
                <w:sz w:val="22"/>
              </w:rPr>
              <w:t>7</w:t>
            </w:r>
            <w:r w:rsidR="005115B5">
              <w:rPr>
                <w:rFonts w:asciiTheme="minorHAnsi" w:hAnsiTheme="minorHAnsi"/>
                <w:sz w:val="22"/>
              </w:rPr>
              <w:t>)</w:t>
            </w:r>
          </w:p>
        </w:tc>
        <w:tc>
          <w:tcPr>
            <w:tcW w:w="6158" w:type="dxa"/>
            <w:tcBorders>
              <w:left w:val="single" w:sz="4" w:space="0" w:color="auto"/>
              <w:right w:val="single" w:sz="4" w:space="0" w:color="auto"/>
            </w:tcBorders>
          </w:tcPr>
          <w:p w14:paraId="18723AB5" w14:textId="51756623"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Facilitate a coordinated and efficient medical training pathway with nationally recognised skills. Establish or expand coordination units within each jurisdiction to bridge the gap between national objectives and regional programs. Expansion of the Rural Junior Doctor Training Innovation Fund (RJDTIF) will support the pathway.</w:t>
            </w:r>
            <w:r w:rsidR="009A4F03">
              <w:rPr>
                <w:rFonts w:asciiTheme="minorHAnsi" w:hAnsiTheme="minorHAnsi"/>
                <w:sz w:val="22"/>
              </w:rPr>
              <w:t xml:space="preserve"> </w:t>
            </w:r>
            <w:r w:rsidRPr="0008569D">
              <w:rPr>
                <w:rFonts w:asciiTheme="minorHAnsi" w:hAnsiTheme="minorHAnsi"/>
                <w:sz w:val="22"/>
              </w:rPr>
              <w:t>The Commonwealth has provided funding for 100 RG GP training positions commencing 2021.</w:t>
            </w:r>
            <w:r w:rsidR="009A4F03">
              <w:rPr>
                <w:rFonts w:asciiTheme="minorHAnsi" w:hAnsiTheme="minorHAnsi"/>
                <w:sz w:val="22"/>
              </w:rPr>
              <w:t xml:space="preserve"> </w:t>
            </w:r>
            <w:r w:rsidRPr="0008569D">
              <w:rPr>
                <w:rFonts w:asciiTheme="minorHAnsi" w:hAnsiTheme="minorHAnsi"/>
                <w:sz w:val="22"/>
              </w:rPr>
              <w:t>These will be delivered through the Australian College of Rural and Remote Medicine (ACRRM) Rural Generalist Training Scheme (RGTS).</w:t>
            </w:r>
          </w:p>
        </w:tc>
      </w:tr>
      <w:tr w:rsidR="0008569D" w:rsidRPr="0008569D" w14:paraId="1693E6FE" w14:textId="77777777" w:rsidTr="0097585B">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30E4BD23" w14:textId="77777777" w:rsidR="0008569D" w:rsidRPr="005115B5" w:rsidRDefault="0008569D" w:rsidP="0008569D">
            <w:pPr>
              <w:contextualSpacing/>
              <w:rPr>
                <w:rFonts w:asciiTheme="minorHAnsi" w:hAnsiTheme="minorHAnsi"/>
                <w:b/>
                <w:bCs/>
                <w:sz w:val="22"/>
              </w:rPr>
            </w:pPr>
            <w:r w:rsidRPr="005115B5">
              <w:rPr>
                <w:rFonts w:asciiTheme="minorHAnsi" w:hAnsiTheme="minorHAnsi" w:cstheme="minorHAnsi"/>
                <w:b/>
                <w:bCs/>
                <w:sz w:val="22"/>
              </w:rPr>
              <w:t>2020</w:t>
            </w:r>
          </w:p>
        </w:tc>
        <w:tc>
          <w:tcPr>
            <w:tcW w:w="3260" w:type="dxa"/>
            <w:tcBorders>
              <w:top w:val="single" w:sz="4" w:space="0" w:color="auto"/>
              <w:left w:val="single" w:sz="4" w:space="0" w:color="auto"/>
              <w:bottom w:val="single" w:sz="4" w:space="0" w:color="auto"/>
              <w:right w:val="single" w:sz="4" w:space="0" w:color="auto"/>
            </w:tcBorders>
          </w:tcPr>
          <w:p w14:paraId="5238BEDB"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08569D">
              <w:rPr>
                <w:rFonts w:asciiTheme="minorHAnsi" w:hAnsiTheme="minorHAnsi" w:cstheme="minorHAnsi"/>
                <w:b/>
                <w:bCs/>
                <w:sz w:val="22"/>
              </w:rPr>
              <w:t>Allied Health Rural Generalist Workforce and Education Scheme</w:t>
            </w:r>
          </w:p>
          <w:p w14:paraId="65FEBAE9" w14:textId="589A45EF"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cstheme="minorHAnsi"/>
                <w:b/>
                <w:bCs/>
                <w:sz w:val="22"/>
              </w:rPr>
              <w:t>(AHRGWES)</w:t>
            </w:r>
            <w:r w:rsidRPr="0008569D">
              <w:rPr>
                <w:rFonts w:asciiTheme="minorHAnsi" w:hAnsiTheme="minorHAnsi"/>
                <w:sz w:val="22"/>
              </w:rPr>
              <w:t xml:space="preserve"> </w:t>
            </w:r>
            <w:r w:rsidR="005115B5">
              <w:rPr>
                <w:rFonts w:asciiTheme="minorHAnsi" w:hAnsiTheme="minorHAnsi"/>
                <w:sz w:val="22"/>
              </w:rPr>
              <w:t>–</w:t>
            </w:r>
            <w:r w:rsidRPr="0008569D">
              <w:rPr>
                <w:rFonts w:asciiTheme="minorHAnsi" w:hAnsiTheme="minorHAnsi"/>
                <w:sz w:val="22"/>
              </w:rPr>
              <w:t xml:space="preserve"> Managed by Services for Australian Rural and Remote Allied Health</w:t>
            </w:r>
          </w:p>
        </w:tc>
        <w:tc>
          <w:tcPr>
            <w:tcW w:w="4732" w:type="dxa"/>
            <w:tcBorders>
              <w:right w:val="single" w:sz="4" w:space="0" w:color="auto"/>
            </w:tcBorders>
          </w:tcPr>
          <w:p w14:paraId="7855774D" w14:textId="3CC377E0"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To extend the Allied Health Rural Generalist training pathway to non-government organisations and private practices working in aged care, disability and primary </w:t>
            </w:r>
            <w:r w:rsidR="00E419DC">
              <w:rPr>
                <w:rFonts w:asciiTheme="minorHAnsi" w:hAnsiTheme="minorHAnsi"/>
                <w:sz w:val="22"/>
              </w:rPr>
              <w:t>healthcare</w:t>
            </w:r>
            <w:r w:rsidRPr="0008569D">
              <w:rPr>
                <w:rFonts w:asciiTheme="minorHAnsi" w:hAnsiTheme="minorHAnsi"/>
                <w:sz w:val="22"/>
              </w:rPr>
              <w:t>.</w:t>
            </w:r>
          </w:p>
          <w:p w14:paraId="01CEAC14"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70AC2C57"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w:t>
            </w:r>
          </w:p>
        </w:tc>
        <w:tc>
          <w:tcPr>
            <w:tcW w:w="6158" w:type="dxa"/>
            <w:tcBorders>
              <w:left w:val="single" w:sz="4" w:space="0" w:color="auto"/>
              <w:right w:val="single" w:sz="4" w:space="0" w:color="auto"/>
            </w:tcBorders>
          </w:tcPr>
          <w:p w14:paraId="182E04D7" w14:textId="01668616"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This is a pilot program running to December 2021, supports 40 new graduates and early career health professionals to develop clinical and non-clinical skills to provide safe and high</w:t>
            </w:r>
            <w:r w:rsidR="00EE0037">
              <w:rPr>
                <w:rFonts w:asciiTheme="minorHAnsi" w:hAnsiTheme="minorHAnsi"/>
                <w:sz w:val="22"/>
              </w:rPr>
              <w:t>-</w:t>
            </w:r>
            <w:r w:rsidRPr="0008569D">
              <w:rPr>
                <w:rFonts w:asciiTheme="minorHAnsi" w:hAnsiTheme="minorHAnsi"/>
                <w:sz w:val="22"/>
              </w:rPr>
              <w:t xml:space="preserve">quality </w:t>
            </w:r>
            <w:r w:rsidR="00E419DC">
              <w:rPr>
                <w:rFonts w:asciiTheme="minorHAnsi" w:hAnsiTheme="minorHAnsi"/>
                <w:sz w:val="22"/>
              </w:rPr>
              <w:t>healthcare</w:t>
            </w:r>
            <w:r w:rsidRPr="0008569D">
              <w:rPr>
                <w:rFonts w:asciiTheme="minorHAnsi" w:hAnsiTheme="minorHAnsi"/>
                <w:sz w:val="22"/>
              </w:rPr>
              <w:t xml:space="preserve"> in rural and remote settings. </w:t>
            </w:r>
          </w:p>
          <w:p w14:paraId="387C60A2"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The AHRGWES provides a Workplace Training Grant to the employing organisation to provide intensive support and supervision and scholarship to the trainee to complete formal accredited training.</w:t>
            </w:r>
          </w:p>
        </w:tc>
      </w:tr>
      <w:tr w:rsidR="0008569D" w:rsidRPr="0008569D" w14:paraId="5D2CEFF5" w14:textId="77777777" w:rsidTr="00473E61">
        <w:tc>
          <w:tcPr>
            <w:cnfStyle w:val="001000000000" w:firstRow="0" w:lastRow="0" w:firstColumn="1" w:lastColumn="0" w:oddVBand="0" w:evenVBand="0" w:oddHBand="0" w:evenHBand="0" w:firstRowFirstColumn="0" w:firstRowLastColumn="0" w:lastRowFirstColumn="0" w:lastRowLastColumn="0"/>
            <w:tcW w:w="876" w:type="dxa"/>
            <w:tcBorders>
              <w:top w:val="single" w:sz="4" w:space="0" w:color="auto"/>
              <w:left w:val="single" w:sz="4" w:space="0" w:color="auto"/>
              <w:bottom w:val="single" w:sz="4" w:space="0" w:color="auto"/>
              <w:right w:val="single" w:sz="4" w:space="0" w:color="auto"/>
            </w:tcBorders>
          </w:tcPr>
          <w:p w14:paraId="43116455" w14:textId="77777777" w:rsidR="0008569D" w:rsidRPr="005115B5" w:rsidRDefault="0008569D" w:rsidP="0008569D">
            <w:pPr>
              <w:contextualSpacing/>
              <w:rPr>
                <w:rFonts w:asciiTheme="minorHAnsi" w:hAnsiTheme="minorHAnsi" w:cstheme="minorHAnsi"/>
                <w:b/>
                <w:bCs/>
                <w:sz w:val="22"/>
              </w:rPr>
            </w:pPr>
            <w:r w:rsidRPr="005115B5">
              <w:rPr>
                <w:rFonts w:asciiTheme="minorHAnsi" w:hAnsiTheme="minorHAnsi" w:cstheme="minorHAnsi"/>
                <w:b/>
                <w:bCs/>
                <w:sz w:val="22"/>
              </w:rPr>
              <w:t>2018</w:t>
            </w:r>
          </w:p>
        </w:tc>
        <w:tc>
          <w:tcPr>
            <w:tcW w:w="3260" w:type="dxa"/>
            <w:tcBorders>
              <w:top w:val="single" w:sz="4" w:space="0" w:color="auto"/>
              <w:left w:val="single" w:sz="4" w:space="0" w:color="auto"/>
              <w:bottom w:val="single" w:sz="4" w:space="0" w:color="auto"/>
              <w:right w:val="single" w:sz="4" w:space="0" w:color="auto"/>
            </w:tcBorders>
          </w:tcPr>
          <w:p w14:paraId="0D42E45A"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08569D">
              <w:rPr>
                <w:rFonts w:asciiTheme="minorHAnsi" w:hAnsiTheme="minorHAnsi" w:cstheme="minorHAnsi"/>
                <w:b/>
                <w:bCs/>
                <w:sz w:val="22"/>
              </w:rPr>
              <w:t>Remote Health Workforce Education, Support &amp; Professional Services Program</w:t>
            </w:r>
          </w:p>
        </w:tc>
        <w:tc>
          <w:tcPr>
            <w:tcW w:w="4732" w:type="dxa"/>
            <w:tcBorders>
              <w:bottom w:val="single" w:sz="4" w:space="0" w:color="auto"/>
              <w:right w:val="single" w:sz="4" w:space="0" w:color="auto"/>
            </w:tcBorders>
          </w:tcPr>
          <w:p w14:paraId="5A3F1182"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Support to health professionals working in remote areas, or other circumstances of professional isolation, with education, mental health and well-being support, and professional services that are relevant to their context of practice.</w:t>
            </w:r>
          </w:p>
        </w:tc>
        <w:tc>
          <w:tcPr>
            <w:tcW w:w="6158" w:type="dxa"/>
            <w:tcBorders>
              <w:left w:val="single" w:sz="4" w:space="0" w:color="auto"/>
              <w:right w:val="single" w:sz="4" w:space="0" w:color="auto"/>
            </w:tcBorders>
          </w:tcPr>
          <w:p w14:paraId="408F86A3" w14:textId="46B3C2D4"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Supports the provision of: relevant education, training and professional development opportunities for health professionals working in remote and isolated areas of Australia; mental health and wellbeing support to remote </w:t>
            </w:r>
            <w:r w:rsidR="00E419DC">
              <w:rPr>
                <w:rFonts w:asciiTheme="minorHAnsi" w:hAnsiTheme="minorHAnsi"/>
                <w:sz w:val="22"/>
              </w:rPr>
              <w:t>healthcare</w:t>
            </w:r>
            <w:r w:rsidRPr="0008569D">
              <w:rPr>
                <w:rFonts w:asciiTheme="minorHAnsi" w:hAnsiTheme="minorHAnsi"/>
                <w:sz w:val="22"/>
              </w:rPr>
              <w:t xml:space="preserve"> professionals (and their families); and professional services contributing to the recruitment and retention of a stable remote health workforce.</w:t>
            </w:r>
          </w:p>
        </w:tc>
      </w:tr>
    </w:tbl>
    <w:p w14:paraId="1FFE748E" w14:textId="4E0CAAB5" w:rsidR="0008569D" w:rsidRDefault="0008569D" w:rsidP="0008569D">
      <w:pPr>
        <w:contextualSpacing/>
      </w:pPr>
    </w:p>
    <w:p w14:paraId="2BC8C3CB" w14:textId="77777777" w:rsidR="003E36C4" w:rsidRDefault="003E36C4" w:rsidP="0008569D">
      <w:pPr>
        <w:contextualSpacing/>
        <w:sectPr w:rsidR="003E36C4" w:rsidSect="0008569D">
          <w:pgSz w:w="16838" w:h="11906" w:orient="landscape" w:code="9"/>
          <w:pgMar w:top="737" w:right="1304" w:bottom="1134" w:left="737" w:header="567" w:footer="284" w:gutter="0"/>
          <w:cols w:space="708"/>
          <w:docGrid w:linePitch="360"/>
        </w:sectPr>
      </w:pPr>
    </w:p>
    <w:p w14:paraId="3359131A" w14:textId="13302797" w:rsidR="0097585B" w:rsidRDefault="0097585B" w:rsidP="0097585B">
      <w:pPr>
        <w:pStyle w:val="Caption"/>
      </w:pPr>
      <w:bookmarkStart w:id="167" w:name="_Ref76135431"/>
      <w:r>
        <w:lastRenderedPageBreak/>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2</w:t>
      </w:r>
      <w:r w:rsidR="00A67BE9">
        <w:rPr>
          <w:noProof/>
        </w:rPr>
        <w:fldChar w:fldCharType="end"/>
      </w:r>
      <w:bookmarkEnd w:id="167"/>
      <w:r>
        <w:t xml:space="preserve">: </w:t>
      </w:r>
      <w:r w:rsidRPr="0097585B">
        <w:rPr>
          <w:rStyle w:val="Caption-notboldChar"/>
        </w:rPr>
        <w:t>Financial incentives to support rural health workforce attraction, recruitment and retention</w:t>
      </w:r>
    </w:p>
    <w:tbl>
      <w:tblPr>
        <w:tblStyle w:val="HMATableC-StrategicDirections2"/>
        <w:tblW w:w="15309" w:type="dxa"/>
        <w:tblLook w:val="04A0" w:firstRow="1" w:lastRow="0" w:firstColumn="1" w:lastColumn="0" w:noHBand="0" w:noVBand="1"/>
      </w:tblPr>
      <w:tblGrid>
        <w:gridCol w:w="846"/>
        <w:gridCol w:w="3265"/>
        <w:gridCol w:w="4742"/>
        <w:gridCol w:w="6456"/>
      </w:tblGrid>
      <w:tr w:rsidR="0008569D" w:rsidRPr="0008569D" w14:paraId="331B6A87" w14:textId="77777777" w:rsidTr="00473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09C5A717" w14:textId="77777777" w:rsidR="0008569D" w:rsidRPr="0008569D" w:rsidRDefault="0008569D" w:rsidP="0008569D">
            <w:pPr>
              <w:contextualSpacing/>
              <w:rPr>
                <w:rFonts w:asciiTheme="minorHAnsi" w:hAnsiTheme="minorHAnsi"/>
                <w:sz w:val="22"/>
              </w:rPr>
            </w:pPr>
            <w:r w:rsidRPr="0008569D">
              <w:rPr>
                <w:rFonts w:asciiTheme="minorHAnsi" w:hAnsiTheme="minorHAnsi"/>
                <w:sz w:val="22"/>
              </w:rPr>
              <w:t>Year</w:t>
            </w:r>
          </w:p>
        </w:tc>
        <w:tc>
          <w:tcPr>
            <w:tcW w:w="3265" w:type="dxa"/>
          </w:tcPr>
          <w:p w14:paraId="7EA7CC08" w14:textId="77777777" w:rsidR="0008569D" w:rsidRPr="0008569D" w:rsidRDefault="0008569D" w:rsidP="0008569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Policy</w:t>
            </w:r>
          </w:p>
        </w:tc>
        <w:tc>
          <w:tcPr>
            <w:tcW w:w="4742" w:type="dxa"/>
            <w:tcBorders>
              <w:bottom w:val="single" w:sz="4" w:space="0" w:color="auto"/>
            </w:tcBorders>
          </w:tcPr>
          <w:p w14:paraId="064B5555" w14:textId="77777777" w:rsidR="0008569D" w:rsidRPr="0008569D" w:rsidRDefault="0008569D" w:rsidP="0008569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Focus</w:t>
            </w:r>
          </w:p>
        </w:tc>
        <w:tc>
          <w:tcPr>
            <w:tcW w:w="6456" w:type="dxa"/>
            <w:tcBorders>
              <w:bottom w:val="single" w:sz="4" w:space="0" w:color="auto"/>
            </w:tcBorders>
          </w:tcPr>
          <w:p w14:paraId="13154C43" w14:textId="77777777" w:rsidR="0008569D" w:rsidRPr="0008569D" w:rsidRDefault="0008569D" w:rsidP="0008569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Strategy and Activities</w:t>
            </w:r>
          </w:p>
        </w:tc>
      </w:tr>
      <w:tr w:rsidR="0008569D" w:rsidRPr="0008569D" w14:paraId="71C5DFA0" w14:textId="77777777" w:rsidTr="00473E6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tcPr>
          <w:p w14:paraId="3DD27BC2" w14:textId="77777777" w:rsidR="0008569D" w:rsidRPr="0008569D" w:rsidRDefault="0008569D" w:rsidP="0008569D">
            <w:pPr>
              <w:contextualSpacing/>
              <w:rPr>
                <w:rFonts w:asciiTheme="minorHAnsi" w:eastAsia="Times New Roman" w:hAnsiTheme="minorHAnsi" w:cstheme="minorHAnsi"/>
                <w:b/>
                <w:bCs/>
                <w:color w:val="000000"/>
                <w:sz w:val="22"/>
                <w:lang w:eastAsia="en-AU"/>
              </w:rPr>
            </w:pPr>
            <w:r w:rsidRPr="0008569D">
              <w:rPr>
                <w:rFonts w:asciiTheme="minorHAnsi" w:hAnsiTheme="minorHAnsi"/>
                <w:sz w:val="22"/>
              </w:rPr>
              <w:t>2017</w:t>
            </w:r>
          </w:p>
        </w:tc>
        <w:tc>
          <w:tcPr>
            <w:tcW w:w="3265" w:type="dxa"/>
            <w:tcBorders>
              <w:top w:val="single" w:sz="4" w:space="0" w:color="auto"/>
              <w:left w:val="single" w:sz="4" w:space="0" w:color="auto"/>
              <w:bottom w:val="single" w:sz="4" w:space="0" w:color="auto"/>
              <w:right w:val="single" w:sz="4" w:space="0" w:color="auto"/>
            </w:tcBorders>
          </w:tcPr>
          <w:p w14:paraId="4EE29C97"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2"/>
                <w:lang w:eastAsia="en-AU"/>
              </w:rPr>
            </w:pPr>
            <w:r w:rsidRPr="0008569D">
              <w:rPr>
                <w:rFonts w:asciiTheme="minorHAnsi" w:eastAsia="Times New Roman" w:hAnsiTheme="minorHAnsi" w:cstheme="minorHAnsi"/>
                <w:b/>
                <w:bCs/>
                <w:color w:val="000000"/>
                <w:sz w:val="22"/>
                <w:lang w:eastAsia="en-AU"/>
              </w:rPr>
              <w:t xml:space="preserve">Rural Workforce Support Activity </w:t>
            </w:r>
            <w:r w:rsidRPr="0008569D">
              <w:rPr>
                <w:rFonts w:asciiTheme="minorHAnsi" w:hAnsiTheme="minorHAnsi"/>
                <w:sz w:val="22"/>
              </w:rPr>
              <w:t>managed by Rural Workforce Agencies (RWAs)</w:t>
            </w:r>
          </w:p>
        </w:tc>
        <w:tc>
          <w:tcPr>
            <w:tcW w:w="4742" w:type="dxa"/>
            <w:tcBorders>
              <w:right w:val="single" w:sz="4" w:space="0" w:color="auto"/>
            </w:tcBorders>
          </w:tcPr>
          <w:p w14:paraId="669E21E6" w14:textId="3050CAA8"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Aims to improve access and continuity of access to essential primary </w:t>
            </w:r>
            <w:r w:rsidR="00E419DC">
              <w:rPr>
                <w:rFonts w:asciiTheme="minorHAnsi" w:hAnsiTheme="minorHAnsi"/>
                <w:sz w:val="22"/>
              </w:rPr>
              <w:t>healthcare</w:t>
            </w:r>
            <w:r w:rsidR="005115B5">
              <w:rPr>
                <w:rFonts w:asciiTheme="minorHAnsi" w:hAnsiTheme="minorHAnsi"/>
                <w:sz w:val="22"/>
              </w:rPr>
              <w:t>.</w:t>
            </w:r>
          </w:p>
        </w:tc>
        <w:tc>
          <w:tcPr>
            <w:tcW w:w="6456" w:type="dxa"/>
            <w:tcBorders>
              <w:left w:val="single" w:sz="4" w:space="0" w:color="auto"/>
              <w:right w:val="single" w:sz="4" w:space="0" w:color="auto"/>
            </w:tcBorders>
          </w:tcPr>
          <w:p w14:paraId="5B87549D"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Providing locum support to GPs, private allied health providers and nurses and relocation grants.</w:t>
            </w:r>
          </w:p>
        </w:tc>
      </w:tr>
      <w:tr w:rsidR="0008569D" w:rsidRPr="0008569D" w14:paraId="2C047448" w14:textId="77777777" w:rsidTr="00473E6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tcPr>
          <w:p w14:paraId="4F210019" w14:textId="77777777" w:rsidR="0008569D" w:rsidRPr="0008569D" w:rsidRDefault="0008569D" w:rsidP="0008569D">
            <w:pPr>
              <w:contextualSpacing/>
              <w:rPr>
                <w:rFonts w:asciiTheme="minorHAnsi" w:hAnsiTheme="minorHAnsi"/>
                <w:sz w:val="22"/>
              </w:rPr>
            </w:pPr>
            <w:r w:rsidRPr="0008569D">
              <w:rPr>
                <w:rFonts w:asciiTheme="minorHAnsi" w:hAnsiTheme="minorHAnsi"/>
                <w:sz w:val="22"/>
              </w:rPr>
              <w:t>2020</w:t>
            </w:r>
          </w:p>
        </w:tc>
        <w:tc>
          <w:tcPr>
            <w:tcW w:w="3265" w:type="dxa"/>
            <w:tcBorders>
              <w:top w:val="single" w:sz="4" w:space="0" w:color="auto"/>
              <w:left w:val="single" w:sz="4" w:space="0" w:color="auto"/>
              <w:bottom w:val="single" w:sz="4" w:space="0" w:color="auto"/>
              <w:right w:val="single" w:sz="4" w:space="0" w:color="auto"/>
            </w:tcBorders>
          </w:tcPr>
          <w:p w14:paraId="400DAC67"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rPr>
            </w:pPr>
            <w:r w:rsidRPr="0008569D">
              <w:rPr>
                <w:rFonts w:asciiTheme="minorHAnsi" w:eastAsia="Times New Roman" w:hAnsiTheme="minorHAnsi" w:cstheme="minorHAnsi"/>
                <w:b/>
                <w:bCs/>
                <w:i/>
                <w:iCs/>
                <w:color w:val="000000"/>
                <w:sz w:val="22"/>
                <w:lang w:eastAsia="en-AU"/>
              </w:rPr>
              <w:t xml:space="preserve">Stronger Rural Health Strategy – </w:t>
            </w:r>
            <w:r w:rsidRPr="0008569D">
              <w:rPr>
                <w:rFonts w:asciiTheme="minorHAnsi" w:hAnsiTheme="minorHAnsi"/>
                <w:b/>
                <w:bCs/>
                <w:sz w:val="22"/>
              </w:rPr>
              <w:t xml:space="preserve">Workforce Incentive Program (transitioning from the GP Rural Incentive Program and Practice Nurse Incentive Program) </w:t>
            </w:r>
          </w:p>
          <w:p w14:paraId="679BC5C8"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rPr>
            </w:pPr>
          </w:p>
          <w:p w14:paraId="5DFF65BE"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rPr>
            </w:pPr>
          </w:p>
        </w:tc>
        <w:tc>
          <w:tcPr>
            <w:tcW w:w="4742" w:type="dxa"/>
            <w:tcBorders>
              <w:right w:val="single" w:sz="4" w:space="0" w:color="auto"/>
            </w:tcBorders>
          </w:tcPr>
          <w:p w14:paraId="29EF0CEE" w14:textId="1C013461"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The Workforce Incentive Program (WIP) provides targeted financial incentives to encourage doctors to deliver services in rural and remote areas (Doctors Stream). The WIP also provides financial incentives to support general practice to engage the services of nurses, Aboriginal and Torres Strait Islander Health Practitioners and Health Workers, and eligible allied health professionals (Practice Stream</w:t>
            </w:r>
            <w:r w:rsidR="005115B5">
              <w:rPr>
                <w:rFonts w:asciiTheme="minorHAnsi" w:hAnsiTheme="minorHAnsi"/>
                <w:sz w:val="22"/>
              </w:rPr>
              <w:t>).</w:t>
            </w:r>
          </w:p>
        </w:tc>
        <w:tc>
          <w:tcPr>
            <w:tcW w:w="6456" w:type="dxa"/>
            <w:tcBorders>
              <w:left w:val="single" w:sz="4" w:space="0" w:color="auto"/>
              <w:right w:val="single" w:sz="4" w:space="0" w:color="auto"/>
            </w:tcBorders>
          </w:tcPr>
          <w:p w14:paraId="52CFD74F"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From 1 January 2020, eligible medical practitioners in MMM 3–7 locations receive annual incentive payment of between $4,500 ad $60,000 under the WIP – Doctors Stream.</w:t>
            </w:r>
          </w:p>
          <w:p w14:paraId="0A83CB2B"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p w14:paraId="4B2A2CC6" w14:textId="21ED6FFE"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From 1 February 2020, eligible general practices can claim up to $125,000 per year to engage eligible health professionals for a combined minimum of 63 hours and 20 minutes per week under the WIP – Practice Stream. In addition, practices located in Modified Monash 3</w:t>
            </w:r>
            <w:r w:rsidR="005115B5">
              <w:rPr>
                <w:rFonts w:asciiTheme="minorHAnsi" w:hAnsiTheme="minorHAnsi"/>
                <w:sz w:val="22"/>
              </w:rPr>
              <w:t>–</w:t>
            </w:r>
            <w:r w:rsidRPr="0008569D">
              <w:rPr>
                <w:rFonts w:asciiTheme="minorHAnsi" w:hAnsiTheme="minorHAnsi"/>
                <w:sz w:val="22"/>
              </w:rPr>
              <w:t>7 receive a rural loading in addition to the incentive payment, in recognition of the difficulties rural and regional areas face attracting and retaining health professionals. Different levels of rural loading will apply depending on the rurality of the practice.</w:t>
            </w:r>
          </w:p>
        </w:tc>
      </w:tr>
      <w:tr w:rsidR="0008569D" w:rsidRPr="0008569D" w14:paraId="3DD3B93A" w14:textId="77777777" w:rsidTr="00473E61">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tcPr>
          <w:p w14:paraId="41EDCB84" w14:textId="77777777" w:rsidR="0008569D" w:rsidRPr="0008569D" w:rsidRDefault="0008569D" w:rsidP="0008569D">
            <w:pPr>
              <w:contextualSpacing/>
              <w:rPr>
                <w:rFonts w:asciiTheme="minorHAnsi" w:hAnsiTheme="minorHAnsi"/>
                <w:sz w:val="22"/>
              </w:rPr>
            </w:pPr>
            <w:r w:rsidRPr="0008569D">
              <w:rPr>
                <w:rFonts w:asciiTheme="minorHAnsi" w:hAnsiTheme="minorHAnsi"/>
                <w:sz w:val="22"/>
              </w:rPr>
              <w:t>2020</w:t>
            </w:r>
          </w:p>
        </w:tc>
        <w:tc>
          <w:tcPr>
            <w:tcW w:w="3265" w:type="dxa"/>
            <w:tcBorders>
              <w:top w:val="single" w:sz="4" w:space="0" w:color="auto"/>
              <w:left w:val="single" w:sz="4" w:space="0" w:color="auto"/>
              <w:bottom w:val="single" w:sz="4" w:space="0" w:color="auto"/>
              <w:right w:val="single" w:sz="4" w:space="0" w:color="auto"/>
            </w:tcBorders>
          </w:tcPr>
          <w:p w14:paraId="5AA56D3B"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rPr>
            </w:pPr>
            <w:r w:rsidRPr="0008569D">
              <w:rPr>
                <w:rFonts w:asciiTheme="minorHAnsi" w:hAnsiTheme="minorHAnsi"/>
                <w:b/>
                <w:bCs/>
                <w:sz w:val="22"/>
              </w:rPr>
              <w:t>MDRAP Support Activity</w:t>
            </w:r>
          </w:p>
        </w:tc>
        <w:tc>
          <w:tcPr>
            <w:tcW w:w="4742" w:type="dxa"/>
            <w:tcBorders>
              <w:right w:val="single" w:sz="4" w:space="0" w:color="auto"/>
            </w:tcBorders>
          </w:tcPr>
          <w:p w14:paraId="175C47F4" w14:textId="3E2F6695"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 xml:space="preserve">Managed by RWAs </w:t>
            </w:r>
            <w:r w:rsidR="005115B5">
              <w:rPr>
                <w:rFonts w:asciiTheme="minorHAnsi" w:hAnsiTheme="minorHAnsi"/>
                <w:sz w:val="22"/>
              </w:rPr>
              <w:t>–</w:t>
            </w:r>
            <w:r w:rsidRPr="0008569D">
              <w:rPr>
                <w:rFonts w:asciiTheme="minorHAnsi" w:hAnsiTheme="minorHAnsi"/>
                <w:sz w:val="22"/>
              </w:rPr>
              <w:t xml:space="preserve"> enhances the implementation of the MDRAP by providing funding to support supervision and education needs for MDRAP doctors. </w:t>
            </w:r>
          </w:p>
        </w:tc>
        <w:tc>
          <w:tcPr>
            <w:tcW w:w="6456" w:type="dxa"/>
            <w:tcBorders>
              <w:left w:val="single" w:sz="4" w:space="0" w:color="auto"/>
              <w:right w:val="single" w:sz="4" w:space="0" w:color="auto"/>
            </w:tcBorders>
          </w:tcPr>
          <w:p w14:paraId="4A41151C" w14:textId="77777777" w:rsidR="0008569D" w:rsidRPr="0008569D" w:rsidRDefault="0008569D" w:rsidP="0008569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8569D">
              <w:rPr>
                <w:rFonts w:asciiTheme="minorHAnsi" w:hAnsiTheme="minorHAnsi"/>
                <w:sz w:val="22"/>
              </w:rPr>
              <w:t>Doctors within the program will be provided with tailored learning and supervision to meet their needs and that of their region. This will ensure the safe delivery and quality of care is of the highest standard.</w:t>
            </w:r>
          </w:p>
        </w:tc>
      </w:tr>
    </w:tbl>
    <w:p w14:paraId="6F527C06" w14:textId="45ED5CC1" w:rsidR="0008569D" w:rsidRDefault="0008569D" w:rsidP="005817F5"/>
    <w:p w14:paraId="3E0C34F3" w14:textId="77777777" w:rsidR="0008569D" w:rsidRDefault="0008569D" w:rsidP="005817F5"/>
    <w:p w14:paraId="4C222701" w14:textId="386028A5" w:rsidR="0008569D" w:rsidRDefault="0008569D" w:rsidP="005817F5"/>
    <w:p w14:paraId="5C0407FF" w14:textId="77777777" w:rsidR="0008569D" w:rsidRPr="00006354" w:rsidRDefault="0008569D" w:rsidP="005817F5"/>
    <w:p w14:paraId="5479BEA3" w14:textId="44E98538" w:rsidR="00006354" w:rsidRPr="00006354" w:rsidRDefault="00006354" w:rsidP="00006354">
      <w:pPr>
        <w:sectPr w:rsidR="00006354" w:rsidRPr="00006354" w:rsidSect="0008569D">
          <w:pgSz w:w="16838" w:h="11906" w:orient="landscape" w:code="9"/>
          <w:pgMar w:top="737" w:right="1304" w:bottom="1134" w:left="737" w:header="567" w:footer="284" w:gutter="0"/>
          <w:cols w:space="708"/>
          <w:docGrid w:linePitch="360"/>
        </w:sectPr>
      </w:pPr>
    </w:p>
    <w:p w14:paraId="2680B511" w14:textId="23299969" w:rsidR="00CA160C" w:rsidRDefault="00DE5CEB" w:rsidP="00CA160C">
      <w:pPr>
        <w:pStyle w:val="AppendixHeading"/>
      </w:pPr>
      <w:bookmarkStart w:id="168" w:name="_Toc85203319"/>
      <w:r>
        <w:lastRenderedPageBreak/>
        <w:t>L</w:t>
      </w:r>
      <w:r w:rsidR="008339F0">
        <w:t xml:space="preserve">ist of </w:t>
      </w:r>
      <w:r w:rsidR="00263F92">
        <w:t>stakeholders</w:t>
      </w:r>
      <w:r w:rsidR="008339F0">
        <w:t xml:space="preserve"> consulted</w:t>
      </w:r>
      <w:bookmarkEnd w:id="168"/>
    </w:p>
    <w:p w14:paraId="69FC9D17" w14:textId="38FFFB79" w:rsidR="003E4E52" w:rsidRDefault="003E4E52" w:rsidP="003E4E52">
      <w:pPr>
        <w:pStyle w:val="Caption"/>
      </w:pPr>
      <w:r>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3</w:t>
      </w:r>
      <w:r w:rsidR="00A67BE9">
        <w:rPr>
          <w:noProof/>
        </w:rPr>
        <w:fldChar w:fldCharType="end"/>
      </w:r>
      <w:r>
        <w:t xml:space="preserve">: </w:t>
      </w:r>
      <w:r w:rsidRPr="003E04A7">
        <w:rPr>
          <w:rStyle w:val="Caption-notboldChar"/>
        </w:rPr>
        <w:t>Stakeholders consulted</w:t>
      </w:r>
      <w:r w:rsidR="005115B5">
        <w:rPr>
          <w:rStyle w:val="Caption-notboldChar"/>
        </w:rPr>
        <w:t xml:space="preserve"> –</w:t>
      </w:r>
      <w:r w:rsidRPr="003E04A7">
        <w:rPr>
          <w:rStyle w:val="Caption-notboldChar"/>
        </w:rPr>
        <w:t xml:space="preserve"> Departmental, RWA and peak bodies</w:t>
      </w:r>
    </w:p>
    <w:tbl>
      <w:tblPr>
        <w:tblStyle w:val="HMATableA"/>
        <w:tblW w:w="15451" w:type="dxa"/>
        <w:tblLook w:val="0620" w:firstRow="1" w:lastRow="0" w:firstColumn="0" w:lastColumn="0" w:noHBand="1" w:noVBand="1"/>
      </w:tblPr>
      <w:tblGrid>
        <w:gridCol w:w="905"/>
        <w:gridCol w:w="3699"/>
        <w:gridCol w:w="4185"/>
        <w:gridCol w:w="6662"/>
      </w:tblGrid>
      <w:tr w:rsidR="00777A44" w:rsidRPr="00154B50" w14:paraId="63C4A685" w14:textId="77777777" w:rsidTr="008E70DE">
        <w:trPr>
          <w:cnfStyle w:val="100000000000" w:firstRow="1" w:lastRow="0" w:firstColumn="0" w:lastColumn="0" w:oddVBand="0" w:evenVBand="0" w:oddHBand="0" w:evenHBand="0" w:firstRowFirstColumn="0" w:firstRowLastColumn="0" w:lastRowFirstColumn="0" w:lastRowLastColumn="0"/>
          <w:tblHeader/>
        </w:trPr>
        <w:tc>
          <w:tcPr>
            <w:tcW w:w="905" w:type="dxa"/>
          </w:tcPr>
          <w:p w14:paraId="56BE5E2E" w14:textId="77777777" w:rsidR="00777A44" w:rsidRPr="00154B50" w:rsidRDefault="00777A44" w:rsidP="00EA54CA">
            <w:pPr>
              <w:pStyle w:val="TableHeading"/>
            </w:pPr>
            <w:r w:rsidRPr="00154B50">
              <w:t>STATE</w:t>
            </w:r>
          </w:p>
        </w:tc>
        <w:tc>
          <w:tcPr>
            <w:tcW w:w="3699" w:type="dxa"/>
          </w:tcPr>
          <w:p w14:paraId="602FE90B" w14:textId="77777777" w:rsidR="00777A44" w:rsidRPr="00154B50" w:rsidRDefault="00777A44" w:rsidP="00EA54CA">
            <w:pPr>
              <w:pStyle w:val="TableHeading"/>
            </w:pPr>
            <w:r w:rsidRPr="00154B50">
              <w:t>NAME</w:t>
            </w:r>
          </w:p>
        </w:tc>
        <w:tc>
          <w:tcPr>
            <w:tcW w:w="4185" w:type="dxa"/>
          </w:tcPr>
          <w:p w14:paraId="290C3F23" w14:textId="77777777" w:rsidR="00777A44" w:rsidRPr="00154B50" w:rsidRDefault="00777A44" w:rsidP="00EA54CA">
            <w:pPr>
              <w:pStyle w:val="TableHeading"/>
            </w:pPr>
            <w:r w:rsidRPr="00154B50">
              <w:t>TITLE</w:t>
            </w:r>
          </w:p>
        </w:tc>
        <w:tc>
          <w:tcPr>
            <w:tcW w:w="6662" w:type="dxa"/>
          </w:tcPr>
          <w:p w14:paraId="55DEEA05" w14:textId="77777777" w:rsidR="00777A44" w:rsidRPr="00154B50" w:rsidRDefault="00777A44" w:rsidP="00EA54CA">
            <w:pPr>
              <w:pStyle w:val="TableHeading"/>
            </w:pPr>
            <w:r w:rsidRPr="00154B50">
              <w:t>ORG/DEPARTMENT/AREA</w:t>
            </w:r>
          </w:p>
        </w:tc>
      </w:tr>
      <w:tr w:rsidR="00777A44" w:rsidRPr="00EA54CA" w14:paraId="3257C5ED" w14:textId="77777777" w:rsidTr="008E70DE">
        <w:tc>
          <w:tcPr>
            <w:tcW w:w="15451" w:type="dxa"/>
            <w:gridSpan w:val="4"/>
            <w:shd w:val="clear" w:color="auto" w:fill="FFF200" w:themeFill="background2"/>
          </w:tcPr>
          <w:p w14:paraId="0A351AF4" w14:textId="77777777" w:rsidR="00777A44" w:rsidRPr="00EA54CA" w:rsidRDefault="00777A44" w:rsidP="00EA54CA">
            <w:pPr>
              <w:pStyle w:val="TableHeading"/>
            </w:pPr>
            <w:r w:rsidRPr="00EA54CA">
              <w:t>Internal contacts, Department of Health</w:t>
            </w:r>
          </w:p>
        </w:tc>
      </w:tr>
      <w:tr w:rsidR="00777A44" w:rsidRPr="00EA54CA" w14:paraId="25FEE3CC" w14:textId="77777777" w:rsidTr="008E70DE">
        <w:tc>
          <w:tcPr>
            <w:tcW w:w="905" w:type="dxa"/>
          </w:tcPr>
          <w:p w14:paraId="4052FBA8" w14:textId="77777777" w:rsidR="00777A44" w:rsidRPr="00EA54CA" w:rsidRDefault="00777A44" w:rsidP="00EA54CA">
            <w:pPr>
              <w:pStyle w:val="TableCopy"/>
              <w:rPr>
                <w:rFonts w:asciiTheme="minorHAnsi" w:hAnsiTheme="minorHAnsi"/>
              </w:rPr>
            </w:pPr>
          </w:p>
        </w:tc>
        <w:tc>
          <w:tcPr>
            <w:tcW w:w="3699" w:type="dxa"/>
            <w:vAlign w:val="center"/>
          </w:tcPr>
          <w:p w14:paraId="4A8D36EB"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Sandra Downie</w:t>
            </w:r>
          </w:p>
        </w:tc>
        <w:tc>
          <w:tcPr>
            <w:tcW w:w="4185" w:type="dxa"/>
            <w:vAlign w:val="center"/>
          </w:tcPr>
          <w:p w14:paraId="2680BBE0"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Assistant Director</w:t>
            </w:r>
          </w:p>
        </w:tc>
        <w:tc>
          <w:tcPr>
            <w:tcW w:w="6662" w:type="dxa"/>
            <w:vAlign w:val="center"/>
          </w:tcPr>
          <w:p w14:paraId="33B4466F"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Health Care Homes Governance, Reporting and Engagement Section</w:t>
            </w:r>
          </w:p>
        </w:tc>
      </w:tr>
      <w:tr w:rsidR="00777A44" w:rsidRPr="00EA54CA" w14:paraId="06E95ED8" w14:textId="77777777" w:rsidTr="008E70DE">
        <w:tc>
          <w:tcPr>
            <w:tcW w:w="905" w:type="dxa"/>
          </w:tcPr>
          <w:p w14:paraId="3E75C9EC" w14:textId="77777777" w:rsidR="00777A44" w:rsidRPr="00EA54CA" w:rsidRDefault="00777A44" w:rsidP="00EA54CA">
            <w:pPr>
              <w:pStyle w:val="TableCopy"/>
              <w:rPr>
                <w:rFonts w:asciiTheme="minorHAnsi" w:hAnsiTheme="minorHAnsi"/>
              </w:rPr>
            </w:pPr>
          </w:p>
        </w:tc>
        <w:tc>
          <w:tcPr>
            <w:tcW w:w="3699" w:type="dxa"/>
            <w:vAlign w:val="center"/>
          </w:tcPr>
          <w:p w14:paraId="47D04125"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 xml:space="preserve">Alan Stephen </w:t>
            </w:r>
          </w:p>
        </w:tc>
        <w:tc>
          <w:tcPr>
            <w:tcW w:w="4185" w:type="dxa"/>
            <w:vAlign w:val="center"/>
          </w:tcPr>
          <w:p w14:paraId="1B5FFD30"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Departmental Officer</w:t>
            </w:r>
          </w:p>
        </w:tc>
        <w:tc>
          <w:tcPr>
            <w:tcW w:w="6662" w:type="dxa"/>
            <w:vAlign w:val="center"/>
          </w:tcPr>
          <w:p w14:paraId="4C80DE9F"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Health Care Homes Governance, Reporting and Engagement Section</w:t>
            </w:r>
          </w:p>
        </w:tc>
      </w:tr>
      <w:tr w:rsidR="00777A44" w:rsidRPr="00EA54CA" w14:paraId="755AA68A" w14:textId="77777777" w:rsidTr="008E70DE">
        <w:tc>
          <w:tcPr>
            <w:tcW w:w="905" w:type="dxa"/>
          </w:tcPr>
          <w:p w14:paraId="41E83938" w14:textId="77777777" w:rsidR="00777A44" w:rsidRPr="00EA54CA" w:rsidRDefault="00777A44" w:rsidP="00EA54CA">
            <w:pPr>
              <w:pStyle w:val="TableCopy"/>
              <w:rPr>
                <w:rFonts w:asciiTheme="minorHAnsi" w:hAnsiTheme="minorHAnsi"/>
              </w:rPr>
            </w:pPr>
          </w:p>
        </w:tc>
        <w:tc>
          <w:tcPr>
            <w:tcW w:w="3699" w:type="dxa"/>
            <w:vAlign w:val="center"/>
          </w:tcPr>
          <w:p w14:paraId="04E7EE64"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James Newhouse</w:t>
            </w:r>
          </w:p>
        </w:tc>
        <w:tc>
          <w:tcPr>
            <w:tcW w:w="4185" w:type="dxa"/>
            <w:vAlign w:val="center"/>
          </w:tcPr>
          <w:p w14:paraId="50B12C06"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Assistant Director</w:t>
            </w:r>
          </w:p>
        </w:tc>
        <w:tc>
          <w:tcPr>
            <w:tcW w:w="6662" w:type="dxa"/>
            <w:vAlign w:val="center"/>
          </w:tcPr>
          <w:p w14:paraId="37F2B6C6"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Geospatial and Hospital Analytics - HERD</w:t>
            </w:r>
          </w:p>
        </w:tc>
      </w:tr>
      <w:tr w:rsidR="00777A44" w:rsidRPr="00EA54CA" w14:paraId="61843A1F" w14:textId="77777777" w:rsidTr="008E70DE">
        <w:tc>
          <w:tcPr>
            <w:tcW w:w="905" w:type="dxa"/>
          </w:tcPr>
          <w:p w14:paraId="31B3E974" w14:textId="77777777" w:rsidR="00777A44" w:rsidRPr="00EA54CA" w:rsidRDefault="00777A44" w:rsidP="00EA54CA">
            <w:pPr>
              <w:pStyle w:val="TableCopy"/>
              <w:rPr>
                <w:rFonts w:asciiTheme="minorHAnsi" w:hAnsiTheme="minorHAnsi"/>
              </w:rPr>
            </w:pPr>
          </w:p>
        </w:tc>
        <w:tc>
          <w:tcPr>
            <w:tcW w:w="3699" w:type="dxa"/>
            <w:vAlign w:val="center"/>
          </w:tcPr>
          <w:p w14:paraId="5E0FE194"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Loc Thai</w:t>
            </w:r>
          </w:p>
        </w:tc>
        <w:tc>
          <w:tcPr>
            <w:tcW w:w="4185" w:type="dxa"/>
            <w:vAlign w:val="center"/>
          </w:tcPr>
          <w:p w14:paraId="224DCDD3"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Director</w:t>
            </w:r>
          </w:p>
        </w:tc>
        <w:tc>
          <w:tcPr>
            <w:tcW w:w="6662" w:type="dxa"/>
            <w:vAlign w:val="center"/>
          </w:tcPr>
          <w:p w14:paraId="1DDDD013"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Geospatial and Hospital Analytics - HERD</w:t>
            </w:r>
          </w:p>
        </w:tc>
      </w:tr>
      <w:tr w:rsidR="00777A44" w:rsidRPr="00EA54CA" w14:paraId="5B0538AA" w14:textId="77777777" w:rsidTr="008E70DE">
        <w:tc>
          <w:tcPr>
            <w:tcW w:w="905" w:type="dxa"/>
          </w:tcPr>
          <w:p w14:paraId="28B6B392" w14:textId="77777777" w:rsidR="00777A44" w:rsidRPr="00EA54CA" w:rsidRDefault="00777A44" w:rsidP="00EA54CA">
            <w:pPr>
              <w:pStyle w:val="TableCopy"/>
              <w:rPr>
                <w:rFonts w:asciiTheme="minorHAnsi" w:hAnsiTheme="minorHAnsi"/>
              </w:rPr>
            </w:pPr>
          </w:p>
        </w:tc>
        <w:tc>
          <w:tcPr>
            <w:tcW w:w="3699" w:type="dxa"/>
            <w:vAlign w:val="center"/>
          </w:tcPr>
          <w:p w14:paraId="0413A8A2"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Emma Rowland</w:t>
            </w:r>
          </w:p>
        </w:tc>
        <w:tc>
          <w:tcPr>
            <w:tcW w:w="4185" w:type="dxa"/>
            <w:vAlign w:val="center"/>
          </w:tcPr>
          <w:p w14:paraId="0138F1FF"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Assistant Director</w:t>
            </w:r>
          </w:p>
        </w:tc>
        <w:tc>
          <w:tcPr>
            <w:tcW w:w="6662" w:type="dxa"/>
            <w:vAlign w:val="center"/>
          </w:tcPr>
          <w:p w14:paraId="00A87E62"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Primary Health Care Policy Section, Indigenous Health Division</w:t>
            </w:r>
          </w:p>
        </w:tc>
      </w:tr>
      <w:tr w:rsidR="00777A44" w:rsidRPr="00EA54CA" w14:paraId="611BF9D5" w14:textId="77777777" w:rsidTr="008E70DE">
        <w:tc>
          <w:tcPr>
            <w:tcW w:w="905" w:type="dxa"/>
          </w:tcPr>
          <w:p w14:paraId="725BA689" w14:textId="77777777" w:rsidR="00777A44" w:rsidRPr="00EA54CA" w:rsidRDefault="00777A44" w:rsidP="00EA54CA">
            <w:pPr>
              <w:pStyle w:val="TableCopy"/>
              <w:rPr>
                <w:rFonts w:asciiTheme="minorHAnsi" w:hAnsiTheme="minorHAnsi"/>
              </w:rPr>
            </w:pPr>
          </w:p>
        </w:tc>
        <w:tc>
          <w:tcPr>
            <w:tcW w:w="3699" w:type="dxa"/>
            <w:vAlign w:val="center"/>
          </w:tcPr>
          <w:p w14:paraId="4110C005"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Tony Lawrence</w:t>
            </w:r>
          </w:p>
        </w:tc>
        <w:tc>
          <w:tcPr>
            <w:tcW w:w="4185" w:type="dxa"/>
            <w:vAlign w:val="center"/>
          </w:tcPr>
          <w:p w14:paraId="3AA3492C"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Assistant Director</w:t>
            </w:r>
          </w:p>
        </w:tc>
        <w:tc>
          <w:tcPr>
            <w:tcW w:w="6662" w:type="dxa"/>
            <w:vAlign w:val="center"/>
          </w:tcPr>
          <w:p w14:paraId="253AF028"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MBS Analytics SN</w:t>
            </w:r>
          </w:p>
        </w:tc>
      </w:tr>
      <w:tr w:rsidR="00777A44" w:rsidRPr="00EA54CA" w14:paraId="4C88C52E" w14:textId="77777777" w:rsidTr="008E70DE">
        <w:tc>
          <w:tcPr>
            <w:tcW w:w="905" w:type="dxa"/>
          </w:tcPr>
          <w:p w14:paraId="094C4F47" w14:textId="77777777" w:rsidR="00777A44" w:rsidRPr="00EA54CA" w:rsidRDefault="00777A44" w:rsidP="00EA54CA">
            <w:pPr>
              <w:pStyle w:val="TableCopy"/>
              <w:rPr>
                <w:rFonts w:asciiTheme="minorHAnsi" w:hAnsiTheme="minorHAnsi"/>
              </w:rPr>
            </w:pPr>
          </w:p>
        </w:tc>
        <w:tc>
          <w:tcPr>
            <w:tcW w:w="3699" w:type="dxa"/>
            <w:vAlign w:val="center"/>
          </w:tcPr>
          <w:p w14:paraId="4F8A03AD"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David Nott</w:t>
            </w:r>
          </w:p>
        </w:tc>
        <w:tc>
          <w:tcPr>
            <w:tcW w:w="4185" w:type="dxa"/>
            <w:vAlign w:val="center"/>
          </w:tcPr>
          <w:p w14:paraId="7CBBD61E"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Director</w:t>
            </w:r>
          </w:p>
        </w:tc>
        <w:tc>
          <w:tcPr>
            <w:tcW w:w="6662" w:type="dxa"/>
            <w:vAlign w:val="center"/>
          </w:tcPr>
          <w:p w14:paraId="4D1227AC"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Provider Benefits Integrity and Digital Health Division - Director, Public Hospital Compliance Section, Compliance Audit and Education Branch</w:t>
            </w:r>
          </w:p>
        </w:tc>
      </w:tr>
      <w:tr w:rsidR="00777A44" w:rsidRPr="00EA54CA" w14:paraId="41F9B684" w14:textId="77777777" w:rsidTr="008E70DE">
        <w:tc>
          <w:tcPr>
            <w:tcW w:w="905" w:type="dxa"/>
          </w:tcPr>
          <w:p w14:paraId="36014B6E" w14:textId="77777777" w:rsidR="00777A44" w:rsidRPr="00EA54CA" w:rsidRDefault="00777A44" w:rsidP="00EA54CA">
            <w:pPr>
              <w:pStyle w:val="TableCopy"/>
              <w:rPr>
                <w:rFonts w:asciiTheme="minorHAnsi" w:hAnsiTheme="minorHAnsi"/>
              </w:rPr>
            </w:pPr>
          </w:p>
        </w:tc>
        <w:tc>
          <w:tcPr>
            <w:tcW w:w="3699" w:type="dxa"/>
            <w:vAlign w:val="center"/>
          </w:tcPr>
          <w:p w14:paraId="6AB78D01"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Rohan Sanders</w:t>
            </w:r>
          </w:p>
        </w:tc>
        <w:tc>
          <w:tcPr>
            <w:tcW w:w="4185" w:type="dxa"/>
            <w:vAlign w:val="center"/>
          </w:tcPr>
          <w:p w14:paraId="1EA95B99"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Departmental Officer</w:t>
            </w:r>
          </w:p>
        </w:tc>
        <w:tc>
          <w:tcPr>
            <w:tcW w:w="6662" w:type="dxa"/>
            <w:vAlign w:val="center"/>
          </w:tcPr>
          <w:p w14:paraId="622BB633"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Provider Benefits Integrity</w:t>
            </w:r>
          </w:p>
        </w:tc>
      </w:tr>
      <w:tr w:rsidR="00777A44" w:rsidRPr="00EA54CA" w14:paraId="5CE2D5E7" w14:textId="77777777" w:rsidTr="008E70DE">
        <w:tc>
          <w:tcPr>
            <w:tcW w:w="905" w:type="dxa"/>
          </w:tcPr>
          <w:p w14:paraId="5C5FA368" w14:textId="77777777" w:rsidR="00777A44" w:rsidRPr="00EA54CA" w:rsidRDefault="00777A44" w:rsidP="00EA54CA">
            <w:pPr>
              <w:pStyle w:val="TableCopy"/>
              <w:rPr>
                <w:rFonts w:asciiTheme="minorHAnsi" w:hAnsiTheme="minorHAnsi"/>
              </w:rPr>
            </w:pPr>
          </w:p>
        </w:tc>
        <w:tc>
          <w:tcPr>
            <w:tcW w:w="3699" w:type="dxa"/>
            <w:vAlign w:val="center"/>
          </w:tcPr>
          <w:p w14:paraId="5C0CA126"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Michael Ryan</w:t>
            </w:r>
          </w:p>
        </w:tc>
        <w:tc>
          <w:tcPr>
            <w:tcW w:w="4185" w:type="dxa"/>
            <w:vAlign w:val="center"/>
          </w:tcPr>
          <w:p w14:paraId="6B8F1CDF"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Director</w:t>
            </w:r>
          </w:p>
        </w:tc>
        <w:tc>
          <w:tcPr>
            <w:tcW w:w="6662" w:type="dxa"/>
            <w:vAlign w:val="center"/>
          </w:tcPr>
          <w:p w14:paraId="6C5390B1" w14:textId="4BA2269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 xml:space="preserve">Diagnostic Imaging Section, Diagnostic Imaging and Pathology Branch, </w:t>
            </w:r>
            <w:r w:rsidR="00705AE9" w:rsidRPr="00EA54CA">
              <w:rPr>
                <w:rFonts w:asciiTheme="minorHAnsi" w:eastAsia="Times New Roman" w:hAnsiTheme="minorHAnsi" w:cs="Calibri"/>
                <w:color w:val="000000"/>
                <w:spacing w:val="0"/>
                <w:lang w:eastAsia="en-AU"/>
              </w:rPr>
              <w:t>Medical Benefits Division</w:t>
            </w:r>
          </w:p>
        </w:tc>
      </w:tr>
      <w:tr w:rsidR="00777A44" w:rsidRPr="00EA54CA" w14:paraId="4100068C" w14:textId="77777777" w:rsidTr="008E70DE">
        <w:tc>
          <w:tcPr>
            <w:tcW w:w="905" w:type="dxa"/>
          </w:tcPr>
          <w:p w14:paraId="0534E5A6" w14:textId="77777777" w:rsidR="00777A44" w:rsidRPr="00EA54CA" w:rsidRDefault="00777A44" w:rsidP="00EA54CA">
            <w:pPr>
              <w:pStyle w:val="TableCopy"/>
              <w:rPr>
                <w:rFonts w:asciiTheme="minorHAnsi" w:hAnsiTheme="minorHAnsi"/>
              </w:rPr>
            </w:pPr>
          </w:p>
        </w:tc>
        <w:tc>
          <w:tcPr>
            <w:tcW w:w="3699" w:type="dxa"/>
            <w:vAlign w:val="center"/>
          </w:tcPr>
          <w:p w14:paraId="595AC5E7" w14:textId="795E6C58"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Fifine Cahill</w:t>
            </w:r>
            <w:r w:rsidR="005114B8" w:rsidRPr="00EA54CA">
              <w:rPr>
                <w:rFonts w:asciiTheme="minorHAnsi" w:eastAsia="Times New Roman" w:hAnsiTheme="minorHAnsi" w:cs="Calibri"/>
                <w:color w:val="000000"/>
                <w:spacing w:val="0"/>
                <w:lang w:eastAsia="en-AU"/>
              </w:rPr>
              <w:t xml:space="preserve"> (with Louise Larcon)</w:t>
            </w:r>
          </w:p>
        </w:tc>
        <w:tc>
          <w:tcPr>
            <w:tcW w:w="4185" w:type="dxa"/>
            <w:vAlign w:val="center"/>
          </w:tcPr>
          <w:p w14:paraId="0A671C64"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Assistant Secretary</w:t>
            </w:r>
          </w:p>
        </w:tc>
        <w:tc>
          <w:tcPr>
            <w:tcW w:w="6662" w:type="dxa"/>
            <w:vAlign w:val="center"/>
          </w:tcPr>
          <w:p w14:paraId="30B8EA44"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National Health Reform Branch</w:t>
            </w:r>
          </w:p>
        </w:tc>
      </w:tr>
      <w:tr w:rsidR="00777A44" w:rsidRPr="00EA54CA" w14:paraId="4522BD3F" w14:textId="77777777" w:rsidTr="008E70DE">
        <w:tc>
          <w:tcPr>
            <w:tcW w:w="905" w:type="dxa"/>
          </w:tcPr>
          <w:p w14:paraId="39080C84" w14:textId="77777777" w:rsidR="00777A44" w:rsidRPr="00EA54CA" w:rsidRDefault="00777A44" w:rsidP="00EA54CA">
            <w:pPr>
              <w:pStyle w:val="TableCopy"/>
              <w:rPr>
                <w:rFonts w:asciiTheme="minorHAnsi" w:hAnsiTheme="minorHAnsi"/>
              </w:rPr>
            </w:pPr>
          </w:p>
        </w:tc>
        <w:tc>
          <w:tcPr>
            <w:tcW w:w="3699" w:type="dxa"/>
            <w:vAlign w:val="center"/>
          </w:tcPr>
          <w:p w14:paraId="04D4EDC3"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Professor Ruth Stewart</w:t>
            </w:r>
          </w:p>
        </w:tc>
        <w:tc>
          <w:tcPr>
            <w:tcW w:w="4185" w:type="dxa"/>
            <w:vAlign w:val="center"/>
          </w:tcPr>
          <w:p w14:paraId="77B20217"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National Rural Health Commissioner</w:t>
            </w:r>
          </w:p>
        </w:tc>
        <w:tc>
          <w:tcPr>
            <w:tcW w:w="6662" w:type="dxa"/>
            <w:vAlign w:val="center"/>
          </w:tcPr>
          <w:p w14:paraId="03072BAA"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NHRC</w:t>
            </w:r>
          </w:p>
        </w:tc>
      </w:tr>
      <w:tr w:rsidR="00777A44" w:rsidRPr="00EA54CA" w14:paraId="5DF701A9" w14:textId="77777777" w:rsidTr="008E70DE">
        <w:tc>
          <w:tcPr>
            <w:tcW w:w="905" w:type="dxa"/>
          </w:tcPr>
          <w:p w14:paraId="60C30556" w14:textId="77777777" w:rsidR="00777A44" w:rsidRPr="00EA54CA" w:rsidRDefault="00777A44" w:rsidP="00EA54CA">
            <w:pPr>
              <w:pStyle w:val="TableCopy"/>
              <w:rPr>
                <w:rFonts w:asciiTheme="minorHAnsi" w:hAnsiTheme="minorHAnsi"/>
              </w:rPr>
            </w:pPr>
          </w:p>
        </w:tc>
        <w:tc>
          <w:tcPr>
            <w:tcW w:w="3699" w:type="dxa"/>
            <w:vAlign w:val="center"/>
          </w:tcPr>
          <w:p w14:paraId="34B090DB"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Gayle Nicholson</w:t>
            </w:r>
          </w:p>
        </w:tc>
        <w:tc>
          <w:tcPr>
            <w:tcW w:w="4185" w:type="dxa"/>
            <w:vAlign w:val="center"/>
          </w:tcPr>
          <w:p w14:paraId="74B1E883"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Senior Policy Officer</w:t>
            </w:r>
          </w:p>
        </w:tc>
        <w:tc>
          <w:tcPr>
            <w:tcW w:w="6662" w:type="dxa"/>
            <w:vAlign w:val="center"/>
          </w:tcPr>
          <w:p w14:paraId="6831EA51"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Medicare Providers, Services Australia</w:t>
            </w:r>
          </w:p>
        </w:tc>
      </w:tr>
      <w:tr w:rsidR="00777A44" w:rsidRPr="00EA54CA" w14:paraId="56E0DB10" w14:textId="77777777" w:rsidTr="008E70DE">
        <w:tc>
          <w:tcPr>
            <w:tcW w:w="905" w:type="dxa"/>
          </w:tcPr>
          <w:p w14:paraId="39B36735" w14:textId="77777777" w:rsidR="00777A44" w:rsidRPr="00EA54CA" w:rsidRDefault="00777A44" w:rsidP="00EA54CA">
            <w:pPr>
              <w:pStyle w:val="TableCopy"/>
              <w:rPr>
                <w:rFonts w:asciiTheme="minorHAnsi" w:hAnsiTheme="minorHAnsi"/>
              </w:rPr>
            </w:pPr>
          </w:p>
        </w:tc>
        <w:tc>
          <w:tcPr>
            <w:tcW w:w="3699" w:type="dxa"/>
            <w:vAlign w:val="center"/>
          </w:tcPr>
          <w:p w14:paraId="328B308D" w14:textId="58AABFC3"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Emma Phelan</w:t>
            </w:r>
            <w:r w:rsidR="005114B8" w:rsidRPr="00EA54CA">
              <w:rPr>
                <w:rFonts w:asciiTheme="minorHAnsi" w:eastAsia="Times New Roman" w:hAnsiTheme="minorHAnsi" w:cs="Calibri"/>
                <w:color w:val="000000"/>
                <w:spacing w:val="0"/>
                <w:lang w:eastAsia="en-AU"/>
              </w:rPr>
              <w:t xml:space="preserve"> (written comments)</w:t>
            </w:r>
          </w:p>
        </w:tc>
        <w:tc>
          <w:tcPr>
            <w:tcW w:w="4185" w:type="dxa"/>
            <w:vAlign w:val="center"/>
          </w:tcPr>
          <w:p w14:paraId="20D251F7" w14:textId="298B83D8" w:rsidR="00777A44" w:rsidRPr="00EA54CA" w:rsidRDefault="005114B8"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Director</w:t>
            </w:r>
          </w:p>
        </w:tc>
        <w:tc>
          <w:tcPr>
            <w:tcW w:w="6662" w:type="dxa"/>
            <w:vAlign w:val="center"/>
          </w:tcPr>
          <w:p w14:paraId="3F9F21CF"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Health Training Branch, HWA</w:t>
            </w:r>
          </w:p>
        </w:tc>
      </w:tr>
      <w:tr w:rsidR="00777A44" w:rsidRPr="00EA54CA" w14:paraId="58B99C7A" w14:textId="77777777" w:rsidTr="008E70DE">
        <w:tc>
          <w:tcPr>
            <w:tcW w:w="905" w:type="dxa"/>
          </w:tcPr>
          <w:p w14:paraId="0B40DEFD" w14:textId="77777777" w:rsidR="00777A44" w:rsidRPr="00EA54CA" w:rsidRDefault="00777A44" w:rsidP="00EA54CA">
            <w:pPr>
              <w:pStyle w:val="TableCopy"/>
              <w:rPr>
                <w:rFonts w:asciiTheme="minorHAnsi" w:hAnsiTheme="minorHAnsi"/>
              </w:rPr>
            </w:pPr>
          </w:p>
        </w:tc>
        <w:tc>
          <w:tcPr>
            <w:tcW w:w="3699" w:type="dxa"/>
            <w:vAlign w:val="center"/>
          </w:tcPr>
          <w:p w14:paraId="52B75225"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Tino Rizzo</w:t>
            </w:r>
          </w:p>
        </w:tc>
        <w:tc>
          <w:tcPr>
            <w:tcW w:w="4185" w:type="dxa"/>
            <w:vAlign w:val="center"/>
          </w:tcPr>
          <w:p w14:paraId="5DD74528"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Acting Director</w:t>
            </w:r>
          </w:p>
        </w:tc>
        <w:tc>
          <w:tcPr>
            <w:tcW w:w="6662" w:type="dxa"/>
            <w:vAlign w:val="center"/>
          </w:tcPr>
          <w:p w14:paraId="26850911"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GP Systems, Health Training Branch (Single Employer Trials)</w:t>
            </w:r>
          </w:p>
        </w:tc>
      </w:tr>
      <w:tr w:rsidR="00777A44" w:rsidRPr="00EA54CA" w14:paraId="3E0F83DC" w14:textId="77777777" w:rsidTr="008E70DE">
        <w:tc>
          <w:tcPr>
            <w:tcW w:w="905" w:type="dxa"/>
          </w:tcPr>
          <w:p w14:paraId="63B4E336" w14:textId="77777777" w:rsidR="00777A44" w:rsidRPr="00EA54CA" w:rsidRDefault="00777A44" w:rsidP="00EA54CA">
            <w:pPr>
              <w:pStyle w:val="TableCopy"/>
              <w:rPr>
                <w:rFonts w:asciiTheme="minorHAnsi" w:hAnsiTheme="minorHAnsi"/>
              </w:rPr>
            </w:pPr>
          </w:p>
        </w:tc>
        <w:tc>
          <w:tcPr>
            <w:tcW w:w="3699" w:type="dxa"/>
            <w:vAlign w:val="center"/>
          </w:tcPr>
          <w:p w14:paraId="2D7D883A" w14:textId="684DAD70"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Louise Clarke</w:t>
            </w:r>
          </w:p>
        </w:tc>
        <w:tc>
          <w:tcPr>
            <w:tcW w:w="4185" w:type="dxa"/>
            <w:vAlign w:val="center"/>
          </w:tcPr>
          <w:p w14:paraId="43DFEB57"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Assistant Secretary</w:t>
            </w:r>
          </w:p>
        </w:tc>
        <w:tc>
          <w:tcPr>
            <w:tcW w:w="6662" w:type="dxa"/>
            <w:vAlign w:val="center"/>
          </w:tcPr>
          <w:p w14:paraId="00545362"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Rural Access Branch, HWA</w:t>
            </w:r>
          </w:p>
        </w:tc>
      </w:tr>
      <w:tr w:rsidR="00777A44" w:rsidRPr="00EA54CA" w14:paraId="055EC301" w14:textId="77777777" w:rsidTr="008E70DE">
        <w:tc>
          <w:tcPr>
            <w:tcW w:w="905" w:type="dxa"/>
          </w:tcPr>
          <w:p w14:paraId="74425DAC" w14:textId="77777777" w:rsidR="00777A44" w:rsidRPr="00EA54CA" w:rsidRDefault="00777A44" w:rsidP="00EA54CA">
            <w:pPr>
              <w:pStyle w:val="TableCopy"/>
              <w:rPr>
                <w:rFonts w:asciiTheme="minorHAnsi" w:hAnsiTheme="minorHAnsi"/>
              </w:rPr>
            </w:pPr>
          </w:p>
        </w:tc>
        <w:tc>
          <w:tcPr>
            <w:tcW w:w="3699" w:type="dxa"/>
            <w:vAlign w:val="center"/>
          </w:tcPr>
          <w:p w14:paraId="3110740A" w14:textId="070395D5"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Kathryn Yuile</w:t>
            </w:r>
          </w:p>
        </w:tc>
        <w:tc>
          <w:tcPr>
            <w:tcW w:w="4185" w:type="dxa"/>
            <w:vAlign w:val="center"/>
          </w:tcPr>
          <w:p w14:paraId="5F40747B"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Director</w:t>
            </w:r>
          </w:p>
        </w:tc>
        <w:tc>
          <w:tcPr>
            <w:tcW w:w="6662" w:type="dxa"/>
            <w:vAlign w:val="center"/>
          </w:tcPr>
          <w:p w14:paraId="46C16C26"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Health Workforce Strategic Policy Section, Health Workforce Reform Branch</w:t>
            </w:r>
          </w:p>
        </w:tc>
      </w:tr>
      <w:tr w:rsidR="00777A44" w:rsidRPr="00EA54CA" w14:paraId="7EB17933" w14:textId="77777777" w:rsidTr="008E70DE">
        <w:tc>
          <w:tcPr>
            <w:tcW w:w="15451" w:type="dxa"/>
            <w:gridSpan w:val="4"/>
            <w:shd w:val="clear" w:color="auto" w:fill="FFF200" w:themeFill="background2"/>
          </w:tcPr>
          <w:p w14:paraId="1F6B9EA2" w14:textId="77777777" w:rsidR="00777A44" w:rsidRPr="00EA54CA" w:rsidRDefault="00777A44" w:rsidP="00EA54CA">
            <w:pPr>
              <w:pStyle w:val="TableHeading"/>
              <w:rPr>
                <w:lang w:eastAsia="en-AU"/>
              </w:rPr>
            </w:pPr>
            <w:r w:rsidRPr="00EA54CA">
              <w:rPr>
                <w:lang w:eastAsia="en-AU"/>
              </w:rPr>
              <w:t>Jurisdictions</w:t>
            </w:r>
          </w:p>
        </w:tc>
      </w:tr>
      <w:tr w:rsidR="00777A44" w:rsidRPr="00EA54CA" w14:paraId="10E5A228" w14:textId="77777777" w:rsidTr="008E70DE">
        <w:tc>
          <w:tcPr>
            <w:tcW w:w="905" w:type="dxa"/>
            <w:vAlign w:val="center"/>
          </w:tcPr>
          <w:p w14:paraId="79839D40"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NSW</w:t>
            </w:r>
          </w:p>
        </w:tc>
        <w:tc>
          <w:tcPr>
            <w:tcW w:w="3699" w:type="dxa"/>
            <w:vAlign w:val="center"/>
          </w:tcPr>
          <w:p w14:paraId="493486AD"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Josephine Hull</w:t>
            </w:r>
          </w:p>
        </w:tc>
        <w:tc>
          <w:tcPr>
            <w:tcW w:w="4185" w:type="dxa"/>
            <w:vAlign w:val="center"/>
          </w:tcPr>
          <w:p w14:paraId="7F1F805F"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Senior Policy Officer</w:t>
            </w:r>
          </w:p>
        </w:tc>
        <w:tc>
          <w:tcPr>
            <w:tcW w:w="6662" w:type="dxa"/>
            <w:vAlign w:val="center"/>
          </w:tcPr>
          <w:p w14:paraId="768CC16E"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Strategic Reform and Planning Branch</w:t>
            </w:r>
          </w:p>
        </w:tc>
      </w:tr>
      <w:tr w:rsidR="00777A44" w:rsidRPr="00EA54CA" w14:paraId="5981CD07" w14:textId="77777777" w:rsidTr="005114B8">
        <w:trPr>
          <w:trHeight w:val="93"/>
        </w:trPr>
        <w:tc>
          <w:tcPr>
            <w:tcW w:w="905" w:type="dxa"/>
            <w:vAlign w:val="center"/>
          </w:tcPr>
          <w:p w14:paraId="548AA27C"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NSW</w:t>
            </w:r>
          </w:p>
        </w:tc>
        <w:tc>
          <w:tcPr>
            <w:tcW w:w="3699" w:type="dxa"/>
            <w:vAlign w:val="center"/>
          </w:tcPr>
          <w:p w14:paraId="65885399"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Michelle Maxwell</w:t>
            </w:r>
          </w:p>
        </w:tc>
        <w:tc>
          <w:tcPr>
            <w:tcW w:w="4185" w:type="dxa"/>
            <w:vAlign w:val="center"/>
          </w:tcPr>
          <w:p w14:paraId="39FC0BA5"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Director, Strategic Change</w:t>
            </w:r>
          </w:p>
        </w:tc>
        <w:tc>
          <w:tcPr>
            <w:tcW w:w="6662" w:type="dxa"/>
            <w:vAlign w:val="center"/>
          </w:tcPr>
          <w:p w14:paraId="15578479" w14:textId="77777777" w:rsidR="00777A44" w:rsidRPr="00EA54CA" w:rsidRDefault="00777A44" w:rsidP="00EA54CA">
            <w:pPr>
              <w:pStyle w:val="TableCopy"/>
              <w:rPr>
                <w:rFonts w:asciiTheme="minorHAnsi" w:hAnsiTheme="minorHAnsi"/>
              </w:rPr>
            </w:pPr>
            <w:r w:rsidRPr="00EA54CA">
              <w:rPr>
                <w:rFonts w:asciiTheme="minorHAnsi" w:eastAsia="Times New Roman" w:hAnsiTheme="minorHAnsi" w:cs="Calibri"/>
                <w:color w:val="000000"/>
                <w:spacing w:val="0"/>
                <w:lang w:eastAsia="en-AU"/>
              </w:rPr>
              <w:t>Strategic Reform and Planning Branch</w:t>
            </w:r>
          </w:p>
        </w:tc>
      </w:tr>
      <w:tr w:rsidR="005114B8" w:rsidRPr="00EA54CA" w14:paraId="692746A3" w14:textId="77777777" w:rsidTr="005114B8">
        <w:trPr>
          <w:trHeight w:val="93"/>
        </w:trPr>
        <w:tc>
          <w:tcPr>
            <w:tcW w:w="905" w:type="dxa"/>
            <w:vAlign w:val="center"/>
          </w:tcPr>
          <w:p w14:paraId="7E05D4D6" w14:textId="131426DA"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NSW</w:t>
            </w:r>
          </w:p>
        </w:tc>
        <w:tc>
          <w:tcPr>
            <w:tcW w:w="3699" w:type="dxa"/>
            <w:vAlign w:val="center"/>
          </w:tcPr>
          <w:p w14:paraId="40C31977" w14:textId="3373B04E"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Samantha Reid</w:t>
            </w:r>
          </w:p>
        </w:tc>
        <w:tc>
          <w:tcPr>
            <w:tcW w:w="4185" w:type="dxa"/>
            <w:vAlign w:val="center"/>
          </w:tcPr>
          <w:p w14:paraId="17B4D0A9" w14:textId="6DCA6869" w:rsidR="005114B8"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c>
          <w:tcPr>
            <w:tcW w:w="6662" w:type="dxa"/>
            <w:vAlign w:val="center"/>
          </w:tcPr>
          <w:p w14:paraId="0EB5A27D" w14:textId="4E6BA9C5" w:rsidR="005114B8"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r>
      <w:tr w:rsidR="00777A44" w:rsidRPr="00EA54CA" w14:paraId="360F8047" w14:textId="77777777" w:rsidTr="008E70DE">
        <w:tc>
          <w:tcPr>
            <w:tcW w:w="905" w:type="dxa"/>
            <w:vAlign w:val="center"/>
          </w:tcPr>
          <w:p w14:paraId="63A372C9"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NT</w:t>
            </w:r>
          </w:p>
        </w:tc>
        <w:tc>
          <w:tcPr>
            <w:tcW w:w="3699" w:type="dxa"/>
            <w:vAlign w:val="center"/>
          </w:tcPr>
          <w:p w14:paraId="107782C8"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Anthony Burton</w:t>
            </w:r>
          </w:p>
        </w:tc>
        <w:tc>
          <w:tcPr>
            <w:tcW w:w="4185" w:type="dxa"/>
            <w:vAlign w:val="center"/>
          </w:tcPr>
          <w:p w14:paraId="53E0EC80"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Director</w:t>
            </w:r>
          </w:p>
        </w:tc>
        <w:tc>
          <w:tcPr>
            <w:tcW w:w="6662" w:type="dxa"/>
            <w:vAlign w:val="center"/>
          </w:tcPr>
          <w:p w14:paraId="76DDCD07"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Intergovernmental Relations and Ageing</w:t>
            </w:r>
          </w:p>
        </w:tc>
      </w:tr>
      <w:tr w:rsidR="005114B8" w:rsidRPr="00EA54CA" w14:paraId="021E0F8F" w14:textId="77777777" w:rsidTr="008E70DE">
        <w:tc>
          <w:tcPr>
            <w:tcW w:w="905" w:type="dxa"/>
            <w:vAlign w:val="center"/>
          </w:tcPr>
          <w:p w14:paraId="0C1662C7" w14:textId="557D6599"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NT</w:t>
            </w:r>
          </w:p>
        </w:tc>
        <w:tc>
          <w:tcPr>
            <w:tcW w:w="3699" w:type="dxa"/>
            <w:vAlign w:val="center"/>
          </w:tcPr>
          <w:p w14:paraId="51D81EA5" w14:textId="793438A9"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Meli</w:t>
            </w:r>
            <w:r w:rsidR="00DE48A4" w:rsidRPr="00EA54CA">
              <w:rPr>
                <w:rFonts w:asciiTheme="minorHAnsi" w:eastAsia="Times New Roman" w:hAnsiTheme="minorHAnsi" w:cs="Calibri"/>
                <w:color w:val="000000"/>
                <w:spacing w:val="0"/>
                <w:lang w:eastAsia="en-AU"/>
              </w:rPr>
              <w:t>s</w:t>
            </w:r>
            <w:r w:rsidRPr="00EA54CA">
              <w:rPr>
                <w:rFonts w:asciiTheme="minorHAnsi" w:eastAsia="Times New Roman" w:hAnsiTheme="minorHAnsi" w:cs="Calibri"/>
                <w:color w:val="000000"/>
                <w:spacing w:val="0"/>
                <w:lang w:eastAsia="en-AU"/>
              </w:rPr>
              <w:t>sa Brooke</w:t>
            </w:r>
          </w:p>
        </w:tc>
        <w:tc>
          <w:tcPr>
            <w:tcW w:w="4185" w:type="dxa"/>
            <w:vAlign w:val="bottom"/>
          </w:tcPr>
          <w:p w14:paraId="6B1C7C2D" w14:textId="5C9120DB" w:rsidR="005114B8"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c>
          <w:tcPr>
            <w:tcW w:w="6662" w:type="dxa"/>
            <w:vAlign w:val="bottom"/>
          </w:tcPr>
          <w:p w14:paraId="3ED4BB31" w14:textId="14AC6C75" w:rsidR="005114B8"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r>
      <w:tr w:rsidR="00777A44" w:rsidRPr="00EA54CA" w14:paraId="1EDDA566" w14:textId="77777777" w:rsidTr="008E70DE">
        <w:tc>
          <w:tcPr>
            <w:tcW w:w="905" w:type="dxa"/>
            <w:vAlign w:val="center"/>
          </w:tcPr>
          <w:p w14:paraId="0BB8EBA7"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NT</w:t>
            </w:r>
          </w:p>
        </w:tc>
        <w:tc>
          <w:tcPr>
            <w:tcW w:w="3699" w:type="dxa"/>
            <w:vAlign w:val="center"/>
          </w:tcPr>
          <w:p w14:paraId="50352090"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Maja Van Bruggen</w:t>
            </w:r>
          </w:p>
        </w:tc>
        <w:tc>
          <w:tcPr>
            <w:tcW w:w="4185" w:type="dxa"/>
            <w:vAlign w:val="bottom"/>
          </w:tcPr>
          <w:p w14:paraId="212F0550" w14:textId="23BACF73" w:rsidR="00777A44" w:rsidRPr="00EA54CA" w:rsidRDefault="00543F7B"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Director, Revenue Management</w:t>
            </w:r>
          </w:p>
        </w:tc>
        <w:tc>
          <w:tcPr>
            <w:tcW w:w="6662" w:type="dxa"/>
            <w:vAlign w:val="bottom"/>
          </w:tcPr>
          <w:p w14:paraId="23EB8F1A" w14:textId="3ABE43B6" w:rsidR="00777A44"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r>
      <w:tr w:rsidR="00777A44" w:rsidRPr="00EA54CA" w14:paraId="51F18119" w14:textId="77777777" w:rsidTr="008E70DE">
        <w:tc>
          <w:tcPr>
            <w:tcW w:w="905" w:type="dxa"/>
            <w:vAlign w:val="center"/>
          </w:tcPr>
          <w:p w14:paraId="3680D068"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WA</w:t>
            </w:r>
          </w:p>
        </w:tc>
        <w:tc>
          <w:tcPr>
            <w:tcW w:w="3699" w:type="dxa"/>
            <w:vAlign w:val="center"/>
          </w:tcPr>
          <w:p w14:paraId="06C7FF66"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James Thomas</w:t>
            </w:r>
          </w:p>
        </w:tc>
        <w:tc>
          <w:tcPr>
            <w:tcW w:w="4185" w:type="dxa"/>
            <w:vAlign w:val="center"/>
          </w:tcPr>
          <w:p w14:paraId="419DA8D2"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 xml:space="preserve">Executive Director </w:t>
            </w:r>
          </w:p>
        </w:tc>
        <w:tc>
          <w:tcPr>
            <w:tcW w:w="6662" w:type="dxa"/>
            <w:vAlign w:val="center"/>
          </w:tcPr>
          <w:p w14:paraId="5862660A" w14:textId="7D745E31"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Health Programs</w:t>
            </w:r>
            <w:r w:rsidR="009466FB" w:rsidRPr="00EA54CA">
              <w:rPr>
                <w:rFonts w:asciiTheme="minorHAnsi" w:eastAsia="Times New Roman" w:hAnsiTheme="minorHAnsi" w:cs="Calibri"/>
                <w:color w:val="000000"/>
                <w:spacing w:val="0"/>
                <w:lang w:eastAsia="en-AU"/>
              </w:rPr>
              <w:t xml:space="preserve"> WACHS</w:t>
            </w:r>
          </w:p>
        </w:tc>
      </w:tr>
      <w:tr w:rsidR="00777A44" w:rsidRPr="00EA54CA" w14:paraId="47B0FE07" w14:textId="77777777" w:rsidTr="008E70DE">
        <w:tc>
          <w:tcPr>
            <w:tcW w:w="905" w:type="dxa"/>
            <w:vAlign w:val="center"/>
          </w:tcPr>
          <w:p w14:paraId="38F27266"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WA</w:t>
            </w:r>
          </w:p>
        </w:tc>
        <w:tc>
          <w:tcPr>
            <w:tcW w:w="3699" w:type="dxa"/>
            <w:vAlign w:val="center"/>
          </w:tcPr>
          <w:p w14:paraId="481B967C"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Anna McDonald</w:t>
            </w:r>
          </w:p>
        </w:tc>
        <w:tc>
          <w:tcPr>
            <w:tcW w:w="4185" w:type="dxa"/>
            <w:vAlign w:val="center"/>
          </w:tcPr>
          <w:p w14:paraId="6568EE4F"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Project Coordinator</w:t>
            </w:r>
          </w:p>
        </w:tc>
        <w:tc>
          <w:tcPr>
            <w:tcW w:w="6662" w:type="dxa"/>
            <w:vAlign w:val="center"/>
          </w:tcPr>
          <w:p w14:paraId="058B2FAF" w14:textId="7B9EDDE4"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Health Programs</w:t>
            </w:r>
            <w:r w:rsidR="009466FB" w:rsidRPr="00EA54CA">
              <w:rPr>
                <w:rFonts w:asciiTheme="minorHAnsi" w:eastAsia="Times New Roman" w:hAnsiTheme="minorHAnsi" w:cs="Calibri"/>
                <w:color w:val="000000"/>
                <w:spacing w:val="0"/>
                <w:lang w:eastAsia="en-AU"/>
              </w:rPr>
              <w:t xml:space="preserve"> WACHS</w:t>
            </w:r>
          </w:p>
        </w:tc>
      </w:tr>
      <w:tr w:rsidR="00777A44" w:rsidRPr="00EA54CA" w14:paraId="47DF3238" w14:textId="77777777" w:rsidTr="008E70DE">
        <w:tc>
          <w:tcPr>
            <w:tcW w:w="905" w:type="dxa"/>
            <w:vAlign w:val="center"/>
          </w:tcPr>
          <w:p w14:paraId="6C0E27E2"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QLD</w:t>
            </w:r>
          </w:p>
        </w:tc>
        <w:tc>
          <w:tcPr>
            <w:tcW w:w="3699" w:type="dxa"/>
            <w:vAlign w:val="center"/>
          </w:tcPr>
          <w:p w14:paraId="761D0508"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Ricky Barker</w:t>
            </w:r>
          </w:p>
        </w:tc>
        <w:tc>
          <w:tcPr>
            <w:tcW w:w="4185" w:type="dxa"/>
            <w:vAlign w:val="center"/>
          </w:tcPr>
          <w:p w14:paraId="5256EE87" w14:textId="77777777"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Principal Advisor</w:t>
            </w:r>
          </w:p>
        </w:tc>
        <w:tc>
          <w:tcPr>
            <w:tcW w:w="6662" w:type="dxa"/>
            <w:vAlign w:val="center"/>
          </w:tcPr>
          <w:p w14:paraId="6C099D2A" w14:textId="75D18681" w:rsidR="00777A44" w:rsidRPr="00EA54CA" w:rsidRDefault="00777A44"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Revenue Strategy and Support Unit</w:t>
            </w:r>
            <w:r w:rsidR="009466FB" w:rsidRPr="00EA54CA">
              <w:rPr>
                <w:rFonts w:asciiTheme="minorHAnsi" w:eastAsia="Times New Roman" w:hAnsiTheme="minorHAnsi" w:cs="Calibri"/>
                <w:color w:val="000000"/>
                <w:spacing w:val="0"/>
                <w:lang w:eastAsia="en-AU"/>
              </w:rPr>
              <w:t>, Queensland Health</w:t>
            </w:r>
          </w:p>
        </w:tc>
      </w:tr>
      <w:tr w:rsidR="005114B8" w:rsidRPr="00EA54CA" w14:paraId="132AB89E" w14:textId="77777777" w:rsidTr="008E70DE">
        <w:tc>
          <w:tcPr>
            <w:tcW w:w="905" w:type="dxa"/>
            <w:vAlign w:val="center"/>
          </w:tcPr>
          <w:p w14:paraId="6E91CF0E" w14:textId="747ECBE2"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QLD</w:t>
            </w:r>
          </w:p>
        </w:tc>
        <w:tc>
          <w:tcPr>
            <w:tcW w:w="3699" w:type="dxa"/>
            <w:vAlign w:val="center"/>
          </w:tcPr>
          <w:p w14:paraId="6AC14E62" w14:textId="2F37583D"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Karie Karvourn</w:t>
            </w:r>
          </w:p>
        </w:tc>
        <w:tc>
          <w:tcPr>
            <w:tcW w:w="4185" w:type="dxa"/>
            <w:vAlign w:val="center"/>
          </w:tcPr>
          <w:p w14:paraId="14E90103" w14:textId="380C889C" w:rsidR="005114B8"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c>
          <w:tcPr>
            <w:tcW w:w="6662" w:type="dxa"/>
            <w:vAlign w:val="center"/>
          </w:tcPr>
          <w:p w14:paraId="49D889C9" w14:textId="0C47D4F3"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Office of Rural Health</w:t>
            </w:r>
          </w:p>
        </w:tc>
      </w:tr>
      <w:tr w:rsidR="005114B8" w:rsidRPr="00EA54CA" w14:paraId="1BE5B33C" w14:textId="77777777" w:rsidTr="008E70DE">
        <w:tc>
          <w:tcPr>
            <w:tcW w:w="15451" w:type="dxa"/>
            <w:gridSpan w:val="4"/>
            <w:shd w:val="clear" w:color="auto" w:fill="FFF200" w:themeFill="background2"/>
          </w:tcPr>
          <w:p w14:paraId="58965FCA" w14:textId="77777777" w:rsidR="005114B8" w:rsidRPr="00EA54CA" w:rsidRDefault="005114B8" w:rsidP="00EA54CA">
            <w:pPr>
              <w:pStyle w:val="TableHeading"/>
              <w:keepNext/>
              <w:rPr>
                <w:lang w:eastAsia="en-AU"/>
              </w:rPr>
            </w:pPr>
            <w:r w:rsidRPr="00EA54CA">
              <w:rPr>
                <w:lang w:eastAsia="en-AU"/>
              </w:rPr>
              <w:lastRenderedPageBreak/>
              <w:t>Non-participating jurisdictions</w:t>
            </w:r>
          </w:p>
        </w:tc>
      </w:tr>
      <w:tr w:rsidR="005114B8" w:rsidRPr="00EA54CA" w14:paraId="42805389" w14:textId="77777777" w:rsidTr="008E70DE">
        <w:tc>
          <w:tcPr>
            <w:tcW w:w="905" w:type="dxa"/>
            <w:vAlign w:val="center"/>
          </w:tcPr>
          <w:p w14:paraId="5619B905"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SA</w:t>
            </w:r>
          </w:p>
        </w:tc>
        <w:tc>
          <w:tcPr>
            <w:tcW w:w="3699" w:type="dxa"/>
            <w:vAlign w:val="center"/>
          </w:tcPr>
          <w:p w14:paraId="33DBE5CF"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Katie Bourke, Skye Jacobi, Hendrika Meyer</w:t>
            </w:r>
          </w:p>
        </w:tc>
        <w:tc>
          <w:tcPr>
            <w:tcW w:w="4185" w:type="dxa"/>
            <w:vAlign w:val="center"/>
          </w:tcPr>
          <w:p w14:paraId="160C0CBF"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Principal Policy Officer</w:t>
            </w:r>
          </w:p>
        </w:tc>
        <w:tc>
          <w:tcPr>
            <w:tcW w:w="6662" w:type="dxa"/>
            <w:vAlign w:val="center"/>
          </w:tcPr>
          <w:p w14:paraId="6751A6FE"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Strategy and Intergovernment Relations</w:t>
            </w:r>
          </w:p>
        </w:tc>
      </w:tr>
      <w:tr w:rsidR="005114B8" w:rsidRPr="00EA54CA" w14:paraId="1A2EDB9D" w14:textId="77777777" w:rsidTr="008E70DE">
        <w:tc>
          <w:tcPr>
            <w:tcW w:w="905" w:type="dxa"/>
            <w:vAlign w:val="center"/>
          </w:tcPr>
          <w:p w14:paraId="501192E0"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SA</w:t>
            </w:r>
          </w:p>
        </w:tc>
        <w:tc>
          <w:tcPr>
            <w:tcW w:w="3699" w:type="dxa"/>
            <w:vAlign w:val="center"/>
          </w:tcPr>
          <w:p w14:paraId="4D3C68A0"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Chris McGowan</w:t>
            </w:r>
          </w:p>
        </w:tc>
        <w:tc>
          <w:tcPr>
            <w:tcW w:w="4185" w:type="dxa"/>
            <w:vAlign w:val="center"/>
          </w:tcPr>
          <w:p w14:paraId="2186A662"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Chief Executive</w:t>
            </w:r>
          </w:p>
        </w:tc>
        <w:tc>
          <w:tcPr>
            <w:tcW w:w="6662" w:type="dxa"/>
            <w:vAlign w:val="center"/>
          </w:tcPr>
          <w:p w14:paraId="45A9B26D"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Department for Health and Wellbeing</w:t>
            </w:r>
          </w:p>
        </w:tc>
      </w:tr>
      <w:tr w:rsidR="005114B8" w:rsidRPr="00EA54CA" w14:paraId="63AEF4A4" w14:textId="77777777" w:rsidTr="008E70DE">
        <w:tc>
          <w:tcPr>
            <w:tcW w:w="15451" w:type="dxa"/>
            <w:gridSpan w:val="4"/>
            <w:shd w:val="clear" w:color="auto" w:fill="FFF200" w:themeFill="background2"/>
          </w:tcPr>
          <w:p w14:paraId="12ABCB9D" w14:textId="77777777" w:rsidR="005114B8" w:rsidRPr="00EA54CA" w:rsidRDefault="005114B8" w:rsidP="00EA54CA">
            <w:pPr>
              <w:pStyle w:val="TableHeading"/>
              <w:rPr>
                <w:lang w:eastAsia="en-AU"/>
              </w:rPr>
            </w:pPr>
            <w:r w:rsidRPr="00EA54CA">
              <w:rPr>
                <w:lang w:eastAsia="en-AU"/>
              </w:rPr>
              <w:t>Potential new States and Territories</w:t>
            </w:r>
          </w:p>
        </w:tc>
      </w:tr>
      <w:tr w:rsidR="005114B8" w:rsidRPr="00EA54CA" w14:paraId="1DA838C1" w14:textId="77777777" w:rsidTr="008E70DE">
        <w:tc>
          <w:tcPr>
            <w:tcW w:w="905" w:type="dxa"/>
            <w:vAlign w:val="center"/>
          </w:tcPr>
          <w:p w14:paraId="49EC10AB"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VIC</w:t>
            </w:r>
          </w:p>
        </w:tc>
        <w:tc>
          <w:tcPr>
            <w:tcW w:w="3699" w:type="dxa"/>
            <w:vAlign w:val="center"/>
          </w:tcPr>
          <w:p w14:paraId="004848D7"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Kate Boucher</w:t>
            </w:r>
          </w:p>
        </w:tc>
        <w:tc>
          <w:tcPr>
            <w:tcW w:w="4185" w:type="dxa"/>
            <w:vAlign w:val="center"/>
          </w:tcPr>
          <w:p w14:paraId="701F15FA"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Principal Policy Advisor /Allied Health Workforce</w:t>
            </w:r>
          </w:p>
        </w:tc>
        <w:tc>
          <w:tcPr>
            <w:tcW w:w="6662" w:type="dxa"/>
            <w:vAlign w:val="center"/>
          </w:tcPr>
          <w:p w14:paraId="739B08A9"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Health Workforce Policy</w:t>
            </w:r>
          </w:p>
        </w:tc>
      </w:tr>
      <w:tr w:rsidR="005114B8" w:rsidRPr="00EA54CA" w14:paraId="00506694" w14:textId="77777777" w:rsidTr="008E70DE">
        <w:tc>
          <w:tcPr>
            <w:tcW w:w="905" w:type="dxa"/>
            <w:vAlign w:val="center"/>
          </w:tcPr>
          <w:p w14:paraId="5995F33E"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VIC</w:t>
            </w:r>
          </w:p>
        </w:tc>
        <w:tc>
          <w:tcPr>
            <w:tcW w:w="3699" w:type="dxa"/>
            <w:vAlign w:val="center"/>
          </w:tcPr>
          <w:p w14:paraId="68A17507"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Nicola Farray</w:t>
            </w:r>
          </w:p>
        </w:tc>
        <w:tc>
          <w:tcPr>
            <w:tcW w:w="4185" w:type="dxa"/>
            <w:vAlign w:val="bottom"/>
          </w:tcPr>
          <w:p w14:paraId="15136FC7"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 xml:space="preserve">Director Commissioning and System Improvement </w:t>
            </w:r>
          </w:p>
        </w:tc>
        <w:tc>
          <w:tcPr>
            <w:tcW w:w="6662" w:type="dxa"/>
            <w:vAlign w:val="center"/>
          </w:tcPr>
          <w:p w14:paraId="25B3DDCA" w14:textId="7CFACB20"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 Victorian Department of Health</w:t>
            </w:r>
          </w:p>
        </w:tc>
      </w:tr>
      <w:tr w:rsidR="005114B8" w:rsidRPr="00EA54CA" w14:paraId="0019F8EB" w14:textId="77777777" w:rsidTr="008E70DE">
        <w:tc>
          <w:tcPr>
            <w:tcW w:w="905" w:type="dxa"/>
            <w:vAlign w:val="center"/>
          </w:tcPr>
          <w:p w14:paraId="277BE73A"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VIC</w:t>
            </w:r>
          </w:p>
        </w:tc>
        <w:tc>
          <w:tcPr>
            <w:tcW w:w="3699" w:type="dxa"/>
            <w:vAlign w:val="center"/>
          </w:tcPr>
          <w:p w14:paraId="57625D09"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Catherine Harmer</w:t>
            </w:r>
          </w:p>
        </w:tc>
        <w:tc>
          <w:tcPr>
            <w:tcW w:w="4185" w:type="dxa"/>
            <w:vAlign w:val="bottom"/>
          </w:tcPr>
          <w:p w14:paraId="7397F6A3"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 xml:space="preserve">Manager Rural Policy </w:t>
            </w:r>
          </w:p>
        </w:tc>
        <w:tc>
          <w:tcPr>
            <w:tcW w:w="6662" w:type="dxa"/>
            <w:vAlign w:val="center"/>
          </w:tcPr>
          <w:p w14:paraId="27DDB949" w14:textId="74260471"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 Victorian Department of Health</w:t>
            </w:r>
          </w:p>
        </w:tc>
      </w:tr>
      <w:tr w:rsidR="005114B8" w:rsidRPr="00EA54CA" w14:paraId="7B782536" w14:textId="77777777" w:rsidTr="008E70DE">
        <w:tc>
          <w:tcPr>
            <w:tcW w:w="905" w:type="dxa"/>
            <w:vAlign w:val="center"/>
          </w:tcPr>
          <w:p w14:paraId="7F6F0936"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VIC</w:t>
            </w:r>
          </w:p>
        </w:tc>
        <w:tc>
          <w:tcPr>
            <w:tcW w:w="3699" w:type="dxa"/>
            <w:vAlign w:val="center"/>
          </w:tcPr>
          <w:p w14:paraId="61C16583"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Praveen Sharma</w:t>
            </w:r>
          </w:p>
        </w:tc>
        <w:tc>
          <w:tcPr>
            <w:tcW w:w="4185" w:type="dxa"/>
            <w:vAlign w:val="bottom"/>
          </w:tcPr>
          <w:p w14:paraId="536034AC"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Project Director Healthcare Worker Protections</w:t>
            </w:r>
          </w:p>
        </w:tc>
        <w:tc>
          <w:tcPr>
            <w:tcW w:w="6662" w:type="dxa"/>
            <w:vAlign w:val="center"/>
          </w:tcPr>
          <w:p w14:paraId="2CD17B69"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Medical Workforce</w:t>
            </w:r>
          </w:p>
        </w:tc>
      </w:tr>
      <w:tr w:rsidR="005114B8" w:rsidRPr="00EA54CA" w14:paraId="7ADEB25F" w14:textId="77777777" w:rsidTr="008E70DE">
        <w:tc>
          <w:tcPr>
            <w:tcW w:w="905" w:type="dxa"/>
            <w:vAlign w:val="center"/>
          </w:tcPr>
          <w:p w14:paraId="4B38800D"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TAS</w:t>
            </w:r>
          </w:p>
        </w:tc>
        <w:tc>
          <w:tcPr>
            <w:tcW w:w="3699" w:type="dxa"/>
            <w:vAlign w:val="center"/>
          </w:tcPr>
          <w:p w14:paraId="5195613E"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Rebekah Moore</w:t>
            </w:r>
          </w:p>
        </w:tc>
        <w:tc>
          <w:tcPr>
            <w:tcW w:w="4185" w:type="dxa"/>
            <w:vAlign w:val="center"/>
          </w:tcPr>
          <w:p w14:paraId="6AC05E4A"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N/A</w:t>
            </w:r>
          </w:p>
        </w:tc>
        <w:tc>
          <w:tcPr>
            <w:tcW w:w="6662" w:type="dxa"/>
            <w:vAlign w:val="center"/>
          </w:tcPr>
          <w:p w14:paraId="70EE23C2"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Government Relations and Strategic Policy</w:t>
            </w:r>
          </w:p>
        </w:tc>
      </w:tr>
      <w:tr w:rsidR="005114B8" w:rsidRPr="00EA54CA" w14:paraId="241EE2AB" w14:textId="77777777" w:rsidTr="008E70DE">
        <w:tc>
          <w:tcPr>
            <w:tcW w:w="905" w:type="dxa"/>
            <w:vAlign w:val="center"/>
          </w:tcPr>
          <w:p w14:paraId="341C28CB"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TAS</w:t>
            </w:r>
          </w:p>
        </w:tc>
        <w:tc>
          <w:tcPr>
            <w:tcW w:w="3699" w:type="dxa"/>
            <w:vAlign w:val="center"/>
          </w:tcPr>
          <w:p w14:paraId="3755D4A1"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Erin Taylor</w:t>
            </w:r>
          </w:p>
        </w:tc>
        <w:tc>
          <w:tcPr>
            <w:tcW w:w="4185" w:type="dxa"/>
            <w:vAlign w:val="center"/>
          </w:tcPr>
          <w:p w14:paraId="72CAF901"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Branch Manager</w:t>
            </w:r>
          </w:p>
        </w:tc>
        <w:tc>
          <w:tcPr>
            <w:tcW w:w="6662" w:type="dxa"/>
            <w:vAlign w:val="center"/>
          </w:tcPr>
          <w:p w14:paraId="6FBF975E"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Government Relations and Strategic Policy</w:t>
            </w:r>
          </w:p>
        </w:tc>
      </w:tr>
      <w:tr w:rsidR="005114B8" w:rsidRPr="00EA54CA" w14:paraId="708F4BD6" w14:textId="77777777" w:rsidTr="008E70DE">
        <w:tc>
          <w:tcPr>
            <w:tcW w:w="15451" w:type="dxa"/>
            <w:gridSpan w:val="4"/>
            <w:shd w:val="clear" w:color="auto" w:fill="FFF200" w:themeFill="background2"/>
          </w:tcPr>
          <w:p w14:paraId="4FEA74CA" w14:textId="77777777" w:rsidR="005114B8" w:rsidRPr="00EA54CA" w:rsidRDefault="005114B8" w:rsidP="00EA54CA">
            <w:pPr>
              <w:pStyle w:val="TableHeading"/>
              <w:rPr>
                <w:lang w:eastAsia="en-AU"/>
              </w:rPr>
            </w:pPr>
            <w:r w:rsidRPr="00EA54CA">
              <w:rPr>
                <w:lang w:eastAsia="en-AU"/>
              </w:rPr>
              <w:t>Rural workforce agencies</w:t>
            </w:r>
          </w:p>
        </w:tc>
      </w:tr>
      <w:tr w:rsidR="005114B8" w:rsidRPr="00EA54CA" w14:paraId="7A556B37" w14:textId="77777777" w:rsidTr="008E70DE">
        <w:tc>
          <w:tcPr>
            <w:tcW w:w="905" w:type="dxa"/>
            <w:vAlign w:val="bottom"/>
          </w:tcPr>
          <w:p w14:paraId="445D4482"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QLD</w:t>
            </w:r>
          </w:p>
        </w:tc>
        <w:tc>
          <w:tcPr>
            <w:tcW w:w="3699" w:type="dxa"/>
            <w:vAlign w:val="bottom"/>
          </w:tcPr>
          <w:p w14:paraId="4919FB21"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Chris Mitchell</w:t>
            </w:r>
          </w:p>
        </w:tc>
        <w:tc>
          <w:tcPr>
            <w:tcW w:w="4185" w:type="dxa"/>
            <w:vAlign w:val="bottom"/>
          </w:tcPr>
          <w:p w14:paraId="04C3FAE8"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Chief Executive Officer</w:t>
            </w:r>
          </w:p>
        </w:tc>
        <w:tc>
          <w:tcPr>
            <w:tcW w:w="6662" w:type="dxa"/>
            <w:vAlign w:val="bottom"/>
          </w:tcPr>
          <w:p w14:paraId="6D7D488E"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Health Workforce</w:t>
            </w:r>
          </w:p>
        </w:tc>
      </w:tr>
      <w:tr w:rsidR="005114B8" w:rsidRPr="00EA54CA" w14:paraId="7208D8A8" w14:textId="77777777" w:rsidTr="008E70DE">
        <w:tc>
          <w:tcPr>
            <w:tcW w:w="905" w:type="dxa"/>
            <w:vAlign w:val="bottom"/>
          </w:tcPr>
          <w:p w14:paraId="39FF1218"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WA</w:t>
            </w:r>
          </w:p>
        </w:tc>
        <w:tc>
          <w:tcPr>
            <w:tcW w:w="3699" w:type="dxa"/>
            <w:vAlign w:val="bottom"/>
          </w:tcPr>
          <w:p w14:paraId="0965F8F7"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Tim Shackleton</w:t>
            </w:r>
          </w:p>
        </w:tc>
        <w:tc>
          <w:tcPr>
            <w:tcW w:w="4185" w:type="dxa"/>
            <w:vAlign w:val="bottom"/>
          </w:tcPr>
          <w:p w14:paraId="280CD1D5"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Chief Executive Officer</w:t>
            </w:r>
          </w:p>
        </w:tc>
        <w:tc>
          <w:tcPr>
            <w:tcW w:w="6662" w:type="dxa"/>
            <w:vAlign w:val="bottom"/>
          </w:tcPr>
          <w:p w14:paraId="0EDA9167"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Rural Health Workforce</w:t>
            </w:r>
          </w:p>
        </w:tc>
      </w:tr>
      <w:tr w:rsidR="005114B8" w:rsidRPr="00EA54CA" w14:paraId="74DF7C43" w14:textId="77777777" w:rsidTr="008E70DE">
        <w:tc>
          <w:tcPr>
            <w:tcW w:w="905" w:type="dxa"/>
            <w:vAlign w:val="bottom"/>
          </w:tcPr>
          <w:p w14:paraId="586CA6BB"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WA</w:t>
            </w:r>
          </w:p>
        </w:tc>
        <w:tc>
          <w:tcPr>
            <w:tcW w:w="3699" w:type="dxa"/>
            <w:vAlign w:val="bottom"/>
          </w:tcPr>
          <w:p w14:paraId="5B453DF5"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 xml:space="preserve">Kelli Porter </w:t>
            </w:r>
          </w:p>
        </w:tc>
        <w:tc>
          <w:tcPr>
            <w:tcW w:w="4185" w:type="dxa"/>
            <w:vAlign w:val="bottom"/>
          </w:tcPr>
          <w:p w14:paraId="0A66BAAC"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 xml:space="preserve">General Manager </w:t>
            </w:r>
          </w:p>
        </w:tc>
        <w:tc>
          <w:tcPr>
            <w:tcW w:w="6662" w:type="dxa"/>
            <w:vAlign w:val="bottom"/>
          </w:tcPr>
          <w:p w14:paraId="221403B8"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Workforce - Rural Health Workforce</w:t>
            </w:r>
          </w:p>
        </w:tc>
      </w:tr>
      <w:tr w:rsidR="005114B8" w:rsidRPr="00EA54CA" w14:paraId="28AFD27C" w14:textId="77777777" w:rsidTr="008E70DE">
        <w:tc>
          <w:tcPr>
            <w:tcW w:w="905" w:type="dxa"/>
            <w:vAlign w:val="bottom"/>
          </w:tcPr>
          <w:p w14:paraId="3CAF0F0D"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NT</w:t>
            </w:r>
          </w:p>
        </w:tc>
        <w:tc>
          <w:tcPr>
            <w:tcW w:w="3699" w:type="dxa"/>
            <w:vAlign w:val="bottom"/>
          </w:tcPr>
          <w:p w14:paraId="22E1312D"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Heather Keighley</w:t>
            </w:r>
          </w:p>
        </w:tc>
        <w:tc>
          <w:tcPr>
            <w:tcW w:w="4185" w:type="dxa"/>
            <w:vAlign w:val="bottom"/>
          </w:tcPr>
          <w:p w14:paraId="342861D1" w14:textId="105A9848" w:rsidR="005114B8"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c>
          <w:tcPr>
            <w:tcW w:w="6662" w:type="dxa"/>
            <w:vAlign w:val="bottom"/>
          </w:tcPr>
          <w:p w14:paraId="0C3D59EF"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Northern Territory PHN - Workforce</w:t>
            </w:r>
          </w:p>
        </w:tc>
      </w:tr>
      <w:tr w:rsidR="005114B8" w:rsidRPr="00EA54CA" w14:paraId="0B45B897" w14:textId="77777777" w:rsidTr="008E70DE">
        <w:tc>
          <w:tcPr>
            <w:tcW w:w="905" w:type="dxa"/>
            <w:vAlign w:val="bottom"/>
          </w:tcPr>
          <w:p w14:paraId="7C2A9C69"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NT</w:t>
            </w:r>
          </w:p>
        </w:tc>
        <w:tc>
          <w:tcPr>
            <w:tcW w:w="3699" w:type="dxa"/>
            <w:vAlign w:val="bottom"/>
          </w:tcPr>
          <w:p w14:paraId="09BF5F49"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Paul Connolly</w:t>
            </w:r>
          </w:p>
        </w:tc>
        <w:tc>
          <w:tcPr>
            <w:tcW w:w="4185" w:type="dxa"/>
            <w:vAlign w:val="bottom"/>
          </w:tcPr>
          <w:p w14:paraId="0DB71FCE" w14:textId="21280916" w:rsidR="005114B8" w:rsidRPr="00EA54CA" w:rsidRDefault="001C7B6A"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w:t>
            </w:r>
          </w:p>
        </w:tc>
        <w:tc>
          <w:tcPr>
            <w:tcW w:w="6662" w:type="dxa"/>
            <w:vAlign w:val="bottom"/>
          </w:tcPr>
          <w:p w14:paraId="454BE2B9"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Northern Territory PHN</w:t>
            </w:r>
          </w:p>
        </w:tc>
      </w:tr>
      <w:tr w:rsidR="005114B8" w:rsidRPr="00EA54CA" w14:paraId="2F9E38B5" w14:textId="77777777" w:rsidTr="008E70DE">
        <w:tc>
          <w:tcPr>
            <w:tcW w:w="905" w:type="dxa"/>
            <w:vAlign w:val="bottom"/>
          </w:tcPr>
          <w:p w14:paraId="0CC7231E"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NT</w:t>
            </w:r>
          </w:p>
        </w:tc>
        <w:tc>
          <w:tcPr>
            <w:tcW w:w="3699" w:type="dxa"/>
            <w:vAlign w:val="bottom"/>
          </w:tcPr>
          <w:p w14:paraId="4E9AFA75"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Robin Moore</w:t>
            </w:r>
          </w:p>
        </w:tc>
        <w:tc>
          <w:tcPr>
            <w:tcW w:w="4185" w:type="dxa"/>
            <w:vAlign w:val="bottom"/>
          </w:tcPr>
          <w:p w14:paraId="2A873C10" w14:textId="0305432D"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Executive Director</w:t>
            </w:r>
          </w:p>
        </w:tc>
        <w:tc>
          <w:tcPr>
            <w:tcW w:w="6662" w:type="dxa"/>
            <w:vAlign w:val="bottom"/>
          </w:tcPr>
          <w:p w14:paraId="2117F852"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Northern Territory PHN - Workforce</w:t>
            </w:r>
          </w:p>
        </w:tc>
      </w:tr>
      <w:tr w:rsidR="005114B8" w:rsidRPr="00EA54CA" w14:paraId="077D33B5" w14:textId="77777777" w:rsidTr="008E70DE">
        <w:tc>
          <w:tcPr>
            <w:tcW w:w="905" w:type="dxa"/>
            <w:vAlign w:val="bottom"/>
          </w:tcPr>
          <w:p w14:paraId="63F24634"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SA</w:t>
            </w:r>
          </w:p>
        </w:tc>
        <w:tc>
          <w:tcPr>
            <w:tcW w:w="3699" w:type="dxa"/>
            <w:vAlign w:val="bottom"/>
          </w:tcPr>
          <w:p w14:paraId="607C198C"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Lyn Poole</w:t>
            </w:r>
          </w:p>
        </w:tc>
        <w:tc>
          <w:tcPr>
            <w:tcW w:w="4185" w:type="dxa"/>
            <w:vAlign w:val="bottom"/>
          </w:tcPr>
          <w:p w14:paraId="13ECF5D7"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Chief Executive Officer</w:t>
            </w:r>
          </w:p>
        </w:tc>
        <w:tc>
          <w:tcPr>
            <w:tcW w:w="6662" w:type="dxa"/>
            <w:vAlign w:val="bottom"/>
          </w:tcPr>
          <w:p w14:paraId="049FF4C1"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Rural Doctors Workforce Agency</w:t>
            </w:r>
          </w:p>
        </w:tc>
      </w:tr>
      <w:tr w:rsidR="005114B8" w:rsidRPr="00EA54CA" w14:paraId="72518369" w14:textId="77777777" w:rsidTr="008E70DE">
        <w:tc>
          <w:tcPr>
            <w:tcW w:w="905" w:type="dxa"/>
            <w:vAlign w:val="bottom"/>
          </w:tcPr>
          <w:p w14:paraId="323D313F"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NSW</w:t>
            </w:r>
          </w:p>
        </w:tc>
        <w:tc>
          <w:tcPr>
            <w:tcW w:w="3699" w:type="dxa"/>
            <w:vAlign w:val="bottom"/>
          </w:tcPr>
          <w:p w14:paraId="70971E18"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Richard Colbran</w:t>
            </w:r>
          </w:p>
        </w:tc>
        <w:tc>
          <w:tcPr>
            <w:tcW w:w="4185" w:type="dxa"/>
            <w:vAlign w:val="bottom"/>
          </w:tcPr>
          <w:p w14:paraId="706A613F" w14:textId="73018D1A"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Chief Executive Officer</w:t>
            </w:r>
          </w:p>
        </w:tc>
        <w:tc>
          <w:tcPr>
            <w:tcW w:w="6662" w:type="dxa"/>
            <w:vAlign w:val="bottom"/>
          </w:tcPr>
          <w:p w14:paraId="3C21A8B2"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Rural Doctors Network</w:t>
            </w:r>
          </w:p>
        </w:tc>
      </w:tr>
      <w:tr w:rsidR="005114B8" w:rsidRPr="00EA54CA" w14:paraId="5FAB90AE" w14:textId="77777777" w:rsidTr="008E70DE">
        <w:tc>
          <w:tcPr>
            <w:tcW w:w="905" w:type="dxa"/>
            <w:vAlign w:val="bottom"/>
          </w:tcPr>
          <w:p w14:paraId="3C2B4FAD"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NSW</w:t>
            </w:r>
          </w:p>
        </w:tc>
        <w:tc>
          <w:tcPr>
            <w:tcW w:w="3699" w:type="dxa"/>
            <w:vAlign w:val="bottom"/>
          </w:tcPr>
          <w:p w14:paraId="649C757D"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Michael Edwards</w:t>
            </w:r>
          </w:p>
        </w:tc>
        <w:tc>
          <w:tcPr>
            <w:tcW w:w="4185" w:type="dxa"/>
            <w:vAlign w:val="bottom"/>
          </w:tcPr>
          <w:p w14:paraId="61542DDA" w14:textId="0D87ED0C"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Policy Officer</w:t>
            </w:r>
          </w:p>
        </w:tc>
        <w:tc>
          <w:tcPr>
            <w:tcW w:w="6662" w:type="dxa"/>
            <w:vAlign w:val="bottom"/>
          </w:tcPr>
          <w:p w14:paraId="756FDE2E"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Rural Doctors Network</w:t>
            </w:r>
          </w:p>
        </w:tc>
      </w:tr>
      <w:tr w:rsidR="005114B8" w:rsidRPr="00EA54CA" w14:paraId="7AD73A2E" w14:textId="77777777" w:rsidTr="008E70DE">
        <w:tc>
          <w:tcPr>
            <w:tcW w:w="15451" w:type="dxa"/>
            <w:gridSpan w:val="4"/>
            <w:shd w:val="clear" w:color="auto" w:fill="FFF200" w:themeFill="background2"/>
          </w:tcPr>
          <w:p w14:paraId="53DA5AB8" w14:textId="77777777" w:rsidR="005114B8" w:rsidRPr="00EA54CA" w:rsidRDefault="005114B8" w:rsidP="00EA54CA">
            <w:pPr>
              <w:pStyle w:val="TableHeading"/>
              <w:rPr>
                <w:lang w:eastAsia="en-AU"/>
              </w:rPr>
            </w:pPr>
            <w:r w:rsidRPr="00EA54CA">
              <w:rPr>
                <w:lang w:eastAsia="en-AU"/>
              </w:rPr>
              <w:t>Peak bodies</w:t>
            </w:r>
          </w:p>
        </w:tc>
      </w:tr>
      <w:tr w:rsidR="005114B8" w:rsidRPr="00EA54CA" w14:paraId="28E42762" w14:textId="77777777" w:rsidTr="008E70DE">
        <w:tc>
          <w:tcPr>
            <w:tcW w:w="905" w:type="dxa"/>
            <w:vAlign w:val="center"/>
          </w:tcPr>
          <w:p w14:paraId="2DDFE1C9" w14:textId="77777777" w:rsidR="005114B8" w:rsidRPr="00EA54CA" w:rsidRDefault="005114B8" w:rsidP="00EA54CA">
            <w:pPr>
              <w:pStyle w:val="TableCopy"/>
              <w:rPr>
                <w:rFonts w:asciiTheme="minorHAnsi" w:eastAsia="Times New Roman" w:hAnsiTheme="minorHAnsi" w:cs="Calibri"/>
                <w:color w:val="000000"/>
                <w:spacing w:val="0"/>
                <w:lang w:eastAsia="en-AU"/>
              </w:rPr>
            </w:pPr>
          </w:p>
        </w:tc>
        <w:tc>
          <w:tcPr>
            <w:tcW w:w="3699" w:type="dxa"/>
            <w:vAlign w:val="center"/>
          </w:tcPr>
          <w:p w14:paraId="00E5A53B"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Pat Turner</w:t>
            </w:r>
          </w:p>
        </w:tc>
        <w:tc>
          <w:tcPr>
            <w:tcW w:w="4185" w:type="dxa"/>
            <w:vAlign w:val="center"/>
          </w:tcPr>
          <w:p w14:paraId="0500674F" w14:textId="234B1A83"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Chief Executive Officer</w:t>
            </w:r>
          </w:p>
        </w:tc>
        <w:tc>
          <w:tcPr>
            <w:tcW w:w="6662" w:type="dxa"/>
            <w:vAlign w:val="center"/>
          </w:tcPr>
          <w:p w14:paraId="7B87EEE1" w14:textId="77777777"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NACCHO [written submissions requested]</w:t>
            </w:r>
          </w:p>
        </w:tc>
      </w:tr>
      <w:tr w:rsidR="005114B8" w:rsidRPr="00EA54CA" w14:paraId="13BD79EE" w14:textId="77777777" w:rsidTr="008E70DE">
        <w:tc>
          <w:tcPr>
            <w:tcW w:w="905" w:type="dxa"/>
            <w:vAlign w:val="center"/>
          </w:tcPr>
          <w:p w14:paraId="53C79592" w14:textId="77777777" w:rsidR="005114B8" w:rsidRPr="00EA54CA" w:rsidRDefault="005114B8" w:rsidP="00EA54CA">
            <w:pPr>
              <w:pStyle w:val="TableCopy"/>
              <w:rPr>
                <w:rFonts w:asciiTheme="minorHAnsi" w:eastAsia="Times New Roman" w:hAnsiTheme="minorHAnsi" w:cs="Calibri"/>
                <w:color w:val="000000"/>
                <w:spacing w:val="0"/>
                <w:lang w:eastAsia="en-AU"/>
              </w:rPr>
            </w:pPr>
          </w:p>
        </w:tc>
        <w:tc>
          <w:tcPr>
            <w:tcW w:w="3699" w:type="dxa"/>
            <w:vAlign w:val="center"/>
          </w:tcPr>
          <w:p w14:paraId="2AC1DA02" w14:textId="2F97AE53"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Peta Rutherford</w:t>
            </w:r>
          </w:p>
        </w:tc>
        <w:tc>
          <w:tcPr>
            <w:tcW w:w="4185" w:type="dxa"/>
            <w:vAlign w:val="center"/>
          </w:tcPr>
          <w:p w14:paraId="69D53BA4" w14:textId="4BE77AD0"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Chief Executive Officer</w:t>
            </w:r>
          </w:p>
        </w:tc>
        <w:tc>
          <w:tcPr>
            <w:tcW w:w="6662" w:type="dxa"/>
            <w:vAlign w:val="center"/>
          </w:tcPr>
          <w:p w14:paraId="345DF645" w14:textId="6907647E" w:rsidR="005114B8" w:rsidRPr="00EA54CA" w:rsidRDefault="005114B8" w:rsidP="00EA54CA">
            <w:pPr>
              <w:pStyle w:val="TableCopy"/>
              <w:rPr>
                <w:rFonts w:asciiTheme="minorHAnsi" w:eastAsia="Times New Roman" w:hAnsiTheme="minorHAnsi" w:cs="Calibri"/>
                <w:color w:val="000000"/>
                <w:spacing w:val="0"/>
                <w:lang w:eastAsia="en-AU"/>
              </w:rPr>
            </w:pPr>
            <w:r w:rsidRPr="00EA54CA">
              <w:rPr>
                <w:rFonts w:asciiTheme="minorHAnsi" w:eastAsia="Times New Roman" w:hAnsiTheme="minorHAnsi" w:cs="Calibri"/>
                <w:color w:val="000000"/>
                <w:spacing w:val="0"/>
                <w:lang w:eastAsia="en-AU"/>
              </w:rPr>
              <w:t>Rural Doctors Association [discussion and written submissions received 31 May 2021]</w:t>
            </w:r>
          </w:p>
        </w:tc>
      </w:tr>
    </w:tbl>
    <w:p w14:paraId="537F5D06" w14:textId="77777777" w:rsidR="00154B50" w:rsidRDefault="00154B50" w:rsidP="008339F0">
      <w:pPr>
        <w:sectPr w:rsidR="00154B50" w:rsidSect="00006354">
          <w:pgSz w:w="16838" w:h="11906" w:orient="landscape" w:code="9"/>
          <w:pgMar w:top="737" w:right="1304" w:bottom="1134" w:left="737" w:header="567" w:footer="284" w:gutter="0"/>
          <w:cols w:space="708"/>
          <w:docGrid w:linePitch="360"/>
        </w:sectPr>
      </w:pPr>
    </w:p>
    <w:p w14:paraId="3471A356" w14:textId="04136955" w:rsidR="0055333A" w:rsidRDefault="0055333A" w:rsidP="00950992">
      <w:pPr>
        <w:pStyle w:val="Caption"/>
        <w:spacing w:before="0"/>
      </w:pPr>
      <w:r>
        <w:lastRenderedPageBreak/>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t>.</w:t>
      </w:r>
      <w:r w:rsidR="00A67BE9">
        <w:fldChar w:fldCharType="begin"/>
      </w:r>
      <w:r w:rsidR="00A67BE9">
        <w:instrText xml:space="preserve"> SEQ Table \* ARABIC \s 1 </w:instrText>
      </w:r>
      <w:r w:rsidR="00A67BE9">
        <w:fldChar w:fldCharType="separate"/>
      </w:r>
      <w:r w:rsidR="00C50B67">
        <w:rPr>
          <w:noProof/>
        </w:rPr>
        <w:t>4</w:t>
      </w:r>
      <w:r w:rsidR="00A67BE9">
        <w:rPr>
          <w:noProof/>
        </w:rPr>
        <w:fldChar w:fldCharType="end"/>
      </w:r>
      <w:r>
        <w:t xml:space="preserve">: </w:t>
      </w:r>
      <w:r>
        <w:rPr>
          <w:rStyle w:val="Caption-notboldChar"/>
        </w:rPr>
        <w:t>Case s</w:t>
      </w:r>
      <w:r w:rsidRPr="00B879B7">
        <w:rPr>
          <w:rStyle w:val="Caption-notboldChar"/>
        </w:rPr>
        <w:t>tudy sites</w:t>
      </w:r>
      <w:r>
        <w:rPr>
          <w:rStyle w:val="Caption-notboldChar"/>
        </w:rPr>
        <w:t xml:space="preserve"> – stakeholders consulted</w:t>
      </w:r>
    </w:p>
    <w:tbl>
      <w:tblPr>
        <w:tblStyle w:val="HMATableA"/>
        <w:tblW w:w="15131" w:type="dxa"/>
        <w:tblLook w:val="06A0" w:firstRow="1" w:lastRow="0" w:firstColumn="1" w:lastColumn="0" w:noHBand="1" w:noVBand="1"/>
      </w:tblPr>
      <w:tblGrid>
        <w:gridCol w:w="3469"/>
        <w:gridCol w:w="829"/>
        <w:gridCol w:w="958"/>
        <w:gridCol w:w="833"/>
        <w:gridCol w:w="673"/>
        <w:gridCol w:w="1079"/>
        <w:gridCol w:w="1198"/>
        <w:gridCol w:w="1098"/>
        <w:gridCol w:w="1283"/>
        <w:gridCol w:w="1066"/>
        <w:gridCol w:w="702"/>
        <w:gridCol w:w="1048"/>
        <w:gridCol w:w="895"/>
      </w:tblGrid>
      <w:tr w:rsidR="003B3B57" w:rsidRPr="00950992" w14:paraId="7993398B" w14:textId="77777777" w:rsidTr="0012673D">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0" w:type="auto"/>
          </w:tcPr>
          <w:p w14:paraId="14BC8302" w14:textId="77777777" w:rsidR="003B3B57" w:rsidRPr="00950992" w:rsidRDefault="003B3B57" w:rsidP="008E70DE">
            <w:pPr>
              <w:spacing w:after="0"/>
              <w:rPr>
                <w:rFonts w:eastAsia="Calibri" w:cs="Times New Roman"/>
                <w:spacing w:val="0"/>
                <w:sz w:val="20"/>
                <w:szCs w:val="20"/>
              </w:rPr>
            </w:pPr>
          </w:p>
        </w:tc>
        <w:tc>
          <w:tcPr>
            <w:tcW w:w="2619" w:type="dxa"/>
            <w:gridSpan w:val="3"/>
          </w:tcPr>
          <w:p w14:paraId="1EFAAD4F" w14:textId="77777777" w:rsidR="003B3B57" w:rsidRPr="00950992" w:rsidRDefault="003B3B57" w:rsidP="008E70DE">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pacing w:val="0"/>
                <w:sz w:val="20"/>
                <w:szCs w:val="20"/>
              </w:rPr>
            </w:pPr>
            <w:r w:rsidRPr="00950992">
              <w:rPr>
                <w:rFonts w:eastAsia="Calibri" w:cs="Times New Roman"/>
                <w:spacing w:val="0"/>
                <w:sz w:val="20"/>
                <w:szCs w:val="20"/>
              </w:rPr>
              <w:t>NSW</w:t>
            </w:r>
          </w:p>
        </w:tc>
        <w:tc>
          <w:tcPr>
            <w:tcW w:w="2920" w:type="dxa"/>
            <w:gridSpan w:val="3"/>
          </w:tcPr>
          <w:p w14:paraId="11D7716A" w14:textId="77777777" w:rsidR="003B3B57" w:rsidRPr="00950992" w:rsidRDefault="003B3B57" w:rsidP="008E70DE">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pacing w:val="0"/>
                <w:sz w:val="20"/>
                <w:szCs w:val="20"/>
              </w:rPr>
            </w:pPr>
            <w:r w:rsidRPr="00950992">
              <w:rPr>
                <w:rFonts w:eastAsia="Calibri" w:cs="Times New Roman"/>
                <w:spacing w:val="0"/>
                <w:sz w:val="20"/>
                <w:szCs w:val="20"/>
              </w:rPr>
              <w:t>QLD</w:t>
            </w:r>
          </w:p>
        </w:tc>
        <w:tc>
          <w:tcPr>
            <w:tcW w:w="0" w:type="auto"/>
            <w:gridSpan w:val="2"/>
          </w:tcPr>
          <w:p w14:paraId="1126AE73" w14:textId="77777777" w:rsidR="003B3B57" w:rsidRPr="00950992" w:rsidRDefault="003B3B57" w:rsidP="008E70DE">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pacing w:val="0"/>
                <w:sz w:val="20"/>
                <w:szCs w:val="20"/>
              </w:rPr>
            </w:pPr>
            <w:r w:rsidRPr="00950992">
              <w:rPr>
                <w:rFonts w:eastAsia="Calibri" w:cs="Times New Roman"/>
                <w:spacing w:val="0"/>
                <w:sz w:val="20"/>
                <w:szCs w:val="20"/>
              </w:rPr>
              <w:t>WA</w:t>
            </w:r>
          </w:p>
        </w:tc>
        <w:tc>
          <w:tcPr>
            <w:tcW w:w="0" w:type="auto"/>
            <w:gridSpan w:val="2"/>
          </w:tcPr>
          <w:p w14:paraId="13FF3B6F" w14:textId="77777777" w:rsidR="003B3B57" w:rsidRPr="00950992" w:rsidRDefault="003B3B57" w:rsidP="008E70DE">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pacing w:val="0"/>
                <w:sz w:val="20"/>
                <w:szCs w:val="20"/>
              </w:rPr>
            </w:pPr>
            <w:r w:rsidRPr="00950992">
              <w:rPr>
                <w:rFonts w:eastAsia="Calibri" w:cs="Times New Roman"/>
                <w:spacing w:val="0"/>
                <w:sz w:val="20"/>
                <w:szCs w:val="20"/>
              </w:rPr>
              <w:t>NT</w:t>
            </w:r>
          </w:p>
        </w:tc>
        <w:tc>
          <w:tcPr>
            <w:tcW w:w="1922" w:type="dxa"/>
            <w:gridSpan w:val="2"/>
          </w:tcPr>
          <w:p w14:paraId="4197DA01" w14:textId="77777777" w:rsidR="003B3B57" w:rsidRPr="00950992" w:rsidRDefault="003B3B57" w:rsidP="008E70DE">
            <w:pPr>
              <w:spacing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pacing w:val="0"/>
                <w:sz w:val="20"/>
                <w:szCs w:val="20"/>
              </w:rPr>
            </w:pPr>
            <w:r w:rsidRPr="00950992">
              <w:rPr>
                <w:rFonts w:eastAsia="Calibri" w:cs="Times New Roman"/>
                <w:spacing w:val="0"/>
                <w:sz w:val="20"/>
                <w:szCs w:val="20"/>
              </w:rPr>
              <w:t>Additional Sites</w:t>
            </w:r>
          </w:p>
        </w:tc>
      </w:tr>
      <w:tr w:rsidR="003B3B57" w:rsidRPr="00950992" w14:paraId="4DEE3C98" w14:textId="77777777" w:rsidTr="008E70DE">
        <w:trPr>
          <w:trHeight w:val="375"/>
        </w:trPr>
        <w:tc>
          <w:tcPr>
            <w:cnfStyle w:val="001000000000" w:firstRow="0" w:lastRow="0" w:firstColumn="1" w:lastColumn="0" w:oddVBand="0" w:evenVBand="0" w:oddHBand="0" w:evenHBand="0" w:firstRowFirstColumn="0" w:firstRowLastColumn="0" w:lastRowFirstColumn="0" w:lastRowLastColumn="0"/>
            <w:tcW w:w="0" w:type="auto"/>
          </w:tcPr>
          <w:p w14:paraId="201379E4" w14:textId="77777777" w:rsidR="003B3B57" w:rsidRPr="00950992" w:rsidRDefault="003B3B57" w:rsidP="008E70DE">
            <w:pPr>
              <w:spacing w:after="0"/>
              <w:rPr>
                <w:rFonts w:asciiTheme="majorHAnsi" w:eastAsia="Calibri" w:hAnsiTheme="majorHAnsi" w:cs="Times New Roman"/>
                <w:b w:val="0"/>
                <w:spacing w:val="0"/>
                <w:szCs w:val="20"/>
              </w:rPr>
            </w:pPr>
          </w:p>
        </w:tc>
        <w:tc>
          <w:tcPr>
            <w:tcW w:w="0" w:type="auto"/>
          </w:tcPr>
          <w:p w14:paraId="2637E4FD"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Nyngan</w:t>
            </w:r>
          </w:p>
        </w:tc>
        <w:tc>
          <w:tcPr>
            <w:tcW w:w="958" w:type="dxa"/>
          </w:tcPr>
          <w:p w14:paraId="49588A7D"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Quirindi</w:t>
            </w:r>
          </w:p>
        </w:tc>
        <w:tc>
          <w:tcPr>
            <w:tcW w:w="0" w:type="auto"/>
          </w:tcPr>
          <w:p w14:paraId="64C5A950"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Temora</w:t>
            </w:r>
          </w:p>
        </w:tc>
        <w:tc>
          <w:tcPr>
            <w:tcW w:w="673" w:type="dxa"/>
          </w:tcPr>
          <w:p w14:paraId="0DFD3BFB"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Tully</w:t>
            </w:r>
          </w:p>
        </w:tc>
        <w:tc>
          <w:tcPr>
            <w:tcW w:w="0" w:type="auto"/>
          </w:tcPr>
          <w:p w14:paraId="46F2BE76"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Longreach</w:t>
            </w:r>
          </w:p>
        </w:tc>
        <w:tc>
          <w:tcPr>
            <w:tcW w:w="1198" w:type="dxa"/>
          </w:tcPr>
          <w:p w14:paraId="69818A22"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Proserpine</w:t>
            </w:r>
          </w:p>
        </w:tc>
        <w:tc>
          <w:tcPr>
            <w:tcW w:w="0" w:type="auto"/>
          </w:tcPr>
          <w:p w14:paraId="299D2F51"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Kununurra</w:t>
            </w:r>
          </w:p>
        </w:tc>
        <w:tc>
          <w:tcPr>
            <w:tcW w:w="0" w:type="auto"/>
          </w:tcPr>
          <w:p w14:paraId="0E2CFEA9"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Meekatharra</w:t>
            </w:r>
          </w:p>
        </w:tc>
        <w:tc>
          <w:tcPr>
            <w:tcW w:w="0" w:type="auto"/>
          </w:tcPr>
          <w:p w14:paraId="6F3250C4"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Tennant Creek</w:t>
            </w:r>
          </w:p>
        </w:tc>
        <w:tc>
          <w:tcPr>
            <w:tcW w:w="0" w:type="auto"/>
          </w:tcPr>
          <w:p w14:paraId="785151F5"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Jabiru</w:t>
            </w:r>
          </w:p>
        </w:tc>
        <w:tc>
          <w:tcPr>
            <w:tcW w:w="1048" w:type="dxa"/>
          </w:tcPr>
          <w:p w14:paraId="62C20D6D"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Gundagai</w:t>
            </w:r>
          </w:p>
        </w:tc>
        <w:tc>
          <w:tcPr>
            <w:tcW w:w="0" w:type="auto"/>
          </w:tcPr>
          <w:p w14:paraId="4989FE51" w14:textId="77777777" w:rsidR="003B3B57" w:rsidRPr="00950992"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pacing w:val="0"/>
                <w:szCs w:val="20"/>
              </w:rPr>
            </w:pPr>
            <w:r w:rsidRPr="00950992">
              <w:rPr>
                <w:rFonts w:asciiTheme="majorHAnsi" w:eastAsia="Calibri" w:hAnsiTheme="majorHAnsi" w:cs="Times New Roman"/>
                <w:spacing w:val="0"/>
                <w:szCs w:val="20"/>
              </w:rPr>
              <w:t>Babinda</w:t>
            </w:r>
          </w:p>
        </w:tc>
      </w:tr>
      <w:tr w:rsidR="003B3B57" w:rsidRPr="00154B50" w14:paraId="73CB71E7"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79784E3" w14:textId="40BB0EE7" w:rsidR="003B3B57" w:rsidRPr="00961631" w:rsidRDefault="003B3B57" w:rsidP="00EA54CA">
            <w:pPr>
              <w:pStyle w:val="TableHeading"/>
            </w:pPr>
            <w:r w:rsidRPr="00961631">
              <w:t>LH</w:t>
            </w:r>
            <w:r w:rsidR="00F021C8" w:rsidRPr="00961631">
              <w:t>N</w:t>
            </w:r>
          </w:p>
        </w:tc>
        <w:tc>
          <w:tcPr>
            <w:tcW w:w="0" w:type="auto"/>
          </w:tcPr>
          <w:p w14:paraId="1AD1C0FF"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958" w:type="dxa"/>
          </w:tcPr>
          <w:p w14:paraId="7BE5C9E1"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397EB560"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673" w:type="dxa"/>
          </w:tcPr>
          <w:p w14:paraId="4D00E86F"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36E1CBE2"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1198" w:type="dxa"/>
          </w:tcPr>
          <w:p w14:paraId="0F57639D"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6952E97"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4429254E"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798901FE"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181E5341"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1048" w:type="dxa"/>
          </w:tcPr>
          <w:p w14:paraId="5E6CA054" w14:textId="6DF4A9A6"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084FADCE" w14:textId="77777777" w:rsidR="003B3B57" w:rsidRPr="00154B50" w:rsidRDefault="003B3B57" w:rsidP="00EA54CA">
            <w:pPr>
              <w:pStyle w:val="TableHeading"/>
              <w:cnfStyle w:val="000000000000" w:firstRow="0" w:lastRow="0" w:firstColumn="0" w:lastColumn="0" w:oddVBand="0" w:evenVBand="0" w:oddHBand="0" w:evenHBand="0" w:firstRowFirstColumn="0" w:firstRowLastColumn="0" w:lastRowFirstColumn="0" w:lastRowLastColumn="0"/>
            </w:pPr>
          </w:p>
        </w:tc>
      </w:tr>
      <w:tr w:rsidR="003B3B57" w:rsidRPr="00950992" w14:paraId="463C4881"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EDDA25A" w14:textId="77777777" w:rsidR="003B3B57" w:rsidRPr="00961631" w:rsidRDefault="003B3B57" w:rsidP="008E70DE">
            <w:pPr>
              <w:spacing w:after="0"/>
              <w:ind w:left="720"/>
              <w:rPr>
                <w:rFonts w:eastAsia="Calibri" w:cs="Times New Roman"/>
                <w:b w:val="0"/>
                <w:bCs/>
                <w:spacing w:val="0"/>
              </w:rPr>
            </w:pPr>
            <w:r w:rsidRPr="00961631">
              <w:rPr>
                <w:rFonts w:eastAsia="Calibri" w:cs="Times New Roman"/>
                <w:b w:val="0"/>
                <w:bCs/>
                <w:spacing w:val="0"/>
              </w:rPr>
              <w:t>Chief Executive Officer (CEO)</w:t>
            </w:r>
          </w:p>
        </w:tc>
        <w:tc>
          <w:tcPr>
            <w:tcW w:w="0" w:type="auto"/>
          </w:tcPr>
          <w:p w14:paraId="77AA4536"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5A2E25BF"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376AF76A"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1DA26DFC"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7B62132B"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7C86426B"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45AEEEFE"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313644E"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79FC02F6"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540A9685"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353D4F99"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C236DE9" w14:textId="77777777" w:rsidR="003B3B57" w:rsidRPr="00961631" w:rsidRDefault="003B3B57" w:rsidP="008E70DE">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12673D" w:rsidRPr="00950992" w14:paraId="5DF01A2E" w14:textId="77777777" w:rsidTr="008E70DE">
        <w:trPr>
          <w:trHeight w:val="298"/>
        </w:trPr>
        <w:tc>
          <w:tcPr>
            <w:cnfStyle w:val="001000000000" w:firstRow="0" w:lastRow="0" w:firstColumn="1" w:lastColumn="0" w:oddVBand="0" w:evenVBand="0" w:oddHBand="0" w:evenHBand="0" w:firstRowFirstColumn="0" w:firstRowLastColumn="0" w:lastRowFirstColumn="0" w:lastRowLastColumn="0"/>
            <w:tcW w:w="0" w:type="auto"/>
          </w:tcPr>
          <w:p w14:paraId="11B653EF" w14:textId="77777777" w:rsidR="0012673D" w:rsidRPr="00961631" w:rsidRDefault="0012673D" w:rsidP="0012673D">
            <w:pPr>
              <w:spacing w:after="0"/>
              <w:ind w:left="720"/>
              <w:rPr>
                <w:rFonts w:eastAsia="Calibri" w:cs="Times New Roman"/>
                <w:b w:val="0"/>
                <w:bCs/>
                <w:spacing w:val="0"/>
              </w:rPr>
            </w:pPr>
            <w:r w:rsidRPr="00961631">
              <w:rPr>
                <w:rFonts w:eastAsia="Calibri" w:cs="Times New Roman"/>
                <w:b w:val="0"/>
                <w:bCs/>
                <w:spacing w:val="0"/>
              </w:rPr>
              <w:t>Director, Medical Services</w:t>
            </w:r>
          </w:p>
        </w:tc>
        <w:tc>
          <w:tcPr>
            <w:tcW w:w="0" w:type="auto"/>
          </w:tcPr>
          <w:p w14:paraId="1ABEADDA"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20203640"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0ECDF59E"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0E546300"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666BE1B"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3E97FA1C"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762D804"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5605F51B"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D98FCFA"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12DD970"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46FB76A1"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3802C944" w14:textId="770A45E5"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r>
      <w:tr w:rsidR="0012673D" w:rsidRPr="00950992" w14:paraId="14F6043B"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F2946CD" w14:textId="77777777" w:rsidR="0012673D" w:rsidRPr="00961631" w:rsidRDefault="0012673D" w:rsidP="0012673D">
            <w:pPr>
              <w:spacing w:after="0"/>
              <w:ind w:left="720"/>
              <w:rPr>
                <w:rFonts w:eastAsia="Calibri" w:cs="Times New Roman"/>
                <w:b w:val="0"/>
                <w:bCs/>
                <w:spacing w:val="0"/>
              </w:rPr>
            </w:pPr>
            <w:r w:rsidRPr="00961631">
              <w:rPr>
                <w:rFonts w:eastAsia="Calibri" w:cs="Times New Roman"/>
                <w:b w:val="0"/>
                <w:bCs/>
                <w:spacing w:val="0"/>
              </w:rPr>
              <w:t>Director, Finance</w:t>
            </w:r>
          </w:p>
        </w:tc>
        <w:tc>
          <w:tcPr>
            <w:tcW w:w="0" w:type="auto"/>
          </w:tcPr>
          <w:p w14:paraId="4D8E1C7C"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5FE79E1B"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3A96293"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24378968"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19F12C2"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4E9F43E3"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4EFC4A22"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FB4EA85"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1A95C6F0"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7EFD97C3"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61B404FB"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522FF5D0"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12673D" w:rsidRPr="00950992" w14:paraId="32C93FDE" w14:textId="77777777" w:rsidTr="008E70DE">
        <w:trPr>
          <w:trHeight w:val="330"/>
        </w:trPr>
        <w:tc>
          <w:tcPr>
            <w:cnfStyle w:val="001000000000" w:firstRow="0" w:lastRow="0" w:firstColumn="1" w:lastColumn="0" w:oddVBand="0" w:evenVBand="0" w:oddHBand="0" w:evenHBand="0" w:firstRowFirstColumn="0" w:firstRowLastColumn="0" w:lastRowFirstColumn="0" w:lastRowLastColumn="0"/>
            <w:tcW w:w="0" w:type="auto"/>
          </w:tcPr>
          <w:p w14:paraId="3D0D12D7" w14:textId="77777777" w:rsidR="0012673D" w:rsidRPr="00961631" w:rsidRDefault="0012673D" w:rsidP="0012673D">
            <w:pPr>
              <w:spacing w:after="0"/>
              <w:ind w:left="720"/>
              <w:rPr>
                <w:rFonts w:eastAsia="Calibri" w:cs="Times New Roman"/>
                <w:b w:val="0"/>
                <w:bCs/>
                <w:spacing w:val="0"/>
              </w:rPr>
            </w:pPr>
            <w:r w:rsidRPr="00961631">
              <w:rPr>
                <w:rFonts w:eastAsia="Calibri" w:cs="Times New Roman"/>
                <w:b w:val="0"/>
                <w:bCs/>
                <w:spacing w:val="0"/>
              </w:rPr>
              <w:t>Director, Primary Care</w:t>
            </w:r>
          </w:p>
        </w:tc>
        <w:tc>
          <w:tcPr>
            <w:tcW w:w="0" w:type="auto"/>
          </w:tcPr>
          <w:p w14:paraId="39989FEB"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958" w:type="dxa"/>
          </w:tcPr>
          <w:p w14:paraId="2F3BBDBC"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21EA9417"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3F3FF213"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133693D4"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2FD1E616"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2274AB11"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70D3732E"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7AF69AE7"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1A17F09"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0B936480"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0832904"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12673D" w:rsidRPr="00950992" w14:paraId="75AC11A5"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DA3F113" w14:textId="77777777" w:rsidR="0012673D" w:rsidRPr="00961631" w:rsidRDefault="0012673D" w:rsidP="0012673D">
            <w:pPr>
              <w:spacing w:after="0"/>
              <w:ind w:left="720"/>
              <w:rPr>
                <w:rFonts w:eastAsia="Calibri" w:cs="Times New Roman"/>
                <w:b w:val="0"/>
                <w:bCs/>
                <w:spacing w:val="0"/>
              </w:rPr>
            </w:pPr>
            <w:r w:rsidRPr="00961631">
              <w:rPr>
                <w:rFonts w:eastAsia="Calibri" w:cs="Times New Roman"/>
                <w:b w:val="0"/>
                <w:bCs/>
                <w:spacing w:val="0"/>
              </w:rPr>
              <w:t>Director/GM, Rural Services</w:t>
            </w:r>
          </w:p>
        </w:tc>
        <w:tc>
          <w:tcPr>
            <w:tcW w:w="0" w:type="auto"/>
          </w:tcPr>
          <w:p w14:paraId="45646668"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37B96B0A"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F4C2E81"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673" w:type="dxa"/>
          </w:tcPr>
          <w:p w14:paraId="08A0FCD5"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2310356C"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198" w:type="dxa"/>
          </w:tcPr>
          <w:p w14:paraId="3FDE32FF" w14:textId="4A956B1B"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4A573468" w14:textId="6F58F66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0E825679" w14:textId="1824115D"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393C0785" w14:textId="76F549E5"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4EF94F8F" w14:textId="085BF2DD"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048" w:type="dxa"/>
          </w:tcPr>
          <w:p w14:paraId="4D6DFD69"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F9F8488" w14:textId="77777777" w:rsidR="0012673D" w:rsidRPr="00961631" w:rsidRDefault="0012673D" w:rsidP="0012673D">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950992" w14:paraId="44D04C85"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52DE8A4"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Director, Operations</w:t>
            </w:r>
          </w:p>
        </w:tc>
        <w:tc>
          <w:tcPr>
            <w:tcW w:w="0" w:type="auto"/>
          </w:tcPr>
          <w:p w14:paraId="2D42C59A"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958" w:type="dxa"/>
          </w:tcPr>
          <w:p w14:paraId="75A37F9B"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1C63554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29CB0A90"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D610FA0"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198" w:type="dxa"/>
          </w:tcPr>
          <w:p w14:paraId="3FA15ABF"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2C232156" w14:textId="308BC22C"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AC2B2D0" w14:textId="3B392249"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7A52B5D8" w14:textId="0E07184B" w:rsidR="00334A83" w:rsidRPr="00961631" w:rsidRDefault="00921C8D"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21708F8" w14:textId="65998BD2" w:rsidR="00334A83" w:rsidRPr="00961631" w:rsidRDefault="00921C8D"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048" w:type="dxa"/>
          </w:tcPr>
          <w:p w14:paraId="58BFE257"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545B120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950992" w14:paraId="61E07F14"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6147551"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Director, Allied Health</w:t>
            </w:r>
          </w:p>
        </w:tc>
        <w:tc>
          <w:tcPr>
            <w:tcW w:w="0" w:type="auto"/>
          </w:tcPr>
          <w:p w14:paraId="59E56696"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958" w:type="dxa"/>
          </w:tcPr>
          <w:p w14:paraId="509D713E"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430E2ED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673" w:type="dxa"/>
          </w:tcPr>
          <w:p w14:paraId="1226D2DB"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7673E79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5789338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458A6C3A" w14:textId="20D83D3A"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A66D106" w14:textId="19E5270F"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056DB8D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5D59960E"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50DE7186"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0B604B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950992" w14:paraId="3E01DD6E"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C7819D9"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Director/ Manager, Innovation, Improvement, Change, Infrastructure</w:t>
            </w:r>
          </w:p>
        </w:tc>
        <w:tc>
          <w:tcPr>
            <w:tcW w:w="0" w:type="auto"/>
          </w:tcPr>
          <w:p w14:paraId="2684A19B"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49386FE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1528E9E6"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5DA1EA4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27A4A75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72B390E2"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DCA32B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108D088"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4A34A57B"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0BD42B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57B636E8"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46551DA"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154B50" w14:paraId="273608A4"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8989881" w14:textId="77777777" w:rsidR="00334A83" w:rsidRPr="00961631" w:rsidRDefault="00334A83" w:rsidP="00EA54CA">
            <w:pPr>
              <w:pStyle w:val="TableHeading"/>
            </w:pPr>
            <w:r w:rsidRPr="00961631">
              <w:t xml:space="preserve">PHN </w:t>
            </w:r>
          </w:p>
        </w:tc>
        <w:tc>
          <w:tcPr>
            <w:tcW w:w="0" w:type="auto"/>
          </w:tcPr>
          <w:p w14:paraId="411F7B02"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958" w:type="dxa"/>
          </w:tcPr>
          <w:p w14:paraId="6FBED603"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07252C93"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673" w:type="dxa"/>
          </w:tcPr>
          <w:p w14:paraId="382BC411"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020D90A7"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1198" w:type="dxa"/>
          </w:tcPr>
          <w:p w14:paraId="5D730D4A"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1D1B9B0"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05CD4B57"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FCFF723"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5848CBD6"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1048" w:type="dxa"/>
          </w:tcPr>
          <w:p w14:paraId="7BC0AD93"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9CFE2A1" w14:textId="77777777" w:rsidR="00334A83" w:rsidRPr="00961631" w:rsidRDefault="00334A83" w:rsidP="00EA54CA">
            <w:pPr>
              <w:pStyle w:val="TableHeading"/>
              <w:cnfStyle w:val="000000000000" w:firstRow="0" w:lastRow="0" w:firstColumn="0" w:lastColumn="0" w:oddVBand="0" w:evenVBand="0" w:oddHBand="0" w:evenHBand="0" w:firstRowFirstColumn="0" w:firstRowLastColumn="0" w:lastRowFirstColumn="0" w:lastRowLastColumn="0"/>
            </w:pPr>
          </w:p>
        </w:tc>
      </w:tr>
      <w:tr w:rsidR="00334A83" w:rsidRPr="00950992" w14:paraId="00220529"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EF6405C"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CEO</w:t>
            </w:r>
          </w:p>
        </w:tc>
        <w:tc>
          <w:tcPr>
            <w:tcW w:w="0" w:type="auto"/>
          </w:tcPr>
          <w:p w14:paraId="280FFFE3"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08D8619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702575B6"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6821B15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F9E2C80"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221E2409" w14:textId="180BC8C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795938B8" w14:textId="78F4EF84" w:rsidR="00334A83" w:rsidRPr="00961631" w:rsidRDefault="00334A83" w:rsidP="00334A83">
            <w:pPr>
              <w:jc w:val="center"/>
              <w:cnfStyle w:val="000000000000" w:firstRow="0" w:lastRow="0" w:firstColumn="0" w:lastColumn="0" w:oddVBand="0" w:evenVBand="0" w:oddHBand="0" w:evenHBand="0" w:firstRowFirstColumn="0" w:firstRowLastColumn="0" w:lastRowFirstColumn="0" w:lastRowLastColumn="0"/>
              <w:rPr>
                <w:bCs/>
              </w:rPr>
            </w:pPr>
          </w:p>
        </w:tc>
        <w:tc>
          <w:tcPr>
            <w:tcW w:w="0" w:type="auto"/>
          </w:tcPr>
          <w:p w14:paraId="6EE1E7AC" w14:textId="148A8456"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B81A300" w14:textId="28F1DBD9"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7571808" w14:textId="7383FEAB"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048" w:type="dxa"/>
          </w:tcPr>
          <w:p w14:paraId="1341CD7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E73160E" w14:textId="6028561B"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r>
      <w:tr w:rsidR="00334A83" w:rsidRPr="00950992" w14:paraId="0AA8CF98" w14:textId="77777777" w:rsidTr="008E70DE">
        <w:trPr>
          <w:trHeight w:val="345"/>
        </w:trPr>
        <w:tc>
          <w:tcPr>
            <w:cnfStyle w:val="001000000000" w:firstRow="0" w:lastRow="0" w:firstColumn="1" w:lastColumn="0" w:oddVBand="0" w:evenVBand="0" w:oddHBand="0" w:evenHBand="0" w:firstRowFirstColumn="0" w:firstRowLastColumn="0" w:lastRowFirstColumn="0" w:lastRowLastColumn="0"/>
            <w:tcW w:w="0" w:type="auto"/>
          </w:tcPr>
          <w:p w14:paraId="342CA2DA"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Executive Manager, Capability/ Innovation/ Improvement</w:t>
            </w:r>
          </w:p>
        </w:tc>
        <w:tc>
          <w:tcPr>
            <w:tcW w:w="0" w:type="auto"/>
          </w:tcPr>
          <w:p w14:paraId="2F705E70"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958" w:type="dxa"/>
          </w:tcPr>
          <w:p w14:paraId="04E3BD5E"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2FE467F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673" w:type="dxa"/>
          </w:tcPr>
          <w:p w14:paraId="6876082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1323F007"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64BBFBEE" w14:textId="2114F0CE"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1ABCCCEE" w14:textId="1386CF55"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80E766A" w14:textId="4E3CB9A8"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3DE1A3F0" w14:textId="25855CD1"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145B0974" w14:textId="109628C8"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048" w:type="dxa"/>
          </w:tcPr>
          <w:p w14:paraId="038663C3"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55ADE14B"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154B50" w14:paraId="79F2C235"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930A96D" w14:textId="77777777" w:rsidR="00334A83" w:rsidRPr="00961631" w:rsidRDefault="00334A83" w:rsidP="008E64B1">
            <w:pPr>
              <w:pStyle w:val="TableHeading"/>
            </w:pPr>
            <w:r w:rsidRPr="00961631">
              <w:t>Health Service</w:t>
            </w:r>
          </w:p>
        </w:tc>
        <w:tc>
          <w:tcPr>
            <w:tcW w:w="0" w:type="auto"/>
          </w:tcPr>
          <w:p w14:paraId="2AE07EB6"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958" w:type="dxa"/>
          </w:tcPr>
          <w:p w14:paraId="0169C3DE"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518BD485"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673" w:type="dxa"/>
          </w:tcPr>
          <w:p w14:paraId="7C64C6FC"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4132A097"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1198" w:type="dxa"/>
          </w:tcPr>
          <w:p w14:paraId="4E47A230"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D25E368"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191C9B3"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70F3A55A"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4E1B58EB"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1048" w:type="dxa"/>
          </w:tcPr>
          <w:p w14:paraId="0A2F0684"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4919B2F2"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r>
      <w:tr w:rsidR="00334A83" w:rsidRPr="00950992" w14:paraId="5C77581F"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111525A"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Health Service Manager</w:t>
            </w:r>
          </w:p>
        </w:tc>
        <w:tc>
          <w:tcPr>
            <w:tcW w:w="0" w:type="auto"/>
          </w:tcPr>
          <w:p w14:paraId="40914480"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1FFDBB7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40CA8D4"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54B5B17E"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9671ED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6417FA4C" w14:textId="427954C9"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06EA12AD" w14:textId="76CED780"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CDB1AE3" w14:textId="046F086D"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CA35E77" w14:textId="2A8FE462"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026BD992" w14:textId="76090971"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048" w:type="dxa"/>
          </w:tcPr>
          <w:p w14:paraId="7E865D73"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3BBF374"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950992" w14:paraId="2737D9E4"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97C72D4"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Revenue Manager or Clerk</w:t>
            </w:r>
          </w:p>
        </w:tc>
        <w:tc>
          <w:tcPr>
            <w:tcW w:w="0" w:type="auto"/>
          </w:tcPr>
          <w:p w14:paraId="664E197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5D34AE8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4918038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394D0CE4"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BF46A68"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4AA300FB" w14:textId="18F1E71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A6977EB" w14:textId="782E4C19"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B2A714C" w14:textId="32A2FBDD"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6496546" w14:textId="6D393D5E"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8BF0139" w14:textId="53BC2A96"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048" w:type="dxa"/>
          </w:tcPr>
          <w:p w14:paraId="329EDCE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138D1A5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950992" w14:paraId="10EC1876"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4AEBD59"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Medical Officer</w:t>
            </w:r>
          </w:p>
        </w:tc>
        <w:tc>
          <w:tcPr>
            <w:tcW w:w="0" w:type="auto"/>
          </w:tcPr>
          <w:p w14:paraId="5EA2B7A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958" w:type="dxa"/>
          </w:tcPr>
          <w:p w14:paraId="236D5878"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4E7A74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673" w:type="dxa"/>
          </w:tcPr>
          <w:p w14:paraId="3609CED3"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315041AE"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6EF47F8F" w14:textId="7DB71E6B"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34CE7880" w14:textId="232A4C00"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6FF1A189" w14:textId="31A524F4"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23CEF936" w14:textId="47F44113"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63B4A95" w14:textId="74BAA41D"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048" w:type="dxa"/>
          </w:tcPr>
          <w:p w14:paraId="3BA9184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115806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154B50" w14:paraId="7E2E5733"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C7311F3" w14:textId="77777777" w:rsidR="00334A83" w:rsidRPr="00961631" w:rsidRDefault="00334A83" w:rsidP="008E64B1">
            <w:pPr>
              <w:pStyle w:val="TableHeading"/>
            </w:pPr>
            <w:r w:rsidRPr="00961631">
              <w:t>Private Practice</w:t>
            </w:r>
          </w:p>
        </w:tc>
        <w:tc>
          <w:tcPr>
            <w:tcW w:w="0" w:type="auto"/>
          </w:tcPr>
          <w:p w14:paraId="7584821F"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958" w:type="dxa"/>
          </w:tcPr>
          <w:p w14:paraId="7780E036"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62668B0"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673" w:type="dxa"/>
          </w:tcPr>
          <w:p w14:paraId="2A8ADF29"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C9FFCB7"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1198" w:type="dxa"/>
          </w:tcPr>
          <w:p w14:paraId="10AEC3A3"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1B93FED0"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17A326B0"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690FFF75"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25C81D52"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1048" w:type="dxa"/>
          </w:tcPr>
          <w:p w14:paraId="0919A943"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c>
          <w:tcPr>
            <w:tcW w:w="0" w:type="auto"/>
          </w:tcPr>
          <w:p w14:paraId="387F13FB" w14:textId="77777777" w:rsidR="00334A83" w:rsidRPr="00961631" w:rsidRDefault="00334A83" w:rsidP="008E64B1">
            <w:pPr>
              <w:pStyle w:val="TableHeading"/>
              <w:cnfStyle w:val="000000000000" w:firstRow="0" w:lastRow="0" w:firstColumn="0" w:lastColumn="0" w:oddVBand="0" w:evenVBand="0" w:oddHBand="0" w:evenHBand="0" w:firstRowFirstColumn="0" w:firstRowLastColumn="0" w:lastRowFirstColumn="0" w:lastRowLastColumn="0"/>
            </w:pPr>
          </w:p>
        </w:tc>
      </w:tr>
      <w:tr w:rsidR="00334A83" w:rsidRPr="00950992" w14:paraId="708C2A82"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2D4499F"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Practice Manager</w:t>
            </w:r>
          </w:p>
        </w:tc>
        <w:tc>
          <w:tcPr>
            <w:tcW w:w="0" w:type="auto"/>
          </w:tcPr>
          <w:p w14:paraId="3519299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958" w:type="dxa"/>
          </w:tcPr>
          <w:p w14:paraId="215E1F23"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2DD56E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705BF046"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121DA026"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1198" w:type="dxa"/>
          </w:tcPr>
          <w:p w14:paraId="159588E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24B0E69F"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18C3528"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AE01FB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32E783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18C5C43F"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7606738F" w14:textId="217990FB"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r>
      <w:tr w:rsidR="00334A83" w:rsidRPr="00950992" w14:paraId="7DA6BD3E"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C47BD47"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Practice Principal</w:t>
            </w:r>
          </w:p>
        </w:tc>
        <w:tc>
          <w:tcPr>
            <w:tcW w:w="0" w:type="auto"/>
          </w:tcPr>
          <w:p w14:paraId="773536F7"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958" w:type="dxa"/>
          </w:tcPr>
          <w:p w14:paraId="4F8A8A54"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10E9A83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6EE7D8F7"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4F7B6D6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198" w:type="dxa"/>
          </w:tcPr>
          <w:p w14:paraId="4D20AAA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793FEF9B" w14:textId="67DE9783"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24D801D3" w14:textId="040FE503"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0DCAC084"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64838A8"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0BB2616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55501E49" w14:textId="4FBBAC6C"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r>
      <w:tr w:rsidR="00334A83" w:rsidRPr="00950992" w14:paraId="21B03A4D"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0B6F4DB" w14:textId="77777777" w:rsidR="00334A83" w:rsidRPr="00961631" w:rsidRDefault="00334A83" w:rsidP="00334A83">
            <w:pPr>
              <w:spacing w:after="0"/>
              <w:ind w:left="720"/>
              <w:rPr>
                <w:rFonts w:eastAsia="Calibri" w:cs="Times New Roman"/>
                <w:b w:val="0"/>
                <w:bCs/>
                <w:spacing w:val="0"/>
              </w:rPr>
            </w:pPr>
            <w:r w:rsidRPr="00961631">
              <w:rPr>
                <w:rFonts w:eastAsia="Calibri" w:cs="Times New Roman"/>
                <w:b w:val="0"/>
                <w:bCs/>
                <w:spacing w:val="0"/>
              </w:rPr>
              <w:t>GP</w:t>
            </w:r>
          </w:p>
        </w:tc>
        <w:tc>
          <w:tcPr>
            <w:tcW w:w="0" w:type="auto"/>
          </w:tcPr>
          <w:p w14:paraId="05DC167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958" w:type="dxa"/>
          </w:tcPr>
          <w:p w14:paraId="67563003"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707CE08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673" w:type="dxa"/>
          </w:tcPr>
          <w:p w14:paraId="01BF6CAD"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r w:rsidRPr="00961631">
              <w:rPr>
                <w:rFonts w:eastAsia="Calibri" w:cs="Times New Roman"/>
                <w:bCs/>
                <w:spacing w:val="0"/>
              </w:rPr>
              <w:sym w:font="Wingdings 2" w:char="F050"/>
            </w:r>
          </w:p>
        </w:tc>
        <w:tc>
          <w:tcPr>
            <w:tcW w:w="0" w:type="auto"/>
          </w:tcPr>
          <w:p w14:paraId="27B8C83F"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198" w:type="dxa"/>
          </w:tcPr>
          <w:p w14:paraId="76E6D07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0FD90D5A"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14E1E32E"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38D5190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622D052A"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1048" w:type="dxa"/>
          </w:tcPr>
          <w:p w14:paraId="742C193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c>
          <w:tcPr>
            <w:tcW w:w="0" w:type="auto"/>
          </w:tcPr>
          <w:p w14:paraId="5AD1121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pacing w:val="0"/>
              </w:rPr>
            </w:pPr>
          </w:p>
        </w:tc>
      </w:tr>
      <w:tr w:rsidR="00334A83" w:rsidRPr="00154B50" w14:paraId="5AAEF0D4" w14:textId="77777777" w:rsidTr="008E70D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00B96110" w14:textId="719CC9A8" w:rsidR="00334A83" w:rsidRPr="00961631" w:rsidRDefault="00DE48A4" w:rsidP="008E64B1">
            <w:pPr>
              <w:pStyle w:val="TableHeading"/>
            </w:pPr>
            <w:r w:rsidRPr="00961631">
              <w:t xml:space="preserve">Local </w:t>
            </w:r>
            <w:r w:rsidR="00334A83" w:rsidRPr="00961631">
              <w:t>ACCH</w:t>
            </w:r>
            <w:r w:rsidRPr="00961631">
              <w:t>O</w:t>
            </w:r>
          </w:p>
        </w:tc>
        <w:tc>
          <w:tcPr>
            <w:tcW w:w="0" w:type="auto"/>
          </w:tcPr>
          <w:p w14:paraId="62CD420E"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958" w:type="dxa"/>
          </w:tcPr>
          <w:p w14:paraId="776C0979"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06B44BF7"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673" w:type="dxa"/>
          </w:tcPr>
          <w:p w14:paraId="4DD2F083"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3061AAC1"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1198" w:type="dxa"/>
          </w:tcPr>
          <w:p w14:paraId="2DE08DC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0" w:type="auto"/>
          </w:tcPr>
          <w:p w14:paraId="1AACA33A" w14:textId="3FB9116C"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6BFEB2EC"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0" w:type="auto"/>
          </w:tcPr>
          <w:p w14:paraId="2522F32F"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0" w:type="auto"/>
          </w:tcPr>
          <w:p w14:paraId="48D817D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1048" w:type="dxa"/>
          </w:tcPr>
          <w:p w14:paraId="25172457"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c>
          <w:tcPr>
            <w:tcW w:w="0" w:type="auto"/>
          </w:tcPr>
          <w:p w14:paraId="03D9EEE8"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p>
        </w:tc>
      </w:tr>
      <w:tr w:rsidR="00334A83" w:rsidRPr="00154B50" w14:paraId="4916CBC7" w14:textId="77777777" w:rsidTr="008E70DE">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0459D7DA" w14:textId="77777777" w:rsidR="00334A83" w:rsidRPr="00961631" w:rsidRDefault="00334A83" w:rsidP="008E64B1">
            <w:pPr>
              <w:pStyle w:val="TableHeading"/>
            </w:pPr>
            <w:r w:rsidRPr="00961631">
              <w:t>RWA</w:t>
            </w:r>
          </w:p>
        </w:tc>
        <w:tc>
          <w:tcPr>
            <w:tcW w:w="0" w:type="auto"/>
          </w:tcPr>
          <w:p w14:paraId="05BA69B7"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958" w:type="dxa"/>
          </w:tcPr>
          <w:p w14:paraId="5B7648B4"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63CFF63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673" w:type="dxa"/>
          </w:tcPr>
          <w:p w14:paraId="3C2540C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7C32A685"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1198" w:type="dxa"/>
          </w:tcPr>
          <w:p w14:paraId="3E2B3E2B" w14:textId="1D477724"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1BFCC938" w14:textId="736C2FF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4BC03BC4" w14:textId="19E76560"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28C1A08D" w14:textId="2E4D3B2C"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27390C9A" w14:textId="2ED4A0CA"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1048" w:type="dxa"/>
          </w:tcPr>
          <w:p w14:paraId="52A53F72" w14:textId="77777777"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c>
          <w:tcPr>
            <w:tcW w:w="0" w:type="auto"/>
          </w:tcPr>
          <w:p w14:paraId="287FC78A" w14:textId="6DD290C2" w:rsidR="00334A83" w:rsidRPr="00961631" w:rsidRDefault="00334A83" w:rsidP="00334A83">
            <w:pPr>
              <w:spacing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pacing w:val="0"/>
              </w:rPr>
            </w:pPr>
            <w:r w:rsidRPr="00961631">
              <w:rPr>
                <w:rFonts w:eastAsia="Calibri" w:cs="Times New Roman"/>
                <w:spacing w:val="0"/>
              </w:rPr>
              <w:sym w:font="Wingdings 2" w:char="F050"/>
            </w:r>
          </w:p>
        </w:tc>
      </w:tr>
    </w:tbl>
    <w:p w14:paraId="219DC9DE" w14:textId="3B87A135" w:rsidR="008339F0" w:rsidRPr="00154B50" w:rsidRDefault="008339F0" w:rsidP="008339F0">
      <w:pPr>
        <w:rPr>
          <w:sz w:val="12"/>
          <w:szCs w:val="12"/>
        </w:rPr>
      </w:pPr>
    </w:p>
    <w:p w14:paraId="4182DE61" w14:textId="77777777" w:rsidR="00B879B7" w:rsidRPr="00154B50" w:rsidRDefault="00B879B7" w:rsidP="008339F0">
      <w:pPr>
        <w:rPr>
          <w:sz w:val="12"/>
          <w:szCs w:val="12"/>
        </w:rPr>
        <w:sectPr w:rsidR="00B879B7" w:rsidRPr="00154B50" w:rsidSect="00006354">
          <w:pgSz w:w="16838" w:h="11906" w:orient="landscape" w:code="9"/>
          <w:pgMar w:top="737" w:right="1304" w:bottom="1134" w:left="737" w:header="567" w:footer="284" w:gutter="0"/>
          <w:cols w:space="708"/>
          <w:docGrid w:linePitch="360"/>
        </w:sectPr>
      </w:pPr>
    </w:p>
    <w:p w14:paraId="3F840361" w14:textId="198F7CCD" w:rsidR="008339F0" w:rsidRDefault="008339F0" w:rsidP="000428AD">
      <w:pPr>
        <w:pStyle w:val="AppendixHeading"/>
        <w:numPr>
          <w:ilvl w:val="0"/>
          <w:numId w:val="0"/>
        </w:numPr>
        <w:spacing w:before="120"/>
      </w:pPr>
      <w:bookmarkStart w:id="169" w:name="_Toc85203320"/>
      <w:r>
        <w:lastRenderedPageBreak/>
        <w:t xml:space="preserve">Appendix </w:t>
      </w:r>
      <w:r w:rsidR="0008569D">
        <w:t>E</w:t>
      </w:r>
      <w:r w:rsidR="00B5257F">
        <w:tab/>
      </w:r>
      <w:r>
        <w:t>MBS claims</w:t>
      </w:r>
      <w:r w:rsidR="00FD7726">
        <w:t xml:space="preserve"> – </w:t>
      </w:r>
      <w:r w:rsidR="00DE5CEB">
        <w:t>f</w:t>
      </w:r>
      <w:r w:rsidR="00FD7726">
        <w:t>ramework for aggregat</w:t>
      </w:r>
      <w:r w:rsidR="00A21D86">
        <w:t>ing individual items</w:t>
      </w:r>
      <w:bookmarkEnd w:id="169"/>
    </w:p>
    <w:p w14:paraId="46C46A0A" w14:textId="78E52C92" w:rsidR="000428AD" w:rsidRPr="000428AD" w:rsidRDefault="000428AD" w:rsidP="000428AD">
      <w:r>
        <w:t xml:space="preserve">Definitions of the item categorisation used to derive aggregated items </w:t>
      </w:r>
      <w:r w:rsidR="00B5257F">
        <w:t xml:space="preserve">used in the MBS data analysis are </w:t>
      </w:r>
      <w:r>
        <w:t>given in</w:t>
      </w:r>
      <w:r w:rsidR="003E4E52">
        <w:t xml:space="preserve"> </w:t>
      </w:r>
      <w:r w:rsidR="003E4E52">
        <w:fldChar w:fldCharType="begin"/>
      </w:r>
      <w:r w:rsidR="003E4E52">
        <w:instrText xml:space="preserve"> REF _Ref76135706 \h </w:instrText>
      </w:r>
      <w:r w:rsidR="003E4E52">
        <w:fldChar w:fldCharType="separate"/>
      </w:r>
      <w:r w:rsidR="00C50B67">
        <w:t xml:space="preserve">Table </w:t>
      </w:r>
      <w:r w:rsidR="00C50B67">
        <w:rPr>
          <w:noProof/>
        </w:rPr>
        <w:t>6</w:t>
      </w:r>
      <w:r w:rsidR="00C50B67">
        <w:t>.</w:t>
      </w:r>
      <w:r w:rsidR="00C50B67">
        <w:rPr>
          <w:noProof/>
        </w:rPr>
        <w:t>5</w:t>
      </w:r>
      <w:r w:rsidR="003E4E52">
        <w:fldChar w:fldCharType="end"/>
      </w:r>
      <w:r w:rsidR="003E4E52">
        <w:t>.</w:t>
      </w:r>
    </w:p>
    <w:p w14:paraId="1433FA82" w14:textId="422CD77F" w:rsidR="003E4E52" w:rsidRDefault="003E4E52" w:rsidP="003E4E52">
      <w:pPr>
        <w:pStyle w:val="Caption"/>
      </w:pPr>
      <w:bookmarkStart w:id="170" w:name="_Ref76135706"/>
      <w:r>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rsidR="0055333A">
        <w:t>.</w:t>
      </w:r>
      <w:r w:rsidR="00A67BE9">
        <w:fldChar w:fldCharType="begin"/>
      </w:r>
      <w:r w:rsidR="00A67BE9">
        <w:instrText xml:space="preserve"> SEQ Table \* A</w:instrText>
      </w:r>
      <w:r w:rsidR="00A67BE9">
        <w:instrText xml:space="preserve">RABIC \s 1 </w:instrText>
      </w:r>
      <w:r w:rsidR="00A67BE9">
        <w:fldChar w:fldCharType="separate"/>
      </w:r>
      <w:r w:rsidR="00C50B67">
        <w:rPr>
          <w:noProof/>
        </w:rPr>
        <w:t>5</w:t>
      </w:r>
      <w:r w:rsidR="00A67BE9">
        <w:rPr>
          <w:noProof/>
        </w:rPr>
        <w:fldChar w:fldCharType="end"/>
      </w:r>
      <w:bookmarkEnd w:id="170"/>
      <w:r>
        <w:t xml:space="preserve">: </w:t>
      </w:r>
      <w:r w:rsidRPr="003E4E52">
        <w:rPr>
          <w:rStyle w:val="Caption-notboldChar"/>
        </w:rPr>
        <w:t>MBS data specification</w:t>
      </w:r>
    </w:p>
    <w:tbl>
      <w:tblPr>
        <w:tblStyle w:val="HMATableA1"/>
        <w:tblW w:w="0" w:type="auto"/>
        <w:tblLook w:val="06A0" w:firstRow="1" w:lastRow="0" w:firstColumn="1" w:lastColumn="0" w:noHBand="1" w:noVBand="1"/>
      </w:tblPr>
      <w:tblGrid>
        <w:gridCol w:w="2063"/>
        <w:gridCol w:w="2803"/>
        <w:gridCol w:w="2178"/>
      </w:tblGrid>
      <w:tr w:rsidR="000428AD" w:rsidRPr="00F305E0" w14:paraId="169934B7" w14:textId="77777777" w:rsidTr="008E70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3" w:type="dxa"/>
          </w:tcPr>
          <w:p w14:paraId="0452467F" w14:textId="7CB7EBD4" w:rsidR="000428AD" w:rsidRPr="00F305E0" w:rsidRDefault="00783742" w:rsidP="008E70DE">
            <w:r>
              <w:t>S19</w:t>
            </w:r>
            <w:r w:rsidR="00A07293">
              <w:t>(2)</w:t>
            </w:r>
            <w:r w:rsidR="000428AD" w:rsidRPr="00F305E0">
              <w:t xml:space="preserve"> MBS Item </w:t>
            </w:r>
            <w:r w:rsidR="000428AD">
              <w:t xml:space="preserve">aggregated </w:t>
            </w:r>
            <w:r w:rsidR="000428AD" w:rsidRPr="00F305E0">
              <w:t>category</w:t>
            </w:r>
          </w:p>
        </w:tc>
        <w:tc>
          <w:tcPr>
            <w:tcW w:w="2803" w:type="dxa"/>
          </w:tcPr>
          <w:p w14:paraId="6367384C" w14:textId="77777777" w:rsidR="000428AD" w:rsidRPr="00F305E0" w:rsidRDefault="000428AD" w:rsidP="008E70DE">
            <w:pPr>
              <w:cnfStyle w:val="100000000000" w:firstRow="1" w:lastRow="0" w:firstColumn="0" w:lastColumn="0" w:oddVBand="0" w:evenVBand="0" w:oddHBand="0" w:evenHBand="0" w:firstRowFirstColumn="0" w:firstRowLastColumn="0" w:lastRowFirstColumn="0" w:lastRowLastColumn="0"/>
            </w:pPr>
            <w:r>
              <w:t>MBS groups / subgroups</w:t>
            </w:r>
          </w:p>
        </w:tc>
        <w:tc>
          <w:tcPr>
            <w:tcW w:w="2178" w:type="dxa"/>
          </w:tcPr>
          <w:p w14:paraId="09E7A45D" w14:textId="77777777" w:rsidR="000428AD" w:rsidRDefault="000428AD" w:rsidP="008E70DE">
            <w:pPr>
              <w:cnfStyle w:val="100000000000" w:firstRow="1" w:lastRow="0" w:firstColumn="0" w:lastColumn="0" w:oddVBand="0" w:evenVBand="0" w:oddHBand="0" w:evenHBand="0" w:firstRowFirstColumn="0" w:firstRowLastColumn="0" w:lastRowFirstColumn="0" w:lastRowLastColumn="0"/>
            </w:pPr>
            <w:r>
              <w:t>Associated variables</w:t>
            </w:r>
          </w:p>
        </w:tc>
      </w:tr>
      <w:tr w:rsidR="000428AD" w:rsidRPr="00F305E0" w14:paraId="2929C6DA" w14:textId="77777777" w:rsidTr="008E70DE">
        <w:trPr>
          <w:trHeight w:val="1050"/>
        </w:trPr>
        <w:tc>
          <w:tcPr>
            <w:cnfStyle w:val="001000000000" w:firstRow="0" w:lastRow="0" w:firstColumn="1" w:lastColumn="0" w:oddVBand="0" w:evenVBand="0" w:oddHBand="0" w:evenHBand="0" w:firstRowFirstColumn="0" w:firstRowLastColumn="0" w:lastRowFirstColumn="0" w:lastRowLastColumn="0"/>
            <w:tcW w:w="2063" w:type="dxa"/>
            <w:vMerge w:val="restart"/>
          </w:tcPr>
          <w:p w14:paraId="0E881B69" w14:textId="0F4B160C" w:rsidR="000428AD" w:rsidRPr="00F305E0" w:rsidRDefault="003E4E52" w:rsidP="008E70DE">
            <w:r>
              <w:t>‘</w:t>
            </w:r>
            <w:r w:rsidR="000428AD" w:rsidRPr="00F305E0">
              <w:t>Non-Referred Attendances, ‘NRA’ (A/hrs and EPC to be separated out but retained as aggregated sub-category)</w:t>
            </w:r>
            <w:r>
              <w:t>’</w:t>
            </w:r>
          </w:p>
        </w:tc>
        <w:tc>
          <w:tcPr>
            <w:tcW w:w="2803" w:type="dxa"/>
            <w:vMerge w:val="restart"/>
          </w:tcPr>
          <w:p w14:paraId="16905733" w14:textId="5D4ABBC8"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A01, A02, A05, A06, A07, A11, A14, A17, A18, A19, A20, A22, A23, A27, A30, A34, A35, A39, A41,</w:t>
            </w:r>
            <w:r w:rsidR="009A4F03">
              <w:t xml:space="preserve"> </w:t>
            </w:r>
            <w:r w:rsidRPr="00F305E0">
              <w:t>SUBGROUP(S) A1501, A3601, A3604, A4001, A4002, A4003, A4010, A4011, A4012, A4013, A4014, A4015, A4016, A4019, A4020, A4021, A4022, A4027, A4028, A4029, A4030,</w:t>
            </w:r>
            <w:r w:rsidR="009A4F03">
              <w:t xml:space="preserve"> </w:t>
            </w:r>
            <w:r w:rsidRPr="00F305E0">
              <w:t>ITEM(S) 5021, 5022, 5027, 5030, 5031, 5032, 5033, 5035, 5036, 5042, 5044, 735, 739, 743, 747, 750, 758, 90264, 90265, 92170, 92171, 92176, 92177</w:t>
            </w:r>
          </w:p>
        </w:tc>
        <w:tc>
          <w:tcPr>
            <w:tcW w:w="2178" w:type="dxa"/>
          </w:tcPr>
          <w:p w14:paraId="3A6E0104"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t>Jurisdiction</w:t>
            </w:r>
          </w:p>
        </w:tc>
      </w:tr>
      <w:tr w:rsidR="000428AD" w:rsidRPr="00F305E0" w14:paraId="01FB8870" w14:textId="77777777" w:rsidTr="008E70DE">
        <w:trPr>
          <w:trHeight w:val="1050"/>
        </w:trPr>
        <w:tc>
          <w:tcPr>
            <w:cnfStyle w:val="001000000000" w:firstRow="0" w:lastRow="0" w:firstColumn="1" w:lastColumn="0" w:oddVBand="0" w:evenVBand="0" w:oddHBand="0" w:evenHBand="0" w:firstRowFirstColumn="0" w:firstRowLastColumn="0" w:lastRowFirstColumn="0" w:lastRowLastColumn="0"/>
            <w:tcW w:w="2063" w:type="dxa"/>
            <w:vMerge/>
          </w:tcPr>
          <w:p w14:paraId="42BE6F37" w14:textId="77777777" w:rsidR="000428AD" w:rsidRPr="00F305E0" w:rsidRDefault="000428AD" w:rsidP="008E70DE"/>
        </w:tc>
        <w:tc>
          <w:tcPr>
            <w:tcW w:w="2803" w:type="dxa"/>
            <w:vMerge/>
          </w:tcPr>
          <w:p w14:paraId="1EBD588A"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c>
          <w:tcPr>
            <w:tcW w:w="2178" w:type="dxa"/>
          </w:tcPr>
          <w:p w14:paraId="60FA6B84"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t>Date of service provision</w:t>
            </w:r>
          </w:p>
        </w:tc>
      </w:tr>
      <w:tr w:rsidR="000428AD" w:rsidRPr="00F305E0" w14:paraId="1DE2695D" w14:textId="77777777" w:rsidTr="008E70DE">
        <w:trPr>
          <w:trHeight w:val="1050"/>
        </w:trPr>
        <w:tc>
          <w:tcPr>
            <w:cnfStyle w:val="001000000000" w:firstRow="0" w:lastRow="0" w:firstColumn="1" w:lastColumn="0" w:oddVBand="0" w:evenVBand="0" w:oddHBand="0" w:evenHBand="0" w:firstRowFirstColumn="0" w:firstRowLastColumn="0" w:lastRowFirstColumn="0" w:lastRowLastColumn="0"/>
            <w:tcW w:w="2063" w:type="dxa"/>
            <w:vMerge/>
          </w:tcPr>
          <w:p w14:paraId="29ADF03A" w14:textId="77777777" w:rsidR="000428AD" w:rsidRPr="00F305E0" w:rsidRDefault="000428AD" w:rsidP="008E70DE"/>
        </w:tc>
        <w:tc>
          <w:tcPr>
            <w:tcW w:w="2803" w:type="dxa"/>
            <w:vMerge/>
          </w:tcPr>
          <w:p w14:paraId="10E5BC1D"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c>
          <w:tcPr>
            <w:tcW w:w="2178" w:type="dxa"/>
            <w:vMerge w:val="restart"/>
          </w:tcPr>
          <w:p w14:paraId="586E6340"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t>Service location</w:t>
            </w:r>
          </w:p>
        </w:tc>
      </w:tr>
      <w:tr w:rsidR="000428AD" w:rsidRPr="00F305E0" w14:paraId="451AD7C0"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11F0E9D5" w14:textId="77777777" w:rsidR="000428AD" w:rsidRPr="00F305E0" w:rsidRDefault="000428AD" w:rsidP="008E70DE">
            <w:r w:rsidRPr="00F305E0">
              <w:t xml:space="preserve">Non-referred attendances </w:t>
            </w:r>
            <w:r w:rsidRPr="00F305E0">
              <w:rPr>
                <w:rFonts w:ascii="Calibri" w:hAnsi="Calibri"/>
              </w:rPr>
              <w:t>‒</w:t>
            </w:r>
            <w:r w:rsidRPr="00F305E0">
              <w:t xml:space="preserve"> Practice Nurse</w:t>
            </w:r>
          </w:p>
        </w:tc>
        <w:tc>
          <w:tcPr>
            <w:tcW w:w="2803" w:type="dxa"/>
          </w:tcPr>
          <w:p w14:paraId="62474A12" w14:textId="495BCB5B"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M12,</w:t>
            </w:r>
            <w:r w:rsidR="009A4F03">
              <w:t xml:space="preserve"> </w:t>
            </w:r>
            <w:r w:rsidRPr="00F305E0">
              <w:t>SUBGROUP(S) M1823, M1824</w:t>
            </w:r>
          </w:p>
        </w:tc>
        <w:tc>
          <w:tcPr>
            <w:tcW w:w="2178" w:type="dxa"/>
            <w:vMerge/>
          </w:tcPr>
          <w:p w14:paraId="63F18F7F"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586BE573"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31D3A7B5" w14:textId="77777777" w:rsidR="000428AD" w:rsidRPr="00F305E0" w:rsidRDefault="000428AD" w:rsidP="008E70DE">
            <w:r w:rsidRPr="00F305E0">
              <w:t>Other Allied Health</w:t>
            </w:r>
          </w:p>
        </w:tc>
        <w:tc>
          <w:tcPr>
            <w:tcW w:w="2803" w:type="dxa"/>
          </w:tcPr>
          <w:p w14:paraId="1FD5A51F" w14:textId="348C7F36"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M03, M06, M07, M08, M09, M10, M11, M15, M16, M17, M25, M26,</w:t>
            </w:r>
            <w:r w:rsidR="009A4F03">
              <w:t xml:space="preserve"> </w:t>
            </w:r>
            <w:r w:rsidRPr="00F305E0">
              <w:t>SUBGROUP(S) M1801, M1802, M1803, M1804, M1806, M1807, M1808, M1809, M1811, M1812, M1813, M1814, M1815, M1816, M1817, M1818, M1819, M1820, M1821, M1822, M1825, M1826</w:t>
            </w:r>
          </w:p>
        </w:tc>
        <w:tc>
          <w:tcPr>
            <w:tcW w:w="2178" w:type="dxa"/>
            <w:vMerge/>
          </w:tcPr>
          <w:p w14:paraId="622C4BFC"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5DF4DC2B"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3E4E63FD" w14:textId="77777777" w:rsidR="000428AD" w:rsidRPr="00F305E0" w:rsidRDefault="000428AD" w:rsidP="008E70DE">
            <w:r w:rsidRPr="00F305E0">
              <w:t>Specialist attendances</w:t>
            </w:r>
          </w:p>
        </w:tc>
        <w:tc>
          <w:tcPr>
            <w:tcW w:w="2803" w:type="dxa"/>
          </w:tcPr>
          <w:p w14:paraId="605EBA5F" w14:textId="234333FD"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 xml:space="preserve">GROUP(S) A03, A04, A08, A09, A12, A13, A24, A26, A28, A29, </w:t>
            </w:r>
            <w:r w:rsidRPr="00F305E0">
              <w:t>A31, A32, A33, T06,</w:t>
            </w:r>
            <w:r w:rsidR="009A4F03">
              <w:t xml:space="preserve"> </w:t>
            </w:r>
            <w:r w:rsidRPr="00F305E0">
              <w:t>SUBGROUP(S) A3602, A4004, A4005, A4006, A4007, A4008, A4009, A4017, A4018, A4023, A4024, A4031, A4032, A4033, A4034, A4035, A4036, A4037, A4038,</w:t>
            </w:r>
            <w:r w:rsidR="009A4F03">
              <w:t xml:space="preserve"> </w:t>
            </w:r>
            <w:r w:rsidRPr="00F305E0">
              <w:t>ITEM(S) 5001, 5004, 5011, 5012, 5013, 5014, 5016, 5017, 5019, 5039, 5041, 820, 822, 823, 825, 826, 828, 830, 832, 834, 835, 837, 838, 855, 857, 858, 861, 864, 866, 871, 872, 880, 90266, 90267, 90268, 90269, 92172, 92173, 92178, 92179</w:t>
            </w:r>
          </w:p>
        </w:tc>
        <w:tc>
          <w:tcPr>
            <w:tcW w:w="2178" w:type="dxa"/>
            <w:vMerge/>
          </w:tcPr>
          <w:p w14:paraId="2D20CA12"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2B27843A"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15AF5057" w14:textId="77777777" w:rsidR="000428AD" w:rsidRPr="00F305E0" w:rsidRDefault="000428AD" w:rsidP="008E70DE">
            <w:r w:rsidRPr="00F305E0">
              <w:t>Obstetrics</w:t>
            </w:r>
          </w:p>
        </w:tc>
        <w:tc>
          <w:tcPr>
            <w:tcW w:w="2803" w:type="dxa"/>
          </w:tcPr>
          <w:p w14:paraId="01A9D09B"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T04</w:t>
            </w:r>
          </w:p>
        </w:tc>
        <w:tc>
          <w:tcPr>
            <w:tcW w:w="2178" w:type="dxa"/>
            <w:vMerge/>
          </w:tcPr>
          <w:p w14:paraId="6AB48A38"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255D5595"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26086A02" w14:textId="77777777" w:rsidR="000428AD" w:rsidRPr="00F305E0" w:rsidRDefault="000428AD" w:rsidP="008E70DE">
            <w:r w:rsidRPr="00F305E0">
              <w:t>Anaesthetics</w:t>
            </w:r>
          </w:p>
        </w:tc>
        <w:tc>
          <w:tcPr>
            <w:tcW w:w="2803" w:type="dxa"/>
          </w:tcPr>
          <w:p w14:paraId="2BD78666"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T07, T10</w:t>
            </w:r>
          </w:p>
        </w:tc>
        <w:tc>
          <w:tcPr>
            <w:tcW w:w="2178" w:type="dxa"/>
            <w:vMerge/>
          </w:tcPr>
          <w:p w14:paraId="064BCF53"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4D39BB5D"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08A8F1F9" w14:textId="77777777" w:rsidR="000428AD" w:rsidRPr="00F305E0" w:rsidRDefault="000428AD" w:rsidP="008E70DE">
            <w:r w:rsidRPr="00F305E0">
              <w:t>Pathology</w:t>
            </w:r>
          </w:p>
        </w:tc>
        <w:tc>
          <w:tcPr>
            <w:tcW w:w="2803" w:type="dxa"/>
          </w:tcPr>
          <w:p w14:paraId="5457A3D0"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P10, P11, P13</w:t>
            </w:r>
          </w:p>
          <w:p w14:paraId="413451E8"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P01, P02, P03, P04, P05, P06, P07, P08, P09, P12</w:t>
            </w:r>
          </w:p>
        </w:tc>
        <w:tc>
          <w:tcPr>
            <w:tcW w:w="2178" w:type="dxa"/>
            <w:vMerge/>
          </w:tcPr>
          <w:p w14:paraId="0F3707FA"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6CC70AA2"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3AD5CBCE" w14:textId="77777777" w:rsidR="000428AD" w:rsidRPr="00F305E0" w:rsidRDefault="000428AD" w:rsidP="008E70DE">
            <w:r w:rsidRPr="00F305E0">
              <w:t>Diagnostic Imaging</w:t>
            </w:r>
          </w:p>
        </w:tc>
        <w:tc>
          <w:tcPr>
            <w:tcW w:w="2803" w:type="dxa"/>
          </w:tcPr>
          <w:p w14:paraId="36F882B1"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I01, I02, I03, I04, I05, I06</w:t>
            </w:r>
          </w:p>
        </w:tc>
        <w:tc>
          <w:tcPr>
            <w:tcW w:w="2178" w:type="dxa"/>
            <w:vMerge/>
          </w:tcPr>
          <w:p w14:paraId="76BA8681"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0F6508BD"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2AEFC7CA" w14:textId="77777777" w:rsidR="000428AD" w:rsidRPr="00F305E0" w:rsidRDefault="000428AD" w:rsidP="008E70DE">
            <w:r w:rsidRPr="00F305E0">
              <w:t>Operations</w:t>
            </w:r>
          </w:p>
        </w:tc>
        <w:tc>
          <w:tcPr>
            <w:tcW w:w="2803" w:type="dxa"/>
          </w:tcPr>
          <w:p w14:paraId="4BD04941"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T08</w:t>
            </w:r>
          </w:p>
        </w:tc>
        <w:tc>
          <w:tcPr>
            <w:tcW w:w="2178" w:type="dxa"/>
            <w:vMerge/>
          </w:tcPr>
          <w:p w14:paraId="10971749"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796E73D9"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320CFD7F" w14:textId="77777777" w:rsidR="000428AD" w:rsidRPr="00F305E0" w:rsidRDefault="000428AD" w:rsidP="008E70DE">
            <w:r w:rsidRPr="00F305E0">
              <w:t>Radiotherapy and Therapeutic Nuclear Medicine</w:t>
            </w:r>
          </w:p>
        </w:tc>
        <w:tc>
          <w:tcPr>
            <w:tcW w:w="2803" w:type="dxa"/>
          </w:tcPr>
          <w:p w14:paraId="3765CBE0"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T02, T03</w:t>
            </w:r>
          </w:p>
        </w:tc>
        <w:tc>
          <w:tcPr>
            <w:tcW w:w="2178" w:type="dxa"/>
            <w:vMerge/>
          </w:tcPr>
          <w:p w14:paraId="574B28F0"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3A89FCAA"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1D5F44EB" w14:textId="77777777" w:rsidR="000428AD" w:rsidRPr="00F305E0" w:rsidRDefault="000428AD" w:rsidP="008E70DE">
            <w:r w:rsidRPr="00F305E0">
              <w:t>Other MBS services</w:t>
            </w:r>
          </w:p>
        </w:tc>
        <w:tc>
          <w:tcPr>
            <w:tcW w:w="2803" w:type="dxa"/>
          </w:tcPr>
          <w:p w14:paraId="6AE3B33A"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GROUP(S) C01, C02, C03, D01, D02, M01, M13, M19, O01, O02, O03, O04, O05, O06, O07, O08, O09, O11, T01, T11</w:t>
            </w:r>
          </w:p>
        </w:tc>
        <w:tc>
          <w:tcPr>
            <w:tcW w:w="2178" w:type="dxa"/>
            <w:vMerge/>
          </w:tcPr>
          <w:p w14:paraId="3C5F9954"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5328B430"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5AAED4BB" w14:textId="77777777" w:rsidR="000428AD" w:rsidRPr="00F305E0" w:rsidRDefault="000428AD" w:rsidP="008E70DE">
            <w:r w:rsidRPr="00F305E0">
              <w:t>Nurse Practitioners</w:t>
            </w:r>
          </w:p>
        </w:tc>
        <w:tc>
          <w:tcPr>
            <w:tcW w:w="2803" w:type="dxa"/>
          </w:tcPr>
          <w:p w14:paraId="0023F503" w14:textId="5C5B976D"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rsidRPr="00F305E0">
              <w:t>Group M14,</w:t>
            </w:r>
            <w:r w:rsidR="009A4F03">
              <w:t xml:space="preserve"> </w:t>
            </w:r>
            <w:r w:rsidRPr="00F305E0">
              <w:t>SUBGROUP(S) M1805, M1810</w:t>
            </w:r>
          </w:p>
        </w:tc>
        <w:tc>
          <w:tcPr>
            <w:tcW w:w="2178" w:type="dxa"/>
            <w:vMerge/>
          </w:tcPr>
          <w:p w14:paraId="7E7B16DA"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0770413F"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5B957B90" w14:textId="5ED26C99" w:rsidR="000428AD" w:rsidRPr="00F305E0" w:rsidRDefault="000428AD" w:rsidP="008E70DE">
            <w:r w:rsidRPr="00F305E0">
              <w:t>After Hours Non-Referred Attendances</w:t>
            </w:r>
          </w:p>
        </w:tc>
        <w:tc>
          <w:tcPr>
            <w:tcW w:w="2803" w:type="dxa"/>
            <w:vMerge w:val="restart"/>
          </w:tcPr>
          <w:p w14:paraId="10B23342" w14:textId="30FC1904"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r>
              <w:t>I</w:t>
            </w:r>
            <w:r w:rsidRPr="00F305E0">
              <w:t>dentified as separate sub-categories of items.</w:t>
            </w:r>
          </w:p>
        </w:tc>
        <w:tc>
          <w:tcPr>
            <w:tcW w:w="2178" w:type="dxa"/>
            <w:vMerge/>
          </w:tcPr>
          <w:p w14:paraId="1F652CB1"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r w:rsidR="000428AD" w:rsidRPr="00F305E0" w14:paraId="1319BE70" w14:textId="77777777" w:rsidTr="008E70DE">
        <w:tc>
          <w:tcPr>
            <w:cnfStyle w:val="001000000000" w:firstRow="0" w:lastRow="0" w:firstColumn="1" w:lastColumn="0" w:oddVBand="0" w:evenVBand="0" w:oddHBand="0" w:evenHBand="0" w:firstRowFirstColumn="0" w:firstRowLastColumn="0" w:lastRowFirstColumn="0" w:lastRowLastColumn="0"/>
            <w:tcW w:w="2063" w:type="dxa"/>
          </w:tcPr>
          <w:p w14:paraId="7883B12D" w14:textId="77777777" w:rsidR="000428AD" w:rsidRPr="00F305E0" w:rsidRDefault="000428AD" w:rsidP="008E70DE">
            <w:r w:rsidRPr="00F305E0">
              <w:t>Enhanced Primary Care</w:t>
            </w:r>
          </w:p>
        </w:tc>
        <w:tc>
          <w:tcPr>
            <w:tcW w:w="2803" w:type="dxa"/>
            <w:vMerge/>
          </w:tcPr>
          <w:p w14:paraId="6F30FA64" w14:textId="6E0190B3"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c>
          <w:tcPr>
            <w:tcW w:w="2178" w:type="dxa"/>
            <w:vMerge/>
          </w:tcPr>
          <w:p w14:paraId="4502AFA9" w14:textId="77777777" w:rsidR="000428AD" w:rsidRPr="00F305E0" w:rsidRDefault="000428AD" w:rsidP="008E70DE">
            <w:pPr>
              <w:cnfStyle w:val="000000000000" w:firstRow="0" w:lastRow="0" w:firstColumn="0" w:lastColumn="0" w:oddVBand="0" w:evenVBand="0" w:oddHBand="0" w:evenHBand="0" w:firstRowFirstColumn="0" w:firstRowLastColumn="0" w:lastRowFirstColumn="0" w:lastRowLastColumn="0"/>
            </w:pPr>
          </w:p>
        </w:tc>
      </w:tr>
    </w:tbl>
    <w:p w14:paraId="3840F8BA" w14:textId="77777777" w:rsidR="000428AD" w:rsidRDefault="000428AD" w:rsidP="000428AD">
      <w:pPr>
        <w:sectPr w:rsidR="000428AD" w:rsidSect="000428AD">
          <w:pgSz w:w="16838" w:h="11906" w:orient="landscape" w:code="9"/>
          <w:pgMar w:top="737" w:right="1304" w:bottom="1134" w:left="737" w:header="567" w:footer="284" w:gutter="0"/>
          <w:cols w:num="2" w:space="708"/>
          <w:docGrid w:linePitch="360"/>
        </w:sectPr>
      </w:pPr>
    </w:p>
    <w:p w14:paraId="631FB9BF" w14:textId="5B26BD1B" w:rsidR="000428AD" w:rsidRDefault="00A21BD5" w:rsidP="00A21BD5">
      <w:pPr>
        <w:pStyle w:val="AppendixHeading"/>
        <w:numPr>
          <w:ilvl w:val="0"/>
          <w:numId w:val="0"/>
        </w:numPr>
      </w:pPr>
      <w:bookmarkStart w:id="171" w:name="_Toc85203321"/>
      <w:r>
        <w:lastRenderedPageBreak/>
        <w:t xml:space="preserve">Appendix </w:t>
      </w:r>
      <w:r w:rsidR="0008569D">
        <w:t>F</w:t>
      </w:r>
      <w:r w:rsidR="007B1A27">
        <w:tab/>
      </w:r>
      <w:r w:rsidR="002501BD">
        <w:t xml:space="preserve">MBS </w:t>
      </w:r>
      <w:r w:rsidR="00DE5CEB">
        <w:t>b</w:t>
      </w:r>
      <w:r w:rsidR="002501BD">
        <w:t xml:space="preserve">enefits </w:t>
      </w:r>
      <w:r w:rsidR="00FD7726">
        <w:t>paid under the Initiative</w:t>
      </w:r>
      <w:r w:rsidR="002501BD">
        <w:t xml:space="preserve">, 2019–20, by jurisdiction &amp; </w:t>
      </w:r>
      <w:r w:rsidR="00DE5CEB">
        <w:t>a</w:t>
      </w:r>
      <w:r w:rsidR="002501BD">
        <w:t>ggregated category</w:t>
      </w:r>
      <w:bookmarkEnd w:id="171"/>
    </w:p>
    <w:p w14:paraId="620CCB80" w14:textId="786171DA" w:rsidR="003E4E52" w:rsidRDefault="003E4E52" w:rsidP="003E4E52">
      <w:pPr>
        <w:pStyle w:val="Caption"/>
      </w:pPr>
      <w:r>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6</w:t>
      </w:r>
      <w:r w:rsidR="00A67BE9">
        <w:rPr>
          <w:noProof/>
        </w:rPr>
        <w:fldChar w:fldCharType="end"/>
      </w:r>
      <w:r>
        <w:t xml:space="preserve">: </w:t>
      </w:r>
      <w:r w:rsidRPr="00B879B7">
        <w:rPr>
          <w:rStyle w:val="Caption-notboldChar"/>
        </w:rPr>
        <w:t>NSW MBS benefits paid by aggregated MBS categories of all participating sites (n=36)</w:t>
      </w:r>
    </w:p>
    <w:tbl>
      <w:tblPr>
        <w:tblStyle w:val="HMATableA6"/>
        <w:tblW w:w="3764" w:type="pct"/>
        <w:jc w:val="center"/>
        <w:tblLayout w:type="fixed"/>
        <w:tblLook w:val="04A0" w:firstRow="1" w:lastRow="0" w:firstColumn="1" w:lastColumn="0" w:noHBand="0" w:noVBand="1"/>
      </w:tblPr>
      <w:tblGrid>
        <w:gridCol w:w="3712"/>
        <w:gridCol w:w="1281"/>
        <w:gridCol w:w="1392"/>
        <w:gridCol w:w="1214"/>
        <w:gridCol w:w="1192"/>
        <w:gridCol w:w="1254"/>
        <w:gridCol w:w="1094"/>
      </w:tblGrid>
      <w:tr w:rsidR="001638F2" w:rsidRPr="003E4E52" w14:paraId="19E4FBD7" w14:textId="77777777" w:rsidTr="008E70DE">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1490C072" w14:textId="77777777" w:rsidR="001638F2" w:rsidRPr="003E4E52" w:rsidRDefault="001638F2" w:rsidP="001638F2">
            <w:pPr>
              <w:spacing w:after="160" w:line="259" w:lineRule="auto"/>
            </w:pPr>
            <w:r w:rsidRPr="003E4E52">
              <w:t>MBS Aggregated Categories</w:t>
            </w:r>
          </w:p>
        </w:tc>
        <w:tc>
          <w:tcPr>
            <w:tcW w:w="575" w:type="pct"/>
            <w:noWrap/>
          </w:tcPr>
          <w:p w14:paraId="103389A4"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Total claims for all sites</w:t>
            </w:r>
          </w:p>
        </w:tc>
        <w:tc>
          <w:tcPr>
            <w:tcW w:w="625" w:type="pct"/>
          </w:tcPr>
          <w:p w14:paraId="24342335"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Percent of total for all sites</w:t>
            </w:r>
          </w:p>
        </w:tc>
        <w:tc>
          <w:tcPr>
            <w:tcW w:w="545" w:type="pct"/>
          </w:tcPr>
          <w:p w14:paraId="7F377ECB"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Mean claims per site ($)</w:t>
            </w:r>
          </w:p>
        </w:tc>
        <w:tc>
          <w:tcPr>
            <w:tcW w:w="535" w:type="pct"/>
          </w:tcPr>
          <w:p w14:paraId="0F082A16"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Median claims, per site ($)</w:t>
            </w:r>
          </w:p>
        </w:tc>
        <w:tc>
          <w:tcPr>
            <w:tcW w:w="563" w:type="pct"/>
          </w:tcPr>
          <w:p w14:paraId="474336AE"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Range of values, all sites (min and max)</w:t>
            </w:r>
          </w:p>
        </w:tc>
        <w:tc>
          <w:tcPr>
            <w:tcW w:w="491" w:type="pct"/>
          </w:tcPr>
          <w:p w14:paraId="78957CE3"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 xml:space="preserve">No. of sites with zero claims </w:t>
            </w:r>
          </w:p>
        </w:tc>
      </w:tr>
      <w:tr w:rsidR="001638F2" w:rsidRPr="001638F2" w14:paraId="49EC608D"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009E25D3" w14:textId="332800D2" w:rsidR="001638F2" w:rsidRPr="001638F2" w:rsidRDefault="001638F2" w:rsidP="001638F2">
            <w:pPr>
              <w:spacing w:after="160" w:line="259" w:lineRule="auto"/>
            </w:pPr>
            <w:r w:rsidRPr="001638F2">
              <w:t xml:space="preserve">1. Non-referred Attendance) – common items </w:t>
            </w:r>
            <w:r w:rsidRPr="001638F2">
              <w:rPr>
                <w:b w:val="0"/>
                <w:bCs/>
              </w:rPr>
              <w:t>(e.g. 3,</w:t>
            </w:r>
            <w:r w:rsidR="007719C4">
              <w:rPr>
                <w:b w:val="0"/>
                <w:bCs/>
              </w:rPr>
              <w:t xml:space="preserve"> </w:t>
            </w:r>
            <w:r w:rsidRPr="001638F2">
              <w:rPr>
                <w:b w:val="0"/>
                <w:bCs/>
              </w:rPr>
              <w:t>23, 36, 44)</w:t>
            </w:r>
          </w:p>
        </w:tc>
        <w:tc>
          <w:tcPr>
            <w:tcW w:w="575" w:type="pct"/>
            <w:noWrap/>
          </w:tcPr>
          <w:p w14:paraId="4E1DC467" w14:textId="39329543"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$565,991</w:t>
            </w:r>
          </w:p>
        </w:tc>
        <w:tc>
          <w:tcPr>
            <w:tcW w:w="625" w:type="pct"/>
          </w:tcPr>
          <w:p w14:paraId="67047876"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27.9%</w:t>
            </w:r>
          </w:p>
        </w:tc>
        <w:tc>
          <w:tcPr>
            <w:tcW w:w="545" w:type="pct"/>
          </w:tcPr>
          <w:p w14:paraId="318E3264"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$15,722 </w:t>
            </w:r>
          </w:p>
        </w:tc>
        <w:tc>
          <w:tcPr>
            <w:tcW w:w="535" w:type="pct"/>
          </w:tcPr>
          <w:p w14:paraId="372FF2E8"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$12,831 </w:t>
            </w:r>
          </w:p>
        </w:tc>
        <w:tc>
          <w:tcPr>
            <w:tcW w:w="563" w:type="pct"/>
          </w:tcPr>
          <w:p w14:paraId="45867A2F"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$0–$75,656</w:t>
            </w:r>
          </w:p>
        </w:tc>
        <w:tc>
          <w:tcPr>
            <w:tcW w:w="491" w:type="pct"/>
          </w:tcPr>
          <w:p w14:paraId="530A36FD"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w:t>
            </w:r>
          </w:p>
        </w:tc>
      </w:tr>
      <w:tr w:rsidR="001638F2" w:rsidRPr="001638F2" w14:paraId="141FE169"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0C40D67F" w14:textId="77777777" w:rsidR="001638F2" w:rsidRPr="001638F2" w:rsidRDefault="001638F2" w:rsidP="001638F2">
            <w:pPr>
              <w:spacing w:after="160" w:line="259" w:lineRule="auto"/>
            </w:pPr>
            <w:r w:rsidRPr="001638F2">
              <w:t>2. After-hours Non-referred Attendance</w:t>
            </w:r>
          </w:p>
        </w:tc>
        <w:tc>
          <w:tcPr>
            <w:tcW w:w="575" w:type="pct"/>
            <w:noWrap/>
          </w:tcPr>
          <w:p w14:paraId="2E716E60" w14:textId="4DC7384B"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$1,221,034</w:t>
            </w:r>
          </w:p>
        </w:tc>
        <w:tc>
          <w:tcPr>
            <w:tcW w:w="625" w:type="pct"/>
          </w:tcPr>
          <w:p w14:paraId="50A4211B"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60.1%</w:t>
            </w:r>
          </w:p>
        </w:tc>
        <w:tc>
          <w:tcPr>
            <w:tcW w:w="545" w:type="pct"/>
          </w:tcPr>
          <w:p w14:paraId="4396E68B"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$33,918 </w:t>
            </w:r>
          </w:p>
        </w:tc>
        <w:tc>
          <w:tcPr>
            <w:tcW w:w="535" w:type="pct"/>
          </w:tcPr>
          <w:p w14:paraId="0F174541"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$19,515 </w:t>
            </w:r>
          </w:p>
        </w:tc>
        <w:tc>
          <w:tcPr>
            <w:tcW w:w="563" w:type="pct"/>
          </w:tcPr>
          <w:p w14:paraId="0AC8918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$0–$217,057</w:t>
            </w:r>
          </w:p>
        </w:tc>
        <w:tc>
          <w:tcPr>
            <w:tcW w:w="491" w:type="pct"/>
          </w:tcPr>
          <w:p w14:paraId="4B83A363"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w:t>
            </w:r>
          </w:p>
        </w:tc>
      </w:tr>
      <w:tr w:rsidR="001638F2" w:rsidRPr="001638F2" w14:paraId="56561A89"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tcPr>
          <w:p w14:paraId="261747D2" w14:textId="634B6576" w:rsidR="001638F2" w:rsidRPr="001638F2" w:rsidRDefault="001638F2" w:rsidP="001638F2">
            <w:pPr>
              <w:spacing w:after="160" w:line="259" w:lineRule="auto"/>
            </w:pPr>
            <w:r w:rsidRPr="001638F2">
              <w:t xml:space="preserve">3. </w:t>
            </w:r>
            <w:r w:rsidR="00CF3741" w:rsidRPr="001638F2">
              <w:t>Assessment related items, including disease management and other primary care professionals (sub-total)</w:t>
            </w:r>
          </w:p>
        </w:tc>
        <w:tc>
          <w:tcPr>
            <w:tcW w:w="575" w:type="pct"/>
            <w:noWrap/>
          </w:tcPr>
          <w:p w14:paraId="662B127C"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$13,705</w:t>
            </w:r>
          </w:p>
        </w:tc>
        <w:tc>
          <w:tcPr>
            <w:tcW w:w="625" w:type="pct"/>
          </w:tcPr>
          <w:p w14:paraId="1D711F0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0.6%</w:t>
            </w:r>
          </w:p>
        </w:tc>
        <w:tc>
          <w:tcPr>
            <w:tcW w:w="545" w:type="pct"/>
          </w:tcPr>
          <w:p w14:paraId="17C00C50"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$63 </w:t>
            </w:r>
          </w:p>
        </w:tc>
        <w:tc>
          <w:tcPr>
            <w:tcW w:w="535" w:type="pct"/>
          </w:tcPr>
          <w:p w14:paraId="3DA51874" w14:textId="7498D8FE"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63" w:type="pct"/>
          </w:tcPr>
          <w:p w14:paraId="01A7E73F"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$0–$3,980</w:t>
            </w:r>
          </w:p>
        </w:tc>
        <w:tc>
          <w:tcPr>
            <w:tcW w:w="491" w:type="pct"/>
          </w:tcPr>
          <w:p w14:paraId="215F0BD8"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1638F2" w:rsidRPr="001638F2" w14:paraId="3D68525C"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4044E089" w14:textId="77777777" w:rsidR="001638F2" w:rsidRPr="001638F2" w:rsidRDefault="001638F2" w:rsidP="001638F2">
            <w:pPr>
              <w:spacing w:after="160" w:line="259" w:lineRule="auto"/>
              <w:ind w:left="720"/>
              <w:rPr>
                <w:b w:val="0"/>
                <w:bCs/>
                <w:i/>
                <w:iCs/>
              </w:rPr>
            </w:pPr>
            <w:r w:rsidRPr="001638F2">
              <w:rPr>
                <w:b w:val="0"/>
                <w:bCs/>
                <w:i/>
                <w:iCs/>
              </w:rPr>
              <w:t>3a. A14 (Health Assessments)</w:t>
            </w:r>
          </w:p>
        </w:tc>
        <w:tc>
          <w:tcPr>
            <w:tcW w:w="575" w:type="pct"/>
            <w:noWrap/>
          </w:tcPr>
          <w:p w14:paraId="2D66B300" w14:textId="2690D398"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$0</w:t>
            </w:r>
            <w:r w:rsidR="009A4F03">
              <w:rPr>
                <w:rFonts w:cs="Calibri"/>
                <w:color w:val="000000"/>
                <w:szCs w:val="20"/>
              </w:rPr>
              <w:t xml:space="preserve"> </w:t>
            </w:r>
          </w:p>
        </w:tc>
        <w:tc>
          <w:tcPr>
            <w:tcW w:w="625" w:type="pct"/>
          </w:tcPr>
          <w:p w14:paraId="57EDC890"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583413AE" w14:textId="7FC47020"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35" w:type="pct"/>
          </w:tcPr>
          <w:p w14:paraId="60E3CC1B" w14:textId="419064C6"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1E1A161B"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491" w:type="pct"/>
          </w:tcPr>
          <w:p w14:paraId="69CECBAB"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36</w:t>
            </w:r>
          </w:p>
        </w:tc>
      </w:tr>
      <w:tr w:rsidR="001638F2" w:rsidRPr="001638F2" w14:paraId="573074AC"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62C7B32" w14:textId="77777777" w:rsidR="001638F2" w:rsidRPr="001638F2" w:rsidRDefault="001638F2" w:rsidP="001638F2">
            <w:pPr>
              <w:spacing w:after="160" w:line="259" w:lineRule="auto"/>
              <w:ind w:left="720"/>
              <w:rPr>
                <w:b w:val="0"/>
                <w:bCs/>
                <w:i/>
                <w:iCs/>
              </w:rPr>
            </w:pPr>
            <w:r w:rsidRPr="001638F2">
              <w:rPr>
                <w:b w:val="0"/>
                <w:bCs/>
                <w:i/>
                <w:iCs/>
              </w:rPr>
              <w:t>3b. A15 (GP care plans)</w:t>
            </w:r>
          </w:p>
        </w:tc>
        <w:tc>
          <w:tcPr>
            <w:tcW w:w="575" w:type="pct"/>
            <w:noWrap/>
          </w:tcPr>
          <w:p w14:paraId="537F1CF5" w14:textId="6461563C"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$409 </w:t>
            </w:r>
          </w:p>
        </w:tc>
        <w:tc>
          <w:tcPr>
            <w:tcW w:w="625" w:type="pct"/>
          </w:tcPr>
          <w:p w14:paraId="4E86BD24"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2212FBA0"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$11 </w:t>
            </w:r>
          </w:p>
        </w:tc>
        <w:tc>
          <w:tcPr>
            <w:tcW w:w="535" w:type="pct"/>
          </w:tcPr>
          <w:p w14:paraId="4D4BF208" w14:textId="7505192C"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7590ECA1"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$0–$263</w:t>
            </w:r>
          </w:p>
        </w:tc>
        <w:tc>
          <w:tcPr>
            <w:tcW w:w="491" w:type="pct"/>
          </w:tcPr>
          <w:p w14:paraId="53D2C084"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34</w:t>
            </w:r>
          </w:p>
        </w:tc>
      </w:tr>
      <w:tr w:rsidR="001638F2" w:rsidRPr="001638F2" w14:paraId="7507DC6B"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tcPr>
          <w:p w14:paraId="78F8D9D3" w14:textId="77777777" w:rsidR="001638F2" w:rsidRPr="001638F2" w:rsidRDefault="001638F2" w:rsidP="001638F2">
            <w:pPr>
              <w:spacing w:after="160" w:line="259" w:lineRule="auto"/>
              <w:ind w:left="720"/>
              <w:rPr>
                <w:b w:val="0"/>
                <w:bCs/>
                <w:i/>
                <w:iCs/>
              </w:rPr>
            </w:pPr>
            <w:r w:rsidRPr="001638F2">
              <w:rPr>
                <w:b w:val="0"/>
                <w:bCs/>
                <w:i/>
                <w:iCs/>
              </w:rPr>
              <w:t>3c. A20 (GP mental health treatment)</w:t>
            </w:r>
          </w:p>
        </w:tc>
        <w:tc>
          <w:tcPr>
            <w:tcW w:w="575" w:type="pct"/>
            <w:noWrap/>
          </w:tcPr>
          <w:p w14:paraId="7DC970B4" w14:textId="40F62454"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$2,912 </w:t>
            </w:r>
          </w:p>
        </w:tc>
        <w:tc>
          <w:tcPr>
            <w:tcW w:w="625" w:type="pct"/>
          </w:tcPr>
          <w:p w14:paraId="33F5AFBD"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w:t>
            </w:r>
          </w:p>
        </w:tc>
        <w:tc>
          <w:tcPr>
            <w:tcW w:w="545" w:type="pct"/>
          </w:tcPr>
          <w:p w14:paraId="7363B35C"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$81 </w:t>
            </w:r>
          </w:p>
        </w:tc>
        <w:tc>
          <w:tcPr>
            <w:tcW w:w="535" w:type="pct"/>
          </w:tcPr>
          <w:p w14:paraId="52E4B81F" w14:textId="3454C4BF"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2B78661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$0–$1,311</w:t>
            </w:r>
          </w:p>
        </w:tc>
        <w:tc>
          <w:tcPr>
            <w:tcW w:w="491" w:type="pct"/>
          </w:tcPr>
          <w:p w14:paraId="44F13841"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27</w:t>
            </w:r>
          </w:p>
        </w:tc>
      </w:tr>
      <w:tr w:rsidR="001638F2" w:rsidRPr="001638F2" w14:paraId="593A3BBA"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499FE7A9" w14:textId="77777777" w:rsidR="001638F2" w:rsidRPr="001638F2" w:rsidRDefault="001638F2" w:rsidP="001638F2">
            <w:pPr>
              <w:spacing w:after="160" w:line="259" w:lineRule="auto"/>
              <w:ind w:left="720"/>
              <w:rPr>
                <w:b w:val="0"/>
                <w:bCs/>
                <w:i/>
                <w:iCs/>
              </w:rPr>
            </w:pPr>
            <w:r w:rsidRPr="001638F2">
              <w:rPr>
                <w:b w:val="0"/>
                <w:bCs/>
                <w:i/>
                <w:iCs/>
              </w:rPr>
              <w:t>3d. Nurse Practitioner</w:t>
            </w:r>
          </w:p>
        </w:tc>
        <w:tc>
          <w:tcPr>
            <w:tcW w:w="575" w:type="pct"/>
            <w:noWrap/>
          </w:tcPr>
          <w:p w14:paraId="168722BA" w14:textId="224F7712"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$8,841 </w:t>
            </w:r>
          </w:p>
        </w:tc>
        <w:tc>
          <w:tcPr>
            <w:tcW w:w="625" w:type="pct"/>
          </w:tcPr>
          <w:p w14:paraId="594BF55D"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0.4%</w:t>
            </w:r>
          </w:p>
        </w:tc>
        <w:tc>
          <w:tcPr>
            <w:tcW w:w="545" w:type="pct"/>
          </w:tcPr>
          <w:p w14:paraId="5210C8AD"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$246 </w:t>
            </w:r>
          </w:p>
        </w:tc>
        <w:tc>
          <w:tcPr>
            <w:tcW w:w="535" w:type="pct"/>
          </w:tcPr>
          <w:p w14:paraId="68EF7128" w14:textId="4F16171F"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44D5035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$0–$3,980</w:t>
            </w:r>
          </w:p>
        </w:tc>
        <w:tc>
          <w:tcPr>
            <w:tcW w:w="491" w:type="pct"/>
          </w:tcPr>
          <w:p w14:paraId="3AEE0B74"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28</w:t>
            </w:r>
          </w:p>
        </w:tc>
      </w:tr>
      <w:tr w:rsidR="001638F2" w:rsidRPr="001638F2" w14:paraId="07519E43"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tcPr>
          <w:p w14:paraId="2A123F90" w14:textId="77777777" w:rsidR="001638F2" w:rsidRPr="001638F2" w:rsidRDefault="001638F2" w:rsidP="001638F2">
            <w:pPr>
              <w:spacing w:after="160" w:line="259" w:lineRule="auto"/>
              <w:ind w:left="720"/>
              <w:rPr>
                <w:b w:val="0"/>
                <w:bCs/>
                <w:i/>
                <w:iCs/>
              </w:rPr>
            </w:pPr>
            <w:r w:rsidRPr="001638F2">
              <w:rPr>
                <w:b w:val="0"/>
                <w:bCs/>
                <w:i/>
                <w:iCs/>
              </w:rPr>
              <w:t>3e. Practice Nurse</w:t>
            </w:r>
          </w:p>
        </w:tc>
        <w:tc>
          <w:tcPr>
            <w:tcW w:w="575" w:type="pct"/>
            <w:noWrap/>
          </w:tcPr>
          <w:p w14:paraId="191D4DDB" w14:textId="6702525E"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$90 </w:t>
            </w:r>
          </w:p>
        </w:tc>
        <w:tc>
          <w:tcPr>
            <w:tcW w:w="625" w:type="pct"/>
          </w:tcPr>
          <w:p w14:paraId="14409C88"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0DC1DC4F"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$3 </w:t>
            </w:r>
          </w:p>
        </w:tc>
        <w:tc>
          <w:tcPr>
            <w:tcW w:w="535" w:type="pct"/>
          </w:tcPr>
          <w:p w14:paraId="612D8070" w14:textId="76C6856E"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29A53C4E"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$0–$6</w:t>
            </w:r>
          </w:p>
        </w:tc>
        <w:tc>
          <w:tcPr>
            <w:tcW w:w="491" w:type="pct"/>
          </w:tcPr>
          <w:p w14:paraId="43073A3A"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34</w:t>
            </w:r>
          </w:p>
        </w:tc>
      </w:tr>
      <w:tr w:rsidR="001638F2" w:rsidRPr="001638F2" w14:paraId="5F4F1330"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tcPr>
          <w:p w14:paraId="613125FD" w14:textId="77777777" w:rsidR="001638F2" w:rsidRPr="001638F2" w:rsidRDefault="001638F2" w:rsidP="001638F2">
            <w:pPr>
              <w:spacing w:after="160" w:line="259" w:lineRule="auto"/>
              <w:ind w:left="720"/>
              <w:rPr>
                <w:b w:val="0"/>
                <w:bCs/>
                <w:i/>
                <w:iCs/>
              </w:rPr>
            </w:pPr>
            <w:r w:rsidRPr="001638F2">
              <w:rPr>
                <w:b w:val="0"/>
                <w:bCs/>
                <w:i/>
                <w:iCs/>
              </w:rPr>
              <w:t>3f. Allied Health</w:t>
            </w:r>
          </w:p>
        </w:tc>
        <w:tc>
          <w:tcPr>
            <w:tcW w:w="575" w:type="pct"/>
            <w:noWrap/>
          </w:tcPr>
          <w:p w14:paraId="358B36D9" w14:textId="6002B88E"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$1,453 </w:t>
            </w:r>
          </w:p>
        </w:tc>
        <w:tc>
          <w:tcPr>
            <w:tcW w:w="625" w:type="pct"/>
          </w:tcPr>
          <w:p w14:paraId="38C3F7CD"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w:t>
            </w:r>
          </w:p>
        </w:tc>
        <w:tc>
          <w:tcPr>
            <w:tcW w:w="545" w:type="pct"/>
          </w:tcPr>
          <w:p w14:paraId="51064C90"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$40 </w:t>
            </w:r>
          </w:p>
        </w:tc>
        <w:tc>
          <w:tcPr>
            <w:tcW w:w="535" w:type="pct"/>
          </w:tcPr>
          <w:p w14:paraId="79B40906" w14:textId="0C54F4A3"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0ACB2DC9"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$0–$1,453</w:t>
            </w:r>
          </w:p>
        </w:tc>
        <w:tc>
          <w:tcPr>
            <w:tcW w:w="491" w:type="pct"/>
          </w:tcPr>
          <w:p w14:paraId="2FA81C36"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35</w:t>
            </w:r>
          </w:p>
        </w:tc>
      </w:tr>
      <w:tr w:rsidR="001638F2" w:rsidRPr="001638F2" w14:paraId="1DD58709"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tcPr>
          <w:p w14:paraId="77A014E4" w14:textId="77777777" w:rsidR="001638F2" w:rsidRPr="001638F2" w:rsidRDefault="001638F2" w:rsidP="001638F2">
            <w:pPr>
              <w:spacing w:after="160" w:line="259" w:lineRule="auto"/>
            </w:pPr>
            <w:r w:rsidRPr="001638F2">
              <w:rPr>
                <w:bCs/>
              </w:rPr>
              <w:t>4. Other MBS items (sub-total)</w:t>
            </w:r>
          </w:p>
        </w:tc>
        <w:tc>
          <w:tcPr>
            <w:tcW w:w="575" w:type="pct"/>
            <w:noWrap/>
          </w:tcPr>
          <w:p w14:paraId="534E63B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$230,343</w:t>
            </w:r>
          </w:p>
        </w:tc>
        <w:tc>
          <w:tcPr>
            <w:tcW w:w="625" w:type="pct"/>
          </w:tcPr>
          <w:p w14:paraId="01544B1C"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11.3%</w:t>
            </w:r>
          </w:p>
        </w:tc>
        <w:tc>
          <w:tcPr>
            <w:tcW w:w="545" w:type="pct"/>
          </w:tcPr>
          <w:p w14:paraId="19D22CAB"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$914 </w:t>
            </w:r>
          </w:p>
        </w:tc>
        <w:tc>
          <w:tcPr>
            <w:tcW w:w="535" w:type="pct"/>
          </w:tcPr>
          <w:p w14:paraId="2F085824" w14:textId="1D445CA2"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63" w:type="pct"/>
          </w:tcPr>
          <w:p w14:paraId="6E2A2F02"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$0–$24,898</w:t>
            </w:r>
          </w:p>
        </w:tc>
        <w:tc>
          <w:tcPr>
            <w:tcW w:w="491" w:type="pct"/>
          </w:tcPr>
          <w:p w14:paraId="635A64AF"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r w:rsidR="001638F2" w:rsidRPr="001638F2" w14:paraId="337F0CC6"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tcPr>
          <w:p w14:paraId="23AA289B" w14:textId="77777777" w:rsidR="001638F2" w:rsidRPr="001638F2" w:rsidRDefault="001638F2" w:rsidP="001638F2">
            <w:pPr>
              <w:spacing w:after="160" w:line="259" w:lineRule="auto"/>
              <w:ind w:left="720"/>
              <w:rPr>
                <w:b w:val="0"/>
                <w:bCs/>
                <w:i/>
                <w:iCs/>
              </w:rPr>
            </w:pPr>
            <w:r w:rsidRPr="001638F2">
              <w:rPr>
                <w:b w:val="0"/>
                <w:bCs/>
                <w:i/>
                <w:iCs/>
              </w:rPr>
              <w:t>4a. Anaesthetics</w:t>
            </w:r>
          </w:p>
        </w:tc>
        <w:tc>
          <w:tcPr>
            <w:tcW w:w="575" w:type="pct"/>
            <w:noWrap/>
          </w:tcPr>
          <w:p w14:paraId="51E48EF6" w14:textId="0AAD5E89"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$153 </w:t>
            </w:r>
          </w:p>
        </w:tc>
        <w:tc>
          <w:tcPr>
            <w:tcW w:w="625" w:type="pct"/>
          </w:tcPr>
          <w:p w14:paraId="484D463D"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578C67F4"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$4 </w:t>
            </w:r>
          </w:p>
        </w:tc>
        <w:tc>
          <w:tcPr>
            <w:tcW w:w="535" w:type="pct"/>
          </w:tcPr>
          <w:p w14:paraId="407CD4A8" w14:textId="10AC2EF5"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0FF702C8"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$0–$153</w:t>
            </w:r>
          </w:p>
        </w:tc>
        <w:tc>
          <w:tcPr>
            <w:tcW w:w="491" w:type="pct"/>
          </w:tcPr>
          <w:p w14:paraId="12326CA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35</w:t>
            </w:r>
          </w:p>
        </w:tc>
      </w:tr>
      <w:tr w:rsidR="001638F2" w:rsidRPr="001638F2" w14:paraId="49488F60"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tcPr>
          <w:p w14:paraId="2C19D40F" w14:textId="77777777" w:rsidR="001638F2" w:rsidRPr="001638F2" w:rsidRDefault="001638F2" w:rsidP="001638F2">
            <w:pPr>
              <w:spacing w:after="160" w:line="259" w:lineRule="auto"/>
              <w:ind w:left="720"/>
              <w:rPr>
                <w:b w:val="0"/>
                <w:bCs/>
                <w:i/>
                <w:iCs/>
              </w:rPr>
            </w:pPr>
            <w:r w:rsidRPr="001638F2">
              <w:rPr>
                <w:b w:val="0"/>
                <w:bCs/>
                <w:i/>
                <w:iCs/>
              </w:rPr>
              <w:t>4b. Pathology</w:t>
            </w:r>
          </w:p>
        </w:tc>
        <w:tc>
          <w:tcPr>
            <w:tcW w:w="575" w:type="pct"/>
            <w:noWrap/>
          </w:tcPr>
          <w:p w14:paraId="75E90BE7" w14:textId="76B972DB"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$0</w:t>
            </w:r>
            <w:r w:rsidR="009A4F03">
              <w:rPr>
                <w:rFonts w:cs="Calibri"/>
                <w:color w:val="000000"/>
                <w:szCs w:val="20"/>
              </w:rPr>
              <w:t xml:space="preserve"> </w:t>
            </w:r>
          </w:p>
        </w:tc>
        <w:tc>
          <w:tcPr>
            <w:tcW w:w="625" w:type="pct"/>
          </w:tcPr>
          <w:p w14:paraId="087A8F90"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60E2377D" w14:textId="7777E47E"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35" w:type="pct"/>
          </w:tcPr>
          <w:p w14:paraId="6177AEBE" w14:textId="12B7437B"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4777A449"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491" w:type="pct"/>
          </w:tcPr>
          <w:p w14:paraId="53E6689F"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36</w:t>
            </w:r>
          </w:p>
        </w:tc>
      </w:tr>
      <w:tr w:rsidR="001638F2" w:rsidRPr="001638F2" w14:paraId="23E221AE"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7FB13A20" w14:textId="77777777" w:rsidR="001638F2" w:rsidRPr="001638F2" w:rsidRDefault="001638F2" w:rsidP="001638F2">
            <w:pPr>
              <w:spacing w:after="160" w:line="259" w:lineRule="auto"/>
              <w:ind w:left="720"/>
              <w:rPr>
                <w:b w:val="0"/>
                <w:bCs/>
                <w:i/>
                <w:iCs/>
              </w:rPr>
            </w:pPr>
            <w:r w:rsidRPr="001638F2">
              <w:rPr>
                <w:b w:val="0"/>
                <w:bCs/>
                <w:i/>
                <w:iCs/>
              </w:rPr>
              <w:t>4c. Diagnostic Imaging</w:t>
            </w:r>
          </w:p>
        </w:tc>
        <w:tc>
          <w:tcPr>
            <w:tcW w:w="575" w:type="pct"/>
            <w:noWrap/>
          </w:tcPr>
          <w:p w14:paraId="4D0FDF2D" w14:textId="5828793E"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$0</w:t>
            </w:r>
            <w:r w:rsidR="009A4F03">
              <w:rPr>
                <w:rFonts w:cs="Calibri"/>
                <w:color w:val="000000"/>
                <w:szCs w:val="20"/>
              </w:rPr>
              <w:t xml:space="preserve"> </w:t>
            </w:r>
          </w:p>
        </w:tc>
        <w:tc>
          <w:tcPr>
            <w:tcW w:w="625" w:type="pct"/>
          </w:tcPr>
          <w:p w14:paraId="74F19D6E"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74318E3A" w14:textId="3828F9C1"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35" w:type="pct"/>
          </w:tcPr>
          <w:p w14:paraId="2C2A3E48" w14:textId="69BCC84D"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6BA429B1"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491" w:type="pct"/>
          </w:tcPr>
          <w:p w14:paraId="13E06DD4"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36</w:t>
            </w:r>
          </w:p>
        </w:tc>
      </w:tr>
      <w:tr w:rsidR="001638F2" w:rsidRPr="001638F2" w14:paraId="2329F900"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3532C483" w14:textId="77777777" w:rsidR="001638F2" w:rsidRPr="001638F2" w:rsidRDefault="001638F2" w:rsidP="001638F2">
            <w:pPr>
              <w:spacing w:after="160" w:line="259" w:lineRule="auto"/>
              <w:ind w:left="720"/>
              <w:rPr>
                <w:b w:val="0"/>
                <w:bCs/>
                <w:i/>
                <w:iCs/>
              </w:rPr>
            </w:pPr>
            <w:r w:rsidRPr="001638F2">
              <w:rPr>
                <w:b w:val="0"/>
                <w:bCs/>
                <w:i/>
                <w:iCs/>
              </w:rPr>
              <w:t>4d. Operations</w:t>
            </w:r>
          </w:p>
        </w:tc>
        <w:tc>
          <w:tcPr>
            <w:tcW w:w="575" w:type="pct"/>
            <w:noWrap/>
          </w:tcPr>
          <w:p w14:paraId="77A9A72F" w14:textId="7F489FE0"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$74,548 </w:t>
            </w:r>
          </w:p>
        </w:tc>
        <w:tc>
          <w:tcPr>
            <w:tcW w:w="625" w:type="pct"/>
          </w:tcPr>
          <w:p w14:paraId="427FAEDC"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3.7%</w:t>
            </w:r>
          </w:p>
        </w:tc>
        <w:tc>
          <w:tcPr>
            <w:tcW w:w="545" w:type="pct"/>
          </w:tcPr>
          <w:p w14:paraId="37640045"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$2,071 </w:t>
            </w:r>
          </w:p>
        </w:tc>
        <w:tc>
          <w:tcPr>
            <w:tcW w:w="535" w:type="pct"/>
          </w:tcPr>
          <w:p w14:paraId="126B2273"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$1,277 </w:t>
            </w:r>
          </w:p>
        </w:tc>
        <w:tc>
          <w:tcPr>
            <w:tcW w:w="563" w:type="pct"/>
          </w:tcPr>
          <w:p w14:paraId="33153EEA"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$0–$10,461</w:t>
            </w:r>
          </w:p>
        </w:tc>
        <w:tc>
          <w:tcPr>
            <w:tcW w:w="491" w:type="pct"/>
          </w:tcPr>
          <w:p w14:paraId="511B6622"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w:t>
            </w:r>
          </w:p>
        </w:tc>
      </w:tr>
      <w:tr w:rsidR="001638F2" w:rsidRPr="001638F2" w14:paraId="355DE26E"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1C4235E4" w14:textId="77777777" w:rsidR="001638F2" w:rsidRPr="001638F2" w:rsidRDefault="001638F2" w:rsidP="001638F2">
            <w:pPr>
              <w:spacing w:after="160" w:line="259" w:lineRule="auto"/>
              <w:ind w:left="720"/>
              <w:rPr>
                <w:b w:val="0"/>
                <w:bCs/>
                <w:i/>
                <w:iCs/>
              </w:rPr>
            </w:pPr>
            <w:r w:rsidRPr="001638F2">
              <w:rPr>
                <w:b w:val="0"/>
                <w:bCs/>
                <w:i/>
                <w:iCs/>
              </w:rPr>
              <w:t>4e. Obstetrics</w:t>
            </w:r>
          </w:p>
        </w:tc>
        <w:tc>
          <w:tcPr>
            <w:tcW w:w="575" w:type="pct"/>
            <w:noWrap/>
          </w:tcPr>
          <w:p w14:paraId="331A2AD8" w14:textId="55A81E98" w:rsidR="001638F2" w:rsidRPr="001638F2" w:rsidRDefault="001638F2" w:rsidP="001638F2">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pacing w:val="0"/>
                <w:szCs w:val="20"/>
              </w:rPr>
            </w:pPr>
            <w:r w:rsidRPr="001638F2">
              <w:rPr>
                <w:rFonts w:cs="Calibri"/>
                <w:color w:val="000000"/>
                <w:szCs w:val="20"/>
              </w:rPr>
              <w:t xml:space="preserve">$678 </w:t>
            </w:r>
          </w:p>
        </w:tc>
        <w:tc>
          <w:tcPr>
            <w:tcW w:w="625" w:type="pct"/>
          </w:tcPr>
          <w:p w14:paraId="0DEA7118"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76016A46"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$19 </w:t>
            </w:r>
          </w:p>
        </w:tc>
        <w:tc>
          <w:tcPr>
            <w:tcW w:w="535" w:type="pct"/>
          </w:tcPr>
          <w:p w14:paraId="2F57075A" w14:textId="29DCB881"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63" w:type="pct"/>
          </w:tcPr>
          <w:p w14:paraId="38C1CE5A"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$0–$556</w:t>
            </w:r>
          </w:p>
        </w:tc>
        <w:tc>
          <w:tcPr>
            <w:tcW w:w="491" w:type="pct"/>
          </w:tcPr>
          <w:p w14:paraId="7E16378C"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32</w:t>
            </w:r>
          </w:p>
        </w:tc>
      </w:tr>
      <w:tr w:rsidR="001638F2" w:rsidRPr="001638F2" w14:paraId="1D4C9962"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6DC47771" w14:textId="77777777" w:rsidR="001638F2" w:rsidRPr="001638F2" w:rsidRDefault="001638F2" w:rsidP="001638F2">
            <w:pPr>
              <w:spacing w:after="160" w:line="259" w:lineRule="auto"/>
              <w:ind w:left="720"/>
              <w:rPr>
                <w:b w:val="0"/>
                <w:bCs/>
                <w:i/>
                <w:iCs/>
              </w:rPr>
            </w:pPr>
            <w:r w:rsidRPr="001638F2">
              <w:rPr>
                <w:b w:val="0"/>
                <w:bCs/>
                <w:i/>
                <w:iCs/>
              </w:rPr>
              <w:t>4f. Specialist Services</w:t>
            </w:r>
          </w:p>
        </w:tc>
        <w:tc>
          <w:tcPr>
            <w:tcW w:w="575" w:type="pct"/>
            <w:noWrap/>
          </w:tcPr>
          <w:p w14:paraId="25270FF5" w14:textId="0F279D15"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$0</w:t>
            </w:r>
            <w:r w:rsidR="009A4F03">
              <w:rPr>
                <w:rFonts w:cs="Calibri"/>
                <w:color w:val="000000"/>
                <w:szCs w:val="20"/>
              </w:rPr>
              <w:t xml:space="preserve"> </w:t>
            </w:r>
          </w:p>
        </w:tc>
        <w:tc>
          <w:tcPr>
            <w:tcW w:w="625" w:type="pct"/>
          </w:tcPr>
          <w:p w14:paraId="669BDEAD"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545" w:type="pct"/>
          </w:tcPr>
          <w:p w14:paraId="04BA874A" w14:textId="7575CF66"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35" w:type="pct"/>
          </w:tcPr>
          <w:p w14:paraId="02E4DFB4" w14:textId="63519BF3"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r w:rsidRPr="001638F2">
              <w:rPr>
                <w:rFonts w:cs="Calibri"/>
                <w:color w:val="000000"/>
                <w:szCs w:val="20"/>
              </w:rPr>
              <w:t xml:space="preserve"> </w:t>
            </w:r>
          </w:p>
        </w:tc>
        <w:tc>
          <w:tcPr>
            <w:tcW w:w="563" w:type="pct"/>
          </w:tcPr>
          <w:p w14:paraId="2166AA40"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491" w:type="pct"/>
          </w:tcPr>
          <w:p w14:paraId="7A9E1305"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36</w:t>
            </w:r>
          </w:p>
        </w:tc>
      </w:tr>
      <w:tr w:rsidR="001638F2" w:rsidRPr="001638F2" w14:paraId="2CED544A" w14:textId="77777777" w:rsidTr="008E70DE">
        <w:trPr>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1EA5141A" w14:textId="77777777" w:rsidR="001638F2" w:rsidRPr="001638F2" w:rsidRDefault="001638F2" w:rsidP="001638F2">
            <w:pPr>
              <w:spacing w:after="160" w:line="259" w:lineRule="auto"/>
              <w:ind w:left="720"/>
              <w:rPr>
                <w:b w:val="0"/>
                <w:bCs/>
                <w:i/>
                <w:iCs/>
              </w:rPr>
            </w:pPr>
            <w:r w:rsidRPr="001638F2">
              <w:rPr>
                <w:b w:val="0"/>
                <w:bCs/>
                <w:i/>
                <w:iCs/>
              </w:rPr>
              <w:t>4g. Other MBS</w:t>
            </w:r>
          </w:p>
        </w:tc>
        <w:tc>
          <w:tcPr>
            <w:tcW w:w="575" w:type="pct"/>
            <w:noWrap/>
          </w:tcPr>
          <w:p w14:paraId="3E00F892" w14:textId="775F370A"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$154,964 </w:t>
            </w:r>
          </w:p>
        </w:tc>
        <w:tc>
          <w:tcPr>
            <w:tcW w:w="625" w:type="pct"/>
          </w:tcPr>
          <w:p w14:paraId="464CCBAF"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7.6%</w:t>
            </w:r>
          </w:p>
        </w:tc>
        <w:tc>
          <w:tcPr>
            <w:tcW w:w="545" w:type="pct"/>
          </w:tcPr>
          <w:p w14:paraId="0B2EDFD4"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$4,305 </w:t>
            </w:r>
          </w:p>
        </w:tc>
        <w:tc>
          <w:tcPr>
            <w:tcW w:w="535" w:type="pct"/>
          </w:tcPr>
          <w:p w14:paraId="204D8708"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$2,513 </w:t>
            </w:r>
          </w:p>
        </w:tc>
        <w:tc>
          <w:tcPr>
            <w:tcW w:w="563" w:type="pct"/>
          </w:tcPr>
          <w:p w14:paraId="59420E8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$0–$24,898</w:t>
            </w:r>
          </w:p>
        </w:tc>
        <w:tc>
          <w:tcPr>
            <w:tcW w:w="491" w:type="pct"/>
          </w:tcPr>
          <w:p w14:paraId="56343BF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w:t>
            </w:r>
          </w:p>
        </w:tc>
      </w:tr>
      <w:tr w:rsidR="001638F2" w:rsidRPr="001638F2" w14:paraId="704EDB2F" w14:textId="77777777" w:rsidTr="008E70DE">
        <w:trPr>
          <w:cnfStyle w:val="000000010000" w:firstRow="0" w:lastRow="0" w:firstColumn="0" w:lastColumn="0" w:oddVBand="0" w:evenVBand="0" w:oddHBand="0" w:evenHBand="1"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666" w:type="pct"/>
            <w:noWrap/>
            <w:hideMark/>
          </w:tcPr>
          <w:p w14:paraId="27C76164" w14:textId="77777777" w:rsidR="001638F2" w:rsidRPr="001638F2" w:rsidRDefault="001638F2" w:rsidP="001638F2">
            <w:pPr>
              <w:spacing w:after="160" w:line="259" w:lineRule="auto"/>
            </w:pPr>
            <w:r w:rsidRPr="001638F2">
              <w:t>Total</w:t>
            </w:r>
          </w:p>
        </w:tc>
        <w:tc>
          <w:tcPr>
            <w:tcW w:w="575" w:type="pct"/>
            <w:noWrap/>
          </w:tcPr>
          <w:p w14:paraId="26F0103F" w14:textId="725C2302"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$2,031,073 </w:t>
            </w:r>
          </w:p>
        </w:tc>
        <w:tc>
          <w:tcPr>
            <w:tcW w:w="625" w:type="pct"/>
          </w:tcPr>
          <w:p w14:paraId="62AC0F56"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100%</w:t>
            </w:r>
          </w:p>
        </w:tc>
        <w:tc>
          <w:tcPr>
            <w:tcW w:w="545" w:type="pct"/>
          </w:tcPr>
          <w:p w14:paraId="7DD536E5"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$56,419 </w:t>
            </w:r>
          </w:p>
        </w:tc>
        <w:tc>
          <w:tcPr>
            <w:tcW w:w="535" w:type="pct"/>
          </w:tcPr>
          <w:p w14:paraId="77A7FB8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$34,134 </w:t>
            </w:r>
          </w:p>
        </w:tc>
        <w:tc>
          <w:tcPr>
            <w:tcW w:w="563" w:type="pct"/>
          </w:tcPr>
          <w:p w14:paraId="0269727E" w14:textId="685C17FD"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$76–$303</w:t>
            </w:r>
            <w:r w:rsidR="00CF3741">
              <w:rPr>
                <w:rFonts w:cs="Calibri"/>
                <w:color w:val="000000"/>
                <w:szCs w:val="20"/>
              </w:rPr>
              <w:t>,</w:t>
            </w:r>
            <w:r w:rsidRPr="001638F2">
              <w:rPr>
                <w:rFonts w:cs="Calibri"/>
                <w:color w:val="000000"/>
                <w:szCs w:val="20"/>
              </w:rPr>
              <w:t>368</w:t>
            </w:r>
          </w:p>
        </w:tc>
        <w:tc>
          <w:tcPr>
            <w:tcW w:w="491" w:type="pct"/>
          </w:tcPr>
          <w:p w14:paraId="2259F669" w14:textId="0DE705C5"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bl>
    <w:p w14:paraId="0DA84219" w14:textId="77777777" w:rsidR="003E36C4" w:rsidRDefault="003E36C4" w:rsidP="001638F2">
      <w:pPr>
        <w:sectPr w:rsidR="003E36C4" w:rsidSect="000428AD">
          <w:type w:val="continuous"/>
          <w:pgSz w:w="16838" w:h="11906" w:orient="landscape" w:code="9"/>
          <w:pgMar w:top="737" w:right="1304" w:bottom="1134" w:left="737" w:header="567" w:footer="284" w:gutter="0"/>
          <w:cols w:space="708"/>
          <w:docGrid w:linePitch="360"/>
        </w:sectPr>
      </w:pPr>
    </w:p>
    <w:p w14:paraId="09B0FA57" w14:textId="023DE135" w:rsidR="003E36C4" w:rsidRDefault="003E36C4" w:rsidP="003E36C4">
      <w:pPr>
        <w:pStyle w:val="Caption"/>
      </w:pPr>
      <w:r>
        <w:lastRenderedPageBreak/>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t>.</w:t>
      </w:r>
      <w:r w:rsidR="00A67BE9">
        <w:fldChar w:fldCharType="begin"/>
      </w:r>
      <w:r w:rsidR="00A67BE9">
        <w:instrText xml:space="preserve"> SEQ Table \* ARABIC \s 1 </w:instrText>
      </w:r>
      <w:r w:rsidR="00A67BE9">
        <w:fldChar w:fldCharType="separate"/>
      </w:r>
      <w:r w:rsidR="00C50B67">
        <w:rPr>
          <w:noProof/>
        </w:rPr>
        <w:t>7</w:t>
      </w:r>
      <w:r w:rsidR="00A67BE9">
        <w:rPr>
          <w:noProof/>
        </w:rPr>
        <w:fldChar w:fldCharType="end"/>
      </w:r>
      <w:r>
        <w:t xml:space="preserve">: </w:t>
      </w:r>
      <w:r w:rsidRPr="00B879B7">
        <w:rPr>
          <w:rStyle w:val="Caption-notboldChar"/>
        </w:rPr>
        <w:t>QLD MBS benefits paid by aggregated MBS categories of all participating sites (n=39)</w:t>
      </w:r>
    </w:p>
    <w:tbl>
      <w:tblPr>
        <w:tblStyle w:val="HMATableA8"/>
        <w:tblW w:w="3832" w:type="pct"/>
        <w:jc w:val="center"/>
        <w:tblLayout w:type="fixed"/>
        <w:tblLook w:val="04A0" w:firstRow="1" w:lastRow="0" w:firstColumn="1" w:lastColumn="0" w:noHBand="0" w:noVBand="1"/>
      </w:tblPr>
      <w:tblGrid>
        <w:gridCol w:w="3673"/>
        <w:gridCol w:w="1293"/>
        <w:gridCol w:w="1275"/>
        <w:gridCol w:w="1277"/>
        <w:gridCol w:w="1277"/>
        <w:gridCol w:w="1275"/>
        <w:gridCol w:w="1270"/>
      </w:tblGrid>
      <w:tr w:rsidR="003E36C4" w:rsidRPr="003E4E52" w14:paraId="6FCA6F96" w14:textId="77777777" w:rsidTr="00473E61">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658089C2" w14:textId="77777777" w:rsidR="003E36C4" w:rsidRPr="003E4E52" w:rsidRDefault="003E36C4" w:rsidP="00473E61">
            <w:pPr>
              <w:spacing w:after="160" w:line="259" w:lineRule="auto"/>
            </w:pPr>
            <w:r w:rsidRPr="003E4E52">
              <w:t>MBS Aggregated Categories</w:t>
            </w:r>
          </w:p>
        </w:tc>
        <w:tc>
          <w:tcPr>
            <w:tcW w:w="570" w:type="pct"/>
            <w:noWrap/>
          </w:tcPr>
          <w:p w14:paraId="0F31D37C"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 xml:space="preserve">Total claims for all sites </w:t>
            </w:r>
          </w:p>
        </w:tc>
        <w:tc>
          <w:tcPr>
            <w:tcW w:w="562" w:type="pct"/>
          </w:tcPr>
          <w:p w14:paraId="058B0721"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Percent of total for all sites</w:t>
            </w:r>
          </w:p>
        </w:tc>
        <w:tc>
          <w:tcPr>
            <w:tcW w:w="563" w:type="pct"/>
          </w:tcPr>
          <w:p w14:paraId="419D309D"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Mean claims per site ($)</w:t>
            </w:r>
          </w:p>
        </w:tc>
        <w:tc>
          <w:tcPr>
            <w:tcW w:w="563" w:type="pct"/>
          </w:tcPr>
          <w:p w14:paraId="465ED6A5"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Median claims, per site ($)</w:t>
            </w:r>
          </w:p>
        </w:tc>
        <w:tc>
          <w:tcPr>
            <w:tcW w:w="562" w:type="pct"/>
          </w:tcPr>
          <w:p w14:paraId="3F5D4917"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Range of values, all sites (min and max)</w:t>
            </w:r>
          </w:p>
        </w:tc>
        <w:tc>
          <w:tcPr>
            <w:tcW w:w="560" w:type="pct"/>
          </w:tcPr>
          <w:p w14:paraId="78C9C654"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No. of sites with zero claims</w:t>
            </w:r>
          </w:p>
        </w:tc>
      </w:tr>
      <w:tr w:rsidR="003E36C4" w:rsidRPr="001638F2" w14:paraId="782AC63B"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4427BD0F" w14:textId="77777777" w:rsidR="003E36C4" w:rsidRPr="001638F2" w:rsidRDefault="003E36C4" w:rsidP="00473E61">
            <w:pPr>
              <w:spacing w:after="160" w:line="259" w:lineRule="auto"/>
            </w:pPr>
            <w:r w:rsidRPr="001638F2">
              <w:t xml:space="preserve">1. Non-referred Attendance(sub-total) – common items </w:t>
            </w:r>
            <w:r w:rsidRPr="001638F2">
              <w:rPr>
                <w:b w:val="0"/>
                <w:bCs/>
              </w:rPr>
              <w:t>(e.g. 3,</w:t>
            </w:r>
            <w:r>
              <w:rPr>
                <w:b w:val="0"/>
                <w:bCs/>
              </w:rPr>
              <w:t xml:space="preserve"> </w:t>
            </w:r>
            <w:r w:rsidRPr="001638F2">
              <w:rPr>
                <w:b w:val="0"/>
                <w:bCs/>
              </w:rPr>
              <w:t>23, 36, 44)</w:t>
            </w:r>
          </w:p>
        </w:tc>
        <w:tc>
          <w:tcPr>
            <w:tcW w:w="570" w:type="pct"/>
            <w:noWrap/>
          </w:tcPr>
          <w:p w14:paraId="438CD41F"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$2,698,422 </w:t>
            </w:r>
          </w:p>
        </w:tc>
        <w:tc>
          <w:tcPr>
            <w:tcW w:w="562" w:type="pct"/>
          </w:tcPr>
          <w:p w14:paraId="0CB283C7"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50.1%</w:t>
            </w:r>
          </w:p>
        </w:tc>
        <w:tc>
          <w:tcPr>
            <w:tcW w:w="563" w:type="pct"/>
          </w:tcPr>
          <w:p w14:paraId="37762CF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$69,190 </w:t>
            </w:r>
          </w:p>
        </w:tc>
        <w:tc>
          <w:tcPr>
            <w:tcW w:w="563" w:type="pct"/>
          </w:tcPr>
          <w:p w14:paraId="4BA7674E"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$23,197 </w:t>
            </w:r>
          </w:p>
        </w:tc>
        <w:tc>
          <w:tcPr>
            <w:tcW w:w="562" w:type="pct"/>
          </w:tcPr>
          <w:p w14:paraId="7032ECEE"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$0–$430,238</w:t>
            </w:r>
          </w:p>
        </w:tc>
        <w:tc>
          <w:tcPr>
            <w:tcW w:w="560" w:type="pct"/>
          </w:tcPr>
          <w:p w14:paraId="6CB85F3E"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w:t>
            </w:r>
          </w:p>
        </w:tc>
      </w:tr>
      <w:tr w:rsidR="003E36C4" w:rsidRPr="001638F2" w14:paraId="6C0FBFB1"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1C03B741" w14:textId="77777777" w:rsidR="003E36C4" w:rsidRPr="001638F2" w:rsidRDefault="003E36C4" w:rsidP="00473E61">
            <w:pPr>
              <w:spacing w:after="160" w:line="259" w:lineRule="auto"/>
            </w:pPr>
            <w:r w:rsidRPr="001638F2">
              <w:t>2. After-hours Non-referred Attendance – common items (sub-total)</w:t>
            </w:r>
          </w:p>
        </w:tc>
        <w:tc>
          <w:tcPr>
            <w:tcW w:w="570" w:type="pct"/>
            <w:noWrap/>
          </w:tcPr>
          <w:p w14:paraId="5599E8C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$1,474,463 </w:t>
            </w:r>
          </w:p>
        </w:tc>
        <w:tc>
          <w:tcPr>
            <w:tcW w:w="562" w:type="pct"/>
          </w:tcPr>
          <w:p w14:paraId="0C8485B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27.5%</w:t>
            </w:r>
          </w:p>
        </w:tc>
        <w:tc>
          <w:tcPr>
            <w:tcW w:w="563" w:type="pct"/>
          </w:tcPr>
          <w:p w14:paraId="530AB2B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$38,096 </w:t>
            </w:r>
          </w:p>
        </w:tc>
        <w:tc>
          <w:tcPr>
            <w:tcW w:w="563" w:type="pct"/>
          </w:tcPr>
          <w:p w14:paraId="5C780720"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$20,315 </w:t>
            </w:r>
          </w:p>
        </w:tc>
        <w:tc>
          <w:tcPr>
            <w:tcW w:w="562" w:type="pct"/>
          </w:tcPr>
          <w:p w14:paraId="03B64A3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$0–$295,586</w:t>
            </w:r>
          </w:p>
        </w:tc>
        <w:tc>
          <w:tcPr>
            <w:tcW w:w="560" w:type="pct"/>
          </w:tcPr>
          <w:p w14:paraId="034AEA6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5</w:t>
            </w:r>
          </w:p>
        </w:tc>
      </w:tr>
      <w:tr w:rsidR="003E36C4" w:rsidRPr="001638F2" w14:paraId="6BFCF8B7"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tcPr>
          <w:p w14:paraId="3339EBAE" w14:textId="77777777" w:rsidR="003E36C4" w:rsidRPr="001638F2" w:rsidRDefault="003E36C4" w:rsidP="00473E61">
            <w:pPr>
              <w:spacing w:after="160" w:line="259" w:lineRule="auto"/>
            </w:pPr>
            <w:r w:rsidRPr="001638F2">
              <w:t>3 Assessment related items, including disease management and other primary care professionals (sub-total)</w:t>
            </w:r>
          </w:p>
        </w:tc>
        <w:tc>
          <w:tcPr>
            <w:tcW w:w="570" w:type="pct"/>
            <w:noWrap/>
          </w:tcPr>
          <w:p w14:paraId="50133EDD"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$113,454</w:t>
            </w:r>
          </w:p>
        </w:tc>
        <w:tc>
          <w:tcPr>
            <w:tcW w:w="562" w:type="pct"/>
          </w:tcPr>
          <w:p w14:paraId="0D5F772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2.2%</w:t>
            </w:r>
          </w:p>
        </w:tc>
        <w:tc>
          <w:tcPr>
            <w:tcW w:w="563" w:type="pct"/>
          </w:tcPr>
          <w:p w14:paraId="226B0F5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$905 </w:t>
            </w:r>
          </w:p>
        </w:tc>
        <w:tc>
          <w:tcPr>
            <w:tcW w:w="563" w:type="pct"/>
          </w:tcPr>
          <w:p w14:paraId="0037BC2C"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62" w:type="pct"/>
          </w:tcPr>
          <w:p w14:paraId="753A8F5D"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$0–$41,282</w:t>
            </w:r>
          </w:p>
        </w:tc>
        <w:tc>
          <w:tcPr>
            <w:tcW w:w="560" w:type="pct"/>
          </w:tcPr>
          <w:p w14:paraId="629AE982"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3E36C4" w:rsidRPr="001638F2" w14:paraId="138338C2"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62DE722C" w14:textId="77777777" w:rsidR="003E36C4" w:rsidRPr="001638F2" w:rsidRDefault="003E36C4" w:rsidP="00473E61">
            <w:pPr>
              <w:spacing w:after="160" w:line="259" w:lineRule="auto"/>
              <w:ind w:left="720"/>
              <w:rPr>
                <w:b w:val="0"/>
                <w:bCs/>
                <w:i/>
                <w:iCs/>
              </w:rPr>
            </w:pPr>
            <w:r w:rsidRPr="001638F2">
              <w:rPr>
                <w:b w:val="0"/>
                <w:bCs/>
                <w:i/>
                <w:iCs/>
              </w:rPr>
              <w:t>3a. A14 (Health Assessments)</w:t>
            </w:r>
          </w:p>
        </w:tc>
        <w:tc>
          <w:tcPr>
            <w:tcW w:w="570" w:type="pct"/>
            <w:noWrap/>
          </w:tcPr>
          <w:p w14:paraId="0ACEFF3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$11,029 </w:t>
            </w:r>
          </w:p>
        </w:tc>
        <w:tc>
          <w:tcPr>
            <w:tcW w:w="562" w:type="pct"/>
          </w:tcPr>
          <w:p w14:paraId="4220C248"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0.2%</w:t>
            </w:r>
          </w:p>
        </w:tc>
        <w:tc>
          <w:tcPr>
            <w:tcW w:w="563" w:type="pct"/>
          </w:tcPr>
          <w:p w14:paraId="7DCA28E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$703 </w:t>
            </w:r>
          </w:p>
        </w:tc>
        <w:tc>
          <w:tcPr>
            <w:tcW w:w="563" w:type="pct"/>
          </w:tcPr>
          <w:p w14:paraId="4F913E6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1214C12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$0–$5,191</w:t>
            </w:r>
          </w:p>
        </w:tc>
        <w:tc>
          <w:tcPr>
            <w:tcW w:w="560" w:type="pct"/>
          </w:tcPr>
          <w:p w14:paraId="4141C72F"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31</w:t>
            </w:r>
          </w:p>
        </w:tc>
      </w:tr>
      <w:tr w:rsidR="003E36C4" w:rsidRPr="001638F2" w14:paraId="1D2542BC"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2C25266C" w14:textId="77777777" w:rsidR="003E36C4" w:rsidRPr="001638F2" w:rsidRDefault="003E36C4" w:rsidP="00473E61">
            <w:pPr>
              <w:spacing w:after="160" w:line="259" w:lineRule="auto"/>
              <w:ind w:left="720"/>
              <w:rPr>
                <w:b w:val="0"/>
                <w:bCs/>
                <w:i/>
                <w:iCs/>
              </w:rPr>
            </w:pPr>
            <w:r w:rsidRPr="001638F2">
              <w:rPr>
                <w:b w:val="0"/>
                <w:bCs/>
                <w:i/>
                <w:iCs/>
              </w:rPr>
              <w:t>3b. A15 (GP care plans)</w:t>
            </w:r>
          </w:p>
        </w:tc>
        <w:tc>
          <w:tcPr>
            <w:tcW w:w="570" w:type="pct"/>
            <w:noWrap/>
          </w:tcPr>
          <w:p w14:paraId="283FBCB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$31,729 </w:t>
            </w:r>
          </w:p>
        </w:tc>
        <w:tc>
          <w:tcPr>
            <w:tcW w:w="562" w:type="pct"/>
          </w:tcPr>
          <w:p w14:paraId="3036F31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0.6%</w:t>
            </w:r>
          </w:p>
        </w:tc>
        <w:tc>
          <w:tcPr>
            <w:tcW w:w="563" w:type="pct"/>
          </w:tcPr>
          <w:p w14:paraId="4718D847"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$1,233 </w:t>
            </w:r>
          </w:p>
        </w:tc>
        <w:tc>
          <w:tcPr>
            <w:tcW w:w="563" w:type="pct"/>
          </w:tcPr>
          <w:p w14:paraId="1F2DFF9A"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62" w:type="pct"/>
          </w:tcPr>
          <w:p w14:paraId="42B3685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$0–$17,453</w:t>
            </w:r>
          </w:p>
        </w:tc>
        <w:tc>
          <w:tcPr>
            <w:tcW w:w="560" w:type="pct"/>
          </w:tcPr>
          <w:p w14:paraId="77B60686"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30</w:t>
            </w:r>
          </w:p>
        </w:tc>
      </w:tr>
      <w:tr w:rsidR="003E36C4" w:rsidRPr="001638F2" w14:paraId="6BD065F5"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tcPr>
          <w:p w14:paraId="397DEA1C" w14:textId="77777777" w:rsidR="003E36C4" w:rsidRPr="001638F2" w:rsidRDefault="003E36C4" w:rsidP="00473E61">
            <w:pPr>
              <w:spacing w:after="160" w:line="259" w:lineRule="auto"/>
              <w:ind w:left="720"/>
              <w:rPr>
                <w:b w:val="0"/>
                <w:bCs/>
                <w:i/>
                <w:iCs/>
              </w:rPr>
            </w:pPr>
            <w:r w:rsidRPr="001638F2">
              <w:rPr>
                <w:b w:val="0"/>
                <w:bCs/>
                <w:i/>
                <w:iCs/>
              </w:rPr>
              <w:t>3c. A20 (GP mental health treatment)</w:t>
            </w:r>
          </w:p>
        </w:tc>
        <w:tc>
          <w:tcPr>
            <w:tcW w:w="570" w:type="pct"/>
            <w:noWrap/>
          </w:tcPr>
          <w:p w14:paraId="2E8AF66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$14,262 </w:t>
            </w:r>
          </w:p>
        </w:tc>
        <w:tc>
          <w:tcPr>
            <w:tcW w:w="562" w:type="pct"/>
          </w:tcPr>
          <w:p w14:paraId="241BE380"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0.3%</w:t>
            </w:r>
          </w:p>
        </w:tc>
        <w:tc>
          <w:tcPr>
            <w:tcW w:w="563" w:type="pct"/>
          </w:tcPr>
          <w:p w14:paraId="5CF378A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$786 </w:t>
            </w:r>
          </w:p>
        </w:tc>
        <w:tc>
          <w:tcPr>
            <w:tcW w:w="563" w:type="pct"/>
          </w:tcPr>
          <w:p w14:paraId="036929C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7474F2E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$0–$3,059</w:t>
            </w:r>
          </w:p>
        </w:tc>
        <w:tc>
          <w:tcPr>
            <w:tcW w:w="560" w:type="pct"/>
          </w:tcPr>
          <w:p w14:paraId="4597CE4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20</w:t>
            </w:r>
          </w:p>
        </w:tc>
      </w:tr>
      <w:tr w:rsidR="003E36C4" w:rsidRPr="001638F2" w14:paraId="23AD36E8"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34E459BF" w14:textId="77777777" w:rsidR="003E36C4" w:rsidRPr="001638F2" w:rsidRDefault="003E36C4" w:rsidP="00473E61">
            <w:pPr>
              <w:spacing w:after="160" w:line="259" w:lineRule="auto"/>
              <w:ind w:left="720"/>
              <w:rPr>
                <w:b w:val="0"/>
                <w:bCs/>
                <w:i/>
                <w:iCs/>
              </w:rPr>
            </w:pPr>
            <w:r w:rsidRPr="001638F2">
              <w:rPr>
                <w:b w:val="0"/>
                <w:bCs/>
                <w:i/>
                <w:iCs/>
              </w:rPr>
              <w:t>3d. Nurse Practitioner</w:t>
            </w:r>
          </w:p>
        </w:tc>
        <w:tc>
          <w:tcPr>
            <w:tcW w:w="570" w:type="pct"/>
            <w:noWrap/>
          </w:tcPr>
          <w:p w14:paraId="3753C40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$52,392 </w:t>
            </w:r>
          </w:p>
        </w:tc>
        <w:tc>
          <w:tcPr>
            <w:tcW w:w="562" w:type="pct"/>
          </w:tcPr>
          <w:p w14:paraId="23946A55"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1.0%</w:t>
            </w:r>
          </w:p>
        </w:tc>
        <w:tc>
          <w:tcPr>
            <w:tcW w:w="563" w:type="pct"/>
          </w:tcPr>
          <w:p w14:paraId="0FC0094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$1,763 </w:t>
            </w:r>
          </w:p>
        </w:tc>
        <w:tc>
          <w:tcPr>
            <w:tcW w:w="563" w:type="pct"/>
          </w:tcPr>
          <w:p w14:paraId="5530F72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528697DD"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$0–$41,282</w:t>
            </w:r>
          </w:p>
        </w:tc>
        <w:tc>
          <w:tcPr>
            <w:tcW w:w="560" w:type="pct"/>
          </w:tcPr>
          <w:p w14:paraId="107CED6D"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29</w:t>
            </w:r>
          </w:p>
        </w:tc>
      </w:tr>
      <w:tr w:rsidR="003E36C4" w:rsidRPr="001638F2" w14:paraId="0D29C62C"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tcPr>
          <w:p w14:paraId="4720209F" w14:textId="77777777" w:rsidR="003E36C4" w:rsidRPr="001638F2" w:rsidRDefault="003E36C4" w:rsidP="00473E61">
            <w:pPr>
              <w:spacing w:after="160" w:line="259" w:lineRule="auto"/>
              <w:ind w:left="720"/>
              <w:rPr>
                <w:b w:val="0"/>
                <w:bCs/>
                <w:i/>
                <w:iCs/>
              </w:rPr>
            </w:pPr>
            <w:r w:rsidRPr="001638F2">
              <w:rPr>
                <w:b w:val="0"/>
                <w:bCs/>
                <w:i/>
                <w:iCs/>
              </w:rPr>
              <w:t>3e. Practice Nurse</w:t>
            </w:r>
          </w:p>
        </w:tc>
        <w:tc>
          <w:tcPr>
            <w:tcW w:w="570" w:type="pct"/>
            <w:noWrap/>
          </w:tcPr>
          <w:p w14:paraId="36905266"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$1,175 </w:t>
            </w:r>
          </w:p>
        </w:tc>
        <w:tc>
          <w:tcPr>
            <w:tcW w:w="562" w:type="pct"/>
          </w:tcPr>
          <w:p w14:paraId="59B5D657"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0.0%</w:t>
            </w:r>
          </w:p>
        </w:tc>
        <w:tc>
          <w:tcPr>
            <w:tcW w:w="563" w:type="pct"/>
          </w:tcPr>
          <w:p w14:paraId="2FECA5C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$450 </w:t>
            </w:r>
          </w:p>
        </w:tc>
        <w:tc>
          <w:tcPr>
            <w:tcW w:w="563" w:type="pct"/>
          </w:tcPr>
          <w:p w14:paraId="24A11C96"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53D2770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$0–$1,053</w:t>
            </w:r>
          </w:p>
        </w:tc>
        <w:tc>
          <w:tcPr>
            <w:tcW w:w="560" w:type="pct"/>
          </w:tcPr>
          <w:p w14:paraId="4C2D9E96"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34</w:t>
            </w:r>
          </w:p>
        </w:tc>
      </w:tr>
      <w:tr w:rsidR="003E36C4" w:rsidRPr="001638F2" w14:paraId="06637FF1"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tcPr>
          <w:p w14:paraId="16A44C1F" w14:textId="77777777" w:rsidR="003E36C4" w:rsidRPr="001638F2" w:rsidRDefault="003E36C4" w:rsidP="00473E61">
            <w:pPr>
              <w:spacing w:after="160" w:line="259" w:lineRule="auto"/>
              <w:ind w:left="720"/>
              <w:rPr>
                <w:b w:val="0"/>
                <w:bCs/>
                <w:i/>
                <w:iCs/>
              </w:rPr>
            </w:pPr>
            <w:r w:rsidRPr="001638F2">
              <w:rPr>
                <w:b w:val="0"/>
                <w:bCs/>
                <w:i/>
                <w:iCs/>
              </w:rPr>
              <w:t>3f. Allied Health</w:t>
            </w:r>
          </w:p>
        </w:tc>
        <w:tc>
          <w:tcPr>
            <w:tcW w:w="570" w:type="pct"/>
            <w:noWrap/>
          </w:tcPr>
          <w:p w14:paraId="3808F556"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$2,867 </w:t>
            </w:r>
          </w:p>
        </w:tc>
        <w:tc>
          <w:tcPr>
            <w:tcW w:w="562" w:type="pct"/>
          </w:tcPr>
          <w:p w14:paraId="4AB8C74C"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w:t>
            </w:r>
          </w:p>
        </w:tc>
        <w:tc>
          <w:tcPr>
            <w:tcW w:w="563" w:type="pct"/>
          </w:tcPr>
          <w:p w14:paraId="2DC28D65"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$493 </w:t>
            </w:r>
          </w:p>
        </w:tc>
        <w:tc>
          <w:tcPr>
            <w:tcW w:w="563" w:type="pct"/>
          </w:tcPr>
          <w:p w14:paraId="1BB72CEB"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5D42E2F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$0–$2,744</w:t>
            </w:r>
          </w:p>
        </w:tc>
        <w:tc>
          <w:tcPr>
            <w:tcW w:w="560" w:type="pct"/>
          </w:tcPr>
          <w:p w14:paraId="6A096B3A"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35</w:t>
            </w:r>
          </w:p>
        </w:tc>
      </w:tr>
      <w:tr w:rsidR="003E36C4" w:rsidRPr="001638F2" w14:paraId="416C6331"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tcPr>
          <w:p w14:paraId="322FFB4C" w14:textId="77777777" w:rsidR="003E36C4" w:rsidRPr="001638F2" w:rsidRDefault="003E36C4" w:rsidP="00473E61">
            <w:pPr>
              <w:spacing w:after="160" w:line="259" w:lineRule="auto"/>
            </w:pPr>
            <w:r w:rsidRPr="001638F2">
              <w:rPr>
                <w:bCs/>
              </w:rPr>
              <w:t>4. Other MBS items (sub-total)</w:t>
            </w:r>
          </w:p>
        </w:tc>
        <w:tc>
          <w:tcPr>
            <w:tcW w:w="570" w:type="pct"/>
            <w:noWrap/>
          </w:tcPr>
          <w:p w14:paraId="75C855A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$1,352,604</w:t>
            </w:r>
          </w:p>
        </w:tc>
        <w:tc>
          <w:tcPr>
            <w:tcW w:w="562" w:type="pct"/>
          </w:tcPr>
          <w:p w14:paraId="218B70C4"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20.2%</w:t>
            </w:r>
          </w:p>
        </w:tc>
        <w:tc>
          <w:tcPr>
            <w:tcW w:w="563" w:type="pct"/>
          </w:tcPr>
          <w:p w14:paraId="7D71DB8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$4,371 </w:t>
            </w:r>
          </w:p>
        </w:tc>
        <w:tc>
          <w:tcPr>
            <w:tcW w:w="563" w:type="pct"/>
          </w:tcPr>
          <w:p w14:paraId="1400B3F3"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7A043156"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$0–$102,187</w:t>
            </w:r>
          </w:p>
        </w:tc>
        <w:tc>
          <w:tcPr>
            <w:tcW w:w="560" w:type="pct"/>
          </w:tcPr>
          <w:p w14:paraId="0DE5BC10"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r w:rsidR="003E36C4" w:rsidRPr="001638F2" w14:paraId="53A40888"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tcPr>
          <w:p w14:paraId="76261D2C" w14:textId="77777777" w:rsidR="003E36C4" w:rsidRPr="001638F2" w:rsidRDefault="003E36C4" w:rsidP="00473E61">
            <w:pPr>
              <w:spacing w:after="160" w:line="259" w:lineRule="auto"/>
              <w:ind w:left="720"/>
              <w:rPr>
                <w:b w:val="0"/>
                <w:bCs/>
                <w:i/>
                <w:iCs/>
              </w:rPr>
            </w:pPr>
            <w:r w:rsidRPr="001638F2">
              <w:rPr>
                <w:b w:val="0"/>
                <w:bCs/>
                <w:i/>
                <w:iCs/>
              </w:rPr>
              <w:t>4a. Anaesthetics</w:t>
            </w:r>
          </w:p>
        </w:tc>
        <w:tc>
          <w:tcPr>
            <w:tcW w:w="570" w:type="pct"/>
            <w:noWrap/>
          </w:tcPr>
          <w:p w14:paraId="2F3A210A"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$3,087 </w:t>
            </w:r>
          </w:p>
        </w:tc>
        <w:tc>
          <w:tcPr>
            <w:tcW w:w="562" w:type="pct"/>
          </w:tcPr>
          <w:p w14:paraId="64124071"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w:t>
            </w:r>
          </w:p>
        </w:tc>
        <w:tc>
          <w:tcPr>
            <w:tcW w:w="563" w:type="pct"/>
          </w:tcPr>
          <w:p w14:paraId="2B3F17A7"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$499 </w:t>
            </w:r>
          </w:p>
        </w:tc>
        <w:tc>
          <w:tcPr>
            <w:tcW w:w="563" w:type="pct"/>
          </w:tcPr>
          <w:p w14:paraId="2E7B2B06"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462E585A"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$0–$1,462</w:t>
            </w:r>
          </w:p>
        </w:tc>
        <w:tc>
          <w:tcPr>
            <w:tcW w:w="560" w:type="pct"/>
          </w:tcPr>
          <w:p w14:paraId="7B003FFF"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32</w:t>
            </w:r>
          </w:p>
        </w:tc>
      </w:tr>
      <w:tr w:rsidR="003E36C4" w:rsidRPr="001638F2" w14:paraId="06F81158"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tcPr>
          <w:p w14:paraId="56E81CA7" w14:textId="77777777" w:rsidR="003E36C4" w:rsidRPr="001638F2" w:rsidRDefault="003E36C4" w:rsidP="00473E61">
            <w:pPr>
              <w:spacing w:after="160" w:line="259" w:lineRule="auto"/>
              <w:ind w:left="720"/>
              <w:rPr>
                <w:b w:val="0"/>
                <w:bCs/>
                <w:i/>
                <w:iCs/>
              </w:rPr>
            </w:pPr>
            <w:r w:rsidRPr="001638F2">
              <w:rPr>
                <w:b w:val="0"/>
                <w:bCs/>
                <w:i/>
                <w:iCs/>
              </w:rPr>
              <w:t>4b. Pathology</w:t>
            </w:r>
          </w:p>
        </w:tc>
        <w:tc>
          <w:tcPr>
            <w:tcW w:w="570" w:type="pct"/>
            <w:noWrap/>
          </w:tcPr>
          <w:p w14:paraId="21A004F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$8,827 </w:t>
            </w:r>
          </w:p>
        </w:tc>
        <w:tc>
          <w:tcPr>
            <w:tcW w:w="562" w:type="pct"/>
          </w:tcPr>
          <w:p w14:paraId="12EA55F7"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0.2%</w:t>
            </w:r>
          </w:p>
        </w:tc>
        <w:tc>
          <w:tcPr>
            <w:tcW w:w="563" w:type="pct"/>
          </w:tcPr>
          <w:p w14:paraId="42F091F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$645 </w:t>
            </w:r>
          </w:p>
        </w:tc>
        <w:tc>
          <w:tcPr>
            <w:tcW w:w="563" w:type="pct"/>
          </w:tcPr>
          <w:p w14:paraId="221D65A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$26 </w:t>
            </w:r>
          </w:p>
        </w:tc>
        <w:tc>
          <w:tcPr>
            <w:tcW w:w="562" w:type="pct"/>
          </w:tcPr>
          <w:p w14:paraId="5CD1DA90"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$0–$6,331</w:t>
            </w:r>
          </w:p>
        </w:tc>
        <w:tc>
          <w:tcPr>
            <w:tcW w:w="560" w:type="pct"/>
          </w:tcPr>
          <w:p w14:paraId="79BA9BC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11</w:t>
            </w:r>
          </w:p>
        </w:tc>
      </w:tr>
      <w:tr w:rsidR="003E36C4" w:rsidRPr="001638F2" w14:paraId="7A8C2BB7"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75BE18D5" w14:textId="77777777" w:rsidR="003E36C4" w:rsidRPr="001638F2" w:rsidRDefault="003E36C4" w:rsidP="00473E61">
            <w:pPr>
              <w:spacing w:after="160" w:line="259" w:lineRule="auto"/>
              <w:ind w:left="720"/>
              <w:rPr>
                <w:b w:val="0"/>
                <w:bCs/>
                <w:i/>
                <w:iCs/>
              </w:rPr>
            </w:pPr>
            <w:r w:rsidRPr="001638F2">
              <w:rPr>
                <w:b w:val="0"/>
                <w:bCs/>
                <w:i/>
                <w:iCs/>
              </w:rPr>
              <w:t>4c. Diagnostic Imaging</w:t>
            </w:r>
          </w:p>
        </w:tc>
        <w:tc>
          <w:tcPr>
            <w:tcW w:w="570" w:type="pct"/>
            <w:noWrap/>
          </w:tcPr>
          <w:p w14:paraId="18CBA89B"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$38,877 </w:t>
            </w:r>
          </w:p>
        </w:tc>
        <w:tc>
          <w:tcPr>
            <w:tcW w:w="562" w:type="pct"/>
          </w:tcPr>
          <w:p w14:paraId="580FF44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0.7%</w:t>
            </w:r>
          </w:p>
        </w:tc>
        <w:tc>
          <w:tcPr>
            <w:tcW w:w="563" w:type="pct"/>
          </w:tcPr>
          <w:p w14:paraId="771B7446"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$1,417 </w:t>
            </w:r>
          </w:p>
        </w:tc>
        <w:tc>
          <w:tcPr>
            <w:tcW w:w="563" w:type="pct"/>
          </w:tcPr>
          <w:p w14:paraId="7348A6E0"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62" w:type="pct"/>
          </w:tcPr>
          <w:p w14:paraId="4536CC8C"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$0–$20,532</w:t>
            </w:r>
          </w:p>
        </w:tc>
        <w:tc>
          <w:tcPr>
            <w:tcW w:w="560" w:type="pct"/>
          </w:tcPr>
          <w:p w14:paraId="6251E35C"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33</w:t>
            </w:r>
          </w:p>
        </w:tc>
      </w:tr>
      <w:tr w:rsidR="003E36C4" w:rsidRPr="001638F2" w14:paraId="6B3B9AEB"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6E760FE0" w14:textId="77777777" w:rsidR="003E36C4" w:rsidRPr="001638F2" w:rsidRDefault="003E36C4" w:rsidP="00473E61">
            <w:pPr>
              <w:spacing w:after="160" w:line="259" w:lineRule="auto"/>
              <w:ind w:left="720"/>
              <w:rPr>
                <w:b w:val="0"/>
                <w:bCs/>
                <w:i/>
                <w:iCs/>
              </w:rPr>
            </w:pPr>
            <w:r w:rsidRPr="001638F2">
              <w:rPr>
                <w:b w:val="0"/>
                <w:bCs/>
                <w:i/>
                <w:iCs/>
              </w:rPr>
              <w:t>4d. Operations</w:t>
            </w:r>
          </w:p>
        </w:tc>
        <w:tc>
          <w:tcPr>
            <w:tcW w:w="570" w:type="pct"/>
            <w:noWrap/>
          </w:tcPr>
          <w:p w14:paraId="424C0314"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$265,345 </w:t>
            </w:r>
          </w:p>
        </w:tc>
        <w:tc>
          <w:tcPr>
            <w:tcW w:w="562" w:type="pct"/>
          </w:tcPr>
          <w:p w14:paraId="791EF61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4.9%</w:t>
            </w:r>
          </w:p>
        </w:tc>
        <w:tc>
          <w:tcPr>
            <w:tcW w:w="563" w:type="pct"/>
          </w:tcPr>
          <w:p w14:paraId="33D40323"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$7,188 </w:t>
            </w:r>
          </w:p>
        </w:tc>
        <w:tc>
          <w:tcPr>
            <w:tcW w:w="563" w:type="pct"/>
          </w:tcPr>
          <w:p w14:paraId="6789187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$3,235 </w:t>
            </w:r>
          </w:p>
        </w:tc>
        <w:tc>
          <w:tcPr>
            <w:tcW w:w="562" w:type="pct"/>
          </w:tcPr>
          <w:p w14:paraId="117CD418"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$0–$63,635</w:t>
            </w:r>
          </w:p>
        </w:tc>
        <w:tc>
          <w:tcPr>
            <w:tcW w:w="560" w:type="pct"/>
          </w:tcPr>
          <w:p w14:paraId="7CE1530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w:t>
            </w:r>
          </w:p>
        </w:tc>
      </w:tr>
      <w:tr w:rsidR="003E36C4" w:rsidRPr="001638F2" w14:paraId="771B474F"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68B325FA" w14:textId="77777777" w:rsidR="003E36C4" w:rsidRPr="001638F2" w:rsidRDefault="003E36C4" w:rsidP="00473E61">
            <w:pPr>
              <w:spacing w:after="160" w:line="259" w:lineRule="auto"/>
              <w:ind w:left="720"/>
              <w:rPr>
                <w:b w:val="0"/>
                <w:bCs/>
                <w:i/>
                <w:iCs/>
              </w:rPr>
            </w:pPr>
            <w:r w:rsidRPr="001638F2">
              <w:rPr>
                <w:b w:val="0"/>
                <w:bCs/>
                <w:i/>
                <w:iCs/>
              </w:rPr>
              <w:t>4e. Obstetrics</w:t>
            </w:r>
          </w:p>
        </w:tc>
        <w:tc>
          <w:tcPr>
            <w:tcW w:w="570" w:type="pct"/>
            <w:noWrap/>
          </w:tcPr>
          <w:p w14:paraId="3BC4C45B" w14:textId="77777777" w:rsidR="003E36C4" w:rsidRPr="001638F2" w:rsidRDefault="003E36C4" w:rsidP="00473E61">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pacing w:val="0"/>
                <w:szCs w:val="20"/>
              </w:rPr>
            </w:pPr>
            <w:r w:rsidRPr="001638F2">
              <w:rPr>
                <w:rFonts w:cs="Calibri"/>
                <w:color w:val="000000"/>
                <w:szCs w:val="20"/>
              </w:rPr>
              <w:t xml:space="preserve"> $89,620 </w:t>
            </w:r>
          </w:p>
        </w:tc>
        <w:tc>
          <w:tcPr>
            <w:tcW w:w="562" w:type="pct"/>
          </w:tcPr>
          <w:p w14:paraId="06ADBD6A"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1.7%</w:t>
            </w:r>
          </w:p>
        </w:tc>
        <w:tc>
          <w:tcPr>
            <w:tcW w:w="563" w:type="pct"/>
          </w:tcPr>
          <w:p w14:paraId="524843A1"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$2,718 </w:t>
            </w:r>
          </w:p>
        </w:tc>
        <w:tc>
          <w:tcPr>
            <w:tcW w:w="563" w:type="pct"/>
          </w:tcPr>
          <w:p w14:paraId="3957533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661FB1F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$0–$43,103</w:t>
            </w:r>
          </w:p>
        </w:tc>
        <w:tc>
          <w:tcPr>
            <w:tcW w:w="560" w:type="pct"/>
          </w:tcPr>
          <w:p w14:paraId="68FAC317"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26</w:t>
            </w:r>
          </w:p>
        </w:tc>
      </w:tr>
      <w:tr w:rsidR="003E36C4" w:rsidRPr="001638F2" w14:paraId="2260EE80"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6C8B8880" w14:textId="77777777" w:rsidR="003E36C4" w:rsidRPr="001638F2" w:rsidRDefault="003E36C4" w:rsidP="00473E61">
            <w:pPr>
              <w:spacing w:after="160" w:line="259" w:lineRule="auto"/>
              <w:ind w:left="720"/>
              <w:rPr>
                <w:b w:val="0"/>
                <w:bCs/>
                <w:i/>
                <w:iCs/>
              </w:rPr>
            </w:pPr>
            <w:r w:rsidRPr="001638F2">
              <w:rPr>
                <w:b w:val="0"/>
                <w:bCs/>
                <w:i/>
                <w:iCs/>
              </w:rPr>
              <w:t>4f. Specialist Services</w:t>
            </w:r>
          </w:p>
        </w:tc>
        <w:tc>
          <w:tcPr>
            <w:tcW w:w="570" w:type="pct"/>
            <w:noWrap/>
          </w:tcPr>
          <w:p w14:paraId="4000786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$90,751 </w:t>
            </w:r>
          </w:p>
        </w:tc>
        <w:tc>
          <w:tcPr>
            <w:tcW w:w="562" w:type="pct"/>
          </w:tcPr>
          <w:p w14:paraId="6D18FD62"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1.7%</w:t>
            </w:r>
          </w:p>
        </w:tc>
        <w:tc>
          <w:tcPr>
            <w:tcW w:w="563" w:type="pct"/>
          </w:tcPr>
          <w:p w14:paraId="72BD883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$2,747 </w:t>
            </w:r>
          </w:p>
        </w:tc>
        <w:tc>
          <w:tcPr>
            <w:tcW w:w="563" w:type="pct"/>
          </w:tcPr>
          <w:p w14:paraId="6C20A53C"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r w:rsidRPr="001638F2">
              <w:rPr>
                <w:rFonts w:cs="Calibri"/>
                <w:color w:val="000000"/>
                <w:szCs w:val="20"/>
              </w:rPr>
              <w:t xml:space="preserve"> </w:t>
            </w:r>
          </w:p>
        </w:tc>
        <w:tc>
          <w:tcPr>
            <w:tcW w:w="562" w:type="pct"/>
          </w:tcPr>
          <w:p w14:paraId="3B6FF29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$0–$45,950</w:t>
            </w:r>
          </w:p>
        </w:tc>
        <w:tc>
          <w:tcPr>
            <w:tcW w:w="560" w:type="pct"/>
          </w:tcPr>
          <w:p w14:paraId="50BA9E8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34</w:t>
            </w:r>
          </w:p>
        </w:tc>
      </w:tr>
      <w:tr w:rsidR="003E36C4" w:rsidRPr="001638F2" w14:paraId="512C387F" w14:textId="77777777" w:rsidTr="00473E61">
        <w:trPr>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7BAA5A38" w14:textId="77777777" w:rsidR="003E36C4" w:rsidRPr="001638F2" w:rsidRDefault="003E36C4" w:rsidP="00473E61">
            <w:pPr>
              <w:spacing w:after="160" w:line="259" w:lineRule="auto"/>
              <w:ind w:left="720"/>
              <w:rPr>
                <w:b w:val="0"/>
                <w:bCs/>
                <w:i/>
                <w:iCs/>
              </w:rPr>
            </w:pPr>
            <w:r w:rsidRPr="001638F2">
              <w:rPr>
                <w:b w:val="0"/>
                <w:bCs/>
                <w:i/>
                <w:iCs/>
              </w:rPr>
              <w:t>4g. Other MBS</w:t>
            </w:r>
          </w:p>
        </w:tc>
        <w:tc>
          <w:tcPr>
            <w:tcW w:w="570" w:type="pct"/>
            <w:noWrap/>
          </w:tcPr>
          <w:p w14:paraId="51541F9D"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$586,097 </w:t>
            </w:r>
          </w:p>
        </w:tc>
        <w:tc>
          <w:tcPr>
            <w:tcW w:w="562" w:type="pct"/>
          </w:tcPr>
          <w:p w14:paraId="234D9AE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10.9%</w:t>
            </w:r>
          </w:p>
        </w:tc>
        <w:tc>
          <w:tcPr>
            <w:tcW w:w="563" w:type="pct"/>
          </w:tcPr>
          <w:p w14:paraId="733BA990"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$15,383 </w:t>
            </w:r>
          </w:p>
        </w:tc>
        <w:tc>
          <w:tcPr>
            <w:tcW w:w="563" w:type="pct"/>
          </w:tcPr>
          <w:p w14:paraId="52E4F4DE"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$4,908 </w:t>
            </w:r>
          </w:p>
        </w:tc>
        <w:tc>
          <w:tcPr>
            <w:tcW w:w="562" w:type="pct"/>
          </w:tcPr>
          <w:p w14:paraId="3492D6B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$0–$102,187</w:t>
            </w:r>
          </w:p>
        </w:tc>
        <w:tc>
          <w:tcPr>
            <w:tcW w:w="560" w:type="pct"/>
          </w:tcPr>
          <w:p w14:paraId="0044242B"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w:t>
            </w:r>
          </w:p>
        </w:tc>
      </w:tr>
      <w:tr w:rsidR="003E36C4" w:rsidRPr="001638F2" w14:paraId="3861B46C" w14:textId="77777777" w:rsidTr="00473E61">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19" w:type="pct"/>
            <w:noWrap/>
            <w:hideMark/>
          </w:tcPr>
          <w:p w14:paraId="288046CB" w14:textId="77777777" w:rsidR="003E36C4" w:rsidRPr="001638F2" w:rsidRDefault="003E36C4" w:rsidP="00473E61">
            <w:pPr>
              <w:spacing w:after="160" w:line="259" w:lineRule="auto"/>
            </w:pPr>
            <w:r w:rsidRPr="001638F2">
              <w:t>Total</w:t>
            </w:r>
          </w:p>
        </w:tc>
        <w:tc>
          <w:tcPr>
            <w:tcW w:w="570" w:type="pct"/>
            <w:noWrap/>
          </w:tcPr>
          <w:p w14:paraId="5C2895C3"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$5,369,118 </w:t>
            </w:r>
          </w:p>
        </w:tc>
        <w:tc>
          <w:tcPr>
            <w:tcW w:w="562" w:type="pct"/>
          </w:tcPr>
          <w:p w14:paraId="1C0646A3"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100%</w:t>
            </w:r>
          </w:p>
        </w:tc>
        <w:tc>
          <w:tcPr>
            <w:tcW w:w="563" w:type="pct"/>
          </w:tcPr>
          <w:p w14:paraId="37D0AB2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$137,437 </w:t>
            </w:r>
          </w:p>
        </w:tc>
        <w:tc>
          <w:tcPr>
            <w:tcW w:w="563" w:type="pct"/>
          </w:tcPr>
          <w:p w14:paraId="5B433CD4"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$55,366 </w:t>
            </w:r>
          </w:p>
        </w:tc>
        <w:tc>
          <w:tcPr>
            <w:tcW w:w="562" w:type="pct"/>
          </w:tcPr>
          <w:p w14:paraId="3D81714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$8,024–$968,524</w:t>
            </w:r>
          </w:p>
        </w:tc>
        <w:tc>
          <w:tcPr>
            <w:tcW w:w="560" w:type="pct"/>
          </w:tcPr>
          <w:p w14:paraId="29E45A1C"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bl>
    <w:p w14:paraId="17535B51" w14:textId="77777777" w:rsidR="003E36C4" w:rsidRPr="001638F2" w:rsidRDefault="003E36C4" w:rsidP="003E36C4">
      <w:pPr>
        <w:spacing w:after="160" w:line="259" w:lineRule="auto"/>
      </w:pPr>
    </w:p>
    <w:p w14:paraId="33AC6624" w14:textId="77777777" w:rsidR="003E36C4" w:rsidRDefault="003E36C4" w:rsidP="003E36C4">
      <w:pPr>
        <w:sectPr w:rsidR="003E36C4" w:rsidSect="003E36C4">
          <w:pgSz w:w="16838" w:h="11906" w:orient="landscape" w:code="9"/>
          <w:pgMar w:top="737" w:right="1304" w:bottom="1134" w:left="737" w:header="567" w:footer="284" w:gutter="0"/>
          <w:cols w:space="708"/>
          <w:docGrid w:linePitch="360"/>
        </w:sectPr>
      </w:pPr>
    </w:p>
    <w:p w14:paraId="4FB866DE" w14:textId="2082B5EB" w:rsidR="003E36C4" w:rsidRDefault="003E36C4" w:rsidP="003E36C4">
      <w:pPr>
        <w:pStyle w:val="Caption"/>
      </w:pPr>
      <w:r>
        <w:lastRenderedPageBreak/>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t>.</w:t>
      </w:r>
      <w:r w:rsidR="00A67BE9">
        <w:fldChar w:fldCharType="begin"/>
      </w:r>
      <w:r w:rsidR="00A67BE9">
        <w:instrText xml:space="preserve"> SEQ Table \* ARABIC \s 1 </w:instrText>
      </w:r>
      <w:r w:rsidR="00A67BE9">
        <w:fldChar w:fldCharType="separate"/>
      </w:r>
      <w:r w:rsidR="00C50B67">
        <w:rPr>
          <w:noProof/>
        </w:rPr>
        <w:t>8</w:t>
      </w:r>
      <w:r w:rsidR="00A67BE9">
        <w:rPr>
          <w:noProof/>
        </w:rPr>
        <w:fldChar w:fldCharType="end"/>
      </w:r>
      <w:r>
        <w:t xml:space="preserve">: </w:t>
      </w:r>
      <w:r w:rsidRPr="003E4E52">
        <w:rPr>
          <w:rStyle w:val="Caption-notboldChar"/>
        </w:rPr>
        <w:t>WA MBS benefits paid by aggregated MBS categories of all participating sites (n=11)</w:t>
      </w:r>
    </w:p>
    <w:tbl>
      <w:tblPr>
        <w:tblStyle w:val="HMATableA9"/>
        <w:tblW w:w="3736" w:type="pct"/>
        <w:jc w:val="center"/>
        <w:tblLayout w:type="fixed"/>
        <w:tblLook w:val="04A0" w:firstRow="1" w:lastRow="0" w:firstColumn="1" w:lastColumn="0" w:noHBand="0" w:noVBand="1"/>
      </w:tblPr>
      <w:tblGrid>
        <w:gridCol w:w="3668"/>
        <w:gridCol w:w="1296"/>
        <w:gridCol w:w="1274"/>
        <w:gridCol w:w="1139"/>
        <w:gridCol w:w="1132"/>
        <w:gridCol w:w="1276"/>
        <w:gridCol w:w="1271"/>
      </w:tblGrid>
      <w:tr w:rsidR="003E36C4" w:rsidRPr="003E4E52" w14:paraId="29815227" w14:textId="77777777" w:rsidTr="00473E61">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704F42D0" w14:textId="77777777" w:rsidR="003E36C4" w:rsidRPr="003E4E52" w:rsidRDefault="003E36C4" w:rsidP="00473E61">
            <w:pPr>
              <w:spacing w:after="160" w:line="259" w:lineRule="auto"/>
            </w:pPr>
            <w:r w:rsidRPr="003E4E52">
              <w:t>MBS Aggregated Categories</w:t>
            </w:r>
          </w:p>
        </w:tc>
        <w:tc>
          <w:tcPr>
            <w:tcW w:w="586" w:type="pct"/>
            <w:noWrap/>
          </w:tcPr>
          <w:p w14:paraId="2BC3228B"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 xml:space="preserve">Total claims for all sites </w:t>
            </w:r>
          </w:p>
        </w:tc>
        <w:tc>
          <w:tcPr>
            <w:tcW w:w="576" w:type="pct"/>
          </w:tcPr>
          <w:p w14:paraId="7811076F"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Percent of total for all sites</w:t>
            </w:r>
          </w:p>
        </w:tc>
        <w:tc>
          <w:tcPr>
            <w:tcW w:w="515" w:type="pct"/>
          </w:tcPr>
          <w:p w14:paraId="40571E77"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Mean claims per site ($)</w:t>
            </w:r>
          </w:p>
        </w:tc>
        <w:tc>
          <w:tcPr>
            <w:tcW w:w="512" w:type="pct"/>
          </w:tcPr>
          <w:p w14:paraId="69389FDB"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Median claims, per site ($)</w:t>
            </w:r>
          </w:p>
        </w:tc>
        <w:tc>
          <w:tcPr>
            <w:tcW w:w="577" w:type="pct"/>
          </w:tcPr>
          <w:p w14:paraId="3C599297"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Range of values, all sites (min and max)</w:t>
            </w:r>
          </w:p>
        </w:tc>
        <w:tc>
          <w:tcPr>
            <w:tcW w:w="575" w:type="pct"/>
          </w:tcPr>
          <w:p w14:paraId="53597243" w14:textId="77777777" w:rsidR="003E36C4" w:rsidRPr="003E4E52" w:rsidRDefault="003E36C4" w:rsidP="00473E61">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No. of sites with zero claims</w:t>
            </w:r>
          </w:p>
        </w:tc>
      </w:tr>
      <w:tr w:rsidR="003E36C4" w:rsidRPr="001638F2" w14:paraId="777A7A48"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61396587" w14:textId="77777777" w:rsidR="003E36C4" w:rsidRPr="001638F2" w:rsidRDefault="003E36C4" w:rsidP="00473E61">
            <w:pPr>
              <w:spacing w:after="160" w:line="259" w:lineRule="auto"/>
            </w:pPr>
            <w:r w:rsidRPr="001638F2">
              <w:t>1. Non-referred Attendance</w:t>
            </w:r>
          </w:p>
        </w:tc>
        <w:tc>
          <w:tcPr>
            <w:tcW w:w="586" w:type="pct"/>
            <w:noWrap/>
          </w:tcPr>
          <w:p w14:paraId="71F8D132"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$2,171,528</w:t>
            </w:r>
          </w:p>
        </w:tc>
        <w:tc>
          <w:tcPr>
            <w:tcW w:w="576" w:type="pct"/>
          </w:tcPr>
          <w:p w14:paraId="717E4D3E"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53.0%</w:t>
            </w:r>
          </w:p>
        </w:tc>
        <w:tc>
          <w:tcPr>
            <w:tcW w:w="515" w:type="pct"/>
          </w:tcPr>
          <w:p w14:paraId="15663AE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$197,412 </w:t>
            </w:r>
          </w:p>
        </w:tc>
        <w:tc>
          <w:tcPr>
            <w:tcW w:w="512" w:type="pct"/>
          </w:tcPr>
          <w:p w14:paraId="0DEDD795"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$188,257 </w:t>
            </w:r>
          </w:p>
        </w:tc>
        <w:tc>
          <w:tcPr>
            <w:tcW w:w="577" w:type="pct"/>
          </w:tcPr>
          <w:p w14:paraId="78741CAF"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$12,976–$524,398</w:t>
            </w:r>
          </w:p>
        </w:tc>
        <w:tc>
          <w:tcPr>
            <w:tcW w:w="575" w:type="pct"/>
          </w:tcPr>
          <w:p w14:paraId="197D503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w:t>
            </w:r>
          </w:p>
        </w:tc>
      </w:tr>
      <w:tr w:rsidR="003E36C4" w:rsidRPr="001638F2" w14:paraId="4FD48C2E"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30B2207B" w14:textId="77777777" w:rsidR="003E36C4" w:rsidRPr="001638F2" w:rsidRDefault="003E36C4" w:rsidP="00473E61">
            <w:pPr>
              <w:spacing w:after="160" w:line="259" w:lineRule="auto"/>
            </w:pPr>
            <w:r w:rsidRPr="001638F2">
              <w:t>2. After-hours Non-referred Attendance</w:t>
            </w:r>
          </w:p>
        </w:tc>
        <w:tc>
          <w:tcPr>
            <w:tcW w:w="586" w:type="pct"/>
            <w:noWrap/>
          </w:tcPr>
          <w:p w14:paraId="3C94E022"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$531,821</w:t>
            </w:r>
          </w:p>
        </w:tc>
        <w:tc>
          <w:tcPr>
            <w:tcW w:w="576" w:type="pct"/>
          </w:tcPr>
          <w:p w14:paraId="36673CD6"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13.0%</w:t>
            </w:r>
          </w:p>
        </w:tc>
        <w:tc>
          <w:tcPr>
            <w:tcW w:w="515" w:type="pct"/>
          </w:tcPr>
          <w:p w14:paraId="3195B855"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$48,347 </w:t>
            </w:r>
          </w:p>
        </w:tc>
        <w:tc>
          <w:tcPr>
            <w:tcW w:w="512" w:type="pct"/>
          </w:tcPr>
          <w:p w14:paraId="57CD5F82"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$35,442</w:t>
            </w:r>
          </w:p>
        </w:tc>
        <w:tc>
          <w:tcPr>
            <w:tcW w:w="577" w:type="pct"/>
          </w:tcPr>
          <w:p w14:paraId="7CD5D4C4"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$0–$161,918</w:t>
            </w:r>
          </w:p>
        </w:tc>
        <w:tc>
          <w:tcPr>
            <w:tcW w:w="575" w:type="pct"/>
          </w:tcPr>
          <w:p w14:paraId="32505B8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w:t>
            </w:r>
          </w:p>
        </w:tc>
      </w:tr>
      <w:tr w:rsidR="003E36C4" w:rsidRPr="001638F2" w14:paraId="716F9799"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tcPr>
          <w:p w14:paraId="2812B2C1" w14:textId="77777777" w:rsidR="003E36C4" w:rsidRPr="001638F2" w:rsidRDefault="003E36C4" w:rsidP="00473E61">
            <w:pPr>
              <w:spacing w:after="160" w:line="259" w:lineRule="auto"/>
            </w:pPr>
            <w:r w:rsidRPr="001638F2">
              <w:t>3. Assessment related items, including disease management and other primary care professionals (sub-total)</w:t>
            </w:r>
          </w:p>
        </w:tc>
        <w:tc>
          <w:tcPr>
            <w:tcW w:w="586" w:type="pct"/>
            <w:noWrap/>
          </w:tcPr>
          <w:p w14:paraId="70605B1F"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$241,025</w:t>
            </w:r>
          </w:p>
        </w:tc>
        <w:tc>
          <w:tcPr>
            <w:tcW w:w="576" w:type="pct"/>
          </w:tcPr>
          <w:p w14:paraId="3B94994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6.0%</w:t>
            </w:r>
          </w:p>
        </w:tc>
        <w:tc>
          <w:tcPr>
            <w:tcW w:w="515" w:type="pct"/>
          </w:tcPr>
          <w:p w14:paraId="4EC899D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$3,652</w:t>
            </w:r>
          </w:p>
        </w:tc>
        <w:tc>
          <w:tcPr>
            <w:tcW w:w="512" w:type="pct"/>
          </w:tcPr>
          <w:p w14:paraId="00C2F300"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w:t>
            </w:r>
          </w:p>
        </w:tc>
        <w:tc>
          <w:tcPr>
            <w:tcW w:w="577" w:type="pct"/>
          </w:tcPr>
          <w:p w14:paraId="51F10052"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$0–$64,616</w:t>
            </w:r>
          </w:p>
        </w:tc>
        <w:tc>
          <w:tcPr>
            <w:tcW w:w="575" w:type="pct"/>
          </w:tcPr>
          <w:p w14:paraId="25A621E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3E36C4" w:rsidRPr="001638F2" w14:paraId="24375AC8"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6117AC03" w14:textId="77777777" w:rsidR="003E36C4" w:rsidRPr="001638F2" w:rsidRDefault="003E36C4" w:rsidP="00473E61">
            <w:pPr>
              <w:spacing w:after="160" w:line="259" w:lineRule="auto"/>
              <w:ind w:left="720"/>
              <w:rPr>
                <w:b w:val="0"/>
                <w:bCs/>
                <w:i/>
                <w:iCs/>
              </w:rPr>
            </w:pPr>
            <w:r w:rsidRPr="001638F2">
              <w:rPr>
                <w:b w:val="0"/>
                <w:bCs/>
                <w:i/>
                <w:iCs/>
              </w:rPr>
              <w:t>3a. A14 (Health Assessments)</w:t>
            </w:r>
          </w:p>
        </w:tc>
        <w:tc>
          <w:tcPr>
            <w:tcW w:w="586" w:type="pct"/>
            <w:noWrap/>
          </w:tcPr>
          <w:p w14:paraId="642ECA6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$76,063 </w:t>
            </w:r>
          </w:p>
        </w:tc>
        <w:tc>
          <w:tcPr>
            <w:tcW w:w="576" w:type="pct"/>
          </w:tcPr>
          <w:p w14:paraId="7218A18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1.9%</w:t>
            </w:r>
          </w:p>
        </w:tc>
        <w:tc>
          <w:tcPr>
            <w:tcW w:w="515" w:type="pct"/>
          </w:tcPr>
          <w:p w14:paraId="35FA4B8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$6,915 </w:t>
            </w:r>
          </w:p>
        </w:tc>
        <w:tc>
          <w:tcPr>
            <w:tcW w:w="512" w:type="pct"/>
          </w:tcPr>
          <w:p w14:paraId="5E315C6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$492 </w:t>
            </w:r>
          </w:p>
        </w:tc>
        <w:tc>
          <w:tcPr>
            <w:tcW w:w="577" w:type="pct"/>
          </w:tcPr>
          <w:p w14:paraId="26B1CE4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$0–$54,745</w:t>
            </w:r>
          </w:p>
        </w:tc>
        <w:tc>
          <w:tcPr>
            <w:tcW w:w="575" w:type="pct"/>
          </w:tcPr>
          <w:p w14:paraId="0E42655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w:t>
            </w:r>
          </w:p>
        </w:tc>
      </w:tr>
      <w:tr w:rsidR="003E36C4" w:rsidRPr="001638F2" w14:paraId="1A650361"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7AA274C2" w14:textId="77777777" w:rsidR="003E36C4" w:rsidRPr="001638F2" w:rsidRDefault="003E36C4" w:rsidP="00473E61">
            <w:pPr>
              <w:spacing w:after="160" w:line="259" w:lineRule="auto"/>
              <w:ind w:left="720"/>
              <w:rPr>
                <w:b w:val="0"/>
                <w:bCs/>
                <w:i/>
                <w:iCs/>
              </w:rPr>
            </w:pPr>
            <w:r w:rsidRPr="001638F2">
              <w:rPr>
                <w:b w:val="0"/>
                <w:bCs/>
                <w:i/>
                <w:iCs/>
              </w:rPr>
              <w:t>3b. A15 (GP care plans)</w:t>
            </w:r>
          </w:p>
        </w:tc>
        <w:tc>
          <w:tcPr>
            <w:tcW w:w="586" w:type="pct"/>
            <w:noWrap/>
          </w:tcPr>
          <w:p w14:paraId="456628F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$78,884 </w:t>
            </w:r>
          </w:p>
        </w:tc>
        <w:tc>
          <w:tcPr>
            <w:tcW w:w="576" w:type="pct"/>
          </w:tcPr>
          <w:p w14:paraId="7B3E7A8C"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1.9%</w:t>
            </w:r>
          </w:p>
        </w:tc>
        <w:tc>
          <w:tcPr>
            <w:tcW w:w="515" w:type="pct"/>
          </w:tcPr>
          <w:p w14:paraId="26F03F80"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$7,171 </w:t>
            </w:r>
          </w:p>
        </w:tc>
        <w:tc>
          <w:tcPr>
            <w:tcW w:w="512" w:type="pct"/>
          </w:tcPr>
          <w:p w14:paraId="69C0E80A"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$1,167 </w:t>
            </w:r>
          </w:p>
        </w:tc>
        <w:tc>
          <w:tcPr>
            <w:tcW w:w="577" w:type="pct"/>
          </w:tcPr>
          <w:p w14:paraId="2892BFF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$0–$46,368</w:t>
            </w:r>
          </w:p>
        </w:tc>
        <w:tc>
          <w:tcPr>
            <w:tcW w:w="575" w:type="pct"/>
          </w:tcPr>
          <w:p w14:paraId="20DB5BFF"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w:t>
            </w:r>
          </w:p>
        </w:tc>
      </w:tr>
      <w:tr w:rsidR="003E36C4" w:rsidRPr="001638F2" w14:paraId="6187E1F7"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tcPr>
          <w:p w14:paraId="303F6D7E" w14:textId="77777777" w:rsidR="003E36C4" w:rsidRPr="001638F2" w:rsidRDefault="003E36C4" w:rsidP="00473E61">
            <w:pPr>
              <w:spacing w:after="160" w:line="259" w:lineRule="auto"/>
              <w:ind w:left="720"/>
              <w:rPr>
                <w:b w:val="0"/>
                <w:bCs/>
                <w:i/>
                <w:iCs/>
              </w:rPr>
            </w:pPr>
            <w:r w:rsidRPr="001638F2">
              <w:rPr>
                <w:b w:val="0"/>
                <w:bCs/>
                <w:i/>
                <w:iCs/>
              </w:rPr>
              <w:t>3c. A20 (GP mental health treatment)</w:t>
            </w:r>
          </w:p>
        </w:tc>
        <w:tc>
          <w:tcPr>
            <w:tcW w:w="586" w:type="pct"/>
            <w:noWrap/>
          </w:tcPr>
          <w:p w14:paraId="0C5838A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$14,748 </w:t>
            </w:r>
          </w:p>
        </w:tc>
        <w:tc>
          <w:tcPr>
            <w:tcW w:w="576" w:type="pct"/>
          </w:tcPr>
          <w:p w14:paraId="2F82ACF2"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0.4%</w:t>
            </w:r>
          </w:p>
        </w:tc>
        <w:tc>
          <w:tcPr>
            <w:tcW w:w="515" w:type="pct"/>
          </w:tcPr>
          <w:p w14:paraId="43319BE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$1,341 </w:t>
            </w:r>
          </w:p>
        </w:tc>
        <w:tc>
          <w:tcPr>
            <w:tcW w:w="512" w:type="pct"/>
          </w:tcPr>
          <w:p w14:paraId="6137AF08"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$238 </w:t>
            </w:r>
          </w:p>
        </w:tc>
        <w:tc>
          <w:tcPr>
            <w:tcW w:w="577" w:type="pct"/>
          </w:tcPr>
          <w:p w14:paraId="3042C13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$0–$7,838</w:t>
            </w:r>
          </w:p>
        </w:tc>
        <w:tc>
          <w:tcPr>
            <w:tcW w:w="575" w:type="pct"/>
          </w:tcPr>
          <w:p w14:paraId="0BFC1A4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w:t>
            </w:r>
          </w:p>
        </w:tc>
      </w:tr>
      <w:tr w:rsidR="003E36C4" w:rsidRPr="001638F2" w14:paraId="3AA986EC"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34F49CF8" w14:textId="77777777" w:rsidR="003E36C4" w:rsidRPr="001638F2" w:rsidRDefault="003E36C4" w:rsidP="00473E61">
            <w:pPr>
              <w:spacing w:after="160" w:line="259" w:lineRule="auto"/>
              <w:ind w:left="720"/>
              <w:rPr>
                <w:b w:val="0"/>
                <w:bCs/>
                <w:i/>
                <w:iCs/>
              </w:rPr>
            </w:pPr>
            <w:r w:rsidRPr="001638F2">
              <w:rPr>
                <w:b w:val="0"/>
                <w:bCs/>
                <w:i/>
                <w:iCs/>
              </w:rPr>
              <w:t>3d. Nurse Practitioner</w:t>
            </w:r>
          </w:p>
        </w:tc>
        <w:tc>
          <w:tcPr>
            <w:tcW w:w="586" w:type="pct"/>
            <w:noWrap/>
          </w:tcPr>
          <w:p w14:paraId="2736A09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$68,122 </w:t>
            </w:r>
          </w:p>
        </w:tc>
        <w:tc>
          <w:tcPr>
            <w:tcW w:w="576" w:type="pct"/>
          </w:tcPr>
          <w:p w14:paraId="75BAF001"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1.7%</w:t>
            </w:r>
          </w:p>
        </w:tc>
        <w:tc>
          <w:tcPr>
            <w:tcW w:w="515" w:type="pct"/>
          </w:tcPr>
          <w:p w14:paraId="1F9656F1"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$6,193 </w:t>
            </w:r>
          </w:p>
        </w:tc>
        <w:tc>
          <w:tcPr>
            <w:tcW w:w="512" w:type="pct"/>
          </w:tcPr>
          <w:p w14:paraId="659229B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77" w:type="pct"/>
          </w:tcPr>
          <w:p w14:paraId="3356A32D"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$0–$64,616</w:t>
            </w:r>
          </w:p>
        </w:tc>
        <w:tc>
          <w:tcPr>
            <w:tcW w:w="575" w:type="pct"/>
          </w:tcPr>
          <w:p w14:paraId="1DBEC57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9</w:t>
            </w:r>
          </w:p>
        </w:tc>
      </w:tr>
      <w:tr w:rsidR="003E36C4" w:rsidRPr="001638F2" w14:paraId="44C5E90D"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tcPr>
          <w:p w14:paraId="14A9E3C7" w14:textId="77777777" w:rsidR="003E36C4" w:rsidRPr="001638F2" w:rsidRDefault="003E36C4" w:rsidP="00473E61">
            <w:pPr>
              <w:spacing w:after="160" w:line="259" w:lineRule="auto"/>
              <w:ind w:left="720"/>
              <w:rPr>
                <w:b w:val="0"/>
                <w:bCs/>
                <w:i/>
                <w:iCs/>
              </w:rPr>
            </w:pPr>
            <w:r w:rsidRPr="001638F2">
              <w:rPr>
                <w:b w:val="0"/>
                <w:bCs/>
                <w:i/>
                <w:iCs/>
              </w:rPr>
              <w:t>3e. Practice Nurse</w:t>
            </w:r>
          </w:p>
        </w:tc>
        <w:tc>
          <w:tcPr>
            <w:tcW w:w="586" w:type="pct"/>
            <w:noWrap/>
          </w:tcPr>
          <w:p w14:paraId="54940D2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$3,208 </w:t>
            </w:r>
          </w:p>
        </w:tc>
        <w:tc>
          <w:tcPr>
            <w:tcW w:w="576" w:type="pct"/>
          </w:tcPr>
          <w:p w14:paraId="4ECA66E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w:t>
            </w:r>
          </w:p>
        </w:tc>
        <w:tc>
          <w:tcPr>
            <w:tcW w:w="515" w:type="pct"/>
          </w:tcPr>
          <w:p w14:paraId="45DB0A9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$292 </w:t>
            </w:r>
          </w:p>
        </w:tc>
        <w:tc>
          <w:tcPr>
            <w:tcW w:w="512" w:type="pct"/>
          </w:tcPr>
          <w:p w14:paraId="7F32AFD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77" w:type="pct"/>
          </w:tcPr>
          <w:p w14:paraId="56912C57"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$0–$3,184</w:t>
            </w:r>
          </w:p>
        </w:tc>
        <w:tc>
          <w:tcPr>
            <w:tcW w:w="575" w:type="pct"/>
          </w:tcPr>
          <w:p w14:paraId="1A5EE00C"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8</w:t>
            </w:r>
          </w:p>
        </w:tc>
      </w:tr>
      <w:tr w:rsidR="003E36C4" w:rsidRPr="001638F2" w14:paraId="13618325"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tcPr>
          <w:p w14:paraId="778A7681" w14:textId="77777777" w:rsidR="003E36C4" w:rsidRPr="001638F2" w:rsidRDefault="003E36C4" w:rsidP="00473E61">
            <w:pPr>
              <w:spacing w:after="160" w:line="259" w:lineRule="auto"/>
              <w:ind w:left="720"/>
              <w:rPr>
                <w:b w:val="0"/>
                <w:bCs/>
                <w:i/>
                <w:iCs/>
              </w:rPr>
            </w:pPr>
            <w:r w:rsidRPr="001638F2">
              <w:rPr>
                <w:b w:val="0"/>
                <w:bCs/>
                <w:i/>
                <w:iCs/>
              </w:rPr>
              <w:t>3f. Allied Health</w:t>
            </w:r>
          </w:p>
        </w:tc>
        <w:tc>
          <w:tcPr>
            <w:tcW w:w="586" w:type="pct"/>
            <w:noWrap/>
          </w:tcPr>
          <w:p w14:paraId="15F12A7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$0</w:t>
            </w:r>
            <w:r>
              <w:rPr>
                <w:rFonts w:cs="Calibri"/>
                <w:color w:val="000000"/>
                <w:szCs w:val="20"/>
              </w:rPr>
              <w:t xml:space="preserve"> </w:t>
            </w:r>
          </w:p>
        </w:tc>
        <w:tc>
          <w:tcPr>
            <w:tcW w:w="576" w:type="pct"/>
          </w:tcPr>
          <w:p w14:paraId="5FF653B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15" w:type="pct"/>
          </w:tcPr>
          <w:p w14:paraId="07F6A0CD"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12" w:type="pct"/>
          </w:tcPr>
          <w:p w14:paraId="1B837B9E"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77" w:type="pct"/>
          </w:tcPr>
          <w:p w14:paraId="1E2A1725"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75" w:type="pct"/>
          </w:tcPr>
          <w:p w14:paraId="4FC6A980"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11</w:t>
            </w:r>
          </w:p>
        </w:tc>
      </w:tr>
      <w:tr w:rsidR="003E36C4" w:rsidRPr="001638F2" w14:paraId="106A274F"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tcPr>
          <w:p w14:paraId="1EF0EEA5" w14:textId="77777777" w:rsidR="003E36C4" w:rsidRPr="001638F2" w:rsidRDefault="003E36C4" w:rsidP="00473E61">
            <w:pPr>
              <w:spacing w:after="160" w:line="259" w:lineRule="auto"/>
            </w:pPr>
            <w:r w:rsidRPr="001638F2">
              <w:rPr>
                <w:bCs/>
              </w:rPr>
              <w:t>4. Other MBS items (sub-total)</w:t>
            </w:r>
          </w:p>
        </w:tc>
        <w:tc>
          <w:tcPr>
            <w:tcW w:w="586" w:type="pct"/>
            <w:noWrap/>
          </w:tcPr>
          <w:p w14:paraId="1BFFFF5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$1,156,338</w:t>
            </w:r>
          </w:p>
        </w:tc>
        <w:tc>
          <w:tcPr>
            <w:tcW w:w="576" w:type="pct"/>
          </w:tcPr>
          <w:p w14:paraId="46F4814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28.2%</w:t>
            </w:r>
          </w:p>
        </w:tc>
        <w:tc>
          <w:tcPr>
            <w:tcW w:w="515" w:type="pct"/>
          </w:tcPr>
          <w:p w14:paraId="2D11641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$15,017</w:t>
            </w:r>
          </w:p>
        </w:tc>
        <w:tc>
          <w:tcPr>
            <w:tcW w:w="512" w:type="pct"/>
          </w:tcPr>
          <w:p w14:paraId="0F3A2053"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$267</w:t>
            </w:r>
          </w:p>
        </w:tc>
        <w:tc>
          <w:tcPr>
            <w:tcW w:w="577" w:type="pct"/>
          </w:tcPr>
          <w:p w14:paraId="43F6D2B0"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$0–$416,619</w:t>
            </w:r>
          </w:p>
        </w:tc>
        <w:tc>
          <w:tcPr>
            <w:tcW w:w="575" w:type="pct"/>
          </w:tcPr>
          <w:p w14:paraId="6EFD8F2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r w:rsidR="003E36C4" w:rsidRPr="001638F2" w14:paraId="1B346E54"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tcPr>
          <w:p w14:paraId="5372CEA6" w14:textId="77777777" w:rsidR="003E36C4" w:rsidRPr="001638F2" w:rsidRDefault="003E36C4" w:rsidP="00473E61">
            <w:pPr>
              <w:spacing w:after="160" w:line="259" w:lineRule="auto"/>
              <w:ind w:left="720"/>
              <w:rPr>
                <w:b w:val="0"/>
                <w:bCs/>
                <w:i/>
                <w:iCs/>
              </w:rPr>
            </w:pPr>
            <w:r w:rsidRPr="001638F2">
              <w:rPr>
                <w:b w:val="0"/>
                <w:bCs/>
                <w:i/>
                <w:iCs/>
              </w:rPr>
              <w:t>4a. Anaesthetics</w:t>
            </w:r>
          </w:p>
        </w:tc>
        <w:tc>
          <w:tcPr>
            <w:tcW w:w="586" w:type="pct"/>
            <w:noWrap/>
          </w:tcPr>
          <w:p w14:paraId="766EA50C"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$404 </w:t>
            </w:r>
          </w:p>
        </w:tc>
        <w:tc>
          <w:tcPr>
            <w:tcW w:w="576" w:type="pct"/>
          </w:tcPr>
          <w:p w14:paraId="0DBEA90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15" w:type="pct"/>
          </w:tcPr>
          <w:p w14:paraId="6667727E"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$37 </w:t>
            </w:r>
          </w:p>
        </w:tc>
        <w:tc>
          <w:tcPr>
            <w:tcW w:w="512" w:type="pct"/>
          </w:tcPr>
          <w:p w14:paraId="29A03CC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77" w:type="pct"/>
          </w:tcPr>
          <w:p w14:paraId="034801C0"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$0–$286</w:t>
            </w:r>
          </w:p>
        </w:tc>
        <w:tc>
          <w:tcPr>
            <w:tcW w:w="575" w:type="pct"/>
          </w:tcPr>
          <w:p w14:paraId="7C77CE5B"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8</w:t>
            </w:r>
          </w:p>
        </w:tc>
      </w:tr>
      <w:tr w:rsidR="003E36C4" w:rsidRPr="001638F2" w14:paraId="3477E08C"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tcPr>
          <w:p w14:paraId="45793AE5" w14:textId="77777777" w:rsidR="003E36C4" w:rsidRPr="001638F2" w:rsidRDefault="003E36C4" w:rsidP="00473E61">
            <w:pPr>
              <w:spacing w:after="160" w:line="259" w:lineRule="auto"/>
              <w:ind w:left="720"/>
              <w:rPr>
                <w:b w:val="0"/>
                <w:bCs/>
                <w:i/>
                <w:iCs/>
              </w:rPr>
            </w:pPr>
            <w:r w:rsidRPr="001638F2">
              <w:rPr>
                <w:b w:val="0"/>
                <w:bCs/>
                <w:i/>
                <w:iCs/>
              </w:rPr>
              <w:t>4b. Pathology</w:t>
            </w:r>
          </w:p>
        </w:tc>
        <w:tc>
          <w:tcPr>
            <w:tcW w:w="586" w:type="pct"/>
            <w:noWrap/>
          </w:tcPr>
          <w:p w14:paraId="56D54DB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$2,845 </w:t>
            </w:r>
          </w:p>
        </w:tc>
        <w:tc>
          <w:tcPr>
            <w:tcW w:w="576" w:type="pct"/>
          </w:tcPr>
          <w:p w14:paraId="501430B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w:t>
            </w:r>
          </w:p>
        </w:tc>
        <w:tc>
          <w:tcPr>
            <w:tcW w:w="515" w:type="pct"/>
          </w:tcPr>
          <w:p w14:paraId="319E9DC6"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$259 </w:t>
            </w:r>
          </w:p>
        </w:tc>
        <w:tc>
          <w:tcPr>
            <w:tcW w:w="512" w:type="pct"/>
          </w:tcPr>
          <w:p w14:paraId="2D1789F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$177 </w:t>
            </w:r>
          </w:p>
        </w:tc>
        <w:tc>
          <w:tcPr>
            <w:tcW w:w="577" w:type="pct"/>
          </w:tcPr>
          <w:p w14:paraId="7B14F583"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$8–$706</w:t>
            </w:r>
          </w:p>
        </w:tc>
        <w:tc>
          <w:tcPr>
            <w:tcW w:w="575" w:type="pct"/>
          </w:tcPr>
          <w:p w14:paraId="6E1B9D8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w:t>
            </w:r>
          </w:p>
        </w:tc>
      </w:tr>
      <w:tr w:rsidR="003E36C4" w:rsidRPr="001638F2" w14:paraId="3991033D"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75EE28DB" w14:textId="77777777" w:rsidR="003E36C4" w:rsidRPr="001638F2" w:rsidRDefault="003E36C4" w:rsidP="00473E61">
            <w:pPr>
              <w:spacing w:after="160" w:line="259" w:lineRule="auto"/>
              <w:ind w:left="720"/>
              <w:rPr>
                <w:b w:val="0"/>
                <w:bCs/>
                <w:i/>
                <w:iCs/>
              </w:rPr>
            </w:pPr>
            <w:r w:rsidRPr="001638F2">
              <w:rPr>
                <w:b w:val="0"/>
                <w:bCs/>
                <w:i/>
                <w:iCs/>
              </w:rPr>
              <w:t>4c. Diagnostic Imaging</w:t>
            </w:r>
          </w:p>
        </w:tc>
        <w:tc>
          <w:tcPr>
            <w:tcW w:w="586" w:type="pct"/>
            <w:noWrap/>
          </w:tcPr>
          <w:p w14:paraId="4CA25D22"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$801,995 </w:t>
            </w:r>
          </w:p>
        </w:tc>
        <w:tc>
          <w:tcPr>
            <w:tcW w:w="576" w:type="pct"/>
          </w:tcPr>
          <w:p w14:paraId="0BDBB9B2"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19.6%</w:t>
            </w:r>
          </w:p>
        </w:tc>
        <w:tc>
          <w:tcPr>
            <w:tcW w:w="515" w:type="pct"/>
          </w:tcPr>
          <w:p w14:paraId="076F9B10"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$72,909 </w:t>
            </w:r>
          </w:p>
        </w:tc>
        <w:tc>
          <w:tcPr>
            <w:tcW w:w="512" w:type="pct"/>
          </w:tcPr>
          <w:p w14:paraId="5F9C6D8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$60 </w:t>
            </w:r>
          </w:p>
        </w:tc>
        <w:tc>
          <w:tcPr>
            <w:tcW w:w="577" w:type="pct"/>
          </w:tcPr>
          <w:p w14:paraId="0F22E781"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$0–$416,619</w:t>
            </w:r>
          </w:p>
        </w:tc>
        <w:tc>
          <w:tcPr>
            <w:tcW w:w="575" w:type="pct"/>
          </w:tcPr>
          <w:p w14:paraId="49180552"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4</w:t>
            </w:r>
          </w:p>
        </w:tc>
      </w:tr>
      <w:tr w:rsidR="003E36C4" w:rsidRPr="001638F2" w14:paraId="789EEA24"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0B361CF2" w14:textId="77777777" w:rsidR="003E36C4" w:rsidRPr="001638F2" w:rsidRDefault="003E36C4" w:rsidP="00473E61">
            <w:pPr>
              <w:spacing w:after="160" w:line="259" w:lineRule="auto"/>
              <w:ind w:left="720"/>
              <w:rPr>
                <w:b w:val="0"/>
                <w:bCs/>
                <w:i/>
                <w:iCs/>
              </w:rPr>
            </w:pPr>
            <w:r w:rsidRPr="001638F2">
              <w:rPr>
                <w:b w:val="0"/>
                <w:bCs/>
                <w:i/>
                <w:iCs/>
              </w:rPr>
              <w:t>4d. Operations</w:t>
            </w:r>
          </w:p>
        </w:tc>
        <w:tc>
          <w:tcPr>
            <w:tcW w:w="586" w:type="pct"/>
            <w:noWrap/>
          </w:tcPr>
          <w:p w14:paraId="360124F7"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$108,365 </w:t>
            </w:r>
          </w:p>
        </w:tc>
        <w:tc>
          <w:tcPr>
            <w:tcW w:w="576" w:type="pct"/>
          </w:tcPr>
          <w:p w14:paraId="64F3E248"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2.6%</w:t>
            </w:r>
          </w:p>
        </w:tc>
        <w:tc>
          <w:tcPr>
            <w:tcW w:w="515" w:type="pct"/>
          </w:tcPr>
          <w:p w14:paraId="7B3CDA17"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$9,851 </w:t>
            </w:r>
          </w:p>
        </w:tc>
        <w:tc>
          <w:tcPr>
            <w:tcW w:w="512" w:type="pct"/>
          </w:tcPr>
          <w:p w14:paraId="6887A0CF"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$5,227 </w:t>
            </w:r>
          </w:p>
        </w:tc>
        <w:tc>
          <w:tcPr>
            <w:tcW w:w="577" w:type="pct"/>
          </w:tcPr>
          <w:p w14:paraId="36311A2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$0–$38,982</w:t>
            </w:r>
          </w:p>
        </w:tc>
        <w:tc>
          <w:tcPr>
            <w:tcW w:w="575" w:type="pct"/>
          </w:tcPr>
          <w:p w14:paraId="14C5857E"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w:t>
            </w:r>
          </w:p>
        </w:tc>
      </w:tr>
      <w:tr w:rsidR="003E36C4" w:rsidRPr="001638F2" w14:paraId="1187C079"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03897033" w14:textId="77777777" w:rsidR="003E36C4" w:rsidRPr="001638F2" w:rsidRDefault="003E36C4" w:rsidP="00473E61">
            <w:pPr>
              <w:spacing w:after="160" w:line="259" w:lineRule="auto"/>
              <w:ind w:left="720"/>
              <w:rPr>
                <w:b w:val="0"/>
                <w:bCs/>
                <w:i/>
                <w:iCs/>
              </w:rPr>
            </w:pPr>
            <w:r w:rsidRPr="001638F2">
              <w:rPr>
                <w:b w:val="0"/>
                <w:bCs/>
                <w:i/>
                <w:iCs/>
              </w:rPr>
              <w:t>4e. Obstetrics</w:t>
            </w:r>
          </w:p>
        </w:tc>
        <w:tc>
          <w:tcPr>
            <w:tcW w:w="586" w:type="pct"/>
            <w:noWrap/>
          </w:tcPr>
          <w:p w14:paraId="4AA21796" w14:textId="77777777" w:rsidR="003E36C4" w:rsidRPr="001638F2" w:rsidRDefault="003E36C4" w:rsidP="00473E61">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pacing w:val="0"/>
                <w:szCs w:val="20"/>
              </w:rPr>
            </w:pPr>
            <w:r w:rsidRPr="001638F2">
              <w:rPr>
                <w:rFonts w:cs="Calibri"/>
                <w:color w:val="000000"/>
                <w:szCs w:val="20"/>
              </w:rPr>
              <w:t xml:space="preserve"> $32,473 </w:t>
            </w:r>
          </w:p>
        </w:tc>
        <w:tc>
          <w:tcPr>
            <w:tcW w:w="576" w:type="pct"/>
          </w:tcPr>
          <w:p w14:paraId="476FC52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0.8%</w:t>
            </w:r>
          </w:p>
        </w:tc>
        <w:tc>
          <w:tcPr>
            <w:tcW w:w="515" w:type="pct"/>
          </w:tcPr>
          <w:p w14:paraId="25EA9BEB"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$2,952 </w:t>
            </w:r>
          </w:p>
        </w:tc>
        <w:tc>
          <w:tcPr>
            <w:tcW w:w="512" w:type="pct"/>
          </w:tcPr>
          <w:p w14:paraId="346C55CC"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$163 </w:t>
            </w:r>
          </w:p>
        </w:tc>
        <w:tc>
          <w:tcPr>
            <w:tcW w:w="577" w:type="pct"/>
          </w:tcPr>
          <w:p w14:paraId="3B243B4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$0–$22,999</w:t>
            </w:r>
          </w:p>
        </w:tc>
        <w:tc>
          <w:tcPr>
            <w:tcW w:w="575" w:type="pct"/>
          </w:tcPr>
          <w:p w14:paraId="78027678"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w:t>
            </w:r>
          </w:p>
        </w:tc>
      </w:tr>
      <w:tr w:rsidR="003E36C4" w:rsidRPr="001638F2" w14:paraId="272BC363"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1FEFA492" w14:textId="77777777" w:rsidR="003E36C4" w:rsidRPr="001638F2" w:rsidRDefault="003E36C4" w:rsidP="00473E61">
            <w:pPr>
              <w:spacing w:after="160" w:line="259" w:lineRule="auto"/>
              <w:ind w:left="720"/>
              <w:rPr>
                <w:b w:val="0"/>
                <w:bCs/>
                <w:i/>
                <w:iCs/>
              </w:rPr>
            </w:pPr>
            <w:r w:rsidRPr="001638F2">
              <w:rPr>
                <w:b w:val="0"/>
                <w:bCs/>
                <w:i/>
                <w:iCs/>
              </w:rPr>
              <w:t>4f. Specialist Services</w:t>
            </w:r>
          </w:p>
        </w:tc>
        <w:tc>
          <w:tcPr>
            <w:tcW w:w="586" w:type="pct"/>
            <w:noWrap/>
          </w:tcPr>
          <w:p w14:paraId="47893ADF"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$13,131 </w:t>
            </w:r>
          </w:p>
        </w:tc>
        <w:tc>
          <w:tcPr>
            <w:tcW w:w="576" w:type="pct"/>
          </w:tcPr>
          <w:p w14:paraId="76A461F0"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0.3%</w:t>
            </w:r>
          </w:p>
        </w:tc>
        <w:tc>
          <w:tcPr>
            <w:tcW w:w="515" w:type="pct"/>
          </w:tcPr>
          <w:p w14:paraId="1B4E27BB"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$1,194 </w:t>
            </w:r>
          </w:p>
        </w:tc>
        <w:tc>
          <w:tcPr>
            <w:tcW w:w="512" w:type="pct"/>
          </w:tcPr>
          <w:p w14:paraId="2056E802"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Pr>
                <w:rFonts w:cs="Calibri"/>
                <w:color w:val="000000"/>
                <w:szCs w:val="20"/>
              </w:rPr>
              <w:t xml:space="preserve"> </w:t>
            </w:r>
          </w:p>
        </w:tc>
        <w:tc>
          <w:tcPr>
            <w:tcW w:w="577" w:type="pct"/>
          </w:tcPr>
          <w:p w14:paraId="410F5B9C"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$0–$7,767</w:t>
            </w:r>
          </w:p>
        </w:tc>
        <w:tc>
          <w:tcPr>
            <w:tcW w:w="575" w:type="pct"/>
          </w:tcPr>
          <w:p w14:paraId="053A4312"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8</w:t>
            </w:r>
          </w:p>
        </w:tc>
      </w:tr>
      <w:tr w:rsidR="003E36C4" w:rsidRPr="001638F2" w14:paraId="414450C1" w14:textId="77777777" w:rsidTr="00473E61">
        <w:trPr>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54F36922" w14:textId="77777777" w:rsidR="003E36C4" w:rsidRPr="001638F2" w:rsidRDefault="003E36C4" w:rsidP="00473E61">
            <w:pPr>
              <w:spacing w:after="160" w:line="259" w:lineRule="auto"/>
              <w:ind w:left="720"/>
              <w:rPr>
                <w:b w:val="0"/>
                <w:bCs/>
              </w:rPr>
            </w:pPr>
            <w:r w:rsidRPr="001638F2">
              <w:rPr>
                <w:b w:val="0"/>
                <w:bCs/>
                <w:i/>
                <w:iCs/>
              </w:rPr>
              <w:t>4g. Other MBS</w:t>
            </w:r>
          </w:p>
        </w:tc>
        <w:tc>
          <w:tcPr>
            <w:tcW w:w="586" w:type="pct"/>
            <w:noWrap/>
          </w:tcPr>
          <w:p w14:paraId="191511B9"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$197,125 </w:t>
            </w:r>
          </w:p>
        </w:tc>
        <w:tc>
          <w:tcPr>
            <w:tcW w:w="576" w:type="pct"/>
          </w:tcPr>
          <w:p w14:paraId="5855ADEA"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4.8%</w:t>
            </w:r>
          </w:p>
        </w:tc>
        <w:tc>
          <w:tcPr>
            <w:tcW w:w="515" w:type="pct"/>
          </w:tcPr>
          <w:p w14:paraId="69FDBD5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$17,921 </w:t>
            </w:r>
          </w:p>
        </w:tc>
        <w:tc>
          <w:tcPr>
            <w:tcW w:w="512" w:type="pct"/>
          </w:tcPr>
          <w:p w14:paraId="465518C1"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$9,556 </w:t>
            </w:r>
          </w:p>
        </w:tc>
        <w:tc>
          <w:tcPr>
            <w:tcW w:w="577" w:type="pct"/>
          </w:tcPr>
          <w:p w14:paraId="49A38AC4"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$479–$60,165</w:t>
            </w:r>
          </w:p>
        </w:tc>
        <w:tc>
          <w:tcPr>
            <w:tcW w:w="575" w:type="pct"/>
          </w:tcPr>
          <w:p w14:paraId="220F5533" w14:textId="77777777" w:rsidR="003E36C4" w:rsidRPr="001638F2" w:rsidRDefault="003E36C4" w:rsidP="00473E61">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w:t>
            </w:r>
          </w:p>
        </w:tc>
      </w:tr>
      <w:tr w:rsidR="003E36C4" w:rsidRPr="001638F2" w14:paraId="363989C7" w14:textId="77777777" w:rsidTr="00473E61">
        <w:trPr>
          <w:cnfStyle w:val="000000010000" w:firstRow="0" w:lastRow="0" w:firstColumn="0" w:lastColumn="0" w:oddVBand="0" w:evenVBand="0" w:oddHBand="0" w:evenHBand="1"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59" w:type="pct"/>
            <w:noWrap/>
            <w:hideMark/>
          </w:tcPr>
          <w:p w14:paraId="74DAE409" w14:textId="77777777" w:rsidR="003E36C4" w:rsidRPr="001638F2" w:rsidRDefault="003E36C4" w:rsidP="00473E61">
            <w:pPr>
              <w:spacing w:after="160" w:line="259" w:lineRule="auto"/>
            </w:pPr>
            <w:r w:rsidRPr="001638F2">
              <w:t>Total</w:t>
            </w:r>
          </w:p>
        </w:tc>
        <w:tc>
          <w:tcPr>
            <w:tcW w:w="586" w:type="pct"/>
            <w:noWrap/>
          </w:tcPr>
          <w:p w14:paraId="0C6B2B01"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$4,100,827 </w:t>
            </w:r>
          </w:p>
        </w:tc>
        <w:tc>
          <w:tcPr>
            <w:tcW w:w="576" w:type="pct"/>
          </w:tcPr>
          <w:p w14:paraId="065D710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100%</w:t>
            </w:r>
          </w:p>
        </w:tc>
        <w:tc>
          <w:tcPr>
            <w:tcW w:w="515" w:type="pct"/>
          </w:tcPr>
          <w:p w14:paraId="49C6AF3A"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$372,803</w:t>
            </w:r>
          </w:p>
        </w:tc>
        <w:tc>
          <w:tcPr>
            <w:tcW w:w="512" w:type="pct"/>
          </w:tcPr>
          <w:p w14:paraId="663D240D"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$217,050 </w:t>
            </w:r>
          </w:p>
        </w:tc>
        <w:tc>
          <w:tcPr>
            <w:tcW w:w="577" w:type="pct"/>
          </w:tcPr>
          <w:p w14:paraId="529CFAB6"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$17,606–$1,042,564</w:t>
            </w:r>
          </w:p>
        </w:tc>
        <w:tc>
          <w:tcPr>
            <w:tcW w:w="575" w:type="pct"/>
          </w:tcPr>
          <w:p w14:paraId="6B4AF8D9" w14:textId="77777777" w:rsidR="003E36C4" w:rsidRPr="001638F2" w:rsidRDefault="003E36C4" w:rsidP="00473E61">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bl>
    <w:p w14:paraId="58677554" w14:textId="77777777" w:rsidR="003E36C4" w:rsidRDefault="003E36C4" w:rsidP="003E36C4"/>
    <w:p w14:paraId="140CEFC9" w14:textId="77777777" w:rsidR="003E36C4" w:rsidRDefault="003E36C4" w:rsidP="003E36C4">
      <w:pPr>
        <w:sectPr w:rsidR="003E36C4" w:rsidSect="003E36C4">
          <w:pgSz w:w="16838" w:h="11906" w:orient="landscape" w:code="9"/>
          <w:pgMar w:top="737" w:right="1304" w:bottom="1134" w:left="737" w:header="567" w:footer="284" w:gutter="0"/>
          <w:cols w:space="708"/>
          <w:docGrid w:linePitch="360"/>
        </w:sectPr>
      </w:pPr>
    </w:p>
    <w:p w14:paraId="3C0B1C0E" w14:textId="726DFFCC" w:rsidR="003E4E52" w:rsidRDefault="003E4E52" w:rsidP="003E4E52">
      <w:pPr>
        <w:pStyle w:val="Caption"/>
      </w:pPr>
      <w:r>
        <w:lastRenderedPageBreak/>
        <w:t xml:space="preserve">Table </w:t>
      </w:r>
      <w:r w:rsidR="00A67BE9">
        <w:fldChar w:fldCharType="begin"/>
      </w:r>
      <w:r w:rsidR="00A67BE9">
        <w:instrText xml:space="preserve"> STYLEREF 1 \s </w:instrText>
      </w:r>
      <w:r w:rsidR="00A67BE9">
        <w:fldChar w:fldCharType="separate"/>
      </w:r>
      <w:r w:rsidR="00C50B67">
        <w:rPr>
          <w:noProof/>
        </w:rPr>
        <w:t>6</w:t>
      </w:r>
      <w:r w:rsidR="00A67BE9">
        <w:rPr>
          <w:noProof/>
        </w:rPr>
        <w:fldChar w:fldCharType="end"/>
      </w:r>
      <w:r w:rsidR="0055333A">
        <w:t>.</w:t>
      </w:r>
      <w:r w:rsidR="00A67BE9">
        <w:fldChar w:fldCharType="begin"/>
      </w:r>
      <w:r w:rsidR="00A67BE9">
        <w:instrText xml:space="preserve"> SEQ Table \* ARABIC \s 1 </w:instrText>
      </w:r>
      <w:r w:rsidR="00A67BE9">
        <w:fldChar w:fldCharType="separate"/>
      </w:r>
      <w:r w:rsidR="00C50B67">
        <w:rPr>
          <w:noProof/>
        </w:rPr>
        <w:t>9</w:t>
      </w:r>
      <w:r w:rsidR="00A67BE9">
        <w:rPr>
          <w:noProof/>
        </w:rPr>
        <w:fldChar w:fldCharType="end"/>
      </w:r>
      <w:r>
        <w:t xml:space="preserve">: </w:t>
      </w:r>
      <w:r w:rsidRPr="00B879B7">
        <w:rPr>
          <w:rStyle w:val="Caption-notboldChar"/>
        </w:rPr>
        <w:t>NT MBS benefits paid by aggregated MBS categories of all participating sites (n=6)</w:t>
      </w:r>
    </w:p>
    <w:tbl>
      <w:tblPr>
        <w:tblStyle w:val="HMATableA7"/>
        <w:tblW w:w="3832" w:type="pct"/>
        <w:jc w:val="center"/>
        <w:tblLayout w:type="fixed"/>
        <w:tblLook w:val="04A0" w:firstRow="1" w:lastRow="0" w:firstColumn="1" w:lastColumn="0" w:noHBand="0" w:noVBand="1"/>
      </w:tblPr>
      <w:tblGrid>
        <w:gridCol w:w="3828"/>
        <w:gridCol w:w="1134"/>
        <w:gridCol w:w="1134"/>
        <w:gridCol w:w="1134"/>
        <w:gridCol w:w="1139"/>
        <w:gridCol w:w="1558"/>
        <w:gridCol w:w="1413"/>
      </w:tblGrid>
      <w:tr w:rsidR="001638F2" w:rsidRPr="003E4E52" w14:paraId="6014280C" w14:textId="77777777" w:rsidTr="008E70DE">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1B829A77" w14:textId="77777777" w:rsidR="001638F2" w:rsidRPr="003E4E52" w:rsidRDefault="001638F2" w:rsidP="001638F2">
            <w:pPr>
              <w:spacing w:after="160" w:line="259" w:lineRule="auto"/>
            </w:pPr>
            <w:r w:rsidRPr="003E4E52">
              <w:t>MBS Aggregated Categories</w:t>
            </w:r>
          </w:p>
        </w:tc>
        <w:tc>
          <w:tcPr>
            <w:tcW w:w="500" w:type="pct"/>
            <w:noWrap/>
          </w:tcPr>
          <w:p w14:paraId="7C6C7921"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 xml:space="preserve">Total claims for all sites </w:t>
            </w:r>
          </w:p>
        </w:tc>
        <w:tc>
          <w:tcPr>
            <w:tcW w:w="500" w:type="pct"/>
          </w:tcPr>
          <w:p w14:paraId="686FE624"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Percent of total for all sites</w:t>
            </w:r>
          </w:p>
        </w:tc>
        <w:tc>
          <w:tcPr>
            <w:tcW w:w="500" w:type="pct"/>
          </w:tcPr>
          <w:p w14:paraId="27DCD65C"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Mean claims per site ($)</w:t>
            </w:r>
          </w:p>
        </w:tc>
        <w:tc>
          <w:tcPr>
            <w:tcW w:w="502" w:type="pct"/>
          </w:tcPr>
          <w:p w14:paraId="5E1854BF"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Median claims, per site ($)</w:t>
            </w:r>
          </w:p>
        </w:tc>
        <w:tc>
          <w:tcPr>
            <w:tcW w:w="687" w:type="pct"/>
          </w:tcPr>
          <w:p w14:paraId="66780E9B"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Range of values, all sites (min and max)</w:t>
            </w:r>
          </w:p>
        </w:tc>
        <w:tc>
          <w:tcPr>
            <w:tcW w:w="623" w:type="pct"/>
          </w:tcPr>
          <w:p w14:paraId="26D54DBE" w14:textId="77777777" w:rsidR="001638F2" w:rsidRPr="003E4E52" w:rsidRDefault="001638F2" w:rsidP="001638F2">
            <w:pPr>
              <w:spacing w:after="160" w:line="259" w:lineRule="auto"/>
              <w:cnfStyle w:val="100000000000" w:firstRow="1" w:lastRow="0" w:firstColumn="0" w:lastColumn="0" w:oddVBand="0" w:evenVBand="0" w:oddHBand="0" w:evenHBand="0" w:firstRowFirstColumn="0" w:firstRowLastColumn="0" w:lastRowFirstColumn="0" w:lastRowLastColumn="0"/>
            </w:pPr>
            <w:r w:rsidRPr="003E4E52">
              <w:t xml:space="preserve">No. of sites with zero claims </w:t>
            </w:r>
          </w:p>
        </w:tc>
      </w:tr>
      <w:tr w:rsidR="001638F2" w:rsidRPr="001638F2" w14:paraId="18D2660D"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00512CC7" w14:textId="7D437294" w:rsidR="001638F2" w:rsidRPr="001638F2" w:rsidRDefault="001638F2" w:rsidP="001638F2">
            <w:pPr>
              <w:spacing w:after="160" w:line="259" w:lineRule="auto"/>
            </w:pPr>
            <w:r w:rsidRPr="001638F2">
              <w:t xml:space="preserve">1. Non-referred Attendance) – common items </w:t>
            </w:r>
            <w:r w:rsidRPr="001638F2">
              <w:rPr>
                <w:b w:val="0"/>
                <w:bCs/>
              </w:rPr>
              <w:t>(e.g. 3,</w:t>
            </w:r>
            <w:r w:rsidR="007719C4">
              <w:rPr>
                <w:b w:val="0"/>
                <w:bCs/>
              </w:rPr>
              <w:t xml:space="preserve"> </w:t>
            </w:r>
            <w:r w:rsidRPr="001638F2">
              <w:rPr>
                <w:b w:val="0"/>
                <w:bCs/>
              </w:rPr>
              <w:t>23, 36, 44)</w:t>
            </w:r>
          </w:p>
        </w:tc>
        <w:tc>
          <w:tcPr>
            <w:tcW w:w="500" w:type="pct"/>
            <w:noWrap/>
          </w:tcPr>
          <w:p w14:paraId="452F8EA8"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$1,219,613 </w:t>
            </w:r>
          </w:p>
        </w:tc>
        <w:tc>
          <w:tcPr>
            <w:tcW w:w="500" w:type="pct"/>
          </w:tcPr>
          <w:p w14:paraId="4C809DFF"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58.6%</w:t>
            </w:r>
          </w:p>
        </w:tc>
        <w:tc>
          <w:tcPr>
            <w:tcW w:w="500" w:type="pct"/>
          </w:tcPr>
          <w:p w14:paraId="7D3A1520"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$203,269 </w:t>
            </w:r>
          </w:p>
        </w:tc>
        <w:tc>
          <w:tcPr>
            <w:tcW w:w="502" w:type="pct"/>
          </w:tcPr>
          <w:p w14:paraId="3849767E"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$150,224 </w:t>
            </w:r>
          </w:p>
        </w:tc>
        <w:tc>
          <w:tcPr>
            <w:tcW w:w="687" w:type="pct"/>
          </w:tcPr>
          <w:p w14:paraId="7553A200"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$37,725–$565,240</w:t>
            </w:r>
          </w:p>
        </w:tc>
        <w:tc>
          <w:tcPr>
            <w:tcW w:w="623" w:type="pct"/>
          </w:tcPr>
          <w:p w14:paraId="247ADF39"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w:t>
            </w:r>
          </w:p>
        </w:tc>
      </w:tr>
      <w:tr w:rsidR="001638F2" w:rsidRPr="001638F2" w14:paraId="1E260F84"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5AA1BA1E" w14:textId="77777777" w:rsidR="001638F2" w:rsidRPr="001638F2" w:rsidRDefault="001638F2" w:rsidP="001638F2">
            <w:pPr>
              <w:spacing w:after="160" w:line="259" w:lineRule="auto"/>
            </w:pPr>
            <w:r w:rsidRPr="001638F2">
              <w:t>2. After-hours Non-referred Attendance</w:t>
            </w:r>
          </w:p>
        </w:tc>
        <w:tc>
          <w:tcPr>
            <w:tcW w:w="500" w:type="pct"/>
            <w:noWrap/>
          </w:tcPr>
          <w:p w14:paraId="096DEFFC"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$350,727 </w:t>
            </w:r>
          </w:p>
        </w:tc>
        <w:tc>
          <w:tcPr>
            <w:tcW w:w="500" w:type="pct"/>
          </w:tcPr>
          <w:p w14:paraId="599C5D4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16.8%</w:t>
            </w:r>
          </w:p>
        </w:tc>
        <w:tc>
          <w:tcPr>
            <w:tcW w:w="500" w:type="pct"/>
          </w:tcPr>
          <w:p w14:paraId="5EB3589D"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$58,454 </w:t>
            </w:r>
          </w:p>
        </w:tc>
        <w:tc>
          <w:tcPr>
            <w:tcW w:w="502" w:type="pct"/>
          </w:tcPr>
          <w:p w14:paraId="215B677D"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$337 </w:t>
            </w:r>
          </w:p>
        </w:tc>
        <w:tc>
          <w:tcPr>
            <w:tcW w:w="687" w:type="pct"/>
          </w:tcPr>
          <w:p w14:paraId="4A9DE1D4"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$0–$217,641</w:t>
            </w:r>
          </w:p>
        </w:tc>
        <w:tc>
          <w:tcPr>
            <w:tcW w:w="623" w:type="pct"/>
          </w:tcPr>
          <w:p w14:paraId="25ED5D6E"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w:t>
            </w:r>
          </w:p>
        </w:tc>
      </w:tr>
      <w:tr w:rsidR="001638F2" w:rsidRPr="001638F2" w14:paraId="2C3EFC98"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tcPr>
          <w:p w14:paraId="352E0A87" w14:textId="77777777" w:rsidR="001638F2" w:rsidRPr="001638F2" w:rsidRDefault="001638F2" w:rsidP="001638F2">
            <w:pPr>
              <w:spacing w:after="160" w:line="259" w:lineRule="auto"/>
            </w:pPr>
            <w:r w:rsidRPr="001638F2">
              <w:t>3. Assessment related items, including disease management and other primary care professionals (sub-total)</w:t>
            </w:r>
          </w:p>
        </w:tc>
        <w:tc>
          <w:tcPr>
            <w:tcW w:w="500" w:type="pct"/>
            <w:noWrap/>
          </w:tcPr>
          <w:p w14:paraId="4256B323"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$191,860</w:t>
            </w:r>
          </w:p>
        </w:tc>
        <w:tc>
          <w:tcPr>
            <w:tcW w:w="500" w:type="pct"/>
          </w:tcPr>
          <w:p w14:paraId="1323143E"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9.3%</w:t>
            </w:r>
          </w:p>
        </w:tc>
        <w:tc>
          <w:tcPr>
            <w:tcW w:w="500" w:type="pct"/>
          </w:tcPr>
          <w:p w14:paraId="43CC4FC9"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$5,329</w:t>
            </w:r>
          </w:p>
        </w:tc>
        <w:tc>
          <w:tcPr>
            <w:tcW w:w="502" w:type="pct"/>
          </w:tcPr>
          <w:p w14:paraId="101DB3E1"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$154</w:t>
            </w:r>
          </w:p>
        </w:tc>
        <w:tc>
          <w:tcPr>
            <w:tcW w:w="687" w:type="pct"/>
          </w:tcPr>
          <w:p w14:paraId="5E8A7AC1"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$0–$32,656</w:t>
            </w:r>
          </w:p>
        </w:tc>
        <w:tc>
          <w:tcPr>
            <w:tcW w:w="623" w:type="pct"/>
          </w:tcPr>
          <w:p w14:paraId="01942AEA"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r>
      <w:tr w:rsidR="001638F2" w:rsidRPr="001638F2" w14:paraId="19D5B3D3"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076D25CB" w14:textId="77777777" w:rsidR="001638F2" w:rsidRPr="001638F2" w:rsidRDefault="001638F2" w:rsidP="001638F2">
            <w:pPr>
              <w:spacing w:after="160" w:line="259" w:lineRule="auto"/>
              <w:ind w:left="720"/>
              <w:rPr>
                <w:b w:val="0"/>
                <w:bCs/>
                <w:i/>
                <w:iCs/>
              </w:rPr>
            </w:pPr>
            <w:r w:rsidRPr="001638F2">
              <w:rPr>
                <w:b w:val="0"/>
                <w:bCs/>
                <w:i/>
                <w:iCs/>
              </w:rPr>
              <w:t>3a. A14 (Health Assessments)</w:t>
            </w:r>
          </w:p>
        </w:tc>
        <w:tc>
          <w:tcPr>
            <w:tcW w:w="500" w:type="pct"/>
            <w:noWrap/>
          </w:tcPr>
          <w:p w14:paraId="014FA22C"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$56,785 </w:t>
            </w:r>
          </w:p>
        </w:tc>
        <w:tc>
          <w:tcPr>
            <w:tcW w:w="500" w:type="pct"/>
          </w:tcPr>
          <w:p w14:paraId="670D1D6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2.7%</w:t>
            </w:r>
          </w:p>
        </w:tc>
        <w:tc>
          <w:tcPr>
            <w:tcW w:w="500" w:type="pct"/>
          </w:tcPr>
          <w:p w14:paraId="7D2DEF70"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$9,464 </w:t>
            </w:r>
          </w:p>
        </w:tc>
        <w:tc>
          <w:tcPr>
            <w:tcW w:w="502" w:type="pct"/>
          </w:tcPr>
          <w:p w14:paraId="6647A8C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$7,329 </w:t>
            </w:r>
          </w:p>
        </w:tc>
        <w:tc>
          <w:tcPr>
            <w:tcW w:w="687" w:type="pct"/>
          </w:tcPr>
          <w:p w14:paraId="6622B554"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$0–$32,656</w:t>
            </w:r>
          </w:p>
        </w:tc>
        <w:tc>
          <w:tcPr>
            <w:tcW w:w="623" w:type="pct"/>
          </w:tcPr>
          <w:p w14:paraId="5C934BF4"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w:t>
            </w:r>
          </w:p>
        </w:tc>
      </w:tr>
      <w:tr w:rsidR="001638F2" w:rsidRPr="001638F2" w14:paraId="6A8D5315"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36605382" w14:textId="77777777" w:rsidR="001638F2" w:rsidRPr="001638F2" w:rsidRDefault="001638F2" w:rsidP="001638F2">
            <w:pPr>
              <w:spacing w:after="160" w:line="259" w:lineRule="auto"/>
              <w:ind w:left="720"/>
              <w:rPr>
                <w:b w:val="0"/>
                <w:bCs/>
                <w:i/>
                <w:iCs/>
              </w:rPr>
            </w:pPr>
            <w:r w:rsidRPr="001638F2">
              <w:rPr>
                <w:b w:val="0"/>
                <w:bCs/>
                <w:i/>
                <w:iCs/>
              </w:rPr>
              <w:t>3b. A15 (GP care plans)</w:t>
            </w:r>
          </w:p>
        </w:tc>
        <w:tc>
          <w:tcPr>
            <w:tcW w:w="500" w:type="pct"/>
            <w:noWrap/>
          </w:tcPr>
          <w:p w14:paraId="2870825C"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$90,973 </w:t>
            </w:r>
          </w:p>
        </w:tc>
        <w:tc>
          <w:tcPr>
            <w:tcW w:w="500" w:type="pct"/>
          </w:tcPr>
          <w:p w14:paraId="7F45DEFB"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4.4%</w:t>
            </w:r>
          </w:p>
        </w:tc>
        <w:tc>
          <w:tcPr>
            <w:tcW w:w="500" w:type="pct"/>
          </w:tcPr>
          <w:p w14:paraId="3688420A"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$15,162 </w:t>
            </w:r>
          </w:p>
        </w:tc>
        <w:tc>
          <w:tcPr>
            <w:tcW w:w="502" w:type="pct"/>
          </w:tcPr>
          <w:p w14:paraId="245A410B"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$17,193 </w:t>
            </w:r>
          </w:p>
        </w:tc>
        <w:tc>
          <w:tcPr>
            <w:tcW w:w="687" w:type="pct"/>
          </w:tcPr>
          <w:p w14:paraId="357DFA72"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$0–$29,456</w:t>
            </w:r>
          </w:p>
        </w:tc>
        <w:tc>
          <w:tcPr>
            <w:tcW w:w="623" w:type="pct"/>
          </w:tcPr>
          <w:p w14:paraId="3CFDAAC6"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2</w:t>
            </w:r>
          </w:p>
        </w:tc>
      </w:tr>
      <w:tr w:rsidR="001638F2" w:rsidRPr="001638F2" w14:paraId="52BBAACA"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tcPr>
          <w:p w14:paraId="4AB92EB6" w14:textId="77777777" w:rsidR="001638F2" w:rsidRPr="001638F2" w:rsidRDefault="001638F2" w:rsidP="001638F2">
            <w:pPr>
              <w:spacing w:after="160" w:line="259" w:lineRule="auto"/>
              <w:ind w:left="720"/>
              <w:rPr>
                <w:b w:val="0"/>
                <w:bCs/>
                <w:i/>
                <w:iCs/>
              </w:rPr>
            </w:pPr>
            <w:r w:rsidRPr="001638F2">
              <w:rPr>
                <w:b w:val="0"/>
                <w:bCs/>
                <w:i/>
                <w:iCs/>
              </w:rPr>
              <w:t>3c. A20 (GP mental health treatment)</w:t>
            </w:r>
          </w:p>
        </w:tc>
        <w:tc>
          <w:tcPr>
            <w:tcW w:w="500" w:type="pct"/>
            <w:noWrap/>
          </w:tcPr>
          <w:p w14:paraId="3D41CD0A"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$18,857 </w:t>
            </w:r>
          </w:p>
        </w:tc>
        <w:tc>
          <w:tcPr>
            <w:tcW w:w="500" w:type="pct"/>
          </w:tcPr>
          <w:p w14:paraId="2063D911"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0.9%</w:t>
            </w:r>
          </w:p>
        </w:tc>
        <w:tc>
          <w:tcPr>
            <w:tcW w:w="500" w:type="pct"/>
          </w:tcPr>
          <w:p w14:paraId="318B3240"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$3,143 </w:t>
            </w:r>
          </w:p>
        </w:tc>
        <w:tc>
          <w:tcPr>
            <w:tcW w:w="502" w:type="pct"/>
          </w:tcPr>
          <w:p w14:paraId="44138942"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$2,781 </w:t>
            </w:r>
          </w:p>
        </w:tc>
        <w:tc>
          <w:tcPr>
            <w:tcW w:w="687" w:type="pct"/>
          </w:tcPr>
          <w:p w14:paraId="3C8571CF"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$93–$6,480</w:t>
            </w:r>
          </w:p>
        </w:tc>
        <w:tc>
          <w:tcPr>
            <w:tcW w:w="623" w:type="pct"/>
          </w:tcPr>
          <w:p w14:paraId="666BDAF4"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w:t>
            </w:r>
          </w:p>
        </w:tc>
      </w:tr>
      <w:tr w:rsidR="001638F2" w:rsidRPr="001638F2" w14:paraId="2968D30F"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0493F3A8" w14:textId="77777777" w:rsidR="001638F2" w:rsidRPr="001638F2" w:rsidRDefault="001638F2" w:rsidP="001638F2">
            <w:pPr>
              <w:spacing w:after="160" w:line="259" w:lineRule="auto"/>
              <w:ind w:left="720"/>
              <w:rPr>
                <w:b w:val="0"/>
                <w:bCs/>
                <w:i/>
                <w:iCs/>
              </w:rPr>
            </w:pPr>
            <w:r w:rsidRPr="001638F2">
              <w:rPr>
                <w:b w:val="0"/>
                <w:bCs/>
                <w:i/>
                <w:iCs/>
              </w:rPr>
              <w:t>3d. Nurse Practitioner</w:t>
            </w:r>
          </w:p>
        </w:tc>
        <w:tc>
          <w:tcPr>
            <w:tcW w:w="500" w:type="pct"/>
            <w:noWrap/>
          </w:tcPr>
          <w:p w14:paraId="3AF73991"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$1,221 </w:t>
            </w:r>
          </w:p>
        </w:tc>
        <w:tc>
          <w:tcPr>
            <w:tcW w:w="500" w:type="pct"/>
          </w:tcPr>
          <w:p w14:paraId="396838BB"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w:t>
            </w:r>
          </w:p>
        </w:tc>
        <w:tc>
          <w:tcPr>
            <w:tcW w:w="500" w:type="pct"/>
          </w:tcPr>
          <w:p w14:paraId="6E553B9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$203 </w:t>
            </w:r>
          </w:p>
        </w:tc>
        <w:tc>
          <w:tcPr>
            <w:tcW w:w="502" w:type="pct"/>
          </w:tcPr>
          <w:p w14:paraId="56DC1201" w14:textId="2CA1CB49"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687" w:type="pct"/>
          </w:tcPr>
          <w:p w14:paraId="53AB9DD5"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$0–$1,221</w:t>
            </w:r>
          </w:p>
        </w:tc>
        <w:tc>
          <w:tcPr>
            <w:tcW w:w="623" w:type="pct"/>
          </w:tcPr>
          <w:p w14:paraId="79D2DCAD"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5</w:t>
            </w:r>
          </w:p>
        </w:tc>
      </w:tr>
      <w:tr w:rsidR="001638F2" w:rsidRPr="001638F2" w14:paraId="1EE18C08"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tcPr>
          <w:p w14:paraId="3575A3D1" w14:textId="77777777" w:rsidR="001638F2" w:rsidRPr="001638F2" w:rsidRDefault="001638F2" w:rsidP="001638F2">
            <w:pPr>
              <w:spacing w:after="160" w:line="259" w:lineRule="auto"/>
              <w:ind w:left="720"/>
              <w:rPr>
                <w:b w:val="0"/>
                <w:bCs/>
                <w:i/>
                <w:iCs/>
              </w:rPr>
            </w:pPr>
            <w:r w:rsidRPr="001638F2">
              <w:rPr>
                <w:b w:val="0"/>
                <w:bCs/>
                <w:i/>
                <w:iCs/>
              </w:rPr>
              <w:t>3e. Practice Nurse</w:t>
            </w:r>
          </w:p>
        </w:tc>
        <w:tc>
          <w:tcPr>
            <w:tcW w:w="500" w:type="pct"/>
            <w:noWrap/>
          </w:tcPr>
          <w:p w14:paraId="7D1A59B2"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$24,024 </w:t>
            </w:r>
          </w:p>
        </w:tc>
        <w:tc>
          <w:tcPr>
            <w:tcW w:w="500" w:type="pct"/>
          </w:tcPr>
          <w:p w14:paraId="76EFFA85"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1.2%</w:t>
            </w:r>
          </w:p>
        </w:tc>
        <w:tc>
          <w:tcPr>
            <w:tcW w:w="500" w:type="pct"/>
          </w:tcPr>
          <w:p w14:paraId="6F6AC011"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$4,004 </w:t>
            </w:r>
          </w:p>
        </w:tc>
        <w:tc>
          <w:tcPr>
            <w:tcW w:w="502" w:type="pct"/>
          </w:tcPr>
          <w:p w14:paraId="6D5740D6"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$1,764 </w:t>
            </w:r>
          </w:p>
        </w:tc>
        <w:tc>
          <w:tcPr>
            <w:tcW w:w="687" w:type="pct"/>
          </w:tcPr>
          <w:p w14:paraId="475F4AE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$0–$13,740</w:t>
            </w:r>
          </w:p>
        </w:tc>
        <w:tc>
          <w:tcPr>
            <w:tcW w:w="623" w:type="pct"/>
          </w:tcPr>
          <w:p w14:paraId="2DC94ED2"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w:t>
            </w:r>
          </w:p>
        </w:tc>
      </w:tr>
      <w:tr w:rsidR="001638F2" w:rsidRPr="001638F2" w14:paraId="0235BAFF"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tcPr>
          <w:p w14:paraId="4DC5DC28" w14:textId="77777777" w:rsidR="001638F2" w:rsidRPr="001638F2" w:rsidRDefault="001638F2" w:rsidP="001638F2">
            <w:pPr>
              <w:spacing w:after="160" w:line="259" w:lineRule="auto"/>
              <w:ind w:left="720"/>
              <w:rPr>
                <w:b w:val="0"/>
                <w:bCs/>
                <w:i/>
                <w:iCs/>
              </w:rPr>
            </w:pPr>
            <w:r w:rsidRPr="001638F2">
              <w:rPr>
                <w:b w:val="0"/>
                <w:bCs/>
                <w:i/>
                <w:iCs/>
              </w:rPr>
              <w:t>3f. Allied Health</w:t>
            </w:r>
          </w:p>
        </w:tc>
        <w:tc>
          <w:tcPr>
            <w:tcW w:w="500" w:type="pct"/>
            <w:noWrap/>
          </w:tcPr>
          <w:p w14:paraId="3A9BCEC9" w14:textId="6C634E72"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$0</w:t>
            </w:r>
            <w:r w:rsidR="009A4F03">
              <w:rPr>
                <w:rFonts w:cs="Calibri"/>
                <w:color w:val="000000"/>
                <w:szCs w:val="20"/>
              </w:rPr>
              <w:t xml:space="preserve"> </w:t>
            </w:r>
          </w:p>
        </w:tc>
        <w:tc>
          <w:tcPr>
            <w:tcW w:w="500" w:type="pct"/>
          </w:tcPr>
          <w:p w14:paraId="0658D036"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00" w:type="pct"/>
          </w:tcPr>
          <w:p w14:paraId="18385D45" w14:textId="083D040B"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02" w:type="pct"/>
          </w:tcPr>
          <w:p w14:paraId="455ED5A4" w14:textId="11788059"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687" w:type="pct"/>
          </w:tcPr>
          <w:p w14:paraId="6236C98C"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623" w:type="pct"/>
          </w:tcPr>
          <w:p w14:paraId="6ADED8F2"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6</w:t>
            </w:r>
          </w:p>
        </w:tc>
      </w:tr>
      <w:tr w:rsidR="001638F2" w:rsidRPr="001638F2" w14:paraId="162E289B"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tcPr>
          <w:p w14:paraId="62537E82" w14:textId="77777777" w:rsidR="001638F2" w:rsidRPr="001638F2" w:rsidRDefault="001638F2" w:rsidP="001638F2">
            <w:pPr>
              <w:spacing w:after="160" w:line="259" w:lineRule="auto"/>
            </w:pPr>
            <w:r w:rsidRPr="001638F2">
              <w:rPr>
                <w:bCs/>
              </w:rPr>
              <w:t>4. Other MBS items (sub-total)</w:t>
            </w:r>
          </w:p>
        </w:tc>
        <w:tc>
          <w:tcPr>
            <w:tcW w:w="500" w:type="pct"/>
            <w:noWrap/>
          </w:tcPr>
          <w:p w14:paraId="38293212"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$319,731</w:t>
            </w:r>
          </w:p>
        </w:tc>
        <w:tc>
          <w:tcPr>
            <w:tcW w:w="500" w:type="pct"/>
          </w:tcPr>
          <w:p w14:paraId="1F72BC26"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15.4%</w:t>
            </w:r>
          </w:p>
        </w:tc>
        <w:tc>
          <w:tcPr>
            <w:tcW w:w="500" w:type="pct"/>
          </w:tcPr>
          <w:p w14:paraId="0FA8CEF5"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$7,613</w:t>
            </w:r>
          </w:p>
        </w:tc>
        <w:tc>
          <w:tcPr>
            <w:tcW w:w="502" w:type="pct"/>
          </w:tcPr>
          <w:p w14:paraId="5A18359D"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$1,318</w:t>
            </w:r>
          </w:p>
        </w:tc>
        <w:tc>
          <w:tcPr>
            <w:tcW w:w="687" w:type="pct"/>
          </w:tcPr>
          <w:p w14:paraId="6DCDB31B"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$0–$74,325</w:t>
            </w:r>
          </w:p>
        </w:tc>
        <w:tc>
          <w:tcPr>
            <w:tcW w:w="623" w:type="pct"/>
          </w:tcPr>
          <w:p w14:paraId="075D024E"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r w:rsidR="001638F2" w:rsidRPr="001638F2" w14:paraId="0F109755"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tcPr>
          <w:p w14:paraId="03D8739E" w14:textId="77777777" w:rsidR="001638F2" w:rsidRPr="001638F2" w:rsidRDefault="001638F2" w:rsidP="001638F2">
            <w:pPr>
              <w:spacing w:after="160" w:line="259" w:lineRule="auto"/>
              <w:ind w:left="720"/>
              <w:rPr>
                <w:b w:val="0"/>
                <w:bCs/>
                <w:i/>
                <w:iCs/>
              </w:rPr>
            </w:pPr>
            <w:r w:rsidRPr="001638F2">
              <w:rPr>
                <w:b w:val="0"/>
                <w:bCs/>
                <w:i/>
                <w:iCs/>
              </w:rPr>
              <w:t>4a. Anaesthetics</w:t>
            </w:r>
          </w:p>
        </w:tc>
        <w:tc>
          <w:tcPr>
            <w:tcW w:w="500" w:type="pct"/>
            <w:noWrap/>
          </w:tcPr>
          <w:p w14:paraId="21D81572"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$800 </w:t>
            </w:r>
          </w:p>
        </w:tc>
        <w:tc>
          <w:tcPr>
            <w:tcW w:w="500" w:type="pct"/>
          </w:tcPr>
          <w:p w14:paraId="79BB6DDC"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00" w:type="pct"/>
          </w:tcPr>
          <w:p w14:paraId="26727AA6"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$133 </w:t>
            </w:r>
          </w:p>
        </w:tc>
        <w:tc>
          <w:tcPr>
            <w:tcW w:w="502" w:type="pct"/>
          </w:tcPr>
          <w:p w14:paraId="10D7F12C" w14:textId="7DD48A39"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687" w:type="pct"/>
          </w:tcPr>
          <w:p w14:paraId="474BE7AC"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$0–$585</w:t>
            </w:r>
          </w:p>
        </w:tc>
        <w:tc>
          <w:tcPr>
            <w:tcW w:w="623" w:type="pct"/>
          </w:tcPr>
          <w:p w14:paraId="46037E49"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4</w:t>
            </w:r>
          </w:p>
        </w:tc>
      </w:tr>
      <w:tr w:rsidR="001638F2" w:rsidRPr="001638F2" w14:paraId="159F80DB"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tcPr>
          <w:p w14:paraId="0A8A3F12" w14:textId="77777777" w:rsidR="001638F2" w:rsidRPr="001638F2" w:rsidRDefault="001638F2" w:rsidP="001638F2">
            <w:pPr>
              <w:spacing w:after="160" w:line="259" w:lineRule="auto"/>
              <w:ind w:left="720"/>
              <w:rPr>
                <w:b w:val="0"/>
                <w:bCs/>
                <w:i/>
                <w:iCs/>
              </w:rPr>
            </w:pPr>
            <w:r w:rsidRPr="001638F2">
              <w:rPr>
                <w:b w:val="0"/>
                <w:bCs/>
                <w:i/>
                <w:iCs/>
              </w:rPr>
              <w:t>4b. Pathology</w:t>
            </w:r>
          </w:p>
        </w:tc>
        <w:tc>
          <w:tcPr>
            <w:tcW w:w="500" w:type="pct"/>
            <w:noWrap/>
          </w:tcPr>
          <w:p w14:paraId="74A248F0"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$36,764 </w:t>
            </w:r>
          </w:p>
        </w:tc>
        <w:tc>
          <w:tcPr>
            <w:tcW w:w="500" w:type="pct"/>
          </w:tcPr>
          <w:p w14:paraId="10D51042"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1.8%</w:t>
            </w:r>
          </w:p>
        </w:tc>
        <w:tc>
          <w:tcPr>
            <w:tcW w:w="500" w:type="pct"/>
          </w:tcPr>
          <w:p w14:paraId="58DD6B33"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$6,127 </w:t>
            </w:r>
          </w:p>
        </w:tc>
        <w:tc>
          <w:tcPr>
            <w:tcW w:w="502" w:type="pct"/>
          </w:tcPr>
          <w:p w14:paraId="41665859"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$7,256 </w:t>
            </w:r>
          </w:p>
        </w:tc>
        <w:tc>
          <w:tcPr>
            <w:tcW w:w="687" w:type="pct"/>
          </w:tcPr>
          <w:p w14:paraId="0E58197D"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$559–$10,064</w:t>
            </w:r>
          </w:p>
        </w:tc>
        <w:tc>
          <w:tcPr>
            <w:tcW w:w="623" w:type="pct"/>
          </w:tcPr>
          <w:p w14:paraId="64D68B01"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w:t>
            </w:r>
          </w:p>
        </w:tc>
      </w:tr>
      <w:tr w:rsidR="001638F2" w:rsidRPr="001638F2" w14:paraId="484B629F"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231EFCB8" w14:textId="77777777" w:rsidR="001638F2" w:rsidRPr="001638F2" w:rsidRDefault="001638F2" w:rsidP="001638F2">
            <w:pPr>
              <w:spacing w:after="160" w:line="259" w:lineRule="auto"/>
              <w:ind w:left="720"/>
              <w:rPr>
                <w:b w:val="0"/>
                <w:bCs/>
                <w:i/>
                <w:iCs/>
              </w:rPr>
            </w:pPr>
            <w:r w:rsidRPr="001638F2">
              <w:rPr>
                <w:b w:val="0"/>
                <w:bCs/>
                <w:i/>
                <w:iCs/>
              </w:rPr>
              <w:t>4c. Diagnostic Imaging</w:t>
            </w:r>
          </w:p>
        </w:tc>
        <w:tc>
          <w:tcPr>
            <w:tcW w:w="500" w:type="pct"/>
            <w:noWrap/>
          </w:tcPr>
          <w:p w14:paraId="76D1EA4B" w14:textId="4FBFDE49"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$0</w:t>
            </w:r>
            <w:r w:rsidR="009A4F03">
              <w:rPr>
                <w:rFonts w:cs="Calibri"/>
                <w:color w:val="000000"/>
                <w:szCs w:val="20"/>
              </w:rPr>
              <w:t xml:space="preserve"> </w:t>
            </w:r>
          </w:p>
        </w:tc>
        <w:tc>
          <w:tcPr>
            <w:tcW w:w="500" w:type="pct"/>
          </w:tcPr>
          <w:p w14:paraId="6E163C13"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500" w:type="pct"/>
          </w:tcPr>
          <w:p w14:paraId="660B966B" w14:textId="62575ECE"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502" w:type="pct"/>
          </w:tcPr>
          <w:p w14:paraId="659667E7" w14:textId="54D810A9"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687" w:type="pct"/>
          </w:tcPr>
          <w:p w14:paraId="561CEB5F"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$0–$0</w:t>
            </w:r>
          </w:p>
        </w:tc>
        <w:tc>
          <w:tcPr>
            <w:tcW w:w="623" w:type="pct"/>
          </w:tcPr>
          <w:p w14:paraId="2E7E8F4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6</w:t>
            </w:r>
          </w:p>
        </w:tc>
      </w:tr>
      <w:tr w:rsidR="001638F2" w:rsidRPr="001638F2" w14:paraId="0D9F255B"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0F1340B6" w14:textId="77777777" w:rsidR="001638F2" w:rsidRPr="001638F2" w:rsidRDefault="001638F2" w:rsidP="001638F2">
            <w:pPr>
              <w:spacing w:after="160" w:line="259" w:lineRule="auto"/>
              <w:ind w:left="720"/>
              <w:rPr>
                <w:b w:val="0"/>
                <w:bCs/>
                <w:i/>
                <w:iCs/>
              </w:rPr>
            </w:pPr>
            <w:r w:rsidRPr="001638F2">
              <w:rPr>
                <w:b w:val="0"/>
                <w:bCs/>
                <w:i/>
                <w:iCs/>
              </w:rPr>
              <w:t>4d. Operations</w:t>
            </w:r>
          </w:p>
        </w:tc>
        <w:tc>
          <w:tcPr>
            <w:tcW w:w="500" w:type="pct"/>
            <w:noWrap/>
          </w:tcPr>
          <w:p w14:paraId="70A63C83"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$53,359 </w:t>
            </w:r>
          </w:p>
        </w:tc>
        <w:tc>
          <w:tcPr>
            <w:tcW w:w="500" w:type="pct"/>
          </w:tcPr>
          <w:p w14:paraId="346C68D9"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2.6%</w:t>
            </w:r>
          </w:p>
        </w:tc>
        <w:tc>
          <w:tcPr>
            <w:tcW w:w="500" w:type="pct"/>
          </w:tcPr>
          <w:p w14:paraId="3DFF1F07"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$8,893 </w:t>
            </w:r>
          </w:p>
        </w:tc>
        <w:tc>
          <w:tcPr>
            <w:tcW w:w="502" w:type="pct"/>
          </w:tcPr>
          <w:p w14:paraId="7F563358"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$2,275 </w:t>
            </w:r>
          </w:p>
        </w:tc>
        <w:tc>
          <w:tcPr>
            <w:tcW w:w="687" w:type="pct"/>
          </w:tcPr>
          <w:p w14:paraId="28FCB513"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$1,034–$25,771</w:t>
            </w:r>
          </w:p>
        </w:tc>
        <w:tc>
          <w:tcPr>
            <w:tcW w:w="623" w:type="pct"/>
          </w:tcPr>
          <w:p w14:paraId="01BB685B"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w:t>
            </w:r>
          </w:p>
        </w:tc>
      </w:tr>
      <w:tr w:rsidR="001638F2" w:rsidRPr="001638F2" w14:paraId="3869AF9B"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2D68D3AD" w14:textId="77777777" w:rsidR="001638F2" w:rsidRPr="001638F2" w:rsidRDefault="001638F2" w:rsidP="001638F2">
            <w:pPr>
              <w:spacing w:after="160" w:line="259" w:lineRule="auto"/>
              <w:ind w:left="720"/>
              <w:rPr>
                <w:b w:val="0"/>
                <w:bCs/>
                <w:i/>
                <w:iCs/>
              </w:rPr>
            </w:pPr>
            <w:r w:rsidRPr="001638F2">
              <w:rPr>
                <w:b w:val="0"/>
                <w:bCs/>
                <w:i/>
                <w:iCs/>
              </w:rPr>
              <w:t>4e. Obstetrics</w:t>
            </w:r>
          </w:p>
        </w:tc>
        <w:tc>
          <w:tcPr>
            <w:tcW w:w="500" w:type="pct"/>
            <w:noWrap/>
          </w:tcPr>
          <w:p w14:paraId="298D667F" w14:textId="77777777" w:rsidR="001638F2" w:rsidRPr="001638F2" w:rsidRDefault="001638F2" w:rsidP="001638F2">
            <w:pPr>
              <w:spacing w:after="0"/>
              <w:jc w:val="right"/>
              <w:cnfStyle w:val="000000000000" w:firstRow="0" w:lastRow="0" w:firstColumn="0" w:lastColumn="0" w:oddVBand="0" w:evenVBand="0" w:oddHBand="0" w:evenHBand="0" w:firstRowFirstColumn="0" w:firstRowLastColumn="0" w:lastRowFirstColumn="0" w:lastRowLastColumn="0"/>
              <w:rPr>
                <w:rFonts w:cs="Calibri"/>
                <w:color w:val="000000"/>
                <w:spacing w:val="0"/>
                <w:szCs w:val="20"/>
              </w:rPr>
            </w:pPr>
            <w:r w:rsidRPr="001638F2">
              <w:rPr>
                <w:rFonts w:cs="Calibri"/>
                <w:color w:val="000000"/>
                <w:szCs w:val="20"/>
              </w:rPr>
              <w:t xml:space="preserve"> $24,170 </w:t>
            </w:r>
          </w:p>
        </w:tc>
        <w:tc>
          <w:tcPr>
            <w:tcW w:w="500" w:type="pct"/>
          </w:tcPr>
          <w:p w14:paraId="30A1D70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1.2%</w:t>
            </w:r>
          </w:p>
        </w:tc>
        <w:tc>
          <w:tcPr>
            <w:tcW w:w="500" w:type="pct"/>
          </w:tcPr>
          <w:p w14:paraId="4BC2E68F"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$4,028 </w:t>
            </w:r>
          </w:p>
        </w:tc>
        <w:tc>
          <w:tcPr>
            <w:tcW w:w="502" w:type="pct"/>
          </w:tcPr>
          <w:p w14:paraId="0F13CC93"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$1,648 </w:t>
            </w:r>
          </w:p>
        </w:tc>
        <w:tc>
          <w:tcPr>
            <w:tcW w:w="687" w:type="pct"/>
          </w:tcPr>
          <w:p w14:paraId="059BE7F7"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$1,068–$15,081</w:t>
            </w:r>
          </w:p>
        </w:tc>
        <w:tc>
          <w:tcPr>
            <w:tcW w:w="623" w:type="pct"/>
          </w:tcPr>
          <w:p w14:paraId="491EA9EC"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w:t>
            </w:r>
          </w:p>
        </w:tc>
      </w:tr>
      <w:tr w:rsidR="001638F2" w:rsidRPr="001638F2" w14:paraId="6CD94585"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4982A43A" w14:textId="77777777" w:rsidR="001638F2" w:rsidRPr="001638F2" w:rsidRDefault="001638F2" w:rsidP="001638F2">
            <w:pPr>
              <w:spacing w:after="160" w:line="259" w:lineRule="auto"/>
              <w:ind w:left="720"/>
              <w:rPr>
                <w:b w:val="0"/>
                <w:bCs/>
                <w:i/>
                <w:iCs/>
              </w:rPr>
            </w:pPr>
            <w:r w:rsidRPr="001638F2">
              <w:rPr>
                <w:b w:val="0"/>
                <w:bCs/>
                <w:i/>
                <w:iCs/>
              </w:rPr>
              <w:t>4f. Specialist Services</w:t>
            </w:r>
          </w:p>
        </w:tc>
        <w:tc>
          <w:tcPr>
            <w:tcW w:w="500" w:type="pct"/>
            <w:noWrap/>
          </w:tcPr>
          <w:p w14:paraId="33E31385"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$10,721 </w:t>
            </w:r>
          </w:p>
        </w:tc>
        <w:tc>
          <w:tcPr>
            <w:tcW w:w="500" w:type="pct"/>
          </w:tcPr>
          <w:p w14:paraId="2970B5FA"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0.5%</w:t>
            </w:r>
          </w:p>
        </w:tc>
        <w:tc>
          <w:tcPr>
            <w:tcW w:w="500" w:type="pct"/>
          </w:tcPr>
          <w:p w14:paraId="6401F76F"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$1,787 </w:t>
            </w:r>
          </w:p>
        </w:tc>
        <w:tc>
          <w:tcPr>
            <w:tcW w:w="502" w:type="pct"/>
          </w:tcPr>
          <w:p w14:paraId="3A7E3F55" w14:textId="33955E4A"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 $0</w:t>
            </w:r>
            <w:r w:rsidR="009A4F03">
              <w:rPr>
                <w:rFonts w:cs="Calibri"/>
                <w:color w:val="000000"/>
                <w:szCs w:val="20"/>
              </w:rPr>
              <w:t xml:space="preserve"> </w:t>
            </w:r>
          </w:p>
        </w:tc>
        <w:tc>
          <w:tcPr>
            <w:tcW w:w="687" w:type="pct"/>
          </w:tcPr>
          <w:p w14:paraId="185069D6"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$0–$10,382</w:t>
            </w:r>
          </w:p>
        </w:tc>
        <w:tc>
          <w:tcPr>
            <w:tcW w:w="623" w:type="pct"/>
          </w:tcPr>
          <w:p w14:paraId="5FF8F4EE"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4</w:t>
            </w:r>
          </w:p>
        </w:tc>
      </w:tr>
      <w:tr w:rsidR="001638F2" w:rsidRPr="001638F2" w14:paraId="13357A36" w14:textId="77777777" w:rsidTr="008E70DE">
        <w:trPr>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664CF135" w14:textId="77777777" w:rsidR="001638F2" w:rsidRPr="001638F2" w:rsidRDefault="001638F2" w:rsidP="001638F2">
            <w:pPr>
              <w:spacing w:after="160" w:line="259" w:lineRule="auto"/>
              <w:ind w:left="720"/>
              <w:rPr>
                <w:b w:val="0"/>
                <w:bCs/>
                <w:i/>
                <w:iCs/>
              </w:rPr>
            </w:pPr>
            <w:r w:rsidRPr="001638F2">
              <w:rPr>
                <w:b w:val="0"/>
                <w:bCs/>
                <w:i/>
                <w:iCs/>
              </w:rPr>
              <w:t>4g. Other MBS</w:t>
            </w:r>
          </w:p>
        </w:tc>
        <w:tc>
          <w:tcPr>
            <w:tcW w:w="500" w:type="pct"/>
            <w:noWrap/>
          </w:tcPr>
          <w:p w14:paraId="30CE5BB1"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szCs w:val="20"/>
              </w:rPr>
            </w:pPr>
            <w:r w:rsidRPr="001638F2">
              <w:rPr>
                <w:rFonts w:cs="Calibri"/>
                <w:color w:val="000000"/>
                <w:szCs w:val="20"/>
              </w:rPr>
              <w:t xml:space="preserve"> $193,917 </w:t>
            </w:r>
          </w:p>
        </w:tc>
        <w:tc>
          <w:tcPr>
            <w:tcW w:w="500" w:type="pct"/>
          </w:tcPr>
          <w:p w14:paraId="77A05C2E"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9.3%</w:t>
            </w:r>
          </w:p>
        </w:tc>
        <w:tc>
          <w:tcPr>
            <w:tcW w:w="500" w:type="pct"/>
          </w:tcPr>
          <w:p w14:paraId="5DFD4A78"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 $32,320 </w:t>
            </w:r>
          </w:p>
        </w:tc>
        <w:tc>
          <w:tcPr>
            <w:tcW w:w="502" w:type="pct"/>
          </w:tcPr>
          <w:p w14:paraId="591EBDE0"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 xml:space="preserve">$22,869 </w:t>
            </w:r>
          </w:p>
        </w:tc>
        <w:tc>
          <w:tcPr>
            <w:tcW w:w="687" w:type="pct"/>
          </w:tcPr>
          <w:p w14:paraId="0B6723E1"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$6,140–$74,325</w:t>
            </w:r>
          </w:p>
        </w:tc>
        <w:tc>
          <w:tcPr>
            <w:tcW w:w="623" w:type="pct"/>
          </w:tcPr>
          <w:p w14:paraId="0ED818A0" w14:textId="77777777" w:rsidR="001638F2" w:rsidRPr="001638F2" w:rsidRDefault="001638F2" w:rsidP="001638F2">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1638F2">
              <w:rPr>
                <w:rFonts w:cs="Calibri"/>
                <w:color w:val="000000"/>
                <w:szCs w:val="20"/>
              </w:rPr>
              <w:t>0</w:t>
            </w:r>
          </w:p>
        </w:tc>
      </w:tr>
      <w:tr w:rsidR="001638F2" w:rsidRPr="001638F2" w14:paraId="3B471516" w14:textId="77777777" w:rsidTr="008E70DE">
        <w:trPr>
          <w:cnfStyle w:val="000000010000" w:firstRow="0" w:lastRow="0" w:firstColumn="0" w:lastColumn="0" w:oddVBand="0" w:evenVBand="0" w:oddHBand="0" w:evenHBand="1"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688" w:type="pct"/>
            <w:noWrap/>
            <w:hideMark/>
          </w:tcPr>
          <w:p w14:paraId="059E130E" w14:textId="77777777" w:rsidR="001638F2" w:rsidRPr="001638F2" w:rsidRDefault="001638F2" w:rsidP="001638F2">
            <w:pPr>
              <w:spacing w:after="160" w:line="259" w:lineRule="auto"/>
            </w:pPr>
            <w:r w:rsidRPr="001638F2">
              <w:t>Total</w:t>
            </w:r>
          </w:p>
        </w:tc>
        <w:tc>
          <w:tcPr>
            <w:tcW w:w="500" w:type="pct"/>
            <w:noWrap/>
          </w:tcPr>
          <w:p w14:paraId="1C4DC4B9"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szCs w:val="20"/>
              </w:rPr>
            </w:pPr>
            <w:r w:rsidRPr="001638F2">
              <w:rPr>
                <w:rFonts w:cs="Calibri"/>
                <w:color w:val="000000"/>
                <w:szCs w:val="20"/>
              </w:rPr>
              <w:t xml:space="preserve"> $2,081,930 </w:t>
            </w:r>
          </w:p>
        </w:tc>
        <w:tc>
          <w:tcPr>
            <w:tcW w:w="500" w:type="pct"/>
          </w:tcPr>
          <w:p w14:paraId="6E80AF5E"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100%</w:t>
            </w:r>
          </w:p>
        </w:tc>
        <w:tc>
          <w:tcPr>
            <w:tcW w:w="500" w:type="pct"/>
          </w:tcPr>
          <w:p w14:paraId="59D491E6"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$346,988 </w:t>
            </w:r>
          </w:p>
        </w:tc>
        <w:tc>
          <w:tcPr>
            <w:tcW w:w="502" w:type="pct"/>
          </w:tcPr>
          <w:p w14:paraId="4AEDFBFF"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 xml:space="preserve">$213,314 </w:t>
            </w:r>
          </w:p>
        </w:tc>
        <w:tc>
          <w:tcPr>
            <w:tcW w:w="687" w:type="pct"/>
          </w:tcPr>
          <w:p w14:paraId="26E93E81" w14:textId="77777777"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1638F2">
              <w:rPr>
                <w:rFonts w:cs="Calibri"/>
                <w:color w:val="000000"/>
                <w:szCs w:val="20"/>
              </w:rPr>
              <w:t>$104,665–$893,877</w:t>
            </w:r>
          </w:p>
        </w:tc>
        <w:tc>
          <w:tcPr>
            <w:tcW w:w="623" w:type="pct"/>
          </w:tcPr>
          <w:p w14:paraId="5D0F9EAC" w14:textId="3FDA37B3" w:rsidR="001638F2" w:rsidRPr="001638F2" w:rsidRDefault="001638F2" w:rsidP="001638F2">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cs="Calibri"/>
                <w:color w:val="000000"/>
                <w:szCs w:val="20"/>
              </w:rPr>
            </w:pPr>
          </w:p>
        </w:tc>
      </w:tr>
    </w:tbl>
    <w:p w14:paraId="3100B659" w14:textId="77777777" w:rsidR="001638F2" w:rsidRPr="001638F2" w:rsidRDefault="001638F2" w:rsidP="001638F2">
      <w:pPr>
        <w:spacing w:after="160" w:line="259" w:lineRule="auto"/>
      </w:pPr>
    </w:p>
    <w:p w14:paraId="675AB5A0" w14:textId="77777777" w:rsidR="003E36C4" w:rsidRDefault="003E36C4" w:rsidP="00CA160C">
      <w:pPr>
        <w:sectPr w:rsidR="003E36C4" w:rsidSect="003E36C4">
          <w:pgSz w:w="16838" w:h="11906" w:orient="landscape" w:code="9"/>
          <w:pgMar w:top="737" w:right="1304" w:bottom="1134" w:left="737" w:header="567" w:footer="284" w:gutter="0"/>
          <w:cols w:space="708"/>
          <w:docGrid w:linePitch="360"/>
        </w:sectPr>
      </w:pPr>
    </w:p>
    <w:p w14:paraId="54A3CF1C" w14:textId="50D8A518" w:rsidR="00B879B7" w:rsidRDefault="00B879B7" w:rsidP="008C0AA9"/>
    <w:bookmarkStart w:id="172" w:name="_Toc85203322" w:displacedByCustomXml="next"/>
    <w:sdt>
      <w:sdtPr>
        <w:rPr>
          <w:rFonts w:asciiTheme="minorHAnsi" w:eastAsiaTheme="minorHAnsi" w:hAnsiTheme="minorHAnsi" w:cstheme="minorBidi"/>
          <w:b w:val="0"/>
          <w:caps w:val="0"/>
          <w:color w:val="auto"/>
          <w:sz w:val="22"/>
          <w:szCs w:val="22"/>
        </w:rPr>
        <w:id w:val="-677880279"/>
        <w:docPartObj>
          <w:docPartGallery w:val="Bibliographies"/>
          <w:docPartUnique/>
        </w:docPartObj>
      </w:sdtPr>
      <w:sdtEndPr/>
      <w:sdtContent>
        <w:p w14:paraId="35CC6C30" w14:textId="7A06A3F5" w:rsidR="00B879B7" w:rsidRDefault="00B879B7">
          <w:pPr>
            <w:pStyle w:val="Heading1"/>
            <w:framePr w:wrap="around"/>
          </w:pPr>
          <w:r>
            <w:t>References</w:t>
          </w:r>
          <w:bookmarkEnd w:id="172"/>
        </w:p>
        <w:sdt>
          <w:sdtPr>
            <w:id w:val="571018652"/>
            <w:bibliography/>
          </w:sdtPr>
          <w:sdtEndPr/>
          <w:sdtContent>
            <w:p w14:paraId="3B09FA77" w14:textId="77777777" w:rsidR="003E36C4" w:rsidRDefault="00B879B7">
              <w:pPr>
                <w:rPr>
                  <w:noProof/>
                  <w:spacing w:val="0"/>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6"/>
                <w:gridCol w:w="6618"/>
              </w:tblGrid>
              <w:tr w:rsidR="003E36C4" w14:paraId="03A3C558" w14:textId="77777777" w:rsidTr="003E36C4">
                <w:trPr>
                  <w:divId w:val="918562192"/>
                  <w:tblCellSpacing w:w="15" w:type="dxa"/>
                </w:trPr>
                <w:tc>
                  <w:tcPr>
                    <w:tcW w:w="270" w:type="pct"/>
                    <w:hideMark/>
                  </w:tcPr>
                  <w:p w14:paraId="2B22D3A4" w14:textId="634A78D2" w:rsidR="003E36C4" w:rsidRDefault="003E36C4">
                    <w:pPr>
                      <w:pStyle w:val="Bibliography"/>
                      <w:rPr>
                        <w:noProof/>
                        <w:sz w:val="24"/>
                        <w:szCs w:val="24"/>
                      </w:rPr>
                    </w:pPr>
                    <w:r>
                      <w:rPr>
                        <w:noProof/>
                      </w:rPr>
                      <w:t xml:space="preserve">[1] </w:t>
                    </w:r>
                  </w:p>
                </w:tc>
                <w:tc>
                  <w:tcPr>
                    <w:tcW w:w="4666" w:type="pct"/>
                    <w:hideMark/>
                  </w:tcPr>
                  <w:p w14:paraId="721DFDF0" w14:textId="77777777" w:rsidR="003E36C4" w:rsidRDefault="003E36C4">
                    <w:pPr>
                      <w:pStyle w:val="Bibliography"/>
                      <w:rPr>
                        <w:noProof/>
                      </w:rPr>
                    </w:pPr>
                    <w:r>
                      <w:rPr>
                        <w:noProof/>
                      </w:rPr>
                      <w:t>Australian Government Department of Health, “Council of Australian Governments (COAG) Improving Access to Primary Care in Rural and Remote Areas – COAG s19(2) Exemptions Initiative,” 1 February 2021. [Online]. Available: https://www1.health.gov.au/internet/main/publishing.nsf/Content/COAG%20s19(2)%20Exemptions%20Initiative.</w:t>
                    </w:r>
                  </w:p>
                </w:tc>
              </w:tr>
              <w:tr w:rsidR="003E36C4" w14:paraId="480A7823" w14:textId="77777777" w:rsidTr="003E36C4">
                <w:trPr>
                  <w:divId w:val="918562192"/>
                  <w:tblCellSpacing w:w="15" w:type="dxa"/>
                </w:trPr>
                <w:tc>
                  <w:tcPr>
                    <w:tcW w:w="270" w:type="pct"/>
                    <w:hideMark/>
                  </w:tcPr>
                  <w:p w14:paraId="3CD67CD6" w14:textId="77777777" w:rsidR="003E36C4" w:rsidRDefault="003E36C4">
                    <w:pPr>
                      <w:pStyle w:val="Bibliography"/>
                      <w:rPr>
                        <w:noProof/>
                      </w:rPr>
                    </w:pPr>
                    <w:r>
                      <w:rPr>
                        <w:noProof/>
                      </w:rPr>
                      <w:t xml:space="preserve">[2] </w:t>
                    </w:r>
                  </w:p>
                </w:tc>
                <w:tc>
                  <w:tcPr>
                    <w:tcW w:w="4666" w:type="pct"/>
                    <w:hideMark/>
                  </w:tcPr>
                  <w:p w14:paraId="0B7FFC9B" w14:textId="77777777" w:rsidR="003E36C4" w:rsidRDefault="003E36C4">
                    <w:pPr>
                      <w:pStyle w:val="Bibliography"/>
                      <w:rPr>
                        <w:noProof/>
                      </w:rPr>
                    </w:pPr>
                    <w:r>
                      <w:rPr>
                        <w:noProof/>
                      </w:rPr>
                      <w:t>Council of Australian Governments, “Federal Financial Relations,” 1 February 2021. [Online]. Available: https://www.federalfinancialrelations.gov.au/content/npa/health/_archive/national-agreement.pdf.</w:t>
                    </w:r>
                  </w:p>
                </w:tc>
              </w:tr>
              <w:tr w:rsidR="003E36C4" w14:paraId="71A2C010" w14:textId="77777777" w:rsidTr="003E36C4">
                <w:trPr>
                  <w:divId w:val="918562192"/>
                  <w:tblCellSpacing w:w="15" w:type="dxa"/>
                </w:trPr>
                <w:tc>
                  <w:tcPr>
                    <w:tcW w:w="270" w:type="pct"/>
                    <w:hideMark/>
                  </w:tcPr>
                  <w:p w14:paraId="54AFA889" w14:textId="77777777" w:rsidR="003E36C4" w:rsidRDefault="003E36C4">
                    <w:pPr>
                      <w:pStyle w:val="Bibliography"/>
                      <w:rPr>
                        <w:noProof/>
                      </w:rPr>
                    </w:pPr>
                    <w:r>
                      <w:rPr>
                        <w:noProof/>
                      </w:rPr>
                      <w:t xml:space="preserve">[3] </w:t>
                    </w:r>
                  </w:p>
                </w:tc>
                <w:tc>
                  <w:tcPr>
                    <w:tcW w:w="4666" w:type="pct"/>
                    <w:hideMark/>
                  </w:tcPr>
                  <w:p w14:paraId="71E17718" w14:textId="77777777" w:rsidR="003E36C4" w:rsidRDefault="003E36C4">
                    <w:pPr>
                      <w:pStyle w:val="Bibliography"/>
                      <w:rPr>
                        <w:noProof/>
                      </w:rPr>
                    </w:pPr>
                    <w:r>
                      <w:rPr>
                        <w:noProof/>
                      </w:rPr>
                      <w:t>Department of Health, “Standard Operating Procedures: COAG Section 19 (2) Exemptions Initiative - Improving Access to Primary Care in Rural and Remote Areas,” Department of Health, Canberra, 2021.</w:t>
                    </w:r>
                  </w:p>
                </w:tc>
              </w:tr>
              <w:tr w:rsidR="003E36C4" w14:paraId="72006D20" w14:textId="77777777" w:rsidTr="003E36C4">
                <w:trPr>
                  <w:divId w:val="918562192"/>
                  <w:tblCellSpacing w:w="15" w:type="dxa"/>
                </w:trPr>
                <w:tc>
                  <w:tcPr>
                    <w:tcW w:w="270" w:type="pct"/>
                    <w:hideMark/>
                  </w:tcPr>
                  <w:p w14:paraId="0BAF18D5" w14:textId="77777777" w:rsidR="003E36C4" w:rsidRDefault="003E36C4">
                    <w:pPr>
                      <w:pStyle w:val="Bibliography"/>
                      <w:rPr>
                        <w:noProof/>
                      </w:rPr>
                    </w:pPr>
                    <w:r>
                      <w:rPr>
                        <w:noProof/>
                      </w:rPr>
                      <w:t xml:space="preserve">[4] </w:t>
                    </w:r>
                  </w:p>
                </w:tc>
                <w:tc>
                  <w:tcPr>
                    <w:tcW w:w="4666" w:type="pct"/>
                    <w:hideMark/>
                  </w:tcPr>
                  <w:p w14:paraId="57584FF6" w14:textId="77777777" w:rsidR="003E36C4" w:rsidRDefault="003E36C4">
                    <w:pPr>
                      <w:pStyle w:val="Bibliography"/>
                      <w:rPr>
                        <w:noProof/>
                      </w:rPr>
                    </w:pPr>
                    <w:r>
                      <w:rPr>
                        <w:noProof/>
                      </w:rPr>
                      <w:t>Queensland Audit Office, “Rights of private practice in Queensland public hospitals,” 2021. [Online]. Available: https://www.qao.qld.gov.au/reports-resources/right-private-practice-queensland-public-hospitals. [Accessed 25 June 2021].</w:t>
                    </w:r>
                  </w:p>
                </w:tc>
              </w:tr>
              <w:tr w:rsidR="003E36C4" w14:paraId="697ACE69" w14:textId="77777777" w:rsidTr="003E36C4">
                <w:trPr>
                  <w:divId w:val="918562192"/>
                  <w:tblCellSpacing w:w="15" w:type="dxa"/>
                </w:trPr>
                <w:tc>
                  <w:tcPr>
                    <w:tcW w:w="270" w:type="pct"/>
                    <w:hideMark/>
                  </w:tcPr>
                  <w:p w14:paraId="15675FE3" w14:textId="77777777" w:rsidR="003E36C4" w:rsidRDefault="003E36C4">
                    <w:pPr>
                      <w:pStyle w:val="Bibliography"/>
                      <w:rPr>
                        <w:noProof/>
                      </w:rPr>
                    </w:pPr>
                    <w:r>
                      <w:rPr>
                        <w:noProof/>
                      </w:rPr>
                      <w:t xml:space="preserve">[5] </w:t>
                    </w:r>
                  </w:p>
                </w:tc>
                <w:tc>
                  <w:tcPr>
                    <w:tcW w:w="4666" w:type="pct"/>
                    <w:hideMark/>
                  </w:tcPr>
                  <w:p w14:paraId="39D6334C" w14:textId="77777777" w:rsidR="003E36C4" w:rsidRDefault="003E36C4">
                    <w:pPr>
                      <w:pStyle w:val="Bibliography"/>
                      <w:rPr>
                        <w:noProof/>
                      </w:rPr>
                    </w:pPr>
                    <w:r>
                      <w:rPr>
                        <w:noProof/>
                      </w:rPr>
                      <w:t>Queensland Industrial Relations Commission, “Modern Awards,” 2021. [Online]. [Accessed 25 June 2021].</w:t>
                    </w:r>
                  </w:p>
                </w:tc>
              </w:tr>
              <w:tr w:rsidR="003E36C4" w14:paraId="547B94D0" w14:textId="77777777" w:rsidTr="003E36C4">
                <w:trPr>
                  <w:divId w:val="918562192"/>
                  <w:tblCellSpacing w:w="15" w:type="dxa"/>
                </w:trPr>
                <w:tc>
                  <w:tcPr>
                    <w:tcW w:w="270" w:type="pct"/>
                    <w:hideMark/>
                  </w:tcPr>
                  <w:p w14:paraId="274D9040" w14:textId="77777777" w:rsidR="003E36C4" w:rsidRDefault="003E36C4">
                    <w:pPr>
                      <w:pStyle w:val="Bibliography"/>
                      <w:rPr>
                        <w:noProof/>
                      </w:rPr>
                    </w:pPr>
                    <w:r>
                      <w:rPr>
                        <w:noProof/>
                      </w:rPr>
                      <w:t xml:space="preserve">[6] </w:t>
                    </w:r>
                  </w:p>
                </w:tc>
                <w:tc>
                  <w:tcPr>
                    <w:tcW w:w="4666" w:type="pct"/>
                    <w:hideMark/>
                  </w:tcPr>
                  <w:p w14:paraId="65A3B59F" w14:textId="77777777" w:rsidR="003E36C4" w:rsidRDefault="003E36C4">
                    <w:pPr>
                      <w:pStyle w:val="Bibliography"/>
                      <w:rPr>
                        <w:noProof/>
                      </w:rPr>
                    </w:pPr>
                    <w:r>
                      <w:rPr>
                        <w:noProof/>
                      </w:rPr>
                      <w:t>NSW Rural Doctors Network, “General Practice &amp; Doctors, GP/Doctors, Common Questions,” 2021. [Online]. Available: https://www.nswrdn.com.au/site/questions#22._What_is_the_RDA_Settlement_Package_. [Accessed 25 June 2021].</w:t>
                    </w:r>
                  </w:p>
                </w:tc>
              </w:tr>
              <w:tr w:rsidR="003E36C4" w14:paraId="5DF47C04" w14:textId="77777777" w:rsidTr="003E36C4">
                <w:trPr>
                  <w:divId w:val="918562192"/>
                  <w:tblCellSpacing w:w="15" w:type="dxa"/>
                </w:trPr>
                <w:tc>
                  <w:tcPr>
                    <w:tcW w:w="270" w:type="pct"/>
                    <w:hideMark/>
                  </w:tcPr>
                  <w:p w14:paraId="2408D9AA" w14:textId="77777777" w:rsidR="003E36C4" w:rsidRDefault="003E36C4">
                    <w:pPr>
                      <w:pStyle w:val="Bibliography"/>
                      <w:rPr>
                        <w:noProof/>
                      </w:rPr>
                    </w:pPr>
                    <w:r>
                      <w:rPr>
                        <w:noProof/>
                      </w:rPr>
                      <w:t xml:space="preserve">[7] </w:t>
                    </w:r>
                  </w:p>
                </w:tc>
                <w:tc>
                  <w:tcPr>
                    <w:tcW w:w="4666" w:type="pct"/>
                    <w:hideMark/>
                  </w:tcPr>
                  <w:p w14:paraId="02930A08" w14:textId="77777777" w:rsidR="003E36C4" w:rsidRDefault="003E36C4">
                    <w:pPr>
                      <w:pStyle w:val="Bibliography"/>
                      <w:rPr>
                        <w:noProof/>
                      </w:rPr>
                    </w:pPr>
                    <w:r>
                      <w:rPr>
                        <w:noProof/>
                      </w:rPr>
                      <w:t>AMA Western Australia, “WA Health System Medical Practitioners AMA INDUSTRIAL AGREEMENT 2016,” 2016. [Online]. Available: https://www.amawa.com.au/wp-content/uploads/2019/05/1.2-WA-Health-System-Med-Prac-Indust-Agreement-2016.pdf. [Accessed 25 June 2021].</w:t>
                    </w:r>
                  </w:p>
                </w:tc>
              </w:tr>
              <w:tr w:rsidR="003E36C4" w14:paraId="1A893C5B" w14:textId="77777777" w:rsidTr="003E36C4">
                <w:trPr>
                  <w:divId w:val="918562192"/>
                  <w:tblCellSpacing w:w="15" w:type="dxa"/>
                </w:trPr>
                <w:tc>
                  <w:tcPr>
                    <w:tcW w:w="270" w:type="pct"/>
                    <w:hideMark/>
                  </w:tcPr>
                  <w:p w14:paraId="07469E9E" w14:textId="77777777" w:rsidR="003E36C4" w:rsidRDefault="003E36C4">
                    <w:pPr>
                      <w:pStyle w:val="Bibliography"/>
                      <w:rPr>
                        <w:noProof/>
                      </w:rPr>
                    </w:pPr>
                    <w:r>
                      <w:rPr>
                        <w:noProof/>
                      </w:rPr>
                      <w:t xml:space="preserve">[8] </w:t>
                    </w:r>
                  </w:p>
                </w:tc>
                <w:tc>
                  <w:tcPr>
                    <w:tcW w:w="4666" w:type="pct"/>
                    <w:hideMark/>
                  </w:tcPr>
                  <w:p w14:paraId="3B3FD2DD" w14:textId="77777777" w:rsidR="003E36C4" w:rsidRDefault="003E36C4">
                    <w:pPr>
                      <w:pStyle w:val="Bibliography"/>
                      <w:rPr>
                        <w:noProof/>
                      </w:rPr>
                    </w:pPr>
                    <w:r>
                      <w:rPr>
                        <w:noProof/>
                      </w:rPr>
                      <w:t>Fair Work Commission, “Medical Officers Northern Territory Public Sector 2018 - 2021 Enterprise Agreement,” 28 May 2019. [Online]. Available: https://www.fwc.gov.au/document/agreement/AE503648. [Accessed 25 June 2021].</w:t>
                    </w:r>
                  </w:p>
                </w:tc>
              </w:tr>
              <w:tr w:rsidR="003E36C4" w14:paraId="18F0669D" w14:textId="77777777" w:rsidTr="003E36C4">
                <w:trPr>
                  <w:divId w:val="918562192"/>
                  <w:tblCellSpacing w:w="15" w:type="dxa"/>
                </w:trPr>
                <w:tc>
                  <w:tcPr>
                    <w:tcW w:w="270" w:type="pct"/>
                    <w:hideMark/>
                  </w:tcPr>
                  <w:p w14:paraId="1DDD4142" w14:textId="77777777" w:rsidR="003E36C4" w:rsidRDefault="003E36C4">
                    <w:pPr>
                      <w:pStyle w:val="Bibliography"/>
                      <w:rPr>
                        <w:noProof/>
                      </w:rPr>
                    </w:pPr>
                    <w:r>
                      <w:rPr>
                        <w:noProof/>
                      </w:rPr>
                      <w:t xml:space="preserve">[9] </w:t>
                    </w:r>
                  </w:p>
                </w:tc>
                <w:tc>
                  <w:tcPr>
                    <w:tcW w:w="4666" w:type="pct"/>
                    <w:hideMark/>
                  </w:tcPr>
                  <w:p w14:paraId="4C1D3E6B" w14:textId="77777777" w:rsidR="003E36C4" w:rsidRDefault="003E36C4">
                    <w:pPr>
                      <w:pStyle w:val="Bibliography"/>
                      <w:rPr>
                        <w:noProof/>
                      </w:rPr>
                    </w:pPr>
                    <w:r>
                      <w:rPr>
                        <w:noProof/>
                      </w:rPr>
                      <w:t>D. Bradley, P. Noonan, H. Nugent and B. Scales, “Review of Australian Higher Education,” 18 December 2008. [Online]. Available: https://apo.org.au/node/15776. [Accessed 2021].</w:t>
                    </w:r>
                  </w:p>
                </w:tc>
              </w:tr>
              <w:tr w:rsidR="003E36C4" w14:paraId="1E56B17B" w14:textId="77777777" w:rsidTr="003E36C4">
                <w:trPr>
                  <w:divId w:val="918562192"/>
                  <w:tblCellSpacing w:w="15" w:type="dxa"/>
                </w:trPr>
                <w:tc>
                  <w:tcPr>
                    <w:tcW w:w="270" w:type="pct"/>
                    <w:hideMark/>
                  </w:tcPr>
                  <w:p w14:paraId="599D6369" w14:textId="77777777" w:rsidR="003E36C4" w:rsidRDefault="003E36C4">
                    <w:pPr>
                      <w:pStyle w:val="Bibliography"/>
                      <w:rPr>
                        <w:noProof/>
                      </w:rPr>
                    </w:pPr>
                    <w:r>
                      <w:rPr>
                        <w:noProof/>
                      </w:rPr>
                      <w:t xml:space="preserve">[10] </w:t>
                    </w:r>
                  </w:p>
                </w:tc>
                <w:tc>
                  <w:tcPr>
                    <w:tcW w:w="4666" w:type="pct"/>
                    <w:hideMark/>
                  </w:tcPr>
                  <w:p w14:paraId="05FB8CD6" w14:textId="77777777" w:rsidR="003E36C4" w:rsidRDefault="003E36C4">
                    <w:pPr>
                      <w:pStyle w:val="Bibliography"/>
                      <w:rPr>
                        <w:noProof/>
                      </w:rPr>
                    </w:pPr>
                    <w:r>
                      <w:rPr>
                        <w:noProof/>
                      </w:rPr>
                      <w:t>Australian Institute of Health and Welfare, “National Health Workforce Data Set,” 2019. [Online]. Available: https://www.aihw.gov.au/about-our-data/our-data-collections/national-health-workforce-dataset.</w:t>
                    </w:r>
                  </w:p>
                </w:tc>
              </w:tr>
              <w:tr w:rsidR="003E36C4" w14:paraId="68AA1DD8" w14:textId="77777777" w:rsidTr="003E36C4">
                <w:trPr>
                  <w:divId w:val="918562192"/>
                  <w:tblCellSpacing w:w="15" w:type="dxa"/>
                </w:trPr>
                <w:tc>
                  <w:tcPr>
                    <w:tcW w:w="270" w:type="pct"/>
                    <w:hideMark/>
                  </w:tcPr>
                  <w:p w14:paraId="7EE376F3" w14:textId="77777777" w:rsidR="003E36C4" w:rsidRDefault="003E36C4">
                    <w:pPr>
                      <w:pStyle w:val="Bibliography"/>
                      <w:rPr>
                        <w:noProof/>
                      </w:rPr>
                    </w:pPr>
                    <w:r>
                      <w:rPr>
                        <w:noProof/>
                      </w:rPr>
                      <w:t xml:space="preserve">[11] </w:t>
                    </w:r>
                  </w:p>
                </w:tc>
                <w:tc>
                  <w:tcPr>
                    <w:tcW w:w="4666" w:type="pct"/>
                    <w:hideMark/>
                  </w:tcPr>
                  <w:p w14:paraId="77573C1D" w14:textId="77777777" w:rsidR="003E36C4" w:rsidRDefault="003E36C4">
                    <w:pPr>
                      <w:pStyle w:val="Bibliography"/>
                      <w:rPr>
                        <w:noProof/>
                      </w:rPr>
                    </w:pPr>
                    <w:r>
                      <w:rPr>
                        <w:noProof/>
                      </w:rPr>
                      <w:t>Australian Institute of Health and Welfare, “Australia’s health 2018 series no. 16. AUS 221,” AIHW, Canberra, 2018.</w:t>
                    </w:r>
                  </w:p>
                </w:tc>
              </w:tr>
              <w:tr w:rsidR="003E36C4" w14:paraId="30D43287" w14:textId="77777777" w:rsidTr="003E36C4">
                <w:trPr>
                  <w:divId w:val="918562192"/>
                  <w:tblCellSpacing w:w="15" w:type="dxa"/>
                </w:trPr>
                <w:tc>
                  <w:tcPr>
                    <w:tcW w:w="270" w:type="pct"/>
                    <w:hideMark/>
                  </w:tcPr>
                  <w:p w14:paraId="6147C44E" w14:textId="77777777" w:rsidR="003E36C4" w:rsidRDefault="003E36C4">
                    <w:pPr>
                      <w:pStyle w:val="Bibliography"/>
                      <w:rPr>
                        <w:noProof/>
                      </w:rPr>
                    </w:pPr>
                    <w:r>
                      <w:rPr>
                        <w:noProof/>
                      </w:rPr>
                      <w:t xml:space="preserve">[12] </w:t>
                    </w:r>
                  </w:p>
                </w:tc>
                <w:tc>
                  <w:tcPr>
                    <w:tcW w:w="4666" w:type="pct"/>
                    <w:hideMark/>
                  </w:tcPr>
                  <w:p w14:paraId="1942C033" w14:textId="77777777" w:rsidR="003E36C4" w:rsidRDefault="003E36C4">
                    <w:pPr>
                      <w:pStyle w:val="Bibliography"/>
                      <w:rPr>
                        <w:noProof/>
                      </w:rPr>
                    </w:pPr>
                    <w:r>
                      <w:rPr>
                        <w:noProof/>
                      </w:rPr>
                      <w:t>Australian Institute of Health and Welfare, “Geographically-adjusted Index of Relative Supply,” AIHW, Canberra, 2019.</w:t>
                    </w:r>
                  </w:p>
                </w:tc>
              </w:tr>
              <w:tr w:rsidR="003E36C4" w14:paraId="616C6366" w14:textId="77777777" w:rsidTr="003E36C4">
                <w:trPr>
                  <w:divId w:val="918562192"/>
                  <w:tblCellSpacing w:w="15" w:type="dxa"/>
                </w:trPr>
                <w:tc>
                  <w:tcPr>
                    <w:tcW w:w="270" w:type="pct"/>
                    <w:hideMark/>
                  </w:tcPr>
                  <w:p w14:paraId="57A34241" w14:textId="77777777" w:rsidR="003E36C4" w:rsidRDefault="003E36C4">
                    <w:pPr>
                      <w:pStyle w:val="Bibliography"/>
                      <w:rPr>
                        <w:noProof/>
                      </w:rPr>
                    </w:pPr>
                    <w:r>
                      <w:rPr>
                        <w:noProof/>
                      </w:rPr>
                      <w:t xml:space="preserve">[13] </w:t>
                    </w:r>
                  </w:p>
                </w:tc>
                <w:tc>
                  <w:tcPr>
                    <w:tcW w:w="4666" w:type="pct"/>
                    <w:hideMark/>
                  </w:tcPr>
                  <w:p w14:paraId="2D318FF5" w14:textId="77777777" w:rsidR="003E36C4" w:rsidRDefault="003E36C4">
                    <w:pPr>
                      <w:pStyle w:val="Bibliography"/>
                      <w:rPr>
                        <w:noProof/>
                      </w:rPr>
                    </w:pPr>
                    <w:r>
                      <w:rPr>
                        <w:noProof/>
                      </w:rPr>
                      <w:t xml:space="preserve">J. McGirr, A. Seal, A. Barnard, C. Cheek, D. Garn, J. Greenhill, S. Kondalsamy-Chennakesavan, G. Luscombe, J. May, J. McLeod, B. O'Sullivan, D. Playford and J. Wright, “The Australian Rural Clinical School program supports rural medical workforce: evidence from a cross-sectional study of 12 RCSs,” </w:t>
                    </w:r>
                    <w:r>
                      <w:rPr>
                        <w:i/>
                        <w:iCs/>
                        <w:noProof/>
                      </w:rPr>
                      <w:t xml:space="preserve">Rural and Remote Health, </w:t>
                    </w:r>
                    <w:r>
                      <w:rPr>
                        <w:noProof/>
                      </w:rPr>
                      <w:t xml:space="preserve">vol. 9, no. 1, pp. 4971-4980, 2019. </w:t>
                    </w:r>
                  </w:p>
                </w:tc>
              </w:tr>
              <w:tr w:rsidR="003E36C4" w14:paraId="3B40E706" w14:textId="77777777" w:rsidTr="003E36C4">
                <w:trPr>
                  <w:divId w:val="918562192"/>
                  <w:tblCellSpacing w:w="15" w:type="dxa"/>
                </w:trPr>
                <w:tc>
                  <w:tcPr>
                    <w:tcW w:w="270" w:type="pct"/>
                    <w:hideMark/>
                  </w:tcPr>
                  <w:p w14:paraId="162E1F24" w14:textId="77777777" w:rsidR="003E36C4" w:rsidRDefault="003E36C4">
                    <w:pPr>
                      <w:pStyle w:val="Bibliography"/>
                      <w:rPr>
                        <w:noProof/>
                      </w:rPr>
                    </w:pPr>
                    <w:r>
                      <w:rPr>
                        <w:noProof/>
                      </w:rPr>
                      <w:t xml:space="preserve">[14] </w:t>
                    </w:r>
                  </w:p>
                </w:tc>
                <w:tc>
                  <w:tcPr>
                    <w:tcW w:w="4666" w:type="pct"/>
                    <w:hideMark/>
                  </w:tcPr>
                  <w:p w14:paraId="026D6ED1" w14:textId="77777777" w:rsidR="003E36C4" w:rsidRDefault="003E36C4">
                    <w:pPr>
                      <w:pStyle w:val="Bibliography"/>
                      <w:rPr>
                        <w:noProof/>
                      </w:rPr>
                    </w:pPr>
                    <w:r>
                      <w:rPr>
                        <w:noProof/>
                      </w:rPr>
                      <w:t>National Rural Health Commissioner, “Improvement of Access, Quality and Distribution of Allied Health Services in Regional, Rural and Remote Australia,” Minister for Regional Health, Regional Communication and Local Government, Canberra, 2020.</w:t>
                    </w:r>
                  </w:p>
                </w:tc>
              </w:tr>
              <w:tr w:rsidR="003E36C4" w14:paraId="4F1CDDC1" w14:textId="77777777" w:rsidTr="003E36C4">
                <w:trPr>
                  <w:divId w:val="918562192"/>
                  <w:tblCellSpacing w:w="15" w:type="dxa"/>
                </w:trPr>
                <w:tc>
                  <w:tcPr>
                    <w:tcW w:w="270" w:type="pct"/>
                    <w:hideMark/>
                  </w:tcPr>
                  <w:p w14:paraId="43EB9345" w14:textId="77777777" w:rsidR="003E36C4" w:rsidRDefault="003E36C4">
                    <w:pPr>
                      <w:pStyle w:val="Bibliography"/>
                      <w:rPr>
                        <w:noProof/>
                      </w:rPr>
                    </w:pPr>
                    <w:r>
                      <w:rPr>
                        <w:noProof/>
                      </w:rPr>
                      <w:lastRenderedPageBreak/>
                      <w:t xml:space="preserve">[15] </w:t>
                    </w:r>
                  </w:p>
                </w:tc>
                <w:tc>
                  <w:tcPr>
                    <w:tcW w:w="4666" w:type="pct"/>
                    <w:hideMark/>
                  </w:tcPr>
                  <w:p w14:paraId="3F7D907D" w14:textId="77777777" w:rsidR="003E36C4" w:rsidRDefault="003E36C4">
                    <w:pPr>
                      <w:pStyle w:val="Bibliography"/>
                      <w:rPr>
                        <w:noProof/>
                      </w:rPr>
                    </w:pPr>
                    <w:r>
                      <w:rPr>
                        <w:noProof/>
                      </w:rPr>
                      <w:t>NSW Health, “Guide to the Role Delineation of Clinical Services,” NSW Health, 2019.</w:t>
                    </w:r>
                  </w:p>
                </w:tc>
              </w:tr>
              <w:tr w:rsidR="003E36C4" w14:paraId="1EC86193" w14:textId="77777777" w:rsidTr="003E36C4">
                <w:trPr>
                  <w:divId w:val="918562192"/>
                  <w:tblCellSpacing w:w="15" w:type="dxa"/>
                </w:trPr>
                <w:tc>
                  <w:tcPr>
                    <w:tcW w:w="270" w:type="pct"/>
                    <w:hideMark/>
                  </w:tcPr>
                  <w:p w14:paraId="217426DB" w14:textId="77777777" w:rsidR="003E36C4" w:rsidRDefault="003E36C4">
                    <w:pPr>
                      <w:pStyle w:val="Bibliography"/>
                      <w:rPr>
                        <w:noProof/>
                      </w:rPr>
                    </w:pPr>
                    <w:r>
                      <w:rPr>
                        <w:noProof/>
                      </w:rPr>
                      <w:t xml:space="preserve">[16] </w:t>
                    </w:r>
                  </w:p>
                </w:tc>
                <w:tc>
                  <w:tcPr>
                    <w:tcW w:w="4666" w:type="pct"/>
                    <w:hideMark/>
                  </w:tcPr>
                  <w:p w14:paraId="00036F10" w14:textId="77777777" w:rsidR="003E36C4" w:rsidRDefault="003E36C4">
                    <w:pPr>
                      <w:pStyle w:val="Bibliography"/>
                      <w:rPr>
                        <w:noProof/>
                      </w:rPr>
                    </w:pPr>
                    <w:r>
                      <w:rPr>
                        <w:noProof/>
                      </w:rPr>
                      <w:t>H. Swerrissen, S. Duckett and G. Moran, “Mapping primary care in Australia,” Grattan Institute, Melbourne, 2018.</w:t>
                    </w:r>
                  </w:p>
                </w:tc>
              </w:tr>
              <w:tr w:rsidR="003E36C4" w14:paraId="6820B430" w14:textId="77777777" w:rsidTr="003E36C4">
                <w:trPr>
                  <w:divId w:val="918562192"/>
                  <w:tblCellSpacing w:w="15" w:type="dxa"/>
                </w:trPr>
                <w:tc>
                  <w:tcPr>
                    <w:tcW w:w="270" w:type="pct"/>
                    <w:hideMark/>
                  </w:tcPr>
                  <w:p w14:paraId="0854170E" w14:textId="77777777" w:rsidR="003E36C4" w:rsidRDefault="003E36C4">
                    <w:pPr>
                      <w:pStyle w:val="Bibliography"/>
                      <w:rPr>
                        <w:noProof/>
                      </w:rPr>
                    </w:pPr>
                    <w:r>
                      <w:rPr>
                        <w:noProof/>
                      </w:rPr>
                      <w:t xml:space="preserve">[17] </w:t>
                    </w:r>
                  </w:p>
                </w:tc>
                <w:tc>
                  <w:tcPr>
                    <w:tcW w:w="4666" w:type="pct"/>
                    <w:hideMark/>
                  </w:tcPr>
                  <w:p w14:paraId="1D051C70" w14:textId="77777777" w:rsidR="003E36C4" w:rsidRDefault="003E36C4">
                    <w:pPr>
                      <w:pStyle w:val="Bibliography"/>
                      <w:rPr>
                        <w:noProof/>
                      </w:rPr>
                    </w:pPr>
                    <w:r>
                      <w:rPr>
                        <w:noProof/>
                      </w:rPr>
                      <w:t xml:space="preserve">D. Russell, J. Humphreys, B. Ward, M. Chisholm, P. Buykx, M. McGrail and J. Wakerman, “Helping policy makers address rural health access problems,” </w:t>
                    </w:r>
                    <w:r>
                      <w:rPr>
                        <w:i/>
                        <w:iCs/>
                        <w:noProof/>
                      </w:rPr>
                      <w:t xml:space="preserve">Australian Journal of Rural Health, </w:t>
                    </w:r>
                    <w:r>
                      <w:rPr>
                        <w:noProof/>
                      </w:rPr>
                      <w:t xml:space="preserve">vol. 21, pp. 61-71, 2013. </w:t>
                    </w:r>
                  </w:p>
                </w:tc>
              </w:tr>
              <w:tr w:rsidR="003E36C4" w14:paraId="46290CE6" w14:textId="77777777" w:rsidTr="003E36C4">
                <w:trPr>
                  <w:divId w:val="918562192"/>
                  <w:tblCellSpacing w:w="15" w:type="dxa"/>
                </w:trPr>
                <w:tc>
                  <w:tcPr>
                    <w:tcW w:w="270" w:type="pct"/>
                    <w:hideMark/>
                  </w:tcPr>
                  <w:p w14:paraId="49AD802C" w14:textId="77777777" w:rsidR="003E36C4" w:rsidRDefault="003E36C4">
                    <w:pPr>
                      <w:pStyle w:val="Bibliography"/>
                      <w:rPr>
                        <w:noProof/>
                      </w:rPr>
                    </w:pPr>
                    <w:r>
                      <w:rPr>
                        <w:noProof/>
                      </w:rPr>
                      <w:t xml:space="preserve">[18] </w:t>
                    </w:r>
                  </w:p>
                </w:tc>
                <w:tc>
                  <w:tcPr>
                    <w:tcW w:w="4666" w:type="pct"/>
                    <w:hideMark/>
                  </w:tcPr>
                  <w:p w14:paraId="201AFB57" w14:textId="77777777" w:rsidR="003E36C4" w:rsidRDefault="003E36C4">
                    <w:pPr>
                      <w:pStyle w:val="Bibliography"/>
                      <w:rPr>
                        <w:noProof/>
                      </w:rPr>
                    </w:pPr>
                    <w:r>
                      <w:rPr>
                        <w:noProof/>
                      </w:rPr>
                      <w:t xml:space="preserve">Commonwealth of Australia, </w:t>
                    </w:r>
                    <w:r>
                      <w:rPr>
                        <w:i/>
                        <w:iCs/>
                        <w:noProof/>
                      </w:rPr>
                      <w:t xml:space="preserve">COAG s19(2) Exemptions Initiative - New South Wales Memorandum of Understanding, </w:t>
                    </w:r>
                    <w:r>
                      <w:rPr>
                        <w:noProof/>
                      </w:rPr>
                      <w:t xml:space="preserve">2016. </w:t>
                    </w:r>
                  </w:p>
                </w:tc>
              </w:tr>
            </w:tbl>
            <w:p w14:paraId="2FE0BAA8" w14:textId="77777777" w:rsidR="003E36C4" w:rsidRDefault="003E36C4">
              <w:pPr>
                <w:divId w:val="918562192"/>
                <w:rPr>
                  <w:rFonts w:eastAsia="Times New Roman"/>
                  <w:noProof/>
                </w:rPr>
              </w:pPr>
            </w:p>
            <w:p w14:paraId="7E5F3D3C" w14:textId="3957D802" w:rsidR="00B879B7" w:rsidRDefault="00B879B7">
              <w:r>
                <w:rPr>
                  <w:b/>
                  <w:bCs/>
                  <w:noProof/>
                </w:rPr>
                <w:fldChar w:fldCharType="end"/>
              </w:r>
            </w:p>
          </w:sdtContent>
        </w:sdt>
      </w:sdtContent>
    </w:sdt>
    <w:p w14:paraId="118C95D6" w14:textId="77777777" w:rsidR="00B879B7" w:rsidRPr="00B879B7" w:rsidRDefault="00B879B7" w:rsidP="00B879B7"/>
    <w:sectPr w:rsidR="00B879B7" w:rsidRPr="00B879B7" w:rsidSect="00DB737F">
      <w:type w:val="continuous"/>
      <w:pgSz w:w="16838" w:h="11906" w:orient="landscape" w:code="9"/>
      <w:pgMar w:top="737" w:right="1304" w:bottom="1134" w:left="737" w:header="567" w:footer="28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85440" w14:textId="77777777" w:rsidR="00C67C3E" w:rsidRDefault="00C67C3E" w:rsidP="00C37A29">
      <w:pPr>
        <w:spacing w:after="0"/>
      </w:pPr>
      <w:r>
        <w:separator/>
      </w:r>
    </w:p>
    <w:p w14:paraId="16E4E91A" w14:textId="77777777" w:rsidR="00C67C3E" w:rsidRDefault="00C67C3E"/>
  </w:endnote>
  <w:endnote w:type="continuationSeparator" w:id="0">
    <w:p w14:paraId="3BB1C86D" w14:textId="77777777" w:rsidR="00C67C3E" w:rsidRDefault="00C67C3E" w:rsidP="00C37A29">
      <w:pPr>
        <w:spacing w:after="0"/>
      </w:pPr>
      <w:r>
        <w:continuationSeparator/>
      </w:r>
    </w:p>
    <w:p w14:paraId="2E62DC9C" w14:textId="77777777" w:rsidR="00C67C3E" w:rsidRDefault="00C67C3E"/>
  </w:endnote>
  <w:endnote w:type="continuationNotice" w:id="1">
    <w:p w14:paraId="6007EE44" w14:textId="77777777" w:rsidR="00C67C3E" w:rsidRDefault="00C67C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70" w:type="dxa"/>
      <w:tblLayout w:type="fixed"/>
      <w:tblCellMar>
        <w:top w:w="170" w:type="dxa"/>
      </w:tblCellMar>
      <w:tblLook w:val="04A0" w:firstRow="1" w:lastRow="0" w:firstColumn="1" w:lastColumn="0" w:noHBand="0" w:noVBand="1"/>
    </w:tblPr>
    <w:tblGrid>
      <w:gridCol w:w="7456"/>
      <w:gridCol w:w="236"/>
      <w:gridCol w:w="7456"/>
    </w:tblGrid>
    <w:tr w:rsidR="00473E61" w14:paraId="06D7B5A1" w14:textId="77777777" w:rsidTr="0021246E">
      <w:tc>
        <w:tcPr>
          <w:tcW w:w="7456" w:type="dxa"/>
          <w:tcBorders>
            <w:top w:val="single" w:sz="8" w:space="0" w:color="000000" w:themeColor="text1"/>
          </w:tcBorders>
        </w:tcPr>
        <w:p w14:paraId="5A6E9A89" w14:textId="77777777" w:rsidR="00473E61" w:rsidRDefault="00473E61" w:rsidP="0021246E">
          <w:pPr>
            <w:pStyle w:val="Footer"/>
          </w:pPr>
        </w:p>
      </w:tc>
      <w:tc>
        <w:tcPr>
          <w:tcW w:w="236" w:type="dxa"/>
        </w:tcPr>
        <w:p w14:paraId="602B557B" w14:textId="77777777" w:rsidR="00473E61" w:rsidRDefault="00473E61" w:rsidP="0021246E">
          <w:pPr>
            <w:pStyle w:val="Footer"/>
          </w:pPr>
        </w:p>
      </w:tc>
      <w:tc>
        <w:tcPr>
          <w:tcW w:w="7456" w:type="dxa"/>
          <w:tcBorders>
            <w:top w:val="single" w:sz="8" w:space="0" w:color="000000" w:themeColor="text1"/>
          </w:tcBorders>
          <w:vAlign w:val="center"/>
        </w:tcPr>
        <w:p w14:paraId="797B361B" w14:textId="77777777" w:rsidR="00473E61" w:rsidRDefault="00473E61" w:rsidP="0021246E">
          <w:pPr>
            <w:pStyle w:val="Footer"/>
            <w:jc w:val="right"/>
          </w:pPr>
        </w:p>
      </w:tc>
    </w:tr>
  </w:tbl>
  <w:p w14:paraId="1C5F92DE" w14:textId="77777777" w:rsidR="00473E61" w:rsidRDefault="00473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Layout w:type="fixed"/>
      <w:tblCellMar>
        <w:top w:w="170" w:type="dxa"/>
      </w:tblCellMar>
      <w:tblLook w:val="04A0" w:firstRow="1" w:lastRow="0" w:firstColumn="1" w:lastColumn="0" w:noHBand="0" w:noVBand="1"/>
    </w:tblPr>
    <w:tblGrid>
      <w:gridCol w:w="7284"/>
      <w:gridCol w:w="231"/>
      <w:gridCol w:w="7284"/>
    </w:tblGrid>
    <w:tr w:rsidR="00473E61" w14:paraId="0188B4D3" w14:textId="77777777" w:rsidTr="00925E63">
      <w:tc>
        <w:tcPr>
          <w:tcW w:w="7456" w:type="dxa"/>
          <w:tcBorders>
            <w:top w:val="single" w:sz="8" w:space="0" w:color="FFF200" w:themeColor="background2"/>
          </w:tcBorders>
        </w:tcPr>
        <w:p w14:paraId="4814BF05" w14:textId="77777777" w:rsidR="00473E61" w:rsidRDefault="00473E61" w:rsidP="0021246E">
          <w:pPr>
            <w:pStyle w:val="Footer"/>
          </w:pPr>
        </w:p>
      </w:tc>
      <w:tc>
        <w:tcPr>
          <w:tcW w:w="236" w:type="dxa"/>
        </w:tcPr>
        <w:p w14:paraId="5EF0F04A" w14:textId="77777777" w:rsidR="00473E61" w:rsidRDefault="00473E61">
          <w:pPr>
            <w:pStyle w:val="Footer"/>
          </w:pPr>
        </w:p>
      </w:tc>
      <w:tc>
        <w:tcPr>
          <w:tcW w:w="7456" w:type="dxa"/>
          <w:tcBorders>
            <w:top w:val="single" w:sz="8" w:space="0" w:color="FFF200" w:themeColor="background2"/>
          </w:tcBorders>
        </w:tcPr>
        <w:p w14:paraId="5C3F400A" w14:textId="77777777" w:rsidR="00473E61" w:rsidRDefault="00473E61" w:rsidP="0021246E">
          <w:pPr>
            <w:pStyle w:val="Footer"/>
            <w:jc w:val="right"/>
          </w:pPr>
        </w:p>
      </w:tc>
    </w:tr>
  </w:tbl>
  <w:p w14:paraId="748DB96C" w14:textId="77777777" w:rsidR="00473E61" w:rsidRPr="00B72016" w:rsidRDefault="00473E61">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F0901" w14:textId="73935616" w:rsidR="00473E61" w:rsidRDefault="00473E61" w:rsidP="006756D6">
    <w:pPr>
      <w:pStyle w:val="Footer"/>
      <w:rPr>
        <w:noProof/>
        <w:lang w:eastAsia="en-AU"/>
      </w:rPr>
    </w:pPr>
    <w:r>
      <w:rPr>
        <w:noProof/>
        <w:lang w:eastAsia="en-AU"/>
      </w:rPr>
      <mc:AlternateContent>
        <mc:Choice Requires="wps">
          <w:drawing>
            <wp:anchor distT="0" distB="0" distL="114300" distR="114300" simplePos="0" relativeHeight="251660288" behindDoc="0" locked="1" layoutInCell="1" allowOverlap="1" wp14:anchorId="6598784B" wp14:editId="254BB4B5">
              <wp:simplePos x="0" y="0"/>
              <wp:positionH relativeFrom="margin">
                <wp:align>right</wp:align>
              </wp:positionH>
              <wp:positionV relativeFrom="page">
                <wp:align>bottom</wp:align>
              </wp:positionV>
              <wp:extent cx="3517200" cy="576000"/>
              <wp:effectExtent l="0" t="0" r="7620" b="0"/>
              <wp:wrapNone/>
              <wp:docPr id="72" name="Text Box 72"/>
              <wp:cNvGraphicFramePr/>
              <a:graphic xmlns:a="http://schemas.openxmlformats.org/drawingml/2006/main">
                <a:graphicData uri="http://schemas.microsoft.com/office/word/2010/wordprocessingShape">
                  <wps:wsp>
                    <wps:cNvSpPr txBox="1"/>
                    <wps:spPr>
                      <a:xfrm>
                        <a:off x="0" y="0"/>
                        <a:ext cx="3517200" cy="576000"/>
                      </a:xfrm>
                      <a:prstGeom prst="rect">
                        <a:avLst/>
                      </a:prstGeom>
                      <a:noFill/>
                      <a:ln w="6350">
                        <a:noFill/>
                      </a:ln>
                    </wps:spPr>
                    <wps:txbx>
                      <w:txbxContent>
                        <w:sdt>
                          <w:sdtPr>
                            <w:rPr>
                              <w:rStyle w:val="DocumentInfoChar"/>
                              <w:caps/>
                            </w:rPr>
                            <w:alias w:val="Type of Document"/>
                            <w:tag w:val="Type of Document"/>
                            <w:id w:val="651725361"/>
                            <w:placeholder>
                              <w:docPart w:val="AD5A2B409B224B56961E70EB618E5EFA"/>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p w14:paraId="4054A196" w14:textId="38DF7D30" w:rsidR="00473E61" w:rsidRDefault="00416976" w:rsidP="008D1623">
                              <w:pPr>
                                <w:pStyle w:val="DocumentInfo"/>
                              </w:pPr>
                              <w:r>
                                <w:rPr>
                                  <w:rStyle w:val="DocumentInfoChar"/>
                                  <w:caps/>
                                </w:rPr>
                                <w:t>final report</w:t>
                              </w:r>
                            </w:p>
                          </w:sdtContent>
                        </w:sdt>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8784B" id="_x0000_t202" coordsize="21600,21600" o:spt="202" path="m,l,21600r21600,l21600,xe">
              <v:stroke joinstyle="miter"/>
              <v:path gradientshapeok="t" o:connecttype="rect"/>
            </v:shapetype>
            <v:shape id="Text Box 72" o:spid="_x0000_s1028" type="#_x0000_t202" style="position:absolute;margin-left:225.75pt;margin-top:0;width:276.95pt;height:45.35pt;z-index:251660288;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" filled="f" stroked="f" strokeweight=".5pt">
              <v:textbox inset="0,,0">
                <w:txbxContent>
                  <w:sdt>
                    <w:sdtPr>
                      <w:rPr>
                        <w:rStyle w:val="DocumentInfoChar"/>
                        <w:caps/>
                      </w:rPr>
                      <w:alias w:val="Type of Document"/>
                      <w:tag w:val="Type of Document"/>
                      <w:id w:val="651725361"/>
                      <w:placeholder>
                        <w:docPart w:val="AD5A2B409B224B56961E70EB618E5EFA"/>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p w14:paraId="4054A196" w14:textId="38DF7D30" w:rsidR="00473E61" w:rsidRDefault="00416976" w:rsidP="008D1623">
                        <w:pPr>
                          <w:pStyle w:val="DocumentInfo"/>
                        </w:pPr>
                        <w:r>
                          <w:rPr>
                            <w:rStyle w:val="DocumentInfoChar"/>
                            <w:caps/>
                          </w:rPr>
                          <w:t>final report</w:t>
                        </w:r>
                      </w:p>
                    </w:sdtContent>
                  </w:sdt>
                </w:txbxContent>
              </v:textbox>
              <w10:wrap anchorx="margin" anchory="page"/>
              <w10:anchorlock/>
            </v:shape>
          </w:pict>
        </mc:Fallback>
      </mc:AlternateContent>
    </w:r>
    <w:sdt>
      <w:sdtPr>
        <w:rPr>
          <w:rStyle w:val="FooterProjectTitleChar"/>
        </w:rPr>
        <w:alias w:val="Client Name"/>
        <w:tag w:val="Client Name"/>
        <w:id w:val="540709509"/>
        <w:placeholder>
          <w:docPart w:val="E4AD93907C4A4B5F9F31CBFCF437361B"/>
        </w:placeholder>
        <w:dataBinding w:prefixMappings="xmlns:ns0='http://schemas.openxmlformats.org/officeDocument/2006/extended-properties' " w:xpath="/ns0:Properties[1]/ns0:Company[1]" w:storeItemID="{6668398D-A668-4E3E-A5EB-62B293D839F1}"/>
        <w:text/>
      </w:sdtPr>
      <w:sdtEndPr>
        <w:rPr>
          <w:rStyle w:val="FooterProjectTitleChar"/>
        </w:rPr>
      </w:sdtEndPr>
      <w:sdtContent>
        <w:r>
          <w:rPr>
            <w:rStyle w:val="FooterProjectTitleChar"/>
          </w:rPr>
          <w:t>Australian Government Department of Health</w:t>
        </w:r>
      </w:sdtContent>
    </w:sdt>
    <w:r>
      <w:rPr>
        <w:rStyle w:val="FooterProjectTitleChar"/>
      </w:rPr>
      <w:t xml:space="preserve"> •</w:t>
    </w:r>
    <w:r w:rsidRPr="00840813">
      <w:rPr>
        <w:rStyle w:val="FooterProjectTitleChar"/>
      </w:rPr>
      <w:t xml:space="preserve"> </w:t>
    </w:r>
    <w:sdt>
      <w:sdtPr>
        <w:rPr>
          <w:rStyle w:val="FooterProjectTitleChar"/>
        </w:rPr>
        <w:alias w:val="Title"/>
        <w:tag w:val=""/>
        <w:id w:val="1724706820"/>
        <w:placeholder>
          <w:docPart w:val="A2F55322340043D68828E3CA83DDC123"/>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z w:val="18"/>
          <w:szCs w:val="22"/>
        </w:rPr>
      </w:sdtEndPr>
      <w:sdtContent>
        <w:r>
          <w:rPr>
            <w:rStyle w:val="FooterProjectTitleChar"/>
          </w:rPr>
          <w:t>Evaluation of the COAG Section 19(2) Exemptions Initiative – Improving Access to Primary Care in Rural and Remote Areas</w:t>
        </w:r>
      </w:sdtContent>
    </w:sdt>
    <w:r>
      <w:rPr>
        <w:noProof/>
        <w:lang w:eastAsia="en-AU"/>
      </w:rPr>
      <w:t xml:space="preserve"> </w:t>
    </w:r>
  </w:p>
  <w:p w14:paraId="14192775" w14:textId="77777777" w:rsidR="00473E61" w:rsidRPr="006756D6" w:rsidRDefault="00473E61" w:rsidP="006756D6">
    <w:pPr>
      <w:pStyle w:val="Footer"/>
    </w:pPr>
    <w:r>
      <w:rPr>
        <w:noProof/>
        <w:lang w:eastAsia="en-AU"/>
      </w:rPr>
      <mc:AlternateContent>
        <mc:Choice Requires="wps">
          <w:drawing>
            <wp:anchor distT="0" distB="0" distL="114300" distR="114300" simplePos="0" relativeHeight="251659264" behindDoc="0" locked="1" layoutInCell="1" allowOverlap="1" wp14:anchorId="7FEE563C" wp14:editId="756F3255">
              <wp:simplePos x="0" y="0"/>
              <wp:positionH relativeFrom="page">
                <wp:align>right</wp:align>
              </wp:positionH>
              <wp:positionV relativeFrom="page">
                <wp:align>bottom</wp:align>
              </wp:positionV>
              <wp:extent cx="828000" cy="900000"/>
              <wp:effectExtent l="0" t="0" r="0" b="0"/>
              <wp:wrapNone/>
              <wp:docPr id="71" name="Rectangle 71"/>
              <wp:cNvGraphicFramePr/>
              <a:graphic xmlns:a="http://schemas.openxmlformats.org/drawingml/2006/main">
                <a:graphicData uri="http://schemas.microsoft.com/office/word/2010/wordprocessingShape">
                  <wps:wsp>
                    <wps:cNvSpPr/>
                    <wps:spPr>
                      <a:xfrm>
                        <a:off x="0" y="0"/>
                        <a:ext cx="828000" cy="90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E5D5231" id="Rectangle 71" o:spid="_x0000_s1026" style="position:absolute;margin-left:14pt;margin-top:0;width:65.2pt;height:70.8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" fillcolor="white [3212]" stroked="f" strokeweight="1pt">
              <w10:wrap anchorx="page" anchory="page"/>
              <w10:anchorlock/>
            </v:rect>
          </w:pict>
        </mc:Fallback>
      </mc:AlternateContent>
    </w:r>
    <w:r>
      <w:rPr>
        <w:noProof/>
        <w:lang w:eastAsia="en-AU"/>
      </w:rPr>
      <mc:AlternateContent>
        <mc:Choice Requires="wpg">
          <w:drawing>
            <wp:anchor distT="0" distB="0" distL="114300" distR="114300" simplePos="0" relativeHeight="251658240" behindDoc="0" locked="1" layoutInCell="1" allowOverlap="1" wp14:anchorId="45EACE81" wp14:editId="5C010CCB">
              <wp:simplePos x="0" y="0"/>
              <wp:positionH relativeFrom="page">
                <wp:align>left</wp:align>
              </wp:positionH>
              <wp:positionV relativeFrom="page">
                <wp:align>bottom</wp:align>
              </wp:positionV>
              <wp:extent cx="11268000" cy="604800"/>
              <wp:effectExtent l="0" t="0" r="29210" b="5080"/>
              <wp:wrapNone/>
              <wp:docPr id="65" name="Group 65"/>
              <wp:cNvGraphicFramePr/>
              <a:graphic xmlns:a="http://schemas.openxmlformats.org/drawingml/2006/main">
                <a:graphicData uri="http://schemas.microsoft.com/office/word/2010/wordprocessingGroup">
                  <wpg:wgp>
                    <wpg:cNvGrpSpPr/>
                    <wpg:grpSpPr>
                      <a:xfrm>
                        <a:off x="0" y="0"/>
                        <a:ext cx="11268000" cy="604800"/>
                        <a:chOff x="0" y="0"/>
                        <a:chExt cx="11267934" cy="603444"/>
                      </a:xfrm>
                    </wpg:grpSpPr>
                    <wps:wsp>
                      <wps:cNvPr id="51" name="Rectangle 51"/>
                      <wps:cNvSpPr/>
                      <wps:spPr>
                        <a:xfrm>
                          <a:off x="0" y="488244"/>
                          <a:ext cx="324000" cy="115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47"/>
                      <wps:cNvCnPr/>
                      <wps:spPr>
                        <a:xfrm>
                          <a:off x="468489" y="0"/>
                          <a:ext cx="10799445"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50D05D8" id="Group 65" o:spid="_x0000_s1026" style="position:absolute;margin-left:0;margin-top:0;width:887.25pt;height:47.6pt;z-index:251658240;mso-position-horizontal:left;mso-position-horizontal-relative:page;mso-position-vertical:bottom;mso-position-vertical-relative:page;mso-width-relative:margin;mso-height-relative:margin" coordsize="112679,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">
              <v:rect id="Rectangle 51" o:spid="_x0000_s1027" style="position:absolute;top:4882;width:324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45xQAAANsAAAAPAAAAZHJzL2Rvd25yZXYueG1sRI9PawIx&#10;FMTvhX6H8Aq9FM3ap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C47j45xQAAANsAAAAP&#10;AAAAAAAAAAAAAAAAAAcCAABkcnMvZG93bnJldi54bWxQSwUGAAAAAAMAAwC3AAAA+QIAAAAA&#10;" fillcolor="white [3212]" stroked="f" strokeweight="1pt"/>
              <v:line id="Straight Connector 47" o:spid="_x0000_s1028" style="position:absolute;visibility:visible;mso-wrap-style:square" from="4684,0" to="11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" strokecolor="#fff200 [3214]" strokeweight="1pt">
                <v:stroke joinstyle="miter"/>
              </v:line>
              <w10:wrap anchorx="page" anchory="page"/>
              <w10:anchorlock/>
            </v:group>
          </w:pict>
        </mc:Fallback>
      </mc:AlternateContent>
    </w:r>
    <w:r>
      <w:rPr>
        <w:noProof/>
        <w:lang w:eastAsia="en-AU"/>
      </w:rPr>
      <mc:AlternateContent>
        <mc:Choice Requires="wpg">
          <w:drawing>
            <wp:anchor distT="0" distB="0" distL="114300" distR="114300" simplePos="0" relativeHeight="251657216" behindDoc="0" locked="1" layoutInCell="1" allowOverlap="1" wp14:anchorId="2F54B119" wp14:editId="5F1ACE64">
              <wp:simplePos x="0" y="0"/>
              <wp:positionH relativeFrom="page">
                <wp:align>right</wp:align>
              </wp:positionH>
              <wp:positionV relativeFrom="page">
                <wp:align>center</wp:align>
              </wp:positionV>
              <wp:extent cx="540000" cy="579600"/>
              <wp:effectExtent l="0" t="0" r="0" b="0"/>
              <wp:wrapNone/>
              <wp:docPr id="2" name="Group 2"/>
              <wp:cNvGraphicFramePr/>
              <a:graphic xmlns:a="http://schemas.openxmlformats.org/drawingml/2006/main">
                <a:graphicData uri="http://schemas.microsoft.com/office/word/2010/wordprocessingGroup">
                  <wpg:wgp>
                    <wpg:cNvGrpSpPr/>
                    <wpg:grpSpPr>
                      <a:xfrm>
                        <a:off x="0" y="0"/>
                        <a:ext cx="540000" cy="579600"/>
                        <a:chOff x="0" y="0"/>
                        <a:chExt cx="541412" cy="579120"/>
                      </a:xfrm>
                    </wpg:grpSpPr>
                    <wps:wsp>
                      <wps:cNvPr id="4" name="Freeform 88"/>
                      <wps:cNvSpPr>
                        <a:spLocks/>
                      </wps:cNvSpPr>
                      <wps:spPr bwMode="auto">
                        <a:xfrm>
                          <a:off x="0" y="0"/>
                          <a:ext cx="363220" cy="579120"/>
                        </a:xfrm>
                        <a:custGeom>
                          <a:avLst/>
                          <a:gdLst>
                            <a:gd name="T0" fmla="*/ 363 w 454"/>
                            <a:gd name="T1" fmla="*/ 733 h 733"/>
                            <a:gd name="T2" fmla="*/ 454 w 454"/>
                            <a:gd name="T3" fmla="*/ 643 h 733"/>
                            <a:gd name="T4" fmla="*/ 454 w 454"/>
                            <a:gd name="T5" fmla="*/ 91 h 733"/>
                            <a:gd name="T6" fmla="*/ 363 w 454"/>
                            <a:gd name="T7" fmla="*/ 0 h 733"/>
                            <a:gd name="T8" fmla="*/ 91 w 454"/>
                            <a:gd name="T9" fmla="*/ 0 h 733"/>
                            <a:gd name="T10" fmla="*/ 0 w 454"/>
                            <a:gd name="T11" fmla="*/ 91 h 733"/>
                            <a:gd name="T12" fmla="*/ 0 w 454"/>
                            <a:gd name="T13" fmla="*/ 643 h 733"/>
                            <a:gd name="T14" fmla="*/ 91 w 454"/>
                            <a:gd name="T15" fmla="*/ 733 h 733"/>
                            <a:gd name="T16" fmla="*/ 363 w 454"/>
                            <a:gd name="T17" fmla="*/ 733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4" h="733">
                              <a:moveTo>
                                <a:pt x="363" y="733"/>
                              </a:moveTo>
                              <a:cubicBezTo>
                                <a:pt x="363" y="733"/>
                                <a:pt x="454" y="733"/>
                                <a:pt x="454" y="643"/>
                              </a:cubicBezTo>
                              <a:lnTo>
                                <a:pt x="454" y="91"/>
                              </a:lnTo>
                              <a:cubicBezTo>
                                <a:pt x="454" y="91"/>
                                <a:pt x="454" y="0"/>
                                <a:pt x="363" y="0"/>
                              </a:cubicBezTo>
                              <a:lnTo>
                                <a:pt x="91" y="0"/>
                              </a:lnTo>
                              <a:cubicBezTo>
                                <a:pt x="91" y="0"/>
                                <a:pt x="0" y="0"/>
                                <a:pt x="0" y="91"/>
                              </a:cubicBezTo>
                              <a:lnTo>
                                <a:pt x="0" y="643"/>
                              </a:lnTo>
                              <a:cubicBezTo>
                                <a:pt x="0" y="643"/>
                                <a:pt x="0" y="733"/>
                                <a:pt x="91" y="733"/>
                              </a:cubicBezTo>
                              <a:lnTo>
                                <a:pt x="363" y="733"/>
                              </a:lnTo>
                              <a:close/>
                            </a:path>
                          </a:pathLst>
                        </a:custGeom>
                        <a:solidFill>
                          <a:schemeClr val="bg2"/>
                        </a:solidFill>
                        <a:ln w="1">
                          <a:noFill/>
                          <a:prstDash val="solid"/>
                          <a:round/>
                          <a:headEnd/>
                          <a:tailEnd/>
                        </a:ln>
                      </wps:spPr>
                      <wps:txbx>
                        <w:txbxContent>
                          <w:p w14:paraId="4F9FD39B" w14:textId="7C58CDCD" w:rsidR="00473E61" w:rsidRDefault="00473E61" w:rsidP="00B91FA3">
                            <w:pPr>
                              <w:pStyle w:val="BoxedPageNumber"/>
                            </w:pPr>
                            <w:r>
                              <w:fldChar w:fldCharType="begin"/>
                            </w:r>
                            <w:r>
                              <w:instrText xml:space="preserve"> PAGE   \* MERGEFORMAT </w:instrText>
                            </w:r>
                            <w:r>
                              <w:fldChar w:fldCharType="separate"/>
                            </w:r>
                            <w:r>
                              <w:t>34</w:t>
                            </w:r>
                            <w:r>
                              <w:fldChar w:fldCharType="end"/>
                            </w:r>
                          </w:p>
                        </w:txbxContent>
                      </wps:txbx>
                      <wps:bodyPr rot="0" vert="horz" wrap="square" lIns="0" tIns="0" rIns="0" bIns="0" anchor="ctr" anchorCtr="0" upright="1">
                        <a:noAutofit/>
                      </wps:bodyPr>
                    </wps:wsp>
                    <wps:wsp>
                      <wps:cNvPr id="5" name="Rectangle 5"/>
                      <wps:cNvSpPr/>
                      <wps:spPr>
                        <a:xfrm>
                          <a:off x="455012" y="233339"/>
                          <a:ext cx="86400" cy="11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54B119" id="Group 2" o:spid="_x0000_s1029" style="position:absolute;margin-left:-8.7pt;margin-top:0;width:42.5pt;height:45.65pt;z-index:251657216;mso-position-horizontal:right;mso-position-horizontal-relative:page;mso-position-vertical:center;mso-position-vertical-relative:page;mso-width-relative:margin;mso-height-relative:margin" coordsize="5414,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">
              <v:shape id="Freeform 88" o:spid="_x0000_s1030" style="position:absolute;width:3632;height:5791;visibility:visible;mso-wrap-style:square;v-text-anchor:middle" coordsize="454,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" adj="-11796480,,5400" path="m363,733v,,91,,91,-90l454,91v,,,-91,-91,-91l91,c91,,,,,91l,643v,,,90,91,90l363,733xe" fillcolor="#fff200 [3214]" stroked="f" strokeweight="3e-5mm">
                <v:stroke joinstyle="round"/>
                <v:formulas/>
                <v:path arrowok="t" o:connecttype="custom" o:connectlocs="290416,579120;363220,508014;363220,71896;290416,0;72804,0;0,71896;0,508014;72804,579120;290416,579120" o:connectangles="0,0,0,0,0,0,0,0,0" textboxrect="0,0,454,733"/>
                <v:textbox inset="0,0,0,0">
                  <w:txbxContent>
                    <w:p w14:paraId="4F9FD39B" w14:textId="7C58CDCD" w:rsidR="00473E61" w:rsidRDefault="00473E61" w:rsidP="00B91FA3">
                      <w:pPr>
                        <w:pStyle w:val="BoxedPageNumber"/>
                      </w:pPr>
                      <w:r>
                        <w:fldChar w:fldCharType="begin"/>
                      </w:r>
                      <w:r>
                        <w:instrText xml:space="preserve"> PAGE   \* MERGEFORMAT </w:instrText>
                      </w:r>
                      <w:r>
                        <w:fldChar w:fldCharType="separate"/>
                      </w:r>
                      <w:r>
                        <w:t>34</w:t>
                      </w:r>
                      <w:r>
                        <w:fldChar w:fldCharType="end"/>
                      </w:r>
                    </w:p>
                  </w:txbxContent>
                </v:textbox>
              </v:shape>
              <v:rect id="Rectangle 5" o:spid="_x0000_s1031" style="position:absolute;left:4550;top:2333;width:864;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7/PxAAAANoAAAAPAAAAZHJzL2Rvd25yZXYueG1sRI9PawIx&#10;FMTvhX6H8ApeimZ1qc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HXXv8/EAAAA2gAAAA8A&#10;AAAAAAAAAAAAAAAABwIAAGRycy9kb3ducmV2LnhtbFBLBQYAAAAAAwADALcAAAD4AgAAAAA=&#10;" fillcolor="white [3212]" stroked="f" strokeweight="1pt"/>
              <w10:wrap anchorx="page"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A2489" w14:textId="0860A9EA" w:rsidR="00473E61" w:rsidRDefault="00473E61" w:rsidP="006756D6">
    <w:pPr>
      <w:pStyle w:val="Footer"/>
      <w:rPr>
        <w:noProof/>
        <w:lang w:eastAsia="en-AU"/>
      </w:rPr>
    </w:pPr>
    <w:r>
      <w:rPr>
        <w:noProof/>
        <w:lang w:eastAsia="en-AU"/>
      </w:rPr>
      <mc:AlternateContent>
        <mc:Choice Requires="wps">
          <w:drawing>
            <wp:anchor distT="0" distB="0" distL="114300" distR="114300" simplePos="0" relativeHeight="251666432" behindDoc="0" locked="1" layoutInCell="1" allowOverlap="1" wp14:anchorId="50A430D0" wp14:editId="45F1812A">
              <wp:simplePos x="0" y="0"/>
              <wp:positionH relativeFrom="margin">
                <wp:align>right</wp:align>
              </wp:positionH>
              <wp:positionV relativeFrom="page">
                <wp:align>bottom</wp:align>
              </wp:positionV>
              <wp:extent cx="3517200" cy="576000"/>
              <wp:effectExtent l="0" t="0" r="7620" b="0"/>
              <wp:wrapNone/>
              <wp:docPr id="69" name="Text Box 69"/>
              <wp:cNvGraphicFramePr/>
              <a:graphic xmlns:a="http://schemas.openxmlformats.org/drawingml/2006/main">
                <a:graphicData uri="http://schemas.microsoft.com/office/word/2010/wordprocessingShape">
                  <wps:wsp>
                    <wps:cNvSpPr txBox="1"/>
                    <wps:spPr>
                      <a:xfrm>
                        <a:off x="0" y="0"/>
                        <a:ext cx="3517200" cy="576000"/>
                      </a:xfrm>
                      <a:prstGeom prst="rect">
                        <a:avLst/>
                      </a:prstGeom>
                      <a:noFill/>
                      <a:ln w="6350">
                        <a:noFill/>
                      </a:ln>
                    </wps:spPr>
                    <wps:txbx>
                      <w:txbxContent>
                        <w:sdt>
                          <w:sdtPr>
                            <w:rPr>
                              <w:rStyle w:val="DocumentInfoChar"/>
                              <w:caps/>
                            </w:rPr>
                            <w:alias w:val="Type of Document"/>
                            <w:tag w:val="Type of Document"/>
                            <w:id w:val="473575438"/>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p w14:paraId="68CD91A2" w14:textId="325AA30D" w:rsidR="00473E61" w:rsidRDefault="00416976" w:rsidP="008D1623">
                              <w:pPr>
                                <w:pStyle w:val="DocumentInfo"/>
                              </w:pPr>
                              <w:r>
                                <w:rPr>
                                  <w:rStyle w:val="DocumentInfoChar"/>
                                  <w:caps/>
                                </w:rPr>
                                <w:t>final report</w:t>
                              </w:r>
                            </w:p>
                          </w:sdtContent>
                        </w:sdt>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430D0" id="_x0000_t202" coordsize="21600,21600" o:spt="202" path="m,l,21600r21600,l21600,xe">
              <v:stroke joinstyle="miter"/>
              <v:path gradientshapeok="t" o:connecttype="rect"/>
            </v:shapetype>
            <v:shape id="Text Box 69" o:spid="_x0000_s1032" type="#_x0000_t202" style="position:absolute;margin-left:225.75pt;margin-top:0;width:276.95pt;height:45.35pt;z-index:251666432;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" filled="f" stroked="f" strokeweight=".5pt">
              <v:textbox inset="0,,0">
                <w:txbxContent>
                  <w:sdt>
                    <w:sdtPr>
                      <w:rPr>
                        <w:rStyle w:val="DocumentInfoChar"/>
                        <w:caps/>
                      </w:rPr>
                      <w:alias w:val="Type of Document"/>
                      <w:tag w:val="Type of Document"/>
                      <w:id w:val="473575438"/>
                      <w:dataBinding w:prefixMappings="xmlns:ns0='http://purl.org/dc/elements/1.1/' xmlns:ns1='http://schemas.openxmlformats.org/package/2006/metadata/core-properties' " w:xpath="/ns1:coreProperties[1]/ns1:category[1]" w:storeItemID="{6C3C8BC8-F283-45AE-878A-BAB7291924A1}"/>
                      <w:text/>
                    </w:sdtPr>
                    <w:sdtEndPr>
                      <w:rPr>
                        <w:rStyle w:val="DefaultParagraphFont"/>
                      </w:rPr>
                    </w:sdtEndPr>
                    <w:sdtContent>
                      <w:p w14:paraId="68CD91A2" w14:textId="325AA30D" w:rsidR="00473E61" w:rsidRDefault="00416976" w:rsidP="008D1623">
                        <w:pPr>
                          <w:pStyle w:val="DocumentInfo"/>
                        </w:pPr>
                        <w:r>
                          <w:rPr>
                            <w:rStyle w:val="DocumentInfoChar"/>
                            <w:caps/>
                          </w:rPr>
                          <w:t>final report</w:t>
                        </w:r>
                      </w:p>
                    </w:sdtContent>
                  </w:sdt>
                </w:txbxContent>
              </v:textbox>
              <w10:wrap anchorx="margin" anchory="page"/>
              <w10:anchorlock/>
            </v:shape>
          </w:pict>
        </mc:Fallback>
      </mc:AlternateContent>
    </w:r>
    <w:sdt>
      <w:sdtPr>
        <w:rPr>
          <w:rStyle w:val="FooterProjectTitleChar"/>
        </w:rPr>
        <w:alias w:val="Client Name"/>
        <w:tag w:val="Client Name"/>
        <w:id w:val="1219244082"/>
        <w:placeholder>
          <w:docPart w:val="43FF8F86624F4F61A34C4388AA0BE463"/>
        </w:placeholder>
        <w:dataBinding w:prefixMappings="xmlns:ns0='http://schemas.openxmlformats.org/officeDocument/2006/extended-properties' " w:xpath="/ns0:Properties[1]/ns0:Company[1]" w:storeItemID="{6668398D-A668-4E3E-A5EB-62B293D839F1}"/>
        <w:text/>
      </w:sdtPr>
      <w:sdtEndPr>
        <w:rPr>
          <w:rStyle w:val="FooterProjectTitleChar"/>
        </w:rPr>
      </w:sdtEndPr>
      <w:sdtContent>
        <w:r>
          <w:rPr>
            <w:rStyle w:val="FooterProjectTitleChar"/>
          </w:rPr>
          <w:t>Australian Government Department of Health</w:t>
        </w:r>
      </w:sdtContent>
    </w:sdt>
    <w:r>
      <w:rPr>
        <w:rStyle w:val="FooterProjectTitleChar"/>
      </w:rPr>
      <w:t xml:space="preserve"> •</w:t>
    </w:r>
    <w:r w:rsidRPr="00840813">
      <w:rPr>
        <w:rStyle w:val="FooterProjectTitleChar"/>
      </w:rPr>
      <w:t xml:space="preserve"> </w:t>
    </w:r>
    <w:sdt>
      <w:sdtPr>
        <w:rPr>
          <w:rStyle w:val="FooterProjectTitleChar"/>
        </w:rPr>
        <w:alias w:val="Title"/>
        <w:tag w:val=""/>
        <w:id w:val="1027151779"/>
        <w:placeholder>
          <w:docPart w:val="D2BAFAF8A40244EFB230CCE2D99BAB37"/>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ascii="Arial" w:hAnsi="Arial" w:cstheme="minorBidi"/>
          <w:color w:val="auto"/>
          <w:sz w:val="18"/>
          <w:szCs w:val="22"/>
        </w:rPr>
      </w:sdtEndPr>
      <w:sdtContent>
        <w:r>
          <w:rPr>
            <w:rStyle w:val="FooterProjectTitleChar"/>
          </w:rPr>
          <w:t>Evaluation of the COAG Section 19(2) Exemptions Initiative – Improving Access to Primary Care in Rural and Remote Areas</w:t>
        </w:r>
      </w:sdtContent>
    </w:sdt>
    <w:r>
      <w:rPr>
        <w:noProof/>
        <w:lang w:eastAsia="en-AU"/>
      </w:rPr>
      <w:t xml:space="preserve"> </w:t>
    </w:r>
  </w:p>
  <w:p w14:paraId="2558899E" w14:textId="77777777" w:rsidR="00473E61" w:rsidRPr="006756D6" w:rsidRDefault="00473E61" w:rsidP="006756D6">
    <w:pPr>
      <w:pStyle w:val="Footer"/>
    </w:pPr>
    <w:r>
      <w:rPr>
        <w:noProof/>
        <w:lang w:eastAsia="en-AU"/>
      </w:rPr>
      <mc:AlternateContent>
        <mc:Choice Requires="wps">
          <w:drawing>
            <wp:anchor distT="0" distB="0" distL="114300" distR="114300" simplePos="0" relativeHeight="251665408" behindDoc="0" locked="1" layoutInCell="1" allowOverlap="1" wp14:anchorId="5CF50DC9" wp14:editId="401EB694">
              <wp:simplePos x="0" y="0"/>
              <wp:positionH relativeFrom="page">
                <wp:align>right</wp:align>
              </wp:positionH>
              <wp:positionV relativeFrom="page">
                <wp:align>bottom</wp:align>
              </wp:positionV>
              <wp:extent cx="828000" cy="900000"/>
              <wp:effectExtent l="0" t="0" r="0" b="0"/>
              <wp:wrapNone/>
              <wp:docPr id="73" name="Rectangle 73"/>
              <wp:cNvGraphicFramePr/>
              <a:graphic xmlns:a="http://schemas.openxmlformats.org/drawingml/2006/main">
                <a:graphicData uri="http://schemas.microsoft.com/office/word/2010/wordprocessingShape">
                  <wps:wsp>
                    <wps:cNvSpPr/>
                    <wps:spPr>
                      <a:xfrm>
                        <a:off x="0" y="0"/>
                        <a:ext cx="828000" cy="90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4E3DF69" id="Rectangle 73" o:spid="_x0000_s1026" style="position:absolute;margin-left:14pt;margin-top:0;width:65.2pt;height:70.85pt;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" fillcolor="white [3212]" stroked="f" strokeweight="1pt">
              <w10:wrap anchorx="page" anchory="page"/>
              <w10:anchorlock/>
            </v:rect>
          </w:pict>
        </mc:Fallback>
      </mc:AlternateContent>
    </w:r>
    <w:r>
      <w:rPr>
        <w:noProof/>
        <w:lang w:eastAsia="en-AU"/>
      </w:rPr>
      <mc:AlternateContent>
        <mc:Choice Requires="wpg">
          <w:drawing>
            <wp:anchor distT="0" distB="0" distL="114300" distR="114300" simplePos="0" relativeHeight="251664384" behindDoc="0" locked="1" layoutInCell="1" allowOverlap="1" wp14:anchorId="754F2E71" wp14:editId="79B5ADB7">
              <wp:simplePos x="0" y="0"/>
              <wp:positionH relativeFrom="page">
                <wp:align>left</wp:align>
              </wp:positionH>
              <wp:positionV relativeFrom="page">
                <wp:align>bottom</wp:align>
              </wp:positionV>
              <wp:extent cx="11268000" cy="604800"/>
              <wp:effectExtent l="0" t="0" r="29210" b="5080"/>
              <wp:wrapNone/>
              <wp:docPr id="78" name="Group 78"/>
              <wp:cNvGraphicFramePr/>
              <a:graphic xmlns:a="http://schemas.openxmlformats.org/drawingml/2006/main">
                <a:graphicData uri="http://schemas.microsoft.com/office/word/2010/wordprocessingGroup">
                  <wpg:wgp>
                    <wpg:cNvGrpSpPr/>
                    <wpg:grpSpPr>
                      <a:xfrm>
                        <a:off x="0" y="0"/>
                        <a:ext cx="11268000" cy="604800"/>
                        <a:chOff x="0" y="0"/>
                        <a:chExt cx="11267934" cy="603444"/>
                      </a:xfrm>
                    </wpg:grpSpPr>
                    <wps:wsp>
                      <wps:cNvPr id="79" name="Rectangle 79"/>
                      <wps:cNvSpPr/>
                      <wps:spPr>
                        <a:xfrm>
                          <a:off x="0" y="488244"/>
                          <a:ext cx="324000" cy="115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Connector 80"/>
                      <wps:cNvCnPr/>
                      <wps:spPr>
                        <a:xfrm>
                          <a:off x="468489" y="0"/>
                          <a:ext cx="10799445"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1F7372B" id="Group 78" o:spid="_x0000_s1026" style="position:absolute;margin-left:0;margin-top:0;width:887.25pt;height:47.6pt;z-index:251664384;mso-position-horizontal:left;mso-position-horizontal-relative:page;mso-position-vertical:bottom;mso-position-vertical-relative:page;mso-width-relative:margin;mso-height-relative:margin" coordsize="112679,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">
              <v:rect id="Rectangle 79" o:spid="_x0000_s1027" style="position:absolute;top:4882;width:324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" fillcolor="white [3212]" stroked="f" strokeweight="1pt"/>
              <v:line id="Straight Connector 80" o:spid="_x0000_s1028" style="position:absolute;visibility:visible;mso-wrap-style:square" from="4684,0" to="11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" strokecolor="#fff200 [3214]" strokeweight="1pt">
                <v:stroke joinstyle="miter"/>
              </v:line>
              <w10:wrap anchorx="page" anchory="page"/>
              <w10:anchorlock/>
            </v:group>
          </w:pict>
        </mc:Fallback>
      </mc:AlternateContent>
    </w:r>
    <w:r>
      <w:rPr>
        <w:noProof/>
        <w:lang w:eastAsia="en-AU"/>
      </w:rPr>
      <mc:AlternateContent>
        <mc:Choice Requires="wpg">
          <w:drawing>
            <wp:anchor distT="0" distB="0" distL="114300" distR="114300" simplePos="0" relativeHeight="251663360" behindDoc="0" locked="1" layoutInCell="1" allowOverlap="1" wp14:anchorId="49D651AC" wp14:editId="3E0807A1">
              <wp:simplePos x="0" y="0"/>
              <wp:positionH relativeFrom="page">
                <wp:align>right</wp:align>
              </wp:positionH>
              <wp:positionV relativeFrom="page">
                <wp:align>center</wp:align>
              </wp:positionV>
              <wp:extent cx="540000" cy="579600"/>
              <wp:effectExtent l="0" t="0" r="0" b="0"/>
              <wp:wrapNone/>
              <wp:docPr id="81" name="Group 81"/>
              <wp:cNvGraphicFramePr/>
              <a:graphic xmlns:a="http://schemas.openxmlformats.org/drawingml/2006/main">
                <a:graphicData uri="http://schemas.microsoft.com/office/word/2010/wordprocessingGroup">
                  <wpg:wgp>
                    <wpg:cNvGrpSpPr/>
                    <wpg:grpSpPr>
                      <a:xfrm>
                        <a:off x="0" y="0"/>
                        <a:ext cx="540000" cy="579600"/>
                        <a:chOff x="0" y="0"/>
                        <a:chExt cx="541412" cy="579120"/>
                      </a:xfrm>
                    </wpg:grpSpPr>
                    <wps:wsp>
                      <wps:cNvPr id="82" name="Freeform 88"/>
                      <wps:cNvSpPr>
                        <a:spLocks/>
                      </wps:cNvSpPr>
                      <wps:spPr bwMode="auto">
                        <a:xfrm>
                          <a:off x="0" y="0"/>
                          <a:ext cx="363220" cy="579120"/>
                        </a:xfrm>
                        <a:custGeom>
                          <a:avLst/>
                          <a:gdLst>
                            <a:gd name="T0" fmla="*/ 363 w 454"/>
                            <a:gd name="T1" fmla="*/ 733 h 733"/>
                            <a:gd name="T2" fmla="*/ 454 w 454"/>
                            <a:gd name="T3" fmla="*/ 643 h 733"/>
                            <a:gd name="T4" fmla="*/ 454 w 454"/>
                            <a:gd name="T5" fmla="*/ 91 h 733"/>
                            <a:gd name="T6" fmla="*/ 363 w 454"/>
                            <a:gd name="T7" fmla="*/ 0 h 733"/>
                            <a:gd name="T8" fmla="*/ 91 w 454"/>
                            <a:gd name="T9" fmla="*/ 0 h 733"/>
                            <a:gd name="T10" fmla="*/ 0 w 454"/>
                            <a:gd name="T11" fmla="*/ 91 h 733"/>
                            <a:gd name="T12" fmla="*/ 0 w 454"/>
                            <a:gd name="T13" fmla="*/ 643 h 733"/>
                            <a:gd name="T14" fmla="*/ 91 w 454"/>
                            <a:gd name="T15" fmla="*/ 733 h 733"/>
                            <a:gd name="T16" fmla="*/ 363 w 454"/>
                            <a:gd name="T17" fmla="*/ 733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4" h="733">
                              <a:moveTo>
                                <a:pt x="363" y="733"/>
                              </a:moveTo>
                              <a:cubicBezTo>
                                <a:pt x="363" y="733"/>
                                <a:pt x="454" y="733"/>
                                <a:pt x="454" y="643"/>
                              </a:cubicBezTo>
                              <a:lnTo>
                                <a:pt x="454" y="91"/>
                              </a:lnTo>
                              <a:cubicBezTo>
                                <a:pt x="454" y="91"/>
                                <a:pt x="454" y="0"/>
                                <a:pt x="363" y="0"/>
                              </a:cubicBezTo>
                              <a:lnTo>
                                <a:pt x="91" y="0"/>
                              </a:lnTo>
                              <a:cubicBezTo>
                                <a:pt x="91" y="0"/>
                                <a:pt x="0" y="0"/>
                                <a:pt x="0" y="91"/>
                              </a:cubicBezTo>
                              <a:lnTo>
                                <a:pt x="0" y="643"/>
                              </a:lnTo>
                              <a:cubicBezTo>
                                <a:pt x="0" y="643"/>
                                <a:pt x="0" y="733"/>
                                <a:pt x="91" y="733"/>
                              </a:cubicBezTo>
                              <a:lnTo>
                                <a:pt x="363" y="733"/>
                              </a:lnTo>
                              <a:close/>
                            </a:path>
                          </a:pathLst>
                        </a:custGeom>
                        <a:solidFill>
                          <a:schemeClr val="bg2"/>
                        </a:solidFill>
                        <a:ln w="1">
                          <a:noFill/>
                          <a:prstDash val="solid"/>
                          <a:round/>
                          <a:headEnd/>
                          <a:tailEnd/>
                        </a:ln>
                      </wps:spPr>
                      <wps:txbx>
                        <w:txbxContent>
                          <w:p w14:paraId="3CD9ABC9" w14:textId="77777777" w:rsidR="00473E61" w:rsidRDefault="00473E61" w:rsidP="00B91FA3">
                            <w:pPr>
                              <w:pStyle w:val="BoxedPageNumber"/>
                            </w:pPr>
                            <w:r>
                              <w:fldChar w:fldCharType="begin"/>
                            </w:r>
                            <w:r>
                              <w:instrText xml:space="preserve"> PAGE   \* MERGEFORMAT </w:instrText>
                            </w:r>
                            <w:r>
                              <w:fldChar w:fldCharType="separate"/>
                            </w:r>
                            <w:r>
                              <w:t>34</w:t>
                            </w:r>
                            <w:r>
                              <w:fldChar w:fldCharType="end"/>
                            </w:r>
                          </w:p>
                        </w:txbxContent>
                      </wps:txbx>
                      <wps:bodyPr rot="0" vert="horz" wrap="square" lIns="0" tIns="0" rIns="0" bIns="0" anchor="ctr" anchorCtr="0" upright="1">
                        <a:noAutofit/>
                      </wps:bodyPr>
                    </wps:wsp>
                    <wps:wsp>
                      <wps:cNvPr id="83" name="Rectangle 83"/>
                      <wps:cNvSpPr/>
                      <wps:spPr>
                        <a:xfrm>
                          <a:off x="455012" y="233339"/>
                          <a:ext cx="86400" cy="11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651AC" id="Group 81" o:spid="_x0000_s1033" style="position:absolute;margin-left:-8.7pt;margin-top:0;width:42.5pt;height:45.65pt;z-index:251663360;mso-position-horizontal:right;mso-position-horizontal-relative:page;mso-position-vertical:center;mso-position-vertical-relative:page;mso-width-relative:margin;mso-height-relative:margin" coordsize="5414,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">
              <v:shape id="Freeform 88" o:spid="_x0000_s1034" style="position:absolute;width:3632;height:5791;visibility:visible;mso-wrap-style:square;v-text-anchor:middle" coordsize="454,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" adj="-11796480,,5400" path="m363,733v,,91,,91,-90l454,91v,,,-91,-91,-91l91,c91,,,,,91l,643v,,,90,91,90l363,733xe" fillcolor="#fff200 [3214]" stroked="f" strokeweight="3e-5mm">
                <v:stroke joinstyle="round"/>
                <v:formulas/>
                <v:path arrowok="t" o:connecttype="custom" o:connectlocs="290416,579120;363220,508014;363220,71896;290416,0;72804,0;0,71896;0,508014;72804,579120;290416,579120" o:connectangles="0,0,0,0,0,0,0,0,0" textboxrect="0,0,454,733"/>
                <v:textbox inset="0,0,0,0">
                  <w:txbxContent>
                    <w:p w14:paraId="3CD9ABC9" w14:textId="77777777" w:rsidR="00473E61" w:rsidRDefault="00473E61" w:rsidP="00B91FA3">
                      <w:pPr>
                        <w:pStyle w:val="BoxedPageNumber"/>
                      </w:pPr>
                      <w:r>
                        <w:fldChar w:fldCharType="begin"/>
                      </w:r>
                      <w:r>
                        <w:instrText xml:space="preserve"> PAGE   \* MERGEFORMAT </w:instrText>
                      </w:r>
                      <w:r>
                        <w:fldChar w:fldCharType="separate"/>
                      </w:r>
                      <w:r>
                        <w:t>34</w:t>
                      </w:r>
                      <w:r>
                        <w:fldChar w:fldCharType="end"/>
                      </w:r>
                    </w:p>
                  </w:txbxContent>
                </v:textbox>
              </v:shape>
              <v:rect id="Rectangle 83" o:spid="_x0000_s1035" style="position:absolute;left:4550;top:2333;width:864;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" fillcolor="white [3212]" stroked="f" strokeweight="1p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C3F91" w14:textId="77777777" w:rsidR="00C67C3E" w:rsidRDefault="00C67C3E" w:rsidP="00C37A29">
      <w:pPr>
        <w:spacing w:after="0"/>
      </w:pPr>
      <w:r>
        <w:separator/>
      </w:r>
    </w:p>
    <w:p w14:paraId="575F6D06" w14:textId="77777777" w:rsidR="00C67C3E" w:rsidRDefault="00C67C3E"/>
  </w:footnote>
  <w:footnote w:type="continuationSeparator" w:id="0">
    <w:p w14:paraId="5BFFEED2" w14:textId="77777777" w:rsidR="00C67C3E" w:rsidRDefault="00C67C3E" w:rsidP="00C37A29">
      <w:pPr>
        <w:spacing w:after="0"/>
      </w:pPr>
      <w:r>
        <w:continuationSeparator/>
      </w:r>
    </w:p>
    <w:p w14:paraId="0479D4CC" w14:textId="77777777" w:rsidR="00C67C3E" w:rsidRDefault="00C67C3E"/>
  </w:footnote>
  <w:footnote w:type="continuationNotice" w:id="1">
    <w:p w14:paraId="07C06B9B" w14:textId="77777777" w:rsidR="00C67C3E" w:rsidRDefault="00C67C3E">
      <w:pPr>
        <w:spacing w:after="0"/>
      </w:pPr>
    </w:p>
  </w:footnote>
  <w:footnote w:id="2">
    <w:p w14:paraId="242FBF17" w14:textId="77777777" w:rsidR="00473E61" w:rsidRDefault="00473E61" w:rsidP="00B744E6">
      <w:pPr>
        <w:pStyle w:val="FootnoteText"/>
      </w:pPr>
      <w:r>
        <w:rPr>
          <w:rStyle w:val="FootnoteReference"/>
        </w:rPr>
        <w:footnoteRef/>
      </w:r>
      <w:r>
        <w:t xml:space="preserve"> Unpublished data provided by the Department</w:t>
      </w:r>
    </w:p>
  </w:footnote>
  <w:footnote w:id="3">
    <w:p w14:paraId="2D435EFC" w14:textId="77777777" w:rsidR="001B113E" w:rsidRDefault="001B113E" w:rsidP="001B113E">
      <w:pPr>
        <w:pStyle w:val="FootnoteText"/>
      </w:pPr>
      <w:r>
        <w:rPr>
          <w:rStyle w:val="FootnoteReference"/>
        </w:rPr>
        <w:footnoteRef/>
      </w:r>
      <w:r>
        <w:t xml:space="preserve"> See the New South Wales MOU. </w:t>
      </w:r>
      <w:sdt>
        <w:sdtPr>
          <w:id w:val="-1450230527"/>
          <w:citation/>
        </w:sdtPr>
        <w:sdtEndPr/>
        <w:sdtContent>
          <w:r>
            <w:fldChar w:fldCharType="begin"/>
          </w:r>
          <w:r>
            <w:rPr>
              <w:lang w:val="en-US"/>
            </w:rPr>
            <w:instrText xml:space="preserve">CITATION Com16 \l 1033 </w:instrText>
          </w:r>
          <w:r>
            <w:fldChar w:fldCharType="separate"/>
          </w:r>
          <w:r w:rsidRPr="003E36C4">
            <w:rPr>
              <w:noProof/>
              <w:lang w:val="en-US"/>
            </w:rPr>
            <w:t>[18]</w:t>
          </w:r>
          <w:r>
            <w:fldChar w:fldCharType="end"/>
          </w:r>
        </w:sdtContent>
      </w:sdt>
    </w:p>
  </w:footnote>
  <w:footnote w:id="4">
    <w:p w14:paraId="0C9FB587" w14:textId="77777777" w:rsidR="001B113E" w:rsidRDefault="001B113E" w:rsidP="001B113E">
      <w:pPr>
        <w:pStyle w:val="FootnoteText"/>
      </w:pPr>
      <w:r>
        <w:rPr>
          <w:rStyle w:val="FootnoteReference"/>
        </w:rPr>
        <w:footnoteRef/>
      </w:r>
      <w:r>
        <w:t xml:space="preserve"> Only sites that received an MBS rebate in 2019–20 have been included</w:t>
      </w:r>
    </w:p>
  </w:footnote>
  <w:footnote w:id="5">
    <w:p w14:paraId="6603B68F" w14:textId="77777777" w:rsidR="001B113E" w:rsidRDefault="001B113E" w:rsidP="001B113E">
      <w:pPr>
        <w:pStyle w:val="FootnoteText"/>
      </w:pPr>
      <w:r>
        <w:rPr>
          <w:rStyle w:val="FootnoteReference"/>
        </w:rPr>
        <w:footnoteRef/>
      </w:r>
      <w:r>
        <w:t xml:space="preserve"> See Clause 29 of the Award</w:t>
      </w:r>
    </w:p>
  </w:footnote>
  <w:footnote w:id="6">
    <w:p w14:paraId="377F86D5" w14:textId="77777777" w:rsidR="001B113E" w:rsidRDefault="001B113E" w:rsidP="001B113E">
      <w:pPr>
        <w:pStyle w:val="FootnoteText"/>
      </w:pPr>
      <w:r>
        <w:rPr>
          <w:rStyle w:val="FootnoteReference"/>
        </w:rPr>
        <w:footnoteRef/>
      </w:r>
      <w:r>
        <w:t xml:space="preserve"> See Clauses 21.9 to 21.12 of the Award </w:t>
      </w:r>
    </w:p>
    <w:p w14:paraId="32646F06" w14:textId="77777777" w:rsidR="001B113E" w:rsidRDefault="001B113E" w:rsidP="001B113E">
      <w:pPr>
        <w:pStyle w:val="FootnoteText"/>
      </w:pPr>
    </w:p>
  </w:footnote>
  <w:footnote w:id="7">
    <w:p w14:paraId="52040442" w14:textId="77777777" w:rsidR="001B113E" w:rsidRDefault="001B113E" w:rsidP="001B113E">
      <w:pPr>
        <w:pStyle w:val="FootnoteText"/>
      </w:pPr>
      <w:r>
        <w:rPr>
          <w:rStyle w:val="FootnoteReference"/>
        </w:rPr>
        <w:footnoteRef/>
      </w:r>
      <w:r>
        <w:t xml:space="preserve"> This exemption was previously known as the Remote Medical Benefits Scheme (RMBS)</w:t>
      </w:r>
    </w:p>
  </w:footnote>
  <w:footnote w:id="8">
    <w:p w14:paraId="7F2431F6" w14:textId="77777777" w:rsidR="001B113E" w:rsidRDefault="001B113E" w:rsidP="001B113E">
      <w:pPr>
        <w:pStyle w:val="FootnoteText"/>
      </w:pPr>
      <w:r>
        <w:rPr>
          <w:rStyle w:val="FootnoteReference"/>
        </w:rPr>
        <w:footnoteRef/>
      </w:r>
      <w:r>
        <w:t xml:space="preserve"> Also previously known as the RMBS</w:t>
      </w:r>
    </w:p>
  </w:footnote>
  <w:footnote w:id="9">
    <w:p w14:paraId="3950E0D6" w14:textId="45C63F28" w:rsidR="00473E61" w:rsidRDefault="00473E61" w:rsidP="0014033A">
      <w:pPr>
        <w:pStyle w:val="FootnoteText"/>
      </w:pPr>
      <w:r>
        <w:rPr>
          <w:rStyle w:val="FootnoteReference"/>
        </w:rPr>
        <w:footnoteRef/>
      </w:r>
      <w:r>
        <w:t xml:space="preserve"> Locum cover was high at Jabiru in 2019</w:t>
      </w:r>
      <w:r>
        <w:rPr>
          <w:rFonts w:ascii="Calibri" w:hAnsi="Calibri" w:cs="Calibri"/>
        </w:rPr>
        <w:t>‒</w:t>
      </w:r>
      <w:r>
        <w:t>20 due to delays in recruiting a permanent SMO, who – by the time of the case study visit – was working at the clinic.</w:t>
      </w:r>
    </w:p>
  </w:footnote>
  <w:footnote w:id="10">
    <w:p w14:paraId="709DD290" w14:textId="3C38DE11" w:rsidR="00473E61" w:rsidRDefault="00473E61">
      <w:pPr>
        <w:pStyle w:val="FootnoteText"/>
      </w:pPr>
      <w:r>
        <w:rPr>
          <w:rStyle w:val="FootnoteReference"/>
        </w:rPr>
        <w:footnoteRef/>
      </w:r>
      <w:r>
        <w:t xml:space="preserve"> The benchmark average used for this analysis was $90,654 </w:t>
      </w:r>
      <w:r w:rsidRPr="002766E9">
        <w:t>(2019–20 prices)</w:t>
      </w:r>
      <w:r>
        <w:t xml:space="preserve">. The salaries and wages average for the benchmark service included salary oncosts (e.g. superannuation, long service leave). It did not include costs of medical staff because the benchmark service used VMOs to deliver medical services. The effect of this exclusion will be to reduce the modelled salaries and wages bill in small rural health services in jurisdictions / regions that typically employ doctors (i.e. northern WA, NT and QLD). Partially offsetting this effect will be the inclusion of doctor FTEs in the survey responses for these locations.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7C714" w14:textId="77777777" w:rsidR="00473E61" w:rsidRPr="00503CBD" w:rsidRDefault="00473E61">
    <w:pPr>
      <w:pStyle w:val="Header"/>
      <w:rPr>
        <w:lang w:val="en-US"/>
      </w:rPr>
    </w:pPr>
    <w:r>
      <w:rPr>
        <w:noProof/>
        <w:lang w:eastAsia="en-AU"/>
      </w:rPr>
      <mc:AlternateContent>
        <mc:Choice Requires="wpc">
          <w:drawing>
            <wp:anchor distT="0" distB="0" distL="114300" distR="114300" simplePos="0" relativeHeight="251654144" behindDoc="0" locked="1" layoutInCell="1" allowOverlap="1" wp14:anchorId="2F5B0D01" wp14:editId="530EBC33">
              <wp:simplePos x="0" y="0"/>
              <wp:positionH relativeFrom="page">
                <wp:posOffset>0</wp:posOffset>
              </wp:positionH>
              <wp:positionV relativeFrom="page">
                <wp:posOffset>0</wp:posOffset>
              </wp:positionV>
              <wp:extent cx="10692000" cy="7560000"/>
              <wp:effectExtent l="0" t="0" r="14605" b="3175"/>
              <wp:wrapNone/>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3"/>
                      <wpg:cNvGrpSpPr/>
                      <wpg:grpSpPr>
                        <a:xfrm>
                          <a:off x="-6350" y="-6350"/>
                          <a:ext cx="10705465" cy="7573645"/>
                          <a:chOff x="-6350" y="-6350"/>
                          <a:chExt cx="10705465" cy="7573645"/>
                        </a:xfrm>
                      </wpg:grpSpPr>
                      <wps:wsp>
                        <wps:cNvPr id="13" name="Rectangle 4"/>
                        <wps:cNvSpPr>
                          <a:spLocks noChangeArrowheads="1"/>
                        </wps:cNvSpPr>
                        <wps:spPr bwMode="auto">
                          <a:xfrm>
                            <a:off x="-6350" y="-6350"/>
                            <a:ext cx="10705465" cy="7573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6350" y="-6350"/>
                            <a:ext cx="10705465" cy="7573645"/>
                          </a:xfrm>
                          <a:prstGeom prst="rect">
                            <a:avLst/>
                          </a:prstGeom>
                          <a:solidFill>
                            <a:srgbClr val="FFEC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6"/>
                        <wps:cNvCnPr/>
                        <wps:spPr bwMode="auto">
                          <a:xfrm flipV="1">
                            <a:off x="1423035" y="838835"/>
                            <a:ext cx="0"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6" name="Line 7"/>
                        <wps:cNvCnPr/>
                        <wps:spPr bwMode="auto">
                          <a:xfrm flipV="1">
                            <a:off x="1162685" y="838835"/>
                            <a:ext cx="0"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7" name="Line 8"/>
                        <wps:cNvCnPr/>
                        <wps:spPr bwMode="auto">
                          <a:xfrm flipV="1">
                            <a:off x="1735455" y="838835"/>
                            <a:ext cx="125095"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8" name="Line 9"/>
                        <wps:cNvCnPr/>
                        <wps:spPr bwMode="auto">
                          <a:xfrm>
                            <a:off x="1772920" y="1271905"/>
                            <a:ext cx="177165" cy="0"/>
                          </a:xfrm>
                          <a:prstGeom prst="line">
                            <a:avLst/>
                          </a:prstGeom>
                          <a:noFill/>
                          <a:ln w="25400"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19" name="Line 10"/>
                        <wps:cNvCnPr/>
                        <wps:spPr bwMode="auto">
                          <a:xfrm>
                            <a:off x="1162685" y="1226820"/>
                            <a:ext cx="177165" cy="0"/>
                          </a:xfrm>
                          <a:prstGeom prst="line">
                            <a:avLst/>
                          </a:prstGeom>
                          <a:noFill/>
                          <a:ln w="25400"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20" name="Line 11"/>
                        <wps:cNvCnPr/>
                        <wps:spPr bwMode="auto">
                          <a:xfrm flipH="1" flipV="1">
                            <a:off x="1423035" y="1116965"/>
                            <a:ext cx="125095" cy="217170"/>
                          </a:xfrm>
                          <a:prstGeom prst="line">
                            <a:avLst/>
                          </a:prstGeom>
                          <a:noFill/>
                          <a:ln w="25400"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21" name="Line 12"/>
                        <wps:cNvCnPr/>
                        <wps:spPr bwMode="auto">
                          <a:xfrm flipH="1" flipV="1">
                            <a:off x="1861820" y="1390015"/>
                            <a:ext cx="125730" cy="219075"/>
                          </a:xfrm>
                          <a:prstGeom prst="line">
                            <a:avLst/>
                          </a:prstGeom>
                          <a:noFill/>
                          <a:ln w="25400"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22" name="Line 13"/>
                        <wps:cNvCnPr/>
                        <wps:spPr bwMode="auto">
                          <a:xfrm flipV="1">
                            <a:off x="1339850" y="1390015"/>
                            <a:ext cx="0" cy="219075"/>
                          </a:xfrm>
                          <a:prstGeom prst="line">
                            <a:avLst/>
                          </a:prstGeom>
                          <a:noFill/>
                          <a:ln w="25400"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23" name="Line 14"/>
                        <wps:cNvCnPr/>
                        <wps:spPr bwMode="auto">
                          <a:xfrm flipV="1">
                            <a:off x="1550670" y="1390015"/>
                            <a:ext cx="125095" cy="217170"/>
                          </a:xfrm>
                          <a:prstGeom prst="line">
                            <a:avLst/>
                          </a:prstGeom>
                          <a:noFill/>
                          <a:ln w="25400"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24" name="Line 15"/>
                        <wps:cNvCnPr/>
                        <wps:spPr bwMode="auto">
                          <a:xfrm flipV="1">
                            <a:off x="1675765" y="1668145"/>
                            <a:ext cx="0" cy="219710"/>
                          </a:xfrm>
                          <a:prstGeom prst="line">
                            <a:avLst/>
                          </a:prstGeom>
                          <a:noFill/>
                          <a:ln w="25400" cap="rnd">
                            <a:solidFill>
                              <a:srgbClr val="BDBCBC"/>
                            </a:solidFill>
                            <a:prstDash val="solid"/>
                            <a:round/>
                            <a:headEnd/>
                            <a:tailEnd/>
                          </a:ln>
                          <a:extLst>
                            <a:ext uri="{909E8E84-426E-40DD-AFC4-6F175D3DCCD1}">
                              <a14:hiddenFill xmlns:a14="http://schemas.microsoft.com/office/drawing/2010/main">
                                <a:noFill/>
                              </a14:hiddenFill>
                            </a:ext>
                          </a:extLst>
                        </wps:spPr>
                        <wps:bodyPr/>
                      </wps:wsp>
                      <wps:wsp>
                        <wps:cNvPr id="25" name="Line 16"/>
                        <wps:cNvCnPr/>
                        <wps:spPr bwMode="auto">
                          <a:xfrm flipV="1">
                            <a:off x="1423035" y="1947545"/>
                            <a:ext cx="0"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26" name="Line 17"/>
                        <wps:cNvCnPr/>
                        <wps:spPr bwMode="auto">
                          <a:xfrm flipV="1">
                            <a:off x="1162685" y="1947545"/>
                            <a:ext cx="0"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27" name="Line 18"/>
                        <wps:cNvCnPr/>
                        <wps:spPr bwMode="auto">
                          <a:xfrm flipV="1">
                            <a:off x="1735455" y="1947545"/>
                            <a:ext cx="125095"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28" name="Line 19"/>
                        <wps:cNvCnPr/>
                        <wps:spPr bwMode="auto">
                          <a:xfrm>
                            <a:off x="1772920" y="2103120"/>
                            <a:ext cx="177165" cy="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29" name="Line 20"/>
                        <wps:cNvCnPr/>
                        <wps:spPr bwMode="auto">
                          <a:xfrm flipH="1" flipV="1">
                            <a:off x="1861820" y="1947545"/>
                            <a:ext cx="125730"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30" name="Line 21"/>
                        <wps:cNvCnPr/>
                        <wps:spPr bwMode="auto">
                          <a:xfrm flipV="1">
                            <a:off x="1339850" y="1947545"/>
                            <a:ext cx="0"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31" name="Line 22"/>
                        <wps:cNvCnPr/>
                        <wps:spPr bwMode="auto">
                          <a:xfrm>
                            <a:off x="1162685" y="2056765"/>
                            <a:ext cx="177165" cy="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32" name="Line 23"/>
                        <wps:cNvCnPr/>
                        <wps:spPr bwMode="auto">
                          <a:xfrm flipV="1">
                            <a:off x="1675765" y="1947545"/>
                            <a:ext cx="0" cy="219710"/>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33" name="Line 24"/>
                        <wps:cNvCnPr/>
                        <wps:spPr bwMode="auto">
                          <a:xfrm flipV="1">
                            <a:off x="1550670" y="1947545"/>
                            <a:ext cx="125095" cy="217805"/>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34" name="Line 25"/>
                        <wps:cNvCnPr/>
                        <wps:spPr bwMode="auto">
                          <a:xfrm flipH="1" flipV="1">
                            <a:off x="1423035" y="1947545"/>
                            <a:ext cx="125095" cy="217805"/>
                          </a:xfrm>
                          <a:prstGeom prst="line">
                            <a:avLst/>
                          </a:prstGeom>
                          <a:noFill/>
                          <a:ln w="25400"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35" name="Line 26"/>
                        <wps:cNvCnPr/>
                        <wps:spPr bwMode="auto">
                          <a:xfrm flipV="1">
                            <a:off x="6866890" y="890270"/>
                            <a:ext cx="0" cy="1259205"/>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 name="Line 27"/>
                        <wps:cNvCnPr/>
                        <wps:spPr bwMode="auto">
                          <a:xfrm flipV="1">
                            <a:off x="5413375" y="890270"/>
                            <a:ext cx="0" cy="1259205"/>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 name="Line 28"/>
                        <wps:cNvCnPr/>
                        <wps:spPr bwMode="auto">
                          <a:xfrm flipV="1">
                            <a:off x="8608695" y="890270"/>
                            <a:ext cx="732790" cy="1259205"/>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 name="Line 29"/>
                        <wps:cNvCnPr/>
                        <wps:spPr bwMode="auto">
                          <a:xfrm>
                            <a:off x="8818880" y="3311525"/>
                            <a:ext cx="1021715" cy="0"/>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 name="Line 30"/>
                        <wps:cNvCnPr/>
                        <wps:spPr bwMode="auto">
                          <a:xfrm>
                            <a:off x="5413375" y="3057525"/>
                            <a:ext cx="1022350" cy="0"/>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 name="Line 31"/>
                        <wps:cNvCnPr/>
                        <wps:spPr bwMode="auto">
                          <a:xfrm flipH="1" flipV="1">
                            <a:off x="6866890" y="2444115"/>
                            <a:ext cx="732790" cy="1247775"/>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 name="Line 32"/>
                        <wps:cNvCnPr/>
                        <wps:spPr bwMode="auto">
                          <a:xfrm flipH="1" flipV="1">
                            <a:off x="9317990" y="3964305"/>
                            <a:ext cx="732155" cy="1258570"/>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 name="Line 33"/>
                        <wps:cNvCnPr/>
                        <wps:spPr bwMode="auto">
                          <a:xfrm flipV="1">
                            <a:off x="6401435" y="3964305"/>
                            <a:ext cx="0" cy="1258570"/>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 name="Line 34"/>
                        <wps:cNvCnPr/>
                        <wps:spPr bwMode="auto">
                          <a:xfrm flipV="1">
                            <a:off x="7579995" y="3964305"/>
                            <a:ext cx="732790" cy="1247140"/>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 name="Line 35"/>
                        <wps:cNvCnPr/>
                        <wps:spPr bwMode="auto">
                          <a:xfrm flipV="1">
                            <a:off x="8278495" y="5519420"/>
                            <a:ext cx="0" cy="1259840"/>
                          </a:xfrm>
                          <a:prstGeom prst="line">
                            <a:avLst/>
                          </a:prstGeom>
                          <a:noFill/>
                          <a:ln w="112776" cap="rnd">
                            <a:solidFill>
                              <a:srgbClr val="FFFFFF"/>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FDAB12F" id="Canvas 66" o:spid="_x0000_s1026" editas="canvas" style="position:absolute;margin-left:0;margin-top:0;width:841.9pt;height:595.3pt;z-index:251654144;mso-position-horizontal-relative:page;mso-position-vertical-relative:page" coordsize="106914,7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6914;height:75596;visibility:visible;mso-wrap-style:square">
                <v:fill o:detectmouseclick="t"/>
                <v:path o:connecttype="none"/>
              </v:shape>
              <v:group id="Group 3" o:spid="_x0000_s1028" style="position:absolute;left:-63;top:-63;width:107054;height:75735" coordorigin="-63,-63" coordsize="107054,7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63;top:-63;width:107054;height:7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5" o:spid="_x0000_s1030" style="position:absolute;left:-63;top:-63;width:107054;height:7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" fillcolor="#ffec01" stroked="f"/>
                <v:line id="Line 6" o:spid="_x0000_s1031" style="position:absolute;flip:y;visibility:visible;mso-wrap-style:square" from="14230,8388" to="14230,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" strokecolor="#444141" strokeweight="2pt">
                  <v:stroke endcap="round"/>
                </v:line>
                <v:line id="Line 7" o:spid="_x0000_s1032" style="position:absolute;flip:y;visibility:visible;mso-wrap-style:square" from="11626,8388" to="11626,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" strokecolor="#444141" strokeweight="2pt">
                  <v:stroke endcap="round"/>
                </v:line>
                <v:line id="Line 8" o:spid="_x0000_s1033" style="position:absolute;flip:y;visibility:visible;mso-wrap-style:square" from="17354,8388" to="18605,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" strokecolor="#444141" strokeweight="2pt">
                  <v:stroke endcap="round"/>
                </v:line>
                <v:line id="Line 9" o:spid="_x0000_s1034" style="position:absolute;visibility:visible;mso-wrap-style:square" from="17729,12719" to="19500,1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" strokecolor="#706d6e" strokeweight="2pt">
                  <v:stroke endcap="round"/>
                </v:line>
                <v:line id="Line 10" o:spid="_x0000_s1035" style="position:absolute;visibility:visible;mso-wrap-style:square" from="11626,12268" to="13398,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" strokecolor="#706d6e" strokeweight="2pt">
                  <v:stroke endcap="round"/>
                </v:line>
                <v:line id="Line 11" o:spid="_x0000_s1036" style="position:absolute;flip:x y;visibility:visible;mso-wrap-style:square" from="14230,11169" to="15481,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" strokecolor="#706d6e" strokeweight="2pt">
                  <v:stroke endcap="round"/>
                </v:line>
                <v:line id="Line 12" o:spid="_x0000_s1037" style="position:absolute;flip:x y;visibility:visible;mso-wrap-style:square" from="18618,13900" to="19875,1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" strokecolor="#9c9a9b" strokeweight="2pt">
                  <v:stroke endcap="round"/>
                </v:line>
                <v:line id="Line 13" o:spid="_x0000_s1038" style="position:absolute;flip:y;visibility:visible;mso-wrap-style:square" from="13398,13900" to="13398,1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" strokecolor="#9c9a9b" strokeweight="2pt">
                  <v:stroke endcap="round"/>
                </v:line>
                <v:line id="Line 14" o:spid="_x0000_s1039" style="position:absolute;flip:y;visibility:visible;mso-wrap-style:square" from="15506,13900" to="16757,16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" strokecolor="#9c9a9b" strokeweight="2pt">
                  <v:stroke endcap="round"/>
                </v:line>
                <v:line id="Line 15" o:spid="_x0000_s1040" style="position:absolute;flip:y;visibility:visible;mso-wrap-style:square" from="16757,16681" to="16757,1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" strokecolor="#bdbcbc" strokeweight="2pt">
                  <v:stroke endcap="round"/>
                </v:line>
                <v:line id="Line 16" o:spid="_x0000_s1041" style="position:absolute;flip:y;visibility:visible;mso-wrap-style:square" from="14230,19475" to="14230,2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" strokecolor="#444141" strokeweight="2pt">
                  <v:stroke endcap="round"/>
                </v:line>
                <v:line id="Line 17" o:spid="_x0000_s1042" style="position:absolute;flip:y;visibility:visible;mso-wrap-style:square" from="11626,19475" to="11626,2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" strokecolor="#444141" strokeweight="2pt">
                  <v:stroke endcap="round"/>
                </v:line>
                <v:line id="Line 18" o:spid="_x0000_s1043" style="position:absolute;flip:y;visibility:visible;mso-wrap-style:square" from="17354,19475" to="18605,2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" strokecolor="#444141" strokeweight="2pt">
                  <v:stroke endcap="round"/>
                </v:line>
                <v:line id="Line 19" o:spid="_x0000_s1044" style="position:absolute;visibility:visible;mso-wrap-style:square" from="17729,21031" to="19500,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" strokecolor="#444141" strokeweight="2pt">
                  <v:stroke endcap="round"/>
                </v:line>
                <v:line id="Line 20" o:spid="_x0000_s1045" style="position:absolute;flip:x y;visibility:visible;mso-wrap-style:square" from="18618,19475" to="19875,2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" strokecolor="#444141" strokeweight="2pt">
                  <v:stroke endcap="round"/>
                </v:line>
                <v:line id="Line 21" o:spid="_x0000_s1046" style="position:absolute;flip:y;visibility:visible;mso-wrap-style:square" from="13398,19475" to="13398,2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" strokecolor="#444141" strokeweight="2pt">
                  <v:stroke endcap="round"/>
                </v:line>
                <v:line id="Line 22" o:spid="_x0000_s1047" style="position:absolute;visibility:visible;mso-wrap-style:square" from="11626,20567" to="13398,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" strokecolor="#444141" strokeweight="2pt">
                  <v:stroke endcap="round"/>
                </v:line>
                <v:line id="Line 23" o:spid="_x0000_s1048" style="position:absolute;flip:y;visibility:visible;mso-wrap-style:square" from="16757,19475" to="16757,2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" strokecolor="#444141" strokeweight="2pt">
                  <v:stroke endcap="round"/>
                </v:line>
                <v:line id="Line 24" o:spid="_x0000_s1049" style="position:absolute;flip:y;visibility:visible;mso-wrap-style:square" from="15506,19475" to="16757,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" strokecolor="#444141" strokeweight="2pt">
                  <v:stroke endcap="round"/>
                </v:line>
                <v:line id="Line 25" o:spid="_x0000_s1050" style="position:absolute;flip:x y;visibility:visible;mso-wrap-style:square" from="14230,19475" to="15481,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" strokecolor="#444141" strokeweight="2pt">
                  <v:stroke endcap="round"/>
                </v:line>
                <v:line id="Line 26" o:spid="_x0000_s1051" style="position:absolute;flip:y;visibility:visible;mso-wrap-style:square" from="68668,8902" to="68668,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" strokecolor="white" strokeweight="8.88pt">
                  <v:stroke endcap="round"/>
                </v:line>
                <v:line id="Line 27" o:spid="_x0000_s1052" style="position:absolute;flip:y;visibility:visible;mso-wrap-style:square" from="54133,8902" to="54133,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" strokecolor="white" strokeweight="8.88pt">
                  <v:stroke endcap="round"/>
                </v:line>
                <v:line id="Line 28" o:spid="_x0000_s1053" style="position:absolute;flip:y;visibility:visible;mso-wrap-style:square" from="86086,8902" to="93414,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" strokecolor="white" strokeweight="8.88pt">
                  <v:stroke endcap="round"/>
                </v:line>
                <v:line id="Line 29" o:spid="_x0000_s1054" style="position:absolute;visibility:visible;mso-wrap-style:square" from="88188,33115" to="98405,3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" strokecolor="white" strokeweight="8.88pt">
                  <v:stroke endcap="round"/>
                </v:line>
                <v:line id="Line 30" o:spid="_x0000_s1055" style="position:absolute;visibility:visible;mso-wrap-style:square" from="54133,30575" to="64357,3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" strokecolor="white" strokeweight="8.88pt">
                  <v:stroke endcap="round"/>
                </v:line>
                <v:line id="Line 31" o:spid="_x0000_s1056" style="position:absolute;flip:x y;visibility:visible;mso-wrap-style:square" from="68668,24441" to="75996,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" strokecolor="white" strokeweight="8.88pt">
                  <v:stroke endcap="round"/>
                </v:line>
                <v:line id="Line 32" o:spid="_x0000_s1057" style="position:absolute;flip:x y;visibility:visible;mso-wrap-style:square" from="93179,39643" to="100501,5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" strokecolor="white" strokeweight="8.88pt">
                  <v:stroke endcap="round"/>
                </v:line>
                <v:line id="Line 33" o:spid="_x0000_s1058" style="position:absolute;flip:y;visibility:visible;mso-wrap-style:square" from="64014,39643" to="64014,5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" strokecolor="white" strokeweight="8.88pt">
                  <v:stroke endcap="round"/>
                </v:line>
                <v:line id="Line 34" o:spid="_x0000_s1059" style="position:absolute;flip:y;visibility:visible;mso-wrap-style:square" from="75799,39643" to="83127,5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" strokecolor="white" strokeweight="8.88pt">
                  <v:stroke endcap="round"/>
                </v:line>
                <v:line id="Line 35" o:spid="_x0000_s1060" style="position:absolute;flip:y;visibility:visible;mso-wrap-style:square" from="82784,55194" to="82784,6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" strokecolor="white" strokeweight="8.88pt">
                  <v:stroke endcap="round"/>
                </v:line>
              </v:group>
              <w10:wrap anchorx="page" anchory="page"/>
              <w10:anchorlock/>
            </v:group>
          </w:pict>
        </mc:Fallback>
      </mc:AlternateContent>
    </w:r>
    <w:r>
      <w:rPr>
        <w:noProof/>
        <w:lang w:val="en-US"/>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048DF" w14:textId="77777777" w:rsidR="00473E61" w:rsidRPr="00C61DC7" w:rsidRDefault="00473E61">
    <w:pPr>
      <w:pStyle w:val="Header"/>
      <w:rPr>
        <w:lang w:val="en-US"/>
      </w:rPr>
    </w:pPr>
    <w:r>
      <w:rPr>
        <w:noProof/>
        <w:lang w:eastAsia="en-AU"/>
      </w:rPr>
      <mc:AlternateContent>
        <mc:Choice Requires="wpg">
          <w:drawing>
            <wp:anchor distT="0" distB="0" distL="114300" distR="114300" simplePos="0" relativeHeight="251656192" behindDoc="0" locked="0" layoutInCell="1" allowOverlap="1" wp14:anchorId="7756CC63" wp14:editId="57EBE654">
              <wp:simplePos x="0" y="0"/>
              <wp:positionH relativeFrom="column">
                <wp:posOffset>190313</wp:posOffset>
              </wp:positionH>
              <wp:positionV relativeFrom="paragraph">
                <wp:posOffset>591236</wp:posOffset>
              </wp:positionV>
              <wp:extent cx="1455435" cy="2351128"/>
              <wp:effectExtent l="19050" t="19050" r="30480" b="30480"/>
              <wp:wrapNone/>
              <wp:docPr id="9" name="Group 9"/>
              <wp:cNvGraphicFramePr/>
              <a:graphic xmlns:a="http://schemas.openxmlformats.org/drawingml/2006/main">
                <a:graphicData uri="http://schemas.microsoft.com/office/word/2010/wordprocessingGroup">
                  <wpg:wgp>
                    <wpg:cNvGrpSpPr/>
                    <wpg:grpSpPr>
                      <a:xfrm>
                        <a:off x="0" y="0"/>
                        <a:ext cx="1455435" cy="2351128"/>
                        <a:chOff x="0" y="0"/>
                        <a:chExt cx="1455435" cy="2351128"/>
                      </a:xfrm>
                    </wpg:grpSpPr>
                    <wps:wsp>
                      <wps:cNvPr id="10" name="Line 9"/>
                      <wps:cNvCnPr/>
                      <wps:spPr bwMode="auto">
                        <a:xfrm flipV="1">
                          <a:off x="459367"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wps:spPr bwMode="auto">
                        <a:xfrm flipV="1">
                          <a:off x="0"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2" name="Line 11"/>
                      <wps:cNvCnPr/>
                      <wps:spPr bwMode="auto">
                        <a:xfrm flipV="1">
                          <a:off x="1014074" y="0"/>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46" name="Line 12"/>
                      <wps:cNvCnPr/>
                      <wps:spPr bwMode="auto">
                        <a:xfrm>
                          <a:off x="1079079" y="767056"/>
                          <a:ext cx="313055"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8" name="Line 13"/>
                      <wps:cNvCnPr/>
                      <wps:spPr bwMode="auto">
                        <a:xfrm>
                          <a:off x="0" y="684717"/>
                          <a:ext cx="312420"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9" name="Line 14"/>
                      <wps:cNvCnPr/>
                      <wps:spPr bwMode="auto">
                        <a:xfrm flipH="1" flipV="1">
                          <a:off x="459367" y="494036"/>
                          <a:ext cx="220980" cy="384175"/>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50" name="Line 15"/>
                      <wps:cNvCnPr/>
                      <wps:spPr bwMode="auto">
                        <a:xfrm flipH="1" flipV="1">
                          <a:off x="1235090" y="975071"/>
                          <a:ext cx="220345"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2" name="Line 16"/>
                      <wps:cNvCnPr/>
                      <wps:spPr bwMode="auto">
                        <a:xfrm flipV="1">
                          <a:off x="312023" y="975071"/>
                          <a:ext cx="0"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3" name="Line 17"/>
                      <wps:cNvCnPr/>
                      <wps:spPr bwMode="auto">
                        <a:xfrm flipV="1">
                          <a:off x="684717" y="975071"/>
                          <a:ext cx="220980" cy="384175"/>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4" name="Line 18"/>
                      <wps:cNvCnPr/>
                      <wps:spPr bwMode="auto">
                        <a:xfrm flipV="1">
                          <a:off x="905733" y="1469107"/>
                          <a:ext cx="0" cy="387985"/>
                        </a:xfrm>
                        <a:prstGeom prst="line">
                          <a:avLst/>
                        </a:prstGeom>
                        <a:noFill/>
                        <a:ln w="44958" cap="rnd">
                          <a:solidFill>
                            <a:srgbClr val="BDBCBC"/>
                          </a:solidFill>
                          <a:prstDash val="solid"/>
                          <a:round/>
                          <a:headEnd/>
                          <a:tailEnd/>
                        </a:ln>
                        <a:extLst>
                          <a:ext uri="{909E8E84-426E-40DD-AFC4-6F175D3DCCD1}">
                            <a14:hiddenFill xmlns:a14="http://schemas.microsoft.com/office/drawing/2010/main">
                              <a:noFill/>
                            </a14:hiddenFill>
                          </a:ext>
                        </a:extLst>
                      </wps:spPr>
                      <wps:bodyPr/>
                    </wps:wsp>
                    <wps:wsp>
                      <wps:cNvPr id="55" name="Line 19"/>
                      <wps:cNvCnPr/>
                      <wps:spPr bwMode="auto">
                        <a:xfrm flipV="1">
                          <a:off x="459367"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6" name="Line 20"/>
                      <wps:cNvCnPr/>
                      <wps:spPr bwMode="auto">
                        <a:xfrm flipV="1">
                          <a:off x="0"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7" name="Line 21"/>
                      <wps:cNvCnPr/>
                      <wps:spPr bwMode="auto">
                        <a:xfrm flipV="1">
                          <a:off x="1014074"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8" name="Line 22"/>
                      <wps:cNvCnPr/>
                      <wps:spPr bwMode="auto">
                        <a:xfrm>
                          <a:off x="1079079" y="2236163"/>
                          <a:ext cx="313055"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9" name="Line 23"/>
                      <wps:cNvCnPr/>
                      <wps:spPr bwMode="auto">
                        <a:xfrm flipH="1" flipV="1">
                          <a:off x="1235090"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0" name="Line 24"/>
                      <wps:cNvCnPr/>
                      <wps:spPr bwMode="auto">
                        <a:xfrm flipV="1">
                          <a:off x="31202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1" name="Line 25"/>
                      <wps:cNvCnPr/>
                      <wps:spPr bwMode="auto">
                        <a:xfrm>
                          <a:off x="0" y="2158158"/>
                          <a:ext cx="312420"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wps:spPr bwMode="auto">
                        <a:xfrm flipV="1">
                          <a:off x="90573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3" name="Line 27"/>
                      <wps:cNvCnPr/>
                      <wps:spPr bwMode="auto">
                        <a:xfrm flipV="1">
                          <a:off x="68471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4" name="Line 28"/>
                      <wps:cNvCnPr/>
                      <wps:spPr bwMode="auto">
                        <a:xfrm flipH="1" flipV="1">
                          <a:off x="45936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w:pict>
            <v:group w14:anchorId="1B30E52C" id="Group 9" o:spid="_x0000_s1026" style="position:absolute;margin-left:15pt;margin-top:46.55pt;width:114.6pt;height:185.15pt;z-index:251656192" coordsize="14554,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">
              <v:line id="Line 9" o:spid="_x0000_s1027" style="position:absolute;flip:y;visibility:visible;mso-wrap-style:square" from="4593,0" to="459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" strokecolor="#444141" strokeweight="3.54pt">
                <v:stroke endcap="round"/>
              </v:line>
              <v:line id="Line 10" o:spid="_x0000_s1028" style="position:absolute;flip:y;visibility:visible;mso-wrap-style:square" from="0,0" to="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" strokecolor="#444141" strokeweight="3.54pt">
                <v:stroke endcap="round"/>
              </v:line>
              <v:line id="Line 11" o:spid="_x0000_s1029" style="position:absolute;flip:y;visibility:visible;mso-wrap-style:square" from="10140,0" to="1234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" strokecolor="#444141" strokeweight="3.54pt">
                <v:stroke endcap="round"/>
              </v:line>
              <v:line id="Line 12" o:spid="_x0000_s1030" style="position:absolute;visibility:visible;mso-wrap-style:square" from="10790,7670" to="13921,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" strokecolor="#706d6e" strokeweight="3.54pt">
                <v:stroke endcap="round"/>
              </v:line>
              <v:line id="Line 13" o:spid="_x0000_s1031" style="position:absolute;visibility:visible;mso-wrap-style:square" from="0,6847" to="312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" strokecolor="#706d6e" strokeweight="3.54pt">
                <v:stroke endcap="round"/>
              </v:line>
              <v:line id="Line 14" o:spid="_x0000_s1032" style="position:absolute;flip:x y;visibility:visible;mso-wrap-style:square" from="4593,4940" to="680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" strokecolor="#706d6e" strokeweight="3.54pt">
                <v:stroke endcap="round"/>
              </v:line>
              <v:line id="Line 15" o:spid="_x0000_s1033" style="position:absolute;flip:x y;visibility:visible;mso-wrap-style:square" from="12350,9750" to="14554,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" strokecolor="#9c9a9b" strokeweight="3.54pt">
                <v:stroke endcap="round"/>
              </v:line>
              <v:line id="Line 16" o:spid="_x0000_s1034" style="position:absolute;flip:y;visibility:visible;mso-wrap-style:square" from="3120,9750" to="3120,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" strokecolor="#9c9a9b" strokeweight="3.54pt">
                <v:stroke endcap="round"/>
              </v:line>
              <v:line id="Line 17" o:spid="_x0000_s1035" style="position:absolute;flip:y;visibility:visible;mso-wrap-style:square" from="6847,9750" to="9056,1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" strokecolor="#9c9a9b" strokeweight="3.54pt">
                <v:stroke endcap="round"/>
              </v:line>
              <v:line id="Line 18" o:spid="_x0000_s1036" style="position:absolute;flip:y;visibility:visible;mso-wrap-style:square" from="9057,14691" to="9057,1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" strokecolor="#bdbcbc" strokeweight="3.54pt">
                <v:stroke endcap="round"/>
              </v:line>
              <v:line id="Line 19" o:spid="_x0000_s1037" style="position:absolute;flip:y;visibility:visible;mso-wrap-style:square" from="4593,19631" to="4593,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" strokecolor="#444141" strokeweight="3.54pt">
                <v:stroke endcap="round"/>
              </v:line>
              <v:line id="Line 20" o:spid="_x0000_s1038" style="position:absolute;flip:y;visibility:visible;mso-wrap-style:square" from="0,19631" to="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" strokecolor="#444141" strokeweight="3.54pt">
                <v:stroke endcap="round"/>
              </v:line>
              <v:line id="Line 21" o:spid="_x0000_s1039" style="position:absolute;flip:y;visibility:visible;mso-wrap-style:square" from="10140,19631" to="1234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" strokecolor="#444141" strokeweight="3.54pt">
                <v:stroke endcap="round"/>
              </v:line>
              <v:line id="Line 22" o:spid="_x0000_s1040" style="position:absolute;visibility:visible;mso-wrap-style:square" from="10790,22361" to="1392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" strokecolor="#444141" strokeweight="3.54pt">
                <v:stroke endcap="round"/>
              </v:line>
              <v:line id="Line 23" o:spid="_x0000_s1041" style="position:absolute;flip:x y;visibility:visible;mso-wrap-style:square" from="12350,19631" to="1455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" strokecolor="#444141" strokeweight="3.54pt">
                <v:stroke endcap="round"/>
              </v:line>
              <v:line id="Line 24" o:spid="_x0000_s1042" style="position:absolute;flip:y;visibility:visible;mso-wrap-style:square" from="3120,19631" to="312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" strokecolor="#444141" strokeweight="3.54pt">
                <v:stroke endcap="round"/>
              </v:line>
              <v:line id="Line 25" o:spid="_x0000_s1043" style="position:absolute;visibility:visible;mso-wrap-style:square" from="0,21581" to="3124,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" strokecolor="#444141" strokeweight="3.54pt">
                <v:stroke endcap="round"/>
              </v:line>
              <v:line id="Line 26" o:spid="_x0000_s1044" style="position:absolute;flip:y;visibility:visible;mso-wrap-style:square" from="9057,19631" to="9057,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" strokecolor="#444141" strokeweight="3.54pt">
                <v:stroke endcap="round"/>
              </v:line>
              <v:line id="Line 27" o:spid="_x0000_s1045" style="position:absolute;flip:y;visibility:visible;mso-wrap-style:square" from="6847,19631" to="9056,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" strokecolor="#444141" strokeweight="3.54pt">
                <v:stroke endcap="round"/>
              </v:line>
              <v:line id="Line 28" o:spid="_x0000_s1046" style="position:absolute;flip:x y;visibility:visible;mso-wrap-style:square" from="4593,19631" to="6803,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" strokecolor="#444141" strokeweight="3.54pt">
                <v:stroke endcap="round"/>
              </v:line>
            </v:group>
          </w:pict>
        </mc:Fallback>
      </mc:AlternateContent>
    </w:r>
    <w:r w:rsidRPr="00A05DFA">
      <w:rPr>
        <w:noProof/>
        <w:lang w:eastAsia="en-AU"/>
      </w:rPr>
      <w:drawing>
        <wp:anchor distT="0" distB="0" distL="114300" distR="114300" simplePos="0" relativeHeight="251655168" behindDoc="1" locked="0" layoutInCell="1" allowOverlap="1" wp14:anchorId="0FF001CE" wp14:editId="0581F4C9">
          <wp:simplePos x="0" y="0"/>
          <wp:positionH relativeFrom="page">
            <wp:posOffset>0</wp:posOffset>
          </wp:positionH>
          <wp:positionV relativeFrom="page">
            <wp:posOffset>0</wp:posOffset>
          </wp:positionV>
          <wp:extent cx="10692000" cy="3819600"/>
          <wp:effectExtent l="0" t="0" r="0" b="0"/>
          <wp:wrapNone/>
          <wp:docPr id="67" name="Picture 67" descr="\\psf\Home\Dropbox\Salmon Design\SD1201 HMA report template\ Graphics\Page 2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ropbox\Salmon Design\SD1201 HMA report template\ Graphics\Page 2 Graphic"/>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0692000" cy="381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82882" w14:textId="77777777" w:rsidR="00473E61" w:rsidRDefault="00473E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DDFC" w14:textId="77777777" w:rsidR="00473E61" w:rsidRDefault="00473E61" w:rsidP="00776633">
    <w:pPr>
      <w:pStyle w:val="HeaderA"/>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6C76E" w14:textId="75511B43" w:rsidR="00473E61" w:rsidRPr="00F01436" w:rsidRDefault="00473E61" w:rsidP="00F01436">
    <w:pPr>
      <w:pStyle w:val="HeaderA"/>
      <w:rPr>
        <w:rFonts w:ascii="Franklin Gothic Book" w:hAnsi="Franklin Gothic Book"/>
        <w:caps w:val="0"/>
        <w:color w:val="787878"/>
        <w:spacing w:val="-3"/>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6D0E" w14:textId="77777777" w:rsidR="00473E61" w:rsidRDefault="00473E61" w:rsidP="00F01436">
    <w:pPr>
      <w:pStyle w:val="HeaderA"/>
      <w:rPr>
        <w:rStyle w:val="HeaderBChar"/>
        <w:rFonts w:eastAsia="Garamond"/>
        <w:caps w:val="0"/>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p>
  <w:p w14:paraId="4E3893B8" w14:textId="599B07AB" w:rsidR="00473E61" w:rsidRPr="00EE3994" w:rsidRDefault="00A67BE9" w:rsidP="00F01436">
    <w:pPr>
      <w:pStyle w:val="HeaderSectionTitle-nonumber"/>
    </w:pPr>
    <w:r>
      <w:fldChar w:fldCharType="begin"/>
    </w:r>
    <w:r>
      <w:instrText xml:space="preserve"> STYLEREF  "ES-Heading 1"  \* MERGEFORMAT </w:instrText>
    </w:r>
    <w:r>
      <w:fldChar w:fldCharType="separate"/>
    </w:r>
    <w:r>
      <w:t>Executive summary</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DB057" w14:textId="77777777" w:rsidR="001B113E" w:rsidRDefault="001B113E" w:rsidP="00F01436">
    <w:pPr>
      <w:pStyle w:val="HeaderA"/>
      <w:rPr>
        <w:rStyle w:val="HeaderBChar"/>
        <w:rFonts w:eastAsia="Garamond"/>
        <w:caps w:val="0"/>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p>
  <w:p w14:paraId="7E82CAC0" w14:textId="4113F49C" w:rsidR="001B113E" w:rsidRPr="00597301" w:rsidRDefault="009F3226" w:rsidP="00F01436">
    <w:pPr>
      <w:pStyle w:val="HeaderSectionTitle-nonumber"/>
    </w:pPr>
    <w:fldSimple w:instr=" STYLEREF  &quot;Heading 1&quot; \n  \* MERGEFORMAT ">
      <w:r w:rsidR="00A67BE9">
        <w:t>2</w:t>
      </w:r>
    </w:fldSimple>
    <w:r w:rsidR="001B113E">
      <w:tab/>
    </w:r>
    <w:r w:rsidR="001B113E">
      <w:rPr>
        <w:lang w:val="en-US"/>
      </w:rPr>
      <w:fldChar w:fldCharType="begin"/>
    </w:r>
    <w:r w:rsidR="001B113E">
      <w:rPr>
        <w:lang w:val="en-US"/>
      </w:rPr>
      <w:instrText xml:space="preserve"> STYLEREF  "Heading 1"  \* MERGEFORMAT </w:instrText>
    </w:r>
    <w:r w:rsidR="001B113E">
      <w:rPr>
        <w:lang w:val="en-US"/>
      </w:rPr>
      <w:fldChar w:fldCharType="separate"/>
    </w:r>
    <w:r w:rsidR="00A67BE9">
      <w:rPr>
        <w:lang w:val="en-US"/>
      </w:rPr>
      <w:t>Overview of the Initiative</w:t>
    </w:r>
    <w:r w:rsidR="001B113E">
      <w:rPr>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79876" w14:textId="77777777" w:rsidR="00473E61" w:rsidRDefault="00473E61" w:rsidP="00F01436">
    <w:pPr>
      <w:pStyle w:val="HeaderA"/>
      <w:rPr>
        <w:rStyle w:val="HeaderBChar"/>
        <w:rFonts w:eastAsia="Garamond"/>
        <w:caps w:val="0"/>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p>
  <w:p w14:paraId="1050CBB9" w14:textId="153C6A6E" w:rsidR="00473E61" w:rsidRPr="00597301" w:rsidRDefault="00A67BE9" w:rsidP="00F01436">
    <w:pPr>
      <w:pStyle w:val="HeaderSectionTitle-nonumber"/>
    </w:pPr>
    <w:r>
      <w:fldChar w:fldCharType="begin"/>
    </w:r>
    <w:r>
      <w:instrText xml:space="preserve"> STYLEREF  "He</w:instrText>
    </w:r>
    <w:r>
      <w:instrText xml:space="preserve">ading 1" \n  \* MERGEFORMAT </w:instrText>
    </w:r>
    <w:r>
      <w:fldChar w:fldCharType="separate"/>
    </w:r>
    <w:r>
      <w:t>5</w:t>
    </w:r>
    <w:r>
      <w:fldChar w:fldCharType="end"/>
    </w:r>
    <w:r w:rsidR="00473E61">
      <w:tab/>
    </w:r>
    <w:r w:rsidR="00473E61">
      <w:rPr>
        <w:lang w:val="en-US"/>
      </w:rPr>
      <w:fldChar w:fldCharType="begin"/>
    </w:r>
    <w:r w:rsidR="00473E61">
      <w:rPr>
        <w:lang w:val="en-US"/>
      </w:rPr>
      <w:instrText xml:space="preserve"> STYLEREF  "Heading 1"  \* MERGEFORMAT </w:instrText>
    </w:r>
    <w:r w:rsidR="00473E61">
      <w:rPr>
        <w:lang w:val="en-US"/>
      </w:rPr>
      <w:fldChar w:fldCharType="separate"/>
    </w:r>
    <w:r>
      <w:rPr>
        <w:lang w:val="en-US"/>
      </w:rPr>
      <w:t>The way forward: Options for program refinement</w:t>
    </w:r>
    <w:r w:rsidR="00473E61">
      <w:rPr>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D101B" w14:textId="77777777" w:rsidR="00473E61" w:rsidRDefault="00473E61" w:rsidP="00776633">
    <w:pPr>
      <w:pStyle w:val="HeaderA"/>
      <w:rPr>
        <w:rStyle w:val="HeaderBChar"/>
        <w:rFonts w:eastAsia="Garamond"/>
        <w:caps w:val="0"/>
      </w:rPr>
    </w:pPr>
    <w:r w:rsidRPr="00555292">
      <w:t>HEALTHCARE MANAGEMENT ADVISORS</w:t>
    </w:r>
    <w:r w:rsidRPr="00555292">
      <w:tab/>
    </w:r>
    <w:r>
      <w:rPr>
        <w:rStyle w:val="HeaderBChar"/>
        <w:rFonts w:eastAsia="Garamond"/>
        <w:caps w:val="0"/>
      </w:rPr>
      <w:t>H</w:t>
    </w:r>
    <w:r w:rsidRPr="00776633">
      <w:rPr>
        <w:rStyle w:val="HeaderBChar"/>
        <w:rFonts w:eastAsia="Garamond"/>
        <w:caps w:val="0"/>
      </w:rPr>
      <w:t>elping create better health services</w:t>
    </w:r>
  </w:p>
  <w:p w14:paraId="553FD51E" w14:textId="32EAFA71" w:rsidR="00473E61" w:rsidRPr="00597301" w:rsidRDefault="00473E61" w:rsidP="00EE3994">
    <w:pPr>
      <w:pStyle w:val="HeaderSectionTitle-nonumber"/>
    </w:pPr>
    <w:r>
      <w:rPr>
        <w:lang w:val="en-US"/>
      </w:rPr>
      <w:fldChar w:fldCharType="begin"/>
    </w:r>
    <w:r>
      <w:rPr>
        <w:lang w:val="en-US"/>
      </w:rPr>
      <w:instrText xml:space="preserve"> STYLEREF  "Heading 1"  \* MERGEFORMAT </w:instrText>
    </w:r>
    <w:r>
      <w:rPr>
        <w:lang w:val="en-US"/>
      </w:rPr>
      <w:fldChar w:fldCharType="separate"/>
    </w:r>
    <w:r w:rsidR="00A67BE9">
      <w:rPr>
        <w:lang w:val="en-US"/>
      </w:rPr>
      <w:t>References</w:t>
    </w:r>
    <w:r>
      <w:rPr>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B0CE6EEC"/>
    <w:lvl w:ilvl="0">
      <w:start w:val="1"/>
      <w:numFmt w:val="decimal"/>
      <w:lvlText w:val="%1."/>
      <w:lvlJc w:val="left"/>
      <w:pPr>
        <w:tabs>
          <w:tab w:val="num" w:pos="1209"/>
        </w:tabs>
        <w:ind w:left="1209" w:hanging="360"/>
      </w:pPr>
    </w:lvl>
  </w:abstractNum>
  <w:abstractNum w:abstractNumId="1" w15:restartNumberingAfterBreak="0">
    <w:nsid w:val="FFFFFF83"/>
    <w:multiLevelType w:val="singleLevel"/>
    <w:tmpl w:val="E4D208E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0E4865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4D2FBB"/>
    <w:multiLevelType w:val="multilevel"/>
    <w:tmpl w:val="10CE1A96"/>
    <w:lvl w:ilvl="0">
      <w:start w:val="14"/>
      <w:numFmt w:val="decimal"/>
      <w:pStyle w:val="KeyFinding"/>
      <w:lvlText w:val="Key Finding %1:"/>
      <w:lvlJc w:val="left"/>
      <w:pPr>
        <w:ind w:left="1701" w:hanging="1588"/>
      </w:pPr>
      <w:rPr>
        <w:rFonts w:ascii="Franklin Gothic Book" w:hAnsi="Franklin Gothic Book" w:hint="default"/>
        <w:caps w:val="0"/>
        <w:color w:val="000000" w:themeColor="text1"/>
        <w:sz w:val="22"/>
        <w:u w:val="none"/>
      </w:rPr>
    </w:lvl>
    <w:lvl w:ilvl="1">
      <w:start w:val="1"/>
      <w:numFmt w:val="upperLetter"/>
      <w:pStyle w:val="DividerPageTitle"/>
      <w:lvlText w:val="Part %2"/>
      <w:lvlJc w:val="left"/>
      <w:pPr>
        <w:ind w:left="7768" w:hanging="7768"/>
      </w:pPr>
      <w:rPr>
        <w:rFonts w:hint="default"/>
        <w:b/>
        <w:i w:val="0"/>
        <w:sz w:val="72"/>
        <w:u w:val="single"/>
      </w:rPr>
    </w:lvl>
    <w:lvl w:ilvl="2">
      <w:start w:val="1"/>
      <w:numFmt w:val="decimal"/>
      <w:pStyle w:val="Recommendations"/>
      <w:lvlText w:val="Recommendation %3:"/>
      <w:lvlJc w:val="left"/>
      <w:pPr>
        <w:ind w:left="2268" w:hanging="2155"/>
      </w:pPr>
      <w:rPr>
        <w:rFonts w:ascii="Franklin Gothic Book" w:hAnsi="Franklin Gothic Book" w:hint="default"/>
        <w:color w:val="000000"/>
        <w:sz w:val="22"/>
      </w:rPr>
    </w:lvl>
    <w:lvl w:ilvl="3">
      <w:start w:val="1"/>
      <w:numFmt w:val="decimal"/>
      <w:pStyle w:val="StrategicDirections"/>
      <w:lvlText w:val="Strategic Direction %4:"/>
      <w:lvlJc w:val="left"/>
      <w:pPr>
        <w:ind w:left="2552" w:hanging="2439"/>
      </w:pPr>
      <w:rPr>
        <w:rFonts w:ascii="Franklin Gothic Book" w:hAnsi="Franklin Gothic Book" w:hint="default"/>
        <w:color w:val="000000" w:themeColor="text1"/>
        <w:sz w:val="22"/>
      </w:rPr>
    </w:lvl>
    <w:lvl w:ilvl="4">
      <w:start w:val="1"/>
      <w:numFmt w:val="lowerLetter"/>
      <w:lvlText w:val="%5."/>
      <w:lvlJc w:val="left"/>
      <w:pPr>
        <w:ind w:left="5472" w:hanging="360"/>
      </w:pPr>
      <w:rPr>
        <w:rFonts w:hint="default"/>
      </w:rPr>
    </w:lvl>
    <w:lvl w:ilvl="5">
      <w:start w:val="1"/>
      <w:numFmt w:val="lowerRoman"/>
      <w:lvlText w:val="%6."/>
      <w:lvlJc w:val="right"/>
      <w:pPr>
        <w:ind w:left="6192" w:hanging="180"/>
      </w:pPr>
      <w:rPr>
        <w:rFonts w:hint="default"/>
      </w:rPr>
    </w:lvl>
    <w:lvl w:ilvl="6">
      <w:start w:val="1"/>
      <w:numFmt w:val="decimal"/>
      <w:lvlText w:val="%7."/>
      <w:lvlJc w:val="left"/>
      <w:pPr>
        <w:ind w:left="6912" w:hanging="360"/>
      </w:pPr>
      <w:rPr>
        <w:rFonts w:hint="default"/>
      </w:rPr>
    </w:lvl>
    <w:lvl w:ilvl="7">
      <w:start w:val="1"/>
      <w:numFmt w:val="lowerLetter"/>
      <w:lvlText w:val="%8."/>
      <w:lvlJc w:val="left"/>
      <w:pPr>
        <w:ind w:left="7632" w:hanging="360"/>
      </w:pPr>
      <w:rPr>
        <w:rFonts w:hint="default"/>
      </w:rPr>
    </w:lvl>
    <w:lvl w:ilvl="8">
      <w:start w:val="1"/>
      <w:numFmt w:val="lowerRoman"/>
      <w:lvlText w:val="%9."/>
      <w:lvlJc w:val="right"/>
      <w:pPr>
        <w:ind w:left="8352" w:hanging="180"/>
      </w:pPr>
      <w:rPr>
        <w:rFonts w:hint="default"/>
      </w:rPr>
    </w:lvl>
  </w:abstractNum>
  <w:abstractNum w:abstractNumId="4" w15:restartNumberingAfterBreak="0">
    <w:nsid w:val="010F575F"/>
    <w:multiLevelType w:val="multilevel"/>
    <w:tmpl w:val="E7228820"/>
    <w:styleLink w:val="TableBullets"/>
    <w:lvl w:ilvl="0">
      <w:start w:val="1"/>
      <w:numFmt w:val="bullet"/>
      <w:pStyle w:val="TableBullets1"/>
      <w:lvlText w:val="•"/>
      <w:lvlJc w:val="left"/>
      <w:pPr>
        <w:ind w:left="227" w:hanging="170"/>
      </w:pPr>
      <w:rPr>
        <w:rFonts w:ascii="Garamond" w:hAnsi="Garamond" w:hint="default"/>
        <w:color w:val="000000" w:themeColor="text1"/>
        <w:sz w:val="22"/>
      </w:rPr>
    </w:lvl>
    <w:lvl w:ilvl="1">
      <w:start w:val="1"/>
      <w:numFmt w:val="bullet"/>
      <w:pStyle w:val="TableBullets2"/>
      <w:lvlText w:val="–"/>
      <w:lvlJc w:val="left"/>
      <w:pPr>
        <w:ind w:left="454" w:hanging="227"/>
      </w:pPr>
      <w:rPr>
        <w:rFonts w:ascii="Garamond" w:hAnsi="Garamond" w:hint="default"/>
        <w:color w:val="787878" w:themeColor="text2"/>
      </w:rPr>
    </w:lvl>
    <w:lvl w:ilvl="2">
      <w:start w:val="1"/>
      <w:numFmt w:val="bullet"/>
      <w:lvlText w:val="–"/>
      <w:lvlJc w:val="left"/>
      <w:pPr>
        <w:ind w:left="624" w:hanging="170"/>
      </w:pPr>
      <w:rPr>
        <w:rFonts w:ascii="Garamond" w:hAnsi="Garamond" w:hint="default"/>
        <w:color w:val="787878" w:themeColor="text2"/>
      </w:rPr>
    </w:lvl>
    <w:lvl w:ilvl="3">
      <w:start w:val="1"/>
      <w:numFmt w:val="bullet"/>
      <w:lvlText w:val="-"/>
      <w:lvlJc w:val="left"/>
      <w:pPr>
        <w:ind w:left="765" w:hanging="141"/>
      </w:pPr>
      <w:rPr>
        <w:rFonts w:ascii="Garamond" w:hAnsi="Garamond" w:hint="default"/>
        <w:color w:val="787878" w:themeColor="text2"/>
      </w:rPr>
    </w:lvl>
    <w:lvl w:ilvl="4">
      <w:start w:val="1"/>
      <w:numFmt w:val="bullet"/>
      <w:pStyle w:val="TableBulletssmall1"/>
      <w:lvlText w:val="•"/>
      <w:lvlJc w:val="left"/>
      <w:pPr>
        <w:ind w:left="227" w:hanging="170"/>
      </w:pPr>
      <w:rPr>
        <w:rFonts w:ascii="Garamond" w:hAnsi="Garamond" w:hint="default"/>
        <w:color w:val="000000" w:themeColor="text1"/>
      </w:rPr>
    </w:lvl>
    <w:lvl w:ilvl="5">
      <w:start w:val="1"/>
      <w:numFmt w:val="bullet"/>
      <w:pStyle w:val="TableBulletssmall2"/>
      <w:lvlText w:val="–"/>
      <w:lvlJc w:val="left"/>
      <w:pPr>
        <w:ind w:left="454" w:hanging="227"/>
      </w:pPr>
      <w:rPr>
        <w:rFonts w:ascii="Garamond" w:hAnsi="Garamond" w:hint="default"/>
        <w:color w:val="787878" w:themeColor="text2"/>
      </w:rPr>
    </w:lvl>
    <w:lvl w:ilvl="6">
      <w:start w:val="1"/>
      <w:numFmt w:val="bullet"/>
      <w:lvlText w:val="–"/>
      <w:lvlJc w:val="left"/>
      <w:pPr>
        <w:ind w:left="624" w:hanging="170"/>
      </w:pPr>
      <w:rPr>
        <w:rFonts w:ascii="Garamond" w:hAnsi="Garamond" w:hint="default"/>
        <w:color w:val="787878" w:themeColor="text2"/>
      </w:rPr>
    </w:lvl>
    <w:lvl w:ilvl="7">
      <w:start w:val="1"/>
      <w:numFmt w:val="bullet"/>
      <w:lvlText w:val="-"/>
      <w:lvlJc w:val="left"/>
      <w:pPr>
        <w:ind w:left="765" w:hanging="141"/>
      </w:pPr>
      <w:rPr>
        <w:rFonts w:ascii="Garamond" w:hAnsi="Garamond" w:hint="default"/>
        <w:color w:val="787878" w:themeColor="text2"/>
      </w:rPr>
    </w:lvl>
    <w:lvl w:ilvl="8">
      <w:start w:val="1"/>
      <w:numFmt w:val="bullet"/>
      <w:lvlText w:val="•"/>
      <w:lvlJc w:val="left"/>
      <w:pPr>
        <w:ind w:left="170" w:hanging="170"/>
      </w:pPr>
      <w:rPr>
        <w:rFonts w:ascii="Garamond" w:hAnsi="Garamond" w:hint="default"/>
        <w:color w:val="000000" w:themeColor="text1"/>
      </w:rPr>
    </w:lvl>
  </w:abstractNum>
  <w:abstractNum w:abstractNumId="5" w15:restartNumberingAfterBreak="0">
    <w:nsid w:val="04EB54DE"/>
    <w:multiLevelType w:val="multilevel"/>
    <w:tmpl w:val="7E260AEE"/>
    <w:styleLink w:val="NamedHeadings"/>
    <w:lvl w:ilvl="0">
      <w:start w:val="1"/>
      <w:numFmt w:val="upperLetter"/>
      <w:pStyle w:val="AppendixHeading"/>
      <w:lvlText w:val="Appendix %1"/>
      <w:lvlJc w:val="left"/>
      <w:pPr>
        <w:ind w:left="1985" w:hanging="1985"/>
      </w:pPr>
      <w:rPr>
        <w:rFonts w:hint="default"/>
      </w:rPr>
    </w:lvl>
    <w:lvl w:ilvl="1">
      <w:start w:val="1"/>
      <w:numFmt w:val="decimal"/>
      <w:pStyle w:val="StageHeading"/>
      <w:lvlText w:val="Stage %2"/>
      <w:lvlJc w:val="left"/>
      <w:pPr>
        <w:ind w:left="1418" w:hanging="141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8474B1C"/>
    <w:multiLevelType w:val="hybridMultilevel"/>
    <w:tmpl w:val="C3C60F38"/>
    <w:lvl w:ilvl="0" w:tplc="88BC2AD6">
      <w:start w:val="1"/>
      <w:numFmt w:val="lowerRoman"/>
      <w:lvlText w:val="(%1)"/>
      <w:lvlJc w:val="left"/>
      <w:pPr>
        <w:ind w:left="2160" w:hanging="7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7" w15:restartNumberingAfterBreak="0">
    <w:nsid w:val="0AC2735F"/>
    <w:multiLevelType w:val="multilevel"/>
    <w:tmpl w:val="51D490E6"/>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FE1832"/>
    <w:multiLevelType w:val="multilevel"/>
    <w:tmpl w:val="8788DA52"/>
    <w:styleLink w:val="HeaderTitleList"/>
    <w:lvl w:ilvl="0">
      <w:start w:val="1"/>
      <w:numFmt w:val="decimal"/>
      <w:pStyle w:val="HeaderSectionTitle"/>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5A5E93"/>
    <w:multiLevelType w:val="multilevel"/>
    <w:tmpl w:val="1646C884"/>
    <w:styleLink w:val="Bullets1"/>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0F6F37EA"/>
    <w:multiLevelType w:val="multilevel"/>
    <w:tmpl w:val="05DE4E62"/>
    <w:styleLink w:val="Numbering"/>
    <w:lvl w:ilvl="0">
      <w:start w:val="1"/>
      <w:numFmt w:val="decimal"/>
      <w:pStyle w:val="ListNumber"/>
      <w:lvlText w:val="%1."/>
      <w:lvlJc w:val="left"/>
      <w:pPr>
        <w:tabs>
          <w:tab w:val="num" w:pos="284"/>
        </w:tabs>
        <w:ind w:left="567" w:hanging="56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3763D54"/>
    <w:multiLevelType w:val="multilevel"/>
    <w:tmpl w:val="79202170"/>
    <w:styleLink w:val="Numbers1"/>
    <w:lvl w:ilvl="0">
      <w:start w:val="1"/>
      <w:numFmt w:val="decimal"/>
      <w:pStyle w:val="List"/>
      <w:lvlText w:val="(%1)"/>
      <w:lvlJc w:val="left"/>
      <w:pPr>
        <w:ind w:left="567" w:hanging="567"/>
      </w:pPr>
      <w:rPr>
        <w:rFonts w:hint="default"/>
      </w:rPr>
    </w:lvl>
    <w:lvl w:ilvl="1">
      <w:start w:val="1"/>
      <w:numFmt w:val="lowerLetter"/>
      <w:pStyle w:val="List2"/>
      <w:lvlText w:val="(%2)"/>
      <w:lvlJc w:val="left"/>
      <w:pPr>
        <w:ind w:left="851" w:hanging="284"/>
      </w:pPr>
      <w:rPr>
        <w:rFonts w:hint="default"/>
      </w:rPr>
    </w:lvl>
    <w:lvl w:ilvl="2">
      <w:start w:val="1"/>
      <w:numFmt w:val="lowerRoman"/>
      <w:pStyle w:val="List3"/>
      <w:lvlText w:val="(%3)"/>
      <w:lvlJc w:val="left"/>
      <w:pPr>
        <w:tabs>
          <w:tab w:val="num" w:pos="1134"/>
        </w:tabs>
        <w:ind w:left="851" w:firstLine="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8CD34C1"/>
    <w:multiLevelType w:val="hybridMultilevel"/>
    <w:tmpl w:val="0CE40A04"/>
    <w:lvl w:ilvl="0" w:tplc="1CA2EB9A">
      <w:start w:val="1"/>
      <w:numFmt w:val="bullet"/>
      <w:pStyle w:val="ProjectImplication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274D6E28"/>
    <w:multiLevelType w:val="hybridMultilevel"/>
    <w:tmpl w:val="75EC54C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8992195"/>
    <w:multiLevelType w:val="multilevel"/>
    <w:tmpl w:val="7E260AEE"/>
    <w:numStyleLink w:val="NamedHeadings"/>
  </w:abstractNum>
  <w:abstractNum w:abstractNumId="15" w15:restartNumberingAfterBreak="0">
    <w:nsid w:val="29073655"/>
    <w:multiLevelType w:val="hybridMultilevel"/>
    <w:tmpl w:val="51FA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155115"/>
    <w:multiLevelType w:val="multilevel"/>
    <w:tmpl w:val="51D490E6"/>
    <w:numStyleLink w:val="ListHeadings"/>
  </w:abstractNum>
  <w:abstractNum w:abstractNumId="17" w15:restartNumberingAfterBreak="0">
    <w:nsid w:val="4085763F"/>
    <w:multiLevelType w:val="hybridMultilevel"/>
    <w:tmpl w:val="2376E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7268FA"/>
    <w:multiLevelType w:val="multilevel"/>
    <w:tmpl w:val="79202170"/>
    <w:styleLink w:val="LetteredList"/>
    <w:lvl w:ilvl="0">
      <w:start w:val="1"/>
      <w:numFmt w:val="decimal"/>
      <w:lvlText w:val="(%1)"/>
      <w:lvlJc w:val="left"/>
      <w:pPr>
        <w:ind w:left="567" w:hanging="567"/>
      </w:pPr>
      <w:rPr>
        <w:rFonts w:hint="default"/>
      </w:rPr>
    </w:lvl>
    <w:lvl w:ilvl="1">
      <w:start w:val="1"/>
      <w:numFmt w:val="lowerLetter"/>
      <w:lvlText w:val="(%2)"/>
      <w:lvlJc w:val="left"/>
      <w:pPr>
        <w:ind w:left="851" w:hanging="284"/>
      </w:pPr>
      <w:rPr>
        <w:rFonts w:hint="default"/>
      </w:rPr>
    </w:lvl>
    <w:lvl w:ilvl="2">
      <w:start w:val="1"/>
      <w:numFmt w:val="lowerRoman"/>
      <w:lvlText w:val="(%3)"/>
      <w:lvlJc w:val="left"/>
      <w:pPr>
        <w:tabs>
          <w:tab w:val="num" w:pos="1134"/>
        </w:tabs>
        <w:ind w:left="851" w:firstLine="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A6D0BC3"/>
    <w:multiLevelType w:val="hybridMultilevel"/>
    <w:tmpl w:val="8DBC0D16"/>
    <w:lvl w:ilvl="0" w:tplc="6E402568">
      <w:start w:val="1"/>
      <w:numFmt w:val="decimal"/>
      <w:pStyle w:val="Finding"/>
      <w:lvlText w:val="Finding %1:"/>
      <w:lvlJc w:val="left"/>
      <w:pPr>
        <w:ind w:left="360" w:hanging="360"/>
      </w:pPr>
      <w:rPr>
        <w:rFonts w:ascii="Franklin Gothic Book" w:hAnsi="Franklin Gothic Book" w:hint="default"/>
        <w:b w:val="0"/>
        <w:i w:val="0"/>
        <w:sz w:val="22"/>
      </w:rPr>
    </w:lvl>
    <w:lvl w:ilvl="1" w:tplc="0C090019">
      <w:start w:val="1"/>
      <w:numFmt w:val="lowerLetter"/>
      <w:lvlText w:val="%2."/>
      <w:lvlJc w:val="left"/>
      <w:pPr>
        <w:ind w:left="1553" w:hanging="360"/>
      </w:pPr>
    </w:lvl>
    <w:lvl w:ilvl="2" w:tplc="E4764586">
      <w:start w:val="1"/>
      <w:numFmt w:val="lowerRoman"/>
      <w:lvlText w:val="%3."/>
      <w:lvlJc w:val="right"/>
      <w:pPr>
        <w:ind w:left="2273" w:hanging="180"/>
      </w:pPr>
      <w:rPr>
        <w:b w:val="0"/>
        <w:bCs/>
      </w:r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0" w15:restartNumberingAfterBreak="0">
    <w:nsid w:val="55446260"/>
    <w:multiLevelType w:val="multilevel"/>
    <w:tmpl w:val="B0040080"/>
    <w:lvl w:ilvl="0">
      <w:start w:val="1"/>
      <w:numFmt w:val="bullet"/>
      <w:lvlText w:val=""/>
      <w:lvlJc w:val="left"/>
      <w:pPr>
        <w:ind w:left="454" w:hanging="454"/>
      </w:pPr>
      <w:rPr>
        <w:rFonts w:ascii="Symbol" w:hAnsi="Symbol" w:hint="default"/>
      </w:rPr>
    </w:lvl>
    <w:lvl w:ilvl="1">
      <w:start w:val="1"/>
      <w:numFmt w:val="lowerLetter"/>
      <w:lvlText w:val="(%2)"/>
      <w:lvlJc w:val="left"/>
      <w:pPr>
        <w:ind w:left="765" w:hanging="311"/>
      </w:pPr>
      <w:rPr>
        <w:rFonts w:hint="default"/>
      </w:rPr>
    </w:lvl>
    <w:lvl w:ilvl="2">
      <w:start w:val="1"/>
      <w:numFmt w:val="lowerRoman"/>
      <w:lvlText w:val="(%3)"/>
      <w:lvlJc w:val="left"/>
      <w:pPr>
        <w:ind w:left="1191" w:hanging="426"/>
      </w:pPr>
      <w:rPr>
        <w:rFonts w:hint="default"/>
      </w:rPr>
    </w:lvl>
    <w:lvl w:ilvl="3">
      <w:start w:val="1"/>
      <w:numFmt w:val="bullet"/>
      <w:lvlText w:val="-"/>
      <w:lvlJc w:val="left"/>
      <w:pPr>
        <w:ind w:left="1332" w:hanging="141"/>
      </w:pPr>
      <w:rPr>
        <w:rFonts w:ascii="Garamond" w:hAnsi="Garamond" w:hint="default"/>
        <w:color w:val="787878" w:themeColor="text2"/>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Garamond" w:hAnsi="Garamond" w:hint="default"/>
        <w:color w:val="787878" w:themeColor="text2"/>
      </w:rPr>
    </w:lvl>
    <w:lvl w:ilvl="8">
      <w:start w:val="1"/>
      <w:numFmt w:val="decimal"/>
      <w:lvlText w:val="(%9)"/>
      <w:lvlJc w:val="left"/>
      <w:pPr>
        <w:ind w:left="3240" w:hanging="360"/>
      </w:pPr>
      <w:rPr>
        <w:rFonts w:hint="default"/>
      </w:rPr>
    </w:lvl>
  </w:abstractNum>
  <w:abstractNum w:abstractNumId="21" w15:restartNumberingAfterBreak="0">
    <w:nsid w:val="55475046"/>
    <w:multiLevelType w:val="multilevel"/>
    <w:tmpl w:val="DCE28566"/>
    <w:styleLink w:val="Indent"/>
    <w:lvl w:ilvl="0">
      <w:start w:val="1"/>
      <w:numFmt w:val="decimal"/>
      <w:lvlText w:val="Key Finding %1:"/>
      <w:lvlJc w:val="left"/>
      <w:pPr>
        <w:ind w:left="1701" w:hanging="1588"/>
      </w:pPr>
      <w:rPr>
        <w:rFonts w:ascii="Franklin Gothic Book" w:hAnsi="Franklin Gothic Book" w:hint="default"/>
        <w:caps w:val="0"/>
        <w:color w:val="000000" w:themeColor="text1"/>
        <w:sz w:val="22"/>
        <w:u w:val="none"/>
      </w:rPr>
    </w:lvl>
    <w:lvl w:ilvl="1">
      <w:start w:val="1"/>
      <w:numFmt w:val="upperLetter"/>
      <w:lvlText w:val="Part %2"/>
      <w:lvlJc w:val="left"/>
      <w:pPr>
        <w:ind w:left="7768" w:hanging="7768"/>
      </w:pPr>
      <w:rPr>
        <w:rFonts w:hint="default"/>
        <w:b/>
        <w:i w:val="0"/>
        <w:sz w:val="72"/>
        <w:u w:val="single"/>
      </w:rPr>
    </w:lvl>
    <w:lvl w:ilvl="2">
      <w:start w:val="1"/>
      <w:numFmt w:val="decimal"/>
      <w:lvlText w:val="Recommendation %3:"/>
      <w:lvlJc w:val="left"/>
      <w:pPr>
        <w:ind w:left="2268" w:hanging="2155"/>
      </w:pPr>
      <w:rPr>
        <w:rFonts w:ascii="Franklin Gothic Book" w:hAnsi="Franklin Gothic Book" w:hint="default"/>
        <w:color w:val="000000"/>
        <w:sz w:val="22"/>
      </w:rPr>
    </w:lvl>
    <w:lvl w:ilvl="3">
      <w:start w:val="1"/>
      <w:numFmt w:val="decimal"/>
      <w:lvlText w:val="Strategic Direction %4:"/>
      <w:lvlJc w:val="left"/>
      <w:pPr>
        <w:ind w:left="2552" w:hanging="2439"/>
      </w:pPr>
      <w:rPr>
        <w:rFonts w:ascii="Franklin Gothic Book" w:hAnsi="Franklin Gothic Book" w:hint="default"/>
        <w:color w:val="000000" w:themeColor="text1"/>
        <w:sz w:val="22"/>
      </w:rPr>
    </w:lvl>
    <w:lvl w:ilvl="4">
      <w:start w:val="1"/>
      <w:numFmt w:val="lowerLetter"/>
      <w:lvlText w:val="%5."/>
      <w:lvlJc w:val="left"/>
      <w:pPr>
        <w:ind w:left="5472" w:hanging="360"/>
      </w:pPr>
      <w:rPr>
        <w:rFonts w:hint="default"/>
      </w:rPr>
    </w:lvl>
    <w:lvl w:ilvl="5">
      <w:start w:val="1"/>
      <w:numFmt w:val="lowerRoman"/>
      <w:lvlText w:val="%6."/>
      <w:lvlJc w:val="right"/>
      <w:pPr>
        <w:ind w:left="6192" w:hanging="180"/>
      </w:pPr>
      <w:rPr>
        <w:rFonts w:hint="default"/>
      </w:rPr>
    </w:lvl>
    <w:lvl w:ilvl="6">
      <w:start w:val="1"/>
      <w:numFmt w:val="decimal"/>
      <w:lvlText w:val="%7."/>
      <w:lvlJc w:val="left"/>
      <w:pPr>
        <w:ind w:left="6912" w:hanging="360"/>
      </w:pPr>
      <w:rPr>
        <w:rFonts w:hint="default"/>
      </w:rPr>
    </w:lvl>
    <w:lvl w:ilvl="7">
      <w:start w:val="1"/>
      <w:numFmt w:val="lowerLetter"/>
      <w:lvlText w:val="%8."/>
      <w:lvlJc w:val="left"/>
      <w:pPr>
        <w:ind w:left="7632" w:hanging="360"/>
      </w:pPr>
      <w:rPr>
        <w:rFonts w:hint="default"/>
      </w:rPr>
    </w:lvl>
    <w:lvl w:ilvl="8">
      <w:start w:val="1"/>
      <w:numFmt w:val="lowerRoman"/>
      <w:lvlText w:val="%9."/>
      <w:lvlJc w:val="right"/>
      <w:pPr>
        <w:ind w:left="8352" w:hanging="180"/>
      </w:pPr>
      <w:rPr>
        <w:rFonts w:hint="default"/>
      </w:rPr>
    </w:lvl>
  </w:abstractNum>
  <w:abstractNum w:abstractNumId="22" w15:restartNumberingAfterBreak="0">
    <w:nsid w:val="59000CB5"/>
    <w:multiLevelType w:val="hybridMultilevel"/>
    <w:tmpl w:val="8108AF4C"/>
    <w:lvl w:ilvl="0" w:tplc="0C090001">
      <w:start w:val="1"/>
      <w:numFmt w:val="bullet"/>
      <w:lvlText w:val=""/>
      <w:lvlJc w:val="left"/>
      <w:pPr>
        <w:ind w:left="720" w:hanging="360"/>
      </w:pPr>
      <w:rPr>
        <w:rFonts w:ascii="Symbol" w:hAnsi="Symbol" w:hint="default"/>
      </w:rPr>
    </w:lvl>
    <w:lvl w:ilvl="1" w:tplc="8BC8F956">
      <w:start w:val="1"/>
      <w:numFmt w:val="lowerRoman"/>
      <w:lvlText w:val="(%2)"/>
      <w:lvlJc w:val="left"/>
      <w:pPr>
        <w:ind w:left="1440" w:hanging="360"/>
      </w:pPr>
      <w:rPr>
        <w:rFonts w:ascii="Calibri" w:eastAsia="Calibri" w:hAnsi="Calibri" w:cs="Times New Roman"/>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CC3738E"/>
    <w:multiLevelType w:val="hybridMultilevel"/>
    <w:tmpl w:val="DCBC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0245B9"/>
    <w:multiLevelType w:val="multilevel"/>
    <w:tmpl w:val="79202170"/>
    <w:numStyleLink w:val="LetteredList"/>
  </w:abstractNum>
  <w:abstractNum w:abstractNumId="25" w15:restartNumberingAfterBreak="0">
    <w:nsid w:val="60E1502C"/>
    <w:multiLevelType w:val="multilevel"/>
    <w:tmpl w:val="1646C884"/>
    <w:styleLink w:val="Numbers2"/>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191443C"/>
    <w:multiLevelType w:val="multilevel"/>
    <w:tmpl w:val="05DE4E62"/>
    <w:numStyleLink w:val="Numbering"/>
  </w:abstractNum>
  <w:abstractNum w:abstractNumId="27" w15:restartNumberingAfterBreak="0">
    <w:nsid w:val="63CC4626"/>
    <w:multiLevelType w:val="multilevel"/>
    <w:tmpl w:val="8788DA52"/>
    <w:numStyleLink w:val="HeaderTitleList"/>
  </w:abstractNum>
  <w:abstractNum w:abstractNumId="28" w15:restartNumberingAfterBreak="0">
    <w:nsid w:val="65135D2F"/>
    <w:multiLevelType w:val="multilevel"/>
    <w:tmpl w:val="7EC83984"/>
    <w:lvl w:ilvl="0">
      <w:start w:val="1"/>
      <w:numFmt w:val="decimal"/>
      <w:pStyle w:val="TableNumbers1"/>
      <w:lvlText w:val="(%1)"/>
      <w:lvlJc w:val="left"/>
      <w:pPr>
        <w:ind w:left="397" w:hanging="340"/>
      </w:pPr>
      <w:rPr>
        <w:rFonts w:hint="default"/>
      </w:rPr>
    </w:lvl>
    <w:lvl w:ilvl="1">
      <w:start w:val="1"/>
      <w:numFmt w:val="lowerLetter"/>
      <w:pStyle w:val="TableNumbers2"/>
      <w:lvlText w:val="(%2)"/>
      <w:lvlJc w:val="left"/>
      <w:pPr>
        <w:ind w:left="652" w:hanging="255"/>
      </w:pPr>
      <w:rPr>
        <w:rFonts w:hint="default"/>
      </w:rPr>
    </w:lvl>
    <w:lvl w:ilvl="2">
      <w:start w:val="1"/>
      <w:numFmt w:val="lowerRoman"/>
      <w:lvlText w:val="(%3)"/>
      <w:lvlJc w:val="left"/>
      <w:pPr>
        <w:ind w:left="1134" w:hanging="482"/>
      </w:pPr>
      <w:rPr>
        <w:rFonts w:hint="default"/>
      </w:rPr>
    </w:lvl>
    <w:lvl w:ilvl="3">
      <w:start w:val="1"/>
      <w:numFmt w:val="bullet"/>
      <w:lvlText w:val="-"/>
      <w:lvlJc w:val="left"/>
      <w:pPr>
        <w:tabs>
          <w:tab w:val="num" w:pos="1264"/>
        </w:tabs>
        <w:ind w:left="1332" w:hanging="198"/>
      </w:pPr>
      <w:rPr>
        <w:rFonts w:ascii="Garamond" w:hAnsi="Garamond" w:hint="default"/>
        <w:color w:val="787878" w:themeColor="text2"/>
      </w:rPr>
    </w:lvl>
    <w:lvl w:ilvl="4">
      <w:start w:val="1"/>
      <w:numFmt w:val="decimal"/>
      <w:pStyle w:val="TableNumberssmall1"/>
      <w:lvlText w:val="(%5)"/>
      <w:lvlJc w:val="left"/>
      <w:pPr>
        <w:ind w:left="397" w:hanging="340"/>
      </w:pPr>
      <w:rPr>
        <w:rFonts w:hint="default"/>
      </w:rPr>
    </w:lvl>
    <w:lvl w:ilvl="5">
      <w:start w:val="1"/>
      <w:numFmt w:val="lowerLetter"/>
      <w:pStyle w:val="TableNumberssmall2"/>
      <w:lvlText w:val="(%6)"/>
      <w:lvlJc w:val="left"/>
      <w:pPr>
        <w:ind w:left="652" w:hanging="255"/>
      </w:pPr>
      <w:rPr>
        <w:rFonts w:hint="default"/>
      </w:rPr>
    </w:lvl>
    <w:lvl w:ilvl="6">
      <w:start w:val="1"/>
      <w:numFmt w:val="lowerRoman"/>
      <w:lvlText w:val="(%7)"/>
      <w:lvlJc w:val="left"/>
      <w:pPr>
        <w:ind w:left="1134" w:hanging="482"/>
      </w:pPr>
      <w:rPr>
        <w:rFonts w:hint="default"/>
      </w:rPr>
    </w:lvl>
    <w:lvl w:ilvl="7">
      <w:start w:val="1"/>
      <w:numFmt w:val="bullet"/>
      <w:lvlText w:val="-"/>
      <w:lvlJc w:val="left"/>
      <w:pPr>
        <w:ind w:left="1332" w:hanging="198"/>
      </w:pPr>
      <w:rPr>
        <w:rFonts w:ascii="Garamond" w:hAnsi="Garamond" w:hint="default"/>
        <w:color w:val="787878" w:themeColor="text2"/>
      </w:rPr>
    </w:lvl>
    <w:lvl w:ilvl="8">
      <w:start w:val="1"/>
      <w:numFmt w:val="decimal"/>
      <w:lvlText w:val="(%9)"/>
      <w:lvlJc w:val="left"/>
      <w:pPr>
        <w:ind w:left="340" w:hanging="340"/>
      </w:pPr>
      <w:rPr>
        <w:rFonts w:hint="default"/>
      </w:rPr>
    </w:lvl>
  </w:abstractNum>
  <w:abstractNum w:abstractNumId="29" w15:restartNumberingAfterBreak="0">
    <w:nsid w:val="6AFC2484"/>
    <w:multiLevelType w:val="multilevel"/>
    <w:tmpl w:val="D2E4298C"/>
    <w:styleLink w:val="Sections"/>
    <w:lvl w:ilvl="0">
      <w:start w:val="1"/>
      <w:numFmt w:val="upperLetter"/>
      <w:pStyle w:val="SectionTitle"/>
      <w:lvlText w:val="SECTION %1:"/>
      <w:lvlJc w:val="left"/>
      <w:pPr>
        <w:tabs>
          <w:tab w:val="num" w:pos="1871"/>
        </w:tabs>
        <w:ind w:left="1871" w:hanging="1871"/>
      </w:pPr>
      <w:rPr>
        <w:rFonts w:ascii="Franklin Gothic Book" w:hAnsi="Franklin Gothic Book" w:hint="default"/>
        <w:color w:val="000000" w:themeColor="text1"/>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F5A2FE1"/>
    <w:multiLevelType w:val="multilevel"/>
    <w:tmpl w:val="414450F4"/>
    <w:styleLink w:val="Numbers"/>
    <w:lvl w:ilvl="0">
      <w:start w:val="1"/>
      <w:numFmt w:val="decimal"/>
      <w:pStyle w:val="Numbers10"/>
      <w:lvlText w:val="(%1)"/>
      <w:lvlJc w:val="left"/>
      <w:pPr>
        <w:ind w:left="454" w:hanging="454"/>
      </w:pPr>
      <w:rPr>
        <w:rFonts w:hint="default"/>
      </w:rPr>
    </w:lvl>
    <w:lvl w:ilvl="1">
      <w:start w:val="1"/>
      <w:numFmt w:val="lowerLetter"/>
      <w:pStyle w:val="Numbers20"/>
      <w:lvlText w:val="(%2)"/>
      <w:lvlJc w:val="left"/>
      <w:pPr>
        <w:ind w:left="765" w:hanging="311"/>
      </w:pPr>
      <w:rPr>
        <w:rFonts w:hint="default"/>
      </w:rPr>
    </w:lvl>
    <w:lvl w:ilvl="2">
      <w:start w:val="1"/>
      <w:numFmt w:val="lowerRoman"/>
      <w:pStyle w:val="Numbers3"/>
      <w:lvlText w:val="(%3)"/>
      <w:lvlJc w:val="left"/>
      <w:pPr>
        <w:ind w:left="1191" w:hanging="426"/>
      </w:pPr>
      <w:rPr>
        <w:rFonts w:hint="default"/>
      </w:rPr>
    </w:lvl>
    <w:lvl w:ilvl="3">
      <w:start w:val="1"/>
      <w:numFmt w:val="bullet"/>
      <w:pStyle w:val="Numbers4"/>
      <w:lvlText w:val="-"/>
      <w:lvlJc w:val="left"/>
      <w:pPr>
        <w:ind w:left="1332" w:hanging="141"/>
      </w:pPr>
      <w:rPr>
        <w:rFonts w:ascii="Garamond" w:hAnsi="Garamond" w:hint="default"/>
        <w:color w:val="787878" w:themeColor="text2"/>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Garamond" w:hAnsi="Garamond" w:hint="default"/>
        <w:color w:val="787878" w:themeColor="text2"/>
      </w:rPr>
    </w:lvl>
    <w:lvl w:ilvl="8">
      <w:start w:val="1"/>
      <w:numFmt w:val="decimal"/>
      <w:lvlText w:val="(%9)"/>
      <w:lvlJc w:val="left"/>
      <w:pPr>
        <w:ind w:left="3240" w:hanging="360"/>
      </w:pPr>
      <w:rPr>
        <w:rFonts w:hint="default"/>
      </w:rPr>
    </w:lvl>
  </w:abstractNum>
  <w:abstractNum w:abstractNumId="31" w15:restartNumberingAfterBreak="0">
    <w:nsid w:val="73E14B1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7B3515E"/>
    <w:multiLevelType w:val="multilevel"/>
    <w:tmpl w:val="B0040080"/>
    <w:lvl w:ilvl="0">
      <w:start w:val="1"/>
      <w:numFmt w:val="bullet"/>
      <w:lvlText w:val=""/>
      <w:lvlJc w:val="left"/>
      <w:pPr>
        <w:ind w:left="454" w:hanging="454"/>
      </w:pPr>
      <w:rPr>
        <w:rFonts w:ascii="Symbol" w:hAnsi="Symbol" w:hint="default"/>
      </w:rPr>
    </w:lvl>
    <w:lvl w:ilvl="1">
      <w:start w:val="1"/>
      <w:numFmt w:val="lowerLetter"/>
      <w:lvlText w:val="(%2)"/>
      <w:lvlJc w:val="left"/>
      <w:pPr>
        <w:ind w:left="765" w:hanging="311"/>
      </w:pPr>
      <w:rPr>
        <w:rFonts w:hint="default"/>
      </w:rPr>
    </w:lvl>
    <w:lvl w:ilvl="2">
      <w:start w:val="1"/>
      <w:numFmt w:val="lowerRoman"/>
      <w:lvlText w:val="(%3)"/>
      <w:lvlJc w:val="left"/>
      <w:pPr>
        <w:ind w:left="1191" w:hanging="426"/>
      </w:pPr>
      <w:rPr>
        <w:rFonts w:hint="default"/>
      </w:rPr>
    </w:lvl>
    <w:lvl w:ilvl="3">
      <w:start w:val="1"/>
      <w:numFmt w:val="bullet"/>
      <w:lvlText w:val="-"/>
      <w:lvlJc w:val="left"/>
      <w:pPr>
        <w:ind w:left="1332" w:hanging="141"/>
      </w:pPr>
      <w:rPr>
        <w:rFonts w:ascii="Garamond" w:hAnsi="Garamond" w:hint="default"/>
        <w:color w:val="787878" w:themeColor="text2"/>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Garamond" w:hAnsi="Garamond" w:hint="default"/>
        <w:color w:val="787878" w:themeColor="text2"/>
      </w:rPr>
    </w:lvl>
    <w:lvl w:ilvl="8">
      <w:start w:val="1"/>
      <w:numFmt w:val="decimal"/>
      <w:lvlText w:val="(%9)"/>
      <w:lvlJc w:val="left"/>
      <w:pPr>
        <w:ind w:left="3240" w:hanging="360"/>
      </w:pPr>
      <w:rPr>
        <w:rFonts w:hint="default"/>
      </w:rPr>
    </w:lvl>
  </w:abstractNum>
  <w:num w:numId="1">
    <w:abstractNumId w:val="25"/>
  </w:num>
  <w:num w:numId="2">
    <w:abstractNumId w:val="10"/>
  </w:num>
  <w:num w:numId="3">
    <w:abstractNumId w:val="7"/>
  </w:num>
  <w:num w:numId="4">
    <w:abstractNumId w:val="9"/>
  </w:num>
  <w:num w:numId="5">
    <w:abstractNumId w:val="21"/>
  </w:num>
  <w:num w:numId="6">
    <w:abstractNumId w:val="8"/>
  </w:num>
  <w:num w:numId="7">
    <w:abstractNumId w:val="27"/>
  </w:num>
  <w:num w:numId="8">
    <w:abstractNumId w:val="18"/>
  </w:num>
  <w:num w:numId="9">
    <w:abstractNumId w:val="26"/>
  </w:num>
  <w:num w:numId="10">
    <w:abstractNumId w:val="5"/>
  </w:num>
  <w:num w:numId="11">
    <w:abstractNumId w:val="16"/>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lvlText w:val="%1.%2.%3.%4."/>
        <w:lvlJc w:val="left"/>
        <w:pPr>
          <w:ind w:left="1361" w:hanging="1361"/>
        </w:pPr>
        <w:rPr>
          <w:rFonts w:hint="default"/>
        </w:rPr>
      </w:lvl>
    </w:lvlOverride>
    <w:lvlOverride w:ilvl="4">
      <w:lvl w:ilvl="4">
        <w:start w:val="1"/>
        <w:numFmt w:val="decimal"/>
        <w:lvlText w:val="%1.%2.%3.%4.%5"/>
        <w:lvlJc w:val="left"/>
        <w:pPr>
          <w:ind w:left="1701" w:hanging="1701"/>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29"/>
    <w:lvlOverride w:ilvl="0">
      <w:lvl w:ilvl="0">
        <w:start w:val="1"/>
        <w:numFmt w:val="upperLetter"/>
        <w:pStyle w:val="SectionTitle"/>
        <w:lvlText w:val="SECTION %1:"/>
        <w:lvlJc w:val="left"/>
        <w:pPr>
          <w:tabs>
            <w:tab w:val="num" w:pos="1871"/>
          </w:tabs>
          <w:ind w:left="1871" w:hanging="187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4"/>
  </w:num>
  <w:num w:numId="14">
    <w:abstractNumId w:val="14"/>
    <w:lvlOverride w:ilvl="0">
      <w:lvl w:ilvl="0">
        <w:start w:val="1"/>
        <w:numFmt w:val="upperLetter"/>
        <w:pStyle w:val="AppendixHeading"/>
        <w:lvlText w:val="Appendix %1"/>
        <w:lvlJc w:val="left"/>
        <w:pPr>
          <w:ind w:left="1985" w:hanging="1985"/>
        </w:pPr>
        <w:rPr>
          <w:rFonts w:hint="default"/>
        </w:rPr>
      </w:lvl>
    </w:lvlOverride>
  </w:num>
  <w:num w:numId="15">
    <w:abstractNumId w:val="12"/>
  </w:num>
  <w:num w:numId="16">
    <w:abstractNumId w:val="19"/>
  </w:num>
  <w:num w:numId="17">
    <w:abstractNumId w:val="28"/>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 w:ilvl="0">
        <w:numFmt w:val="decimal"/>
        <w:pStyle w:val="Numbers10"/>
        <w:lvlText w:val=""/>
        <w:lvlJc w:val="left"/>
      </w:lvl>
    </w:lvlOverride>
    <w:lvlOverride w:ilvl="1">
      <w:lvl w:ilvl="1">
        <w:start w:val="1"/>
        <w:numFmt w:val="lowerLetter"/>
        <w:pStyle w:val="Numbers20"/>
        <w:lvlText w:val="(%2)"/>
        <w:lvlJc w:val="left"/>
        <w:pPr>
          <w:ind w:left="765" w:hanging="311"/>
        </w:pPr>
        <w:rPr>
          <w:rFonts w:hint="default"/>
          <w:b w:val="0"/>
        </w:rPr>
      </w:lvl>
    </w:lvlOverride>
  </w:num>
  <w:num w:numId="21">
    <w:abstractNumId w:val="31"/>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16"/>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lvlText w:val="%1.%2.%3.%4."/>
        <w:lvlJc w:val="left"/>
        <w:pPr>
          <w:ind w:left="1361" w:hanging="1361"/>
        </w:pPr>
        <w:rPr>
          <w:rFonts w:hint="default"/>
        </w:rPr>
      </w:lvl>
    </w:lvlOverride>
    <w:lvlOverride w:ilvl="4">
      <w:lvl w:ilvl="4">
        <w:start w:val="1"/>
        <w:numFmt w:val="decimal"/>
        <w:lvlText w:val="%1.%2.%3.%4.%5"/>
        <w:lvlJc w:val="left"/>
        <w:pPr>
          <w:ind w:left="1701" w:hanging="1701"/>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abstractNumId w:val="20"/>
  </w:num>
  <w:num w:numId="27">
    <w:abstractNumId w:val="16"/>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134" w:hanging="1134"/>
        </w:pPr>
        <w:rPr>
          <w:rFonts w:hint="default"/>
        </w:rPr>
      </w:lvl>
    </w:lvlOverride>
    <w:lvlOverride w:ilvl="3">
      <w:lvl w:ilvl="3">
        <w:start w:val="1"/>
        <w:numFmt w:val="decimal"/>
        <w:lvlText w:val="%1.%2.%3.%4."/>
        <w:lvlJc w:val="left"/>
        <w:pPr>
          <w:ind w:left="1361" w:hanging="1361"/>
        </w:pPr>
        <w:rPr>
          <w:rFonts w:hint="default"/>
        </w:rPr>
      </w:lvl>
    </w:lvlOverride>
    <w:lvlOverride w:ilvl="4">
      <w:lvl w:ilvl="4">
        <w:start w:val="1"/>
        <w:numFmt w:val="decimal"/>
        <w:lvlText w:val="%1.%2.%3.%4.%5"/>
        <w:lvlJc w:val="left"/>
        <w:pPr>
          <w:ind w:left="1701" w:hanging="1701"/>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abstractNumId w:val="3"/>
  </w:num>
  <w:num w:numId="29">
    <w:abstractNumId w:val="3"/>
  </w:num>
  <w:num w:numId="30">
    <w:abstractNumId w:val="5"/>
  </w:num>
  <w:num w:numId="31">
    <w:abstractNumId w:val="29"/>
  </w:num>
  <w:num w:numId="32">
    <w:abstractNumId w:val="30"/>
  </w:num>
  <w:num w:numId="33">
    <w:abstractNumId w:val="17"/>
  </w:num>
  <w:num w:numId="34">
    <w:abstractNumId w:val="2"/>
  </w:num>
  <w:num w:numId="35">
    <w:abstractNumId w:val="1"/>
  </w:num>
  <w:num w:numId="36">
    <w:abstractNumId w:val="23"/>
  </w:num>
  <w:num w:numId="37">
    <w:abstractNumId w:val="22"/>
    <w:lvlOverride w:ilvl="0"/>
    <w:lvlOverride w:ilvl="1">
      <w:startOverride w:val="1"/>
    </w:lvlOverride>
    <w:lvlOverride w:ilvl="2"/>
    <w:lvlOverride w:ilvl="3"/>
    <w:lvlOverride w:ilvl="4"/>
    <w:lvlOverride w:ilvl="5"/>
    <w:lvlOverride w:ilvl="6"/>
    <w:lvlOverride w:ilvl="7"/>
    <w:lvlOverride w:ilvl="8"/>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13"/>
  </w:num>
  <w:num w:numId="41">
    <w:abstractNumId w:val="15"/>
  </w:num>
  <w:num w:numId="42">
    <w:abstractNumId w:val="0"/>
  </w:num>
  <w:num w:numId="43">
    <w:abstractNumId w:val="24"/>
  </w:num>
  <w:num w:numId="44">
    <w:abstractNumId w:val="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20"/>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53"/>
    <w:rsid w:val="00003567"/>
    <w:rsid w:val="00006354"/>
    <w:rsid w:val="000103BA"/>
    <w:rsid w:val="00010A8D"/>
    <w:rsid w:val="000110D5"/>
    <w:rsid w:val="00013752"/>
    <w:rsid w:val="00014F14"/>
    <w:rsid w:val="00017504"/>
    <w:rsid w:val="00023656"/>
    <w:rsid w:val="00023B48"/>
    <w:rsid w:val="00024647"/>
    <w:rsid w:val="00026330"/>
    <w:rsid w:val="000272EF"/>
    <w:rsid w:val="00030314"/>
    <w:rsid w:val="000318D6"/>
    <w:rsid w:val="00031993"/>
    <w:rsid w:val="000328F9"/>
    <w:rsid w:val="0003301E"/>
    <w:rsid w:val="0003415B"/>
    <w:rsid w:val="00034AA5"/>
    <w:rsid w:val="00036943"/>
    <w:rsid w:val="00037A18"/>
    <w:rsid w:val="000428AD"/>
    <w:rsid w:val="00042C65"/>
    <w:rsid w:val="00046720"/>
    <w:rsid w:val="00047030"/>
    <w:rsid w:val="000522CE"/>
    <w:rsid w:val="00053DDB"/>
    <w:rsid w:val="00054726"/>
    <w:rsid w:val="0006068C"/>
    <w:rsid w:val="00060DDA"/>
    <w:rsid w:val="00060FFA"/>
    <w:rsid w:val="000645C5"/>
    <w:rsid w:val="00065C89"/>
    <w:rsid w:val="00066297"/>
    <w:rsid w:val="000663CF"/>
    <w:rsid w:val="0007083F"/>
    <w:rsid w:val="000724AE"/>
    <w:rsid w:val="00073558"/>
    <w:rsid w:val="00075905"/>
    <w:rsid w:val="00080ABE"/>
    <w:rsid w:val="000816D8"/>
    <w:rsid w:val="0008218C"/>
    <w:rsid w:val="00083D85"/>
    <w:rsid w:val="0008569D"/>
    <w:rsid w:val="000859F6"/>
    <w:rsid w:val="00091316"/>
    <w:rsid w:val="000939E4"/>
    <w:rsid w:val="000A3342"/>
    <w:rsid w:val="000A5288"/>
    <w:rsid w:val="000A6549"/>
    <w:rsid w:val="000B18D3"/>
    <w:rsid w:val="000B2658"/>
    <w:rsid w:val="000B2E59"/>
    <w:rsid w:val="000B386A"/>
    <w:rsid w:val="000B7A54"/>
    <w:rsid w:val="000C2992"/>
    <w:rsid w:val="000C34C0"/>
    <w:rsid w:val="000C59BF"/>
    <w:rsid w:val="000C6256"/>
    <w:rsid w:val="000C6C78"/>
    <w:rsid w:val="000D0CA6"/>
    <w:rsid w:val="000D3471"/>
    <w:rsid w:val="000E0FF9"/>
    <w:rsid w:val="000E5790"/>
    <w:rsid w:val="000E750B"/>
    <w:rsid w:val="000F02E8"/>
    <w:rsid w:val="000F3DC0"/>
    <w:rsid w:val="000F5C7C"/>
    <w:rsid w:val="000F5E89"/>
    <w:rsid w:val="00101720"/>
    <w:rsid w:val="001026BA"/>
    <w:rsid w:val="001045B5"/>
    <w:rsid w:val="00105DAC"/>
    <w:rsid w:val="00106A5B"/>
    <w:rsid w:val="00107B45"/>
    <w:rsid w:val="00111FAF"/>
    <w:rsid w:val="00112E8F"/>
    <w:rsid w:val="0011359A"/>
    <w:rsid w:val="00116BC8"/>
    <w:rsid w:val="00117640"/>
    <w:rsid w:val="00122C22"/>
    <w:rsid w:val="00125152"/>
    <w:rsid w:val="0012673D"/>
    <w:rsid w:val="001268BC"/>
    <w:rsid w:val="0013047D"/>
    <w:rsid w:val="0013051C"/>
    <w:rsid w:val="001308A5"/>
    <w:rsid w:val="001344E4"/>
    <w:rsid w:val="0013531F"/>
    <w:rsid w:val="00137187"/>
    <w:rsid w:val="001376C6"/>
    <w:rsid w:val="00137DE0"/>
    <w:rsid w:val="0014033A"/>
    <w:rsid w:val="001405C9"/>
    <w:rsid w:val="001414B4"/>
    <w:rsid w:val="0014271A"/>
    <w:rsid w:val="00143B00"/>
    <w:rsid w:val="00143E97"/>
    <w:rsid w:val="00143F67"/>
    <w:rsid w:val="00145FE7"/>
    <w:rsid w:val="00147117"/>
    <w:rsid w:val="00147ECA"/>
    <w:rsid w:val="00150F81"/>
    <w:rsid w:val="00151BD2"/>
    <w:rsid w:val="0015308E"/>
    <w:rsid w:val="00153147"/>
    <w:rsid w:val="00154B50"/>
    <w:rsid w:val="001577A0"/>
    <w:rsid w:val="00161315"/>
    <w:rsid w:val="00162B1F"/>
    <w:rsid w:val="001638F2"/>
    <w:rsid w:val="001665A3"/>
    <w:rsid w:val="00171374"/>
    <w:rsid w:val="00172789"/>
    <w:rsid w:val="00173487"/>
    <w:rsid w:val="0017629F"/>
    <w:rsid w:val="00176FE2"/>
    <w:rsid w:val="0018219B"/>
    <w:rsid w:val="001821FA"/>
    <w:rsid w:val="00184A26"/>
    <w:rsid w:val="00193DC9"/>
    <w:rsid w:val="001941A7"/>
    <w:rsid w:val="001971AD"/>
    <w:rsid w:val="001A04AE"/>
    <w:rsid w:val="001A0D77"/>
    <w:rsid w:val="001A130E"/>
    <w:rsid w:val="001A2100"/>
    <w:rsid w:val="001A7A9E"/>
    <w:rsid w:val="001B113E"/>
    <w:rsid w:val="001B2005"/>
    <w:rsid w:val="001B3CD7"/>
    <w:rsid w:val="001B554B"/>
    <w:rsid w:val="001C45FC"/>
    <w:rsid w:val="001C543C"/>
    <w:rsid w:val="001C7835"/>
    <w:rsid w:val="001C7B6A"/>
    <w:rsid w:val="001D0CAD"/>
    <w:rsid w:val="001D3D6C"/>
    <w:rsid w:val="001D59F2"/>
    <w:rsid w:val="001D5BEE"/>
    <w:rsid w:val="001E06BF"/>
    <w:rsid w:val="001E31A6"/>
    <w:rsid w:val="001E44B9"/>
    <w:rsid w:val="001E697A"/>
    <w:rsid w:val="001E75D0"/>
    <w:rsid w:val="001F13C1"/>
    <w:rsid w:val="001F446D"/>
    <w:rsid w:val="001F758C"/>
    <w:rsid w:val="00200694"/>
    <w:rsid w:val="00202DC9"/>
    <w:rsid w:val="00207C0F"/>
    <w:rsid w:val="002123FF"/>
    <w:rsid w:val="0021246E"/>
    <w:rsid w:val="00212523"/>
    <w:rsid w:val="00214401"/>
    <w:rsid w:val="00214AFC"/>
    <w:rsid w:val="00215334"/>
    <w:rsid w:val="002156AB"/>
    <w:rsid w:val="00215759"/>
    <w:rsid w:val="00215A50"/>
    <w:rsid w:val="00216F4F"/>
    <w:rsid w:val="00217670"/>
    <w:rsid w:val="00221792"/>
    <w:rsid w:val="00221AB7"/>
    <w:rsid w:val="00222CD8"/>
    <w:rsid w:val="00225FA8"/>
    <w:rsid w:val="0023054D"/>
    <w:rsid w:val="00231FB6"/>
    <w:rsid w:val="0023351F"/>
    <w:rsid w:val="002349E2"/>
    <w:rsid w:val="00235282"/>
    <w:rsid w:val="0023576A"/>
    <w:rsid w:val="00235969"/>
    <w:rsid w:val="00237714"/>
    <w:rsid w:val="00240954"/>
    <w:rsid w:val="00241717"/>
    <w:rsid w:val="002418D0"/>
    <w:rsid w:val="0024298B"/>
    <w:rsid w:val="00245FE0"/>
    <w:rsid w:val="00246435"/>
    <w:rsid w:val="00246BCF"/>
    <w:rsid w:val="002501BD"/>
    <w:rsid w:val="00252B85"/>
    <w:rsid w:val="002533C1"/>
    <w:rsid w:val="00254FE8"/>
    <w:rsid w:val="002557A8"/>
    <w:rsid w:val="00256BD2"/>
    <w:rsid w:val="00257A17"/>
    <w:rsid w:val="00263F92"/>
    <w:rsid w:val="002644BC"/>
    <w:rsid w:val="0026764E"/>
    <w:rsid w:val="002701F6"/>
    <w:rsid w:val="00270608"/>
    <w:rsid w:val="00270834"/>
    <w:rsid w:val="00273491"/>
    <w:rsid w:val="00273858"/>
    <w:rsid w:val="00273911"/>
    <w:rsid w:val="002766E9"/>
    <w:rsid w:val="00280E22"/>
    <w:rsid w:val="00287002"/>
    <w:rsid w:val="00287424"/>
    <w:rsid w:val="0028748B"/>
    <w:rsid w:val="00287C0E"/>
    <w:rsid w:val="00290126"/>
    <w:rsid w:val="002906BB"/>
    <w:rsid w:val="00290F11"/>
    <w:rsid w:val="00293261"/>
    <w:rsid w:val="0029529F"/>
    <w:rsid w:val="002961F9"/>
    <w:rsid w:val="002A1A69"/>
    <w:rsid w:val="002A3555"/>
    <w:rsid w:val="002A4194"/>
    <w:rsid w:val="002A4E84"/>
    <w:rsid w:val="002A615E"/>
    <w:rsid w:val="002A68CC"/>
    <w:rsid w:val="002A7D1E"/>
    <w:rsid w:val="002B14D8"/>
    <w:rsid w:val="002B32FC"/>
    <w:rsid w:val="002B51BB"/>
    <w:rsid w:val="002B53B5"/>
    <w:rsid w:val="002B550E"/>
    <w:rsid w:val="002B59CD"/>
    <w:rsid w:val="002B5B03"/>
    <w:rsid w:val="002B6B7B"/>
    <w:rsid w:val="002C4A98"/>
    <w:rsid w:val="002C58CB"/>
    <w:rsid w:val="002C6DA1"/>
    <w:rsid w:val="002D1045"/>
    <w:rsid w:val="002D157B"/>
    <w:rsid w:val="002E14BF"/>
    <w:rsid w:val="002E2082"/>
    <w:rsid w:val="002E318A"/>
    <w:rsid w:val="002E7D11"/>
    <w:rsid w:val="002F3CF5"/>
    <w:rsid w:val="002F5024"/>
    <w:rsid w:val="002F6096"/>
    <w:rsid w:val="002F63FE"/>
    <w:rsid w:val="002F67E0"/>
    <w:rsid w:val="00305171"/>
    <w:rsid w:val="00310BE7"/>
    <w:rsid w:val="0031109D"/>
    <w:rsid w:val="00311DCC"/>
    <w:rsid w:val="00313E99"/>
    <w:rsid w:val="0032068F"/>
    <w:rsid w:val="00320D45"/>
    <w:rsid w:val="00325C2B"/>
    <w:rsid w:val="00333AC1"/>
    <w:rsid w:val="00334A83"/>
    <w:rsid w:val="0033676D"/>
    <w:rsid w:val="003376EE"/>
    <w:rsid w:val="00337913"/>
    <w:rsid w:val="003420A1"/>
    <w:rsid w:val="00344341"/>
    <w:rsid w:val="0034590F"/>
    <w:rsid w:val="003459FC"/>
    <w:rsid w:val="00346353"/>
    <w:rsid w:val="0034680A"/>
    <w:rsid w:val="00350D71"/>
    <w:rsid w:val="0035203F"/>
    <w:rsid w:val="00352A23"/>
    <w:rsid w:val="0035325A"/>
    <w:rsid w:val="003536AC"/>
    <w:rsid w:val="00353942"/>
    <w:rsid w:val="00354238"/>
    <w:rsid w:val="003548CD"/>
    <w:rsid w:val="003566EC"/>
    <w:rsid w:val="00357BA0"/>
    <w:rsid w:val="003638B0"/>
    <w:rsid w:val="00363FF8"/>
    <w:rsid w:val="00365B6C"/>
    <w:rsid w:val="00366015"/>
    <w:rsid w:val="0036717D"/>
    <w:rsid w:val="003708D4"/>
    <w:rsid w:val="003726AD"/>
    <w:rsid w:val="00373A01"/>
    <w:rsid w:val="0037441F"/>
    <w:rsid w:val="003761BC"/>
    <w:rsid w:val="0037721D"/>
    <w:rsid w:val="003801A1"/>
    <w:rsid w:val="00380A9E"/>
    <w:rsid w:val="0038102A"/>
    <w:rsid w:val="003821E1"/>
    <w:rsid w:val="00385805"/>
    <w:rsid w:val="00386E36"/>
    <w:rsid w:val="0038716F"/>
    <w:rsid w:val="00390CE0"/>
    <w:rsid w:val="00392195"/>
    <w:rsid w:val="003942CC"/>
    <w:rsid w:val="0039498A"/>
    <w:rsid w:val="00394C1B"/>
    <w:rsid w:val="00395500"/>
    <w:rsid w:val="003969B8"/>
    <w:rsid w:val="003A0BB2"/>
    <w:rsid w:val="003A13B6"/>
    <w:rsid w:val="003A2294"/>
    <w:rsid w:val="003A3F6B"/>
    <w:rsid w:val="003A58DC"/>
    <w:rsid w:val="003A6328"/>
    <w:rsid w:val="003A6577"/>
    <w:rsid w:val="003B1FF7"/>
    <w:rsid w:val="003B3B57"/>
    <w:rsid w:val="003B3C06"/>
    <w:rsid w:val="003B6AA9"/>
    <w:rsid w:val="003B6D55"/>
    <w:rsid w:val="003B7D24"/>
    <w:rsid w:val="003C3CCE"/>
    <w:rsid w:val="003C51C5"/>
    <w:rsid w:val="003C6F16"/>
    <w:rsid w:val="003C79BA"/>
    <w:rsid w:val="003D23A3"/>
    <w:rsid w:val="003D5856"/>
    <w:rsid w:val="003E04A7"/>
    <w:rsid w:val="003E2ECC"/>
    <w:rsid w:val="003E36C4"/>
    <w:rsid w:val="003E3BE5"/>
    <w:rsid w:val="003E4E52"/>
    <w:rsid w:val="003F0C5F"/>
    <w:rsid w:val="003F3658"/>
    <w:rsid w:val="003F37D7"/>
    <w:rsid w:val="003F4F55"/>
    <w:rsid w:val="003F5E00"/>
    <w:rsid w:val="00400F8F"/>
    <w:rsid w:val="00404E4F"/>
    <w:rsid w:val="00411BA5"/>
    <w:rsid w:val="00411E1D"/>
    <w:rsid w:val="004142CC"/>
    <w:rsid w:val="00414A7B"/>
    <w:rsid w:val="00415D9C"/>
    <w:rsid w:val="00416976"/>
    <w:rsid w:val="0042339A"/>
    <w:rsid w:val="00423C41"/>
    <w:rsid w:val="00424557"/>
    <w:rsid w:val="0042508F"/>
    <w:rsid w:val="00426218"/>
    <w:rsid w:val="00427B52"/>
    <w:rsid w:val="00427F5A"/>
    <w:rsid w:val="00431D36"/>
    <w:rsid w:val="004412E5"/>
    <w:rsid w:val="00443445"/>
    <w:rsid w:val="00444BAA"/>
    <w:rsid w:val="00445919"/>
    <w:rsid w:val="00446610"/>
    <w:rsid w:val="0044704B"/>
    <w:rsid w:val="00451264"/>
    <w:rsid w:val="00451E46"/>
    <w:rsid w:val="004538DC"/>
    <w:rsid w:val="00454DED"/>
    <w:rsid w:val="0045715B"/>
    <w:rsid w:val="004608CD"/>
    <w:rsid w:val="004635FD"/>
    <w:rsid w:val="00464E1E"/>
    <w:rsid w:val="00465484"/>
    <w:rsid w:val="00467F42"/>
    <w:rsid w:val="004713D3"/>
    <w:rsid w:val="00473201"/>
    <w:rsid w:val="00473E61"/>
    <w:rsid w:val="00480275"/>
    <w:rsid w:val="00480B94"/>
    <w:rsid w:val="0048303F"/>
    <w:rsid w:val="0048304A"/>
    <w:rsid w:val="00483091"/>
    <w:rsid w:val="00483A97"/>
    <w:rsid w:val="004847E0"/>
    <w:rsid w:val="004849FA"/>
    <w:rsid w:val="00485125"/>
    <w:rsid w:val="00491146"/>
    <w:rsid w:val="00495AC0"/>
    <w:rsid w:val="0049653D"/>
    <w:rsid w:val="004A2B9B"/>
    <w:rsid w:val="004A323C"/>
    <w:rsid w:val="004A3A1A"/>
    <w:rsid w:val="004A4ABB"/>
    <w:rsid w:val="004A55A4"/>
    <w:rsid w:val="004A6474"/>
    <w:rsid w:val="004B16F0"/>
    <w:rsid w:val="004B1AFF"/>
    <w:rsid w:val="004B1D9F"/>
    <w:rsid w:val="004B2C82"/>
    <w:rsid w:val="004B374E"/>
    <w:rsid w:val="004B5F30"/>
    <w:rsid w:val="004B609E"/>
    <w:rsid w:val="004B6637"/>
    <w:rsid w:val="004C2004"/>
    <w:rsid w:val="004C2911"/>
    <w:rsid w:val="004C665D"/>
    <w:rsid w:val="004C697A"/>
    <w:rsid w:val="004C6EED"/>
    <w:rsid w:val="004C7BB6"/>
    <w:rsid w:val="004D3955"/>
    <w:rsid w:val="004D4B87"/>
    <w:rsid w:val="004D6A74"/>
    <w:rsid w:val="004E2804"/>
    <w:rsid w:val="004E28C6"/>
    <w:rsid w:val="004E2F4B"/>
    <w:rsid w:val="004E40A0"/>
    <w:rsid w:val="004F049F"/>
    <w:rsid w:val="004F138F"/>
    <w:rsid w:val="004F185C"/>
    <w:rsid w:val="004F1B37"/>
    <w:rsid w:val="004F3EE1"/>
    <w:rsid w:val="004F52D6"/>
    <w:rsid w:val="004F5309"/>
    <w:rsid w:val="004F755F"/>
    <w:rsid w:val="004F7697"/>
    <w:rsid w:val="00501A11"/>
    <w:rsid w:val="00502113"/>
    <w:rsid w:val="005047F7"/>
    <w:rsid w:val="0050604A"/>
    <w:rsid w:val="005063AB"/>
    <w:rsid w:val="005076A0"/>
    <w:rsid w:val="005079C4"/>
    <w:rsid w:val="005114B8"/>
    <w:rsid w:val="005115B5"/>
    <w:rsid w:val="00512FEF"/>
    <w:rsid w:val="005141E8"/>
    <w:rsid w:val="00514245"/>
    <w:rsid w:val="005228D9"/>
    <w:rsid w:val="00523622"/>
    <w:rsid w:val="0052375D"/>
    <w:rsid w:val="00524323"/>
    <w:rsid w:val="00524E37"/>
    <w:rsid w:val="00525952"/>
    <w:rsid w:val="0052614E"/>
    <w:rsid w:val="005274F8"/>
    <w:rsid w:val="00530C3F"/>
    <w:rsid w:val="0053103B"/>
    <w:rsid w:val="0053108F"/>
    <w:rsid w:val="00531DBF"/>
    <w:rsid w:val="00533B69"/>
    <w:rsid w:val="005362D5"/>
    <w:rsid w:val="00543F7B"/>
    <w:rsid w:val="005442B3"/>
    <w:rsid w:val="00550C99"/>
    <w:rsid w:val="0055188A"/>
    <w:rsid w:val="00552643"/>
    <w:rsid w:val="005531C3"/>
    <w:rsid w:val="0055333A"/>
    <w:rsid w:val="00553413"/>
    <w:rsid w:val="00553965"/>
    <w:rsid w:val="00555292"/>
    <w:rsid w:val="00564BB7"/>
    <w:rsid w:val="005653BD"/>
    <w:rsid w:val="00565741"/>
    <w:rsid w:val="005660CA"/>
    <w:rsid w:val="00570F57"/>
    <w:rsid w:val="00571126"/>
    <w:rsid w:val="0057189F"/>
    <w:rsid w:val="0057521F"/>
    <w:rsid w:val="00575249"/>
    <w:rsid w:val="00576128"/>
    <w:rsid w:val="0057770C"/>
    <w:rsid w:val="005817F5"/>
    <w:rsid w:val="00582597"/>
    <w:rsid w:val="0058369E"/>
    <w:rsid w:val="00583906"/>
    <w:rsid w:val="00585A5D"/>
    <w:rsid w:val="00593314"/>
    <w:rsid w:val="00594496"/>
    <w:rsid w:val="005945F1"/>
    <w:rsid w:val="00594D44"/>
    <w:rsid w:val="00597301"/>
    <w:rsid w:val="005A2B24"/>
    <w:rsid w:val="005A327F"/>
    <w:rsid w:val="005A45F4"/>
    <w:rsid w:val="005A54BF"/>
    <w:rsid w:val="005B1D19"/>
    <w:rsid w:val="005B758D"/>
    <w:rsid w:val="005C2493"/>
    <w:rsid w:val="005C364E"/>
    <w:rsid w:val="005C38F5"/>
    <w:rsid w:val="005C4D29"/>
    <w:rsid w:val="005C6618"/>
    <w:rsid w:val="005D19A1"/>
    <w:rsid w:val="005D1EED"/>
    <w:rsid w:val="005D3825"/>
    <w:rsid w:val="005E2EE5"/>
    <w:rsid w:val="005E39A3"/>
    <w:rsid w:val="005E5751"/>
    <w:rsid w:val="005E7BA4"/>
    <w:rsid w:val="005F117A"/>
    <w:rsid w:val="005F1454"/>
    <w:rsid w:val="005F293A"/>
    <w:rsid w:val="005F2EF4"/>
    <w:rsid w:val="005F3A31"/>
    <w:rsid w:val="005F45D4"/>
    <w:rsid w:val="005F4C16"/>
    <w:rsid w:val="005F6FDC"/>
    <w:rsid w:val="00600479"/>
    <w:rsid w:val="00601955"/>
    <w:rsid w:val="00601F62"/>
    <w:rsid w:val="0060211D"/>
    <w:rsid w:val="00603FD5"/>
    <w:rsid w:val="00604611"/>
    <w:rsid w:val="0061030E"/>
    <w:rsid w:val="006105F3"/>
    <w:rsid w:val="006117D5"/>
    <w:rsid w:val="006122D1"/>
    <w:rsid w:val="00612BA9"/>
    <w:rsid w:val="00613BB0"/>
    <w:rsid w:val="00613C43"/>
    <w:rsid w:val="0061627F"/>
    <w:rsid w:val="00620A5D"/>
    <w:rsid w:val="006247F3"/>
    <w:rsid w:val="006258F2"/>
    <w:rsid w:val="00626B7F"/>
    <w:rsid w:val="0062754A"/>
    <w:rsid w:val="006278B1"/>
    <w:rsid w:val="00627CF6"/>
    <w:rsid w:val="006339F9"/>
    <w:rsid w:val="00634D86"/>
    <w:rsid w:val="00635EDE"/>
    <w:rsid w:val="0063632F"/>
    <w:rsid w:val="006376A4"/>
    <w:rsid w:val="0063792F"/>
    <w:rsid w:val="00642A45"/>
    <w:rsid w:val="00642B7E"/>
    <w:rsid w:val="00643A79"/>
    <w:rsid w:val="00645D76"/>
    <w:rsid w:val="006474C2"/>
    <w:rsid w:val="006479DE"/>
    <w:rsid w:val="00652783"/>
    <w:rsid w:val="00652A7B"/>
    <w:rsid w:val="0065373D"/>
    <w:rsid w:val="006547FE"/>
    <w:rsid w:val="00655B63"/>
    <w:rsid w:val="0066383D"/>
    <w:rsid w:val="00665AAC"/>
    <w:rsid w:val="006666D2"/>
    <w:rsid w:val="006706CE"/>
    <w:rsid w:val="006710A9"/>
    <w:rsid w:val="00673B36"/>
    <w:rsid w:val="006756D6"/>
    <w:rsid w:val="00675C9A"/>
    <w:rsid w:val="0067644F"/>
    <w:rsid w:val="00676F3D"/>
    <w:rsid w:val="0068724F"/>
    <w:rsid w:val="00693D5E"/>
    <w:rsid w:val="00693FF1"/>
    <w:rsid w:val="006968C3"/>
    <w:rsid w:val="006969C7"/>
    <w:rsid w:val="00697892"/>
    <w:rsid w:val="006A1F46"/>
    <w:rsid w:val="006A3EA5"/>
    <w:rsid w:val="006A4DC9"/>
    <w:rsid w:val="006A5635"/>
    <w:rsid w:val="006A6268"/>
    <w:rsid w:val="006A6416"/>
    <w:rsid w:val="006A731F"/>
    <w:rsid w:val="006A73E5"/>
    <w:rsid w:val="006A76AE"/>
    <w:rsid w:val="006A78A0"/>
    <w:rsid w:val="006B1683"/>
    <w:rsid w:val="006C12EF"/>
    <w:rsid w:val="006C12FB"/>
    <w:rsid w:val="006C2A45"/>
    <w:rsid w:val="006C4AF4"/>
    <w:rsid w:val="006C787B"/>
    <w:rsid w:val="006D3903"/>
    <w:rsid w:val="006D3F2F"/>
    <w:rsid w:val="006D6083"/>
    <w:rsid w:val="006E2224"/>
    <w:rsid w:val="006E2799"/>
    <w:rsid w:val="006E3536"/>
    <w:rsid w:val="006E400E"/>
    <w:rsid w:val="006E63E2"/>
    <w:rsid w:val="006E6DAC"/>
    <w:rsid w:val="006F0A42"/>
    <w:rsid w:val="006F1421"/>
    <w:rsid w:val="006F464F"/>
    <w:rsid w:val="006F67D8"/>
    <w:rsid w:val="006F6A6C"/>
    <w:rsid w:val="006F7939"/>
    <w:rsid w:val="007004AD"/>
    <w:rsid w:val="00702EAA"/>
    <w:rsid w:val="00702FF0"/>
    <w:rsid w:val="00703485"/>
    <w:rsid w:val="00703EC1"/>
    <w:rsid w:val="00703F51"/>
    <w:rsid w:val="00705AE9"/>
    <w:rsid w:val="00705B1B"/>
    <w:rsid w:val="00706764"/>
    <w:rsid w:val="007101C7"/>
    <w:rsid w:val="00710DA2"/>
    <w:rsid w:val="00714488"/>
    <w:rsid w:val="00721EFA"/>
    <w:rsid w:val="00722AFB"/>
    <w:rsid w:val="0072468D"/>
    <w:rsid w:val="0073222C"/>
    <w:rsid w:val="00732ABF"/>
    <w:rsid w:val="00733683"/>
    <w:rsid w:val="007353AC"/>
    <w:rsid w:val="0074115E"/>
    <w:rsid w:val="0074175D"/>
    <w:rsid w:val="007425E7"/>
    <w:rsid w:val="0075028A"/>
    <w:rsid w:val="00754C97"/>
    <w:rsid w:val="00757DB7"/>
    <w:rsid w:val="007602E2"/>
    <w:rsid w:val="0076087D"/>
    <w:rsid w:val="00761996"/>
    <w:rsid w:val="00765597"/>
    <w:rsid w:val="007702BB"/>
    <w:rsid w:val="00770C2C"/>
    <w:rsid w:val="007719C4"/>
    <w:rsid w:val="00775855"/>
    <w:rsid w:val="00776633"/>
    <w:rsid w:val="007770BF"/>
    <w:rsid w:val="00777A44"/>
    <w:rsid w:val="00783742"/>
    <w:rsid w:val="007864F6"/>
    <w:rsid w:val="00787524"/>
    <w:rsid w:val="007901F0"/>
    <w:rsid w:val="00790FA9"/>
    <w:rsid w:val="00791207"/>
    <w:rsid w:val="00792B40"/>
    <w:rsid w:val="00792BD3"/>
    <w:rsid w:val="007943C1"/>
    <w:rsid w:val="00796DB7"/>
    <w:rsid w:val="0079734E"/>
    <w:rsid w:val="007A0363"/>
    <w:rsid w:val="007A0C4A"/>
    <w:rsid w:val="007A1803"/>
    <w:rsid w:val="007A3EEA"/>
    <w:rsid w:val="007A62B8"/>
    <w:rsid w:val="007B037E"/>
    <w:rsid w:val="007B1585"/>
    <w:rsid w:val="007B1A27"/>
    <w:rsid w:val="007B2348"/>
    <w:rsid w:val="007B2AED"/>
    <w:rsid w:val="007B5DB3"/>
    <w:rsid w:val="007C2563"/>
    <w:rsid w:val="007D663C"/>
    <w:rsid w:val="007E02B2"/>
    <w:rsid w:val="007E17CF"/>
    <w:rsid w:val="007E3238"/>
    <w:rsid w:val="007E33D8"/>
    <w:rsid w:val="007E3B70"/>
    <w:rsid w:val="007E49AF"/>
    <w:rsid w:val="007E4F63"/>
    <w:rsid w:val="007E643D"/>
    <w:rsid w:val="007E6493"/>
    <w:rsid w:val="007E68CF"/>
    <w:rsid w:val="007F146D"/>
    <w:rsid w:val="007F6A6F"/>
    <w:rsid w:val="007F6B5A"/>
    <w:rsid w:val="007F78A8"/>
    <w:rsid w:val="007F78B0"/>
    <w:rsid w:val="00801334"/>
    <w:rsid w:val="008016F6"/>
    <w:rsid w:val="00801C73"/>
    <w:rsid w:val="00801D00"/>
    <w:rsid w:val="008044E4"/>
    <w:rsid w:val="00804616"/>
    <w:rsid w:val="00810599"/>
    <w:rsid w:val="00814D0A"/>
    <w:rsid w:val="0081638B"/>
    <w:rsid w:val="0082170C"/>
    <w:rsid w:val="0082290A"/>
    <w:rsid w:val="008248B2"/>
    <w:rsid w:val="0082520A"/>
    <w:rsid w:val="00825A16"/>
    <w:rsid w:val="00826557"/>
    <w:rsid w:val="00826F36"/>
    <w:rsid w:val="00830965"/>
    <w:rsid w:val="00832CA0"/>
    <w:rsid w:val="008339F0"/>
    <w:rsid w:val="008356E7"/>
    <w:rsid w:val="008414BC"/>
    <w:rsid w:val="008423AF"/>
    <w:rsid w:val="00847B1A"/>
    <w:rsid w:val="008500C8"/>
    <w:rsid w:val="00850D6A"/>
    <w:rsid w:val="00851E8B"/>
    <w:rsid w:val="0085439B"/>
    <w:rsid w:val="00855659"/>
    <w:rsid w:val="00856A0E"/>
    <w:rsid w:val="00856A2E"/>
    <w:rsid w:val="00857213"/>
    <w:rsid w:val="00861824"/>
    <w:rsid w:val="00865773"/>
    <w:rsid w:val="0086644F"/>
    <w:rsid w:val="00872975"/>
    <w:rsid w:val="00874983"/>
    <w:rsid w:val="00876445"/>
    <w:rsid w:val="00876742"/>
    <w:rsid w:val="00880043"/>
    <w:rsid w:val="0088121D"/>
    <w:rsid w:val="00887724"/>
    <w:rsid w:val="00892E8B"/>
    <w:rsid w:val="008938DE"/>
    <w:rsid w:val="00894117"/>
    <w:rsid w:val="008A25D7"/>
    <w:rsid w:val="008A2716"/>
    <w:rsid w:val="008A29CE"/>
    <w:rsid w:val="008A2A4B"/>
    <w:rsid w:val="008A7AF7"/>
    <w:rsid w:val="008B0C97"/>
    <w:rsid w:val="008B1642"/>
    <w:rsid w:val="008B1FE8"/>
    <w:rsid w:val="008B32BE"/>
    <w:rsid w:val="008B4965"/>
    <w:rsid w:val="008B53C0"/>
    <w:rsid w:val="008C0AA9"/>
    <w:rsid w:val="008C1C89"/>
    <w:rsid w:val="008C22B8"/>
    <w:rsid w:val="008C3F48"/>
    <w:rsid w:val="008C48D5"/>
    <w:rsid w:val="008C632D"/>
    <w:rsid w:val="008C739B"/>
    <w:rsid w:val="008D040A"/>
    <w:rsid w:val="008D0B9A"/>
    <w:rsid w:val="008D1623"/>
    <w:rsid w:val="008D1ABD"/>
    <w:rsid w:val="008D1F5A"/>
    <w:rsid w:val="008D21E1"/>
    <w:rsid w:val="008D425B"/>
    <w:rsid w:val="008D7514"/>
    <w:rsid w:val="008E2075"/>
    <w:rsid w:val="008E39DC"/>
    <w:rsid w:val="008E64B1"/>
    <w:rsid w:val="008E70DE"/>
    <w:rsid w:val="008F07E3"/>
    <w:rsid w:val="008F6962"/>
    <w:rsid w:val="008F7C05"/>
    <w:rsid w:val="008F7D5E"/>
    <w:rsid w:val="00902156"/>
    <w:rsid w:val="00902B03"/>
    <w:rsid w:val="0090321E"/>
    <w:rsid w:val="00903621"/>
    <w:rsid w:val="009040BD"/>
    <w:rsid w:val="0090487C"/>
    <w:rsid w:val="00906EFA"/>
    <w:rsid w:val="009074B6"/>
    <w:rsid w:val="00907810"/>
    <w:rsid w:val="00913FED"/>
    <w:rsid w:val="00914184"/>
    <w:rsid w:val="00915A33"/>
    <w:rsid w:val="00921C8D"/>
    <w:rsid w:val="00922D85"/>
    <w:rsid w:val="00924651"/>
    <w:rsid w:val="00925E63"/>
    <w:rsid w:val="00930525"/>
    <w:rsid w:val="0093431E"/>
    <w:rsid w:val="00936068"/>
    <w:rsid w:val="0094091A"/>
    <w:rsid w:val="00943374"/>
    <w:rsid w:val="00943550"/>
    <w:rsid w:val="00945983"/>
    <w:rsid w:val="009466FB"/>
    <w:rsid w:val="00950992"/>
    <w:rsid w:val="00950D84"/>
    <w:rsid w:val="0095145B"/>
    <w:rsid w:val="00951689"/>
    <w:rsid w:val="009517CC"/>
    <w:rsid w:val="00952302"/>
    <w:rsid w:val="00957D57"/>
    <w:rsid w:val="00957E14"/>
    <w:rsid w:val="0096039F"/>
    <w:rsid w:val="0096127D"/>
    <w:rsid w:val="009615D4"/>
    <w:rsid w:val="00961631"/>
    <w:rsid w:val="0096334B"/>
    <w:rsid w:val="00964919"/>
    <w:rsid w:val="00972742"/>
    <w:rsid w:val="00974677"/>
    <w:rsid w:val="0097585B"/>
    <w:rsid w:val="00976C5C"/>
    <w:rsid w:val="009801C1"/>
    <w:rsid w:val="00980845"/>
    <w:rsid w:val="00982086"/>
    <w:rsid w:val="009821B2"/>
    <w:rsid w:val="00984BF4"/>
    <w:rsid w:val="00985118"/>
    <w:rsid w:val="009855AF"/>
    <w:rsid w:val="009919C5"/>
    <w:rsid w:val="00991D45"/>
    <w:rsid w:val="009940AC"/>
    <w:rsid w:val="00996710"/>
    <w:rsid w:val="00996760"/>
    <w:rsid w:val="0099716A"/>
    <w:rsid w:val="009A1314"/>
    <w:rsid w:val="009A26B3"/>
    <w:rsid w:val="009A2F17"/>
    <w:rsid w:val="009A4F03"/>
    <w:rsid w:val="009A4F76"/>
    <w:rsid w:val="009A5090"/>
    <w:rsid w:val="009A635C"/>
    <w:rsid w:val="009A6914"/>
    <w:rsid w:val="009B524C"/>
    <w:rsid w:val="009C0D35"/>
    <w:rsid w:val="009C2861"/>
    <w:rsid w:val="009C2BE4"/>
    <w:rsid w:val="009C3E80"/>
    <w:rsid w:val="009C3F50"/>
    <w:rsid w:val="009C7CAD"/>
    <w:rsid w:val="009D1D20"/>
    <w:rsid w:val="009D24F5"/>
    <w:rsid w:val="009D3027"/>
    <w:rsid w:val="009D5353"/>
    <w:rsid w:val="009D554F"/>
    <w:rsid w:val="009D740F"/>
    <w:rsid w:val="009D74BA"/>
    <w:rsid w:val="009E69D8"/>
    <w:rsid w:val="009E701E"/>
    <w:rsid w:val="009F1ED3"/>
    <w:rsid w:val="009F3226"/>
    <w:rsid w:val="009F5982"/>
    <w:rsid w:val="009F6C23"/>
    <w:rsid w:val="009F7769"/>
    <w:rsid w:val="009F7BBB"/>
    <w:rsid w:val="00A054BB"/>
    <w:rsid w:val="00A07293"/>
    <w:rsid w:val="00A074BC"/>
    <w:rsid w:val="00A129DB"/>
    <w:rsid w:val="00A13664"/>
    <w:rsid w:val="00A21BD5"/>
    <w:rsid w:val="00A21D86"/>
    <w:rsid w:val="00A32F7F"/>
    <w:rsid w:val="00A34873"/>
    <w:rsid w:val="00A34EE5"/>
    <w:rsid w:val="00A35DAD"/>
    <w:rsid w:val="00A36C00"/>
    <w:rsid w:val="00A404BB"/>
    <w:rsid w:val="00A40551"/>
    <w:rsid w:val="00A4158D"/>
    <w:rsid w:val="00A440A7"/>
    <w:rsid w:val="00A447D8"/>
    <w:rsid w:val="00A476F4"/>
    <w:rsid w:val="00A51930"/>
    <w:rsid w:val="00A54AC6"/>
    <w:rsid w:val="00A54EEB"/>
    <w:rsid w:val="00A613DC"/>
    <w:rsid w:val="00A65DD7"/>
    <w:rsid w:val="00A65E9C"/>
    <w:rsid w:val="00A6620D"/>
    <w:rsid w:val="00A67666"/>
    <w:rsid w:val="00A67BE9"/>
    <w:rsid w:val="00A71669"/>
    <w:rsid w:val="00A71AFB"/>
    <w:rsid w:val="00A76F8D"/>
    <w:rsid w:val="00A80A71"/>
    <w:rsid w:val="00A84BA6"/>
    <w:rsid w:val="00A84C84"/>
    <w:rsid w:val="00A85EEA"/>
    <w:rsid w:val="00A90151"/>
    <w:rsid w:val="00A902A6"/>
    <w:rsid w:val="00A903B4"/>
    <w:rsid w:val="00A90B4C"/>
    <w:rsid w:val="00A92023"/>
    <w:rsid w:val="00A928C2"/>
    <w:rsid w:val="00A9359B"/>
    <w:rsid w:val="00A936B1"/>
    <w:rsid w:val="00A974F7"/>
    <w:rsid w:val="00A977B4"/>
    <w:rsid w:val="00AA0059"/>
    <w:rsid w:val="00AA0C3A"/>
    <w:rsid w:val="00AA2DF3"/>
    <w:rsid w:val="00AA3848"/>
    <w:rsid w:val="00AA664B"/>
    <w:rsid w:val="00AB3A78"/>
    <w:rsid w:val="00AB3AF4"/>
    <w:rsid w:val="00AC1D45"/>
    <w:rsid w:val="00AC2C9E"/>
    <w:rsid w:val="00AC54A1"/>
    <w:rsid w:val="00AC5D68"/>
    <w:rsid w:val="00AC6175"/>
    <w:rsid w:val="00AC72A9"/>
    <w:rsid w:val="00AC7CC8"/>
    <w:rsid w:val="00AD13AB"/>
    <w:rsid w:val="00AE1E4A"/>
    <w:rsid w:val="00AE1F7E"/>
    <w:rsid w:val="00AE274F"/>
    <w:rsid w:val="00AE31AC"/>
    <w:rsid w:val="00AE3875"/>
    <w:rsid w:val="00AE6FA2"/>
    <w:rsid w:val="00AF080C"/>
    <w:rsid w:val="00AF3BEC"/>
    <w:rsid w:val="00AF515C"/>
    <w:rsid w:val="00AF7D90"/>
    <w:rsid w:val="00B00D5E"/>
    <w:rsid w:val="00B01E1A"/>
    <w:rsid w:val="00B02520"/>
    <w:rsid w:val="00B044A2"/>
    <w:rsid w:val="00B065F6"/>
    <w:rsid w:val="00B066E4"/>
    <w:rsid w:val="00B0790E"/>
    <w:rsid w:val="00B07A3E"/>
    <w:rsid w:val="00B07EB1"/>
    <w:rsid w:val="00B1034F"/>
    <w:rsid w:val="00B17FC2"/>
    <w:rsid w:val="00B20F75"/>
    <w:rsid w:val="00B21A5D"/>
    <w:rsid w:val="00B23528"/>
    <w:rsid w:val="00B23603"/>
    <w:rsid w:val="00B2799B"/>
    <w:rsid w:val="00B30217"/>
    <w:rsid w:val="00B30681"/>
    <w:rsid w:val="00B32B2F"/>
    <w:rsid w:val="00B33206"/>
    <w:rsid w:val="00B336AD"/>
    <w:rsid w:val="00B33C67"/>
    <w:rsid w:val="00B346BC"/>
    <w:rsid w:val="00B3749D"/>
    <w:rsid w:val="00B40F5C"/>
    <w:rsid w:val="00B42E64"/>
    <w:rsid w:val="00B439E4"/>
    <w:rsid w:val="00B442BD"/>
    <w:rsid w:val="00B45604"/>
    <w:rsid w:val="00B51003"/>
    <w:rsid w:val="00B52437"/>
    <w:rsid w:val="00B5255A"/>
    <w:rsid w:val="00B5257F"/>
    <w:rsid w:val="00B53373"/>
    <w:rsid w:val="00B5617B"/>
    <w:rsid w:val="00B568B6"/>
    <w:rsid w:val="00B56C23"/>
    <w:rsid w:val="00B56E39"/>
    <w:rsid w:val="00B620DF"/>
    <w:rsid w:val="00B64D62"/>
    <w:rsid w:val="00B65DAA"/>
    <w:rsid w:val="00B66B2F"/>
    <w:rsid w:val="00B67F7E"/>
    <w:rsid w:val="00B71AFE"/>
    <w:rsid w:val="00B744E6"/>
    <w:rsid w:val="00B775AD"/>
    <w:rsid w:val="00B853A8"/>
    <w:rsid w:val="00B85797"/>
    <w:rsid w:val="00B87859"/>
    <w:rsid w:val="00B879B7"/>
    <w:rsid w:val="00B87DBD"/>
    <w:rsid w:val="00B91619"/>
    <w:rsid w:val="00B91D47"/>
    <w:rsid w:val="00B91FA3"/>
    <w:rsid w:val="00B92ABC"/>
    <w:rsid w:val="00B94B37"/>
    <w:rsid w:val="00B956AE"/>
    <w:rsid w:val="00BA16F8"/>
    <w:rsid w:val="00BA2474"/>
    <w:rsid w:val="00BA257B"/>
    <w:rsid w:val="00BA277A"/>
    <w:rsid w:val="00BA4CBE"/>
    <w:rsid w:val="00BA67F8"/>
    <w:rsid w:val="00BA7623"/>
    <w:rsid w:val="00BB1E7A"/>
    <w:rsid w:val="00BB59CB"/>
    <w:rsid w:val="00BC63BD"/>
    <w:rsid w:val="00BC7702"/>
    <w:rsid w:val="00BD0589"/>
    <w:rsid w:val="00BD1240"/>
    <w:rsid w:val="00BD142E"/>
    <w:rsid w:val="00BD167F"/>
    <w:rsid w:val="00BD2592"/>
    <w:rsid w:val="00BD2B36"/>
    <w:rsid w:val="00BD4993"/>
    <w:rsid w:val="00BD4E4F"/>
    <w:rsid w:val="00BD52B2"/>
    <w:rsid w:val="00BD565C"/>
    <w:rsid w:val="00BD6CB5"/>
    <w:rsid w:val="00BD7007"/>
    <w:rsid w:val="00BD7746"/>
    <w:rsid w:val="00BE0A42"/>
    <w:rsid w:val="00BE17E5"/>
    <w:rsid w:val="00BE352B"/>
    <w:rsid w:val="00BE5EBD"/>
    <w:rsid w:val="00BE6DAC"/>
    <w:rsid w:val="00BE7595"/>
    <w:rsid w:val="00BF35EB"/>
    <w:rsid w:val="00BF68C8"/>
    <w:rsid w:val="00BF6BA8"/>
    <w:rsid w:val="00BF7727"/>
    <w:rsid w:val="00C00019"/>
    <w:rsid w:val="00C0136D"/>
    <w:rsid w:val="00C017A1"/>
    <w:rsid w:val="00C01A72"/>
    <w:rsid w:val="00C01E68"/>
    <w:rsid w:val="00C0551F"/>
    <w:rsid w:val="00C055D4"/>
    <w:rsid w:val="00C0774F"/>
    <w:rsid w:val="00C07BFB"/>
    <w:rsid w:val="00C1139D"/>
    <w:rsid w:val="00C11924"/>
    <w:rsid w:val="00C119F0"/>
    <w:rsid w:val="00C1265E"/>
    <w:rsid w:val="00C12C11"/>
    <w:rsid w:val="00C134FA"/>
    <w:rsid w:val="00C16CEC"/>
    <w:rsid w:val="00C2133E"/>
    <w:rsid w:val="00C22FEE"/>
    <w:rsid w:val="00C23DBD"/>
    <w:rsid w:val="00C2464F"/>
    <w:rsid w:val="00C24AEB"/>
    <w:rsid w:val="00C25758"/>
    <w:rsid w:val="00C27651"/>
    <w:rsid w:val="00C326F9"/>
    <w:rsid w:val="00C37A29"/>
    <w:rsid w:val="00C420DB"/>
    <w:rsid w:val="00C46FBF"/>
    <w:rsid w:val="00C50B67"/>
    <w:rsid w:val="00C51E76"/>
    <w:rsid w:val="00C53037"/>
    <w:rsid w:val="00C56E54"/>
    <w:rsid w:val="00C5737A"/>
    <w:rsid w:val="00C578A8"/>
    <w:rsid w:val="00C61C7A"/>
    <w:rsid w:val="00C67C3E"/>
    <w:rsid w:val="00C725BC"/>
    <w:rsid w:val="00C752E6"/>
    <w:rsid w:val="00C7717C"/>
    <w:rsid w:val="00C83ADF"/>
    <w:rsid w:val="00C91C03"/>
    <w:rsid w:val="00C94028"/>
    <w:rsid w:val="00C95D76"/>
    <w:rsid w:val="00CA160C"/>
    <w:rsid w:val="00CA1FCE"/>
    <w:rsid w:val="00CA2011"/>
    <w:rsid w:val="00CA3B8D"/>
    <w:rsid w:val="00CA4C2A"/>
    <w:rsid w:val="00CA5063"/>
    <w:rsid w:val="00CA6B81"/>
    <w:rsid w:val="00CA797C"/>
    <w:rsid w:val="00CB0A4C"/>
    <w:rsid w:val="00CB14E9"/>
    <w:rsid w:val="00CB1E8E"/>
    <w:rsid w:val="00CB3339"/>
    <w:rsid w:val="00CB3738"/>
    <w:rsid w:val="00CB6026"/>
    <w:rsid w:val="00CC069B"/>
    <w:rsid w:val="00CC1279"/>
    <w:rsid w:val="00CC2389"/>
    <w:rsid w:val="00CC2420"/>
    <w:rsid w:val="00CC3248"/>
    <w:rsid w:val="00CD32F2"/>
    <w:rsid w:val="00CD61EB"/>
    <w:rsid w:val="00CD7285"/>
    <w:rsid w:val="00CE14C1"/>
    <w:rsid w:val="00CE1D3B"/>
    <w:rsid w:val="00CE6A82"/>
    <w:rsid w:val="00CF02F0"/>
    <w:rsid w:val="00CF0CDE"/>
    <w:rsid w:val="00CF10A4"/>
    <w:rsid w:val="00CF13DC"/>
    <w:rsid w:val="00CF2456"/>
    <w:rsid w:val="00CF3741"/>
    <w:rsid w:val="00CF5E66"/>
    <w:rsid w:val="00CF77E7"/>
    <w:rsid w:val="00D045B8"/>
    <w:rsid w:val="00D05C05"/>
    <w:rsid w:val="00D11CC8"/>
    <w:rsid w:val="00D11D97"/>
    <w:rsid w:val="00D12025"/>
    <w:rsid w:val="00D14DC2"/>
    <w:rsid w:val="00D153E1"/>
    <w:rsid w:val="00D16F74"/>
    <w:rsid w:val="00D22177"/>
    <w:rsid w:val="00D22C80"/>
    <w:rsid w:val="00D23BC6"/>
    <w:rsid w:val="00D4004B"/>
    <w:rsid w:val="00D46950"/>
    <w:rsid w:val="00D51CC4"/>
    <w:rsid w:val="00D51D65"/>
    <w:rsid w:val="00D5566B"/>
    <w:rsid w:val="00D55FC6"/>
    <w:rsid w:val="00D60649"/>
    <w:rsid w:val="00D626D0"/>
    <w:rsid w:val="00D62971"/>
    <w:rsid w:val="00D640F2"/>
    <w:rsid w:val="00D67E4D"/>
    <w:rsid w:val="00D71088"/>
    <w:rsid w:val="00D7590B"/>
    <w:rsid w:val="00D76435"/>
    <w:rsid w:val="00D76FE0"/>
    <w:rsid w:val="00D77878"/>
    <w:rsid w:val="00D80336"/>
    <w:rsid w:val="00D8057C"/>
    <w:rsid w:val="00D83923"/>
    <w:rsid w:val="00D84895"/>
    <w:rsid w:val="00D86DF5"/>
    <w:rsid w:val="00D87A99"/>
    <w:rsid w:val="00D937A4"/>
    <w:rsid w:val="00D9419D"/>
    <w:rsid w:val="00D943F0"/>
    <w:rsid w:val="00D94C6F"/>
    <w:rsid w:val="00D958F6"/>
    <w:rsid w:val="00D9688E"/>
    <w:rsid w:val="00DA3176"/>
    <w:rsid w:val="00DA6DFC"/>
    <w:rsid w:val="00DA6FDD"/>
    <w:rsid w:val="00DA76DA"/>
    <w:rsid w:val="00DB178E"/>
    <w:rsid w:val="00DB2423"/>
    <w:rsid w:val="00DB457D"/>
    <w:rsid w:val="00DB526D"/>
    <w:rsid w:val="00DB6B4C"/>
    <w:rsid w:val="00DB737F"/>
    <w:rsid w:val="00DC06C2"/>
    <w:rsid w:val="00DC1A52"/>
    <w:rsid w:val="00DC54D2"/>
    <w:rsid w:val="00DC7DE8"/>
    <w:rsid w:val="00DD041D"/>
    <w:rsid w:val="00DD4580"/>
    <w:rsid w:val="00DE48A4"/>
    <w:rsid w:val="00DE4F6E"/>
    <w:rsid w:val="00DE5CEB"/>
    <w:rsid w:val="00DE614C"/>
    <w:rsid w:val="00DE61DB"/>
    <w:rsid w:val="00DE6955"/>
    <w:rsid w:val="00DF09D7"/>
    <w:rsid w:val="00DF1C42"/>
    <w:rsid w:val="00DF1FEB"/>
    <w:rsid w:val="00DF2003"/>
    <w:rsid w:val="00DF4E3E"/>
    <w:rsid w:val="00E00B26"/>
    <w:rsid w:val="00E015EA"/>
    <w:rsid w:val="00E02467"/>
    <w:rsid w:val="00E03A6F"/>
    <w:rsid w:val="00E06184"/>
    <w:rsid w:val="00E0703C"/>
    <w:rsid w:val="00E109A1"/>
    <w:rsid w:val="00E11216"/>
    <w:rsid w:val="00E113EB"/>
    <w:rsid w:val="00E12393"/>
    <w:rsid w:val="00E123BE"/>
    <w:rsid w:val="00E15163"/>
    <w:rsid w:val="00E15F8B"/>
    <w:rsid w:val="00E175BF"/>
    <w:rsid w:val="00E2069C"/>
    <w:rsid w:val="00E21D5E"/>
    <w:rsid w:val="00E21F72"/>
    <w:rsid w:val="00E220C4"/>
    <w:rsid w:val="00E225E4"/>
    <w:rsid w:val="00E2281E"/>
    <w:rsid w:val="00E24A3B"/>
    <w:rsid w:val="00E308AF"/>
    <w:rsid w:val="00E30F26"/>
    <w:rsid w:val="00E315B2"/>
    <w:rsid w:val="00E31C64"/>
    <w:rsid w:val="00E323C0"/>
    <w:rsid w:val="00E3267C"/>
    <w:rsid w:val="00E32B02"/>
    <w:rsid w:val="00E32F93"/>
    <w:rsid w:val="00E36702"/>
    <w:rsid w:val="00E419DC"/>
    <w:rsid w:val="00E423E1"/>
    <w:rsid w:val="00E464C2"/>
    <w:rsid w:val="00E46A74"/>
    <w:rsid w:val="00E514A2"/>
    <w:rsid w:val="00E53A47"/>
    <w:rsid w:val="00E54B2B"/>
    <w:rsid w:val="00E55A9E"/>
    <w:rsid w:val="00E55FF0"/>
    <w:rsid w:val="00E60A62"/>
    <w:rsid w:val="00E6252D"/>
    <w:rsid w:val="00E70784"/>
    <w:rsid w:val="00E7107B"/>
    <w:rsid w:val="00E716AD"/>
    <w:rsid w:val="00E725C2"/>
    <w:rsid w:val="00E72805"/>
    <w:rsid w:val="00E74476"/>
    <w:rsid w:val="00E74DBB"/>
    <w:rsid w:val="00E751B9"/>
    <w:rsid w:val="00E7692A"/>
    <w:rsid w:val="00E77CCA"/>
    <w:rsid w:val="00E81A5D"/>
    <w:rsid w:val="00E87779"/>
    <w:rsid w:val="00E962D0"/>
    <w:rsid w:val="00E966BB"/>
    <w:rsid w:val="00E9694A"/>
    <w:rsid w:val="00EA1943"/>
    <w:rsid w:val="00EA225D"/>
    <w:rsid w:val="00EA35F3"/>
    <w:rsid w:val="00EA54CA"/>
    <w:rsid w:val="00EB1C61"/>
    <w:rsid w:val="00EB2499"/>
    <w:rsid w:val="00EB3844"/>
    <w:rsid w:val="00EB40E4"/>
    <w:rsid w:val="00EC12A8"/>
    <w:rsid w:val="00EC45D3"/>
    <w:rsid w:val="00EC7A6D"/>
    <w:rsid w:val="00ED1630"/>
    <w:rsid w:val="00ED3C8A"/>
    <w:rsid w:val="00ED40F5"/>
    <w:rsid w:val="00ED6D74"/>
    <w:rsid w:val="00EE0037"/>
    <w:rsid w:val="00EE0C07"/>
    <w:rsid w:val="00EE31EF"/>
    <w:rsid w:val="00EE3994"/>
    <w:rsid w:val="00EE4319"/>
    <w:rsid w:val="00EE4DD7"/>
    <w:rsid w:val="00EE575E"/>
    <w:rsid w:val="00EE595A"/>
    <w:rsid w:val="00EE6F14"/>
    <w:rsid w:val="00EE7733"/>
    <w:rsid w:val="00EE7A81"/>
    <w:rsid w:val="00EF0EE2"/>
    <w:rsid w:val="00EF1979"/>
    <w:rsid w:val="00EF30D1"/>
    <w:rsid w:val="00EF35E1"/>
    <w:rsid w:val="00F00A01"/>
    <w:rsid w:val="00F01054"/>
    <w:rsid w:val="00F01436"/>
    <w:rsid w:val="00F0198E"/>
    <w:rsid w:val="00F021C8"/>
    <w:rsid w:val="00F05321"/>
    <w:rsid w:val="00F0554A"/>
    <w:rsid w:val="00F06C05"/>
    <w:rsid w:val="00F06D2E"/>
    <w:rsid w:val="00F11C8C"/>
    <w:rsid w:val="00F1358C"/>
    <w:rsid w:val="00F14176"/>
    <w:rsid w:val="00F14D39"/>
    <w:rsid w:val="00F156CE"/>
    <w:rsid w:val="00F162D4"/>
    <w:rsid w:val="00F17A46"/>
    <w:rsid w:val="00F2135B"/>
    <w:rsid w:val="00F22951"/>
    <w:rsid w:val="00F23C7F"/>
    <w:rsid w:val="00F243C3"/>
    <w:rsid w:val="00F2487E"/>
    <w:rsid w:val="00F256B1"/>
    <w:rsid w:val="00F266EB"/>
    <w:rsid w:val="00F26D15"/>
    <w:rsid w:val="00F31D00"/>
    <w:rsid w:val="00F34D01"/>
    <w:rsid w:val="00F36390"/>
    <w:rsid w:val="00F4185D"/>
    <w:rsid w:val="00F43380"/>
    <w:rsid w:val="00F449BA"/>
    <w:rsid w:val="00F44A45"/>
    <w:rsid w:val="00F44E72"/>
    <w:rsid w:val="00F45118"/>
    <w:rsid w:val="00F4702C"/>
    <w:rsid w:val="00F4735B"/>
    <w:rsid w:val="00F505B8"/>
    <w:rsid w:val="00F53D5A"/>
    <w:rsid w:val="00F54490"/>
    <w:rsid w:val="00F55618"/>
    <w:rsid w:val="00F55754"/>
    <w:rsid w:val="00F55784"/>
    <w:rsid w:val="00F55823"/>
    <w:rsid w:val="00F559C0"/>
    <w:rsid w:val="00F56D52"/>
    <w:rsid w:val="00F634F6"/>
    <w:rsid w:val="00F639B2"/>
    <w:rsid w:val="00F63C79"/>
    <w:rsid w:val="00F6447F"/>
    <w:rsid w:val="00F6479E"/>
    <w:rsid w:val="00F66DEB"/>
    <w:rsid w:val="00F66F40"/>
    <w:rsid w:val="00F7060C"/>
    <w:rsid w:val="00F71939"/>
    <w:rsid w:val="00F73AD6"/>
    <w:rsid w:val="00F74026"/>
    <w:rsid w:val="00F75084"/>
    <w:rsid w:val="00F7530D"/>
    <w:rsid w:val="00F76F59"/>
    <w:rsid w:val="00F82406"/>
    <w:rsid w:val="00F83629"/>
    <w:rsid w:val="00F83796"/>
    <w:rsid w:val="00F862C7"/>
    <w:rsid w:val="00F87219"/>
    <w:rsid w:val="00F87B07"/>
    <w:rsid w:val="00F90595"/>
    <w:rsid w:val="00F94516"/>
    <w:rsid w:val="00F95060"/>
    <w:rsid w:val="00F95C75"/>
    <w:rsid w:val="00F97642"/>
    <w:rsid w:val="00F977AF"/>
    <w:rsid w:val="00F97F43"/>
    <w:rsid w:val="00FA018B"/>
    <w:rsid w:val="00FA0C00"/>
    <w:rsid w:val="00FA0F47"/>
    <w:rsid w:val="00FA2076"/>
    <w:rsid w:val="00FB289E"/>
    <w:rsid w:val="00FB4831"/>
    <w:rsid w:val="00FB7907"/>
    <w:rsid w:val="00FC19FF"/>
    <w:rsid w:val="00FC2D8B"/>
    <w:rsid w:val="00FC442D"/>
    <w:rsid w:val="00FC6A97"/>
    <w:rsid w:val="00FD0110"/>
    <w:rsid w:val="00FD1760"/>
    <w:rsid w:val="00FD1890"/>
    <w:rsid w:val="00FD1DE8"/>
    <w:rsid w:val="00FD3306"/>
    <w:rsid w:val="00FD4FD2"/>
    <w:rsid w:val="00FD7726"/>
    <w:rsid w:val="00FE5088"/>
    <w:rsid w:val="00FE5465"/>
    <w:rsid w:val="00FF141F"/>
    <w:rsid w:val="00FF18C8"/>
    <w:rsid w:val="00FF2944"/>
    <w:rsid w:val="00FF467B"/>
    <w:rsid w:val="00FF6B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C9019"/>
  <w15:docId w15:val="{0C2BE0E5-EEF2-47B5-86D5-D2172C22B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1AC"/>
    <w:pPr>
      <w:spacing w:after="120" w:line="240" w:lineRule="auto"/>
    </w:pPr>
    <w:rPr>
      <w:spacing w:val="-2"/>
    </w:rPr>
  </w:style>
  <w:style w:type="paragraph" w:styleId="Heading1">
    <w:name w:val="heading 1"/>
    <w:aliases w:val="Heading 1 Char Char,Heading 1 Char2 Char Char,Heading 1 Char Char1 Char Char,Heading 1 Char Char Char Char Char,Char1 Char Char Char Char Char,Heading 1 Char1 Char Char Char,Char1 Char1 Char Char Char,Char1 Char Char,Char1 Char,No numbers"/>
    <w:basedOn w:val="Normal"/>
    <w:next w:val="Normal"/>
    <w:link w:val="Heading1Char"/>
    <w:uiPriority w:val="9"/>
    <w:qFormat/>
    <w:rsid w:val="000C59BF"/>
    <w:pPr>
      <w:keepNext/>
      <w:keepLines/>
      <w:pageBreakBefore/>
      <w:framePr w:w="14799" w:h="1304" w:vSpace="680" w:wrap="around" w:vAnchor="page" w:hAnchor="margin" w:y="982"/>
      <w:numPr>
        <w:numId w:val="11"/>
      </w:numPr>
      <w:pBdr>
        <w:top w:val="single" w:sz="8" w:space="31" w:color="FFFFFF" w:themeColor="background1"/>
        <w:bottom w:val="single" w:sz="8" w:space="0" w:color="FFF200" w:themeColor="accent1"/>
      </w:pBdr>
      <w:shd w:val="clear" w:color="auto" w:fill="FFFFFF" w:themeFill="background1"/>
      <w:spacing w:after="0"/>
      <w:outlineLvl w:val="0"/>
    </w:pPr>
    <w:rPr>
      <w:rFonts w:asciiTheme="majorHAnsi" w:eastAsiaTheme="majorEastAsia" w:hAnsiTheme="majorHAnsi" w:cstheme="majorBidi"/>
      <w:b/>
      <w:caps/>
      <w:color w:val="000000" w:themeColor="text1"/>
      <w:sz w:val="52"/>
      <w:szCs w:val="28"/>
    </w:rPr>
  </w:style>
  <w:style w:type="paragraph" w:styleId="Heading2">
    <w:name w:val="heading 2"/>
    <w:aliases w:val="Body Text (Reset numbering) Char,h2 Char,Body Text (Reset numbering),h2,Heading 2 Char2 Char1,Heading 2 Char Char1 Char1,Heading 2 Char1 Char Char Char1,Heading 2 Char Char Char Char Char,Heading 2 Char1 Char1 Char,Heading 2 Char Char Char1 Ch"/>
    <w:basedOn w:val="Normal"/>
    <w:next w:val="Normal"/>
    <w:link w:val="Heading2Char"/>
    <w:uiPriority w:val="8"/>
    <w:qFormat/>
    <w:rsid w:val="000C59BF"/>
    <w:pPr>
      <w:keepNext/>
      <w:keepLines/>
      <w:numPr>
        <w:ilvl w:val="1"/>
        <w:numId w:val="11"/>
      </w:numPr>
      <w:spacing w:before="400" w:after="240"/>
      <w:outlineLvl w:val="1"/>
    </w:pPr>
    <w:rPr>
      <w:rFonts w:ascii="Franklin Gothic Book" w:eastAsia="Times New Roman" w:hAnsi="Franklin Gothic Book" w:cs="Times New Roman"/>
      <w:b/>
      <w:bCs/>
      <w:caps/>
      <w:color w:val="000000"/>
      <w:spacing w:val="-3"/>
      <w:sz w:val="32"/>
      <w:szCs w:val="26"/>
      <w:u w:val="single"/>
    </w:rPr>
  </w:style>
  <w:style w:type="paragraph" w:styleId="Heading3">
    <w:name w:val="heading 3"/>
    <w:aliases w:val="Char1,Level 1 - 2,h3,Heading 3 Char1 Char,Heading 3 Char Char Char,H3,Heading 3a,H31,C Sub-Sub/Italic,h3 sub heading,Head 3,Head 31,Head 32,C Sub-Sub/Italic1,(Alt+3),3m,3,Sub2Para,sub-sub-para,Table Attribute Heading,H32,H33,H311,Subhead B"/>
    <w:basedOn w:val="Normal"/>
    <w:next w:val="Normal"/>
    <w:link w:val="Heading3Char"/>
    <w:uiPriority w:val="9"/>
    <w:qFormat/>
    <w:rsid w:val="000C59BF"/>
    <w:pPr>
      <w:keepNext/>
      <w:keepLines/>
      <w:numPr>
        <w:ilvl w:val="2"/>
        <w:numId w:val="11"/>
      </w:numPr>
      <w:spacing w:before="320" w:after="240"/>
      <w:outlineLvl w:val="2"/>
    </w:pPr>
    <w:rPr>
      <w:rFonts w:ascii="Franklin Gothic Demi" w:eastAsia="Times New Roman" w:hAnsi="Franklin Gothic Demi" w:cs="Times New Roman"/>
      <w:bCs/>
      <w:color w:val="000000"/>
      <w:spacing w:val="-6"/>
      <w:sz w:val="28"/>
      <w:szCs w:val="20"/>
    </w:rPr>
  </w:style>
  <w:style w:type="paragraph" w:styleId="Heading4">
    <w:name w:val="heading 4"/>
    <w:basedOn w:val="Normal"/>
    <w:next w:val="Normal"/>
    <w:link w:val="Heading4Char"/>
    <w:uiPriority w:val="9"/>
    <w:qFormat/>
    <w:rsid w:val="00365B6C"/>
    <w:pPr>
      <w:keepNext/>
      <w:keepLines/>
      <w:spacing w:before="200"/>
      <w:outlineLvl w:val="3"/>
    </w:pPr>
    <w:rPr>
      <w:rFonts w:asciiTheme="majorHAnsi" w:eastAsia="Times New Roman" w:hAnsiTheme="majorHAnsi" w:cs="Times New Roman"/>
      <w:bCs/>
      <w:iCs/>
      <w:color w:val="000000"/>
      <w:spacing w:val="-3"/>
      <w:sz w:val="24"/>
      <w:szCs w:val="20"/>
    </w:rPr>
  </w:style>
  <w:style w:type="paragraph" w:styleId="Heading5">
    <w:name w:val="heading 5"/>
    <w:basedOn w:val="Normal"/>
    <w:next w:val="Normal"/>
    <w:link w:val="Heading5Char"/>
    <w:uiPriority w:val="9"/>
    <w:semiHidden/>
    <w:qFormat/>
    <w:rsid w:val="009D24F5"/>
    <w:pPr>
      <w:keepNext/>
      <w:keepLines/>
      <w:spacing w:before="120"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C11924"/>
    <w:pPr>
      <w:spacing w:after="0" w:line="240" w:lineRule="auto"/>
    </w:pPr>
  </w:style>
  <w:style w:type="paragraph" w:customStyle="1" w:styleId="Sign-off">
    <w:name w:val="Sign-off"/>
    <w:basedOn w:val="NoSpacing"/>
    <w:next w:val="Normal"/>
    <w:semiHidden/>
    <w:rsid w:val="00C11924"/>
    <w:rPr>
      <w:b/>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A71669"/>
    <w:pPr>
      <w:numPr>
        <w:numId w:val="9"/>
      </w:numPr>
      <w:tabs>
        <w:tab w:val="clear" w:pos="284"/>
      </w:tabs>
      <w:contextualSpacing/>
    </w:pPr>
  </w:style>
  <w:style w:type="numbering" w:customStyle="1" w:styleId="Bullets">
    <w:name w:val="Bullets"/>
    <w:uiPriority w:val="99"/>
    <w:rsid w:val="00D83923"/>
  </w:style>
  <w:style w:type="character" w:customStyle="1" w:styleId="Heading1Char">
    <w:name w:val="Heading 1 Char"/>
    <w:aliases w:val="Heading 1 Char Char Char,Heading 1 Char2 Char Char Char,Heading 1 Char Char1 Char Char Char,Heading 1 Char Char Char Char Char Char,Char1 Char Char Char Char Char Char,Heading 1 Char1 Char Char Char Char,Char1 Char1 Char Char Char Char"/>
    <w:basedOn w:val="DefaultParagraphFont"/>
    <w:link w:val="Heading1"/>
    <w:uiPriority w:val="9"/>
    <w:rsid w:val="00B00D5E"/>
    <w:rPr>
      <w:rFonts w:asciiTheme="majorHAnsi" w:eastAsiaTheme="majorEastAsia" w:hAnsiTheme="majorHAnsi" w:cstheme="majorBidi"/>
      <w:b/>
      <w:caps/>
      <w:color w:val="000000" w:themeColor="text1"/>
      <w:spacing w:val="-2"/>
      <w:sz w:val="52"/>
      <w:szCs w:val="28"/>
      <w:shd w:val="clear" w:color="auto" w:fill="FFFFFF" w:themeFill="background1"/>
    </w:rPr>
  </w:style>
  <w:style w:type="paragraph" w:styleId="ListNumber2">
    <w:name w:val="List Number 2"/>
    <w:basedOn w:val="Normal"/>
    <w:uiPriority w:val="99"/>
    <w:unhideWhenUsed/>
    <w:qFormat/>
    <w:rsid w:val="00A71669"/>
    <w:pPr>
      <w:numPr>
        <w:ilvl w:val="1"/>
        <w:numId w:val="9"/>
      </w:numPr>
      <w:contextualSpacing/>
    </w:pPr>
  </w:style>
  <w:style w:type="character" w:customStyle="1" w:styleId="Heading2Char">
    <w:name w:val="Heading 2 Char"/>
    <w:aliases w:val="Body Text (Reset numbering) Char Char,h2 Char Char,Body Text (Reset numbering) Char1,h2 Char1,Heading 2 Char2 Char1 Char,Heading 2 Char Char1 Char1 Char,Heading 2 Char1 Char Char Char1 Char,Heading 2 Char Char Char Char Char Char"/>
    <w:basedOn w:val="DefaultParagraphFont"/>
    <w:link w:val="Heading2"/>
    <w:uiPriority w:val="8"/>
    <w:rsid w:val="00B00D5E"/>
    <w:rPr>
      <w:rFonts w:ascii="Franklin Gothic Book" w:eastAsia="Times New Roman" w:hAnsi="Franklin Gothic Book" w:cs="Times New Roman"/>
      <w:b/>
      <w:bCs/>
      <w:caps/>
      <w:color w:val="000000"/>
      <w:spacing w:val="-3"/>
      <w:sz w:val="32"/>
      <w:szCs w:val="26"/>
      <w:u w:val="single"/>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semiHidden/>
    <w:rsid w:val="008D1623"/>
    <w:pPr>
      <w:tabs>
        <w:tab w:val="center" w:pos="4513"/>
        <w:tab w:val="right" w:pos="9026"/>
      </w:tabs>
      <w:spacing w:after="40"/>
    </w:pPr>
    <w:rPr>
      <w:sz w:val="18"/>
    </w:rPr>
  </w:style>
  <w:style w:type="character" w:customStyle="1" w:styleId="FooterChar">
    <w:name w:val="Footer Char"/>
    <w:basedOn w:val="DefaultParagraphFont"/>
    <w:link w:val="Footer"/>
    <w:uiPriority w:val="99"/>
    <w:semiHidden/>
    <w:rsid w:val="008D1623"/>
    <w:rPr>
      <w:spacing w:val="-2"/>
      <w:sz w:val="18"/>
    </w:rPr>
  </w:style>
  <w:style w:type="numbering" w:customStyle="1" w:styleId="Numbering">
    <w:name w:val="Numbering"/>
    <w:uiPriority w:val="99"/>
    <w:rsid w:val="00A71669"/>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A71669"/>
    <w:pPr>
      <w:numPr>
        <w:ilvl w:val="2"/>
        <w:numId w:val="9"/>
      </w:numPr>
      <w:contextualSpacing/>
    </w:pPr>
  </w:style>
  <w:style w:type="paragraph" w:styleId="ListNumber4">
    <w:name w:val="List Number 4"/>
    <w:basedOn w:val="Normal"/>
    <w:uiPriority w:val="99"/>
    <w:unhideWhenUsed/>
    <w:qFormat/>
    <w:rsid w:val="00A71669"/>
    <w:pPr>
      <w:numPr>
        <w:ilvl w:val="3"/>
        <w:numId w:val="9"/>
      </w:numPr>
      <w:contextualSpacing/>
    </w:pPr>
  </w:style>
  <w:style w:type="paragraph" w:styleId="ListNumber5">
    <w:name w:val="List Number 5"/>
    <w:basedOn w:val="Normal"/>
    <w:uiPriority w:val="99"/>
    <w:unhideWhenUsed/>
    <w:rsid w:val="00A71669"/>
    <w:pPr>
      <w:numPr>
        <w:ilvl w:val="4"/>
        <w:numId w:val="9"/>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aliases w:val="Char1 Char1,Level 1 - 2 Char,h3 Char,Heading 3 Char1 Char Char,Heading 3 Char Char Char Char,H3 Char,Heading 3a Char,H31 Char,C Sub-Sub/Italic Char,h3 sub heading Char,Head 3 Char,Head 31 Char,Head 32 Char,C Sub-Sub/Italic1 Char,3m Char"/>
    <w:basedOn w:val="DefaultParagraphFont"/>
    <w:link w:val="Heading3"/>
    <w:uiPriority w:val="9"/>
    <w:rsid w:val="00B00D5E"/>
    <w:rPr>
      <w:rFonts w:ascii="Franklin Gothic Demi" w:eastAsia="Times New Roman" w:hAnsi="Franklin Gothic Demi" w:cs="Times New Roman"/>
      <w:bCs/>
      <w:color w:val="000000"/>
      <w:spacing w:val="-6"/>
      <w:sz w:val="28"/>
      <w:szCs w:val="20"/>
    </w:rPr>
  </w:style>
  <w:style w:type="character" w:customStyle="1" w:styleId="Heading4Char">
    <w:name w:val="Heading 4 Char"/>
    <w:basedOn w:val="DefaultParagraphFont"/>
    <w:link w:val="Heading4"/>
    <w:uiPriority w:val="9"/>
    <w:rsid w:val="00B00D5E"/>
    <w:rPr>
      <w:rFonts w:asciiTheme="majorHAnsi" w:eastAsia="Times New Roman" w:hAnsiTheme="majorHAnsi" w:cs="Times New Roman"/>
      <w:bCs/>
      <w:iCs/>
      <w:color w:val="000000"/>
      <w:spacing w:val="-3"/>
      <w:sz w:val="24"/>
      <w:szCs w:val="20"/>
    </w:rPr>
  </w:style>
  <w:style w:type="character" w:customStyle="1" w:styleId="Heading5Char">
    <w:name w:val="Heading 5 Char"/>
    <w:basedOn w:val="DefaultParagraphFont"/>
    <w:link w:val="Heading5"/>
    <w:uiPriority w:val="9"/>
    <w:semiHidden/>
    <w:rsid w:val="00365B6C"/>
    <w:rPr>
      <w:rFonts w:asciiTheme="majorHAnsi" w:eastAsiaTheme="majorEastAsia" w:hAnsiTheme="majorHAnsi" w:cstheme="majorBidi"/>
      <w:b/>
      <w:spacing w:val="-2"/>
      <w:sz w:val="18"/>
    </w:rPr>
  </w:style>
  <w:style w:type="numbering" w:customStyle="1" w:styleId="ListHeadings">
    <w:name w:val="List Headings"/>
    <w:uiPriority w:val="99"/>
    <w:rsid w:val="000C59BF"/>
    <w:pPr>
      <w:numPr>
        <w:numId w:val="3"/>
      </w:numPr>
    </w:pPr>
  </w:style>
  <w:style w:type="paragraph" w:styleId="Title">
    <w:name w:val="Title"/>
    <w:basedOn w:val="DocumentTitle"/>
    <w:next w:val="Normal"/>
    <w:link w:val="TitleChar"/>
    <w:uiPriority w:val="13"/>
    <w:rsid w:val="00150F81"/>
    <w:pPr>
      <w:spacing w:after="120" w:line="240" w:lineRule="auto"/>
    </w:pPr>
  </w:style>
  <w:style w:type="character" w:customStyle="1" w:styleId="TitleChar">
    <w:name w:val="Title Char"/>
    <w:basedOn w:val="DefaultParagraphFont"/>
    <w:link w:val="Title"/>
    <w:uiPriority w:val="13"/>
    <w:rsid w:val="00A65DD7"/>
    <w:rPr>
      <w:rFonts w:ascii="Franklin Gothic Demi" w:hAnsi="Franklin Gothic Demi" w:cs="Times New Roman"/>
      <w:color w:val="000000" w:themeColor="text1"/>
      <w:spacing w:val="-4"/>
      <w:sz w:val="36"/>
      <w:szCs w:val="20"/>
    </w:rPr>
  </w:style>
  <w:style w:type="paragraph" w:customStyle="1" w:styleId="Pull-outQuote">
    <w:name w:val="Pull-out Quote"/>
    <w:basedOn w:val="Normal"/>
    <w:link w:val="Pull-outQuoteChar"/>
    <w:semiHidden/>
    <w:rsid w:val="009D24F5"/>
    <w:pPr>
      <w:pBdr>
        <w:top w:val="single" w:sz="4" w:space="4" w:color="787878" w:themeColor="text2"/>
        <w:left w:val="single" w:sz="4" w:space="4" w:color="787878" w:themeColor="text2"/>
        <w:bottom w:val="single" w:sz="4" w:space="4" w:color="787878" w:themeColor="text2"/>
        <w:right w:val="single" w:sz="4" w:space="4" w:color="787878" w:themeColor="text2"/>
      </w:pBdr>
      <w:shd w:val="clear" w:color="auto" w:fill="787878"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B17FC2"/>
    <w:rPr>
      <w:color w:val="FFFFFF" w:themeColor="background1"/>
      <w:sz w:val="20"/>
      <w:shd w:val="clear" w:color="auto" w:fill="787878" w:themeFill="text2"/>
    </w:rPr>
  </w:style>
  <w:style w:type="character" w:customStyle="1" w:styleId="Pull-outQuoteHeadingChar">
    <w:name w:val="Pull-out Quote Heading Char"/>
    <w:basedOn w:val="Pull-outQuoteChar"/>
    <w:link w:val="Pull-outQuoteHeading"/>
    <w:semiHidden/>
    <w:rsid w:val="00B17FC2"/>
    <w:rPr>
      <w:b/>
      <w:color w:val="FFFFFF" w:themeColor="background1"/>
      <w:sz w:val="20"/>
      <w:shd w:val="clear" w:color="auto" w:fill="787878" w:themeFill="text2"/>
    </w:rPr>
  </w:style>
  <w:style w:type="paragraph" w:customStyle="1" w:styleId="ESHeading2">
    <w:name w:val="ES Heading 2"/>
    <w:basedOn w:val="Heading2"/>
    <w:next w:val="Normal"/>
    <w:uiPriority w:val="8"/>
    <w:qFormat/>
    <w:rsid w:val="00B00D5E"/>
    <w:pPr>
      <w:numPr>
        <w:ilvl w:val="0"/>
        <w:numId w:val="0"/>
      </w:numPr>
    </w:pPr>
  </w:style>
  <w:style w:type="paragraph" w:customStyle="1" w:styleId="ESHeading3">
    <w:name w:val="ES Heading 3"/>
    <w:basedOn w:val="Heading3"/>
    <w:next w:val="Normal"/>
    <w:uiPriority w:val="9"/>
    <w:qFormat/>
    <w:rsid w:val="00B00D5E"/>
    <w:pPr>
      <w:numPr>
        <w:ilvl w:val="0"/>
        <w:numId w:val="0"/>
      </w:numPr>
    </w:p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3B3C06"/>
    <w:pPr>
      <w:spacing w:after="0" w:line="240" w:lineRule="auto"/>
    </w:pPr>
    <w:rPr>
      <w:rFonts w:ascii="Arial" w:hAnsi="Arial" w:cs="Times New Roman"/>
      <w:sz w:val="20"/>
      <w:szCs w:val="20"/>
    </w:rPr>
    <w:tblPr>
      <w:tblCellMar>
        <w:left w:w="0" w:type="dxa"/>
        <w:right w:w="0" w:type="dxa"/>
      </w:tblCellMar>
    </w:tblPr>
  </w:style>
  <w:style w:type="paragraph" w:styleId="TOC1">
    <w:name w:val="toc 1"/>
    <w:uiPriority w:val="39"/>
    <w:rsid w:val="00BD7746"/>
    <w:pPr>
      <w:tabs>
        <w:tab w:val="center" w:pos="6804"/>
      </w:tabs>
      <w:spacing w:before="120" w:after="60" w:line="280" w:lineRule="atLeast"/>
      <w:ind w:left="397" w:right="1021"/>
      <w:contextualSpacing/>
    </w:pPr>
    <w:rPr>
      <w:rFonts w:asciiTheme="majorHAnsi" w:hAnsiTheme="majorHAnsi" w:cs="Times New Roman"/>
      <w:caps/>
      <w:color w:val="000000" w:themeColor="text1"/>
      <w:spacing w:val="-2"/>
      <w:szCs w:val="20"/>
    </w:rPr>
  </w:style>
  <w:style w:type="paragraph" w:styleId="TOC2">
    <w:name w:val="toc 2"/>
    <w:uiPriority w:val="39"/>
    <w:rsid w:val="003B3C06"/>
    <w:pPr>
      <w:tabs>
        <w:tab w:val="left" w:pos="397"/>
        <w:tab w:val="center" w:pos="6804"/>
      </w:tabs>
      <w:spacing w:before="180" w:after="0" w:line="360" w:lineRule="atLeast"/>
      <w:ind w:left="397" w:right="1021" w:hanging="397"/>
    </w:pPr>
    <w:rPr>
      <w:rFonts w:asciiTheme="majorHAnsi" w:hAnsiTheme="majorHAnsi" w:cs="Times New Roman"/>
      <w:caps/>
      <w:color w:val="000000" w:themeColor="text1"/>
      <w:spacing w:val="-2"/>
      <w:sz w:val="28"/>
      <w:szCs w:val="20"/>
      <w:u w:val="single"/>
    </w:rPr>
  </w:style>
  <w:style w:type="paragraph" w:styleId="TOC3">
    <w:name w:val="toc 3"/>
    <w:uiPriority w:val="39"/>
    <w:rsid w:val="003B3C06"/>
    <w:pPr>
      <w:tabs>
        <w:tab w:val="left" w:pos="964"/>
        <w:tab w:val="center" w:pos="6804"/>
      </w:tabs>
      <w:spacing w:before="80" w:after="0" w:line="280" w:lineRule="atLeast"/>
      <w:ind w:left="1361" w:right="1021" w:hanging="964"/>
      <w:contextualSpacing/>
    </w:pPr>
    <w:rPr>
      <w:rFonts w:ascii="Franklin Gothic Demi" w:hAnsi="Franklin Gothic Demi" w:cs="Times New Roman"/>
      <w:caps/>
      <w:color w:val="000000" w:themeColor="text1"/>
      <w:sz w:val="20"/>
      <w:szCs w:val="20"/>
    </w:rPr>
  </w:style>
  <w:style w:type="paragraph" w:customStyle="1" w:styleId="BodyCopy">
    <w:name w:val="Body Copy"/>
    <w:basedOn w:val="Normal"/>
    <w:link w:val="BodyCopyChar"/>
    <w:uiPriority w:val="1"/>
    <w:qFormat/>
    <w:rsid w:val="00150F81"/>
    <w:rPr>
      <w:rFonts w:cs="Times New Roman"/>
      <w:color w:val="000000" w:themeColor="text1"/>
      <w:szCs w:val="20"/>
    </w:rPr>
  </w:style>
  <w:style w:type="paragraph" w:customStyle="1" w:styleId="MissionStatementHeading">
    <w:name w:val="Mission Statement Heading"/>
    <w:uiPriority w:val="24"/>
    <w:rsid w:val="003B3C06"/>
    <w:pPr>
      <w:framePr w:hSpace="181" w:wrap="notBeside" w:vAnchor="text" w:hAnchor="margin" w:y="6096"/>
      <w:spacing w:after="480" w:line="480" w:lineRule="exact"/>
    </w:pPr>
    <w:rPr>
      <w:rFonts w:ascii="Franklin Gothic Book" w:hAnsi="Franklin Gothic Book" w:cs="Times New Roman"/>
      <w:color w:val="787878" w:themeColor="text2"/>
      <w:sz w:val="48"/>
      <w:szCs w:val="20"/>
      <w:u w:val="single"/>
    </w:rPr>
  </w:style>
  <w:style w:type="paragraph" w:customStyle="1" w:styleId="MissionStatementBody">
    <w:name w:val="Mission Statement Body"/>
    <w:next w:val="BodyCopy"/>
    <w:uiPriority w:val="24"/>
    <w:rsid w:val="003B3C06"/>
    <w:pPr>
      <w:framePr w:wrap="notBeside" w:vAnchor="text" w:hAnchor="text" w:y="1"/>
      <w:spacing w:after="0" w:line="540" w:lineRule="exact"/>
    </w:pPr>
    <w:rPr>
      <w:rFonts w:ascii="Franklin Gothic Book" w:hAnsi="Franklin Gothic Book" w:cs="Times New Roman"/>
      <w:i/>
      <w:color w:val="787878" w:themeColor="text2"/>
      <w:sz w:val="48"/>
      <w:szCs w:val="20"/>
    </w:rPr>
  </w:style>
  <w:style w:type="character" w:customStyle="1" w:styleId="BodyCopyChar">
    <w:name w:val="Body Copy Char"/>
    <w:basedOn w:val="DefaultParagraphFont"/>
    <w:link w:val="BodyCopy"/>
    <w:uiPriority w:val="1"/>
    <w:rsid w:val="00BD7746"/>
    <w:rPr>
      <w:rFonts w:cs="Times New Roman"/>
      <w:color w:val="000000" w:themeColor="text1"/>
      <w:spacing w:val="-2"/>
      <w:szCs w:val="20"/>
    </w:rPr>
  </w:style>
  <w:style w:type="paragraph" w:customStyle="1" w:styleId="DocumentInfo">
    <w:name w:val="Document Info"/>
    <w:link w:val="DocumentInfoChar"/>
    <w:uiPriority w:val="34"/>
    <w:rsid w:val="006756D6"/>
    <w:pPr>
      <w:spacing w:after="0" w:line="288" w:lineRule="exact"/>
      <w:jc w:val="right"/>
    </w:pPr>
    <w:rPr>
      <w:rFonts w:asciiTheme="majorHAnsi" w:hAnsiTheme="majorHAnsi" w:cs="Times New Roman"/>
      <w:caps/>
      <w:color w:val="000000" w:themeColor="text1"/>
      <w:spacing w:val="-2"/>
      <w:sz w:val="24"/>
      <w:szCs w:val="20"/>
    </w:rPr>
  </w:style>
  <w:style w:type="character" w:customStyle="1" w:styleId="DocumentInfoChar">
    <w:name w:val="Document Info Char"/>
    <w:basedOn w:val="DefaultParagraphFont"/>
    <w:link w:val="DocumentInfo"/>
    <w:uiPriority w:val="34"/>
    <w:rsid w:val="006756D6"/>
    <w:rPr>
      <w:rFonts w:asciiTheme="majorHAnsi" w:hAnsiTheme="majorHAnsi" w:cs="Times New Roman"/>
      <w:caps/>
      <w:color w:val="000000" w:themeColor="text1"/>
      <w:spacing w:val="-2"/>
      <w:sz w:val="24"/>
      <w:szCs w:val="20"/>
    </w:rPr>
  </w:style>
  <w:style w:type="paragraph" w:customStyle="1" w:styleId="DocumentTitle">
    <w:name w:val="Document Title"/>
    <w:link w:val="DocumentTitleChar"/>
    <w:uiPriority w:val="34"/>
    <w:rsid w:val="003B3C06"/>
    <w:pPr>
      <w:spacing w:after="284" w:line="432" w:lineRule="exact"/>
    </w:pPr>
    <w:rPr>
      <w:rFonts w:ascii="Franklin Gothic Demi" w:hAnsi="Franklin Gothic Demi" w:cs="Times New Roman"/>
      <w:color w:val="000000" w:themeColor="text1"/>
      <w:spacing w:val="-4"/>
      <w:sz w:val="36"/>
      <w:szCs w:val="20"/>
    </w:rPr>
  </w:style>
  <w:style w:type="character" w:customStyle="1" w:styleId="DocumentTitleChar">
    <w:name w:val="Document Title Char"/>
    <w:basedOn w:val="DefaultParagraphFont"/>
    <w:link w:val="DocumentTitle"/>
    <w:uiPriority w:val="34"/>
    <w:rsid w:val="003B3C06"/>
    <w:rPr>
      <w:rFonts w:ascii="Franklin Gothic Demi" w:hAnsi="Franklin Gothic Demi" w:cs="Times New Roman"/>
      <w:color w:val="000000" w:themeColor="text1"/>
      <w:spacing w:val="-4"/>
      <w:sz w:val="36"/>
      <w:szCs w:val="20"/>
    </w:rPr>
  </w:style>
  <w:style w:type="paragraph" w:customStyle="1" w:styleId="DocumentPublishDate">
    <w:name w:val="Document Publish Date"/>
    <w:next w:val="BodyCopy"/>
    <w:link w:val="DocumentPublishDateChar"/>
    <w:uiPriority w:val="35"/>
    <w:rsid w:val="003B3C06"/>
    <w:pPr>
      <w:spacing w:after="0" w:line="264" w:lineRule="exact"/>
    </w:pPr>
    <w:rPr>
      <w:rFonts w:cs="Times New Roman"/>
      <w:caps/>
      <w:color w:val="000000" w:themeColor="text1"/>
      <w:spacing w:val="-2"/>
      <w:szCs w:val="20"/>
    </w:rPr>
  </w:style>
  <w:style w:type="character" w:customStyle="1" w:styleId="DocumentPublishDateChar">
    <w:name w:val="Document Publish Date Char"/>
    <w:basedOn w:val="DefaultParagraphFont"/>
    <w:link w:val="DocumentPublishDate"/>
    <w:uiPriority w:val="35"/>
    <w:rsid w:val="003B3C06"/>
    <w:rPr>
      <w:rFonts w:cs="Times New Roman"/>
      <w:caps/>
      <w:color w:val="000000" w:themeColor="text1"/>
      <w:spacing w:val="-2"/>
      <w:szCs w:val="20"/>
    </w:rPr>
  </w:style>
  <w:style w:type="paragraph" w:customStyle="1" w:styleId="HeaderText">
    <w:name w:val="Header Text"/>
    <w:next w:val="BodyCopy"/>
    <w:link w:val="HeaderTextChar"/>
    <w:uiPriority w:val="34"/>
    <w:semiHidden/>
    <w:qFormat/>
    <w:rsid w:val="003B3C06"/>
    <w:pPr>
      <w:spacing w:after="0" w:line="144" w:lineRule="exact"/>
    </w:pPr>
    <w:rPr>
      <w:rFonts w:ascii="Franklin Gothic Demi" w:hAnsi="Franklin Gothic Demi" w:cs="Times New Roman"/>
      <w:caps/>
      <w:color w:val="000000" w:themeColor="text1"/>
      <w:spacing w:val="-2"/>
      <w:sz w:val="12"/>
      <w:szCs w:val="20"/>
    </w:rPr>
  </w:style>
  <w:style w:type="character" w:customStyle="1" w:styleId="HeaderTextChar">
    <w:name w:val="Header Text Char"/>
    <w:basedOn w:val="DefaultParagraphFont"/>
    <w:link w:val="HeaderText"/>
    <w:uiPriority w:val="34"/>
    <w:semiHidden/>
    <w:rsid w:val="003B3C06"/>
    <w:rPr>
      <w:rFonts w:ascii="Franklin Gothic Demi" w:hAnsi="Franklin Gothic Demi" w:cs="Times New Roman"/>
      <w:caps/>
      <w:color w:val="000000" w:themeColor="text1"/>
      <w:spacing w:val="-2"/>
      <w:sz w:val="12"/>
      <w:szCs w:val="20"/>
    </w:rPr>
  </w:style>
  <w:style w:type="paragraph" w:customStyle="1" w:styleId="HeaderSecondaryText">
    <w:name w:val="Header Secondary Text"/>
    <w:link w:val="HeaderSecondaryTextChar"/>
    <w:uiPriority w:val="34"/>
    <w:semiHidden/>
    <w:qFormat/>
    <w:rsid w:val="003B3C06"/>
    <w:pPr>
      <w:spacing w:after="0" w:line="144" w:lineRule="exact"/>
    </w:pPr>
    <w:rPr>
      <w:rFonts w:asciiTheme="majorHAnsi" w:eastAsiaTheme="majorEastAsia" w:hAnsiTheme="majorHAnsi" w:cstheme="majorBidi"/>
      <w:bCs/>
      <w:iCs/>
      <w:color w:val="787878" w:themeColor="text2"/>
      <w:spacing w:val="-3"/>
      <w:sz w:val="12"/>
      <w:szCs w:val="20"/>
    </w:rPr>
  </w:style>
  <w:style w:type="character" w:customStyle="1" w:styleId="HeaderSecondaryTextChar">
    <w:name w:val="Header Secondary Text Char"/>
    <w:basedOn w:val="DefaultParagraphFont"/>
    <w:link w:val="HeaderSecondaryText"/>
    <w:uiPriority w:val="34"/>
    <w:semiHidden/>
    <w:rsid w:val="003B3C06"/>
    <w:rPr>
      <w:rFonts w:asciiTheme="majorHAnsi" w:eastAsiaTheme="majorEastAsia" w:hAnsiTheme="majorHAnsi" w:cstheme="majorBidi"/>
      <w:bCs/>
      <w:iCs/>
      <w:color w:val="787878" w:themeColor="text2"/>
      <w:spacing w:val="-3"/>
      <w:sz w:val="12"/>
      <w:szCs w:val="20"/>
    </w:rPr>
  </w:style>
  <w:style w:type="table" w:customStyle="1" w:styleId="HMATable-Abbreviations">
    <w:name w:val="HMA Table - Abbreviations"/>
    <w:basedOn w:val="HMATableB"/>
    <w:uiPriority w:val="99"/>
    <w:rsid w:val="009A26B3"/>
    <w:rPr>
      <w:szCs w:val="20"/>
      <w:lang w:eastAsia="zh-CN"/>
    </w:rPr>
    <w:tblPr>
      <w:tblStyleColBandSize w:val="1"/>
    </w:tblPr>
    <w:tcPr>
      <w:shd w:val="clear" w:color="auto" w:fill="FFFFFF" w:themeFill="background1"/>
      <w:vAlign w:val="center"/>
    </w:tcPr>
    <w:tblStylePr w:type="firstRow">
      <w:rPr>
        <w:rFonts w:asciiTheme="majorHAnsi" w:hAnsiTheme="majorHAnsi"/>
        <w:caps/>
        <w:smallCaps w:val="0"/>
      </w:rPr>
      <w:tblPr/>
      <w:tcPr>
        <w:shd w:val="clear" w:color="auto" w:fill="FFFFFF" w:themeFill="background1"/>
      </w:tcPr>
    </w:tblStylePr>
    <w:tblStylePr w:type="firstCol">
      <w:rPr>
        <w:rFonts w:asciiTheme="majorHAnsi" w:hAnsiTheme="majorHAnsi"/>
        <w:sz w:val="20"/>
      </w:rPr>
      <w:tblPr/>
      <w:tcPr>
        <w:tcBorders>
          <w:right w:val="single" w:sz="48" w:space="0" w:color="FFFFFF" w:themeColor="background1"/>
        </w:tcBorders>
        <w:shd w:val="clear" w:color="auto" w:fill="FFFFFF" w:themeFill="background1"/>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paragraph" w:customStyle="1" w:styleId="Tabletext-Garamond">
    <w:name w:val="Table text - Garamond"/>
    <w:basedOn w:val="Normal"/>
    <w:semiHidden/>
    <w:rsid w:val="00B45604"/>
    <w:pPr>
      <w:spacing w:after="0"/>
    </w:pPr>
    <w:rPr>
      <w:sz w:val="20"/>
    </w:rPr>
  </w:style>
  <w:style w:type="paragraph" w:styleId="TableofFigures">
    <w:name w:val="table of figures"/>
    <w:basedOn w:val="Normal"/>
    <w:next w:val="Normal"/>
    <w:uiPriority w:val="99"/>
    <w:unhideWhenUsed/>
    <w:rsid w:val="00B45604"/>
    <w:pPr>
      <w:spacing w:after="0"/>
    </w:pPr>
  </w:style>
  <w:style w:type="paragraph" w:styleId="BodyTextIndent">
    <w:name w:val="Body Text Indent"/>
    <w:basedOn w:val="Normal"/>
    <w:link w:val="BodyTextIndentChar"/>
    <w:uiPriority w:val="99"/>
    <w:unhideWhenUsed/>
    <w:rsid w:val="006F67D8"/>
    <w:pPr>
      <w:ind w:left="283"/>
    </w:pPr>
  </w:style>
  <w:style w:type="character" w:customStyle="1" w:styleId="BodyTextIndentChar">
    <w:name w:val="Body Text Indent Char"/>
    <w:basedOn w:val="DefaultParagraphFont"/>
    <w:link w:val="BodyTextIndent"/>
    <w:uiPriority w:val="99"/>
    <w:rsid w:val="006F67D8"/>
    <w:rPr>
      <w:spacing w:val="-2"/>
    </w:rPr>
  </w:style>
  <w:style w:type="paragraph" w:styleId="TOC4">
    <w:name w:val="toc 4"/>
    <w:next w:val="BodyCopy"/>
    <w:uiPriority w:val="39"/>
    <w:rsid w:val="003B3C06"/>
    <w:pPr>
      <w:tabs>
        <w:tab w:val="left" w:pos="1644"/>
        <w:tab w:val="center" w:pos="6804"/>
      </w:tabs>
      <w:spacing w:after="0" w:line="280" w:lineRule="atLeast"/>
      <w:ind w:left="1644" w:right="1021" w:hanging="680"/>
    </w:pPr>
    <w:rPr>
      <w:rFonts w:asciiTheme="majorHAnsi" w:hAnsiTheme="majorHAnsi" w:cs="Times New Roman"/>
      <w:noProof/>
      <w:color w:val="000000" w:themeColor="text1"/>
      <w:spacing w:val="-2"/>
      <w:sz w:val="20"/>
      <w:szCs w:val="20"/>
    </w:rPr>
  </w:style>
  <w:style w:type="paragraph" w:customStyle="1" w:styleId="FooterDocumentTitle">
    <w:name w:val="Footer Document Title"/>
    <w:link w:val="FooterDocumentTitleChar"/>
    <w:uiPriority w:val="34"/>
    <w:semiHidden/>
    <w:qFormat/>
    <w:rsid w:val="003B3C06"/>
    <w:pPr>
      <w:spacing w:after="0" w:line="168" w:lineRule="exact"/>
      <w:jc w:val="right"/>
    </w:pPr>
    <w:rPr>
      <w:rFonts w:asciiTheme="majorHAnsi" w:hAnsiTheme="majorHAnsi" w:cs="Times New Roman"/>
      <w:color w:val="000000" w:themeColor="text1"/>
      <w:spacing w:val="-2"/>
      <w:sz w:val="14"/>
      <w:szCs w:val="20"/>
    </w:rPr>
  </w:style>
  <w:style w:type="character" w:customStyle="1" w:styleId="FooterDocumentTitleChar">
    <w:name w:val="Footer Document Title Char"/>
    <w:basedOn w:val="DefaultParagraphFont"/>
    <w:link w:val="FooterDocumentTitle"/>
    <w:uiPriority w:val="34"/>
    <w:semiHidden/>
    <w:rsid w:val="00313E99"/>
    <w:rPr>
      <w:rFonts w:asciiTheme="majorHAnsi" w:hAnsiTheme="majorHAnsi" w:cs="Times New Roman"/>
      <w:color w:val="000000" w:themeColor="text1"/>
      <w:spacing w:val="-2"/>
      <w:sz w:val="14"/>
      <w:szCs w:val="20"/>
    </w:rPr>
  </w:style>
  <w:style w:type="paragraph" w:customStyle="1" w:styleId="FooterProjectTitle">
    <w:name w:val="Footer Project Title"/>
    <w:link w:val="FooterProjectTitleChar"/>
    <w:uiPriority w:val="34"/>
    <w:semiHidden/>
    <w:qFormat/>
    <w:rsid w:val="00C24AEB"/>
    <w:pPr>
      <w:spacing w:before="360" w:after="0" w:line="168" w:lineRule="exact"/>
    </w:pPr>
    <w:rPr>
      <w:rFonts w:ascii="Franklin Gothic Demi" w:hAnsi="Franklin Gothic Demi" w:cs="Times New Roman"/>
      <w:color w:val="000000" w:themeColor="text1"/>
      <w:spacing w:val="-2"/>
      <w:sz w:val="14"/>
      <w:szCs w:val="20"/>
    </w:rPr>
  </w:style>
  <w:style w:type="character" w:customStyle="1" w:styleId="FooterProjectTitleChar">
    <w:name w:val="Footer Project Title Char"/>
    <w:basedOn w:val="DefaultParagraphFont"/>
    <w:link w:val="FooterProjectTitle"/>
    <w:uiPriority w:val="34"/>
    <w:semiHidden/>
    <w:rsid w:val="00C24AEB"/>
    <w:rPr>
      <w:rFonts w:ascii="Franklin Gothic Demi" w:hAnsi="Franklin Gothic Demi" w:cs="Times New Roman"/>
      <w:color w:val="000000" w:themeColor="text1"/>
      <w:spacing w:val="-2"/>
      <w:sz w:val="14"/>
      <w:szCs w:val="20"/>
    </w:rPr>
  </w:style>
  <w:style w:type="paragraph" w:customStyle="1" w:styleId="TOCTitle">
    <w:name w:val="TOC Title"/>
    <w:next w:val="BodyCopy"/>
    <w:link w:val="TOCTitleChar"/>
    <w:uiPriority w:val="39"/>
    <w:rsid w:val="00925E63"/>
    <w:pPr>
      <w:framePr w:w="14799" w:h="1588" w:hRule="exact" w:vSpace="1134" w:wrap="around" w:vAnchor="page" w:hAnchor="text" w:y="982" w:anchorLock="1"/>
      <w:pBdr>
        <w:bottom w:val="single" w:sz="8" w:space="0" w:color="FFF200" w:themeColor="background2"/>
      </w:pBdr>
      <w:spacing w:before="960" w:after="0" w:line="240" w:lineRule="auto"/>
    </w:pPr>
    <w:rPr>
      <w:rFonts w:asciiTheme="majorHAnsi" w:eastAsiaTheme="majorEastAsia" w:hAnsiTheme="majorHAnsi" w:cstheme="majorBidi"/>
      <w:b/>
      <w:bCs/>
      <w:caps/>
      <w:color w:val="000000" w:themeColor="text1"/>
      <w:sz w:val="52"/>
      <w:szCs w:val="28"/>
    </w:rPr>
  </w:style>
  <w:style w:type="character" w:customStyle="1" w:styleId="TOCTitleChar">
    <w:name w:val="TOC Title Char"/>
    <w:basedOn w:val="DefaultParagraphFont"/>
    <w:link w:val="TOCTitle"/>
    <w:uiPriority w:val="39"/>
    <w:rsid w:val="00925E63"/>
    <w:rPr>
      <w:rFonts w:asciiTheme="majorHAnsi" w:eastAsiaTheme="majorEastAsia" w:hAnsiTheme="majorHAnsi" w:cstheme="majorBidi"/>
      <w:b/>
      <w:bCs/>
      <w:caps/>
      <w:color w:val="000000" w:themeColor="text1"/>
      <w:sz w:val="52"/>
      <w:szCs w:val="28"/>
    </w:rPr>
  </w:style>
  <w:style w:type="character" w:styleId="Hyperlink">
    <w:name w:val="Hyperlink"/>
    <w:basedOn w:val="DefaultParagraphFont"/>
    <w:hidden/>
    <w:uiPriority w:val="99"/>
    <w:rsid w:val="003B3C06"/>
    <w:rPr>
      <w:color w:val="787878" w:themeColor="hyperlink"/>
      <w:u w:val="single"/>
    </w:rPr>
  </w:style>
  <w:style w:type="numbering" w:customStyle="1" w:styleId="HeaderTitleList">
    <w:name w:val="Header Title List"/>
    <w:uiPriority w:val="99"/>
    <w:rsid w:val="00337913"/>
    <w:pPr>
      <w:numPr>
        <w:numId w:val="6"/>
      </w:numPr>
    </w:pPr>
  </w:style>
  <w:style w:type="paragraph" w:customStyle="1" w:styleId="KeyFinding">
    <w:name w:val="Key Finding"/>
    <w:basedOn w:val="Normal"/>
    <w:next w:val="Normal"/>
    <w:uiPriority w:val="15"/>
    <w:qFormat/>
    <w:rsid w:val="008A25D7"/>
    <w:pPr>
      <w:numPr>
        <w:numId w:val="29"/>
      </w:numPr>
      <w:pBdr>
        <w:top w:val="single" w:sz="4" w:space="4" w:color="787878" w:themeColor="text2"/>
        <w:left w:val="single" w:sz="4" w:space="4" w:color="DCDCDC" w:themeColor="accent6"/>
        <w:bottom w:val="single" w:sz="4" w:space="4" w:color="787878" w:themeColor="text2"/>
        <w:right w:val="single" w:sz="4" w:space="4" w:color="DCDCDC" w:themeColor="accent6"/>
        <w:between w:val="single" w:sz="4" w:space="4" w:color="787878" w:themeColor="text2"/>
      </w:pBdr>
      <w:shd w:val="clear" w:color="auto" w:fill="DCDCDC" w:themeFill="accent6"/>
      <w:spacing w:before="40" w:after="40"/>
      <w:ind w:right="113"/>
    </w:pPr>
    <w:rPr>
      <w:rFonts w:cs="Times New Roman"/>
      <w:color w:val="000000" w:themeColor="text1"/>
      <w:szCs w:val="20"/>
    </w:rPr>
  </w:style>
  <w:style w:type="paragraph" w:styleId="BalloonText">
    <w:name w:val="Balloon Text"/>
    <w:basedOn w:val="Normal"/>
    <w:link w:val="BalloonTextChar"/>
    <w:uiPriority w:val="99"/>
    <w:semiHidden/>
    <w:unhideWhenUsed/>
    <w:rsid w:val="0010172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20"/>
    <w:rPr>
      <w:rFonts w:ascii="Segoe UI" w:hAnsi="Segoe UI" w:cs="Segoe UI"/>
      <w:sz w:val="18"/>
      <w:szCs w:val="18"/>
    </w:rPr>
  </w:style>
  <w:style w:type="character" w:styleId="PageNumber">
    <w:name w:val="page number"/>
    <w:basedOn w:val="DefaultParagraphFont"/>
    <w:uiPriority w:val="99"/>
    <w:unhideWhenUsed/>
    <w:rsid w:val="002A1A69"/>
  </w:style>
  <w:style w:type="paragraph" w:customStyle="1" w:styleId="HeaderA">
    <w:name w:val="Header A"/>
    <w:basedOn w:val="Normal"/>
    <w:link w:val="HeaderAChar"/>
    <w:rsid w:val="00776633"/>
    <w:pPr>
      <w:spacing w:after="0" w:line="144" w:lineRule="exact"/>
    </w:pPr>
    <w:rPr>
      <w:rFonts w:ascii="Franklin Gothic Demi" w:eastAsia="Garamond" w:hAnsi="Franklin Gothic Demi" w:cs="Times New Roman"/>
      <w:caps/>
      <w:color w:val="000000"/>
      <w:sz w:val="12"/>
      <w:szCs w:val="20"/>
    </w:rPr>
  </w:style>
  <w:style w:type="paragraph" w:customStyle="1" w:styleId="HeaderB">
    <w:name w:val="Header B"/>
    <w:basedOn w:val="Normal"/>
    <w:link w:val="HeaderBChar"/>
    <w:rsid w:val="00776633"/>
    <w:pPr>
      <w:spacing w:after="0" w:line="144" w:lineRule="exact"/>
    </w:pPr>
    <w:rPr>
      <w:rFonts w:ascii="Franklin Gothic Book" w:eastAsia="Times New Roman" w:hAnsi="Franklin Gothic Book" w:cs="Times New Roman"/>
      <w:color w:val="787878"/>
      <w:spacing w:val="-3"/>
      <w:sz w:val="12"/>
      <w:szCs w:val="20"/>
    </w:rPr>
  </w:style>
  <w:style w:type="character" w:customStyle="1" w:styleId="HeaderBChar">
    <w:name w:val="Header B Char"/>
    <w:basedOn w:val="DefaultParagraphFont"/>
    <w:link w:val="HeaderB"/>
    <w:rsid w:val="00776633"/>
    <w:rPr>
      <w:rFonts w:ascii="Franklin Gothic Book" w:eastAsia="Times New Roman" w:hAnsi="Franklin Gothic Book" w:cs="Times New Roman"/>
      <w:color w:val="787878"/>
      <w:spacing w:val="-3"/>
      <w:sz w:val="12"/>
      <w:szCs w:val="20"/>
    </w:rPr>
  </w:style>
  <w:style w:type="paragraph" w:styleId="Caption">
    <w:name w:val="caption"/>
    <w:basedOn w:val="Normal"/>
    <w:next w:val="Normal"/>
    <w:link w:val="CaptionChar"/>
    <w:uiPriority w:val="29"/>
    <w:unhideWhenUsed/>
    <w:qFormat/>
    <w:rsid w:val="009A26B3"/>
    <w:pPr>
      <w:keepNext/>
      <w:spacing w:before="240" w:after="80"/>
      <w:jc w:val="center"/>
    </w:pPr>
    <w:rPr>
      <w:rFonts w:ascii="Franklin Gothic Demi" w:hAnsi="Franklin Gothic Demi"/>
      <w:iCs/>
      <w:sz w:val="17"/>
      <w:szCs w:val="18"/>
    </w:rPr>
  </w:style>
  <w:style w:type="table" w:customStyle="1" w:styleId="HMATableD-Recommendations">
    <w:name w:val="HMA Table D-Recommendations"/>
    <w:basedOn w:val="TableNormal"/>
    <w:uiPriority w:val="99"/>
    <w:rsid w:val="009A26B3"/>
    <w:pPr>
      <w:spacing w:after="0" w:line="240" w:lineRule="auto"/>
    </w:pPr>
    <w:rPr>
      <w:rFonts w:asciiTheme="majorHAnsi" w:hAnsiTheme="majorHAnsi"/>
      <w:sz w:val="20"/>
    </w:rPr>
    <w:tblPr>
      <w:tblStyleRowBandSize w:val="1"/>
      <w:tblBorders>
        <w:top w:val="single" w:sz="4" w:space="0" w:color="auto"/>
        <w:bottom w:val="single" w:sz="4" w:space="0" w:color="auto"/>
        <w:insideH w:val="single" w:sz="4" w:space="0" w:color="auto"/>
        <w:insideV w:val="single" w:sz="4" w:space="0" w:color="FFFFFF" w:themeColor="background1"/>
      </w:tblBorders>
      <w:tblCellMar>
        <w:top w:w="85" w:type="dxa"/>
        <w:left w:w="85" w:type="dxa"/>
      </w:tblCellMar>
    </w:tblPr>
    <w:tcPr>
      <w:shd w:val="clear" w:color="auto" w:fill="F2F2F2" w:themeFill="background1" w:themeFillShade="F2"/>
    </w:tcPr>
    <w:tblStylePr w:type="firstRow">
      <w:rPr>
        <w:rFonts w:asciiTheme="majorHAnsi" w:hAnsiTheme="majorHAnsi"/>
        <w:caps/>
        <w:smallCaps w:val="0"/>
      </w:rPr>
      <w:tblPr/>
      <w:tcPr>
        <w:shd w:val="clear" w:color="auto" w:fill="DCDCDC" w:themeFill="accent6"/>
      </w:tcPr>
    </w:tblStylePr>
    <w:tblStylePr w:type="firstCol">
      <w:tblPr/>
      <w:tcPr>
        <w:shd w:val="clear" w:color="auto" w:fill="DCDCDC" w:themeFill="accent6"/>
      </w:tcPr>
    </w:tblStylePr>
    <w:tblStylePr w:type="band2Horz">
      <w:tblPr/>
      <w:tcPr>
        <w:tcBorders>
          <w:top w:val="nil"/>
          <w:left w:val="nil"/>
          <w:bottom w:val="nil"/>
          <w:right w:val="nil"/>
          <w:insideH w:val="nil"/>
          <w:insideV w:val="nil"/>
          <w:tl2br w:val="nil"/>
          <w:tr2bl w:val="nil"/>
        </w:tcBorders>
        <w:shd w:val="clear" w:color="auto" w:fill="FFFCCC" w:themeFill="background2" w:themeFillTint="33"/>
      </w:tcPr>
    </w:tblStylePr>
  </w:style>
  <w:style w:type="table" w:customStyle="1" w:styleId="HMATableB">
    <w:name w:val="HMA Table B"/>
    <w:basedOn w:val="TableNormal"/>
    <w:uiPriority w:val="99"/>
    <w:rsid w:val="009A26B3"/>
    <w:pPr>
      <w:spacing w:after="0" w:line="240" w:lineRule="auto"/>
    </w:pPr>
    <w:rPr>
      <w:rFonts w:asciiTheme="majorHAnsi" w:hAnsiTheme="majorHAnsi"/>
      <w:sz w:val="20"/>
    </w:rPr>
    <w:tblPr>
      <w:tblBorders>
        <w:top w:val="single" w:sz="4" w:space="0" w:color="auto"/>
        <w:bottom w:val="single" w:sz="4" w:space="0" w:color="auto"/>
        <w:insideH w:val="single" w:sz="4" w:space="0" w:color="auto"/>
      </w:tblBorders>
      <w:tblCellMar>
        <w:top w:w="85" w:type="dxa"/>
        <w:left w:w="85" w:type="dxa"/>
      </w:tblCellMar>
    </w:tblPr>
    <w:tcPr>
      <w:shd w:val="clear" w:color="auto" w:fill="FFFFFF" w:themeFill="background1"/>
    </w:tcPr>
    <w:tblStylePr w:type="firstRow">
      <w:rPr>
        <w:rFonts w:asciiTheme="majorHAnsi" w:hAnsiTheme="majorHAnsi"/>
        <w:caps/>
        <w:smallCaps w:val="0"/>
      </w:rPr>
      <w:tblPr/>
      <w:tcPr>
        <w:shd w:val="clear" w:color="auto" w:fill="DCDCDC" w:themeFill="accent6"/>
      </w:tcPr>
    </w:tblStylePr>
    <w:tblStylePr w:type="firstCol">
      <w:tblPr/>
      <w:tcPr>
        <w:shd w:val="clear" w:color="auto" w:fill="F2F2F2" w:themeFill="background1" w:themeFillShade="F2"/>
      </w:tcPr>
    </w:tblStylePr>
  </w:style>
  <w:style w:type="paragraph" w:styleId="FootnoteText">
    <w:name w:val="footnote text"/>
    <w:basedOn w:val="Normal"/>
    <w:link w:val="FootnoteTextChar"/>
    <w:uiPriority w:val="39"/>
    <w:unhideWhenUsed/>
    <w:rsid w:val="00576128"/>
    <w:pPr>
      <w:spacing w:after="0"/>
    </w:pPr>
    <w:rPr>
      <w:szCs w:val="20"/>
    </w:rPr>
  </w:style>
  <w:style w:type="character" w:customStyle="1" w:styleId="FootnoteTextChar">
    <w:name w:val="Footnote Text Char"/>
    <w:basedOn w:val="DefaultParagraphFont"/>
    <w:link w:val="FootnoteText"/>
    <w:uiPriority w:val="39"/>
    <w:rsid w:val="00576128"/>
    <w:rPr>
      <w:sz w:val="20"/>
      <w:szCs w:val="20"/>
    </w:rPr>
  </w:style>
  <w:style w:type="character" w:styleId="FootnoteReference">
    <w:name w:val="footnote reference"/>
    <w:basedOn w:val="DefaultParagraphFont"/>
    <w:uiPriority w:val="99"/>
    <w:unhideWhenUsed/>
    <w:rsid w:val="00576128"/>
    <w:rPr>
      <w:vertAlign w:val="superscript"/>
    </w:rPr>
  </w:style>
  <w:style w:type="numbering" w:customStyle="1" w:styleId="Indent">
    <w:name w:val="Indent"/>
    <w:uiPriority w:val="99"/>
    <w:rsid w:val="00601955"/>
    <w:pPr>
      <w:numPr>
        <w:numId w:val="5"/>
      </w:numPr>
    </w:pPr>
  </w:style>
  <w:style w:type="paragraph" w:customStyle="1" w:styleId="DividerPageTitle">
    <w:name w:val="Divider Page Title"/>
    <w:next w:val="BodyCopy"/>
    <w:link w:val="DividerPageTitleChar"/>
    <w:uiPriority w:val="24"/>
    <w:qFormat/>
    <w:rsid w:val="00601955"/>
    <w:pPr>
      <w:pageBreakBefore/>
      <w:framePr w:w="14799" w:h="2268" w:hSpace="15876" w:vSpace="851" w:wrap="around" w:vAnchor="page" w:hAnchor="margin" w:y="852" w:anchorLock="1"/>
      <w:numPr>
        <w:ilvl w:val="1"/>
        <w:numId w:val="29"/>
      </w:numPr>
      <w:pBdr>
        <w:top w:val="single" w:sz="8" w:space="31" w:color="FFF200" w:themeColor="background2"/>
      </w:pBdr>
      <w:shd w:val="clear" w:color="auto" w:fill="FFFFFF" w:themeFill="background1"/>
      <w:spacing w:before="200" w:after="360" w:line="624" w:lineRule="atLeast"/>
    </w:pPr>
    <w:rPr>
      <w:rFonts w:ascii="Franklin Gothic Book" w:hAnsi="Franklin Gothic Book" w:cs="Times New Roman"/>
      <w:caps/>
      <w:color w:val="787878" w:themeColor="text2"/>
      <w:sz w:val="72"/>
      <w:szCs w:val="20"/>
      <w:u w:val="single"/>
    </w:rPr>
  </w:style>
  <w:style w:type="character" w:customStyle="1" w:styleId="DividerPageTitleChar">
    <w:name w:val="Divider Page Title Char"/>
    <w:basedOn w:val="DefaultParagraphFont"/>
    <w:link w:val="DividerPageTitle"/>
    <w:uiPriority w:val="24"/>
    <w:rsid w:val="006706CE"/>
    <w:rPr>
      <w:rFonts w:ascii="Franklin Gothic Book" w:hAnsi="Franklin Gothic Book" w:cs="Times New Roman"/>
      <w:caps/>
      <w:color w:val="787878" w:themeColor="text2"/>
      <w:sz w:val="72"/>
      <w:szCs w:val="20"/>
      <w:u w:val="single"/>
      <w:shd w:val="clear" w:color="auto" w:fill="FFFFFF" w:themeFill="background1"/>
    </w:rPr>
  </w:style>
  <w:style w:type="paragraph" w:styleId="BodyText">
    <w:name w:val="Body Text"/>
    <w:link w:val="BodyTextChar"/>
    <w:uiPriority w:val="99"/>
    <w:semiHidden/>
    <w:rsid w:val="00C2133E"/>
    <w:pPr>
      <w:spacing w:after="120" w:line="240" w:lineRule="auto"/>
    </w:pPr>
    <w:rPr>
      <w:rFonts w:cs="Times New Roman"/>
      <w:sz w:val="20"/>
      <w:szCs w:val="20"/>
    </w:rPr>
  </w:style>
  <w:style w:type="character" w:customStyle="1" w:styleId="BodyTextChar">
    <w:name w:val="Body Text Char"/>
    <w:basedOn w:val="DefaultParagraphFont"/>
    <w:link w:val="BodyText"/>
    <w:uiPriority w:val="99"/>
    <w:semiHidden/>
    <w:rsid w:val="00C2133E"/>
    <w:rPr>
      <w:rFonts w:cs="Times New Roman"/>
      <w:sz w:val="20"/>
      <w:szCs w:val="20"/>
    </w:rPr>
  </w:style>
  <w:style w:type="paragraph" w:customStyle="1" w:styleId="RecommendationsTableHeading">
    <w:name w:val="Recommendations Table Heading"/>
    <w:basedOn w:val="KeyFindingsTableHeading"/>
    <w:uiPriority w:val="21"/>
    <w:rsid w:val="00C2133E"/>
    <w:pPr>
      <w:spacing w:line="216" w:lineRule="atLeast"/>
    </w:pPr>
  </w:style>
  <w:style w:type="paragraph" w:customStyle="1" w:styleId="RecommendationsTableLeftColumn">
    <w:name w:val="Recommendations Table Left Column"/>
    <w:basedOn w:val="KeyFindingsTableLeftColumn"/>
    <w:uiPriority w:val="21"/>
    <w:rsid w:val="00C2133E"/>
    <w:pPr>
      <w:spacing w:line="240" w:lineRule="atLeast"/>
    </w:pPr>
  </w:style>
  <w:style w:type="paragraph" w:customStyle="1" w:styleId="KeyFindingsTableHeading">
    <w:name w:val="Key Findings Table Heading"/>
    <w:basedOn w:val="BodyCopy"/>
    <w:uiPriority w:val="21"/>
    <w:rsid w:val="00C2133E"/>
    <w:pPr>
      <w:keepNext/>
      <w:spacing w:before="60" w:after="60" w:line="250" w:lineRule="atLeast"/>
      <w:ind w:left="142" w:right="142"/>
    </w:pPr>
    <w:rPr>
      <w:rFonts w:asciiTheme="majorHAnsi" w:hAnsiTheme="majorHAnsi"/>
      <w:caps/>
      <w:sz w:val="18"/>
    </w:rPr>
  </w:style>
  <w:style w:type="paragraph" w:customStyle="1" w:styleId="KeyFindingsTableLeftColumn">
    <w:name w:val="Key Findings Table Left Column"/>
    <w:basedOn w:val="KeyFindingsTableHeading"/>
    <w:uiPriority w:val="21"/>
    <w:rsid w:val="00C2133E"/>
    <w:pPr>
      <w:keepNext w:val="0"/>
      <w:spacing w:line="264" w:lineRule="atLeast"/>
    </w:pPr>
    <w:rPr>
      <w:caps w:val="0"/>
      <w:sz w:val="20"/>
    </w:rPr>
  </w:style>
  <w:style w:type="paragraph" w:customStyle="1" w:styleId="KeyFindingsTableCopy">
    <w:name w:val="Key Findings Table Copy"/>
    <w:basedOn w:val="Normal"/>
    <w:uiPriority w:val="21"/>
    <w:rsid w:val="00C2133E"/>
    <w:pPr>
      <w:spacing w:before="60" w:after="60" w:line="264" w:lineRule="atLeast"/>
      <w:ind w:left="142" w:right="57"/>
    </w:pPr>
    <w:rPr>
      <w:rFonts w:ascii="Garamond" w:hAnsi="Garamond" w:cs="Times New Roman"/>
      <w:color w:val="000000" w:themeColor="text1"/>
      <w:szCs w:val="20"/>
    </w:rPr>
  </w:style>
  <w:style w:type="paragraph" w:customStyle="1" w:styleId="StageHeading">
    <w:name w:val="Stage Heading"/>
    <w:basedOn w:val="Heading2"/>
    <w:next w:val="Normal"/>
    <w:uiPriority w:val="11"/>
    <w:qFormat/>
    <w:rsid w:val="00F6447F"/>
    <w:pPr>
      <w:numPr>
        <w:numId w:val="14"/>
      </w:numPr>
    </w:pPr>
    <w:rPr>
      <w:b w:val="0"/>
    </w:rPr>
  </w:style>
  <w:style w:type="paragraph" w:customStyle="1" w:styleId="RecommendationsTableCopy">
    <w:name w:val="Recommendations Table Copy"/>
    <w:basedOn w:val="KeyFindingsTableCopy"/>
    <w:uiPriority w:val="21"/>
    <w:rsid w:val="00C2133E"/>
  </w:style>
  <w:style w:type="paragraph" w:customStyle="1" w:styleId="AppendixHeading">
    <w:name w:val="Appendix Heading"/>
    <w:basedOn w:val="StageHeading"/>
    <w:next w:val="Normal"/>
    <w:uiPriority w:val="11"/>
    <w:qFormat/>
    <w:rsid w:val="00F6447F"/>
    <w:pPr>
      <w:numPr>
        <w:ilvl w:val="0"/>
      </w:numPr>
    </w:pPr>
  </w:style>
  <w:style w:type="paragraph" w:customStyle="1" w:styleId="StrategicDirectionsTableLeftColumn">
    <w:name w:val="Strategic Directions Table Left Column"/>
    <w:basedOn w:val="RecommendationsTableLeftColumn"/>
    <w:uiPriority w:val="21"/>
    <w:rsid w:val="00C2133E"/>
  </w:style>
  <w:style w:type="paragraph" w:customStyle="1" w:styleId="StrategicDirectionsTableCopy">
    <w:name w:val="Strategic Directions Table Copy"/>
    <w:basedOn w:val="RecommendationsTableCopy"/>
    <w:uiPriority w:val="21"/>
    <w:rsid w:val="00C2133E"/>
  </w:style>
  <w:style w:type="paragraph" w:customStyle="1" w:styleId="StrategicDirectionsTableHeading">
    <w:name w:val="Strategic Directions Table Heading"/>
    <w:basedOn w:val="RecommendationsTableHeading"/>
    <w:uiPriority w:val="21"/>
    <w:rsid w:val="00C2133E"/>
  </w:style>
  <w:style w:type="table" w:customStyle="1" w:styleId="HMATableC-StrategicDirections">
    <w:name w:val="HMA Table C-Strategic Directions"/>
    <w:basedOn w:val="TableNormal"/>
    <w:uiPriority w:val="99"/>
    <w:rsid w:val="009A26B3"/>
    <w:pPr>
      <w:spacing w:after="0" w:line="240" w:lineRule="auto"/>
    </w:pPr>
    <w:rPr>
      <w:rFonts w:asciiTheme="majorHAnsi" w:hAnsiTheme="majorHAnsi"/>
      <w:sz w:val="20"/>
    </w:rPr>
    <w:tblPr>
      <w:tblBorders>
        <w:top w:val="single" w:sz="4" w:space="0" w:color="auto"/>
        <w:bottom w:val="single" w:sz="4" w:space="0" w:color="auto"/>
        <w:insideH w:val="single" w:sz="4" w:space="0" w:color="auto"/>
        <w:insideV w:val="single" w:sz="4" w:space="0" w:color="FFFFFF" w:themeColor="background1"/>
      </w:tblBorders>
      <w:tblCellMar>
        <w:top w:w="85" w:type="dxa"/>
        <w:left w:w="85" w:type="dxa"/>
      </w:tblCellMar>
    </w:tblPr>
    <w:tcPr>
      <w:shd w:val="clear" w:color="auto" w:fill="FFFFFF" w:themeFill="background1"/>
    </w:tcPr>
    <w:tblStylePr w:type="firstRow">
      <w:rPr>
        <w:rFonts w:asciiTheme="majorHAnsi" w:hAnsiTheme="majorHAnsi"/>
        <w:caps/>
        <w:smallCaps w:val="0"/>
      </w:rPr>
      <w:tblPr/>
      <w:tcPr>
        <w:shd w:val="clear" w:color="auto" w:fill="FFF200" w:themeFill="background2"/>
      </w:tcPr>
    </w:tblStylePr>
    <w:tblStylePr w:type="firstCol">
      <w:tblPr/>
      <w:tcPr>
        <w:shd w:val="clear" w:color="auto" w:fill="DCDCDC" w:themeFill="accent6"/>
      </w:tcPr>
    </w:tblStylePr>
  </w:style>
  <w:style w:type="paragraph" w:customStyle="1" w:styleId="HeaderSectionTitle">
    <w:name w:val="Header Section Title"/>
    <w:basedOn w:val="HeaderA"/>
    <w:link w:val="HeaderSectionTitleChar"/>
    <w:semiHidden/>
    <w:rsid w:val="008F6962"/>
    <w:pPr>
      <w:numPr>
        <w:numId w:val="7"/>
      </w:numPr>
      <w:pBdr>
        <w:bottom w:val="single" w:sz="8" w:space="1" w:color="FFF200" w:themeColor="background2"/>
      </w:pBdr>
      <w:spacing w:before="360" w:after="360" w:line="240" w:lineRule="auto"/>
    </w:pPr>
    <w:rPr>
      <w:rFonts w:asciiTheme="majorHAnsi" w:hAnsiTheme="majorHAnsi"/>
      <w:sz w:val="28"/>
    </w:rPr>
  </w:style>
  <w:style w:type="paragraph" w:customStyle="1" w:styleId="ES-Heading1">
    <w:name w:val="ES-Heading 1"/>
    <w:basedOn w:val="Normal"/>
    <w:next w:val="Normal"/>
    <w:link w:val="ES-Heading1Char"/>
    <w:uiPriority w:val="7"/>
    <w:qFormat/>
    <w:rsid w:val="00235282"/>
    <w:pPr>
      <w:keepNext/>
      <w:keepLines/>
      <w:pageBreakBefore/>
      <w:framePr w:w="14799" w:h="1304" w:vSpace="680" w:wrap="around" w:vAnchor="page" w:hAnchor="margin" w:y="982"/>
      <w:pBdr>
        <w:top w:val="single" w:sz="8" w:space="31" w:color="FFFFFF" w:themeColor="background1"/>
        <w:bottom w:val="single" w:sz="8" w:space="0" w:color="FFF200" w:themeColor="accent1"/>
      </w:pBdr>
      <w:shd w:val="clear" w:color="auto" w:fill="FFFFFF" w:themeFill="background1"/>
      <w:spacing w:after="0"/>
      <w:outlineLvl w:val="0"/>
    </w:pPr>
    <w:rPr>
      <w:rFonts w:asciiTheme="majorHAnsi" w:eastAsiaTheme="majorEastAsia" w:hAnsiTheme="majorHAnsi" w:cstheme="majorBidi"/>
      <w:b/>
      <w:bCs/>
      <w:caps/>
      <w:color w:val="000000" w:themeColor="text1"/>
      <w:sz w:val="52"/>
      <w:szCs w:val="28"/>
    </w:rPr>
  </w:style>
  <w:style w:type="character" w:customStyle="1" w:styleId="HeaderAChar">
    <w:name w:val="Header A Char"/>
    <w:basedOn w:val="DefaultParagraphFont"/>
    <w:link w:val="HeaderA"/>
    <w:rsid w:val="005228D9"/>
    <w:rPr>
      <w:rFonts w:ascii="Franklin Gothic Demi" w:eastAsia="Garamond" w:hAnsi="Franklin Gothic Demi" w:cs="Times New Roman"/>
      <w:caps/>
      <w:color w:val="000000"/>
      <w:spacing w:val="-2"/>
      <w:sz w:val="12"/>
      <w:szCs w:val="20"/>
    </w:rPr>
  </w:style>
  <w:style w:type="character" w:customStyle="1" w:styleId="HeaderSectionTitleChar">
    <w:name w:val="Header Section Title Char"/>
    <w:basedOn w:val="HeaderAChar"/>
    <w:link w:val="HeaderSectionTitle"/>
    <w:semiHidden/>
    <w:rsid w:val="008F6962"/>
    <w:rPr>
      <w:rFonts w:asciiTheme="majorHAnsi" w:eastAsia="Garamond" w:hAnsiTheme="majorHAnsi" w:cs="Times New Roman"/>
      <w:caps/>
      <w:color w:val="000000"/>
      <w:spacing w:val="-2"/>
      <w:sz w:val="28"/>
      <w:szCs w:val="20"/>
    </w:rPr>
  </w:style>
  <w:style w:type="paragraph" w:customStyle="1" w:styleId="HeaderSectionTitle-nonumber">
    <w:name w:val="Header Section Title-no number"/>
    <w:basedOn w:val="HeaderSectionTitle"/>
    <w:semiHidden/>
    <w:rsid w:val="00B91619"/>
    <w:pPr>
      <w:numPr>
        <w:numId w:val="0"/>
      </w:numPr>
    </w:pPr>
    <w:rPr>
      <w:noProof/>
    </w:rPr>
  </w:style>
  <w:style w:type="paragraph" w:styleId="List">
    <w:name w:val="List"/>
    <w:basedOn w:val="Normal"/>
    <w:uiPriority w:val="99"/>
    <w:unhideWhenUsed/>
    <w:rsid w:val="00A71669"/>
    <w:pPr>
      <w:numPr>
        <w:numId w:val="18"/>
      </w:numPr>
      <w:contextualSpacing/>
    </w:pPr>
  </w:style>
  <w:style w:type="character" w:customStyle="1" w:styleId="ES-Heading1Char">
    <w:name w:val="ES-Heading 1 Char"/>
    <w:basedOn w:val="DefaultParagraphFont"/>
    <w:link w:val="ES-Heading1"/>
    <w:uiPriority w:val="7"/>
    <w:rsid w:val="00B00D5E"/>
    <w:rPr>
      <w:rFonts w:asciiTheme="majorHAnsi" w:eastAsiaTheme="majorEastAsia" w:hAnsiTheme="majorHAnsi" w:cstheme="majorBidi"/>
      <w:b/>
      <w:bCs/>
      <w:caps/>
      <w:color w:val="000000" w:themeColor="text1"/>
      <w:spacing w:val="-2"/>
      <w:sz w:val="52"/>
      <w:szCs w:val="28"/>
      <w:shd w:val="clear" w:color="auto" w:fill="FFFFFF" w:themeFill="background1"/>
    </w:rPr>
  </w:style>
  <w:style w:type="paragraph" w:styleId="List2">
    <w:name w:val="List 2"/>
    <w:basedOn w:val="Normal"/>
    <w:uiPriority w:val="99"/>
    <w:unhideWhenUsed/>
    <w:rsid w:val="00A71669"/>
    <w:pPr>
      <w:numPr>
        <w:ilvl w:val="1"/>
        <w:numId w:val="18"/>
      </w:numPr>
      <w:contextualSpacing/>
    </w:pPr>
  </w:style>
  <w:style w:type="paragraph" w:styleId="List3">
    <w:name w:val="List 3"/>
    <w:basedOn w:val="Normal"/>
    <w:uiPriority w:val="99"/>
    <w:unhideWhenUsed/>
    <w:rsid w:val="009A26B3"/>
    <w:pPr>
      <w:numPr>
        <w:ilvl w:val="2"/>
        <w:numId w:val="18"/>
      </w:numPr>
      <w:contextualSpacing/>
    </w:pPr>
  </w:style>
  <w:style w:type="numbering" w:customStyle="1" w:styleId="LetteredList">
    <w:name w:val="Lettered List"/>
    <w:uiPriority w:val="99"/>
    <w:rsid w:val="00A71669"/>
    <w:pPr>
      <w:numPr>
        <w:numId w:val="8"/>
      </w:numPr>
    </w:pPr>
  </w:style>
  <w:style w:type="numbering" w:customStyle="1" w:styleId="NamedHeadings">
    <w:name w:val="Named Headings"/>
    <w:uiPriority w:val="99"/>
    <w:rsid w:val="00F6447F"/>
    <w:pPr>
      <w:numPr>
        <w:numId w:val="10"/>
      </w:numPr>
    </w:pPr>
  </w:style>
  <w:style w:type="paragraph" w:styleId="Quote">
    <w:name w:val="Quote"/>
    <w:basedOn w:val="Normal"/>
    <w:next w:val="Normal"/>
    <w:link w:val="QuoteChar"/>
    <w:uiPriority w:val="24"/>
    <w:qFormat/>
    <w:rsid w:val="009A26B3"/>
    <w:pPr>
      <w:spacing w:before="85" w:after="85" w:line="264" w:lineRule="atLeast"/>
      <w:ind w:left="284" w:right="284"/>
    </w:pPr>
    <w:rPr>
      <w:rFonts w:ascii="Times New Roman" w:hAnsi="Times New Roman"/>
      <w:i/>
      <w:iCs/>
      <w:color w:val="000000" w:themeColor="text1"/>
      <w:sz w:val="20"/>
    </w:rPr>
  </w:style>
  <w:style w:type="character" w:customStyle="1" w:styleId="QuoteChar">
    <w:name w:val="Quote Char"/>
    <w:basedOn w:val="DefaultParagraphFont"/>
    <w:link w:val="Quote"/>
    <w:uiPriority w:val="24"/>
    <w:rsid w:val="009A26B3"/>
    <w:rPr>
      <w:rFonts w:ascii="Times New Roman" w:hAnsi="Times New Roman"/>
      <w:i/>
      <w:iCs/>
      <w:color w:val="000000" w:themeColor="text1"/>
      <w:spacing w:val="-2"/>
      <w:sz w:val="20"/>
    </w:rPr>
  </w:style>
  <w:style w:type="paragraph" w:customStyle="1" w:styleId="Recommendations">
    <w:name w:val="Recommendations"/>
    <w:basedOn w:val="KeyFinding"/>
    <w:uiPriority w:val="15"/>
    <w:qFormat/>
    <w:rsid w:val="006706CE"/>
    <w:pPr>
      <w:numPr>
        <w:ilvl w:val="2"/>
      </w:numPr>
      <w:shd w:val="clear" w:color="auto" w:fill="FFF200" w:themeFill="background2"/>
    </w:pPr>
  </w:style>
  <w:style w:type="paragraph" w:customStyle="1" w:styleId="StrategicDirections">
    <w:name w:val="Strategic Directions"/>
    <w:basedOn w:val="Recommendations"/>
    <w:uiPriority w:val="15"/>
    <w:qFormat/>
    <w:rsid w:val="006706CE"/>
    <w:pPr>
      <w:numPr>
        <w:ilvl w:val="3"/>
      </w:numPr>
    </w:pPr>
  </w:style>
  <w:style w:type="paragraph" w:customStyle="1" w:styleId="BoxedPageNumber">
    <w:name w:val="Boxed Page Number"/>
    <w:basedOn w:val="NoSpacing"/>
    <w:link w:val="BoxedPageNumberChar"/>
    <w:rsid w:val="00B91FA3"/>
    <w:pPr>
      <w:jc w:val="center"/>
    </w:pPr>
    <w:rPr>
      <w:noProof/>
    </w:rPr>
  </w:style>
  <w:style w:type="character" w:customStyle="1" w:styleId="NoSpacingChar">
    <w:name w:val="No Spacing Char"/>
    <w:basedOn w:val="DefaultParagraphFont"/>
    <w:link w:val="NoSpacing"/>
    <w:uiPriority w:val="1"/>
    <w:rsid w:val="00B91FA3"/>
  </w:style>
  <w:style w:type="character" w:customStyle="1" w:styleId="BoxedPageNumberChar">
    <w:name w:val="Boxed Page Number Char"/>
    <w:basedOn w:val="NoSpacingChar"/>
    <w:link w:val="BoxedPageNumber"/>
    <w:rsid w:val="00B91FA3"/>
    <w:rPr>
      <w:noProof/>
    </w:rPr>
  </w:style>
  <w:style w:type="paragraph" w:customStyle="1" w:styleId="SectionTitle">
    <w:name w:val="Section Title"/>
    <w:basedOn w:val="BodyCopy"/>
    <w:next w:val="BodyCopy"/>
    <w:uiPriority w:val="16"/>
    <w:qFormat/>
    <w:rsid w:val="00380A9E"/>
    <w:pPr>
      <w:numPr>
        <w:numId w:val="12"/>
      </w:numPr>
      <w:shd w:val="clear" w:color="auto" w:fill="FFF200" w:themeFill="background2"/>
      <w:spacing w:before="520" w:after="85" w:line="384" w:lineRule="atLeast"/>
    </w:pPr>
    <w:rPr>
      <w:rFonts w:asciiTheme="majorHAnsi" w:hAnsiTheme="majorHAnsi"/>
      <w:caps/>
      <w:sz w:val="32"/>
    </w:rPr>
  </w:style>
  <w:style w:type="numbering" w:customStyle="1" w:styleId="Sections">
    <w:name w:val="Sections"/>
    <w:basedOn w:val="NoList"/>
    <w:uiPriority w:val="99"/>
    <w:rsid w:val="00380A9E"/>
    <w:pPr>
      <w:numPr>
        <w:numId w:val="31"/>
      </w:numPr>
    </w:pPr>
  </w:style>
  <w:style w:type="paragraph" w:customStyle="1" w:styleId="Caption-notbold">
    <w:name w:val="Caption - not bold"/>
    <w:basedOn w:val="Caption"/>
    <w:link w:val="Caption-notboldChar"/>
    <w:uiPriority w:val="29"/>
    <w:qFormat/>
    <w:rsid w:val="009A26B3"/>
    <w:rPr>
      <w:rFonts w:asciiTheme="majorHAnsi" w:hAnsiTheme="majorHAnsi"/>
    </w:rPr>
  </w:style>
  <w:style w:type="table" w:customStyle="1" w:styleId="HMATableA">
    <w:name w:val="HMA Table A"/>
    <w:basedOn w:val="HMATableD-Recommendations"/>
    <w:uiPriority w:val="99"/>
    <w:rsid w:val="009A26B3"/>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character" w:customStyle="1" w:styleId="CaptionChar">
    <w:name w:val="Caption Char"/>
    <w:basedOn w:val="DefaultParagraphFont"/>
    <w:link w:val="Caption"/>
    <w:uiPriority w:val="29"/>
    <w:rsid w:val="009A26B3"/>
    <w:rPr>
      <w:rFonts w:ascii="Franklin Gothic Demi" w:hAnsi="Franklin Gothic Demi"/>
      <w:iCs/>
      <w:spacing w:val="-2"/>
      <w:sz w:val="17"/>
      <w:szCs w:val="18"/>
    </w:rPr>
  </w:style>
  <w:style w:type="character" w:customStyle="1" w:styleId="Caption-notboldChar">
    <w:name w:val="Caption - not bold Char"/>
    <w:basedOn w:val="CaptionChar"/>
    <w:link w:val="Caption-notbold"/>
    <w:uiPriority w:val="29"/>
    <w:rsid w:val="009A26B3"/>
    <w:rPr>
      <w:rFonts w:asciiTheme="majorHAnsi" w:hAnsiTheme="majorHAnsi"/>
      <w:iCs/>
      <w:spacing w:val="-2"/>
      <w:sz w:val="17"/>
      <w:szCs w:val="18"/>
    </w:rPr>
  </w:style>
  <w:style w:type="paragraph" w:customStyle="1" w:styleId="PullQuote">
    <w:name w:val="Pull Quote"/>
    <w:next w:val="BodyCopy"/>
    <w:link w:val="PullQuoteChar"/>
    <w:uiPriority w:val="24"/>
    <w:qFormat/>
    <w:rsid w:val="006258F2"/>
    <w:pPr>
      <w:spacing w:after="440" w:line="672" w:lineRule="exact"/>
    </w:pPr>
    <w:rPr>
      <w:rFonts w:asciiTheme="majorHAnsi" w:hAnsiTheme="majorHAnsi" w:cs="Times New Roman"/>
      <w:color w:val="787878" w:themeColor="text2"/>
      <w:spacing w:val="-6"/>
      <w:sz w:val="56"/>
      <w:szCs w:val="20"/>
    </w:rPr>
  </w:style>
  <w:style w:type="character" w:customStyle="1" w:styleId="PullQuoteChar">
    <w:name w:val="Pull Quote Char"/>
    <w:basedOn w:val="DefaultParagraphFont"/>
    <w:link w:val="PullQuote"/>
    <w:uiPriority w:val="24"/>
    <w:rsid w:val="006258F2"/>
    <w:rPr>
      <w:rFonts w:asciiTheme="majorHAnsi" w:hAnsiTheme="majorHAnsi" w:cs="Times New Roman"/>
      <w:color w:val="787878" w:themeColor="text2"/>
      <w:spacing w:val="-6"/>
      <w:sz w:val="56"/>
      <w:szCs w:val="20"/>
    </w:rPr>
  </w:style>
  <w:style w:type="paragraph" w:customStyle="1" w:styleId="PullQuoteReference">
    <w:name w:val="Pull Quote Reference"/>
    <w:next w:val="BodyCopy"/>
    <w:link w:val="PullQuoteReferenceChar"/>
    <w:uiPriority w:val="24"/>
    <w:qFormat/>
    <w:rsid w:val="007A62B8"/>
    <w:pPr>
      <w:spacing w:after="0" w:line="288" w:lineRule="atLeast"/>
    </w:pPr>
    <w:rPr>
      <w:rFonts w:cs="Times New Roman"/>
      <w:i/>
      <w:color w:val="787878" w:themeColor="text2"/>
      <w:spacing w:val="-2"/>
      <w:sz w:val="24"/>
      <w:szCs w:val="20"/>
    </w:rPr>
  </w:style>
  <w:style w:type="character" w:customStyle="1" w:styleId="PullQuoteReferenceChar">
    <w:name w:val="Pull Quote Reference Char"/>
    <w:basedOn w:val="DefaultParagraphFont"/>
    <w:link w:val="PullQuoteReference"/>
    <w:uiPriority w:val="24"/>
    <w:rsid w:val="007A62B8"/>
    <w:rPr>
      <w:rFonts w:cs="Times New Roman"/>
      <w:i/>
      <w:color w:val="787878" w:themeColor="text2"/>
      <w:spacing w:val="-2"/>
      <w:sz w:val="24"/>
      <w:szCs w:val="20"/>
    </w:rPr>
  </w:style>
  <w:style w:type="paragraph" w:customStyle="1" w:styleId="ProjectImplication">
    <w:name w:val="Project Implication"/>
    <w:basedOn w:val="BodyCopy"/>
    <w:next w:val="Normal"/>
    <w:link w:val="ProjectImplicationChar"/>
    <w:uiPriority w:val="22"/>
    <w:qFormat/>
    <w:rsid w:val="007F78B0"/>
    <w:pPr>
      <w:pBdr>
        <w:top w:val="single" w:sz="4" w:space="4" w:color="787878" w:themeColor="accent3"/>
        <w:left w:val="single" w:sz="4" w:space="4" w:color="FFFCCC" w:themeColor="background2" w:themeTint="33"/>
        <w:bottom w:val="single" w:sz="4" w:space="4" w:color="787878" w:themeColor="accent3"/>
        <w:right w:val="single" w:sz="4" w:space="4" w:color="FFFCCC" w:themeColor="background2" w:themeTint="33"/>
      </w:pBdr>
      <w:shd w:val="clear" w:color="auto" w:fill="FFFCCC" w:themeFill="background2" w:themeFillTint="33"/>
      <w:ind w:left="113" w:right="113"/>
    </w:pPr>
  </w:style>
  <w:style w:type="paragraph" w:customStyle="1" w:styleId="TableCopy">
    <w:name w:val="Table Copy"/>
    <w:link w:val="TableCopyChar"/>
    <w:uiPriority w:val="21"/>
    <w:qFormat/>
    <w:rsid w:val="00BD7746"/>
    <w:pPr>
      <w:spacing w:after="0" w:line="0" w:lineRule="atLeast"/>
      <w:ind w:left="57" w:right="57"/>
      <w:contextualSpacing/>
    </w:pPr>
    <w:rPr>
      <w:rFonts w:ascii="Garamond" w:hAnsi="Garamond" w:cs="Times New Roman"/>
      <w:color w:val="000000" w:themeColor="text1"/>
      <w:spacing w:val="-2"/>
      <w:sz w:val="20"/>
      <w:szCs w:val="20"/>
    </w:rPr>
  </w:style>
  <w:style w:type="character" w:customStyle="1" w:styleId="ProjectImplicationChar">
    <w:name w:val="Project Implication Char"/>
    <w:basedOn w:val="BodyCopyChar"/>
    <w:link w:val="ProjectImplication"/>
    <w:uiPriority w:val="22"/>
    <w:rsid w:val="00C07BFB"/>
    <w:rPr>
      <w:rFonts w:cs="Times New Roman"/>
      <w:color w:val="000000" w:themeColor="text1"/>
      <w:spacing w:val="-2"/>
      <w:szCs w:val="20"/>
      <w:shd w:val="clear" w:color="auto" w:fill="FFFCCC" w:themeFill="background2" w:themeFillTint="33"/>
    </w:rPr>
  </w:style>
  <w:style w:type="numbering" w:customStyle="1" w:styleId="TableBullets">
    <w:name w:val="Table Bullets"/>
    <w:basedOn w:val="NoList"/>
    <w:uiPriority w:val="99"/>
    <w:rsid w:val="00B30681"/>
    <w:pPr>
      <w:numPr>
        <w:numId w:val="13"/>
      </w:numPr>
    </w:pPr>
  </w:style>
  <w:style w:type="paragraph" w:customStyle="1" w:styleId="TableBullets1">
    <w:name w:val="Table Bullets 1"/>
    <w:basedOn w:val="TableCopy"/>
    <w:uiPriority w:val="21"/>
    <w:qFormat/>
    <w:rsid w:val="00BD7746"/>
    <w:pPr>
      <w:numPr>
        <w:numId w:val="13"/>
      </w:numPr>
    </w:pPr>
  </w:style>
  <w:style w:type="paragraph" w:customStyle="1" w:styleId="TableBullets2">
    <w:name w:val="Table Bullets 2"/>
    <w:basedOn w:val="TableCopy"/>
    <w:uiPriority w:val="21"/>
    <w:qFormat/>
    <w:rsid w:val="00B30681"/>
    <w:pPr>
      <w:numPr>
        <w:ilvl w:val="1"/>
        <w:numId w:val="13"/>
      </w:numPr>
    </w:pPr>
  </w:style>
  <w:style w:type="paragraph" w:customStyle="1" w:styleId="TableBulletssmall1">
    <w:name w:val="Table Bullets (small) 1"/>
    <w:basedOn w:val="Normal"/>
    <w:uiPriority w:val="21"/>
    <w:qFormat/>
    <w:rsid w:val="00B30681"/>
    <w:pPr>
      <w:numPr>
        <w:ilvl w:val="4"/>
        <w:numId w:val="13"/>
      </w:numPr>
      <w:spacing w:after="0" w:line="166" w:lineRule="atLeast"/>
      <w:ind w:right="57"/>
    </w:pPr>
    <w:rPr>
      <w:rFonts w:ascii="Garamond" w:hAnsi="Garamond" w:cs="Times New Roman"/>
      <w:color w:val="000000" w:themeColor="text1"/>
      <w:sz w:val="14"/>
      <w:szCs w:val="20"/>
    </w:rPr>
  </w:style>
  <w:style w:type="paragraph" w:customStyle="1" w:styleId="TableBulletssmall2">
    <w:name w:val="Table Bullets (small) 2"/>
    <w:basedOn w:val="Normal"/>
    <w:uiPriority w:val="21"/>
    <w:qFormat/>
    <w:rsid w:val="00B30681"/>
    <w:pPr>
      <w:numPr>
        <w:ilvl w:val="5"/>
        <w:numId w:val="13"/>
      </w:numPr>
      <w:spacing w:after="0" w:line="166" w:lineRule="atLeast"/>
      <w:ind w:right="57"/>
    </w:pPr>
    <w:rPr>
      <w:rFonts w:ascii="Garamond" w:hAnsi="Garamond" w:cs="Times New Roman"/>
      <w:color w:val="000000" w:themeColor="text1"/>
      <w:sz w:val="14"/>
      <w:szCs w:val="20"/>
    </w:rPr>
  </w:style>
  <w:style w:type="paragraph" w:customStyle="1" w:styleId="TableHeading">
    <w:name w:val="Table Heading"/>
    <w:basedOn w:val="TableCopy"/>
    <w:link w:val="TableHeadingChar"/>
    <w:uiPriority w:val="21"/>
    <w:qFormat/>
    <w:rsid w:val="00B30681"/>
    <w:pPr>
      <w:spacing w:line="270" w:lineRule="atLeast"/>
    </w:pPr>
    <w:rPr>
      <w:rFonts w:asciiTheme="majorHAnsi" w:hAnsiTheme="majorHAnsi"/>
      <w:sz w:val="22"/>
    </w:rPr>
  </w:style>
  <w:style w:type="paragraph" w:customStyle="1" w:styleId="TableNotes">
    <w:name w:val="Table Notes"/>
    <w:basedOn w:val="Normal"/>
    <w:uiPriority w:val="21"/>
    <w:qFormat/>
    <w:rsid w:val="00BD7746"/>
    <w:rPr>
      <w:sz w:val="16"/>
    </w:rPr>
  </w:style>
  <w:style w:type="character" w:customStyle="1" w:styleId="TableCopyChar">
    <w:name w:val="Table Copy Char"/>
    <w:basedOn w:val="DefaultParagraphFont"/>
    <w:link w:val="TableCopy"/>
    <w:uiPriority w:val="21"/>
    <w:rsid w:val="00BD7746"/>
    <w:rPr>
      <w:rFonts w:ascii="Garamond" w:hAnsi="Garamond" w:cs="Times New Roman"/>
      <w:color w:val="000000" w:themeColor="text1"/>
      <w:spacing w:val="-2"/>
      <w:sz w:val="20"/>
      <w:szCs w:val="20"/>
    </w:rPr>
  </w:style>
  <w:style w:type="character" w:customStyle="1" w:styleId="TableHeadingChar">
    <w:name w:val="Table Heading Char"/>
    <w:basedOn w:val="TableCopyChar"/>
    <w:link w:val="TableHeading"/>
    <w:uiPriority w:val="21"/>
    <w:rsid w:val="00C07BFB"/>
    <w:rPr>
      <w:rFonts w:asciiTheme="majorHAnsi" w:hAnsiTheme="majorHAnsi" w:cs="Times New Roman"/>
      <w:color w:val="000000" w:themeColor="text1"/>
      <w:spacing w:val="-2"/>
      <w:sz w:val="20"/>
      <w:szCs w:val="20"/>
    </w:rPr>
  </w:style>
  <w:style w:type="paragraph" w:customStyle="1" w:styleId="ProjectImplicationBullet">
    <w:name w:val="Project Implication Bullet"/>
    <w:basedOn w:val="ProjectImplication"/>
    <w:uiPriority w:val="22"/>
    <w:qFormat/>
    <w:rsid w:val="007F78B0"/>
    <w:pPr>
      <w:numPr>
        <w:numId w:val="15"/>
      </w:numPr>
      <w:ind w:left="340" w:hanging="227"/>
    </w:pPr>
  </w:style>
  <w:style w:type="paragraph" w:styleId="TOC6">
    <w:name w:val="toc 6"/>
    <w:basedOn w:val="TOC3"/>
    <w:next w:val="BodyCopy"/>
    <w:uiPriority w:val="39"/>
    <w:rsid w:val="00BD7746"/>
    <w:pPr>
      <w:tabs>
        <w:tab w:val="clear" w:pos="964"/>
        <w:tab w:val="left" w:pos="1474"/>
      </w:tabs>
      <w:spacing w:after="100"/>
      <w:contextualSpacing w:val="0"/>
    </w:pPr>
    <w:rPr>
      <w:caps w:val="0"/>
      <w:noProof/>
    </w:rPr>
  </w:style>
  <w:style w:type="paragraph" w:styleId="TOC5">
    <w:name w:val="toc 5"/>
    <w:basedOn w:val="TOC1"/>
    <w:next w:val="BodyCopy"/>
    <w:uiPriority w:val="39"/>
    <w:rsid w:val="00BD7746"/>
    <w:pPr>
      <w:tabs>
        <w:tab w:val="left" w:pos="794"/>
      </w:tabs>
      <w:spacing w:before="240" w:after="240"/>
      <w:ind w:left="1361" w:hanging="1361"/>
      <w:contextualSpacing w:val="0"/>
    </w:pPr>
    <w:rPr>
      <w:sz w:val="36"/>
    </w:rPr>
  </w:style>
  <w:style w:type="paragraph" w:customStyle="1" w:styleId="Finding">
    <w:name w:val="Finding"/>
    <w:basedOn w:val="KeyFinding"/>
    <w:next w:val="Normal"/>
    <w:qFormat/>
    <w:rsid w:val="001665A3"/>
    <w:pPr>
      <w:numPr>
        <w:numId w:val="16"/>
      </w:numPr>
      <w:ind w:left="1134" w:hanging="1134"/>
    </w:pPr>
  </w:style>
  <w:style w:type="paragraph" w:customStyle="1" w:styleId="TableNumberssmall1">
    <w:name w:val="Table Numbers (small) 1"/>
    <w:basedOn w:val="Normal"/>
    <w:uiPriority w:val="18"/>
    <w:qFormat/>
    <w:rsid w:val="006A78A0"/>
    <w:pPr>
      <w:numPr>
        <w:ilvl w:val="4"/>
        <w:numId w:val="17"/>
      </w:numPr>
      <w:spacing w:before="60" w:after="60" w:line="166" w:lineRule="atLeast"/>
      <w:ind w:right="57"/>
    </w:pPr>
    <w:rPr>
      <w:rFonts w:ascii="Garamond" w:hAnsi="Garamond" w:cs="Times New Roman"/>
      <w:color w:val="000000" w:themeColor="text1"/>
      <w:sz w:val="14"/>
      <w:szCs w:val="20"/>
    </w:rPr>
  </w:style>
  <w:style w:type="paragraph" w:customStyle="1" w:styleId="TableNumberssmall2">
    <w:name w:val="Table Numbers (small) 2"/>
    <w:basedOn w:val="Normal"/>
    <w:uiPriority w:val="18"/>
    <w:qFormat/>
    <w:rsid w:val="006A78A0"/>
    <w:pPr>
      <w:numPr>
        <w:ilvl w:val="5"/>
        <w:numId w:val="17"/>
      </w:numPr>
      <w:spacing w:before="60" w:after="60" w:line="166" w:lineRule="atLeast"/>
      <w:ind w:right="57"/>
    </w:pPr>
    <w:rPr>
      <w:rFonts w:ascii="Garamond" w:hAnsi="Garamond" w:cs="Times New Roman"/>
      <w:color w:val="000000" w:themeColor="text1"/>
      <w:sz w:val="14"/>
      <w:szCs w:val="20"/>
    </w:rPr>
  </w:style>
  <w:style w:type="paragraph" w:customStyle="1" w:styleId="TableNumbers1">
    <w:name w:val="Table Numbers 1"/>
    <w:basedOn w:val="TableCopy"/>
    <w:uiPriority w:val="15"/>
    <w:qFormat/>
    <w:rsid w:val="006A78A0"/>
    <w:pPr>
      <w:numPr>
        <w:numId w:val="17"/>
      </w:numPr>
      <w:spacing w:before="60" w:after="60" w:line="240" w:lineRule="atLeast"/>
      <w:contextualSpacing w:val="0"/>
    </w:pPr>
  </w:style>
  <w:style w:type="paragraph" w:customStyle="1" w:styleId="TableNumbers2">
    <w:name w:val="Table Numbers 2"/>
    <w:basedOn w:val="TableCopy"/>
    <w:uiPriority w:val="15"/>
    <w:qFormat/>
    <w:rsid w:val="006A78A0"/>
    <w:pPr>
      <w:numPr>
        <w:ilvl w:val="1"/>
        <w:numId w:val="17"/>
      </w:numPr>
      <w:spacing w:before="60" w:after="60" w:line="240" w:lineRule="atLeast"/>
      <w:contextualSpacing w:val="0"/>
    </w:pPr>
  </w:style>
  <w:style w:type="numbering" w:customStyle="1" w:styleId="NoList1">
    <w:name w:val="No List1"/>
    <w:next w:val="NoList"/>
    <w:uiPriority w:val="99"/>
    <w:semiHidden/>
    <w:unhideWhenUsed/>
    <w:rsid w:val="0057770C"/>
  </w:style>
  <w:style w:type="table" w:customStyle="1" w:styleId="TableGrid1">
    <w:name w:val="Table Grid1"/>
    <w:basedOn w:val="TableNormal"/>
    <w:next w:val="TableGrid"/>
    <w:uiPriority w:val="59"/>
    <w:rsid w:val="0057770C"/>
    <w:pPr>
      <w:spacing w:after="0" w:line="240" w:lineRule="auto"/>
    </w:pPr>
    <w:rPr>
      <w:rFonts w:ascii="Arial" w:hAnsi="Arial" w:cs="Times New Roman"/>
      <w:sz w:val="20"/>
      <w:szCs w:val="20"/>
    </w:rPr>
    <w:tblPr>
      <w:tblCellMar>
        <w:left w:w="0" w:type="dxa"/>
        <w:right w:w="0" w:type="dxa"/>
      </w:tblCellMar>
    </w:tblPr>
  </w:style>
  <w:style w:type="table" w:customStyle="1" w:styleId="HMATable-Abbreviations1">
    <w:name w:val="HMA Table - Abbreviations1"/>
    <w:basedOn w:val="HMATableB"/>
    <w:uiPriority w:val="99"/>
    <w:rsid w:val="0057770C"/>
    <w:rPr>
      <w:szCs w:val="20"/>
      <w:lang w:eastAsia="en-AU"/>
    </w:rPr>
    <w:tblPr>
      <w:tblStyleColBandSize w:val="1"/>
    </w:tblPr>
    <w:tcPr>
      <w:shd w:val="clear" w:color="auto" w:fill="FFFFFF" w:themeFill="background1"/>
      <w:vAlign w:val="center"/>
    </w:tcPr>
    <w:tblStylePr w:type="firstRow">
      <w:rPr>
        <w:rFonts w:asciiTheme="majorHAnsi" w:hAnsiTheme="majorHAnsi"/>
        <w:caps/>
        <w:smallCaps w:val="0"/>
      </w:rPr>
      <w:tblPr/>
      <w:tcPr>
        <w:shd w:val="clear" w:color="auto" w:fill="FFFFFF" w:themeFill="background1"/>
      </w:tcPr>
    </w:tblStylePr>
    <w:tblStylePr w:type="firstCol">
      <w:rPr>
        <w:rFonts w:asciiTheme="majorHAnsi" w:hAnsiTheme="majorHAnsi"/>
        <w:sz w:val="20"/>
      </w:rPr>
      <w:tblPr/>
      <w:tcPr>
        <w:tcBorders>
          <w:right w:val="single" w:sz="48" w:space="0" w:color="FFFFFF" w:themeColor="background1"/>
        </w:tcBorders>
        <w:shd w:val="clear" w:color="auto" w:fill="FFFFFF" w:themeFill="background1"/>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table" w:customStyle="1" w:styleId="HMATableD-Recommendations1">
    <w:name w:val="HMA Table D-Recommendations1"/>
    <w:basedOn w:val="TableNormal"/>
    <w:uiPriority w:val="99"/>
    <w:rsid w:val="0057770C"/>
    <w:pPr>
      <w:spacing w:after="0" w:line="240" w:lineRule="auto"/>
    </w:pPr>
    <w:rPr>
      <w:rFonts w:asciiTheme="majorHAnsi" w:hAnsiTheme="majorHAnsi"/>
      <w:sz w:val="20"/>
    </w:rPr>
    <w:tblPr>
      <w:tblStyleRowBandSize w:val="1"/>
      <w:tblBorders>
        <w:top w:val="single" w:sz="4" w:space="0" w:color="auto"/>
        <w:bottom w:val="single" w:sz="4" w:space="0" w:color="auto"/>
        <w:insideH w:val="single" w:sz="4" w:space="0" w:color="auto"/>
        <w:insideV w:val="single" w:sz="4" w:space="0" w:color="FFFFFF" w:themeColor="background1"/>
      </w:tblBorders>
      <w:tblCellMar>
        <w:top w:w="85" w:type="dxa"/>
        <w:left w:w="85" w:type="dxa"/>
      </w:tblCellMar>
    </w:tblPr>
    <w:tcPr>
      <w:shd w:val="clear" w:color="auto" w:fill="F2F2F2" w:themeFill="background1" w:themeFillShade="F2"/>
    </w:tcPr>
    <w:tblStylePr w:type="firstRow">
      <w:rPr>
        <w:rFonts w:asciiTheme="majorHAnsi" w:hAnsiTheme="majorHAnsi"/>
        <w:caps/>
        <w:smallCaps w:val="0"/>
      </w:rPr>
      <w:tblPr/>
      <w:tcPr>
        <w:shd w:val="clear" w:color="auto" w:fill="DCDCDC" w:themeFill="accent6"/>
      </w:tcPr>
    </w:tblStylePr>
    <w:tblStylePr w:type="firstCol">
      <w:tblPr/>
      <w:tcPr>
        <w:shd w:val="clear" w:color="auto" w:fill="DCDCDC" w:themeFill="accent6"/>
      </w:tcPr>
    </w:tblStylePr>
    <w:tblStylePr w:type="band2Horz">
      <w:tblPr/>
      <w:tcPr>
        <w:tcBorders>
          <w:top w:val="nil"/>
          <w:left w:val="nil"/>
          <w:bottom w:val="nil"/>
          <w:right w:val="nil"/>
          <w:insideH w:val="nil"/>
          <w:insideV w:val="nil"/>
          <w:tl2br w:val="nil"/>
          <w:tr2bl w:val="nil"/>
        </w:tcBorders>
        <w:shd w:val="clear" w:color="auto" w:fill="FFFCCC" w:themeFill="background2" w:themeFillTint="33"/>
      </w:tcPr>
    </w:tblStylePr>
  </w:style>
  <w:style w:type="table" w:customStyle="1" w:styleId="HMATableB1">
    <w:name w:val="HMA Table B1"/>
    <w:basedOn w:val="TableNormal"/>
    <w:uiPriority w:val="99"/>
    <w:rsid w:val="0057770C"/>
    <w:pPr>
      <w:spacing w:after="0" w:line="240" w:lineRule="auto"/>
    </w:pPr>
    <w:rPr>
      <w:rFonts w:asciiTheme="majorHAnsi" w:hAnsiTheme="majorHAnsi"/>
      <w:sz w:val="20"/>
    </w:rPr>
    <w:tblPr>
      <w:tblBorders>
        <w:top w:val="single" w:sz="4" w:space="0" w:color="auto"/>
        <w:bottom w:val="single" w:sz="4" w:space="0" w:color="auto"/>
        <w:insideH w:val="single" w:sz="4" w:space="0" w:color="auto"/>
      </w:tblBorders>
      <w:tblCellMar>
        <w:top w:w="85" w:type="dxa"/>
        <w:left w:w="85" w:type="dxa"/>
      </w:tblCellMar>
    </w:tblPr>
    <w:tcPr>
      <w:shd w:val="clear" w:color="auto" w:fill="FFFFFF" w:themeFill="background1"/>
    </w:tcPr>
    <w:tblStylePr w:type="firstRow">
      <w:rPr>
        <w:rFonts w:asciiTheme="majorHAnsi" w:hAnsiTheme="majorHAnsi"/>
        <w:caps/>
        <w:smallCaps w:val="0"/>
      </w:rPr>
      <w:tblPr/>
      <w:tcPr>
        <w:shd w:val="clear" w:color="auto" w:fill="DCDCDC" w:themeFill="accent6"/>
      </w:tcPr>
    </w:tblStylePr>
    <w:tblStylePr w:type="firstCol">
      <w:tblPr/>
      <w:tcPr>
        <w:shd w:val="clear" w:color="auto" w:fill="F2F2F2" w:themeFill="background1" w:themeFillShade="F2"/>
      </w:tcPr>
    </w:tblStylePr>
  </w:style>
  <w:style w:type="table" w:customStyle="1" w:styleId="HMATableC-StrategicDirections1">
    <w:name w:val="HMA Table C-Strategic Directions1"/>
    <w:basedOn w:val="TableNormal"/>
    <w:uiPriority w:val="99"/>
    <w:rsid w:val="0057770C"/>
    <w:pPr>
      <w:spacing w:after="0" w:line="240" w:lineRule="auto"/>
    </w:pPr>
    <w:rPr>
      <w:rFonts w:asciiTheme="majorHAnsi" w:hAnsiTheme="majorHAnsi"/>
      <w:sz w:val="20"/>
    </w:rPr>
    <w:tblPr>
      <w:tblBorders>
        <w:top w:val="single" w:sz="4" w:space="0" w:color="auto"/>
        <w:bottom w:val="single" w:sz="4" w:space="0" w:color="auto"/>
        <w:insideH w:val="single" w:sz="4" w:space="0" w:color="auto"/>
        <w:insideV w:val="single" w:sz="4" w:space="0" w:color="FFFFFF" w:themeColor="background1"/>
      </w:tblBorders>
      <w:tblCellMar>
        <w:top w:w="85" w:type="dxa"/>
        <w:left w:w="85" w:type="dxa"/>
      </w:tblCellMar>
    </w:tblPr>
    <w:tcPr>
      <w:shd w:val="clear" w:color="auto" w:fill="FFFFFF" w:themeFill="background1"/>
    </w:tcPr>
    <w:tblStylePr w:type="firstRow">
      <w:rPr>
        <w:rFonts w:asciiTheme="majorHAnsi" w:hAnsiTheme="majorHAnsi"/>
        <w:caps/>
        <w:smallCaps w:val="0"/>
      </w:rPr>
      <w:tblPr/>
      <w:tcPr>
        <w:shd w:val="clear" w:color="auto" w:fill="FFF200" w:themeFill="background2"/>
      </w:tcPr>
    </w:tblStylePr>
    <w:tblStylePr w:type="firstCol">
      <w:tblPr/>
      <w:tcPr>
        <w:shd w:val="clear" w:color="auto" w:fill="DCDCDC" w:themeFill="accent6"/>
      </w:tcPr>
    </w:tblStylePr>
  </w:style>
  <w:style w:type="table" w:customStyle="1" w:styleId="HMATableA1">
    <w:name w:val="HMA Table A1"/>
    <w:basedOn w:val="HMATableD-Recommendations"/>
    <w:uiPriority w:val="99"/>
    <w:rsid w:val="0057770C"/>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paragraph" w:styleId="Bibliography">
    <w:name w:val="Bibliography"/>
    <w:basedOn w:val="Normal"/>
    <w:next w:val="Normal"/>
    <w:uiPriority w:val="37"/>
    <w:unhideWhenUsed/>
    <w:rsid w:val="0057770C"/>
  </w:style>
  <w:style w:type="character" w:styleId="CommentReference">
    <w:name w:val="annotation reference"/>
    <w:basedOn w:val="DefaultParagraphFont"/>
    <w:uiPriority w:val="99"/>
    <w:semiHidden/>
    <w:unhideWhenUsed/>
    <w:rsid w:val="0057770C"/>
    <w:rPr>
      <w:sz w:val="16"/>
      <w:szCs w:val="16"/>
    </w:rPr>
  </w:style>
  <w:style w:type="paragraph" w:styleId="CommentText">
    <w:name w:val="annotation text"/>
    <w:basedOn w:val="Normal"/>
    <w:link w:val="CommentTextChar"/>
    <w:uiPriority w:val="99"/>
    <w:semiHidden/>
    <w:unhideWhenUsed/>
    <w:rsid w:val="0057770C"/>
    <w:rPr>
      <w:sz w:val="20"/>
      <w:szCs w:val="20"/>
    </w:rPr>
  </w:style>
  <w:style w:type="character" w:customStyle="1" w:styleId="CommentTextChar">
    <w:name w:val="Comment Text Char"/>
    <w:basedOn w:val="DefaultParagraphFont"/>
    <w:link w:val="CommentText"/>
    <w:uiPriority w:val="99"/>
    <w:semiHidden/>
    <w:rsid w:val="0057770C"/>
    <w:rPr>
      <w:spacing w:val="-2"/>
      <w:sz w:val="20"/>
      <w:szCs w:val="20"/>
    </w:rPr>
  </w:style>
  <w:style w:type="paragraph" w:styleId="CommentSubject">
    <w:name w:val="annotation subject"/>
    <w:basedOn w:val="CommentText"/>
    <w:next w:val="CommentText"/>
    <w:link w:val="CommentSubjectChar"/>
    <w:uiPriority w:val="99"/>
    <w:semiHidden/>
    <w:unhideWhenUsed/>
    <w:rsid w:val="0057770C"/>
    <w:rPr>
      <w:b/>
      <w:bCs/>
    </w:rPr>
  </w:style>
  <w:style w:type="character" w:customStyle="1" w:styleId="CommentSubjectChar">
    <w:name w:val="Comment Subject Char"/>
    <w:basedOn w:val="CommentTextChar"/>
    <w:link w:val="CommentSubject"/>
    <w:uiPriority w:val="99"/>
    <w:semiHidden/>
    <w:rsid w:val="0057770C"/>
    <w:rPr>
      <w:b/>
      <w:bCs/>
      <w:spacing w:val="-2"/>
      <w:sz w:val="20"/>
      <w:szCs w:val="20"/>
    </w:rPr>
  </w:style>
  <w:style w:type="table" w:customStyle="1" w:styleId="TableGrid2">
    <w:name w:val="Table Grid2"/>
    <w:basedOn w:val="TableNormal"/>
    <w:next w:val="TableGrid"/>
    <w:uiPriority w:val="39"/>
    <w:rsid w:val="0057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7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7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7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MATableA2">
    <w:name w:val="HMA Table A2"/>
    <w:basedOn w:val="TableNormal"/>
    <w:uiPriority w:val="99"/>
    <w:rsid w:val="00E0703C"/>
    <w:pPr>
      <w:spacing w:after="0" w:line="240" w:lineRule="auto"/>
      <w:contextualSpacing/>
    </w:pPr>
    <w:rPr>
      <w:rFonts w:eastAsia="Times New Roman" w:cs="Times New Roman"/>
      <w:sz w:val="20"/>
    </w:rPr>
    <w:tblPr>
      <w:tblStyleRowBandSize w:val="1"/>
      <w:tblBorders>
        <w:top w:val="single" w:sz="4" w:space="0" w:color="auto"/>
        <w:bottom w:val="single" w:sz="4" w:space="0" w:color="auto"/>
        <w:insideH w:val="single" w:sz="4" w:space="0" w:color="auto"/>
        <w:insideV w:val="single" w:sz="4" w:space="0" w:color="FFFFFF" w:themeColor="background1"/>
      </w:tblBorders>
      <w:tblCellMar>
        <w:left w:w="85" w:type="dxa"/>
      </w:tblCellMar>
    </w:tblPr>
    <w:tcPr>
      <w:shd w:val="clear" w:color="auto" w:fill="F2F2F2" w:themeFill="background1" w:themeFillShade="F2"/>
    </w:tcPr>
    <w:tblStylePr w:type="firstRow">
      <w:pPr>
        <w:spacing w:line="240" w:lineRule="atLeast"/>
      </w:pPr>
      <w:rPr>
        <w:rFonts w:asciiTheme="majorHAnsi" w:hAnsiTheme="majorHAnsi" w:cs="Times New Roman"/>
        <w:b w:val="0"/>
        <w:caps w:val="0"/>
        <w:smallCaps w:val="0"/>
        <w:sz w:val="22"/>
      </w:rPr>
      <w:tblPr/>
      <w:tcPr>
        <w:shd w:val="clear" w:color="auto" w:fill="DCDCDC" w:themeFill="accent6"/>
      </w:tcPr>
    </w:tblStylePr>
    <w:tblStylePr w:type="lastRow">
      <w:rPr>
        <w:rFonts w:asciiTheme="minorHAnsi" w:hAnsiTheme="minorHAnsi" w:cs="Times New Roman"/>
        <w:b/>
        <w:sz w:val="20"/>
      </w:rPr>
    </w:tblStylePr>
    <w:tblStylePr w:type="firstCol">
      <w:rPr>
        <w:rFonts w:cs="Times New Roman"/>
        <w:b/>
      </w:rPr>
      <w:tblPr/>
      <w:tcPr>
        <w:shd w:val="clear" w:color="auto" w:fill="F2F2F2" w:themeFill="background1" w:themeFillShade="F2"/>
      </w:tcPr>
    </w:tblStylePr>
    <w:tblStylePr w:type="lastCol">
      <w:rPr>
        <w:rFonts w:asciiTheme="minorHAnsi" w:hAnsiTheme="minorHAnsi" w:cs="Times New Roman"/>
        <w:b/>
      </w:rPr>
    </w:tblStylePr>
    <w:tblStylePr w:type="band2Horz">
      <w:rPr>
        <w:rFonts w:cs="Times New Roman"/>
      </w:rPr>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HMATableA3">
    <w:name w:val="HMA Table A3"/>
    <w:basedOn w:val="TableNormal"/>
    <w:uiPriority w:val="99"/>
    <w:rsid w:val="00F23C7F"/>
    <w:pPr>
      <w:spacing w:after="0" w:line="240" w:lineRule="auto"/>
      <w:contextualSpacing/>
    </w:pPr>
    <w:rPr>
      <w:rFonts w:ascii="Garamond" w:eastAsia="Garamond" w:hAnsi="Garamond" w:cs="Times New Roman"/>
      <w:sz w:val="20"/>
    </w:rPr>
    <w:tblPr>
      <w:tblStyleRowBandSize w:val="1"/>
      <w:tblInd w:w="0" w:type="nil"/>
      <w:tblBorders>
        <w:top w:val="single" w:sz="4" w:space="0" w:color="auto"/>
        <w:bottom w:val="single" w:sz="4" w:space="0" w:color="auto"/>
        <w:insideH w:val="single" w:sz="4" w:space="0" w:color="auto"/>
        <w:insideV w:val="single" w:sz="4" w:space="0" w:color="FFFFFF" w:themeColor="background1"/>
      </w:tblBorders>
      <w:tblCellMar>
        <w:left w:w="85" w:type="dxa"/>
      </w:tblCellMar>
    </w:tblPr>
    <w:tcPr>
      <w:shd w:val="clear" w:color="auto" w:fill="F2F2F2" w:themeFill="background1" w:themeFillShade="F2"/>
    </w:tcPr>
    <w:tblStylePr w:type="firstRow">
      <w:pPr>
        <w:wordWrap/>
        <w:spacing w:line="0" w:lineRule="atLeast"/>
      </w:pPr>
      <w:rPr>
        <w:rFonts w:ascii="Franklin Gothic Book" w:hAnsi="Franklin Gothic Book" w:hint="default"/>
        <w:b w:val="0"/>
        <w:caps w:val="0"/>
        <w:smallCaps w:val="0"/>
        <w:sz w:val="22"/>
        <w:szCs w:val="22"/>
      </w:rPr>
      <w:tblPr/>
      <w:tcPr>
        <w:shd w:val="clear" w:color="auto" w:fill="DCDCDC" w:themeFill="accent6"/>
      </w:tcPr>
    </w:tblStylePr>
    <w:tblStylePr w:type="lastRow">
      <w:rPr>
        <w:rFonts w:ascii="Garamond" w:hAnsi="Garamond" w:hint="default"/>
        <w:b/>
        <w:sz w:val="20"/>
        <w:szCs w:val="20"/>
      </w:rPr>
    </w:tblStylePr>
    <w:tblStylePr w:type="firstCol">
      <w:rPr>
        <w:b/>
      </w:rPr>
      <w:tblPr/>
      <w:tcPr>
        <w:shd w:val="clear" w:color="auto" w:fill="F2F2F2" w:themeFill="background1" w:themeFillShade="F2"/>
      </w:tcPr>
    </w:tblStylePr>
    <w:tblStylePr w:type="lastCol">
      <w:rPr>
        <w:rFonts w:ascii="Garamond" w:hAnsi="Garamond" w:hint="default"/>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TableGrid7">
    <w:name w:val="Table Grid7"/>
    <w:basedOn w:val="TableNormal"/>
    <w:next w:val="TableGrid"/>
    <w:uiPriority w:val="39"/>
    <w:rsid w:val="009D7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A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MATableA4">
    <w:name w:val="HMA Table A4"/>
    <w:basedOn w:val="TableNormal"/>
    <w:uiPriority w:val="99"/>
    <w:rsid w:val="00B620DF"/>
    <w:pPr>
      <w:spacing w:after="0" w:line="240" w:lineRule="auto"/>
      <w:contextualSpacing/>
    </w:pPr>
    <w:rPr>
      <w:rFonts w:ascii="Calibri" w:eastAsia="Calibri" w:hAnsi="Calibri" w:cs="Times New Roman"/>
      <w:sz w:val="20"/>
    </w:rPr>
    <w:tblPr>
      <w:tblStyleRowBandSize w:val="1"/>
      <w:tblInd w:w="0" w:type="nil"/>
      <w:tblBorders>
        <w:top w:val="single" w:sz="4" w:space="0" w:color="auto"/>
        <w:bottom w:val="single" w:sz="4" w:space="0" w:color="auto"/>
        <w:insideH w:val="single" w:sz="4" w:space="0" w:color="auto"/>
        <w:insideV w:val="single" w:sz="4" w:space="0" w:color="FFFFFF"/>
      </w:tblBorders>
      <w:tblCellMar>
        <w:left w:w="85" w:type="dxa"/>
      </w:tblCellMar>
    </w:tblPr>
    <w:tcPr>
      <w:shd w:val="clear" w:color="auto" w:fill="F2F2F2"/>
    </w:tcPr>
    <w:tblStylePr w:type="firstRow">
      <w:pPr>
        <w:wordWrap/>
        <w:spacing w:line="0" w:lineRule="atLeast"/>
      </w:pPr>
      <w:rPr>
        <w:rFonts w:ascii="Calibri Light" w:hAnsi="Calibri Light" w:cs="Calibri Light" w:hint="default"/>
        <w:b w:val="0"/>
        <w:caps w:val="0"/>
        <w:smallCaps w:val="0"/>
        <w:sz w:val="22"/>
        <w:szCs w:val="22"/>
      </w:rPr>
      <w:tblPr/>
      <w:tcPr>
        <w:shd w:val="clear" w:color="auto" w:fill="70AD47"/>
      </w:tcPr>
    </w:tblStylePr>
    <w:tblStylePr w:type="lastRow">
      <w:rPr>
        <w:rFonts w:ascii="Calibri" w:hAnsi="Calibri" w:cs="Calibri" w:hint="default"/>
        <w:b/>
        <w:sz w:val="20"/>
        <w:szCs w:val="20"/>
      </w:rPr>
    </w:tblStylePr>
    <w:tblStylePr w:type="firstCol">
      <w:rPr>
        <w:b/>
      </w:rPr>
      <w:tblPr/>
      <w:tcPr>
        <w:shd w:val="clear" w:color="auto" w:fill="F2F2F2"/>
      </w:tcPr>
    </w:tblStylePr>
    <w:tblStylePr w:type="lastCol">
      <w:rPr>
        <w:rFonts w:ascii="Calibri" w:hAnsi="Calibri" w:cs="Calibri" w:hint="default"/>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AF9F9"/>
      </w:tcPr>
    </w:tblStylePr>
  </w:style>
  <w:style w:type="table" w:customStyle="1" w:styleId="HMATableA5">
    <w:name w:val="HMA Table A5"/>
    <w:basedOn w:val="HMATableD-Recommendations"/>
    <w:uiPriority w:val="99"/>
    <w:rsid w:val="00116BC8"/>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HMATableA6">
    <w:name w:val="HMA Table A6"/>
    <w:basedOn w:val="HMATableD-Recommendations"/>
    <w:uiPriority w:val="99"/>
    <w:rsid w:val="001638F2"/>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HMATableA7">
    <w:name w:val="HMA Table A7"/>
    <w:basedOn w:val="HMATableD-Recommendations"/>
    <w:uiPriority w:val="99"/>
    <w:rsid w:val="001638F2"/>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HMATableA8">
    <w:name w:val="HMA Table A8"/>
    <w:basedOn w:val="HMATableD-Recommendations"/>
    <w:uiPriority w:val="99"/>
    <w:rsid w:val="001638F2"/>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HMATableA9">
    <w:name w:val="HMA Table A9"/>
    <w:basedOn w:val="HMATableD-Recommendations"/>
    <w:uiPriority w:val="99"/>
    <w:rsid w:val="001638F2"/>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TableGrid9">
    <w:name w:val="Table Grid9"/>
    <w:basedOn w:val="TableNormal"/>
    <w:next w:val="TableGrid"/>
    <w:uiPriority w:val="39"/>
    <w:rsid w:val="009A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9A1314"/>
    <w:pPr>
      <w:spacing w:after="0" w:line="240" w:lineRule="auto"/>
    </w:pPr>
    <w:rPr>
      <w:rFonts w:eastAsia="Calibri"/>
    </w:rPr>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0">
    <w:name w:val="Table Grid10"/>
    <w:basedOn w:val="TableNormal"/>
    <w:next w:val="TableGrid"/>
    <w:uiPriority w:val="39"/>
    <w:rsid w:val="009A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
    <w:name w:val="Bullets1"/>
    <w:rsid w:val="005C364E"/>
    <w:pPr>
      <w:numPr>
        <w:numId w:val="4"/>
      </w:numPr>
    </w:pPr>
  </w:style>
  <w:style w:type="table" w:customStyle="1" w:styleId="TableGrid11">
    <w:name w:val="Table Grid11"/>
    <w:basedOn w:val="TableNormal"/>
    <w:next w:val="TableGrid"/>
    <w:uiPriority w:val="39"/>
    <w:rsid w:val="00DB7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s">
    <w:name w:val="Numbers"/>
    <w:basedOn w:val="Bullets"/>
    <w:uiPriority w:val="99"/>
    <w:rsid w:val="00D71088"/>
    <w:pPr>
      <w:numPr>
        <w:numId w:val="32"/>
      </w:numPr>
    </w:pPr>
  </w:style>
  <w:style w:type="paragraph" w:customStyle="1" w:styleId="Numbers10">
    <w:name w:val="Numbers 1"/>
    <w:basedOn w:val="Normal"/>
    <w:qFormat/>
    <w:rsid w:val="00D71088"/>
    <w:pPr>
      <w:numPr>
        <w:numId w:val="20"/>
      </w:numPr>
      <w:spacing w:before="20" w:after="20" w:line="264" w:lineRule="atLeast"/>
    </w:pPr>
    <w:rPr>
      <w:rFonts w:cs="Times New Roman"/>
      <w:color w:val="000000" w:themeColor="text1"/>
      <w:szCs w:val="20"/>
    </w:rPr>
  </w:style>
  <w:style w:type="paragraph" w:customStyle="1" w:styleId="Numbers20">
    <w:name w:val="Numbers 2"/>
    <w:basedOn w:val="Numbers10"/>
    <w:qFormat/>
    <w:rsid w:val="00D71088"/>
    <w:pPr>
      <w:numPr>
        <w:ilvl w:val="1"/>
      </w:numPr>
    </w:pPr>
  </w:style>
  <w:style w:type="paragraph" w:customStyle="1" w:styleId="Numbers3">
    <w:name w:val="Numbers 3"/>
    <w:basedOn w:val="Numbers10"/>
    <w:rsid w:val="00D71088"/>
    <w:pPr>
      <w:numPr>
        <w:ilvl w:val="2"/>
      </w:numPr>
    </w:pPr>
  </w:style>
  <w:style w:type="paragraph" w:customStyle="1" w:styleId="Numbers4">
    <w:name w:val="Numbers 4"/>
    <w:basedOn w:val="Numbers10"/>
    <w:rsid w:val="00D71088"/>
    <w:pPr>
      <w:numPr>
        <w:ilvl w:val="3"/>
      </w:numPr>
    </w:pPr>
  </w:style>
  <w:style w:type="numbering" w:customStyle="1" w:styleId="Numbers1">
    <w:name w:val="Numbers1"/>
    <w:basedOn w:val="Bullets"/>
    <w:uiPriority w:val="99"/>
    <w:rsid w:val="00006354"/>
    <w:pPr>
      <w:numPr>
        <w:numId w:val="18"/>
      </w:numPr>
    </w:pPr>
  </w:style>
  <w:style w:type="numbering" w:customStyle="1" w:styleId="Numbers2">
    <w:name w:val="Numbers2"/>
    <w:basedOn w:val="NoList"/>
    <w:uiPriority w:val="99"/>
    <w:rsid w:val="00D22C80"/>
    <w:pPr>
      <w:numPr>
        <w:numId w:val="1"/>
      </w:numPr>
    </w:pPr>
  </w:style>
  <w:style w:type="character" w:styleId="UnresolvedMention">
    <w:name w:val="Unresolved Mention"/>
    <w:basedOn w:val="DefaultParagraphFont"/>
    <w:uiPriority w:val="99"/>
    <w:semiHidden/>
    <w:unhideWhenUsed/>
    <w:rsid w:val="00EE7A81"/>
    <w:rPr>
      <w:color w:val="605E5C"/>
      <w:shd w:val="clear" w:color="auto" w:fill="E1DFDD"/>
    </w:rPr>
  </w:style>
  <w:style w:type="table" w:customStyle="1" w:styleId="HMATableC-StrategicDirections2">
    <w:name w:val="HMA Table C-Strategic Directions2"/>
    <w:basedOn w:val="TableNormal"/>
    <w:uiPriority w:val="99"/>
    <w:rsid w:val="0008569D"/>
    <w:pPr>
      <w:spacing w:after="0" w:line="240" w:lineRule="auto"/>
    </w:pPr>
    <w:rPr>
      <w:rFonts w:asciiTheme="majorHAnsi" w:hAnsiTheme="majorHAnsi"/>
      <w:sz w:val="20"/>
    </w:rPr>
    <w:tblPr>
      <w:tblBorders>
        <w:top w:val="single" w:sz="4" w:space="0" w:color="auto"/>
        <w:bottom w:val="single" w:sz="4" w:space="0" w:color="auto"/>
        <w:insideH w:val="single" w:sz="4" w:space="0" w:color="auto"/>
        <w:insideV w:val="single" w:sz="4" w:space="0" w:color="FFFFFF" w:themeColor="background1"/>
      </w:tblBorders>
      <w:tblCellMar>
        <w:top w:w="85" w:type="dxa"/>
        <w:left w:w="85" w:type="dxa"/>
      </w:tblCellMar>
    </w:tblPr>
    <w:tcPr>
      <w:shd w:val="clear" w:color="auto" w:fill="FFFFFF" w:themeFill="background1"/>
    </w:tcPr>
    <w:tblStylePr w:type="firstRow">
      <w:rPr>
        <w:rFonts w:asciiTheme="majorHAnsi" w:hAnsiTheme="majorHAnsi"/>
        <w:caps/>
        <w:smallCaps w:val="0"/>
      </w:rPr>
      <w:tblPr/>
      <w:tcPr>
        <w:shd w:val="clear" w:color="auto" w:fill="FFF200" w:themeFill="background2"/>
      </w:tcPr>
    </w:tblStylePr>
    <w:tblStylePr w:type="firstCol">
      <w:tblPr/>
      <w:tcPr>
        <w:shd w:val="clear" w:color="auto" w:fill="DCDCDC" w:themeFill="accent6"/>
      </w:tcPr>
    </w:tblStylePr>
  </w:style>
  <w:style w:type="table" w:customStyle="1" w:styleId="HMATableA10">
    <w:name w:val="HMA Table A10"/>
    <w:basedOn w:val="HMATableD-Recommendations"/>
    <w:uiPriority w:val="99"/>
    <w:rsid w:val="00CA5063"/>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table" w:customStyle="1" w:styleId="HMATableA11">
    <w:name w:val="HMA Table A11"/>
    <w:basedOn w:val="HMATableD-Recommendations"/>
    <w:uiPriority w:val="99"/>
    <w:rsid w:val="00AE1E4A"/>
    <w:pPr>
      <w:contextualSpacing/>
    </w:pPr>
    <w:rPr>
      <w:rFonts w:asciiTheme="minorHAnsi" w:hAnsiTheme="minorHAnsi"/>
    </w:rPr>
    <w:tblPr>
      <w:tblCellMar>
        <w:top w:w="0" w:type="dxa"/>
      </w:tblCellMar>
    </w:tblPr>
    <w:tcPr>
      <w:shd w:val="clear" w:color="auto" w:fill="F2F2F2" w:themeFill="background1" w:themeFillShade="F2"/>
    </w:tcPr>
    <w:tblStylePr w:type="firstRow">
      <w:pPr>
        <w:wordWrap/>
        <w:spacing w:line="0" w:lineRule="atLeast"/>
      </w:pPr>
      <w:rPr>
        <w:rFonts w:asciiTheme="majorHAnsi" w:hAnsiTheme="majorHAnsi"/>
        <w:b w:val="0"/>
        <w:caps w:val="0"/>
        <w:smallCaps w:val="0"/>
        <w:sz w:val="22"/>
      </w:rPr>
      <w:tblPr/>
      <w:tcPr>
        <w:shd w:val="clear" w:color="auto" w:fill="DCDCDC" w:themeFill="accent6"/>
      </w:tcPr>
    </w:tblStylePr>
    <w:tblStylePr w:type="lastRow">
      <w:rPr>
        <w:rFonts w:asciiTheme="minorHAnsi" w:hAnsiTheme="minorHAnsi"/>
        <w:b/>
        <w:sz w:val="20"/>
      </w:rPr>
    </w:tblStylePr>
    <w:tblStylePr w:type="firstCol">
      <w:rPr>
        <w:b/>
      </w:rPr>
      <w:tblPr/>
      <w:tcPr>
        <w:shd w:val="clear" w:color="auto" w:fill="F2F2F2" w:themeFill="background1" w:themeFillShade="F2"/>
      </w:tcPr>
    </w:tblStylePr>
    <w:tblStylePr w:type="lastCol">
      <w:rPr>
        <w:rFonts w:asciiTheme="minorHAnsi" w:hAnsiTheme="minorHAnsi"/>
        <w:b/>
      </w:r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FFFCCC" w:themeFill="background2" w:themeFillTint="33"/>
      </w:tcPr>
    </w:tblStylePr>
  </w:style>
  <w:style w:type="numbering" w:customStyle="1" w:styleId="Numbering1">
    <w:name w:val="Numbering1"/>
    <w:rsid w:val="005F45D4"/>
  </w:style>
  <w:style w:type="paragraph" w:styleId="Revision">
    <w:name w:val="Revision"/>
    <w:hidden/>
    <w:uiPriority w:val="99"/>
    <w:semiHidden/>
    <w:rsid w:val="00A32F7F"/>
    <w:pPr>
      <w:spacing w:after="0" w:line="240" w:lineRule="auto"/>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1760">
      <w:bodyDiv w:val="1"/>
      <w:marLeft w:val="0"/>
      <w:marRight w:val="0"/>
      <w:marTop w:val="0"/>
      <w:marBottom w:val="0"/>
      <w:divBdr>
        <w:top w:val="none" w:sz="0" w:space="0" w:color="auto"/>
        <w:left w:val="none" w:sz="0" w:space="0" w:color="auto"/>
        <w:bottom w:val="none" w:sz="0" w:space="0" w:color="auto"/>
        <w:right w:val="none" w:sz="0" w:space="0" w:color="auto"/>
      </w:divBdr>
    </w:div>
    <w:div w:id="14693378">
      <w:bodyDiv w:val="1"/>
      <w:marLeft w:val="0"/>
      <w:marRight w:val="0"/>
      <w:marTop w:val="0"/>
      <w:marBottom w:val="0"/>
      <w:divBdr>
        <w:top w:val="none" w:sz="0" w:space="0" w:color="auto"/>
        <w:left w:val="none" w:sz="0" w:space="0" w:color="auto"/>
        <w:bottom w:val="none" w:sz="0" w:space="0" w:color="auto"/>
        <w:right w:val="none" w:sz="0" w:space="0" w:color="auto"/>
      </w:divBdr>
    </w:div>
    <w:div w:id="22874022">
      <w:bodyDiv w:val="1"/>
      <w:marLeft w:val="0"/>
      <w:marRight w:val="0"/>
      <w:marTop w:val="0"/>
      <w:marBottom w:val="0"/>
      <w:divBdr>
        <w:top w:val="none" w:sz="0" w:space="0" w:color="auto"/>
        <w:left w:val="none" w:sz="0" w:space="0" w:color="auto"/>
        <w:bottom w:val="none" w:sz="0" w:space="0" w:color="auto"/>
        <w:right w:val="none" w:sz="0" w:space="0" w:color="auto"/>
      </w:divBdr>
    </w:div>
    <w:div w:id="39549233">
      <w:bodyDiv w:val="1"/>
      <w:marLeft w:val="0"/>
      <w:marRight w:val="0"/>
      <w:marTop w:val="0"/>
      <w:marBottom w:val="0"/>
      <w:divBdr>
        <w:top w:val="none" w:sz="0" w:space="0" w:color="auto"/>
        <w:left w:val="none" w:sz="0" w:space="0" w:color="auto"/>
        <w:bottom w:val="none" w:sz="0" w:space="0" w:color="auto"/>
        <w:right w:val="none" w:sz="0" w:space="0" w:color="auto"/>
      </w:divBdr>
    </w:div>
    <w:div w:id="52117905">
      <w:bodyDiv w:val="1"/>
      <w:marLeft w:val="0"/>
      <w:marRight w:val="0"/>
      <w:marTop w:val="0"/>
      <w:marBottom w:val="0"/>
      <w:divBdr>
        <w:top w:val="none" w:sz="0" w:space="0" w:color="auto"/>
        <w:left w:val="none" w:sz="0" w:space="0" w:color="auto"/>
        <w:bottom w:val="none" w:sz="0" w:space="0" w:color="auto"/>
        <w:right w:val="none" w:sz="0" w:space="0" w:color="auto"/>
      </w:divBdr>
    </w:div>
    <w:div w:id="73860791">
      <w:bodyDiv w:val="1"/>
      <w:marLeft w:val="0"/>
      <w:marRight w:val="0"/>
      <w:marTop w:val="0"/>
      <w:marBottom w:val="0"/>
      <w:divBdr>
        <w:top w:val="none" w:sz="0" w:space="0" w:color="auto"/>
        <w:left w:val="none" w:sz="0" w:space="0" w:color="auto"/>
        <w:bottom w:val="none" w:sz="0" w:space="0" w:color="auto"/>
        <w:right w:val="none" w:sz="0" w:space="0" w:color="auto"/>
      </w:divBdr>
    </w:div>
    <w:div w:id="94597414">
      <w:bodyDiv w:val="1"/>
      <w:marLeft w:val="0"/>
      <w:marRight w:val="0"/>
      <w:marTop w:val="0"/>
      <w:marBottom w:val="0"/>
      <w:divBdr>
        <w:top w:val="none" w:sz="0" w:space="0" w:color="auto"/>
        <w:left w:val="none" w:sz="0" w:space="0" w:color="auto"/>
        <w:bottom w:val="none" w:sz="0" w:space="0" w:color="auto"/>
        <w:right w:val="none" w:sz="0" w:space="0" w:color="auto"/>
      </w:divBdr>
    </w:div>
    <w:div w:id="107432233">
      <w:bodyDiv w:val="1"/>
      <w:marLeft w:val="0"/>
      <w:marRight w:val="0"/>
      <w:marTop w:val="0"/>
      <w:marBottom w:val="0"/>
      <w:divBdr>
        <w:top w:val="none" w:sz="0" w:space="0" w:color="auto"/>
        <w:left w:val="none" w:sz="0" w:space="0" w:color="auto"/>
        <w:bottom w:val="none" w:sz="0" w:space="0" w:color="auto"/>
        <w:right w:val="none" w:sz="0" w:space="0" w:color="auto"/>
      </w:divBdr>
    </w:div>
    <w:div w:id="113643685">
      <w:bodyDiv w:val="1"/>
      <w:marLeft w:val="0"/>
      <w:marRight w:val="0"/>
      <w:marTop w:val="0"/>
      <w:marBottom w:val="0"/>
      <w:divBdr>
        <w:top w:val="none" w:sz="0" w:space="0" w:color="auto"/>
        <w:left w:val="none" w:sz="0" w:space="0" w:color="auto"/>
        <w:bottom w:val="none" w:sz="0" w:space="0" w:color="auto"/>
        <w:right w:val="none" w:sz="0" w:space="0" w:color="auto"/>
      </w:divBdr>
    </w:div>
    <w:div w:id="127668459">
      <w:bodyDiv w:val="1"/>
      <w:marLeft w:val="0"/>
      <w:marRight w:val="0"/>
      <w:marTop w:val="0"/>
      <w:marBottom w:val="0"/>
      <w:divBdr>
        <w:top w:val="none" w:sz="0" w:space="0" w:color="auto"/>
        <w:left w:val="none" w:sz="0" w:space="0" w:color="auto"/>
        <w:bottom w:val="none" w:sz="0" w:space="0" w:color="auto"/>
        <w:right w:val="none" w:sz="0" w:space="0" w:color="auto"/>
      </w:divBdr>
    </w:div>
    <w:div w:id="132066378">
      <w:bodyDiv w:val="1"/>
      <w:marLeft w:val="0"/>
      <w:marRight w:val="0"/>
      <w:marTop w:val="0"/>
      <w:marBottom w:val="0"/>
      <w:divBdr>
        <w:top w:val="none" w:sz="0" w:space="0" w:color="auto"/>
        <w:left w:val="none" w:sz="0" w:space="0" w:color="auto"/>
        <w:bottom w:val="none" w:sz="0" w:space="0" w:color="auto"/>
        <w:right w:val="none" w:sz="0" w:space="0" w:color="auto"/>
      </w:divBdr>
    </w:div>
    <w:div w:id="143549923">
      <w:bodyDiv w:val="1"/>
      <w:marLeft w:val="0"/>
      <w:marRight w:val="0"/>
      <w:marTop w:val="0"/>
      <w:marBottom w:val="0"/>
      <w:divBdr>
        <w:top w:val="none" w:sz="0" w:space="0" w:color="auto"/>
        <w:left w:val="none" w:sz="0" w:space="0" w:color="auto"/>
        <w:bottom w:val="none" w:sz="0" w:space="0" w:color="auto"/>
        <w:right w:val="none" w:sz="0" w:space="0" w:color="auto"/>
      </w:divBdr>
    </w:div>
    <w:div w:id="144013301">
      <w:bodyDiv w:val="1"/>
      <w:marLeft w:val="0"/>
      <w:marRight w:val="0"/>
      <w:marTop w:val="0"/>
      <w:marBottom w:val="0"/>
      <w:divBdr>
        <w:top w:val="none" w:sz="0" w:space="0" w:color="auto"/>
        <w:left w:val="none" w:sz="0" w:space="0" w:color="auto"/>
        <w:bottom w:val="none" w:sz="0" w:space="0" w:color="auto"/>
        <w:right w:val="none" w:sz="0" w:space="0" w:color="auto"/>
      </w:divBdr>
    </w:div>
    <w:div w:id="150299417">
      <w:bodyDiv w:val="1"/>
      <w:marLeft w:val="0"/>
      <w:marRight w:val="0"/>
      <w:marTop w:val="0"/>
      <w:marBottom w:val="0"/>
      <w:divBdr>
        <w:top w:val="none" w:sz="0" w:space="0" w:color="auto"/>
        <w:left w:val="none" w:sz="0" w:space="0" w:color="auto"/>
        <w:bottom w:val="none" w:sz="0" w:space="0" w:color="auto"/>
        <w:right w:val="none" w:sz="0" w:space="0" w:color="auto"/>
      </w:divBdr>
    </w:div>
    <w:div w:id="153105274">
      <w:bodyDiv w:val="1"/>
      <w:marLeft w:val="0"/>
      <w:marRight w:val="0"/>
      <w:marTop w:val="0"/>
      <w:marBottom w:val="0"/>
      <w:divBdr>
        <w:top w:val="none" w:sz="0" w:space="0" w:color="auto"/>
        <w:left w:val="none" w:sz="0" w:space="0" w:color="auto"/>
        <w:bottom w:val="none" w:sz="0" w:space="0" w:color="auto"/>
        <w:right w:val="none" w:sz="0" w:space="0" w:color="auto"/>
      </w:divBdr>
    </w:div>
    <w:div w:id="173500087">
      <w:bodyDiv w:val="1"/>
      <w:marLeft w:val="0"/>
      <w:marRight w:val="0"/>
      <w:marTop w:val="0"/>
      <w:marBottom w:val="0"/>
      <w:divBdr>
        <w:top w:val="none" w:sz="0" w:space="0" w:color="auto"/>
        <w:left w:val="none" w:sz="0" w:space="0" w:color="auto"/>
        <w:bottom w:val="none" w:sz="0" w:space="0" w:color="auto"/>
        <w:right w:val="none" w:sz="0" w:space="0" w:color="auto"/>
      </w:divBdr>
    </w:div>
    <w:div w:id="209804755">
      <w:bodyDiv w:val="1"/>
      <w:marLeft w:val="0"/>
      <w:marRight w:val="0"/>
      <w:marTop w:val="0"/>
      <w:marBottom w:val="0"/>
      <w:divBdr>
        <w:top w:val="none" w:sz="0" w:space="0" w:color="auto"/>
        <w:left w:val="none" w:sz="0" w:space="0" w:color="auto"/>
        <w:bottom w:val="none" w:sz="0" w:space="0" w:color="auto"/>
        <w:right w:val="none" w:sz="0" w:space="0" w:color="auto"/>
      </w:divBdr>
    </w:div>
    <w:div w:id="228468827">
      <w:bodyDiv w:val="1"/>
      <w:marLeft w:val="0"/>
      <w:marRight w:val="0"/>
      <w:marTop w:val="0"/>
      <w:marBottom w:val="0"/>
      <w:divBdr>
        <w:top w:val="none" w:sz="0" w:space="0" w:color="auto"/>
        <w:left w:val="none" w:sz="0" w:space="0" w:color="auto"/>
        <w:bottom w:val="none" w:sz="0" w:space="0" w:color="auto"/>
        <w:right w:val="none" w:sz="0" w:space="0" w:color="auto"/>
      </w:divBdr>
    </w:div>
    <w:div w:id="232086257">
      <w:bodyDiv w:val="1"/>
      <w:marLeft w:val="0"/>
      <w:marRight w:val="0"/>
      <w:marTop w:val="0"/>
      <w:marBottom w:val="0"/>
      <w:divBdr>
        <w:top w:val="none" w:sz="0" w:space="0" w:color="auto"/>
        <w:left w:val="none" w:sz="0" w:space="0" w:color="auto"/>
        <w:bottom w:val="none" w:sz="0" w:space="0" w:color="auto"/>
        <w:right w:val="none" w:sz="0" w:space="0" w:color="auto"/>
      </w:divBdr>
    </w:div>
    <w:div w:id="237860546">
      <w:bodyDiv w:val="1"/>
      <w:marLeft w:val="0"/>
      <w:marRight w:val="0"/>
      <w:marTop w:val="0"/>
      <w:marBottom w:val="0"/>
      <w:divBdr>
        <w:top w:val="none" w:sz="0" w:space="0" w:color="auto"/>
        <w:left w:val="none" w:sz="0" w:space="0" w:color="auto"/>
        <w:bottom w:val="none" w:sz="0" w:space="0" w:color="auto"/>
        <w:right w:val="none" w:sz="0" w:space="0" w:color="auto"/>
      </w:divBdr>
    </w:div>
    <w:div w:id="247203318">
      <w:bodyDiv w:val="1"/>
      <w:marLeft w:val="0"/>
      <w:marRight w:val="0"/>
      <w:marTop w:val="0"/>
      <w:marBottom w:val="0"/>
      <w:divBdr>
        <w:top w:val="none" w:sz="0" w:space="0" w:color="auto"/>
        <w:left w:val="none" w:sz="0" w:space="0" w:color="auto"/>
        <w:bottom w:val="none" w:sz="0" w:space="0" w:color="auto"/>
        <w:right w:val="none" w:sz="0" w:space="0" w:color="auto"/>
      </w:divBdr>
    </w:div>
    <w:div w:id="250046670">
      <w:bodyDiv w:val="1"/>
      <w:marLeft w:val="0"/>
      <w:marRight w:val="0"/>
      <w:marTop w:val="0"/>
      <w:marBottom w:val="0"/>
      <w:divBdr>
        <w:top w:val="none" w:sz="0" w:space="0" w:color="auto"/>
        <w:left w:val="none" w:sz="0" w:space="0" w:color="auto"/>
        <w:bottom w:val="none" w:sz="0" w:space="0" w:color="auto"/>
        <w:right w:val="none" w:sz="0" w:space="0" w:color="auto"/>
      </w:divBdr>
    </w:div>
    <w:div w:id="261375466">
      <w:bodyDiv w:val="1"/>
      <w:marLeft w:val="0"/>
      <w:marRight w:val="0"/>
      <w:marTop w:val="0"/>
      <w:marBottom w:val="0"/>
      <w:divBdr>
        <w:top w:val="none" w:sz="0" w:space="0" w:color="auto"/>
        <w:left w:val="none" w:sz="0" w:space="0" w:color="auto"/>
        <w:bottom w:val="none" w:sz="0" w:space="0" w:color="auto"/>
        <w:right w:val="none" w:sz="0" w:space="0" w:color="auto"/>
      </w:divBdr>
    </w:div>
    <w:div w:id="262613189">
      <w:bodyDiv w:val="1"/>
      <w:marLeft w:val="0"/>
      <w:marRight w:val="0"/>
      <w:marTop w:val="0"/>
      <w:marBottom w:val="0"/>
      <w:divBdr>
        <w:top w:val="none" w:sz="0" w:space="0" w:color="auto"/>
        <w:left w:val="none" w:sz="0" w:space="0" w:color="auto"/>
        <w:bottom w:val="none" w:sz="0" w:space="0" w:color="auto"/>
        <w:right w:val="none" w:sz="0" w:space="0" w:color="auto"/>
      </w:divBdr>
    </w:div>
    <w:div w:id="266233863">
      <w:bodyDiv w:val="1"/>
      <w:marLeft w:val="0"/>
      <w:marRight w:val="0"/>
      <w:marTop w:val="0"/>
      <w:marBottom w:val="0"/>
      <w:divBdr>
        <w:top w:val="none" w:sz="0" w:space="0" w:color="auto"/>
        <w:left w:val="none" w:sz="0" w:space="0" w:color="auto"/>
        <w:bottom w:val="none" w:sz="0" w:space="0" w:color="auto"/>
        <w:right w:val="none" w:sz="0" w:space="0" w:color="auto"/>
      </w:divBdr>
    </w:div>
    <w:div w:id="271404574">
      <w:bodyDiv w:val="1"/>
      <w:marLeft w:val="0"/>
      <w:marRight w:val="0"/>
      <w:marTop w:val="0"/>
      <w:marBottom w:val="0"/>
      <w:divBdr>
        <w:top w:val="none" w:sz="0" w:space="0" w:color="auto"/>
        <w:left w:val="none" w:sz="0" w:space="0" w:color="auto"/>
        <w:bottom w:val="none" w:sz="0" w:space="0" w:color="auto"/>
        <w:right w:val="none" w:sz="0" w:space="0" w:color="auto"/>
      </w:divBdr>
    </w:div>
    <w:div w:id="274942440">
      <w:bodyDiv w:val="1"/>
      <w:marLeft w:val="0"/>
      <w:marRight w:val="0"/>
      <w:marTop w:val="0"/>
      <w:marBottom w:val="0"/>
      <w:divBdr>
        <w:top w:val="none" w:sz="0" w:space="0" w:color="auto"/>
        <w:left w:val="none" w:sz="0" w:space="0" w:color="auto"/>
        <w:bottom w:val="none" w:sz="0" w:space="0" w:color="auto"/>
        <w:right w:val="none" w:sz="0" w:space="0" w:color="auto"/>
      </w:divBdr>
    </w:div>
    <w:div w:id="275252676">
      <w:bodyDiv w:val="1"/>
      <w:marLeft w:val="0"/>
      <w:marRight w:val="0"/>
      <w:marTop w:val="0"/>
      <w:marBottom w:val="0"/>
      <w:divBdr>
        <w:top w:val="none" w:sz="0" w:space="0" w:color="auto"/>
        <w:left w:val="none" w:sz="0" w:space="0" w:color="auto"/>
        <w:bottom w:val="none" w:sz="0" w:space="0" w:color="auto"/>
        <w:right w:val="none" w:sz="0" w:space="0" w:color="auto"/>
      </w:divBdr>
    </w:div>
    <w:div w:id="275529857">
      <w:bodyDiv w:val="1"/>
      <w:marLeft w:val="0"/>
      <w:marRight w:val="0"/>
      <w:marTop w:val="0"/>
      <w:marBottom w:val="0"/>
      <w:divBdr>
        <w:top w:val="none" w:sz="0" w:space="0" w:color="auto"/>
        <w:left w:val="none" w:sz="0" w:space="0" w:color="auto"/>
        <w:bottom w:val="none" w:sz="0" w:space="0" w:color="auto"/>
        <w:right w:val="none" w:sz="0" w:space="0" w:color="auto"/>
      </w:divBdr>
    </w:div>
    <w:div w:id="275867033">
      <w:bodyDiv w:val="1"/>
      <w:marLeft w:val="0"/>
      <w:marRight w:val="0"/>
      <w:marTop w:val="0"/>
      <w:marBottom w:val="0"/>
      <w:divBdr>
        <w:top w:val="none" w:sz="0" w:space="0" w:color="auto"/>
        <w:left w:val="none" w:sz="0" w:space="0" w:color="auto"/>
        <w:bottom w:val="none" w:sz="0" w:space="0" w:color="auto"/>
        <w:right w:val="none" w:sz="0" w:space="0" w:color="auto"/>
      </w:divBdr>
    </w:div>
    <w:div w:id="289941362">
      <w:bodyDiv w:val="1"/>
      <w:marLeft w:val="0"/>
      <w:marRight w:val="0"/>
      <w:marTop w:val="0"/>
      <w:marBottom w:val="0"/>
      <w:divBdr>
        <w:top w:val="none" w:sz="0" w:space="0" w:color="auto"/>
        <w:left w:val="none" w:sz="0" w:space="0" w:color="auto"/>
        <w:bottom w:val="none" w:sz="0" w:space="0" w:color="auto"/>
        <w:right w:val="none" w:sz="0" w:space="0" w:color="auto"/>
      </w:divBdr>
    </w:div>
    <w:div w:id="295915231">
      <w:bodyDiv w:val="1"/>
      <w:marLeft w:val="0"/>
      <w:marRight w:val="0"/>
      <w:marTop w:val="0"/>
      <w:marBottom w:val="0"/>
      <w:divBdr>
        <w:top w:val="none" w:sz="0" w:space="0" w:color="auto"/>
        <w:left w:val="none" w:sz="0" w:space="0" w:color="auto"/>
        <w:bottom w:val="none" w:sz="0" w:space="0" w:color="auto"/>
        <w:right w:val="none" w:sz="0" w:space="0" w:color="auto"/>
      </w:divBdr>
    </w:div>
    <w:div w:id="296230411">
      <w:bodyDiv w:val="1"/>
      <w:marLeft w:val="0"/>
      <w:marRight w:val="0"/>
      <w:marTop w:val="0"/>
      <w:marBottom w:val="0"/>
      <w:divBdr>
        <w:top w:val="none" w:sz="0" w:space="0" w:color="auto"/>
        <w:left w:val="none" w:sz="0" w:space="0" w:color="auto"/>
        <w:bottom w:val="none" w:sz="0" w:space="0" w:color="auto"/>
        <w:right w:val="none" w:sz="0" w:space="0" w:color="auto"/>
      </w:divBdr>
    </w:div>
    <w:div w:id="297229628">
      <w:bodyDiv w:val="1"/>
      <w:marLeft w:val="0"/>
      <w:marRight w:val="0"/>
      <w:marTop w:val="0"/>
      <w:marBottom w:val="0"/>
      <w:divBdr>
        <w:top w:val="none" w:sz="0" w:space="0" w:color="auto"/>
        <w:left w:val="none" w:sz="0" w:space="0" w:color="auto"/>
        <w:bottom w:val="none" w:sz="0" w:space="0" w:color="auto"/>
        <w:right w:val="none" w:sz="0" w:space="0" w:color="auto"/>
      </w:divBdr>
    </w:div>
    <w:div w:id="302665157">
      <w:bodyDiv w:val="1"/>
      <w:marLeft w:val="0"/>
      <w:marRight w:val="0"/>
      <w:marTop w:val="0"/>
      <w:marBottom w:val="0"/>
      <w:divBdr>
        <w:top w:val="none" w:sz="0" w:space="0" w:color="auto"/>
        <w:left w:val="none" w:sz="0" w:space="0" w:color="auto"/>
        <w:bottom w:val="none" w:sz="0" w:space="0" w:color="auto"/>
        <w:right w:val="none" w:sz="0" w:space="0" w:color="auto"/>
      </w:divBdr>
    </w:div>
    <w:div w:id="304359541">
      <w:bodyDiv w:val="1"/>
      <w:marLeft w:val="0"/>
      <w:marRight w:val="0"/>
      <w:marTop w:val="0"/>
      <w:marBottom w:val="0"/>
      <w:divBdr>
        <w:top w:val="none" w:sz="0" w:space="0" w:color="auto"/>
        <w:left w:val="none" w:sz="0" w:space="0" w:color="auto"/>
        <w:bottom w:val="none" w:sz="0" w:space="0" w:color="auto"/>
        <w:right w:val="none" w:sz="0" w:space="0" w:color="auto"/>
      </w:divBdr>
    </w:div>
    <w:div w:id="318771010">
      <w:bodyDiv w:val="1"/>
      <w:marLeft w:val="0"/>
      <w:marRight w:val="0"/>
      <w:marTop w:val="0"/>
      <w:marBottom w:val="0"/>
      <w:divBdr>
        <w:top w:val="none" w:sz="0" w:space="0" w:color="auto"/>
        <w:left w:val="none" w:sz="0" w:space="0" w:color="auto"/>
        <w:bottom w:val="none" w:sz="0" w:space="0" w:color="auto"/>
        <w:right w:val="none" w:sz="0" w:space="0" w:color="auto"/>
      </w:divBdr>
    </w:div>
    <w:div w:id="343634381">
      <w:bodyDiv w:val="1"/>
      <w:marLeft w:val="0"/>
      <w:marRight w:val="0"/>
      <w:marTop w:val="0"/>
      <w:marBottom w:val="0"/>
      <w:divBdr>
        <w:top w:val="none" w:sz="0" w:space="0" w:color="auto"/>
        <w:left w:val="none" w:sz="0" w:space="0" w:color="auto"/>
        <w:bottom w:val="none" w:sz="0" w:space="0" w:color="auto"/>
        <w:right w:val="none" w:sz="0" w:space="0" w:color="auto"/>
      </w:divBdr>
    </w:div>
    <w:div w:id="351414854">
      <w:bodyDiv w:val="1"/>
      <w:marLeft w:val="0"/>
      <w:marRight w:val="0"/>
      <w:marTop w:val="0"/>
      <w:marBottom w:val="0"/>
      <w:divBdr>
        <w:top w:val="none" w:sz="0" w:space="0" w:color="auto"/>
        <w:left w:val="none" w:sz="0" w:space="0" w:color="auto"/>
        <w:bottom w:val="none" w:sz="0" w:space="0" w:color="auto"/>
        <w:right w:val="none" w:sz="0" w:space="0" w:color="auto"/>
      </w:divBdr>
    </w:div>
    <w:div w:id="376903271">
      <w:bodyDiv w:val="1"/>
      <w:marLeft w:val="0"/>
      <w:marRight w:val="0"/>
      <w:marTop w:val="0"/>
      <w:marBottom w:val="0"/>
      <w:divBdr>
        <w:top w:val="none" w:sz="0" w:space="0" w:color="auto"/>
        <w:left w:val="none" w:sz="0" w:space="0" w:color="auto"/>
        <w:bottom w:val="none" w:sz="0" w:space="0" w:color="auto"/>
        <w:right w:val="none" w:sz="0" w:space="0" w:color="auto"/>
      </w:divBdr>
    </w:div>
    <w:div w:id="381486937">
      <w:bodyDiv w:val="1"/>
      <w:marLeft w:val="0"/>
      <w:marRight w:val="0"/>
      <w:marTop w:val="0"/>
      <w:marBottom w:val="0"/>
      <w:divBdr>
        <w:top w:val="none" w:sz="0" w:space="0" w:color="auto"/>
        <w:left w:val="none" w:sz="0" w:space="0" w:color="auto"/>
        <w:bottom w:val="none" w:sz="0" w:space="0" w:color="auto"/>
        <w:right w:val="none" w:sz="0" w:space="0" w:color="auto"/>
      </w:divBdr>
    </w:div>
    <w:div w:id="396822608">
      <w:bodyDiv w:val="1"/>
      <w:marLeft w:val="0"/>
      <w:marRight w:val="0"/>
      <w:marTop w:val="0"/>
      <w:marBottom w:val="0"/>
      <w:divBdr>
        <w:top w:val="none" w:sz="0" w:space="0" w:color="auto"/>
        <w:left w:val="none" w:sz="0" w:space="0" w:color="auto"/>
        <w:bottom w:val="none" w:sz="0" w:space="0" w:color="auto"/>
        <w:right w:val="none" w:sz="0" w:space="0" w:color="auto"/>
      </w:divBdr>
    </w:div>
    <w:div w:id="402603167">
      <w:bodyDiv w:val="1"/>
      <w:marLeft w:val="0"/>
      <w:marRight w:val="0"/>
      <w:marTop w:val="0"/>
      <w:marBottom w:val="0"/>
      <w:divBdr>
        <w:top w:val="none" w:sz="0" w:space="0" w:color="auto"/>
        <w:left w:val="none" w:sz="0" w:space="0" w:color="auto"/>
        <w:bottom w:val="none" w:sz="0" w:space="0" w:color="auto"/>
        <w:right w:val="none" w:sz="0" w:space="0" w:color="auto"/>
      </w:divBdr>
    </w:div>
    <w:div w:id="404451044">
      <w:bodyDiv w:val="1"/>
      <w:marLeft w:val="0"/>
      <w:marRight w:val="0"/>
      <w:marTop w:val="0"/>
      <w:marBottom w:val="0"/>
      <w:divBdr>
        <w:top w:val="none" w:sz="0" w:space="0" w:color="auto"/>
        <w:left w:val="none" w:sz="0" w:space="0" w:color="auto"/>
        <w:bottom w:val="none" w:sz="0" w:space="0" w:color="auto"/>
        <w:right w:val="none" w:sz="0" w:space="0" w:color="auto"/>
      </w:divBdr>
    </w:div>
    <w:div w:id="410199894">
      <w:bodyDiv w:val="1"/>
      <w:marLeft w:val="0"/>
      <w:marRight w:val="0"/>
      <w:marTop w:val="0"/>
      <w:marBottom w:val="0"/>
      <w:divBdr>
        <w:top w:val="none" w:sz="0" w:space="0" w:color="auto"/>
        <w:left w:val="none" w:sz="0" w:space="0" w:color="auto"/>
        <w:bottom w:val="none" w:sz="0" w:space="0" w:color="auto"/>
        <w:right w:val="none" w:sz="0" w:space="0" w:color="auto"/>
      </w:divBdr>
    </w:div>
    <w:div w:id="433019524">
      <w:bodyDiv w:val="1"/>
      <w:marLeft w:val="0"/>
      <w:marRight w:val="0"/>
      <w:marTop w:val="0"/>
      <w:marBottom w:val="0"/>
      <w:divBdr>
        <w:top w:val="none" w:sz="0" w:space="0" w:color="auto"/>
        <w:left w:val="none" w:sz="0" w:space="0" w:color="auto"/>
        <w:bottom w:val="none" w:sz="0" w:space="0" w:color="auto"/>
        <w:right w:val="none" w:sz="0" w:space="0" w:color="auto"/>
      </w:divBdr>
    </w:div>
    <w:div w:id="436221948">
      <w:bodyDiv w:val="1"/>
      <w:marLeft w:val="0"/>
      <w:marRight w:val="0"/>
      <w:marTop w:val="0"/>
      <w:marBottom w:val="0"/>
      <w:divBdr>
        <w:top w:val="none" w:sz="0" w:space="0" w:color="auto"/>
        <w:left w:val="none" w:sz="0" w:space="0" w:color="auto"/>
        <w:bottom w:val="none" w:sz="0" w:space="0" w:color="auto"/>
        <w:right w:val="none" w:sz="0" w:space="0" w:color="auto"/>
      </w:divBdr>
    </w:div>
    <w:div w:id="439179407">
      <w:bodyDiv w:val="1"/>
      <w:marLeft w:val="0"/>
      <w:marRight w:val="0"/>
      <w:marTop w:val="0"/>
      <w:marBottom w:val="0"/>
      <w:divBdr>
        <w:top w:val="none" w:sz="0" w:space="0" w:color="auto"/>
        <w:left w:val="none" w:sz="0" w:space="0" w:color="auto"/>
        <w:bottom w:val="none" w:sz="0" w:space="0" w:color="auto"/>
        <w:right w:val="none" w:sz="0" w:space="0" w:color="auto"/>
      </w:divBdr>
    </w:div>
    <w:div w:id="444230272">
      <w:bodyDiv w:val="1"/>
      <w:marLeft w:val="0"/>
      <w:marRight w:val="0"/>
      <w:marTop w:val="0"/>
      <w:marBottom w:val="0"/>
      <w:divBdr>
        <w:top w:val="none" w:sz="0" w:space="0" w:color="auto"/>
        <w:left w:val="none" w:sz="0" w:space="0" w:color="auto"/>
        <w:bottom w:val="none" w:sz="0" w:space="0" w:color="auto"/>
        <w:right w:val="none" w:sz="0" w:space="0" w:color="auto"/>
      </w:divBdr>
    </w:div>
    <w:div w:id="446394363">
      <w:bodyDiv w:val="1"/>
      <w:marLeft w:val="0"/>
      <w:marRight w:val="0"/>
      <w:marTop w:val="0"/>
      <w:marBottom w:val="0"/>
      <w:divBdr>
        <w:top w:val="none" w:sz="0" w:space="0" w:color="auto"/>
        <w:left w:val="none" w:sz="0" w:space="0" w:color="auto"/>
        <w:bottom w:val="none" w:sz="0" w:space="0" w:color="auto"/>
        <w:right w:val="none" w:sz="0" w:space="0" w:color="auto"/>
      </w:divBdr>
    </w:div>
    <w:div w:id="446777390">
      <w:bodyDiv w:val="1"/>
      <w:marLeft w:val="0"/>
      <w:marRight w:val="0"/>
      <w:marTop w:val="0"/>
      <w:marBottom w:val="0"/>
      <w:divBdr>
        <w:top w:val="none" w:sz="0" w:space="0" w:color="auto"/>
        <w:left w:val="none" w:sz="0" w:space="0" w:color="auto"/>
        <w:bottom w:val="none" w:sz="0" w:space="0" w:color="auto"/>
        <w:right w:val="none" w:sz="0" w:space="0" w:color="auto"/>
      </w:divBdr>
    </w:div>
    <w:div w:id="451946541">
      <w:bodyDiv w:val="1"/>
      <w:marLeft w:val="0"/>
      <w:marRight w:val="0"/>
      <w:marTop w:val="0"/>
      <w:marBottom w:val="0"/>
      <w:divBdr>
        <w:top w:val="none" w:sz="0" w:space="0" w:color="auto"/>
        <w:left w:val="none" w:sz="0" w:space="0" w:color="auto"/>
        <w:bottom w:val="none" w:sz="0" w:space="0" w:color="auto"/>
        <w:right w:val="none" w:sz="0" w:space="0" w:color="auto"/>
      </w:divBdr>
    </w:div>
    <w:div w:id="475605516">
      <w:bodyDiv w:val="1"/>
      <w:marLeft w:val="0"/>
      <w:marRight w:val="0"/>
      <w:marTop w:val="0"/>
      <w:marBottom w:val="0"/>
      <w:divBdr>
        <w:top w:val="none" w:sz="0" w:space="0" w:color="auto"/>
        <w:left w:val="none" w:sz="0" w:space="0" w:color="auto"/>
        <w:bottom w:val="none" w:sz="0" w:space="0" w:color="auto"/>
        <w:right w:val="none" w:sz="0" w:space="0" w:color="auto"/>
      </w:divBdr>
    </w:div>
    <w:div w:id="498421888">
      <w:bodyDiv w:val="1"/>
      <w:marLeft w:val="0"/>
      <w:marRight w:val="0"/>
      <w:marTop w:val="0"/>
      <w:marBottom w:val="0"/>
      <w:divBdr>
        <w:top w:val="none" w:sz="0" w:space="0" w:color="auto"/>
        <w:left w:val="none" w:sz="0" w:space="0" w:color="auto"/>
        <w:bottom w:val="none" w:sz="0" w:space="0" w:color="auto"/>
        <w:right w:val="none" w:sz="0" w:space="0" w:color="auto"/>
      </w:divBdr>
    </w:div>
    <w:div w:id="504589126">
      <w:bodyDiv w:val="1"/>
      <w:marLeft w:val="0"/>
      <w:marRight w:val="0"/>
      <w:marTop w:val="0"/>
      <w:marBottom w:val="0"/>
      <w:divBdr>
        <w:top w:val="none" w:sz="0" w:space="0" w:color="auto"/>
        <w:left w:val="none" w:sz="0" w:space="0" w:color="auto"/>
        <w:bottom w:val="none" w:sz="0" w:space="0" w:color="auto"/>
        <w:right w:val="none" w:sz="0" w:space="0" w:color="auto"/>
      </w:divBdr>
    </w:div>
    <w:div w:id="517238406">
      <w:bodyDiv w:val="1"/>
      <w:marLeft w:val="0"/>
      <w:marRight w:val="0"/>
      <w:marTop w:val="0"/>
      <w:marBottom w:val="0"/>
      <w:divBdr>
        <w:top w:val="none" w:sz="0" w:space="0" w:color="auto"/>
        <w:left w:val="none" w:sz="0" w:space="0" w:color="auto"/>
        <w:bottom w:val="none" w:sz="0" w:space="0" w:color="auto"/>
        <w:right w:val="none" w:sz="0" w:space="0" w:color="auto"/>
      </w:divBdr>
    </w:div>
    <w:div w:id="518930325">
      <w:bodyDiv w:val="1"/>
      <w:marLeft w:val="0"/>
      <w:marRight w:val="0"/>
      <w:marTop w:val="0"/>
      <w:marBottom w:val="0"/>
      <w:divBdr>
        <w:top w:val="none" w:sz="0" w:space="0" w:color="auto"/>
        <w:left w:val="none" w:sz="0" w:space="0" w:color="auto"/>
        <w:bottom w:val="none" w:sz="0" w:space="0" w:color="auto"/>
        <w:right w:val="none" w:sz="0" w:space="0" w:color="auto"/>
      </w:divBdr>
    </w:div>
    <w:div w:id="519855493">
      <w:bodyDiv w:val="1"/>
      <w:marLeft w:val="0"/>
      <w:marRight w:val="0"/>
      <w:marTop w:val="0"/>
      <w:marBottom w:val="0"/>
      <w:divBdr>
        <w:top w:val="none" w:sz="0" w:space="0" w:color="auto"/>
        <w:left w:val="none" w:sz="0" w:space="0" w:color="auto"/>
        <w:bottom w:val="none" w:sz="0" w:space="0" w:color="auto"/>
        <w:right w:val="none" w:sz="0" w:space="0" w:color="auto"/>
      </w:divBdr>
    </w:div>
    <w:div w:id="523330885">
      <w:bodyDiv w:val="1"/>
      <w:marLeft w:val="0"/>
      <w:marRight w:val="0"/>
      <w:marTop w:val="0"/>
      <w:marBottom w:val="0"/>
      <w:divBdr>
        <w:top w:val="none" w:sz="0" w:space="0" w:color="auto"/>
        <w:left w:val="none" w:sz="0" w:space="0" w:color="auto"/>
        <w:bottom w:val="none" w:sz="0" w:space="0" w:color="auto"/>
        <w:right w:val="none" w:sz="0" w:space="0" w:color="auto"/>
      </w:divBdr>
    </w:div>
    <w:div w:id="544026126">
      <w:bodyDiv w:val="1"/>
      <w:marLeft w:val="0"/>
      <w:marRight w:val="0"/>
      <w:marTop w:val="0"/>
      <w:marBottom w:val="0"/>
      <w:divBdr>
        <w:top w:val="none" w:sz="0" w:space="0" w:color="auto"/>
        <w:left w:val="none" w:sz="0" w:space="0" w:color="auto"/>
        <w:bottom w:val="none" w:sz="0" w:space="0" w:color="auto"/>
        <w:right w:val="none" w:sz="0" w:space="0" w:color="auto"/>
      </w:divBdr>
    </w:div>
    <w:div w:id="552272893">
      <w:bodyDiv w:val="1"/>
      <w:marLeft w:val="0"/>
      <w:marRight w:val="0"/>
      <w:marTop w:val="0"/>
      <w:marBottom w:val="0"/>
      <w:divBdr>
        <w:top w:val="none" w:sz="0" w:space="0" w:color="auto"/>
        <w:left w:val="none" w:sz="0" w:space="0" w:color="auto"/>
        <w:bottom w:val="none" w:sz="0" w:space="0" w:color="auto"/>
        <w:right w:val="none" w:sz="0" w:space="0" w:color="auto"/>
      </w:divBdr>
    </w:div>
    <w:div w:id="562640967">
      <w:bodyDiv w:val="1"/>
      <w:marLeft w:val="0"/>
      <w:marRight w:val="0"/>
      <w:marTop w:val="0"/>
      <w:marBottom w:val="0"/>
      <w:divBdr>
        <w:top w:val="none" w:sz="0" w:space="0" w:color="auto"/>
        <w:left w:val="none" w:sz="0" w:space="0" w:color="auto"/>
        <w:bottom w:val="none" w:sz="0" w:space="0" w:color="auto"/>
        <w:right w:val="none" w:sz="0" w:space="0" w:color="auto"/>
      </w:divBdr>
    </w:div>
    <w:div w:id="572005426">
      <w:bodyDiv w:val="1"/>
      <w:marLeft w:val="0"/>
      <w:marRight w:val="0"/>
      <w:marTop w:val="0"/>
      <w:marBottom w:val="0"/>
      <w:divBdr>
        <w:top w:val="none" w:sz="0" w:space="0" w:color="auto"/>
        <w:left w:val="none" w:sz="0" w:space="0" w:color="auto"/>
        <w:bottom w:val="none" w:sz="0" w:space="0" w:color="auto"/>
        <w:right w:val="none" w:sz="0" w:space="0" w:color="auto"/>
      </w:divBdr>
    </w:div>
    <w:div w:id="586039989">
      <w:bodyDiv w:val="1"/>
      <w:marLeft w:val="0"/>
      <w:marRight w:val="0"/>
      <w:marTop w:val="0"/>
      <w:marBottom w:val="0"/>
      <w:divBdr>
        <w:top w:val="none" w:sz="0" w:space="0" w:color="auto"/>
        <w:left w:val="none" w:sz="0" w:space="0" w:color="auto"/>
        <w:bottom w:val="none" w:sz="0" w:space="0" w:color="auto"/>
        <w:right w:val="none" w:sz="0" w:space="0" w:color="auto"/>
      </w:divBdr>
    </w:div>
    <w:div w:id="620768264">
      <w:bodyDiv w:val="1"/>
      <w:marLeft w:val="0"/>
      <w:marRight w:val="0"/>
      <w:marTop w:val="0"/>
      <w:marBottom w:val="0"/>
      <w:divBdr>
        <w:top w:val="none" w:sz="0" w:space="0" w:color="auto"/>
        <w:left w:val="none" w:sz="0" w:space="0" w:color="auto"/>
        <w:bottom w:val="none" w:sz="0" w:space="0" w:color="auto"/>
        <w:right w:val="none" w:sz="0" w:space="0" w:color="auto"/>
      </w:divBdr>
    </w:div>
    <w:div w:id="621881370">
      <w:bodyDiv w:val="1"/>
      <w:marLeft w:val="0"/>
      <w:marRight w:val="0"/>
      <w:marTop w:val="0"/>
      <w:marBottom w:val="0"/>
      <w:divBdr>
        <w:top w:val="none" w:sz="0" w:space="0" w:color="auto"/>
        <w:left w:val="none" w:sz="0" w:space="0" w:color="auto"/>
        <w:bottom w:val="none" w:sz="0" w:space="0" w:color="auto"/>
        <w:right w:val="none" w:sz="0" w:space="0" w:color="auto"/>
      </w:divBdr>
    </w:div>
    <w:div w:id="629239899">
      <w:bodyDiv w:val="1"/>
      <w:marLeft w:val="0"/>
      <w:marRight w:val="0"/>
      <w:marTop w:val="0"/>
      <w:marBottom w:val="0"/>
      <w:divBdr>
        <w:top w:val="none" w:sz="0" w:space="0" w:color="auto"/>
        <w:left w:val="none" w:sz="0" w:space="0" w:color="auto"/>
        <w:bottom w:val="none" w:sz="0" w:space="0" w:color="auto"/>
        <w:right w:val="none" w:sz="0" w:space="0" w:color="auto"/>
      </w:divBdr>
    </w:div>
    <w:div w:id="639850003">
      <w:bodyDiv w:val="1"/>
      <w:marLeft w:val="0"/>
      <w:marRight w:val="0"/>
      <w:marTop w:val="0"/>
      <w:marBottom w:val="0"/>
      <w:divBdr>
        <w:top w:val="none" w:sz="0" w:space="0" w:color="auto"/>
        <w:left w:val="none" w:sz="0" w:space="0" w:color="auto"/>
        <w:bottom w:val="none" w:sz="0" w:space="0" w:color="auto"/>
        <w:right w:val="none" w:sz="0" w:space="0" w:color="auto"/>
      </w:divBdr>
    </w:div>
    <w:div w:id="640041909">
      <w:bodyDiv w:val="1"/>
      <w:marLeft w:val="0"/>
      <w:marRight w:val="0"/>
      <w:marTop w:val="0"/>
      <w:marBottom w:val="0"/>
      <w:divBdr>
        <w:top w:val="none" w:sz="0" w:space="0" w:color="auto"/>
        <w:left w:val="none" w:sz="0" w:space="0" w:color="auto"/>
        <w:bottom w:val="none" w:sz="0" w:space="0" w:color="auto"/>
        <w:right w:val="none" w:sz="0" w:space="0" w:color="auto"/>
      </w:divBdr>
    </w:div>
    <w:div w:id="650257187">
      <w:bodyDiv w:val="1"/>
      <w:marLeft w:val="0"/>
      <w:marRight w:val="0"/>
      <w:marTop w:val="0"/>
      <w:marBottom w:val="0"/>
      <w:divBdr>
        <w:top w:val="none" w:sz="0" w:space="0" w:color="auto"/>
        <w:left w:val="none" w:sz="0" w:space="0" w:color="auto"/>
        <w:bottom w:val="none" w:sz="0" w:space="0" w:color="auto"/>
        <w:right w:val="none" w:sz="0" w:space="0" w:color="auto"/>
      </w:divBdr>
    </w:div>
    <w:div w:id="668680761">
      <w:bodyDiv w:val="1"/>
      <w:marLeft w:val="0"/>
      <w:marRight w:val="0"/>
      <w:marTop w:val="0"/>
      <w:marBottom w:val="0"/>
      <w:divBdr>
        <w:top w:val="none" w:sz="0" w:space="0" w:color="auto"/>
        <w:left w:val="none" w:sz="0" w:space="0" w:color="auto"/>
        <w:bottom w:val="none" w:sz="0" w:space="0" w:color="auto"/>
        <w:right w:val="none" w:sz="0" w:space="0" w:color="auto"/>
      </w:divBdr>
    </w:div>
    <w:div w:id="672223933">
      <w:bodyDiv w:val="1"/>
      <w:marLeft w:val="0"/>
      <w:marRight w:val="0"/>
      <w:marTop w:val="0"/>
      <w:marBottom w:val="0"/>
      <w:divBdr>
        <w:top w:val="none" w:sz="0" w:space="0" w:color="auto"/>
        <w:left w:val="none" w:sz="0" w:space="0" w:color="auto"/>
        <w:bottom w:val="none" w:sz="0" w:space="0" w:color="auto"/>
        <w:right w:val="none" w:sz="0" w:space="0" w:color="auto"/>
      </w:divBdr>
    </w:div>
    <w:div w:id="690572965">
      <w:bodyDiv w:val="1"/>
      <w:marLeft w:val="0"/>
      <w:marRight w:val="0"/>
      <w:marTop w:val="0"/>
      <w:marBottom w:val="0"/>
      <w:divBdr>
        <w:top w:val="none" w:sz="0" w:space="0" w:color="auto"/>
        <w:left w:val="none" w:sz="0" w:space="0" w:color="auto"/>
        <w:bottom w:val="none" w:sz="0" w:space="0" w:color="auto"/>
        <w:right w:val="none" w:sz="0" w:space="0" w:color="auto"/>
      </w:divBdr>
    </w:div>
    <w:div w:id="700907618">
      <w:bodyDiv w:val="1"/>
      <w:marLeft w:val="0"/>
      <w:marRight w:val="0"/>
      <w:marTop w:val="0"/>
      <w:marBottom w:val="0"/>
      <w:divBdr>
        <w:top w:val="none" w:sz="0" w:space="0" w:color="auto"/>
        <w:left w:val="none" w:sz="0" w:space="0" w:color="auto"/>
        <w:bottom w:val="none" w:sz="0" w:space="0" w:color="auto"/>
        <w:right w:val="none" w:sz="0" w:space="0" w:color="auto"/>
      </w:divBdr>
    </w:div>
    <w:div w:id="701174232">
      <w:bodyDiv w:val="1"/>
      <w:marLeft w:val="0"/>
      <w:marRight w:val="0"/>
      <w:marTop w:val="0"/>
      <w:marBottom w:val="0"/>
      <w:divBdr>
        <w:top w:val="none" w:sz="0" w:space="0" w:color="auto"/>
        <w:left w:val="none" w:sz="0" w:space="0" w:color="auto"/>
        <w:bottom w:val="none" w:sz="0" w:space="0" w:color="auto"/>
        <w:right w:val="none" w:sz="0" w:space="0" w:color="auto"/>
      </w:divBdr>
    </w:div>
    <w:div w:id="725757271">
      <w:bodyDiv w:val="1"/>
      <w:marLeft w:val="0"/>
      <w:marRight w:val="0"/>
      <w:marTop w:val="0"/>
      <w:marBottom w:val="0"/>
      <w:divBdr>
        <w:top w:val="none" w:sz="0" w:space="0" w:color="auto"/>
        <w:left w:val="none" w:sz="0" w:space="0" w:color="auto"/>
        <w:bottom w:val="none" w:sz="0" w:space="0" w:color="auto"/>
        <w:right w:val="none" w:sz="0" w:space="0" w:color="auto"/>
      </w:divBdr>
    </w:div>
    <w:div w:id="746615801">
      <w:bodyDiv w:val="1"/>
      <w:marLeft w:val="0"/>
      <w:marRight w:val="0"/>
      <w:marTop w:val="0"/>
      <w:marBottom w:val="0"/>
      <w:divBdr>
        <w:top w:val="none" w:sz="0" w:space="0" w:color="auto"/>
        <w:left w:val="none" w:sz="0" w:space="0" w:color="auto"/>
        <w:bottom w:val="none" w:sz="0" w:space="0" w:color="auto"/>
        <w:right w:val="none" w:sz="0" w:space="0" w:color="auto"/>
      </w:divBdr>
    </w:div>
    <w:div w:id="772286264">
      <w:bodyDiv w:val="1"/>
      <w:marLeft w:val="0"/>
      <w:marRight w:val="0"/>
      <w:marTop w:val="0"/>
      <w:marBottom w:val="0"/>
      <w:divBdr>
        <w:top w:val="none" w:sz="0" w:space="0" w:color="auto"/>
        <w:left w:val="none" w:sz="0" w:space="0" w:color="auto"/>
        <w:bottom w:val="none" w:sz="0" w:space="0" w:color="auto"/>
        <w:right w:val="none" w:sz="0" w:space="0" w:color="auto"/>
      </w:divBdr>
    </w:div>
    <w:div w:id="773286314">
      <w:bodyDiv w:val="1"/>
      <w:marLeft w:val="0"/>
      <w:marRight w:val="0"/>
      <w:marTop w:val="0"/>
      <w:marBottom w:val="0"/>
      <w:divBdr>
        <w:top w:val="none" w:sz="0" w:space="0" w:color="auto"/>
        <w:left w:val="none" w:sz="0" w:space="0" w:color="auto"/>
        <w:bottom w:val="none" w:sz="0" w:space="0" w:color="auto"/>
        <w:right w:val="none" w:sz="0" w:space="0" w:color="auto"/>
      </w:divBdr>
    </w:div>
    <w:div w:id="773326421">
      <w:bodyDiv w:val="1"/>
      <w:marLeft w:val="0"/>
      <w:marRight w:val="0"/>
      <w:marTop w:val="0"/>
      <w:marBottom w:val="0"/>
      <w:divBdr>
        <w:top w:val="none" w:sz="0" w:space="0" w:color="auto"/>
        <w:left w:val="none" w:sz="0" w:space="0" w:color="auto"/>
        <w:bottom w:val="none" w:sz="0" w:space="0" w:color="auto"/>
        <w:right w:val="none" w:sz="0" w:space="0" w:color="auto"/>
      </w:divBdr>
    </w:div>
    <w:div w:id="799500633">
      <w:bodyDiv w:val="1"/>
      <w:marLeft w:val="0"/>
      <w:marRight w:val="0"/>
      <w:marTop w:val="0"/>
      <w:marBottom w:val="0"/>
      <w:divBdr>
        <w:top w:val="none" w:sz="0" w:space="0" w:color="auto"/>
        <w:left w:val="none" w:sz="0" w:space="0" w:color="auto"/>
        <w:bottom w:val="none" w:sz="0" w:space="0" w:color="auto"/>
        <w:right w:val="none" w:sz="0" w:space="0" w:color="auto"/>
      </w:divBdr>
    </w:div>
    <w:div w:id="801734298">
      <w:bodyDiv w:val="1"/>
      <w:marLeft w:val="0"/>
      <w:marRight w:val="0"/>
      <w:marTop w:val="0"/>
      <w:marBottom w:val="0"/>
      <w:divBdr>
        <w:top w:val="none" w:sz="0" w:space="0" w:color="auto"/>
        <w:left w:val="none" w:sz="0" w:space="0" w:color="auto"/>
        <w:bottom w:val="none" w:sz="0" w:space="0" w:color="auto"/>
        <w:right w:val="none" w:sz="0" w:space="0" w:color="auto"/>
      </w:divBdr>
    </w:div>
    <w:div w:id="810094438">
      <w:bodyDiv w:val="1"/>
      <w:marLeft w:val="0"/>
      <w:marRight w:val="0"/>
      <w:marTop w:val="0"/>
      <w:marBottom w:val="0"/>
      <w:divBdr>
        <w:top w:val="none" w:sz="0" w:space="0" w:color="auto"/>
        <w:left w:val="none" w:sz="0" w:space="0" w:color="auto"/>
        <w:bottom w:val="none" w:sz="0" w:space="0" w:color="auto"/>
        <w:right w:val="none" w:sz="0" w:space="0" w:color="auto"/>
      </w:divBdr>
    </w:div>
    <w:div w:id="823811965">
      <w:bodyDiv w:val="1"/>
      <w:marLeft w:val="0"/>
      <w:marRight w:val="0"/>
      <w:marTop w:val="0"/>
      <w:marBottom w:val="0"/>
      <w:divBdr>
        <w:top w:val="none" w:sz="0" w:space="0" w:color="auto"/>
        <w:left w:val="none" w:sz="0" w:space="0" w:color="auto"/>
        <w:bottom w:val="none" w:sz="0" w:space="0" w:color="auto"/>
        <w:right w:val="none" w:sz="0" w:space="0" w:color="auto"/>
      </w:divBdr>
    </w:div>
    <w:div w:id="824470767">
      <w:bodyDiv w:val="1"/>
      <w:marLeft w:val="0"/>
      <w:marRight w:val="0"/>
      <w:marTop w:val="0"/>
      <w:marBottom w:val="0"/>
      <w:divBdr>
        <w:top w:val="none" w:sz="0" w:space="0" w:color="auto"/>
        <w:left w:val="none" w:sz="0" w:space="0" w:color="auto"/>
        <w:bottom w:val="none" w:sz="0" w:space="0" w:color="auto"/>
        <w:right w:val="none" w:sz="0" w:space="0" w:color="auto"/>
      </w:divBdr>
    </w:div>
    <w:div w:id="838078566">
      <w:bodyDiv w:val="1"/>
      <w:marLeft w:val="0"/>
      <w:marRight w:val="0"/>
      <w:marTop w:val="0"/>
      <w:marBottom w:val="0"/>
      <w:divBdr>
        <w:top w:val="none" w:sz="0" w:space="0" w:color="auto"/>
        <w:left w:val="none" w:sz="0" w:space="0" w:color="auto"/>
        <w:bottom w:val="none" w:sz="0" w:space="0" w:color="auto"/>
        <w:right w:val="none" w:sz="0" w:space="0" w:color="auto"/>
      </w:divBdr>
    </w:div>
    <w:div w:id="841092991">
      <w:bodyDiv w:val="1"/>
      <w:marLeft w:val="0"/>
      <w:marRight w:val="0"/>
      <w:marTop w:val="0"/>
      <w:marBottom w:val="0"/>
      <w:divBdr>
        <w:top w:val="none" w:sz="0" w:space="0" w:color="auto"/>
        <w:left w:val="none" w:sz="0" w:space="0" w:color="auto"/>
        <w:bottom w:val="none" w:sz="0" w:space="0" w:color="auto"/>
        <w:right w:val="none" w:sz="0" w:space="0" w:color="auto"/>
      </w:divBdr>
    </w:div>
    <w:div w:id="842823026">
      <w:bodyDiv w:val="1"/>
      <w:marLeft w:val="0"/>
      <w:marRight w:val="0"/>
      <w:marTop w:val="0"/>
      <w:marBottom w:val="0"/>
      <w:divBdr>
        <w:top w:val="none" w:sz="0" w:space="0" w:color="auto"/>
        <w:left w:val="none" w:sz="0" w:space="0" w:color="auto"/>
        <w:bottom w:val="none" w:sz="0" w:space="0" w:color="auto"/>
        <w:right w:val="none" w:sz="0" w:space="0" w:color="auto"/>
      </w:divBdr>
    </w:div>
    <w:div w:id="856501827">
      <w:bodyDiv w:val="1"/>
      <w:marLeft w:val="0"/>
      <w:marRight w:val="0"/>
      <w:marTop w:val="0"/>
      <w:marBottom w:val="0"/>
      <w:divBdr>
        <w:top w:val="none" w:sz="0" w:space="0" w:color="auto"/>
        <w:left w:val="none" w:sz="0" w:space="0" w:color="auto"/>
        <w:bottom w:val="none" w:sz="0" w:space="0" w:color="auto"/>
        <w:right w:val="none" w:sz="0" w:space="0" w:color="auto"/>
      </w:divBdr>
    </w:div>
    <w:div w:id="856505071">
      <w:bodyDiv w:val="1"/>
      <w:marLeft w:val="0"/>
      <w:marRight w:val="0"/>
      <w:marTop w:val="0"/>
      <w:marBottom w:val="0"/>
      <w:divBdr>
        <w:top w:val="none" w:sz="0" w:space="0" w:color="auto"/>
        <w:left w:val="none" w:sz="0" w:space="0" w:color="auto"/>
        <w:bottom w:val="none" w:sz="0" w:space="0" w:color="auto"/>
        <w:right w:val="none" w:sz="0" w:space="0" w:color="auto"/>
      </w:divBdr>
    </w:div>
    <w:div w:id="860902035">
      <w:bodyDiv w:val="1"/>
      <w:marLeft w:val="0"/>
      <w:marRight w:val="0"/>
      <w:marTop w:val="0"/>
      <w:marBottom w:val="0"/>
      <w:divBdr>
        <w:top w:val="none" w:sz="0" w:space="0" w:color="auto"/>
        <w:left w:val="none" w:sz="0" w:space="0" w:color="auto"/>
        <w:bottom w:val="none" w:sz="0" w:space="0" w:color="auto"/>
        <w:right w:val="none" w:sz="0" w:space="0" w:color="auto"/>
      </w:divBdr>
    </w:div>
    <w:div w:id="866480319">
      <w:bodyDiv w:val="1"/>
      <w:marLeft w:val="0"/>
      <w:marRight w:val="0"/>
      <w:marTop w:val="0"/>
      <w:marBottom w:val="0"/>
      <w:divBdr>
        <w:top w:val="none" w:sz="0" w:space="0" w:color="auto"/>
        <w:left w:val="none" w:sz="0" w:space="0" w:color="auto"/>
        <w:bottom w:val="none" w:sz="0" w:space="0" w:color="auto"/>
        <w:right w:val="none" w:sz="0" w:space="0" w:color="auto"/>
      </w:divBdr>
    </w:div>
    <w:div w:id="877857502">
      <w:bodyDiv w:val="1"/>
      <w:marLeft w:val="0"/>
      <w:marRight w:val="0"/>
      <w:marTop w:val="0"/>
      <w:marBottom w:val="0"/>
      <w:divBdr>
        <w:top w:val="none" w:sz="0" w:space="0" w:color="auto"/>
        <w:left w:val="none" w:sz="0" w:space="0" w:color="auto"/>
        <w:bottom w:val="none" w:sz="0" w:space="0" w:color="auto"/>
        <w:right w:val="none" w:sz="0" w:space="0" w:color="auto"/>
      </w:divBdr>
    </w:div>
    <w:div w:id="878514709">
      <w:bodyDiv w:val="1"/>
      <w:marLeft w:val="0"/>
      <w:marRight w:val="0"/>
      <w:marTop w:val="0"/>
      <w:marBottom w:val="0"/>
      <w:divBdr>
        <w:top w:val="none" w:sz="0" w:space="0" w:color="auto"/>
        <w:left w:val="none" w:sz="0" w:space="0" w:color="auto"/>
        <w:bottom w:val="none" w:sz="0" w:space="0" w:color="auto"/>
        <w:right w:val="none" w:sz="0" w:space="0" w:color="auto"/>
      </w:divBdr>
    </w:div>
    <w:div w:id="879711020">
      <w:bodyDiv w:val="1"/>
      <w:marLeft w:val="0"/>
      <w:marRight w:val="0"/>
      <w:marTop w:val="0"/>
      <w:marBottom w:val="0"/>
      <w:divBdr>
        <w:top w:val="none" w:sz="0" w:space="0" w:color="auto"/>
        <w:left w:val="none" w:sz="0" w:space="0" w:color="auto"/>
        <w:bottom w:val="none" w:sz="0" w:space="0" w:color="auto"/>
        <w:right w:val="none" w:sz="0" w:space="0" w:color="auto"/>
      </w:divBdr>
    </w:div>
    <w:div w:id="894969207">
      <w:bodyDiv w:val="1"/>
      <w:marLeft w:val="0"/>
      <w:marRight w:val="0"/>
      <w:marTop w:val="0"/>
      <w:marBottom w:val="0"/>
      <w:divBdr>
        <w:top w:val="none" w:sz="0" w:space="0" w:color="auto"/>
        <w:left w:val="none" w:sz="0" w:space="0" w:color="auto"/>
        <w:bottom w:val="none" w:sz="0" w:space="0" w:color="auto"/>
        <w:right w:val="none" w:sz="0" w:space="0" w:color="auto"/>
      </w:divBdr>
    </w:div>
    <w:div w:id="898639119">
      <w:bodyDiv w:val="1"/>
      <w:marLeft w:val="0"/>
      <w:marRight w:val="0"/>
      <w:marTop w:val="0"/>
      <w:marBottom w:val="0"/>
      <w:divBdr>
        <w:top w:val="none" w:sz="0" w:space="0" w:color="auto"/>
        <w:left w:val="none" w:sz="0" w:space="0" w:color="auto"/>
        <w:bottom w:val="none" w:sz="0" w:space="0" w:color="auto"/>
        <w:right w:val="none" w:sz="0" w:space="0" w:color="auto"/>
      </w:divBdr>
    </w:div>
    <w:div w:id="914899245">
      <w:bodyDiv w:val="1"/>
      <w:marLeft w:val="0"/>
      <w:marRight w:val="0"/>
      <w:marTop w:val="0"/>
      <w:marBottom w:val="0"/>
      <w:divBdr>
        <w:top w:val="none" w:sz="0" w:space="0" w:color="auto"/>
        <w:left w:val="none" w:sz="0" w:space="0" w:color="auto"/>
        <w:bottom w:val="none" w:sz="0" w:space="0" w:color="auto"/>
        <w:right w:val="none" w:sz="0" w:space="0" w:color="auto"/>
      </w:divBdr>
    </w:div>
    <w:div w:id="918562192">
      <w:bodyDiv w:val="1"/>
      <w:marLeft w:val="0"/>
      <w:marRight w:val="0"/>
      <w:marTop w:val="0"/>
      <w:marBottom w:val="0"/>
      <w:divBdr>
        <w:top w:val="none" w:sz="0" w:space="0" w:color="auto"/>
        <w:left w:val="none" w:sz="0" w:space="0" w:color="auto"/>
        <w:bottom w:val="none" w:sz="0" w:space="0" w:color="auto"/>
        <w:right w:val="none" w:sz="0" w:space="0" w:color="auto"/>
      </w:divBdr>
    </w:div>
    <w:div w:id="922300606">
      <w:bodyDiv w:val="1"/>
      <w:marLeft w:val="0"/>
      <w:marRight w:val="0"/>
      <w:marTop w:val="0"/>
      <w:marBottom w:val="0"/>
      <w:divBdr>
        <w:top w:val="none" w:sz="0" w:space="0" w:color="auto"/>
        <w:left w:val="none" w:sz="0" w:space="0" w:color="auto"/>
        <w:bottom w:val="none" w:sz="0" w:space="0" w:color="auto"/>
        <w:right w:val="none" w:sz="0" w:space="0" w:color="auto"/>
      </w:divBdr>
    </w:div>
    <w:div w:id="941180451">
      <w:bodyDiv w:val="1"/>
      <w:marLeft w:val="0"/>
      <w:marRight w:val="0"/>
      <w:marTop w:val="0"/>
      <w:marBottom w:val="0"/>
      <w:divBdr>
        <w:top w:val="none" w:sz="0" w:space="0" w:color="auto"/>
        <w:left w:val="none" w:sz="0" w:space="0" w:color="auto"/>
        <w:bottom w:val="none" w:sz="0" w:space="0" w:color="auto"/>
        <w:right w:val="none" w:sz="0" w:space="0" w:color="auto"/>
      </w:divBdr>
    </w:div>
    <w:div w:id="944652780">
      <w:bodyDiv w:val="1"/>
      <w:marLeft w:val="0"/>
      <w:marRight w:val="0"/>
      <w:marTop w:val="0"/>
      <w:marBottom w:val="0"/>
      <w:divBdr>
        <w:top w:val="none" w:sz="0" w:space="0" w:color="auto"/>
        <w:left w:val="none" w:sz="0" w:space="0" w:color="auto"/>
        <w:bottom w:val="none" w:sz="0" w:space="0" w:color="auto"/>
        <w:right w:val="none" w:sz="0" w:space="0" w:color="auto"/>
      </w:divBdr>
    </w:div>
    <w:div w:id="950624167">
      <w:bodyDiv w:val="1"/>
      <w:marLeft w:val="0"/>
      <w:marRight w:val="0"/>
      <w:marTop w:val="0"/>
      <w:marBottom w:val="0"/>
      <w:divBdr>
        <w:top w:val="none" w:sz="0" w:space="0" w:color="auto"/>
        <w:left w:val="none" w:sz="0" w:space="0" w:color="auto"/>
        <w:bottom w:val="none" w:sz="0" w:space="0" w:color="auto"/>
        <w:right w:val="none" w:sz="0" w:space="0" w:color="auto"/>
      </w:divBdr>
    </w:div>
    <w:div w:id="969943394">
      <w:bodyDiv w:val="1"/>
      <w:marLeft w:val="0"/>
      <w:marRight w:val="0"/>
      <w:marTop w:val="0"/>
      <w:marBottom w:val="0"/>
      <w:divBdr>
        <w:top w:val="none" w:sz="0" w:space="0" w:color="auto"/>
        <w:left w:val="none" w:sz="0" w:space="0" w:color="auto"/>
        <w:bottom w:val="none" w:sz="0" w:space="0" w:color="auto"/>
        <w:right w:val="none" w:sz="0" w:space="0" w:color="auto"/>
      </w:divBdr>
    </w:div>
    <w:div w:id="972176747">
      <w:bodyDiv w:val="1"/>
      <w:marLeft w:val="0"/>
      <w:marRight w:val="0"/>
      <w:marTop w:val="0"/>
      <w:marBottom w:val="0"/>
      <w:divBdr>
        <w:top w:val="none" w:sz="0" w:space="0" w:color="auto"/>
        <w:left w:val="none" w:sz="0" w:space="0" w:color="auto"/>
        <w:bottom w:val="none" w:sz="0" w:space="0" w:color="auto"/>
        <w:right w:val="none" w:sz="0" w:space="0" w:color="auto"/>
      </w:divBdr>
    </w:div>
    <w:div w:id="976910095">
      <w:bodyDiv w:val="1"/>
      <w:marLeft w:val="0"/>
      <w:marRight w:val="0"/>
      <w:marTop w:val="0"/>
      <w:marBottom w:val="0"/>
      <w:divBdr>
        <w:top w:val="none" w:sz="0" w:space="0" w:color="auto"/>
        <w:left w:val="none" w:sz="0" w:space="0" w:color="auto"/>
        <w:bottom w:val="none" w:sz="0" w:space="0" w:color="auto"/>
        <w:right w:val="none" w:sz="0" w:space="0" w:color="auto"/>
      </w:divBdr>
    </w:div>
    <w:div w:id="982350236">
      <w:bodyDiv w:val="1"/>
      <w:marLeft w:val="0"/>
      <w:marRight w:val="0"/>
      <w:marTop w:val="0"/>
      <w:marBottom w:val="0"/>
      <w:divBdr>
        <w:top w:val="none" w:sz="0" w:space="0" w:color="auto"/>
        <w:left w:val="none" w:sz="0" w:space="0" w:color="auto"/>
        <w:bottom w:val="none" w:sz="0" w:space="0" w:color="auto"/>
        <w:right w:val="none" w:sz="0" w:space="0" w:color="auto"/>
      </w:divBdr>
    </w:div>
    <w:div w:id="997458854">
      <w:bodyDiv w:val="1"/>
      <w:marLeft w:val="0"/>
      <w:marRight w:val="0"/>
      <w:marTop w:val="0"/>
      <w:marBottom w:val="0"/>
      <w:divBdr>
        <w:top w:val="none" w:sz="0" w:space="0" w:color="auto"/>
        <w:left w:val="none" w:sz="0" w:space="0" w:color="auto"/>
        <w:bottom w:val="none" w:sz="0" w:space="0" w:color="auto"/>
        <w:right w:val="none" w:sz="0" w:space="0" w:color="auto"/>
      </w:divBdr>
    </w:div>
    <w:div w:id="1014529820">
      <w:bodyDiv w:val="1"/>
      <w:marLeft w:val="0"/>
      <w:marRight w:val="0"/>
      <w:marTop w:val="0"/>
      <w:marBottom w:val="0"/>
      <w:divBdr>
        <w:top w:val="none" w:sz="0" w:space="0" w:color="auto"/>
        <w:left w:val="none" w:sz="0" w:space="0" w:color="auto"/>
        <w:bottom w:val="none" w:sz="0" w:space="0" w:color="auto"/>
        <w:right w:val="none" w:sz="0" w:space="0" w:color="auto"/>
      </w:divBdr>
    </w:div>
    <w:div w:id="1015232000">
      <w:bodyDiv w:val="1"/>
      <w:marLeft w:val="0"/>
      <w:marRight w:val="0"/>
      <w:marTop w:val="0"/>
      <w:marBottom w:val="0"/>
      <w:divBdr>
        <w:top w:val="none" w:sz="0" w:space="0" w:color="auto"/>
        <w:left w:val="none" w:sz="0" w:space="0" w:color="auto"/>
        <w:bottom w:val="none" w:sz="0" w:space="0" w:color="auto"/>
        <w:right w:val="none" w:sz="0" w:space="0" w:color="auto"/>
      </w:divBdr>
    </w:div>
    <w:div w:id="1017347639">
      <w:bodyDiv w:val="1"/>
      <w:marLeft w:val="0"/>
      <w:marRight w:val="0"/>
      <w:marTop w:val="0"/>
      <w:marBottom w:val="0"/>
      <w:divBdr>
        <w:top w:val="none" w:sz="0" w:space="0" w:color="auto"/>
        <w:left w:val="none" w:sz="0" w:space="0" w:color="auto"/>
        <w:bottom w:val="none" w:sz="0" w:space="0" w:color="auto"/>
        <w:right w:val="none" w:sz="0" w:space="0" w:color="auto"/>
      </w:divBdr>
    </w:div>
    <w:div w:id="1022122272">
      <w:bodyDiv w:val="1"/>
      <w:marLeft w:val="0"/>
      <w:marRight w:val="0"/>
      <w:marTop w:val="0"/>
      <w:marBottom w:val="0"/>
      <w:divBdr>
        <w:top w:val="none" w:sz="0" w:space="0" w:color="auto"/>
        <w:left w:val="none" w:sz="0" w:space="0" w:color="auto"/>
        <w:bottom w:val="none" w:sz="0" w:space="0" w:color="auto"/>
        <w:right w:val="none" w:sz="0" w:space="0" w:color="auto"/>
      </w:divBdr>
    </w:div>
    <w:div w:id="1023749138">
      <w:bodyDiv w:val="1"/>
      <w:marLeft w:val="0"/>
      <w:marRight w:val="0"/>
      <w:marTop w:val="0"/>
      <w:marBottom w:val="0"/>
      <w:divBdr>
        <w:top w:val="none" w:sz="0" w:space="0" w:color="auto"/>
        <w:left w:val="none" w:sz="0" w:space="0" w:color="auto"/>
        <w:bottom w:val="none" w:sz="0" w:space="0" w:color="auto"/>
        <w:right w:val="none" w:sz="0" w:space="0" w:color="auto"/>
      </w:divBdr>
    </w:div>
    <w:div w:id="1043284776">
      <w:bodyDiv w:val="1"/>
      <w:marLeft w:val="0"/>
      <w:marRight w:val="0"/>
      <w:marTop w:val="0"/>
      <w:marBottom w:val="0"/>
      <w:divBdr>
        <w:top w:val="none" w:sz="0" w:space="0" w:color="auto"/>
        <w:left w:val="none" w:sz="0" w:space="0" w:color="auto"/>
        <w:bottom w:val="none" w:sz="0" w:space="0" w:color="auto"/>
        <w:right w:val="none" w:sz="0" w:space="0" w:color="auto"/>
      </w:divBdr>
    </w:div>
    <w:div w:id="1046678775">
      <w:bodyDiv w:val="1"/>
      <w:marLeft w:val="0"/>
      <w:marRight w:val="0"/>
      <w:marTop w:val="0"/>
      <w:marBottom w:val="0"/>
      <w:divBdr>
        <w:top w:val="none" w:sz="0" w:space="0" w:color="auto"/>
        <w:left w:val="none" w:sz="0" w:space="0" w:color="auto"/>
        <w:bottom w:val="none" w:sz="0" w:space="0" w:color="auto"/>
        <w:right w:val="none" w:sz="0" w:space="0" w:color="auto"/>
      </w:divBdr>
    </w:div>
    <w:div w:id="1060520990">
      <w:bodyDiv w:val="1"/>
      <w:marLeft w:val="0"/>
      <w:marRight w:val="0"/>
      <w:marTop w:val="0"/>
      <w:marBottom w:val="0"/>
      <w:divBdr>
        <w:top w:val="none" w:sz="0" w:space="0" w:color="auto"/>
        <w:left w:val="none" w:sz="0" w:space="0" w:color="auto"/>
        <w:bottom w:val="none" w:sz="0" w:space="0" w:color="auto"/>
        <w:right w:val="none" w:sz="0" w:space="0" w:color="auto"/>
      </w:divBdr>
    </w:div>
    <w:div w:id="1063606369">
      <w:bodyDiv w:val="1"/>
      <w:marLeft w:val="0"/>
      <w:marRight w:val="0"/>
      <w:marTop w:val="0"/>
      <w:marBottom w:val="0"/>
      <w:divBdr>
        <w:top w:val="none" w:sz="0" w:space="0" w:color="auto"/>
        <w:left w:val="none" w:sz="0" w:space="0" w:color="auto"/>
        <w:bottom w:val="none" w:sz="0" w:space="0" w:color="auto"/>
        <w:right w:val="none" w:sz="0" w:space="0" w:color="auto"/>
      </w:divBdr>
    </w:div>
    <w:div w:id="1074353633">
      <w:bodyDiv w:val="1"/>
      <w:marLeft w:val="0"/>
      <w:marRight w:val="0"/>
      <w:marTop w:val="0"/>
      <w:marBottom w:val="0"/>
      <w:divBdr>
        <w:top w:val="none" w:sz="0" w:space="0" w:color="auto"/>
        <w:left w:val="none" w:sz="0" w:space="0" w:color="auto"/>
        <w:bottom w:val="none" w:sz="0" w:space="0" w:color="auto"/>
        <w:right w:val="none" w:sz="0" w:space="0" w:color="auto"/>
      </w:divBdr>
    </w:div>
    <w:div w:id="1075316845">
      <w:bodyDiv w:val="1"/>
      <w:marLeft w:val="0"/>
      <w:marRight w:val="0"/>
      <w:marTop w:val="0"/>
      <w:marBottom w:val="0"/>
      <w:divBdr>
        <w:top w:val="none" w:sz="0" w:space="0" w:color="auto"/>
        <w:left w:val="none" w:sz="0" w:space="0" w:color="auto"/>
        <w:bottom w:val="none" w:sz="0" w:space="0" w:color="auto"/>
        <w:right w:val="none" w:sz="0" w:space="0" w:color="auto"/>
      </w:divBdr>
    </w:div>
    <w:div w:id="1076590877">
      <w:bodyDiv w:val="1"/>
      <w:marLeft w:val="0"/>
      <w:marRight w:val="0"/>
      <w:marTop w:val="0"/>
      <w:marBottom w:val="0"/>
      <w:divBdr>
        <w:top w:val="none" w:sz="0" w:space="0" w:color="auto"/>
        <w:left w:val="none" w:sz="0" w:space="0" w:color="auto"/>
        <w:bottom w:val="none" w:sz="0" w:space="0" w:color="auto"/>
        <w:right w:val="none" w:sz="0" w:space="0" w:color="auto"/>
      </w:divBdr>
    </w:div>
    <w:div w:id="1080517216">
      <w:bodyDiv w:val="1"/>
      <w:marLeft w:val="0"/>
      <w:marRight w:val="0"/>
      <w:marTop w:val="0"/>
      <w:marBottom w:val="0"/>
      <w:divBdr>
        <w:top w:val="none" w:sz="0" w:space="0" w:color="auto"/>
        <w:left w:val="none" w:sz="0" w:space="0" w:color="auto"/>
        <w:bottom w:val="none" w:sz="0" w:space="0" w:color="auto"/>
        <w:right w:val="none" w:sz="0" w:space="0" w:color="auto"/>
      </w:divBdr>
    </w:div>
    <w:div w:id="1085153221">
      <w:bodyDiv w:val="1"/>
      <w:marLeft w:val="0"/>
      <w:marRight w:val="0"/>
      <w:marTop w:val="0"/>
      <w:marBottom w:val="0"/>
      <w:divBdr>
        <w:top w:val="none" w:sz="0" w:space="0" w:color="auto"/>
        <w:left w:val="none" w:sz="0" w:space="0" w:color="auto"/>
        <w:bottom w:val="none" w:sz="0" w:space="0" w:color="auto"/>
        <w:right w:val="none" w:sz="0" w:space="0" w:color="auto"/>
      </w:divBdr>
    </w:div>
    <w:div w:id="1095173593">
      <w:bodyDiv w:val="1"/>
      <w:marLeft w:val="0"/>
      <w:marRight w:val="0"/>
      <w:marTop w:val="0"/>
      <w:marBottom w:val="0"/>
      <w:divBdr>
        <w:top w:val="none" w:sz="0" w:space="0" w:color="auto"/>
        <w:left w:val="none" w:sz="0" w:space="0" w:color="auto"/>
        <w:bottom w:val="none" w:sz="0" w:space="0" w:color="auto"/>
        <w:right w:val="none" w:sz="0" w:space="0" w:color="auto"/>
      </w:divBdr>
    </w:div>
    <w:div w:id="1105735470">
      <w:bodyDiv w:val="1"/>
      <w:marLeft w:val="0"/>
      <w:marRight w:val="0"/>
      <w:marTop w:val="0"/>
      <w:marBottom w:val="0"/>
      <w:divBdr>
        <w:top w:val="none" w:sz="0" w:space="0" w:color="auto"/>
        <w:left w:val="none" w:sz="0" w:space="0" w:color="auto"/>
        <w:bottom w:val="none" w:sz="0" w:space="0" w:color="auto"/>
        <w:right w:val="none" w:sz="0" w:space="0" w:color="auto"/>
      </w:divBdr>
    </w:div>
    <w:div w:id="1109204317">
      <w:bodyDiv w:val="1"/>
      <w:marLeft w:val="0"/>
      <w:marRight w:val="0"/>
      <w:marTop w:val="0"/>
      <w:marBottom w:val="0"/>
      <w:divBdr>
        <w:top w:val="none" w:sz="0" w:space="0" w:color="auto"/>
        <w:left w:val="none" w:sz="0" w:space="0" w:color="auto"/>
        <w:bottom w:val="none" w:sz="0" w:space="0" w:color="auto"/>
        <w:right w:val="none" w:sz="0" w:space="0" w:color="auto"/>
      </w:divBdr>
    </w:div>
    <w:div w:id="1126849399">
      <w:bodyDiv w:val="1"/>
      <w:marLeft w:val="0"/>
      <w:marRight w:val="0"/>
      <w:marTop w:val="0"/>
      <w:marBottom w:val="0"/>
      <w:divBdr>
        <w:top w:val="none" w:sz="0" w:space="0" w:color="auto"/>
        <w:left w:val="none" w:sz="0" w:space="0" w:color="auto"/>
        <w:bottom w:val="none" w:sz="0" w:space="0" w:color="auto"/>
        <w:right w:val="none" w:sz="0" w:space="0" w:color="auto"/>
      </w:divBdr>
    </w:div>
    <w:div w:id="1127896057">
      <w:bodyDiv w:val="1"/>
      <w:marLeft w:val="0"/>
      <w:marRight w:val="0"/>
      <w:marTop w:val="0"/>
      <w:marBottom w:val="0"/>
      <w:divBdr>
        <w:top w:val="none" w:sz="0" w:space="0" w:color="auto"/>
        <w:left w:val="none" w:sz="0" w:space="0" w:color="auto"/>
        <w:bottom w:val="none" w:sz="0" w:space="0" w:color="auto"/>
        <w:right w:val="none" w:sz="0" w:space="0" w:color="auto"/>
      </w:divBdr>
    </w:div>
    <w:div w:id="1128553711">
      <w:bodyDiv w:val="1"/>
      <w:marLeft w:val="0"/>
      <w:marRight w:val="0"/>
      <w:marTop w:val="0"/>
      <w:marBottom w:val="0"/>
      <w:divBdr>
        <w:top w:val="none" w:sz="0" w:space="0" w:color="auto"/>
        <w:left w:val="none" w:sz="0" w:space="0" w:color="auto"/>
        <w:bottom w:val="none" w:sz="0" w:space="0" w:color="auto"/>
        <w:right w:val="none" w:sz="0" w:space="0" w:color="auto"/>
      </w:divBdr>
    </w:div>
    <w:div w:id="1135293207">
      <w:bodyDiv w:val="1"/>
      <w:marLeft w:val="0"/>
      <w:marRight w:val="0"/>
      <w:marTop w:val="0"/>
      <w:marBottom w:val="0"/>
      <w:divBdr>
        <w:top w:val="none" w:sz="0" w:space="0" w:color="auto"/>
        <w:left w:val="none" w:sz="0" w:space="0" w:color="auto"/>
        <w:bottom w:val="none" w:sz="0" w:space="0" w:color="auto"/>
        <w:right w:val="none" w:sz="0" w:space="0" w:color="auto"/>
      </w:divBdr>
    </w:div>
    <w:div w:id="1157645203">
      <w:bodyDiv w:val="1"/>
      <w:marLeft w:val="0"/>
      <w:marRight w:val="0"/>
      <w:marTop w:val="0"/>
      <w:marBottom w:val="0"/>
      <w:divBdr>
        <w:top w:val="none" w:sz="0" w:space="0" w:color="auto"/>
        <w:left w:val="none" w:sz="0" w:space="0" w:color="auto"/>
        <w:bottom w:val="none" w:sz="0" w:space="0" w:color="auto"/>
        <w:right w:val="none" w:sz="0" w:space="0" w:color="auto"/>
      </w:divBdr>
    </w:div>
    <w:div w:id="1163014002">
      <w:bodyDiv w:val="1"/>
      <w:marLeft w:val="0"/>
      <w:marRight w:val="0"/>
      <w:marTop w:val="0"/>
      <w:marBottom w:val="0"/>
      <w:divBdr>
        <w:top w:val="none" w:sz="0" w:space="0" w:color="auto"/>
        <w:left w:val="none" w:sz="0" w:space="0" w:color="auto"/>
        <w:bottom w:val="none" w:sz="0" w:space="0" w:color="auto"/>
        <w:right w:val="none" w:sz="0" w:space="0" w:color="auto"/>
      </w:divBdr>
    </w:div>
    <w:div w:id="1170021406">
      <w:bodyDiv w:val="1"/>
      <w:marLeft w:val="0"/>
      <w:marRight w:val="0"/>
      <w:marTop w:val="0"/>
      <w:marBottom w:val="0"/>
      <w:divBdr>
        <w:top w:val="none" w:sz="0" w:space="0" w:color="auto"/>
        <w:left w:val="none" w:sz="0" w:space="0" w:color="auto"/>
        <w:bottom w:val="none" w:sz="0" w:space="0" w:color="auto"/>
        <w:right w:val="none" w:sz="0" w:space="0" w:color="auto"/>
      </w:divBdr>
    </w:div>
    <w:div w:id="1170488813">
      <w:bodyDiv w:val="1"/>
      <w:marLeft w:val="0"/>
      <w:marRight w:val="0"/>
      <w:marTop w:val="0"/>
      <w:marBottom w:val="0"/>
      <w:divBdr>
        <w:top w:val="none" w:sz="0" w:space="0" w:color="auto"/>
        <w:left w:val="none" w:sz="0" w:space="0" w:color="auto"/>
        <w:bottom w:val="none" w:sz="0" w:space="0" w:color="auto"/>
        <w:right w:val="none" w:sz="0" w:space="0" w:color="auto"/>
      </w:divBdr>
    </w:div>
    <w:div w:id="1171798743">
      <w:bodyDiv w:val="1"/>
      <w:marLeft w:val="0"/>
      <w:marRight w:val="0"/>
      <w:marTop w:val="0"/>
      <w:marBottom w:val="0"/>
      <w:divBdr>
        <w:top w:val="none" w:sz="0" w:space="0" w:color="auto"/>
        <w:left w:val="none" w:sz="0" w:space="0" w:color="auto"/>
        <w:bottom w:val="none" w:sz="0" w:space="0" w:color="auto"/>
        <w:right w:val="none" w:sz="0" w:space="0" w:color="auto"/>
      </w:divBdr>
    </w:div>
    <w:div w:id="1180044732">
      <w:bodyDiv w:val="1"/>
      <w:marLeft w:val="0"/>
      <w:marRight w:val="0"/>
      <w:marTop w:val="0"/>
      <w:marBottom w:val="0"/>
      <w:divBdr>
        <w:top w:val="none" w:sz="0" w:space="0" w:color="auto"/>
        <w:left w:val="none" w:sz="0" w:space="0" w:color="auto"/>
        <w:bottom w:val="none" w:sz="0" w:space="0" w:color="auto"/>
        <w:right w:val="none" w:sz="0" w:space="0" w:color="auto"/>
      </w:divBdr>
    </w:div>
    <w:div w:id="1183738674">
      <w:bodyDiv w:val="1"/>
      <w:marLeft w:val="0"/>
      <w:marRight w:val="0"/>
      <w:marTop w:val="0"/>
      <w:marBottom w:val="0"/>
      <w:divBdr>
        <w:top w:val="none" w:sz="0" w:space="0" w:color="auto"/>
        <w:left w:val="none" w:sz="0" w:space="0" w:color="auto"/>
        <w:bottom w:val="none" w:sz="0" w:space="0" w:color="auto"/>
        <w:right w:val="none" w:sz="0" w:space="0" w:color="auto"/>
      </w:divBdr>
    </w:div>
    <w:div w:id="1195341931">
      <w:bodyDiv w:val="1"/>
      <w:marLeft w:val="0"/>
      <w:marRight w:val="0"/>
      <w:marTop w:val="0"/>
      <w:marBottom w:val="0"/>
      <w:divBdr>
        <w:top w:val="none" w:sz="0" w:space="0" w:color="auto"/>
        <w:left w:val="none" w:sz="0" w:space="0" w:color="auto"/>
        <w:bottom w:val="none" w:sz="0" w:space="0" w:color="auto"/>
        <w:right w:val="none" w:sz="0" w:space="0" w:color="auto"/>
      </w:divBdr>
    </w:div>
    <w:div w:id="1201012802">
      <w:bodyDiv w:val="1"/>
      <w:marLeft w:val="0"/>
      <w:marRight w:val="0"/>
      <w:marTop w:val="0"/>
      <w:marBottom w:val="0"/>
      <w:divBdr>
        <w:top w:val="none" w:sz="0" w:space="0" w:color="auto"/>
        <w:left w:val="none" w:sz="0" w:space="0" w:color="auto"/>
        <w:bottom w:val="none" w:sz="0" w:space="0" w:color="auto"/>
        <w:right w:val="none" w:sz="0" w:space="0" w:color="auto"/>
      </w:divBdr>
    </w:div>
    <w:div w:id="1215390043">
      <w:bodyDiv w:val="1"/>
      <w:marLeft w:val="0"/>
      <w:marRight w:val="0"/>
      <w:marTop w:val="0"/>
      <w:marBottom w:val="0"/>
      <w:divBdr>
        <w:top w:val="none" w:sz="0" w:space="0" w:color="auto"/>
        <w:left w:val="none" w:sz="0" w:space="0" w:color="auto"/>
        <w:bottom w:val="none" w:sz="0" w:space="0" w:color="auto"/>
        <w:right w:val="none" w:sz="0" w:space="0" w:color="auto"/>
      </w:divBdr>
    </w:div>
    <w:div w:id="1226797384">
      <w:bodyDiv w:val="1"/>
      <w:marLeft w:val="0"/>
      <w:marRight w:val="0"/>
      <w:marTop w:val="0"/>
      <w:marBottom w:val="0"/>
      <w:divBdr>
        <w:top w:val="none" w:sz="0" w:space="0" w:color="auto"/>
        <w:left w:val="none" w:sz="0" w:space="0" w:color="auto"/>
        <w:bottom w:val="none" w:sz="0" w:space="0" w:color="auto"/>
        <w:right w:val="none" w:sz="0" w:space="0" w:color="auto"/>
      </w:divBdr>
    </w:div>
    <w:div w:id="1231423780">
      <w:bodyDiv w:val="1"/>
      <w:marLeft w:val="0"/>
      <w:marRight w:val="0"/>
      <w:marTop w:val="0"/>
      <w:marBottom w:val="0"/>
      <w:divBdr>
        <w:top w:val="none" w:sz="0" w:space="0" w:color="auto"/>
        <w:left w:val="none" w:sz="0" w:space="0" w:color="auto"/>
        <w:bottom w:val="none" w:sz="0" w:space="0" w:color="auto"/>
        <w:right w:val="none" w:sz="0" w:space="0" w:color="auto"/>
      </w:divBdr>
    </w:div>
    <w:div w:id="1233925883">
      <w:bodyDiv w:val="1"/>
      <w:marLeft w:val="0"/>
      <w:marRight w:val="0"/>
      <w:marTop w:val="0"/>
      <w:marBottom w:val="0"/>
      <w:divBdr>
        <w:top w:val="none" w:sz="0" w:space="0" w:color="auto"/>
        <w:left w:val="none" w:sz="0" w:space="0" w:color="auto"/>
        <w:bottom w:val="none" w:sz="0" w:space="0" w:color="auto"/>
        <w:right w:val="none" w:sz="0" w:space="0" w:color="auto"/>
      </w:divBdr>
    </w:div>
    <w:div w:id="1247811813">
      <w:bodyDiv w:val="1"/>
      <w:marLeft w:val="0"/>
      <w:marRight w:val="0"/>
      <w:marTop w:val="0"/>
      <w:marBottom w:val="0"/>
      <w:divBdr>
        <w:top w:val="none" w:sz="0" w:space="0" w:color="auto"/>
        <w:left w:val="none" w:sz="0" w:space="0" w:color="auto"/>
        <w:bottom w:val="none" w:sz="0" w:space="0" w:color="auto"/>
        <w:right w:val="none" w:sz="0" w:space="0" w:color="auto"/>
      </w:divBdr>
    </w:div>
    <w:div w:id="1249389425">
      <w:bodyDiv w:val="1"/>
      <w:marLeft w:val="0"/>
      <w:marRight w:val="0"/>
      <w:marTop w:val="0"/>
      <w:marBottom w:val="0"/>
      <w:divBdr>
        <w:top w:val="none" w:sz="0" w:space="0" w:color="auto"/>
        <w:left w:val="none" w:sz="0" w:space="0" w:color="auto"/>
        <w:bottom w:val="none" w:sz="0" w:space="0" w:color="auto"/>
        <w:right w:val="none" w:sz="0" w:space="0" w:color="auto"/>
      </w:divBdr>
    </w:div>
    <w:div w:id="1257784643">
      <w:bodyDiv w:val="1"/>
      <w:marLeft w:val="0"/>
      <w:marRight w:val="0"/>
      <w:marTop w:val="0"/>
      <w:marBottom w:val="0"/>
      <w:divBdr>
        <w:top w:val="none" w:sz="0" w:space="0" w:color="auto"/>
        <w:left w:val="none" w:sz="0" w:space="0" w:color="auto"/>
        <w:bottom w:val="none" w:sz="0" w:space="0" w:color="auto"/>
        <w:right w:val="none" w:sz="0" w:space="0" w:color="auto"/>
      </w:divBdr>
    </w:div>
    <w:div w:id="1277446644">
      <w:bodyDiv w:val="1"/>
      <w:marLeft w:val="0"/>
      <w:marRight w:val="0"/>
      <w:marTop w:val="0"/>
      <w:marBottom w:val="0"/>
      <w:divBdr>
        <w:top w:val="none" w:sz="0" w:space="0" w:color="auto"/>
        <w:left w:val="none" w:sz="0" w:space="0" w:color="auto"/>
        <w:bottom w:val="none" w:sz="0" w:space="0" w:color="auto"/>
        <w:right w:val="none" w:sz="0" w:space="0" w:color="auto"/>
      </w:divBdr>
    </w:div>
    <w:div w:id="1279870584">
      <w:bodyDiv w:val="1"/>
      <w:marLeft w:val="0"/>
      <w:marRight w:val="0"/>
      <w:marTop w:val="0"/>
      <w:marBottom w:val="0"/>
      <w:divBdr>
        <w:top w:val="none" w:sz="0" w:space="0" w:color="auto"/>
        <w:left w:val="none" w:sz="0" w:space="0" w:color="auto"/>
        <w:bottom w:val="none" w:sz="0" w:space="0" w:color="auto"/>
        <w:right w:val="none" w:sz="0" w:space="0" w:color="auto"/>
      </w:divBdr>
    </w:div>
    <w:div w:id="1282959038">
      <w:bodyDiv w:val="1"/>
      <w:marLeft w:val="0"/>
      <w:marRight w:val="0"/>
      <w:marTop w:val="0"/>
      <w:marBottom w:val="0"/>
      <w:divBdr>
        <w:top w:val="none" w:sz="0" w:space="0" w:color="auto"/>
        <w:left w:val="none" w:sz="0" w:space="0" w:color="auto"/>
        <w:bottom w:val="none" w:sz="0" w:space="0" w:color="auto"/>
        <w:right w:val="none" w:sz="0" w:space="0" w:color="auto"/>
      </w:divBdr>
    </w:div>
    <w:div w:id="1288242233">
      <w:bodyDiv w:val="1"/>
      <w:marLeft w:val="0"/>
      <w:marRight w:val="0"/>
      <w:marTop w:val="0"/>
      <w:marBottom w:val="0"/>
      <w:divBdr>
        <w:top w:val="none" w:sz="0" w:space="0" w:color="auto"/>
        <w:left w:val="none" w:sz="0" w:space="0" w:color="auto"/>
        <w:bottom w:val="none" w:sz="0" w:space="0" w:color="auto"/>
        <w:right w:val="none" w:sz="0" w:space="0" w:color="auto"/>
      </w:divBdr>
    </w:div>
    <w:div w:id="1311328431">
      <w:bodyDiv w:val="1"/>
      <w:marLeft w:val="0"/>
      <w:marRight w:val="0"/>
      <w:marTop w:val="0"/>
      <w:marBottom w:val="0"/>
      <w:divBdr>
        <w:top w:val="none" w:sz="0" w:space="0" w:color="auto"/>
        <w:left w:val="none" w:sz="0" w:space="0" w:color="auto"/>
        <w:bottom w:val="none" w:sz="0" w:space="0" w:color="auto"/>
        <w:right w:val="none" w:sz="0" w:space="0" w:color="auto"/>
      </w:divBdr>
    </w:div>
    <w:div w:id="1326393699">
      <w:bodyDiv w:val="1"/>
      <w:marLeft w:val="0"/>
      <w:marRight w:val="0"/>
      <w:marTop w:val="0"/>
      <w:marBottom w:val="0"/>
      <w:divBdr>
        <w:top w:val="none" w:sz="0" w:space="0" w:color="auto"/>
        <w:left w:val="none" w:sz="0" w:space="0" w:color="auto"/>
        <w:bottom w:val="none" w:sz="0" w:space="0" w:color="auto"/>
        <w:right w:val="none" w:sz="0" w:space="0" w:color="auto"/>
      </w:divBdr>
    </w:div>
    <w:div w:id="1357776032">
      <w:bodyDiv w:val="1"/>
      <w:marLeft w:val="0"/>
      <w:marRight w:val="0"/>
      <w:marTop w:val="0"/>
      <w:marBottom w:val="0"/>
      <w:divBdr>
        <w:top w:val="none" w:sz="0" w:space="0" w:color="auto"/>
        <w:left w:val="none" w:sz="0" w:space="0" w:color="auto"/>
        <w:bottom w:val="none" w:sz="0" w:space="0" w:color="auto"/>
        <w:right w:val="none" w:sz="0" w:space="0" w:color="auto"/>
      </w:divBdr>
    </w:div>
    <w:div w:id="1360661307">
      <w:bodyDiv w:val="1"/>
      <w:marLeft w:val="0"/>
      <w:marRight w:val="0"/>
      <w:marTop w:val="0"/>
      <w:marBottom w:val="0"/>
      <w:divBdr>
        <w:top w:val="none" w:sz="0" w:space="0" w:color="auto"/>
        <w:left w:val="none" w:sz="0" w:space="0" w:color="auto"/>
        <w:bottom w:val="none" w:sz="0" w:space="0" w:color="auto"/>
        <w:right w:val="none" w:sz="0" w:space="0" w:color="auto"/>
      </w:divBdr>
    </w:div>
    <w:div w:id="1362975451">
      <w:bodyDiv w:val="1"/>
      <w:marLeft w:val="0"/>
      <w:marRight w:val="0"/>
      <w:marTop w:val="0"/>
      <w:marBottom w:val="0"/>
      <w:divBdr>
        <w:top w:val="none" w:sz="0" w:space="0" w:color="auto"/>
        <w:left w:val="none" w:sz="0" w:space="0" w:color="auto"/>
        <w:bottom w:val="none" w:sz="0" w:space="0" w:color="auto"/>
        <w:right w:val="none" w:sz="0" w:space="0" w:color="auto"/>
      </w:divBdr>
    </w:div>
    <w:div w:id="1369838131">
      <w:bodyDiv w:val="1"/>
      <w:marLeft w:val="0"/>
      <w:marRight w:val="0"/>
      <w:marTop w:val="0"/>
      <w:marBottom w:val="0"/>
      <w:divBdr>
        <w:top w:val="none" w:sz="0" w:space="0" w:color="auto"/>
        <w:left w:val="none" w:sz="0" w:space="0" w:color="auto"/>
        <w:bottom w:val="none" w:sz="0" w:space="0" w:color="auto"/>
        <w:right w:val="none" w:sz="0" w:space="0" w:color="auto"/>
      </w:divBdr>
    </w:div>
    <w:div w:id="1383406626">
      <w:bodyDiv w:val="1"/>
      <w:marLeft w:val="0"/>
      <w:marRight w:val="0"/>
      <w:marTop w:val="0"/>
      <w:marBottom w:val="0"/>
      <w:divBdr>
        <w:top w:val="none" w:sz="0" w:space="0" w:color="auto"/>
        <w:left w:val="none" w:sz="0" w:space="0" w:color="auto"/>
        <w:bottom w:val="none" w:sz="0" w:space="0" w:color="auto"/>
        <w:right w:val="none" w:sz="0" w:space="0" w:color="auto"/>
      </w:divBdr>
    </w:div>
    <w:div w:id="1402828161">
      <w:bodyDiv w:val="1"/>
      <w:marLeft w:val="0"/>
      <w:marRight w:val="0"/>
      <w:marTop w:val="0"/>
      <w:marBottom w:val="0"/>
      <w:divBdr>
        <w:top w:val="none" w:sz="0" w:space="0" w:color="auto"/>
        <w:left w:val="none" w:sz="0" w:space="0" w:color="auto"/>
        <w:bottom w:val="none" w:sz="0" w:space="0" w:color="auto"/>
        <w:right w:val="none" w:sz="0" w:space="0" w:color="auto"/>
      </w:divBdr>
    </w:div>
    <w:div w:id="1409690493">
      <w:bodyDiv w:val="1"/>
      <w:marLeft w:val="0"/>
      <w:marRight w:val="0"/>
      <w:marTop w:val="0"/>
      <w:marBottom w:val="0"/>
      <w:divBdr>
        <w:top w:val="none" w:sz="0" w:space="0" w:color="auto"/>
        <w:left w:val="none" w:sz="0" w:space="0" w:color="auto"/>
        <w:bottom w:val="none" w:sz="0" w:space="0" w:color="auto"/>
        <w:right w:val="none" w:sz="0" w:space="0" w:color="auto"/>
      </w:divBdr>
    </w:div>
    <w:div w:id="1409692358">
      <w:bodyDiv w:val="1"/>
      <w:marLeft w:val="0"/>
      <w:marRight w:val="0"/>
      <w:marTop w:val="0"/>
      <w:marBottom w:val="0"/>
      <w:divBdr>
        <w:top w:val="none" w:sz="0" w:space="0" w:color="auto"/>
        <w:left w:val="none" w:sz="0" w:space="0" w:color="auto"/>
        <w:bottom w:val="none" w:sz="0" w:space="0" w:color="auto"/>
        <w:right w:val="none" w:sz="0" w:space="0" w:color="auto"/>
      </w:divBdr>
    </w:div>
    <w:div w:id="1411000626">
      <w:bodyDiv w:val="1"/>
      <w:marLeft w:val="0"/>
      <w:marRight w:val="0"/>
      <w:marTop w:val="0"/>
      <w:marBottom w:val="0"/>
      <w:divBdr>
        <w:top w:val="none" w:sz="0" w:space="0" w:color="auto"/>
        <w:left w:val="none" w:sz="0" w:space="0" w:color="auto"/>
        <w:bottom w:val="none" w:sz="0" w:space="0" w:color="auto"/>
        <w:right w:val="none" w:sz="0" w:space="0" w:color="auto"/>
      </w:divBdr>
    </w:div>
    <w:div w:id="1415207602">
      <w:bodyDiv w:val="1"/>
      <w:marLeft w:val="0"/>
      <w:marRight w:val="0"/>
      <w:marTop w:val="0"/>
      <w:marBottom w:val="0"/>
      <w:divBdr>
        <w:top w:val="none" w:sz="0" w:space="0" w:color="auto"/>
        <w:left w:val="none" w:sz="0" w:space="0" w:color="auto"/>
        <w:bottom w:val="none" w:sz="0" w:space="0" w:color="auto"/>
        <w:right w:val="none" w:sz="0" w:space="0" w:color="auto"/>
      </w:divBdr>
    </w:div>
    <w:div w:id="1423914802">
      <w:bodyDiv w:val="1"/>
      <w:marLeft w:val="0"/>
      <w:marRight w:val="0"/>
      <w:marTop w:val="0"/>
      <w:marBottom w:val="0"/>
      <w:divBdr>
        <w:top w:val="none" w:sz="0" w:space="0" w:color="auto"/>
        <w:left w:val="none" w:sz="0" w:space="0" w:color="auto"/>
        <w:bottom w:val="none" w:sz="0" w:space="0" w:color="auto"/>
        <w:right w:val="none" w:sz="0" w:space="0" w:color="auto"/>
      </w:divBdr>
    </w:div>
    <w:div w:id="1432242570">
      <w:bodyDiv w:val="1"/>
      <w:marLeft w:val="0"/>
      <w:marRight w:val="0"/>
      <w:marTop w:val="0"/>
      <w:marBottom w:val="0"/>
      <w:divBdr>
        <w:top w:val="none" w:sz="0" w:space="0" w:color="auto"/>
        <w:left w:val="none" w:sz="0" w:space="0" w:color="auto"/>
        <w:bottom w:val="none" w:sz="0" w:space="0" w:color="auto"/>
        <w:right w:val="none" w:sz="0" w:space="0" w:color="auto"/>
      </w:divBdr>
    </w:div>
    <w:div w:id="1451163806">
      <w:bodyDiv w:val="1"/>
      <w:marLeft w:val="0"/>
      <w:marRight w:val="0"/>
      <w:marTop w:val="0"/>
      <w:marBottom w:val="0"/>
      <w:divBdr>
        <w:top w:val="none" w:sz="0" w:space="0" w:color="auto"/>
        <w:left w:val="none" w:sz="0" w:space="0" w:color="auto"/>
        <w:bottom w:val="none" w:sz="0" w:space="0" w:color="auto"/>
        <w:right w:val="none" w:sz="0" w:space="0" w:color="auto"/>
      </w:divBdr>
    </w:div>
    <w:div w:id="1451779506">
      <w:bodyDiv w:val="1"/>
      <w:marLeft w:val="0"/>
      <w:marRight w:val="0"/>
      <w:marTop w:val="0"/>
      <w:marBottom w:val="0"/>
      <w:divBdr>
        <w:top w:val="none" w:sz="0" w:space="0" w:color="auto"/>
        <w:left w:val="none" w:sz="0" w:space="0" w:color="auto"/>
        <w:bottom w:val="none" w:sz="0" w:space="0" w:color="auto"/>
        <w:right w:val="none" w:sz="0" w:space="0" w:color="auto"/>
      </w:divBdr>
    </w:div>
    <w:div w:id="1453018602">
      <w:bodyDiv w:val="1"/>
      <w:marLeft w:val="0"/>
      <w:marRight w:val="0"/>
      <w:marTop w:val="0"/>
      <w:marBottom w:val="0"/>
      <w:divBdr>
        <w:top w:val="none" w:sz="0" w:space="0" w:color="auto"/>
        <w:left w:val="none" w:sz="0" w:space="0" w:color="auto"/>
        <w:bottom w:val="none" w:sz="0" w:space="0" w:color="auto"/>
        <w:right w:val="none" w:sz="0" w:space="0" w:color="auto"/>
      </w:divBdr>
    </w:div>
    <w:div w:id="1467233684">
      <w:bodyDiv w:val="1"/>
      <w:marLeft w:val="0"/>
      <w:marRight w:val="0"/>
      <w:marTop w:val="0"/>
      <w:marBottom w:val="0"/>
      <w:divBdr>
        <w:top w:val="none" w:sz="0" w:space="0" w:color="auto"/>
        <w:left w:val="none" w:sz="0" w:space="0" w:color="auto"/>
        <w:bottom w:val="none" w:sz="0" w:space="0" w:color="auto"/>
        <w:right w:val="none" w:sz="0" w:space="0" w:color="auto"/>
      </w:divBdr>
    </w:div>
    <w:div w:id="1481843978">
      <w:bodyDiv w:val="1"/>
      <w:marLeft w:val="0"/>
      <w:marRight w:val="0"/>
      <w:marTop w:val="0"/>
      <w:marBottom w:val="0"/>
      <w:divBdr>
        <w:top w:val="none" w:sz="0" w:space="0" w:color="auto"/>
        <w:left w:val="none" w:sz="0" w:space="0" w:color="auto"/>
        <w:bottom w:val="none" w:sz="0" w:space="0" w:color="auto"/>
        <w:right w:val="none" w:sz="0" w:space="0" w:color="auto"/>
      </w:divBdr>
    </w:div>
    <w:div w:id="1486817982">
      <w:bodyDiv w:val="1"/>
      <w:marLeft w:val="0"/>
      <w:marRight w:val="0"/>
      <w:marTop w:val="0"/>
      <w:marBottom w:val="0"/>
      <w:divBdr>
        <w:top w:val="none" w:sz="0" w:space="0" w:color="auto"/>
        <w:left w:val="none" w:sz="0" w:space="0" w:color="auto"/>
        <w:bottom w:val="none" w:sz="0" w:space="0" w:color="auto"/>
        <w:right w:val="none" w:sz="0" w:space="0" w:color="auto"/>
      </w:divBdr>
    </w:div>
    <w:div w:id="1487429836">
      <w:bodyDiv w:val="1"/>
      <w:marLeft w:val="0"/>
      <w:marRight w:val="0"/>
      <w:marTop w:val="0"/>
      <w:marBottom w:val="0"/>
      <w:divBdr>
        <w:top w:val="none" w:sz="0" w:space="0" w:color="auto"/>
        <w:left w:val="none" w:sz="0" w:space="0" w:color="auto"/>
        <w:bottom w:val="none" w:sz="0" w:space="0" w:color="auto"/>
        <w:right w:val="none" w:sz="0" w:space="0" w:color="auto"/>
      </w:divBdr>
    </w:div>
    <w:div w:id="1504511746">
      <w:bodyDiv w:val="1"/>
      <w:marLeft w:val="0"/>
      <w:marRight w:val="0"/>
      <w:marTop w:val="0"/>
      <w:marBottom w:val="0"/>
      <w:divBdr>
        <w:top w:val="none" w:sz="0" w:space="0" w:color="auto"/>
        <w:left w:val="none" w:sz="0" w:space="0" w:color="auto"/>
        <w:bottom w:val="none" w:sz="0" w:space="0" w:color="auto"/>
        <w:right w:val="none" w:sz="0" w:space="0" w:color="auto"/>
      </w:divBdr>
    </w:div>
    <w:div w:id="1516192599">
      <w:bodyDiv w:val="1"/>
      <w:marLeft w:val="0"/>
      <w:marRight w:val="0"/>
      <w:marTop w:val="0"/>
      <w:marBottom w:val="0"/>
      <w:divBdr>
        <w:top w:val="none" w:sz="0" w:space="0" w:color="auto"/>
        <w:left w:val="none" w:sz="0" w:space="0" w:color="auto"/>
        <w:bottom w:val="none" w:sz="0" w:space="0" w:color="auto"/>
        <w:right w:val="none" w:sz="0" w:space="0" w:color="auto"/>
      </w:divBdr>
    </w:div>
    <w:div w:id="1522931260">
      <w:bodyDiv w:val="1"/>
      <w:marLeft w:val="0"/>
      <w:marRight w:val="0"/>
      <w:marTop w:val="0"/>
      <w:marBottom w:val="0"/>
      <w:divBdr>
        <w:top w:val="none" w:sz="0" w:space="0" w:color="auto"/>
        <w:left w:val="none" w:sz="0" w:space="0" w:color="auto"/>
        <w:bottom w:val="none" w:sz="0" w:space="0" w:color="auto"/>
        <w:right w:val="none" w:sz="0" w:space="0" w:color="auto"/>
      </w:divBdr>
    </w:div>
    <w:div w:id="1527795026">
      <w:bodyDiv w:val="1"/>
      <w:marLeft w:val="0"/>
      <w:marRight w:val="0"/>
      <w:marTop w:val="0"/>
      <w:marBottom w:val="0"/>
      <w:divBdr>
        <w:top w:val="none" w:sz="0" w:space="0" w:color="auto"/>
        <w:left w:val="none" w:sz="0" w:space="0" w:color="auto"/>
        <w:bottom w:val="none" w:sz="0" w:space="0" w:color="auto"/>
        <w:right w:val="none" w:sz="0" w:space="0" w:color="auto"/>
      </w:divBdr>
    </w:div>
    <w:div w:id="1538591383">
      <w:bodyDiv w:val="1"/>
      <w:marLeft w:val="0"/>
      <w:marRight w:val="0"/>
      <w:marTop w:val="0"/>
      <w:marBottom w:val="0"/>
      <w:divBdr>
        <w:top w:val="none" w:sz="0" w:space="0" w:color="auto"/>
        <w:left w:val="none" w:sz="0" w:space="0" w:color="auto"/>
        <w:bottom w:val="none" w:sz="0" w:space="0" w:color="auto"/>
        <w:right w:val="none" w:sz="0" w:space="0" w:color="auto"/>
      </w:divBdr>
    </w:div>
    <w:div w:id="1542590241">
      <w:bodyDiv w:val="1"/>
      <w:marLeft w:val="0"/>
      <w:marRight w:val="0"/>
      <w:marTop w:val="0"/>
      <w:marBottom w:val="0"/>
      <w:divBdr>
        <w:top w:val="none" w:sz="0" w:space="0" w:color="auto"/>
        <w:left w:val="none" w:sz="0" w:space="0" w:color="auto"/>
        <w:bottom w:val="none" w:sz="0" w:space="0" w:color="auto"/>
        <w:right w:val="none" w:sz="0" w:space="0" w:color="auto"/>
      </w:divBdr>
    </w:div>
    <w:div w:id="1550217535">
      <w:bodyDiv w:val="1"/>
      <w:marLeft w:val="0"/>
      <w:marRight w:val="0"/>
      <w:marTop w:val="0"/>
      <w:marBottom w:val="0"/>
      <w:divBdr>
        <w:top w:val="none" w:sz="0" w:space="0" w:color="auto"/>
        <w:left w:val="none" w:sz="0" w:space="0" w:color="auto"/>
        <w:bottom w:val="none" w:sz="0" w:space="0" w:color="auto"/>
        <w:right w:val="none" w:sz="0" w:space="0" w:color="auto"/>
      </w:divBdr>
    </w:div>
    <w:div w:id="1554191581">
      <w:bodyDiv w:val="1"/>
      <w:marLeft w:val="0"/>
      <w:marRight w:val="0"/>
      <w:marTop w:val="0"/>
      <w:marBottom w:val="0"/>
      <w:divBdr>
        <w:top w:val="none" w:sz="0" w:space="0" w:color="auto"/>
        <w:left w:val="none" w:sz="0" w:space="0" w:color="auto"/>
        <w:bottom w:val="none" w:sz="0" w:space="0" w:color="auto"/>
        <w:right w:val="none" w:sz="0" w:space="0" w:color="auto"/>
      </w:divBdr>
    </w:div>
    <w:div w:id="1554925963">
      <w:bodyDiv w:val="1"/>
      <w:marLeft w:val="0"/>
      <w:marRight w:val="0"/>
      <w:marTop w:val="0"/>
      <w:marBottom w:val="0"/>
      <w:divBdr>
        <w:top w:val="none" w:sz="0" w:space="0" w:color="auto"/>
        <w:left w:val="none" w:sz="0" w:space="0" w:color="auto"/>
        <w:bottom w:val="none" w:sz="0" w:space="0" w:color="auto"/>
        <w:right w:val="none" w:sz="0" w:space="0" w:color="auto"/>
      </w:divBdr>
    </w:div>
    <w:div w:id="1583294730">
      <w:bodyDiv w:val="1"/>
      <w:marLeft w:val="0"/>
      <w:marRight w:val="0"/>
      <w:marTop w:val="0"/>
      <w:marBottom w:val="0"/>
      <w:divBdr>
        <w:top w:val="none" w:sz="0" w:space="0" w:color="auto"/>
        <w:left w:val="none" w:sz="0" w:space="0" w:color="auto"/>
        <w:bottom w:val="none" w:sz="0" w:space="0" w:color="auto"/>
        <w:right w:val="none" w:sz="0" w:space="0" w:color="auto"/>
      </w:divBdr>
    </w:div>
    <w:div w:id="1595093684">
      <w:bodyDiv w:val="1"/>
      <w:marLeft w:val="0"/>
      <w:marRight w:val="0"/>
      <w:marTop w:val="0"/>
      <w:marBottom w:val="0"/>
      <w:divBdr>
        <w:top w:val="none" w:sz="0" w:space="0" w:color="auto"/>
        <w:left w:val="none" w:sz="0" w:space="0" w:color="auto"/>
        <w:bottom w:val="none" w:sz="0" w:space="0" w:color="auto"/>
        <w:right w:val="none" w:sz="0" w:space="0" w:color="auto"/>
      </w:divBdr>
    </w:div>
    <w:div w:id="1602102224">
      <w:bodyDiv w:val="1"/>
      <w:marLeft w:val="0"/>
      <w:marRight w:val="0"/>
      <w:marTop w:val="0"/>
      <w:marBottom w:val="0"/>
      <w:divBdr>
        <w:top w:val="none" w:sz="0" w:space="0" w:color="auto"/>
        <w:left w:val="none" w:sz="0" w:space="0" w:color="auto"/>
        <w:bottom w:val="none" w:sz="0" w:space="0" w:color="auto"/>
        <w:right w:val="none" w:sz="0" w:space="0" w:color="auto"/>
      </w:divBdr>
    </w:div>
    <w:div w:id="1605916474">
      <w:bodyDiv w:val="1"/>
      <w:marLeft w:val="0"/>
      <w:marRight w:val="0"/>
      <w:marTop w:val="0"/>
      <w:marBottom w:val="0"/>
      <w:divBdr>
        <w:top w:val="none" w:sz="0" w:space="0" w:color="auto"/>
        <w:left w:val="none" w:sz="0" w:space="0" w:color="auto"/>
        <w:bottom w:val="none" w:sz="0" w:space="0" w:color="auto"/>
        <w:right w:val="none" w:sz="0" w:space="0" w:color="auto"/>
      </w:divBdr>
    </w:div>
    <w:div w:id="1606035549">
      <w:bodyDiv w:val="1"/>
      <w:marLeft w:val="0"/>
      <w:marRight w:val="0"/>
      <w:marTop w:val="0"/>
      <w:marBottom w:val="0"/>
      <w:divBdr>
        <w:top w:val="none" w:sz="0" w:space="0" w:color="auto"/>
        <w:left w:val="none" w:sz="0" w:space="0" w:color="auto"/>
        <w:bottom w:val="none" w:sz="0" w:space="0" w:color="auto"/>
        <w:right w:val="none" w:sz="0" w:space="0" w:color="auto"/>
      </w:divBdr>
    </w:div>
    <w:div w:id="1616450687">
      <w:bodyDiv w:val="1"/>
      <w:marLeft w:val="0"/>
      <w:marRight w:val="0"/>
      <w:marTop w:val="0"/>
      <w:marBottom w:val="0"/>
      <w:divBdr>
        <w:top w:val="none" w:sz="0" w:space="0" w:color="auto"/>
        <w:left w:val="none" w:sz="0" w:space="0" w:color="auto"/>
        <w:bottom w:val="none" w:sz="0" w:space="0" w:color="auto"/>
        <w:right w:val="none" w:sz="0" w:space="0" w:color="auto"/>
      </w:divBdr>
    </w:div>
    <w:div w:id="1617903420">
      <w:bodyDiv w:val="1"/>
      <w:marLeft w:val="0"/>
      <w:marRight w:val="0"/>
      <w:marTop w:val="0"/>
      <w:marBottom w:val="0"/>
      <w:divBdr>
        <w:top w:val="none" w:sz="0" w:space="0" w:color="auto"/>
        <w:left w:val="none" w:sz="0" w:space="0" w:color="auto"/>
        <w:bottom w:val="none" w:sz="0" w:space="0" w:color="auto"/>
        <w:right w:val="none" w:sz="0" w:space="0" w:color="auto"/>
      </w:divBdr>
    </w:div>
    <w:div w:id="1621258300">
      <w:bodyDiv w:val="1"/>
      <w:marLeft w:val="0"/>
      <w:marRight w:val="0"/>
      <w:marTop w:val="0"/>
      <w:marBottom w:val="0"/>
      <w:divBdr>
        <w:top w:val="none" w:sz="0" w:space="0" w:color="auto"/>
        <w:left w:val="none" w:sz="0" w:space="0" w:color="auto"/>
        <w:bottom w:val="none" w:sz="0" w:space="0" w:color="auto"/>
        <w:right w:val="none" w:sz="0" w:space="0" w:color="auto"/>
      </w:divBdr>
    </w:div>
    <w:div w:id="1624847906">
      <w:bodyDiv w:val="1"/>
      <w:marLeft w:val="0"/>
      <w:marRight w:val="0"/>
      <w:marTop w:val="0"/>
      <w:marBottom w:val="0"/>
      <w:divBdr>
        <w:top w:val="none" w:sz="0" w:space="0" w:color="auto"/>
        <w:left w:val="none" w:sz="0" w:space="0" w:color="auto"/>
        <w:bottom w:val="none" w:sz="0" w:space="0" w:color="auto"/>
        <w:right w:val="none" w:sz="0" w:space="0" w:color="auto"/>
      </w:divBdr>
    </w:div>
    <w:div w:id="1624916837">
      <w:bodyDiv w:val="1"/>
      <w:marLeft w:val="0"/>
      <w:marRight w:val="0"/>
      <w:marTop w:val="0"/>
      <w:marBottom w:val="0"/>
      <w:divBdr>
        <w:top w:val="none" w:sz="0" w:space="0" w:color="auto"/>
        <w:left w:val="none" w:sz="0" w:space="0" w:color="auto"/>
        <w:bottom w:val="none" w:sz="0" w:space="0" w:color="auto"/>
        <w:right w:val="none" w:sz="0" w:space="0" w:color="auto"/>
      </w:divBdr>
    </w:div>
    <w:div w:id="1646547133">
      <w:bodyDiv w:val="1"/>
      <w:marLeft w:val="0"/>
      <w:marRight w:val="0"/>
      <w:marTop w:val="0"/>
      <w:marBottom w:val="0"/>
      <w:divBdr>
        <w:top w:val="none" w:sz="0" w:space="0" w:color="auto"/>
        <w:left w:val="none" w:sz="0" w:space="0" w:color="auto"/>
        <w:bottom w:val="none" w:sz="0" w:space="0" w:color="auto"/>
        <w:right w:val="none" w:sz="0" w:space="0" w:color="auto"/>
      </w:divBdr>
    </w:div>
    <w:div w:id="1655528965">
      <w:bodyDiv w:val="1"/>
      <w:marLeft w:val="0"/>
      <w:marRight w:val="0"/>
      <w:marTop w:val="0"/>
      <w:marBottom w:val="0"/>
      <w:divBdr>
        <w:top w:val="none" w:sz="0" w:space="0" w:color="auto"/>
        <w:left w:val="none" w:sz="0" w:space="0" w:color="auto"/>
        <w:bottom w:val="none" w:sz="0" w:space="0" w:color="auto"/>
        <w:right w:val="none" w:sz="0" w:space="0" w:color="auto"/>
      </w:divBdr>
    </w:div>
    <w:div w:id="1667785020">
      <w:bodyDiv w:val="1"/>
      <w:marLeft w:val="0"/>
      <w:marRight w:val="0"/>
      <w:marTop w:val="0"/>
      <w:marBottom w:val="0"/>
      <w:divBdr>
        <w:top w:val="none" w:sz="0" w:space="0" w:color="auto"/>
        <w:left w:val="none" w:sz="0" w:space="0" w:color="auto"/>
        <w:bottom w:val="none" w:sz="0" w:space="0" w:color="auto"/>
        <w:right w:val="none" w:sz="0" w:space="0" w:color="auto"/>
      </w:divBdr>
    </w:div>
    <w:div w:id="1671834223">
      <w:bodyDiv w:val="1"/>
      <w:marLeft w:val="0"/>
      <w:marRight w:val="0"/>
      <w:marTop w:val="0"/>
      <w:marBottom w:val="0"/>
      <w:divBdr>
        <w:top w:val="none" w:sz="0" w:space="0" w:color="auto"/>
        <w:left w:val="none" w:sz="0" w:space="0" w:color="auto"/>
        <w:bottom w:val="none" w:sz="0" w:space="0" w:color="auto"/>
        <w:right w:val="none" w:sz="0" w:space="0" w:color="auto"/>
      </w:divBdr>
    </w:div>
    <w:div w:id="1683318522">
      <w:bodyDiv w:val="1"/>
      <w:marLeft w:val="0"/>
      <w:marRight w:val="0"/>
      <w:marTop w:val="0"/>
      <w:marBottom w:val="0"/>
      <w:divBdr>
        <w:top w:val="none" w:sz="0" w:space="0" w:color="auto"/>
        <w:left w:val="none" w:sz="0" w:space="0" w:color="auto"/>
        <w:bottom w:val="none" w:sz="0" w:space="0" w:color="auto"/>
        <w:right w:val="none" w:sz="0" w:space="0" w:color="auto"/>
      </w:divBdr>
    </w:div>
    <w:div w:id="1684091124">
      <w:bodyDiv w:val="1"/>
      <w:marLeft w:val="0"/>
      <w:marRight w:val="0"/>
      <w:marTop w:val="0"/>
      <w:marBottom w:val="0"/>
      <w:divBdr>
        <w:top w:val="none" w:sz="0" w:space="0" w:color="auto"/>
        <w:left w:val="none" w:sz="0" w:space="0" w:color="auto"/>
        <w:bottom w:val="none" w:sz="0" w:space="0" w:color="auto"/>
        <w:right w:val="none" w:sz="0" w:space="0" w:color="auto"/>
      </w:divBdr>
    </w:div>
    <w:div w:id="1701515693">
      <w:bodyDiv w:val="1"/>
      <w:marLeft w:val="0"/>
      <w:marRight w:val="0"/>
      <w:marTop w:val="0"/>
      <w:marBottom w:val="0"/>
      <w:divBdr>
        <w:top w:val="none" w:sz="0" w:space="0" w:color="auto"/>
        <w:left w:val="none" w:sz="0" w:space="0" w:color="auto"/>
        <w:bottom w:val="none" w:sz="0" w:space="0" w:color="auto"/>
        <w:right w:val="none" w:sz="0" w:space="0" w:color="auto"/>
      </w:divBdr>
    </w:div>
    <w:div w:id="1702241147">
      <w:bodyDiv w:val="1"/>
      <w:marLeft w:val="0"/>
      <w:marRight w:val="0"/>
      <w:marTop w:val="0"/>
      <w:marBottom w:val="0"/>
      <w:divBdr>
        <w:top w:val="none" w:sz="0" w:space="0" w:color="auto"/>
        <w:left w:val="none" w:sz="0" w:space="0" w:color="auto"/>
        <w:bottom w:val="none" w:sz="0" w:space="0" w:color="auto"/>
        <w:right w:val="none" w:sz="0" w:space="0" w:color="auto"/>
      </w:divBdr>
    </w:div>
    <w:div w:id="1703507407">
      <w:bodyDiv w:val="1"/>
      <w:marLeft w:val="0"/>
      <w:marRight w:val="0"/>
      <w:marTop w:val="0"/>
      <w:marBottom w:val="0"/>
      <w:divBdr>
        <w:top w:val="none" w:sz="0" w:space="0" w:color="auto"/>
        <w:left w:val="none" w:sz="0" w:space="0" w:color="auto"/>
        <w:bottom w:val="none" w:sz="0" w:space="0" w:color="auto"/>
        <w:right w:val="none" w:sz="0" w:space="0" w:color="auto"/>
      </w:divBdr>
    </w:div>
    <w:div w:id="1709066919">
      <w:bodyDiv w:val="1"/>
      <w:marLeft w:val="0"/>
      <w:marRight w:val="0"/>
      <w:marTop w:val="0"/>
      <w:marBottom w:val="0"/>
      <w:divBdr>
        <w:top w:val="none" w:sz="0" w:space="0" w:color="auto"/>
        <w:left w:val="none" w:sz="0" w:space="0" w:color="auto"/>
        <w:bottom w:val="none" w:sz="0" w:space="0" w:color="auto"/>
        <w:right w:val="none" w:sz="0" w:space="0" w:color="auto"/>
      </w:divBdr>
    </w:div>
    <w:div w:id="1713578024">
      <w:bodyDiv w:val="1"/>
      <w:marLeft w:val="0"/>
      <w:marRight w:val="0"/>
      <w:marTop w:val="0"/>
      <w:marBottom w:val="0"/>
      <w:divBdr>
        <w:top w:val="none" w:sz="0" w:space="0" w:color="auto"/>
        <w:left w:val="none" w:sz="0" w:space="0" w:color="auto"/>
        <w:bottom w:val="none" w:sz="0" w:space="0" w:color="auto"/>
        <w:right w:val="none" w:sz="0" w:space="0" w:color="auto"/>
      </w:divBdr>
    </w:div>
    <w:div w:id="1714958581">
      <w:bodyDiv w:val="1"/>
      <w:marLeft w:val="0"/>
      <w:marRight w:val="0"/>
      <w:marTop w:val="0"/>
      <w:marBottom w:val="0"/>
      <w:divBdr>
        <w:top w:val="none" w:sz="0" w:space="0" w:color="auto"/>
        <w:left w:val="none" w:sz="0" w:space="0" w:color="auto"/>
        <w:bottom w:val="none" w:sz="0" w:space="0" w:color="auto"/>
        <w:right w:val="none" w:sz="0" w:space="0" w:color="auto"/>
      </w:divBdr>
    </w:div>
    <w:div w:id="1718816322">
      <w:bodyDiv w:val="1"/>
      <w:marLeft w:val="0"/>
      <w:marRight w:val="0"/>
      <w:marTop w:val="0"/>
      <w:marBottom w:val="0"/>
      <w:divBdr>
        <w:top w:val="none" w:sz="0" w:space="0" w:color="auto"/>
        <w:left w:val="none" w:sz="0" w:space="0" w:color="auto"/>
        <w:bottom w:val="none" w:sz="0" w:space="0" w:color="auto"/>
        <w:right w:val="none" w:sz="0" w:space="0" w:color="auto"/>
      </w:divBdr>
    </w:div>
    <w:div w:id="1734349773">
      <w:bodyDiv w:val="1"/>
      <w:marLeft w:val="0"/>
      <w:marRight w:val="0"/>
      <w:marTop w:val="0"/>
      <w:marBottom w:val="0"/>
      <w:divBdr>
        <w:top w:val="none" w:sz="0" w:space="0" w:color="auto"/>
        <w:left w:val="none" w:sz="0" w:space="0" w:color="auto"/>
        <w:bottom w:val="none" w:sz="0" w:space="0" w:color="auto"/>
        <w:right w:val="none" w:sz="0" w:space="0" w:color="auto"/>
      </w:divBdr>
    </w:div>
    <w:div w:id="1738742801">
      <w:bodyDiv w:val="1"/>
      <w:marLeft w:val="0"/>
      <w:marRight w:val="0"/>
      <w:marTop w:val="0"/>
      <w:marBottom w:val="0"/>
      <w:divBdr>
        <w:top w:val="none" w:sz="0" w:space="0" w:color="auto"/>
        <w:left w:val="none" w:sz="0" w:space="0" w:color="auto"/>
        <w:bottom w:val="none" w:sz="0" w:space="0" w:color="auto"/>
        <w:right w:val="none" w:sz="0" w:space="0" w:color="auto"/>
      </w:divBdr>
    </w:div>
    <w:div w:id="1748258411">
      <w:bodyDiv w:val="1"/>
      <w:marLeft w:val="0"/>
      <w:marRight w:val="0"/>
      <w:marTop w:val="0"/>
      <w:marBottom w:val="0"/>
      <w:divBdr>
        <w:top w:val="none" w:sz="0" w:space="0" w:color="auto"/>
        <w:left w:val="none" w:sz="0" w:space="0" w:color="auto"/>
        <w:bottom w:val="none" w:sz="0" w:space="0" w:color="auto"/>
        <w:right w:val="none" w:sz="0" w:space="0" w:color="auto"/>
      </w:divBdr>
    </w:div>
    <w:div w:id="1750074439">
      <w:bodyDiv w:val="1"/>
      <w:marLeft w:val="0"/>
      <w:marRight w:val="0"/>
      <w:marTop w:val="0"/>
      <w:marBottom w:val="0"/>
      <w:divBdr>
        <w:top w:val="none" w:sz="0" w:space="0" w:color="auto"/>
        <w:left w:val="none" w:sz="0" w:space="0" w:color="auto"/>
        <w:bottom w:val="none" w:sz="0" w:space="0" w:color="auto"/>
        <w:right w:val="none" w:sz="0" w:space="0" w:color="auto"/>
      </w:divBdr>
    </w:div>
    <w:div w:id="1755543026">
      <w:bodyDiv w:val="1"/>
      <w:marLeft w:val="0"/>
      <w:marRight w:val="0"/>
      <w:marTop w:val="0"/>
      <w:marBottom w:val="0"/>
      <w:divBdr>
        <w:top w:val="none" w:sz="0" w:space="0" w:color="auto"/>
        <w:left w:val="none" w:sz="0" w:space="0" w:color="auto"/>
        <w:bottom w:val="none" w:sz="0" w:space="0" w:color="auto"/>
        <w:right w:val="none" w:sz="0" w:space="0" w:color="auto"/>
      </w:divBdr>
    </w:div>
    <w:div w:id="1758478302">
      <w:bodyDiv w:val="1"/>
      <w:marLeft w:val="0"/>
      <w:marRight w:val="0"/>
      <w:marTop w:val="0"/>
      <w:marBottom w:val="0"/>
      <w:divBdr>
        <w:top w:val="none" w:sz="0" w:space="0" w:color="auto"/>
        <w:left w:val="none" w:sz="0" w:space="0" w:color="auto"/>
        <w:bottom w:val="none" w:sz="0" w:space="0" w:color="auto"/>
        <w:right w:val="none" w:sz="0" w:space="0" w:color="auto"/>
      </w:divBdr>
    </w:div>
    <w:div w:id="1759254186">
      <w:bodyDiv w:val="1"/>
      <w:marLeft w:val="0"/>
      <w:marRight w:val="0"/>
      <w:marTop w:val="0"/>
      <w:marBottom w:val="0"/>
      <w:divBdr>
        <w:top w:val="none" w:sz="0" w:space="0" w:color="auto"/>
        <w:left w:val="none" w:sz="0" w:space="0" w:color="auto"/>
        <w:bottom w:val="none" w:sz="0" w:space="0" w:color="auto"/>
        <w:right w:val="none" w:sz="0" w:space="0" w:color="auto"/>
      </w:divBdr>
    </w:div>
    <w:div w:id="1770538883">
      <w:bodyDiv w:val="1"/>
      <w:marLeft w:val="0"/>
      <w:marRight w:val="0"/>
      <w:marTop w:val="0"/>
      <w:marBottom w:val="0"/>
      <w:divBdr>
        <w:top w:val="none" w:sz="0" w:space="0" w:color="auto"/>
        <w:left w:val="none" w:sz="0" w:space="0" w:color="auto"/>
        <w:bottom w:val="none" w:sz="0" w:space="0" w:color="auto"/>
        <w:right w:val="none" w:sz="0" w:space="0" w:color="auto"/>
      </w:divBdr>
    </w:div>
    <w:div w:id="1773936289">
      <w:bodyDiv w:val="1"/>
      <w:marLeft w:val="0"/>
      <w:marRight w:val="0"/>
      <w:marTop w:val="0"/>
      <w:marBottom w:val="0"/>
      <w:divBdr>
        <w:top w:val="none" w:sz="0" w:space="0" w:color="auto"/>
        <w:left w:val="none" w:sz="0" w:space="0" w:color="auto"/>
        <w:bottom w:val="none" w:sz="0" w:space="0" w:color="auto"/>
        <w:right w:val="none" w:sz="0" w:space="0" w:color="auto"/>
      </w:divBdr>
    </w:div>
    <w:div w:id="1803034962">
      <w:bodyDiv w:val="1"/>
      <w:marLeft w:val="0"/>
      <w:marRight w:val="0"/>
      <w:marTop w:val="0"/>
      <w:marBottom w:val="0"/>
      <w:divBdr>
        <w:top w:val="none" w:sz="0" w:space="0" w:color="auto"/>
        <w:left w:val="none" w:sz="0" w:space="0" w:color="auto"/>
        <w:bottom w:val="none" w:sz="0" w:space="0" w:color="auto"/>
        <w:right w:val="none" w:sz="0" w:space="0" w:color="auto"/>
      </w:divBdr>
    </w:div>
    <w:div w:id="1804032166">
      <w:bodyDiv w:val="1"/>
      <w:marLeft w:val="0"/>
      <w:marRight w:val="0"/>
      <w:marTop w:val="0"/>
      <w:marBottom w:val="0"/>
      <w:divBdr>
        <w:top w:val="none" w:sz="0" w:space="0" w:color="auto"/>
        <w:left w:val="none" w:sz="0" w:space="0" w:color="auto"/>
        <w:bottom w:val="none" w:sz="0" w:space="0" w:color="auto"/>
        <w:right w:val="none" w:sz="0" w:space="0" w:color="auto"/>
      </w:divBdr>
    </w:div>
    <w:div w:id="1821190782">
      <w:bodyDiv w:val="1"/>
      <w:marLeft w:val="0"/>
      <w:marRight w:val="0"/>
      <w:marTop w:val="0"/>
      <w:marBottom w:val="0"/>
      <w:divBdr>
        <w:top w:val="none" w:sz="0" w:space="0" w:color="auto"/>
        <w:left w:val="none" w:sz="0" w:space="0" w:color="auto"/>
        <w:bottom w:val="none" w:sz="0" w:space="0" w:color="auto"/>
        <w:right w:val="none" w:sz="0" w:space="0" w:color="auto"/>
      </w:divBdr>
    </w:div>
    <w:div w:id="1849322657">
      <w:bodyDiv w:val="1"/>
      <w:marLeft w:val="0"/>
      <w:marRight w:val="0"/>
      <w:marTop w:val="0"/>
      <w:marBottom w:val="0"/>
      <w:divBdr>
        <w:top w:val="none" w:sz="0" w:space="0" w:color="auto"/>
        <w:left w:val="none" w:sz="0" w:space="0" w:color="auto"/>
        <w:bottom w:val="none" w:sz="0" w:space="0" w:color="auto"/>
        <w:right w:val="none" w:sz="0" w:space="0" w:color="auto"/>
      </w:divBdr>
    </w:div>
    <w:div w:id="1858303351">
      <w:bodyDiv w:val="1"/>
      <w:marLeft w:val="0"/>
      <w:marRight w:val="0"/>
      <w:marTop w:val="0"/>
      <w:marBottom w:val="0"/>
      <w:divBdr>
        <w:top w:val="none" w:sz="0" w:space="0" w:color="auto"/>
        <w:left w:val="none" w:sz="0" w:space="0" w:color="auto"/>
        <w:bottom w:val="none" w:sz="0" w:space="0" w:color="auto"/>
        <w:right w:val="none" w:sz="0" w:space="0" w:color="auto"/>
      </w:divBdr>
    </w:div>
    <w:div w:id="1860656152">
      <w:bodyDiv w:val="1"/>
      <w:marLeft w:val="0"/>
      <w:marRight w:val="0"/>
      <w:marTop w:val="0"/>
      <w:marBottom w:val="0"/>
      <w:divBdr>
        <w:top w:val="none" w:sz="0" w:space="0" w:color="auto"/>
        <w:left w:val="none" w:sz="0" w:space="0" w:color="auto"/>
        <w:bottom w:val="none" w:sz="0" w:space="0" w:color="auto"/>
        <w:right w:val="none" w:sz="0" w:space="0" w:color="auto"/>
      </w:divBdr>
    </w:div>
    <w:div w:id="1860728920">
      <w:bodyDiv w:val="1"/>
      <w:marLeft w:val="0"/>
      <w:marRight w:val="0"/>
      <w:marTop w:val="0"/>
      <w:marBottom w:val="0"/>
      <w:divBdr>
        <w:top w:val="none" w:sz="0" w:space="0" w:color="auto"/>
        <w:left w:val="none" w:sz="0" w:space="0" w:color="auto"/>
        <w:bottom w:val="none" w:sz="0" w:space="0" w:color="auto"/>
        <w:right w:val="none" w:sz="0" w:space="0" w:color="auto"/>
      </w:divBdr>
    </w:div>
    <w:div w:id="1866750924">
      <w:bodyDiv w:val="1"/>
      <w:marLeft w:val="0"/>
      <w:marRight w:val="0"/>
      <w:marTop w:val="0"/>
      <w:marBottom w:val="0"/>
      <w:divBdr>
        <w:top w:val="none" w:sz="0" w:space="0" w:color="auto"/>
        <w:left w:val="none" w:sz="0" w:space="0" w:color="auto"/>
        <w:bottom w:val="none" w:sz="0" w:space="0" w:color="auto"/>
        <w:right w:val="none" w:sz="0" w:space="0" w:color="auto"/>
      </w:divBdr>
    </w:div>
    <w:div w:id="1867673293">
      <w:bodyDiv w:val="1"/>
      <w:marLeft w:val="0"/>
      <w:marRight w:val="0"/>
      <w:marTop w:val="0"/>
      <w:marBottom w:val="0"/>
      <w:divBdr>
        <w:top w:val="none" w:sz="0" w:space="0" w:color="auto"/>
        <w:left w:val="none" w:sz="0" w:space="0" w:color="auto"/>
        <w:bottom w:val="none" w:sz="0" w:space="0" w:color="auto"/>
        <w:right w:val="none" w:sz="0" w:space="0" w:color="auto"/>
      </w:divBdr>
    </w:div>
    <w:div w:id="1870684485">
      <w:bodyDiv w:val="1"/>
      <w:marLeft w:val="0"/>
      <w:marRight w:val="0"/>
      <w:marTop w:val="0"/>
      <w:marBottom w:val="0"/>
      <w:divBdr>
        <w:top w:val="none" w:sz="0" w:space="0" w:color="auto"/>
        <w:left w:val="none" w:sz="0" w:space="0" w:color="auto"/>
        <w:bottom w:val="none" w:sz="0" w:space="0" w:color="auto"/>
        <w:right w:val="none" w:sz="0" w:space="0" w:color="auto"/>
      </w:divBdr>
    </w:div>
    <w:div w:id="1877230366">
      <w:bodyDiv w:val="1"/>
      <w:marLeft w:val="0"/>
      <w:marRight w:val="0"/>
      <w:marTop w:val="0"/>
      <w:marBottom w:val="0"/>
      <w:divBdr>
        <w:top w:val="none" w:sz="0" w:space="0" w:color="auto"/>
        <w:left w:val="none" w:sz="0" w:space="0" w:color="auto"/>
        <w:bottom w:val="none" w:sz="0" w:space="0" w:color="auto"/>
        <w:right w:val="none" w:sz="0" w:space="0" w:color="auto"/>
      </w:divBdr>
    </w:div>
    <w:div w:id="1879707245">
      <w:bodyDiv w:val="1"/>
      <w:marLeft w:val="0"/>
      <w:marRight w:val="0"/>
      <w:marTop w:val="0"/>
      <w:marBottom w:val="0"/>
      <w:divBdr>
        <w:top w:val="none" w:sz="0" w:space="0" w:color="auto"/>
        <w:left w:val="none" w:sz="0" w:space="0" w:color="auto"/>
        <w:bottom w:val="none" w:sz="0" w:space="0" w:color="auto"/>
        <w:right w:val="none" w:sz="0" w:space="0" w:color="auto"/>
      </w:divBdr>
    </w:div>
    <w:div w:id="1881552048">
      <w:bodyDiv w:val="1"/>
      <w:marLeft w:val="0"/>
      <w:marRight w:val="0"/>
      <w:marTop w:val="0"/>
      <w:marBottom w:val="0"/>
      <w:divBdr>
        <w:top w:val="none" w:sz="0" w:space="0" w:color="auto"/>
        <w:left w:val="none" w:sz="0" w:space="0" w:color="auto"/>
        <w:bottom w:val="none" w:sz="0" w:space="0" w:color="auto"/>
        <w:right w:val="none" w:sz="0" w:space="0" w:color="auto"/>
      </w:divBdr>
    </w:div>
    <w:div w:id="1888373961">
      <w:bodyDiv w:val="1"/>
      <w:marLeft w:val="0"/>
      <w:marRight w:val="0"/>
      <w:marTop w:val="0"/>
      <w:marBottom w:val="0"/>
      <w:divBdr>
        <w:top w:val="none" w:sz="0" w:space="0" w:color="auto"/>
        <w:left w:val="none" w:sz="0" w:space="0" w:color="auto"/>
        <w:bottom w:val="none" w:sz="0" w:space="0" w:color="auto"/>
        <w:right w:val="none" w:sz="0" w:space="0" w:color="auto"/>
      </w:divBdr>
    </w:div>
    <w:div w:id="1889604459">
      <w:bodyDiv w:val="1"/>
      <w:marLeft w:val="0"/>
      <w:marRight w:val="0"/>
      <w:marTop w:val="0"/>
      <w:marBottom w:val="0"/>
      <w:divBdr>
        <w:top w:val="none" w:sz="0" w:space="0" w:color="auto"/>
        <w:left w:val="none" w:sz="0" w:space="0" w:color="auto"/>
        <w:bottom w:val="none" w:sz="0" w:space="0" w:color="auto"/>
        <w:right w:val="none" w:sz="0" w:space="0" w:color="auto"/>
      </w:divBdr>
    </w:div>
    <w:div w:id="1890611657">
      <w:bodyDiv w:val="1"/>
      <w:marLeft w:val="0"/>
      <w:marRight w:val="0"/>
      <w:marTop w:val="0"/>
      <w:marBottom w:val="0"/>
      <w:divBdr>
        <w:top w:val="none" w:sz="0" w:space="0" w:color="auto"/>
        <w:left w:val="none" w:sz="0" w:space="0" w:color="auto"/>
        <w:bottom w:val="none" w:sz="0" w:space="0" w:color="auto"/>
        <w:right w:val="none" w:sz="0" w:space="0" w:color="auto"/>
      </w:divBdr>
    </w:div>
    <w:div w:id="1897083989">
      <w:bodyDiv w:val="1"/>
      <w:marLeft w:val="0"/>
      <w:marRight w:val="0"/>
      <w:marTop w:val="0"/>
      <w:marBottom w:val="0"/>
      <w:divBdr>
        <w:top w:val="none" w:sz="0" w:space="0" w:color="auto"/>
        <w:left w:val="none" w:sz="0" w:space="0" w:color="auto"/>
        <w:bottom w:val="none" w:sz="0" w:space="0" w:color="auto"/>
        <w:right w:val="none" w:sz="0" w:space="0" w:color="auto"/>
      </w:divBdr>
    </w:div>
    <w:div w:id="1906257431">
      <w:bodyDiv w:val="1"/>
      <w:marLeft w:val="0"/>
      <w:marRight w:val="0"/>
      <w:marTop w:val="0"/>
      <w:marBottom w:val="0"/>
      <w:divBdr>
        <w:top w:val="none" w:sz="0" w:space="0" w:color="auto"/>
        <w:left w:val="none" w:sz="0" w:space="0" w:color="auto"/>
        <w:bottom w:val="none" w:sz="0" w:space="0" w:color="auto"/>
        <w:right w:val="none" w:sz="0" w:space="0" w:color="auto"/>
      </w:divBdr>
    </w:div>
    <w:div w:id="1913158987">
      <w:bodyDiv w:val="1"/>
      <w:marLeft w:val="0"/>
      <w:marRight w:val="0"/>
      <w:marTop w:val="0"/>
      <w:marBottom w:val="0"/>
      <w:divBdr>
        <w:top w:val="none" w:sz="0" w:space="0" w:color="auto"/>
        <w:left w:val="none" w:sz="0" w:space="0" w:color="auto"/>
        <w:bottom w:val="none" w:sz="0" w:space="0" w:color="auto"/>
        <w:right w:val="none" w:sz="0" w:space="0" w:color="auto"/>
      </w:divBdr>
    </w:div>
    <w:div w:id="1913662493">
      <w:bodyDiv w:val="1"/>
      <w:marLeft w:val="0"/>
      <w:marRight w:val="0"/>
      <w:marTop w:val="0"/>
      <w:marBottom w:val="0"/>
      <w:divBdr>
        <w:top w:val="none" w:sz="0" w:space="0" w:color="auto"/>
        <w:left w:val="none" w:sz="0" w:space="0" w:color="auto"/>
        <w:bottom w:val="none" w:sz="0" w:space="0" w:color="auto"/>
        <w:right w:val="none" w:sz="0" w:space="0" w:color="auto"/>
      </w:divBdr>
    </w:div>
    <w:div w:id="1918132000">
      <w:bodyDiv w:val="1"/>
      <w:marLeft w:val="0"/>
      <w:marRight w:val="0"/>
      <w:marTop w:val="0"/>
      <w:marBottom w:val="0"/>
      <w:divBdr>
        <w:top w:val="none" w:sz="0" w:space="0" w:color="auto"/>
        <w:left w:val="none" w:sz="0" w:space="0" w:color="auto"/>
        <w:bottom w:val="none" w:sz="0" w:space="0" w:color="auto"/>
        <w:right w:val="none" w:sz="0" w:space="0" w:color="auto"/>
      </w:divBdr>
    </w:div>
    <w:div w:id="1919903514">
      <w:bodyDiv w:val="1"/>
      <w:marLeft w:val="0"/>
      <w:marRight w:val="0"/>
      <w:marTop w:val="0"/>
      <w:marBottom w:val="0"/>
      <w:divBdr>
        <w:top w:val="none" w:sz="0" w:space="0" w:color="auto"/>
        <w:left w:val="none" w:sz="0" w:space="0" w:color="auto"/>
        <w:bottom w:val="none" w:sz="0" w:space="0" w:color="auto"/>
        <w:right w:val="none" w:sz="0" w:space="0" w:color="auto"/>
      </w:divBdr>
    </w:div>
    <w:div w:id="1921718130">
      <w:bodyDiv w:val="1"/>
      <w:marLeft w:val="0"/>
      <w:marRight w:val="0"/>
      <w:marTop w:val="0"/>
      <w:marBottom w:val="0"/>
      <w:divBdr>
        <w:top w:val="none" w:sz="0" w:space="0" w:color="auto"/>
        <w:left w:val="none" w:sz="0" w:space="0" w:color="auto"/>
        <w:bottom w:val="none" w:sz="0" w:space="0" w:color="auto"/>
        <w:right w:val="none" w:sz="0" w:space="0" w:color="auto"/>
      </w:divBdr>
    </w:div>
    <w:div w:id="1930382224">
      <w:bodyDiv w:val="1"/>
      <w:marLeft w:val="0"/>
      <w:marRight w:val="0"/>
      <w:marTop w:val="0"/>
      <w:marBottom w:val="0"/>
      <w:divBdr>
        <w:top w:val="none" w:sz="0" w:space="0" w:color="auto"/>
        <w:left w:val="none" w:sz="0" w:space="0" w:color="auto"/>
        <w:bottom w:val="none" w:sz="0" w:space="0" w:color="auto"/>
        <w:right w:val="none" w:sz="0" w:space="0" w:color="auto"/>
      </w:divBdr>
    </w:div>
    <w:div w:id="1937901622">
      <w:bodyDiv w:val="1"/>
      <w:marLeft w:val="0"/>
      <w:marRight w:val="0"/>
      <w:marTop w:val="0"/>
      <w:marBottom w:val="0"/>
      <w:divBdr>
        <w:top w:val="none" w:sz="0" w:space="0" w:color="auto"/>
        <w:left w:val="none" w:sz="0" w:space="0" w:color="auto"/>
        <w:bottom w:val="none" w:sz="0" w:space="0" w:color="auto"/>
        <w:right w:val="none" w:sz="0" w:space="0" w:color="auto"/>
      </w:divBdr>
    </w:div>
    <w:div w:id="1969360589">
      <w:bodyDiv w:val="1"/>
      <w:marLeft w:val="0"/>
      <w:marRight w:val="0"/>
      <w:marTop w:val="0"/>
      <w:marBottom w:val="0"/>
      <w:divBdr>
        <w:top w:val="none" w:sz="0" w:space="0" w:color="auto"/>
        <w:left w:val="none" w:sz="0" w:space="0" w:color="auto"/>
        <w:bottom w:val="none" w:sz="0" w:space="0" w:color="auto"/>
        <w:right w:val="none" w:sz="0" w:space="0" w:color="auto"/>
      </w:divBdr>
    </w:div>
    <w:div w:id="1978097329">
      <w:bodyDiv w:val="1"/>
      <w:marLeft w:val="0"/>
      <w:marRight w:val="0"/>
      <w:marTop w:val="0"/>
      <w:marBottom w:val="0"/>
      <w:divBdr>
        <w:top w:val="none" w:sz="0" w:space="0" w:color="auto"/>
        <w:left w:val="none" w:sz="0" w:space="0" w:color="auto"/>
        <w:bottom w:val="none" w:sz="0" w:space="0" w:color="auto"/>
        <w:right w:val="none" w:sz="0" w:space="0" w:color="auto"/>
      </w:divBdr>
    </w:div>
    <w:div w:id="1988823855">
      <w:bodyDiv w:val="1"/>
      <w:marLeft w:val="0"/>
      <w:marRight w:val="0"/>
      <w:marTop w:val="0"/>
      <w:marBottom w:val="0"/>
      <w:divBdr>
        <w:top w:val="none" w:sz="0" w:space="0" w:color="auto"/>
        <w:left w:val="none" w:sz="0" w:space="0" w:color="auto"/>
        <w:bottom w:val="none" w:sz="0" w:space="0" w:color="auto"/>
        <w:right w:val="none" w:sz="0" w:space="0" w:color="auto"/>
      </w:divBdr>
    </w:div>
    <w:div w:id="1994331980">
      <w:bodyDiv w:val="1"/>
      <w:marLeft w:val="0"/>
      <w:marRight w:val="0"/>
      <w:marTop w:val="0"/>
      <w:marBottom w:val="0"/>
      <w:divBdr>
        <w:top w:val="none" w:sz="0" w:space="0" w:color="auto"/>
        <w:left w:val="none" w:sz="0" w:space="0" w:color="auto"/>
        <w:bottom w:val="none" w:sz="0" w:space="0" w:color="auto"/>
        <w:right w:val="none" w:sz="0" w:space="0" w:color="auto"/>
      </w:divBdr>
    </w:div>
    <w:div w:id="1996489165">
      <w:bodyDiv w:val="1"/>
      <w:marLeft w:val="0"/>
      <w:marRight w:val="0"/>
      <w:marTop w:val="0"/>
      <w:marBottom w:val="0"/>
      <w:divBdr>
        <w:top w:val="none" w:sz="0" w:space="0" w:color="auto"/>
        <w:left w:val="none" w:sz="0" w:space="0" w:color="auto"/>
        <w:bottom w:val="none" w:sz="0" w:space="0" w:color="auto"/>
        <w:right w:val="none" w:sz="0" w:space="0" w:color="auto"/>
      </w:divBdr>
    </w:div>
    <w:div w:id="1999310043">
      <w:bodyDiv w:val="1"/>
      <w:marLeft w:val="0"/>
      <w:marRight w:val="0"/>
      <w:marTop w:val="0"/>
      <w:marBottom w:val="0"/>
      <w:divBdr>
        <w:top w:val="none" w:sz="0" w:space="0" w:color="auto"/>
        <w:left w:val="none" w:sz="0" w:space="0" w:color="auto"/>
        <w:bottom w:val="none" w:sz="0" w:space="0" w:color="auto"/>
        <w:right w:val="none" w:sz="0" w:space="0" w:color="auto"/>
      </w:divBdr>
    </w:div>
    <w:div w:id="2018383309">
      <w:bodyDiv w:val="1"/>
      <w:marLeft w:val="0"/>
      <w:marRight w:val="0"/>
      <w:marTop w:val="0"/>
      <w:marBottom w:val="0"/>
      <w:divBdr>
        <w:top w:val="none" w:sz="0" w:space="0" w:color="auto"/>
        <w:left w:val="none" w:sz="0" w:space="0" w:color="auto"/>
        <w:bottom w:val="none" w:sz="0" w:space="0" w:color="auto"/>
        <w:right w:val="none" w:sz="0" w:space="0" w:color="auto"/>
      </w:divBdr>
    </w:div>
    <w:div w:id="2034452655">
      <w:bodyDiv w:val="1"/>
      <w:marLeft w:val="0"/>
      <w:marRight w:val="0"/>
      <w:marTop w:val="0"/>
      <w:marBottom w:val="0"/>
      <w:divBdr>
        <w:top w:val="none" w:sz="0" w:space="0" w:color="auto"/>
        <w:left w:val="none" w:sz="0" w:space="0" w:color="auto"/>
        <w:bottom w:val="none" w:sz="0" w:space="0" w:color="auto"/>
        <w:right w:val="none" w:sz="0" w:space="0" w:color="auto"/>
      </w:divBdr>
    </w:div>
    <w:div w:id="2065367651">
      <w:bodyDiv w:val="1"/>
      <w:marLeft w:val="0"/>
      <w:marRight w:val="0"/>
      <w:marTop w:val="0"/>
      <w:marBottom w:val="0"/>
      <w:divBdr>
        <w:top w:val="none" w:sz="0" w:space="0" w:color="auto"/>
        <w:left w:val="none" w:sz="0" w:space="0" w:color="auto"/>
        <w:bottom w:val="none" w:sz="0" w:space="0" w:color="auto"/>
        <w:right w:val="none" w:sz="0" w:space="0" w:color="auto"/>
      </w:divBdr>
    </w:div>
    <w:div w:id="2077509639">
      <w:bodyDiv w:val="1"/>
      <w:marLeft w:val="0"/>
      <w:marRight w:val="0"/>
      <w:marTop w:val="0"/>
      <w:marBottom w:val="0"/>
      <w:divBdr>
        <w:top w:val="none" w:sz="0" w:space="0" w:color="auto"/>
        <w:left w:val="none" w:sz="0" w:space="0" w:color="auto"/>
        <w:bottom w:val="none" w:sz="0" w:space="0" w:color="auto"/>
        <w:right w:val="none" w:sz="0" w:space="0" w:color="auto"/>
      </w:divBdr>
    </w:div>
    <w:div w:id="2084445446">
      <w:bodyDiv w:val="1"/>
      <w:marLeft w:val="0"/>
      <w:marRight w:val="0"/>
      <w:marTop w:val="0"/>
      <w:marBottom w:val="0"/>
      <w:divBdr>
        <w:top w:val="none" w:sz="0" w:space="0" w:color="auto"/>
        <w:left w:val="none" w:sz="0" w:space="0" w:color="auto"/>
        <w:bottom w:val="none" w:sz="0" w:space="0" w:color="auto"/>
        <w:right w:val="none" w:sz="0" w:space="0" w:color="auto"/>
      </w:divBdr>
    </w:div>
    <w:div w:id="2093043625">
      <w:bodyDiv w:val="1"/>
      <w:marLeft w:val="0"/>
      <w:marRight w:val="0"/>
      <w:marTop w:val="0"/>
      <w:marBottom w:val="0"/>
      <w:divBdr>
        <w:top w:val="none" w:sz="0" w:space="0" w:color="auto"/>
        <w:left w:val="none" w:sz="0" w:space="0" w:color="auto"/>
        <w:bottom w:val="none" w:sz="0" w:space="0" w:color="auto"/>
        <w:right w:val="none" w:sz="0" w:space="0" w:color="auto"/>
      </w:divBdr>
    </w:div>
    <w:div w:id="2093815392">
      <w:bodyDiv w:val="1"/>
      <w:marLeft w:val="0"/>
      <w:marRight w:val="0"/>
      <w:marTop w:val="0"/>
      <w:marBottom w:val="0"/>
      <w:divBdr>
        <w:top w:val="none" w:sz="0" w:space="0" w:color="auto"/>
        <w:left w:val="none" w:sz="0" w:space="0" w:color="auto"/>
        <w:bottom w:val="none" w:sz="0" w:space="0" w:color="auto"/>
        <w:right w:val="none" w:sz="0" w:space="0" w:color="auto"/>
      </w:divBdr>
    </w:div>
    <w:div w:id="2119909480">
      <w:bodyDiv w:val="1"/>
      <w:marLeft w:val="0"/>
      <w:marRight w:val="0"/>
      <w:marTop w:val="0"/>
      <w:marBottom w:val="0"/>
      <w:divBdr>
        <w:top w:val="none" w:sz="0" w:space="0" w:color="auto"/>
        <w:left w:val="none" w:sz="0" w:space="0" w:color="auto"/>
        <w:bottom w:val="none" w:sz="0" w:space="0" w:color="auto"/>
        <w:right w:val="none" w:sz="0" w:space="0" w:color="auto"/>
      </w:divBdr>
    </w:div>
    <w:div w:id="2126195462">
      <w:bodyDiv w:val="1"/>
      <w:marLeft w:val="0"/>
      <w:marRight w:val="0"/>
      <w:marTop w:val="0"/>
      <w:marBottom w:val="0"/>
      <w:divBdr>
        <w:top w:val="none" w:sz="0" w:space="0" w:color="auto"/>
        <w:left w:val="none" w:sz="0" w:space="0" w:color="auto"/>
        <w:bottom w:val="none" w:sz="0" w:space="0" w:color="auto"/>
        <w:right w:val="none" w:sz="0" w:space="0" w:color="auto"/>
      </w:divBdr>
    </w:div>
    <w:div w:id="213949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21%20Report%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D06079AEEE04BB791D3E60B0033D96F"/>
        <w:category>
          <w:name w:val="General"/>
          <w:gallery w:val="placeholder"/>
        </w:category>
        <w:types>
          <w:type w:val="bbPlcHdr"/>
        </w:types>
        <w:behaviors>
          <w:behavior w:val="content"/>
        </w:behaviors>
        <w:guid w:val="{33AEDADC-0857-419A-91FF-F5A1F8832D44}"/>
      </w:docPartPr>
      <w:docPartBody>
        <w:p w:rsidR="001B0D82" w:rsidRDefault="002C0BB3">
          <w:pPr>
            <w:pStyle w:val="5D06079AEEE04BB791D3E60B0033D96F"/>
          </w:pPr>
          <w:r w:rsidRPr="00E2281E">
            <w:rPr>
              <w:rStyle w:val="DocumentInfoChar"/>
              <w:highlight w:val="lightGray"/>
            </w:rPr>
            <w:t>[Client Name]</w:t>
          </w:r>
        </w:p>
      </w:docPartBody>
    </w:docPart>
    <w:docPart>
      <w:docPartPr>
        <w:name w:val="3D68DBB5BF614CABA247BDFACEE1640B"/>
        <w:category>
          <w:name w:val="General"/>
          <w:gallery w:val="placeholder"/>
        </w:category>
        <w:types>
          <w:type w:val="bbPlcHdr"/>
        </w:types>
        <w:behaviors>
          <w:behavior w:val="content"/>
        </w:behaviors>
        <w:guid w:val="{8154237F-941B-434F-A038-C8444C7D2E0B}"/>
      </w:docPartPr>
      <w:docPartBody>
        <w:p w:rsidR="001B0D82" w:rsidRDefault="002C0BB3">
          <w:pPr>
            <w:pStyle w:val="3D68DBB5BF614CABA247BDFACEE1640B"/>
          </w:pPr>
          <w:r w:rsidRPr="00BD2592">
            <w:rPr>
              <w:highlight w:val="lightGray"/>
            </w:rPr>
            <w:t>[Title]</w:t>
          </w:r>
        </w:p>
      </w:docPartBody>
    </w:docPart>
    <w:docPart>
      <w:docPartPr>
        <w:name w:val="130275EE0F474751B9805EE5290D906D"/>
        <w:category>
          <w:name w:val="General"/>
          <w:gallery w:val="placeholder"/>
        </w:category>
        <w:types>
          <w:type w:val="bbPlcHdr"/>
        </w:types>
        <w:behaviors>
          <w:behavior w:val="content"/>
        </w:behaviors>
        <w:guid w:val="{B057CE45-6B89-455C-B1C0-49EC5BDD364D}"/>
      </w:docPartPr>
      <w:docPartBody>
        <w:p w:rsidR="001B0D82" w:rsidRDefault="002C0BB3">
          <w:pPr>
            <w:pStyle w:val="130275EE0F474751B9805EE5290D906D"/>
          </w:pPr>
          <w:r w:rsidRPr="00E2281E">
            <w:rPr>
              <w:rStyle w:val="DocumentInfoChar"/>
              <w:highlight w:val="lightGray"/>
            </w:rPr>
            <w:t>[Documen</w:t>
          </w:r>
          <w:r>
            <w:rPr>
              <w:rStyle w:val="DocumentInfoChar"/>
              <w:highlight w:val="lightGray"/>
            </w:rPr>
            <w:t>t type</w:t>
          </w:r>
          <w:r w:rsidRPr="00E2281E">
            <w:rPr>
              <w:rStyle w:val="DocumentInfoChar"/>
              <w:highlight w:val="lightGray"/>
            </w:rPr>
            <w:t>]</w:t>
          </w:r>
        </w:p>
      </w:docPartBody>
    </w:docPart>
    <w:docPart>
      <w:docPartPr>
        <w:name w:val="2CAAFADF2BEC4CEC8507B0C38BEA2AD8"/>
        <w:category>
          <w:name w:val="General"/>
          <w:gallery w:val="placeholder"/>
        </w:category>
        <w:types>
          <w:type w:val="bbPlcHdr"/>
        </w:types>
        <w:behaviors>
          <w:behavior w:val="content"/>
        </w:behaviors>
        <w:guid w:val="{7BA5B74B-8078-4AF4-8C78-044E4014355A}"/>
      </w:docPartPr>
      <w:docPartBody>
        <w:p w:rsidR="001B0D82" w:rsidRDefault="002C0BB3">
          <w:pPr>
            <w:pStyle w:val="2CAAFADF2BEC4CEC8507B0C38BEA2AD8"/>
          </w:pPr>
          <w:r w:rsidRPr="00E2281E">
            <w:rPr>
              <w:highlight w:val="lightGray"/>
            </w:rPr>
            <w:t>[Publish Date]</w:t>
          </w:r>
        </w:p>
      </w:docPartBody>
    </w:docPart>
    <w:docPart>
      <w:docPartPr>
        <w:name w:val="E4AD93907C4A4B5F9F31CBFCF437361B"/>
        <w:category>
          <w:name w:val="General"/>
          <w:gallery w:val="placeholder"/>
        </w:category>
        <w:types>
          <w:type w:val="bbPlcHdr"/>
        </w:types>
        <w:behaviors>
          <w:behavior w:val="content"/>
        </w:behaviors>
        <w:guid w:val="{EA0FE991-BB0A-4AF6-929B-83F62E7C72B3}"/>
      </w:docPartPr>
      <w:docPartBody>
        <w:p w:rsidR="001B0D82" w:rsidRDefault="002C0BB3">
          <w:pPr>
            <w:pStyle w:val="E4AD93907C4A4B5F9F31CBFCF437361B"/>
          </w:pPr>
          <w:r w:rsidRPr="00840813">
            <w:rPr>
              <w:rStyle w:val="FooterProjectTitleChar"/>
            </w:rPr>
            <w:t>[Client Name]</w:t>
          </w:r>
        </w:p>
      </w:docPartBody>
    </w:docPart>
    <w:docPart>
      <w:docPartPr>
        <w:name w:val="A2F55322340043D68828E3CA83DDC123"/>
        <w:category>
          <w:name w:val="General"/>
          <w:gallery w:val="placeholder"/>
        </w:category>
        <w:types>
          <w:type w:val="bbPlcHdr"/>
        </w:types>
        <w:behaviors>
          <w:behavior w:val="content"/>
        </w:behaviors>
        <w:guid w:val="{8F21E1D9-E50B-47D4-B0B2-DCD3A024F153}"/>
      </w:docPartPr>
      <w:docPartBody>
        <w:p w:rsidR="001B0D82" w:rsidRDefault="002C0BB3">
          <w:pPr>
            <w:pStyle w:val="A2F55322340043D68828E3CA83DDC123"/>
          </w:pPr>
          <w:r w:rsidRPr="00840813">
            <w:rPr>
              <w:rStyle w:val="FooterProjectTitleChar"/>
            </w:rPr>
            <w:t>[Title]</w:t>
          </w:r>
        </w:p>
      </w:docPartBody>
    </w:docPart>
    <w:docPart>
      <w:docPartPr>
        <w:name w:val="AD5A2B409B224B56961E70EB618E5EFA"/>
        <w:category>
          <w:name w:val="General"/>
          <w:gallery w:val="placeholder"/>
        </w:category>
        <w:types>
          <w:type w:val="bbPlcHdr"/>
        </w:types>
        <w:behaviors>
          <w:behavior w:val="content"/>
        </w:behaviors>
        <w:guid w:val="{B83F692D-9861-4EE6-B93D-B9B4F6418CCC}"/>
      </w:docPartPr>
      <w:docPartBody>
        <w:p w:rsidR="001B0D82" w:rsidRDefault="002C0BB3">
          <w:pPr>
            <w:pStyle w:val="AD5A2B409B224B56961E70EB618E5EFA"/>
          </w:pPr>
          <w:r w:rsidRPr="006756D6">
            <w:rPr>
              <w:rStyle w:val="FooterDocumentTitleChar"/>
            </w:rPr>
            <w:t>[Type of Document]</w:t>
          </w:r>
        </w:p>
      </w:docPartBody>
    </w:docPart>
    <w:docPart>
      <w:docPartPr>
        <w:name w:val="43FF8F86624F4F61A34C4388AA0BE463"/>
        <w:category>
          <w:name w:val="General"/>
          <w:gallery w:val="placeholder"/>
        </w:category>
        <w:types>
          <w:type w:val="bbPlcHdr"/>
        </w:types>
        <w:behaviors>
          <w:behavior w:val="content"/>
        </w:behaviors>
        <w:guid w:val="{BBA4EF74-7C79-4CE0-BAA9-A12D283DE8E0}"/>
      </w:docPartPr>
      <w:docPartBody>
        <w:p w:rsidR="00CA61E8" w:rsidRDefault="0065188E" w:rsidP="0065188E">
          <w:pPr>
            <w:pStyle w:val="43FF8F86624F4F61A34C4388AA0BE463"/>
          </w:pPr>
          <w:r w:rsidRPr="00840813">
            <w:rPr>
              <w:rStyle w:val="FooterProjectTitleChar"/>
            </w:rPr>
            <w:t>[Client Name]</w:t>
          </w:r>
        </w:p>
      </w:docPartBody>
    </w:docPart>
    <w:docPart>
      <w:docPartPr>
        <w:name w:val="D2BAFAF8A40244EFB230CCE2D99BAB37"/>
        <w:category>
          <w:name w:val="General"/>
          <w:gallery w:val="placeholder"/>
        </w:category>
        <w:types>
          <w:type w:val="bbPlcHdr"/>
        </w:types>
        <w:behaviors>
          <w:behavior w:val="content"/>
        </w:behaviors>
        <w:guid w:val="{725A312B-E1D9-4C38-9F7D-915B1CD19A0A}"/>
      </w:docPartPr>
      <w:docPartBody>
        <w:p w:rsidR="00CA61E8" w:rsidRDefault="0065188E" w:rsidP="0065188E">
          <w:pPr>
            <w:pStyle w:val="D2BAFAF8A40244EFB230CCE2D99BAB37"/>
          </w:pPr>
          <w:r w:rsidRPr="00840813">
            <w:rPr>
              <w:rStyle w:val="FooterProjectTitleChar"/>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BB3"/>
    <w:rsid w:val="0004339F"/>
    <w:rsid w:val="00052F64"/>
    <w:rsid w:val="000C5133"/>
    <w:rsid w:val="000D40A9"/>
    <w:rsid w:val="000F4EAD"/>
    <w:rsid w:val="00133DF8"/>
    <w:rsid w:val="0019645D"/>
    <w:rsid w:val="001A5343"/>
    <w:rsid w:val="001B0D82"/>
    <w:rsid w:val="00205875"/>
    <w:rsid w:val="0021078B"/>
    <w:rsid w:val="002C0BB3"/>
    <w:rsid w:val="002C7BBE"/>
    <w:rsid w:val="002D73FB"/>
    <w:rsid w:val="00337451"/>
    <w:rsid w:val="0035702D"/>
    <w:rsid w:val="00393273"/>
    <w:rsid w:val="003B62D0"/>
    <w:rsid w:val="003E2F5F"/>
    <w:rsid w:val="00400C01"/>
    <w:rsid w:val="004058A9"/>
    <w:rsid w:val="00455B6C"/>
    <w:rsid w:val="004C0BC0"/>
    <w:rsid w:val="005145AA"/>
    <w:rsid w:val="0065188E"/>
    <w:rsid w:val="006667BC"/>
    <w:rsid w:val="00673493"/>
    <w:rsid w:val="00695018"/>
    <w:rsid w:val="00696456"/>
    <w:rsid w:val="006A4565"/>
    <w:rsid w:val="00704206"/>
    <w:rsid w:val="007A6C8B"/>
    <w:rsid w:val="007E126E"/>
    <w:rsid w:val="00837D1C"/>
    <w:rsid w:val="0087279A"/>
    <w:rsid w:val="00883E34"/>
    <w:rsid w:val="00894F0B"/>
    <w:rsid w:val="008D0A7E"/>
    <w:rsid w:val="008F0B0B"/>
    <w:rsid w:val="0092647C"/>
    <w:rsid w:val="00951ED6"/>
    <w:rsid w:val="00965AB4"/>
    <w:rsid w:val="00976B80"/>
    <w:rsid w:val="00A65C5A"/>
    <w:rsid w:val="00A81985"/>
    <w:rsid w:val="00AE4CB6"/>
    <w:rsid w:val="00B07AF4"/>
    <w:rsid w:val="00B671E3"/>
    <w:rsid w:val="00B738ED"/>
    <w:rsid w:val="00BA6327"/>
    <w:rsid w:val="00C65243"/>
    <w:rsid w:val="00C911B5"/>
    <w:rsid w:val="00CA61E8"/>
    <w:rsid w:val="00CF2CF9"/>
    <w:rsid w:val="00D03454"/>
    <w:rsid w:val="00D3164D"/>
    <w:rsid w:val="00DE465E"/>
    <w:rsid w:val="00E4763E"/>
    <w:rsid w:val="00E72A67"/>
    <w:rsid w:val="00F00837"/>
    <w:rsid w:val="00F30E82"/>
    <w:rsid w:val="00F41916"/>
    <w:rsid w:val="00F54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Info">
    <w:name w:val="Document Info"/>
    <w:link w:val="DocumentInfoChar"/>
    <w:uiPriority w:val="34"/>
    <w:pPr>
      <w:spacing w:after="0" w:line="288" w:lineRule="exact"/>
      <w:jc w:val="right"/>
    </w:pPr>
    <w:rPr>
      <w:rFonts w:asciiTheme="majorHAnsi" w:eastAsiaTheme="minorHAnsi" w:hAnsiTheme="majorHAnsi" w:cs="Times New Roman"/>
      <w:caps/>
      <w:color w:val="000000" w:themeColor="text1"/>
      <w:spacing w:val="-2"/>
      <w:sz w:val="24"/>
      <w:szCs w:val="20"/>
      <w:lang w:eastAsia="en-US"/>
    </w:rPr>
  </w:style>
  <w:style w:type="character" w:customStyle="1" w:styleId="DocumentInfoChar">
    <w:name w:val="Document Info Char"/>
    <w:basedOn w:val="DefaultParagraphFont"/>
    <w:link w:val="DocumentInfo"/>
    <w:uiPriority w:val="34"/>
    <w:rPr>
      <w:rFonts w:asciiTheme="majorHAnsi" w:eastAsiaTheme="minorHAnsi" w:hAnsiTheme="majorHAnsi" w:cs="Times New Roman"/>
      <w:caps/>
      <w:color w:val="000000" w:themeColor="text1"/>
      <w:spacing w:val="-2"/>
      <w:sz w:val="24"/>
      <w:szCs w:val="20"/>
      <w:lang w:eastAsia="en-US"/>
    </w:rPr>
  </w:style>
  <w:style w:type="paragraph" w:customStyle="1" w:styleId="5D06079AEEE04BB791D3E60B0033D96F">
    <w:name w:val="5D06079AEEE04BB791D3E60B0033D96F"/>
  </w:style>
  <w:style w:type="paragraph" w:customStyle="1" w:styleId="3D68DBB5BF614CABA247BDFACEE1640B">
    <w:name w:val="3D68DBB5BF614CABA247BDFACEE1640B"/>
  </w:style>
  <w:style w:type="paragraph" w:customStyle="1" w:styleId="130275EE0F474751B9805EE5290D906D">
    <w:name w:val="130275EE0F474751B9805EE5290D906D"/>
  </w:style>
  <w:style w:type="paragraph" w:customStyle="1" w:styleId="2CAAFADF2BEC4CEC8507B0C38BEA2AD8">
    <w:name w:val="2CAAFADF2BEC4CEC8507B0C38BEA2AD8"/>
  </w:style>
  <w:style w:type="paragraph" w:customStyle="1" w:styleId="FooterProjectTitle">
    <w:name w:val="Footer Project Title"/>
    <w:link w:val="FooterProjectTitleChar"/>
    <w:uiPriority w:val="34"/>
    <w:qFormat/>
    <w:rsid w:val="0065188E"/>
    <w:pPr>
      <w:spacing w:after="0" w:line="168" w:lineRule="exact"/>
    </w:pPr>
    <w:rPr>
      <w:rFonts w:ascii="Franklin Gothic Demi" w:eastAsiaTheme="minorHAnsi" w:hAnsi="Franklin Gothic Demi" w:cs="Times New Roman"/>
      <w:color w:val="000000" w:themeColor="text1"/>
      <w:spacing w:val="-2"/>
      <w:sz w:val="14"/>
      <w:szCs w:val="20"/>
      <w:lang w:eastAsia="en-US"/>
    </w:rPr>
  </w:style>
  <w:style w:type="character" w:customStyle="1" w:styleId="FooterProjectTitleChar">
    <w:name w:val="Footer Project Title Char"/>
    <w:basedOn w:val="DefaultParagraphFont"/>
    <w:link w:val="FooterProjectTitle"/>
    <w:uiPriority w:val="34"/>
    <w:rsid w:val="0065188E"/>
    <w:rPr>
      <w:rFonts w:ascii="Franklin Gothic Demi" w:eastAsiaTheme="minorHAnsi" w:hAnsi="Franklin Gothic Demi" w:cs="Times New Roman"/>
      <w:color w:val="000000" w:themeColor="text1"/>
      <w:spacing w:val="-2"/>
      <w:sz w:val="14"/>
      <w:szCs w:val="20"/>
      <w:lang w:eastAsia="en-US"/>
    </w:rPr>
  </w:style>
  <w:style w:type="paragraph" w:customStyle="1" w:styleId="E4AD93907C4A4B5F9F31CBFCF437361B">
    <w:name w:val="E4AD93907C4A4B5F9F31CBFCF437361B"/>
  </w:style>
  <w:style w:type="paragraph" w:customStyle="1" w:styleId="A2F55322340043D68828E3CA83DDC123">
    <w:name w:val="A2F55322340043D68828E3CA83DDC123"/>
  </w:style>
  <w:style w:type="paragraph" w:customStyle="1" w:styleId="FooterDocumentTitle">
    <w:name w:val="Footer Document Title"/>
    <w:link w:val="FooterDocumentTitleChar"/>
    <w:uiPriority w:val="34"/>
    <w:qFormat/>
    <w:rsid w:val="0065188E"/>
    <w:pPr>
      <w:spacing w:after="0" w:line="168" w:lineRule="exact"/>
      <w:jc w:val="right"/>
    </w:pPr>
    <w:rPr>
      <w:rFonts w:asciiTheme="majorHAnsi" w:eastAsiaTheme="minorHAnsi" w:hAnsiTheme="majorHAnsi" w:cs="Times New Roman"/>
      <w:color w:val="000000" w:themeColor="text1"/>
      <w:spacing w:val="-2"/>
      <w:sz w:val="14"/>
      <w:szCs w:val="20"/>
      <w:lang w:eastAsia="en-US"/>
    </w:rPr>
  </w:style>
  <w:style w:type="character" w:customStyle="1" w:styleId="FooterDocumentTitleChar">
    <w:name w:val="Footer Document Title Char"/>
    <w:basedOn w:val="DefaultParagraphFont"/>
    <w:link w:val="FooterDocumentTitle"/>
    <w:uiPriority w:val="34"/>
    <w:rsid w:val="0065188E"/>
    <w:rPr>
      <w:rFonts w:asciiTheme="majorHAnsi" w:eastAsiaTheme="minorHAnsi" w:hAnsiTheme="majorHAnsi" w:cs="Times New Roman"/>
      <w:color w:val="000000" w:themeColor="text1"/>
      <w:spacing w:val="-2"/>
      <w:sz w:val="14"/>
      <w:szCs w:val="20"/>
      <w:lang w:eastAsia="en-US"/>
    </w:rPr>
  </w:style>
  <w:style w:type="paragraph" w:customStyle="1" w:styleId="AD5A2B409B224B56961E70EB618E5EFA">
    <w:name w:val="AD5A2B409B224B56961E70EB618E5EFA"/>
  </w:style>
  <w:style w:type="paragraph" w:customStyle="1" w:styleId="43FF8F86624F4F61A34C4388AA0BE463">
    <w:name w:val="43FF8F86624F4F61A34C4388AA0BE463"/>
    <w:rsid w:val="0065188E"/>
  </w:style>
  <w:style w:type="paragraph" w:customStyle="1" w:styleId="D2BAFAF8A40244EFB230CCE2D99BAB37">
    <w:name w:val="D2BAFAF8A40244EFB230CCE2D99BAB37"/>
    <w:rsid w:val="006518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HMA">
      <a:dk1>
        <a:sysClr val="windowText" lastClr="000000"/>
      </a:dk1>
      <a:lt1>
        <a:sysClr val="window" lastClr="FFFFFF"/>
      </a:lt1>
      <a:dk2>
        <a:srgbClr val="787878"/>
      </a:dk2>
      <a:lt2>
        <a:srgbClr val="FFF200"/>
      </a:lt2>
      <a:accent1>
        <a:srgbClr val="FFF200"/>
      </a:accent1>
      <a:accent2>
        <a:srgbClr val="4B4B4B"/>
      </a:accent2>
      <a:accent3>
        <a:srgbClr val="787878"/>
      </a:accent3>
      <a:accent4>
        <a:srgbClr val="A0A0A0"/>
      </a:accent4>
      <a:accent5>
        <a:srgbClr val="BEBEBE"/>
      </a:accent5>
      <a:accent6>
        <a:srgbClr val="DCDCDC"/>
      </a:accent6>
      <a:hlink>
        <a:srgbClr val="787878"/>
      </a:hlink>
      <a:folHlink>
        <a:srgbClr val="BEBEBE"/>
      </a:folHlink>
    </a:clrScheme>
    <a:fontScheme name="HMA">
      <a:majorFont>
        <a:latin typeface="Franklin Gothic Book"/>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Aus21</b:Tag>
    <b:SourceType>InternetSite</b:SourceType>
    <b:Guid>{3AC325F9-13EF-415B-90E2-1127C7635F08}</b:Guid>
    <b:Title>Council of Australian Governments (COAG) Improving Access to Primary Care in Rural and Remote Areas – COAG s19(2) Exemptions Initiative</b:Title>
    <b:Year>2021</b:Year>
    <b:Author>
      <b:Author>
        <b:Corporate>Australian Government Department of Health</b:Corporate>
      </b:Author>
    </b:Author>
    <b:InternetSiteTitle>The Department of Health</b:InternetSiteTitle>
    <b:Month>February</b:Month>
    <b:Day>1</b:Day>
    <b:URL>https://www1.health.gov.au/internet/main/publishing.nsf/Content/COAG%20s19(2)%20Exemptions%20Initiative</b:URL>
    <b:RefOrder>1</b:RefOrder>
  </b:Source>
  <b:Source>
    <b:Tag>NSW19</b:Tag>
    <b:SourceType>Report</b:SourceType>
    <b:Guid>{900E9699-AD52-476A-9682-5C51FB4FF18C}</b:Guid>
    <b:Author>
      <b:Author>
        <b:Corporate>NSW Health</b:Corporate>
      </b:Author>
    </b:Author>
    <b:Title>Guide to the Role Delineation of Clinical Services</b:Title>
    <b:Year>2019</b:Year>
    <b:Publisher>NSW Health</b:Publisher>
    <b:Pages>See pages 25-28</b:Pages>
    <b:RefOrder>15</b:RefOrder>
  </b:Source>
  <b:Source>
    <b:Tag>Swe18</b:Tag>
    <b:SourceType>Report</b:SourceType>
    <b:Guid>{6EDCFFF2-876C-4D53-B9B7-BA3B3A4E8687}</b:Guid>
    <b:Author>
      <b:Author>
        <b:NameList>
          <b:Person>
            <b:Last>Swerrissen</b:Last>
            <b:First>H.</b:First>
          </b:Person>
          <b:Person>
            <b:Last>Duckett</b:Last>
            <b:First>S.</b:First>
          </b:Person>
          <b:Person>
            <b:Last>Moran</b:Last>
            <b:First>G.</b:First>
          </b:Person>
        </b:NameList>
      </b:Author>
    </b:Author>
    <b:Title>Mapping primary care in Australia</b:Title>
    <b:Year>2018</b:Year>
    <b:Publisher>Grattan Institute</b:Publisher>
    <b:City>Melbourne</b:City>
    <b:RefOrder>16</b:RefOrder>
  </b:Source>
  <b:Source>
    <b:Tag>Cou21</b:Tag>
    <b:SourceType>DocumentFromInternetSite</b:SourceType>
    <b:Guid>{98FA34E2-0AF6-4E81-9194-DA7C29558D42}</b:Guid>
    <b:Author>
      <b:Author>
        <b:Corporate>Council of Australian Governments</b:Corporate>
      </b:Author>
    </b:Author>
    <b:Title>Federal Financial Relations</b:Title>
    <b:Year>2021</b:Year>
    <b:Month>February </b:Month>
    <b:Day>1</b:Day>
    <b:URL>https://www.federalfinancialrelations.gov.au/content/npa/health/_archive/national-agreement.pdf</b:URL>
    <b:RefOrder>2</b:RefOrder>
  </b:Source>
  <b:Source>
    <b:Tag>DepSOPs</b:Tag>
    <b:SourceType>Report</b:SourceType>
    <b:Guid>{053DC26B-9869-42B8-BAE0-643E94EFED62}</b:Guid>
    <b:Title>Standard Operating Procedures: COAG Section 19 (2) Exemptions Initiative - Improving Access to Primary Care in Rural and Remote Areas</b:Title>
    <b:Year>2021</b:Year>
    <b:Author>
      <b:Author>
        <b:Corporate>Department of Health</b:Corporate>
      </b:Author>
    </b:Author>
    <b:Publisher>Department of Health</b:Publisher>
    <b:City>Canberra</b:City>
    <b:RefOrder>3</b:RefOrder>
  </b:Source>
  <b:Source>
    <b:Tag>Fai19</b:Tag>
    <b:SourceType>InternetSite</b:SourceType>
    <b:Guid>{72E30E80-E75C-454D-97BD-D25A105E4ECB}</b:Guid>
    <b:Title>Medical Officers Northern Territory Public Sector 2018 - 2021 Enterprise Agreement</b:Title>
    <b:Year>2019</b:Year>
    <b:Author>
      <b:Author>
        <b:Corporate>Fair Work Commission</b:Corporate>
      </b:Author>
    </b:Author>
    <b:Month>May</b:Month>
    <b:Day>28</b:Day>
    <b:YearAccessed>2021</b:YearAccessed>
    <b:MonthAccessed>June</b:MonthAccessed>
    <b:DayAccessed>25</b:DayAccessed>
    <b:URL>https://www.fwc.gov.au/document/agreement/AE503648</b:URL>
    <b:RefOrder>8</b:RefOrder>
  </b:Source>
  <b:Source>
    <b:Tag>AMA16</b:Tag>
    <b:SourceType>InternetSite</b:SourceType>
    <b:Guid>{A1DC1D80-7CB5-4D24-887B-630540A11C0B}</b:Guid>
    <b:Author>
      <b:Author>
        <b:Corporate>AMA Western Australia</b:Corporate>
      </b:Author>
    </b:Author>
    <b:Title>WA Health System Medical Practitioners AMA INDUSTRIAL AGREEMENT 2016</b:Title>
    <b:Year>2016</b:Year>
    <b:YearAccessed>2021</b:YearAccessed>
    <b:MonthAccessed>June </b:MonthAccessed>
    <b:DayAccessed>25</b:DayAccessed>
    <b:URL>https://www.amawa.com.au/wp-content/uploads/2019/05/1.2-WA-Health-System-Med-Prac-Indust-Agreement-2016.pdf</b:URL>
    <b:RefOrder>7</b:RefOrder>
  </b:Source>
  <b:Source>
    <b:Tag>NSW21</b:Tag>
    <b:SourceType>InternetSite</b:SourceType>
    <b:Guid>{FC9449A2-BA3A-4770-8C5A-6CEB92365BE2}</b:Guid>
    <b:Author>
      <b:Author>
        <b:Corporate>NSW Rural Doctors Network</b:Corporate>
      </b:Author>
    </b:Author>
    <b:Title>General Practice &amp; Doctors, GP/Doctors, Common Questions</b:Title>
    <b:Year>2021</b:Year>
    <b:YearAccessed>2021</b:YearAccessed>
    <b:MonthAccessed>June</b:MonthAccessed>
    <b:DayAccessed>25</b:DayAccessed>
    <b:URL>https://www.nswrdn.com.au/site/questions#22._What_is_the_RDA_Settlement_Package_</b:URL>
    <b:RefOrder>6</b:RefOrder>
  </b:Source>
  <b:Source>
    <b:Tag>Que21</b:Tag>
    <b:SourceType>InternetSite</b:SourceType>
    <b:Guid>{91381F35-22FB-49CC-98C9-698F760D8DBE}</b:Guid>
    <b:Author>
      <b:Author>
        <b:Corporate>Queensland Audit Office</b:Corporate>
      </b:Author>
    </b:Author>
    <b:Title>Rights of private practice in Queensland public hospitals</b:Title>
    <b:Year>2021</b:Year>
    <b:YearAccessed>2021</b:YearAccessed>
    <b:MonthAccessed>June </b:MonthAccessed>
    <b:DayAccessed>25</b:DayAccessed>
    <b:URL>https://www.qao.qld.gov.au/reports-resources/right-private-practice-queensland-public-hospitals</b:URL>
    <b:RefOrder>4</b:RefOrder>
  </b:Source>
  <b:Source>
    <b:Tag>Que211</b:Tag>
    <b:SourceType>InternetSite</b:SourceType>
    <b:Guid>{1A17684C-E291-43F7-A32F-0364248B6CA5}</b:Guid>
    <b:Author>
      <b:Author>
        <b:Corporate>Queensland Industrial Relations Commission</b:Corporate>
      </b:Author>
    </b:Author>
    <b:Title>Modern Awards</b:Title>
    <b:Year>2021</b:Year>
    <b:YearAccessed>2021</b:YearAccessed>
    <b:MonthAccessed>June</b:MonthAccessed>
    <b:DayAccessed>25</b:DayAccessed>
    <b:RefOrder>5</b:RefOrder>
  </b:Source>
  <b:Source>
    <b:Tag>Bra08</b:Tag>
    <b:SourceType>DocumentFromInternetSite</b:SourceType>
    <b:Guid>{06492BDA-F480-40A9-A930-DCDB7808588E}</b:Guid>
    <b:Author>
      <b:Author>
        <b:NameList>
          <b:Person>
            <b:Last>Bradley</b:Last>
            <b:First>D.</b:First>
          </b:Person>
          <b:Person>
            <b:Last>Noonan</b:Last>
            <b:First>P.</b:First>
          </b:Person>
          <b:Person>
            <b:Last>Nugent</b:Last>
            <b:First>H.</b:First>
          </b:Person>
          <b:Person>
            <b:Last>Scales</b:Last>
            <b:First>B.</b:First>
          </b:Person>
        </b:NameList>
      </b:Author>
    </b:Author>
    <b:Title>Review of Australian Higher Education</b:Title>
    <b:Year>2008</b:Year>
    <b:Publisher>Australian Government Department of Education, Employment and Workplace Relations</b:Publisher>
    <b:City>Canberra</b:City>
    <b:Month>December</b:Month>
    <b:Day>18</b:Day>
    <b:YearAccessed>2021</b:YearAccessed>
    <b:URL>https://apo.org.au/node/15776</b:URL>
    <b:RefOrder>9</b:RefOrder>
  </b:Source>
  <b:Source>
    <b:Tag>Aus191</b:Tag>
    <b:SourceType>InternetSite</b:SourceType>
    <b:Guid>{E9543333-EE5A-4999-BEB7-1B6C2DB39F8A}</b:Guid>
    <b:Title>National Health Workforce Data Set</b:Title>
    <b:Year>2019</b:Year>
    <b:Author>
      <b:Author>
        <b:Corporate>Australian Institute of Health and Welfare</b:Corporate>
      </b:Author>
    </b:Author>
    <b:URL>https://www.aihw.gov.au/about-our-data/our-data-collections/national-health-workforce-dataset</b:URL>
    <b:RefOrder>10</b:RefOrder>
  </b:Source>
  <b:Source>
    <b:Tag>The18</b:Tag>
    <b:SourceType>Report</b:SourceType>
    <b:Guid>{75F42D49-DE3E-408D-86E5-0D2C34F67EEB}</b:Guid>
    <b:Title>Australia’s health 2018 series no. 16. AUS 221</b:Title>
    <b:Year>2018</b:Year>
    <b:LCID>en-AU</b:LCID>
    <b:Author>
      <b:Author>
        <b:Corporate>Australian Institute of Health and Welfare</b:Corporate>
      </b:Author>
    </b:Author>
    <b:City>Canberra</b:City>
    <b:Publisher>AIHW</b:Publisher>
    <b:RefOrder>11</b:RefOrder>
  </b:Source>
  <b:Source>
    <b:Tag>Aus19</b:Tag>
    <b:SourceType>Report</b:SourceType>
    <b:Guid>{BF6AAE46-5736-4DF1-AA0A-95F0D262F965}</b:Guid>
    <b:Author>
      <b:Author>
        <b:Corporate>Australian Institute of Health and Welfare</b:Corporate>
      </b:Author>
    </b:Author>
    <b:Title>Geographically-adjusted Index of Relative Supply</b:Title>
    <b:Year>2019</b:Year>
    <b:Publisher>AIHW</b:Publisher>
    <b:City>Canberra</b:City>
    <b:RefOrder>12</b:RefOrder>
  </b:Source>
  <b:Source>
    <b:Tag>McG19</b:Tag>
    <b:SourceType>JournalArticle</b:SourceType>
    <b:Guid>{6E46BC94-2BAC-4F36-9FFF-51D26939EE0D}</b:Guid>
    <b:Title>The Australian Rural Clinical School program supports rural medical workforce: evidence from a cross-sectional study of 12 RCSs</b:Title>
    <b:Year>2019</b:Year>
    <b:Author>
      <b:Author>
        <b:NameList>
          <b:Person>
            <b:Last>McGirr</b:Last>
            <b:First>J.</b:First>
          </b:Person>
          <b:Person>
            <b:Last>Seal</b:Last>
            <b:First>A.</b:First>
          </b:Person>
          <b:Person>
            <b:Last>Barnard</b:Last>
            <b:First>A.</b:First>
          </b:Person>
          <b:Person>
            <b:Last>Cheek</b:Last>
            <b:First>C.</b:First>
          </b:Person>
          <b:Person>
            <b:Last>Garn</b:Last>
            <b:First>D.</b:First>
          </b:Person>
          <b:Person>
            <b:Last>Greenhill</b:Last>
            <b:First>J.</b:First>
          </b:Person>
          <b:Person>
            <b:Last>Kondalsamy-Chennakesavan</b:Last>
            <b:First>S.</b:First>
          </b:Person>
          <b:Person>
            <b:Last>Luscombe</b:Last>
            <b:First>G.M.</b:First>
          </b:Person>
          <b:Person>
            <b:Last>May</b:Last>
            <b:First>J.</b:First>
          </b:Person>
          <b:Person>
            <b:Last>McLeod</b:Last>
            <b:First>J.</b:First>
          </b:Person>
          <b:Person>
            <b:Last>O'Sullivan</b:Last>
            <b:First>B.</b:First>
          </b:Person>
          <b:Person>
            <b:Last>Playford</b:Last>
            <b:First>D.</b:First>
          </b:Person>
          <b:Person>
            <b:Last>Wright</b:Last>
            <b:First>J.</b:First>
          </b:Person>
        </b:NameList>
      </b:Author>
    </b:Author>
    <b:JournalName>Rural and Remote Health</b:JournalName>
    <b:Pages>4971-4980</b:Pages>
    <b:Volume>9</b:Volume>
    <b:Issue>1</b:Issue>
    <b:RefOrder>13</b:RefOrder>
  </b:Source>
  <b:Source>
    <b:Tag>Nat20</b:Tag>
    <b:SourceType>Report</b:SourceType>
    <b:Guid>{66AB6C07-70CD-40EF-BD48-92A47778816D}</b:Guid>
    <b:Author>
      <b:Author>
        <b:Corporate>National Rural Health Commissioner</b:Corporate>
      </b:Author>
    </b:Author>
    <b:Title>Improvement of Access, Quality and Distribution of Allied Health Services in Regional, Rural and Remote Australia</b:Title>
    <b:Year>2020</b:Year>
    <b:Publisher>Minister for Regional Health, Regional Communication and Local Government</b:Publisher>
    <b:City>Canberra</b:City>
    <b:RefOrder>14</b:RefOrder>
  </b:Source>
  <b:Source>
    <b:Tag>Rus13</b:Tag>
    <b:SourceType>JournalArticle</b:SourceType>
    <b:Guid>{20CBCFF1-21C4-4D5F-AFDB-8BA9296D4806}</b:Guid>
    <b:Title>Helping policy makers address rural health access problems</b:Title>
    <b:Year>2013</b:Year>
    <b:Pages>61-71</b:Pages>
    <b:Author>
      <b:Author>
        <b:NameList>
          <b:Person>
            <b:Last>Russell</b:Last>
            <b:First>D.J.</b:First>
          </b:Person>
          <b:Person>
            <b:Last>Humphreys</b:Last>
            <b:First>J.S.</b:First>
          </b:Person>
          <b:Person>
            <b:Last>Ward</b:Last>
            <b:First>B.</b:First>
          </b:Person>
          <b:Person>
            <b:Last>Chisholm</b:Last>
            <b:First>M.</b:First>
          </b:Person>
          <b:Person>
            <b:Last>Buykx</b:Last>
            <b:First>P.</b:First>
          </b:Person>
          <b:Person>
            <b:Last>McGrail</b:Last>
            <b:First>M.</b:First>
          </b:Person>
          <b:Person>
            <b:Last>Wakerman</b:Last>
            <b:First>J.</b:First>
          </b:Person>
        </b:NameList>
      </b:Author>
    </b:Author>
    <b:JournalName>Australian Journal of Rural Health</b:JournalName>
    <b:Volume>21</b:Volume>
    <b:RefOrder>17</b:RefOrder>
  </b:Source>
  <b:Source>
    <b:Tag>Com16</b:Tag>
    <b:SourceType>Misc</b:SourceType>
    <b:Guid>{BB26D617-38DB-496D-A82C-7496B97AF194}</b:Guid>
    <b:Title>COAG s19(2) Exemptions Initiative - New South Wales Memorandum of Understanding</b:Title>
    <b:Year>2016</b:Year>
    <b:Author>
      <b:Author>
        <b:Corporate>Commonwealth of Australia</b:Corporate>
      </b:Author>
    </b:Author>
    <b:RefOrder>18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AB21021BB32F447BCB22C1AE019E993" ma:contentTypeVersion="12" ma:contentTypeDescription="Create a new document." ma:contentTypeScope="" ma:versionID="b9df7a80269ea51529dac9db8f7c5cee">
  <xsd:schema xmlns:xsd="http://www.w3.org/2001/XMLSchema" xmlns:xs="http://www.w3.org/2001/XMLSchema" xmlns:p="http://schemas.microsoft.com/office/2006/metadata/properties" xmlns:ns2="88045016-5cd4-4e5b-87b1-90dfe68409cf" xmlns:ns3="cd2a392b-e6c5-406b-985b-d17b8fd2b902" targetNamespace="http://schemas.microsoft.com/office/2006/metadata/properties" ma:root="true" ma:fieldsID="61146589c90efa096165c208315b6c29" ns2:_="" ns3:_="">
    <xsd:import namespace="88045016-5cd4-4e5b-87b1-90dfe68409cf"/>
    <xsd:import namespace="cd2a392b-e6c5-406b-985b-d17b8fd2b9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45016-5cd4-4e5b-87b1-90dfe6840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2a392b-e6c5-406b-985b-d17b8fd2b9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D5A530-4B31-43EA-84BE-0615E3DB074A}">
  <ds:schemaRefs>
    <ds:schemaRef ds:uri="http://schemas.microsoft.com/sharepoint/v3/contenttype/forms"/>
  </ds:schemaRefs>
</ds:datastoreItem>
</file>

<file path=customXml/itemProps3.xml><?xml version="1.0" encoding="utf-8"?>
<ds:datastoreItem xmlns:ds="http://schemas.openxmlformats.org/officeDocument/2006/customXml" ds:itemID="{9A3F1D6F-4C9E-481D-B30A-C60D5A54B666}">
  <ds:schemaRefs>
    <ds:schemaRef ds:uri="http://schemas.openxmlformats.org/officeDocument/2006/bibliography"/>
  </ds:schemaRefs>
</ds:datastoreItem>
</file>

<file path=customXml/itemProps4.xml><?xml version="1.0" encoding="utf-8"?>
<ds:datastoreItem xmlns:ds="http://schemas.openxmlformats.org/officeDocument/2006/customXml" ds:itemID="{E453CDD2-545E-42B7-A7CD-27DC98572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45016-5cd4-4e5b-87b1-90dfe68409cf"/>
    <ds:schemaRef ds:uri="cd2a392b-e6c5-406b-985b-d17b8fd2b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B1933B-1CE8-431B-9548-1C78992AFA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2021 Report Landscape.dotx</Template>
  <TotalTime>3</TotalTime>
  <Pages>98</Pages>
  <Words>33781</Words>
  <Characters>192553</Characters>
  <Application>Microsoft Office Word</Application>
  <DocSecurity>4</DocSecurity>
  <Lines>1604</Lines>
  <Paragraphs>451</Paragraphs>
  <ScaleCrop>false</ScaleCrop>
  <HeadingPairs>
    <vt:vector size="2" baseType="variant">
      <vt:variant>
        <vt:lpstr>Title</vt:lpstr>
      </vt:variant>
      <vt:variant>
        <vt:i4>1</vt:i4>
      </vt:variant>
    </vt:vector>
  </HeadingPairs>
  <TitlesOfParts>
    <vt:vector size="1" baseType="lpstr">
      <vt:lpstr>Evaluation of the COAG Section 19(2) Exemptions Initiative – Improving Access to Primary Care in Rural and Remote Areas</vt:lpstr>
    </vt:vector>
  </TitlesOfParts>
  <Company>Australian Government Department of Health</Company>
  <LinksUpToDate>false</LinksUpToDate>
  <CharactersWithSpaces>225883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COAG Section 19(2) Exemptions Initiative – Improving Access to Primary Care in Rural and Remote Areas</dc:title>
  <dc:subject/>
  <dc:creator>Petra Poupa</dc:creator>
  <cp:keywords/>
  <dc:description/>
  <cp:lastModifiedBy>WYTHES, Stefan</cp:lastModifiedBy>
  <cp:revision>2</cp:revision>
  <cp:lastPrinted>2021-10-15T04:15:00Z</cp:lastPrinted>
  <dcterms:created xsi:type="dcterms:W3CDTF">2021-12-16T00:06:00Z</dcterms:created>
  <dcterms:modified xsi:type="dcterms:W3CDTF">2021-12-16T00:06:00Z</dcterms:modified>
  <cp:category>final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0x010100BAB21021BB32F447BCB22C1AE019E993</vt:lpwstr>
  </property>
</Properties>
</file>