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16D8" w14:textId="77777777" w:rsidR="00A07E6F" w:rsidRDefault="000D0EB4">
      <w:r>
        <w:rPr>
          <w:noProof/>
          <w:lang w:eastAsia="en-AU"/>
        </w:rPr>
        <w:drawing>
          <wp:inline distT="0" distB="0" distL="0" distR="0" wp14:anchorId="6570A866" wp14:editId="2DF92E0B">
            <wp:extent cx="3228975" cy="1315773"/>
            <wp:effectExtent l="0" t="0" r="0" b="0"/>
            <wp:docPr id="1" name="Picture 1" descr="PHL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09" cy="133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15B1" w14:textId="79345C49" w:rsidR="00446307" w:rsidRPr="00AA014B" w:rsidRDefault="00446307" w:rsidP="00446307">
      <w:pPr>
        <w:pStyle w:val="Subtitle"/>
        <w:rPr>
          <w:rFonts w:ascii="Calibri Light" w:eastAsia="Arial" w:hAnsi="Calibri Light" w:cs="Calibri Light"/>
          <w:bCs/>
          <w:color w:val="auto"/>
          <w:spacing w:val="0"/>
        </w:rPr>
      </w:pPr>
      <w:r w:rsidRPr="00AA014B">
        <w:rPr>
          <w:rFonts w:ascii="Calibri Light" w:eastAsia="Arial" w:hAnsi="Calibri Light" w:cs="Calibri Light"/>
          <w:bCs/>
          <w:color w:val="auto"/>
          <w:spacing w:val="0"/>
        </w:rPr>
        <w:t>Revision history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36"/>
        <w:gridCol w:w="2737"/>
        <w:gridCol w:w="4755"/>
      </w:tblGrid>
      <w:tr w:rsidR="00446307" w:rsidRPr="00AA014B" w14:paraId="4FCB8029" w14:textId="77777777" w:rsidTr="0068547A">
        <w:trPr>
          <w:trHeight w:val="319"/>
          <w:tblHeader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85F" w14:textId="77777777" w:rsidR="00446307" w:rsidRPr="00AA014B" w:rsidRDefault="00446307" w:rsidP="006F0709">
            <w:pPr>
              <w:pStyle w:val="Title"/>
              <w:spacing w:line="360" w:lineRule="aut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Version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ABA9" w14:textId="77777777" w:rsidR="00446307" w:rsidRPr="00AA014B" w:rsidRDefault="00446307" w:rsidP="006F0709">
            <w:pPr>
              <w:pStyle w:val="Title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Date published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403F" w14:textId="77777777" w:rsidR="00446307" w:rsidRPr="00AA014B" w:rsidRDefault="00446307" w:rsidP="006F0709">
            <w:pPr>
              <w:pStyle w:val="Title"/>
              <w:spacing w:line="360" w:lineRule="aut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Revision note</w:t>
            </w:r>
          </w:p>
        </w:tc>
      </w:tr>
      <w:tr w:rsidR="00446307" w:rsidRPr="00AA014B" w14:paraId="2F9961E9" w14:textId="77777777" w:rsidTr="006F0709">
        <w:trPr>
          <w:trHeight w:val="27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2164" w14:textId="614D963C" w:rsidR="00446307" w:rsidRPr="00AA014B" w:rsidRDefault="00446307" w:rsidP="006F0709">
            <w:pPr>
              <w:pStyle w:val="Title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1.1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DEA1" w14:textId="1E7B09AB" w:rsidR="00446307" w:rsidRPr="00AA014B" w:rsidRDefault="00AA014B" w:rsidP="006F0709">
            <w:pPr>
              <w:pStyle w:val="Title"/>
              <w:ind w:left="146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11</w:t>
            </w:r>
            <w:r w:rsidR="00446307"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November 2021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B683" w14:textId="2813D85E" w:rsidR="00446307" w:rsidRPr="00AA014B" w:rsidRDefault="00446307" w:rsidP="006F0709">
            <w:pPr>
              <w:pStyle w:val="Title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Updated terminology and sequencing strategy.</w:t>
            </w:r>
          </w:p>
        </w:tc>
      </w:tr>
      <w:tr w:rsidR="00446307" w:rsidRPr="00AA014B" w14:paraId="4EA66F13" w14:textId="77777777" w:rsidTr="006F0709">
        <w:trPr>
          <w:trHeight w:val="27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277" w14:textId="77777777" w:rsidR="00446307" w:rsidRPr="00AA014B" w:rsidRDefault="00446307" w:rsidP="006F0709">
            <w:pPr>
              <w:pStyle w:val="Title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1.0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943" w14:textId="2F6B7083" w:rsidR="00446307" w:rsidRPr="00AA014B" w:rsidRDefault="00446307" w:rsidP="006F0709">
            <w:pPr>
              <w:pStyle w:val="Title"/>
              <w:ind w:left="288" w:hanging="142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6 April 202</w:t>
            </w:r>
            <w:r w:rsidR="00BD512B"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47F" w14:textId="77777777" w:rsidR="00446307" w:rsidRPr="00AA014B" w:rsidRDefault="00446307" w:rsidP="006F0709">
            <w:pPr>
              <w:pStyle w:val="Title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AA014B">
              <w:rPr>
                <w:rFonts w:ascii="Calibri Light" w:hAnsi="Calibri Light" w:cs="Calibri Light"/>
                <w:b w:val="0"/>
                <w:sz w:val="22"/>
                <w:szCs w:val="22"/>
              </w:rPr>
              <w:t>Initial document</w:t>
            </w:r>
          </w:p>
        </w:tc>
      </w:tr>
    </w:tbl>
    <w:p w14:paraId="27EB241E" w14:textId="77777777" w:rsidR="004C0B57" w:rsidRDefault="00595372" w:rsidP="0068547A">
      <w:pPr>
        <w:pStyle w:val="Heading1"/>
      </w:pPr>
      <w:r w:rsidRPr="00154BCE">
        <w:t>PHLN STATEMENT ON</w:t>
      </w:r>
      <w:r w:rsidR="00BC1D5E">
        <w:t xml:space="preserve"> </w:t>
      </w:r>
      <w:r w:rsidR="00F75296">
        <w:t>REPORTING OF</w:t>
      </w:r>
      <w:r w:rsidR="00C947ED" w:rsidRPr="00154BCE">
        <w:t xml:space="preserve"> </w:t>
      </w:r>
      <w:r w:rsidR="000A4237" w:rsidRPr="00154BCE">
        <w:t>SARS-Co</w:t>
      </w:r>
      <w:r w:rsidRPr="00154BCE">
        <w:t>V-2</w:t>
      </w:r>
      <w:r w:rsidR="001F7A5A">
        <w:t xml:space="preserve"> </w:t>
      </w:r>
      <w:r w:rsidR="00F75296" w:rsidRPr="0068547A">
        <w:t>VARIANTS</w:t>
      </w:r>
      <w:r w:rsidR="00F75296">
        <w:t xml:space="preserve"> OF CONCERN</w:t>
      </w:r>
      <w:r w:rsidR="00CF3CCD">
        <w:t xml:space="preserve"> AND INTEREST</w:t>
      </w:r>
    </w:p>
    <w:p w14:paraId="02D5610D" w14:textId="2D6D8392" w:rsidR="00C01BD7" w:rsidRDefault="00903C2A" w:rsidP="00F258A2">
      <w:r w:rsidRPr="00903C2A">
        <w:t xml:space="preserve">All viruses, including </w:t>
      </w:r>
      <w:r>
        <w:t>s</w:t>
      </w:r>
      <w:r w:rsidRPr="00903C2A">
        <w:t>evere acute respiratory syndrome coronavirus 2 (SARS-CoV-2),</w:t>
      </w:r>
      <w:r w:rsidR="00FF450C">
        <w:t xml:space="preserve"> the virus that causes COVID-19,</w:t>
      </w:r>
      <w:r w:rsidRPr="00903C2A">
        <w:t xml:space="preserve"> c</w:t>
      </w:r>
      <w:r w:rsidR="00F258A2">
        <w:t>hange over time</w:t>
      </w:r>
      <w:r w:rsidR="00C01BD7">
        <w:t>. These changes</w:t>
      </w:r>
      <w:r w:rsidR="00AD566C">
        <w:t xml:space="preserve"> may not</w:t>
      </w:r>
      <w:r w:rsidR="00C01BD7">
        <w:t xml:space="preserve"> </w:t>
      </w:r>
      <w:r w:rsidR="00AD566C">
        <w:t>give</w:t>
      </w:r>
      <w:r w:rsidR="00F258A2">
        <w:t xml:space="preserve"> </w:t>
      </w:r>
      <w:r w:rsidR="00AD566C">
        <w:t>the virus any</w:t>
      </w:r>
      <w:r w:rsidRPr="00903C2A">
        <w:t xml:space="preserve"> advantage</w:t>
      </w:r>
      <w:r>
        <w:t xml:space="preserve">. </w:t>
      </w:r>
      <w:r w:rsidR="00F258A2">
        <w:t>However, w</w:t>
      </w:r>
      <w:r>
        <w:t>hen there are many infections in a population</w:t>
      </w:r>
      <w:r w:rsidR="00AB30A5">
        <w:t>,</w:t>
      </w:r>
      <w:r>
        <w:t xml:space="preserve"> </w:t>
      </w:r>
      <w:r w:rsidR="00C01BD7">
        <w:t xml:space="preserve">it’s likely </w:t>
      </w:r>
      <w:r w:rsidR="0046626D">
        <w:t xml:space="preserve">changed </w:t>
      </w:r>
      <w:r w:rsidR="007E3D86">
        <w:t>virus</w:t>
      </w:r>
      <w:r w:rsidR="0046626D">
        <w:t>es</w:t>
      </w:r>
      <w:r w:rsidR="007E3D86">
        <w:t xml:space="preserve"> </w:t>
      </w:r>
      <w:r w:rsidR="00C01BD7">
        <w:t xml:space="preserve">will </w:t>
      </w:r>
      <w:r w:rsidR="0046626D">
        <w:t>emerge and be described as</w:t>
      </w:r>
      <w:r w:rsidR="00C01BD7">
        <w:t>:</w:t>
      </w:r>
    </w:p>
    <w:p w14:paraId="4EF8F482" w14:textId="68C564D0" w:rsidR="00C01BD7" w:rsidRDefault="00C01BD7" w:rsidP="001C35CB">
      <w:pPr>
        <w:pStyle w:val="ListParagraph"/>
        <w:numPr>
          <w:ilvl w:val="0"/>
          <w:numId w:val="12"/>
        </w:numPr>
      </w:pPr>
      <w:r>
        <w:t>V</w:t>
      </w:r>
      <w:r w:rsidR="00167405">
        <w:t xml:space="preserve">ariant of </w:t>
      </w:r>
      <w:r>
        <w:t>C</w:t>
      </w:r>
      <w:r w:rsidR="00167405">
        <w:t>oncern</w:t>
      </w:r>
      <w:r w:rsidR="00FF22D2">
        <w:t xml:space="preserve"> (V</w:t>
      </w:r>
      <w:r w:rsidR="00FF450C">
        <w:t>O</w:t>
      </w:r>
      <w:r w:rsidR="00FF22D2">
        <w:t>C)</w:t>
      </w:r>
      <w:r w:rsidR="00FF450C">
        <w:t>,</w:t>
      </w:r>
    </w:p>
    <w:p w14:paraId="7840A701" w14:textId="2C905C88" w:rsidR="00FF450C" w:rsidRDefault="00335DE0" w:rsidP="001C35CB">
      <w:pPr>
        <w:pStyle w:val="ListParagraph"/>
        <w:numPr>
          <w:ilvl w:val="0"/>
          <w:numId w:val="12"/>
        </w:numPr>
      </w:pPr>
      <w:r>
        <w:t>Variant of Interest (V</w:t>
      </w:r>
      <w:r w:rsidR="00FF450C">
        <w:t>O</w:t>
      </w:r>
      <w:r>
        <w:t>I)</w:t>
      </w:r>
      <w:r w:rsidR="00FF450C">
        <w:t>, or.</w:t>
      </w:r>
    </w:p>
    <w:p w14:paraId="1A923AAA" w14:textId="41A7E768" w:rsidR="00F258A2" w:rsidRDefault="00FF450C" w:rsidP="001C35CB">
      <w:pPr>
        <w:pStyle w:val="ListParagraph"/>
        <w:numPr>
          <w:ilvl w:val="0"/>
          <w:numId w:val="12"/>
        </w:numPr>
      </w:pPr>
      <w:r>
        <w:t>Variant Under Monitoring (VUM)</w:t>
      </w:r>
      <w:r w:rsidR="007E3D86">
        <w:t>.</w:t>
      </w:r>
    </w:p>
    <w:p w14:paraId="76E15ABB" w14:textId="393A8D78" w:rsidR="00AD566C" w:rsidRDefault="00AD566C" w:rsidP="00167405">
      <w:r>
        <w:t>Several SARS-CoV-2 V</w:t>
      </w:r>
      <w:r w:rsidR="00FF450C">
        <w:t>O</w:t>
      </w:r>
      <w:r>
        <w:t>C have emerged because of</w:t>
      </w:r>
      <w:r w:rsidR="00903C2A">
        <w:t xml:space="preserve"> the cur</w:t>
      </w:r>
      <w:r w:rsidR="00221B7E">
        <w:t>rent</w:t>
      </w:r>
      <w:r w:rsidR="00AB30A5">
        <w:t xml:space="preserve"> high</w:t>
      </w:r>
      <w:r w:rsidR="00221B7E">
        <w:t xml:space="preserve"> rate of infection </w:t>
      </w:r>
      <w:r w:rsidR="00AB30A5">
        <w:t>internationally</w:t>
      </w:r>
      <w:r w:rsidR="00C01BD7">
        <w:t>. These have</w:t>
      </w:r>
      <w:r w:rsidR="00AB30A5">
        <w:t xml:space="preserve"> the </w:t>
      </w:r>
      <w:r w:rsidR="00221B7E">
        <w:t xml:space="preserve">potential </w:t>
      </w:r>
      <w:r w:rsidR="00AB30A5">
        <w:t>to</w:t>
      </w:r>
      <w:r>
        <w:t>:</w:t>
      </w:r>
    </w:p>
    <w:p w14:paraId="3E62A302" w14:textId="400A907A" w:rsidR="00AD566C" w:rsidRPr="001C35CB" w:rsidRDefault="00AB30A5" w:rsidP="001C35CB">
      <w:pPr>
        <w:pStyle w:val="ListParagraph"/>
        <w:numPr>
          <w:ilvl w:val="0"/>
          <w:numId w:val="14"/>
        </w:numPr>
        <w:rPr>
          <w:b/>
        </w:rPr>
      </w:pPr>
      <w:r>
        <w:t xml:space="preserve">increase </w:t>
      </w:r>
      <w:r w:rsidR="00C01BD7">
        <w:t xml:space="preserve">the transmission </w:t>
      </w:r>
      <w:r>
        <w:t xml:space="preserve">and </w:t>
      </w:r>
      <w:r w:rsidR="00F75296">
        <w:t>severity of clinical disease</w:t>
      </w:r>
      <w:r w:rsidR="00FF450C">
        <w:t>, and</w:t>
      </w:r>
    </w:p>
    <w:p w14:paraId="69144CEE" w14:textId="77777777" w:rsidR="00AD566C" w:rsidRPr="001C35CB" w:rsidRDefault="00AD566C" w:rsidP="001C35CB">
      <w:pPr>
        <w:pStyle w:val="ListParagraph"/>
        <w:numPr>
          <w:ilvl w:val="0"/>
          <w:numId w:val="14"/>
        </w:numPr>
        <w:rPr>
          <w:b/>
        </w:rPr>
      </w:pPr>
      <w:r>
        <w:t>reduce t</w:t>
      </w:r>
      <w:r w:rsidR="00F75296">
        <w:t xml:space="preserve">he </w:t>
      </w:r>
      <w:r w:rsidR="00AB30A5">
        <w:t xml:space="preserve">effectiveness </w:t>
      </w:r>
      <w:r w:rsidR="00F75296">
        <w:t>of countermeasures such as vaccines</w:t>
      </w:r>
      <w:r w:rsidR="00AB30A5">
        <w:t xml:space="preserve">, </w:t>
      </w:r>
      <w:proofErr w:type="gramStart"/>
      <w:r w:rsidR="00AB30A5">
        <w:t>treatments</w:t>
      </w:r>
      <w:proofErr w:type="gramEnd"/>
      <w:r w:rsidR="00AB30A5">
        <w:t xml:space="preserve"> and diagnostics</w:t>
      </w:r>
      <w:r>
        <w:t>.</w:t>
      </w:r>
    </w:p>
    <w:p w14:paraId="4AD8320F" w14:textId="79BFCB32" w:rsidR="00F6557C" w:rsidRPr="00AD566C" w:rsidRDefault="004C0B57">
      <w:pPr>
        <w:rPr>
          <w:b/>
        </w:rPr>
      </w:pPr>
      <w:r>
        <w:t>As t</w:t>
      </w:r>
      <w:r w:rsidRPr="00DE5664">
        <w:t xml:space="preserve">he pandemic </w:t>
      </w:r>
      <w:r>
        <w:t>evolv</w:t>
      </w:r>
      <w:r w:rsidR="00AB30A5">
        <w:t>es</w:t>
      </w:r>
      <w:r>
        <w:t xml:space="preserve">, </w:t>
      </w:r>
      <w:r w:rsidR="00AD566C">
        <w:t>it’s important to stay</w:t>
      </w:r>
      <w:r w:rsidRPr="004C0B57">
        <w:t xml:space="preserve"> </w:t>
      </w:r>
      <w:r w:rsidR="00C01BD7">
        <w:t>up to date</w:t>
      </w:r>
      <w:r w:rsidR="00C01BD7" w:rsidRPr="004C0B57">
        <w:t xml:space="preserve"> </w:t>
      </w:r>
      <w:r>
        <w:t>on</w:t>
      </w:r>
      <w:r w:rsidRPr="004C0B57">
        <w:t xml:space="preserve"> how to detect</w:t>
      </w:r>
      <w:r w:rsidR="00AB30A5">
        <w:t>, define and report on SARS-CoV-2</w:t>
      </w:r>
      <w:r w:rsidRPr="004C0B57">
        <w:t xml:space="preserve"> </w:t>
      </w:r>
      <w:r w:rsidR="00FF22D2">
        <w:t>V</w:t>
      </w:r>
      <w:r w:rsidR="00FF450C">
        <w:t>O</w:t>
      </w:r>
      <w:r w:rsidR="00FF22D2">
        <w:t>C</w:t>
      </w:r>
      <w:r w:rsidR="00A87C30">
        <w:t>, V</w:t>
      </w:r>
      <w:r w:rsidR="00FF450C">
        <w:t>O</w:t>
      </w:r>
      <w:r w:rsidR="00A87C30">
        <w:t>I and V</w:t>
      </w:r>
      <w:r w:rsidR="00FF450C">
        <w:t>UM</w:t>
      </w:r>
      <w:r>
        <w:t>.</w:t>
      </w:r>
    </w:p>
    <w:p w14:paraId="63053CFE" w14:textId="4EAA2460" w:rsidR="00167405" w:rsidRPr="00DE5664" w:rsidRDefault="00167405" w:rsidP="00167405">
      <w:pPr>
        <w:spacing w:line="240" w:lineRule="auto"/>
      </w:pPr>
      <w:r>
        <w:t xml:space="preserve">The </w:t>
      </w:r>
      <w:r w:rsidR="00FF450C">
        <w:t>Public Health Laboratory Network (</w:t>
      </w:r>
      <w:r>
        <w:t>PHLN</w:t>
      </w:r>
      <w:r w:rsidR="00FF450C">
        <w:t>)</w:t>
      </w:r>
      <w:r>
        <w:t xml:space="preserve"> notes that </w:t>
      </w:r>
      <w:r w:rsidR="00767058">
        <w:t xml:space="preserve">for several months there has </w:t>
      </w:r>
      <w:r w:rsidR="001B5ACE">
        <w:t xml:space="preserve">been </w:t>
      </w:r>
      <w:r>
        <w:t>uncertainty</w:t>
      </w:r>
      <w:r w:rsidR="00767058">
        <w:t xml:space="preserve">, both nationally and internationally about how to </w:t>
      </w:r>
      <w:r w:rsidR="00564FB9">
        <w:t>define</w:t>
      </w:r>
      <w:r>
        <w:t xml:space="preserve"> a V</w:t>
      </w:r>
      <w:r w:rsidR="00FF450C">
        <w:t>O</w:t>
      </w:r>
      <w:r>
        <w:t>C</w:t>
      </w:r>
      <w:r w:rsidR="00A87C30">
        <w:t>, V</w:t>
      </w:r>
      <w:r w:rsidR="00FF450C">
        <w:t>O</w:t>
      </w:r>
      <w:r w:rsidR="00A87C30">
        <w:t>I</w:t>
      </w:r>
      <w:r w:rsidR="00335DE0">
        <w:t xml:space="preserve"> or V</w:t>
      </w:r>
      <w:r w:rsidR="00FF450C">
        <w:t>UM</w:t>
      </w:r>
      <w:r>
        <w:t xml:space="preserve">. </w:t>
      </w:r>
      <w:r w:rsidR="00767058">
        <w:t>L</w:t>
      </w:r>
      <w:r>
        <w:t xml:space="preserve">ack of </w:t>
      </w:r>
      <w:r w:rsidR="00767058">
        <w:t xml:space="preserve">a </w:t>
      </w:r>
      <w:r>
        <w:t>consisten</w:t>
      </w:r>
      <w:r w:rsidR="00767058">
        <w:t>t</w:t>
      </w:r>
      <w:r>
        <w:t xml:space="preserve"> definition has the potential to lead to conflicting health advice and response measures to potential or emerging SARS-CoV-2 outbreaks.</w:t>
      </w:r>
    </w:p>
    <w:p w14:paraId="5B01CA6B" w14:textId="0E106706" w:rsidR="00167405" w:rsidRPr="00DE5664" w:rsidRDefault="00167405" w:rsidP="00167405">
      <w:pPr>
        <w:spacing w:after="0" w:line="240" w:lineRule="auto"/>
      </w:pPr>
      <w:r w:rsidRPr="00DE5664">
        <w:t>To ensure Australia has access to the most up-to-date information and advice, the PHLN recommends the standardised reporting of V</w:t>
      </w:r>
      <w:r w:rsidR="00FF450C">
        <w:t>O</w:t>
      </w:r>
      <w:r w:rsidRPr="00DE5664">
        <w:t>C</w:t>
      </w:r>
      <w:r w:rsidR="00A87C30">
        <w:t>, V</w:t>
      </w:r>
      <w:r w:rsidR="00FF450C">
        <w:t>O</w:t>
      </w:r>
      <w:r w:rsidR="00A87C30">
        <w:t xml:space="preserve">I, </w:t>
      </w:r>
      <w:r w:rsidR="00335DE0">
        <w:t>V</w:t>
      </w:r>
      <w:r w:rsidR="00FF450C">
        <w:t>UM</w:t>
      </w:r>
      <w:r w:rsidR="00335DE0">
        <w:t xml:space="preserve"> </w:t>
      </w:r>
      <w:r w:rsidRPr="00DE5664">
        <w:t xml:space="preserve">and associated terms. This will </w:t>
      </w:r>
      <w:r w:rsidR="001C35CB">
        <w:t>facilitate</w:t>
      </w:r>
      <w:r w:rsidRPr="00DE5664">
        <w:t>:</w:t>
      </w:r>
    </w:p>
    <w:p w14:paraId="6EBF4528" w14:textId="7A4E8D13" w:rsidR="00167405" w:rsidRPr="00DE5664" w:rsidRDefault="00167405" w:rsidP="00AA014B">
      <w:pPr>
        <w:pStyle w:val="ListParagraph"/>
        <w:numPr>
          <w:ilvl w:val="0"/>
          <w:numId w:val="10"/>
        </w:numPr>
        <w:spacing w:before="240" w:after="0" w:line="240" w:lineRule="auto"/>
        <w:rPr>
          <w:rFonts w:eastAsia="Times New Roman"/>
        </w:rPr>
      </w:pPr>
      <w:r w:rsidRPr="00DE5664">
        <w:t>a uniform approach to SARS-CoV-2</w:t>
      </w:r>
      <w:r w:rsidR="00FF22D2">
        <w:t xml:space="preserve"> V</w:t>
      </w:r>
      <w:r w:rsidR="00FF450C">
        <w:t>O</w:t>
      </w:r>
      <w:r w:rsidR="00FF22D2">
        <w:t>C</w:t>
      </w:r>
      <w:r w:rsidR="00A87C30">
        <w:t>, V</w:t>
      </w:r>
      <w:r w:rsidR="00FF450C">
        <w:t>U</w:t>
      </w:r>
      <w:r w:rsidR="00A87C30">
        <w:t>I and V</w:t>
      </w:r>
      <w:r w:rsidR="00FF450C">
        <w:t>UM</w:t>
      </w:r>
      <w:r w:rsidRPr="00DE5664">
        <w:t xml:space="preserve"> detection</w:t>
      </w:r>
      <w:r w:rsidR="00FF450C">
        <w:t>,</w:t>
      </w:r>
    </w:p>
    <w:p w14:paraId="3ACD0B04" w14:textId="43E4075F" w:rsidR="00167405" w:rsidRPr="00DE5664" w:rsidRDefault="00167405" w:rsidP="00167405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</w:rPr>
      </w:pPr>
      <w:r w:rsidRPr="00DE5664">
        <w:t>a nationally consistent case definition and acceptance criteria</w:t>
      </w:r>
      <w:r>
        <w:t xml:space="preserve"> for V</w:t>
      </w:r>
      <w:r w:rsidR="00FF450C">
        <w:t>O</w:t>
      </w:r>
      <w:r>
        <w:t>C</w:t>
      </w:r>
      <w:r w:rsidR="00A87C30">
        <w:t>, V</w:t>
      </w:r>
      <w:r w:rsidR="00FF450C">
        <w:t>O</w:t>
      </w:r>
      <w:r w:rsidR="00A87C30">
        <w:t>I and V</w:t>
      </w:r>
      <w:r w:rsidR="00FF450C">
        <w:t>UM, and</w:t>
      </w:r>
    </w:p>
    <w:p w14:paraId="672C591D" w14:textId="77777777" w:rsidR="00167405" w:rsidRPr="00DE5664" w:rsidRDefault="00167405" w:rsidP="00167405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</w:rPr>
      </w:pPr>
      <w:r w:rsidRPr="00DE5664">
        <w:t xml:space="preserve">consistency in public health advice and action across all Australian jurisdictions. </w:t>
      </w:r>
    </w:p>
    <w:p w14:paraId="28A5AD80" w14:textId="77777777" w:rsidR="00167405" w:rsidRPr="00167405" w:rsidRDefault="00CE7397" w:rsidP="0068547A">
      <w:pPr>
        <w:pStyle w:val="Heading2"/>
      </w:pPr>
      <w:r>
        <w:t>Communicable Diseases Genomics Network</w:t>
      </w:r>
    </w:p>
    <w:p w14:paraId="76FDCAEF" w14:textId="5A5F437A" w:rsidR="00C01BD7" w:rsidRDefault="00FF22D2" w:rsidP="00F75296">
      <w:r>
        <w:t>To achieve this</w:t>
      </w:r>
      <w:r w:rsidR="00F75296">
        <w:t xml:space="preserve">, </w:t>
      </w:r>
      <w:r w:rsidR="00C01BD7">
        <w:t xml:space="preserve">the Communicable Diseases Genomics Network (CDGN) established </w:t>
      </w:r>
      <w:r w:rsidR="00F75296">
        <w:t>a multi-disc</w:t>
      </w:r>
      <w:r w:rsidR="00661DA7">
        <w:t>iplinary working group</w:t>
      </w:r>
      <w:r w:rsidR="00C01BD7">
        <w:t>. The CDGN is</w:t>
      </w:r>
      <w:r w:rsidR="00CE7397">
        <w:t xml:space="preserve"> an expert reference panel of PHLN. T</w:t>
      </w:r>
      <w:r w:rsidR="00F75296">
        <w:t xml:space="preserve">he goal of </w:t>
      </w:r>
      <w:r w:rsidR="00CE7397">
        <w:t xml:space="preserve">the </w:t>
      </w:r>
      <w:r w:rsidR="00427906">
        <w:t xml:space="preserve">CDGN </w:t>
      </w:r>
      <w:r w:rsidR="00CE7397">
        <w:t xml:space="preserve">working group is to </w:t>
      </w:r>
      <w:r w:rsidR="00F75296">
        <w:t>advanc</w:t>
      </w:r>
      <w:r w:rsidR="00CE7397">
        <w:t>e</w:t>
      </w:r>
      <w:r w:rsidR="00F75296">
        <w:t xml:space="preserve"> Australia’s national </w:t>
      </w:r>
      <w:r w:rsidR="00CE7397">
        <w:t>detection of</w:t>
      </w:r>
      <w:r w:rsidR="00A87C30">
        <w:t>,</w:t>
      </w:r>
      <w:r w:rsidR="00CE7397">
        <w:t xml:space="preserve"> and </w:t>
      </w:r>
      <w:r w:rsidR="00F75296">
        <w:t>response t</w:t>
      </w:r>
      <w:r w:rsidR="00661DA7">
        <w:t>o</w:t>
      </w:r>
      <w:r w:rsidR="00A87C30">
        <w:t>,</w:t>
      </w:r>
      <w:r w:rsidR="00661DA7">
        <w:t xml:space="preserve"> SARS-CoV-2 </w:t>
      </w:r>
      <w:r>
        <w:t>V</w:t>
      </w:r>
      <w:r w:rsidR="00FF450C">
        <w:t>O</w:t>
      </w:r>
      <w:r>
        <w:t>C</w:t>
      </w:r>
      <w:r w:rsidR="00A87C30">
        <w:t>, V</w:t>
      </w:r>
      <w:r w:rsidR="00FF450C">
        <w:t>O</w:t>
      </w:r>
      <w:r w:rsidR="00A87C30">
        <w:t>I and V</w:t>
      </w:r>
      <w:r w:rsidR="00FF450C">
        <w:t>UM</w:t>
      </w:r>
      <w:r w:rsidR="00661DA7">
        <w:t xml:space="preserve">. </w:t>
      </w:r>
      <w:r w:rsidR="00AD566C">
        <w:t xml:space="preserve">The working group has </w:t>
      </w:r>
      <w:r w:rsidR="00F75296">
        <w:t>laboratory and government representatives with expertise in</w:t>
      </w:r>
      <w:r w:rsidR="00C01BD7">
        <w:t>:</w:t>
      </w:r>
    </w:p>
    <w:p w14:paraId="015F1EF3" w14:textId="169EA253" w:rsidR="00C01BD7" w:rsidRDefault="00F75296" w:rsidP="001C35CB">
      <w:pPr>
        <w:pStyle w:val="ListParagraph"/>
        <w:numPr>
          <w:ilvl w:val="0"/>
          <w:numId w:val="13"/>
        </w:numPr>
      </w:pPr>
      <w:r>
        <w:t>genomic sequencing</w:t>
      </w:r>
      <w:r w:rsidR="00FF450C">
        <w:t>,</w:t>
      </w:r>
    </w:p>
    <w:p w14:paraId="393307F3" w14:textId="13AC780A" w:rsidR="00C01BD7" w:rsidRDefault="00F75296" w:rsidP="001C35CB">
      <w:pPr>
        <w:pStyle w:val="ListParagraph"/>
        <w:numPr>
          <w:ilvl w:val="0"/>
          <w:numId w:val="13"/>
        </w:numPr>
      </w:pPr>
      <w:r>
        <w:t>bioinformatics</w:t>
      </w:r>
      <w:r w:rsidR="00FF450C">
        <w:t>,</w:t>
      </w:r>
    </w:p>
    <w:p w14:paraId="75C4CD8B" w14:textId="6C7A7CD7" w:rsidR="00C01BD7" w:rsidRDefault="00F75296" w:rsidP="001C35CB">
      <w:pPr>
        <w:pStyle w:val="ListParagraph"/>
        <w:numPr>
          <w:ilvl w:val="0"/>
          <w:numId w:val="13"/>
        </w:numPr>
      </w:pPr>
      <w:r>
        <w:t>genomics epidemiology</w:t>
      </w:r>
      <w:r w:rsidR="00FF450C">
        <w:t>,</w:t>
      </w:r>
    </w:p>
    <w:p w14:paraId="1A0E31C1" w14:textId="32142CB5" w:rsidR="00C01BD7" w:rsidRDefault="00F75296" w:rsidP="001C35CB">
      <w:pPr>
        <w:pStyle w:val="ListParagraph"/>
        <w:numPr>
          <w:ilvl w:val="0"/>
          <w:numId w:val="13"/>
        </w:numPr>
      </w:pPr>
      <w:r>
        <w:lastRenderedPageBreak/>
        <w:t>medical microbiology</w:t>
      </w:r>
      <w:r w:rsidR="00FF450C">
        <w:t>,</w:t>
      </w:r>
    </w:p>
    <w:p w14:paraId="2D976E17" w14:textId="5A85CD81" w:rsidR="00C01BD7" w:rsidRDefault="00F75296" w:rsidP="001C35CB">
      <w:pPr>
        <w:pStyle w:val="ListParagraph"/>
        <w:numPr>
          <w:ilvl w:val="0"/>
          <w:numId w:val="13"/>
        </w:numPr>
      </w:pPr>
      <w:r>
        <w:t>viral evolution</w:t>
      </w:r>
      <w:r w:rsidR="00FF450C">
        <w:t>,</w:t>
      </w:r>
      <w:r>
        <w:t xml:space="preserve"> and</w:t>
      </w:r>
    </w:p>
    <w:p w14:paraId="25672BF1" w14:textId="5A29BEB4" w:rsidR="00C01BD7" w:rsidRDefault="00F75296" w:rsidP="001C35CB">
      <w:pPr>
        <w:pStyle w:val="ListParagraph"/>
        <w:numPr>
          <w:ilvl w:val="0"/>
          <w:numId w:val="13"/>
        </w:numPr>
      </w:pPr>
      <w:proofErr w:type="spellStart"/>
      <w:r>
        <w:t>phylodynamics</w:t>
      </w:r>
      <w:proofErr w:type="spellEnd"/>
      <w:r>
        <w:t>.</w:t>
      </w:r>
    </w:p>
    <w:p w14:paraId="020D9040" w14:textId="77777777" w:rsidR="00F75296" w:rsidRDefault="00AD566C" w:rsidP="00F75296">
      <w:r>
        <w:t>The main</w:t>
      </w:r>
      <w:r w:rsidR="00CE7397">
        <w:t xml:space="preserve"> responsibilities include:</w:t>
      </w:r>
    </w:p>
    <w:p w14:paraId="5D63969A" w14:textId="700EA2EC" w:rsidR="003428E2" w:rsidRDefault="00F75296" w:rsidP="00AA014B">
      <w:pPr>
        <w:spacing w:after="0"/>
        <w:ind w:left="720" w:hanging="436"/>
      </w:pPr>
      <w:r>
        <w:t>(1) providing near real-time national surveillance and reporting o</w:t>
      </w:r>
      <w:r w:rsidR="00CE7397">
        <w:t>n</w:t>
      </w:r>
      <w:r>
        <w:t xml:space="preserve"> SA</w:t>
      </w:r>
      <w:r w:rsidR="007E3D86">
        <w:t xml:space="preserve">RS-CoV-2 </w:t>
      </w:r>
      <w:r w:rsidR="00FF22D2">
        <w:t>V</w:t>
      </w:r>
      <w:r w:rsidR="00FF450C">
        <w:t>O</w:t>
      </w:r>
      <w:r w:rsidR="00FF22D2">
        <w:t>C</w:t>
      </w:r>
      <w:r w:rsidR="00A87C30">
        <w:t>, V</w:t>
      </w:r>
      <w:r w:rsidR="00FF450C">
        <w:t>O</w:t>
      </w:r>
      <w:r w:rsidR="00A87C30">
        <w:t>I, V</w:t>
      </w:r>
      <w:r w:rsidR="00FF450C">
        <w:t>UM</w:t>
      </w:r>
      <w:r w:rsidR="00FF22D2">
        <w:t xml:space="preserve"> a</w:t>
      </w:r>
      <w:r w:rsidR="007E3D86">
        <w:t>nd mutations</w:t>
      </w:r>
      <w:r w:rsidR="00CE7397">
        <w:t xml:space="preserve"> interest</w:t>
      </w:r>
      <w:r w:rsidR="00FF450C">
        <w:t>,</w:t>
      </w:r>
      <w:r>
        <w:t xml:space="preserve"> </w:t>
      </w:r>
    </w:p>
    <w:p w14:paraId="50958A5B" w14:textId="7C8D183D" w:rsidR="00CE7397" w:rsidRDefault="00F75296" w:rsidP="00AA014B">
      <w:pPr>
        <w:spacing w:after="0"/>
        <w:ind w:left="720" w:hanging="436"/>
      </w:pPr>
      <w:r>
        <w:t xml:space="preserve">(2) updating surveillance capacity in </w:t>
      </w:r>
      <w:r w:rsidR="00F40544" w:rsidRPr="00F40544">
        <w:t>Australia’s national SARS-CoV-2</w:t>
      </w:r>
      <w:r w:rsidR="00E44F57">
        <w:t xml:space="preserve"> genomics surveillance platform</w:t>
      </w:r>
      <w:r w:rsidR="00FF450C">
        <w:t>,</w:t>
      </w:r>
      <w:r w:rsidR="00CE7397">
        <w:t xml:space="preserve"> and</w:t>
      </w:r>
      <w:r w:rsidR="00E44F57">
        <w:t xml:space="preserve"> </w:t>
      </w:r>
    </w:p>
    <w:p w14:paraId="13E9B1EF" w14:textId="005D2D64" w:rsidR="00F75296" w:rsidRDefault="00E44F57" w:rsidP="00FF450C">
      <w:pPr>
        <w:spacing w:after="0"/>
        <w:ind w:firstLine="284"/>
      </w:pPr>
      <w:r>
        <w:t xml:space="preserve">(3) </w:t>
      </w:r>
      <w:r w:rsidRPr="00E44F57">
        <w:t>respond</w:t>
      </w:r>
      <w:r w:rsidR="007E3D86">
        <w:t>ing</w:t>
      </w:r>
      <w:r w:rsidRPr="00E44F57">
        <w:t xml:space="preserve"> to requests</w:t>
      </w:r>
      <w:r w:rsidR="00CE7397">
        <w:t xml:space="preserve"> for information</w:t>
      </w:r>
      <w:r w:rsidRPr="00E44F57">
        <w:t xml:space="preserve"> </w:t>
      </w:r>
      <w:r>
        <w:t>on V</w:t>
      </w:r>
      <w:r w:rsidR="00FF450C">
        <w:t>O</w:t>
      </w:r>
      <w:r>
        <w:t>C</w:t>
      </w:r>
      <w:r w:rsidR="00A87C30">
        <w:t>, V</w:t>
      </w:r>
      <w:r w:rsidR="00FF450C">
        <w:t>O</w:t>
      </w:r>
      <w:r w:rsidR="00A87C30">
        <w:t>I and V</w:t>
      </w:r>
      <w:r w:rsidR="00FF450C">
        <w:t>UM</w:t>
      </w:r>
      <w:r>
        <w:t>.</w:t>
      </w:r>
    </w:p>
    <w:p w14:paraId="68092DB0" w14:textId="1C44799B" w:rsidR="00B61450" w:rsidRPr="0039120C" w:rsidRDefault="00B61450" w:rsidP="0068547A">
      <w:pPr>
        <w:pStyle w:val="Heading2"/>
      </w:pPr>
      <w:r w:rsidRPr="0039120C">
        <w:t>Process of V</w:t>
      </w:r>
      <w:r w:rsidR="00FF450C">
        <w:t>O</w:t>
      </w:r>
      <w:r w:rsidRPr="0039120C">
        <w:t>C, V</w:t>
      </w:r>
      <w:r w:rsidR="00FF450C">
        <w:t>O</w:t>
      </w:r>
      <w:r w:rsidRPr="0039120C">
        <w:t>I and V</w:t>
      </w:r>
      <w:r w:rsidR="00FF450C">
        <w:t>UM</w:t>
      </w:r>
      <w:r w:rsidRPr="0039120C">
        <w:t xml:space="preserve"> designation</w:t>
      </w:r>
    </w:p>
    <w:p w14:paraId="432A9998" w14:textId="77777777" w:rsidR="00B61450" w:rsidRDefault="00A87C30" w:rsidP="00B61450">
      <w:pPr>
        <w:spacing w:after="0"/>
      </w:pPr>
      <w:r>
        <w:t xml:space="preserve">The use of consistent </w:t>
      </w:r>
      <w:r w:rsidR="00B61450">
        <w:t>definition</w:t>
      </w:r>
      <w:r>
        <w:t>s</w:t>
      </w:r>
      <w:r w:rsidR="00B61450">
        <w:t xml:space="preserve"> is paramount to this process. The CDGN working group will </w:t>
      </w:r>
      <w:r w:rsidR="00AD566C">
        <w:t>give</w:t>
      </w:r>
      <w:r>
        <w:t xml:space="preserve"> regular reports to approved networks </w:t>
      </w:r>
      <w:r w:rsidR="00B61450">
        <w:t>based on the</w:t>
      </w:r>
      <w:r w:rsidR="008E7D86">
        <w:t>se</w:t>
      </w:r>
      <w:r w:rsidR="00B61450">
        <w:t xml:space="preserve"> PHLN</w:t>
      </w:r>
      <w:r w:rsidR="00B61450" w:rsidRPr="00DE5664">
        <w:t xml:space="preserve"> </w:t>
      </w:r>
      <w:r w:rsidR="00B61450">
        <w:t xml:space="preserve">endorsed </w:t>
      </w:r>
      <w:r w:rsidR="00B61450" w:rsidRPr="00DE5664">
        <w:t xml:space="preserve">definitions of SARS-CoV-2 </w:t>
      </w:r>
      <w:proofErr w:type="spellStart"/>
      <w:r w:rsidR="00B61450">
        <w:t>V</w:t>
      </w:r>
      <w:r w:rsidR="00B61450" w:rsidRPr="00DE5664">
        <w:t>oC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, </w:t>
      </w:r>
      <w:proofErr w:type="spellStart"/>
      <w:r>
        <w:t>VoI</w:t>
      </w:r>
      <w:proofErr w:type="spellEnd"/>
      <w:r w:rsidR="00B61450" w:rsidRPr="00DE5664">
        <w:t xml:space="preserve"> and associated terms</w:t>
      </w:r>
      <w:r w:rsidR="00B61450">
        <w:t xml:space="preserve">. These terms </w:t>
      </w:r>
      <w:r w:rsidR="00B61450" w:rsidRPr="00DE5664">
        <w:t xml:space="preserve">align with up-to-date international definitions </w:t>
      </w:r>
      <w:r w:rsidR="00B61450">
        <w:t>and classifications</w:t>
      </w:r>
      <w:r w:rsidR="00B61450">
        <w:rPr>
          <w:rStyle w:val="FootnoteReference"/>
        </w:rPr>
        <w:footnoteReference w:id="1"/>
      </w:r>
      <w:r w:rsidR="00B61450">
        <w:t>:</w:t>
      </w:r>
    </w:p>
    <w:p w14:paraId="54534232" w14:textId="03FA33CC" w:rsidR="00B61450" w:rsidRDefault="00B61450" w:rsidP="00B61450">
      <w:pPr>
        <w:pStyle w:val="ListParagraph"/>
        <w:numPr>
          <w:ilvl w:val="0"/>
          <w:numId w:val="9"/>
        </w:numPr>
      </w:pPr>
      <w:r>
        <w:rPr>
          <w:b/>
        </w:rPr>
        <w:t>Variants of Concern (V</w:t>
      </w:r>
      <w:r w:rsidR="00FF450C">
        <w:rPr>
          <w:b/>
        </w:rPr>
        <w:t>O</w:t>
      </w:r>
      <w:r>
        <w:rPr>
          <w:b/>
        </w:rPr>
        <w:t xml:space="preserve">C) </w:t>
      </w:r>
      <w:r>
        <w:t xml:space="preserve">may be designated locally or by international bodies if there is evidence of epidemiological, </w:t>
      </w:r>
      <w:proofErr w:type="gramStart"/>
      <w:r>
        <w:t>pathological</w:t>
      </w:r>
      <w:proofErr w:type="gramEnd"/>
      <w:r>
        <w:t xml:space="preserve"> or immunological features of concern.</w:t>
      </w:r>
    </w:p>
    <w:p w14:paraId="191F5A2C" w14:textId="41A858D3" w:rsidR="00B61450" w:rsidRDefault="00B61450" w:rsidP="00B61450">
      <w:pPr>
        <w:pStyle w:val="ListParagraph"/>
        <w:numPr>
          <w:ilvl w:val="0"/>
          <w:numId w:val="9"/>
        </w:numPr>
      </w:pPr>
      <w:r>
        <w:rPr>
          <w:b/>
        </w:rPr>
        <w:t xml:space="preserve">Variant </w:t>
      </w:r>
      <w:r w:rsidR="00FF450C">
        <w:rPr>
          <w:b/>
        </w:rPr>
        <w:t xml:space="preserve">of </w:t>
      </w:r>
      <w:r>
        <w:rPr>
          <w:b/>
        </w:rPr>
        <w:t>In</w:t>
      </w:r>
      <w:r w:rsidR="00FF450C">
        <w:rPr>
          <w:b/>
        </w:rPr>
        <w:t>terest</w:t>
      </w:r>
      <w:r>
        <w:rPr>
          <w:b/>
        </w:rPr>
        <w:t xml:space="preserve"> (V</w:t>
      </w:r>
      <w:r w:rsidR="00FF450C">
        <w:rPr>
          <w:b/>
        </w:rPr>
        <w:t>O</w:t>
      </w:r>
      <w:r>
        <w:rPr>
          <w:b/>
        </w:rPr>
        <w:t xml:space="preserve">I) </w:t>
      </w:r>
      <w:r w:rsidR="00357AFC" w:rsidRPr="00357AFC">
        <w:t>is</w:t>
      </w:r>
      <w:r>
        <w:t xml:space="preserve"> where there is possible evidence for epidemiological, </w:t>
      </w:r>
      <w:proofErr w:type="gramStart"/>
      <w:r>
        <w:t>pathological</w:t>
      </w:r>
      <w:proofErr w:type="gramEnd"/>
      <w:r>
        <w:t xml:space="preserve"> or immunological features of concern.</w:t>
      </w:r>
    </w:p>
    <w:p w14:paraId="62D313F0" w14:textId="1203FBD1" w:rsidR="00B61450" w:rsidRDefault="00B61450" w:rsidP="00B61450">
      <w:pPr>
        <w:pStyle w:val="ListParagraph"/>
        <w:numPr>
          <w:ilvl w:val="0"/>
          <w:numId w:val="9"/>
        </w:numPr>
      </w:pPr>
      <w:r w:rsidRPr="00661DA7">
        <w:rPr>
          <w:b/>
        </w:rPr>
        <w:t xml:space="preserve">Variant </w:t>
      </w:r>
      <w:r w:rsidR="00FF450C">
        <w:rPr>
          <w:b/>
        </w:rPr>
        <w:t>Under Monitoring</w:t>
      </w:r>
      <w:r w:rsidRPr="00661DA7">
        <w:rPr>
          <w:b/>
        </w:rPr>
        <w:t xml:space="preserve"> (V</w:t>
      </w:r>
      <w:r w:rsidR="00FF450C">
        <w:rPr>
          <w:b/>
        </w:rPr>
        <w:t>UM</w:t>
      </w:r>
      <w:r w:rsidRPr="00661DA7">
        <w:rPr>
          <w:b/>
        </w:rPr>
        <w:t>)</w:t>
      </w:r>
      <w:r>
        <w:t xml:space="preserve"> has potential significance</w:t>
      </w:r>
      <w:r w:rsidR="00357AFC">
        <w:t>,</w:t>
      </w:r>
      <w:r>
        <w:t xml:space="preserve"> but little to no evidence of current concern.</w:t>
      </w:r>
    </w:p>
    <w:p w14:paraId="56B0C2BD" w14:textId="24596895" w:rsidR="00B61450" w:rsidRDefault="00B61450" w:rsidP="00B61450">
      <w:pPr>
        <w:pStyle w:val="ListParagraph"/>
        <w:numPr>
          <w:ilvl w:val="0"/>
          <w:numId w:val="9"/>
        </w:numPr>
      </w:pPr>
      <w:r w:rsidRPr="00661DA7">
        <w:rPr>
          <w:b/>
        </w:rPr>
        <w:t>Mutation of Interest (M</w:t>
      </w:r>
      <w:r w:rsidR="00FF450C">
        <w:rPr>
          <w:b/>
        </w:rPr>
        <w:t>O</w:t>
      </w:r>
      <w:r w:rsidRPr="00661DA7">
        <w:rPr>
          <w:b/>
        </w:rPr>
        <w:t>I)</w:t>
      </w:r>
      <w:r>
        <w:t xml:space="preserve"> has significant biological impacts (</w:t>
      </w:r>
      <w:r w:rsidR="00FF450C">
        <w:t>for example</w:t>
      </w:r>
      <w:r>
        <w:t>, increased binding to host cells, reduced neutralisation), and may be a signature mutation in current V</w:t>
      </w:r>
      <w:r w:rsidR="00FF450C">
        <w:t>O</w:t>
      </w:r>
      <w:r>
        <w:t>C/V</w:t>
      </w:r>
      <w:r w:rsidR="00FF450C">
        <w:t>O</w:t>
      </w:r>
      <w:r>
        <w:t xml:space="preserve">I or arise independently in other lineages. </w:t>
      </w:r>
    </w:p>
    <w:p w14:paraId="562BC3B8" w14:textId="2EDB8551" w:rsidR="00B61450" w:rsidRDefault="00B61450" w:rsidP="00B61450">
      <w:pPr>
        <w:pStyle w:val="ListParagraph"/>
        <w:numPr>
          <w:ilvl w:val="0"/>
          <w:numId w:val="9"/>
        </w:numPr>
        <w:spacing w:after="0"/>
      </w:pPr>
      <w:r>
        <w:rPr>
          <w:b/>
        </w:rPr>
        <w:t>Laboratory Case Definition (LCD) for V</w:t>
      </w:r>
      <w:r w:rsidR="00FF450C">
        <w:rPr>
          <w:b/>
        </w:rPr>
        <w:t>O</w:t>
      </w:r>
      <w:r>
        <w:rPr>
          <w:b/>
        </w:rPr>
        <w:t xml:space="preserve">C </w:t>
      </w:r>
      <w:r>
        <w:t>is where a sequence either meets the definitive criteria</w:t>
      </w:r>
      <w:r>
        <w:rPr>
          <w:rStyle w:val="FootnoteReference"/>
        </w:rPr>
        <w:footnoteReference w:id="2"/>
      </w:r>
      <w:r>
        <w:t xml:space="preserve"> (confirmed V</w:t>
      </w:r>
      <w:r w:rsidR="00FF450C">
        <w:t>O</w:t>
      </w:r>
      <w:r>
        <w:t>C), or suggestive criteria</w:t>
      </w:r>
      <w:r>
        <w:rPr>
          <w:rStyle w:val="FootnoteReference"/>
        </w:rPr>
        <w:footnoteReference w:id="3"/>
      </w:r>
      <w:r>
        <w:t xml:space="preserve"> (probable V</w:t>
      </w:r>
      <w:r w:rsidR="00FF450C">
        <w:t>O</w:t>
      </w:r>
      <w:r>
        <w:t>C).</w:t>
      </w:r>
    </w:p>
    <w:p w14:paraId="68005BBC" w14:textId="4107B65F" w:rsidR="00FA742D" w:rsidRPr="00335DE0" w:rsidRDefault="006A551A" w:rsidP="0068547A">
      <w:pPr>
        <w:pStyle w:val="Heading3"/>
        <w:rPr>
          <w:b w:val="0"/>
        </w:rPr>
      </w:pPr>
      <w:r>
        <w:t xml:space="preserve">Laboratory detection of </w:t>
      </w:r>
      <w:r w:rsidR="00FA742D" w:rsidRPr="00335DE0">
        <w:t>V</w:t>
      </w:r>
      <w:r w:rsidR="00FF450C">
        <w:t>O</w:t>
      </w:r>
      <w:r w:rsidR="00FA742D" w:rsidRPr="00335DE0">
        <w:t>C, V</w:t>
      </w:r>
      <w:r w:rsidR="00FF450C">
        <w:t>O</w:t>
      </w:r>
      <w:r w:rsidR="00FA742D" w:rsidRPr="00335DE0">
        <w:t>I and V</w:t>
      </w:r>
      <w:r w:rsidR="00FF450C">
        <w:t>UM</w:t>
      </w:r>
    </w:p>
    <w:p w14:paraId="448D1085" w14:textId="376D3F54" w:rsidR="00446307" w:rsidRDefault="00FA742D" w:rsidP="00FA742D">
      <w:r w:rsidRPr="00D74B32">
        <w:t xml:space="preserve">Whole genome sequencing (WGS) of the SARS-CoV-2 genome </w:t>
      </w:r>
      <w:r>
        <w:t xml:space="preserve">is the </w:t>
      </w:r>
      <w:r w:rsidR="006A551A">
        <w:t>preferred</w:t>
      </w:r>
      <w:r>
        <w:t xml:space="preserve"> way to</w:t>
      </w:r>
      <w:r w:rsidRPr="00D74B32">
        <w:t xml:space="preserve"> </w:t>
      </w:r>
      <w:r>
        <w:t>determine</w:t>
      </w:r>
      <w:r w:rsidRPr="00D74B32">
        <w:t xml:space="preserve"> </w:t>
      </w:r>
      <w:r>
        <w:t>the</w:t>
      </w:r>
      <w:r w:rsidRPr="00D74B32">
        <w:t xml:space="preserve"> </w:t>
      </w:r>
      <w:r>
        <w:t>variant and mutation</w:t>
      </w:r>
      <w:r w:rsidRPr="00D74B32">
        <w:t xml:space="preserve"> patterns of the SARS-CoV-2 virus. </w:t>
      </w:r>
      <w:r w:rsidR="00BD42DB">
        <w:t>There are emerging SARS-CoV-2 PCR tests designed to detect specific V</w:t>
      </w:r>
      <w:r w:rsidR="00446307">
        <w:t>O</w:t>
      </w:r>
      <w:r w:rsidR="00BD42DB">
        <w:t>C</w:t>
      </w:r>
      <w:r w:rsidR="0022113F">
        <w:t>. The performance of these tests is still being established, and they will not identify variants that they have</w:t>
      </w:r>
      <w:r w:rsidR="005D1BF3">
        <w:t xml:space="preserve"> not</w:t>
      </w:r>
      <w:r w:rsidR="0022113F">
        <w:t xml:space="preserve"> been designed for. These</w:t>
      </w:r>
      <w:r w:rsidR="00BD42DB">
        <w:t xml:space="preserve"> may be suited for use in diagnostic laboratories without sequencing capability. </w:t>
      </w:r>
      <w:r w:rsidR="003428E2">
        <w:t>G</w:t>
      </w:r>
      <w:r>
        <w:t xml:space="preserve">uidance on sequencing of SARS-CoV-2 samples </w:t>
      </w:r>
      <w:r w:rsidR="008E7D86">
        <w:t>is available</w:t>
      </w:r>
      <w:r>
        <w:t xml:space="preserve"> </w:t>
      </w:r>
      <w:r w:rsidR="006A551A">
        <w:t xml:space="preserve">at </w:t>
      </w:r>
      <w:hyperlink r:id="rId12" w:history="1">
        <w:r w:rsidR="006A551A" w:rsidRPr="006A551A">
          <w:rPr>
            <w:rStyle w:val="Hyperlink"/>
            <w:i/>
          </w:rPr>
          <w:t>P</w:t>
        </w:r>
        <w:r w:rsidRPr="006A551A">
          <w:rPr>
            <w:rStyle w:val="Hyperlink"/>
            <w:i/>
          </w:rPr>
          <w:t>HLN guidance on laboratory testing for SARS-CoV-2 (the virus that causes COVID-19</w:t>
        </w:r>
      </w:hyperlink>
      <w:r w:rsidRPr="006B4421">
        <w:rPr>
          <w:i/>
        </w:rPr>
        <w:t>)</w:t>
      </w:r>
      <w:r>
        <w:t>.</w:t>
      </w:r>
    </w:p>
    <w:p w14:paraId="72BF9C46" w14:textId="77777777" w:rsidR="00446307" w:rsidRPr="00AA014B" w:rsidRDefault="00446307" w:rsidP="00446307">
      <w:pPr>
        <w:rPr>
          <w:rFonts w:eastAsia="Calibri" w:cstheme="minorHAnsi"/>
          <w:color w:val="000000"/>
          <w:szCs w:val="24"/>
        </w:rPr>
      </w:pPr>
      <w:r w:rsidRPr="00AA014B">
        <w:rPr>
          <w:rFonts w:eastAsia="Calibri" w:cstheme="minorHAnsi"/>
          <w:color w:val="000000"/>
          <w:szCs w:val="24"/>
        </w:rPr>
        <w:t xml:space="preserve">To date, Australia has employed a comprehensive sequencing strategy facilitated by low SARS-CoV-2 prevalence. </w:t>
      </w:r>
      <w:hyperlink r:id="rId13" w:history="1">
        <w:r w:rsidRPr="00AA014B">
          <w:rPr>
            <w:rStyle w:val="Hyperlink"/>
            <w:rFonts w:cstheme="minorHAnsi"/>
            <w:i/>
            <w:iCs/>
          </w:rPr>
          <w:t>The National Plan to transition Australia’s National COVID-19 Response</w:t>
        </w:r>
      </w:hyperlink>
      <w:r w:rsidRPr="00AA014B">
        <w:rPr>
          <w:rFonts w:eastAsia="Calibri" w:cstheme="minorHAnsi"/>
          <w:color w:val="000000"/>
          <w:szCs w:val="24"/>
        </w:rPr>
        <w:t xml:space="preserve"> has highlighted the expected increase of case numbers across the country in the short-to-medium term. In turn, this requires a change in approach for genomic surveillance from comprehensive sequencing to selective and targeted sequencing, balancing the utility and cost of real-time SARS-CoV-2 genomic surveillance in the environment of the rapid spread of a dominant strain of the virus, and ability of the genomic data to show variations within clusters given the relative stability of the SARS-CoV-2 genome. The potential for new importations with greater genomic diversity will increase once international travel recommences. </w:t>
      </w:r>
    </w:p>
    <w:p w14:paraId="64F6EA1F" w14:textId="374FEDEF" w:rsidR="00446307" w:rsidRDefault="00446307" w:rsidP="00FA742D">
      <w:pPr>
        <w:rPr>
          <w:rFonts w:eastAsia="Calibri" w:cstheme="minorHAnsi"/>
          <w:color w:val="000000"/>
          <w:szCs w:val="24"/>
        </w:rPr>
      </w:pPr>
      <w:r w:rsidRPr="00AA014B">
        <w:rPr>
          <w:rFonts w:eastAsia="Calibri" w:cstheme="minorHAnsi"/>
          <w:color w:val="000000"/>
          <w:szCs w:val="24"/>
        </w:rPr>
        <w:t xml:space="preserve">To support the collection of timely and accurate information from SARS-CoV-2 genomic surveillance, Australia’s </w:t>
      </w:r>
      <w:r>
        <w:rPr>
          <w:rFonts w:eastAsia="Calibri" w:cstheme="minorHAnsi"/>
          <w:color w:val="000000"/>
          <w:szCs w:val="24"/>
        </w:rPr>
        <w:t>CDGN</w:t>
      </w:r>
      <w:r w:rsidRPr="00AA014B">
        <w:rPr>
          <w:rFonts w:eastAsia="Calibri" w:cstheme="minorHAnsi"/>
          <w:color w:val="000000"/>
          <w:szCs w:val="24"/>
        </w:rPr>
        <w:t xml:space="preserve"> has developed the </w:t>
      </w:r>
      <w:hyperlink r:id="rId14" w:history="1">
        <w:r w:rsidRPr="00AA014B">
          <w:rPr>
            <w:rStyle w:val="Hyperlink"/>
            <w:rFonts w:eastAsia="Calibri" w:cstheme="minorHAnsi"/>
            <w:i/>
            <w:iCs/>
            <w:szCs w:val="24"/>
          </w:rPr>
          <w:t>Sampling strategy guidance for SARS-CoV-2 genomic surveillance</w:t>
        </w:r>
      </w:hyperlink>
      <w:r w:rsidRPr="00AA014B">
        <w:rPr>
          <w:rFonts w:eastAsia="Calibri" w:cstheme="minorHAnsi"/>
          <w:color w:val="000000"/>
          <w:szCs w:val="24"/>
        </w:rPr>
        <w:t>.</w:t>
      </w:r>
    </w:p>
    <w:p w14:paraId="60DDAB2D" w14:textId="32E17BF9" w:rsidR="005E6321" w:rsidRDefault="00BD42DB" w:rsidP="00CA3F2D">
      <w:pPr>
        <w:pStyle w:val="Heading3"/>
      </w:pPr>
      <w:r>
        <w:lastRenderedPageBreak/>
        <w:t xml:space="preserve">Reporting of </w:t>
      </w:r>
      <w:r w:rsidR="00B61450" w:rsidRPr="00335DE0">
        <w:t>V</w:t>
      </w:r>
      <w:r w:rsidR="00446307">
        <w:t>O</w:t>
      </w:r>
      <w:r w:rsidR="00B61450" w:rsidRPr="00335DE0">
        <w:t>C, V</w:t>
      </w:r>
      <w:r w:rsidR="00446307">
        <w:t>O</w:t>
      </w:r>
      <w:r w:rsidR="00B61450" w:rsidRPr="00335DE0">
        <w:t>I and V</w:t>
      </w:r>
      <w:r w:rsidR="00446307">
        <w:t>UM</w:t>
      </w:r>
    </w:p>
    <w:p w14:paraId="32FCD742" w14:textId="04C3BF29" w:rsidR="00357AFC" w:rsidRDefault="00BD42DB" w:rsidP="00335DE0">
      <w:r>
        <w:t>Virus line</w:t>
      </w:r>
      <w:r w:rsidR="008E7D86">
        <w:t>a</w:t>
      </w:r>
      <w:r>
        <w:t>ges that are designated as a V</w:t>
      </w:r>
      <w:r w:rsidR="00446307">
        <w:t>O</w:t>
      </w:r>
      <w:r>
        <w:t>C, V</w:t>
      </w:r>
      <w:r w:rsidR="00446307">
        <w:t>O</w:t>
      </w:r>
      <w:r>
        <w:t>I or V</w:t>
      </w:r>
      <w:r w:rsidR="00446307">
        <w:t>UM</w:t>
      </w:r>
      <w:r>
        <w:t xml:space="preserve"> may change at any time</w:t>
      </w:r>
      <w:r w:rsidR="000A5211" w:rsidRPr="00D74B32">
        <w:t xml:space="preserve">. </w:t>
      </w:r>
      <w:r>
        <w:t>The biological significance of m</w:t>
      </w:r>
      <w:r w:rsidR="000A5211" w:rsidRPr="00D74B32">
        <w:t>any of the vari</w:t>
      </w:r>
      <w:r>
        <w:t xml:space="preserve">ants and mutations </w:t>
      </w:r>
      <w:r w:rsidR="0022113F">
        <w:t xml:space="preserve">under investigation or </w:t>
      </w:r>
      <w:r>
        <w:t>of interest are not well described in p</w:t>
      </w:r>
      <w:r w:rsidR="000A5211" w:rsidRPr="00D74B32">
        <w:t>eer-reviewed literature</w:t>
      </w:r>
      <w:r w:rsidR="00F348CE">
        <w:t>. These</w:t>
      </w:r>
      <w:r>
        <w:t xml:space="preserve"> </w:t>
      </w:r>
      <w:r w:rsidR="00F348CE">
        <w:rPr>
          <w:u w:val="single"/>
        </w:rPr>
        <w:t>should</w:t>
      </w:r>
      <w:r w:rsidR="00357AFC" w:rsidRPr="00357AFC">
        <w:rPr>
          <w:u w:val="single"/>
        </w:rPr>
        <w:t xml:space="preserve"> be reported</w:t>
      </w:r>
      <w:r w:rsidR="00357AFC">
        <w:rPr>
          <w:u w:val="single"/>
        </w:rPr>
        <w:t xml:space="preserve"> on</w:t>
      </w:r>
      <w:r w:rsidR="00357AFC" w:rsidRPr="00357AFC">
        <w:rPr>
          <w:u w:val="single"/>
        </w:rPr>
        <w:t xml:space="preserve"> with caution</w:t>
      </w:r>
      <w:r w:rsidR="00F348CE">
        <w:rPr>
          <w:u w:val="single"/>
        </w:rPr>
        <w:t>,</w:t>
      </w:r>
      <w:r w:rsidR="00F348CE" w:rsidRPr="00F348CE">
        <w:t xml:space="preserve"> </w:t>
      </w:r>
      <w:r w:rsidR="0022113F">
        <w:t>following consultation with an appropriately qualified pathologist</w:t>
      </w:r>
      <w:r w:rsidR="00357AFC">
        <w:t>.</w:t>
      </w:r>
    </w:p>
    <w:p w14:paraId="28DAC6C2" w14:textId="648930A7" w:rsidR="000A5211" w:rsidRDefault="00357AFC" w:rsidP="00335DE0">
      <w:r>
        <w:t xml:space="preserve">CDGN has developed a </w:t>
      </w:r>
      <w:r w:rsidR="000A5211" w:rsidRPr="00335DE0">
        <w:rPr>
          <w:i/>
        </w:rPr>
        <w:t>CDGN Laboratory Case Definition for Variants of Concern</w:t>
      </w:r>
      <w:r w:rsidR="008E7D86">
        <w:rPr>
          <w:i/>
        </w:rPr>
        <w:t xml:space="preserve">. </w:t>
      </w:r>
      <w:r w:rsidR="008E7D86" w:rsidRPr="001C35CB">
        <w:t>This</w:t>
      </w:r>
      <w:r w:rsidR="00F348CE" w:rsidRPr="008E7D86">
        <w:t xml:space="preserve"> </w:t>
      </w:r>
      <w:r>
        <w:t xml:space="preserve">provides a high-level summary of </w:t>
      </w:r>
      <w:proofErr w:type="spellStart"/>
      <w:r>
        <w:t>VoC</w:t>
      </w:r>
      <w:r w:rsidR="005D1BF3">
        <w:t>s</w:t>
      </w:r>
      <w:proofErr w:type="spellEnd"/>
      <w:r>
        <w:t xml:space="preserve"> detected in Australia</w:t>
      </w:r>
      <w:r w:rsidR="008E7D86">
        <w:t>. It’s available at:</w:t>
      </w:r>
      <w:r>
        <w:t xml:space="preserve"> </w:t>
      </w:r>
      <w:hyperlink r:id="rId15" w:history="1">
        <w:r w:rsidR="000A5211" w:rsidRPr="00562338">
          <w:rPr>
            <w:rStyle w:val="Hyperlink"/>
          </w:rPr>
          <w:t>https://www.cdgn.org.au/</w:t>
        </w:r>
      </w:hyperlink>
      <w:r w:rsidR="000A5211">
        <w:t>.</w:t>
      </w:r>
    </w:p>
    <w:p w14:paraId="6C07DAC3" w14:textId="0EE9CF9D" w:rsidR="0022113F" w:rsidRDefault="0022113F" w:rsidP="0022113F">
      <w:pPr>
        <w:spacing w:line="240" w:lineRule="auto"/>
      </w:pPr>
      <w:r>
        <w:t xml:space="preserve">The CDGN Working Group </w:t>
      </w:r>
      <w:r w:rsidR="00E3492C">
        <w:t xml:space="preserve">activities </w:t>
      </w:r>
      <w:r>
        <w:t>provide a systematic approach to national surveillance and monitoring of V</w:t>
      </w:r>
      <w:r w:rsidR="00446307">
        <w:t>O</w:t>
      </w:r>
      <w:r>
        <w:t>C, V</w:t>
      </w:r>
      <w:r w:rsidR="00446307">
        <w:t>U</w:t>
      </w:r>
      <w:r>
        <w:t>I and V</w:t>
      </w:r>
      <w:r w:rsidR="00446307">
        <w:t>UM</w:t>
      </w:r>
      <w:r w:rsidR="00E3492C">
        <w:t xml:space="preserve">. It </w:t>
      </w:r>
      <w:r>
        <w:t xml:space="preserve">ensures Australia is prepared to enact public health actions in response to the evolution of SARS-CoV-2 in a timely and consistent manner. </w:t>
      </w:r>
    </w:p>
    <w:p w14:paraId="01423ED2" w14:textId="69801AC0" w:rsidR="000A5211" w:rsidRPr="00FA742D" w:rsidRDefault="0022113F" w:rsidP="00335DE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PHLN recommends that all authorities </w:t>
      </w:r>
      <w:r w:rsidR="005D1BF3">
        <w:rPr>
          <w:rFonts w:cstheme="minorHAnsi"/>
        </w:rPr>
        <w:t>responsible for</w:t>
      </w:r>
      <w:r>
        <w:rPr>
          <w:rFonts w:cstheme="minorHAnsi"/>
        </w:rPr>
        <w:t xml:space="preserve"> communication </w:t>
      </w:r>
      <w:r w:rsidR="0074147A">
        <w:rPr>
          <w:rFonts w:cstheme="minorHAnsi"/>
        </w:rPr>
        <w:t>on</w:t>
      </w:r>
      <w:r w:rsidR="005D1BF3">
        <w:rPr>
          <w:rFonts w:cstheme="minorHAnsi"/>
        </w:rPr>
        <w:t xml:space="preserve"> </w:t>
      </w:r>
      <w:r>
        <w:rPr>
          <w:rFonts w:cstheme="minorHAnsi"/>
        </w:rPr>
        <w:t>SARS-CoV-2</w:t>
      </w:r>
      <w:r w:rsidR="00F348CE">
        <w:rPr>
          <w:rFonts w:cstheme="minorHAnsi"/>
        </w:rPr>
        <w:t xml:space="preserve"> V</w:t>
      </w:r>
      <w:r w:rsidR="00446307">
        <w:rPr>
          <w:rFonts w:cstheme="minorHAnsi"/>
        </w:rPr>
        <w:t>O</w:t>
      </w:r>
      <w:r w:rsidR="00F348CE">
        <w:rPr>
          <w:rFonts w:cstheme="minorHAnsi"/>
        </w:rPr>
        <w:t>C, V</w:t>
      </w:r>
      <w:r w:rsidR="00446307">
        <w:rPr>
          <w:rFonts w:cstheme="minorHAnsi"/>
        </w:rPr>
        <w:t>O</w:t>
      </w:r>
      <w:r w:rsidR="00F348CE">
        <w:rPr>
          <w:rFonts w:cstheme="minorHAnsi"/>
        </w:rPr>
        <w:t>I or V</w:t>
      </w:r>
      <w:r w:rsidR="00446307">
        <w:rPr>
          <w:rFonts w:cstheme="minorHAnsi"/>
        </w:rPr>
        <w:t>UM</w:t>
      </w:r>
      <w:r>
        <w:rPr>
          <w:rFonts w:cstheme="minorHAnsi"/>
        </w:rPr>
        <w:t xml:space="preserve">, refer to the definitions described </w:t>
      </w:r>
      <w:r w:rsidR="00E3492C">
        <w:rPr>
          <w:rFonts w:cstheme="minorHAnsi"/>
        </w:rPr>
        <w:t xml:space="preserve">in this advice. Authorities should </w:t>
      </w:r>
      <w:r w:rsidR="00F348CE">
        <w:rPr>
          <w:rFonts w:cstheme="minorHAnsi"/>
        </w:rPr>
        <w:t>seek further information</w:t>
      </w:r>
      <w:r w:rsidR="00E3492C">
        <w:rPr>
          <w:rFonts w:cstheme="minorHAnsi"/>
        </w:rPr>
        <w:t xml:space="preserve"> if needed</w:t>
      </w:r>
      <w:r w:rsidR="005D1BF3">
        <w:rPr>
          <w:rFonts w:cstheme="minorHAnsi"/>
        </w:rPr>
        <w:t>. This will</w:t>
      </w:r>
      <w:r w:rsidR="00F348CE">
        <w:rPr>
          <w:rFonts w:cstheme="minorHAnsi"/>
        </w:rPr>
        <w:t xml:space="preserve"> ensure reporting accurately reflects the significance of the virus lineage being described, as supported by evidence.</w:t>
      </w:r>
    </w:p>
    <w:sectPr w:rsidR="000A5211" w:rsidRPr="00FA742D" w:rsidSect="00891F1C">
      <w:footerReference w:type="default" r:id="rId16"/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7AEF" w14:textId="77777777" w:rsidR="00E6161F" w:rsidRDefault="00E6161F" w:rsidP="005640A9">
      <w:pPr>
        <w:spacing w:after="0" w:line="240" w:lineRule="auto"/>
      </w:pPr>
      <w:r>
        <w:separator/>
      </w:r>
    </w:p>
  </w:endnote>
  <w:endnote w:type="continuationSeparator" w:id="0">
    <w:p w14:paraId="0A39C6C4" w14:textId="77777777" w:rsidR="00E6161F" w:rsidRDefault="00E6161F" w:rsidP="0056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2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33BCD" w14:textId="77777777" w:rsidR="00A75179" w:rsidRDefault="00A75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CA13D3" w14:textId="77777777" w:rsidR="00A75179" w:rsidRDefault="00A75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B63C1" w14:textId="77777777" w:rsidR="00E6161F" w:rsidRDefault="00E6161F" w:rsidP="005640A9">
      <w:pPr>
        <w:spacing w:after="0" w:line="240" w:lineRule="auto"/>
      </w:pPr>
      <w:r>
        <w:separator/>
      </w:r>
    </w:p>
  </w:footnote>
  <w:footnote w:type="continuationSeparator" w:id="0">
    <w:p w14:paraId="46E2332D" w14:textId="77777777" w:rsidR="00E6161F" w:rsidRDefault="00E6161F" w:rsidP="005640A9">
      <w:pPr>
        <w:spacing w:after="0" w:line="240" w:lineRule="auto"/>
      </w:pPr>
      <w:r>
        <w:continuationSeparator/>
      </w:r>
    </w:p>
  </w:footnote>
  <w:footnote w:id="1">
    <w:p w14:paraId="4CB7243F" w14:textId="77777777" w:rsidR="00B61450" w:rsidRPr="00AA014B" w:rsidRDefault="00B61450" w:rsidP="00B61450">
      <w:pPr>
        <w:pStyle w:val="FootnoteText"/>
      </w:pPr>
      <w:r w:rsidRPr="00AA014B">
        <w:rPr>
          <w:rStyle w:val="FootnoteReference"/>
        </w:rPr>
        <w:footnoteRef/>
      </w:r>
      <w:r w:rsidRPr="00AA014B">
        <w:t xml:space="preserve"> Public Health England. Investigation of novel SARS-CoV-2 variant, Variant of Concern 202012/01 Technical briefing 2- 28 December 2020. PHE: London;2020.</w:t>
      </w:r>
    </w:p>
  </w:footnote>
  <w:footnote w:id="2">
    <w:p w14:paraId="28F65D27" w14:textId="77777777" w:rsidR="00B61450" w:rsidRPr="00AA014B" w:rsidRDefault="00B61450" w:rsidP="00B61450">
      <w:pPr>
        <w:pStyle w:val="FootnoteText"/>
      </w:pPr>
      <w:r w:rsidRPr="00AA014B">
        <w:rPr>
          <w:rStyle w:val="FootnoteReference"/>
        </w:rPr>
        <w:footnoteRef/>
      </w:r>
      <w:r w:rsidRPr="00AA014B">
        <w:t xml:space="preserve"> Genomic sequencing of a patient’s sample has identified a pangolin lineage consistent with known VoC.</w:t>
      </w:r>
    </w:p>
  </w:footnote>
  <w:footnote w:id="3">
    <w:p w14:paraId="0E6079F6" w14:textId="77777777" w:rsidR="00B61450" w:rsidRDefault="00B61450" w:rsidP="00B61450">
      <w:pPr>
        <w:pStyle w:val="FootnoteText"/>
      </w:pPr>
      <w:r w:rsidRPr="00AA014B">
        <w:rPr>
          <w:rStyle w:val="FootnoteReference"/>
        </w:rPr>
        <w:footnoteRef/>
      </w:r>
      <w:r w:rsidRPr="00AA014B">
        <w:t xml:space="preserve"> Phylogenetically placed with other confirmed VoC, but does not meet </w:t>
      </w:r>
      <w:r w:rsidRPr="00AA014B">
        <w:rPr>
          <w:i/>
        </w:rPr>
        <w:t>Definitive Criteria</w:t>
      </w:r>
      <w:r w:rsidRPr="00AA014B">
        <w:t>, OR meets minimum required mutations to be assigned to VoC lineages</w:t>
      </w:r>
      <w:r w:rsidR="00B5754E" w:rsidRPr="00AA014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299"/>
    <w:multiLevelType w:val="hybridMultilevel"/>
    <w:tmpl w:val="C136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B5E"/>
    <w:multiLevelType w:val="hybridMultilevel"/>
    <w:tmpl w:val="1D362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7C62"/>
    <w:multiLevelType w:val="hybridMultilevel"/>
    <w:tmpl w:val="118A199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4175BE4"/>
    <w:multiLevelType w:val="hybridMultilevel"/>
    <w:tmpl w:val="FDA2BE8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39D3F3B"/>
    <w:multiLevelType w:val="hybridMultilevel"/>
    <w:tmpl w:val="0734A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592A"/>
    <w:multiLevelType w:val="hybridMultilevel"/>
    <w:tmpl w:val="ADC27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1212"/>
    <w:multiLevelType w:val="hybridMultilevel"/>
    <w:tmpl w:val="DAEAF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F3081"/>
    <w:multiLevelType w:val="hybridMultilevel"/>
    <w:tmpl w:val="3F5E66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6445082"/>
    <w:multiLevelType w:val="hybridMultilevel"/>
    <w:tmpl w:val="B136F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3179"/>
    <w:multiLevelType w:val="hybridMultilevel"/>
    <w:tmpl w:val="4D680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43AC0"/>
    <w:multiLevelType w:val="hybridMultilevel"/>
    <w:tmpl w:val="347AB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61CAC"/>
    <w:multiLevelType w:val="hybridMultilevel"/>
    <w:tmpl w:val="4D680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C7B08"/>
    <w:multiLevelType w:val="hybridMultilevel"/>
    <w:tmpl w:val="04F0B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6D"/>
    <w:rsid w:val="000114B4"/>
    <w:rsid w:val="000130FB"/>
    <w:rsid w:val="00022B06"/>
    <w:rsid w:val="00026096"/>
    <w:rsid w:val="00036BA1"/>
    <w:rsid w:val="000509AC"/>
    <w:rsid w:val="000570EA"/>
    <w:rsid w:val="000A4237"/>
    <w:rsid w:val="000A4B0B"/>
    <w:rsid w:val="000A5211"/>
    <w:rsid w:val="000A71B9"/>
    <w:rsid w:val="000B13ED"/>
    <w:rsid w:val="000C28FE"/>
    <w:rsid w:val="000C61A8"/>
    <w:rsid w:val="000D0EB4"/>
    <w:rsid w:val="000D4824"/>
    <w:rsid w:val="000E1679"/>
    <w:rsid w:val="000E5560"/>
    <w:rsid w:val="0010024B"/>
    <w:rsid w:val="0012325F"/>
    <w:rsid w:val="00127F1D"/>
    <w:rsid w:val="00132DF0"/>
    <w:rsid w:val="00137FD1"/>
    <w:rsid w:val="00153DE2"/>
    <w:rsid w:val="00154BCE"/>
    <w:rsid w:val="00167405"/>
    <w:rsid w:val="00172518"/>
    <w:rsid w:val="0017659D"/>
    <w:rsid w:val="00177F92"/>
    <w:rsid w:val="00182B98"/>
    <w:rsid w:val="0018307F"/>
    <w:rsid w:val="00186D5F"/>
    <w:rsid w:val="001902A0"/>
    <w:rsid w:val="0019612A"/>
    <w:rsid w:val="001A1207"/>
    <w:rsid w:val="001A255C"/>
    <w:rsid w:val="001B5ACE"/>
    <w:rsid w:val="001C35CB"/>
    <w:rsid w:val="001C4E92"/>
    <w:rsid w:val="001F7A5A"/>
    <w:rsid w:val="00210789"/>
    <w:rsid w:val="0022113F"/>
    <w:rsid w:val="00221B7E"/>
    <w:rsid w:val="00286B2B"/>
    <w:rsid w:val="00334638"/>
    <w:rsid w:val="00335DE0"/>
    <w:rsid w:val="003361DC"/>
    <w:rsid w:val="00336D58"/>
    <w:rsid w:val="003428E2"/>
    <w:rsid w:val="003474C8"/>
    <w:rsid w:val="00355A6F"/>
    <w:rsid w:val="00357AFC"/>
    <w:rsid w:val="00367D4D"/>
    <w:rsid w:val="00374D9C"/>
    <w:rsid w:val="00384A4C"/>
    <w:rsid w:val="0039120C"/>
    <w:rsid w:val="00393CAA"/>
    <w:rsid w:val="003D0146"/>
    <w:rsid w:val="003D3854"/>
    <w:rsid w:val="004072C5"/>
    <w:rsid w:val="00421992"/>
    <w:rsid w:val="00427906"/>
    <w:rsid w:val="00446307"/>
    <w:rsid w:val="004464AD"/>
    <w:rsid w:val="004500F2"/>
    <w:rsid w:val="0045189A"/>
    <w:rsid w:val="0046626D"/>
    <w:rsid w:val="00492597"/>
    <w:rsid w:val="00493D2B"/>
    <w:rsid w:val="004B5BDB"/>
    <w:rsid w:val="004B7364"/>
    <w:rsid w:val="004C0B57"/>
    <w:rsid w:val="004F22C4"/>
    <w:rsid w:val="00514CD3"/>
    <w:rsid w:val="005158AF"/>
    <w:rsid w:val="00542766"/>
    <w:rsid w:val="005635B5"/>
    <w:rsid w:val="005640A9"/>
    <w:rsid w:val="00564FB9"/>
    <w:rsid w:val="00592050"/>
    <w:rsid w:val="00595372"/>
    <w:rsid w:val="00596C50"/>
    <w:rsid w:val="005A5494"/>
    <w:rsid w:val="005B515E"/>
    <w:rsid w:val="005C6194"/>
    <w:rsid w:val="005D0304"/>
    <w:rsid w:val="005D1BF3"/>
    <w:rsid w:val="005D611C"/>
    <w:rsid w:val="005E6321"/>
    <w:rsid w:val="005F4E4B"/>
    <w:rsid w:val="00613474"/>
    <w:rsid w:val="00656E26"/>
    <w:rsid w:val="00661DA7"/>
    <w:rsid w:val="0068547A"/>
    <w:rsid w:val="006904F2"/>
    <w:rsid w:val="00696ADD"/>
    <w:rsid w:val="006A551A"/>
    <w:rsid w:val="006B4421"/>
    <w:rsid w:val="006F79A3"/>
    <w:rsid w:val="007332CE"/>
    <w:rsid w:val="0074147A"/>
    <w:rsid w:val="00743DEC"/>
    <w:rsid w:val="00767058"/>
    <w:rsid w:val="0076715C"/>
    <w:rsid w:val="007907BE"/>
    <w:rsid w:val="007978D7"/>
    <w:rsid w:val="007E3D86"/>
    <w:rsid w:val="007E621A"/>
    <w:rsid w:val="007F3EA4"/>
    <w:rsid w:val="00805F64"/>
    <w:rsid w:val="00814FCE"/>
    <w:rsid w:val="008405A3"/>
    <w:rsid w:val="00863322"/>
    <w:rsid w:val="008728EE"/>
    <w:rsid w:val="00891F1C"/>
    <w:rsid w:val="00894B9F"/>
    <w:rsid w:val="008A36DA"/>
    <w:rsid w:val="008E7D86"/>
    <w:rsid w:val="008F132B"/>
    <w:rsid w:val="00903C2A"/>
    <w:rsid w:val="00932969"/>
    <w:rsid w:val="00962FD9"/>
    <w:rsid w:val="009705F2"/>
    <w:rsid w:val="00975E1E"/>
    <w:rsid w:val="009857AF"/>
    <w:rsid w:val="009A146D"/>
    <w:rsid w:val="009C0417"/>
    <w:rsid w:val="009D2443"/>
    <w:rsid w:val="009E1D11"/>
    <w:rsid w:val="00A07E6F"/>
    <w:rsid w:val="00A309DE"/>
    <w:rsid w:val="00A41104"/>
    <w:rsid w:val="00A62A48"/>
    <w:rsid w:val="00A6687F"/>
    <w:rsid w:val="00A7120E"/>
    <w:rsid w:val="00A73F77"/>
    <w:rsid w:val="00A75179"/>
    <w:rsid w:val="00A778A2"/>
    <w:rsid w:val="00A85B41"/>
    <w:rsid w:val="00A87C30"/>
    <w:rsid w:val="00A941C2"/>
    <w:rsid w:val="00AA014B"/>
    <w:rsid w:val="00AB30A5"/>
    <w:rsid w:val="00AB73B1"/>
    <w:rsid w:val="00AC6441"/>
    <w:rsid w:val="00AD0CC9"/>
    <w:rsid w:val="00AD55B2"/>
    <w:rsid w:val="00AD566C"/>
    <w:rsid w:val="00B12690"/>
    <w:rsid w:val="00B14CA0"/>
    <w:rsid w:val="00B240B5"/>
    <w:rsid w:val="00B37353"/>
    <w:rsid w:val="00B5754E"/>
    <w:rsid w:val="00B61450"/>
    <w:rsid w:val="00B94B03"/>
    <w:rsid w:val="00BC0256"/>
    <w:rsid w:val="00BC1D5E"/>
    <w:rsid w:val="00BC6CAE"/>
    <w:rsid w:val="00BC6CCE"/>
    <w:rsid w:val="00BD42DB"/>
    <w:rsid w:val="00BD512B"/>
    <w:rsid w:val="00BE0D0F"/>
    <w:rsid w:val="00BF37A0"/>
    <w:rsid w:val="00BF6537"/>
    <w:rsid w:val="00C01BD7"/>
    <w:rsid w:val="00C12200"/>
    <w:rsid w:val="00C27CA9"/>
    <w:rsid w:val="00C325C3"/>
    <w:rsid w:val="00C40069"/>
    <w:rsid w:val="00C470FC"/>
    <w:rsid w:val="00C66D9C"/>
    <w:rsid w:val="00C6733A"/>
    <w:rsid w:val="00C67EBE"/>
    <w:rsid w:val="00C947ED"/>
    <w:rsid w:val="00C96CD4"/>
    <w:rsid w:val="00CA3F2D"/>
    <w:rsid w:val="00CA4012"/>
    <w:rsid w:val="00CA7B50"/>
    <w:rsid w:val="00CE36AA"/>
    <w:rsid w:val="00CE6720"/>
    <w:rsid w:val="00CE7397"/>
    <w:rsid w:val="00CF3CCD"/>
    <w:rsid w:val="00CF5BE1"/>
    <w:rsid w:val="00D30A6B"/>
    <w:rsid w:val="00D40FB9"/>
    <w:rsid w:val="00D7259D"/>
    <w:rsid w:val="00D74B32"/>
    <w:rsid w:val="00D77D6C"/>
    <w:rsid w:val="00DA3634"/>
    <w:rsid w:val="00DE5664"/>
    <w:rsid w:val="00E021AB"/>
    <w:rsid w:val="00E158D8"/>
    <w:rsid w:val="00E31C11"/>
    <w:rsid w:val="00E3492C"/>
    <w:rsid w:val="00E37722"/>
    <w:rsid w:val="00E42A95"/>
    <w:rsid w:val="00E44250"/>
    <w:rsid w:val="00E44F57"/>
    <w:rsid w:val="00E6161F"/>
    <w:rsid w:val="00E6597D"/>
    <w:rsid w:val="00EA2EDF"/>
    <w:rsid w:val="00EB3EBB"/>
    <w:rsid w:val="00EB466D"/>
    <w:rsid w:val="00ED25F1"/>
    <w:rsid w:val="00ED685D"/>
    <w:rsid w:val="00EF663D"/>
    <w:rsid w:val="00EF6795"/>
    <w:rsid w:val="00F254F3"/>
    <w:rsid w:val="00F258A2"/>
    <w:rsid w:val="00F348CE"/>
    <w:rsid w:val="00F40544"/>
    <w:rsid w:val="00F46032"/>
    <w:rsid w:val="00F6495C"/>
    <w:rsid w:val="00F649E5"/>
    <w:rsid w:val="00F6557C"/>
    <w:rsid w:val="00F75296"/>
    <w:rsid w:val="00F75DBB"/>
    <w:rsid w:val="00F81D75"/>
    <w:rsid w:val="00F84B88"/>
    <w:rsid w:val="00FA742D"/>
    <w:rsid w:val="00FE4724"/>
    <w:rsid w:val="00FF22D2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2CFCD"/>
  <w15:docId w15:val="{02D34F7F-5EC0-44B2-8A5D-15F2BA0B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8547A"/>
    <w:pPr>
      <w:spacing w:before="120" w:after="240" w:line="240" w:lineRule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8547A"/>
    <w:pPr>
      <w:keepNext/>
      <w:keepLines/>
      <w:spacing w:after="120"/>
      <w:outlineLvl w:val="1"/>
    </w:pPr>
    <w:rPr>
      <w:rFonts w:ascii="Calibri" w:eastAsiaTheme="majorEastAsia" w:hAnsi="Calibri" w:cstheme="majorBidi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77F92"/>
    <w:pPr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4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D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D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A9"/>
  </w:style>
  <w:style w:type="paragraph" w:styleId="Footer">
    <w:name w:val="footer"/>
    <w:basedOn w:val="Normal"/>
    <w:link w:val="FooterChar"/>
    <w:uiPriority w:val="99"/>
    <w:unhideWhenUsed/>
    <w:rsid w:val="0056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A9"/>
  </w:style>
  <w:style w:type="paragraph" w:styleId="BalloonText">
    <w:name w:val="Balloon Text"/>
    <w:basedOn w:val="Normal"/>
    <w:link w:val="BalloonTextChar"/>
    <w:uiPriority w:val="99"/>
    <w:semiHidden/>
    <w:unhideWhenUsed/>
    <w:rsid w:val="0037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4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7E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C02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02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0256"/>
    <w:rPr>
      <w:vertAlign w:val="superscript"/>
    </w:rPr>
  </w:style>
  <w:style w:type="paragraph" w:styleId="BodyText">
    <w:name w:val="Body Text"/>
    <w:link w:val="BodyTextChar"/>
    <w:uiPriority w:val="1"/>
    <w:qFormat/>
    <w:rsid w:val="005A5494"/>
    <w:pPr>
      <w:spacing w:after="220" w:line="240" w:lineRule="auto"/>
    </w:pPr>
    <w:rPr>
      <w:rFonts w:ascii="Open Sans" w:hAnsi="Open Sans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5494"/>
    <w:rPr>
      <w:rFonts w:ascii="Open Sans" w:hAnsi="Open Sans"/>
      <w:sz w:val="24"/>
    </w:rPr>
  </w:style>
  <w:style w:type="paragraph" w:styleId="Revision">
    <w:name w:val="Revision"/>
    <w:hidden/>
    <w:uiPriority w:val="99"/>
    <w:semiHidden/>
    <w:rsid w:val="00182B98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446307"/>
    <w:pPr>
      <w:widowControl w:val="0"/>
      <w:autoSpaceDE w:val="0"/>
      <w:autoSpaceDN w:val="0"/>
      <w:spacing w:before="1" w:after="120" w:line="240" w:lineRule="auto"/>
      <w:ind w:left="120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46307"/>
    <w:rPr>
      <w:rFonts w:ascii="Arial" w:eastAsia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46307"/>
    <w:pPr>
      <w:spacing w:after="0" w:line="240" w:lineRule="auto"/>
    </w:pPr>
    <w:rPr>
      <w:rFonts w:ascii="Calibri Light" w:hAnsi="Calibri Light" w:cstheme="majorHAnsi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46307"/>
    <w:pPr>
      <w:widowControl w:val="0"/>
      <w:numPr>
        <w:ilvl w:val="1"/>
      </w:numPr>
      <w:autoSpaceDE w:val="0"/>
      <w:autoSpaceDN w:val="0"/>
      <w:spacing w:before="12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6307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AA01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547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8547A"/>
    <w:rPr>
      <w:rFonts w:ascii="Calibri" w:eastAsiaTheme="majorEastAsia" w:hAnsi="Calibr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F92"/>
    <w:rPr>
      <w:rFonts w:ascii="Calibri" w:eastAsiaTheme="majorEastAsia" w:hAnsi="Calibr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547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m.gov.au/sites/default/files/media/national-plan-060821_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phln-guidance-on-laboratory-testing-for-sars-cov-2-the-virus-that-causes-covid-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dgn.org.a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cdgn-phln-and-cdna-sampling-strategy-for-sars-cov-2-genomic-surveil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FA11DA26FA94DAC395D5AC1A6937C" ma:contentTypeVersion="7" ma:contentTypeDescription="Create a new document." ma:contentTypeScope="" ma:versionID="ce6bd5d8a948a923588a02813a9971c4">
  <xsd:schema xmlns:xsd="http://www.w3.org/2001/XMLSchema" xmlns:xs="http://www.w3.org/2001/XMLSchema" xmlns:p="http://schemas.microsoft.com/office/2006/metadata/properties" xmlns:ns3="5a78e06b-fa58-450c-958d-7796dda6fba3" xmlns:ns4="20e3bfe4-3776-441a-beb1-ba80492fac06" targetNamespace="http://schemas.microsoft.com/office/2006/metadata/properties" ma:root="true" ma:fieldsID="ce0e8396a41b9a9e413f76018e4a0ef0" ns3:_="" ns4:_="">
    <xsd:import namespace="5a78e06b-fa58-450c-958d-7796dda6fba3"/>
    <xsd:import namespace="20e3bfe4-3776-441a-beb1-ba80492fac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e06b-fa58-450c-958d-7796dda6f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3bfe4-3776-441a-beb1-ba80492fa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7A86D-DEE5-4D0C-AAE3-31FD6D2A0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B544E-7AF0-4379-87B4-66BF168E0A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0AF4FE-BED4-4CE2-AD4A-40A98F20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e06b-fa58-450c-958d-7796dda6fba3"/>
    <ds:schemaRef ds:uri="20e3bfe4-3776-441a-beb1-ba80492fa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1299E-2971-42BA-B971-4CB4973232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PHLN STATEMENT ON REPORTING OF SARS-CoV-2 VARIANTS OF CONCERN AND INTEREST</vt:lpstr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PHLN STATEMENT ON REPORTING OF SARS-CoV-2 VARIANTS OF CONCERN AND INTEREST</dc:title>
  <dc:subject>COVID-19</dc:subject>
  <dc:creator>Australian Government Department of Health</dc:creator>
  <cp:keywords>COVID-19; PHLN; communicable diseases; </cp:keywords>
  <dc:description/>
  <cp:lastModifiedBy>MASCHKE, Elvia</cp:lastModifiedBy>
  <cp:revision>4</cp:revision>
  <cp:lastPrinted>2021-03-10T02:46:00Z</cp:lastPrinted>
  <dcterms:created xsi:type="dcterms:W3CDTF">2021-11-29T02:15:00Z</dcterms:created>
  <dcterms:modified xsi:type="dcterms:W3CDTF">2021-11-29T02:19:00Z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0x010100861FA11DA26FA94DAC395D5AC1A6937C</vt:lpwstr>
  </property>
</Properties>
</file>