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 w:before="33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17, 2021 Summary Notes for Selected Diseases</w:t>
      </w:r>
      <w:r>
        <w:rPr>
          <w:spacing w:val="-52"/>
          <w:u w:val="none"/>
        </w:rPr>
        <w:t> </w:t>
      </w:r>
      <w:bookmarkStart w:name="16 August to 29 August 2021" w:id="1"/>
      <w:bookmarkEnd w:id="1"/>
      <w:r>
        <w:rPr>
          <w:u w:val="single"/>
        </w:rPr>
        <w:t>16</w:t>
      </w:r>
      <w:r>
        <w:rPr>
          <w:u w:val="single"/>
        </w:rPr>
        <w:t> August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29</w:t>
      </w:r>
      <w:r>
        <w:rPr>
          <w:spacing w:val="-1"/>
          <w:u w:val="single"/>
        </w:rPr>
        <w:t> </w:t>
      </w:r>
      <w:r>
        <w:rPr>
          <w:u w:val="single"/>
        </w:rPr>
        <w:t>August</w:t>
      </w:r>
      <w:r>
        <w:rPr>
          <w:spacing w:val="-1"/>
          <w:u w:val="single"/>
        </w:rPr>
        <w:t> </w:t>
      </w:r>
      <w:r>
        <w:rPr>
          <w:u w:val="single"/>
        </w:rPr>
        <w:t>2021</w:t>
      </w:r>
    </w:p>
    <w:p>
      <w:pPr>
        <w:pStyle w:val="Title"/>
        <w:spacing w:line="292" w:lineRule="exact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left="112" w:right="300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Aboriginal and Torres Strait Islander people residing in northern and central Australia, continued</w:t>
      </w:r>
      <w:r>
        <w:rPr>
          <w:spacing w:val="-52"/>
        </w:rPr>
        <w:t> </w:t>
      </w:r>
      <w:r>
        <w:rPr/>
        <w:t>increases among men who have sex with men (MSM) in urban areas, and increases in women</w:t>
      </w:r>
      <w:r>
        <w:rPr>
          <w:spacing w:val="1"/>
        </w:rPr>
        <w:t> </w:t>
      </w:r>
      <w:r>
        <w:rPr/>
        <w:t>(Aboriginal</w:t>
      </w:r>
      <w:r>
        <w:rPr>
          <w:spacing w:val="-4"/>
        </w:rPr>
        <w:t> </w:t>
      </w:r>
      <w:r>
        <w:rPr/>
        <w:t>and Torres</w:t>
      </w:r>
      <w:r>
        <w:rPr>
          <w:spacing w:val="-1"/>
        </w:rPr>
        <w:t> </w:t>
      </w:r>
      <w:r>
        <w:rPr/>
        <w:t>Strait Islander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non-Indigenous)</w:t>
      </w:r>
      <w:r>
        <w:rPr>
          <w:spacing w:val="-2"/>
        </w:rPr>
        <w:t> </w:t>
      </w:r>
      <w:r>
        <w:rPr/>
        <w:t>residing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urban areas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central Australia</w:t>
      </w:r>
    </w:p>
    <w:p>
      <w:pPr>
        <w:pStyle w:val="BodyText"/>
        <w:ind w:left="112" w:right="120"/>
      </w:pPr>
      <w:r>
        <w:rPr/>
        <w:t>In January 2011, an increase of infectious syphilis notifications among Aboriginal and Torres Strait</w:t>
      </w:r>
      <w:r>
        <w:rPr>
          <w:spacing w:val="1"/>
        </w:rPr>
        <w:t> </w:t>
      </w:r>
      <w:r>
        <w:rPr/>
        <w:t>Islander people was identified in the North West region of Queensland, following a steady decline</w:t>
      </w:r>
      <w:r>
        <w:rPr>
          <w:spacing w:val="1"/>
        </w:rPr>
        <w:t> </w:t>
      </w:r>
      <w:r>
        <w:rPr/>
        <w:t>at a national level in remote communities. Subsequent increases in infectious syphilis notifications</w:t>
      </w:r>
      <w:r>
        <w:rPr>
          <w:spacing w:val="-52"/>
        </w:rPr>
        <w:t> </w:t>
      </w:r>
      <w:r>
        <w:rPr/>
        <w:t>were reported in the Northern Territory in 2013, Western Australia in 2014 and South Australia in</w:t>
      </w:r>
      <w:r>
        <w:rPr>
          <w:spacing w:val="1"/>
        </w:rPr>
        <w:t> </w:t>
      </w:r>
      <w:r>
        <w:rPr/>
        <w:t>2016, following sustained periods of low notification rates. The outbreak is of significant public</w:t>
      </w:r>
      <w:r>
        <w:rPr>
          <w:spacing w:val="1"/>
        </w:rPr>
        <w:t> </w:t>
      </w:r>
      <w:r>
        <w:rPr/>
        <w:t>health concern given the: elevated rates of infectious syphilis among women of child-bearing age,</w:t>
      </w:r>
      <w:r>
        <w:rPr>
          <w:spacing w:val="1"/>
        </w:rPr>
        <w:t> </w:t>
      </w:r>
      <w:r>
        <w:rPr/>
        <w:t>increasing the risk of congenital syphilis; and the concomitant risk of HIV transmission. For the</w:t>
      </w:r>
      <w:r>
        <w:rPr>
          <w:spacing w:val="1"/>
        </w:rPr>
        <w:t> </w:t>
      </w:r>
      <w:r>
        <w:rPr/>
        <w:t>latest information on the infectious syphilis outbreak and related national activities, refer to the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2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86"/>
      </w:pPr>
      <w:r>
        <w:rPr/>
        <w:t>Since 2010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 of</w:t>
      </w:r>
      <w:r>
        <w:rPr>
          <w:spacing w:val="-2"/>
        </w:rPr>
        <w:t> </w:t>
      </w:r>
      <w:r>
        <w:rPr/>
        <w:t>age, residing 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(Aboriginal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Torres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Strait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Islander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non-Indigenous)</w:t>
      </w:r>
    </w:p>
    <w:p>
      <w:pPr>
        <w:pStyle w:val="BodyText"/>
        <w:ind w:left="112" w:right="184"/>
      </w:pPr>
      <w:r>
        <w:rPr/>
        <w:t>Since 2016, increases in notifications of infectious syphilis have been reported in women</w:t>
      </w:r>
      <w:r>
        <w:rPr>
          <w:spacing w:val="1"/>
        </w:rPr>
        <w:t> </w:t>
      </w:r>
      <w:r>
        <w:rPr/>
        <w:t>(Aboriginal and Torres Strait Islander and non-Indigenous) aged predominately 20-39 years of age</w:t>
      </w:r>
      <w:r>
        <w:rPr>
          <w:spacing w:val="-52"/>
        </w:rPr>
        <w:t> </w:t>
      </w:r>
      <w:r>
        <w:rPr/>
        <w:t>residing in urban areas in Australia. As noted in the outbreak in northern and central Australia,</w:t>
      </w:r>
      <w:r>
        <w:rPr>
          <w:spacing w:val="1"/>
        </w:rPr>
        <w:t> </w:t>
      </w:r>
      <w:r>
        <w:rPr/>
        <w:t>increases in women of childbearing age is of significant public health concern given the increased</w:t>
      </w:r>
      <w:r>
        <w:rPr>
          <w:spacing w:val="1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  <w:spacing w:before="1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Syphilis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response</w:t>
      </w:r>
    </w:p>
    <w:p>
      <w:pPr>
        <w:pStyle w:val="BodyText"/>
        <w:ind w:left="112" w:right="252"/>
      </w:pPr>
      <w:r>
        <w:rPr/>
        <w:t>On 23 March 2021, the Australian Health Protection Principal Committee (AHPPC) endorsed the</w:t>
      </w:r>
      <w:r>
        <w:rPr>
          <w:spacing w:val="1"/>
        </w:rPr>
        <w:t> </w:t>
      </w:r>
      <w:r>
        <w:rPr>
          <w:i/>
        </w:rPr>
        <w:t>National strategic approach for responding to rising rates of syphilis in Australia 2021 </w:t>
      </w:r>
      <w:r>
        <w:rPr/>
        <w:t>(Strategic</w:t>
      </w:r>
      <w:r>
        <w:rPr>
          <w:spacing w:val="1"/>
        </w:rPr>
        <w:t> </w:t>
      </w:r>
      <w:r>
        <w:rPr/>
        <w:t>Approach) prepared through the Communicable Diseases Network Australia (CDNA) and BBV STI</w:t>
      </w:r>
      <w:r>
        <w:rPr>
          <w:spacing w:val="1"/>
        </w:rPr>
        <w:t> </w:t>
      </w:r>
      <w:r>
        <w:rPr/>
        <w:t>Standing Committee (BBVSS). The Strategic Approach builds on and intersects with existing</w:t>
      </w:r>
      <w:r>
        <w:rPr>
          <w:spacing w:val="1"/>
        </w:rPr>
        <w:t> </w:t>
      </w:r>
      <w:r>
        <w:rPr/>
        <w:t>national activities related to syphilis and provides specific focus for efforts towards rising rates of</w:t>
      </w:r>
      <w:r>
        <w:rPr>
          <w:spacing w:val="-52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adverse</w:t>
      </w:r>
      <w:r>
        <w:rPr>
          <w:spacing w:val="-1"/>
        </w:rPr>
        <w:t> </w:t>
      </w:r>
      <w:r>
        <w:rPr/>
        <w:t>outcomes in</w:t>
      </w:r>
      <w:r>
        <w:rPr>
          <w:spacing w:val="-1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" w:right="188"/>
      </w:pPr>
      <w:r>
        <w:rPr/>
        <w:t>The CDNA and BBVSS are, in collaboration, developing priority public health actions, including</w:t>
      </w:r>
      <w:r>
        <w:rPr>
          <w:spacing w:val="1"/>
        </w:rPr>
        <w:t> </w:t>
      </w:r>
      <w:r>
        <w:rPr/>
        <w:t>those related to workforce and community engagement, to ensure progress is made towards</w:t>
      </w:r>
      <w:r>
        <w:rPr>
          <w:spacing w:val="1"/>
        </w:rPr>
        <w:t> </w:t>
      </w:r>
      <w:r>
        <w:rPr/>
        <w:t>reducing the incidence of syphilis and elimination of congenital syphilis in Australia. These actions</w:t>
      </w:r>
      <w:r>
        <w:rPr>
          <w:spacing w:val="-52"/>
        </w:rPr>
        <w:t> </w:t>
      </w:r>
      <w:r>
        <w:rPr/>
        <w:t>will be provided to AHPPC for endorsement in the coming months. For further information on</w:t>
      </w:r>
      <w:r>
        <w:rPr>
          <w:spacing w:val="1"/>
        </w:rPr>
        <w:t> </w:t>
      </w:r>
      <w:r>
        <w:rPr/>
        <w:t>national activities</w:t>
      </w:r>
      <w:r>
        <w:rPr>
          <w:spacing w:val="-2"/>
        </w:rPr>
        <w:t> </w:t>
      </w:r>
      <w:r>
        <w:rPr/>
        <w:t>related</w:t>
      </w:r>
      <w:r>
        <w:rPr>
          <w:spacing w:val="2"/>
        </w:rPr>
        <w:t> </w:t>
      </w:r>
      <w:r>
        <w:rPr/>
        <w:t>to STIs,</w:t>
      </w:r>
      <w:r>
        <w:rPr>
          <w:spacing w:val="1"/>
        </w:rPr>
        <w:t> </w:t>
      </w:r>
      <w:r>
        <w:rPr/>
        <w:t>including syphilis, refer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2"/>
        <w:ind w:left="112"/>
      </w:pPr>
      <w:hyperlink r:id="rId6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spacing w:after="0"/>
        <w:sectPr>
          <w:type w:val="continuous"/>
          <w:pgSz w:w="11910" w:h="16840"/>
          <w:pgMar w:top="800" w:bottom="280" w:left="1020" w:right="1060"/>
        </w:sectPr>
      </w:pPr>
    </w:p>
    <w:p>
      <w:pPr>
        <w:spacing w:line="195" w:lineRule="exact" w:before="52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252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120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(01/06/2021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29/08/2021).</w:t>
      </w:r>
    </w:p>
    <w:p>
      <w:pPr>
        <w:spacing w:before="119"/>
        <w:ind w:left="112" w:right="30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29/08/2021.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(30/08/2020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29/08/2021).</w:t>
      </w:r>
    </w:p>
    <w:p>
      <w:pPr>
        <w:spacing w:before="119"/>
        <w:ind w:left="112" w:right="37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29/08/2021.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0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5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pgSz w:w="11910" w:h="16840"/>
          <w:pgMar w:top="780" w:bottom="280" w:left="1020" w:right="1060"/>
        </w:sectPr>
      </w:pPr>
    </w:p>
    <w:p>
      <w:pPr>
        <w:spacing w:before="41"/>
        <w:ind w:left="10251" w:right="0" w:firstLine="0"/>
        <w:jc w:val="left"/>
        <w:rPr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7.070602pt;margin-top:1.867195pt;width:876.8pt;height:683.2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70"/>
                    <w:gridCol w:w="2561"/>
                    <w:gridCol w:w="394"/>
                    <w:gridCol w:w="459"/>
                    <w:gridCol w:w="627"/>
                    <w:gridCol w:w="459"/>
                    <w:gridCol w:w="524"/>
                    <w:gridCol w:w="524"/>
                    <w:gridCol w:w="459"/>
                    <w:gridCol w:w="524"/>
                    <w:gridCol w:w="524"/>
                    <w:gridCol w:w="795"/>
                    <w:gridCol w:w="795"/>
                    <w:gridCol w:w="795"/>
                    <w:gridCol w:w="795"/>
                    <w:gridCol w:w="795"/>
                    <w:gridCol w:w="692"/>
                    <w:gridCol w:w="682"/>
                    <w:gridCol w:w="692"/>
                    <w:gridCol w:w="795"/>
                    <w:gridCol w:w="692"/>
                    <w:gridCol w:w="673"/>
                    <w:gridCol w:w="692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7518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452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1" w:lineRule="exact"/>
                          <w:ind w:left="1221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FN17/2021</w:t>
                        </w:r>
                      </w:p>
                    </w:tc>
                    <w:tc>
                      <w:tcPr>
                        <w:tcW w:w="4100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138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State</w:t>
                        </w:r>
                        <w:r>
                          <w:rPr>
                            <w:b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Territory</w:t>
                        </w:r>
                      </w:p>
                    </w:tc>
                    <w:tc>
                      <w:tcPr>
                        <w:tcW w:w="3180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84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Totals</w:t>
                        </w:r>
                        <w:r>
                          <w:rPr>
                            <w:b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Australia</w:t>
                        </w:r>
                      </w:p>
                    </w:tc>
                    <w:tc>
                      <w:tcPr>
                        <w:tcW w:w="2861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49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Historical</w:t>
                        </w:r>
                        <w:r>
                          <w:rPr>
                            <w:b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90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Day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Period</w:t>
                        </w:r>
                      </w:p>
                    </w:tc>
                    <w:tc>
                      <w:tcPr>
                        <w:tcW w:w="2852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508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Historical</w:t>
                        </w:r>
                        <w:r>
                          <w:rPr>
                            <w:b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Yearly</w:t>
                        </w:r>
                        <w:r>
                          <w:rPr>
                            <w:b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057" w:hRule="atLeast"/>
                    </w:trPr>
                    <w:tc>
                      <w:tcPr>
                        <w:tcW w:w="1570" w:type="dxa"/>
                        <w:tcBorders>
                          <w:right w:val="single" w:sz="6" w:space="0" w:color="000000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1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 group</w:t>
                        </w:r>
                      </w:p>
                    </w:tc>
                    <w:tc>
                      <w:tcPr>
                        <w:tcW w:w="256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08" w:right="87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name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 code</w:t>
                        </w:r>
                      </w:p>
                    </w:tc>
                    <w:tc>
                      <w:tcPr>
                        <w:tcW w:w="459" w:type="dxa"/>
                        <w:tcBorders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ACT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7"/>
                          <w:ind w:left="382" w:right="378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NSW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NT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Qld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SA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Tas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82" w:right="37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Vic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82" w:right="37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WA</w:t>
                        </w:r>
                      </w:p>
                    </w:tc>
                    <w:tc>
                      <w:tcPr>
                        <w:tcW w:w="795" w:type="dxa"/>
                        <w:tcBorders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19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16/08/2021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16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29/08/2021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68" w:right="5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8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02/08/2021</w:t>
                        </w:r>
                      </w:p>
                      <w:p>
                        <w:pPr>
                          <w:pStyle w:val="TableParagraph"/>
                          <w:spacing w:line="121" w:lineRule="exact" w:before="26"/>
                          <w:ind w:left="68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15/08/2021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76" w:lineRule="auto" w:before="35"/>
                          <w:ind w:left="68" w:right="5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period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4"/>
                          <w:ind w:left="67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16/08/2020</w:t>
                        </w:r>
                      </w:p>
                      <w:p>
                        <w:pPr>
                          <w:pStyle w:val="TableParagraph"/>
                          <w:spacing w:line="121" w:lineRule="exact" w:before="26"/>
                          <w:ind w:left="67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29/08/2020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15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Current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" w:right="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01/01/2021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12" w:right="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29/08/2021</w:t>
                        </w:r>
                      </w:p>
                    </w:tc>
                    <w:tc>
                      <w:tcPr>
                        <w:tcW w:w="795" w:type="dxa"/>
                        <w:tcBorders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01/06/2021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7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29/08/2021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72" w:right="82" w:hanging="8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2" w:right="19" w:firstLine="45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mean*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9" w:right="17" w:hanging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by</w:t>
                        </w:r>
                      </w:p>
                    </w:tc>
                    <w:tc>
                      <w:tcPr>
                        <w:tcW w:w="795" w:type="dxa"/>
                        <w:tcBorders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6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30/08/2020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7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29/08/2021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76" w:lineRule="auto" w:before="35"/>
                          <w:ind w:left="169" w:right="168" w:firstLine="2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4"/>
                          <w:ind w:left="3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30/08/2015</w:t>
                        </w:r>
                      </w:p>
                      <w:p>
                        <w:pPr>
                          <w:pStyle w:val="TableParagraph"/>
                          <w:spacing w:line="121" w:lineRule="exact" w:before="26"/>
                          <w:ind w:left="3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29/08/2020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0" w:right="21" w:firstLine="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year/5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mean*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6" w:right="20" w:hanging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8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Bloodborne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B (newly acquired)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039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64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35.4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149.6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B 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3,073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1,069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1,447.8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4,667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5,835.4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C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(newly acquired)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165.2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709.4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C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4,691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1,676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2,240.2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7,188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9,582.2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D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68.2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61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Gastrointestinal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Botulism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045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Campylobacteriosis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1,168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1,265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1,185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23,977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8,194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6,799.0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36,162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30,151.4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Cryptosporidiosis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1,321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531.0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1,741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3,827.8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Haemolytic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uraemic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syndrome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(HUS)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234.2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E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Listeriosis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Paratyphoid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81.8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Salmonellosis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7,598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1,581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2,626.4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10,452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15,452.6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Shigellosis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463.0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2,102.2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STEC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97.6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497.8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Typhoid Fever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149.0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Quarantinable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Avian influenza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 humans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(AIH)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076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Cholera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COVID-19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238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12,152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862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13,302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4,937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2,420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24,613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22,764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3,659.6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2,738.2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27,468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5,155.4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 w:right="-5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Middle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East respiratory syndrome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coronavirus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(M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Plague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Rabies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Severe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acute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respiratory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syndrome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(SARS)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Smallpox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Viral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haemorrhagic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(NEC)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Yellow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501" w:right="112" w:hanging="35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Sexually transmissible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Chlamydial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007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715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904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215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366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400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2,781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2,831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3,364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54,852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19,052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24,253.0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83,691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100,381.6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Donovanosis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Gonococcal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1,104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18,117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6,243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7,100.0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26,946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28,846.8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 &lt;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years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86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2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3,666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1,280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1,184.8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5,400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4,715.0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 &gt;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 years or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unspecified duration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1,183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525.4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1,857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2,136.6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 congenital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6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4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4.9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539" w:right="160" w:hanging="34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Vaccine preventable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Diphtheria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009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1.8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8.2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Haemophilus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influenzae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type b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Influenza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(laboratory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confirmed)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70,754.6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156,953.2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Measles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123.2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Mumps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125.4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591.4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Pertussis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2,471.6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571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14,346.2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Pneumococcal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(invasive)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971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634.4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1,344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1,839.0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Poliovirus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Rotavirus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8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865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942.0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1,228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4,568.0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Rubella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Rubella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congenital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Tetanus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(chickenpox)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1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1,341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917.0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2,489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3,599.2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(shingles)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1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619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6,991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2,125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2,990.2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12,214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11,829.6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6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6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929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825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13,011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5,381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3,553.4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236.1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17,971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14,079.4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Vectorborne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Barmah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Forest virus 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048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274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103.8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454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410.0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Chikungunya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Dengue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270.8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1,283.0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Flavivirus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Japanese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encephalitis 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Malaria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338.4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Murray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Valley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encephalitis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Ross River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2,809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746.0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3,645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4,712.6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West Nile/Kunjin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2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Zoonoses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Anthrax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058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Australian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bat lyssavirus 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Brucellosis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Leptospirosis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117.6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50.4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Lyssavirus infection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(NEC)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Ornithosis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4.3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Q fever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115.6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537.4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Tularaemia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Other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notifiable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iGAS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082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78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Legionellosis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419.8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Leprosy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Meningococcal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(invasive)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68.8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RSV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Tuberculosis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948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359.6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1,561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1,450.2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4525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346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13,635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215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2,241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567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168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2,365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20,533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12,474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10,656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172,795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73,286</w:t>
                        </w:r>
                      </w:p>
                    </w:tc>
                    <w:tc>
                      <w:tcPr>
                        <w:tcW w:w="2066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249,995</w:t>
                        </w:r>
                      </w:p>
                    </w:tc>
                    <w:tc>
                      <w:tcPr>
                        <w:tcW w:w="2057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16"/>
        </w:rPr>
        <w:t>Notification</w:t>
      </w:r>
      <w:r>
        <w:rPr>
          <w:b/>
          <w:color w:val="FFFFFF"/>
          <w:spacing w:val="6"/>
          <w:sz w:val="16"/>
        </w:rPr>
        <w:t> </w:t>
      </w:r>
      <w:r>
        <w:rPr>
          <w:b/>
          <w:color w:val="FFFFFF"/>
          <w:sz w:val="16"/>
        </w:rPr>
        <w:t>received</w:t>
      </w:r>
      <w:r>
        <w:rPr>
          <w:b/>
          <w:color w:val="FFFFFF"/>
          <w:spacing w:val="6"/>
          <w:sz w:val="16"/>
        </w:rPr>
        <w:t> </w:t>
      </w:r>
      <w:r>
        <w:rPr>
          <w:b/>
          <w:color w:val="FFFFFF"/>
          <w:sz w:val="16"/>
        </w:rPr>
        <w:t>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before="0"/>
        <w:ind w:left="135" w:right="0" w:firstLine="0"/>
        <w:jc w:val="left"/>
        <w:rPr>
          <w:sz w:val="10"/>
        </w:rPr>
      </w:pPr>
      <w:r>
        <w:rPr>
          <w:w w:val="105"/>
          <w:sz w:val="10"/>
        </w:rPr>
        <w:t>Footnotes:</w:t>
      </w:r>
    </w:p>
    <w:p>
      <w:pPr>
        <w:spacing w:line="268" w:lineRule="auto" w:before="15"/>
        <w:ind w:left="135" w:right="10169" w:firstLine="0"/>
        <w:jc w:val="left"/>
        <w:rPr>
          <w:sz w:val="10"/>
        </w:rPr>
      </w:pPr>
      <w:r>
        <w:rPr>
          <w:w w:val="105"/>
          <w:sz w:val="10"/>
        </w:rPr>
        <w:t>*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Ratio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90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prior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surveillance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past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90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5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rolling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mean,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ratio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prior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surveillance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5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rolling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mean.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NN =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Notifiable, NEC =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Elsewhere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Classified</w:t>
      </w:r>
    </w:p>
    <w:p>
      <w:pPr>
        <w:spacing w:line="268" w:lineRule="auto" w:before="10"/>
        <w:ind w:left="135" w:right="5115" w:firstLine="0"/>
        <w:jc w:val="left"/>
        <w:rPr>
          <w:sz w:val="10"/>
        </w:rPr>
      </w:pP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reliant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provision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from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states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territories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Australian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Government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Department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Health.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Backlogs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notifications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state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territory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level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may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contribute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delays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reporting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NNDSS.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Notifications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for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some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high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volume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conditions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only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uploaded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quarterly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by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some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jurisdictions,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which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can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result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apparent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large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variability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over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time.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NNDSS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dynamic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dataset,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with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representing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available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on</w:t>
      </w:r>
      <w:r>
        <w:rPr>
          <w:spacing w:val="-4"/>
          <w:w w:val="105"/>
          <w:sz w:val="10"/>
        </w:rPr>
        <w:t> </w:t>
      </w:r>
      <w:r>
        <w:rPr>
          <w:b/>
          <w:color w:val="FF0000"/>
          <w:w w:val="105"/>
          <w:sz w:val="10"/>
        </w:rPr>
        <w:t>(31/08/2021).</w:t>
      </w:r>
      <w:r>
        <w:rPr>
          <w:b/>
          <w:color w:val="FF0000"/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subject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retrospective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revision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may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vary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from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reported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published NNDSS reports and reports of notification data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by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states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territories.</w:t>
      </w:r>
    </w:p>
    <w:sectPr>
      <w:pgSz w:w="23810" w:h="16840" w:orient="landscape"/>
      <w:pgMar w:top="1000" w:bottom="280" w:left="3040" w:right="3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18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outbreak.htm" TargetMode="External"/><Relationship Id="rId6" Type="http://schemas.openxmlformats.org/officeDocument/2006/relationships/hyperlink" Target="https://www1.health.gov.au/internet/main/publishing.nsf/Content/ohpbbvs-1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title>NNDSS Fortnightly Report to CDNA</dc:title>
  <dcterms:created xsi:type="dcterms:W3CDTF">2021-11-25T22:35:46Z</dcterms:created>
  <dcterms:modified xsi:type="dcterms:W3CDTF">2021-11-25T22:35:46Z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2021-11-25T00:00:00Z</vt:filetime>
  </property>
</Properties>
</file>