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4C40A" w14:textId="6BEA1181" w:rsidR="00CE7D4D" w:rsidRDefault="003A2A0B" w:rsidP="00CE7D4D">
      <w:pPr>
        <w:pStyle w:val="Heading1"/>
      </w:pPr>
      <w:r>
        <w:t>Monitoring and reporting side effects</w:t>
      </w:r>
    </w:p>
    <w:p w14:paraId="0BC86100" w14:textId="670B4975" w:rsidR="58CCB093" w:rsidRPr="00126B1C" w:rsidRDefault="58CCB093" w:rsidP="22658220">
      <w:pPr>
        <w:rPr>
          <w:rStyle w:val="Strong"/>
        </w:rPr>
      </w:pPr>
      <w:r w:rsidRPr="00126B1C">
        <w:rPr>
          <w:rStyle w:val="Strong"/>
        </w:rPr>
        <w:t>Updated November 2021</w:t>
      </w:r>
    </w:p>
    <w:p w14:paraId="0EE8D005" w14:textId="63358B24" w:rsidR="003A2A0B" w:rsidRPr="00A61E8C" w:rsidRDefault="275596CF" w:rsidP="22658220">
      <w:pPr>
        <w:pStyle w:val="Breakouttext"/>
      </w:pPr>
      <w:r>
        <w:t>Guidance for disability support workers monitoring people with disability after administration of the COVID-19 vaccines.</w:t>
      </w:r>
    </w:p>
    <w:p w14:paraId="1481076B" w14:textId="77777777" w:rsidR="003A2A0B" w:rsidRPr="00126B1C" w:rsidRDefault="003A2A0B" w:rsidP="00126B1C">
      <w:pPr>
        <w:pStyle w:val="Heading2"/>
      </w:pPr>
      <w:r w:rsidRPr="003350A0">
        <w:t>What to monitor for</w:t>
      </w:r>
    </w:p>
    <w:p w14:paraId="35063ECE" w14:textId="77777777" w:rsidR="003A2A0B" w:rsidRPr="00726181" w:rsidRDefault="003A2A0B" w:rsidP="003A2A0B">
      <w:r>
        <w:t>People with disability</w:t>
      </w:r>
      <w:r w:rsidRPr="00726181">
        <w:t xml:space="preserve"> may experience minor side effects </w:t>
      </w:r>
      <w:r>
        <w:t>after</w:t>
      </w:r>
      <w:r w:rsidRPr="00726181">
        <w:t xml:space="preserve"> vaccination. </w:t>
      </w:r>
      <w:r>
        <w:t xml:space="preserve">For most people, </w:t>
      </w:r>
      <w:r w:rsidRPr="00726181">
        <w:t xml:space="preserve">side effects last no more than a couple of days and </w:t>
      </w:r>
      <w:r>
        <w:t>they</w:t>
      </w:r>
      <w:r w:rsidRPr="00726181">
        <w:t xml:space="preserve"> will recover without any problems.</w:t>
      </w:r>
    </w:p>
    <w:p w14:paraId="4BA441BF" w14:textId="77777777" w:rsidR="003A2A0B" w:rsidRDefault="003A2A0B" w:rsidP="003A2A0B">
      <w:r w:rsidRPr="00726181">
        <w:t>Common reactions to vaccination include</w:t>
      </w:r>
      <w:r>
        <w:t>:</w:t>
      </w:r>
    </w:p>
    <w:p w14:paraId="777B1F37" w14:textId="77777777" w:rsidR="003A2A0B" w:rsidRPr="00726181" w:rsidRDefault="003A2A0B" w:rsidP="003A2A0B">
      <w:pPr>
        <w:pStyle w:val="bullet0"/>
        <w:numPr>
          <w:ilvl w:val="0"/>
          <w:numId w:val="2"/>
        </w:numPr>
      </w:pPr>
      <w:r w:rsidRPr="00726181">
        <w:t xml:space="preserve">pain, redness and/or swelling </w:t>
      </w:r>
      <w:r>
        <w:t>at the injection site</w:t>
      </w:r>
    </w:p>
    <w:p w14:paraId="49697139" w14:textId="77777777" w:rsidR="003A2A0B" w:rsidRPr="00726181" w:rsidRDefault="003A2A0B" w:rsidP="003A2A0B">
      <w:pPr>
        <w:pStyle w:val="bullet0"/>
        <w:numPr>
          <w:ilvl w:val="0"/>
          <w:numId w:val="2"/>
        </w:numPr>
      </w:pPr>
      <w:r w:rsidRPr="00726181">
        <w:t>mild fever</w:t>
      </w:r>
    </w:p>
    <w:p w14:paraId="6D297571" w14:textId="77777777" w:rsidR="003A2A0B" w:rsidRDefault="003A2A0B" w:rsidP="003A2A0B">
      <w:pPr>
        <w:pStyle w:val="bullet0"/>
        <w:numPr>
          <w:ilvl w:val="0"/>
          <w:numId w:val="2"/>
        </w:numPr>
      </w:pPr>
      <w:r w:rsidRPr="00726181">
        <w:t>headache</w:t>
      </w:r>
    </w:p>
    <w:p w14:paraId="6A8B52CE" w14:textId="77777777" w:rsidR="003A2A0B" w:rsidRPr="00C60A27" w:rsidRDefault="003A2A0B" w:rsidP="003A2A0B">
      <w:pPr>
        <w:pStyle w:val="bullet0"/>
        <w:numPr>
          <w:ilvl w:val="0"/>
          <w:numId w:val="2"/>
        </w:numPr>
        <w:rPr>
          <w:rFonts w:eastAsia="Times New Roman"/>
          <w:lang w:val="en" w:eastAsia="en-AU"/>
        </w:rPr>
      </w:pPr>
      <w:r w:rsidRPr="00C60A27">
        <w:rPr>
          <w:rFonts w:eastAsia="Times New Roman"/>
          <w:lang w:val="en" w:eastAsia="en-AU"/>
        </w:rPr>
        <w:t>tiredness</w:t>
      </w:r>
    </w:p>
    <w:p w14:paraId="7DF49242" w14:textId="77777777" w:rsidR="003A2A0B" w:rsidRPr="00C60A27" w:rsidRDefault="003A2A0B" w:rsidP="003A2A0B">
      <w:pPr>
        <w:pStyle w:val="bullet0"/>
        <w:numPr>
          <w:ilvl w:val="0"/>
          <w:numId w:val="2"/>
        </w:numPr>
        <w:rPr>
          <w:rFonts w:eastAsia="Times New Roman"/>
          <w:lang w:val="en" w:eastAsia="en-AU"/>
        </w:rPr>
      </w:pPr>
      <w:r w:rsidRPr="00C60A27">
        <w:rPr>
          <w:rFonts w:eastAsia="Times New Roman"/>
          <w:lang w:val="en" w:eastAsia="en-AU"/>
        </w:rPr>
        <w:t>headache</w:t>
      </w:r>
    </w:p>
    <w:p w14:paraId="2A9BDD9F" w14:textId="77777777" w:rsidR="003A2A0B" w:rsidRPr="00C60A27" w:rsidRDefault="003A2A0B" w:rsidP="003A2A0B">
      <w:pPr>
        <w:pStyle w:val="bullet0"/>
        <w:numPr>
          <w:ilvl w:val="0"/>
          <w:numId w:val="2"/>
        </w:numPr>
        <w:rPr>
          <w:rFonts w:eastAsia="Times New Roman"/>
          <w:lang w:val="en" w:eastAsia="en-AU"/>
        </w:rPr>
      </w:pPr>
      <w:r w:rsidRPr="00C60A27">
        <w:rPr>
          <w:rFonts w:eastAsia="Times New Roman"/>
          <w:lang w:val="en" w:eastAsia="en-AU"/>
        </w:rPr>
        <w:t>muscle pain</w:t>
      </w:r>
    </w:p>
    <w:p w14:paraId="3891E91D" w14:textId="77777777" w:rsidR="003A2A0B" w:rsidRPr="00C60A27" w:rsidRDefault="003A2A0B" w:rsidP="003A2A0B">
      <w:pPr>
        <w:pStyle w:val="bullet0"/>
        <w:numPr>
          <w:ilvl w:val="0"/>
          <w:numId w:val="2"/>
        </w:numPr>
        <w:rPr>
          <w:rFonts w:eastAsia="Times New Roman"/>
          <w:lang w:val="en" w:eastAsia="en-AU"/>
        </w:rPr>
      </w:pPr>
      <w:r w:rsidRPr="00C60A27">
        <w:rPr>
          <w:rFonts w:eastAsia="Times New Roman"/>
          <w:lang w:val="en" w:eastAsia="en-AU"/>
        </w:rPr>
        <w:t>chills</w:t>
      </w:r>
    </w:p>
    <w:p w14:paraId="50A8DAE5" w14:textId="77777777" w:rsidR="003A2A0B" w:rsidRPr="00C60A27" w:rsidRDefault="003A2A0B" w:rsidP="003A2A0B">
      <w:pPr>
        <w:pStyle w:val="bullet0"/>
        <w:numPr>
          <w:ilvl w:val="0"/>
          <w:numId w:val="2"/>
        </w:numPr>
        <w:rPr>
          <w:rFonts w:eastAsia="Times New Roman"/>
          <w:lang w:val="en" w:eastAsia="en-AU"/>
        </w:rPr>
      </w:pPr>
      <w:r w:rsidRPr="00C60A27">
        <w:rPr>
          <w:rFonts w:eastAsia="Times New Roman"/>
          <w:lang w:val="en" w:eastAsia="en-AU"/>
        </w:rPr>
        <w:t>fever</w:t>
      </w:r>
    </w:p>
    <w:p w14:paraId="78E26977" w14:textId="77777777" w:rsidR="003A2A0B" w:rsidRDefault="003A2A0B" w:rsidP="003A2A0B">
      <w:pPr>
        <w:pStyle w:val="bullet0"/>
        <w:numPr>
          <w:ilvl w:val="0"/>
          <w:numId w:val="2"/>
        </w:numPr>
        <w:rPr>
          <w:rFonts w:eastAsia="Times New Roman"/>
          <w:lang w:val="en" w:eastAsia="en-AU"/>
        </w:rPr>
      </w:pPr>
      <w:r w:rsidRPr="00C60A27">
        <w:rPr>
          <w:rFonts w:eastAsia="Times New Roman"/>
          <w:lang w:val="en" w:eastAsia="en-AU"/>
        </w:rPr>
        <w:t>joint pain.</w:t>
      </w:r>
    </w:p>
    <w:p w14:paraId="20F4F81D" w14:textId="26E2CE74" w:rsidR="003A2A0B" w:rsidRDefault="275596CF" w:rsidP="003A2A0B">
      <w:r>
        <w:t xml:space="preserve">These side effects usually go away within one or two days. If people with disability experience pain at the injection site or fever, </w:t>
      </w:r>
      <w:proofErr w:type="gramStart"/>
      <w:r>
        <w:t>headaches</w:t>
      </w:r>
      <w:proofErr w:type="gramEnd"/>
      <w:r>
        <w:t xml:space="preserve"> or body aches after vaccination, they can be supported to take paracetamol or ibuprofen. These help reduce the above symptoms</w:t>
      </w:r>
      <w:r w:rsidR="786E4DFD">
        <w:t>. T</w:t>
      </w:r>
      <w:r>
        <w:t>hey do not need to take paracetamol or ibuprofen before vaccination. If there is swelling at the injection site, a cold compress can reduce the swelling.</w:t>
      </w:r>
    </w:p>
    <w:p w14:paraId="70DF2A01" w14:textId="77777777" w:rsidR="003A2A0B" w:rsidRPr="0050765C" w:rsidRDefault="003A2A0B" w:rsidP="003A2A0B">
      <w:r>
        <w:t xml:space="preserve">Serious reactions, </w:t>
      </w:r>
      <w:r w:rsidRPr="00726181">
        <w:t xml:space="preserve">such as allergic reactions are extremely rare. </w:t>
      </w:r>
      <w:r>
        <w:rPr>
          <w:b/>
        </w:rPr>
        <w:t>They usually occur within 15 </w:t>
      </w:r>
      <w:r w:rsidRPr="00633D8F">
        <w:rPr>
          <w:b/>
        </w:rPr>
        <w:t xml:space="preserve">minutes of receiving a vaccine. </w:t>
      </w:r>
      <w:r w:rsidRPr="0050765C">
        <w:t xml:space="preserve">It is important to stay with </w:t>
      </w:r>
      <w:r>
        <w:t>people with disability</w:t>
      </w:r>
      <w:r w:rsidRPr="0050765C">
        <w:t xml:space="preserve"> during this time.</w:t>
      </w:r>
    </w:p>
    <w:p w14:paraId="15DC21A3" w14:textId="6E216C6A" w:rsidR="003A2A0B" w:rsidRDefault="003A2A0B" w:rsidP="003A2A0B">
      <w:r>
        <w:t xml:space="preserve">If an individual becomes unwell after the vaccination or you are concerned about their condition, </w:t>
      </w:r>
      <w:r>
        <w:rPr>
          <w:b/>
        </w:rPr>
        <w:t>you must report it.</w:t>
      </w:r>
      <w:r w:rsidR="00E44CEF">
        <w:t xml:space="preserve"> </w:t>
      </w:r>
      <w:r w:rsidR="275596CF">
        <w:t xml:space="preserve">You should follow the standard escalation process in your </w:t>
      </w:r>
      <w:r w:rsidR="797A3DFA">
        <w:t>organisation and</w:t>
      </w:r>
      <w:r w:rsidR="275596CF">
        <w:t xml:space="preserve"> alert the vaccine provider </w:t>
      </w:r>
      <w:r w:rsidR="27CB4B70" w:rsidRPr="22658220">
        <w:rPr>
          <w:b/>
          <w:bCs/>
        </w:rPr>
        <w:t>at once</w:t>
      </w:r>
      <w:r w:rsidR="275596CF">
        <w:t xml:space="preserve">. </w:t>
      </w:r>
    </w:p>
    <w:p w14:paraId="2A6E2972" w14:textId="77777777" w:rsidR="00D72049" w:rsidRDefault="00D72049">
      <w:pPr>
        <w:spacing w:after="0" w:line="240" w:lineRule="auto"/>
        <w:sectPr w:rsidR="00D72049" w:rsidSect="007039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3538" w:right="1440" w:bottom="1474" w:left="1134" w:header="709" w:footer="709" w:gutter="0"/>
          <w:cols w:space="708"/>
          <w:titlePg/>
          <w:docGrid w:linePitch="360"/>
        </w:sectPr>
      </w:pPr>
    </w:p>
    <w:p w14:paraId="571DDA9E" w14:textId="2738B624" w:rsidR="003A2A0B" w:rsidRPr="003A2A0B" w:rsidRDefault="275596CF" w:rsidP="003A2A0B">
      <w:r>
        <w:lastRenderedPageBreak/>
        <w:t xml:space="preserve">The nominated person/s in your organisation </w:t>
      </w:r>
      <w:r w:rsidR="78FC65D9">
        <w:t>must</w:t>
      </w:r>
      <w:r>
        <w:t xml:space="preserve"> notify all adverse events following immunisation (AEFI) to the local health department as outlined in the table below:</w:t>
      </w:r>
    </w:p>
    <w:tbl>
      <w:tblPr>
        <w:tblW w:w="8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6691"/>
      </w:tblGrid>
      <w:tr w:rsidR="003A2A0B" w:rsidRPr="003A2A0B" w14:paraId="7B5998B9" w14:textId="77777777" w:rsidTr="00E64F43">
        <w:trPr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65A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8C3BB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3A2A0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AU"/>
              </w:rPr>
              <w:t xml:space="preserve">Where to report in each state / territory </w:t>
            </w:r>
          </w:p>
        </w:tc>
      </w:tr>
      <w:tr w:rsidR="003A2A0B" w:rsidRPr="003A2A0B" w14:paraId="1863BC08" w14:textId="77777777" w:rsidTr="00DD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4EF76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rFonts w:eastAsia="Times New Roman"/>
                <w:bCs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35E40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bCs/>
                <w:color w:val="333333"/>
                <w:sz w:val="20"/>
                <w:szCs w:val="20"/>
                <w:lang w:val="en"/>
              </w:rPr>
              <w:t xml:space="preserve">1300 066 055 or </w:t>
            </w:r>
            <w:hyperlink r:id="rId17" w:history="1">
              <w:r w:rsidRPr="003A2A0B">
                <w:rPr>
                  <w:color w:val="0000FF"/>
                  <w:sz w:val="20"/>
                  <w:szCs w:val="20"/>
                  <w:u w:val="single"/>
                  <w:lang w:val="en"/>
                </w:rPr>
                <w:t>www.health.nsw.gov.au</w:t>
              </w:r>
            </w:hyperlink>
            <w:r w:rsidRPr="003A2A0B">
              <w:rPr>
                <w:bCs/>
                <w:color w:val="333333"/>
                <w:sz w:val="20"/>
                <w:szCs w:val="20"/>
                <w:lang w:val="en"/>
              </w:rPr>
              <w:t xml:space="preserve"> </w:t>
            </w:r>
          </w:p>
        </w:tc>
      </w:tr>
      <w:tr w:rsidR="003A2A0B" w:rsidRPr="003A2A0B" w14:paraId="14149B04" w14:textId="77777777" w:rsidTr="00DD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13F45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rFonts w:eastAsia="Times New Roman"/>
                <w:bCs/>
                <w:color w:val="000000"/>
                <w:sz w:val="20"/>
                <w:szCs w:val="20"/>
                <w:lang w:eastAsia="en-AU"/>
              </w:rPr>
              <w:t>Victoria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51508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bCs/>
                <w:color w:val="333333"/>
                <w:sz w:val="20"/>
                <w:szCs w:val="20"/>
                <w:lang w:val="en"/>
              </w:rPr>
              <w:t xml:space="preserve">1300 882 924 (option 1) or </w:t>
            </w:r>
            <w:hyperlink r:id="rId18" w:history="1">
              <w:r w:rsidRPr="003A2A0B">
                <w:rPr>
                  <w:color w:val="0000FF"/>
                  <w:sz w:val="20"/>
                  <w:szCs w:val="20"/>
                  <w:u w:val="single"/>
                </w:rPr>
                <w:t>www.safevac.org.au</w:t>
              </w:r>
            </w:hyperlink>
            <w:r w:rsidRPr="003A2A0B">
              <w:rPr>
                <w:color w:val="494949"/>
                <w:sz w:val="20"/>
                <w:szCs w:val="20"/>
              </w:rPr>
              <w:t xml:space="preserve"> </w:t>
            </w:r>
          </w:p>
        </w:tc>
      </w:tr>
      <w:tr w:rsidR="003A2A0B" w:rsidRPr="003A2A0B" w14:paraId="523885B7" w14:textId="77777777" w:rsidTr="00DD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BAA63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rFonts w:eastAsia="Times New Roman"/>
                <w:bCs/>
                <w:color w:val="000000"/>
                <w:sz w:val="20"/>
                <w:szCs w:val="20"/>
                <w:lang w:eastAsia="en-AU"/>
              </w:rPr>
              <w:t>Queensland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4922D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sz w:val="20"/>
                <w:szCs w:val="20"/>
              </w:rPr>
              <w:t xml:space="preserve">Contact your local Public Health Unit or </w:t>
            </w:r>
            <w:hyperlink r:id="rId19" w:history="1">
              <w:r w:rsidRPr="003A2A0B">
                <w:rPr>
                  <w:color w:val="0000FF"/>
                  <w:sz w:val="20"/>
                  <w:szCs w:val="20"/>
                  <w:u w:val="single"/>
                  <w:lang w:val="en"/>
                </w:rPr>
                <w:t>COVID_AEFI@health.qld.gov.au</w:t>
              </w:r>
            </w:hyperlink>
            <w:r w:rsidRPr="003A2A0B">
              <w:rPr>
                <w:sz w:val="20"/>
                <w:szCs w:val="20"/>
                <w:lang w:val="en"/>
              </w:rPr>
              <w:t xml:space="preserve"> </w:t>
            </w:r>
          </w:p>
        </w:tc>
      </w:tr>
      <w:tr w:rsidR="003A2A0B" w:rsidRPr="003A2A0B" w14:paraId="3846D97D" w14:textId="77777777" w:rsidTr="00DD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E8E40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rFonts w:eastAsia="Times New Roman"/>
                <w:bCs/>
                <w:color w:val="000000"/>
                <w:sz w:val="20"/>
                <w:szCs w:val="20"/>
                <w:lang w:eastAsia="en-AU"/>
              </w:rPr>
              <w:t>Western Australia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4261B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color w:val="333333"/>
                <w:sz w:val="20"/>
                <w:szCs w:val="20"/>
                <w:lang w:val="en"/>
              </w:rPr>
              <w:t xml:space="preserve">08 6456 0208 or </w:t>
            </w:r>
            <w:hyperlink r:id="rId20" w:history="1">
              <w:r w:rsidRPr="003A2A0B">
                <w:rPr>
                  <w:color w:val="0000FF"/>
                  <w:sz w:val="20"/>
                  <w:szCs w:val="20"/>
                  <w:u w:val="single"/>
                  <w:lang w:val="en"/>
                </w:rPr>
                <w:t>wavss@health.wa.gov.au</w:t>
              </w:r>
            </w:hyperlink>
            <w:r w:rsidRPr="003A2A0B">
              <w:rPr>
                <w:color w:val="333333"/>
                <w:sz w:val="20"/>
                <w:szCs w:val="20"/>
                <w:lang w:val="en"/>
              </w:rPr>
              <w:t xml:space="preserve"> </w:t>
            </w:r>
          </w:p>
        </w:tc>
      </w:tr>
      <w:tr w:rsidR="003A2A0B" w:rsidRPr="003A2A0B" w14:paraId="0744A43E" w14:textId="77777777" w:rsidTr="00DD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257AC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rFonts w:eastAsia="Times New Roman"/>
                <w:bCs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A0B00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sz w:val="20"/>
                <w:szCs w:val="20"/>
              </w:rPr>
              <w:t xml:space="preserve">02 5154 9800 or </w:t>
            </w:r>
            <w:hyperlink r:id="rId21" w:history="1">
              <w:r w:rsidRPr="003A2A0B">
                <w:rPr>
                  <w:color w:val="0000FF"/>
                  <w:sz w:val="20"/>
                  <w:szCs w:val="20"/>
                  <w:u w:val="single"/>
                </w:rPr>
                <w:t>www.health.act.gov.au</w:t>
              </w:r>
            </w:hyperlink>
            <w:r w:rsidRPr="003A2A0B">
              <w:rPr>
                <w:sz w:val="20"/>
                <w:szCs w:val="20"/>
              </w:rPr>
              <w:t xml:space="preserve"> </w:t>
            </w:r>
          </w:p>
        </w:tc>
      </w:tr>
      <w:tr w:rsidR="003A2A0B" w:rsidRPr="003A2A0B" w14:paraId="05DE8189" w14:textId="77777777" w:rsidTr="00DD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D9C90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rFonts w:eastAsia="Times New Roman"/>
                <w:bCs/>
                <w:color w:val="000000"/>
                <w:sz w:val="20"/>
                <w:szCs w:val="20"/>
                <w:lang w:eastAsia="en-AU"/>
              </w:rPr>
              <w:t>South Australia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C296F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sz w:val="20"/>
                <w:szCs w:val="20"/>
              </w:rPr>
              <w:t xml:space="preserve">1300 232 272 or </w:t>
            </w:r>
            <w:hyperlink r:id="rId22" w:history="1">
              <w:r w:rsidRPr="003A2A0B">
                <w:rPr>
                  <w:color w:val="0000FF"/>
                  <w:sz w:val="20"/>
                  <w:szCs w:val="20"/>
                  <w:u w:val="single"/>
                </w:rPr>
                <w:t>healthvaccinesafety@sa.gov.au</w:t>
              </w:r>
            </w:hyperlink>
            <w:r w:rsidRPr="003A2A0B">
              <w:rPr>
                <w:sz w:val="20"/>
                <w:szCs w:val="20"/>
              </w:rPr>
              <w:t xml:space="preserve"> </w:t>
            </w:r>
          </w:p>
        </w:tc>
      </w:tr>
      <w:tr w:rsidR="003A2A0B" w:rsidRPr="003A2A0B" w14:paraId="3C19B2E8" w14:textId="77777777" w:rsidTr="00DD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C2223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rFonts w:eastAsia="Times New Roman"/>
                <w:bCs/>
                <w:color w:val="000000"/>
                <w:sz w:val="20"/>
                <w:szCs w:val="20"/>
                <w:lang w:eastAsia="en-AU"/>
              </w:rPr>
              <w:t>Northern Territory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6697E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sz w:val="20"/>
                <w:szCs w:val="20"/>
              </w:rPr>
              <w:t xml:space="preserve">Contact your local Public Health Unit or </w:t>
            </w:r>
            <w:hyperlink r:id="rId23" w:history="1">
              <w:r w:rsidRPr="003A2A0B">
                <w:rPr>
                  <w:color w:val="0000FF"/>
                  <w:sz w:val="20"/>
                  <w:szCs w:val="20"/>
                  <w:u w:val="single"/>
                </w:rPr>
                <w:t>www.health.nt.gov.au</w:t>
              </w:r>
            </w:hyperlink>
            <w:r w:rsidRPr="003A2A0B">
              <w:rPr>
                <w:sz w:val="20"/>
                <w:szCs w:val="20"/>
              </w:rPr>
              <w:t xml:space="preserve"> </w:t>
            </w:r>
          </w:p>
        </w:tc>
      </w:tr>
      <w:tr w:rsidR="003A2A0B" w:rsidRPr="003A2A0B" w14:paraId="5BB92AFA" w14:textId="77777777" w:rsidTr="00DD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14799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rFonts w:eastAsia="Times New Roman"/>
                <w:bCs/>
                <w:color w:val="000000"/>
                <w:sz w:val="20"/>
                <w:szCs w:val="20"/>
                <w:lang w:eastAsia="en-AU"/>
              </w:rPr>
              <w:t>Tasmania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47FD8" w14:textId="77777777" w:rsidR="003A2A0B" w:rsidRPr="003A2A0B" w:rsidRDefault="003A2A0B" w:rsidP="003A2A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3A2A0B">
              <w:rPr>
                <w:sz w:val="20"/>
                <w:szCs w:val="20"/>
              </w:rPr>
              <w:t xml:space="preserve">Report directly to the TGA at </w:t>
            </w:r>
            <w:hyperlink r:id="rId24" w:history="1">
              <w:r w:rsidRPr="003A2A0B">
                <w:rPr>
                  <w:color w:val="0000FF"/>
                  <w:sz w:val="20"/>
                  <w:szCs w:val="20"/>
                  <w:u w:val="single"/>
                </w:rPr>
                <w:t>www.tga.gov.au</w:t>
              </w:r>
            </w:hyperlink>
            <w:r w:rsidRPr="003A2A0B">
              <w:rPr>
                <w:sz w:val="20"/>
                <w:szCs w:val="20"/>
              </w:rPr>
              <w:t xml:space="preserve"> </w:t>
            </w:r>
          </w:p>
        </w:tc>
      </w:tr>
    </w:tbl>
    <w:p w14:paraId="40CE330D" w14:textId="1827E09D" w:rsidR="00E64F43" w:rsidRDefault="003A2A0B" w:rsidP="003A2A0B">
      <w:r w:rsidRPr="003A2A0B">
        <w:t xml:space="preserve">More information is available on the TGA website at </w:t>
      </w:r>
      <w:hyperlink r:id="rId25" w:history="1">
        <w:r w:rsidRPr="003A2A0B">
          <w:rPr>
            <w:color w:val="0000FF"/>
            <w:u w:val="single"/>
          </w:rPr>
          <w:t>www.tga.gov.au/reporting-suspected-side-effects-associated-covid-19-vaccine</w:t>
        </w:r>
      </w:hyperlink>
      <w:r w:rsidRPr="003A2A0B">
        <w:t>.</w:t>
      </w:r>
    </w:p>
    <w:p w14:paraId="7E26B1A0" w14:textId="3BAED018" w:rsidR="003A2A0B" w:rsidRDefault="003A2A0B" w:rsidP="00126B1C">
      <w:pPr>
        <w:pStyle w:val="Heading3"/>
        <w:rPr>
          <w:vertAlign w:val="superscript"/>
        </w:rPr>
      </w:pPr>
      <w:r w:rsidRPr="00126B1C">
        <w:t>Frequency</w:t>
      </w:r>
      <w:r>
        <w:t xml:space="preserve"> of select common adverse events reported within 7 days following each dose of Comirnaty (Pfizer) in phase II/III trial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be read left to right, top to bottom. It describes Frequency of select common adverse events reported within 7 days following each dose of Comirnaty (Pfizer) in phase II/III trial"/>
      </w:tblPr>
      <w:tblGrid>
        <w:gridCol w:w="1649"/>
        <w:gridCol w:w="1094"/>
        <w:gridCol w:w="1095"/>
        <w:gridCol w:w="1364"/>
        <w:gridCol w:w="1365"/>
        <w:gridCol w:w="1366"/>
        <w:gridCol w:w="1366"/>
      </w:tblGrid>
      <w:tr w:rsidR="00F8452C" w:rsidRPr="00A059FE" w14:paraId="65252BF2" w14:textId="77777777" w:rsidTr="00F87F70">
        <w:trPr>
          <w:tblHeader/>
        </w:trPr>
        <w:tc>
          <w:tcPr>
            <w:tcW w:w="1649" w:type="dxa"/>
            <w:shd w:val="clear" w:color="auto" w:fill="3665AE"/>
          </w:tcPr>
          <w:p w14:paraId="2D7939EB" w14:textId="77777777" w:rsidR="00F8452C" w:rsidRPr="00A059FE" w:rsidRDefault="00F8452C" w:rsidP="00DD6905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189" w:type="dxa"/>
            <w:gridSpan w:val="2"/>
            <w:shd w:val="clear" w:color="auto" w:fill="3665AE"/>
          </w:tcPr>
          <w:p w14:paraId="0184A83E" w14:textId="332661E0" w:rsidR="00F8452C" w:rsidRPr="00DB42C3" w:rsidRDefault="00F8452C" w:rsidP="00DD6905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B42C3">
              <w:rPr>
                <w:b/>
                <w:bCs/>
                <w:color w:val="FFFFFF" w:themeColor="background1"/>
                <w:sz w:val="20"/>
                <w:szCs w:val="20"/>
              </w:rPr>
              <w:t>12-15 years</w:t>
            </w:r>
          </w:p>
        </w:tc>
        <w:tc>
          <w:tcPr>
            <w:tcW w:w="2729" w:type="dxa"/>
            <w:gridSpan w:val="2"/>
            <w:shd w:val="clear" w:color="auto" w:fill="3665AE"/>
          </w:tcPr>
          <w:p w14:paraId="1EAFAA57" w14:textId="29B58A17" w:rsidR="00F8452C" w:rsidRPr="00A059FE" w:rsidRDefault="00F8452C" w:rsidP="00DD6905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 xml:space="preserve">16–55 years </w:t>
            </w:r>
          </w:p>
        </w:tc>
        <w:tc>
          <w:tcPr>
            <w:tcW w:w="2732" w:type="dxa"/>
            <w:gridSpan w:val="2"/>
            <w:shd w:val="clear" w:color="auto" w:fill="3665AE"/>
          </w:tcPr>
          <w:p w14:paraId="54268766" w14:textId="347F6175" w:rsidR="00F8452C" w:rsidRPr="00A059FE" w:rsidRDefault="00F8452C" w:rsidP="00DD6905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 xml:space="preserve">&gt;55 years </w:t>
            </w:r>
          </w:p>
        </w:tc>
      </w:tr>
      <w:tr w:rsidR="00F8452C" w:rsidRPr="00A059FE" w14:paraId="159C0F99" w14:textId="77777777" w:rsidTr="00F87F70">
        <w:tc>
          <w:tcPr>
            <w:tcW w:w="1649" w:type="dxa"/>
            <w:tcBorders>
              <w:bottom w:val="double" w:sz="12" w:space="0" w:color="auto"/>
            </w:tcBorders>
            <w:shd w:val="clear" w:color="auto" w:fill="3665AE"/>
          </w:tcPr>
          <w:p w14:paraId="5E13BF39" w14:textId="77777777" w:rsidR="00F8452C" w:rsidRPr="00A059FE" w:rsidRDefault="00F8452C" w:rsidP="00DD6905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094" w:type="dxa"/>
            <w:tcBorders>
              <w:bottom w:val="double" w:sz="12" w:space="0" w:color="auto"/>
            </w:tcBorders>
            <w:shd w:val="clear" w:color="auto" w:fill="3665AE"/>
          </w:tcPr>
          <w:p w14:paraId="1359285C" w14:textId="1DF916A4" w:rsidR="00F8452C" w:rsidRPr="00DB42C3" w:rsidRDefault="00F8452C" w:rsidP="00DD6905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B42C3">
              <w:rPr>
                <w:b/>
                <w:bCs/>
                <w:color w:val="FFFFFF" w:themeColor="background1"/>
                <w:sz w:val="20"/>
                <w:szCs w:val="20"/>
              </w:rPr>
              <w:t xml:space="preserve">Dose 1 </w:t>
            </w:r>
          </w:p>
        </w:tc>
        <w:tc>
          <w:tcPr>
            <w:tcW w:w="1095" w:type="dxa"/>
            <w:tcBorders>
              <w:bottom w:val="double" w:sz="12" w:space="0" w:color="auto"/>
            </w:tcBorders>
            <w:shd w:val="clear" w:color="auto" w:fill="3665AE"/>
          </w:tcPr>
          <w:p w14:paraId="30B156DE" w14:textId="053A8269" w:rsidR="00F8452C" w:rsidRPr="00DB42C3" w:rsidRDefault="00F8452C" w:rsidP="00DD6905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B42C3">
              <w:rPr>
                <w:b/>
                <w:bCs/>
                <w:color w:val="FFFFFF" w:themeColor="background1"/>
                <w:sz w:val="20"/>
                <w:szCs w:val="20"/>
              </w:rPr>
              <w:t xml:space="preserve">Dose 2 </w:t>
            </w:r>
          </w:p>
        </w:tc>
        <w:tc>
          <w:tcPr>
            <w:tcW w:w="1364" w:type="dxa"/>
            <w:tcBorders>
              <w:bottom w:val="double" w:sz="12" w:space="0" w:color="auto"/>
            </w:tcBorders>
            <w:shd w:val="clear" w:color="auto" w:fill="3665AE"/>
          </w:tcPr>
          <w:p w14:paraId="369BE585" w14:textId="593711C3" w:rsidR="00F8452C" w:rsidRPr="00A059FE" w:rsidRDefault="00F8452C" w:rsidP="00DD6905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1</w:t>
            </w:r>
          </w:p>
        </w:tc>
        <w:tc>
          <w:tcPr>
            <w:tcW w:w="1365" w:type="dxa"/>
            <w:tcBorders>
              <w:bottom w:val="double" w:sz="12" w:space="0" w:color="auto"/>
            </w:tcBorders>
            <w:shd w:val="clear" w:color="auto" w:fill="3665AE"/>
          </w:tcPr>
          <w:p w14:paraId="15C0E3CE" w14:textId="77777777" w:rsidR="00F8452C" w:rsidRPr="00A059FE" w:rsidRDefault="00F8452C" w:rsidP="00DD6905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2</w:t>
            </w:r>
          </w:p>
        </w:tc>
        <w:tc>
          <w:tcPr>
            <w:tcW w:w="1366" w:type="dxa"/>
            <w:tcBorders>
              <w:bottom w:val="double" w:sz="12" w:space="0" w:color="auto"/>
            </w:tcBorders>
            <w:shd w:val="clear" w:color="auto" w:fill="3665AE"/>
          </w:tcPr>
          <w:p w14:paraId="23F00A10" w14:textId="77777777" w:rsidR="00F8452C" w:rsidRPr="00A059FE" w:rsidRDefault="00F8452C" w:rsidP="00DD6905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1</w:t>
            </w:r>
          </w:p>
        </w:tc>
        <w:tc>
          <w:tcPr>
            <w:tcW w:w="1366" w:type="dxa"/>
            <w:tcBorders>
              <w:bottom w:val="double" w:sz="12" w:space="0" w:color="auto"/>
            </w:tcBorders>
            <w:shd w:val="clear" w:color="auto" w:fill="3665AE"/>
          </w:tcPr>
          <w:p w14:paraId="4ABED271" w14:textId="77777777" w:rsidR="00F8452C" w:rsidRPr="00A059FE" w:rsidRDefault="00F8452C" w:rsidP="00DD6905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2</w:t>
            </w:r>
          </w:p>
        </w:tc>
      </w:tr>
      <w:tr w:rsidR="00F8452C" w:rsidRPr="00A059FE" w14:paraId="704D19B6" w14:textId="77777777" w:rsidTr="00F87F70">
        <w:tc>
          <w:tcPr>
            <w:tcW w:w="1649" w:type="dxa"/>
            <w:tcBorders>
              <w:top w:val="double" w:sz="12" w:space="0" w:color="auto"/>
              <w:bottom w:val="single" w:sz="24" w:space="0" w:color="auto"/>
            </w:tcBorders>
          </w:tcPr>
          <w:p w14:paraId="1F0F0C31" w14:textId="77777777" w:rsidR="00F8452C" w:rsidRPr="00A059FE" w:rsidRDefault="00F8452C" w:rsidP="00DD6905">
            <w:pPr>
              <w:rPr>
                <w:b/>
                <w:bCs/>
                <w:sz w:val="20"/>
                <w:szCs w:val="20"/>
              </w:rPr>
            </w:pPr>
            <w:r w:rsidRPr="00A059FE">
              <w:rPr>
                <w:b/>
                <w:bCs/>
                <w:sz w:val="20"/>
                <w:szCs w:val="20"/>
              </w:rPr>
              <w:t>Injection site pain</w:t>
            </w:r>
          </w:p>
        </w:tc>
        <w:tc>
          <w:tcPr>
            <w:tcW w:w="1094" w:type="dxa"/>
            <w:tcBorders>
              <w:top w:val="double" w:sz="12" w:space="0" w:color="auto"/>
              <w:bottom w:val="single" w:sz="24" w:space="0" w:color="auto"/>
            </w:tcBorders>
            <w:shd w:val="clear" w:color="auto" w:fill="auto"/>
          </w:tcPr>
          <w:p w14:paraId="04AB29B8" w14:textId="7599FC23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86%</w:t>
            </w:r>
          </w:p>
        </w:tc>
        <w:tc>
          <w:tcPr>
            <w:tcW w:w="1095" w:type="dxa"/>
            <w:tcBorders>
              <w:top w:val="double" w:sz="12" w:space="0" w:color="auto"/>
              <w:bottom w:val="single" w:sz="24" w:space="0" w:color="auto"/>
            </w:tcBorders>
            <w:shd w:val="clear" w:color="auto" w:fill="auto"/>
          </w:tcPr>
          <w:p w14:paraId="2484FF4B" w14:textId="25C8B04A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79%</w:t>
            </w:r>
          </w:p>
        </w:tc>
        <w:tc>
          <w:tcPr>
            <w:tcW w:w="1364" w:type="dxa"/>
            <w:tcBorders>
              <w:top w:val="double" w:sz="12" w:space="0" w:color="auto"/>
              <w:bottom w:val="single" w:sz="24" w:space="0" w:color="auto"/>
            </w:tcBorders>
          </w:tcPr>
          <w:p w14:paraId="1F5382B4" w14:textId="1E5E58E5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83%</w:t>
            </w:r>
          </w:p>
        </w:tc>
        <w:tc>
          <w:tcPr>
            <w:tcW w:w="1365" w:type="dxa"/>
            <w:tcBorders>
              <w:top w:val="double" w:sz="12" w:space="0" w:color="auto"/>
              <w:bottom w:val="single" w:sz="24" w:space="0" w:color="auto"/>
            </w:tcBorders>
          </w:tcPr>
          <w:p w14:paraId="61C9F121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78%</w:t>
            </w:r>
          </w:p>
        </w:tc>
        <w:tc>
          <w:tcPr>
            <w:tcW w:w="1366" w:type="dxa"/>
            <w:tcBorders>
              <w:top w:val="double" w:sz="12" w:space="0" w:color="auto"/>
              <w:bottom w:val="single" w:sz="24" w:space="0" w:color="auto"/>
            </w:tcBorders>
          </w:tcPr>
          <w:p w14:paraId="1B34729B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71%</w:t>
            </w:r>
          </w:p>
        </w:tc>
        <w:tc>
          <w:tcPr>
            <w:tcW w:w="1366" w:type="dxa"/>
            <w:tcBorders>
              <w:top w:val="double" w:sz="12" w:space="0" w:color="auto"/>
              <w:bottom w:val="single" w:sz="24" w:space="0" w:color="auto"/>
            </w:tcBorders>
          </w:tcPr>
          <w:p w14:paraId="461D6233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66%</w:t>
            </w:r>
          </w:p>
        </w:tc>
      </w:tr>
      <w:tr w:rsidR="00F8452C" w:rsidRPr="00A059FE" w14:paraId="7F752C13" w14:textId="77777777" w:rsidTr="00F87F70">
        <w:tc>
          <w:tcPr>
            <w:tcW w:w="1649" w:type="dxa"/>
            <w:tcBorders>
              <w:top w:val="single" w:sz="24" w:space="0" w:color="auto"/>
            </w:tcBorders>
          </w:tcPr>
          <w:p w14:paraId="58E05D7E" w14:textId="77777777" w:rsidR="00F8452C" w:rsidRPr="00A059FE" w:rsidRDefault="00F8452C" w:rsidP="00DD6905">
            <w:pPr>
              <w:rPr>
                <w:b/>
                <w:bCs/>
                <w:sz w:val="20"/>
                <w:szCs w:val="20"/>
              </w:rPr>
            </w:pPr>
            <w:r w:rsidRPr="00A059FE">
              <w:rPr>
                <w:b/>
                <w:bCs/>
                <w:sz w:val="20"/>
                <w:szCs w:val="20"/>
              </w:rPr>
              <w:t>Fever</w:t>
            </w:r>
          </w:p>
        </w:tc>
        <w:tc>
          <w:tcPr>
            <w:tcW w:w="1094" w:type="dxa"/>
            <w:tcBorders>
              <w:top w:val="single" w:sz="24" w:space="0" w:color="auto"/>
            </w:tcBorders>
            <w:shd w:val="clear" w:color="auto" w:fill="auto"/>
          </w:tcPr>
          <w:p w14:paraId="259458DF" w14:textId="64C9F03F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10%</w:t>
            </w:r>
          </w:p>
        </w:tc>
        <w:tc>
          <w:tcPr>
            <w:tcW w:w="1095" w:type="dxa"/>
            <w:tcBorders>
              <w:top w:val="single" w:sz="24" w:space="0" w:color="auto"/>
            </w:tcBorders>
            <w:shd w:val="clear" w:color="auto" w:fill="auto"/>
          </w:tcPr>
          <w:p w14:paraId="1EFEA850" w14:textId="5DB57F80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20%</w:t>
            </w:r>
          </w:p>
        </w:tc>
        <w:tc>
          <w:tcPr>
            <w:tcW w:w="1364" w:type="dxa"/>
            <w:tcBorders>
              <w:top w:val="single" w:sz="24" w:space="0" w:color="auto"/>
            </w:tcBorders>
          </w:tcPr>
          <w:p w14:paraId="326F86B6" w14:textId="1D429945" w:rsidR="00F8452C" w:rsidRPr="00A059FE" w:rsidRDefault="00F8452C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059FE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365" w:type="dxa"/>
            <w:tcBorders>
              <w:top w:val="single" w:sz="24" w:space="0" w:color="auto"/>
            </w:tcBorders>
          </w:tcPr>
          <w:p w14:paraId="7B8FC915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366" w:type="dxa"/>
            <w:tcBorders>
              <w:top w:val="single" w:sz="24" w:space="0" w:color="auto"/>
            </w:tcBorders>
          </w:tcPr>
          <w:p w14:paraId="56222A15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1%</w:t>
            </w:r>
          </w:p>
        </w:tc>
        <w:tc>
          <w:tcPr>
            <w:tcW w:w="1366" w:type="dxa"/>
            <w:tcBorders>
              <w:top w:val="single" w:sz="24" w:space="0" w:color="auto"/>
            </w:tcBorders>
          </w:tcPr>
          <w:p w14:paraId="77B5406A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059FE">
              <w:rPr>
                <w:sz w:val="20"/>
                <w:szCs w:val="20"/>
              </w:rPr>
              <w:t>%</w:t>
            </w:r>
          </w:p>
        </w:tc>
      </w:tr>
      <w:tr w:rsidR="00F8452C" w:rsidRPr="00A059FE" w14:paraId="7AC7F6B1" w14:textId="77777777" w:rsidTr="00F87F70">
        <w:tc>
          <w:tcPr>
            <w:tcW w:w="1649" w:type="dxa"/>
          </w:tcPr>
          <w:p w14:paraId="4D28C19F" w14:textId="77777777" w:rsidR="00F8452C" w:rsidRPr="00A059FE" w:rsidRDefault="00F8452C" w:rsidP="00DD6905">
            <w:pPr>
              <w:rPr>
                <w:b/>
                <w:bCs/>
                <w:sz w:val="20"/>
                <w:szCs w:val="20"/>
              </w:rPr>
            </w:pPr>
            <w:r w:rsidRPr="00A059FE">
              <w:rPr>
                <w:b/>
                <w:bCs/>
                <w:sz w:val="20"/>
                <w:szCs w:val="20"/>
              </w:rPr>
              <w:t xml:space="preserve">Fatigue </w:t>
            </w:r>
          </w:p>
        </w:tc>
        <w:tc>
          <w:tcPr>
            <w:tcW w:w="1094" w:type="dxa"/>
            <w:shd w:val="clear" w:color="auto" w:fill="auto"/>
          </w:tcPr>
          <w:p w14:paraId="041CCACE" w14:textId="02787909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60%</w:t>
            </w:r>
          </w:p>
        </w:tc>
        <w:tc>
          <w:tcPr>
            <w:tcW w:w="1095" w:type="dxa"/>
            <w:shd w:val="clear" w:color="auto" w:fill="auto"/>
          </w:tcPr>
          <w:p w14:paraId="4D6CD538" w14:textId="4D7E7205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66%</w:t>
            </w:r>
          </w:p>
        </w:tc>
        <w:tc>
          <w:tcPr>
            <w:tcW w:w="1364" w:type="dxa"/>
          </w:tcPr>
          <w:p w14:paraId="2F98E02E" w14:textId="2A8BBA0A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47%</w:t>
            </w:r>
          </w:p>
        </w:tc>
        <w:tc>
          <w:tcPr>
            <w:tcW w:w="1365" w:type="dxa"/>
          </w:tcPr>
          <w:p w14:paraId="16DD2260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59%</w:t>
            </w:r>
          </w:p>
        </w:tc>
        <w:tc>
          <w:tcPr>
            <w:tcW w:w="1366" w:type="dxa"/>
          </w:tcPr>
          <w:p w14:paraId="3C7C724D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366" w:type="dxa"/>
          </w:tcPr>
          <w:p w14:paraId="0D39BB02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Pr="00A059FE">
              <w:rPr>
                <w:sz w:val="20"/>
                <w:szCs w:val="20"/>
              </w:rPr>
              <w:t>%</w:t>
            </w:r>
          </w:p>
        </w:tc>
      </w:tr>
      <w:tr w:rsidR="00F8452C" w:rsidRPr="00A059FE" w14:paraId="73146281" w14:textId="77777777" w:rsidTr="00F87F70">
        <w:tc>
          <w:tcPr>
            <w:tcW w:w="1649" w:type="dxa"/>
            <w:tcBorders>
              <w:bottom w:val="single" w:sz="24" w:space="0" w:color="auto"/>
            </w:tcBorders>
          </w:tcPr>
          <w:p w14:paraId="644FE2A1" w14:textId="77777777" w:rsidR="00F8452C" w:rsidRPr="00A059FE" w:rsidRDefault="00F8452C" w:rsidP="00DD6905">
            <w:pPr>
              <w:rPr>
                <w:b/>
                <w:bCs/>
                <w:sz w:val="20"/>
                <w:szCs w:val="20"/>
              </w:rPr>
            </w:pPr>
            <w:r w:rsidRPr="00A059FE">
              <w:rPr>
                <w:b/>
                <w:bCs/>
                <w:sz w:val="20"/>
                <w:szCs w:val="20"/>
              </w:rPr>
              <w:t xml:space="preserve">Headache </w:t>
            </w:r>
          </w:p>
        </w:tc>
        <w:tc>
          <w:tcPr>
            <w:tcW w:w="1094" w:type="dxa"/>
            <w:tcBorders>
              <w:bottom w:val="single" w:sz="24" w:space="0" w:color="auto"/>
            </w:tcBorders>
            <w:shd w:val="clear" w:color="auto" w:fill="auto"/>
          </w:tcPr>
          <w:p w14:paraId="505AEBFB" w14:textId="6E409ED3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55%</w:t>
            </w:r>
          </w:p>
        </w:tc>
        <w:tc>
          <w:tcPr>
            <w:tcW w:w="1095" w:type="dxa"/>
            <w:tcBorders>
              <w:bottom w:val="single" w:sz="24" w:space="0" w:color="auto"/>
            </w:tcBorders>
            <w:shd w:val="clear" w:color="auto" w:fill="auto"/>
          </w:tcPr>
          <w:p w14:paraId="26C7EA5A" w14:textId="28BFA5E2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65%</w:t>
            </w:r>
          </w:p>
        </w:tc>
        <w:tc>
          <w:tcPr>
            <w:tcW w:w="1364" w:type="dxa"/>
            <w:tcBorders>
              <w:bottom w:val="single" w:sz="24" w:space="0" w:color="auto"/>
            </w:tcBorders>
          </w:tcPr>
          <w:p w14:paraId="67B61DEB" w14:textId="633C9909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365" w:type="dxa"/>
            <w:tcBorders>
              <w:bottom w:val="single" w:sz="24" w:space="0" w:color="auto"/>
            </w:tcBorders>
          </w:tcPr>
          <w:p w14:paraId="50A69BA2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366" w:type="dxa"/>
            <w:tcBorders>
              <w:bottom w:val="single" w:sz="24" w:space="0" w:color="auto"/>
            </w:tcBorders>
          </w:tcPr>
          <w:p w14:paraId="22AD78D5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25%</w:t>
            </w:r>
          </w:p>
        </w:tc>
        <w:tc>
          <w:tcPr>
            <w:tcW w:w="1366" w:type="dxa"/>
            <w:tcBorders>
              <w:bottom w:val="single" w:sz="24" w:space="0" w:color="auto"/>
            </w:tcBorders>
          </w:tcPr>
          <w:p w14:paraId="74015B31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39%</w:t>
            </w:r>
          </w:p>
        </w:tc>
      </w:tr>
      <w:tr w:rsidR="00F8452C" w:rsidRPr="00A059FE" w14:paraId="457D488E" w14:textId="77777777" w:rsidTr="00F87F70">
        <w:tc>
          <w:tcPr>
            <w:tcW w:w="1649" w:type="dxa"/>
            <w:tcBorders>
              <w:top w:val="single" w:sz="24" w:space="0" w:color="auto"/>
              <w:bottom w:val="single" w:sz="24" w:space="0" w:color="auto"/>
            </w:tcBorders>
          </w:tcPr>
          <w:p w14:paraId="7013EADE" w14:textId="77777777" w:rsidR="00F8452C" w:rsidRPr="00A059FE" w:rsidRDefault="00F8452C" w:rsidP="00DD6905">
            <w:pPr>
              <w:rPr>
                <w:b/>
                <w:bCs/>
                <w:sz w:val="20"/>
                <w:szCs w:val="20"/>
              </w:rPr>
            </w:pPr>
            <w:r w:rsidRPr="00A059FE">
              <w:rPr>
                <w:b/>
                <w:bCs/>
                <w:sz w:val="20"/>
                <w:szCs w:val="20"/>
              </w:rPr>
              <w:t>Chills</w:t>
            </w:r>
          </w:p>
        </w:tc>
        <w:tc>
          <w:tcPr>
            <w:tcW w:w="10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434F987" w14:textId="1780E4FE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28%</w:t>
            </w:r>
          </w:p>
        </w:tc>
        <w:tc>
          <w:tcPr>
            <w:tcW w:w="109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C045EE3" w14:textId="39B7BD03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42%</w:t>
            </w:r>
          </w:p>
        </w:tc>
        <w:tc>
          <w:tcPr>
            <w:tcW w:w="1364" w:type="dxa"/>
            <w:tcBorders>
              <w:top w:val="single" w:sz="24" w:space="0" w:color="auto"/>
              <w:bottom w:val="single" w:sz="24" w:space="0" w:color="auto"/>
            </w:tcBorders>
          </w:tcPr>
          <w:p w14:paraId="4726382A" w14:textId="5E7650BE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14%</w:t>
            </w:r>
          </w:p>
        </w:tc>
        <w:tc>
          <w:tcPr>
            <w:tcW w:w="1365" w:type="dxa"/>
            <w:tcBorders>
              <w:top w:val="single" w:sz="24" w:space="0" w:color="auto"/>
              <w:bottom w:val="single" w:sz="24" w:space="0" w:color="auto"/>
            </w:tcBorders>
          </w:tcPr>
          <w:p w14:paraId="2045844B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35%</w:t>
            </w:r>
          </w:p>
        </w:tc>
        <w:tc>
          <w:tcPr>
            <w:tcW w:w="1366" w:type="dxa"/>
            <w:tcBorders>
              <w:top w:val="single" w:sz="24" w:space="0" w:color="auto"/>
              <w:bottom w:val="single" w:sz="24" w:space="0" w:color="auto"/>
            </w:tcBorders>
          </w:tcPr>
          <w:p w14:paraId="25F0ED57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6%</w:t>
            </w:r>
          </w:p>
        </w:tc>
        <w:tc>
          <w:tcPr>
            <w:tcW w:w="1366" w:type="dxa"/>
            <w:tcBorders>
              <w:top w:val="single" w:sz="24" w:space="0" w:color="auto"/>
              <w:bottom w:val="single" w:sz="24" w:space="0" w:color="auto"/>
            </w:tcBorders>
          </w:tcPr>
          <w:p w14:paraId="26CDF002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A059FE">
              <w:rPr>
                <w:sz w:val="20"/>
                <w:szCs w:val="20"/>
              </w:rPr>
              <w:t>%</w:t>
            </w:r>
          </w:p>
        </w:tc>
      </w:tr>
      <w:tr w:rsidR="00F8452C" w:rsidRPr="00A059FE" w14:paraId="6F2B8FED" w14:textId="77777777" w:rsidTr="00F87F70">
        <w:tc>
          <w:tcPr>
            <w:tcW w:w="1649" w:type="dxa"/>
            <w:tcBorders>
              <w:top w:val="single" w:sz="24" w:space="0" w:color="auto"/>
              <w:bottom w:val="single" w:sz="24" w:space="0" w:color="auto"/>
            </w:tcBorders>
          </w:tcPr>
          <w:p w14:paraId="72554287" w14:textId="77777777" w:rsidR="00F8452C" w:rsidRPr="00A059FE" w:rsidRDefault="00F8452C" w:rsidP="00DD6905">
            <w:pPr>
              <w:rPr>
                <w:b/>
                <w:bCs/>
                <w:sz w:val="20"/>
                <w:szCs w:val="20"/>
              </w:rPr>
            </w:pPr>
            <w:r w:rsidRPr="00A059FE">
              <w:rPr>
                <w:b/>
                <w:bCs/>
                <w:sz w:val="20"/>
                <w:szCs w:val="20"/>
              </w:rPr>
              <w:t>Muscle pain</w:t>
            </w:r>
          </w:p>
        </w:tc>
        <w:tc>
          <w:tcPr>
            <w:tcW w:w="10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86B88EE" w14:textId="61DC5992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24%</w:t>
            </w:r>
          </w:p>
        </w:tc>
        <w:tc>
          <w:tcPr>
            <w:tcW w:w="109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31926944" w14:textId="3605FEA1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32%</w:t>
            </w:r>
          </w:p>
        </w:tc>
        <w:tc>
          <w:tcPr>
            <w:tcW w:w="1364" w:type="dxa"/>
            <w:tcBorders>
              <w:top w:val="single" w:sz="24" w:space="0" w:color="auto"/>
              <w:bottom w:val="single" w:sz="24" w:space="0" w:color="auto"/>
            </w:tcBorders>
          </w:tcPr>
          <w:p w14:paraId="4BE6382B" w14:textId="4EB930D0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21%</w:t>
            </w:r>
          </w:p>
        </w:tc>
        <w:tc>
          <w:tcPr>
            <w:tcW w:w="1365" w:type="dxa"/>
            <w:tcBorders>
              <w:top w:val="single" w:sz="24" w:space="0" w:color="auto"/>
              <w:bottom w:val="single" w:sz="24" w:space="0" w:color="auto"/>
            </w:tcBorders>
          </w:tcPr>
          <w:p w14:paraId="5A059EAA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37%</w:t>
            </w:r>
          </w:p>
        </w:tc>
        <w:tc>
          <w:tcPr>
            <w:tcW w:w="1366" w:type="dxa"/>
            <w:tcBorders>
              <w:top w:val="single" w:sz="24" w:space="0" w:color="auto"/>
              <w:bottom w:val="single" w:sz="24" w:space="0" w:color="auto"/>
            </w:tcBorders>
          </w:tcPr>
          <w:p w14:paraId="24A4BFD1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366" w:type="dxa"/>
            <w:tcBorders>
              <w:top w:val="single" w:sz="24" w:space="0" w:color="auto"/>
              <w:bottom w:val="single" w:sz="24" w:space="0" w:color="auto"/>
            </w:tcBorders>
          </w:tcPr>
          <w:p w14:paraId="5F5F8985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28%</w:t>
            </w:r>
          </w:p>
        </w:tc>
      </w:tr>
      <w:tr w:rsidR="00F8452C" w:rsidRPr="00A059FE" w14:paraId="73793E70" w14:textId="77777777" w:rsidTr="00F87F70">
        <w:tc>
          <w:tcPr>
            <w:tcW w:w="1649" w:type="dxa"/>
            <w:tcBorders>
              <w:top w:val="single" w:sz="24" w:space="0" w:color="auto"/>
              <w:bottom w:val="single" w:sz="24" w:space="0" w:color="auto"/>
            </w:tcBorders>
          </w:tcPr>
          <w:p w14:paraId="753D646A" w14:textId="77777777" w:rsidR="00F8452C" w:rsidRPr="00A059FE" w:rsidRDefault="00F8452C" w:rsidP="00DD6905">
            <w:pPr>
              <w:rPr>
                <w:b/>
                <w:bCs/>
                <w:sz w:val="20"/>
                <w:szCs w:val="20"/>
              </w:rPr>
            </w:pPr>
            <w:r w:rsidRPr="00A059FE">
              <w:rPr>
                <w:b/>
                <w:bCs/>
                <w:sz w:val="20"/>
                <w:szCs w:val="20"/>
              </w:rPr>
              <w:t>Joint pain</w:t>
            </w:r>
          </w:p>
        </w:tc>
        <w:tc>
          <w:tcPr>
            <w:tcW w:w="10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389EA34" w14:textId="2384473E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10%</w:t>
            </w:r>
          </w:p>
        </w:tc>
        <w:tc>
          <w:tcPr>
            <w:tcW w:w="109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34C9C375" w14:textId="40979EF3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16%</w:t>
            </w:r>
          </w:p>
        </w:tc>
        <w:tc>
          <w:tcPr>
            <w:tcW w:w="1364" w:type="dxa"/>
            <w:tcBorders>
              <w:top w:val="single" w:sz="24" w:space="0" w:color="auto"/>
              <w:bottom w:val="single" w:sz="24" w:space="0" w:color="auto"/>
            </w:tcBorders>
          </w:tcPr>
          <w:p w14:paraId="4F42374F" w14:textId="58DD170A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11%</w:t>
            </w:r>
          </w:p>
        </w:tc>
        <w:tc>
          <w:tcPr>
            <w:tcW w:w="1365" w:type="dxa"/>
            <w:tcBorders>
              <w:top w:val="single" w:sz="24" w:space="0" w:color="auto"/>
              <w:bottom w:val="single" w:sz="24" w:space="0" w:color="auto"/>
            </w:tcBorders>
          </w:tcPr>
          <w:p w14:paraId="3A50B4D4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366" w:type="dxa"/>
            <w:tcBorders>
              <w:top w:val="single" w:sz="24" w:space="0" w:color="auto"/>
              <w:bottom w:val="single" w:sz="24" w:space="0" w:color="auto"/>
            </w:tcBorders>
          </w:tcPr>
          <w:p w14:paraId="45360EC5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366" w:type="dxa"/>
            <w:tcBorders>
              <w:top w:val="single" w:sz="24" w:space="0" w:color="auto"/>
              <w:bottom w:val="single" w:sz="24" w:space="0" w:color="auto"/>
            </w:tcBorders>
          </w:tcPr>
          <w:p w14:paraId="45E168AB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19%</w:t>
            </w:r>
          </w:p>
        </w:tc>
      </w:tr>
      <w:tr w:rsidR="00F8452C" w:rsidRPr="00A059FE" w14:paraId="32E1E961" w14:textId="77777777" w:rsidTr="00F87F70">
        <w:tc>
          <w:tcPr>
            <w:tcW w:w="1649" w:type="dxa"/>
            <w:tcBorders>
              <w:top w:val="single" w:sz="24" w:space="0" w:color="auto"/>
            </w:tcBorders>
          </w:tcPr>
          <w:p w14:paraId="0D5D321F" w14:textId="77777777" w:rsidR="00F8452C" w:rsidRPr="00A059FE" w:rsidRDefault="00F8452C" w:rsidP="00DD6905">
            <w:pPr>
              <w:rPr>
                <w:b/>
                <w:bCs/>
                <w:sz w:val="20"/>
                <w:szCs w:val="20"/>
              </w:rPr>
            </w:pPr>
            <w:r w:rsidRPr="00A059FE">
              <w:rPr>
                <w:b/>
                <w:bCs/>
                <w:sz w:val="20"/>
                <w:szCs w:val="20"/>
              </w:rPr>
              <w:t>Required paracetamol</w:t>
            </w:r>
          </w:p>
        </w:tc>
        <w:tc>
          <w:tcPr>
            <w:tcW w:w="1094" w:type="dxa"/>
            <w:tcBorders>
              <w:top w:val="single" w:sz="24" w:space="0" w:color="auto"/>
            </w:tcBorders>
            <w:shd w:val="clear" w:color="auto" w:fill="auto"/>
          </w:tcPr>
          <w:p w14:paraId="2CE8D095" w14:textId="631DBD73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37%</w:t>
            </w:r>
          </w:p>
        </w:tc>
        <w:tc>
          <w:tcPr>
            <w:tcW w:w="1095" w:type="dxa"/>
            <w:tcBorders>
              <w:top w:val="single" w:sz="24" w:space="0" w:color="auto"/>
            </w:tcBorders>
            <w:shd w:val="clear" w:color="auto" w:fill="auto"/>
          </w:tcPr>
          <w:p w14:paraId="5CBA4F02" w14:textId="3E1014B3" w:rsidR="00F8452C" w:rsidRPr="00DB42C3" w:rsidRDefault="00F8452C" w:rsidP="00DD6905">
            <w:pPr>
              <w:rPr>
                <w:sz w:val="20"/>
                <w:szCs w:val="20"/>
              </w:rPr>
            </w:pPr>
            <w:r w:rsidRPr="00DB42C3">
              <w:rPr>
                <w:sz w:val="20"/>
                <w:szCs w:val="20"/>
              </w:rPr>
              <w:t>51%</w:t>
            </w:r>
          </w:p>
        </w:tc>
        <w:tc>
          <w:tcPr>
            <w:tcW w:w="1364" w:type="dxa"/>
            <w:tcBorders>
              <w:top w:val="single" w:sz="24" w:space="0" w:color="auto"/>
            </w:tcBorders>
          </w:tcPr>
          <w:p w14:paraId="4B58843C" w14:textId="3B5C3DC4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28%</w:t>
            </w:r>
          </w:p>
        </w:tc>
        <w:tc>
          <w:tcPr>
            <w:tcW w:w="1365" w:type="dxa"/>
            <w:tcBorders>
              <w:top w:val="single" w:sz="24" w:space="0" w:color="auto"/>
            </w:tcBorders>
          </w:tcPr>
          <w:p w14:paraId="1DD5DBBF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45%</w:t>
            </w:r>
          </w:p>
        </w:tc>
        <w:tc>
          <w:tcPr>
            <w:tcW w:w="1366" w:type="dxa"/>
            <w:tcBorders>
              <w:top w:val="single" w:sz="24" w:space="0" w:color="auto"/>
            </w:tcBorders>
          </w:tcPr>
          <w:p w14:paraId="305C0215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366" w:type="dxa"/>
            <w:tcBorders>
              <w:top w:val="single" w:sz="24" w:space="0" w:color="auto"/>
            </w:tcBorders>
          </w:tcPr>
          <w:p w14:paraId="54C8B559" w14:textId="77777777" w:rsidR="00F8452C" w:rsidRPr="00A059FE" w:rsidRDefault="00F8452C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A059FE">
              <w:rPr>
                <w:sz w:val="20"/>
                <w:szCs w:val="20"/>
              </w:rPr>
              <w:t>%</w:t>
            </w:r>
          </w:p>
        </w:tc>
      </w:tr>
    </w:tbl>
    <w:p w14:paraId="17815FCB" w14:textId="5CD09E26" w:rsidR="003A2A0B" w:rsidRPr="005F2D24" w:rsidRDefault="003A2A0B" w:rsidP="00126B1C">
      <w:pPr>
        <w:pStyle w:val="Heading3"/>
        <w:pageBreakBefore/>
      </w:pPr>
      <w:r>
        <w:lastRenderedPageBreak/>
        <w:t xml:space="preserve">Frequency of select common adverse events reported within 7 days following at least one dose of COVID-19 Vaccine AstraZeneca in phase II/III trial aged </w:t>
      </w:r>
      <w:r w:rsidR="00B242F6">
        <w:t>18 years and older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be read left to right and top to bottom. Frequency of select common adverse events reported within 7 days following at least one dose of COVID-19 Vaccine AstraZeneca in phase II/III trial aged &gt;18 years of age"/>
      </w:tblPr>
      <w:tblGrid>
        <w:gridCol w:w="1544"/>
        <w:gridCol w:w="1253"/>
        <w:gridCol w:w="1253"/>
        <w:gridCol w:w="1253"/>
        <w:gridCol w:w="1253"/>
        <w:gridCol w:w="1253"/>
        <w:gridCol w:w="1253"/>
      </w:tblGrid>
      <w:tr w:rsidR="003A2A0B" w:rsidRPr="00A059FE" w14:paraId="63874A03" w14:textId="77777777" w:rsidTr="00613E3C">
        <w:trPr>
          <w:tblHeader/>
        </w:trPr>
        <w:tc>
          <w:tcPr>
            <w:tcW w:w="1544" w:type="dxa"/>
            <w:shd w:val="clear" w:color="auto" w:fill="3665AE"/>
          </w:tcPr>
          <w:p w14:paraId="5944BC5F" w14:textId="77777777" w:rsidR="003A2A0B" w:rsidRPr="00A059FE" w:rsidRDefault="003A2A0B" w:rsidP="00DD6905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506" w:type="dxa"/>
            <w:gridSpan w:val="2"/>
            <w:shd w:val="clear" w:color="auto" w:fill="3665AE"/>
          </w:tcPr>
          <w:p w14:paraId="3CFB693F" w14:textId="77777777" w:rsidR="003A2A0B" w:rsidRPr="000D49B5" w:rsidRDefault="003A2A0B" w:rsidP="00DD6905">
            <w:pPr>
              <w:rPr>
                <w:b/>
                <w:bCs/>
                <w:color w:val="FFFFFF" w:themeColor="background1"/>
              </w:rPr>
            </w:pPr>
            <w:r w:rsidRPr="000D49B5">
              <w:rPr>
                <w:b/>
                <w:bCs/>
                <w:color w:val="FFFFFF" w:themeColor="background1"/>
              </w:rPr>
              <w:t>1</w:t>
            </w:r>
            <w:r>
              <w:rPr>
                <w:b/>
                <w:bCs/>
                <w:color w:val="FFFFFF" w:themeColor="background1"/>
              </w:rPr>
              <w:t>8</w:t>
            </w:r>
            <w:r w:rsidRPr="000D49B5">
              <w:rPr>
                <w:b/>
                <w:bCs/>
                <w:color w:val="FFFFFF" w:themeColor="background1"/>
              </w:rPr>
              <w:t xml:space="preserve">–55 years </w:t>
            </w:r>
          </w:p>
        </w:tc>
        <w:tc>
          <w:tcPr>
            <w:tcW w:w="2506" w:type="dxa"/>
            <w:gridSpan w:val="2"/>
            <w:shd w:val="clear" w:color="auto" w:fill="3665AE"/>
          </w:tcPr>
          <w:p w14:paraId="14015C79" w14:textId="77777777" w:rsidR="003A2A0B" w:rsidRPr="000D49B5" w:rsidRDefault="003A2A0B" w:rsidP="00DD6905">
            <w:pPr>
              <w:rPr>
                <w:b/>
                <w:bCs/>
                <w:color w:val="FFFFFF" w:themeColor="background1"/>
              </w:rPr>
            </w:pPr>
            <w:r w:rsidRPr="008A4792">
              <w:rPr>
                <w:b/>
                <w:bCs/>
                <w:color w:val="FFFFFF" w:themeColor="background1"/>
              </w:rPr>
              <w:t>56</w:t>
            </w:r>
            <w:r>
              <w:rPr>
                <w:b/>
                <w:bCs/>
                <w:color w:val="FFFFFF" w:themeColor="background1"/>
              </w:rPr>
              <w:t>–</w:t>
            </w:r>
            <w:r w:rsidRPr="008A4792">
              <w:rPr>
                <w:b/>
                <w:bCs/>
                <w:color w:val="FFFFFF" w:themeColor="background1"/>
              </w:rPr>
              <w:t>69 years</w:t>
            </w:r>
          </w:p>
        </w:tc>
        <w:tc>
          <w:tcPr>
            <w:tcW w:w="2506" w:type="dxa"/>
            <w:gridSpan w:val="2"/>
            <w:shd w:val="clear" w:color="auto" w:fill="3665AE"/>
          </w:tcPr>
          <w:p w14:paraId="1345457B" w14:textId="77777777" w:rsidR="003A2A0B" w:rsidRPr="008A4792" w:rsidRDefault="003A2A0B" w:rsidP="00DD6905">
            <w:pPr>
              <w:rPr>
                <w:b/>
                <w:bCs/>
                <w:color w:val="FFFFFF" w:themeColor="background1"/>
              </w:rPr>
            </w:pPr>
            <w:r w:rsidRPr="008A4792">
              <w:rPr>
                <w:b/>
                <w:bCs/>
                <w:color w:val="FFFFFF" w:themeColor="background1"/>
              </w:rPr>
              <w:t>≥70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8A4792">
              <w:rPr>
                <w:b/>
                <w:bCs/>
                <w:color w:val="FFFFFF" w:themeColor="background1"/>
              </w:rPr>
              <w:t>years</w:t>
            </w:r>
          </w:p>
        </w:tc>
      </w:tr>
      <w:tr w:rsidR="003A2A0B" w:rsidRPr="00A059FE" w14:paraId="4E71BB70" w14:textId="77777777" w:rsidTr="00DD6905">
        <w:tc>
          <w:tcPr>
            <w:tcW w:w="1544" w:type="dxa"/>
            <w:tcBorders>
              <w:bottom w:val="thinThickSmallGap" w:sz="24" w:space="0" w:color="auto"/>
            </w:tcBorders>
            <w:shd w:val="clear" w:color="auto" w:fill="3665AE"/>
          </w:tcPr>
          <w:p w14:paraId="582F361F" w14:textId="77777777" w:rsidR="003A2A0B" w:rsidRPr="00A059FE" w:rsidRDefault="003A2A0B" w:rsidP="00DD6905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53" w:type="dxa"/>
            <w:tcBorders>
              <w:bottom w:val="thinThickSmallGap" w:sz="24" w:space="0" w:color="auto"/>
            </w:tcBorders>
            <w:shd w:val="clear" w:color="auto" w:fill="3665AE"/>
          </w:tcPr>
          <w:p w14:paraId="263C25B8" w14:textId="77777777" w:rsidR="003A2A0B" w:rsidRPr="00A059FE" w:rsidRDefault="003A2A0B" w:rsidP="00DD6905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1</w:t>
            </w:r>
          </w:p>
        </w:tc>
        <w:tc>
          <w:tcPr>
            <w:tcW w:w="1253" w:type="dxa"/>
            <w:tcBorders>
              <w:bottom w:val="thinThickSmallGap" w:sz="24" w:space="0" w:color="auto"/>
            </w:tcBorders>
            <w:shd w:val="clear" w:color="auto" w:fill="3665AE"/>
          </w:tcPr>
          <w:p w14:paraId="6C7FD13E" w14:textId="77777777" w:rsidR="003A2A0B" w:rsidRPr="00A059FE" w:rsidRDefault="003A2A0B" w:rsidP="00DD6905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2</w:t>
            </w:r>
          </w:p>
        </w:tc>
        <w:tc>
          <w:tcPr>
            <w:tcW w:w="1253" w:type="dxa"/>
            <w:tcBorders>
              <w:bottom w:val="thinThickSmallGap" w:sz="24" w:space="0" w:color="auto"/>
            </w:tcBorders>
            <w:shd w:val="clear" w:color="auto" w:fill="3665AE"/>
          </w:tcPr>
          <w:p w14:paraId="7E8B29B6" w14:textId="77777777" w:rsidR="003A2A0B" w:rsidRPr="00A059FE" w:rsidRDefault="003A2A0B" w:rsidP="00DD6905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1</w:t>
            </w:r>
          </w:p>
        </w:tc>
        <w:tc>
          <w:tcPr>
            <w:tcW w:w="1253" w:type="dxa"/>
            <w:tcBorders>
              <w:bottom w:val="thinThickSmallGap" w:sz="24" w:space="0" w:color="auto"/>
            </w:tcBorders>
            <w:shd w:val="clear" w:color="auto" w:fill="3665AE"/>
          </w:tcPr>
          <w:p w14:paraId="3BCC246D" w14:textId="77777777" w:rsidR="003A2A0B" w:rsidRPr="00A059FE" w:rsidRDefault="003A2A0B" w:rsidP="00DD6905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2</w:t>
            </w:r>
          </w:p>
        </w:tc>
        <w:tc>
          <w:tcPr>
            <w:tcW w:w="1253" w:type="dxa"/>
            <w:tcBorders>
              <w:bottom w:val="thinThickSmallGap" w:sz="24" w:space="0" w:color="auto"/>
            </w:tcBorders>
            <w:shd w:val="clear" w:color="auto" w:fill="3665AE"/>
          </w:tcPr>
          <w:p w14:paraId="219E4670" w14:textId="77777777" w:rsidR="003A2A0B" w:rsidRPr="008A4792" w:rsidRDefault="003A2A0B" w:rsidP="00DD6905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1</w:t>
            </w:r>
          </w:p>
        </w:tc>
        <w:tc>
          <w:tcPr>
            <w:tcW w:w="1253" w:type="dxa"/>
            <w:tcBorders>
              <w:bottom w:val="thinThickSmallGap" w:sz="24" w:space="0" w:color="auto"/>
            </w:tcBorders>
            <w:shd w:val="clear" w:color="auto" w:fill="3665AE"/>
          </w:tcPr>
          <w:p w14:paraId="5000EC30" w14:textId="77777777" w:rsidR="003A2A0B" w:rsidRPr="008A4792" w:rsidRDefault="003A2A0B" w:rsidP="00DD6905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2</w:t>
            </w:r>
          </w:p>
        </w:tc>
      </w:tr>
      <w:tr w:rsidR="003A2A0B" w:rsidRPr="00A059FE" w14:paraId="6A1D464B" w14:textId="77777777" w:rsidTr="00DD6905">
        <w:tc>
          <w:tcPr>
            <w:tcW w:w="1544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7C3094E5" w14:textId="77777777" w:rsidR="003A2A0B" w:rsidRPr="00A059FE" w:rsidRDefault="003A2A0B" w:rsidP="00DD69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Injection site pain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6ECD13E5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4C811806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0F83844F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43779447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5D804FDE" w14:textId="77777777" w:rsidR="003A2A0B" w:rsidRPr="00A059FE" w:rsidRDefault="003A2A0B" w:rsidP="00DD6905">
            <w:r>
              <w:t>20%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1E84DCF4" w14:textId="77777777" w:rsidR="003A2A0B" w:rsidRPr="00A059FE" w:rsidRDefault="003A2A0B" w:rsidP="00DD6905">
            <w:r>
              <w:t>10%</w:t>
            </w:r>
          </w:p>
        </w:tc>
      </w:tr>
      <w:tr w:rsidR="003A2A0B" w:rsidRPr="00A059FE" w14:paraId="4B78924C" w14:textId="77777777" w:rsidTr="00DD6905">
        <w:tc>
          <w:tcPr>
            <w:tcW w:w="1544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001E9A4B" w14:textId="77777777" w:rsidR="003A2A0B" w:rsidRDefault="003A2A0B" w:rsidP="00DD6905">
            <w:pPr>
              <w:rPr>
                <w:b/>
                <w:bCs/>
              </w:rPr>
            </w:pPr>
            <w:r w:rsidRPr="00DB42C3">
              <w:rPr>
                <w:b/>
                <w:bCs/>
                <w:sz w:val="20"/>
                <w:szCs w:val="20"/>
              </w:rPr>
              <w:t>Injection site tenderness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3111EA11" w14:textId="77777777" w:rsidR="003A2A0B" w:rsidRDefault="003A2A0B" w:rsidP="00DD6905">
            <w:r>
              <w:t>76%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174D5836" w14:textId="77777777" w:rsidR="003A2A0B" w:rsidRDefault="003A2A0B" w:rsidP="00DD6905">
            <w:r>
              <w:t>61%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0D3DBCCD" w14:textId="77777777" w:rsidR="003A2A0B" w:rsidRDefault="003A2A0B" w:rsidP="00DD6905">
            <w:r>
              <w:t>67%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1480CC42" w14:textId="77777777" w:rsidR="003A2A0B" w:rsidRDefault="003A2A0B" w:rsidP="00DD6905">
            <w:r>
              <w:t>59%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2C28B3E7" w14:textId="77777777" w:rsidR="003A2A0B" w:rsidRDefault="003A2A0B" w:rsidP="00DD6905">
            <w:r>
              <w:t>49%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308A7A0A" w14:textId="77777777" w:rsidR="003A2A0B" w:rsidRDefault="003A2A0B" w:rsidP="00DD6905">
            <w:r>
              <w:t>47%</w:t>
            </w:r>
          </w:p>
        </w:tc>
      </w:tr>
      <w:tr w:rsidR="003A2A0B" w:rsidRPr="00A059FE" w14:paraId="48265A5C" w14:textId="77777777" w:rsidTr="00DD6905">
        <w:tc>
          <w:tcPr>
            <w:tcW w:w="1544" w:type="dxa"/>
          </w:tcPr>
          <w:p w14:paraId="6B913E14" w14:textId="77777777" w:rsidR="003A2A0B" w:rsidRPr="00A059FE" w:rsidRDefault="003A2A0B" w:rsidP="00DD6905">
            <w:pPr>
              <w:rPr>
                <w:b/>
                <w:bCs/>
                <w:sz w:val="20"/>
                <w:szCs w:val="20"/>
              </w:rPr>
            </w:pPr>
            <w:r w:rsidRPr="00A059FE">
              <w:rPr>
                <w:b/>
                <w:bCs/>
                <w:sz w:val="20"/>
                <w:szCs w:val="20"/>
              </w:rPr>
              <w:t xml:space="preserve">Fatigue </w:t>
            </w:r>
          </w:p>
        </w:tc>
        <w:tc>
          <w:tcPr>
            <w:tcW w:w="1253" w:type="dxa"/>
          </w:tcPr>
          <w:p w14:paraId="3E07889E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</w:tcPr>
          <w:p w14:paraId="4210D8E9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</w:tcPr>
          <w:p w14:paraId="1B5E2F60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253" w:type="dxa"/>
          </w:tcPr>
          <w:p w14:paraId="074C295B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41%</w:t>
            </w:r>
          </w:p>
        </w:tc>
        <w:tc>
          <w:tcPr>
            <w:tcW w:w="1253" w:type="dxa"/>
          </w:tcPr>
          <w:p w14:paraId="0FDB335F" w14:textId="77777777" w:rsidR="003A2A0B" w:rsidRPr="00A059FE" w:rsidRDefault="003A2A0B" w:rsidP="00DD6905">
            <w:r>
              <w:t>41%</w:t>
            </w:r>
          </w:p>
        </w:tc>
        <w:tc>
          <w:tcPr>
            <w:tcW w:w="1253" w:type="dxa"/>
          </w:tcPr>
          <w:p w14:paraId="674E7689" w14:textId="77777777" w:rsidR="003A2A0B" w:rsidRPr="00A059FE" w:rsidRDefault="003A2A0B" w:rsidP="00DD6905">
            <w:r>
              <w:t>33%</w:t>
            </w:r>
          </w:p>
        </w:tc>
      </w:tr>
      <w:tr w:rsidR="003A2A0B" w:rsidRPr="00A059FE" w14:paraId="1BB31559" w14:textId="77777777" w:rsidTr="00DD6905">
        <w:tc>
          <w:tcPr>
            <w:tcW w:w="1544" w:type="dxa"/>
            <w:tcBorders>
              <w:bottom w:val="single" w:sz="18" w:space="0" w:color="auto"/>
            </w:tcBorders>
          </w:tcPr>
          <w:p w14:paraId="0265472E" w14:textId="77777777" w:rsidR="003A2A0B" w:rsidRPr="00A059FE" w:rsidRDefault="003A2A0B" w:rsidP="00DD6905">
            <w:pPr>
              <w:rPr>
                <w:b/>
                <w:bCs/>
                <w:sz w:val="20"/>
                <w:szCs w:val="20"/>
              </w:rPr>
            </w:pPr>
            <w:r w:rsidRPr="00A059FE">
              <w:rPr>
                <w:b/>
                <w:bCs/>
                <w:sz w:val="20"/>
                <w:szCs w:val="20"/>
              </w:rPr>
              <w:t xml:space="preserve">Headache 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14:paraId="02685554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14:paraId="779E3209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14:paraId="0AF26ECA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14:paraId="11910065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14:paraId="02C8E156" w14:textId="77777777" w:rsidR="003A2A0B" w:rsidRPr="00A059FE" w:rsidRDefault="003A2A0B" w:rsidP="00DD6905">
            <w:r>
              <w:t>41%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14:paraId="6F794E05" w14:textId="77777777" w:rsidR="003A2A0B" w:rsidRPr="00A059FE" w:rsidRDefault="003A2A0B" w:rsidP="00DD6905">
            <w:r>
              <w:t>20%</w:t>
            </w:r>
          </w:p>
        </w:tc>
      </w:tr>
      <w:tr w:rsidR="003A2A0B" w:rsidRPr="00A059FE" w14:paraId="3135A513" w14:textId="77777777" w:rsidTr="00DD6905">
        <w:tc>
          <w:tcPr>
            <w:tcW w:w="1544" w:type="dxa"/>
            <w:tcBorders>
              <w:bottom w:val="single" w:sz="18" w:space="0" w:color="auto"/>
            </w:tcBorders>
          </w:tcPr>
          <w:p w14:paraId="4046C7BB" w14:textId="77777777" w:rsidR="003A2A0B" w:rsidRPr="00A059FE" w:rsidRDefault="003A2A0B" w:rsidP="00DD6905">
            <w:pPr>
              <w:rPr>
                <w:b/>
                <w:bCs/>
                <w:sz w:val="20"/>
                <w:szCs w:val="20"/>
              </w:rPr>
            </w:pPr>
            <w:r w:rsidRPr="00A059FE">
              <w:rPr>
                <w:b/>
                <w:bCs/>
                <w:sz w:val="20"/>
                <w:szCs w:val="20"/>
              </w:rPr>
              <w:t>Muscle pain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14:paraId="766926F3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14:paraId="3B082633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 w:rsidRPr="00A059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14:paraId="42AE37FC" w14:textId="77777777" w:rsidR="003A2A0B" w:rsidRPr="00A059FE" w:rsidRDefault="003A2A0B" w:rsidP="00DD6905">
            <w:pPr>
              <w:tabs>
                <w:tab w:val="left" w:pos="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14:paraId="30A6A700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14:paraId="0461666C" w14:textId="77777777" w:rsidR="003A2A0B" w:rsidRPr="00A059FE" w:rsidRDefault="003A2A0B" w:rsidP="00DD6905">
            <w:r>
              <w:t>18%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14:paraId="27A2F249" w14:textId="77777777" w:rsidR="003A2A0B" w:rsidRPr="00A059FE" w:rsidRDefault="003A2A0B" w:rsidP="00DD6905">
            <w:r>
              <w:t>18%</w:t>
            </w:r>
          </w:p>
        </w:tc>
      </w:tr>
      <w:tr w:rsidR="003A2A0B" w:rsidRPr="00A059FE" w14:paraId="55A06053" w14:textId="77777777" w:rsidTr="00DD6905">
        <w:tc>
          <w:tcPr>
            <w:tcW w:w="1544" w:type="dxa"/>
            <w:tcBorders>
              <w:top w:val="single" w:sz="18" w:space="0" w:color="auto"/>
            </w:tcBorders>
          </w:tcPr>
          <w:p w14:paraId="720A9979" w14:textId="77777777" w:rsidR="003A2A0B" w:rsidRPr="00A059FE" w:rsidRDefault="003A2A0B" w:rsidP="00DD69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Fever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14:paraId="1BAEB36A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14:paraId="1825B81C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14:paraId="7A14D266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14:paraId="0BD89728" w14:textId="77777777" w:rsidR="003A2A0B" w:rsidRPr="00A059FE" w:rsidRDefault="003A2A0B" w:rsidP="00DD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14:paraId="0F2B9600" w14:textId="77777777" w:rsidR="003A2A0B" w:rsidRPr="00A059FE" w:rsidRDefault="003A2A0B" w:rsidP="00DD6905">
            <w:r>
              <w:t>0%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14:paraId="162647E2" w14:textId="77777777" w:rsidR="003A2A0B" w:rsidRPr="008A4792" w:rsidRDefault="003A2A0B" w:rsidP="00DD6905">
            <w:pPr>
              <w:rPr>
                <w:highlight w:val="yellow"/>
              </w:rPr>
            </w:pPr>
            <w:r w:rsidRPr="0015517F">
              <w:t>0%</w:t>
            </w:r>
          </w:p>
        </w:tc>
      </w:tr>
    </w:tbl>
    <w:p w14:paraId="207E21A0" w14:textId="6DE42370" w:rsidR="00F8452C" w:rsidRPr="00DB42C3" w:rsidRDefault="00F8452C" w:rsidP="00126B1C">
      <w:pPr>
        <w:pStyle w:val="Heading3"/>
      </w:pPr>
      <w:r w:rsidRPr="00DB42C3">
        <w:t xml:space="preserve">Frequency of select common adverse events reported within 7 days following each dose of Spikevax </w:t>
      </w:r>
      <w:r w:rsidR="0070112C">
        <w:t xml:space="preserve">(Moderna) </w:t>
      </w:r>
      <w:r w:rsidRPr="00DB42C3">
        <w:t>in phase III trial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247"/>
        <w:gridCol w:w="1247"/>
        <w:gridCol w:w="1247"/>
        <w:gridCol w:w="1247"/>
        <w:gridCol w:w="1247"/>
        <w:gridCol w:w="1247"/>
      </w:tblGrid>
      <w:tr w:rsidR="00F8452C" w:rsidRPr="008A4792" w14:paraId="60EE0FF1" w14:textId="77777777" w:rsidTr="00DB42C3">
        <w:trPr>
          <w:tblHeader/>
        </w:trPr>
        <w:tc>
          <w:tcPr>
            <w:tcW w:w="1544" w:type="dxa"/>
            <w:shd w:val="clear" w:color="auto" w:fill="2F5496" w:themeFill="accent1" w:themeFillShade="BF"/>
          </w:tcPr>
          <w:p w14:paraId="623E900B" w14:textId="77777777" w:rsidR="00F8452C" w:rsidRPr="00A059FE" w:rsidRDefault="00F8452C" w:rsidP="00A449FA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506" w:type="dxa"/>
            <w:gridSpan w:val="2"/>
            <w:shd w:val="clear" w:color="auto" w:fill="2F5496" w:themeFill="accent1" w:themeFillShade="BF"/>
          </w:tcPr>
          <w:p w14:paraId="1528EF4F" w14:textId="394A7CAE" w:rsidR="00F8452C" w:rsidRPr="000D49B5" w:rsidRDefault="00F8452C" w:rsidP="00A449F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12-17</w:t>
            </w:r>
            <w:r w:rsidRPr="000D49B5">
              <w:rPr>
                <w:b/>
                <w:bCs/>
                <w:color w:val="FFFFFF" w:themeColor="background1"/>
              </w:rPr>
              <w:t xml:space="preserve"> years </w:t>
            </w:r>
          </w:p>
        </w:tc>
        <w:tc>
          <w:tcPr>
            <w:tcW w:w="2506" w:type="dxa"/>
            <w:gridSpan w:val="2"/>
            <w:shd w:val="clear" w:color="auto" w:fill="2F5496" w:themeFill="accent1" w:themeFillShade="BF"/>
          </w:tcPr>
          <w:p w14:paraId="5E716018" w14:textId="601466E9" w:rsidR="00F8452C" w:rsidRPr="000D49B5" w:rsidRDefault="00F8452C" w:rsidP="00A449F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18-64</w:t>
            </w:r>
            <w:r w:rsidRPr="008A4792">
              <w:rPr>
                <w:b/>
                <w:bCs/>
                <w:color w:val="FFFFFF" w:themeColor="background1"/>
              </w:rPr>
              <w:t xml:space="preserve"> years</w:t>
            </w:r>
          </w:p>
        </w:tc>
        <w:tc>
          <w:tcPr>
            <w:tcW w:w="2506" w:type="dxa"/>
            <w:gridSpan w:val="2"/>
            <w:shd w:val="clear" w:color="auto" w:fill="2F5496" w:themeFill="accent1" w:themeFillShade="BF"/>
          </w:tcPr>
          <w:p w14:paraId="3E8073FA" w14:textId="17CA334E" w:rsidR="00F8452C" w:rsidRPr="008A4792" w:rsidRDefault="00F8452C" w:rsidP="00A449FA">
            <w:pPr>
              <w:rPr>
                <w:b/>
                <w:bCs/>
                <w:color w:val="FFFFFF" w:themeColor="background1"/>
              </w:rPr>
            </w:pPr>
            <w:r w:rsidRPr="008A4792">
              <w:rPr>
                <w:b/>
                <w:bCs/>
                <w:color w:val="FFFFFF" w:themeColor="background1"/>
              </w:rPr>
              <w:t>≥</w:t>
            </w:r>
            <w:r>
              <w:rPr>
                <w:b/>
                <w:bCs/>
                <w:color w:val="FFFFFF" w:themeColor="background1"/>
              </w:rPr>
              <w:t xml:space="preserve">65 </w:t>
            </w:r>
            <w:r w:rsidRPr="008A4792">
              <w:rPr>
                <w:b/>
                <w:bCs/>
                <w:color w:val="FFFFFF" w:themeColor="background1"/>
              </w:rPr>
              <w:t>years</w:t>
            </w:r>
          </w:p>
        </w:tc>
      </w:tr>
      <w:tr w:rsidR="00F8452C" w:rsidRPr="008A4792" w14:paraId="2B1EC889" w14:textId="77777777" w:rsidTr="00DB42C3">
        <w:tc>
          <w:tcPr>
            <w:tcW w:w="1544" w:type="dxa"/>
            <w:tcBorders>
              <w:bottom w:val="thinThickSmallGap" w:sz="24" w:space="0" w:color="auto"/>
            </w:tcBorders>
            <w:shd w:val="clear" w:color="auto" w:fill="2F5496" w:themeFill="accent1" w:themeFillShade="BF"/>
          </w:tcPr>
          <w:p w14:paraId="27E66D64" w14:textId="77777777" w:rsidR="00F8452C" w:rsidRPr="00A059FE" w:rsidRDefault="00F8452C" w:rsidP="00A449FA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53" w:type="dxa"/>
            <w:tcBorders>
              <w:bottom w:val="thinThickSmallGap" w:sz="24" w:space="0" w:color="auto"/>
            </w:tcBorders>
            <w:shd w:val="clear" w:color="auto" w:fill="2F5496" w:themeFill="accent1" w:themeFillShade="BF"/>
          </w:tcPr>
          <w:p w14:paraId="4DFF4AD4" w14:textId="77777777" w:rsidR="00F8452C" w:rsidRPr="00A059FE" w:rsidRDefault="00F8452C" w:rsidP="00A449FA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1</w:t>
            </w:r>
          </w:p>
        </w:tc>
        <w:tc>
          <w:tcPr>
            <w:tcW w:w="1253" w:type="dxa"/>
            <w:tcBorders>
              <w:bottom w:val="thinThickSmallGap" w:sz="24" w:space="0" w:color="auto"/>
            </w:tcBorders>
            <w:shd w:val="clear" w:color="auto" w:fill="2F5496" w:themeFill="accent1" w:themeFillShade="BF"/>
          </w:tcPr>
          <w:p w14:paraId="55E67504" w14:textId="77777777" w:rsidR="00F8452C" w:rsidRPr="00DB42C3" w:rsidRDefault="00F8452C" w:rsidP="00A449FA">
            <w:pPr>
              <w:rPr>
                <w:b/>
                <w:bCs/>
              </w:rPr>
            </w:pPr>
            <w:r w:rsidRPr="00A059FE">
              <w:rPr>
                <w:b/>
                <w:bCs/>
                <w:color w:val="FFFFFF" w:themeColor="background1"/>
              </w:rPr>
              <w:t>Dose 2</w:t>
            </w:r>
          </w:p>
        </w:tc>
        <w:tc>
          <w:tcPr>
            <w:tcW w:w="1253" w:type="dxa"/>
            <w:tcBorders>
              <w:bottom w:val="thinThickSmallGap" w:sz="24" w:space="0" w:color="auto"/>
            </w:tcBorders>
            <w:shd w:val="clear" w:color="auto" w:fill="2F5496" w:themeFill="accent1" w:themeFillShade="BF"/>
          </w:tcPr>
          <w:p w14:paraId="0523F7AB" w14:textId="77777777" w:rsidR="00F8452C" w:rsidRPr="00A059FE" w:rsidRDefault="00F8452C" w:rsidP="00A449FA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1</w:t>
            </w:r>
          </w:p>
        </w:tc>
        <w:tc>
          <w:tcPr>
            <w:tcW w:w="1253" w:type="dxa"/>
            <w:tcBorders>
              <w:bottom w:val="thinThickSmallGap" w:sz="24" w:space="0" w:color="auto"/>
            </w:tcBorders>
            <w:shd w:val="clear" w:color="auto" w:fill="2F5496" w:themeFill="accent1" w:themeFillShade="BF"/>
          </w:tcPr>
          <w:p w14:paraId="4FE10D19" w14:textId="77777777" w:rsidR="00F8452C" w:rsidRPr="00A059FE" w:rsidRDefault="00F8452C" w:rsidP="00A449FA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2</w:t>
            </w:r>
          </w:p>
        </w:tc>
        <w:tc>
          <w:tcPr>
            <w:tcW w:w="1253" w:type="dxa"/>
            <w:tcBorders>
              <w:bottom w:val="thinThickSmallGap" w:sz="24" w:space="0" w:color="auto"/>
            </w:tcBorders>
            <w:shd w:val="clear" w:color="auto" w:fill="2F5496" w:themeFill="accent1" w:themeFillShade="BF"/>
          </w:tcPr>
          <w:p w14:paraId="07C057D8" w14:textId="77777777" w:rsidR="00F8452C" w:rsidRPr="008A4792" w:rsidRDefault="00F8452C" w:rsidP="00A449FA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1</w:t>
            </w:r>
          </w:p>
        </w:tc>
        <w:tc>
          <w:tcPr>
            <w:tcW w:w="1253" w:type="dxa"/>
            <w:tcBorders>
              <w:bottom w:val="thinThickSmallGap" w:sz="24" w:space="0" w:color="auto"/>
            </w:tcBorders>
            <w:shd w:val="clear" w:color="auto" w:fill="2F5496" w:themeFill="accent1" w:themeFillShade="BF"/>
          </w:tcPr>
          <w:p w14:paraId="78F6B230" w14:textId="77777777" w:rsidR="00F8452C" w:rsidRPr="008A4792" w:rsidRDefault="00F8452C" w:rsidP="00A449FA">
            <w:pPr>
              <w:rPr>
                <w:b/>
                <w:bCs/>
                <w:color w:val="FFFFFF" w:themeColor="background1"/>
              </w:rPr>
            </w:pPr>
            <w:r w:rsidRPr="00A059FE">
              <w:rPr>
                <w:b/>
                <w:bCs/>
                <w:color w:val="FFFFFF" w:themeColor="background1"/>
              </w:rPr>
              <w:t>Dose 2</w:t>
            </w:r>
          </w:p>
        </w:tc>
      </w:tr>
      <w:tr w:rsidR="00F8452C" w:rsidRPr="00A059FE" w14:paraId="0940601F" w14:textId="77777777" w:rsidTr="00DB42C3">
        <w:tc>
          <w:tcPr>
            <w:tcW w:w="1544" w:type="dxa"/>
            <w:tcBorders>
              <w:top w:val="thinThickSmallGap" w:sz="24" w:space="0" w:color="auto"/>
              <w:bottom w:val="single" w:sz="8" w:space="0" w:color="auto"/>
            </w:tcBorders>
            <w:shd w:val="clear" w:color="auto" w:fill="auto"/>
          </w:tcPr>
          <w:p w14:paraId="56FFF53A" w14:textId="77777777" w:rsidR="00F8452C" w:rsidRPr="00DB42C3" w:rsidRDefault="00F8452C" w:rsidP="00A449FA">
            <w:pPr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Injection site pain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8" w:space="0" w:color="auto"/>
            </w:tcBorders>
            <w:shd w:val="clear" w:color="auto" w:fill="auto"/>
          </w:tcPr>
          <w:p w14:paraId="346F9A85" w14:textId="38C8898E" w:rsidR="00F8452C" w:rsidRPr="00A059FE" w:rsidRDefault="00F8452C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8" w:space="0" w:color="auto"/>
            </w:tcBorders>
            <w:shd w:val="clear" w:color="auto" w:fill="auto"/>
          </w:tcPr>
          <w:p w14:paraId="3887C219" w14:textId="176ED32F" w:rsidR="00F8452C" w:rsidRPr="00A059FE" w:rsidRDefault="00F8452C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8" w:space="0" w:color="auto"/>
            </w:tcBorders>
            <w:shd w:val="clear" w:color="auto" w:fill="auto"/>
          </w:tcPr>
          <w:p w14:paraId="4B2E147F" w14:textId="6F316631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F8452C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8" w:space="0" w:color="auto"/>
            </w:tcBorders>
            <w:shd w:val="clear" w:color="auto" w:fill="auto"/>
          </w:tcPr>
          <w:p w14:paraId="41D516B1" w14:textId="34D29A93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F8452C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8" w:space="0" w:color="auto"/>
            </w:tcBorders>
            <w:shd w:val="clear" w:color="auto" w:fill="auto"/>
          </w:tcPr>
          <w:p w14:paraId="26D453E0" w14:textId="616FF464" w:rsidR="00F8452C" w:rsidRPr="00A059FE" w:rsidRDefault="00F87F70" w:rsidP="00A449FA">
            <w:r>
              <w:t>74</w:t>
            </w:r>
            <w:r w:rsidR="00F8452C">
              <w:t>%</w:t>
            </w:r>
          </w:p>
        </w:tc>
        <w:tc>
          <w:tcPr>
            <w:tcW w:w="1253" w:type="dxa"/>
            <w:tcBorders>
              <w:top w:val="thinThickSmallGap" w:sz="24" w:space="0" w:color="auto"/>
              <w:bottom w:val="single" w:sz="8" w:space="0" w:color="auto"/>
            </w:tcBorders>
            <w:shd w:val="clear" w:color="auto" w:fill="auto"/>
          </w:tcPr>
          <w:p w14:paraId="3AA28E78" w14:textId="3237F1B7" w:rsidR="00F8452C" w:rsidRPr="00A059FE" w:rsidRDefault="00F87F70" w:rsidP="00A449FA">
            <w:r>
              <w:t>83</w:t>
            </w:r>
            <w:r w:rsidR="00F8452C">
              <w:t>%</w:t>
            </w:r>
          </w:p>
        </w:tc>
      </w:tr>
      <w:tr w:rsidR="00F8452C" w:rsidRPr="00A059FE" w14:paraId="30E14C2A" w14:textId="77777777" w:rsidTr="00F87F70">
        <w:tc>
          <w:tcPr>
            <w:tcW w:w="154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302F17D3" w14:textId="115075CA" w:rsidR="00F8452C" w:rsidRPr="00DB42C3" w:rsidRDefault="00F8452C" w:rsidP="00A449FA">
            <w:pPr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 xml:space="preserve">Lymph node swelling at the axilla </w:t>
            </w:r>
          </w:p>
        </w:tc>
        <w:tc>
          <w:tcPr>
            <w:tcW w:w="125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9B1C841" w14:textId="69976784" w:rsidR="00F8452C" w:rsidRPr="00F87F70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25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545C2DD8" w14:textId="7EB3B87C" w:rsidR="00F8452C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125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6F579534" w14:textId="7FA94BC6" w:rsidR="00F8452C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25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0E03CEA6" w14:textId="6059B709" w:rsidR="00F8452C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125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431B795E" w14:textId="78CF9D64" w:rsidR="00F8452C" w:rsidRDefault="00F87F70" w:rsidP="00A449FA">
            <w:r>
              <w:t>6%</w:t>
            </w:r>
          </w:p>
        </w:tc>
        <w:tc>
          <w:tcPr>
            <w:tcW w:w="125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00BD46E" w14:textId="5CF02E92" w:rsidR="00F8452C" w:rsidRDefault="00F87F70" w:rsidP="00A449FA">
            <w:r>
              <w:t>9%</w:t>
            </w:r>
          </w:p>
        </w:tc>
      </w:tr>
      <w:tr w:rsidR="00F8452C" w14:paraId="0CA04922" w14:textId="77777777" w:rsidTr="00DB42C3">
        <w:tc>
          <w:tcPr>
            <w:tcW w:w="154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05B44687" w14:textId="4D32CAF0" w:rsidR="00F8452C" w:rsidRPr="00F87F70" w:rsidRDefault="00F87F70" w:rsidP="00A449FA">
            <w:pPr>
              <w:rPr>
                <w:b/>
                <w:bCs/>
              </w:rPr>
            </w:pPr>
            <w:r w:rsidRPr="00DB42C3">
              <w:rPr>
                <w:b/>
                <w:bCs/>
                <w:sz w:val="20"/>
                <w:szCs w:val="20"/>
              </w:rPr>
              <w:t>Fever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70026489" w14:textId="357C2D07" w:rsidR="00F8452C" w:rsidRDefault="00F87F70" w:rsidP="00A449FA">
            <w:r>
              <w:t>2.5%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26D7BE27" w14:textId="5E974012" w:rsidR="00F8452C" w:rsidRDefault="00F87F70" w:rsidP="00A449FA">
            <w:r>
              <w:t>12%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3DA6A4AD" w14:textId="2862A3BB" w:rsidR="00F8452C" w:rsidRDefault="00F87F70" w:rsidP="00A449FA">
            <w:r>
              <w:t>0.9</w:t>
            </w:r>
            <w:r w:rsidR="00F8452C">
              <w:t>%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3D0857C4" w14:textId="4D36D5EB" w:rsidR="00F8452C" w:rsidRDefault="00F87F70" w:rsidP="00A449FA">
            <w:r>
              <w:t>17</w:t>
            </w:r>
            <w:r w:rsidR="00F8452C">
              <w:t>%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041BC8A8" w14:textId="1550CCE5" w:rsidR="00F8452C" w:rsidRDefault="00F87F70" w:rsidP="00A449FA">
            <w:r>
              <w:t>0.3%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38ED8F54" w14:textId="45E08E9E" w:rsidR="00F8452C" w:rsidRDefault="00F87F70" w:rsidP="00A449FA">
            <w:r>
              <w:t>10%</w:t>
            </w:r>
          </w:p>
        </w:tc>
      </w:tr>
      <w:tr w:rsidR="00F8452C" w:rsidRPr="00A059FE" w14:paraId="3BC51E52" w14:textId="77777777" w:rsidTr="00DB42C3">
        <w:tc>
          <w:tcPr>
            <w:tcW w:w="1544" w:type="dxa"/>
            <w:tcBorders>
              <w:top w:val="single" w:sz="8" w:space="0" w:color="auto"/>
            </w:tcBorders>
            <w:shd w:val="clear" w:color="auto" w:fill="auto"/>
          </w:tcPr>
          <w:p w14:paraId="7C2258FE" w14:textId="77777777" w:rsidR="00F8452C" w:rsidRPr="00DB42C3" w:rsidRDefault="00F8452C" w:rsidP="00A449FA">
            <w:pPr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 xml:space="preserve">Fatigue </w:t>
            </w:r>
          </w:p>
        </w:tc>
        <w:tc>
          <w:tcPr>
            <w:tcW w:w="1253" w:type="dxa"/>
            <w:tcBorders>
              <w:top w:val="single" w:sz="8" w:space="0" w:color="auto"/>
            </w:tcBorders>
            <w:shd w:val="clear" w:color="auto" w:fill="auto"/>
          </w:tcPr>
          <w:p w14:paraId="4CBCF897" w14:textId="348538F3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F8452C"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single" w:sz="8" w:space="0" w:color="auto"/>
            </w:tcBorders>
            <w:shd w:val="clear" w:color="auto" w:fill="auto"/>
          </w:tcPr>
          <w:p w14:paraId="08999D7D" w14:textId="38764EC9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F8452C"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single" w:sz="8" w:space="0" w:color="auto"/>
            </w:tcBorders>
            <w:shd w:val="clear" w:color="auto" w:fill="auto"/>
          </w:tcPr>
          <w:p w14:paraId="083B75B7" w14:textId="3849E8A6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F8452C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single" w:sz="8" w:space="0" w:color="auto"/>
            </w:tcBorders>
            <w:shd w:val="clear" w:color="auto" w:fill="auto"/>
          </w:tcPr>
          <w:p w14:paraId="6C1FB4E3" w14:textId="71653B39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F8452C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single" w:sz="8" w:space="0" w:color="auto"/>
            </w:tcBorders>
            <w:shd w:val="clear" w:color="auto" w:fill="auto"/>
          </w:tcPr>
          <w:p w14:paraId="176B4647" w14:textId="2D0CF6DC" w:rsidR="00F8452C" w:rsidRPr="00A059FE" w:rsidRDefault="00F87F70" w:rsidP="00A449FA">
            <w:r>
              <w:t>33</w:t>
            </w:r>
            <w:r w:rsidR="00F8452C">
              <w:t>%</w:t>
            </w:r>
          </w:p>
        </w:tc>
        <w:tc>
          <w:tcPr>
            <w:tcW w:w="1253" w:type="dxa"/>
            <w:tcBorders>
              <w:top w:val="single" w:sz="8" w:space="0" w:color="auto"/>
            </w:tcBorders>
            <w:shd w:val="clear" w:color="auto" w:fill="auto"/>
          </w:tcPr>
          <w:p w14:paraId="0973D528" w14:textId="17CE44D8" w:rsidR="00F8452C" w:rsidRPr="00A059FE" w:rsidRDefault="00F87F70" w:rsidP="00A449FA">
            <w:r>
              <w:t>58%</w:t>
            </w:r>
          </w:p>
        </w:tc>
      </w:tr>
      <w:tr w:rsidR="00F8452C" w:rsidRPr="00A059FE" w14:paraId="0582F428" w14:textId="77777777" w:rsidTr="00DB42C3">
        <w:tc>
          <w:tcPr>
            <w:tcW w:w="1544" w:type="dxa"/>
            <w:tcBorders>
              <w:bottom w:val="single" w:sz="18" w:space="0" w:color="auto"/>
            </w:tcBorders>
            <w:shd w:val="clear" w:color="auto" w:fill="auto"/>
          </w:tcPr>
          <w:p w14:paraId="142911E0" w14:textId="77777777" w:rsidR="00F8452C" w:rsidRPr="00DB42C3" w:rsidRDefault="00F8452C" w:rsidP="00A449FA">
            <w:pPr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 xml:space="preserve">Headache 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069F68F0" w14:textId="1F1952F4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452C">
              <w:rPr>
                <w:sz w:val="20"/>
                <w:szCs w:val="20"/>
              </w:rPr>
              <w:t>5</w:t>
            </w:r>
            <w:r w:rsidR="00F8452C"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2C897942" w14:textId="2B163292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F8452C"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30FDAA0D" w14:textId="63DF30DE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F8452C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0E717CBB" w14:textId="20E3D333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F8452C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32CADAC4" w14:textId="1EECD36B" w:rsidR="00F8452C" w:rsidRPr="00A059FE" w:rsidRDefault="00F87F70" w:rsidP="00A449FA">
            <w:r>
              <w:t>25</w:t>
            </w:r>
            <w:r w:rsidR="00F8452C"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2B3759F6" w14:textId="2460607B" w:rsidR="00F8452C" w:rsidRPr="00A059FE" w:rsidRDefault="00F87F70" w:rsidP="00A449FA">
            <w:r>
              <w:t>46</w:t>
            </w:r>
            <w:r w:rsidR="00F8452C">
              <w:t>%</w:t>
            </w:r>
          </w:p>
        </w:tc>
      </w:tr>
      <w:tr w:rsidR="00F87F70" w:rsidRPr="00A059FE" w14:paraId="074DC75A" w14:textId="77777777" w:rsidTr="00F8452C">
        <w:tc>
          <w:tcPr>
            <w:tcW w:w="1544" w:type="dxa"/>
            <w:tcBorders>
              <w:bottom w:val="single" w:sz="18" w:space="0" w:color="auto"/>
            </w:tcBorders>
            <w:shd w:val="clear" w:color="auto" w:fill="auto"/>
          </w:tcPr>
          <w:p w14:paraId="1DCEFB25" w14:textId="53632DB3" w:rsidR="00F87F70" w:rsidRPr="00DB42C3" w:rsidRDefault="00F87F70" w:rsidP="00A449FA">
            <w:pPr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Chills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28857736" w14:textId="19A766A1" w:rsidR="00F87F70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233B1202" w14:textId="16C0BCB3" w:rsidR="00F87F70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2C2EA3D4" w14:textId="469001B8" w:rsidR="00F87F70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144FD256" w14:textId="1D459C98" w:rsidR="00F87F70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5544EA4F" w14:textId="002AFEA2" w:rsidR="00F87F70" w:rsidRDefault="00F87F70" w:rsidP="00A449FA">
            <w:r>
              <w:t>5%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4FDDB3F6" w14:textId="6C83BF82" w:rsidR="00F87F70" w:rsidRDefault="00F87F70" w:rsidP="00A449FA">
            <w:r>
              <w:t>31%</w:t>
            </w:r>
          </w:p>
        </w:tc>
      </w:tr>
      <w:tr w:rsidR="00F8452C" w:rsidRPr="00A059FE" w14:paraId="14B304BB" w14:textId="77777777" w:rsidTr="00DB42C3">
        <w:tc>
          <w:tcPr>
            <w:tcW w:w="1544" w:type="dxa"/>
            <w:tcBorders>
              <w:bottom w:val="single" w:sz="18" w:space="0" w:color="auto"/>
            </w:tcBorders>
            <w:shd w:val="clear" w:color="auto" w:fill="auto"/>
          </w:tcPr>
          <w:p w14:paraId="0BDD6871" w14:textId="68D14E65" w:rsidR="00F8452C" w:rsidRPr="00DB42C3" w:rsidRDefault="00F87F70" w:rsidP="00A449FA">
            <w:pPr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Myaligia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47FC7C96" w14:textId="35683ECA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8452C"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3C444F8C" w14:textId="630F3785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F8452C" w:rsidRPr="00A059FE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23AC8B86" w14:textId="5FE1AE38" w:rsidR="00F8452C" w:rsidRPr="00A059FE" w:rsidRDefault="00F87F70" w:rsidP="00A449FA">
            <w:pPr>
              <w:tabs>
                <w:tab w:val="left" w:pos="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8452C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2D71491B" w14:textId="0A39FC9D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F8452C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6E0E57D7" w14:textId="26037293" w:rsidR="00F8452C" w:rsidRPr="00A059FE" w:rsidRDefault="00F87F70" w:rsidP="00A449FA">
            <w:r>
              <w:t>20</w:t>
            </w:r>
            <w:r w:rsidR="00F8452C">
              <w:t>%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14:paraId="374CB470" w14:textId="775C95C3" w:rsidR="00F8452C" w:rsidRPr="00A059FE" w:rsidRDefault="00F87F70" w:rsidP="00A449FA">
            <w:r>
              <w:t>47</w:t>
            </w:r>
            <w:r w:rsidR="00F8452C">
              <w:t>%</w:t>
            </w:r>
          </w:p>
        </w:tc>
      </w:tr>
      <w:tr w:rsidR="00F8452C" w:rsidRPr="008A4792" w14:paraId="749A0A33" w14:textId="77777777" w:rsidTr="00DB42C3">
        <w:tc>
          <w:tcPr>
            <w:tcW w:w="1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2C93DD2" w14:textId="2F7506D9" w:rsidR="00F8452C" w:rsidRPr="00DB42C3" w:rsidRDefault="00F87F70" w:rsidP="00A449FA">
            <w:pPr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Arthralgia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D556A7E" w14:textId="65927C6C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8452C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0E34F60" w14:textId="04E16B5B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8452C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B68C30F" w14:textId="39B3BF20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8452C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D0FDE3B" w14:textId="63E054EE" w:rsidR="00F8452C" w:rsidRPr="00A059FE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F8452C">
              <w:rPr>
                <w:sz w:val="20"/>
                <w:szCs w:val="20"/>
              </w:rPr>
              <w:t>%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CD633A" w14:textId="118DA33E" w:rsidR="00F8452C" w:rsidRPr="00A059FE" w:rsidRDefault="00F87F70" w:rsidP="00A449FA">
            <w:r>
              <w:t>16</w:t>
            </w:r>
            <w:r w:rsidR="00F8452C">
              <w:t>%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6646597" w14:textId="48488949" w:rsidR="00F8452C" w:rsidRPr="008A4792" w:rsidRDefault="00F87F70" w:rsidP="00A449FA">
            <w:pPr>
              <w:rPr>
                <w:highlight w:val="yellow"/>
              </w:rPr>
            </w:pPr>
            <w:r>
              <w:t>35</w:t>
            </w:r>
            <w:r w:rsidR="00F8452C" w:rsidRPr="0015517F">
              <w:t>%</w:t>
            </w:r>
          </w:p>
        </w:tc>
      </w:tr>
      <w:tr w:rsidR="00F87F70" w:rsidRPr="008A4792" w14:paraId="6258C2F4" w14:textId="77777777" w:rsidTr="00F8452C">
        <w:tc>
          <w:tcPr>
            <w:tcW w:w="1544" w:type="dxa"/>
            <w:tcBorders>
              <w:top w:val="single" w:sz="18" w:space="0" w:color="auto"/>
            </w:tcBorders>
            <w:shd w:val="clear" w:color="auto" w:fill="auto"/>
          </w:tcPr>
          <w:p w14:paraId="15B4758D" w14:textId="1EFC184A" w:rsidR="00F87F70" w:rsidRPr="00DB42C3" w:rsidRDefault="00F87F70" w:rsidP="00A449FA">
            <w:pPr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Nause</w:t>
            </w:r>
            <w:r w:rsidRPr="00DB42C3">
              <w:rPr>
                <w:b/>
                <w:bCs/>
                <w:sz w:val="20"/>
                <w:szCs w:val="20"/>
              </w:rPr>
              <w:t>a/vomiting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auto"/>
          </w:tcPr>
          <w:p w14:paraId="470E5BB1" w14:textId="54BCFC82" w:rsidR="00F87F70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auto"/>
          </w:tcPr>
          <w:p w14:paraId="0CE07B5B" w14:textId="068AACCB" w:rsidR="00F87F70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auto"/>
          </w:tcPr>
          <w:p w14:paraId="1AE914AC" w14:textId="35BB67F6" w:rsidR="00F87F70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auto"/>
          </w:tcPr>
          <w:p w14:paraId="7ACAD050" w14:textId="17900AC3" w:rsidR="00F87F70" w:rsidRDefault="00F87F70" w:rsidP="00A44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auto"/>
          </w:tcPr>
          <w:p w14:paraId="51A6985A" w14:textId="02D50892" w:rsidR="00F87F70" w:rsidRDefault="00F87F70" w:rsidP="00A449FA">
            <w:r>
              <w:t>5%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auto"/>
          </w:tcPr>
          <w:p w14:paraId="7F2FA84E" w14:textId="43B4CC5A" w:rsidR="00F87F70" w:rsidRPr="0015517F" w:rsidRDefault="00F87F70" w:rsidP="00A449FA">
            <w:r>
              <w:t>12%</w:t>
            </w:r>
          </w:p>
        </w:tc>
      </w:tr>
    </w:tbl>
    <w:p w14:paraId="3BBE6139" w14:textId="77777777" w:rsidR="00F8452C" w:rsidRPr="00126B1C" w:rsidRDefault="00F8452C" w:rsidP="00126B1C"/>
    <w:sectPr w:rsidR="00F8452C" w:rsidRPr="00126B1C" w:rsidSect="007F75E0">
      <w:headerReference w:type="first" r:id="rId26"/>
      <w:footerReference w:type="first" r:id="rId27"/>
      <w:pgSz w:w="11906" w:h="16838"/>
      <w:pgMar w:top="1304" w:right="1463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AF1AE" w14:textId="77777777" w:rsidR="00F74C02" w:rsidRDefault="00F74C02" w:rsidP="00CE7D4D">
      <w:r>
        <w:separator/>
      </w:r>
    </w:p>
  </w:endnote>
  <w:endnote w:type="continuationSeparator" w:id="0">
    <w:p w14:paraId="5DC1A557" w14:textId="77777777" w:rsidR="00F74C02" w:rsidRDefault="00F74C02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AA9AF" w14:textId="77777777" w:rsidR="00126B1C" w:rsidRDefault="00126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484A" w14:textId="3637DA39" w:rsidR="00071F59" w:rsidRPr="009F4399" w:rsidRDefault="009F4399" w:rsidP="009F4399">
    <w:pPr>
      <w:tabs>
        <w:tab w:val="right" w:pos="9356"/>
      </w:tabs>
      <w:spacing w:after="0"/>
      <w:ind w:right="-449"/>
      <w:rPr>
        <w:b/>
      </w:rPr>
    </w:pPr>
    <w:r w:rsidRPr="00071F59">
      <w:rPr>
        <w:b/>
      </w:rPr>
      <w:t>health.gov.au/covid19-vaccines</w:t>
    </w:r>
    <w:r>
      <w:rPr>
        <w:b/>
      </w:rPr>
      <w:tab/>
    </w:r>
    <w:r w:rsidRPr="00071F59">
      <w:fldChar w:fldCharType="begin"/>
    </w:r>
    <w:r w:rsidRPr="00071F59">
      <w:instrText xml:space="preserve"> PAGE   \* MERGEFORMAT </w:instrText>
    </w:r>
    <w:r w:rsidRPr="00071F59">
      <w:fldChar w:fldCharType="separate"/>
    </w:r>
    <w:r w:rsidR="0070112C">
      <w:rPr>
        <w:noProof/>
      </w:rPr>
      <w:t>3</w:t>
    </w:r>
    <w:r w:rsidRPr="00071F5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5AC84" w14:textId="77777777" w:rsidR="00126B1C" w:rsidRDefault="00126B1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4DB1" w14:textId="1400F9B9" w:rsidR="00071F59" w:rsidRPr="00071F59" w:rsidRDefault="00071F59" w:rsidP="00071F59">
    <w:pPr>
      <w:tabs>
        <w:tab w:val="right" w:pos="9356"/>
      </w:tabs>
      <w:spacing w:after="0"/>
      <w:ind w:right="-449"/>
      <w:rPr>
        <w:b/>
      </w:rPr>
    </w:pPr>
    <w:r w:rsidRPr="00071F59">
      <w:rPr>
        <w:b/>
      </w:rPr>
      <w:t>health.gov.au/covid19-vaccines</w:t>
    </w:r>
    <w:r>
      <w:rPr>
        <w:b/>
      </w:rPr>
      <w:tab/>
    </w:r>
    <w:r w:rsidRPr="00071F59">
      <w:fldChar w:fldCharType="begin"/>
    </w:r>
    <w:r w:rsidRPr="00071F59">
      <w:instrText xml:space="preserve"> PAGE   \* MERGEFORMAT </w:instrText>
    </w:r>
    <w:r w:rsidRPr="00071F59">
      <w:fldChar w:fldCharType="separate"/>
    </w:r>
    <w:r w:rsidR="0070112C">
      <w:rPr>
        <w:noProof/>
      </w:rPr>
      <w:t>2</w:t>
    </w:r>
    <w:r w:rsidRPr="00071F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F54EF" w14:textId="77777777" w:rsidR="00F74C02" w:rsidRDefault="00F74C02" w:rsidP="00CE7D4D">
      <w:r>
        <w:separator/>
      </w:r>
    </w:p>
  </w:footnote>
  <w:footnote w:type="continuationSeparator" w:id="0">
    <w:p w14:paraId="7772AC5D" w14:textId="77777777" w:rsidR="00F74C02" w:rsidRDefault="00F74C02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6F2F6" w14:textId="77777777" w:rsidR="00126B1C" w:rsidRDefault="00126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AB95" w14:textId="69D1E8F8" w:rsidR="00CE7D4D" w:rsidRDefault="00703903" w:rsidP="00CE7D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34E36BA1" wp14:editId="5847F16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CE7D" w14:textId="3FC38CB5" w:rsidR="00703903" w:rsidRDefault="0070390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DA43F19" wp14:editId="5B0612FA">
          <wp:simplePos x="721047" y="-6928493"/>
          <wp:positionH relativeFrom="page">
            <wp:align>left</wp:align>
          </wp:positionH>
          <wp:positionV relativeFrom="page">
            <wp:align>top</wp:align>
          </wp:positionV>
          <wp:extent cx="7584217" cy="10723809"/>
          <wp:effectExtent l="0" t="0" r="0" b="190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23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F04EB" w14:textId="77777777" w:rsidR="00071F59" w:rsidRDefault="00071F5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67C905F" wp14:editId="1312F0FE">
          <wp:simplePos x="721047" y="-6928493"/>
          <wp:positionH relativeFrom="page">
            <wp:align>left</wp:align>
          </wp:positionH>
          <wp:positionV relativeFrom="page">
            <wp:align>top</wp:align>
          </wp:positionV>
          <wp:extent cx="7584217" cy="10723809"/>
          <wp:effectExtent l="0" t="0" r="0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23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>
    <int:WordHash hashCode="MqDEQ5j9xbHwRT" id="gOw0QVML"/>
    <int:WordHash hashCode="NeuSn0s4VJpmVQ" id="2We66/ip"/>
    <int:WordHash hashCode="BaJDwPb8SgOQX8" id="QxIRWtXV"/>
    <int:WordHash hashCode="GnfUFiJMu+d6Q5" id="x/QiPG9q"/>
    <int:WordHash hashCode="l5aAn32uSC0xI8" id="aDpjVTUj"/>
    <int:WordHash hashCode="wauZJOzaG+r4u6" id="M+RqAXfN"/>
    <int:WordHash hashCode="uHHDjsHnhEJkC2" id="Bm2TLGuu"/>
    <int:WordHash hashCode="UbSMfima4nxKTv" id="sH8918ND"/>
    <int:ParagraphRange paragraphId="552925213" textId="652398196" start="232" length="10" invalidationStart="232" invalidationLength="10" id="iIYI7Xtm"/>
  </int:Manifest>
  <int:Observations>
    <int:Content id="gOw0QVML">
      <int:Rejection type="AugLoop_Acronyms_AcronymsCritique"/>
    </int:Content>
    <int:Content id="2We66/ip">
      <int:Rejection type="AugLoop_Acronyms_AcronymsCritique"/>
    </int:Content>
    <int:Content id="QxIRWtXV">
      <int:Rejection type="AugLoop_Acronyms_AcronymsCritique"/>
    </int:Content>
    <int:Content id="x/QiPG9q">
      <int:Rejection type="AugLoop_Text_Critique"/>
    </int:Content>
    <int:Content id="aDpjVTUj">
      <int:Rejection type="AugLoop_Text_Critique"/>
    </int:Content>
    <int:Content id="M+RqAXfN">
      <int:Rejection type="AugLoop_Text_Critique"/>
    </int:Content>
    <int:Content id="Bm2TLGuu">
      <int:Rejection type="LegacyProofing"/>
    </int:Content>
    <int:Content id="sH8918ND">
      <int:Rejection type="LegacyProofing"/>
    </int:Content>
    <int:Content id="iIYI7Xt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2937"/>
    <w:multiLevelType w:val="hybridMultilevel"/>
    <w:tmpl w:val="9BE05C48"/>
    <w:lvl w:ilvl="0" w:tplc="6BCA82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00C5C"/>
    <w:multiLevelType w:val="hybridMultilevel"/>
    <w:tmpl w:val="A4EA2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378EE"/>
    <w:multiLevelType w:val="hybridMultilevel"/>
    <w:tmpl w:val="5934A336"/>
    <w:lvl w:ilvl="0" w:tplc="F7701D1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4D"/>
    <w:rsid w:val="00071F59"/>
    <w:rsid w:val="000859EB"/>
    <w:rsid w:val="000D21AB"/>
    <w:rsid w:val="00126B1C"/>
    <w:rsid w:val="003A2A0B"/>
    <w:rsid w:val="00471203"/>
    <w:rsid w:val="00546EAA"/>
    <w:rsid w:val="005C065D"/>
    <w:rsid w:val="00613E3C"/>
    <w:rsid w:val="006800CF"/>
    <w:rsid w:val="006F0C39"/>
    <w:rsid w:val="0070112C"/>
    <w:rsid w:val="00703903"/>
    <w:rsid w:val="00721029"/>
    <w:rsid w:val="007F75E0"/>
    <w:rsid w:val="00832169"/>
    <w:rsid w:val="00844273"/>
    <w:rsid w:val="00957CE1"/>
    <w:rsid w:val="009A44C6"/>
    <w:rsid w:val="009B1762"/>
    <w:rsid w:val="009F4399"/>
    <w:rsid w:val="00A72281"/>
    <w:rsid w:val="00B1716B"/>
    <w:rsid w:val="00B242F6"/>
    <w:rsid w:val="00B74FB6"/>
    <w:rsid w:val="00B83EA7"/>
    <w:rsid w:val="00BA384E"/>
    <w:rsid w:val="00CE7D4D"/>
    <w:rsid w:val="00D07FDA"/>
    <w:rsid w:val="00D576C6"/>
    <w:rsid w:val="00D72049"/>
    <w:rsid w:val="00D85C7C"/>
    <w:rsid w:val="00DB42C3"/>
    <w:rsid w:val="00E44CEF"/>
    <w:rsid w:val="00E64F43"/>
    <w:rsid w:val="00F34264"/>
    <w:rsid w:val="00F74C02"/>
    <w:rsid w:val="00F8452C"/>
    <w:rsid w:val="00F87F70"/>
    <w:rsid w:val="0388981A"/>
    <w:rsid w:val="20C9B1BF"/>
    <w:rsid w:val="22658220"/>
    <w:rsid w:val="275596CF"/>
    <w:rsid w:val="27CB4B70"/>
    <w:rsid w:val="37883BFA"/>
    <w:rsid w:val="3F48EE1B"/>
    <w:rsid w:val="44C95464"/>
    <w:rsid w:val="58CCB093"/>
    <w:rsid w:val="786E4DFD"/>
    <w:rsid w:val="78FC65D9"/>
    <w:rsid w:val="797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C444CB4"/>
  <w15:chartTrackingRefBased/>
  <w15:docId w15:val="{61003E67-4A6E-5447-98AB-9E338E04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4D"/>
    <w:pPr>
      <w:spacing w:after="160" w:line="260" w:lineRule="exact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126B1C"/>
    <w:pPr>
      <w:keepNext/>
      <w:keepLines/>
      <w:spacing w:before="240" w:after="120"/>
      <w:outlineLvl w:val="0"/>
    </w:pPr>
    <w:rPr>
      <w:rFonts w:ascii="Arial" w:eastAsiaTheme="majorEastAsia" w:hAnsi="Arial" w:cs="Arial"/>
      <w:b/>
      <w:bCs/>
      <w:color w:val="3665AE"/>
      <w:sz w:val="48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CE7D4D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3665A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B1C"/>
    <w:pPr>
      <w:keepNext/>
      <w:keepLines/>
      <w:spacing w:before="240" w:after="120" w:line="240" w:lineRule="auto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D4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26B1C"/>
    <w:rPr>
      <w:rFonts w:ascii="Arial" w:eastAsiaTheme="majorEastAsia" w:hAnsi="Arial" w:cs="Arial"/>
      <w:b/>
      <w:bCs/>
      <w:color w:val="3665AE"/>
      <w:sz w:val="48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E7D4D"/>
    <w:rPr>
      <w:rFonts w:ascii="Arial" w:eastAsiaTheme="majorEastAsia" w:hAnsi="Arial" w:cstheme="majorBidi"/>
      <w:b/>
      <w:color w:val="3665AE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6B1C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uiPriority w:val="34"/>
    <w:qFormat/>
    <w:rsid w:val="00CE7D4D"/>
    <w:pPr>
      <w:ind w:left="720"/>
      <w:contextualSpacing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A72281"/>
    <w:rPr>
      <w:color w:val="0563C1" w:themeColor="hyperlink"/>
      <w:u w:val="single"/>
    </w:rPr>
  </w:style>
  <w:style w:type="paragraph" w:customStyle="1" w:styleId="Bullet">
    <w:name w:val="Bullet"/>
    <w:basedOn w:val="ListParagraph"/>
    <w:qFormat/>
    <w:rsid w:val="005C065D"/>
    <w:pPr>
      <w:numPr>
        <w:numId w:val="2"/>
      </w:numPr>
    </w:pPr>
  </w:style>
  <w:style w:type="paragraph" w:customStyle="1" w:styleId="bullet0">
    <w:name w:val="bullet"/>
    <w:basedOn w:val="Bullet"/>
    <w:qFormat/>
    <w:rsid w:val="003A2A0B"/>
    <w:pPr>
      <w:numPr>
        <w:numId w:val="0"/>
      </w:numPr>
      <w:ind w:left="360" w:hanging="360"/>
    </w:pPr>
  </w:style>
  <w:style w:type="table" w:styleId="TableGrid">
    <w:name w:val="Table Grid"/>
    <w:basedOn w:val="TableNormal"/>
    <w:uiPriority w:val="39"/>
    <w:rsid w:val="003A2A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2C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F6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F6"/>
    <w:rPr>
      <w:rFonts w:ascii="Arial" w:eastAsiaTheme="minorEastAsia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2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safevac.org.au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health.act.gov.au" TargetMode="External"/><Relationship Id="R4212fd7916d2439f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health.nsw.gov.au" TargetMode="External"/><Relationship Id="rId25" Type="http://schemas.openxmlformats.org/officeDocument/2006/relationships/hyperlink" Target="http://www.tga.gov.au/reporting-suspected-side-effects-associated-covid-19-vaccin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wavss@health.wa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tg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health.nt.gov.au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COVID_AEFI@health.qld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healthvaccinesafety@sa.gov.au" TargetMode="External"/><Relationship Id="rId27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1B1C07FDAD5428D7D15D2B75DBB58" ma:contentTypeVersion="6" ma:contentTypeDescription="Create a new document." ma:contentTypeScope="" ma:versionID="fc6d396ca10d77c743c5ae17c0ef9d17">
  <xsd:schema xmlns:xsd="http://www.w3.org/2001/XMLSchema" xmlns:xs="http://www.w3.org/2001/XMLSchema" xmlns:p="http://schemas.microsoft.com/office/2006/metadata/properties" xmlns:ns2="7daf7c8d-4f70-487b-9182-1ce177be27d2" xmlns:ns3="2410a292-e042-440d-aef8-ab5a9bd10e41" targetNamespace="http://schemas.microsoft.com/office/2006/metadata/properties" ma:root="true" ma:fieldsID="f2b357df79abddb334de89397ce49e53" ns2:_="" ns3:_="">
    <xsd:import namespace="7daf7c8d-4f70-487b-9182-1ce177be27d2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f7c8d-4f70-487b-9182-1ce177be2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6C07-7DE1-4F39-8F3E-8FFDCDAAEF5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410a292-e042-440d-aef8-ab5a9bd10e41"/>
    <ds:schemaRef ds:uri="7daf7c8d-4f70-487b-9182-1ce177be27d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0F8F9F-3E8A-43EA-AEEE-2C9927284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246F6-6462-494D-BB57-9924A9309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f7c8d-4f70-487b-9182-1ce177be27d2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891BE-40FF-4C8A-BB30-AC1BDD26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3576</Characters>
  <Application>Microsoft Office Word</Application>
  <DocSecurity>4</DocSecurity>
  <Lines>119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and reporting side effects</vt:lpstr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and reporting side effects</dc:title>
  <dc:subject>COVID-19 vaccination</dc:subject>
  <dc:creator>Australian Government Department of Health</dc:creator>
  <cp:keywords>COVID-19 vaccination</cp:keywords>
  <dc:description/>
  <cp:lastModifiedBy>MASCHKE, Elvia</cp:lastModifiedBy>
  <cp:revision>2</cp:revision>
  <dcterms:created xsi:type="dcterms:W3CDTF">2021-11-12T06:32:00Z</dcterms:created>
  <dcterms:modified xsi:type="dcterms:W3CDTF">2021-11-12T06:32:00Z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0x0101003CD1B1C07FDAD5428D7D15D2B75DBB58</vt:lpwstr>
  </property>
</Properties>
</file>